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F34FA" w:rsidR="005366DA" w:rsidP="005366DA" w:rsidRDefault="005366DA" w14:paraId="0C052D4C" w14:textId="77777777">
      <w:pPr>
        <w:tabs>
          <w:tab w:val="center" w:pos="4680"/>
        </w:tabs>
        <w:jc w:val="center"/>
        <w:rPr>
          <w:rFonts w:ascii="Times New Roman" w:hAnsi="Times New Roman" w:eastAsia="Calibri"/>
          <w:b/>
          <w:snapToGrid/>
          <w:szCs w:val="24"/>
        </w:rPr>
      </w:pPr>
      <w:r w:rsidRPr="00CF34FA">
        <w:rPr>
          <w:rFonts w:ascii="Times New Roman" w:hAnsi="Times New Roman" w:eastAsia="Calibri"/>
          <w:b/>
          <w:snapToGrid/>
          <w:szCs w:val="24"/>
        </w:rPr>
        <w:t>SUPPORTING STATEMENT</w:t>
      </w:r>
    </w:p>
    <w:p w:rsidRPr="00CF34FA" w:rsidR="005366DA" w:rsidP="005366DA" w:rsidRDefault="008E47C7" w14:paraId="5BEB4902" w14:textId="41FB4F28">
      <w:pPr>
        <w:widowControl/>
        <w:tabs>
          <w:tab w:val="center" w:pos="4680"/>
        </w:tabs>
        <w:jc w:val="center"/>
        <w:rPr>
          <w:rFonts w:ascii="Times New Roman" w:hAnsi="Times New Roman" w:eastAsia="Calibri"/>
          <w:snapToGrid/>
          <w:szCs w:val="24"/>
        </w:rPr>
      </w:pPr>
      <w:r w:rsidRPr="008E47C7">
        <w:rPr>
          <w:rFonts w:ascii="Times New Roman" w:hAnsi="Times New Roman" w:eastAsia="Calibri"/>
          <w:snapToGrid/>
          <w:szCs w:val="24"/>
        </w:rPr>
        <w:t>INTERAGENCY BIOGRAPHICAL AND FINANCIAL REPORT</w:t>
      </w:r>
    </w:p>
    <w:p w:rsidRPr="00CF34FA" w:rsidR="005366DA" w:rsidP="005366DA" w:rsidRDefault="005366DA" w14:paraId="6C5CB035" w14:textId="4C54BD78">
      <w:pPr>
        <w:widowControl/>
        <w:tabs>
          <w:tab w:val="center" w:pos="4680"/>
        </w:tabs>
        <w:jc w:val="center"/>
        <w:rPr>
          <w:rFonts w:ascii="Times New Roman" w:hAnsi="Times New Roman" w:eastAsia="Calibri"/>
          <w:snapToGrid/>
          <w:szCs w:val="24"/>
        </w:rPr>
      </w:pPr>
      <w:r w:rsidRPr="00CF34FA">
        <w:rPr>
          <w:rFonts w:ascii="Times New Roman" w:hAnsi="Times New Roman" w:eastAsia="Calibri"/>
          <w:snapToGrid/>
          <w:szCs w:val="24"/>
        </w:rPr>
        <w:t>(OMB No. 3064</w:t>
      </w:r>
      <w:r w:rsidRPr="00CF34FA">
        <w:rPr>
          <w:rFonts w:ascii="Times New Roman" w:hAnsi="Times New Roman" w:eastAsia="Calibri"/>
          <w:snapToGrid/>
          <w:szCs w:val="24"/>
        </w:rPr>
        <w:noBreakHyphen/>
        <w:t>0</w:t>
      </w:r>
      <w:r w:rsidR="008E47C7">
        <w:rPr>
          <w:rFonts w:ascii="Times New Roman" w:hAnsi="Times New Roman" w:eastAsia="Calibri"/>
          <w:snapToGrid/>
          <w:szCs w:val="24"/>
        </w:rPr>
        <w:t>006</w:t>
      </w:r>
      <w:r w:rsidRPr="00CF34FA">
        <w:rPr>
          <w:rFonts w:ascii="Times New Roman" w:hAnsi="Times New Roman" w:eastAsia="Calibri"/>
          <w:snapToGrid/>
          <w:szCs w:val="24"/>
        </w:rPr>
        <w:t>)</w:t>
      </w:r>
    </w:p>
    <w:p w:rsidRPr="00CF34FA" w:rsidR="00994EDE" w:rsidP="005366DA" w:rsidRDefault="00994EDE" w14:paraId="3AE0E354" w14:textId="77777777">
      <w:pPr>
        <w:widowControl/>
        <w:tabs>
          <w:tab w:val="center" w:pos="4680"/>
          <w:tab w:val="left" w:pos="4896"/>
        </w:tabs>
        <w:rPr>
          <w:rFonts w:ascii="Times New Roman" w:hAnsi="Times New Roman"/>
        </w:rPr>
      </w:pPr>
    </w:p>
    <w:p w:rsidRPr="00CF34FA" w:rsidR="00994EDE" w:rsidRDefault="00994EDE" w14:paraId="607DF3F1" w14:textId="77777777">
      <w:pPr>
        <w:widowControl/>
        <w:tabs>
          <w:tab w:val="left" w:pos="432"/>
          <w:tab w:val="left" w:pos="1152"/>
          <w:tab w:val="left" w:pos="1872"/>
          <w:tab w:val="left" w:pos="2448"/>
          <w:tab w:val="left" w:pos="4896"/>
        </w:tabs>
        <w:rPr>
          <w:rFonts w:ascii="Times New Roman" w:hAnsi="Times New Roman"/>
        </w:rPr>
      </w:pPr>
    </w:p>
    <w:p w:rsidRPr="00CF34FA" w:rsidR="00994EDE" w:rsidRDefault="00994EDE" w14:paraId="5B044A01" w14:textId="77777777">
      <w:pPr>
        <w:widowControl/>
        <w:tabs>
          <w:tab w:val="left" w:pos="432"/>
          <w:tab w:val="left" w:pos="1152"/>
          <w:tab w:val="left" w:pos="1872"/>
          <w:tab w:val="left" w:pos="2448"/>
          <w:tab w:val="left" w:pos="4896"/>
        </w:tabs>
        <w:rPr>
          <w:rFonts w:ascii="Times New Roman" w:hAnsi="Times New Roman"/>
        </w:rPr>
      </w:pPr>
      <w:r w:rsidRPr="00CF34FA">
        <w:rPr>
          <w:rFonts w:ascii="Times New Roman" w:hAnsi="Times New Roman"/>
          <w:u w:val="single"/>
        </w:rPr>
        <w:t>INTRODUCTION</w:t>
      </w:r>
    </w:p>
    <w:p w:rsidRPr="00CF34FA" w:rsidR="00994EDE" w:rsidRDefault="00994EDE" w14:paraId="4E97DFF4" w14:textId="77777777">
      <w:pPr>
        <w:widowControl/>
        <w:tabs>
          <w:tab w:val="left" w:pos="432"/>
          <w:tab w:val="left" w:pos="1152"/>
          <w:tab w:val="left" w:pos="1872"/>
          <w:tab w:val="left" w:pos="2448"/>
          <w:tab w:val="left" w:pos="4896"/>
        </w:tabs>
        <w:rPr>
          <w:rFonts w:ascii="Times New Roman" w:hAnsi="Times New Roman"/>
        </w:rPr>
      </w:pPr>
    </w:p>
    <w:p w:rsidRPr="008E47C7" w:rsidR="008E47C7" w:rsidP="008E47C7" w:rsidRDefault="008E47C7" w14:paraId="57AB39DF" w14:textId="2286E163">
      <w:pPr>
        <w:widowControl/>
        <w:tabs>
          <w:tab w:val="left" w:pos="432"/>
          <w:tab w:val="left" w:pos="1152"/>
          <w:tab w:val="left" w:pos="1872"/>
          <w:tab w:val="left" w:pos="2448"/>
          <w:tab w:val="left" w:pos="4896"/>
        </w:tabs>
        <w:rPr>
          <w:rFonts w:ascii="Times New Roman" w:hAnsi="Times New Roman"/>
        </w:rPr>
      </w:pPr>
      <w:r w:rsidRPr="008E47C7">
        <w:rPr>
          <w:rFonts w:ascii="Times New Roman" w:hAnsi="Times New Roman"/>
        </w:rPr>
        <w:t xml:space="preserve">The Federal Deposit Insurance Corporation (FDIC) is requesting OMB approval of </w:t>
      </w:r>
      <w:r w:rsidR="00A5406C">
        <w:rPr>
          <w:rFonts w:ascii="Times New Roman" w:hAnsi="Times New Roman"/>
        </w:rPr>
        <w:t>an extension without change</w:t>
      </w:r>
      <w:r w:rsidRPr="008E47C7">
        <w:rPr>
          <w:rFonts w:ascii="Times New Roman" w:hAnsi="Times New Roman"/>
        </w:rPr>
        <w:t xml:space="preserve"> to its currently-approved information collection entitled “Interagency Biographical and Financial Report” (OMB Control No. 3064-0006).  </w:t>
      </w:r>
      <w:r w:rsidRPr="003043C2" w:rsidR="003043C2">
        <w:rPr>
          <w:rFonts w:ascii="Times New Roman" w:hAnsi="Times New Roman"/>
        </w:rPr>
        <w:t xml:space="preserve">The current clearance for the collection expires on </w:t>
      </w:r>
      <w:r w:rsidR="003043C2">
        <w:rPr>
          <w:rFonts w:ascii="Times New Roman" w:hAnsi="Times New Roman"/>
        </w:rPr>
        <w:t>June</w:t>
      </w:r>
      <w:r w:rsidRPr="003043C2" w:rsidR="003043C2">
        <w:rPr>
          <w:rFonts w:ascii="Times New Roman" w:hAnsi="Times New Roman"/>
        </w:rPr>
        <w:t xml:space="preserve"> 30</w:t>
      </w:r>
      <w:r w:rsidR="003043C2">
        <w:rPr>
          <w:rFonts w:ascii="Times New Roman" w:hAnsi="Times New Roman"/>
        </w:rPr>
        <w:t>, 2021</w:t>
      </w:r>
      <w:r w:rsidRPr="003043C2" w:rsidR="003043C2">
        <w:rPr>
          <w:rFonts w:ascii="Times New Roman" w:hAnsi="Times New Roman"/>
        </w:rPr>
        <w:t>.</w:t>
      </w:r>
    </w:p>
    <w:p w:rsidRPr="00CF34FA" w:rsidR="00797DDC" w:rsidRDefault="00797DDC" w14:paraId="09A122FC" w14:textId="2D6C2ADC">
      <w:pPr>
        <w:widowControl/>
        <w:tabs>
          <w:tab w:val="left" w:pos="432"/>
          <w:tab w:val="left" w:pos="1152"/>
          <w:tab w:val="left" w:pos="1872"/>
          <w:tab w:val="left" w:pos="2448"/>
          <w:tab w:val="left" w:pos="4896"/>
        </w:tabs>
        <w:rPr>
          <w:rFonts w:ascii="Times New Roman" w:hAnsi="Times New Roman"/>
        </w:rPr>
      </w:pPr>
    </w:p>
    <w:p w:rsidRPr="00CF34FA" w:rsidR="00994EDE" w:rsidRDefault="00994EDE" w14:paraId="05C7E089" w14:textId="77777777">
      <w:pPr>
        <w:widowControl/>
        <w:tabs>
          <w:tab w:val="left" w:pos="432"/>
          <w:tab w:val="left" w:pos="1152"/>
          <w:tab w:val="left" w:pos="1872"/>
          <w:tab w:val="left" w:pos="2448"/>
          <w:tab w:val="left" w:pos="4896"/>
        </w:tabs>
        <w:rPr>
          <w:rFonts w:ascii="Times New Roman" w:hAnsi="Times New Roman"/>
        </w:rPr>
      </w:pPr>
      <w:r w:rsidRPr="00CF34FA">
        <w:rPr>
          <w:rFonts w:ascii="Times New Roman" w:hAnsi="Times New Roman"/>
        </w:rPr>
        <w:t>A.</w:t>
      </w:r>
      <w:r w:rsidRPr="00CF34FA">
        <w:rPr>
          <w:rFonts w:ascii="Times New Roman" w:hAnsi="Times New Roman"/>
        </w:rPr>
        <w:tab/>
      </w:r>
      <w:r w:rsidRPr="00CF34FA">
        <w:rPr>
          <w:rFonts w:ascii="Times New Roman" w:hAnsi="Times New Roman"/>
          <w:u w:val="single"/>
        </w:rPr>
        <w:t>JUSTIFICATION</w:t>
      </w:r>
    </w:p>
    <w:p w:rsidRPr="00CF34FA" w:rsidR="00994EDE" w:rsidRDefault="00994EDE" w14:paraId="5FFDAA14" w14:textId="77777777">
      <w:pPr>
        <w:widowControl/>
        <w:tabs>
          <w:tab w:val="left" w:pos="432"/>
          <w:tab w:val="left" w:pos="1152"/>
          <w:tab w:val="left" w:pos="1872"/>
          <w:tab w:val="left" w:pos="2448"/>
          <w:tab w:val="left" w:pos="4896"/>
        </w:tabs>
        <w:rPr>
          <w:rFonts w:ascii="Times New Roman" w:hAnsi="Times New Roman"/>
        </w:rPr>
      </w:pPr>
    </w:p>
    <w:p w:rsidRPr="00CF34FA" w:rsidR="00994EDE" w:rsidRDefault="00994EDE" w14:paraId="2172B7F4" w14:textId="77777777">
      <w:pPr>
        <w:widowControl/>
        <w:tabs>
          <w:tab w:val="left" w:pos="432"/>
          <w:tab w:val="left" w:pos="1152"/>
          <w:tab w:val="left" w:pos="1872"/>
          <w:tab w:val="left" w:pos="2448"/>
          <w:tab w:val="left" w:pos="4896"/>
        </w:tabs>
        <w:ind w:firstLine="432"/>
        <w:rPr>
          <w:rFonts w:ascii="Times New Roman" w:hAnsi="Times New Roman"/>
        </w:rPr>
      </w:pPr>
      <w:r w:rsidRPr="00CF34FA">
        <w:rPr>
          <w:rFonts w:ascii="Times New Roman" w:hAnsi="Times New Roman"/>
        </w:rPr>
        <w:t>1.</w:t>
      </w:r>
      <w:r w:rsidRPr="00CF34FA">
        <w:rPr>
          <w:rFonts w:ascii="Times New Roman" w:hAnsi="Times New Roman"/>
        </w:rPr>
        <w:tab/>
      </w:r>
      <w:r w:rsidRPr="00CF34FA" w:rsidR="002701C6">
        <w:rPr>
          <w:rFonts w:ascii="Times New Roman" w:hAnsi="Times New Roman"/>
          <w:bCs/>
          <w:iCs/>
          <w:u w:val="single"/>
        </w:rPr>
        <w:t>Circumstances that make the collection necessary:</w:t>
      </w:r>
    </w:p>
    <w:p w:rsidRPr="00CF34FA" w:rsidR="00994EDE" w:rsidRDefault="00994EDE" w14:paraId="4907DAB1" w14:textId="77777777">
      <w:pPr>
        <w:widowControl/>
        <w:tabs>
          <w:tab w:val="left" w:pos="432"/>
          <w:tab w:val="left" w:pos="1152"/>
          <w:tab w:val="left" w:pos="1872"/>
          <w:tab w:val="left" w:pos="2448"/>
          <w:tab w:val="left" w:pos="4896"/>
        </w:tabs>
        <w:rPr>
          <w:rFonts w:ascii="Times New Roman" w:hAnsi="Times New Roman"/>
        </w:rPr>
      </w:pPr>
    </w:p>
    <w:p w:rsidRPr="008E47C7" w:rsidR="008E47C7" w:rsidP="008E47C7" w:rsidRDefault="008E47C7" w14:paraId="79E093FA" w14:textId="77777777">
      <w:pPr>
        <w:widowControl/>
        <w:tabs>
          <w:tab w:val="left" w:pos="432"/>
          <w:tab w:val="left" w:pos="1152"/>
          <w:tab w:val="left" w:pos="1872"/>
          <w:tab w:val="left" w:pos="2448"/>
          <w:tab w:val="left" w:pos="4896"/>
        </w:tabs>
        <w:ind w:left="1152"/>
        <w:rPr>
          <w:rFonts w:ascii="Times New Roman" w:hAnsi="Times New Roman"/>
          <w:bCs/>
        </w:rPr>
      </w:pPr>
      <w:r w:rsidRPr="008E47C7">
        <w:rPr>
          <w:rFonts w:ascii="Times New Roman" w:hAnsi="Times New Roman"/>
          <w:bCs/>
        </w:rPr>
        <w:t>Before approving the application of a depository institution for Federal deposit insurance, section 5 of the Federal Deposit Insurance (FDI) Act (12 U.S.C. 1815(a)) requires the Board of Directors of the FDIC to give consideration to the factors enumerated in section 6 of the Act, including the general character of the bank’s management.  Also, section 7(j)(6) of the FDI Act (12 U.S.C. 1817(j)) requires that any person proposing to acquire control of an FDIC-supervised institution must file with the FDIC information pertaining to that person’s personal history, business background, assets, liabilities, etc.  The form is designed to collect financial information concerning the assets, liabilities and net worth of the subject individual, and biographical information pertaining to the individual’s education, the nature of civil and criminal proceedings that the individual may have been involved with, and the individual’s present and past employment.</w:t>
      </w:r>
    </w:p>
    <w:p w:rsidRPr="008E47C7" w:rsidR="008E47C7" w:rsidP="008E47C7" w:rsidRDefault="008E47C7" w14:paraId="3799E9F0" w14:textId="77777777">
      <w:pPr>
        <w:widowControl/>
        <w:tabs>
          <w:tab w:val="left" w:pos="432"/>
          <w:tab w:val="left" w:pos="1152"/>
          <w:tab w:val="left" w:pos="1872"/>
          <w:tab w:val="left" w:pos="2448"/>
          <w:tab w:val="left" w:pos="4896"/>
        </w:tabs>
        <w:ind w:left="1152"/>
        <w:rPr>
          <w:rFonts w:ascii="Times New Roman" w:hAnsi="Times New Roman"/>
          <w:bCs/>
        </w:rPr>
      </w:pPr>
    </w:p>
    <w:p w:rsidR="00994EDE" w:rsidP="008E47C7" w:rsidRDefault="008E47C7" w14:paraId="7C10B1CD" w14:textId="26B06971">
      <w:pPr>
        <w:widowControl/>
        <w:tabs>
          <w:tab w:val="left" w:pos="432"/>
          <w:tab w:val="left" w:pos="1152"/>
          <w:tab w:val="left" w:pos="1872"/>
          <w:tab w:val="left" w:pos="2448"/>
          <w:tab w:val="left" w:pos="4896"/>
        </w:tabs>
        <w:ind w:left="1152"/>
        <w:rPr>
          <w:rFonts w:ascii="Times New Roman" w:hAnsi="Times New Roman"/>
          <w:bCs/>
        </w:rPr>
      </w:pPr>
      <w:r w:rsidRPr="008E47C7">
        <w:rPr>
          <w:rFonts w:ascii="Times New Roman" w:hAnsi="Times New Roman"/>
          <w:bCs/>
        </w:rPr>
        <w:t>Section 32 of the FDI Act (12 U.S.C. 183li), provides that the FDIC may disapprove an individual’s service as a director or a senior executive officer of certain FDIC-supervised institutions if upon assessing the individual’s competence, experience, character, and integrity it is determined that the individual’s service would not be in the best interest of the depositors of the bank or the public.  The Interagency Biographical and Financial Report is used as a supplement to the Interagency Notice of Change in Director or Senior Executive Officer form to collect information relevant to assessment of the individual’s competence, experience, character and integrity.</w:t>
      </w:r>
    </w:p>
    <w:p w:rsidR="00994EDE" w:rsidRDefault="00994EDE" w14:paraId="2781FFFB"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016FEC19"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2.</w:t>
      </w:r>
      <w:r w:rsidRPr="00CF34FA">
        <w:rPr>
          <w:rFonts w:ascii="Times New Roman" w:hAnsi="Times New Roman"/>
        </w:rPr>
        <w:tab/>
      </w:r>
      <w:r w:rsidRPr="00CF34FA">
        <w:rPr>
          <w:rFonts w:ascii="Times New Roman" w:hAnsi="Times New Roman"/>
          <w:u w:val="single"/>
        </w:rPr>
        <w:t xml:space="preserve">Use of </w:t>
      </w:r>
      <w:r w:rsidRPr="00CF34FA" w:rsidR="002701C6">
        <w:rPr>
          <w:rFonts w:ascii="Times New Roman" w:hAnsi="Times New Roman"/>
          <w:u w:val="single"/>
        </w:rPr>
        <w:t>the information:</w:t>
      </w:r>
    </w:p>
    <w:p w:rsidR="00CF34FA" w:rsidP="00366F1B" w:rsidRDefault="00CF34FA" w14:paraId="3DC13CA5" w14:textId="77777777">
      <w:pPr>
        <w:widowControl/>
        <w:tabs>
          <w:tab w:val="left" w:pos="288"/>
          <w:tab w:val="left" w:pos="1008"/>
          <w:tab w:val="left" w:pos="1728"/>
          <w:tab w:val="left" w:pos="2448"/>
          <w:tab w:val="left" w:pos="3168"/>
          <w:tab w:val="left" w:pos="3888"/>
        </w:tabs>
        <w:ind w:left="1008"/>
        <w:rPr>
          <w:rFonts w:ascii="Times New Roman" w:hAnsi="Times New Roman"/>
        </w:rPr>
      </w:pPr>
    </w:p>
    <w:p w:rsidRPr="00CF34FA" w:rsidR="00994EDE" w:rsidP="00366F1B" w:rsidRDefault="008E47C7" w14:paraId="78F28EB9" w14:textId="242A05D6">
      <w:pPr>
        <w:widowControl/>
        <w:tabs>
          <w:tab w:val="left" w:pos="288"/>
          <w:tab w:val="left" w:pos="1008"/>
          <w:tab w:val="left" w:pos="1728"/>
          <w:tab w:val="left" w:pos="2448"/>
          <w:tab w:val="left" w:pos="3168"/>
          <w:tab w:val="left" w:pos="3888"/>
        </w:tabs>
        <w:ind w:left="1008"/>
        <w:rPr>
          <w:rFonts w:ascii="Times New Roman" w:hAnsi="Times New Roman"/>
        </w:rPr>
      </w:pPr>
      <w:r w:rsidRPr="008E47C7">
        <w:rPr>
          <w:rFonts w:ascii="Times New Roman" w:hAnsi="Times New Roman"/>
        </w:rPr>
        <w:t xml:space="preserve">The information is used by the FDIC for analyzing the financial condition and assessing the general character of individuals wishing to serve as directors of proposed or operating depository institutions applying for deposit insurance; persons proposing to acquire control of an FDIC-supervised institution; or individuals proposed to serve </w:t>
      </w:r>
      <w:r w:rsidRPr="008E47C7">
        <w:rPr>
          <w:rFonts w:ascii="Times New Roman" w:hAnsi="Times New Roman"/>
        </w:rPr>
        <w:lastRenderedPageBreak/>
        <w:t>as directors or senior executive officers of certain FDIC-supervised institutions.  The FDIC’s evaluation of these individuals is required by statute.</w:t>
      </w:r>
    </w:p>
    <w:p w:rsidRPr="00CF34FA" w:rsidR="00994EDE" w:rsidRDefault="00994EDE" w14:paraId="0C5A4D2A" w14:textId="77777777">
      <w:pPr>
        <w:widowControl/>
        <w:tabs>
          <w:tab w:val="left" w:pos="288"/>
          <w:tab w:val="left" w:pos="1008"/>
          <w:tab w:val="left" w:pos="1728"/>
          <w:tab w:val="left" w:pos="2448"/>
          <w:tab w:val="left" w:pos="3168"/>
          <w:tab w:val="left" w:pos="3888"/>
        </w:tabs>
        <w:ind w:left="1008"/>
        <w:rPr>
          <w:rFonts w:ascii="Times New Roman" w:hAnsi="Times New Roman"/>
        </w:rPr>
      </w:pPr>
    </w:p>
    <w:p w:rsidRPr="00CF34FA" w:rsidR="00994EDE" w:rsidRDefault="00994EDE" w14:paraId="7F4F04C4" w14:textId="77777777">
      <w:pPr>
        <w:keepNext/>
        <w:keepLines/>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3.</w:t>
      </w:r>
      <w:r w:rsidRPr="00CF34FA">
        <w:rPr>
          <w:rFonts w:ascii="Times New Roman" w:hAnsi="Times New Roman"/>
        </w:rPr>
        <w:tab/>
      </w:r>
      <w:r w:rsidRPr="00CF34FA" w:rsidR="002701C6">
        <w:rPr>
          <w:rFonts w:ascii="Times New Roman" w:hAnsi="Times New Roman"/>
          <w:u w:val="single"/>
        </w:rPr>
        <w:t>Consideration of the use of improved information technology:</w:t>
      </w:r>
    </w:p>
    <w:p w:rsidRPr="00CF34FA" w:rsidR="00994EDE" w:rsidRDefault="00994EDE" w14:paraId="1576E278"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8E47C7" w14:paraId="0CDAD476" w14:textId="681801C1">
      <w:pPr>
        <w:widowControl/>
        <w:ind w:left="1008"/>
        <w:rPr>
          <w:rFonts w:ascii="Times New Roman" w:hAnsi="Times New Roman"/>
        </w:rPr>
      </w:pPr>
      <w:r w:rsidRPr="008E47C7">
        <w:rPr>
          <w:rFonts w:ascii="Times New Roman" w:hAnsi="Times New Roman"/>
        </w:rPr>
        <w:t>No technology is involved in the preparation of the report.  The report is the personal financial and biographical statement of the submitter.</w:t>
      </w:r>
    </w:p>
    <w:p w:rsidRPr="00CF34FA" w:rsidR="00994EDE" w:rsidRDefault="00994EDE" w14:paraId="4215758E" w14:textId="77777777">
      <w:pPr>
        <w:keepLines/>
        <w:widowControl/>
        <w:tabs>
          <w:tab w:val="left" w:pos="288"/>
          <w:tab w:val="left" w:pos="1008"/>
          <w:tab w:val="left" w:pos="1728"/>
          <w:tab w:val="left" w:pos="2448"/>
          <w:tab w:val="left" w:pos="3168"/>
          <w:tab w:val="left" w:pos="3888"/>
        </w:tabs>
        <w:ind w:left="1008"/>
        <w:rPr>
          <w:rFonts w:ascii="Times New Roman" w:hAnsi="Times New Roman"/>
        </w:rPr>
      </w:pPr>
    </w:p>
    <w:p w:rsidRPr="00CF34FA" w:rsidR="00994EDE" w:rsidRDefault="00994EDE" w14:paraId="4C4B9563"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4.</w:t>
      </w:r>
      <w:r w:rsidRPr="00CF34FA">
        <w:rPr>
          <w:rFonts w:ascii="Times New Roman" w:hAnsi="Times New Roman"/>
        </w:rPr>
        <w:tab/>
      </w:r>
      <w:r w:rsidRPr="00CF34FA">
        <w:rPr>
          <w:rFonts w:ascii="Times New Roman" w:hAnsi="Times New Roman"/>
          <w:u w:val="single"/>
        </w:rPr>
        <w:t>Efforts to Identify Duplication</w:t>
      </w:r>
    </w:p>
    <w:p w:rsidRPr="00CF34FA" w:rsidR="00994EDE" w:rsidRDefault="00994EDE" w14:paraId="0AAED7C7"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8E47C7" w14:paraId="7098947A" w14:textId="0C8B1287">
      <w:pPr>
        <w:widowControl/>
        <w:tabs>
          <w:tab w:val="left" w:pos="288"/>
          <w:tab w:val="left" w:pos="1008"/>
          <w:tab w:val="left" w:pos="1728"/>
          <w:tab w:val="left" w:pos="2448"/>
          <w:tab w:val="left" w:pos="3168"/>
          <w:tab w:val="left" w:pos="3888"/>
        </w:tabs>
        <w:ind w:left="1008"/>
        <w:rPr>
          <w:rFonts w:ascii="Times New Roman" w:hAnsi="Times New Roman"/>
        </w:rPr>
      </w:pPr>
      <w:r w:rsidRPr="008E47C7">
        <w:rPr>
          <w:rFonts w:ascii="Times New Roman" w:hAnsi="Times New Roman"/>
        </w:rPr>
        <w:t>There is no duplication of reporting.  Each report is a unique personal financial and biographical statem</w:t>
      </w:r>
      <w:r>
        <w:rPr>
          <w:rFonts w:ascii="Times New Roman" w:hAnsi="Times New Roman"/>
        </w:rPr>
        <w:t>ent of the individual submitter</w:t>
      </w:r>
    </w:p>
    <w:p w:rsidRPr="00CF34FA" w:rsidR="00994EDE" w:rsidRDefault="00994EDE" w14:paraId="28850C73"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P="002701C6" w:rsidRDefault="00994EDE" w14:paraId="133B62A2" w14:textId="77777777">
      <w:pPr>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5.</w:t>
      </w:r>
      <w:r w:rsidRPr="00CF34FA">
        <w:rPr>
          <w:rFonts w:ascii="Times New Roman" w:hAnsi="Times New Roman"/>
        </w:rPr>
        <w:tab/>
      </w:r>
      <w:r w:rsidRPr="00CF34FA" w:rsidR="002701C6">
        <w:rPr>
          <w:rFonts w:ascii="Times New Roman" w:hAnsi="Times New Roman"/>
          <w:u w:val="single"/>
        </w:rPr>
        <w:t>Methods used to minimize burden if the collection has a significant impact on a substantial number of small entities:</w:t>
      </w:r>
    </w:p>
    <w:p w:rsidRPr="00CF34FA" w:rsidR="00994EDE" w:rsidRDefault="00994EDE" w14:paraId="6843A5EF"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8E47C7" w14:paraId="0641ADCD" w14:textId="15A36E52">
      <w:pPr>
        <w:widowControl/>
        <w:tabs>
          <w:tab w:val="left" w:pos="288"/>
          <w:tab w:val="left" w:pos="1008"/>
          <w:tab w:val="left" w:pos="1728"/>
          <w:tab w:val="left" w:pos="2448"/>
          <w:tab w:val="left" w:pos="3168"/>
          <w:tab w:val="left" w:pos="3888"/>
        </w:tabs>
        <w:ind w:left="1008"/>
        <w:rPr>
          <w:rFonts w:ascii="Times New Roman" w:hAnsi="Times New Roman"/>
        </w:rPr>
      </w:pPr>
      <w:r w:rsidRPr="008E47C7">
        <w:rPr>
          <w:rFonts w:ascii="Times New Roman" w:hAnsi="Times New Roman"/>
        </w:rPr>
        <w:t>All prospective directors or officers associated with applications for Federal deposit insurance, and all persons associated with a change in control of an FDIC-supervised institution are subject to the same reporting requirements. Also, all individuals filing notice to serve as a director or senior executive officer of certain insured FDIC-supervised institution are subject to the same reporting requirements.  The information is the minimum needed by the FDIC to determine the general character and financial condition of the submitter.</w:t>
      </w:r>
      <w:r w:rsidRPr="00CF34FA" w:rsidR="00994EDE">
        <w:rPr>
          <w:rFonts w:ascii="Times New Roman" w:hAnsi="Times New Roman"/>
        </w:rPr>
        <w:t xml:space="preserve">  </w:t>
      </w:r>
    </w:p>
    <w:p w:rsidRPr="00CF34FA" w:rsidR="00994EDE" w:rsidRDefault="00994EDE" w14:paraId="20B53B23" w14:textId="77777777">
      <w:pPr>
        <w:widowControl/>
        <w:tabs>
          <w:tab w:val="left" w:pos="288"/>
          <w:tab w:val="left" w:pos="1008"/>
          <w:tab w:val="left" w:pos="1728"/>
          <w:tab w:val="left" w:pos="2448"/>
          <w:tab w:val="left" w:pos="3168"/>
          <w:tab w:val="left" w:pos="3888"/>
        </w:tabs>
        <w:ind w:firstLine="288"/>
        <w:rPr>
          <w:rFonts w:ascii="Times New Roman" w:hAnsi="Times New Roman"/>
        </w:rPr>
      </w:pPr>
    </w:p>
    <w:p w:rsidRPr="00CF34FA" w:rsidR="00994EDE" w:rsidRDefault="00994EDE" w14:paraId="63AA60E4"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6.</w:t>
      </w:r>
      <w:r w:rsidRPr="00CF34FA">
        <w:rPr>
          <w:rFonts w:ascii="Times New Roman" w:hAnsi="Times New Roman"/>
        </w:rPr>
        <w:tab/>
      </w:r>
      <w:r w:rsidRPr="00CF34FA" w:rsidR="002701C6">
        <w:rPr>
          <w:rFonts w:ascii="Times New Roman" w:hAnsi="Times New Roman"/>
          <w:u w:val="single"/>
        </w:rPr>
        <w:t>Consequences to the Federal program if the collection were conducted less frequently:</w:t>
      </w:r>
    </w:p>
    <w:p w:rsidRPr="00CF34FA" w:rsidR="00994EDE" w:rsidRDefault="00994EDE" w14:paraId="1A53E6FE"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8E47C7" w14:paraId="1FD161C9" w14:textId="3472C7A7">
      <w:pPr>
        <w:widowControl/>
        <w:tabs>
          <w:tab w:val="left" w:pos="288"/>
          <w:tab w:val="left" w:pos="1008"/>
          <w:tab w:val="left" w:pos="1728"/>
          <w:tab w:val="left" w:pos="2448"/>
          <w:tab w:val="left" w:pos="3168"/>
          <w:tab w:val="left" w:pos="3888"/>
        </w:tabs>
        <w:ind w:left="1008"/>
        <w:rPr>
          <w:rFonts w:ascii="Times New Roman" w:hAnsi="Times New Roman"/>
        </w:rPr>
      </w:pPr>
      <w:r w:rsidRPr="008E47C7">
        <w:rPr>
          <w:rFonts w:ascii="Times New Roman" w:hAnsi="Times New Roman"/>
        </w:rPr>
        <w:t>The information is reported only once by the individual, the minimum consistent with the statute</w:t>
      </w:r>
      <w:r w:rsidRPr="00CF34FA" w:rsidR="00366F1B">
        <w:rPr>
          <w:rFonts w:ascii="Times New Roman" w:hAnsi="Times New Roman"/>
        </w:rPr>
        <w:t>.</w:t>
      </w:r>
    </w:p>
    <w:p w:rsidRPr="00CF34FA" w:rsidR="00994EDE" w:rsidRDefault="00994EDE" w14:paraId="3EA128BF"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P="002701C6" w:rsidRDefault="00994EDE" w14:paraId="47A5013A" w14:textId="77777777">
      <w:pPr>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7.</w:t>
      </w:r>
      <w:r w:rsidRPr="00CF34FA">
        <w:rPr>
          <w:rFonts w:ascii="Times New Roman" w:hAnsi="Times New Roman"/>
        </w:rPr>
        <w:tab/>
      </w:r>
      <w:r w:rsidRPr="00CF34FA" w:rsidR="002701C6">
        <w:rPr>
          <w:rFonts w:ascii="Times New Roman" w:hAnsi="Times New Roman"/>
          <w:u w:val="single"/>
        </w:rPr>
        <w:t>Special circumstances necessitating collection inconsistent with 5 CFR Part 1320.5(d)(2):</w:t>
      </w:r>
    </w:p>
    <w:p w:rsidRPr="00CF34FA" w:rsidR="00994EDE" w:rsidRDefault="00994EDE" w14:paraId="202CDFBF"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74905569" w14:textId="1A409D85">
      <w:pPr>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None.</w:t>
      </w:r>
      <w:r w:rsidR="00A5406C">
        <w:rPr>
          <w:rFonts w:ascii="Times New Roman" w:hAnsi="Times New Roman"/>
        </w:rPr>
        <w:t xml:space="preserve">  </w:t>
      </w:r>
      <w:r w:rsidRPr="00A5406C" w:rsidR="00A5406C">
        <w:rPr>
          <w:rFonts w:ascii="Times New Roman" w:hAnsi="Times New Roman"/>
        </w:rPr>
        <w:t>The</w:t>
      </w:r>
      <w:r w:rsidRPr="00A5406C" w:rsidR="00A5406C">
        <w:rPr>
          <w:rFonts w:ascii="Times New Roman" w:hAnsi="Times New Roman"/>
          <w:bCs/>
          <w:iCs/>
        </w:rPr>
        <w:t xml:space="preserve"> information is collected in a manner consistent with 5 CFR 1320.5(d)(2).</w:t>
      </w:r>
    </w:p>
    <w:p w:rsidRPr="00CF34FA" w:rsidR="00994EDE" w:rsidRDefault="00994EDE" w14:paraId="602991BB"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35C8A50D"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8.</w:t>
      </w:r>
      <w:r w:rsidRPr="00CF34FA">
        <w:rPr>
          <w:rFonts w:ascii="Times New Roman" w:hAnsi="Times New Roman"/>
        </w:rPr>
        <w:tab/>
      </w:r>
      <w:r w:rsidRPr="00CF34FA" w:rsidR="002701C6">
        <w:rPr>
          <w:rFonts w:ascii="Times New Roman" w:hAnsi="Times New Roman"/>
          <w:u w:val="single"/>
        </w:rPr>
        <w:t>Efforts to consult with persons outside the agency:</w:t>
      </w:r>
    </w:p>
    <w:p w:rsidRPr="00CF34FA" w:rsidR="00994EDE" w:rsidRDefault="00994EDE" w14:paraId="6D70AFB3"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1C7588" w:rsidP="001C7588" w:rsidRDefault="001C7588" w14:paraId="171146EA" w14:textId="4F48D819">
      <w:pPr>
        <w:widowControl/>
        <w:ind w:left="1008"/>
        <w:rPr>
          <w:rFonts w:ascii="Times New Roman" w:hAnsi="Times New Roman"/>
        </w:rPr>
      </w:pPr>
      <w:r w:rsidRPr="00CF34FA">
        <w:rPr>
          <w:rFonts w:ascii="Times New Roman" w:hAnsi="Times New Roman"/>
        </w:rPr>
        <w:t xml:space="preserve">A notice seeking public comment for a 60-day period was published in the </w:t>
      </w:r>
      <w:r w:rsidRPr="00CF34FA">
        <w:rPr>
          <w:rFonts w:ascii="Times New Roman" w:hAnsi="Times New Roman"/>
          <w:i/>
        </w:rPr>
        <w:t>Federal Register</w:t>
      </w:r>
      <w:r w:rsidRPr="00CF34FA">
        <w:rPr>
          <w:rFonts w:ascii="Times New Roman" w:hAnsi="Times New Roman"/>
        </w:rPr>
        <w:t xml:space="preserve"> on </w:t>
      </w:r>
      <w:r w:rsidR="008E47C7">
        <w:rPr>
          <w:rFonts w:ascii="Times New Roman" w:hAnsi="Times New Roman"/>
        </w:rPr>
        <w:t>April 13</w:t>
      </w:r>
      <w:r w:rsidRPr="00CF34FA">
        <w:rPr>
          <w:rFonts w:ascii="Times New Roman" w:hAnsi="Times New Roman"/>
        </w:rPr>
        <w:t xml:space="preserve">, 2021 (86 FR </w:t>
      </w:r>
      <w:r w:rsidR="008E47C7">
        <w:rPr>
          <w:rFonts w:ascii="Times New Roman" w:hAnsi="Times New Roman"/>
        </w:rPr>
        <w:t>19265</w:t>
      </w:r>
      <w:r w:rsidRPr="00CF34FA">
        <w:rPr>
          <w:rFonts w:ascii="Times New Roman" w:hAnsi="Times New Roman"/>
        </w:rPr>
        <w:t xml:space="preserve">).  No comments were received. </w:t>
      </w:r>
    </w:p>
    <w:p w:rsidRPr="00CF34FA" w:rsidR="00994EDE" w:rsidRDefault="00994EDE" w14:paraId="0CDA2D3E"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290659C6" w14:textId="77777777">
      <w:pPr>
        <w:keepNext/>
        <w:keepLines/>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9.</w:t>
      </w:r>
      <w:r w:rsidRPr="00CF34FA">
        <w:rPr>
          <w:rFonts w:ascii="Times New Roman" w:hAnsi="Times New Roman"/>
        </w:rPr>
        <w:tab/>
      </w:r>
      <w:r w:rsidRPr="00CF34FA" w:rsidR="002701C6">
        <w:rPr>
          <w:rFonts w:ascii="Times New Roman" w:hAnsi="Times New Roman"/>
          <w:u w:val="single"/>
        </w:rPr>
        <w:t>Payment or g</w:t>
      </w:r>
      <w:r w:rsidRPr="00CF34FA">
        <w:rPr>
          <w:rFonts w:ascii="Times New Roman" w:hAnsi="Times New Roman"/>
          <w:u w:val="single"/>
        </w:rPr>
        <w:t>ift</w:t>
      </w:r>
      <w:r w:rsidRPr="00CF34FA" w:rsidR="002701C6">
        <w:rPr>
          <w:rFonts w:ascii="Times New Roman" w:hAnsi="Times New Roman"/>
          <w:u w:val="single"/>
        </w:rPr>
        <w:t>s to r</w:t>
      </w:r>
      <w:r w:rsidRPr="00CF34FA">
        <w:rPr>
          <w:rFonts w:ascii="Times New Roman" w:hAnsi="Times New Roman"/>
          <w:u w:val="single"/>
        </w:rPr>
        <w:t>espondents</w:t>
      </w:r>
      <w:r w:rsidRPr="00CF34FA" w:rsidR="002701C6">
        <w:rPr>
          <w:rFonts w:ascii="Times New Roman" w:hAnsi="Times New Roman"/>
          <w:u w:val="single"/>
        </w:rPr>
        <w:t>:</w:t>
      </w:r>
    </w:p>
    <w:p w:rsidRPr="00CF34FA" w:rsidR="00994EDE" w:rsidRDefault="00994EDE" w14:paraId="73AEC7E2"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133729D5" w14:textId="77777777">
      <w:pPr>
        <w:keepLines/>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None.</w:t>
      </w:r>
    </w:p>
    <w:p w:rsidRPr="00CF34FA" w:rsidR="00994EDE" w:rsidRDefault="00994EDE" w14:paraId="464C8641"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00C73619" w14:textId="77777777">
      <w:pPr>
        <w:keepNext/>
        <w:keepLines/>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lastRenderedPageBreak/>
        <w:t>10.</w:t>
      </w:r>
      <w:r w:rsidRPr="00CF34FA">
        <w:rPr>
          <w:rFonts w:ascii="Times New Roman" w:hAnsi="Times New Roman"/>
        </w:rPr>
        <w:tab/>
      </w:r>
      <w:r w:rsidRPr="00CF34FA" w:rsidR="002701C6">
        <w:rPr>
          <w:rFonts w:ascii="Times New Roman" w:hAnsi="Times New Roman"/>
          <w:u w:val="single"/>
        </w:rPr>
        <w:t>Any assurance of confidentiality:</w:t>
      </w:r>
    </w:p>
    <w:p w:rsidRPr="00CF34FA" w:rsidR="00994EDE" w:rsidRDefault="00994EDE" w14:paraId="7572FF52"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1C7588" w14:paraId="57B9ED5E" w14:textId="77777777">
      <w:pPr>
        <w:keepNext/>
        <w:keepLines/>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The information reported is kept private to the extent allowed by law. Any information deemed to be of a confidential nature is exempt from public disclosure in accordance with the provisions of the Freedom of Information Act (5 U.S.C. 552).</w:t>
      </w:r>
    </w:p>
    <w:p w:rsidRPr="00CF34FA" w:rsidR="00994EDE" w:rsidRDefault="00994EDE" w14:paraId="12D408D7" w14:textId="77777777">
      <w:pPr>
        <w:widowControl/>
        <w:tabs>
          <w:tab w:val="left" w:pos="288"/>
          <w:tab w:val="left" w:pos="1008"/>
          <w:tab w:val="left" w:pos="1728"/>
          <w:tab w:val="left" w:pos="2448"/>
          <w:tab w:val="left" w:pos="3168"/>
          <w:tab w:val="left" w:pos="3888"/>
        </w:tabs>
        <w:ind w:firstLine="288"/>
        <w:rPr>
          <w:rFonts w:ascii="Times New Roman" w:hAnsi="Times New Roman"/>
        </w:rPr>
      </w:pPr>
    </w:p>
    <w:p w:rsidRPr="00CF34FA" w:rsidR="00994EDE" w:rsidRDefault="00994EDE" w14:paraId="6B63E3D7"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11.</w:t>
      </w:r>
      <w:r w:rsidRPr="00CF34FA">
        <w:rPr>
          <w:rFonts w:ascii="Times New Roman" w:hAnsi="Times New Roman"/>
        </w:rPr>
        <w:tab/>
      </w:r>
      <w:r w:rsidRPr="00CF34FA" w:rsidR="002701C6">
        <w:rPr>
          <w:rFonts w:ascii="Times New Roman" w:hAnsi="Times New Roman"/>
          <w:u w:val="single"/>
        </w:rPr>
        <w:t>Justification for questions of a sensitive nature:</w:t>
      </w:r>
    </w:p>
    <w:p w:rsidRPr="00CF34FA" w:rsidR="00994EDE" w:rsidRDefault="00994EDE" w14:paraId="722890BC" w14:textId="77777777">
      <w:pPr>
        <w:widowControl/>
        <w:tabs>
          <w:tab w:val="left" w:pos="288"/>
          <w:tab w:val="left" w:pos="1008"/>
          <w:tab w:val="left" w:pos="1728"/>
          <w:tab w:val="left" w:pos="2448"/>
          <w:tab w:val="left" w:pos="3168"/>
          <w:tab w:val="left" w:pos="3888"/>
        </w:tabs>
        <w:rPr>
          <w:rFonts w:ascii="Times New Roman" w:hAnsi="Times New Roman"/>
        </w:rPr>
      </w:pPr>
    </w:p>
    <w:p w:rsidRPr="008E47C7" w:rsidR="008E47C7" w:rsidP="008E47C7" w:rsidRDefault="008E47C7" w14:paraId="7554E29A" w14:textId="77777777">
      <w:pPr>
        <w:widowControl/>
        <w:tabs>
          <w:tab w:val="left" w:pos="288"/>
          <w:tab w:val="left" w:pos="1008"/>
          <w:tab w:val="left" w:pos="1728"/>
          <w:tab w:val="left" w:pos="2448"/>
          <w:tab w:val="left" w:pos="3168"/>
          <w:tab w:val="left" w:pos="3888"/>
        </w:tabs>
        <w:ind w:left="1008"/>
        <w:rPr>
          <w:rFonts w:ascii="Times New Roman" w:hAnsi="Times New Roman"/>
        </w:rPr>
      </w:pPr>
      <w:r w:rsidRPr="008E47C7">
        <w:rPr>
          <w:rFonts w:ascii="Times New Roman" w:hAnsi="Times New Roman"/>
        </w:rPr>
        <w:t>The report requires an individual who will be involved in the management or control of financial institutions to provide sensitive information to the FDIC.  This information includes Personally Identifiable Information</w:t>
      </w:r>
      <w:bookmarkStart w:name="_DV_M1" w:id="0"/>
      <w:bookmarkStart w:name="_DV_M2" w:id="1"/>
      <w:bookmarkEnd w:id="0"/>
      <w:bookmarkEnd w:id="1"/>
      <w:r w:rsidRPr="008E47C7">
        <w:rPr>
          <w:rFonts w:ascii="Times New Roman" w:hAnsi="Times New Roman"/>
          <w:vertAlign w:val="superscript"/>
        </w:rPr>
        <w:footnoteReference w:id="1"/>
      </w:r>
      <w:r w:rsidRPr="008E47C7">
        <w:rPr>
          <w:rFonts w:ascii="Times New Roman" w:hAnsi="Times New Roman"/>
        </w:rPr>
        <w:t xml:space="preserve">, including name, address, telephone number, date of birth and social security number.  This information is necessary to assist the FDIC in its evaluation of the general character and financial condition of the individual.    </w:t>
      </w:r>
    </w:p>
    <w:p w:rsidRPr="008E47C7" w:rsidR="008E47C7" w:rsidP="008E47C7" w:rsidRDefault="008E47C7" w14:paraId="54861D4A" w14:textId="77777777">
      <w:pPr>
        <w:widowControl/>
        <w:tabs>
          <w:tab w:val="left" w:pos="288"/>
          <w:tab w:val="left" w:pos="1008"/>
          <w:tab w:val="left" w:pos="1728"/>
          <w:tab w:val="left" w:pos="2448"/>
          <w:tab w:val="left" w:pos="3168"/>
          <w:tab w:val="left" w:pos="3888"/>
        </w:tabs>
        <w:ind w:left="1008"/>
        <w:rPr>
          <w:rFonts w:ascii="Times New Roman" w:hAnsi="Times New Roman"/>
        </w:rPr>
      </w:pPr>
    </w:p>
    <w:p w:rsidRPr="00CF34FA" w:rsidR="00994EDE" w:rsidP="008E47C7" w:rsidRDefault="008E47C7" w14:paraId="19457037" w14:textId="381E76BA">
      <w:pPr>
        <w:widowControl/>
        <w:tabs>
          <w:tab w:val="left" w:pos="288"/>
          <w:tab w:val="left" w:pos="1008"/>
          <w:tab w:val="left" w:pos="1728"/>
          <w:tab w:val="left" w:pos="2448"/>
          <w:tab w:val="left" w:pos="3168"/>
          <w:tab w:val="left" w:pos="3888"/>
        </w:tabs>
        <w:ind w:left="1008"/>
        <w:rPr>
          <w:rFonts w:ascii="Times New Roman" w:hAnsi="Times New Roman"/>
        </w:rPr>
      </w:pPr>
      <w:r w:rsidRPr="008E47C7">
        <w:rPr>
          <w:rFonts w:ascii="Times New Roman" w:hAnsi="Times New Roman"/>
        </w:rPr>
        <w:t xml:space="preserve">The Systems of Records Notice associated with this collection may be viewed at the following link: </w:t>
      </w:r>
      <w:hyperlink w:history="1" w:anchor="fdic200030--64--0002" r:id="rId8">
        <w:r w:rsidRPr="008E47C7">
          <w:rPr>
            <w:rStyle w:val="Hyperlink"/>
            <w:rFonts w:ascii="Times New Roman" w:hAnsi="Times New Roman"/>
          </w:rPr>
          <w:t>https://www.fdic.gov/regulations/laws/rules/2000-4000.html#fdic200030--64--0002</w:t>
        </w:r>
      </w:hyperlink>
      <w:r w:rsidRPr="008E47C7">
        <w:rPr>
          <w:rFonts w:ascii="Times New Roman" w:hAnsi="Times New Roman"/>
        </w:rPr>
        <w:t xml:space="preserve">.  The applicable Privacy Impact Assessment is available at </w:t>
      </w:r>
      <w:hyperlink w:history="1" r:id="rId9">
        <w:r w:rsidRPr="008E47C7">
          <w:rPr>
            <w:rStyle w:val="Hyperlink"/>
            <w:rFonts w:ascii="Times New Roman" w:hAnsi="Times New Roman"/>
          </w:rPr>
          <w:t>https://www.fdic.gov/about/privacy/assessments.html</w:t>
        </w:r>
      </w:hyperlink>
      <w:r w:rsidRPr="008E47C7">
        <w:rPr>
          <w:rFonts w:ascii="Times New Roman" w:hAnsi="Times New Roman"/>
          <w:u w:val="single"/>
        </w:rPr>
        <w:t>.</w:t>
      </w:r>
    </w:p>
    <w:p w:rsidRPr="00CF34FA" w:rsidR="00994EDE" w:rsidRDefault="00994EDE" w14:paraId="17EEA175" w14:textId="77777777">
      <w:pPr>
        <w:widowControl/>
        <w:tabs>
          <w:tab w:val="left" w:pos="288"/>
          <w:tab w:val="left" w:pos="1008"/>
          <w:tab w:val="left" w:pos="1728"/>
          <w:tab w:val="left" w:pos="2448"/>
          <w:tab w:val="left" w:pos="3168"/>
          <w:tab w:val="left" w:pos="3888"/>
        </w:tabs>
        <w:rPr>
          <w:rFonts w:ascii="Times New Roman" w:hAnsi="Times New Roman"/>
        </w:rPr>
      </w:pPr>
    </w:p>
    <w:p w:rsidRPr="00CF34FA" w:rsidR="00994EDE" w:rsidRDefault="00994EDE" w14:paraId="38B4D72D" w14:textId="77777777">
      <w:pPr>
        <w:widowControl/>
        <w:tabs>
          <w:tab w:val="left" w:pos="288"/>
          <w:tab w:val="left" w:pos="1008"/>
          <w:tab w:val="left" w:pos="1728"/>
          <w:tab w:val="left" w:pos="2448"/>
          <w:tab w:val="left" w:pos="3168"/>
          <w:tab w:val="left" w:pos="3888"/>
        </w:tabs>
        <w:ind w:firstLine="288"/>
        <w:rPr>
          <w:rFonts w:ascii="Times New Roman" w:hAnsi="Times New Roman"/>
          <w:u w:val="single"/>
        </w:rPr>
      </w:pPr>
      <w:r w:rsidRPr="00CF34FA">
        <w:rPr>
          <w:rFonts w:ascii="Times New Roman" w:hAnsi="Times New Roman"/>
        </w:rPr>
        <w:t>12.</w:t>
      </w:r>
      <w:r w:rsidRPr="00CF34FA">
        <w:rPr>
          <w:rFonts w:ascii="Times New Roman" w:hAnsi="Times New Roman"/>
        </w:rPr>
        <w:tab/>
      </w:r>
      <w:r w:rsidRPr="00AA7C8E" w:rsidR="001C7588">
        <w:rPr>
          <w:rFonts w:ascii="Times New Roman" w:hAnsi="Times New Roman"/>
          <w:u w:val="single"/>
        </w:rPr>
        <w:t xml:space="preserve">Estimate of </w:t>
      </w:r>
      <w:r w:rsidRPr="00AA7C8E" w:rsidR="002701C6">
        <w:rPr>
          <w:rFonts w:ascii="Times New Roman" w:hAnsi="Times New Roman"/>
          <w:u w:val="single"/>
        </w:rPr>
        <w:t>hour b</w:t>
      </w:r>
      <w:r w:rsidRPr="00AA7C8E">
        <w:rPr>
          <w:rFonts w:ascii="Times New Roman" w:hAnsi="Times New Roman"/>
          <w:u w:val="single"/>
        </w:rPr>
        <w:t>urden</w:t>
      </w:r>
      <w:r w:rsidRPr="00AA7C8E" w:rsidR="002701C6">
        <w:rPr>
          <w:rFonts w:ascii="Times New Roman" w:hAnsi="Times New Roman"/>
          <w:u w:val="single"/>
        </w:rPr>
        <w:t xml:space="preserve"> including annualized hourly costs:</w:t>
      </w:r>
    </w:p>
    <w:p w:rsidRPr="00CF34FA" w:rsidR="00FC035F" w:rsidRDefault="00FC035F" w14:paraId="0CAFB2BE" w14:textId="77777777">
      <w:pPr>
        <w:widowControl/>
        <w:tabs>
          <w:tab w:val="left" w:pos="288"/>
          <w:tab w:val="left" w:pos="1008"/>
          <w:tab w:val="left" w:pos="1728"/>
          <w:tab w:val="left" w:pos="2448"/>
          <w:tab w:val="left" w:pos="3168"/>
          <w:tab w:val="left" w:pos="3888"/>
        </w:tabs>
        <w:ind w:firstLine="288"/>
        <w:rPr>
          <w:rFonts w:ascii="Times New Roman" w:hAnsi="Times New Roman"/>
          <w:u w:val="single"/>
        </w:rPr>
      </w:pPr>
    </w:p>
    <w:p w:rsidRPr="00CF34FA" w:rsidR="00994EDE" w:rsidRDefault="00994EDE" w14:paraId="2F9C2A48"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tbl>
      <w:tblPr>
        <w:tblW w:w="9530" w:type="dxa"/>
        <w:tblLook w:val="04A0" w:firstRow="1" w:lastRow="0" w:firstColumn="1" w:lastColumn="0" w:noHBand="0" w:noVBand="1"/>
      </w:tblPr>
      <w:tblGrid>
        <w:gridCol w:w="2621"/>
        <w:gridCol w:w="1477"/>
        <w:gridCol w:w="1027"/>
        <w:gridCol w:w="1260"/>
        <w:gridCol w:w="1230"/>
        <w:gridCol w:w="1035"/>
        <w:gridCol w:w="880"/>
      </w:tblGrid>
      <w:tr w:rsidRPr="00CF34FA" w:rsidR="00FC035F" w:rsidTr="009350E1" w14:paraId="731F4CE8" w14:textId="77777777">
        <w:trPr>
          <w:trHeight w:val="432"/>
        </w:trPr>
        <w:tc>
          <w:tcPr>
            <w:tcW w:w="953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CF34FA" w:rsidR="00FC035F" w:rsidP="008E47C7" w:rsidRDefault="00FC035F" w14:paraId="150EC81A" w14:textId="7F8FB79F">
            <w:pPr>
              <w:widowControl/>
              <w:jc w:val="center"/>
              <w:rPr>
                <w:rFonts w:ascii="Times New Roman" w:hAnsi="Times New Roman"/>
                <w:snapToGrid/>
                <w:color w:val="000000"/>
                <w:sz w:val="18"/>
                <w:szCs w:val="18"/>
              </w:rPr>
            </w:pPr>
            <w:r w:rsidRPr="00CF34FA">
              <w:rPr>
                <w:rFonts w:ascii="Times New Roman" w:hAnsi="Times New Roman"/>
                <w:b/>
                <w:bCs/>
                <w:snapToGrid/>
                <w:color w:val="000000"/>
                <w:sz w:val="20"/>
              </w:rPr>
              <w:t xml:space="preserve"> Summary of Estimated Annual Burdens (OMB No. 3064-0</w:t>
            </w:r>
            <w:r w:rsidR="008E47C7">
              <w:rPr>
                <w:rFonts w:ascii="Times New Roman" w:hAnsi="Times New Roman"/>
                <w:b/>
                <w:bCs/>
                <w:snapToGrid/>
                <w:color w:val="000000"/>
                <w:sz w:val="20"/>
              </w:rPr>
              <w:t>006</w:t>
            </w:r>
            <w:r w:rsidRPr="00CF34FA">
              <w:rPr>
                <w:rFonts w:ascii="Times New Roman" w:hAnsi="Times New Roman"/>
                <w:b/>
                <w:bCs/>
                <w:snapToGrid/>
                <w:color w:val="000000"/>
                <w:sz w:val="20"/>
              </w:rPr>
              <w:t>)</w:t>
            </w:r>
          </w:p>
        </w:tc>
      </w:tr>
      <w:tr w:rsidRPr="00CF34FA" w:rsidR="00FC035F" w:rsidTr="009350E1" w14:paraId="09BED8D0" w14:textId="77777777">
        <w:trPr>
          <w:trHeight w:val="1056"/>
        </w:trPr>
        <w:tc>
          <w:tcPr>
            <w:tcW w:w="2621" w:type="dxa"/>
            <w:tcBorders>
              <w:top w:val="nil"/>
              <w:left w:val="single" w:color="auto" w:sz="4" w:space="0"/>
              <w:bottom w:val="single" w:color="auto" w:sz="4" w:space="0"/>
              <w:right w:val="single" w:color="auto" w:sz="4" w:space="0"/>
            </w:tcBorders>
            <w:shd w:val="clear" w:color="auto" w:fill="auto"/>
            <w:vAlign w:val="center"/>
            <w:hideMark/>
          </w:tcPr>
          <w:p w:rsidRPr="00CF34FA" w:rsidR="00FC035F" w:rsidP="00FC035F" w:rsidRDefault="00FC035F" w14:paraId="12D65AB8" w14:textId="77777777">
            <w:pPr>
              <w:widowControl/>
              <w:rPr>
                <w:rFonts w:ascii="Times New Roman" w:hAnsi="Times New Roman"/>
                <w:snapToGrid/>
                <w:color w:val="000000"/>
                <w:sz w:val="18"/>
                <w:szCs w:val="18"/>
              </w:rPr>
            </w:pPr>
            <w:r w:rsidRPr="00CF34FA">
              <w:rPr>
                <w:rFonts w:ascii="Times New Roman" w:hAnsi="Times New Roman"/>
                <w:snapToGrid/>
                <w:color w:val="000000"/>
                <w:sz w:val="18"/>
                <w:szCs w:val="18"/>
              </w:rPr>
              <w:t>IC Description</w:t>
            </w:r>
          </w:p>
        </w:tc>
        <w:tc>
          <w:tcPr>
            <w:tcW w:w="1477" w:type="dxa"/>
            <w:tcBorders>
              <w:top w:val="nil"/>
              <w:left w:val="nil"/>
              <w:bottom w:val="single" w:color="auto" w:sz="4" w:space="0"/>
              <w:right w:val="single" w:color="auto" w:sz="4" w:space="0"/>
            </w:tcBorders>
            <w:shd w:val="clear" w:color="auto" w:fill="auto"/>
            <w:vAlign w:val="center"/>
            <w:hideMark/>
          </w:tcPr>
          <w:p w:rsidRPr="00CF34FA" w:rsidR="00FC035F" w:rsidP="00FC035F" w:rsidRDefault="00FC035F" w14:paraId="4462F0D4" w14:textId="77777777">
            <w:pPr>
              <w:widowControl/>
              <w:jc w:val="center"/>
              <w:rPr>
                <w:rFonts w:ascii="Times New Roman" w:hAnsi="Times New Roman"/>
                <w:snapToGrid/>
                <w:color w:val="000000"/>
                <w:sz w:val="18"/>
                <w:szCs w:val="18"/>
              </w:rPr>
            </w:pPr>
            <w:r w:rsidRPr="00CF34FA">
              <w:rPr>
                <w:rFonts w:ascii="Times New Roman" w:hAnsi="Times New Roman"/>
                <w:snapToGrid/>
                <w:color w:val="000000"/>
                <w:sz w:val="18"/>
                <w:szCs w:val="18"/>
              </w:rPr>
              <w:t>Type of Burden (Obligation to Respond)</w:t>
            </w:r>
          </w:p>
        </w:tc>
        <w:tc>
          <w:tcPr>
            <w:tcW w:w="1027" w:type="dxa"/>
            <w:tcBorders>
              <w:top w:val="nil"/>
              <w:left w:val="nil"/>
              <w:bottom w:val="single" w:color="auto" w:sz="4" w:space="0"/>
              <w:right w:val="single" w:color="auto" w:sz="4" w:space="0"/>
            </w:tcBorders>
            <w:vAlign w:val="center"/>
          </w:tcPr>
          <w:p w:rsidRPr="00CF34FA" w:rsidR="00FC035F" w:rsidP="00FC035F" w:rsidRDefault="00FC035F" w14:paraId="22BDC065" w14:textId="77777777">
            <w:pPr>
              <w:widowControl/>
              <w:jc w:val="center"/>
              <w:rPr>
                <w:rFonts w:ascii="Times New Roman" w:hAnsi="Times New Roman"/>
                <w:snapToGrid/>
                <w:color w:val="000000"/>
                <w:sz w:val="18"/>
                <w:szCs w:val="18"/>
              </w:rPr>
            </w:pPr>
            <w:r w:rsidRPr="00CF34FA">
              <w:rPr>
                <w:rFonts w:ascii="Times New Roman" w:hAnsi="Times New Roman"/>
                <w:snapToGrid/>
                <w:color w:val="000000"/>
                <w:sz w:val="18"/>
                <w:szCs w:val="18"/>
              </w:rPr>
              <w:t>Frequency of Response</w:t>
            </w:r>
          </w:p>
        </w:tc>
        <w:tc>
          <w:tcPr>
            <w:tcW w:w="1260" w:type="dxa"/>
            <w:tcBorders>
              <w:top w:val="nil"/>
              <w:left w:val="single" w:color="auto" w:sz="4" w:space="0"/>
              <w:bottom w:val="single" w:color="auto" w:sz="4" w:space="0"/>
              <w:right w:val="single" w:color="auto" w:sz="4" w:space="0"/>
            </w:tcBorders>
            <w:shd w:val="clear" w:color="auto" w:fill="auto"/>
            <w:vAlign w:val="center"/>
            <w:hideMark/>
          </w:tcPr>
          <w:p w:rsidRPr="00CF34FA" w:rsidR="00FC035F" w:rsidP="00FC035F" w:rsidRDefault="00FC035F" w14:paraId="648AB230"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Number of Respondents</w:t>
            </w:r>
          </w:p>
        </w:tc>
        <w:tc>
          <w:tcPr>
            <w:tcW w:w="1230" w:type="dxa"/>
            <w:tcBorders>
              <w:top w:val="nil"/>
              <w:left w:val="nil"/>
              <w:bottom w:val="single" w:color="auto" w:sz="4" w:space="0"/>
              <w:right w:val="single" w:color="auto" w:sz="4" w:space="0"/>
            </w:tcBorders>
            <w:shd w:val="clear" w:color="auto" w:fill="auto"/>
            <w:vAlign w:val="center"/>
            <w:hideMark/>
          </w:tcPr>
          <w:p w:rsidRPr="00CF34FA" w:rsidR="00FC035F" w:rsidP="00FC035F" w:rsidRDefault="00FC035F" w14:paraId="37E2D0ED"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Number of Responses / Respondent</w:t>
            </w:r>
          </w:p>
        </w:tc>
        <w:tc>
          <w:tcPr>
            <w:tcW w:w="1035" w:type="dxa"/>
            <w:tcBorders>
              <w:top w:val="nil"/>
              <w:left w:val="nil"/>
              <w:bottom w:val="single" w:color="auto" w:sz="4" w:space="0"/>
              <w:right w:val="single" w:color="auto" w:sz="4" w:space="0"/>
            </w:tcBorders>
            <w:shd w:val="clear" w:color="auto" w:fill="auto"/>
            <w:vAlign w:val="center"/>
            <w:hideMark/>
          </w:tcPr>
          <w:p w:rsidRPr="00CF34FA" w:rsidR="00FC035F" w:rsidP="00FC035F" w:rsidRDefault="00FC035F" w14:paraId="1375E6BF"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 xml:space="preserve">Hours per Response </w:t>
            </w:r>
          </w:p>
        </w:tc>
        <w:tc>
          <w:tcPr>
            <w:tcW w:w="880" w:type="dxa"/>
            <w:tcBorders>
              <w:top w:val="nil"/>
              <w:left w:val="nil"/>
              <w:bottom w:val="single" w:color="auto" w:sz="4" w:space="0"/>
              <w:right w:val="single" w:color="auto" w:sz="4" w:space="0"/>
            </w:tcBorders>
            <w:shd w:val="clear" w:color="auto" w:fill="auto"/>
            <w:vAlign w:val="center"/>
            <w:hideMark/>
          </w:tcPr>
          <w:p w:rsidRPr="00CF34FA" w:rsidR="00FC035F" w:rsidP="00FC035F" w:rsidRDefault="00FC035F" w14:paraId="2D21EE47"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Annual Burden (Hours)</w:t>
            </w:r>
          </w:p>
        </w:tc>
      </w:tr>
      <w:tr w:rsidRPr="00CF34FA" w:rsidR="00FC035F" w:rsidTr="009350E1" w14:paraId="3B1A34FF" w14:textId="77777777">
        <w:trPr>
          <w:trHeight w:val="288"/>
        </w:trPr>
        <w:tc>
          <w:tcPr>
            <w:tcW w:w="2621" w:type="dxa"/>
            <w:tcBorders>
              <w:top w:val="nil"/>
              <w:left w:val="single" w:color="auto" w:sz="4" w:space="0"/>
              <w:bottom w:val="single" w:color="auto" w:sz="4" w:space="0"/>
              <w:right w:val="single" w:color="auto" w:sz="4" w:space="0"/>
            </w:tcBorders>
            <w:shd w:val="clear" w:color="auto" w:fill="auto"/>
            <w:vAlign w:val="center"/>
            <w:hideMark/>
          </w:tcPr>
          <w:p w:rsidRPr="00CF34FA" w:rsidR="00FC035F" w:rsidP="00FC035F" w:rsidRDefault="00AA7C8E" w14:paraId="79904DD2" w14:textId="445D4AD7">
            <w:pPr>
              <w:widowControl/>
              <w:rPr>
                <w:rFonts w:ascii="Times New Roman" w:hAnsi="Times New Roman" w:eastAsia="Source Sans Pro"/>
                <w:snapToGrid/>
                <w:color w:val="000000"/>
                <w:sz w:val="18"/>
                <w:szCs w:val="18"/>
                <w:lang w:bidi="en-US"/>
              </w:rPr>
            </w:pPr>
            <w:r>
              <w:rPr>
                <w:rFonts w:ascii="Times New Roman" w:hAnsi="Times New Roman" w:eastAsia="Source Sans Pro"/>
                <w:snapToGrid/>
                <w:color w:val="000000"/>
                <w:sz w:val="18"/>
                <w:szCs w:val="18"/>
                <w:lang w:bidi="en-US"/>
              </w:rPr>
              <w:t>Interagency Biographical and Financial Report</w:t>
            </w:r>
          </w:p>
        </w:tc>
        <w:tc>
          <w:tcPr>
            <w:tcW w:w="1477" w:type="dxa"/>
            <w:tcBorders>
              <w:top w:val="nil"/>
              <w:left w:val="nil"/>
              <w:bottom w:val="single" w:color="auto" w:sz="4" w:space="0"/>
              <w:right w:val="single" w:color="auto" w:sz="4" w:space="0"/>
            </w:tcBorders>
            <w:shd w:val="clear" w:color="auto" w:fill="auto"/>
            <w:noWrap/>
            <w:vAlign w:val="center"/>
            <w:hideMark/>
          </w:tcPr>
          <w:p w:rsidRPr="00CF34FA" w:rsidR="00FC035F" w:rsidP="00AA7C8E" w:rsidRDefault="00FC035F" w14:paraId="30065C37" w14:textId="7CD95465">
            <w:pPr>
              <w:widowControl/>
              <w:jc w:val="center"/>
              <w:rPr>
                <w:rFonts w:ascii="Times New Roman" w:hAnsi="Times New Roman" w:eastAsia="Source Sans Pro"/>
                <w:snapToGrid/>
                <w:color w:val="000000"/>
                <w:sz w:val="18"/>
                <w:szCs w:val="18"/>
              </w:rPr>
            </w:pPr>
            <w:r w:rsidRPr="00CF34FA">
              <w:rPr>
                <w:rFonts w:ascii="Times New Roman" w:hAnsi="Times New Roman" w:eastAsia="Source Sans Pro"/>
                <w:snapToGrid/>
                <w:color w:val="000000"/>
                <w:sz w:val="18"/>
                <w:szCs w:val="18"/>
                <w:lang w:bidi="en-US"/>
              </w:rPr>
              <w:t>Re</w:t>
            </w:r>
            <w:r w:rsidR="00AA7C8E">
              <w:rPr>
                <w:rFonts w:ascii="Times New Roman" w:hAnsi="Times New Roman" w:eastAsia="Source Sans Pro"/>
                <w:snapToGrid/>
                <w:color w:val="000000"/>
                <w:sz w:val="18"/>
                <w:szCs w:val="18"/>
                <w:lang w:bidi="en-US"/>
              </w:rPr>
              <w:t>porting</w:t>
            </w:r>
            <w:r w:rsidRPr="00CF34FA">
              <w:rPr>
                <w:rFonts w:ascii="Times New Roman" w:hAnsi="Times New Roman" w:eastAsia="Source Sans Pro"/>
                <w:snapToGrid/>
                <w:color w:val="000000"/>
                <w:sz w:val="18"/>
                <w:szCs w:val="18"/>
                <w:lang w:bidi="en-US"/>
              </w:rPr>
              <w:t xml:space="preserve"> (Mandatory)</w:t>
            </w:r>
          </w:p>
        </w:tc>
        <w:tc>
          <w:tcPr>
            <w:tcW w:w="1027" w:type="dxa"/>
            <w:tcBorders>
              <w:top w:val="single" w:color="auto" w:sz="4" w:space="0"/>
              <w:left w:val="nil"/>
              <w:bottom w:val="single" w:color="auto" w:sz="4" w:space="0"/>
              <w:right w:val="single" w:color="auto" w:sz="4" w:space="0"/>
            </w:tcBorders>
            <w:vAlign w:val="center"/>
          </w:tcPr>
          <w:p w:rsidRPr="00CF34FA" w:rsidR="00FC035F" w:rsidP="00FC035F" w:rsidRDefault="00FC035F" w14:paraId="7F0C653F" w14:textId="77777777">
            <w:pPr>
              <w:widowControl/>
              <w:jc w:val="center"/>
              <w:rPr>
                <w:rFonts w:ascii="Times New Roman" w:hAnsi="Times New Roman" w:eastAsia="Source Sans Pro"/>
                <w:snapToGrid/>
                <w:color w:val="000000"/>
                <w:sz w:val="18"/>
                <w:szCs w:val="18"/>
                <w:lang w:bidi="en-US"/>
              </w:rPr>
            </w:pPr>
            <w:r w:rsidRPr="00CF34FA">
              <w:rPr>
                <w:rFonts w:ascii="Times New Roman" w:hAnsi="Times New Roman" w:eastAsia="Source Sans Pro"/>
                <w:snapToGrid/>
                <w:color w:val="000000"/>
                <w:sz w:val="18"/>
                <w:szCs w:val="18"/>
                <w:lang w:bidi="en-US"/>
              </w:rPr>
              <w:t>On occasion</w:t>
            </w:r>
          </w:p>
        </w:tc>
        <w:tc>
          <w:tcPr>
            <w:tcW w:w="1260" w:type="dxa"/>
            <w:tcBorders>
              <w:top w:val="nil"/>
              <w:left w:val="single" w:color="auto" w:sz="4" w:space="0"/>
              <w:bottom w:val="single" w:color="auto" w:sz="4" w:space="0"/>
              <w:right w:val="single" w:color="auto" w:sz="4" w:space="0"/>
            </w:tcBorders>
            <w:shd w:val="clear" w:color="auto" w:fill="auto"/>
            <w:noWrap/>
            <w:vAlign w:val="center"/>
            <w:hideMark/>
          </w:tcPr>
          <w:p w:rsidRPr="00CF34FA" w:rsidR="00FC035F" w:rsidP="00AA7C8E" w:rsidRDefault="00AA7C8E" w14:paraId="199515BB" w14:textId="4FC0853A">
            <w:pPr>
              <w:widowControl/>
              <w:jc w:val="center"/>
              <w:rPr>
                <w:rFonts w:ascii="Times New Roman" w:hAnsi="Times New Roman" w:eastAsia="Source Sans Pro"/>
                <w:snapToGrid/>
                <w:color w:val="000000"/>
                <w:sz w:val="18"/>
                <w:szCs w:val="18"/>
              </w:rPr>
            </w:pPr>
            <w:r>
              <w:rPr>
                <w:rFonts w:ascii="Times New Roman" w:hAnsi="Times New Roman" w:eastAsia="Source Sans Pro"/>
                <w:snapToGrid/>
                <w:color w:val="000000"/>
                <w:sz w:val="18"/>
                <w:szCs w:val="18"/>
              </w:rPr>
              <w:t>514</w:t>
            </w:r>
          </w:p>
        </w:tc>
        <w:tc>
          <w:tcPr>
            <w:tcW w:w="1230" w:type="dxa"/>
            <w:tcBorders>
              <w:top w:val="nil"/>
              <w:left w:val="nil"/>
              <w:bottom w:val="single" w:color="auto" w:sz="4" w:space="0"/>
              <w:right w:val="single" w:color="auto" w:sz="4" w:space="0"/>
            </w:tcBorders>
            <w:shd w:val="clear" w:color="auto" w:fill="auto"/>
            <w:noWrap/>
            <w:vAlign w:val="center"/>
            <w:hideMark/>
          </w:tcPr>
          <w:p w:rsidRPr="00CF34FA" w:rsidR="00FC035F" w:rsidP="00AA7C8E" w:rsidRDefault="00AA7C8E" w14:paraId="076F5385" w14:textId="21569A1E">
            <w:pPr>
              <w:widowControl/>
              <w:jc w:val="center"/>
              <w:rPr>
                <w:rFonts w:ascii="Times New Roman" w:hAnsi="Times New Roman" w:eastAsia="Source Sans Pro"/>
                <w:snapToGrid/>
                <w:color w:val="000000"/>
                <w:sz w:val="18"/>
                <w:szCs w:val="18"/>
              </w:rPr>
            </w:pPr>
            <w:r>
              <w:rPr>
                <w:rFonts w:ascii="Times New Roman" w:hAnsi="Times New Roman" w:eastAsia="Source Sans Pro"/>
                <w:snapToGrid/>
                <w:color w:val="000000"/>
                <w:sz w:val="18"/>
                <w:szCs w:val="18"/>
              </w:rPr>
              <w:t>1</w:t>
            </w:r>
          </w:p>
        </w:tc>
        <w:tc>
          <w:tcPr>
            <w:tcW w:w="1035" w:type="dxa"/>
            <w:tcBorders>
              <w:top w:val="nil"/>
              <w:left w:val="nil"/>
              <w:bottom w:val="single" w:color="auto" w:sz="4" w:space="0"/>
              <w:right w:val="single" w:color="auto" w:sz="4" w:space="0"/>
            </w:tcBorders>
            <w:shd w:val="clear" w:color="auto" w:fill="auto"/>
            <w:noWrap/>
            <w:vAlign w:val="center"/>
            <w:hideMark/>
          </w:tcPr>
          <w:p w:rsidRPr="00CF34FA" w:rsidR="00FC035F" w:rsidP="00AA7C8E" w:rsidRDefault="00AA7C8E" w14:paraId="54E3CBB7" w14:textId="41AC6A45">
            <w:pPr>
              <w:widowControl/>
              <w:jc w:val="center"/>
              <w:rPr>
                <w:rFonts w:ascii="Times New Roman" w:hAnsi="Times New Roman" w:eastAsia="Source Sans Pro"/>
                <w:snapToGrid/>
                <w:color w:val="000000"/>
                <w:sz w:val="18"/>
                <w:szCs w:val="18"/>
              </w:rPr>
            </w:pPr>
            <w:r>
              <w:rPr>
                <w:rFonts w:ascii="Times New Roman" w:hAnsi="Times New Roman" w:eastAsia="Source Sans Pro"/>
                <w:snapToGrid/>
                <w:color w:val="000000"/>
                <w:sz w:val="18"/>
                <w:szCs w:val="18"/>
                <w:lang w:bidi="en-US"/>
              </w:rPr>
              <w:t>4.5</w:t>
            </w:r>
          </w:p>
        </w:tc>
        <w:tc>
          <w:tcPr>
            <w:tcW w:w="880" w:type="dxa"/>
            <w:tcBorders>
              <w:top w:val="nil"/>
              <w:left w:val="nil"/>
              <w:bottom w:val="single" w:color="auto" w:sz="4" w:space="0"/>
              <w:right w:val="single" w:color="auto" w:sz="4" w:space="0"/>
            </w:tcBorders>
            <w:shd w:val="clear" w:color="auto" w:fill="auto"/>
            <w:noWrap/>
            <w:vAlign w:val="center"/>
            <w:hideMark/>
          </w:tcPr>
          <w:p w:rsidRPr="00CF34FA" w:rsidR="00FC035F" w:rsidP="00AA7C8E" w:rsidRDefault="00AA7C8E" w14:paraId="420B0060" w14:textId="19998441">
            <w:pPr>
              <w:widowControl/>
              <w:jc w:val="center"/>
              <w:rPr>
                <w:rFonts w:ascii="Times New Roman" w:hAnsi="Times New Roman" w:eastAsia="Source Sans Pro"/>
                <w:snapToGrid/>
                <w:color w:val="000000"/>
                <w:sz w:val="18"/>
                <w:szCs w:val="18"/>
              </w:rPr>
            </w:pPr>
            <w:r>
              <w:rPr>
                <w:rFonts w:ascii="Times New Roman" w:hAnsi="Times New Roman" w:eastAsia="Source Sans Pro"/>
                <w:snapToGrid/>
                <w:color w:val="000000"/>
                <w:sz w:val="18"/>
                <w:szCs w:val="18"/>
              </w:rPr>
              <w:t>2,313</w:t>
            </w:r>
          </w:p>
        </w:tc>
      </w:tr>
      <w:tr w:rsidRPr="00CF34FA" w:rsidR="00FC035F" w:rsidTr="009350E1" w14:paraId="48401E70" w14:textId="77777777">
        <w:trPr>
          <w:trHeight w:val="288"/>
        </w:trPr>
        <w:tc>
          <w:tcPr>
            <w:tcW w:w="8650" w:type="dxa"/>
            <w:gridSpan w:val="6"/>
            <w:tcBorders>
              <w:top w:val="single" w:color="auto" w:sz="4" w:space="0"/>
              <w:left w:val="single" w:color="auto" w:sz="4" w:space="0"/>
              <w:bottom w:val="single" w:color="auto" w:sz="4" w:space="0"/>
            </w:tcBorders>
            <w:shd w:val="clear" w:color="auto" w:fill="auto"/>
            <w:vAlign w:val="center"/>
          </w:tcPr>
          <w:p w:rsidRPr="00CF34FA" w:rsidR="00FC035F" w:rsidP="00FC035F" w:rsidRDefault="00FC035F" w14:paraId="776FF778" w14:textId="77777777">
            <w:pPr>
              <w:widowControl/>
              <w:jc w:val="right"/>
              <w:rPr>
                <w:rFonts w:ascii="Times New Roman" w:hAnsi="Times New Roman" w:eastAsia="Source Sans Pro"/>
                <w:snapToGrid/>
                <w:color w:val="000000"/>
                <w:sz w:val="18"/>
                <w:szCs w:val="18"/>
                <w:lang w:bidi="en-US"/>
              </w:rPr>
            </w:pPr>
            <w:r w:rsidRPr="00CF34FA">
              <w:rPr>
                <w:rFonts w:ascii="Times New Roman" w:hAnsi="Times New Roman" w:eastAsia="Source Sans Pro"/>
                <w:snapToGrid/>
                <w:color w:val="000000"/>
                <w:sz w:val="18"/>
                <w:szCs w:val="18"/>
                <w:lang w:bidi="en-US"/>
              </w:rPr>
              <w:t>Total Annual Burden Hours:</w:t>
            </w:r>
          </w:p>
        </w:tc>
        <w:tc>
          <w:tcPr>
            <w:tcW w:w="880" w:type="dxa"/>
            <w:tcBorders>
              <w:top w:val="nil"/>
              <w:left w:val="nil"/>
              <w:bottom w:val="single" w:color="auto" w:sz="4" w:space="0"/>
              <w:right w:val="single" w:color="auto" w:sz="4" w:space="0"/>
            </w:tcBorders>
            <w:shd w:val="clear" w:color="auto" w:fill="auto"/>
            <w:noWrap/>
            <w:vAlign w:val="center"/>
          </w:tcPr>
          <w:p w:rsidRPr="00CF34FA" w:rsidR="00FC035F" w:rsidP="00FC035F" w:rsidRDefault="00AA7C8E" w14:paraId="1D75B8D2" w14:textId="436F3DBE">
            <w:pPr>
              <w:widowControl/>
              <w:jc w:val="right"/>
              <w:rPr>
                <w:rFonts w:ascii="Times New Roman" w:hAnsi="Times New Roman" w:eastAsia="Source Sans Pro"/>
                <w:snapToGrid/>
                <w:color w:val="000000"/>
                <w:sz w:val="18"/>
                <w:szCs w:val="18"/>
                <w:lang w:bidi="en-US"/>
              </w:rPr>
            </w:pPr>
            <w:r>
              <w:rPr>
                <w:rFonts w:ascii="Times New Roman" w:hAnsi="Times New Roman" w:eastAsia="Source Sans Pro"/>
                <w:snapToGrid/>
                <w:color w:val="000000"/>
                <w:sz w:val="18"/>
                <w:szCs w:val="18"/>
                <w:lang w:bidi="en-US"/>
              </w:rPr>
              <w:t>2,313</w:t>
            </w:r>
          </w:p>
        </w:tc>
      </w:tr>
      <w:tr w:rsidRPr="00CF34FA" w:rsidR="00FC035F" w:rsidTr="009350E1" w14:paraId="500676D7" w14:textId="77777777">
        <w:trPr>
          <w:trHeight w:val="288"/>
        </w:trPr>
        <w:tc>
          <w:tcPr>
            <w:tcW w:w="9530" w:type="dxa"/>
            <w:gridSpan w:val="7"/>
            <w:tcBorders>
              <w:top w:val="nil"/>
              <w:left w:val="single" w:color="auto" w:sz="4" w:space="0"/>
              <w:bottom w:val="single" w:color="auto" w:sz="4" w:space="0"/>
              <w:right w:val="single" w:color="auto" w:sz="4" w:space="0"/>
            </w:tcBorders>
            <w:shd w:val="clear" w:color="auto" w:fill="auto"/>
            <w:vAlign w:val="center"/>
          </w:tcPr>
          <w:p w:rsidRPr="00CF34FA" w:rsidR="00FC035F" w:rsidP="00FC035F" w:rsidRDefault="00FC035F" w14:paraId="5EDC99D5" w14:textId="77777777">
            <w:pPr>
              <w:widowControl/>
              <w:rPr>
                <w:rFonts w:ascii="Times New Roman" w:hAnsi="Times New Roman" w:eastAsia="Source Sans Pro"/>
                <w:snapToGrid/>
                <w:color w:val="000000"/>
                <w:sz w:val="20"/>
                <w:lang w:bidi="en-US"/>
              </w:rPr>
            </w:pPr>
            <w:r w:rsidRPr="00CF34FA">
              <w:rPr>
                <w:rFonts w:ascii="Times New Roman" w:hAnsi="Times New Roman"/>
                <w:snapToGrid/>
                <w:color w:val="000000"/>
                <w:sz w:val="18"/>
                <w:szCs w:val="18"/>
              </w:rPr>
              <w:t>Source: FDIC.</w:t>
            </w:r>
          </w:p>
        </w:tc>
      </w:tr>
    </w:tbl>
    <w:p w:rsidR="00E9015C" w:rsidP="00E47A40" w:rsidRDefault="001C7588" w14:paraId="2309F69D" w14:textId="10DD56D5">
      <w:pPr>
        <w:widowControl/>
        <w:tabs>
          <w:tab w:val="left" w:pos="-1440"/>
        </w:tabs>
        <w:rPr>
          <w:rFonts w:ascii="Times New Roman" w:hAnsi="Times New Roman"/>
        </w:rPr>
      </w:pPr>
      <w:r w:rsidRPr="00CF34FA">
        <w:rPr>
          <w:rFonts w:ascii="Times New Roman" w:hAnsi="Times New Roman"/>
        </w:rPr>
        <w:tab/>
      </w:r>
      <w:r w:rsidRPr="00CF34FA">
        <w:rPr>
          <w:rFonts w:ascii="Times New Roman" w:hAnsi="Times New Roman"/>
        </w:rPr>
        <w:tab/>
      </w:r>
      <w:r w:rsidRPr="00CF34FA">
        <w:rPr>
          <w:rFonts w:ascii="Times New Roman" w:hAnsi="Times New Roman"/>
        </w:rPr>
        <w:tab/>
      </w:r>
      <w:r w:rsidRPr="00CF34FA" w:rsidR="00E47A40">
        <w:rPr>
          <w:rFonts w:ascii="Times New Roman" w:hAnsi="Times New Roman"/>
        </w:rPr>
        <w:tab/>
      </w:r>
    </w:p>
    <w:p w:rsidRPr="00377132" w:rsidR="00AA7C8E" w:rsidP="00AA7C8E" w:rsidRDefault="00AA7C8E" w14:paraId="69B8F3C1" w14:textId="6B1FD5AD">
      <w:pPr>
        <w:tabs>
          <w:tab w:val="left" w:pos="-1440"/>
        </w:tabs>
        <w:spacing w:line="360" w:lineRule="auto"/>
        <w:ind w:left="1440"/>
        <w:contextualSpacing/>
        <w:rPr>
          <w:rFonts w:ascii="Times New Roman" w:hAnsi="Times New Roman"/>
        </w:rPr>
      </w:pPr>
      <w:r w:rsidRPr="00377132">
        <w:rPr>
          <w:rFonts w:ascii="Times New Roman" w:hAnsi="Times New Roman"/>
        </w:rPr>
        <w:t xml:space="preserve">Total </w:t>
      </w:r>
      <w:r>
        <w:rPr>
          <w:rFonts w:ascii="Times New Roman" w:hAnsi="Times New Roman"/>
        </w:rPr>
        <w:t>estimated</w:t>
      </w:r>
      <w:r w:rsidRPr="00377132">
        <w:rPr>
          <w:rFonts w:ascii="Times New Roman" w:hAnsi="Times New Roman"/>
        </w:rPr>
        <w:t xml:space="preserve"> </w:t>
      </w:r>
      <w:r>
        <w:rPr>
          <w:rFonts w:ascii="Times New Roman" w:hAnsi="Times New Roman"/>
        </w:rPr>
        <w:t>a</w:t>
      </w:r>
      <w:r w:rsidRPr="00377132">
        <w:rPr>
          <w:rFonts w:ascii="Times New Roman" w:hAnsi="Times New Roman"/>
        </w:rPr>
        <w:t xml:space="preserve">nnual </w:t>
      </w:r>
      <w:r>
        <w:rPr>
          <w:rFonts w:ascii="Times New Roman" w:hAnsi="Times New Roman"/>
        </w:rPr>
        <w:t>b</w:t>
      </w:r>
      <w:r w:rsidRPr="00377132">
        <w:rPr>
          <w:rFonts w:ascii="Times New Roman" w:hAnsi="Times New Roman"/>
        </w:rPr>
        <w:t xml:space="preserve">urden:  </w:t>
      </w:r>
      <w:r>
        <w:rPr>
          <w:rFonts w:ascii="Times New Roman" w:hAnsi="Times New Roman"/>
        </w:rPr>
        <w:t>2,313</w:t>
      </w:r>
      <w:r w:rsidRPr="00377132">
        <w:rPr>
          <w:rFonts w:ascii="Times New Roman" w:hAnsi="Times New Roman"/>
        </w:rPr>
        <w:t xml:space="preserve"> hours</w:t>
      </w:r>
    </w:p>
    <w:p w:rsidRPr="00377132" w:rsidR="00AA7C8E" w:rsidP="00AA7C8E" w:rsidRDefault="00AA7C8E" w14:paraId="776C29A6" w14:textId="77777777">
      <w:pPr>
        <w:tabs>
          <w:tab w:val="left" w:pos="-1440"/>
        </w:tabs>
        <w:spacing w:line="360" w:lineRule="auto"/>
        <w:ind w:left="1440"/>
        <w:contextualSpacing/>
        <w:rPr>
          <w:rFonts w:ascii="Times New Roman" w:hAnsi="Times New Roman"/>
        </w:rPr>
      </w:pPr>
      <w:r w:rsidRPr="00377132">
        <w:rPr>
          <w:rFonts w:ascii="Times New Roman" w:hAnsi="Times New Roman"/>
        </w:rPr>
        <w:t>The total estimated annual cost for all respondents is:</w:t>
      </w:r>
    </w:p>
    <w:p w:rsidR="00AA7C8E" w:rsidP="00AA7C8E" w:rsidRDefault="00AA7C8E" w14:paraId="0B86ACC9" w14:textId="478446CC">
      <w:pPr>
        <w:tabs>
          <w:tab w:val="left" w:pos="-1440"/>
        </w:tabs>
        <w:spacing w:line="360" w:lineRule="auto"/>
        <w:ind w:left="1440"/>
        <w:contextualSpacing/>
        <w:rPr>
          <w:rFonts w:ascii="Times New Roman" w:hAnsi="Times New Roman"/>
        </w:rPr>
      </w:pPr>
      <w:r>
        <w:rPr>
          <w:rFonts w:ascii="Times New Roman" w:hAnsi="Times New Roman"/>
        </w:rPr>
        <w:t>2,313</w:t>
      </w:r>
      <w:r w:rsidRPr="00377132">
        <w:rPr>
          <w:rFonts w:ascii="Times New Roman" w:hAnsi="Times New Roman"/>
        </w:rPr>
        <w:t xml:space="preserve"> hours x $</w:t>
      </w:r>
      <w:r>
        <w:rPr>
          <w:rFonts w:ascii="Times New Roman" w:hAnsi="Times New Roman"/>
        </w:rPr>
        <w:t>108.72</w:t>
      </w:r>
      <w:r w:rsidRPr="00377132">
        <w:rPr>
          <w:rFonts w:ascii="Times New Roman" w:hAnsi="Times New Roman"/>
        </w:rPr>
        <w:t xml:space="preserve"> = $</w:t>
      </w:r>
      <w:r>
        <w:rPr>
          <w:rFonts w:ascii="Times New Roman" w:hAnsi="Times New Roman"/>
        </w:rPr>
        <w:t>251,469</w:t>
      </w:r>
    </w:p>
    <w:p w:rsidR="0088647E" w:rsidP="00AA7C8E" w:rsidRDefault="0088647E" w14:paraId="389CD9A6" w14:textId="77777777">
      <w:pPr>
        <w:tabs>
          <w:tab w:val="left" w:pos="-1440"/>
        </w:tabs>
        <w:spacing w:line="360" w:lineRule="auto"/>
        <w:ind w:left="1440"/>
        <w:contextualSpacing/>
        <w:rPr>
          <w:rFonts w:ascii="Times New Roman" w:hAnsi="Times New Roman"/>
        </w:rPr>
      </w:pPr>
    </w:p>
    <w:p w:rsidR="00AA7C8E" w:rsidP="00AA7C8E" w:rsidRDefault="00AA7C8E" w14:paraId="385A6B69" w14:textId="4552BD5F">
      <w:pPr>
        <w:tabs>
          <w:tab w:val="left" w:pos="-1440"/>
        </w:tabs>
        <w:spacing w:line="360" w:lineRule="auto"/>
        <w:ind w:left="1440"/>
        <w:contextualSpacing/>
        <w:rPr>
          <w:rFonts w:ascii="Times New Roman" w:hAnsi="Times New Roman"/>
        </w:rPr>
      </w:pPr>
    </w:p>
    <w:tbl>
      <w:tblPr>
        <w:tblW w:w="9731" w:type="dxa"/>
        <w:tblInd w:w="-5" w:type="dxa"/>
        <w:tblCellMar>
          <w:top w:w="43" w:type="dxa"/>
          <w:left w:w="115" w:type="dxa"/>
          <w:bottom w:w="43" w:type="dxa"/>
          <w:right w:w="115" w:type="dxa"/>
        </w:tblCellMar>
        <w:tblLook w:val="04A0" w:firstRow="1" w:lastRow="0" w:firstColumn="1" w:lastColumn="0" w:noHBand="0" w:noVBand="1"/>
      </w:tblPr>
      <w:tblGrid>
        <w:gridCol w:w="3333"/>
        <w:gridCol w:w="2289"/>
        <w:gridCol w:w="1831"/>
        <w:gridCol w:w="547"/>
        <w:gridCol w:w="1731"/>
      </w:tblGrid>
      <w:tr w:rsidRPr="00AA7C8E" w:rsidR="00AA7C8E" w:rsidTr="00AA7C8E" w14:paraId="2A9824F4" w14:textId="77777777">
        <w:trPr>
          <w:trHeight w:val="379"/>
        </w:trPr>
        <w:tc>
          <w:tcPr>
            <w:tcW w:w="972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88647E" w:rsidR="00AA7C8E" w:rsidP="00AA7C8E" w:rsidRDefault="00AA7C8E" w14:paraId="3AD7B568" w14:textId="086CB02D">
            <w:pPr>
              <w:widowControl/>
              <w:jc w:val="center"/>
              <w:rPr>
                <w:rFonts w:ascii="Times New Roman" w:hAnsi="Times New Roman"/>
                <w:snapToGrid/>
                <w:color w:val="000000"/>
                <w:sz w:val="20"/>
              </w:rPr>
            </w:pPr>
            <w:r w:rsidRPr="0088647E">
              <w:rPr>
                <w:rFonts w:ascii="Times New Roman" w:hAnsi="Times New Roman"/>
                <w:b/>
                <w:bCs/>
                <w:snapToGrid/>
                <w:color w:val="000000"/>
                <w:sz w:val="20"/>
              </w:rPr>
              <w:lastRenderedPageBreak/>
              <w:t>Summary of Hourly Burden Cost Estimate (OMB No. 3064-0006)</w:t>
            </w:r>
          </w:p>
          <w:p w:rsidRPr="00AA7C8E" w:rsidR="00AA7C8E" w:rsidP="00AA7C8E" w:rsidRDefault="00AA7C8E" w14:paraId="005727A2" w14:textId="77777777">
            <w:pPr>
              <w:widowControl/>
              <w:jc w:val="center"/>
              <w:rPr>
                <w:rFonts w:ascii="Times New Roman" w:hAnsi="Times New Roman"/>
                <w:snapToGrid/>
                <w:color w:val="000000"/>
                <w:sz w:val="18"/>
              </w:rPr>
            </w:pPr>
          </w:p>
        </w:tc>
      </w:tr>
      <w:tr w:rsidRPr="00AA7C8E" w:rsidR="00AA7C8E" w:rsidTr="00AA7C8E" w14:paraId="49F7EC0A" w14:textId="77777777">
        <w:trPr>
          <w:trHeight w:val="634"/>
        </w:trPr>
        <w:tc>
          <w:tcPr>
            <w:tcW w:w="333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A7C8E" w:rsidR="00AA7C8E" w:rsidP="00AA7C8E" w:rsidRDefault="00AA7C8E" w14:paraId="29CE79D6" w14:textId="77777777">
            <w:pPr>
              <w:widowControl/>
              <w:jc w:val="center"/>
              <w:rPr>
                <w:rFonts w:ascii="Times New Roman" w:hAnsi="Times New Roman"/>
                <w:snapToGrid/>
                <w:color w:val="000000"/>
                <w:sz w:val="18"/>
              </w:rPr>
            </w:pPr>
            <w:r w:rsidRPr="00AA7C8E">
              <w:rPr>
                <w:rFonts w:ascii="Times New Roman" w:hAnsi="Times New Roman"/>
                <w:snapToGrid/>
                <w:color w:val="000000"/>
                <w:sz w:val="18"/>
              </w:rPr>
              <w:t>Estimated Category of Personnel Responsible for Complying with the PRA Burden</w:t>
            </w:r>
          </w:p>
        </w:tc>
        <w:tc>
          <w:tcPr>
            <w:tcW w:w="2289" w:type="dxa"/>
            <w:tcBorders>
              <w:top w:val="single" w:color="auto" w:sz="4" w:space="0"/>
              <w:left w:val="nil"/>
              <w:bottom w:val="single" w:color="auto" w:sz="4" w:space="0"/>
              <w:right w:val="single" w:color="auto" w:sz="4" w:space="0"/>
            </w:tcBorders>
            <w:shd w:val="clear" w:color="auto" w:fill="auto"/>
            <w:vAlign w:val="center"/>
            <w:hideMark/>
          </w:tcPr>
          <w:p w:rsidRPr="00AA7C8E" w:rsidR="00AA7C8E" w:rsidP="00AA7C8E" w:rsidRDefault="00AA7C8E" w14:paraId="7124DCC2" w14:textId="77777777">
            <w:pPr>
              <w:widowControl/>
              <w:jc w:val="center"/>
              <w:rPr>
                <w:rFonts w:ascii="Times New Roman" w:hAnsi="Times New Roman"/>
                <w:snapToGrid/>
                <w:color w:val="000000"/>
                <w:sz w:val="18"/>
              </w:rPr>
            </w:pPr>
            <w:r w:rsidRPr="00AA7C8E">
              <w:rPr>
                <w:rFonts w:ascii="Times New Roman" w:hAnsi="Times New Roman"/>
                <w:snapToGrid/>
                <w:color w:val="000000"/>
                <w:sz w:val="18"/>
              </w:rPr>
              <w:t>Total Estimated Hourly Compensation</w:t>
            </w:r>
          </w:p>
        </w:tc>
        <w:tc>
          <w:tcPr>
            <w:tcW w:w="1831" w:type="dxa"/>
            <w:tcBorders>
              <w:top w:val="single" w:color="auto" w:sz="4" w:space="0"/>
              <w:left w:val="nil"/>
              <w:bottom w:val="single" w:color="auto" w:sz="4" w:space="0"/>
              <w:right w:val="single" w:color="auto" w:sz="4" w:space="0"/>
            </w:tcBorders>
            <w:shd w:val="clear" w:color="auto" w:fill="auto"/>
            <w:vAlign w:val="center"/>
            <w:hideMark/>
          </w:tcPr>
          <w:p w:rsidRPr="00AA7C8E" w:rsidR="00AA7C8E" w:rsidP="00AA7C8E" w:rsidRDefault="00AA7C8E" w14:paraId="2E35EC66" w14:textId="77777777">
            <w:pPr>
              <w:widowControl/>
              <w:jc w:val="center"/>
              <w:rPr>
                <w:rFonts w:ascii="Times New Roman" w:hAnsi="Times New Roman"/>
                <w:snapToGrid/>
                <w:color w:val="000000"/>
                <w:sz w:val="18"/>
              </w:rPr>
            </w:pPr>
            <w:r w:rsidRPr="00AA7C8E">
              <w:rPr>
                <w:rFonts w:ascii="Times New Roman" w:hAnsi="Times New Roman"/>
                <w:snapToGrid/>
                <w:color w:val="000000"/>
                <w:sz w:val="18"/>
              </w:rPr>
              <w:t>Estimated Weights</w:t>
            </w:r>
          </w:p>
        </w:tc>
        <w:tc>
          <w:tcPr>
            <w:tcW w:w="2273" w:type="dxa"/>
            <w:gridSpan w:val="2"/>
            <w:tcBorders>
              <w:top w:val="single" w:color="auto" w:sz="4" w:space="0"/>
              <w:left w:val="nil"/>
              <w:bottom w:val="single" w:color="auto" w:sz="4" w:space="0"/>
              <w:right w:val="single" w:color="auto" w:sz="4" w:space="0"/>
            </w:tcBorders>
            <w:shd w:val="clear" w:color="auto" w:fill="auto"/>
            <w:vAlign w:val="center"/>
            <w:hideMark/>
          </w:tcPr>
          <w:p w:rsidRPr="00AA7C8E" w:rsidR="00AA7C8E" w:rsidP="00AA7C8E" w:rsidRDefault="00AA7C8E" w14:paraId="65BACA83" w14:textId="23CC8864">
            <w:pPr>
              <w:widowControl/>
              <w:jc w:val="center"/>
              <w:rPr>
                <w:rFonts w:ascii="Times New Roman" w:hAnsi="Times New Roman"/>
                <w:snapToGrid/>
                <w:color w:val="000000"/>
                <w:sz w:val="18"/>
                <w:vertAlign w:val="superscript"/>
              </w:rPr>
            </w:pPr>
            <w:r w:rsidRPr="00AA7C8E">
              <w:rPr>
                <w:rFonts w:ascii="Times New Roman" w:hAnsi="Times New Roman"/>
                <w:snapToGrid/>
                <w:color w:val="000000"/>
                <w:sz w:val="18"/>
              </w:rPr>
              <w:t>Estimated Total Weighted Labor Cost Component</w:t>
            </w:r>
            <w:r w:rsidRPr="00AA7C8E">
              <w:rPr>
                <w:rFonts w:ascii="Times New Roman" w:hAnsi="Times New Roman"/>
                <w:b/>
                <w:snapToGrid/>
                <w:color w:val="000000"/>
                <w:sz w:val="18"/>
                <w:vertAlign w:val="superscript"/>
              </w:rPr>
              <w:t>+</w:t>
            </w:r>
          </w:p>
        </w:tc>
      </w:tr>
      <w:tr w:rsidRPr="00AA7C8E" w:rsidR="00AA7C8E" w:rsidTr="00AA7C8E" w14:paraId="7319B298" w14:textId="77777777">
        <w:trPr>
          <w:trHeight w:val="248"/>
        </w:trPr>
        <w:tc>
          <w:tcPr>
            <w:tcW w:w="3333" w:type="dxa"/>
            <w:tcBorders>
              <w:top w:val="nil"/>
              <w:left w:val="single" w:color="auto" w:sz="4" w:space="0"/>
              <w:bottom w:val="single" w:color="auto" w:sz="4" w:space="0"/>
              <w:right w:val="single" w:color="auto" w:sz="4" w:space="0"/>
            </w:tcBorders>
            <w:shd w:val="clear" w:color="auto" w:fill="auto"/>
            <w:vAlign w:val="center"/>
            <w:hideMark/>
          </w:tcPr>
          <w:p w:rsidRPr="00AA7C8E" w:rsidR="00AA7C8E" w:rsidP="00AA7C8E" w:rsidRDefault="00AA7C8E" w14:paraId="47271D6A" w14:textId="709DA3F8">
            <w:pPr>
              <w:widowControl/>
              <w:rPr>
                <w:rFonts w:ascii="Times New Roman" w:hAnsi="Times New Roman"/>
                <w:snapToGrid/>
                <w:color w:val="000000"/>
                <w:sz w:val="18"/>
                <w:vertAlign w:val="superscript"/>
              </w:rPr>
            </w:pPr>
            <w:r w:rsidRPr="00AA7C8E">
              <w:rPr>
                <w:rFonts w:ascii="Times New Roman" w:hAnsi="Times New Roman"/>
                <w:snapToGrid/>
                <w:color w:val="000000"/>
                <w:sz w:val="18"/>
              </w:rPr>
              <w:t>Executives and Managers</w:t>
            </w:r>
            <w:r w:rsidRPr="00AA7C8E">
              <w:rPr>
                <w:rFonts w:ascii="Times New Roman" w:hAnsi="Times New Roman"/>
                <w:b/>
                <w:snapToGrid/>
                <w:color w:val="000000"/>
                <w:sz w:val="18"/>
                <w:vertAlign w:val="superscript"/>
              </w:rPr>
              <w:t>*</w:t>
            </w:r>
          </w:p>
        </w:tc>
        <w:tc>
          <w:tcPr>
            <w:tcW w:w="2289" w:type="dxa"/>
            <w:tcBorders>
              <w:top w:val="nil"/>
              <w:left w:val="nil"/>
              <w:bottom w:val="single" w:color="auto" w:sz="4" w:space="0"/>
              <w:right w:val="single" w:color="auto" w:sz="4" w:space="0"/>
            </w:tcBorders>
            <w:shd w:val="clear" w:color="auto" w:fill="auto"/>
            <w:vAlign w:val="center"/>
            <w:hideMark/>
          </w:tcPr>
          <w:p w:rsidRPr="00AA7C8E" w:rsidR="00AA7C8E" w:rsidP="00AA7C8E" w:rsidRDefault="00AA7C8E" w14:paraId="42A046EC" w14:textId="77777777">
            <w:pPr>
              <w:widowControl/>
              <w:jc w:val="right"/>
              <w:rPr>
                <w:rFonts w:ascii="Times New Roman" w:hAnsi="Times New Roman"/>
                <w:snapToGrid/>
                <w:color w:val="000000"/>
                <w:sz w:val="18"/>
              </w:rPr>
            </w:pPr>
            <w:r w:rsidRPr="00AA7C8E">
              <w:rPr>
                <w:rFonts w:ascii="Times New Roman" w:hAnsi="Times New Roman"/>
                <w:snapToGrid/>
                <w:color w:val="000000"/>
                <w:sz w:val="18"/>
              </w:rPr>
              <w:t>$123.30</w:t>
            </w:r>
          </w:p>
        </w:tc>
        <w:tc>
          <w:tcPr>
            <w:tcW w:w="1831" w:type="dxa"/>
            <w:tcBorders>
              <w:top w:val="nil"/>
              <w:left w:val="nil"/>
              <w:bottom w:val="single" w:color="auto" w:sz="4" w:space="0"/>
              <w:right w:val="single" w:color="auto" w:sz="4" w:space="0"/>
            </w:tcBorders>
            <w:shd w:val="clear" w:color="auto" w:fill="auto"/>
            <w:vAlign w:val="center"/>
            <w:hideMark/>
          </w:tcPr>
          <w:p w:rsidRPr="00AA7C8E" w:rsidR="00AA7C8E" w:rsidP="00AA7C8E" w:rsidRDefault="00AA7C8E" w14:paraId="19CD964A" w14:textId="77777777">
            <w:pPr>
              <w:widowControl/>
              <w:jc w:val="right"/>
              <w:rPr>
                <w:rFonts w:ascii="Times New Roman" w:hAnsi="Times New Roman"/>
                <w:snapToGrid/>
                <w:color w:val="000000"/>
                <w:sz w:val="18"/>
              </w:rPr>
            </w:pPr>
            <w:r w:rsidRPr="00AA7C8E">
              <w:rPr>
                <w:rFonts w:ascii="Times New Roman" w:hAnsi="Times New Roman"/>
                <w:snapToGrid/>
                <w:color w:val="000000"/>
                <w:sz w:val="18"/>
              </w:rPr>
              <w:t>80%</w:t>
            </w:r>
          </w:p>
        </w:tc>
        <w:tc>
          <w:tcPr>
            <w:tcW w:w="2273" w:type="dxa"/>
            <w:gridSpan w:val="2"/>
            <w:tcBorders>
              <w:top w:val="nil"/>
              <w:left w:val="nil"/>
              <w:bottom w:val="single" w:color="auto" w:sz="4" w:space="0"/>
              <w:right w:val="single" w:color="auto" w:sz="4" w:space="0"/>
            </w:tcBorders>
            <w:shd w:val="clear" w:color="auto" w:fill="auto"/>
            <w:vAlign w:val="center"/>
            <w:hideMark/>
          </w:tcPr>
          <w:p w:rsidRPr="00AA7C8E" w:rsidR="00AA7C8E" w:rsidP="00AA7C8E" w:rsidRDefault="00AA7C8E" w14:paraId="7F0B6474" w14:textId="77777777">
            <w:pPr>
              <w:widowControl/>
              <w:jc w:val="right"/>
              <w:rPr>
                <w:rFonts w:ascii="Times New Roman" w:hAnsi="Times New Roman"/>
                <w:snapToGrid/>
                <w:color w:val="000000"/>
                <w:sz w:val="18"/>
              </w:rPr>
            </w:pPr>
            <w:r w:rsidRPr="00AA7C8E">
              <w:rPr>
                <w:rFonts w:ascii="Times New Roman" w:hAnsi="Times New Roman"/>
                <w:snapToGrid/>
                <w:color w:val="000000"/>
                <w:sz w:val="18"/>
              </w:rPr>
              <w:t>$98.64</w:t>
            </w:r>
          </w:p>
        </w:tc>
      </w:tr>
      <w:tr w:rsidRPr="00AA7C8E" w:rsidR="00AA7C8E" w:rsidTr="00AA7C8E" w14:paraId="7BD67AB8" w14:textId="77777777">
        <w:trPr>
          <w:trHeight w:val="119"/>
        </w:trPr>
        <w:tc>
          <w:tcPr>
            <w:tcW w:w="3333" w:type="dxa"/>
            <w:tcBorders>
              <w:top w:val="nil"/>
              <w:left w:val="single" w:color="auto" w:sz="4" w:space="0"/>
              <w:bottom w:val="single" w:color="auto" w:sz="4" w:space="0"/>
              <w:right w:val="single" w:color="auto" w:sz="4" w:space="0"/>
            </w:tcBorders>
            <w:shd w:val="clear" w:color="auto" w:fill="auto"/>
            <w:vAlign w:val="center"/>
          </w:tcPr>
          <w:p w:rsidRPr="00AA7C8E" w:rsidR="00AA7C8E" w:rsidP="00AA7C8E" w:rsidRDefault="00AA7C8E" w14:paraId="3BE5662F" w14:textId="02A87A81">
            <w:pPr>
              <w:widowControl/>
              <w:rPr>
                <w:rFonts w:ascii="Times New Roman" w:hAnsi="Times New Roman"/>
                <w:snapToGrid/>
                <w:color w:val="000000"/>
                <w:sz w:val="18"/>
                <w:vertAlign w:val="superscript"/>
              </w:rPr>
            </w:pPr>
            <w:r w:rsidRPr="00AA7C8E">
              <w:rPr>
                <w:rFonts w:ascii="Times New Roman" w:hAnsi="Times New Roman"/>
                <w:snapToGrid/>
                <w:color w:val="000000"/>
                <w:sz w:val="18"/>
              </w:rPr>
              <w:t>Compliance Officer</w:t>
            </w:r>
            <w:r w:rsidRPr="00AA7C8E">
              <w:rPr>
                <w:rFonts w:ascii="Times New Roman" w:hAnsi="Times New Roman"/>
                <w:b/>
                <w:snapToGrid/>
                <w:color w:val="000000"/>
                <w:sz w:val="18"/>
                <w:vertAlign w:val="superscript"/>
              </w:rPr>
              <w:t>**</w:t>
            </w:r>
          </w:p>
        </w:tc>
        <w:tc>
          <w:tcPr>
            <w:tcW w:w="2289" w:type="dxa"/>
            <w:tcBorders>
              <w:top w:val="nil"/>
              <w:left w:val="nil"/>
              <w:bottom w:val="single" w:color="auto" w:sz="4" w:space="0"/>
              <w:right w:val="single" w:color="auto" w:sz="4" w:space="0"/>
            </w:tcBorders>
            <w:shd w:val="clear" w:color="auto" w:fill="auto"/>
            <w:vAlign w:val="center"/>
          </w:tcPr>
          <w:p w:rsidRPr="00AA7C8E" w:rsidR="00AA7C8E" w:rsidP="00AA7C8E" w:rsidRDefault="00AA7C8E" w14:paraId="6A8DE161" w14:textId="77777777">
            <w:pPr>
              <w:widowControl/>
              <w:jc w:val="right"/>
              <w:rPr>
                <w:rFonts w:ascii="Times New Roman" w:hAnsi="Times New Roman"/>
                <w:snapToGrid/>
                <w:color w:val="000000"/>
                <w:sz w:val="18"/>
              </w:rPr>
            </w:pPr>
            <w:r w:rsidRPr="00AA7C8E">
              <w:rPr>
                <w:rFonts w:ascii="Times New Roman" w:hAnsi="Times New Roman"/>
                <w:snapToGrid/>
                <w:color w:val="000000"/>
                <w:sz w:val="18"/>
              </w:rPr>
              <w:t>$67.35</w:t>
            </w:r>
          </w:p>
        </w:tc>
        <w:tc>
          <w:tcPr>
            <w:tcW w:w="1831" w:type="dxa"/>
            <w:tcBorders>
              <w:top w:val="nil"/>
              <w:left w:val="nil"/>
              <w:bottom w:val="single" w:color="auto" w:sz="4" w:space="0"/>
              <w:right w:val="single" w:color="auto" w:sz="4" w:space="0"/>
            </w:tcBorders>
            <w:shd w:val="clear" w:color="auto" w:fill="auto"/>
            <w:vAlign w:val="center"/>
          </w:tcPr>
          <w:p w:rsidRPr="00AA7C8E" w:rsidR="00AA7C8E" w:rsidP="00AA7C8E" w:rsidRDefault="00AA7C8E" w14:paraId="600C2AF1" w14:textId="77777777">
            <w:pPr>
              <w:widowControl/>
              <w:jc w:val="right"/>
              <w:rPr>
                <w:rFonts w:ascii="Times New Roman" w:hAnsi="Times New Roman"/>
                <w:snapToGrid/>
                <w:color w:val="000000"/>
                <w:sz w:val="18"/>
              </w:rPr>
            </w:pPr>
            <w:r w:rsidRPr="00AA7C8E">
              <w:rPr>
                <w:rFonts w:ascii="Times New Roman" w:hAnsi="Times New Roman"/>
                <w:snapToGrid/>
                <w:color w:val="000000"/>
                <w:sz w:val="18"/>
              </w:rPr>
              <w:t>10%</w:t>
            </w:r>
          </w:p>
        </w:tc>
        <w:tc>
          <w:tcPr>
            <w:tcW w:w="2273" w:type="dxa"/>
            <w:gridSpan w:val="2"/>
            <w:tcBorders>
              <w:top w:val="nil"/>
              <w:left w:val="nil"/>
              <w:bottom w:val="single" w:color="auto" w:sz="4" w:space="0"/>
              <w:right w:val="single" w:color="auto" w:sz="4" w:space="0"/>
            </w:tcBorders>
            <w:shd w:val="clear" w:color="auto" w:fill="auto"/>
            <w:vAlign w:val="center"/>
          </w:tcPr>
          <w:p w:rsidRPr="00AA7C8E" w:rsidR="00AA7C8E" w:rsidP="00AA7C8E" w:rsidRDefault="00AA7C8E" w14:paraId="4DD83E2F" w14:textId="77777777">
            <w:pPr>
              <w:widowControl/>
              <w:jc w:val="right"/>
              <w:rPr>
                <w:rFonts w:ascii="Times New Roman" w:hAnsi="Times New Roman"/>
                <w:snapToGrid/>
                <w:color w:val="000000"/>
                <w:sz w:val="18"/>
              </w:rPr>
            </w:pPr>
            <w:r w:rsidRPr="00AA7C8E">
              <w:rPr>
                <w:rFonts w:ascii="Times New Roman" w:hAnsi="Times New Roman"/>
                <w:snapToGrid/>
                <w:color w:val="000000"/>
                <w:sz w:val="18"/>
              </w:rPr>
              <w:t>$6.73</w:t>
            </w:r>
          </w:p>
        </w:tc>
      </w:tr>
      <w:tr w:rsidRPr="00AA7C8E" w:rsidR="00AA7C8E" w:rsidTr="00AA7C8E" w14:paraId="2C48A6FE" w14:textId="77777777">
        <w:trPr>
          <w:trHeight w:val="119"/>
        </w:trPr>
        <w:tc>
          <w:tcPr>
            <w:tcW w:w="3333" w:type="dxa"/>
            <w:tcBorders>
              <w:top w:val="nil"/>
              <w:left w:val="single" w:color="auto" w:sz="4" w:space="0"/>
              <w:bottom w:val="single" w:color="auto" w:sz="4" w:space="0"/>
              <w:right w:val="single" w:color="auto" w:sz="4" w:space="0"/>
            </w:tcBorders>
            <w:shd w:val="clear" w:color="auto" w:fill="auto"/>
            <w:vAlign w:val="center"/>
          </w:tcPr>
          <w:p w:rsidRPr="00AA7C8E" w:rsidR="00AA7C8E" w:rsidP="00AA7C8E" w:rsidRDefault="00AA7C8E" w14:paraId="6E2EE964" w14:textId="6C69B7E8">
            <w:pPr>
              <w:widowControl/>
              <w:rPr>
                <w:rFonts w:ascii="Times New Roman" w:hAnsi="Times New Roman"/>
                <w:snapToGrid/>
                <w:color w:val="000000"/>
                <w:sz w:val="18"/>
                <w:vertAlign w:val="superscript"/>
              </w:rPr>
            </w:pPr>
            <w:r w:rsidRPr="00AA7C8E">
              <w:rPr>
                <w:rFonts w:ascii="Times New Roman" w:hAnsi="Times New Roman"/>
                <w:snapToGrid/>
                <w:color w:val="000000"/>
                <w:sz w:val="18"/>
              </w:rPr>
              <w:t>Clerical</w:t>
            </w:r>
            <w:r w:rsidRPr="00AA7C8E">
              <w:rPr>
                <w:rFonts w:ascii="Times New Roman" w:hAnsi="Times New Roman"/>
                <w:b/>
                <w:snapToGrid/>
                <w:color w:val="000000"/>
                <w:sz w:val="18"/>
                <w:vertAlign w:val="superscript"/>
              </w:rPr>
              <w:t>***</w:t>
            </w:r>
          </w:p>
        </w:tc>
        <w:tc>
          <w:tcPr>
            <w:tcW w:w="2289" w:type="dxa"/>
            <w:tcBorders>
              <w:top w:val="nil"/>
              <w:left w:val="nil"/>
              <w:bottom w:val="single" w:color="auto" w:sz="4" w:space="0"/>
              <w:right w:val="single" w:color="auto" w:sz="4" w:space="0"/>
            </w:tcBorders>
            <w:shd w:val="clear" w:color="auto" w:fill="auto"/>
            <w:vAlign w:val="center"/>
          </w:tcPr>
          <w:p w:rsidRPr="00AA7C8E" w:rsidR="00AA7C8E" w:rsidP="00AA7C8E" w:rsidRDefault="00AA7C8E" w14:paraId="18BC879C" w14:textId="77777777">
            <w:pPr>
              <w:widowControl/>
              <w:jc w:val="right"/>
              <w:rPr>
                <w:rFonts w:ascii="Times New Roman" w:hAnsi="Times New Roman"/>
                <w:snapToGrid/>
                <w:color w:val="000000"/>
                <w:sz w:val="18"/>
              </w:rPr>
            </w:pPr>
            <w:r w:rsidRPr="00AA7C8E">
              <w:rPr>
                <w:rFonts w:ascii="Times New Roman" w:hAnsi="Times New Roman"/>
                <w:snapToGrid/>
                <w:color w:val="000000"/>
                <w:sz w:val="18"/>
              </w:rPr>
              <w:t>$33.44</w:t>
            </w:r>
          </w:p>
        </w:tc>
        <w:tc>
          <w:tcPr>
            <w:tcW w:w="1831" w:type="dxa"/>
            <w:tcBorders>
              <w:top w:val="nil"/>
              <w:left w:val="nil"/>
              <w:bottom w:val="single" w:color="auto" w:sz="4" w:space="0"/>
              <w:right w:val="single" w:color="auto" w:sz="4" w:space="0"/>
            </w:tcBorders>
            <w:shd w:val="clear" w:color="auto" w:fill="auto"/>
            <w:vAlign w:val="center"/>
          </w:tcPr>
          <w:p w:rsidRPr="00AA7C8E" w:rsidR="00AA7C8E" w:rsidP="00AA7C8E" w:rsidRDefault="00AA7C8E" w14:paraId="13AB1CE7" w14:textId="77777777">
            <w:pPr>
              <w:widowControl/>
              <w:jc w:val="right"/>
              <w:rPr>
                <w:rFonts w:ascii="Times New Roman" w:hAnsi="Times New Roman"/>
                <w:snapToGrid/>
                <w:color w:val="000000"/>
                <w:sz w:val="18"/>
              </w:rPr>
            </w:pPr>
            <w:r w:rsidRPr="00AA7C8E">
              <w:rPr>
                <w:rFonts w:ascii="Times New Roman" w:hAnsi="Times New Roman"/>
                <w:snapToGrid/>
                <w:color w:val="000000"/>
                <w:sz w:val="18"/>
              </w:rPr>
              <w:t>10%</w:t>
            </w:r>
          </w:p>
        </w:tc>
        <w:tc>
          <w:tcPr>
            <w:tcW w:w="2273" w:type="dxa"/>
            <w:gridSpan w:val="2"/>
            <w:tcBorders>
              <w:top w:val="nil"/>
              <w:left w:val="nil"/>
              <w:bottom w:val="single" w:color="auto" w:sz="4" w:space="0"/>
              <w:right w:val="single" w:color="auto" w:sz="4" w:space="0"/>
            </w:tcBorders>
            <w:shd w:val="clear" w:color="auto" w:fill="auto"/>
            <w:vAlign w:val="center"/>
          </w:tcPr>
          <w:p w:rsidRPr="00AA7C8E" w:rsidR="00AA7C8E" w:rsidP="00AA7C8E" w:rsidRDefault="00AA7C8E" w14:paraId="26808A5C" w14:textId="77777777">
            <w:pPr>
              <w:widowControl/>
              <w:jc w:val="right"/>
              <w:rPr>
                <w:rFonts w:ascii="Times New Roman" w:hAnsi="Times New Roman"/>
                <w:snapToGrid/>
                <w:color w:val="000000"/>
                <w:sz w:val="18"/>
              </w:rPr>
            </w:pPr>
            <w:r w:rsidRPr="00AA7C8E">
              <w:rPr>
                <w:rFonts w:ascii="Times New Roman" w:hAnsi="Times New Roman"/>
                <w:snapToGrid/>
                <w:color w:val="000000"/>
                <w:sz w:val="18"/>
              </w:rPr>
              <w:t>$3.34</w:t>
            </w:r>
          </w:p>
        </w:tc>
      </w:tr>
      <w:tr w:rsidRPr="00AA7C8E" w:rsidR="00AA7C8E" w:rsidTr="00AA7C8E" w14:paraId="11069BB9" w14:textId="77777777">
        <w:trPr>
          <w:trHeight w:val="600"/>
        </w:trPr>
        <w:tc>
          <w:tcPr>
            <w:tcW w:w="3333" w:type="dxa"/>
            <w:tcBorders>
              <w:top w:val="nil"/>
              <w:left w:val="single" w:color="auto" w:sz="4" w:space="0"/>
              <w:bottom w:val="single" w:color="auto" w:sz="4" w:space="0"/>
              <w:right w:val="single" w:color="auto" w:sz="4" w:space="0"/>
            </w:tcBorders>
            <w:shd w:val="clear" w:color="auto" w:fill="auto"/>
            <w:vAlign w:val="center"/>
            <w:hideMark/>
          </w:tcPr>
          <w:p w:rsidRPr="00AA7C8E" w:rsidR="00AA7C8E" w:rsidP="00AA7C8E" w:rsidRDefault="00AA7C8E" w14:paraId="7A3B2142" w14:textId="77777777">
            <w:pPr>
              <w:widowControl/>
              <w:rPr>
                <w:rFonts w:ascii="Times New Roman" w:hAnsi="Times New Roman"/>
                <w:snapToGrid/>
                <w:color w:val="000000"/>
                <w:sz w:val="18"/>
              </w:rPr>
            </w:pPr>
            <w:r w:rsidRPr="00AA7C8E">
              <w:rPr>
                <w:rFonts w:ascii="Times New Roman" w:hAnsi="Times New Roman"/>
                <w:snapToGrid/>
                <w:color w:val="000000"/>
                <w:sz w:val="18"/>
              </w:rPr>
              <w:t>Total Estimated Weighted Average Hourly Compensation Rate</w:t>
            </w:r>
          </w:p>
        </w:tc>
        <w:tc>
          <w:tcPr>
            <w:tcW w:w="2289" w:type="dxa"/>
            <w:tcBorders>
              <w:top w:val="nil"/>
              <w:left w:val="nil"/>
              <w:bottom w:val="single" w:color="auto" w:sz="4" w:space="0"/>
              <w:right w:val="single" w:color="auto" w:sz="4" w:space="0"/>
            </w:tcBorders>
            <w:shd w:val="clear" w:color="auto" w:fill="auto"/>
            <w:vAlign w:val="center"/>
            <w:hideMark/>
          </w:tcPr>
          <w:p w:rsidRPr="00AA7C8E" w:rsidR="00AA7C8E" w:rsidP="00AA7C8E" w:rsidRDefault="00AA7C8E" w14:paraId="4977C9A7" w14:textId="77777777">
            <w:pPr>
              <w:widowControl/>
              <w:rPr>
                <w:rFonts w:ascii="Times New Roman" w:hAnsi="Times New Roman"/>
                <w:snapToGrid/>
                <w:color w:val="000000"/>
                <w:sz w:val="18"/>
              </w:rPr>
            </w:pPr>
            <w:r w:rsidRPr="00AA7C8E">
              <w:rPr>
                <w:rFonts w:ascii="Times New Roman" w:hAnsi="Times New Roman"/>
                <w:snapToGrid/>
                <w:color w:val="000000"/>
                <w:sz w:val="18"/>
              </w:rPr>
              <w:t> </w:t>
            </w:r>
          </w:p>
        </w:tc>
        <w:tc>
          <w:tcPr>
            <w:tcW w:w="1831" w:type="dxa"/>
            <w:tcBorders>
              <w:top w:val="nil"/>
              <w:left w:val="nil"/>
              <w:bottom w:val="single" w:color="auto" w:sz="4" w:space="0"/>
              <w:right w:val="single" w:color="auto" w:sz="4" w:space="0"/>
            </w:tcBorders>
            <w:shd w:val="clear" w:color="auto" w:fill="auto"/>
            <w:vAlign w:val="center"/>
            <w:hideMark/>
          </w:tcPr>
          <w:p w:rsidRPr="00AA7C8E" w:rsidR="00AA7C8E" w:rsidP="00AA7C8E" w:rsidRDefault="00AA7C8E" w14:paraId="137FDC12" w14:textId="77777777">
            <w:pPr>
              <w:widowControl/>
              <w:jc w:val="right"/>
              <w:rPr>
                <w:rFonts w:ascii="Times New Roman" w:hAnsi="Times New Roman"/>
                <w:snapToGrid/>
                <w:color w:val="000000"/>
                <w:sz w:val="18"/>
              </w:rPr>
            </w:pPr>
            <w:r w:rsidRPr="00AA7C8E">
              <w:rPr>
                <w:rFonts w:ascii="Times New Roman" w:hAnsi="Times New Roman"/>
                <w:snapToGrid/>
                <w:color w:val="000000"/>
                <w:sz w:val="18"/>
              </w:rPr>
              <w:t>100%</w:t>
            </w:r>
          </w:p>
        </w:tc>
        <w:tc>
          <w:tcPr>
            <w:tcW w:w="2273" w:type="dxa"/>
            <w:gridSpan w:val="2"/>
            <w:tcBorders>
              <w:top w:val="nil"/>
              <w:left w:val="nil"/>
              <w:bottom w:val="single" w:color="auto" w:sz="4" w:space="0"/>
              <w:right w:val="single" w:color="auto" w:sz="4" w:space="0"/>
            </w:tcBorders>
            <w:shd w:val="clear" w:color="auto" w:fill="auto"/>
            <w:vAlign w:val="center"/>
            <w:hideMark/>
          </w:tcPr>
          <w:p w:rsidRPr="00AA7C8E" w:rsidR="00AA7C8E" w:rsidP="00AA7C8E" w:rsidRDefault="00AA7C8E" w14:paraId="2B2A4E32" w14:textId="77777777">
            <w:pPr>
              <w:widowControl/>
              <w:jc w:val="right"/>
              <w:rPr>
                <w:rFonts w:ascii="Times New Roman" w:hAnsi="Times New Roman"/>
                <w:snapToGrid/>
                <w:color w:val="000000"/>
                <w:sz w:val="18"/>
              </w:rPr>
            </w:pPr>
            <w:r w:rsidRPr="00AA7C8E">
              <w:rPr>
                <w:rFonts w:ascii="Times New Roman" w:hAnsi="Times New Roman"/>
                <w:snapToGrid/>
                <w:color w:val="000000"/>
                <w:sz w:val="18"/>
              </w:rPr>
              <w:t>$108.72</w:t>
            </w:r>
          </w:p>
        </w:tc>
      </w:tr>
      <w:tr w:rsidRPr="00AA7C8E" w:rsidR="00AA7C8E" w:rsidTr="007B72BD" w14:paraId="6B2A19C2" w14:textId="77777777">
        <w:trPr>
          <w:gridAfter w:val="1"/>
          <w:wAfter w:w="1731" w:type="dxa"/>
          <w:trHeight w:val="866"/>
        </w:trPr>
        <w:tc>
          <w:tcPr>
            <w:tcW w:w="8000" w:type="dxa"/>
            <w:gridSpan w:val="4"/>
            <w:tcBorders>
              <w:top w:val="nil"/>
              <w:left w:val="nil"/>
              <w:bottom w:val="nil"/>
              <w:right w:val="nil"/>
            </w:tcBorders>
            <w:shd w:val="clear" w:color="auto" w:fill="auto"/>
            <w:hideMark/>
          </w:tcPr>
          <w:p w:rsidRPr="00AA7C8E" w:rsidR="00AA7C8E" w:rsidP="00AA7C8E" w:rsidRDefault="00AA7C8E" w14:paraId="13A990F1" w14:textId="37823715">
            <w:pPr>
              <w:widowControl/>
              <w:rPr>
                <w:rFonts w:ascii="Times New Roman" w:hAnsi="Times New Roman"/>
                <w:snapToGrid/>
                <w:color w:val="000000"/>
                <w:sz w:val="18"/>
                <w:szCs w:val="22"/>
              </w:rPr>
            </w:pPr>
            <w:r w:rsidRPr="00AA7C8E">
              <w:rPr>
                <w:rFonts w:ascii="Times New Roman" w:hAnsi="Times New Roman"/>
                <w:snapToGrid/>
                <w:color w:val="000000"/>
                <w:sz w:val="18"/>
                <w:szCs w:val="22"/>
              </w:rPr>
              <w:t>Source: Bureau of Labor Statistics: "National Industry-Specific Occupational Employment and Wage Estimates: Industry: Credit Intermediation and Related Activities (5221 And 5223 only)" (May 2019), Employer Cost of Employee Compensation (December 2020), Consumer Price Index (December 2020).</w:t>
            </w:r>
          </w:p>
        </w:tc>
      </w:tr>
      <w:tr w:rsidRPr="00AA7C8E" w:rsidR="00AA7C8E" w:rsidTr="00AA7C8E" w14:paraId="12D5870E" w14:textId="77777777">
        <w:trPr>
          <w:gridAfter w:val="1"/>
          <w:wAfter w:w="1731" w:type="dxa"/>
          <w:trHeight w:val="288"/>
        </w:trPr>
        <w:tc>
          <w:tcPr>
            <w:tcW w:w="8000" w:type="dxa"/>
            <w:gridSpan w:val="4"/>
            <w:tcBorders>
              <w:top w:val="nil"/>
              <w:left w:val="nil"/>
              <w:bottom w:val="nil"/>
              <w:right w:val="nil"/>
            </w:tcBorders>
            <w:shd w:val="clear" w:color="auto" w:fill="auto"/>
            <w:noWrap/>
          </w:tcPr>
          <w:p w:rsidRPr="00AA7C8E" w:rsidR="00AA7C8E" w:rsidP="00AA7C8E" w:rsidRDefault="00AA7C8E" w14:paraId="492B07C2" w14:textId="2546FF18">
            <w:pPr>
              <w:widowControl/>
              <w:suppressAutoHyphens/>
              <w:ind w:right="-86"/>
              <w:rPr>
                <w:rFonts w:ascii="Times New Roman" w:hAnsi="Times New Roman"/>
                <w:snapToGrid/>
                <w:color w:val="000000"/>
                <w:sz w:val="18"/>
                <w:szCs w:val="22"/>
              </w:rPr>
            </w:pPr>
            <w:r w:rsidRPr="00AA7C8E">
              <w:rPr>
                <w:rFonts w:ascii="Times New Roman" w:hAnsi="Times New Roman"/>
                <w:snapToGrid/>
                <w:color w:val="000000"/>
                <w:sz w:val="18"/>
                <w:szCs w:val="22"/>
              </w:rPr>
              <w:t>+ The total weighted average hourly compensation rate does not equal the sum of its components due to rounding.</w:t>
            </w:r>
          </w:p>
        </w:tc>
      </w:tr>
      <w:tr w:rsidRPr="00AA7C8E" w:rsidR="00AA7C8E" w:rsidTr="00AA7C8E" w14:paraId="48B7E583" w14:textId="77777777">
        <w:trPr>
          <w:gridAfter w:val="1"/>
          <w:wAfter w:w="1731" w:type="dxa"/>
          <w:trHeight w:val="288"/>
        </w:trPr>
        <w:tc>
          <w:tcPr>
            <w:tcW w:w="8000" w:type="dxa"/>
            <w:gridSpan w:val="4"/>
            <w:tcBorders>
              <w:top w:val="nil"/>
              <w:left w:val="nil"/>
              <w:bottom w:val="nil"/>
              <w:right w:val="nil"/>
            </w:tcBorders>
            <w:shd w:val="clear" w:color="auto" w:fill="auto"/>
            <w:noWrap/>
            <w:hideMark/>
          </w:tcPr>
          <w:p w:rsidRPr="00AA7C8E" w:rsidR="00AA7C8E" w:rsidP="00AA7C8E" w:rsidRDefault="00AA7C8E" w14:paraId="24AAD4F1" w14:textId="42FB946B">
            <w:pPr>
              <w:widowControl/>
              <w:rPr>
                <w:rFonts w:ascii="Times New Roman" w:hAnsi="Times New Roman"/>
                <w:snapToGrid/>
                <w:color w:val="000000"/>
                <w:sz w:val="18"/>
                <w:szCs w:val="22"/>
              </w:rPr>
            </w:pPr>
            <w:r w:rsidRPr="00AA7C8E">
              <w:rPr>
                <w:rFonts w:ascii="Times New Roman" w:hAnsi="Times New Roman"/>
                <w:snapToGrid/>
                <w:color w:val="000000"/>
                <w:sz w:val="18"/>
                <w:szCs w:val="22"/>
              </w:rPr>
              <w:t>*</w:t>
            </w:r>
            <w:r w:rsidRPr="00AA7C8E">
              <w:rPr>
                <w:rFonts w:ascii="Times New Roman" w:hAnsi="Times New Roman" w:eastAsia="Source Sans Pro"/>
                <w:snapToGrid/>
                <w:sz w:val="18"/>
                <w:lang w:bidi="en-US"/>
              </w:rPr>
              <w:t xml:space="preserve"> </w:t>
            </w:r>
            <w:r w:rsidRPr="00AA7C8E">
              <w:rPr>
                <w:rFonts w:ascii="Times New Roman" w:hAnsi="Times New Roman"/>
                <w:snapToGrid/>
                <w:color w:val="000000"/>
                <w:sz w:val="18"/>
                <w:szCs w:val="22"/>
              </w:rPr>
              <w:t>Occupation (SOC Code): Management Occupations (110000).</w:t>
            </w:r>
          </w:p>
        </w:tc>
      </w:tr>
      <w:tr w:rsidRPr="00AA7C8E" w:rsidR="00AA7C8E" w:rsidTr="00AA7C8E" w14:paraId="7E2CFA50" w14:textId="77777777">
        <w:trPr>
          <w:gridAfter w:val="1"/>
          <w:wAfter w:w="1731" w:type="dxa"/>
          <w:trHeight w:val="288"/>
        </w:trPr>
        <w:tc>
          <w:tcPr>
            <w:tcW w:w="8000" w:type="dxa"/>
            <w:gridSpan w:val="4"/>
            <w:tcBorders>
              <w:top w:val="nil"/>
              <w:left w:val="nil"/>
              <w:bottom w:val="nil"/>
              <w:right w:val="nil"/>
            </w:tcBorders>
            <w:shd w:val="clear" w:color="auto" w:fill="auto"/>
            <w:noWrap/>
          </w:tcPr>
          <w:p w:rsidRPr="00AA7C8E" w:rsidR="00AA7C8E" w:rsidP="00AA7C8E" w:rsidRDefault="00AA7C8E" w14:paraId="51ECA2C3" w14:textId="112D78EF">
            <w:pPr>
              <w:widowControl/>
              <w:rPr>
                <w:rFonts w:ascii="Times New Roman" w:hAnsi="Times New Roman"/>
                <w:snapToGrid/>
                <w:color w:val="000000"/>
                <w:sz w:val="18"/>
                <w:szCs w:val="22"/>
              </w:rPr>
            </w:pPr>
            <w:r w:rsidRPr="00AA7C8E">
              <w:rPr>
                <w:rFonts w:ascii="Times New Roman" w:hAnsi="Times New Roman"/>
                <w:snapToGrid/>
                <w:color w:val="000000"/>
                <w:sz w:val="18"/>
                <w:szCs w:val="22"/>
              </w:rPr>
              <w:t>** Occupation (SOC Code): Compliance Officers (131040).</w:t>
            </w:r>
          </w:p>
        </w:tc>
      </w:tr>
      <w:tr w:rsidRPr="00AA7C8E" w:rsidR="00AA7C8E" w:rsidTr="00AA7C8E" w14:paraId="73B81F97" w14:textId="77777777">
        <w:trPr>
          <w:gridAfter w:val="1"/>
          <w:wAfter w:w="1731" w:type="dxa"/>
          <w:trHeight w:val="288"/>
        </w:trPr>
        <w:tc>
          <w:tcPr>
            <w:tcW w:w="8000" w:type="dxa"/>
            <w:gridSpan w:val="4"/>
            <w:tcBorders>
              <w:top w:val="nil"/>
              <w:left w:val="nil"/>
              <w:bottom w:val="nil"/>
              <w:right w:val="nil"/>
            </w:tcBorders>
            <w:shd w:val="clear" w:color="auto" w:fill="auto"/>
            <w:noWrap/>
          </w:tcPr>
          <w:p w:rsidRPr="00AA7C8E" w:rsidR="00AA7C8E" w:rsidP="00AA7C8E" w:rsidRDefault="00AA7C8E" w14:paraId="1E8BC959" w14:textId="440639E1">
            <w:pPr>
              <w:widowControl/>
              <w:rPr>
                <w:rFonts w:ascii="Times New Roman" w:hAnsi="Times New Roman"/>
                <w:snapToGrid/>
                <w:color w:val="000000"/>
                <w:sz w:val="18"/>
                <w:szCs w:val="22"/>
              </w:rPr>
            </w:pPr>
            <w:r w:rsidRPr="00AA7C8E">
              <w:rPr>
                <w:rFonts w:ascii="Times New Roman" w:hAnsi="Times New Roman"/>
                <w:snapToGrid/>
                <w:color w:val="000000"/>
                <w:sz w:val="18"/>
                <w:szCs w:val="22"/>
              </w:rPr>
              <w:t>*** Occupation (SOC Code): Office and Administrative Support Occupations (430000).</w:t>
            </w:r>
          </w:p>
        </w:tc>
      </w:tr>
    </w:tbl>
    <w:p w:rsidR="007B72BD" w:rsidP="00AF4AFC" w:rsidRDefault="007B72BD" w14:paraId="6C33DA1A" w14:textId="77777777">
      <w:pPr>
        <w:tabs>
          <w:tab w:val="left" w:pos="-1440"/>
        </w:tabs>
        <w:spacing w:line="360" w:lineRule="auto"/>
        <w:contextualSpacing/>
        <w:rPr>
          <w:rFonts w:ascii="Times New Roman" w:hAnsi="Times New Roman"/>
        </w:rPr>
      </w:pPr>
      <w:bookmarkStart w:name="_GoBack" w:id="2"/>
      <w:bookmarkEnd w:id="2"/>
    </w:p>
    <w:p w:rsidRPr="00CF34FA" w:rsidR="00994EDE" w:rsidRDefault="00994EDE" w14:paraId="4DCE12B7"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13.</w:t>
      </w:r>
      <w:r w:rsidRPr="00CF34FA">
        <w:rPr>
          <w:rFonts w:ascii="Times New Roman" w:hAnsi="Times New Roman"/>
        </w:rPr>
        <w:tab/>
      </w:r>
      <w:r w:rsidRPr="00CF34FA" w:rsidR="002701C6">
        <w:rPr>
          <w:rFonts w:ascii="Times New Roman" w:hAnsi="Times New Roman"/>
          <w:u w:val="single"/>
        </w:rPr>
        <w:t>Estimate of start-up cost to respondents:</w:t>
      </w:r>
    </w:p>
    <w:p w:rsidRPr="00CF34FA" w:rsidR="00994EDE" w:rsidRDefault="00994EDE" w14:paraId="75B0E49F"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994EDE" w14:paraId="1E3FA86A"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CF34FA">
        <w:rPr>
          <w:rFonts w:ascii="Times New Roman" w:hAnsi="Times New Roman"/>
        </w:rPr>
        <w:t>None.</w:t>
      </w:r>
    </w:p>
    <w:p w:rsidRPr="00CF34FA" w:rsidR="00994EDE" w:rsidRDefault="00994EDE" w14:paraId="0B2CBFB4"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994EDE" w14:paraId="4EC32406"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14.</w:t>
      </w:r>
      <w:r w:rsidRPr="00CF34FA">
        <w:rPr>
          <w:rFonts w:ascii="Times New Roman" w:hAnsi="Times New Roman"/>
        </w:rPr>
        <w:tab/>
      </w:r>
      <w:r w:rsidRPr="00CF34FA" w:rsidR="00586542">
        <w:rPr>
          <w:rFonts w:ascii="Times New Roman" w:hAnsi="Times New Roman"/>
          <w:u w:val="single"/>
        </w:rPr>
        <w:t>Estimate of annualized cost</w:t>
      </w:r>
      <w:r w:rsidRPr="00CF34FA" w:rsidR="002701C6">
        <w:rPr>
          <w:rFonts w:ascii="Times New Roman" w:hAnsi="Times New Roman"/>
          <w:u w:val="single"/>
        </w:rPr>
        <w:t>s</w:t>
      </w:r>
      <w:r w:rsidRPr="00CF34FA" w:rsidR="00586542">
        <w:rPr>
          <w:rFonts w:ascii="Times New Roman" w:hAnsi="Times New Roman"/>
          <w:u w:val="single"/>
        </w:rPr>
        <w:t xml:space="preserve"> to the g</w:t>
      </w:r>
      <w:r w:rsidRPr="00CF34FA">
        <w:rPr>
          <w:rFonts w:ascii="Times New Roman" w:hAnsi="Times New Roman"/>
          <w:u w:val="single"/>
        </w:rPr>
        <w:t>overnment</w:t>
      </w:r>
      <w:r w:rsidRPr="00CF34FA" w:rsidR="002701C6">
        <w:rPr>
          <w:rFonts w:ascii="Times New Roman" w:hAnsi="Times New Roman"/>
          <w:u w:val="single"/>
        </w:rPr>
        <w:t>:</w:t>
      </w:r>
    </w:p>
    <w:p w:rsidRPr="00CF34FA" w:rsidR="00994EDE" w:rsidRDefault="00994EDE" w14:paraId="2F49C688"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994EDE" w14:paraId="3C522CC4" w14:textId="77777777">
      <w:pPr>
        <w:widowControl/>
        <w:tabs>
          <w:tab w:val="left" w:pos="288"/>
          <w:tab w:val="left" w:pos="1008"/>
          <w:tab w:val="left" w:pos="1440"/>
          <w:tab w:val="left" w:pos="1872"/>
          <w:tab w:val="left" w:pos="3168"/>
          <w:tab w:val="left" w:pos="3888"/>
          <w:tab w:val="left" w:pos="7344"/>
        </w:tabs>
        <w:rPr>
          <w:rFonts w:ascii="Times New Roman" w:hAnsi="Times New Roman"/>
        </w:rPr>
      </w:pPr>
      <w:r w:rsidRPr="00CF34FA">
        <w:rPr>
          <w:rFonts w:ascii="Times New Roman" w:hAnsi="Times New Roman"/>
        </w:rPr>
        <w:tab/>
      </w:r>
      <w:r w:rsidRPr="00CF34FA">
        <w:rPr>
          <w:rFonts w:ascii="Times New Roman" w:hAnsi="Times New Roman"/>
        </w:rPr>
        <w:tab/>
        <w:t>None.</w:t>
      </w:r>
    </w:p>
    <w:p w:rsidRPr="00CF34FA" w:rsidR="00994EDE" w:rsidRDefault="00994EDE" w14:paraId="378C417B" w14:textId="77777777">
      <w:pPr>
        <w:widowControl/>
        <w:tabs>
          <w:tab w:val="left" w:pos="288"/>
          <w:tab w:val="left" w:pos="1008"/>
          <w:tab w:val="left" w:pos="1440"/>
          <w:tab w:val="left" w:pos="1872"/>
          <w:tab w:val="left" w:pos="3168"/>
          <w:tab w:val="left" w:pos="3888"/>
          <w:tab w:val="left" w:pos="7344"/>
        </w:tabs>
        <w:ind w:firstLine="1440"/>
        <w:rPr>
          <w:rFonts w:ascii="Times New Roman" w:hAnsi="Times New Roman"/>
        </w:rPr>
      </w:pPr>
    </w:p>
    <w:p w:rsidRPr="00CF34FA" w:rsidR="00994EDE" w:rsidRDefault="00994EDE" w14:paraId="1AB8E334"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15.</w:t>
      </w:r>
      <w:r w:rsidRPr="00CF34FA">
        <w:rPr>
          <w:rFonts w:ascii="Times New Roman" w:hAnsi="Times New Roman"/>
        </w:rPr>
        <w:tab/>
      </w:r>
      <w:r w:rsidRPr="003043C2" w:rsidR="00586542">
        <w:rPr>
          <w:rFonts w:ascii="Times New Roman" w:hAnsi="Times New Roman"/>
          <w:u w:val="single"/>
        </w:rPr>
        <w:t>Analysis of change in b</w:t>
      </w:r>
      <w:r w:rsidRPr="003043C2">
        <w:rPr>
          <w:rFonts w:ascii="Times New Roman" w:hAnsi="Times New Roman"/>
          <w:u w:val="single"/>
        </w:rPr>
        <w:t>urden</w:t>
      </w:r>
      <w:r w:rsidRPr="003043C2" w:rsidR="00586542">
        <w:rPr>
          <w:rFonts w:ascii="Times New Roman" w:hAnsi="Times New Roman"/>
          <w:u w:val="single"/>
        </w:rPr>
        <w:t>:</w:t>
      </w:r>
    </w:p>
    <w:p w:rsidRPr="00CF34FA" w:rsidR="00994EDE" w:rsidRDefault="00994EDE" w14:paraId="41F0FB5C"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F07A0C" w:rsidP="003043C2" w:rsidRDefault="003043C2" w14:paraId="4D169C43" w14:textId="3446240D">
      <w:pPr>
        <w:widowControl/>
        <w:tabs>
          <w:tab w:val="left" w:pos="288"/>
          <w:tab w:val="left" w:pos="1008"/>
          <w:tab w:val="left" w:pos="1440"/>
          <w:tab w:val="left" w:pos="1872"/>
          <w:tab w:val="left" w:pos="3168"/>
          <w:tab w:val="left" w:pos="3888"/>
          <w:tab w:val="left" w:pos="7344"/>
        </w:tabs>
        <w:ind w:left="1008"/>
        <w:rPr>
          <w:rFonts w:ascii="Times New Roman" w:hAnsi="Times New Roman"/>
          <w:iCs/>
          <w:lang w:bidi="en-US"/>
        </w:rPr>
      </w:pPr>
      <w:r w:rsidRPr="003043C2">
        <w:rPr>
          <w:rFonts w:ascii="Times New Roman" w:hAnsi="Times New Roman"/>
          <w:iCs/>
        </w:rPr>
        <w:t xml:space="preserve">There is no change in the method or substance of the collection.  </w:t>
      </w:r>
      <w:r w:rsidRPr="00A51FAC" w:rsidR="00A51FAC">
        <w:rPr>
          <w:rFonts w:ascii="Times New Roman" w:hAnsi="Times New Roman"/>
          <w:iCs/>
        </w:rPr>
        <w:t xml:space="preserve">The reduction in burden is the result </w:t>
      </w:r>
      <w:r>
        <w:rPr>
          <w:rFonts w:ascii="Times New Roman" w:hAnsi="Times New Roman"/>
          <w:iCs/>
          <w:lang w:bidi="en-US"/>
        </w:rPr>
        <w:t>of</w:t>
      </w:r>
      <w:r w:rsidRPr="003043C2">
        <w:rPr>
          <w:rFonts w:ascii="Times New Roman" w:hAnsi="Times New Roman"/>
          <w:iCs/>
          <w:lang w:bidi="en-US"/>
        </w:rPr>
        <w:t xml:space="preserve"> a </w:t>
      </w:r>
      <w:proofErr w:type="spellStart"/>
      <w:r w:rsidRPr="003043C2">
        <w:rPr>
          <w:rFonts w:ascii="Times New Roman" w:hAnsi="Times New Roman"/>
          <w:iCs/>
          <w:lang w:bidi="en-US"/>
        </w:rPr>
        <w:t>a</w:t>
      </w:r>
      <w:proofErr w:type="spellEnd"/>
      <w:r w:rsidRPr="003043C2">
        <w:rPr>
          <w:rFonts w:ascii="Times New Roman" w:hAnsi="Times New Roman"/>
          <w:iCs/>
          <w:lang w:bidi="en-US"/>
        </w:rPr>
        <w:t xml:space="preserve"> decline in the estimated number of respon</w:t>
      </w:r>
      <w:r w:rsidR="00A5406C">
        <w:rPr>
          <w:rFonts w:ascii="Times New Roman" w:hAnsi="Times New Roman"/>
          <w:iCs/>
          <w:lang w:bidi="en-US"/>
        </w:rPr>
        <w:t>dents</w:t>
      </w:r>
      <w:r w:rsidRPr="003043C2">
        <w:rPr>
          <w:rFonts w:ascii="Times New Roman" w:hAnsi="Times New Roman"/>
          <w:iCs/>
          <w:lang w:bidi="en-US"/>
        </w:rPr>
        <w:t>.</w:t>
      </w:r>
    </w:p>
    <w:p w:rsidRPr="00CF34FA" w:rsidR="003043C2" w:rsidP="003043C2" w:rsidRDefault="003043C2" w14:paraId="50320C47"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p>
    <w:p w:rsidRPr="00CF34FA" w:rsidR="00994EDE" w:rsidRDefault="00994EDE" w14:paraId="0BE686A9"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16.</w:t>
      </w:r>
      <w:r w:rsidRPr="00CF34FA">
        <w:rPr>
          <w:rFonts w:ascii="Times New Roman" w:hAnsi="Times New Roman"/>
        </w:rPr>
        <w:tab/>
      </w:r>
      <w:r w:rsidRPr="00CF34FA" w:rsidR="00586542">
        <w:rPr>
          <w:rFonts w:ascii="Times New Roman" w:hAnsi="Times New Roman"/>
          <w:u w:val="single"/>
        </w:rPr>
        <w:t>Information regarding collections whose results are planned to be published for statistical use:</w:t>
      </w:r>
    </w:p>
    <w:p w:rsidRPr="00CF34FA" w:rsidR="00994EDE" w:rsidRDefault="00994EDE" w14:paraId="25C8BFF6"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1C7588" w14:paraId="21790D8C" w14:textId="77777777">
      <w:pPr>
        <w:widowControl/>
        <w:tabs>
          <w:tab w:val="left" w:pos="288"/>
          <w:tab w:val="left" w:pos="1008"/>
          <w:tab w:val="left" w:pos="1440"/>
          <w:tab w:val="left" w:pos="1872"/>
          <w:tab w:val="left" w:pos="3168"/>
          <w:tab w:val="left" w:pos="3888"/>
          <w:tab w:val="left" w:pos="7344"/>
        </w:tabs>
        <w:ind w:firstLine="1008"/>
        <w:rPr>
          <w:rFonts w:ascii="Times New Roman" w:hAnsi="Times New Roman"/>
        </w:rPr>
      </w:pPr>
      <w:r w:rsidRPr="00CF34FA">
        <w:rPr>
          <w:rFonts w:ascii="Times New Roman" w:hAnsi="Times New Roman"/>
        </w:rPr>
        <w:t xml:space="preserve">No publication is made of this collection of information.  </w:t>
      </w:r>
    </w:p>
    <w:p w:rsidRPr="00CF34FA" w:rsidR="001C7588" w:rsidRDefault="001C7588" w14:paraId="3C096AC8" w14:textId="77777777">
      <w:pPr>
        <w:widowControl/>
        <w:tabs>
          <w:tab w:val="left" w:pos="288"/>
          <w:tab w:val="left" w:pos="1008"/>
          <w:tab w:val="left" w:pos="1440"/>
          <w:tab w:val="left" w:pos="1872"/>
          <w:tab w:val="left" w:pos="3168"/>
          <w:tab w:val="left" w:pos="3888"/>
          <w:tab w:val="left" w:pos="7344"/>
        </w:tabs>
        <w:ind w:firstLine="1008"/>
        <w:rPr>
          <w:rFonts w:ascii="Times New Roman" w:hAnsi="Times New Roman"/>
        </w:rPr>
      </w:pPr>
    </w:p>
    <w:p w:rsidRPr="00CF34FA" w:rsidR="00994EDE" w:rsidRDefault="001C7588" w14:paraId="505259F7" w14:textId="77777777">
      <w:pPr>
        <w:widowControl/>
        <w:numPr>
          <w:ilvl w:val="0"/>
          <w:numId w:val="1"/>
        </w:numPr>
        <w:tabs>
          <w:tab w:val="left" w:pos="288"/>
          <w:tab w:val="left" w:pos="1440"/>
          <w:tab w:val="left" w:pos="1872"/>
          <w:tab w:val="left" w:pos="3168"/>
          <w:tab w:val="left" w:pos="3888"/>
          <w:tab w:val="left" w:pos="7344"/>
        </w:tabs>
        <w:rPr>
          <w:rFonts w:ascii="Times New Roman" w:hAnsi="Times New Roman"/>
          <w:u w:val="single"/>
        </w:rPr>
      </w:pPr>
      <w:r w:rsidRPr="00CF34FA">
        <w:rPr>
          <w:rFonts w:ascii="Times New Roman" w:hAnsi="Times New Roman"/>
          <w:u w:val="single"/>
        </w:rPr>
        <w:t>Exceptions to Display of Expiration Date</w:t>
      </w:r>
    </w:p>
    <w:p w:rsidRPr="00CF34FA" w:rsidR="00994EDE" w:rsidRDefault="00994EDE" w14:paraId="0252345F" w14:textId="77777777">
      <w:pPr>
        <w:widowControl/>
        <w:tabs>
          <w:tab w:val="left" w:pos="288"/>
          <w:tab w:val="left" w:pos="1008"/>
          <w:tab w:val="left" w:pos="1440"/>
          <w:tab w:val="left" w:pos="1872"/>
          <w:tab w:val="left" w:pos="3168"/>
          <w:tab w:val="left" w:pos="3888"/>
          <w:tab w:val="left" w:pos="7344"/>
        </w:tabs>
        <w:rPr>
          <w:rFonts w:ascii="Times New Roman" w:hAnsi="Times New Roman"/>
          <w:u w:val="single"/>
        </w:rPr>
      </w:pPr>
    </w:p>
    <w:p w:rsidRPr="00CF34FA" w:rsidR="00994EDE" w:rsidRDefault="00E9015C" w14:paraId="26AFD99C"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CF34FA">
        <w:rPr>
          <w:rFonts w:ascii="Times New Roman" w:hAnsi="Times New Roman"/>
          <w:szCs w:val="24"/>
        </w:rPr>
        <w:t>Not applicable.</w:t>
      </w:r>
    </w:p>
    <w:p w:rsidRPr="00CF34FA" w:rsidR="00994EDE" w:rsidRDefault="00994EDE" w14:paraId="433BF8E3"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p>
    <w:p w:rsidRPr="00CF34FA" w:rsidR="00994EDE" w:rsidRDefault="00994EDE" w14:paraId="6EC7E452"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18.</w:t>
      </w:r>
      <w:r w:rsidRPr="00CF34FA">
        <w:rPr>
          <w:rFonts w:ascii="Times New Roman" w:hAnsi="Times New Roman"/>
        </w:rPr>
        <w:tab/>
      </w:r>
      <w:r w:rsidRPr="00CF34FA">
        <w:rPr>
          <w:rFonts w:ascii="Times New Roman" w:hAnsi="Times New Roman"/>
          <w:u w:val="single"/>
        </w:rPr>
        <w:t>Exceptions to Certification</w:t>
      </w:r>
    </w:p>
    <w:p w:rsidRPr="00CF34FA" w:rsidR="00994EDE" w:rsidRDefault="00994EDE" w14:paraId="058EFF0D"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994EDE" w14:paraId="59DB4081"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CF34FA">
        <w:rPr>
          <w:rFonts w:ascii="Times New Roman" w:hAnsi="Times New Roman"/>
        </w:rPr>
        <w:t>None.</w:t>
      </w:r>
    </w:p>
    <w:p w:rsidRPr="00CF34FA" w:rsidR="00994EDE" w:rsidRDefault="00994EDE" w14:paraId="4B468A33"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p>
    <w:p w:rsidRPr="00CF34FA" w:rsidR="00994EDE" w:rsidRDefault="00994EDE" w14:paraId="6C30B199" w14:textId="77777777">
      <w:pPr>
        <w:widowControl/>
        <w:tabs>
          <w:tab w:val="left" w:pos="288"/>
          <w:tab w:val="left" w:pos="1008"/>
          <w:tab w:val="left" w:pos="1440"/>
          <w:tab w:val="left" w:pos="1872"/>
          <w:tab w:val="left" w:pos="3168"/>
          <w:tab w:val="left" w:pos="3888"/>
          <w:tab w:val="left" w:pos="7344"/>
        </w:tabs>
        <w:rPr>
          <w:rFonts w:ascii="Times New Roman" w:hAnsi="Times New Roman"/>
        </w:rPr>
      </w:pPr>
      <w:r w:rsidRPr="00CF34FA">
        <w:rPr>
          <w:rFonts w:ascii="Times New Roman" w:hAnsi="Times New Roman"/>
        </w:rPr>
        <w:t>B.</w:t>
      </w:r>
      <w:r w:rsidRPr="00CF34FA">
        <w:rPr>
          <w:rFonts w:ascii="Times New Roman" w:hAnsi="Times New Roman"/>
        </w:rPr>
        <w:tab/>
      </w:r>
      <w:r w:rsidRPr="00CF34FA">
        <w:rPr>
          <w:rFonts w:ascii="Times New Roman" w:hAnsi="Times New Roman"/>
          <w:u w:val="single"/>
        </w:rPr>
        <w:t>STATISTICAL METHODS</w:t>
      </w:r>
    </w:p>
    <w:p w:rsidRPr="00CF34FA" w:rsidR="00994EDE" w:rsidRDefault="00994EDE" w14:paraId="231A2A14"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Pr="00CF34FA" w:rsidR="00994EDE" w:rsidRDefault="00994EDE" w14:paraId="3DCCFF88"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N</w:t>
      </w:r>
      <w:r w:rsidRPr="00CF34FA" w:rsidR="008426CB">
        <w:rPr>
          <w:rFonts w:ascii="Times New Roman" w:hAnsi="Times New Roman"/>
        </w:rPr>
        <w:t>ot applicable</w:t>
      </w:r>
      <w:r w:rsidRPr="00CF34FA">
        <w:rPr>
          <w:rFonts w:ascii="Times New Roman" w:hAnsi="Times New Roman"/>
        </w:rPr>
        <w:t>.</w:t>
      </w:r>
    </w:p>
    <w:sectPr w:rsidRPr="00CF34FA" w:rsidR="00994EDE">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F53C0" w14:textId="77777777" w:rsidR="00C60F76" w:rsidRDefault="00C60F76">
      <w:r>
        <w:separator/>
      </w:r>
    </w:p>
  </w:endnote>
  <w:endnote w:type="continuationSeparator" w:id="0">
    <w:p w14:paraId="096AB464" w14:textId="77777777" w:rsidR="00C60F76" w:rsidRDefault="00C6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BD05A" w14:textId="77777777" w:rsidR="00994EDE" w:rsidRDefault="00994E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54E52F" w14:textId="77777777" w:rsidR="00994EDE" w:rsidRDefault="00994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44168" w14:textId="77777777" w:rsidR="00994EDE" w:rsidRDefault="00994E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0A90B" w14:textId="77777777" w:rsidR="00994EDE" w:rsidRDefault="00994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EAE3C" w14:textId="77777777" w:rsidR="00C60F76" w:rsidRDefault="00C60F76">
      <w:r>
        <w:separator/>
      </w:r>
    </w:p>
  </w:footnote>
  <w:footnote w:type="continuationSeparator" w:id="0">
    <w:p w14:paraId="79F49041" w14:textId="77777777" w:rsidR="00C60F76" w:rsidRDefault="00C60F76">
      <w:r>
        <w:continuationSeparator/>
      </w:r>
    </w:p>
  </w:footnote>
  <w:footnote w:id="1">
    <w:p w14:paraId="03BD850E" w14:textId="77777777" w:rsidR="008E47C7" w:rsidRDefault="008E47C7" w:rsidP="008E47C7">
      <w:pPr>
        <w:pStyle w:val="FootnoteText"/>
      </w:pPr>
      <w:r w:rsidRPr="006D02AB">
        <w:rPr>
          <w:rStyle w:val="FootnoteReference"/>
          <w:vertAlign w:val="superscript"/>
        </w:rPr>
        <w:footnoteRef/>
      </w:r>
      <w:r>
        <w:t xml:space="preserve"> The term “Personally Identifiable Information”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w:t>
      </w:r>
    </w:p>
    <w:p w14:paraId="18A62881" w14:textId="77777777" w:rsidR="008E47C7" w:rsidRDefault="008E47C7" w:rsidP="008E47C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9B3C4" w14:textId="77777777" w:rsidR="00994EDE" w:rsidRDefault="00994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D121C" w14:textId="77777777" w:rsidR="00994EDE" w:rsidRDefault="00994E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95EC7" w14:textId="77777777" w:rsidR="00994EDE" w:rsidRDefault="00994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20537"/>
    <w:multiLevelType w:val="singleLevel"/>
    <w:tmpl w:val="90EAF164"/>
    <w:lvl w:ilvl="0">
      <w:start w:val="17"/>
      <w:numFmt w:val="decimal"/>
      <w:lvlText w:val="%1."/>
      <w:lvlJc w:val="left"/>
      <w:pPr>
        <w:tabs>
          <w:tab w:val="num" w:pos="1008"/>
        </w:tabs>
        <w:ind w:left="1008" w:hanging="720"/>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74"/>
    <w:rsid w:val="00024EB3"/>
    <w:rsid w:val="000863D6"/>
    <w:rsid w:val="000F577B"/>
    <w:rsid w:val="001A1B02"/>
    <w:rsid w:val="001C7588"/>
    <w:rsid w:val="002701C6"/>
    <w:rsid w:val="003043C2"/>
    <w:rsid w:val="0033110A"/>
    <w:rsid w:val="00366F1B"/>
    <w:rsid w:val="004122AC"/>
    <w:rsid w:val="00483A02"/>
    <w:rsid w:val="005029F1"/>
    <w:rsid w:val="00505FF6"/>
    <w:rsid w:val="00520F64"/>
    <w:rsid w:val="005366DA"/>
    <w:rsid w:val="00547707"/>
    <w:rsid w:val="00551535"/>
    <w:rsid w:val="00563A78"/>
    <w:rsid w:val="00586542"/>
    <w:rsid w:val="005E3844"/>
    <w:rsid w:val="0063384E"/>
    <w:rsid w:val="006505EA"/>
    <w:rsid w:val="00664F7F"/>
    <w:rsid w:val="00680823"/>
    <w:rsid w:val="006F2449"/>
    <w:rsid w:val="007757D7"/>
    <w:rsid w:val="00797DDC"/>
    <w:rsid w:val="007B72BD"/>
    <w:rsid w:val="007D7E3F"/>
    <w:rsid w:val="00823A18"/>
    <w:rsid w:val="0084189F"/>
    <w:rsid w:val="008426CB"/>
    <w:rsid w:val="00845C62"/>
    <w:rsid w:val="0088647E"/>
    <w:rsid w:val="008D0235"/>
    <w:rsid w:val="008E47C7"/>
    <w:rsid w:val="008E4EB0"/>
    <w:rsid w:val="00945A45"/>
    <w:rsid w:val="00994EDE"/>
    <w:rsid w:val="009D7CBB"/>
    <w:rsid w:val="00A51FAC"/>
    <w:rsid w:val="00A5406C"/>
    <w:rsid w:val="00A907C9"/>
    <w:rsid w:val="00AA7C8E"/>
    <w:rsid w:val="00AD1170"/>
    <w:rsid w:val="00AF4AFC"/>
    <w:rsid w:val="00B13FE0"/>
    <w:rsid w:val="00BB1AA5"/>
    <w:rsid w:val="00C07C2D"/>
    <w:rsid w:val="00C36DBB"/>
    <w:rsid w:val="00C60F76"/>
    <w:rsid w:val="00C81EE6"/>
    <w:rsid w:val="00CE2D0F"/>
    <w:rsid w:val="00CF34FA"/>
    <w:rsid w:val="00D17E74"/>
    <w:rsid w:val="00D566F2"/>
    <w:rsid w:val="00DD0259"/>
    <w:rsid w:val="00DD39B4"/>
    <w:rsid w:val="00E13550"/>
    <w:rsid w:val="00E47A40"/>
    <w:rsid w:val="00E9015C"/>
    <w:rsid w:val="00E90A8F"/>
    <w:rsid w:val="00F07A0C"/>
    <w:rsid w:val="00F36609"/>
    <w:rsid w:val="00F76371"/>
    <w:rsid w:val="00FC0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39CD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Nota,Footnote symbol,Footnote,Appel note de bas de p,BVI fnr,SUPERS,Footnote Reference Superscript,(Footnote Reference),Footnote reference number,note TESI,EN Footnote Reference,Voetnootverwijzing, BVI fnr"/>
    <w:uiPriority w:val="99"/>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uiPriority w:val="59"/>
    <w:rsid w:val="007D7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t,fn,ALTS FOOTNOTE,Style 15,Style 40 Char Char,Style 40 Char,Footnote Text Char Char Char Char Char Char Char Char Char Char Char Char Char Char Char Char Char,Footnote Text Char1 Char Char,ORP Footnote,Car,Char"/>
    <w:basedOn w:val="Normal"/>
    <w:link w:val="FootnoteTextChar"/>
    <w:uiPriority w:val="99"/>
    <w:unhideWhenUsed/>
    <w:qFormat/>
    <w:rsid w:val="000863D6"/>
    <w:pPr>
      <w:widowControl/>
    </w:pPr>
    <w:rPr>
      <w:rFonts w:ascii="Times New Roman" w:hAnsi="Times New Roman"/>
      <w:snapToGrid/>
      <w:sz w:val="20"/>
    </w:rPr>
  </w:style>
  <w:style w:type="character" w:customStyle="1" w:styleId="FootnoteTextChar">
    <w:name w:val="Footnote Text Char"/>
    <w:aliases w:val="Footnote Text Char Char Char,ft Char,fn Char,ALTS FOOTNOTE Char,Style 15 Char,Style 40 Char Char Char,Style 40 Char Char1,Footnote Text Char Char Char Char Char Char Char Char Char Char Char Char Char Char Char Char Char Char,Car Char"/>
    <w:basedOn w:val="DefaultParagraphFont"/>
    <w:link w:val="FootnoteText"/>
    <w:rsid w:val="000863D6"/>
  </w:style>
  <w:style w:type="character" w:styleId="Hyperlink">
    <w:name w:val="Hyperlink"/>
    <w:unhideWhenUsed/>
    <w:rsid w:val="00C81EE6"/>
    <w:rPr>
      <w:color w:val="0000FF"/>
      <w:u w:val="single"/>
    </w:rPr>
  </w:style>
  <w:style w:type="character" w:styleId="FollowedHyperlink">
    <w:name w:val="FollowedHyperlink"/>
    <w:basedOn w:val="DefaultParagraphFont"/>
    <w:rsid w:val="00C07C2D"/>
    <w:rPr>
      <w:color w:val="954F72" w:themeColor="followedHyperlink"/>
      <w:u w:val="single"/>
    </w:rPr>
  </w:style>
  <w:style w:type="paragraph" w:styleId="BalloonText">
    <w:name w:val="Balloon Text"/>
    <w:basedOn w:val="Normal"/>
    <w:link w:val="BalloonTextChar"/>
    <w:rsid w:val="000F577B"/>
    <w:rPr>
      <w:rFonts w:ascii="Segoe UI" w:hAnsi="Segoe UI" w:cs="Segoe UI"/>
      <w:sz w:val="18"/>
      <w:szCs w:val="18"/>
    </w:rPr>
  </w:style>
  <w:style w:type="character" w:customStyle="1" w:styleId="BalloonTextChar">
    <w:name w:val="Balloon Text Char"/>
    <w:basedOn w:val="DefaultParagraphFont"/>
    <w:link w:val="BalloonText"/>
    <w:rsid w:val="000F577B"/>
    <w:rPr>
      <w:rFonts w:ascii="Segoe UI" w:hAnsi="Segoe UI" w:cs="Segoe UI"/>
      <w:snapToGrid w:val="0"/>
      <w:sz w:val="18"/>
      <w:szCs w:val="18"/>
    </w:rPr>
  </w:style>
  <w:style w:type="table" w:customStyle="1" w:styleId="TableGrid1">
    <w:name w:val="Table Grid1"/>
    <w:basedOn w:val="TableNormal"/>
    <w:next w:val="TableGrid"/>
    <w:uiPriority w:val="39"/>
    <w:rsid w:val="00E9015C"/>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A1B02"/>
    <w:rPr>
      <w:sz w:val="16"/>
      <w:szCs w:val="16"/>
    </w:rPr>
  </w:style>
  <w:style w:type="paragraph" w:styleId="CommentText">
    <w:name w:val="annotation text"/>
    <w:basedOn w:val="Normal"/>
    <w:link w:val="CommentTextChar"/>
    <w:rsid w:val="001A1B02"/>
    <w:rPr>
      <w:sz w:val="20"/>
    </w:rPr>
  </w:style>
  <w:style w:type="character" w:customStyle="1" w:styleId="CommentTextChar">
    <w:name w:val="Comment Text Char"/>
    <w:basedOn w:val="DefaultParagraphFont"/>
    <w:link w:val="CommentText"/>
    <w:rsid w:val="001A1B02"/>
    <w:rPr>
      <w:rFonts w:ascii="Courier" w:hAnsi="Courier"/>
      <w:snapToGrid w:val="0"/>
    </w:rPr>
  </w:style>
  <w:style w:type="paragraph" w:styleId="CommentSubject">
    <w:name w:val="annotation subject"/>
    <w:basedOn w:val="CommentText"/>
    <w:next w:val="CommentText"/>
    <w:link w:val="CommentSubjectChar"/>
    <w:rsid w:val="001A1B02"/>
    <w:rPr>
      <w:b/>
      <w:bCs/>
    </w:rPr>
  </w:style>
  <w:style w:type="character" w:customStyle="1" w:styleId="CommentSubjectChar">
    <w:name w:val="Comment Subject Char"/>
    <w:basedOn w:val="CommentTextChar"/>
    <w:link w:val="CommentSubject"/>
    <w:rsid w:val="001A1B02"/>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ic.gov/regulations/laws/rules/2000-4000.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dic.gov/about/privacy/assessment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FD6F6-88C7-4FFE-9F19-CF4ADE7E0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1081</Words>
  <Characters>6709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7775</CharactersWithSpaces>
  <SharedDoc>false</SharedDoc>
  <HLinks>
    <vt:vector size="6" baseType="variant">
      <vt:variant>
        <vt:i4>4718674</vt:i4>
      </vt:variant>
      <vt:variant>
        <vt:i4>0</vt:i4>
      </vt:variant>
      <vt:variant>
        <vt:i4>0</vt:i4>
      </vt:variant>
      <vt:variant>
        <vt:i4>5</vt:i4>
      </vt:variant>
      <vt:variant>
        <vt:lpwstr>http://www.fdic.gov/forms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2011-11-15T15:59:00Z</cp:lastPrinted>
  <dcterms:created xsi:type="dcterms:W3CDTF">2021-06-10T17:12:00Z</dcterms:created>
  <dcterms:modified xsi:type="dcterms:W3CDTF">2021-06-10T17:12:00Z</dcterms:modified>
</cp:coreProperties>
</file>