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5243" w:rsidP="00506F0A" w:rsidRDefault="0025093A" w14:paraId="119ADE1B" w14:textId="77777777">
      <w:pPr>
        <w:jc w:val="center"/>
        <w:rPr>
          <w:b/>
        </w:rPr>
      </w:pPr>
      <w:r>
        <w:rPr>
          <w:b/>
        </w:rPr>
        <w:t>NARRATIVE SUPPORTING STATEMENT</w:t>
      </w:r>
      <w:r w:rsidR="005B407D">
        <w:rPr>
          <w:b/>
        </w:rPr>
        <w:t xml:space="preserve"> FOR</w:t>
      </w:r>
    </w:p>
    <w:p w:rsidR="005B407D" w:rsidP="00506F0A" w:rsidRDefault="0025093A" w14:paraId="119ADE1C" w14:textId="28FC1E48">
      <w:pPr>
        <w:jc w:val="center"/>
        <w:rPr>
          <w:b/>
        </w:rPr>
      </w:pPr>
      <w:r>
        <w:rPr>
          <w:b/>
        </w:rPr>
        <w:t xml:space="preserve">46 CFR </w:t>
      </w:r>
      <w:r w:rsidR="008331C3">
        <w:rPr>
          <w:b/>
        </w:rPr>
        <w:t xml:space="preserve">PART </w:t>
      </w:r>
      <w:r>
        <w:rPr>
          <w:b/>
        </w:rPr>
        <w:t>5</w:t>
      </w:r>
      <w:r w:rsidR="005B407D">
        <w:rPr>
          <w:b/>
        </w:rPr>
        <w:t>2</w:t>
      </w:r>
      <w:r w:rsidR="00794389">
        <w:rPr>
          <w:b/>
        </w:rPr>
        <w:t>0</w:t>
      </w:r>
      <w:r w:rsidR="005B407D">
        <w:rPr>
          <w:b/>
        </w:rPr>
        <w:t xml:space="preserve"> </w:t>
      </w:r>
      <w:r w:rsidR="00794389">
        <w:rPr>
          <w:b/>
        </w:rPr>
        <w:t>–</w:t>
      </w:r>
      <w:r w:rsidR="005B407D">
        <w:rPr>
          <w:b/>
        </w:rPr>
        <w:t xml:space="preserve"> </w:t>
      </w:r>
      <w:r w:rsidR="00794389">
        <w:rPr>
          <w:b/>
        </w:rPr>
        <w:t>CARRIER AUTOMATED TARIFF SYSTEMS</w:t>
      </w:r>
    </w:p>
    <w:p w:rsidR="0025093A" w:rsidP="00506F0A" w:rsidRDefault="005B407D" w14:paraId="119ADE1D" w14:textId="77777777">
      <w:pPr>
        <w:jc w:val="center"/>
        <w:rPr>
          <w:b/>
        </w:rPr>
      </w:pPr>
      <w:r>
        <w:rPr>
          <w:b/>
        </w:rPr>
        <w:t>AND RELATED FORM FMC-1</w:t>
      </w:r>
    </w:p>
    <w:p w:rsidR="0025093A" w:rsidP="00506F0A" w:rsidRDefault="0025093A" w14:paraId="119ADE1E" w14:textId="77777777"/>
    <w:p w:rsidR="0025093A" w:rsidP="00506F0A" w:rsidRDefault="0025093A" w14:paraId="119ADE1F" w14:textId="77777777"/>
    <w:p w:rsidRPr="001D5B6E" w:rsidR="0025093A" w:rsidP="00506F0A" w:rsidRDefault="0025093A" w14:paraId="119ADE20" w14:textId="77777777">
      <w:pPr>
        <w:rPr>
          <w:b/>
        </w:rPr>
      </w:pPr>
      <w:r w:rsidRPr="001D5B6E">
        <w:rPr>
          <w:b/>
        </w:rPr>
        <w:t>A.</w:t>
      </w:r>
      <w:r w:rsidRPr="001D5B6E">
        <w:rPr>
          <w:b/>
        </w:rPr>
        <w:tab/>
        <w:t>Justification</w:t>
      </w:r>
    </w:p>
    <w:p w:rsidR="00650CCA" w:rsidP="00506F0A" w:rsidRDefault="00650CCA" w14:paraId="119ADE21" w14:textId="77777777"/>
    <w:p w:rsidR="00D42071" w:rsidP="00506F0A" w:rsidRDefault="00D42071" w14:paraId="7DC4990B" w14:textId="77777777">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42071" w:rsidP="00506F0A" w:rsidRDefault="00D42071" w14:paraId="0BEE0899" w14:textId="77777777"/>
    <w:p w:rsidR="0025093A" w:rsidP="00506F0A" w:rsidRDefault="0025093A" w14:paraId="119ADE22" w14:textId="5141F06A">
      <w:r>
        <w:tab/>
      </w:r>
      <w:r w:rsidR="00B82390">
        <w:t>Section 8(</w:t>
      </w:r>
      <w:r w:rsidR="00657432">
        <w:t>a)</w:t>
      </w:r>
      <w:r w:rsidR="00B82390">
        <w:t xml:space="preserve"> of t</w:t>
      </w:r>
      <w:r w:rsidR="00795906">
        <w:t>he Shipping Act of 1984</w:t>
      </w:r>
      <w:r w:rsidR="003267C7">
        <w:t xml:space="preserve"> (1984 Act</w:t>
      </w:r>
      <w:r w:rsidR="00657432">
        <w:t>)</w:t>
      </w:r>
      <w:r w:rsidR="00795906">
        <w:t>, as amended by the Ocean Shipping Reform Act of 1998</w:t>
      </w:r>
      <w:r w:rsidR="003267C7">
        <w:t xml:space="preserve"> (</w:t>
      </w:r>
      <w:r w:rsidR="00657432">
        <w:t>OSRA)</w:t>
      </w:r>
      <w:r w:rsidR="00795906">
        <w:t xml:space="preserve">, </w:t>
      </w:r>
      <w:r w:rsidR="005763D1">
        <w:t>46 U.S.C. 40501(a)-(</w:t>
      </w:r>
      <w:r w:rsidR="00083EA6">
        <w:t>c</w:t>
      </w:r>
      <w:r w:rsidR="005763D1">
        <w:t>)</w:t>
      </w:r>
      <w:r w:rsidR="00657432">
        <w:t>, requires common carriers and conferences of such common carriers to publish and keep open to publi</w:t>
      </w:r>
      <w:r w:rsidR="001408CC">
        <w:t xml:space="preserve">c </w:t>
      </w:r>
      <w:r w:rsidR="00657432">
        <w:t xml:space="preserve">inspection in automated tariff systems, tariffs showing all rates, charges, classifications, rules and practices between all points or ports on their own routes for transportation of cargo between the U.S. and foreign ports, and on any through transportation route that has been established.  These tariffs are made available electronically to any person through appropriate access from remote locations, and a reasonable charge may be assessed for such access, except for Federal agencies.  </w:t>
      </w:r>
    </w:p>
    <w:p w:rsidR="001408CC" w:rsidP="00506F0A" w:rsidRDefault="001408CC" w14:paraId="119ADE23" w14:textId="77777777"/>
    <w:p w:rsidR="001408CC" w:rsidP="00506F0A" w:rsidRDefault="001408CC" w14:paraId="119ADE24" w14:textId="2D6D5599">
      <w:r>
        <w:tab/>
        <w:t xml:space="preserve">Each common carrier and conference </w:t>
      </w:r>
      <w:proofErr w:type="gramStart"/>
      <w:r>
        <w:t>is</w:t>
      </w:r>
      <w:proofErr w:type="gramEnd"/>
      <w:r>
        <w:t xml:space="preserve"> required to notify the </w:t>
      </w:r>
      <w:r w:rsidR="00506F0A">
        <w:t xml:space="preserve">Commission’s </w:t>
      </w:r>
      <w:r>
        <w:t xml:space="preserve">Bureau of Trade Analysis, prior to the commencement of common carrier service pursuant to a published tariff, of its organization name, organization number, home office address, name and telephone number of firm’s representative, the location of its tariffs, and the publisher, if any, used to maintain its tariffs, by electronically submitting Form FMC-1 via the Commission’s website.  </w:t>
      </w:r>
    </w:p>
    <w:p w:rsidR="00657432" w:rsidP="00506F0A" w:rsidRDefault="00657432" w14:paraId="119ADE25" w14:textId="77777777"/>
    <w:p w:rsidR="00B82390" w:rsidP="006A10F9" w:rsidRDefault="00657432" w14:paraId="119ADE27" w14:textId="499D3521">
      <w:r>
        <w:tab/>
        <w:t xml:space="preserve">The purpose of these regulations is to permit shippers and other members of the public to obtain reliable and accurate information concerning the rates and charges that will be assessed by common carriers and conferences for their transportation services and to help carriers and conferences meet their publication requirements under section 8(a) of the </w:t>
      </w:r>
      <w:r w:rsidR="00CD2A4F">
        <w:t>Shipping</w:t>
      </w:r>
      <w:r>
        <w:t xml:space="preserve"> Act</w:t>
      </w:r>
      <w:r w:rsidR="00506F0A">
        <w:t>, 46 U.S.C. 40501(g)</w:t>
      </w:r>
      <w:r>
        <w:t xml:space="preserve">.  </w:t>
      </w:r>
    </w:p>
    <w:p w:rsidR="001D5B6E" w:rsidP="00506F0A" w:rsidRDefault="001D5B6E" w14:paraId="119ADE28" w14:textId="77777777"/>
    <w:p w:rsidRPr="00B772FD" w:rsidR="00D42071" w:rsidP="00506F0A" w:rsidRDefault="00D42071" w14:paraId="0DFCB91D" w14:textId="77777777">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rsidR="00D42071" w:rsidP="00506F0A" w:rsidRDefault="00D42071" w14:paraId="526782A8" w14:textId="77777777"/>
    <w:p w:rsidR="001D5B6E" w:rsidP="00506F0A" w:rsidRDefault="001D5B6E" w14:paraId="119ADE29" w14:textId="04D32853">
      <w:r>
        <w:tab/>
      </w:r>
      <w:r w:rsidR="000E473A">
        <w:t>The Commission</w:t>
      </w:r>
      <w:r w:rsidR="00657432">
        <w:t>’s Bureau of Trade Analysis use</w:t>
      </w:r>
      <w:r w:rsidR="00F0475E">
        <w:t>s</w:t>
      </w:r>
      <w:r w:rsidR="00657432">
        <w:t xml:space="preserve"> the information published in tariffs of common carriers and conferences to monitor their activities and to ensure the accessibility and accuracy of automated tariff systems as required by section 8(g) of the </w:t>
      </w:r>
      <w:r w:rsidR="00CD2A4F">
        <w:t>Shipping</w:t>
      </w:r>
      <w:r w:rsidR="00657432">
        <w:t xml:space="preserve"> Act.  </w:t>
      </w:r>
      <w:proofErr w:type="gramStart"/>
      <w:r w:rsidR="00657432">
        <w:t>In order to</w:t>
      </w:r>
      <w:proofErr w:type="gramEnd"/>
      <w:r w:rsidR="00657432">
        <w:t xml:space="preserve"> effectively carry out its duties, the Commission use</w:t>
      </w:r>
      <w:r w:rsidR="00A9550C">
        <w:t>s</w:t>
      </w:r>
      <w:r w:rsidR="00657432">
        <w:t xml:space="preserve"> the information to protect the public from violations by carriers of section 10 of the </w:t>
      </w:r>
      <w:r w:rsidR="00CD2A4F">
        <w:t>Shipping</w:t>
      </w:r>
      <w:r w:rsidR="00657432">
        <w:t xml:space="preserve"> Act</w:t>
      </w:r>
      <w:r w:rsidR="00506F0A">
        <w:t>, 46 U.S.C. 41102-41105</w:t>
      </w:r>
      <w:r w:rsidR="00657432">
        <w:t xml:space="preserve">.  It </w:t>
      </w:r>
      <w:r w:rsidR="00F0475E">
        <w:t xml:space="preserve">also </w:t>
      </w:r>
      <w:r w:rsidR="00657432">
        <w:t>allow</w:t>
      </w:r>
      <w:r w:rsidR="00A9550C">
        <w:t>s</w:t>
      </w:r>
      <w:r w:rsidR="00657432">
        <w:t xml:space="preserve"> the Commission to review and monitor the activities of controlled carriers pursuant to section 9 of the </w:t>
      </w:r>
      <w:r w:rsidR="00CD2A4F">
        <w:t>Shipping</w:t>
      </w:r>
      <w:r w:rsidR="00657432">
        <w:t xml:space="preserve"> Act</w:t>
      </w:r>
      <w:r w:rsidR="00506F0A">
        <w:t>, 46 U.S.C. 40701-40706</w:t>
      </w:r>
      <w:r w:rsidR="00657432">
        <w:t xml:space="preserve">.  If such information were not collected, the Commission would be precluded from carrying out its statutory and regulatory responsibilities.      </w:t>
      </w:r>
    </w:p>
    <w:p w:rsidR="001D5B6E" w:rsidP="00506F0A" w:rsidRDefault="001D5B6E" w14:paraId="119ADE2A" w14:textId="77777777"/>
    <w:p w:rsidRPr="00B772FD" w:rsidR="00D42071" w:rsidP="00506F0A" w:rsidRDefault="00D42071" w14:paraId="393EDA52" w14:textId="77777777">
      <w:pPr>
        <w:autoSpaceDE w:val="0"/>
        <w:autoSpaceDN w:val="0"/>
        <w:adjustRightInd w:val="0"/>
        <w:rPr>
          <w:rFonts w:eastAsia="Calibri"/>
          <w:color w:val="000000"/>
        </w:rPr>
      </w:pPr>
      <w:r w:rsidRPr="00B772FD">
        <w:rPr>
          <w:rFonts w:eastAsia="Calibri"/>
          <w:b/>
          <w:bCs/>
          <w:color w:val="000000"/>
        </w:rPr>
        <w:lastRenderedPageBreak/>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D42071" w:rsidP="00506F0A" w:rsidRDefault="00D42071" w14:paraId="7D61466A" w14:textId="77777777"/>
    <w:p w:rsidR="00E326E3" w:rsidP="00506F0A" w:rsidRDefault="00043E4B" w14:paraId="119ADE2D" w14:textId="2F0C1718">
      <w:r>
        <w:tab/>
      </w:r>
      <w:r w:rsidR="00A9550C">
        <w:t>C</w:t>
      </w:r>
      <w:r w:rsidR="00F0475E">
        <w:t>arriers and conferences publish tariff data in private automated systems</w:t>
      </w:r>
      <w:r w:rsidR="00A9550C">
        <w:t xml:space="preserve"> or on carrier websites</w:t>
      </w:r>
      <w:r w:rsidR="00F0475E">
        <w:t xml:space="preserve">.  It is intended that the shipping </w:t>
      </w:r>
      <w:r w:rsidR="00CD2A4F">
        <w:t>public</w:t>
      </w:r>
      <w:r w:rsidR="00F0475E">
        <w:t xml:space="preserve"> will continue to have access to accurate tariff information.   </w:t>
      </w:r>
      <w:r w:rsidR="001408CC">
        <w:t xml:space="preserve">Form FMC-1 is filed electronically with the agency.  </w:t>
      </w:r>
    </w:p>
    <w:p w:rsidR="00E326E3" w:rsidP="00506F0A" w:rsidRDefault="00E326E3" w14:paraId="119ADE2E" w14:textId="77777777"/>
    <w:p w:rsidR="00D42071" w:rsidP="00506F0A" w:rsidRDefault="00D42071" w14:paraId="3AB491AF" w14:textId="77777777">
      <w:r w:rsidRPr="006B6A52">
        <w:rPr>
          <w:b/>
          <w:bCs/>
        </w:rPr>
        <w:t xml:space="preserve">4. </w:t>
      </w:r>
      <w:r>
        <w:rPr>
          <w:b/>
          <w:bCs/>
        </w:rPr>
        <w:tab/>
      </w:r>
      <w:r w:rsidRPr="006B6A52">
        <w:rPr>
          <w:b/>
          <w:bCs/>
        </w:rPr>
        <w:t>Describe efforts to identify duplication</w:t>
      </w:r>
      <w:r>
        <w:t>.</w:t>
      </w:r>
    </w:p>
    <w:p w:rsidR="00D42071" w:rsidP="00506F0A" w:rsidRDefault="00D42071" w14:paraId="5A5F50ED" w14:textId="77777777"/>
    <w:p w:rsidR="00E326E3" w:rsidP="00506F0A" w:rsidRDefault="00E326E3" w14:paraId="119ADE30" w14:textId="7DDEC0F7">
      <w:r>
        <w:tab/>
      </w:r>
      <w:r w:rsidR="00F0475E">
        <w:t>Carriers and conferences, as part of their business practice, are required to keep tariff information available in their private publications.  Since this information is no</w:t>
      </w:r>
      <w:r w:rsidR="00A9550C">
        <w:t>t</w:t>
      </w:r>
      <w:r w:rsidR="00F0475E">
        <w:t xml:space="preserve"> </w:t>
      </w:r>
      <w:r w:rsidR="00A9550C">
        <w:t xml:space="preserve">filed with </w:t>
      </w:r>
      <w:r w:rsidR="00F0475E">
        <w:t>the Commission, their systems are the only public repository where a complete copy of each carrier’s and conference’s tariff containing historical rates may be found.</w:t>
      </w:r>
    </w:p>
    <w:p w:rsidR="00E326E3" w:rsidP="00506F0A" w:rsidRDefault="00E326E3" w14:paraId="119ADE31" w14:textId="77777777"/>
    <w:p w:rsidRPr="00B772FD" w:rsidR="00D42071" w:rsidP="00506F0A" w:rsidRDefault="00D42071" w14:paraId="199482B0" w14:textId="77777777">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rsidR="00D42071" w:rsidP="00506F0A" w:rsidRDefault="00D42071" w14:paraId="136FB76C" w14:textId="77777777"/>
    <w:p w:rsidR="00E326E3" w:rsidP="00506F0A" w:rsidRDefault="00E326E3" w14:paraId="119ADE33" w14:textId="659DCE59">
      <w:r>
        <w:tab/>
      </w:r>
      <w:r w:rsidR="00A13F5B">
        <w:t xml:space="preserve">This collection of information does not have a significant impact on small businesses or other small entities.  </w:t>
      </w:r>
    </w:p>
    <w:p w:rsidR="00E326E3" w:rsidP="00506F0A" w:rsidRDefault="00E326E3" w14:paraId="119ADE34" w14:textId="77777777"/>
    <w:p w:rsidRPr="00B772FD" w:rsidR="00D42071" w:rsidP="00506F0A" w:rsidRDefault="00D42071" w14:paraId="0C07E527" w14:textId="77777777">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rsidR="00D42071" w:rsidP="00506F0A" w:rsidRDefault="00D42071" w14:paraId="5D3C7061" w14:textId="77777777"/>
    <w:p w:rsidR="00E326E3" w:rsidP="00506F0A" w:rsidRDefault="00E326E3" w14:paraId="119ADE36" w14:textId="720207AB">
      <w:r>
        <w:tab/>
      </w:r>
      <w:r w:rsidR="00D93415">
        <w:t>The Commission ensures that tariffs are published, and the location of those tariff</w:t>
      </w:r>
      <w:r w:rsidR="00590CC8">
        <w:t xml:space="preserve">s are made public, within a specific time frame assigned by the agency. </w:t>
      </w:r>
      <w:r w:rsidR="00F0475E">
        <w:t xml:space="preserve">If this information were not published as specified, the Commission would not be able to determine compliance with the statute and the Commission’s regulations, and the shipping public would not have reliable </w:t>
      </w:r>
      <w:r w:rsidR="00A9550C">
        <w:t xml:space="preserve">information on carrier rates, charges, classifications, </w:t>
      </w:r>
      <w:proofErr w:type="gramStart"/>
      <w:r w:rsidR="00A9550C">
        <w:t>rules</w:t>
      </w:r>
      <w:proofErr w:type="gramEnd"/>
      <w:r w:rsidR="00A9550C">
        <w:t xml:space="preserve"> and practices</w:t>
      </w:r>
      <w:r w:rsidR="00F0475E">
        <w:t>.</w:t>
      </w:r>
    </w:p>
    <w:p w:rsidR="00E326E3" w:rsidP="00506F0A" w:rsidRDefault="00E326E3" w14:paraId="119ADE37" w14:textId="77777777"/>
    <w:p w:rsidR="00D42071" w:rsidP="00506F0A" w:rsidRDefault="00D42071" w14:paraId="333C0CBC" w14:textId="77777777">
      <w:pPr>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w:t>
      </w:r>
      <w:r w:rsidRPr="006B6A52">
        <w:rPr>
          <w:b/>
          <w:bCs/>
        </w:rPr>
        <w:lastRenderedPageBreak/>
        <w:t xml:space="preserve">confidential information unless the agency can demonstrate that it has instituted procedures to protect the information’s confidentiality to the extent permitted by law. </w:t>
      </w:r>
    </w:p>
    <w:p w:rsidR="00D42071" w:rsidP="00506F0A" w:rsidRDefault="00D42071" w14:paraId="729A49E0" w14:textId="77777777"/>
    <w:p w:rsidR="00E326E3" w:rsidP="00506F0A" w:rsidRDefault="003267C7" w14:paraId="119ADE39" w14:textId="52ED1512">
      <w:r>
        <w:tab/>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w:t>
      </w:r>
      <w:r w:rsidR="008C1ADF">
        <w:t xml:space="preserve">Additionally, </w:t>
      </w:r>
      <w:r w:rsidR="001C23B2">
        <w:t>the information collect</w:t>
      </w:r>
      <w:r w:rsidR="00EF45DB">
        <w:t>ion</w:t>
      </w:r>
      <w:r w:rsidR="001C23B2">
        <w:t xml:space="preserve"> is not used in connection with a statistical survey</w:t>
      </w:r>
      <w:r w:rsidR="00EF45DB">
        <w:t xml:space="preserve">, </w:t>
      </w:r>
      <w:r w:rsidR="00836B06">
        <w:t xml:space="preserve">nor does it </w:t>
      </w:r>
      <w:r w:rsidR="00EF45DB">
        <w:t>require</w:t>
      </w:r>
      <w:r w:rsidR="00C856FF">
        <w:t xml:space="preserve"> the use of statistical data c</w:t>
      </w:r>
      <w:r w:rsidR="00C63C00">
        <w:t>lassification.</w:t>
      </w:r>
      <w:r w:rsidR="00C856FF">
        <w:t xml:space="preserve"> </w:t>
      </w:r>
      <w:r>
        <w:t xml:space="preserve"> There is a five-year recordkeeping requirement that is consistent with the statute of limitation provisions in section 13(f) of the Shipping Act, 46 U.S.C. 41109.  </w:t>
      </w:r>
      <w:r w:rsidR="00F0475E">
        <w:t xml:space="preserve">  </w:t>
      </w:r>
    </w:p>
    <w:p w:rsidR="00E326E3" w:rsidP="00506F0A" w:rsidRDefault="00E326E3" w14:paraId="119ADE3A" w14:textId="77777777"/>
    <w:p w:rsidRPr="00B772FD" w:rsidR="00D42071" w:rsidP="00506F0A" w:rsidRDefault="00D42071" w14:paraId="1B666016" w14:textId="77777777">
      <w:pPr>
        <w:autoSpaceDE w:val="0"/>
        <w:autoSpaceDN w:val="0"/>
        <w:adjustRightInd w:val="0"/>
        <w:rPr>
          <w:rFonts w:eastAsia="Calibri"/>
          <w:b/>
          <w:bCs/>
          <w:color w:val="000000"/>
        </w:rPr>
      </w:pPr>
      <w:r w:rsidRPr="00B772FD">
        <w:rPr>
          <w:rFonts w:eastAsia="Calibri"/>
          <w:b/>
          <w:bCs/>
          <w:color w:val="000000"/>
        </w:rPr>
        <w:t xml:space="preserve">8. </w:t>
      </w:r>
      <w:r w:rsidRPr="00B772FD">
        <w:rPr>
          <w:rFonts w:eastAsia="Calibri"/>
          <w:b/>
          <w:bCs/>
          <w:color w:val="000000"/>
        </w:rPr>
        <w:tab/>
        <w:t xml:space="preserve">If applicable, provide a copy and identify the date and page number of </w:t>
      </w:r>
      <w:proofErr w:type="gramStart"/>
      <w:r w:rsidRPr="00B772FD">
        <w:rPr>
          <w:rFonts w:eastAsia="Calibri"/>
          <w:b/>
          <w:bCs/>
          <w:color w:val="000000"/>
        </w:rPr>
        <w:t>publication</w:t>
      </w:r>
      <w:proofErr w:type="gramEnd"/>
      <w:r w:rsidRPr="00B772FD">
        <w:rPr>
          <w:rFonts w:eastAsia="Calibri"/>
          <w:b/>
          <w:bCs/>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D42071" w:rsidP="00506F0A" w:rsidRDefault="00D42071" w14:paraId="322AD163" w14:textId="77777777"/>
    <w:p w:rsidR="002E3839" w:rsidP="00506F0A" w:rsidRDefault="00E326E3" w14:paraId="4034C26F" w14:textId="6C4E2762">
      <w:r>
        <w:tab/>
      </w:r>
      <w:r w:rsidR="0018639B">
        <w:t xml:space="preserve">The 60-day </w:t>
      </w:r>
      <w:r w:rsidRPr="006A10F9" w:rsidR="0018639B">
        <w:rPr>
          <w:i/>
          <w:iCs/>
        </w:rPr>
        <w:t>Federal Register</w:t>
      </w:r>
      <w:r w:rsidR="0018639B">
        <w:t xml:space="preserve"> Notice regarding this extension was published</w:t>
      </w:r>
      <w:r w:rsidR="00E371F8">
        <w:t xml:space="preserve"> </w:t>
      </w:r>
      <w:r w:rsidR="00CE240B">
        <w:t>October 13, 2020</w:t>
      </w:r>
      <w:r w:rsidRPr="00BC6040" w:rsidR="0018639B">
        <w:rPr>
          <w:b/>
        </w:rPr>
        <w:t xml:space="preserve"> </w:t>
      </w:r>
      <w:r w:rsidRPr="00AB3478" w:rsidR="0018639B">
        <w:t>a</w:t>
      </w:r>
      <w:r w:rsidR="00E371F8">
        <w:t xml:space="preserve">t </w:t>
      </w:r>
      <w:r w:rsidR="00322EBA">
        <w:t>85 FR 64462</w:t>
      </w:r>
      <w:r w:rsidR="0018639B">
        <w:t xml:space="preserve">.  Respondents had 60 days to respond with their views regarding the collection of information; </w:t>
      </w:r>
      <w:r w:rsidRPr="00026FE7" w:rsidR="0018639B">
        <w:t>no comments were received</w:t>
      </w:r>
      <w:r w:rsidR="0018639B">
        <w:t xml:space="preserve">.  </w:t>
      </w:r>
    </w:p>
    <w:p w:rsidR="004A298D" w:rsidP="00506F0A" w:rsidRDefault="004A298D" w14:paraId="119ADE3D" w14:textId="77777777"/>
    <w:p w:rsidRPr="00B772FD" w:rsidR="00D42071" w:rsidP="00506F0A" w:rsidRDefault="00D42071" w14:paraId="14DE270D" w14:textId="77777777">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rsidR="00D42071" w:rsidP="00506F0A" w:rsidRDefault="00D42071" w14:paraId="4B9E5A71" w14:textId="77777777"/>
    <w:p w:rsidR="00E326E3" w:rsidP="00506F0A" w:rsidRDefault="00E326E3" w14:paraId="119ADE3F" w14:textId="0D49BE42">
      <w:r>
        <w:tab/>
        <w:t>Not applicable</w:t>
      </w:r>
      <w:r w:rsidR="00A13F5B">
        <w:t xml:space="preserve"> – The Commission does not provide any payments or gifts to respondents.  </w:t>
      </w:r>
    </w:p>
    <w:p w:rsidR="00E326E3" w:rsidP="00506F0A" w:rsidRDefault="00E326E3" w14:paraId="119ADE40" w14:textId="77777777"/>
    <w:p w:rsidRPr="00B772FD" w:rsidR="00D42071" w:rsidP="00506F0A" w:rsidRDefault="00D42071" w14:paraId="5B89055A" w14:textId="77777777">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rsidR="00D42071" w:rsidP="00506F0A" w:rsidRDefault="00D42071" w14:paraId="329F3732" w14:textId="77777777"/>
    <w:p w:rsidR="00E326E3" w:rsidP="00506F0A" w:rsidRDefault="00E326E3" w14:paraId="119ADE41" w14:textId="1B80BF72">
      <w:r>
        <w:tab/>
      </w:r>
      <w:r w:rsidR="00FA3CA4">
        <w:t>Tariff information is available to anyone who requests it, and there are no provisions for confidentiality.</w:t>
      </w:r>
    </w:p>
    <w:p w:rsidR="00506F0A" w:rsidP="00506F0A" w:rsidRDefault="00506F0A" w14:paraId="4DF952D4" w14:textId="77777777"/>
    <w:p w:rsidRPr="00B772FD" w:rsidR="00D42071" w:rsidP="00506F0A" w:rsidRDefault="00D42071" w14:paraId="09AF3A23" w14:textId="77777777">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D42071" w:rsidP="00506F0A" w:rsidRDefault="00D42071" w14:paraId="345C35A9" w14:textId="77777777"/>
    <w:p w:rsidR="00E326E3" w:rsidP="00506F0A" w:rsidRDefault="00E326E3" w14:paraId="119ADE44" w14:textId="50836AF0">
      <w:r>
        <w:tab/>
      </w:r>
      <w:r w:rsidR="00A13F5B">
        <w:t xml:space="preserve">There are no questions of a sensitive nature.  </w:t>
      </w:r>
    </w:p>
    <w:p w:rsidR="00EF1F56" w:rsidP="00506F0A" w:rsidRDefault="00EF1F56" w14:paraId="119ADE45" w14:textId="77777777"/>
    <w:p w:rsidRPr="00B772FD" w:rsidR="00D42071" w:rsidP="00506F0A" w:rsidRDefault="00D42071" w14:paraId="0C1232CC" w14:textId="77777777">
      <w:pPr>
        <w:autoSpaceDE w:val="0"/>
        <w:autoSpaceDN w:val="0"/>
        <w:adjustRightInd w:val="0"/>
        <w:rPr>
          <w:rFonts w:eastAsia="Calibri"/>
          <w:b/>
          <w:bCs/>
          <w:color w:val="000000"/>
        </w:rPr>
      </w:pPr>
      <w:r w:rsidRPr="00B772FD">
        <w:rPr>
          <w:rFonts w:eastAsia="Calibri"/>
          <w:b/>
          <w:bCs/>
          <w:color w:val="000000"/>
        </w:rPr>
        <w:lastRenderedPageBreak/>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D42071" w:rsidP="00506F0A" w:rsidRDefault="00D42071" w14:paraId="3EFB292D" w14:textId="77777777"/>
    <w:p w:rsidR="00D12FC9" w:rsidP="00506F0A" w:rsidRDefault="00311174" w14:paraId="119ADE47" w14:textId="3C84AA74">
      <w:r>
        <w:tab/>
      </w:r>
      <w:r w:rsidRPr="00836B06">
        <w:t xml:space="preserve">The </w:t>
      </w:r>
      <w:r w:rsidRPr="00836B06" w:rsidR="00FA3CA4">
        <w:t>Commission estimates th</w:t>
      </w:r>
      <w:r w:rsidRPr="00E2723C" w:rsidR="00FA3CA4">
        <w:t xml:space="preserve">e total respondent universe to be </w:t>
      </w:r>
      <w:r w:rsidRPr="00836B06" w:rsidR="00935F4B">
        <w:t>6,042</w:t>
      </w:r>
      <w:r w:rsidRPr="00836B06" w:rsidR="00FC37DA">
        <w:t xml:space="preserve"> </w:t>
      </w:r>
      <w:r w:rsidRPr="00836B06" w:rsidR="00FA3CA4">
        <w:t xml:space="preserve">and the total hour burden for the publication of tariffs, notification/filing requirements, and recordkeeping requirements to be </w:t>
      </w:r>
      <w:r w:rsidRPr="00836B06" w:rsidR="00B07BF2">
        <w:t xml:space="preserve">2,014 </w:t>
      </w:r>
      <w:r w:rsidRPr="00836B06" w:rsidR="008331C3">
        <w:t>hours</w:t>
      </w:r>
      <w:r w:rsidRPr="00836B06" w:rsidR="00FA3CA4">
        <w:t xml:space="preserve"> (see below).  The Form FMC-1 is required before </w:t>
      </w:r>
      <w:r w:rsidRPr="00836B06" w:rsidR="00B97A8E">
        <w:t xml:space="preserve">tariffs </w:t>
      </w:r>
      <w:r w:rsidRPr="00836B06" w:rsidR="00FA3CA4">
        <w:t xml:space="preserve">may be </w:t>
      </w:r>
      <w:r w:rsidRPr="00836B06" w:rsidR="00B97A8E">
        <w:t>published</w:t>
      </w:r>
      <w:r w:rsidRPr="00836B06" w:rsidR="00676D29">
        <w:t xml:space="preserve"> (</w:t>
      </w:r>
      <w:r w:rsidRPr="00836B06" w:rsidR="00E27AAD">
        <w:t>2</w:t>
      </w:r>
      <w:r w:rsidRPr="00836B06" w:rsidR="0088045F">
        <w:t>81</w:t>
      </w:r>
      <w:r w:rsidRPr="00836B06" w:rsidR="00547E99">
        <w:t xml:space="preserve"> hours)</w:t>
      </w:r>
      <w:r w:rsidRPr="00836B06" w:rsidR="00FA3CA4">
        <w:t xml:space="preserve">.  </w:t>
      </w:r>
      <w:r w:rsidRPr="00836B06" w:rsidR="008331C3">
        <w:t>This results i</w:t>
      </w:r>
      <w:r w:rsidRPr="00836B06" w:rsidR="00855306">
        <w:t>n an annual hour burden of</w:t>
      </w:r>
      <w:r w:rsidRPr="00836B06" w:rsidR="00A3452B">
        <w:rPr>
          <w:color w:val="FF0000"/>
        </w:rPr>
        <w:t xml:space="preserve"> </w:t>
      </w:r>
      <w:r w:rsidRPr="00836B06" w:rsidR="003132B6">
        <w:t>2,</w:t>
      </w:r>
      <w:r w:rsidRPr="00836B06" w:rsidR="007E70E0">
        <w:t>2</w:t>
      </w:r>
      <w:r w:rsidRPr="00836B06" w:rsidR="0088045F">
        <w:t>95</w:t>
      </w:r>
      <w:r w:rsidRPr="00836B06" w:rsidR="00A3452B">
        <w:t xml:space="preserve"> </w:t>
      </w:r>
      <w:r w:rsidRPr="00836B06" w:rsidR="008331C3">
        <w:t xml:space="preserve">hours.  </w:t>
      </w:r>
      <w:r w:rsidRPr="00836B06" w:rsidR="00FA3CA4">
        <w:t xml:space="preserve">The Commission estimates an annualized cost to respondents for information collection as </w:t>
      </w:r>
      <w:r w:rsidRPr="00836B06" w:rsidR="00A3452B">
        <w:t>$</w:t>
      </w:r>
      <w:r w:rsidR="001A6038">
        <w:t>161,464</w:t>
      </w:r>
      <w:r w:rsidRPr="00836B06" w:rsidR="00D62322">
        <w:t>.</w:t>
      </w:r>
      <w:r w:rsidRPr="00836B06" w:rsidR="00FA3CA4">
        <w:t xml:space="preserve">  This</w:t>
      </w:r>
      <w:r w:rsidR="00FA3CA4">
        <w:t xml:space="preserve"> includes overhead and benefits.</w:t>
      </w:r>
      <w:r w:rsidR="005763D1">
        <w:t xml:space="preserve">  (See Attachment 1.)</w:t>
      </w:r>
    </w:p>
    <w:p w:rsidR="00300764" w:rsidP="00506F0A" w:rsidRDefault="00300764" w14:paraId="119ADE48" w14:textId="77777777"/>
    <w:p w:rsidR="00300764" w:rsidP="00506F0A" w:rsidRDefault="00300764" w14:paraId="119ADE49" w14:textId="510F4E0C">
      <w:pPr>
        <w:rPr>
          <w:b/>
        </w:rPr>
      </w:pPr>
      <w:r>
        <w:rPr>
          <w:b/>
        </w:rPr>
        <w:t>TARIFF CONTENT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9"/>
        <w:gridCol w:w="1697"/>
        <w:gridCol w:w="1506"/>
        <w:gridCol w:w="1757"/>
        <w:gridCol w:w="1081"/>
      </w:tblGrid>
      <w:tr w:rsidR="009A01E0" w:rsidTr="00E43355" w14:paraId="119ADE4F" w14:textId="77777777">
        <w:tc>
          <w:tcPr>
            <w:tcW w:w="3438" w:type="dxa"/>
          </w:tcPr>
          <w:p w:rsidRPr="00796A0C" w:rsidR="009A01E0" w:rsidP="00506F0A" w:rsidRDefault="009A01E0" w14:paraId="119ADE4A" w14:textId="77777777">
            <w:pPr>
              <w:rPr>
                <w:b/>
              </w:rPr>
            </w:pPr>
            <w:r w:rsidRPr="00796A0C">
              <w:rPr>
                <w:b/>
              </w:rPr>
              <w:t>Requirement</w:t>
            </w:r>
          </w:p>
        </w:tc>
        <w:tc>
          <w:tcPr>
            <w:tcW w:w="1710" w:type="dxa"/>
          </w:tcPr>
          <w:p w:rsidRPr="00796A0C" w:rsidR="009A01E0" w:rsidP="00506F0A" w:rsidRDefault="009A01E0" w14:paraId="119ADE4B" w14:textId="77777777">
            <w:pPr>
              <w:rPr>
                <w:b/>
              </w:rPr>
            </w:pPr>
            <w:r w:rsidRPr="00796A0C">
              <w:rPr>
                <w:b/>
              </w:rPr>
              <w:t>Annual Respondents</w:t>
            </w:r>
          </w:p>
        </w:tc>
        <w:tc>
          <w:tcPr>
            <w:tcW w:w="1530" w:type="dxa"/>
          </w:tcPr>
          <w:p w:rsidRPr="00796A0C" w:rsidR="009A01E0" w:rsidP="00506F0A" w:rsidRDefault="009A01E0" w14:paraId="119ADE4C" w14:textId="77777777">
            <w:pPr>
              <w:rPr>
                <w:b/>
              </w:rPr>
            </w:pPr>
            <w:r w:rsidRPr="00796A0C">
              <w:rPr>
                <w:b/>
              </w:rPr>
              <w:t>Annual Instances</w:t>
            </w:r>
          </w:p>
        </w:tc>
        <w:tc>
          <w:tcPr>
            <w:tcW w:w="1800" w:type="dxa"/>
          </w:tcPr>
          <w:p w:rsidRPr="00796A0C" w:rsidR="009A01E0" w:rsidP="00506F0A" w:rsidRDefault="009A01E0" w14:paraId="119ADE4D" w14:textId="77777777">
            <w:pPr>
              <w:rPr>
                <w:b/>
              </w:rPr>
            </w:pPr>
            <w:r w:rsidRPr="00796A0C">
              <w:rPr>
                <w:b/>
              </w:rPr>
              <w:t>Average Hour Per Response</w:t>
            </w:r>
          </w:p>
        </w:tc>
        <w:tc>
          <w:tcPr>
            <w:tcW w:w="1098" w:type="dxa"/>
          </w:tcPr>
          <w:p w:rsidRPr="00796A0C" w:rsidR="009A01E0" w:rsidP="00506F0A" w:rsidRDefault="009A01E0" w14:paraId="119ADE4E" w14:textId="77777777">
            <w:pPr>
              <w:rPr>
                <w:b/>
              </w:rPr>
            </w:pPr>
            <w:r w:rsidRPr="00796A0C">
              <w:rPr>
                <w:b/>
              </w:rPr>
              <w:t>Total Hours</w:t>
            </w:r>
          </w:p>
        </w:tc>
      </w:tr>
      <w:tr w:rsidR="009A01E0" w:rsidTr="00E43355" w14:paraId="119ADE55" w14:textId="77777777">
        <w:tc>
          <w:tcPr>
            <w:tcW w:w="3438" w:type="dxa"/>
          </w:tcPr>
          <w:p w:rsidR="009A01E0" w:rsidP="00506F0A" w:rsidRDefault="00300764" w14:paraId="119ADE50" w14:textId="77777777">
            <w:r>
              <w:t>Publish tariffs &amp; keep open for public inspection</w:t>
            </w:r>
            <w:r w:rsidR="0021346A">
              <w:rPr>
                <w:rStyle w:val="FootnoteReference"/>
              </w:rPr>
              <w:footnoteReference w:id="1"/>
            </w:r>
          </w:p>
        </w:tc>
        <w:tc>
          <w:tcPr>
            <w:tcW w:w="1710" w:type="dxa"/>
          </w:tcPr>
          <w:p w:rsidRPr="00796A0C" w:rsidR="009A01E0" w:rsidP="00506F0A" w:rsidRDefault="003C042C" w14:paraId="119ADE51" w14:textId="556A0A32">
            <w:pPr>
              <w:rPr>
                <w:vertAlign w:val="superscript"/>
              </w:rPr>
            </w:pPr>
            <w:r>
              <w:t>1</w:t>
            </w:r>
            <w:r w:rsidR="00AA2649">
              <w:t>,</w:t>
            </w:r>
            <w:r>
              <w:t>500</w:t>
            </w:r>
          </w:p>
        </w:tc>
        <w:tc>
          <w:tcPr>
            <w:tcW w:w="1530" w:type="dxa"/>
          </w:tcPr>
          <w:p w:rsidR="009A01E0" w:rsidP="00506F0A" w:rsidRDefault="00003072" w14:paraId="119ADE52" w14:textId="5F85130A">
            <w:r>
              <w:t>   </w:t>
            </w:r>
            <w:r w:rsidR="00805A61">
              <w:t>   </w:t>
            </w:r>
            <w:r w:rsidR="00DD08E5">
              <w:t>562</w:t>
            </w:r>
          </w:p>
        </w:tc>
        <w:tc>
          <w:tcPr>
            <w:tcW w:w="1800" w:type="dxa"/>
          </w:tcPr>
          <w:p w:rsidR="009A01E0" w:rsidP="00506F0A" w:rsidRDefault="00964E68" w14:paraId="119ADE53" w14:textId="6F9747B5">
            <w:r>
              <w:t>  </w:t>
            </w:r>
            <w:r w:rsidR="00ED7478">
              <w:t>0</w:t>
            </w:r>
            <w:r w:rsidR="00300764">
              <w:t>.1</w:t>
            </w:r>
          </w:p>
        </w:tc>
        <w:tc>
          <w:tcPr>
            <w:tcW w:w="1098" w:type="dxa"/>
          </w:tcPr>
          <w:p w:rsidR="009A01E0" w:rsidP="00506F0A" w:rsidRDefault="00003072" w14:paraId="119ADE54" w14:textId="7C75AEF8">
            <w:r>
              <w:t>  </w:t>
            </w:r>
            <w:r w:rsidR="00A3452B">
              <w:t>   </w:t>
            </w:r>
            <w:r w:rsidR="00C20D0C">
              <w:t xml:space="preserve"> </w:t>
            </w:r>
            <w:r w:rsidR="001B0B21">
              <w:t>56</w:t>
            </w:r>
          </w:p>
        </w:tc>
      </w:tr>
    </w:tbl>
    <w:p w:rsidR="009A01E0" w:rsidP="00506F0A" w:rsidRDefault="009A01E0" w14:paraId="119ADE56" w14:textId="77777777"/>
    <w:p w:rsidR="00300764" w:rsidP="00506F0A" w:rsidRDefault="00300764" w14:paraId="119ADE57" w14:textId="77777777">
      <w:r>
        <w:t>[Disclosure/Third-party Requirements (included in above calculations)]</w:t>
      </w:r>
    </w:p>
    <w:p w:rsidR="00300764" w:rsidP="00506F0A" w:rsidRDefault="00300764" w14:paraId="119ADE58" w14:textId="77777777"/>
    <w:p w:rsidR="00300764" w:rsidP="00506F0A" w:rsidRDefault="00300764" w14:paraId="119ADE59" w14:textId="77777777">
      <w:pPr>
        <w:rPr>
          <w:b/>
        </w:rPr>
      </w:pPr>
      <w:r>
        <w:rPr>
          <w:b/>
        </w:rPr>
        <w:t>NOTIFICATION/FILING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9"/>
        <w:gridCol w:w="1697"/>
        <w:gridCol w:w="1506"/>
        <w:gridCol w:w="1757"/>
        <w:gridCol w:w="1081"/>
      </w:tblGrid>
      <w:tr w:rsidR="00964E68" w:rsidTr="00E43355" w14:paraId="119ADE5F" w14:textId="77777777">
        <w:tc>
          <w:tcPr>
            <w:tcW w:w="3438" w:type="dxa"/>
          </w:tcPr>
          <w:p w:rsidRPr="00796A0C" w:rsidR="00964E68" w:rsidP="00506F0A" w:rsidRDefault="00964E68" w14:paraId="119ADE5A" w14:textId="77777777">
            <w:pPr>
              <w:rPr>
                <w:b/>
              </w:rPr>
            </w:pPr>
            <w:r w:rsidRPr="00796A0C">
              <w:rPr>
                <w:b/>
              </w:rPr>
              <w:t>Requirement</w:t>
            </w:r>
          </w:p>
        </w:tc>
        <w:tc>
          <w:tcPr>
            <w:tcW w:w="1710" w:type="dxa"/>
          </w:tcPr>
          <w:p w:rsidRPr="00796A0C" w:rsidR="00964E68" w:rsidP="00506F0A" w:rsidRDefault="00964E68" w14:paraId="119ADE5B" w14:textId="77777777">
            <w:pPr>
              <w:rPr>
                <w:b/>
              </w:rPr>
            </w:pPr>
            <w:r w:rsidRPr="00796A0C">
              <w:rPr>
                <w:b/>
              </w:rPr>
              <w:t>Annual Respondents</w:t>
            </w:r>
          </w:p>
        </w:tc>
        <w:tc>
          <w:tcPr>
            <w:tcW w:w="1530" w:type="dxa"/>
          </w:tcPr>
          <w:p w:rsidRPr="00796A0C" w:rsidR="00964E68" w:rsidP="00506F0A" w:rsidRDefault="00964E68" w14:paraId="119ADE5C" w14:textId="77777777">
            <w:pPr>
              <w:rPr>
                <w:b/>
              </w:rPr>
            </w:pPr>
            <w:r w:rsidRPr="00796A0C">
              <w:rPr>
                <w:b/>
              </w:rPr>
              <w:t>Annual Instances</w:t>
            </w:r>
          </w:p>
        </w:tc>
        <w:tc>
          <w:tcPr>
            <w:tcW w:w="1800" w:type="dxa"/>
          </w:tcPr>
          <w:p w:rsidRPr="00796A0C" w:rsidR="00964E68" w:rsidP="00506F0A" w:rsidRDefault="00964E68" w14:paraId="119ADE5D" w14:textId="77777777">
            <w:pPr>
              <w:rPr>
                <w:b/>
              </w:rPr>
            </w:pPr>
            <w:r w:rsidRPr="00796A0C">
              <w:rPr>
                <w:b/>
              </w:rPr>
              <w:t>Average Hour Per Response</w:t>
            </w:r>
          </w:p>
        </w:tc>
        <w:tc>
          <w:tcPr>
            <w:tcW w:w="1098" w:type="dxa"/>
          </w:tcPr>
          <w:p w:rsidRPr="00796A0C" w:rsidR="00964E68" w:rsidP="00506F0A" w:rsidRDefault="00964E68" w14:paraId="119ADE5E" w14:textId="77777777">
            <w:pPr>
              <w:rPr>
                <w:b/>
              </w:rPr>
            </w:pPr>
            <w:r w:rsidRPr="00796A0C">
              <w:rPr>
                <w:b/>
              </w:rPr>
              <w:t>Total Hours</w:t>
            </w:r>
          </w:p>
        </w:tc>
      </w:tr>
      <w:tr w:rsidR="00964E68" w:rsidTr="00E43355" w14:paraId="119ADE65" w14:textId="77777777">
        <w:tc>
          <w:tcPr>
            <w:tcW w:w="3438" w:type="dxa"/>
          </w:tcPr>
          <w:p w:rsidRPr="0021346A" w:rsidR="00964E68" w:rsidP="00506F0A" w:rsidRDefault="00964E68" w14:paraId="119ADE60" w14:textId="77777777">
            <w:r w:rsidRPr="0021346A">
              <w:t>Related Forms (Form FMC-1)</w:t>
            </w:r>
          </w:p>
        </w:tc>
        <w:tc>
          <w:tcPr>
            <w:tcW w:w="1710" w:type="dxa"/>
          </w:tcPr>
          <w:p w:rsidR="00964E68" w:rsidP="00506F0A" w:rsidRDefault="006A10F9" w14:paraId="119ADE61" w14:textId="334DC577">
            <w:r>
              <w:t xml:space="preserve">    </w:t>
            </w:r>
            <w:r w:rsidR="00FD00B1">
              <w:t>562</w:t>
            </w:r>
          </w:p>
        </w:tc>
        <w:tc>
          <w:tcPr>
            <w:tcW w:w="1530" w:type="dxa"/>
          </w:tcPr>
          <w:p w:rsidR="00964E68" w:rsidP="00506F0A" w:rsidRDefault="00805A61" w14:paraId="119ADE62" w14:textId="4172C9A3">
            <w:r>
              <w:t>    </w:t>
            </w:r>
            <w:r w:rsidR="00FC37DA">
              <w:t xml:space="preserve"> </w:t>
            </w:r>
            <w:r w:rsidR="00037AEA">
              <w:t>562</w:t>
            </w:r>
          </w:p>
        </w:tc>
        <w:tc>
          <w:tcPr>
            <w:tcW w:w="1800" w:type="dxa"/>
          </w:tcPr>
          <w:p w:rsidR="00964E68" w:rsidP="00506F0A" w:rsidRDefault="00964E68" w14:paraId="119ADE63" w14:textId="19A6E291">
            <w:r>
              <w:t>  </w:t>
            </w:r>
            <w:r w:rsidR="00ED7478">
              <w:t>0</w:t>
            </w:r>
            <w:r>
              <w:t>.5</w:t>
            </w:r>
          </w:p>
        </w:tc>
        <w:tc>
          <w:tcPr>
            <w:tcW w:w="1098" w:type="dxa"/>
          </w:tcPr>
          <w:p w:rsidR="00964E68" w:rsidP="00506F0A" w:rsidRDefault="00805A61" w14:paraId="119ADE64" w14:textId="19C7F9D4">
            <w:r>
              <w:t> </w:t>
            </w:r>
            <w:r w:rsidR="001B592F">
              <w:t>281</w:t>
            </w:r>
          </w:p>
        </w:tc>
      </w:tr>
      <w:tr w:rsidR="00964E68" w:rsidTr="00E43355" w14:paraId="119ADE6B" w14:textId="77777777">
        <w:tc>
          <w:tcPr>
            <w:tcW w:w="3438" w:type="dxa"/>
          </w:tcPr>
          <w:p w:rsidR="00964E68" w:rsidP="00506F0A" w:rsidRDefault="00964E68" w14:paraId="119ADE66" w14:textId="77777777">
            <w:r>
              <w:t>Inform FMC in writing of certain occurrences, e.g., cancellations, new publishers, etc.</w:t>
            </w:r>
          </w:p>
        </w:tc>
        <w:tc>
          <w:tcPr>
            <w:tcW w:w="1710" w:type="dxa"/>
          </w:tcPr>
          <w:p w:rsidR="00964E68" w:rsidP="00506F0A" w:rsidRDefault="00FC37DA" w14:paraId="119ADE67" w14:textId="27C7F716">
            <w:r>
              <w:t xml:space="preserve"> </w:t>
            </w:r>
            <w:r w:rsidRPr="00146C5B" w:rsidR="00935F4B">
              <w:t>1,</w:t>
            </w:r>
            <w:r w:rsidR="00711B59">
              <w:t>326</w:t>
            </w:r>
          </w:p>
        </w:tc>
        <w:tc>
          <w:tcPr>
            <w:tcW w:w="1530" w:type="dxa"/>
          </w:tcPr>
          <w:p w:rsidR="00964E68" w:rsidP="00506F0A" w:rsidRDefault="00FC37DA" w14:paraId="119ADE68" w14:textId="0C59745B">
            <w:r>
              <w:t xml:space="preserve"> </w:t>
            </w:r>
            <w:r w:rsidR="00ED7478">
              <w:t xml:space="preserve"> </w:t>
            </w:r>
            <w:r w:rsidR="00935F4B">
              <w:t>1,</w:t>
            </w:r>
            <w:r w:rsidR="0043103E">
              <w:t>326</w:t>
            </w:r>
          </w:p>
        </w:tc>
        <w:tc>
          <w:tcPr>
            <w:tcW w:w="1800" w:type="dxa"/>
          </w:tcPr>
          <w:p w:rsidR="00964E68" w:rsidP="00506F0A" w:rsidRDefault="0018639B" w14:paraId="119ADE69" w14:textId="324E993D">
            <w:r>
              <w:t>  </w:t>
            </w:r>
            <w:r w:rsidR="00ED7478">
              <w:t>0</w:t>
            </w:r>
            <w:r>
              <w:t>.25</w:t>
            </w:r>
          </w:p>
        </w:tc>
        <w:tc>
          <w:tcPr>
            <w:tcW w:w="1098" w:type="dxa"/>
          </w:tcPr>
          <w:p w:rsidR="00964E68" w:rsidP="00506F0A" w:rsidRDefault="00ED7478" w14:paraId="119ADE6A" w14:textId="026679AB">
            <w:r>
              <w:t xml:space="preserve"> </w:t>
            </w:r>
            <w:r w:rsidR="00E075B5">
              <w:t>332</w:t>
            </w:r>
          </w:p>
        </w:tc>
      </w:tr>
      <w:tr w:rsidR="00801FB1" w:rsidTr="00E43355" w14:paraId="119ADE71" w14:textId="77777777">
        <w:tc>
          <w:tcPr>
            <w:tcW w:w="3438" w:type="dxa"/>
          </w:tcPr>
          <w:p w:rsidR="00801FB1" w:rsidP="00506F0A" w:rsidRDefault="00801FB1" w14:paraId="119ADE6C" w14:textId="77777777">
            <w:r>
              <w:t>File documents with FMC &amp; certifications</w:t>
            </w:r>
          </w:p>
        </w:tc>
        <w:tc>
          <w:tcPr>
            <w:tcW w:w="1710" w:type="dxa"/>
          </w:tcPr>
          <w:p w:rsidR="00801FB1" w:rsidP="00506F0A" w:rsidRDefault="0021029C" w14:paraId="119ADE6D" w14:textId="77777777">
            <w:r>
              <w:t xml:space="preserve">       1</w:t>
            </w:r>
          </w:p>
        </w:tc>
        <w:tc>
          <w:tcPr>
            <w:tcW w:w="1530" w:type="dxa"/>
          </w:tcPr>
          <w:p w:rsidR="00801FB1" w:rsidP="00506F0A" w:rsidRDefault="00855306" w14:paraId="119ADE6E" w14:textId="5425AD52">
            <w:r>
              <w:t xml:space="preserve">       </w:t>
            </w:r>
            <w:r w:rsidR="00805A61">
              <w:t>    </w:t>
            </w:r>
            <w:r w:rsidR="00801FB1">
              <w:t>1</w:t>
            </w:r>
          </w:p>
        </w:tc>
        <w:tc>
          <w:tcPr>
            <w:tcW w:w="1800" w:type="dxa"/>
          </w:tcPr>
          <w:p w:rsidR="00801FB1" w:rsidP="00506F0A" w:rsidRDefault="00855306" w14:paraId="119ADE6F" w14:textId="5ED18D91">
            <w:r>
              <w:t xml:space="preserve">  </w:t>
            </w:r>
            <w:r w:rsidR="00ED7478">
              <w:t>0</w:t>
            </w:r>
            <w:r w:rsidR="00801FB1">
              <w:t>.5</w:t>
            </w:r>
          </w:p>
        </w:tc>
        <w:tc>
          <w:tcPr>
            <w:tcW w:w="1098" w:type="dxa"/>
          </w:tcPr>
          <w:p w:rsidR="00801FB1" w:rsidP="00506F0A" w:rsidRDefault="00801FB1" w14:paraId="119ADE70" w14:textId="25732998">
            <w:r>
              <w:t xml:space="preserve">  </w:t>
            </w:r>
            <w:r w:rsidR="00ED7478">
              <w:t>0</w:t>
            </w:r>
            <w:r>
              <w:t>.5</w:t>
            </w:r>
          </w:p>
        </w:tc>
      </w:tr>
    </w:tbl>
    <w:p w:rsidR="00964E68" w:rsidP="00506F0A" w:rsidRDefault="00964E68" w14:paraId="119ADE72" w14:textId="77777777"/>
    <w:p w:rsidR="00964E68" w:rsidP="00506F0A" w:rsidRDefault="00964E68" w14:paraId="119ADE73" w14:textId="77777777">
      <w:r>
        <w:t>[Disclosure/Third-party Requirements (included in above calculations)]</w:t>
      </w:r>
    </w:p>
    <w:p w:rsidR="00964E68" w:rsidP="00506F0A" w:rsidRDefault="00964E68" w14:paraId="119ADE74" w14:textId="77777777"/>
    <w:p w:rsidR="00964E68" w:rsidP="00506F0A" w:rsidRDefault="00964E68" w14:paraId="119ADE75" w14:textId="77777777">
      <w:pPr>
        <w:rPr>
          <w:b/>
        </w:rPr>
      </w:pPr>
      <w:r>
        <w:rPr>
          <w:b/>
        </w:rPr>
        <w:t>RECORDKEEPING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9"/>
        <w:gridCol w:w="1697"/>
        <w:gridCol w:w="1506"/>
        <w:gridCol w:w="1757"/>
        <w:gridCol w:w="1081"/>
      </w:tblGrid>
      <w:tr w:rsidR="00935F4B" w:rsidTr="00E43355" w14:paraId="119ADE7B" w14:textId="77777777">
        <w:tc>
          <w:tcPr>
            <w:tcW w:w="3438" w:type="dxa"/>
          </w:tcPr>
          <w:p w:rsidRPr="00796A0C" w:rsidR="00964E68" w:rsidP="00506F0A" w:rsidRDefault="00964E68" w14:paraId="119ADE76" w14:textId="77777777">
            <w:pPr>
              <w:rPr>
                <w:b/>
              </w:rPr>
            </w:pPr>
            <w:r w:rsidRPr="00796A0C">
              <w:rPr>
                <w:b/>
              </w:rPr>
              <w:t>Requirement</w:t>
            </w:r>
          </w:p>
        </w:tc>
        <w:tc>
          <w:tcPr>
            <w:tcW w:w="1710" w:type="dxa"/>
          </w:tcPr>
          <w:p w:rsidRPr="00796A0C" w:rsidR="00964E68" w:rsidP="00506F0A" w:rsidRDefault="00964E68" w14:paraId="119ADE77" w14:textId="77777777">
            <w:pPr>
              <w:rPr>
                <w:b/>
              </w:rPr>
            </w:pPr>
            <w:r w:rsidRPr="00796A0C">
              <w:rPr>
                <w:b/>
              </w:rPr>
              <w:t>Annual Respondents</w:t>
            </w:r>
          </w:p>
        </w:tc>
        <w:tc>
          <w:tcPr>
            <w:tcW w:w="1530" w:type="dxa"/>
          </w:tcPr>
          <w:p w:rsidRPr="00796A0C" w:rsidR="00964E68" w:rsidP="00506F0A" w:rsidRDefault="00964E68" w14:paraId="119ADE78" w14:textId="77777777">
            <w:pPr>
              <w:rPr>
                <w:b/>
              </w:rPr>
            </w:pPr>
            <w:r w:rsidRPr="00796A0C">
              <w:rPr>
                <w:b/>
              </w:rPr>
              <w:t>Annual Instances</w:t>
            </w:r>
          </w:p>
        </w:tc>
        <w:tc>
          <w:tcPr>
            <w:tcW w:w="1800" w:type="dxa"/>
          </w:tcPr>
          <w:p w:rsidRPr="00796A0C" w:rsidR="00964E68" w:rsidP="00506F0A" w:rsidRDefault="00964E68" w14:paraId="119ADE79" w14:textId="77777777">
            <w:pPr>
              <w:rPr>
                <w:b/>
              </w:rPr>
            </w:pPr>
            <w:r w:rsidRPr="00796A0C">
              <w:rPr>
                <w:b/>
              </w:rPr>
              <w:t>Average Hour Per Response</w:t>
            </w:r>
          </w:p>
        </w:tc>
        <w:tc>
          <w:tcPr>
            <w:tcW w:w="1098" w:type="dxa"/>
          </w:tcPr>
          <w:p w:rsidRPr="00796A0C" w:rsidR="00964E68" w:rsidP="00506F0A" w:rsidRDefault="00964E68" w14:paraId="119ADE7A" w14:textId="77777777">
            <w:pPr>
              <w:rPr>
                <w:b/>
              </w:rPr>
            </w:pPr>
            <w:r w:rsidRPr="00796A0C">
              <w:rPr>
                <w:b/>
              </w:rPr>
              <w:t>Total Hours</w:t>
            </w:r>
          </w:p>
        </w:tc>
      </w:tr>
      <w:tr w:rsidR="00935F4B" w:rsidTr="00E43355" w14:paraId="119ADE81" w14:textId="77777777">
        <w:tc>
          <w:tcPr>
            <w:tcW w:w="3438" w:type="dxa"/>
          </w:tcPr>
          <w:p w:rsidR="00964E68" w:rsidP="00506F0A" w:rsidRDefault="00964E68" w14:paraId="119ADE7C" w14:textId="77777777">
            <w:r>
              <w:t>Maintain data in tariff publication systems</w:t>
            </w:r>
          </w:p>
        </w:tc>
        <w:tc>
          <w:tcPr>
            <w:tcW w:w="1710" w:type="dxa"/>
          </w:tcPr>
          <w:p w:rsidR="00964E68" w:rsidP="00506F0A" w:rsidRDefault="00FC37DA" w14:paraId="119ADE7D" w14:textId="447700E6">
            <w:r>
              <w:t xml:space="preserve"> </w:t>
            </w:r>
            <w:r w:rsidR="00935F4B">
              <w:t>6,042</w:t>
            </w:r>
          </w:p>
        </w:tc>
        <w:tc>
          <w:tcPr>
            <w:tcW w:w="1530" w:type="dxa"/>
          </w:tcPr>
          <w:p w:rsidR="00964E68" w:rsidP="00506F0A" w:rsidRDefault="00FC37DA" w14:paraId="119ADE7E" w14:textId="246A56CA">
            <w:r>
              <w:t xml:space="preserve"> </w:t>
            </w:r>
            <w:r w:rsidR="00935F4B">
              <w:t>96,725</w:t>
            </w:r>
          </w:p>
        </w:tc>
        <w:tc>
          <w:tcPr>
            <w:tcW w:w="1800" w:type="dxa"/>
          </w:tcPr>
          <w:p w:rsidR="00964E68" w:rsidP="00506F0A" w:rsidRDefault="00ED7478" w14:paraId="119ADE7F" w14:textId="72D8F7AA">
            <w:r>
              <w:t>0</w:t>
            </w:r>
            <w:r w:rsidR="00F53331">
              <w:t>.0167</w:t>
            </w:r>
          </w:p>
        </w:tc>
        <w:tc>
          <w:tcPr>
            <w:tcW w:w="1098" w:type="dxa"/>
          </w:tcPr>
          <w:p w:rsidR="00964E68" w:rsidP="00506F0A" w:rsidRDefault="00FC37DA" w14:paraId="119ADE80" w14:textId="1E90580E">
            <w:r>
              <w:t xml:space="preserve"> </w:t>
            </w:r>
            <w:r w:rsidR="00935F4B">
              <w:t>1,615</w:t>
            </w:r>
          </w:p>
        </w:tc>
      </w:tr>
      <w:tr w:rsidR="00935F4B" w:rsidTr="00E43355" w14:paraId="119ADE87" w14:textId="77777777">
        <w:tc>
          <w:tcPr>
            <w:tcW w:w="3438" w:type="dxa"/>
          </w:tcPr>
          <w:p w:rsidR="00964E68" w:rsidP="00506F0A" w:rsidRDefault="00964E68" w14:paraId="119ADE82" w14:textId="77777777">
            <w:r>
              <w:t>Provide reasonable access to FMC</w:t>
            </w:r>
          </w:p>
        </w:tc>
        <w:tc>
          <w:tcPr>
            <w:tcW w:w="1710" w:type="dxa"/>
          </w:tcPr>
          <w:p w:rsidR="00964E68" w:rsidP="00506F0A" w:rsidRDefault="00511F2D" w14:paraId="119ADE83" w14:textId="5B8D492C">
            <w:r>
              <w:t xml:space="preserve"> 6,042</w:t>
            </w:r>
          </w:p>
        </w:tc>
        <w:tc>
          <w:tcPr>
            <w:tcW w:w="1530" w:type="dxa"/>
          </w:tcPr>
          <w:p w:rsidR="00964E68" w:rsidP="00506F0A" w:rsidRDefault="00E87F82" w14:paraId="119ADE84" w14:textId="563CF7B9">
            <w:r>
              <w:t xml:space="preserve">           </w:t>
            </w:r>
            <w:r w:rsidR="00AD6C36">
              <w:t>4</w:t>
            </w:r>
          </w:p>
        </w:tc>
        <w:tc>
          <w:tcPr>
            <w:tcW w:w="1800" w:type="dxa"/>
          </w:tcPr>
          <w:p w:rsidR="00964E68" w:rsidP="00506F0A" w:rsidRDefault="00E87F82" w14:paraId="119ADE85" w14:textId="77777777">
            <w:r>
              <w:t>2</w:t>
            </w:r>
          </w:p>
        </w:tc>
        <w:tc>
          <w:tcPr>
            <w:tcW w:w="1098" w:type="dxa"/>
          </w:tcPr>
          <w:p w:rsidR="00964E68" w:rsidP="00506F0A" w:rsidRDefault="001F1DD2" w14:paraId="119ADE86" w14:textId="7FA6163A">
            <w:r>
              <w:t>   </w:t>
            </w:r>
            <w:r w:rsidR="00AD6C36">
              <w:t>8</w:t>
            </w:r>
            <w:r w:rsidR="00805A61">
              <w:t> </w:t>
            </w:r>
          </w:p>
        </w:tc>
      </w:tr>
      <w:tr w:rsidR="00935F4B" w:rsidTr="00E43355" w14:paraId="119ADE8D" w14:textId="77777777">
        <w:tc>
          <w:tcPr>
            <w:tcW w:w="3438" w:type="dxa"/>
          </w:tcPr>
          <w:p w:rsidR="00801FB1" w:rsidP="00506F0A" w:rsidRDefault="00801FB1" w14:paraId="119ADE88" w14:textId="77777777">
            <w:r>
              <w:lastRenderedPageBreak/>
              <w:t>Maintain shipper notices &amp; shipment records for time/volume</w:t>
            </w:r>
          </w:p>
        </w:tc>
        <w:tc>
          <w:tcPr>
            <w:tcW w:w="1710" w:type="dxa"/>
          </w:tcPr>
          <w:p w:rsidR="00801FB1" w:rsidP="00506F0A" w:rsidRDefault="0021029C" w14:paraId="119ADE89" w14:textId="77777777">
            <w:r>
              <w:t xml:space="preserve">       1</w:t>
            </w:r>
          </w:p>
        </w:tc>
        <w:tc>
          <w:tcPr>
            <w:tcW w:w="1530" w:type="dxa"/>
          </w:tcPr>
          <w:p w:rsidR="00801FB1" w:rsidP="00506F0A" w:rsidRDefault="00855306" w14:paraId="119ADE8A" w14:textId="21AFA83B">
            <w:r>
              <w:t xml:space="preserve">       </w:t>
            </w:r>
            <w:r w:rsidR="00805A61">
              <w:t xml:space="preserve">    </w:t>
            </w:r>
            <w:r w:rsidR="00801FB1">
              <w:t>1</w:t>
            </w:r>
          </w:p>
        </w:tc>
        <w:tc>
          <w:tcPr>
            <w:tcW w:w="1800" w:type="dxa"/>
          </w:tcPr>
          <w:p w:rsidR="00801FB1" w:rsidP="00506F0A" w:rsidRDefault="00801FB1" w14:paraId="119ADE8B" w14:textId="77777777">
            <w:r>
              <w:t>2</w:t>
            </w:r>
          </w:p>
        </w:tc>
        <w:tc>
          <w:tcPr>
            <w:tcW w:w="1098" w:type="dxa"/>
          </w:tcPr>
          <w:p w:rsidR="00801FB1" w:rsidP="00506F0A" w:rsidRDefault="00801FB1" w14:paraId="119ADE8C" w14:textId="1538CDDD">
            <w:r>
              <w:t xml:space="preserve">   2</w:t>
            </w:r>
          </w:p>
        </w:tc>
      </w:tr>
    </w:tbl>
    <w:p w:rsidR="00E43355" w:rsidP="00506F0A" w:rsidRDefault="00E43355" w14:paraId="119ADE8E" w14:textId="77777777">
      <w:pPr>
        <w:rPr>
          <w:b/>
        </w:rPr>
      </w:pPr>
    </w:p>
    <w:p w:rsidR="00964E68" w:rsidP="00506F0A" w:rsidRDefault="00003072" w14:paraId="119ADE8F" w14:textId="367D4ECD">
      <w:pPr>
        <w:rPr>
          <w:b/>
        </w:rPr>
      </w:pPr>
      <w:r>
        <w:rPr>
          <w:b/>
        </w:rPr>
        <w:t>TOTALS FOR ALL REQUIREM</w:t>
      </w:r>
      <w:r w:rsidR="00C80C01">
        <w:rPr>
          <w:b/>
        </w:rPr>
        <w:t>ENTS</w:t>
      </w:r>
      <w:r w:rsidR="00C80C01">
        <w:rPr>
          <w:b/>
        </w:rPr>
        <w:tab/>
      </w:r>
      <w:r w:rsidR="003267C7">
        <w:rPr>
          <w:b/>
        </w:rPr>
        <w:t xml:space="preserve"> </w:t>
      </w:r>
      <w:r w:rsidR="00511F2D">
        <w:rPr>
          <w:b/>
        </w:rPr>
        <w:t xml:space="preserve">       </w:t>
      </w:r>
      <w:r w:rsidR="00805A61">
        <w:rPr>
          <w:b/>
        </w:rPr>
        <w:t xml:space="preserve">  </w:t>
      </w:r>
      <w:r w:rsidR="00A3452B">
        <w:rPr>
          <w:b/>
        </w:rPr>
        <w:t xml:space="preserve"> </w:t>
      </w:r>
      <w:r w:rsidR="006D5C79">
        <w:rPr>
          <w:b/>
        </w:rPr>
        <w:t>99,181</w:t>
      </w:r>
      <w:r w:rsidR="00A3452B">
        <w:rPr>
          <w:b/>
        </w:rPr>
        <w:t xml:space="preserve">           </w:t>
      </w:r>
      <w:r w:rsidR="00511F2D">
        <w:rPr>
          <w:b/>
        </w:rPr>
        <w:t xml:space="preserve">  </w:t>
      </w:r>
      <w:r w:rsidR="00A3452B">
        <w:rPr>
          <w:b/>
        </w:rPr>
        <w:t xml:space="preserve">  </w:t>
      </w:r>
      <w:r w:rsidR="00511F2D">
        <w:rPr>
          <w:b/>
        </w:rPr>
        <w:t xml:space="preserve"> </w:t>
      </w:r>
      <w:r w:rsidR="003164D2">
        <w:rPr>
          <w:b/>
        </w:rPr>
        <w:t>2,295</w:t>
      </w:r>
    </w:p>
    <w:p w:rsidR="0041357C" w:rsidP="00935F4B" w:rsidRDefault="0041357C" w14:paraId="119ADE91" w14:textId="73FED0CB"/>
    <w:p w:rsidR="00805A61" w:rsidP="00506F0A" w:rsidRDefault="0041357C" w14:paraId="119ADE92" w14:textId="77777777">
      <w:r w:rsidRPr="0041357C">
        <w:rPr>
          <w:color w:val="000000"/>
        </w:rPr>
        <w:t> </w:t>
      </w:r>
      <w:r w:rsidR="00805A61">
        <w:tab/>
        <w:t>The FMC offers the following descriptions of the information collection requirements shown in the above table:</w:t>
      </w:r>
    </w:p>
    <w:p w:rsidRPr="0041357C" w:rsidR="0041357C" w:rsidP="00506F0A" w:rsidRDefault="0041357C" w14:paraId="119ADE93" w14:textId="77777777">
      <w:pPr>
        <w:rPr>
          <w:color w:val="000000"/>
        </w:rPr>
      </w:pPr>
    </w:p>
    <w:p w:rsidR="00706B5D" w:rsidP="00506F0A" w:rsidRDefault="0041357C" w14:paraId="33CCC824" w14:textId="3ED70156">
      <w:pPr>
        <w:rPr>
          <w:b/>
          <w:color w:val="000000"/>
        </w:rPr>
      </w:pPr>
      <w:r w:rsidRPr="0041357C">
        <w:rPr>
          <w:b/>
          <w:color w:val="000000"/>
        </w:rPr>
        <w:t>Publish tariffs &amp; keep open for public inspection</w:t>
      </w:r>
      <w:r w:rsidRPr="00AD401D">
        <w:rPr>
          <w:b/>
          <w:color w:val="000000"/>
        </w:rPr>
        <w:t>:</w:t>
      </w:r>
      <w:r w:rsidRPr="0041357C">
        <w:rPr>
          <w:color w:val="000000"/>
        </w:rPr>
        <w:t xml:space="preserve">  There are </w:t>
      </w:r>
      <w:r w:rsidR="00511F2D">
        <w:rPr>
          <w:color w:val="000000"/>
        </w:rPr>
        <w:t>142</w:t>
      </w:r>
      <w:r w:rsidR="00FC37DA">
        <w:rPr>
          <w:color w:val="000000"/>
        </w:rPr>
        <w:t xml:space="preserve"> </w:t>
      </w:r>
      <w:r w:rsidRPr="0041357C">
        <w:rPr>
          <w:color w:val="000000"/>
        </w:rPr>
        <w:t xml:space="preserve">Vessel Operating Common Carriers (VOCCs) and </w:t>
      </w:r>
      <w:r w:rsidR="00F723E1">
        <w:rPr>
          <w:color w:val="000000"/>
        </w:rPr>
        <w:t xml:space="preserve">approximately </w:t>
      </w:r>
      <w:r w:rsidR="00511F2D">
        <w:rPr>
          <w:color w:val="000000"/>
        </w:rPr>
        <w:t xml:space="preserve">5,900 </w:t>
      </w:r>
      <w:r w:rsidRPr="0041357C">
        <w:rPr>
          <w:color w:val="000000"/>
        </w:rPr>
        <w:t xml:space="preserve">Non-Vessel Operating Common Carriers (NVOCCs) for an approximate total of </w:t>
      </w:r>
      <w:r w:rsidR="00511F2D">
        <w:rPr>
          <w:color w:val="000000"/>
        </w:rPr>
        <w:t>6,042</w:t>
      </w:r>
      <w:r w:rsidRPr="0041357C">
        <w:rPr>
          <w:color w:val="000000"/>
        </w:rPr>
        <w:t xml:space="preserve"> common carriers required by statute to publish tariffs.  On average</w:t>
      </w:r>
      <w:r w:rsidR="00DE65C4">
        <w:rPr>
          <w:color w:val="000000"/>
        </w:rPr>
        <w:t>,</w:t>
      </w:r>
      <w:r w:rsidRPr="0041357C">
        <w:rPr>
          <w:color w:val="000000"/>
        </w:rPr>
        <w:t xml:space="preserve"> there are </w:t>
      </w:r>
      <w:r w:rsidR="00D204B8">
        <w:rPr>
          <w:color w:val="000000"/>
        </w:rPr>
        <w:t>473</w:t>
      </w:r>
      <w:r w:rsidR="00511F2D">
        <w:rPr>
          <w:color w:val="000000"/>
        </w:rPr>
        <w:t xml:space="preserve"> </w:t>
      </w:r>
      <w:r w:rsidRPr="0041357C">
        <w:rPr>
          <w:color w:val="000000"/>
        </w:rPr>
        <w:t xml:space="preserve">new common carriers (NVOCCs and VOCCs) each fiscal year who are required to </w:t>
      </w:r>
      <w:r w:rsidR="00A5591A">
        <w:rPr>
          <w:color w:val="000000"/>
        </w:rPr>
        <w:t xml:space="preserve">publish a tariff </w:t>
      </w:r>
      <w:r w:rsidRPr="0041357C">
        <w:rPr>
          <w:color w:val="000000"/>
        </w:rPr>
        <w:t>prior to offering common carriage service. </w:t>
      </w:r>
      <w:r w:rsidR="001844CC">
        <w:rPr>
          <w:color w:val="000000"/>
        </w:rPr>
        <w:t xml:space="preserve">There are an additional 89 </w:t>
      </w:r>
      <w:r w:rsidR="00A62A7D">
        <w:rPr>
          <w:color w:val="000000"/>
        </w:rPr>
        <w:t xml:space="preserve">new tariffs </w:t>
      </w:r>
      <w:r w:rsidR="00994862">
        <w:rPr>
          <w:color w:val="000000"/>
        </w:rPr>
        <w:t>published due to carrier mergers</w:t>
      </w:r>
      <w:r w:rsidR="00706033">
        <w:rPr>
          <w:color w:val="000000"/>
        </w:rPr>
        <w:t xml:space="preserve"> or other organizational changes</w:t>
      </w:r>
      <w:r w:rsidR="00A5578B">
        <w:rPr>
          <w:color w:val="000000"/>
        </w:rPr>
        <w:t xml:space="preserve">, for a total of </w:t>
      </w:r>
      <w:r w:rsidRPr="002768DD" w:rsidR="00A5578B">
        <w:rPr>
          <w:color w:val="000000"/>
        </w:rPr>
        <w:t>562</w:t>
      </w:r>
      <w:r w:rsidRPr="00ED3B0F" w:rsidR="00A5578B">
        <w:rPr>
          <w:color w:val="000000"/>
        </w:rPr>
        <w:t>.</w:t>
      </w:r>
      <w:r w:rsidR="00706B5D">
        <w:rPr>
          <w:b/>
          <w:color w:val="000000"/>
        </w:rPr>
        <w:t xml:space="preserve">  </w:t>
      </w:r>
    </w:p>
    <w:p w:rsidR="00AF1A38" w:rsidP="00506F0A" w:rsidRDefault="00AF1A38" w14:paraId="119ADE95" w14:textId="77777777">
      <w:pPr>
        <w:rPr>
          <w:b/>
          <w:color w:val="000000"/>
        </w:rPr>
      </w:pPr>
    </w:p>
    <w:p w:rsidR="0041357C" w:rsidP="00ED2330" w:rsidRDefault="0041357C" w14:paraId="119ADE97" w14:textId="16F32A14">
      <w:pPr>
        <w:rPr>
          <w:b/>
          <w:color w:val="000000"/>
        </w:rPr>
      </w:pPr>
      <w:r w:rsidRPr="00AD401D">
        <w:rPr>
          <w:b/>
          <w:color w:val="000000"/>
        </w:rPr>
        <w:t>Related Forms (Form FMC-1):</w:t>
      </w:r>
      <w:r w:rsidRPr="0041357C">
        <w:rPr>
          <w:color w:val="000000"/>
        </w:rPr>
        <w:t xml:space="preserve"> On average there are </w:t>
      </w:r>
      <w:r w:rsidR="00970800">
        <w:rPr>
          <w:color w:val="000000"/>
        </w:rPr>
        <w:t>473</w:t>
      </w:r>
      <w:r w:rsidR="00FC37DA">
        <w:rPr>
          <w:color w:val="000000"/>
        </w:rPr>
        <w:t xml:space="preserve"> </w:t>
      </w:r>
      <w:r w:rsidRPr="0041357C">
        <w:rPr>
          <w:color w:val="000000"/>
        </w:rPr>
        <w:t>new common carriers (NVOCCs and VOCCs) each fiscal year who are required to complete a Form FMC-1 for the first time prior to offering common carriage service</w:t>
      </w:r>
      <w:r w:rsidR="0089234B">
        <w:rPr>
          <w:color w:val="000000"/>
        </w:rPr>
        <w:t xml:space="preserve">. Form FMC-1 </w:t>
      </w:r>
      <w:r w:rsidR="00A20153">
        <w:rPr>
          <w:color w:val="000000"/>
        </w:rPr>
        <w:t>provides</w:t>
      </w:r>
      <w:r w:rsidR="00124CB6">
        <w:rPr>
          <w:color w:val="000000"/>
        </w:rPr>
        <w:t xml:space="preserve"> the Commission with </w:t>
      </w:r>
      <w:r w:rsidR="00A20153">
        <w:rPr>
          <w:color w:val="000000"/>
        </w:rPr>
        <w:t xml:space="preserve">organizational and contact </w:t>
      </w:r>
      <w:r w:rsidR="003C6FF1">
        <w:rPr>
          <w:color w:val="000000"/>
        </w:rPr>
        <w:t>in</w:t>
      </w:r>
      <w:r w:rsidR="00790E6B">
        <w:rPr>
          <w:color w:val="000000"/>
        </w:rPr>
        <w:t>formation</w:t>
      </w:r>
      <w:r w:rsidR="009E6284">
        <w:rPr>
          <w:color w:val="000000"/>
        </w:rPr>
        <w:t xml:space="preserve"> for the </w:t>
      </w:r>
      <w:r w:rsidR="00204CA8">
        <w:rPr>
          <w:color w:val="000000"/>
        </w:rPr>
        <w:t>common carrier</w:t>
      </w:r>
      <w:r w:rsidR="00A20153">
        <w:rPr>
          <w:color w:val="000000"/>
        </w:rPr>
        <w:t>,</w:t>
      </w:r>
      <w:r w:rsidR="00F801B1">
        <w:rPr>
          <w:color w:val="000000"/>
        </w:rPr>
        <w:t xml:space="preserve"> </w:t>
      </w:r>
      <w:r w:rsidR="009E6284">
        <w:rPr>
          <w:color w:val="000000"/>
        </w:rPr>
        <w:t>as well as</w:t>
      </w:r>
      <w:r w:rsidR="00F801B1">
        <w:rPr>
          <w:color w:val="000000"/>
        </w:rPr>
        <w:t xml:space="preserve"> the location of </w:t>
      </w:r>
      <w:r w:rsidR="00080CB8">
        <w:rPr>
          <w:color w:val="000000"/>
        </w:rPr>
        <w:t>its</w:t>
      </w:r>
      <w:r w:rsidR="00D02505">
        <w:rPr>
          <w:color w:val="000000"/>
        </w:rPr>
        <w:t xml:space="preserve"> publicly available tariff</w:t>
      </w:r>
      <w:r w:rsidRPr="0041357C">
        <w:rPr>
          <w:color w:val="000000"/>
        </w:rPr>
        <w:t>. </w:t>
      </w:r>
      <w:r w:rsidR="006C0EC5">
        <w:rPr>
          <w:color w:val="000000"/>
        </w:rPr>
        <w:t xml:space="preserve">There are an additional 89 new </w:t>
      </w:r>
      <w:r w:rsidR="00574B66">
        <w:rPr>
          <w:color w:val="000000"/>
        </w:rPr>
        <w:t xml:space="preserve">FMC-1 forms </w:t>
      </w:r>
      <w:r w:rsidR="003B35A0">
        <w:rPr>
          <w:color w:val="000000"/>
        </w:rPr>
        <w:t>completed</w:t>
      </w:r>
      <w:r w:rsidR="00574B66">
        <w:rPr>
          <w:color w:val="000000"/>
        </w:rPr>
        <w:t xml:space="preserve"> </w:t>
      </w:r>
      <w:r w:rsidR="006C0EC5">
        <w:rPr>
          <w:color w:val="000000"/>
        </w:rPr>
        <w:t xml:space="preserve">due to </w:t>
      </w:r>
      <w:r w:rsidR="006E0A2F">
        <w:rPr>
          <w:color w:val="000000"/>
        </w:rPr>
        <w:t>the</w:t>
      </w:r>
      <w:r w:rsidR="006C0EC5">
        <w:rPr>
          <w:color w:val="000000"/>
        </w:rPr>
        <w:t xml:space="preserve"> merger or other organizational changes</w:t>
      </w:r>
      <w:r w:rsidR="006E0A2F">
        <w:rPr>
          <w:color w:val="000000"/>
        </w:rPr>
        <w:t xml:space="preserve"> of existing </w:t>
      </w:r>
      <w:r w:rsidR="0016215A">
        <w:rPr>
          <w:color w:val="000000"/>
        </w:rPr>
        <w:t xml:space="preserve">common </w:t>
      </w:r>
      <w:r w:rsidR="006E0A2F">
        <w:rPr>
          <w:color w:val="000000"/>
        </w:rPr>
        <w:t>carriers</w:t>
      </w:r>
      <w:r w:rsidR="006C0EC5">
        <w:rPr>
          <w:color w:val="000000"/>
        </w:rPr>
        <w:t xml:space="preserve">, for a </w:t>
      </w:r>
      <w:r w:rsidRPr="00342945" w:rsidR="006C0EC5">
        <w:rPr>
          <w:color w:val="000000"/>
        </w:rPr>
        <w:t>total of 562.</w:t>
      </w:r>
      <w:r w:rsidRPr="00342945" w:rsidR="0091239D">
        <w:rPr>
          <w:b/>
          <w:color w:val="000000"/>
        </w:rPr>
        <w:t xml:space="preserve"> </w:t>
      </w:r>
    </w:p>
    <w:p w:rsidRPr="0041357C" w:rsidR="00D57147" w:rsidP="00ED2330" w:rsidRDefault="00D57147" w14:paraId="0C78490A" w14:textId="77777777">
      <w:pPr>
        <w:rPr>
          <w:color w:val="000000"/>
        </w:rPr>
      </w:pPr>
    </w:p>
    <w:p w:rsidRPr="00C81AEA" w:rsidR="00A2570F" w:rsidP="00A2570F" w:rsidRDefault="0041357C" w14:paraId="4BE4AB39" w14:textId="28DA44CC">
      <w:pPr>
        <w:rPr>
          <w:b/>
          <w:color w:val="000000"/>
        </w:rPr>
      </w:pPr>
      <w:r w:rsidRPr="00AD401D">
        <w:rPr>
          <w:b/>
          <w:color w:val="000000"/>
        </w:rPr>
        <w:t>Inform FMC in writing of certain occurrences, e.g., cancellations, new publishers, etc.:</w:t>
      </w:r>
      <w:r w:rsidRPr="0041357C">
        <w:rPr>
          <w:color w:val="000000"/>
        </w:rPr>
        <w:t xml:space="preserve"> </w:t>
      </w:r>
      <w:r w:rsidR="00AD401D">
        <w:rPr>
          <w:color w:val="000000"/>
        </w:rPr>
        <w:t>FMC</w:t>
      </w:r>
      <w:r w:rsidRPr="0041357C">
        <w:rPr>
          <w:color w:val="000000"/>
        </w:rPr>
        <w:t xml:space="preserve"> receive</w:t>
      </w:r>
      <w:r w:rsidR="00AD401D">
        <w:rPr>
          <w:color w:val="000000"/>
        </w:rPr>
        <w:t>s</w:t>
      </w:r>
      <w:r w:rsidRPr="0041357C">
        <w:rPr>
          <w:color w:val="000000"/>
        </w:rPr>
        <w:t xml:space="preserve"> written notice on approximately </w:t>
      </w:r>
      <w:r w:rsidR="00283DEC">
        <w:rPr>
          <w:color w:val="000000"/>
        </w:rPr>
        <w:t>325</w:t>
      </w:r>
      <w:r w:rsidR="00011E25">
        <w:rPr>
          <w:color w:val="000000"/>
        </w:rPr>
        <w:t xml:space="preserve"> </w:t>
      </w:r>
      <w:r w:rsidRPr="0041357C">
        <w:rPr>
          <w:color w:val="000000"/>
        </w:rPr>
        <w:t>tariff cancellations during the fiscal year.</w:t>
      </w:r>
      <w:r w:rsidR="00136582">
        <w:rPr>
          <w:color w:val="000000"/>
        </w:rPr>
        <w:t xml:space="preserve">  </w:t>
      </w:r>
      <w:r w:rsidRPr="0041357C" w:rsidR="00136582">
        <w:rPr>
          <w:color w:val="000000"/>
        </w:rPr>
        <w:t xml:space="preserve">This </w:t>
      </w:r>
      <w:r w:rsidR="00136582">
        <w:rPr>
          <w:color w:val="000000"/>
        </w:rPr>
        <w:t>information collection</w:t>
      </w:r>
      <w:r w:rsidRPr="0041357C" w:rsidR="00136582">
        <w:rPr>
          <w:color w:val="000000"/>
        </w:rPr>
        <w:t xml:space="preserve"> also </w:t>
      </w:r>
      <w:r w:rsidR="00136582">
        <w:rPr>
          <w:color w:val="000000"/>
        </w:rPr>
        <w:t>encompasses</w:t>
      </w:r>
      <w:r w:rsidRPr="0041357C" w:rsidR="00136582">
        <w:rPr>
          <w:color w:val="000000"/>
        </w:rPr>
        <w:t xml:space="preserve"> </w:t>
      </w:r>
      <w:r w:rsidR="00136582">
        <w:rPr>
          <w:color w:val="000000"/>
        </w:rPr>
        <w:t>Special Permission A</w:t>
      </w:r>
      <w:r w:rsidRPr="00136582" w:rsidR="00136582">
        <w:rPr>
          <w:color w:val="000000"/>
        </w:rPr>
        <w:t>pplications</w:t>
      </w:r>
      <w:r w:rsidRPr="0041357C" w:rsidR="00136582">
        <w:rPr>
          <w:color w:val="000000"/>
        </w:rPr>
        <w:t xml:space="preserve"> </w:t>
      </w:r>
      <w:r w:rsidR="00ED7478">
        <w:rPr>
          <w:color w:val="000000"/>
        </w:rPr>
        <w:t xml:space="preserve">(SP) </w:t>
      </w:r>
      <w:r w:rsidRPr="0041357C" w:rsidR="00136582">
        <w:rPr>
          <w:color w:val="000000"/>
        </w:rPr>
        <w:t>received from common carriers. </w:t>
      </w:r>
      <w:r w:rsidR="0049197A">
        <w:rPr>
          <w:color w:val="000000"/>
        </w:rPr>
        <w:t xml:space="preserve"> </w:t>
      </w:r>
      <w:r w:rsidRPr="00084477" w:rsidR="0049197A">
        <w:rPr>
          <w:color w:val="000000"/>
        </w:rPr>
        <w:t>Althoug</w:t>
      </w:r>
      <w:r w:rsidRPr="000E6DE0" w:rsidR="0049197A">
        <w:rPr>
          <w:color w:val="000000"/>
        </w:rPr>
        <w:t xml:space="preserve">h eight of these applications were filed in FY 2020, that level of filing activity was very unusual. Special Permission Applications are typically very infrequent, and the number of filings varies from year to year, as their filing is dependent on a common carrier making an error in its tariff and seeking to correct it through the SP process. Indeed, in the two prior fiscal years, FY2018 and FY2019, only 1 </w:t>
      </w:r>
      <w:proofErr w:type="spellStart"/>
      <w:r w:rsidR="00ED7478">
        <w:rPr>
          <w:color w:val="000000"/>
        </w:rPr>
        <w:t>SP</w:t>
      </w:r>
      <w:r w:rsidRPr="000E6DE0" w:rsidR="0049197A">
        <w:rPr>
          <w:color w:val="000000"/>
        </w:rPr>
        <w:t>each</w:t>
      </w:r>
      <w:proofErr w:type="spellEnd"/>
      <w:r w:rsidRPr="000E6DE0" w:rsidR="0049197A">
        <w:rPr>
          <w:color w:val="000000"/>
        </w:rPr>
        <w:t xml:space="preserve"> year was received for processing.</w:t>
      </w:r>
      <w:r w:rsidRPr="00084477" w:rsidR="0049197A">
        <w:rPr>
          <w:color w:val="000000"/>
        </w:rPr>
        <w:t xml:space="preserve"> Therefore</w:t>
      </w:r>
      <w:r w:rsidRPr="001F6C30" w:rsidR="0049197A">
        <w:rPr>
          <w:color w:val="000000"/>
        </w:rPr>
        <w:t xml:space="preserve">, we only estimate 1 </w:t>
      </w:r>
      <w:proofErr w:type="spellStart"/>
      <w:r w:rsidR="00ED7478">
        <w:rPr>
          <w:color w:val="000000"/>
        </w:rPr>
        <w:t>SP</w:t>
      </w:r>
      <w:r w:rsidRPr="001F6C30" w:rsidR="0049197A">
        <w:rPr>
          <w:color w:val="000000"/>
        </w:rPr>
        <w:t>per</w:t>
      </w:r>
      <w:proofErr w:type="spellEnd"/>
      <w:r w:rsidRPr="001F6C30" w:rsidR="0049197A">
        <w:rPr>
          <w:color w:val="000000"/>
        </w:rPr>
        <w:t xml:space="preserve"> year which takes the common carrier approximately </w:t>
      </w:r>
      <w:r w:rsidR="00ED7478">
        <w:rPr>
          <w:color w:val="000000"/>
        </w:rPr>
        <w:t>0</w:t>
      </w:r>
      <w:r w:rsidRPr="001F6C30" w:rsidR="0049197A">
        <w:rPr>
          <w:color w:val="000000"/>
        </w:rPr>
        <w:t>.25 hours to gather the pertinent documentation and file with the FMC</w:t>
      </w:r>
      <w:r w:rsidRPr="00C81AEA" w:rsidR="0049197A">
        <w:rPr>
          <w:color w:val="000000"/>
        </w:rPr>
        <w:t xml:space="preserve">. </w:t>
      </w:r>
      <w:r w:rsidRPr="000F3A29" w:rsidR="00A2570F">
        <w:rPr>
          <w:color w:val="000000"/>
        </w:rPr>
        <w:t xml:space="preserve">On average, another 1,000 existing common carriers, who are changing their business operation/information will </w:t>
      </w:r>
      <w:r w:rsidRPr="000F3A29" w:rsidR="00853D49">
        <w:rPr>
          <w:color w:val="000000"/>
        </w:rPr>
        <w:t xml:space="preserve">advise </w:t>
      </w:r>
      <w:r w:rsidRPr="000F3A29" w:rsidR="00146C5B">
        <w:rPr>
          <w:color w:val="000000"/>
        </w:rPr>
        <w:t>the Commission</w:t>
      </w:r>
      <w:r w:rsidRPr="000F3A29" w:rsidR="00A2570F">
        <w:rPr>
          <w:color w:val="000000"/>
        </w:rPr>
        <w:t xml:space="preserve"> during the fiscal year.</w:t>
      </w:r>
    </w:p>
    <w:p w:rsidRPr="00C81AEA" w:rsidR="00CC0FE0" w:rsidP="00506F0A" w:rsidRDefault="00CC0FE0" w14:paraId="0287979F" w14:textId="77777777">
      <w:pPr>
        <w:rPr>
          <w:b/>
          <w:color w:val="000000"/>
        </w:rPr>
      </w:pPr>
    </w:p>
    <w:p w:rsidRPr="0041357C" w:rsidR="0041357C" w:rsidP="00506F0A" w:rsidRDefault="0041357C" w14:paraId="119ADE9A" w14:textId="594F9BE5">
      <w:pPr>
        <w:rPr>
          <w:color w:val="000000"/>
        </w:rPr>
      </w:pPr>
      <w:r w:rsidRPr="00C81AEA">
        <w:rPr>
          <w:b/>
          <w:color w:val="000000"/>
        </w:rPr>
        <w:t>File documents with FMC &amp; certifications:</w:t>
      </w:r>
      <w:r w:rsidRPr="00C81AEA">
        <w:rPr>
          <w:color w:val="000000"/>
        </w:rPr>
        <w:t>  There were no instances to report for the past fiscal year</w:t>
      </w:r>
      <w:r w:rsidRPr="00C81AEA" w:rsidR="00B43199">
        <w:rPr>
          <w:color w:val="000000"/>
        </w:rPr>
        <w:t>. T</w:t>
      </w:r>
      <w:r w:rsidRPr="00C81AEA">
        <w:rPr>
          <w:color w:val="000000"/>
        </w:rPr>
        <w:t>herefore</w:t>
      </w:r>
      <w:r w:rsidRPr="00C81AEA" w:rsidR="00FD1F66">
        <w:rPr>
          <w:color w:val="000000"/>
        </w:rPr>
        <w:t>,</w:t>
      </w:r>
      <w:r w:rsidRPr="00C81AEA">
        <w:rPr>
          <w:color w:val="000000"/>
        </w:rPr>
        <w:t xml:space="preserve"> we input the minimum of</w:t>
      </w:r>
      <w:r w:rsidRPr="0041357C">
        <w:rPr>
          <w:color w:val="000000"/>
        </w:rPr>
        <w:t xml:space="preserve"> 1</w:t>
      </w:r>
      <w:r w:rsidR="00A6366F">
        <w:rPr>
          <w:color w:val="000000"/>
        </w:rPr>
        <w:t xml:space="preserve"> annual instance</w:t>
      </w:r>
      <w:r w:rsidRPr="0041357C">
        <w:rPr>
          <w:color w:val="000000"/>
        </w:rPr>
        <w:t>.</w:t>
      </w:r>
      <w:r w:rsidR="00EE0EC4">
        <w:rPr>
          <w:color w:val="000000"/>
        </w:rPr>
        <w:t xml:space="preserve"> Historically, </w:t>
      </w:r>
      <w:r w:rsidR="003F137A">
        <w:rPr>
          <w:color w:val="000000"/>
        </w:rPr>
        <w:t xml:space="preserve">certification of a tariff was occasionally requested in connection with </w:t>
      </w:r>
      <w:r w:rsidR="003C289A">
        <w:rPr>
          <w:color w:val="000000"/>
        </w:rPr>
        <w:t>litigation regarding</w:t>
      </w:r>
      <w:r w:rsidR="00105307">
        <w:rPr>
          <w:color w:val="000000"/>
        </w:rPr>
        <w:t xml:space="preserve"> movement(s) of cargo, however, such requests have become infrequent in recent years</w:t>
      </w:r>
      <w:r w:rsidR="00A6366F">
        <w:rPr>
          <w:color w:val="000000"/>
        </w:rPr>
        <w:t>.</w:t>
      </w:r>
    </w:p>
    <w:p w:rsidRPr="0041357C" w:rsidR="0041357C" w:rsidP="00506F0A" w:rsidRDefault="0041357C" w14:paraId="119ADE9B" w14:textId="77777777">
      <w:pPr>
        <w:rPr>
          <w:color w:val="000000"/>
        </w:rPr>
      </w:pPr>
      <w:r w:rsidRPr="0041357C">
        <w:rPr>
          <w:color w:val="000000"/>
        </w:rPr>
        <w:t> </w:t>
      </w:r>
    </w:p>
    <w:p w:rsidR="0041357C" w:rsidP="00506F0A" w:rsidRDefault="0041357C" w14:paraId="119ADE9D" w14:textId="7097BE96">
      <w:pPr>
        <w:rPr>
          <w:color w:val="000000"/>
        </w:rPr>
      </w:pPr>
      <w:r w:rsidRPr="00F53331">
        <w:rPr>
          <w:b/>
          <w:color w:val="000000"/>
        </w:rPr>
        <w:t>Maintain data in tariff publication systems:</w:t>
      </w:r>
      <w:r w:rsidRPr="0041357C">
        <w:rPr>
          <w:color w:val="000000"/>
        </w:rPr>
        <w:t xml:space="preserve">   All </w:t>
      </w:r>
      <w:r w:rsidR="00060294">
        <w:rPr>
          <w:color w:val="000000"/>
        </w:rPr>
        <w:t>6,042</w:t>
      </w:r>
      <w:r w:rsidR="009338B5">
        <w:rPr>
          <w:color w:val="000000"/>
        </w:rPr>
        <w:t xml:space="preserve"> </w:t>
      </w:r>
      <w:r w:rsidRPr="0041357C">
        <w:rPr>
          <w:color w:val="000000"/>
        </w:rPr>
        <w:t>common carriers are required to publish and maintain current and historical data for 2 years electronically on-line and 5 years overall.  As this is an ongoing process to comport with the regulations</w:t>
      </w:r>
      <w:r w:rsidR="00E87F82">
        <w:rPr>
          <w:color w:val="000000"/>
        </w:rPr>
        <w:t>,</w:t>
      </w:r>
      <w:r w:rsidRPr="0041357C">
        <w:rPr>
          <w:color w:val="000000"/>
        </w:rPr>
        <w:t xml:space="preserve"> it is dependent on the number of filings each carrier makes to their respective tariffs.  </w:t>
      </w:r>
      <w:r w:rsidR="000F5AD4">
        <w:rPr>
          <w:color w:val="000000"/>
        </w:rPr>
        <w:t xml:space="preserve">With respect to the two distinct types of common carriers, VOCCs and NVOCCs, </w:t>
      </w:r>
      <w:r w:rsidRPr="001F4CA2" w:rsidR="000F5AD4">
        <w:rPr>
          <w:color w:val="000000"/>
        </w:rPr>
        <w:t xml:space="preserve">the decrease in VOCCs by </w:t>
      </w:r>
      <w:r w:rsidRPr="001F4CA2" w:rsidR="00060294">
        <w:rPr>
          <w:color w:val="000000"/>
        </w:rPr>
        <w:t>2</w:t>
      </w:r>
      <w:r w:rsidRPr="001F4CA2" w:rsidR="00852F8F">
        <w:rPr>
          <w:color w:val="000000"/>
        </w:rPr>
        <w:t>3</w:t>
      </w:r>
      <w:r w:rsidRPr="001F4CA2" w:rsidR="000F5AD4">
        <w:rPr>
          <w:color w:val="000000"/>
        </w:rPr>
        <w:t xml:space="preserve"> in the past 3 </w:t>
      </w:r>
      <w:r w:rsidRPr="001F4CA2" w:rsidR="000F5AD4">
        <w:rPr>
          <w:color w:val="000000"/>
        </w:rPr>
        <w:lastRenderedPageBreak/>
        <w:t>years results in a decline in the burden</w:t>
      </w:r>
      <w:r w:rsidRPr="00D57147" w:rsidR="000F5AD4">
        <w:rPr>
          <w:color w:val="000000"/>
        </w:rPr>
        <w:t>.</w:t>
      </w:r>
      <w:r w:rsidRPr="009F2F11" w:rsidR="000F5AD4">
        <w:rPr>
          <w:color w:val="000000"/>
        </w:rPr>
        <w:t xml:space="preserve"> </w:t>
      </w:r>
      <w:r w:rsidRPr="009F2F11">
        <w:rPr>
          <w:color w:val="000000"/>
        </w:rPr>
        <w:t>The number of f</w:t>
      </w:r>
      <w:r w:rsidRPr="001F4CA2">
        <w:rPr>
          <w:color w:val="000000"/>
        </w:rPr>
        <w:t>ilings wi</w:t>
      </w:r>
      <w:r w:rsidRPr="001F4CA2" w:rsidR="00F53331">
        <w:rPr>
          <w:color w:val="000000"/>
        </w:rPr>
        <w:t>ll</w:t>
      </w:r>
      <w:r w:rsidR="00F53331">
        <w:rPr>
          <w:color w:val="000000"/>
        </w:rPr>
        <w:t xml:space="preserve"> </w:t>
      </w:r>
      <w:r w:rsidR="000F5AD4">
        <w:rPr>
          <w:color w:val="000000"/>
        </w:rPr>
        <w:t xml:space="preserve">also </w:t>
      </w:r>
      <w:r w:rsidR="00F53331">
        <w:rPr>
          <w:color w:val="000000"/>
        </w:rPr>
        <w:t>vary from carrier to carrier;</w:t>
      </w:r>
      <w:r w:rsidRPr="0041357C">
        <w:rPr>
          <w:color w:val="000000"/>
        </w:rPr>
        <w:t xml:space="preserve"> however</w:t>
      </w:r>
      <w:r w:rsidR="00F53331">
        <w:rPr>
          <w:color w:val="000000"/>
        </w:rPr>
        <w:t>,</w:t>
      </w:r>
      <w:r w:rsidRPr="0041357C">
        <w:rPr>
          <w:color w:val="000000"/>
        </w:rPr>
        <w:t xml:space="preserve"> we estimate that each carrier </w:t>
      </w:r>
      <w:r w:rsidR="00AD520F">
        <w:rPr>
          <w:color w:val="000000"/>
        </w:rPr>
        <w:t xml:space="preserve">other than NVOCCs who opt to use </w:t>
      </w:r>
      <w:r w:rsidR="00D66E5F">
        <w:rPr>
          <w:color w:val="000000"/>
        </w:rPr>
        <w:t>Negotiated Rate Arrangements</w:t>
      </w:r>
      <w:r w:rsidR="002C4F4C">
        <w:rPr>
          <w:rStyle w:val="FootnoteReference"/>
          <w:color w:val="000000"/>
        </w:rPr>
        <w:footnoteReference w:id="2"/>
      </w:r>
      <w:r w:rsidR="00AD520F">
        <w:rPr>
          <w:color w:val="000000"/>
        </w:rPr>
        <w:t xml:space="preserve"> </w:t>
      </w:r>
      <w:r w:rsidR="00ED7478">
        <w:rPr>
          <w:color w:val="000000"/>
        </w:rPr>
        <w:t xml:space="preserve">(NRA) </w:t>
      </w:r>
      <w:r w:rsidRPr="0041357C">
        <w:rPr>
          <w:color w:val="000000"/>
        </w:rPr>
        <w:t>will make 25 rate adjustments to their tariff in a fiscal year which should take about 1 minute per filing</w:t>
      </w:r>
      <w:r w:rsidR="00744547">
        <w:rPr>
          <w:color w:val="000000"/>
        </w:rPr>
        <w:t>.</w:t>
      </w:r>
      <w:r w:rsidRPr="00C81AEA" w:rsidR="00E05A9B">
        <w:rPr>
          <w:color w:val="000000"/>
        </w:rPr>
        <w:t xml:space="preserve"> Th</w:t>
      </w:r>
      <w:r w:rsidRPr="00C81AEA" w:rsidR="00CB2B08">
        <w:rPr>
          <w:color w:val="000000"/>
        </w:rPr>
        <w:t>ere are</w:t>
      </w:r>
      <w:r w:rsidRPr="00C81AEA" w:rsidR="00E05A9B">
        <w:rPr>
          <w:color w:val="000000"/>
        </w:rPr>
        <w:t xml:space="preserve"> 5,900 total NVOCCs</w:t>
      </w:r>
      <w:r w:rsidRPr="00C81AEA" w:rsidR="00C21669">
        <w:rPr>
          <w:color w:val="000000"/>
        </w:rPr>
        <w:t>,</w:t>
      </w:r>
      <w:r w:rsidRPr="00C81AEA" w:rsidR="00E05A9B">
        <w:rPr>
          <w:color w:val="000000"/>
        </w:rPr>
        <w:t xml:space="preserve"> of which </w:t>
      </w:r>
      <w:r w:rsidRPr="00C81AEA" w:rsidR="005D44EC">
        <w:rPr>
          <w:color w:val="000000"/>
        </w:rPr>
        <w:t>2,173 publish an NRA rule</w:t>
      </w:r>
      <w:r w:rsidRPr="00C81AEA" w:rsidR="00C21669">
        <w:rPr>
          <w:color w:val="000000"/>
        </w:rPr>
        <w:t>, which</w:t>
      </w:r>
      <w:r w:rsidRPr="00C81AEA" w:rsidR="00356023">
        <w:rPr>
          <w:color w:val="000000"/>
        </w:rPr>
        <w:t xml:space="preserve"> </w:t>
      </w:r>
      <w:r w:rsidRPr="00C81AEA" w:rsidR="00C20CF9">
        <w:rPr>
          <w:color w:val="000000"/>
        </w:rPr>
        <w:t>results in</w:t>
      </w:r>
      <w:r w:rsidRPr="00C81AEA" w:rsidR="00356023">
        <w:rPr>
          <w:color w:val="000000"/>
        </w:rPr>
        <w:t xml:space="preserve"> </w:t>
      </w:r>
      <w:r w:rsidR="00CA727B">
        <w:rPr>
          <w:color w:val="000000"/>
        </w:rPr>
        <w:t xml:space="preserve">a remaining </w:t>
      </w:r>
      <w:r w:rsidRPr="00C81AEA" w:rsidR="00356023">
        <w:rPr>
          <w:color w:val="000000"/>
        </w:rPr>
        <w:t>3,727 NVOCCs</w:t>
      </w:r>
      <w:r w:rsidR="0042361F">
        <w:rPr>
          <w:color w:val="000000"/>
        </w:rPr>
        <w:t xml:space="preserve"> </w:t>
      </w:r>
      <w:r w:rsidR="00516EA9">
        <w:rPr>
          <w:color w:val="000000"/>
        </w:rPr>
        <w:t>that</w:t>
      </w:r>
      <w:r w:rsidR="00AD31E8">
        <w:rPr>
          <w:color w:val="000000"/>
        </w:rPr>
        <w:t xml:space="preserve"> </w:t>
      </w:r>
      <w:r w:rsidR="00A16DD4">
        <w:rPr>
          <w:color w:val="000000"/>
        </w:rPr>
        <w:t xml:space="preserve">make </w:t>
      </w:r>
      <w:r w:rsidR="00CA627A">
        <w:rPr>
          <w:color w:val="000000"/>
        </w:rPr>
        <w:t xml:space="preserve">rate </w:t>
      </w:r>
      <w:r w:rsidR="00516EA9">
        <w:rPr>
          <w:color w:val="000000"/>
        </w:rPr>
        <w:t>adjustments in their tariffs</w:t>
      </w:r>
      <w:r w:rsidRPr="00C81AEA" w:rsidR="00695723">
        <w:rPr>
          <w:color w:val="000000"/>
        </w:rPr>
        <w:t>.</w:t>
      </w:r>
      <w:r w:rsidRPr="00C81AEA" w:rsidR="00B334AC">
        <w:rPr>
          <w:color w:val="000000"/>
        </w:rPr>
        <w:t xml:space="preserve"> </w:t>
      </w:r>
      <w:r w:rsidRPr="00C81AEA" w:rsidR="00C87C45">
        <w:rPr>
          <w:color w:val="000000"/>
        </w:rPr>
        <w:t xml:space="preserve">In addition, 142 VOCCs publish tariffs. </w:t>
      </w:r>
      <w:r w:rsidRPr="00C81AEA" w:rsidR="001435C1">
        <w:rPr>
          <w:color w:val="000000"/>
        </w:rPr>
        <w:t xml:space="preserve"> </w:t>
      </w:r>
      <w:r w:rsidRPr="00C81AEA" w:rsidR="00C21669">
        <w:rPr>
          <w:color w:val="000000"/>
        </w:rPr>
        <w:t>All carriers</w:t>
      </w:r>
      <w:r w:rsidRPr="00C81AEA" w:rsidR="00443078">
        <w:rPr>
          <w:color w:val="000000"/>
        </w:rPr>
        <w:t xml:space="preserve"> publishing tariffs (3,727 + 142 = </w:t>
      </w:r>
      <w:r w:rsidRPr="00C81AEA" w:rsidR="00174D0C">
        <w:rPr>
          <w:color w:val="000000"/>
        </w:rPr>
        <w:t>3,869</w:t>
      </w:r>
      <w:r w:rsidRPr="00C81AEA" w:rsidR="00443078">
        <w:rPr>
          <w:color w:val="000000"/>
        </w:rPr>
        <w:t>)</w:t>
      </w:r>
      <w:r w:rsidRPr="00C81AEA" w:rsidR="00174D0C">
        <w:rPr>
          <w:color w:val="000000"/>
        </w:rPr>
        <w:t xml:space="preserve"> times 25 filings per carrier equals 96,725 annual instances.</w:t>
      </w:r>
      <w:r w:rsidRPr="00C81AEA" w:rsidR="00987183">
        <w:rPr>
          <w:color w:val="000000"/>
        </w:rPr>
        <w:t xml:space="preserve"> At </w:t>
      </w:r>
      <w:r w:rsidR="00ED7478">
        <w:rPr>
          <w:color w:val="000000"/>
        </w:rPr>
        <w:t>0</w:t>
      </w:r>
      <w:r w:rsidR="00E11797">
        <w:rPr>
          <w:color w:val="000000"/>
        </w:rPr>
        <w:t>.0167 hours</w:t>
      </w:r>
      <w:r w:rsidRPr="00C81AEA" w:rsidR="00E54E40">
        <w:rPr>
          <w:color w:val="000000"/>
        </w:rPr>
        <w:t xml:space="preserve"> per response, the total burden </w:t>
      </w:r>
      <w:r w:rsidRPr="00C81AEA" w:rsidR="00864C8F">
        <w:rPr>
          <w:color w:val="000000"/>
        </w:rPr>
        <w:t>is estimated to be 1,615 hours.</w:t>
      </w:r>
    </w:p>
    <w:p w:rsidR="00D12AF3" w:rsidP="00506F0A" w:rsidRDefault="00D12AF3" w14:paraId="1A667DD3" w14:textId="77777777">
      <w:pPr>
        <w:rPr>
          <w:color w:val="000000"/>
        </w:rPr>
      </w:pPr>
    </w:p>
    <w:p w:rsidRPr="00045250" w:rsidR="0041357C" w:rsidP="00506F0A" w:rsidRDefault="0041357C" w14:paraId="119ADE9E" w14:textId="38EA2EFA">
      <w:pPr>
        <w:rPr>
          <w:color w:val="000000"/>
        </w:rPr>
      </w:pPr>
      <w:r w:rsidRPr="00045250">
        <w:rPr>
          <w:b/>
          <w:color w:val="000000"/>
        </w:rPr>
        <w:t>Provide reasonable access to FMC:</w:t>
      </w:r>
      <w:r w:rsidRPr="00045250">
        <w:rPr>
          <w:color w:val="000000"/>
        </w:rPr>
        <w:t xml:space="preserve">  All </w:t>
      </w:r>
      <w:r w:rsidRPr="00045250" w:rsidR="00C165A5">
        <w:rPr>
          <w:color w:val="000000"/>
        </w:rPr>
        <w:t>6,042</w:t>
      </w:r>
      <w:r w:rsidRPr="00045250" w:rsidR="009338B5">
        <w:rPr>
          <w:color w:val="000000"/>
        </w:rPr>
        <w:t xml:space="preserve"> </w:t>
      </w:r>
      <w:r w:rsidRPr="00045250">
        <w:rPr>
          <w:color w:val="000000"/>
        </w:rPr>
        <w:t>common carriers are required to provide reasonable access to FMC with any log</w:t>
      </w:r>
      <w:r w:rsidRPr="00045250" w:rsidR="007B4FDA">
        <w:rPr>
          <w:color w:val="000000"/>
        </w:rPr>
        <w:t>-</w:t>
      </w:r>
      <w:r w:rsidRPr="00045250">
        <w:rPr>
          <w:color w:val="000000"/>
        </w:rPr>
        <w:t>in or passwords that are necessary t</w:t>
      </w:r>
      <w:r w:rsidRPr="00045250" w:rsidR="00E87F82">
        <w:rPr>
          <w:color w:val="000000"/>
        </w:rPr>
        <w:t>o access their tariff systems.</w:t>
      </w:r>
      <w:r w:rsidRPr="00045250">
        <w:rPr>
          <w:color w:val="000000"/>
        </w:rPr>
        <w:t xml:space="preserve">  All tariffs are </w:t>
      </w:r>
      <w:proofErr w:type="gramStart"/>
      <w:r w:rsidRPr="00045250">
        <w:rPr>
          <w:color w:val="000000"/>
        </w:rPr>
        <w:t>on-line</w:t>
      </w:r>
      <w:proofErr w:type="gramEnd"/>
      <w:r w:rsidRPr="00045250">
        <w:rPr>
          <w:color w:val="000000"/>
        </w:rPr>
        <w:t xml:space="preserve"> and the majority </w:t>
      </w:r>
      <w:r w:rsidRPr="00045250" w:rsidR="005665C2">
        <w:rPr>
          <w:color w:val="000000"/>
        </w:rPr>
        <w:t>(</w:t>
      </w:r>
      <w:r w:rsidRPr="00045250" w:rsidR="003270B4">
        <w:rPr>
          <w:color w:val="000000"/>
        </w:rPr>
        <w:t>5,836</w:t>
      </w:r>
      <w:r w:rsidRPr="00045250" w:rsidR="005665C2">
        <w:rPr>
          <w:color w:val="000000"/>
        </w:rPr>
        <w:t xml:space="preserve">) </w:t>
      </w:r>
      <w:r w:rsidRPr="00045250">
        <w:rPr>
          <w:color w:val="000000"/>
        </w:rPr>
        <w:t>are readily available to the FMC through the 14 major tariff publishers</w:t>
      </w:r>
      <w:r w:rsidRPr="00045250" w:rsidR="007B4FDA">
        <w:rPr>
          <w:color w:val="000000"/>
        </w:rPr>
        <w:t>;</w:t>
      </w:r>
      <w:r w:rsidRPr="00045250">
        <w:rPr>
          <w:color w:val="000000"/>
        </w:rPr>
        <w:t xml:space="preserve"> therefore</w:t>
      </w:r>
      <w:r w:rsidRPr="00045250" w:rsidR="007B4FDA">
        <w:rPr>
          <w:color w:val="000000"/>
        </w:rPr>
        <w:t>,</w:t>
      </w:r>
      <w:r w:rsidRPr="00045250">
        <w:rPr>
          <w:color w:val="000000"/>
        </w:rPr>
        <w:t xml:space="preserve"> there is </w:t>
      </w:r>
      <w:r w:rsidRPr="00045250" w:rsidR="00B20357">
        <w:rPr>
          <w:color w:val="000000"/>
        </w:rPr>
        <w:t>minimal</w:t>
      </w:r>
      <w:r w:rsidRPr="00045250">
        <w:rPr>
          <w:color w:val="000000"/>
        </w:rPr>
        <w:t xml:space="preserve"> time involved</w:t>
      </w:r>
      <w:r w:rsidRPr="00045250" w:rsidR="00C07D60">
        <w:rPr>
          <w:color w:val="000000"/>
        </w:rPr>
        <w:t xml:space="preserve"> </w:t>
      </w:r>
      <w:r w:rsidRPr="00045250" w:rsidR="00B20357">
        <w:rPr>
          <w:color w:val="000000"/>
        </w:rPr>
        <w:t>to</w:t>
      </w:r>
      <w:r w:rsidRPr="00045250" w:rsidR="00C07D60">
        <w:rPr>
          <w:color w:val="000000"/>
        </w:rPr>
        <w:t xml:space="preserve"> set</w:t>
      </w:r>
      <w:r w:rsidRPr="00045250" w:rsidR="00ED6C15">
        <w:rPr>
          <w:color w:val="000000"/>
        </w:rPr>
        <w:t xml:space="preserve"> </w:t>
      </w:r>
      <w:r w:rsidRPr="00045250" w:rsidR="00B20357">
        <w:rPr>
          <w:color w:val="000000"/>
        </w:rPr>
        <w:t>up FMC access</w:t>
      </w:r>
      <w:r w:rsidRPr="00045250">
        <w:rPr>
          <w:color w:val="000000"/>
        </w:rPr>
        <w:t xml:space="preserve">.  For those </w:t>
      </w:r>
      <w:r w:rsidRPr="00045250" w:rsidR="00B755B4">
        <w:rPr>
          <w:color w:val="000000"/>
        </w:rPr>
        <w:t>206</w:t>
      </w:r>
      <w:r w:rsidRPr="00045250">
        <w:rPr>
          <w:color w:val="000000"/>
        </w:rPr>
        <w:t xml:space="preserve"> common carriers who self-publish, their tariff location is posted on their Form FMC-1.   Every self-publisher who requires a log</w:t>
      </w:r>
      <w:r w:rsidRPr="00045250" w:rsidR="007B4FDA">
        <w:rPr>
          <w:color w:val="000000"/>
        </w:rPr>
        <w:t>-</w:t>
      </w:r>
      <w:r w:rsidRPr="00045250">
        <w:rPr>
          <w:color w:val="000000"/>
        </w:rPr>
        <w:t xml:space="preserve">in and password has provided </w:t>
      </w:r>
      <w:r w:rsidR="00A908FB">
        <w:rPr>
          <w:color w:val="000000"/>
        </w:rPr>
        <w:t>FMC</w:t>
      </w:r>
      <w:r w:rsidRPr="00045250">
        <w:rPr>
          <w:color w:val="000000"/>
        </w:rPr>
        <w:t xml:space="preserve"> with a log</w:t>
      </w:r>
      <w:r w:rsidRPr="00045250" w:rsidR="007B4FDA">
        <w:rPr>
          <w:color w:val="000000"/>
        </w:rPr>
        <w:t>-</w:t>
      </w:r>
      <w:r w:rsidRPr="00045250">
        <w:rPr>
          <w:color w:val="000000"/>
        </w:rPr>
        <w:t xml:space="preserve">in and password in writing which </w:t>
      </w:r>
      <w:r w:rsidR="00A908FB">
        <w:rPr>
          <w:color w:val="000000"/>
        </w:rPr>
        <w:t>FMC</w:t>
      </w:r>
      <w:r w:rsidRPr="00045250">
        <w:rPr>
          <w:color w:val="000000"/>
        </w:rPr>
        <w:t xml:space="preserve"> post</w:t>
      </w:r>
      <w:r w:rsidR="00A908FB">
        <w:rPr>
          <w:color w:val="000000"/>
        </w:rPr>
        <w:t>s</w:t>
      </w:r>
      <w:r w:rsidRPr="00045250">
        <w:rPr>
          <w:color w:val="000000"/>
        </w:rPr>
        <w:t xml:space="preserve"> on </w:t>
      </w:r>
      <w:r w:rsidR="00A908FB">
        <w:rPr>
          <w:color w:val="000000"/>
        </w:rPr>
        <w:t>its</w:t>
      </w:r>
      <w:r w:rsidRPr="00045250" w:rsidR="00E87F82">
        <w:rPr>
          <w:color w:val="000000"/>
        </w:rPr>
        <w:t xml:space="preserve"> Intranet and update monthly.</w:t>
      </w:r>
      <w:r w:rsidRPr="00045250">
        <w:rPr>
          <w:color w:val="000000"/>
        </w:rPr>
        <w:t xml:space="preserve">  </w:t>
      </w:r>
      <w:r w:rsidRPr="00045250" w:rsidR="009E26E0">
        <w:rPr>
          <w:color w:val="000000"/>
        </w:rPr>
        <w:t xml:space="preserve">The FMC gets about </w:t>
      </w:r>
      <w:r w:rsidRPr="00045250" w:rsidR="004D6DDF">
        <w:rPr>
          <w:color w:val="000000"/>
        </w:rPr>
        <w:t>5</w:t>
      </w:r>
      <w:r w:rsidRPr="00045250" w:rsidR="005665C2">
        <w:rPr>
          <w:color w:val="000000"/>
        </w:rPr>
        <w:t xml:space="preserve"> </w:t>
      </w:r>
      <w:r w:rsidRPr="00045250" w:rsidR="009E26E0">
        <w:rPr>
          <w:color w:val="000000"/>
        </w:rPr>
        <w:t xml:space="preserve">new self-publishers a year, and </w:t>
      </w:r>
      <w:r w:rsidRPr="00045250" w:rsidR="003431C0">
        <w:rPr>
          <w:color w:val="000000"/>
        </w:rPr>
        <w:t>typically</w:t>
      </w:r>
      <w:r w:rsidRPr="00045250" w:rsidR="009E26E0">
        <w:rPr>
          <w:color w:val="000000"/>
        </w:rPr>
        <w:t xml:space="preserve"> </w:t>
      </w:r>
      <w:r w:rsidRPr="00045250" w:rsidR="004978FD">
        <w:rPr>
          <w:color w:val="000000"/>
        </w:rPr>
        <w:t>4</w:t>
      </w:r>
      <w:r w:rsidRPr="00045250" w:rsidR="004D6DDF">
        <w:rPr>
          <w:color w:val="000000"/>
        </w:rPr>
        <w:t xml:space="preserve"> </w:t>
      </w:r>
      <w:r w:rsidRPr="00045250" w:rsidR="009E26E0">
        <w:rPr>
          <w:color w:val="000000"/>
        </w:rPr>
        <w:t>of them will require a log-in and password</w:t>
      </w:r>
      <w:r w:rsidRPr="00045250">
        <w:rPr>
          <w:color w:val="000000"/>
        </w:rPr>
        <w:t>.</w:t>
      </w:r>
      <w:r w:rsidRPr="00045250" w:rsidR="009E26E0">
        <w:rPr>
          <w:color w:val="000000"/>
        </w:rPr>
        <w:t xml:space="preserve">  </w:t>
      </w:r>
      <w:r w:rsidR="00BD043D">
        <w:rPr>
          <w:color w:val="000000"/>
        </w:rPr>
        <w:t>An estimate</w:t>
      </w:r>
      <w:r w:rsidR="002D5DDD">
        <w:rPr>
          <w:color w:val="000000"/>
        </w:rPr>
        <w:t xml:space="preserve"> of 2 hours </w:t>
      </w:r>
      <w:r w:rsidR="00C01231">
        <w:rPr>
          <w:color w:val="000000"/>
        </w:rPr>
        <w:t>per response</w:t>
      </w:r>
      <w:r w:rsidR="000312FF">
        <w:rPr>
          <w:color w:val="000000"/>
        </w:rPr>
        <w:t xml:space="preserve"> </w:t>
      </w:r>
      <w:r w:rsidR="002D5DDD">
        <w:rPr>
          <w:color w:val="000000"/>
        </w:rPr>
        <w:t xml:space="preserve">is allocated </w:t>
      </w:r>
      <w:r w:rsidR="00AA615D">
        <w:rPr>
          <w:color w:val="000000"/>
        </w:rPr>
        <w:t>to set up</w:t>
      </w:r>
      <w:r w:rsidR="00432CE1">
        <w:rPr>
          <w:color w:val="000000"/>
        </w:rPr>
        <w:t xml:space="preserve"> log-in and password</w:t>
      </w:r>
      <w:r w:rsidR="00E257EE">
        <w:rPr>
          <w:color w:val="000000"/>
        </w:rPr>
        <w:t xml:space="preserve"> procedures, </w:t>
      </w:r>
      <w:r w:rsidR="004E4DD2">
        <w:rPr>
          <w:color w:val="000000"/>
        </w:rPr>
        <w:t>for a total burden of 8 hours.</w:t>
      </w:r>
    </w:p>
    <w:p w:rsidRPr="00045250" w:rsidR="0041357C" w:rsidP="00506F0A" w:rsidRDefault="0041357C" w14:paraId="119ADE9F" w14:textId="77777777">
      <w:pPr>
        <w:rPr>
          <w:color w:val="000000"/>
        </w:rPr>
      </w:pPr>
      <w:r w:rsidRPr="00045250">
        <w:rPr>
          <w:color w:val="000000"/>
        </w:rPr>
        <w:t> </w:t>
      </w:r>
    </w:p>
    <w:p w:rsidR="0041357C" w:rsidP="00506F0A" w:rsidRDefault="0041357C" w14:paraId="119ADEA1" w14:textId="6114B3EE">
      <w:r w:rsidRPr="00045250">
        <w:rPr>
          <w:b/>
          <w:color w:val="000000"/>
        </w:rPr>
        <w:t>Maintain shipper notices &amp; shipment records for time/volume:</w:t>
      </w:r>
      <w:r w:rsidRPr="00045250">
        <w:rPr>
          <w:color w:val="000000"/>
        </w:rPr>
        <w:t xml:space="preserve">   </w:t>
      </w:r>
      <w:r w:rsidR="00CE2985">
        <w:rPr>
          <w:color w:val="000000"/>
        </w:rPr>
        <w:t>T</w:t>
      </w:r>
      <w:r w:rsidRPr="00045250">
        <w:rPr>
          <w:color w:val="000000"/>
        </w:rPr>
        <w:t>ime</w:t>
      </w:r>
      <w:r w:rsidRPr="0041357C">
        <w:rPr>
          <w:color w:val="000000"/>
        </w:rPr>
        <w:t xml:space="preserve"> volume shipments are </w:t>
      </w:r>
      <w:r w:rsidR="00176507">
        <w:rPr>
          <w:color w:val="000000"/>
        </w:rPr>
        <w:t xml:space="preserve">no longer common, </w:t>
      </w:r>
      <w:r w:rsidR="00692D46">
        <w:rPr>
          <w:color w:val="000000"/>
        </w:rPr>
        <w:t xml:space="preserve">and are </w:t>
      </w:r>
      <w:r w:rsidRPr="0041357C">
        <w:rPr>
          <w:color w:val="000000"/>
        </w:rPr>
        <w:t>seldom</w:t>
      </w:r>
      <w:r w:rsidR="00CE2985">
        <w:rPr>
          <w:color w:val="000000"/>
        </w:rPr>
        <w:t>,</w:t>
      </w:r>
      <w:r w:rsidRPr="0041357C">
        <w:rPr>
          <w:color w:val="000000"/>
        </w:rPr>
        <w:t xml:space="preserve"> if ever</w:t>
      </w:r>
      <w:r w:rsidR="00CE2985">
        <w:rPr>
          <w:color w:val="000000"/>
        </w:rPr>
        <w:t>,</w:t>
      </w:r>
      <w:r w:rsidRPr="0041357C">
        <w:rPr>
          <w:color w:val="000000"/>
        </w:rPr>
        <w:t xml:space="preserve"> used in the shipping industry today.  </w:t>
      </w:r>
      <w:r w:rsidR="0090654B">
        <w:rPr>
          <w:color w:val="000000"/>
        </w:rPr>
        <w:t xml:space="preserve">Accordingly, </w:t>
      </w:r>
      <w:r w:rsidRPr="0041357C">
        <w:rPr>
          <w:color w:val="000000"/>
        </w:rPr>
        <w:t xml:space="preserve">the minimum </w:t>
      </w:r>
      <w:r w:rsidR="008507C9">
        <w:rPr>
          <w:color w:val="000000"/>
        </w:rPr>
        <w:t xml:space="preserve">number of annual instances </w:t>
      </w:r>
      <w:r w:rsidRPr="0041357C">
        <w:rPr>
          <w:color w:val="000000"/>
        </w:rPr>
        <w:t>for this</w:t>
      </w:r>
      <w:r w:rsidR="008507C9">
        <w:rPr>
          <w:color w:val="000000"/>
        </w:rPr>
        <w:t xml:space="preserve"> item</w:t>
      </w:r>
      <w:r w:rsidR="000F1593">
        <w:rPr>
          <w:color w:val="000000"/>
        </w:rPr>
        <w:t xml:space="preserve"> has been used</w:t>
      </w:r>
      <w:r w:rsidR="00B84895">
        <w:rPr>
          <w:color w:val="000000"/>
        </w:rPr>
        <w:t>,</w:t>
      </w:r>
      <w:r w:rsidRPr="0041357C">
        <w:rPr>
          <w:color w:val="000000"/>
        </w:rPr>
        <w:t xml:space="preserve"> as we have </w:t>
      </w:r>
      <w:r w:rsidR="008507C9">
        <w:rPr>
          <w:color w:val="000000"/>
        </w:rPr>
        <w:t xml:space="preserve">observed </w:t>
      </w:r>
      <w:r w:rsidRPr="0041357C">
        <w:rPr>
          <w:color w:val="000000"/>
        </w:rPr>
        <w:t xml:space="preserve">no recent </w:t>
      </w:r>
      <w:r w:rsidR="00981E4B">
        <w:rPr>
          <w:color w:val="000000"/>
        </w:rPr>
        <w:t>time volume tariff publications</w:t>
      </w:r>
      <w:r w:rsidRPr="0041357C">
        <w:rPr>
          <w:color w:val="000000"/>
        </w:rPr>
        <w:t>. </w:t>
      </w:r>
    </w:p>
    <w:p w:rsidR="0041357C" w:rsidP="00506F0A" w:rsidRDefault="0041357C" w14:paraId="119ADEA2" w14:textId="77777777"/>
    <w:p w:rsidR="00D42071" w:rsidP="00506F0A" w:rsidRDefault="00D42071" w14:paraId="0608D3CE" w14:textId="77777777">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Pr="006B4064" w:rsidR="00D42071" w:rsidP="00506F0A" w:rsidRDefault="00D42071" w14:paraId="1BB23A70" w14:textId="77777777">
      <w:pPr>
        <w:autoSpaceDE w:val="0"/>
        <w:autoSpaceDN w:val="0"/>
        <w:adjustRightInd w:val="0"/>
        <w:rPr>
          <w:b/>
          <w:bCs/>
        </w:rPr>
      </w:pPr>
    </w:p>
    <w:p w:rsidRPr="006B4064" w:rsidR="00D42071" w:rsidP="00506F0A" w:rsidRDefault="00D42071" w14:paraId="1F78A1CC" w14:textId="77777777">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B4064">
        <w:rPr>
          <w:b/>
          <w:bCs/>
        </w:rPr>
        <w:t>take into account</w:t>
      </w:r>
      <w:proofErr w:type="gramEnd"/>
      <w:r w:rsidRPr="006B4064">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B4064">
        <w:rPr>
          <w:b/>
          <w:bCs/>
        </w:rPr>
        <w:t>time period</w:t>
      </w:r>
      <w:proofErr w:type="gramEnd"/>
      <w:r w:rsidRPr="006B4064">
        <w:rPr>
          <w:b/>
          <w:bCs/>
        </w:rPr>
        <w:t xml:space="preserve"> over which costs will be incurred. Capital and start-up costs include, among other items, preparations for collecting information such as purchasing computers and software; monitoring, sampling, </w:t>
      </w:r>
      <w:proofErr w:type="gramStart"/>
      <w:r w:rsidRPr="006B4064">
        <w:rPr>
          <w:b/>
          <w:bCs/>
        </w:rPr>
        <w:t>drilling</w:t>
      </w:r>
      <w:proofErr w:type="gramEnd"/>
      <w:r w:rsidRPr="006B4064">
        <w:rPr>
          <w:b/>
          <w:bCs/>
        </w:rPr>
        <w:t xml:space="preserve"> and testing equipment; and record storage facilities. </w:t>
      </w:r>
    </w:p>
    <w:p w:rsidR="00D42071" w:rsidP="00506F0A" w:rsidRDefault="00D42071" w14:paraId="71E3D10B" w14:textId="77777777">
      <w:pPr>
        <w:autoSpaceDE w:val="0"/>
        <w:autoSpaceDN w:val="0"/>
        <w:adjustRightInd w:val="0"/>
        <w:rPr>
          <w:b/>
          <w:bCs/>
        </w:rPr>
      </w:pPr>
      <w:r w:rsidRPr="006B4064">
        <w:rPr>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6B4064">
        <w:rPr>
          <w:b/>
          <w:bCs/>
        </w:rPr>
        <w:t>process</w:t>
      </w:r>
      <w:proofErr w:type="gramEnd"/>
      <w:r w:rsidRPr="006B4064">
        <w:rPr>
          <w:b/>
          <w:bCs/>
        </w:rPr>
        <w:t xml:space="preserve"> and use existing economic </w:t>
      </w:r>
      <w:r w:rsidRPr="006B4064">
        <w:rPr>
          <w:b/>
          <w:bCs/>
        </w:rPr>
        <w:lastRenderedPageBreak/>
        <w:t>or regulatory impact analysis associated with the rulemaking containing the information collection, as appropriate.</w:t>
      </w:r>
    </w:p>
    <w:p w:rsidR="00D42071" w:rsidP="00506F0A" w:rsidRDefault="00D42071" w14:paraId="4BD78D34" w14:textId="77777777">
      <w:pPr>
        <w:autoSpaceDE w:val="0"/>
        <w:autoSpaceDN w:val="0"/>
        <w:adjustRightInd w:val="0"/>
        <w:rPr>
          <w:b/>
          <w:bCs/>
        </w:rPr>
      </w:pPr>
    </w:p>
    <w:p w:rsidR="00D42071" w:rsidP="00506F0A" w:rsidRDefault="00D42071" w14:paraId="2750E79F" w14:textId="77777777">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42071" w:rsidP="00506F0A" w:rsidRDefault="00D42071" w14:paraId="15FAC59E" w14:textId="0FFFEB7F"/>
    <w:p w:rsidR="00A85D89" w:rsidP="004B1D6C" w:rsidRDefault="004B1D6C" w14:paraId="67FA1524" w14:textId="352A371A">
      <w:pPr>
        <w:ind w:firstLine="720"/>
      </w:pPr>
      <w:r>
        <w:t xml:space="preserve">There are no additional cost burdens to respondents or recordkeepers other than those reported in item 12.  </w:t>
      </w:r>
    </w:p>
    <w:p w:rsidR="00BC2810" w:rsidP="00506F0A" w:rsidRDefault="00BC2810" w14:paraId="119ADEAE" w14:textId="77777777"/>
    <w:p w:rsidR="00D42071" w:rsidP="00506F0A" w:rsidRDefault="00D42071" w14:paraId="7626FAF1" w14:textId="77777777">
      <w:pPr>
        <w:rPr>
          <w:b/>
          <w:bCs/>
        </w:rPr>
      </w:pPr>
      <w:r w:rsidRPr="006B6A52">
        <w:rPr>
          <w:b/>
          <w:bCs/>
        </w:rPr>
        <w:t xml:space="preserve">14. </w:t>
      </w:r>
      <w:r>
        <w:rPr>
          <w:b/>
          <w:bCs/>
        </w:rPr>
        <w:tab/>
      </w:r>
      <w:r w:rsidRPr="006B6A52">
        <w:rPr>
          <w:b/>
          <w:bCs/>
        </w:rPr>
        <w:t xml:space="preserve">Provide estimates of annualized cost to the Federal government. </w:t>
      </w:r>
    </w:p>
    <w:p w:rsidR="00D42071" w:rsidP="00506F0A" w:rsidRDefault="00D42071" w14:paraId="1993CCA4" w14:textId="77777777"/>
    <w:p w:rsidR="00650CCA" w:rsidP="00506F0A" w:rsidRDefault="00650CCA" w14:paraId="119ADEAF" w14:textId="3E91ACD9">
      <w:r>
        <w:tab/>
        <w:t xml:space="preserve">Total </w:t>
      </w:r>
      <w:r w:rsidR="00A31A96">
        <w:t>estimated costs</w:t>
      </w:r>
      <w:r>
        <w:t xml:space="preserve"> to the Federal Government for this</w:t>
      </w:r>
      <w:r w:rsidR="00596E61">
        <w:t xml:space="preserve"> collection of information</w:t>
      </w:r>
      <w:r>
        <w:t xml:space="preserve"> i</w:t>
      </w:r>
      <w:r w:rsidR="00877DB5">
        <w:t xml:space="preserve">s </w:t>
      </w:r>
      <w:r w:rsidR="00470599">
        <w:t xml:space="preserve">664 </w:t>
      </w:r>
      <w:r w:rsidR="00A31A96">
        <w:t xml:space="preserve">hours, at an estimated cost of </w:t>
      </w:r>
      <w:r w:rsidR="00101F83">
        <w:t>$</w:t>
      </w:r>
      <w:r w:rsidRPr="003B5A25" w:rsidR="007334D9">
        <w:t>6</w:t>
      </w:r>
      <w:r w:rsidR="002B012A">
        <w:t>7,259</w:t>
      </w:r>
      <w:r w:rsidR="00A908FB">
        <w:t xml:space="preserve"> </w:t>
      </w:r>
      <w:r w:rsidR="005763D1">
        <w:t>(see Attachment 2</w:t>
      </w:r>
      <w:r w:rsidR="00081D66">
        <w:t>)</w:t>
      </w:r>
    </w:p>
    <w:p w:rsidR="00650CCA" w:rsidP="00506F0A" w:rsidRDefault="00650CCA" w14:paraId="119ADEB0" w14:textId="77777777"/>
    <w:p w:rsidRPr="00B772FD" w:rsidR="00D42071" w:rsidP="00506F0A" w:rsidRDefault="00D42071" w14:paraId="3D29B9FE" w14:textId="77777777">
      <w:pPr>
        <w:autoSpaceDE w:val="0"/>
        <w:autoSpaceDN w:val="0"/>
        <w:adjustRightInd w:val="0"/>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rsidR="00D42071" w:rsidP="00506F0A" w:rsidRDefault="00D42071" w14:paraId="05850D2C" w14:textId="77777777">
      <w:pPr>
        <w:shd w:val="clear" w:color="auto" w:fill="FFFFFF"/>
      </w:pPr>
    </w:p>
    <w:p w:rsidR="00650CCA" w:rsidP="00506F0A" w:rsidRDefault="00650CCA" w14:paraId="119ADEB1" w14:textId="2068A7D8">
      <w:pPr>
        <w:shd w:val="clear" w:color="auto" w:fill="FFFFFF"/>
      </w:pPr>
      <w:r w:rsidRPr="00604920">
        <w:tab/>
      </w:r>
      <w:r w:rsidRPr="00604920" w:rsidR="00604920">
        <w:t>The burden estimate for this information collection has bee</w:t>
      </w:r>
      <w:r w:rsidR="00080764">
        <w:t xml:space="preserve">n </w:t>
      </w:r>
      <w:r w:rsidRPr="00BD6086" w:rsidR="00080764">
        <w:t xml:space="preserve">slightly reduced from the </w:t>
      </w:r>
      <w:r w:rsidRPr="00BD6086" w:rsidR="00A9453D">
        <w:t>2017</w:t>
      </w:r>
      <w:r w:rsidRPr="00BD6086" w:rsidR="00101F83">
        <w:t xml:space="preserve"> estimate of </w:t>
      </w:r>
      <w:r w:rsidRPr="00BD6086" w:rsidR="00F06DCD">
        <w:t>2,4</w:t>
      </w:r>
      <w:r w:rsidRPr="00BD6086" w:rsidR="00050D5D">
        <w:t>08</w:t>
      </w:r>
      <w:r w:rsidRPr="00BD6086" w:rsidR="00101F83">
        <w:t xml:space="preserve"> hours, by </w:t>
      </w:r>
      <w:r w:rsidRPr="00BD6086" w:rsidR="0065398D">
        <w:t>1</w:t>
      </w:r>
      <w:r w:rsidRPr="00BD6086" w:rsidR="00435A70">
        <w:t>13</w:t>
      </w:r>
      <w:r w:rsidRPr="00BD6086" w:rsidR="00604920">
        <w:t xml:space="preserve"> hours.  We arrived at the estimate by using the actual respondent numbers </w:t>
      </w:r>
      <w:r w:rsidRPr="007F1DAD" w:rsidR="00080764">
        <w:t xml:space="preserve">and annual instances for FY </w:t>
      </w:r>
      <w:r w:rsidRPr="00BD6086" w:rsidR="00AD3739">
        <w:t>2018</w:t>
      </w:r>
      <w:r w:rsidRPr="00BD6086" w:rsidR="00080764">
        <w:t xml:space="preserve"> through FY </w:t>
      </w:r>
      <w:r w:rsidRPr="00BD6086" w:rsidR="00AD3739">
        <w:t>2020</w:t>
      </w:r>
      <w:r w:rsidRPr="00BD6086" w:rsidR="00080764">
        <w:t xml:space="preserve"> and divided by 3</w:t>
      </w:r>
      <w:r w:rsidRPr="00BD6086" w:rsidR="00604920">
        <w:t>.  Therefore, the total number of</w:t>
      </w:r>
      <w:r w:rsidRPr="00BD6086" w:rsidR="00101F83">
        <w:t xml:space="preserve"> annual hours requested is </w:t>
      </w:r>
      <w:r w:rsidRPr="00BD6086" w:rsidR="00AF34A9">
        <w:t>2,</w:t>
      </w:r>
      <w:r w:rsidRPr="00BD6086" w:rsidR="00ED0238">
        <w:t>2</w:t>
      </w:r>
      <w:r w:rsidRPr="00BD6086" w:rsidR="00887C70">
        <w:t>95</w:t>
      </w:r>
      <w:r w:rsidRPr="00BD6086" w:rsidR="00604920">
        <w:t>.</w:t>
      </w:r>
    </w:p>
    <w:p w:rsidR="00551129" w:rsidP="00506F0A" w:rsidRDefault="00551129" w14:paraId="69FBD84B" w14:textId="7DA59261">
      <w:pPr>
        <w:shd w:val="clear" w:color="auto" w:fill="FFFFFF"/>
      </w:pPr>
    </w:p>
    <w:p w:rsidR="00FB47CE" w:rsidP="00FB47CE" w:rsidRDefault="00551129" w14:paraId="7049CA13" w14:textId="0758BE49">
      <w:pPr>
        <w:jc w:val="both"/>
      </w:pPr>
      <w:r>
        <w:tab/>
      </w:r>
      <w:r w:rsidR="0040257B">
        <w:t>T</w:t>
      </w:r>
      <w:r>
        <w:t>he start-up costs</w:t>
      </w:r>
      <w:r w:rsidR="00C63A6B">
        <w:t xml:space="preserve"> and operations and maintenance costs previously reported under question 13 </w:t>
      </w:r>
      <w:r w:rsidR="00FB47CE">
        <w:t xml:space="preserve">have been eliminated due to advances in technology associated with publishing and making tariffs available to the public. </w:t>
      </w:r>
      <w:r w:rsidR="0040257B">
        <w:t>Notably</w:t>
      </w:r>
      <w:r w:rsidR="00FB47CE">
        <w:t xml:space="preserve">, 96% of all tariffs are published by the 14 major tariff publishers, </w:t>
      </w:r>
      <w:r w:rsidR="00B135E6">
        <w:t>and those</w:t>
      </w:r>
      <w:r w:rsidR="00FB47CE">
        <w:t xml:space="preserve"> start-up costs were incurred long ago, in many cases, decades ago.</w:t>
      </w:r>
      <w:r w:rsidR="00611D93">
        <w:t xml:space="preserve"> The remaining </w:t>
      </w:r>
      <w:r w:rsidR="005F55DD">
        <w:t xml:space="preserve">4% of tariffs </w:t>
      </w:r>
      <w:r w:rsidR="001331AF">
        <w:t>are published using commercially available software</w:t>
      </w:r>
      <w:r w:rsidR="00BB2F09">
        <w:t>.</w:t>
      </w:r>
    </w:p>
    <w:p w:rsidR="00081D66" w:rsidP="00506F0A" w:rsidRDefault="00081D66" w14:paraId="119ADEB2" w14:textId="77777777"/>
    <w:p w:rsidR="00D42071" w:rsidP="00506F0A" w:rsidRDefault="00D42071" w14:paraId="70739028" w14:textId="77777777">
      <w:pPr>
        <w:rPr>
          <w:b/>
          <w:bCs/>
        </w:rPr>
      </w:pPr>
      <w:r w:rsidRPr="006B6A52">
        <w:rPr>
          <w:b/>
          <w:bCs/>
        </w:rPr>
        <w:t xml:space="preserve">16. </w:t>
      </w:r>
      <w:r>
        <w:rPr>
          <w:b/>
          <w:bCs/>
        </w:rPr>
        <w:tab/>
      </w:r>
      <w:r w:rsidRPr="006B6A52">
        <w:rPr>
          <w:b/>
          <w:bCs/>
        </w:rPr>
        <w:t xml:space="preserve">For </w:t>
      </w:r>
      <w:proofErr w:type="gramStart"/>
      <w:r w:rsidRPr="006B6A52">
        <w:rPr>
          <w:b/>
          <w:bCs/>
        </w:rPr>
        <w:t>collections</w:t>
      </w:r>
      <w:proofErr w:type="gramEnd"/>
      <w:r w:rsidRPr="006B6A52">
        <w:rPr>
          <w:b/>
          <w:bCs/>
        </w:rPr>
        <w:t xml:space="preserve"> whose results will be published, outline the plans for tabulation and publication.</w:t>
      </w:r>
    </w:p>
    <w:p w:rsidR="00D42071" w:rsidP="00506F0A" w:rsidRDefault="00D42071" w14:paraId="4D944FFD" w14:textId="77777777"/>
    <w:p w:rsidR="00650CCA" w:rsidP="00506F0A" w:rsidRDefault="00650CCA" w14:paraId="119ADEB4" w14:textId="6AA0EBC5">
      <w:r>
        <w:tab/>
      </w:r>
      <w:r w:rsidR="00BB6A80">
        <w:t>T</w:t>
      </w:r>
      <w:r w:rsidRPr="00BB6A80" w:rsidR="00BB6A80">
        <w:t>he Commission publishes on its website a list of the location</w:t>
      </w:r>
      <w:r w:rsidR="00BB6A80">
        <w:t>s</w:t>
      </w:r>
      <w:r w:rsidRPr="00BB6A80" w:rsidR="00BB6A80">
        <w:t xml:space="preserve"> of </w:t>
      </w:r>
      <w:r w:rsidR="00BB6A80">
        <w:t>carrier tariffs</w:t>
      </w:r>
      <w:r w:rsidRPr="00BB6A80" w:rsidR="00BB6A80">
        <w:t>.</w:t>
      </w:r>
    </w:p>
    <w:p w:rsidR="00650CCA" w:rsidP="00506F0A" w:rsidRDefault="00650CCA" w14:paraId="119ADEB5" w14:textId="77777777"/>
    <w:p w:rsidRPr="00B772FD" w:rsidR="00D42071" w:rsidP="00506F0A" w:rsidRDefault="00D42071" w14:paraId="72C88E27" w14:textId="77777777">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rsidR="00D42071" w:rsidP="00506F0A" w:rsidRDefault="00D42071" w14:paraId="56B22281" w14:textId="77777777"/>
    <w:p w:rsidR="00650CCA" w:rsidP="00506F0A" w:rsidRDefault="00650CCA" w14:paraId="119ADEB7" w14:textId="2007BB38">
      <w:r>
        <w:tab/>
        <w:t>Not applicable</w:t>
      </w:r>
      <w:r w:rsidR="00A31A96">
        <w:t xml:space="preserve"> – The Commission is not seeking approval to exclude the display of the expiration date for OMB approval of this information collection</w:t>
      </w:r>
      <w:r>
        <w:t>.</w:t>
      </w:r>
    </w:p>
    <w:p w:rsidR="006A10F9" w:rsidP="00506F0A" w:rsidRDefault="006A10F9" w14:paraId="63A6271D" w14:textId="78376038"/>
    <w:p w:rsidR="006A10F9" w:rsidP="00506F0A" w:rsidRDefault="006A10F9" w14:paraId="7F7338A1" w14:textId="02507519"/>
    <w:p w:rsidR="006A10F9" w:rsidP="00506F0A" w:rsidRDefault="006A10F9" w14:paraId="63A8F641" w14:textId="77777777"/>
    <w:p w:rsidR="00650CCA" w:rsidP="00506F0A" w:rsidRDefault="00650CCA" w14:paraId="119ADEB8" w14:textId="77777777"/>
    <w:p w:rsidRPr="00B772FD" w:rsidR="00D42071" w:rsidP="00506F0A" w:rsidRDefault="00D42071" w14:paraId="76458642" w14:textId="77777777">
      <w:pPr>
        <w:autoSpaceDE w:val="0"/>
        <w:autoSpaceDN w:val="0"/>
        <w:adjustRightInd w:val="0"/>
        <w:rPr>
          <w:rFonts w:eastAsia="Calibri"/>
          <w:b/>
          <w:bCs/>
          <w:color w:val="000000"/>
        </w:rPr>
      </w:pPr>
      <w:r w:rsidRPr="00B772FD">
        <w:rPr>
          <w:rFonts w:eastAsia="Calibri"/>
          <w:b/>
          <w:bCs/>
          <w:color w:val="000000"/>
        </w:rPr>
        <w:lastRenderedPageBreak/>
        <w:t xml:space="preserve">18. </w:t>
      </w:r>
      <w:r w:rsidRPr="00B772FD">
        <w:rPr>
          <w:rFonts w:eastAsia="Calibri"/>
          <w:b/>
          <w:bCs/>
          <w:color w:val="000000"/>
        </w:rPr>
        <w:tab/>
        <w:t xml:space="preserve">Explain each exception to the certification statement identified in Item 19 of OMB Form 83-I. </w:t>
      </w:r>
    </w:p>
    <w:p w:rsidR="00D42071" w:rsidP="00506F0A" w:rsidRDefault="00D42071" w14:paraId="045A1092" w14:textId="77777777"/>
    <w:p w:rsidR="00650CCA" w:rsidP="00506F0A" w:rsidRDefault="00650CCA" w14:paraId="119ADEBA" w14:textId="63FC01F7">
      <w:r>
        <w:tab/>
        <w:t>Not applicable</w:t>
      </w:r>
      <w:r w:rsidR="007C3104">
        <w:t xml:space="preserve"> </w:t>
      </w:r>
      <w:r w:rsidR="00A31A96">
        <w:t>-- The Commission proposes no exception to the certification statement on OMB Form 83-I.</w:t>
      </w:r>
    </w:p>
    <w:p w:rsidR="00650CCA" w:rsidP="00506F0A" w:rsidRDefault="00650CCA" w14:paraId="119ADEBB" w14:textId="77777777"/>
    <w:p w:rsidR="00650CCA" w:rsidP="00506F0A" w:rsidRDefault="00650CCA" w14:paraId="119ADEBC" w14:textId="77777777">
      <w:r>
        <w:rPr>
          <w:b/>
        </w:rPr>
        <w:t>B.</w:t>
      </w:r>
      <w:r>
        <w:rPr>
          <w:b/>
        </w:rPr>
        <w:tab/>
        <w:t>Collections of Information Employing Statistical Methods</w:t>
      </w:r>
    </w:p>
    <w:p w:rsidR="00650CCA" w:rsidP="00506F0A" w:rsidRDefault="00650CCA" w14:paraId="119ADEBD" w14:textId="77777777"/>
    <w:p w:rsidR="00650CCA" w:rsidP="00506F0A" w:rsidRDefault="00650CCA" w14:paraId="119ADEBE" w14:textId="77777777">
      <w:r>
        <w:tab/>
        <w:t>This collection of information does not employ statistical methods.</w:t>
      </w:r>
    </w:p>
    <w:p w:rsidRPr="005045C6" w:rsidR="005045C6" w:rsidP="00506F0A" w:rsidRDefault="0010192B" w14:paraId="119ADEBF" w14:textId="77777777">
      <w:pPr>
        <w:rPr>
          <w:b/>
        </w:rPr>
      </w:pPr>
      <w:r>
        <w:br w:type="page"/>
      </w:r>
      <w:r w:rsidR="005045C6">
        <w:rPr>
          <w:b/>
        </w:rPr>
        <w:lastRenderedPageBreak/>
        <w:t>Attachment 1</w:t>
      </w:r>
    </w:p>
    <w:p w:rsidR="005045C6" w:rsidP="00506F0A" w:rsidRDefault="005045C6" w14:paraId="119ADEC0" w14:textId="77777777"/>
    <w:p w:rsidR="005045C6" w:rsidP="00506F0A" w:rsidRDefault="005045C6" w14:paraId="119ADEC1" w14:textId="77777777"/>
    <w:p w:rsidR="005045C6" w:rsidP="00506F0A" w:rsidRDefault="005045C6" w14:paraId="119ADEC2" w14:textId="77777777">
      <w:r w:rsidRPr="00A041F4">
        <w:rPr>
          <w:b/>
        </w:rPr>
        <w:t>12.</w:t>
      </w:r>
      <w:r w:rsidRPr="00A041F4">
        <w:rPr>
          <w:b/>
        </w:rPr>
        <w:tab/>
      </w:r>
      <w:r>
        <w:rPr>
          <w:b/>
        </w:rPr>
        <w:t>Estimated Burden and Costs, Including Overhead, to Respondents</w:t>
      </w:r>
    </w:p>
    <w:p w:rsidR="005045C6" w:rsidP="00506F0A" w:rsidRDefault="005045C6" w14:paraId="119ADEC3" w14:textId="77777777"/>
    <w:p w:rsidRPr="0063390B" w:rsidR="005045C6" w:rsidP="00506F0A" w:rsidRDefault="00BB4476" w14:paraId="119ADEC4" w14:textId="3E30A039">
      <w:r w:rsidRPr="0063390B">
        <w:t xml:space="preserve">2,014 </w:t>
      </w:r>
      <w:r w:rsidRPr="0063390B" w:rsidR="005045C6">
        <w:t xml:space="preserve">hours (reporting and recordkeeping requirements) + </w:t>
      </w:r>
      <w:r w:rsidRPr="0063390B">
        <w:t xml:space="preserve">281 </w:t>
      </w:r>
      <w:r w:rsidRPr="0063390B" w:rsidR="00206672">
        <w:t>hours (Form FMC</w:t>
      </w:r>
      <w:r w:rsidRPr="0063390B" w:rsidR="00206672">
        <w:noBreakHyphen/>
      </w:r>
      <w:r w:rsidRPr="0063390B" w:rsidR="005045C6">
        <w:t>1</w:t>
      </w:r>
      <w:r w:rsidRPr="0063390B" w:rsidR="00F1613F">
        <w:t>)</w:t>
      </w:r>
      <w:r w:rsidRPr="0063390B" w:rsidR="005045C6">
        <w:t xml:space="preserve"> = </w:t>
      </w:r>
      <w:r w:rsidRPr="0063390B" w:rsidR="00F64B8C">
        <w:t xml:space="preserve">2,295 </w:t>
      </w:r>
      <w:r w:rsidRPr="0063390B" w:rsidR="005045C6">
        <w:t>total hours</w:t>
      </w:r>
    </w:p>
    <w:p w:rsidRPr="0063390B" w:rsidR="005045C6" w:rsidP="00506F0A" w:rsidRDefault="005045C6" w14:paraId="119ADEC5" w14:textId="77777777"/>
    <w:p w:rsidRPr="0063390B" w:rsidR="005045C6" w:rsidP="00506F0A" w:rsidRDefault="005045C6" w14:paraId="119ADEC6" w14:textId="7CAB8199">
      <w:r w:rsidRPr="0063390B">
        <w:t>33% Pricing Manager (</w:t>
      </w:r>
      <w:r w:rsidRPr="0063390B" w:rsidR="00226925">
        <w:t>757</w:t>
      </w:r>
      <w:r w:rsidRPr="0063390B">
        <w:t xml:space="preserve"> hours)</w:t>
      </w:r>
    </w:p>
    <w:p w:rsidRPr="0063390B" w:rsidR="005045C6" w:rsidP="00506F0A" w:rsidRDefault="005045C6" w14:paraId="119ADEC7" w14:textId="5A97B4AE">
      <w:r w:rsidRPr="0063390B">
        <w:t>67% Tariff Publisher (</w:t>
      </w:r>
      <w:r w:rsidRPr="0063390B" w:rsidR="00951D92">
        <w:t>1,</w:t>
      </w:r>
      <w:r w:rsidRPr="0063390B" w:rsidR="00C87037">
        <w:t>538</w:t>
      </w:r>
      <w:r w:rsidRPr="0063390B">
        <w:t xml:space="preserve"> hours)</w:t>
      </w:r>
    </w:p>
    <w:p w:rsidRPr="0063390B" w:rsidR="005045C6" w:rsidP="00506F0A" w:rsidRDefault="005045C6" w14:paraId="119ADEC8" w14:textId="77777777"/>
    <w:p w:rsidRPr="0063390B" w:rsidR="00515D99" w:rsidP="00506F0A" w:rsidRDefault="00515D99" w14:paraId="119ADEC9" w14:textId="21033409">
      <w:r w:rsidRPr="0063390B">
        <w:t>The annual salary calculations have been formulated using the Federal Government’s</w:t>
      </w:r>
      <w:r w:rsidRPr="0063390B" w:rsidR="00D65405">
        <w:t xml:space="preserve"> January </w:t>
      </w:r>
      <w:r w:rsidRPr="0063390B" w:rsidR="00432E2D">
        <w:t>202</w:t>
      </w:r>
      <w:r w:rsidR="0095355B">
        <w:t>1</w:t>
      </w:r>
      <w:r w:rsidRPr="0063390B">
        <w:t xml:space="preserve"> salary table (overhead of </w:t>
      </w:r>
      <w:r w:rsidRPr="0063390B" w:rsidR="00432E2D">
        <w:t>102.93</w:t>
      </w:r>
      <w:r w:rsidRPr="0063390B" w:rsidR="00D65405">
        <w:t xml:space="preserve">% </w:t>
      </w:r>
      <w:r w:rsidRPr="0063390B">
        <w:t xml:space="preserve">has been added to the basic salary).  The salary for the pricing manager was calculated using the salary of a GS 13/5 Senior Transportation Specialist, and the salary for the tariff publisher was calculated using the salary of a GS 6/5 Transportation Specialist. </w:t>
      </w:r>
    </w:p>
    <w:p w:rsidRPr="0063390B" w:rsidR="005045C6" w:rsidP="00506F0A" w:rsidRDefault="005045C6" w14:paraId="119ADECA" w14:textId="77777777"/>
    <w:p w:rsidRPr="0063390B" w:rsidR="00515D99" w:rsidP="00506F0A" w:rsidRDefault="00515D99" w14:paraId="119ADECB" w14:textId="77777777">
      <w:r w:rsidRPr="0063390B">
        <w:t>Formula:  Annual salary/2087 + overhead rate = adjusted annual salary</w:t>
      </w:r>
    </w:p>
    <w:p w:rsidRPr="0063390B" w:rsidR="00515D99" w:rsidP="00506F0A" w:rsidRDefault="00515D99" w14:paraId="119ADECC" w14:textId="77777777"/>
    <w:p w:rsidRPr="0063390B" w:rsidR="00515D99" w:rsidP="00506F0A" w:rsidRDefault="00515D99" w14:paraId="119ADECD" w14:textId="16828A4F">
      <w:r w:rsidRPr="0063390B">
        <w:t>$</w:t>
      </w:r>
      <w:r w:rsidR="00D75955">
        <w:t>117,516</w:t>
      </w:r>
      <w:r w:rsidRPr="0063390B" w:rsidR="00D65405">
        <w:t>/2087 = $</w:t>
      </w:r>
      <w:r w:rsidR="00283400">
        <w:t>56.31</w:t>
      </w:r>
      <w:r w:rsidRPr="0063390B" w:rsidR="00D65405">
        <w:t xml:space="preserve">(basic hourly rate) </w:t>
      </w:r>
      <w:r w:rsidRPr="0063390B">
        <w:t xml:space="preserve">+ </w:t>
      </w:r>
      <w:r w:rsidRPr="0063390B" w:rsidR="00D65405">
        <w:t>$</w:t>
      </w:r>
      <w:r w:rsidRPr="0063390B" w:rsidR="00DC03AC">
        <w:t>57.</w:t>
      </w:r>
      <w:r w:rsidR="003B7810">
        <w:t>96</w:t>
      </w:r>
      <w:r w:rsidRPr="0063390B" w:rsidR="00D65405">
        <w:t xml:space="preserve"> (overhead)</w:t>
      </w:r>
      <w:r w:rsidRPr="0063390B">
        <w:t xml:space="preserve"> = $</w:t>
      </w:r>
      <w:r w:rsidR="003B7810">
        <w:t>114.27</w:t>
      </w:r>
      <w:r w:rsidRPr="0063390B">
        <w:t>= Pricing Manager adjusted hourly salary</w:t>
      </w:r>
    </w:p>
    <w:p w:rsidRPr="0063390B" w:rsidR="00515D99" w:rsidP="00506F0A" w:rsidRDefault="00515D99" w14:paraId="119ADECE" w14:textId="77777777"/>
    <w:p w:rsidRPr="0063390B" w:rsidR="00515D99" w:rsidP="00506F0A" w:rsidRDefault="00515D99" w14:paraId="119ADECF" w14:textId="66275207">
      <w:r w:rsidRPr="0063390B">
        <w:t>$</w:t>
      </w:r>
      <w:r w:rsidR="00787206">
        <w:t>50,134</w:t>
      </w:r>
      <w:r w:rsidRPr="0063390B" w:rsidR="00D65405">
        <w:t>/2087 = $</w:t>
      </w:r>
      <w:r w:rsidRPr="0063390B" w:rsidR="004D6987">
        <w:t>2</w:t>
      </w:r>
      <w:r w:rsidR="004D7C38">
        <w:t>4.0</w:t>
      </w:r>
      <w:r w:rsidR="00927B64">
        <w:t>2</w:t>
      </w:r>
      <w:r w:rsidRPr="0063390B" w:rsidR="00D65405">
        <w:t xml:space="preserve">(basic hourly rate) </w:t>
      </w:r>
      <w:r w:rsidRPr="0063390B">
        <w:t xml:space="preserve">+ </w:t>
      </w:r>
      <w:r w:rsidRPr="0063390B" w:rsidR="00D65405">
        <w:t xml:space="preserve">$ </w:t>
      </w:r>
      <w:r w:rsidRPr="0063390B" w:rsidR="00AF2D6B">
        <w:t>24.</w:t>
      </w:r>
      <w:r w:rsidR="00D966E2">
        <w:t>72</w:t>
      </w:r>
      <w:r w:rsidRPr="0063390B" w:rsidR="00D65405">
        <w:t>(overhead) =</w:t>
      </w:r>
      <w:r w:rsidRPr="0063390B">
        <w:t xml:space="preserve"> $</w:t>
      </w:r>
      <w:r w:rsidR="00D966E2">
        <w:t>48.74</w:t>
      </w:r>
      <w:r w:rsidRPr="0063390B" w:rsidR="00D75F90">
        <w:t xml:space="preserve"> </w:t>
      </w:r>
      <w:r w:rsidRPr="0063390B">
        <w:t>= Tariff Publisher adjusted hourly salary</w:t>
      </w:r>
    </w:p>
    <w:p w:rsidRPr="0063390B" w:rsidR="005045C6" w:rsidP="00506F0A" w:rsidRDefault="005045C6" w14:paraId="119ADED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3"/>
        <w:gridCol w:w="2333"/>
        <w:gridCol w:w="2336"/>
        <w:gridCol w:w="2338"/>
      </w:tblGrid>
      <w:tr w:rsidRPr="0063390B" w:rsidR="005045C6" w:rsidTr="00796A0C" w14:paraId="119ADED5" w14:textId="77777777">
        <w:tc>
          <w:tcPr>
            <w:tcW w:w="2394" w:type="dxa"/>
          </w:tcPr>
          <w:p w:rsidRPr="0063390B" w:rsidR="005045C6" w:rsidP="00506F0A" w:rsidRDefault="005045C6" w14:paraId="119ADED1" w14:textId="77777777">
            <w:pPr>
              <w:rPr>
                <w:b/>
              </w:rPr>
            </w:pPr>
            <w:r w:rsidRPr="0063390B">
              <w:rPr>
                <w:b/>
              </w:rPr>
              <w:t>Employee</w:t>
            </w:r>
          </w:p>
        </w:tc>
        <w:tc>
          <w:tcPr>
            <w:tcW w:w="2394" w:type="dxa"/>
          </w:tcPr>
          <w:p w:rsidRPr="0063390B" w:rsidR="005045C6" w:rsidP="00506F0A" w:rsidRDefault="005045C6" w14:paraId="119ADED2" w14:textId="77777777">
            <w:pPr>
              <w:rPr>
                <w:b/>
              </w:rPr>
            </w:pPr>
            <w:r w:rsidRPr="0063390B">
              <w:rPr>
                <w:b/>
              </w:rPr>
              <w:t>Hourly Salary</w:t>
            </w:r>
          </w:p>
        </w:tc>
        <w:tc>
          <w:tcPr>
            <w:tcW w:w="2394" w:type="dxa"/>
          </w:tcPr>
          <w:p w:rsidRPr="0063390B" w:rsidR="005045C6" w:rsidP="00506F0A" w:rsidRDefault="005045C6" w14:paraId="119ADED3" w14:textId="77777777">
            <w:pPr>
              <w:rPr>
                <w:b/>
              </w:rPr>
            </w:pPr>
            <w:r w:rsidRPr="0063390B">
              <w:rPr>
                <w:b/>
              </w:rPr>
              <w:t>Number of Hours</w:t>
            </w:r>
          </w:p>
        </w:tc>
        <w:tc>
          <w:tcPr>
            <w:tcW w:w="2394" w:type="dxa"/>
          </w:tcPr>
          <w:p w:rsidRPr="0063390B" w:rsidR="005045C6" w:rsidP="00506F0A" w:rsidRDefault="005045C6" w14:paraId="119ADED4" w14:textId="77777777">
            <w:pPr>
              <w:rPr>
                <w:b/>
              </w:rPr>
            </w:pPr>
            <w:r w:rsidRPr="0063390B">
              <w:rPr>
                <w:b/>
              </w:rPr>
              <w:t>Total</w:t>
            </w:r>
          </w:p>
        </w:tc>
      </w:tr>
      <w:tr w:rsidRPr="0063390B" w:rsidR="005045C6" w:rsidTr="00796A0C" w14:paraId="119ADEDA" w14:textId="77777777">
        <w:tc>
          <w:tcPr>
            <w:tcW w:w="2394" w:type="dxa"/>
          </w:tcPr>
          <w:p w:rsidRPr="0063390B" w:rsidR="005045C6" w:rsidP="00506F0A" w:rsidRDefault="005045C6" w14:paraId="119ADED6" w14:textId="77777777">
            <w:r w:rsidRPr="0063390B">
              <w:t>Pricing Manager</w:t>
            </w:r>
          </w:p>
        </w:tc>
        <w:tc>
          <w:tcPr>
            <w:tcW w:w="2394" w:type="dxa"/>
          </w:tcPr>
          <w:p w:rsidRPr="0063390B" w:rsidR="005045C6" w:rsidP="00506F0A" w:rsidRDefault="005045C6" w14:paraId="119ADED7" w14:textId="0D82CF8E">
            <w:r w:rsidRPr="0063390B">
              <w:t>$</w:t>
            </w:r>
            <w:r w:rsidR="00D966E2">
              <w:t>114.27</w:t>
            </w:r>
          </w:p>
        </w:tc>
        <w:tc>
          <w:tcPr>
            <w:tcW w:w="2394" w:type="dxa"/>
          </w:tcPr>
          <w:p w:rsidRPr="0063390B" w:rsidR="005045C6" w:rsidP="00506F0A" w:rsidRDefault="00CE4277" w14:paraId="119ADED8" w14:textId="6E613B79">
            <w:r w:rsidRPr="0063390B">
              <w:t>757</w:t>
            </w:r>
          </w:p>
        </w:tc>
        <w:tc>
          <w:tcPr>
            <w:tcW w:w="2394" w:type="dxa"/>
          </w:tcPr>
          <w:p w:rsidRPr="0063390B" w:rsidR="005045C6" w:rsidP="00506F0A" w:rsidRDefault="00B517B5" w14:paraId="119ADED9" w14:textId="23337656">
            <w:proofErr w:type="gramStart"/>
            <w:r w:rsidRPr="0063390B">
              <w:t>$</w:t>
            </w:r>
            <w:r w:rsidRPr="0063390B" w:rsidR="00397708">
              <w:t>  </w:t>
            </w:r>
            <w:r w:rsidRPr="0063390B" w:rsidR="00CE4277">
              <w:t>8</w:t>
            </w:r>
            <w:r w:rsidR="008C02CF">
              <w:t>6,502</w:t>
            </w:r>
            <w:proofErr w:type="gramEnd"/>
          </w:p>
        </w:tc>
      </w:tr>
      <w:tr w:rsidRPr="0063390B" w:rsidR="005045C6" w:rsidTr="00796A0C" w14:paraId="119ADEDF" w14:textId="77777777">
        <w:tc>
          <w:tcPr>
            <w:tcW w:w="2394" w:type="dxa"/>
          </w:tcPr>
          <w:p w:rsidRPr="0063390B" w:rsidR="005045C6" w:rsidP="00506F0A" w:rsidRDefault="005045C6" w14:paraId="119ADEDB" w14:textId="77777777">
            <w:r w:rsidRPr="0063390B">
              <w:t>Tariff Publisher</w:t>
            </w:r>
          </w:p>
        </w:tc>
        <w:tc>
          <w:tcPr>
            <w:tcW w:w="2394" w:type="dxa"/>
          </w:tcPr>
          <w:p w:rsidRPr="0063390B" w:rsidR="005045C6" w:rsidP="00506F0A" w:rsidRDefault="00206672" w14:paraId="119ADEDC" w14:textId="31F05AB4">
            <w:r w:rsidRPr="0063390B">
              <w:t>$</w:t>
            </w:r>
            <w:r w:rsidR="008C02CF">
              <w:t>48.74</w:t>
            </w:r>
          </w:p>
        </w:tc>
        <w:tc>
          <w:tcPr>
            <w:tcW w:w="2394" w:type="dxa"/>
          </w:tcPr>
          <w:p w:rsidRPr="0063390B" w:rsidR="005045C6" w:rsidP="00506F0A" w:rsidRDefault="000D6B55" w14:paraId="119ADEDD" w14:textId="6CD47258">
            <w:r w:rsidRPr="0063390B">
              <w:t>1,538</w:t>
            </w:r>
          </w:p>
        </w:tc>
        <w:tc>
          <w:tcPr>
            <w:tcW w:w="2394" w:type="dxa"/>
          </w:tcPr>
          <w:p w:rsidRPr="0063390B" w:rsidR="005045C6" w:rsidP="00506F0A" w:rsidRDefault="00206672" w14:paraId="119ADEDE" w14:textId="2D339AB2">
            <w:proofErr w:type="gramStart"/>
            <w:r w:rsidRPr="0063390B">
              <w:t>$</w:t>
            </w:r>
            <w:r w:rsidRPr="0063390B" w:rsidR="00397708">
              <w:t>  </w:t>
            </w:r>
            <w:r w:rsidRPr="0063390B" w:rsidR="000D6B55">
              <w:t>74,</w:t>
            </w:r>
            <w:r w:rsidR="00B63A1E">
              <w:t>962</w:t>
            </w:r>
            <w:proofErr w:type="gramEnd"/>
          </w:p>
        </w:tc>
      </w:tr>
      <w:tr w:rsidRPr="00796A0C" w:rsidR="005045C6" w:rsidTr="00796A0C" w14:paraId="119ADEE4" w14:textId="77777777">
        <w:tc>
          <w:tcPr>
            <w:tcW w:w="2394" w:type="dxa"/>
          </w:tcPr>
          <w:p w:rsidRPr="0063390B" w:rsidR="005045C6" w:rsidP="00506F0A" w:rsidRDefault="005045C6" w14:paraId="119ADEE0" w14:textId="77777777">
            <w:pPr>
              <w:rPr>
                <w:b/>
              </w:rPr>
            </w:pPr>
            <w:r w:rsidRPr="0063390B">
              <w:rPr>
                <w:b/>
              </w:rPr>
              <w:t>TOTALS</w:t>
            </w:r>
          </w:p>
        </w:tc>
        <w:tc>
          <w:tcPr>
            <w:tcW w:w="2394" w:type="dxa"/>
          </w:tcPr>
          <w:p w:rsidRPr="0063390B" w:rsidR="005045C6" w:rsidP="00506F0A" w:rsidRDefault="005045C6" w14:paraId="119ADEE1" w14:textId="77777777">
            <w:pPr>
              <w:rPr>
                <w:b/>
              </w:rPr>
            </w:pPr>
          </w:p>
        </w:tc>
        <w:tc>
          <w:tcPr>
            <w:tcW w:w="2394" w:type="dxa"/>
          </w:tcPr>
          <w:p w:rsidRPr="0063390B" w:rsidR="005045C6" w:rsidP="00506F0A" w:rsidRDefault="00286E7B" w14:paraId="119ADEE2" w14:textId="2FC27AE7">
            <w:pPr>
              <w:rPr>
                <w:b/>
              </w:rPr>
            </w:pPr>
            <w:r w:rsidRPr="0063390B">
              <w:rPr>
                <w:b/>
              </w:rPr>
              <w:t>2</w:t>
            </w:r>
            <w:r w:rsidRPr="0063390B" w:rsidR="00A2379E">
              <w:rPr>
                <w:b/>
              </w:rPr>
              <w:t>,</w:t>
            </w:r>
            <w:r w:rsidRPr="0063390B">
              <w:rPr>
                <w:b/>
              </w:rPr>
              <w:t>295</w:t>
            </w:r>
          </w:p>
        </w:tc>
        <w:tc>
          <w:tcPr>
            <w:tcW w:w="2394" w:type="dxa"/>
          </w:tcPr>
          <w:p w:rsidRPr="00796A0C" w:rsidR="005045C6" w:rsidP="00506F0A" w:rsidRDefault="00206672" w14:paraId="119ADEE3" w14:textId="1E88A3AA">
            <w:pPr>
              <w:rPr>
                <w:b/>
              </w:rPr>
            </w:pPr>
            <w:r w:rsidRPr="0063390B">
              <w:rPr>
                <w:b/>
              </w:rPr>
              <w:t>$</w:t>
            </w:r>
            <w:r w:rsidR="00220C63">
              <w:rPr>
                <w:b/>
              </w:rPr>
              <w:t>161,464</w:t>
            </w:r>
          </w:p>
        </w:tc>
      </w:tr>
    </w:tbl>
    <w:p w:rsidR="005045C6" w:rsidP="00506F0A" w:rsidRDefault="005045C6" w14:paraId="119ADEE5" w14:textId="77777777">
      <w:pPr>
        <w:rPr>
          <w:b/>
        </w:rPr>
      </w:pPr>
    </w:p>
    <w:p w:rsidR="005045C6" w:rsidP="00506F0A" w:rsidRDefault="005045C6" w14:paraId="119ADEE6" w14:textId="77777777"/>
    <w:p w:rsidR="005045C6" w:rsidP="00506F0A" w:rsidRDefault="005045C6" w14:paraId="119ADEE7" w14:textId="77777777">
      <w:pPr>
        <w:rPr>
          <w:b/>
        </w:rPr>
      </w:pPr>
      <w:r>
        <w:rPr>
          <w:b/>
        </w:rPr>
        <w:br w:type="page"/>
      </w:r>
      <w:r>
        <w:rPr>
          <w:b/>
        </w:rPr>
        <w:lastRenderedPageBreak/>
        <w:t>Attachment 2</w:t>
      </w:r>
    </w:p>
    <w:p w:rsidR="005045C6" w:rsidP="00506F0A" w:rsidRDefault="005045C6" w14:paraId="119ADEE8" w14:textId="77777777">
      <w:pPr>
        <w:rPr>
          <w:b/>
        </w:rPr>
      </w:pPr>
    </w:p>
    <w:p w:rsidR="005045C6" w:rsidP="00506F0A" w:rsidRDefault="005045C6" w14:paraId="119ADEE9" w14:textId="77777777">
      <w:pPr>
        <w:rPr>
          <w:b/>
        </w:rPr>
      </w:pPr>
    </w:p>
    <w:p w:rsidR="005045C6" w:rsidP="00506F0A" w:rsidRDefault="005045C6" w14:paraId="119ADEEA" w14:textId="77777777">
      <w:pPr>
        <w:rPr>
          <w:b/>
        </w:rPr>
      </w:pPr>
      <w:r>
        <w:rPr>
          <w:b/>
        </w:rPr>
        <w:t>14.</w:t>
      </w:r>
      <w:r>
        <w:rPr>
          <w:b/>
        </w:rPr>
        <w:tab/>
        <w:t>Estimated Burden and Costs, Including Overhead, to Federal Government</w:t>
      </w:r>
    </w:p>
    <w:p w:rsidR="005045C6" w:rsidP="00506F0A" w:rsidRDefault="005045C6" w14:paraId="119ADEEB" w14:textId="77777777">
      <w:pPr>
        <w:rPr>
          <w:b/>
        </w:rPr>
      </w:pPr>
    </w:p>
    <w:p w:rsidRPr="00856BA9" w:rsidR="00AF1A38" w:rsidP="00506F0A" w:rsidRDefault="00AF1A38" w14:paraId="119ADEEC" w14:textId="1A5A9D84">
      <w:r w:rsidRPr="00856BA9">
        <w:t>The annual salary calculations have been formulated usin</w:t>
      </w:r>
      <w:r w:rsidRPr="00856BA9" w:rsidR="00D65405">
        <w:t>g the Federal Government’s January</w:t>
      </w:r>
      <w:r w:rsidRPr="00856BA9">
        <w:t xml:space="preserve"> </w:t>
      </w:r>
      <w:r w:rsidR="00F211EC">
        <w:t>2021</w:t>
      </w:r>
      <w:r w:rsidRPr="00856BA9" w:rsidR="00D65405">
        <w:t xml:space="preserve"> salary table (overhead of </w:t>
      </w:r>
      <w:r w:rsidRPr="00856BA9" w:rsidR="00664669">
        <w:t>102.93</w:t>
      </w:r>
      <w:r w:rsidRPr="00856BA9">
        <w:t>% has been added to the basic salary).</w:t>
      </w:r>
    </w:p>
    <w:p w:rsidRPr="00856BA9" w:rsidR="003816A7" w:rsidP="00506F0A" w:rsidRDefault="003816A7" w14:paraId="119ADEED" w14:textId="77777777"/>
    <w:p w:rsidR="005A34F0" w:rsidP="00506F0A" w:rsidRDefault="003D3699" w14:paraId="75889667" w14:textId="77777777">
      <w:r w:rsidRPr="00F63AC3">
        <w:rPr>
          <w:b/>
          <w:bCs/>
        </w:rPr>
        <w:t>Senior Advisor, Service Contracts and Tariffs</w:t>
      </w:r>
      <w:r w:rsidRPr="00856BA9" w:rsidR="00C5051E">
        <w:t xml:space="preserve"> </w:t>
      </w:r>
      <w:r w:rsidR="00F67887">
        <w:t xml:space="preserve">GS </w:t>
      </w:r>
      <w:r w:rsidRPr="00856BA9" w:rsidR="00C5051E">
        <w:t>15/5</w:t>
      </w:r>
      <w:r w:rsidRPr="00856BA9" w:rsidR="00D22221">
        <w:t xml:space="preserve"> –</w:t>
      </w:r>
      <w:r w:rsidRPr="00856BA9" w:rsidR="00623B50">
        <w:t xml:space="preserve"> 166</w:t>
      </w:r>
      <w:r w:rsidRPr="00856BA9" w:rsidR="00637DC7">
        <w:t xml:space="preserve"> </w:t>
      </w:r>
      <w:r w:rsidRPr="00856BA9" w:rsidR="00D22221">
        <w:t xml:space="preserve">hours </w:t>
      </w:r>
      <w:r w:rsidRPr="00856BA9" w:rsidR="00C140DC">
        <w:t>(</w:t>
      </w:r>
      <w:r w:rsidRPr="00856BA9" w:rsidR="00DD3993">
        <w:t xml:space="preserve">approximately </w:t>
      </w:r>
      <w:r w:rsidRPr="00856BA9" w:rsidR="00E921FF">
        <w:t>8</w:t>
      </w:r>
      <w:r w:rsidRPr="00856BA9" w:rsidR="00DD3993">
        <w:t>% of time</w:t>
      </w:r>
      <w:r w:rsidR="00AD2730">
        <w:t>)</w:t>
      </w:r>
    </w:p>
    <w:p w:rsidRPr="00856BA9" w:rsidR="00F5711F" w:rsidP="00506F0A" w:rsidRDefault="00F5711F" w14:paraId="7936B189" w14:textId="6A7F879E">
      <w:r w:rsidRPr="00856BA9">
        <w:t>$</w:t>
      </w:r>
      <w:r w:rsidR="00AD2730">
        <w:t>163</w:t>
      </w:r>
      <w:r w:rsidR="00801002">
        <w:t>,345</w:t>
      </w:r>
      <w:r w:rsidRPr="00856BA9" w:rsidR="00194798">
        <w:t>/2087</w:t>
      </w:r>
      <w:r w:rsidRPr="00856BA9" w:rsidR="00D91395">
        <w:t xml:space="preserve"> </w:t>
      </w:r>
      <w:r w:rsidR="005A34F0">
        <w:t>=</w:t>
      </w:r>
      <w:r w:rsidRPr="00856BA9" w:rsidR="00D91395">
        <w:t xml:space="preserve"> $</w:t>
      </w:r>
      <w:r w:rsidR="00243D82">
        <w:t>78.27</w:t>
      </w:r>
      <w:r w:rsidRPr="00856BA9" w:rsidR="00F825B5">
        <w:t>(basic hourly rate) + $</w:t>
      </w:r>
      <w:r w:rsidR="00404A6F">
        <w:t>80.56</w:t>
      </w:r>
      <w:r w:rsidRPr="00856BA9" w:rsidR="0052026E">
        <w:t xml:space="preserve"> (overhead)</w:t>
      </w:r>
      <w:r w:rsidR="005A34F0">
        <w:t xml:space="preserve"> </w:t>
      </w:r>
      <w:r w:rsidRPr="00856BA9" w:rsidR="00710018">
        <w:t>=</w:t>
      </w:r>
      <w:r w:rsidR="005A34F0">
        <w:t xml:space="preserve"> </w:t>
      </w:r>
      <w:r w:rsidRPr="00856BA9" w:rsidR="00DE30BF">
        <w:t>$</w:t>
      </w:r>
      <w:r w:rsidR="00F65E9D">
        <w:t>158.83</w:t>
      </w:r>
      <w:r w:rsidRPr="00856BA9" w:rsidR="00CE35A6">
        <w:t xml:space="preserve"> adjusted hourly salary</w:t>
      </w:r>
    </w:p>
    <w:p w:rsidRPr="00856BA9" w:rsidR="00A063B3" w:rsidP="00506F0A" w:rsidRDefault="00A063B3" w14:paraId="77793B7B" w14:textId="77777777"/>
    <w:p w:rsidRPr="00856BA9" w:rsidR="00234F4A" w:rsidP="00506F0A" w:rsidRDefault="00234F4A" w14:paraId="4F7E0CAE" w14:textId="39829B3B">
      <w:r w:rsidRPr="00F67887">
        <w:rPr>
          <w:b/>
          <w:bCs/>
        </w:rPr>
        <w:t>Transportation Specialist</w:t>
      </w:r>
      <w:r w:rsidRPr="00856BA9">
        <w:t xml:space="preserve"> </w:t>
      </w:r>
      <w:r w:rsidR="00F36598">
        <w:t xml:space="preserve">GS </w:t>
      </w:r>
      <w:r w:rsidRPr="00856BA9">
        <w:t>12</w:t>
      </w:r>
      <w:r w:rsidRPr="00856BA9" w:rsidR="00531814">
        <w:t>/5</w:t>
      </w:r>
      <w:r w:rsidRPr="00856BA9">
        <w:t xml:space="preserve"> – </w:t>
      </w:r>
      <w:r w:rsidRPr="00856BA9" w:rsidR="004216E6">
        <w:t>332</w:t>
      </w:r>
      <w:r w:rsidRPr="00856BA9">
        <w:t xml:space="preserve"> </w:t>
      </w:r>
      <w:r w:rsidRPr="00856BA9" w:rsidR="009501C2">
        <w:t>hours</w:t>
      </w:r>
      <w:r w:rsidRPr="00856BA9" w:rsidR="00DC7EEF">
        <w:t xml:space="preserve"> (approximately 1</w:t>
      </w:r>
      <w:r w:rsidRPr="00856BA9" w:rsidR="004E540E">
        <w:t>6</w:t>
      </w:r>
      <w:r w:rsidRPr="00856BA9" w:rsidR="00DC7EEF">
        <w:t>% of time)</w:t>
      </w:r>
    </w:p>
    <w:p w:rsidRPr="00856BA9" w:rsidR="00C30D02" w:rsidP="00506F0A" w:rsidRDefault="00093917" w14:paraId="5BB4CC2B" w14:textId="6289F050">
      <w:r w:rsidRPr="00856BA9">
        <w:t>$</w:t>
      </w:r>
      <w:r w:rsidR="006B3BB8">
        <w:t>98,827</w:t>
      </w:r>
      <w:r w:rsidRPr="00856BA9" w:rsidR="000B765C">
        <w:t xml:space="preserve">/2087 </w:t>
      </w:r>
      <w:r w:rsidR="005A34F0">
        <w:t>=</w:t>
      </w:r>
      <w:r w:rsidRPr="00856BA9" w:rsidR="000B765C">
        <w:t xml:space="preserve"> </w:t>
      </w:r>
      <w:r w:rsidRPr="00856BA9" w:rsidR="00E50E9B">
        <w:t>$</w:t>
      </w:r>
      <w:r w:rsidR="00211AE3">
        <w:t>47.35</w:t>
      </w:r>
      <w:r w:rsidRPr="00856BA9" w:rsidR="00E61BF8">
        <w:t xml:space="preserve"> (basic hourly rate) + $</w:t>
      </w:r>
      <w:r w:rsidR="00F50248">
        <w:t>48.7</w:t>
      </w:r>
      <w:r w:rsidR="005B4AA8">
        <w:t>4</w:t>
      </w:r>
      <w:r w:rsidRPr="00856BA9" w:rsidR="00CF2BFC">
        <w:t xml:space="preserve"> (overhead)</w:t>
      </w:r>
      <w:r w:rsidR="005A34F0">
        <w:t xml:space="preserve"> </w:t>
      </w:r>
      <w:r w:rsidRPr="00856BA9" w:rsidR="00CF2BFC">
        <w:t>=</w:t>
      </w:r>
      <w:r w:rsidR="005A34F0">
        <w:t xml:space="preserve"> </w:t>
      </w:r>
      <w:r w:rsidRPr="00856BA9" w:rsidR="00CF2BFC">
        <w:t>$</w:t>
      </w:r>
      <w:r w:rsidR="005B4AA8">
        <w:t>96.09</w:t>
      </w:r>
      <w:r w:rsidRPr="00856BA9" w:rsidR="00CE35A6">
        <w:t xml:space="preserve"> adjusted hourly salary</w:t>
      </w:r>
    </w:p>
    <w:p w:rsidR="00234F4A" w:rsidP="00506F0A" w:rsidRDefault="00AC6056" w14:paraId="49965EC7" w14:textId="6806571F">
      <w:pPr>
        <w:rPr>
          <w:color w:val="002060"/>
        </w:rPr>
      </w:pPr>
      <w:r w:rsidRPr="00856BA9">
        <w:t xml:space="preserve"> </w:t>
      </w:r>
    </w:p>
    <w:p w:rsidRPr="00856BA9" w:rsidR="005A34F0" w:rsidP="00506F0A" w:rsidRDefault="005A34F0" w14:paraId="766B6B9C" w14:textId="77777777"/>
    <w:p w:rsidRPr="00856BA9" w:rsidR="00594B84" w:rsidP="00506F0A" w:rsidRDefault="00594B84" w14:paraId="2B2DA8BE" w14:textId="3A9A05AE">
      <w:r w:rsidRPr="00F67887">
        <w:rPr>
          <w:b/>
          <w:bCs/>
        </w:rPr>
        <w:t>Information Processing Assistant</w:t>
      </w:r>
      <w:r w:rsidRPr="00856BA9" w:rsidR="004216E6">
        <w:t xml:space="preserve"> GS</w:t>
      </w:r>
      <w:r w:rsidR="00F36598">
        <w:t xml:space="preserve"> </w:t>
      </w:r>
      <w:r w:rsidRPr="00856BA9" w:rsidR="004216E6">
        <w:t>7/5</w:t>
      </w:r>
      <w:r w:rsidRPr="00856BA9" w:rsidR="00661974">
        <w:t xml:space="preserve"> </w:t>
      </w:r>
      <w:r w:rsidRPr="00856BA9" w:rsidR="004A4652">
        <w:t>–</w:t>
      </w:r>
      <w:r w:rsidRPr="00856BA9" w:rsidR="00661974">
        <w:t xml:space="preserve"> 166</w:t>
      </w:r>
      <w:r w:rsidRPr="00856BA9" w:rsidR="004A4652">
        <w:t xml:space="preserve"> hours (approximately 8% of time</w:t>
      </w:r>
      <w:r w:rsidRPr="00856BA9" w:rsidR="00DD14BE">
        <w:t>)</w:t>
      </w:r>
    </w:p>
    <w:p w:rsidR="0061097C" w:rsidP="00506F0A" w:rsidRDefault="00DA2D0D" w14:paraId="3CAA8A63" w14:textId="564931C7">
      <w:r w:rsidRPr="00856BA9">
        <w:t>$55,</w:t>
      </w:r>
      <w:r w:rsidR="00527C0E">
        <w:t>712</w:t>
      </w:r>
      <w:r w:rsidRPr="00856BA9" w:rsidR="0012077B">
        <w:t xml:space="preserve">/2087 </w:t>
      </w:r>
      <w:r w:rsidR="005A34F0">
        <w:t>=</w:t>
      </w:r>
      <w:r w:rsidRPr="00856BA9" w:rsidR="0012077B">
        <w:t xml:space="preserve"> $</w:t>
      </w:r>
      <w:r w:rsidRPr="00856BA9" w:rsidR="00E747E8">
        <w:t>26.</w:t>
      </w:r>
      <w:r w:rsidR="00B47689">
        <w:t>69</w:t>
      </w:r>
      <w:r w:rsidRPr="00856BA9" w:rsidR="00E747E8">
        <w:t xml:space="preserve"> (basic hourly rate) +</w:t>
      </w:r>
      <w:r w:rsidRPr="00856BA9" w:rsidR="008B65F1">
        <w:t xml:space="preserve"> $27.</w:t>
      </w:r>
      <w:r w:rsidR="00D51DD0">
        <w:t>47</w:t>
      </w:r>
      <w:r w:rsidRPr="00856BA9" w:rsidR="002E5BB9">
        <w:t xml:space="preserve"> (overhead) = $</w:t>
      </w:r>
      <w:r w:rsidR="00D51DD0">
        <w:t>54.16</w:t>
      </w:r>
    </w:p>
    <w:p w:rsidRPr="00856BA9" w:rsidR="00D57147" w:rsidP="00506F0A" w:rsidRDefault="00D57147" w14:paraId="527C5B6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40"/>
        <w:gridCol w:w="1763"/>
        <w:gridCol w:w="2110"/>
        <w:gridCol w:w="1437"/>
      </w:tblGrid>
      <w:tr w:rsidRPr="009E3A65" w:rsidR="003816A7" w:rsidTr="00796A0C" w14:paraId="119ADEFB" w14:textId="77777777">
        <w:tc>
          <w:tcPr>
            <w:tcW w:w="4158" w:type="dxa"/>
          </w:tcPr>
          <w:p w:rsidRPr="009E3A65" w:rsidR="003816A7" w:rsidP="00506F0A" w:rsidRDefault="003816A7" w14:paraId="119ADEF7" w14:textId="77777777">
            <w:pPr>
              <w:rPr>
                <w:b/>
              </w:rPr>
            </w:pPr>
            <w:r w:rsidRPr="009E3A65">
              <w:rPr>
                <w:b/>
              </w:rPr>
              <w:t>Employee</w:t>
            </w:r>
          </w:p>
        </w:tc>
        <w:tc>
          <w:tcPr>
            <w:tcW w:w="1800" w:type="dxa"/>
          </w:tcPr>
          <w:p w:rsidRPr="009E3A65" w:rsidR="003816A7" w:rsidP="00506F0A" w:rsidRDefault="003816A7" w14:paraId="119ADEF8" w14:textId="77777777">
            <w:pPr>
              <w:rPr>
                <w:b/>
              </w:rPr>
            </w:pPr>
            <w:r w:rsidRPr="009E3A65">
              <w:rPr>
                <w:b/>
              </w:rPr>
              <w:t>Hourly Salary</w:t>
            </w:r>
          </w:p>
        </w:tc>
        <w:tc>
          <w:tcPr>
            <w:tcW w:w="2160" w:type="dxa"/>
          </w:tcPr>
          <w:p w:rsidRPr="009E3A65" w:rsidR="003816A7" w:rsidP="00506F0A" w:rsidRDefault="003816A7" w14:paraId="119ADEF9" w14:textId="77777777">
            <w:pPr>
              <w:rPr>
                <w:b/>
              </w:rPr>
            </w:pPr>
            <w:r w:rsidRPr="009E3A65">
              <w:rPr>
                <w:b/>
              </w:rPr>
              <w:t>Number of Hours</w:t>
            </w:r>
          </w:p>
        </w:tc>
        <w:tc>
          <w:tcPr>
            <w:tcW w:w="1458" w:type="dxa"/>
          </w:tcPr>
          <w:p w:rsidRPr="009E3A65" w:rsidR="003816A7" w:rsidP="00506F0A" w:rsidRDefault="003816A7" w14:paraId="119ADEFA" w14:textId="77777777">
            <w:pPr>
              <w:rPr>
                <w:b/>
              </w:rPr>
            </w:pPr>
            <w:r w:rsidRPr="009E3A65">
              <w:rPr>
                <w:b/>
              </w:rPr>
              <w:t>Total</w:t>
            </w:r>
          </w:p>
        </w:tc>
      </w:tr>
      <w:tr w:rsidRPr="009E3A65" w:rsidR="003816A7" w:rsidTr="00796A0C" w14:paraId="119ADF00" w14:textId="77777777">
        <w:tc>
          <w:tcPr>
            <w:tcW w:w="4158" w:type="dxa"/>
          </w:tcPr>
          <w:p w:rsidRPr="009E3A65" w:rsidR="003816A7" w:rsidP="00506F0A" w:rsidRDefault="003D3699" w14:paraId="119ADEFC" w14:textId="36C8855B">
            <w:r>
              <w:t>Senior Advisor, Service Cont</w:t>
            </w:r>
            <w:r w:rsidR="00C6319F">
              <w:t>r</w:t>
            </w:r>
            <w:r>
              <w:t xml:space="preserve">acts </w:t>
            </w:r>
            <w:r w:rsidR="00C6319F">
              <w:t>and</w:t>
            </w:r>
            <w:r>
              <w:t xml:space="preserve"> Tariffs</w:t>
            </w:r>
          </w:p>
        </w:tc>
        <w:tc>
          <w:tcPr>
            <w:tcW w:w="1800" w:type="dxa"/>
          </w:tcPr>
          <w:p w:rsidRPr="009E3A65" w:rsidR="003816A7" w:rsidP="00506F0A" w:rsidRDefault="00F31B00" w14:paraId="119ADEFD" w14:textId="45B0BC70">
            <w:r w:rsidRPr="009E3A65">
              <w:t>$</w:t>
            </w:r>
            <w:r w:rsidRPr="009E3A65" w:rsidR="00DD44CA">
              <w:t>15</w:t>
            </w:r>
            <w:r w:rsidR="002B14CB">
              <w:t>8.83</w:t>
            </w:r>
          </w:p>
        </w:tc>
        <w:tc>
          <w:tcPr>
            <w:tcW w:w="2160" w:type="dxa"/>
          </w:tcPr>
          <w:p w:rsidRPr="009E3A65" w:rsidR="003816A7" w:rsidP="00506F0A" w:rsidRDefault="00326679" w14:paraId="119ADEFE" w14:textId="283A005C">
            <w:r w:rsidRPr="009E3A65">
              <w:t>166</w:t>
            </w:r>
          </w:p>
        </w:tc>
        <w:tc>
          <w:tcPr>
            <w:tcW w:w="1458" w:type="dxa"/>
          </w:tcPr>
          <w:p w:rsidRPr="009E3A65" w:rsidR="003816A7" w:rsidP="00506F0A" w:rsidRDefault="008E5332" w14:paraId="119ADEFF" w14:textId="542CA3EF">
            <w:r w:rsidRPr="009E3A65">
              <w:t>26</w:t>
            </w:r>
            <w:r w:rsidRPr="009E3A65" w:rsidR="008E4A2F">
              <w:t>,</w:t>
            </w:r>
            <w:r w:rsidR="00965AAC">
              <w:t>36</w:t>
            </w:r>
            <w:r w:rsidR="00003A26">
              <w:t>6</w:t>
            </w:r>
          </w:p>
        </w:tc>
      </w:tr>
      <w:tr w:rsidRPr="009E3A65" w:rsidR="003816A7" w:rsidTr="00796A0C" w14:paraId="119ADF05" w14:textId="77777777">
        <w:tc>
          <w:tcPr>
            <w:tcW w:w="4158" w:type="dxa"/>
          </w:tcPr>
          <w:p w:rsidRPr="009E3A65" w:rsidR="003816A7" w:rsidP="00506F0A" w:rsidRDefault="00344832" w14:paraId="119ADF01" w14:textId="519543A0">
            <w:r w:rsidRPr="009E3A65">
              <w:t>Transportation Specialist</w:t>
            </w:r>
            <w:r w:rsidRPr="009E3A65" w:rsidR="004E74FF">
              <w:t>**</w:t>
            </w:r>
          </w:p>
        </w:tc>
        <w:tc>
          <w:tcPr>
            <w:tcW w:w="1800" w:type="dxa"/>
          </w:tcPr>
          <w:p w:rsidRPr="009E3A65" w:rsidR="003816A7" w:rsidP="00506F0A" w:rsidRDefault="00F31B00" w14:paraId="119ADF02" w14:textId="4F99F1D9">
            <w:r w:rsidRPr="009E3A65">
              <w:t>$</w:t>
            </w:r>
            <w:r w:rsidR="00003A26">
              <w:t>96.09</w:t>
            </w:r>
          </w:p>
        </w:tc>
        <w:tc>
          <w:tcPr>
            <w:tcW w:w="2160" w:type="dxa"/>
          </w:tcPr>
          <w:p w:rsidRPr="009E3A65" w:rsidR="003816A7" w:rsidP="00506F0A" w:rsidRDefault="008E5332" w14:paraId="119ADF03" w14:textId="5FDFEC7E">
            <w:r w:rsidRPr="009E3A65">
              <w:t>332</w:t>
            </w:r>
          </w:p>
        </w:tc>
        <w:tc>
          <w:tcPr>
            <w:tcW w:w="1458" w:type="dxa"/>
          </w:tcPr>
          <w:p w:rsidRPr="009E3A65" w:rsidR="003816A7" w:rsidP="00506F0A" w:rsidRDefault="008E4A2F" w14:paraId="119ADF04" w14:textId="18B6A831">
            <w:r w:rsidRPr="009E3A65">
              <w:t>31,</w:t>
            </w:r>
            <w:r w:rsidR="0096272C">
              <w:t>902</w:t>
            </w:r>
          </w:p>
        </w:tc>
      </w:tr>
      <w:tr w:rsidRPr="009E3A65" w:rsidR="00FA2DAA" w:rsidTr="00796A0C" w14:paraId="2F45075C" w14:textId="77777777">
        <w:tc>
          <w:tcPr>
            <w:tcW w:w="4158" w:type="dxa"/>
          </w:tcPr>
          <w:p w:rsidRPr="009E3A65" w:rsidR="00FA2DAA" w:rsidP="00506F0A" w:rsidRDefault="00FA2DAA" w14:paraId="73BE9D9F" w14:textId="64EDE6C2">
            <w:r w:rsidRPr="009E3A65">
              <w:t>Senior Transportation Specialist</w:t>
            </w:r>
            <w:r w:rsidRPr="009E3A65" w:rsidR="004E74FF">
              <w:t>**</w:t>
            </w:r>
          </w:p>
        </w:tc>
        <w:tc>
          <w:tcPr>
            <w:tcW w:w="1800" w:type="dxa"/>
          </w:tcPr>
          <w:p w:rsidRPr="009E3A65" w:rsidR="00FA2DAA" w:rsidP="00506F0A" w:rsidRDefault="00FA2DAA" w14:paraId="72B1D5D8" w14:textId="325F2B2E"/>
        </w:tc>
        <w:tc>
          <w:tcPr>
            <w:tcW w:w="2160" w:type="dxa"/>
          </w:tcPr>
          <w:p w:rsidRPr="009E3A65" w:rsidR="00FA2DAA" w:rsidP="00506F0A" w:rsidRDefault="00FA2DAA" w14:paraId="2B65C4C5" w14:textId="08085337"/>
        </w:tc>
        <w:tc>
          <w:tcPr>
            <w:tcW w:w="1458" w:type="dxa"/>
          </w:tcPr>
          <w:p w:rsidRPr="009E3A65" w:rsidR="00FA2DAA" w:rsidP="00506F0A" w:rsidRDefault="00FA2DAA" w14:paraId="7A3A726F" w14:textId="426D0DBE"/>
        </w:tc>
      </w:tr>
      <w:tr w:rsidRPr="009E3A65" w:rsidR="003816A7" w:rsidTr="00796A0C" w14:paraId="119ADF0A" w14:textId="77777777">
        <w:tc>
          <w:tcPr>
            <w:tcW w:w="4158" w:type="dxa"/>
          </w:tcPr>
          <w:p w:rsidRPr="009E3A65" w:rsidR="003816A7" w:rsidP="00506F0A" w:rsidRDefault="003816A7" w14:paraId="119ADF06" w14:textId="77777777">
            <w:r w:rsidRPr="009E3A65">
              <w:t xml:space="preserve">Information Processing Assistant </w:t>
            </w:r>
          </w:p>
        </w:tc>
        <w:tc>
          <w:tcPr>
            <w:tcW w:w="1800" w:type="dxa"/>
          </w:tcPr>
          <w:p w:rsidRPr="009E3A65" w:rsidR="003816A7" w:rsidP="00506F0A" w:rsidRDefault="00F31B00" w14:paraId="119ADF07" w14:textId="7780FB5F">
            <w:r w:rsidRPr="009E3A65">
              <w:t>$</w:t>
            </w:r>
            <w:r w:rsidR="008F28C6">
              <w:t>5</w:t>
            </w:r>
            <w:r w:rsidR="0096272C">
              <w:t>4.16</w:t>
            </w:r>
          </w:p>
        </w:tc>
        <w:tc>
          <w:tcPr>
            <w:tcW w:w="2160" w:type="dxa"/>
          </w:tcPr>
          <w:p w:rsidRPr="009E3A65" w:rsidR="003816A7" w:rsidP="00506F0A" w:rsidRDefault="00F31B00" w14:paraId="119ADF08" w14:textId="2A38510B">
            <w:r w:rsidRPr="009E3A65">
              <w:t>166</w:t>
            </w:r>
          </w:p>
        </w:tc>
        <w:tc>
          <w:tcPr>
            <w:tcW w:w="1458" w:type="dxa"/>
          </w:tcPr>
          <w:p w:rsidRPr="009E3A65" w:rsidR="003816A7" w:rsidP="00506F0A" w:rsidRDefault="00CA2984" w14:paraId="119ADF09" w14:textId="3A47D95A">
            <w:r w:rsidRPr="009E3A65">
              <w:t>$8,9</w:t>
            </w:r>
            <w:r w:rsidR="008F28C6">
              <w:t>91</w:t>
            </w:r>
          </w:p>
        </w:tc>
      </w:tr>
      <w:tr w:rsidRPr="009E3A65" w:rsidR="003816A7" w:rsidTr="00796A0C" w14:paraId="119ADF0F" w14:textId="77777777">
        <w:tc>
          <w:tcPr>
            <w:tcW w:w="4158" w:type="dxa"/>
          </w:tcPr>
          <w:p w:rsidRPr="009E3A65" w:rsidR="003816A7" w:rsidP="00506F0A" w:rsidRDefault="003816A7" w14:paraId="119ADF0B" w14:textId="77777777">
            <w:pPr>
              <w:rPr>
                <w:b/>
              </w:rPr>
            </w:pPr>
            <w:r w:rsidRPr="009E3A65">
              <w:rPr>
                <w:b/>
              </w:rPr>
              <w:t>TOTALS</w:t>
            </w:r>
          </w:p>
        </w:tc>
        <w:tc>
          <w:tcPr>
            <w:tcW w:w="1800" w:type="dxa"/>
          </w:tcPr>
          <w:p w:rsidRPr="009E3A65" w:rsidR="003816A7" w:rsidP="00506F0A" w:rsidRDefault="003816A7" w14:paraId="119ADF0C" w14:textId="77777777">
            <w:pPr>
              <w:rPr>
                <w:b/>
              </w:rPr>
            </w:pPr>
          </w:p>
        </w:tc>
        <w:tc>
          <w:tcPr>
            <w:tcW w:w="2160" w:type="dxa"/>
          </w:tcPr>
          <w:p w:rsidRPr="009E3A65" w:rsidR="003816A7" w:rsidP="00506F0A" w:rsidRDefault="00FA2DAA" w14:paraId="119ADF0D" w14:textId="6781D437">
            <w:pPr>
              <w:rPr>
                <w:b/>
              </w:rPr>
            </w:pPr>
            <w:r w:rsidRPr="009E3A65">
              <w:rPr>
                <w:b/>
              </w:rPr>
              <w:t>664</w:t>
            </w:r>
          </w:p>
        </w:tc>
        <w:tc>
          <w:tcPr>
            <w:tcW w:w="1458" w:type="dxa"/>
          </w:tcPr>
          <w:p w:rsidRPr="009E3A65" w:rsidR="003816A7" w:rsidP="00506F0A" w:rsidRDefault="0086425C" w14:paraId="119ADF0E" w14:textId="716A2FE1">
            <w:pPr>
              <w:rPr>
                <w:b/>
              </w:rPr>
            </w:pPr>
            <w:r w:rsidRPr="009E3A65">
              <w:rPr>
                <w:b/>
              </w:rPr>
              <w:t>$</w:t>
            </w:r>
            <w:r w:rsidR="00FD67B0">
              <w:rPr>
                <w:b/>
              </w:rPr>
              <w:t>67,259</w:t>
            </w:r>
          </w:p>
        </w:tc>
      </w:tr>
    </w:tbl>
    <w:p w:rsidRPr="009E3A65" w:rsidR="003816A7" w:rsidP="00506F0A" w:rsidRDefault="003816A7" w14:paraId="119ADF10" w14:textId="77777777"/>
    <w:p w:rsidR="003816A7" w:rsidP="00506F0A" w:rsidRDefault="003816A7" w14:paraId="119ADF11" w14:textId="11BBB0F2">
      <w:pPr>
        <w:rPr>
          <w:b/>
        </w:rPr>
      </w:pPr>
      <w:r w:rsidRPr="009E3A65">
        <w:rPr>
          <w:b/>
        </w:rPr>
        <w:t xml:space="preserve">Estimated </w:t>
      </w:r>
      <w:r w:rsidRPr="009E3A65" w:rsidR="00B875C8">
        <w:rPr>
          <w:b/>
        </w:rPr>
        <w:t>Burden C</w:t>
      </w:r>
      <w:r w:rsidRPr="009E3A65">
        <w:rPr>
          <w:b/>
        </w:rPr>
        <w:t>ost to the Federal Government:</w:t>
      </w:r>
      <w:r w:rsidRPr="009E3A65" w:rsidR="00BD5BA8">
        <w:rPr>
          <w:b/>
        </w:rPr>
        <w:tab/>
      </w:r>
      <w:r w:rsidRPr="009E3A65" w:rsidR="00BD5BA8">
        <w:rPr>
          <w:b/>
        </w:rPr>
        <w:tab/>
      </w:r>
      <w:r w:rsidRPr="009E3A65">
        <w:rPr>
          <w:b/>
        </w:rPr>
        <w:t>$</w:t>
      </w:r>
      <w:r w:rsidRPr="009E3A65" w:rsidR="008D6A38">
        <w:rPr>
          <w:b/>
        </w:rPr>
        <w:t>6</w:t>
      </w:r>
      <w:r w:rsidR="009F63C7">
        <w:rPr>
          <w:b/>
        </w:rPr>
        <w:t>7,259</w:t>
      </w:r>
    </w:p>
    <w:p w:rsidR="004E74FF" w:rsidP="00506F0A" w:rsidRDefault="004E74FF" w14:paraId="1586D4DA" w14:textId="70A0666A">
      <w:pPr>
        <w:rPr>
          <w:b/>
        </w:rPr>
      </w:pPr>
    </w:p>
    <w:p w:rsidRPr="00BC6761" w:rsidR="004E74FF" w:rsidP="00506F0A" w:rsidRDefault="004E74FF" w14:paraId="5485EBB0" w14:textId="51078040">
      <w:pPr>
        <w:rPr>
          <w:bCs/>
        </w:rPr>
      </w:pPr>
      <w:r w:rsidRPr="00BC6761">
        <w:rPr>
          <w:bCs/>
        </w:rPr>
        <w:t xml:space="preserve">** </w:t>
      </w:r>
      <w:r w:rsidRPr="00BC6761" w:rsidR="00F040B8">
        <w:rPr>
          <w:bCs/>
        </w:rPr>
        <w:t>Hours reallocated due to changes in internal business processes.</w:t>
      </w:r>
    </w:p>
    <w:sectPr w:rsidRPr="00BC6761" w:rsidR="004E74FF" w:rsidSect="00EB52E0">
      <w:footnotePr>
        <w:pos w:val="beneathTex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5450B" w14:textId="77777777" w:rsidR="00A748AA" w:rsidRDefault="00A748AA">
      <w:r>
        <w:separator/>
      </w:r>
    </w:p>
  </w:endnote>
  <w:endnote w:type="continuationSeparator" w:id="0">
    <w:p w14:paraId="19B58458" w14:textId="77777777" w:rsidR="00A748AA" w:rsidRDefault="00A7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E0A15" w14:textId="77777777" w:rsidR="00A748AA" w:rsidRDefault="00A748AA">
      <w:r>
        <w:separator/>
      </w:r>
    </w:p>
  </w:footnote>
  <w:footnote w:type="continuationSeparator" w:id="0">
    <w:p w14:paraId="6579601A" w14:textId="77777777" w:rsidR="00A748AA" w:rsidRDefault="00A748AA">
      <w:r>
        <w:continuationSeparator/>
      </w:r>
    </w:p>
  </w:footnote>
  <w:footnote w:id="1">
    <w:p w14:paraId="119ADF16" w14:textId="77777777" w:rsidR="00B15638" w:rsidRDefault="00B15638" w:rsidP="0021346A">
      <w:pPr>
        <w:pStyle w:val="FootnoteText"/>
        <w:jc w:val="both"/>
      </w:pPr>
      <w:r>
        <w:rPr>
          <w:rStyle w:val="FootnoteReference"/>
        </w:rPr>
        <w:footnoteRef/>
      </w:r>
      <w:r>
        <w:t xml:space="preserve"> A tariff publication occurs prior to the commencement of common carriage service by a VOCC or NVOCC pursuant to a published tariff.  The common carrier is required to submit a Form FMC-1 indicating where the link is to their published tariff(s) governing rules and rates.</w:t>
      </w:r>
    </w:p>
  </w:footnote>
  <w:footnote w:id="2">
    <w:p w14:paraId="2AA6A646" w14:textId="27CFF2BD" w:rsidR="002C4F4C" w:rsidRPr="00ED3314" w:rsidRDefault="002C4F4C">
      <w:pPr>
        <w:pStyle w:val="FootnoteText"/>
        <w:rPr>
          <w:sz w:val="24"/>
          <w:szCs w:val="24"/>
        </w:rPr>
      </w:pPr>
      <w:r w:rsidRPr="00ED3314">
        <w:rPr>
          <w:rStyle w:val="FootnoteReference"/>
          <w:sz w:val="24"/>
          <w:szCs w:val="24"/>
        </w:rPr>
        <w:footnoteRef/>
      </w:r>
      <w:r w:rsidRPr="00ED3314">
        <w:rPr>
          <w:sz w:val="24"/>
          <w:szCs w:val="24"/>
        </w:rPr>
        <w:t xml:space="preserve"> </w:t>
      </w:r>
      <w:r w:rsidR="004565FC">
        <w:rPr>
          <w:sz w:val="24"/>
          <w:szCs w:val="24"/>
        </w:rPr>
        <w:t xml:space="preserve"> A </w:t>
      </w:r>
      <w:r w:rsidR="00613980">
        <w:rPr>
          <w:sz w:val="24"/>
          <w:szCs w:val="24"/>
        </w:rPr>
        <w:t xml:space="preserve">Negotiate Rate Arrangement </w:t>
      </w:r>
      <w:r w:rsidR="004565FC">
        <w:rPr>
          <w:sz w:val="24"/>
          <w:szCs w:val="24"/>
        </w:rPr>
        <w:t>is</w:t>
      </w:r>
      <w:r w:rsidR="00ED3314">
        <w:rPr>
          <w:sz w:val="24"/>
          <w:szCs w:val="24"/>
        </w:rPr>
        <w:t xml:space="preserve"> not required to be </w:t>
      </w:r>
      <w:r w:rsidR="00A16DD4">
        <w:rPr>
          <w:sz w:val="24"/>
          <w:szCs w:val="24"/>
        </w:rPr>
        <w:t>filed</w:t>
      </w:r>
      <w:r w:rsidR="00ED3314">
        <w:rPr>
          <w:sz w:val="24"/>
          <w:szCs w:val="24"/>
        </w:rPr>
        <w:t xml:space="preserve"> in the </w:t>
      </w:r>
      <w:r w:rsidR="00C67029">
        <w:rPr>
          <w:sz w:val="24"/>
          <w:szCs w:val="24"/>
        </w:rPr>
        <w:t>NVOCC’s</w:t>
      </w:r>
      <w:r w:rsidR="00ED3314">
        <w:rPr>
          <w:sz w:val="24"/>
          <w:szCs w:val="24"/>
        </w:rPr>
        <w:t xml:space="preserve"> tariff. </w:t>
      </w:r>
      <w:r w:rsidR="00613980">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7ECD"/>
    <w:multiLevelType w:val="hybridMultilevel"/>
    <w:tmpl w:val="A8F67230"/>
    <w:lvl w:ilvl="0" w:tplc="D2D0F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3A"/>
    <w:rsid w:val="00001B99"/>
    <w:rsid w:val="00002BF5"/>
    <w:rsid w:val="00003072"/>
    <w:rsid w:val="00003101"/>
    <w:rsid w:val="00003A26"/>
    <w:rsid w:val="00004F20"/>
    <w:rsid w:val="00005241"/>
    <w:rsid w:val="00006BD1"/>
    <w:rsid w:val="00011E25"/>
    <w:rsid w:val="0002091C"/>
    <w:rsid w:val="0002314B"/>
    <w:rsid w:val="0002338E"/>
    <w:rsid w:val="00030A86"/>
    <w:rsid w:val="000312FF"/>
    <w:rsid w:val="00032261"/>
    <w:rsid w:val="000348DC"/>
    <w:rsid w:val="00037AEA"/>
    <w:rsid w:val="00040FA1"/>
    <w:rsid w:val="00042885"/>
    <w:rsid w:val="00042F43"/>
    <w:rsid w:val="00043E4B"/>
    <w:rsid w:val="0004400B"/>
    <w:rsid w:val="0004474F"/>
    <w:rsid w:val="00045250"/>
    <w:rsid w:val="00045CAD"/>
    <w:rsid w:val="0005060A"/>
    <w:rsid w:val="00050D5D"/>
    <w:rsid w:val="00052123"/>
    <w:rsid w:val="0005427C"/>
    <w:rsid w:val="00055687"/>
    <w:rsid w:val="00060294"/>
    <w:rsid w:val="0006567E"/>
    <w:rsid w:val="00066210"/>
    <w:rsid w:val="0007159B"/>
    <w:rsid w:val="000733C3"/>
    <w:rsid w:val="00074025"/>
    <w:rsid w:val="000749B8"/>
    <w:rsid w:val="00074E95"/>
    <w:rsid w:val="00080764"/>
    <w:rsid w:val="00080CB8"/>
    <w:rsid w:val="00081D66"/>
    <w:rsid w:val="00082453"/>
    <w:rsid w:val="00083EA6"/>
    <w:rsid w:val="00084477"/>
    <w:rsid w:val="0008475B"/>
    <w:rsid w:val="00086DA0"/>
    <w:rsid w:val="00093917"/>
    <w:rsid w:val="00094344"/>
    <w:rsid w:val="00094FE0"/>
    <w:rsid w:val="00097A39"/>
    <w:rsid w:val="000A1E0C"/>
    <w:rsid w:val="000A20F2"/>
    <w:rsid w:val="000A4F5E"/>
    <w:rsid w:val="000A60BB"/>
    <w:rsid w:val="000A76F3"/>
    <w:rsid w:val="000A7D41"/>
    <w:rsid w:val="000B11AF"/>
    <w:rsid w:val="000B2647"/>
    <w:rsid w:val="000B5019"/>
    <w:rsid w:val="000B58D4"/>
    <w:rsid w:val="000B59E2"/>
    <w:rsid w:val="000B765C"/>
    <w:rsid w:val="000C0E4B"/>
    <w:rsid w:val="000C1ADB"/>
    <w:rsid w:val="000C20A4"/>
    <w:rsid w:val="000C26B2"/>
    <w:rsid w:val="000D0F6F"/>
    <w:rsid w:val="000D438D"/>
    <w:rsid w:val="000D57C4"/>
    <w:rsid w:val="000D5FD2"/>
    <w:rsid w:val="000D6B55"/>
    <w:rsid w:val="000D7B96"/>
    <w:rsid w:val="000E0346"/>
    <w:rsid w:val="000E3307"/>
    <w:rsid w:val="000E473A"/>
    <w:rsid w:val="000E6DE0"/>
    <w:rsid w:val="000E7283"/>
    <w:rsid w:val="000F1593"/>
    <w:rsid w:val="000F3A29"/>
    <w:rsid w:val="000F3C27"/>
    <w:rsid w:val="000F4B4B"/>
    <w:rsid w:val="000F5AD4"/>
    <w:rsid w:val="000F5C44"/>
    <w:rsid w:val="0010192B"/>
    <w:rsid w:val="00101F83"/>
    <w:rsid w:val="001021B7"/>
    <w:rsid w:val="00103224"/>
    <w:rsid w:val="001035DD"/>
    <w:rsid w:val="00105307"/>
    <w:rsid w:val="001069DC"/>
    <w:rsid w:val="00113FCB"/>
    <w:rsid w:val="00113FE5"/>
    <w:rsid w:val="001158AD"/>
    <w:rsid w:val="0011798F"/>
    <w:rsid w:val="00117A53"/>
    <w:rsid w:val="0012077B"/>
    <w:rsid w:val="00121ABC"/>
    <w:rsid w:val="00124CB6"/>
    <w:rsid w:val="0012793F"/>
    <w:rsid w:val="0012795D"/>
    <w:rsid w:val="0013022F"/>
    <w:rsid w:val="00131116"/>
    <w:rsid w:val="001331AF"/>
    <w:rsid w:val="00134246"/>
    <w:rsid w:val="00136582"/>
    <w:rsid w:val="001372C2"/>
    <w:rsid w:val="001408CC"/>
    <w:rsid w:val="00141F10"/>
    <w:rsid w:val="001426CF"/>
    <w:rsid w:val="001435C1"/>
    <w:rsid w:val="00143806"/>
    <w:rsid w:val="00146C5B"/>
    <w:rsid w:val="00147EE1"/>
    <w:rsid w:val="00154585"/>
    <w:rsid w:val="00156BC4"/>
    <w:rsid w:val="00157A5E"/>
    <w:rsid w:val="00157BC5"/>
    <w:rsid w:val="0016215A"/>
    <w:rsid w:val="00165E90"/>
    <w:rsid w:val="00166869"/>
    <w:rsid w:val="00166DEB"/>
    <w:rsid w:val="00167056"/>
    <w:rsid w:val="00171881"/>
    <w:rsid w:val="00173C93"/>
    <w:rsid w:val="00174D0C"/>
    <w:rsid w:val="00175C5F"/>
    <w:rsid w:val="00176507"/>
    <w:rsid w:val="00177E7E"/>
    <w:rsid w:val="001809AE"/>
    <w:rsid w:val="00180B7E"/>
    <w:rsid w:val="00180F1D"/>
    <w:rsid w:val="001822FC"/>
    <w:rsid w:val="001842FE"/>
    <w:rsid w:val="001844CC"/>
    <w:rsid w:val="00185CCD"/>
    <w:rsid w:val="0018639B"/>
    <w:rsid w:val="00186BE6"/>
    <w:rsid w:val="00186FD4"/>
    <w:rsid w:val="00193BD5"/>
    <w:rsid w:val="00194798"/>
    <w:rsid w:val="00195B33"/>
    <w:rsid w:val="001A22CD"/>
    <w:rsid w:val="001A4D7C"/>
    <w:rsid w:val="001A6038"/>
    <w:rsid w:val="001A726A"/>
    <w:rsid w:val="001B0B21"/>
    <w:rsid w:val="001B0CBD"/>
    <w:rsid w:val="001B1410"/>
    <w:rsid w:val="001B471F"/>
    <w:rsid w:val="001B4FD0"/>
    <w:rsid w:val="001B592F"/>
    <w:rsid w:val="001B64A5"/>
    <w:rsid w:val="001C23B2"/>
    <w:rsid w:val="001C5966"/>
    <w:rsid w:val="001C6F4F"/>
    <w:rsid w:val="001D0C6E"/>
    <w:rsid w:val="001D2E5C"/>
    <w:rsid w:val="001D3F00"/>
    <w:rsid w:val="001D4D79"/>
    <w:rsid w:val="001D4EBB"/>
    <w:rsid w:val="001D5478"/>
    <w:rsid w:val="001D5B6E"/>
    <w:rsid w:val="001E1C42"/>
    <w:rsid w:val="001E1CA0"/>
    <w:rsid w:val="001E2D8A"/>
    <w:rsid w:val="001E44D8"/>
    <w:rsid w:val="001E5B6A"/>
    <w:rsid w:val="001E6F59"/>
    <w:rsid w:val="001F1DD2"/>
    <w:rsid w:val="001F4CA2"/>
    <w:rsid w:val="001F52D7"/>
    <w:rsid w:val="001F6C30"/>
    <w:rsid w:val="001F7EC5"/>
    <w:rsid w:val="00200E6D"/>
    <w:rsid w:val="00204CA8"/>
    <w:rsid w:val="00206672"/>
    <w:rsid w:val="0021029C"/>
    <w:rsid w:val="002111F1"/>
    <w:rsid w:val="00211AE3"/>
    <w:rsid w:val="0021346A"/>
    <w:rsid w:val="00213925"/>
    <w:rsid w:val="00214430"/>
    <w:rsid w:val="00220C63"/>
    <w:rsid w:val="00222812"/>
    <w:rsid w:val="00225A77"/>
    <w:rsid w:val="002261EE"/>
    <w:rsid w:val="00226925"/>
    <w:rsid w:val="00234F4A"/>
    <w:rsid w:val="00236E67"/>
    <w:rsid w:val="002427E8"/>
    <w:rsid w:val="00243B5D"/>
    <w:rsid w:val="00243D82"/>
    <w:rsid w:val="0024456D"/>
    <w:rsid w:val="0024652D"/>
    <w:rsid w:val="002504B1"/>
    <w:rsid w:val="0025084D"/>
    <w:rsid w:val="0025093A"/>
    <w:rsid w:val="00254F01"/>
    <w:rsid w:val="00255E7C"/>
    <w:rsid w:val="0025708C"/>
    <w:rsid w:val="00257E54"/>
    <w:rsid w:val="00260A3C"/>
    <w:rsid w:val="00262CF6"/>
    <w:rsid w:val="00265DDB"/>
    <w:rsid w:val="00267AD8"/>
    <w:rsid w:val="002756C2"/>
    <w:rsid w:val="00275C0F"/>
    <w:rsid w:val="002768DD"/>
    <w:rsid w:val="00281434"/>
    <w:rsid w:val="0028248F"/>
    <w:rsid w:val="002828CF"/>
    <w:rsid w:val="00283400"/>
    <w:rsid w:val="00283517"/>
    <w:rsid w:val="00283DEC"/>
    <w:rsid w:val="002853DA"/>
    <w:rsid w:val="00286E7B"/>
    <w:rsid w:val="00287B4C"/>
    <w:rsid w:val="00290869"/>
    <w:rsid w:val="00290B23"/>
    <w:rsid w:val="0029736C"/>
    <w:rsid w:val="002A01DD"/>
    <w:rsid w:val="002A18E5"/>
    <w:rsid w:val="002A1D55"/>
    <w:rsid w:val="002A1ECB"/>
    <w:rsid w:val="002A3EDB"/>
    <w:rsid w:val="002A43B3"/>
    <w:rsid w:val="002A4795"/>
    <w:rsid w:val="002B012A"/>
    <w:rsid w:val="002B14CB"/>
    <w:rsid w:val="002B2F6C"/>
    <w:rsid w:val="002B747A"/>
    <w:rsid w:val="002C2741"/>
    <w:rsid w:val="002C435F"/>
    <w:rsid w:val="002C4634"/>
    <w:rsid w:val="002C4D86"/>
    <w:rsid w:val="002C4F4C"/>
    <w:rsid w:val="002C71F9"/>
    <w:rsid w:val="002D2BE7"/>
    <w:rsid w:val="002D4FFE"/>
    <w:rsid w:val="002D5761"/>
    <w:rsid w:val="002D5DDD"/>
    <w:rsid w:val="002D60FB"/>
    <w:rsid w:val="002D7A26"/>
    <w:rsid w:val="002E1788"/>
    <w:rsid w:val="002E2731"/>
    <w:rsid w:val="002E3839"/>
    <w:rsid w:val="002E5BB9"/>
    <w:rsid w:val="002F40EC"/>
    <w:rsid w:val="002F6ABC"/>
    <w:rsid w:val="002F70D1"/>
    <w:rsid w:val="002F722C"/>
    <w:rsid w:val="00300764"/>
    <w:rsid w:val="003009AD"/>
    <w:rsid w:val="0030447A"/>
    <w:rsid w:val="00305CFB"/>
    <w:rsid w:val="00306FAF"/>
    <w:rsid w:val="003078B0"/>
    <w:rsid w:val="00311174"/>
    <w:rsid w:val="00312C22"/>
    <w:rsid w:val="00312D3C"/>
    <w:rsid w:val="00313089"/>
    <w:rsid w:val="003132B6"/>
    <w:rsid w:val="003135D3"/>
    <w:rsid w:val="00313AB2"/>
    <w:rsid w:val="00314580"/>
    <w:rsid w:val="003164D2"/>
    <w:rsid w:val="003228AC"/>
    <w:rsid w:val="00322EBA"/>
    <w:rsid w:val="00323AD2"/>
    <w:rsid w:val="00326679"/>
    <w:rsid w:val="003267C7"/>
    <w:rsid w:val="003270B4"/>
    <w:rsid w:val="00332C5D"/>
    <w:rsid w:val="00332D3A"/>
    <w:rsid w:val="00334157"/>
    <w:rsid w:val="00337CBB"/>
    <w:rsid w:val="00341575"/>
    <w:rsid w:val="0034254F"/>
    <w:rsid w:val="00342945"/>
    <w:rsid w:val="00342FF0"/>
    <w:rsid w:val="003431C0"/>
    <w:rsid w:val="00344832"/>
    <w:rsid w:val="003503DE"/>
    <w:rsid w:val="00353246"/>
    <w:rsid w:val="00356023"/>
    <w:rsid w:val="00362A75"/>
    <w:rsid w:val="00363B50"/>
    <w:rsid w:val="0036697A"/>
    <w:rsid w:val="00371559"/>
    <w:rsid w:val="00372823"/>
    <w:rsid w:val="00373B58"/>
    <w:rsid w:val="00373E87"/>
    <w:rsid w:val="003768B3"/>
    <w:rsid w:val="00376CE9"/>
    <w:rsid w:val="00380840"/>
    <w:rsid w:val="00380D93"/>
    <w:rsid w:val="003816A7"/>
    <w:rsid w:val="00384E0F"/>
    <w:rsid w:val="0038773B"/>
    <w:rsid w:val="00393A6C"/>
    <w:rsid w:val="00397708"/>
    <w:rsid w:val="003A3A00"/>
    <w:rsid w:val="003A56A7"/>
    <w:rsid w:val="003A5966"/>
    <w:rsid w:val="003A5AA6"/>
    <w:rsid w:val="003A61B0"/>
    <w:rsid w:val="003A71A0"/>
    <w:rsid w:val="003A738E"/>
    <w:rsid w:val="003B35A0"/>
    <w:rsid w:val="003B5A25"/>
    <w:rsid w:val="003B7810"/>
    <w:rsid w:val="003C042C"/>
    <w:rsid w:val="003C1490"/>
    <w:rsid w:val="003C2714"/>
    <w:rsid w:val="003C289A"/>
    <w:rsid w:val="003C6AD1"/>
    <w:rsid w:val="003C6FF1"/>
    <w:rsid w:val="003D06EC"/>
    <w:rsid w:val="003D13C6"/>
    <w:rsid w:val="003D2D3E"/>
    <w:rsid w:val="003D3699"/>
    <w:rsid w:val="003E0073"/>
    <w:rsid w:val="003E09DC"/>
    <w:rsid w:val="003E328C"/>
    <w:rsid w:val="003E6ED1"/>
    <w:rsid w:val="003F0253"/>
    <w:rsid w:val="003F137A"/>
    <w:rsid w:val="003F190A"/>
    <w:rsid w:val="003F54AD"/>
    <w:rsid w:val="00401C66"/>
    <w:rsid w:val="0040257B"/>
    <w:rsid w:val="00404A6F"/>
    <w:rsid w:val="00407004"/>
    <w:rsid w:val="00407D12"/>
    <w:rsid w:val="00407D6D"/>
    <w:rsid w:val="00413282"/>
    <w:rsid w:val="0041357C"/>
    <w:rsid w:val="00415898"/>
    <w:rsid w:val="0041604C"/>
    <w:rsid w:val="00416B11"/>
    <w:rsid w:val="00417BD3"/>
    <w:rsid w:val="004216E6"/>
    <w:rsid w:val="0042361F"/>
    <w:rsid w:val="00424BDD"/>
    <w:rsid w:val="00430C85"/>
    <w:rsid w:val="0043101B"/>
    <w:rsid w:val="0043103E"/>
    <w:rsid w:val="00432CE1"/>
    <w:rsid w:val="00432E2D"/>
    <w:rsid w:val="00435A70"/>
    <w:rsid w:val="00443078"/>
    <w:rsid w:val="00444993"/>
    <w:rsid w:val="00445A4F"/>
    <w:rsid w:val="00447620"/>
    <w:rsid w:val="00452D34"/>
    <w:rsid w:val="0045529C"/>
    <w:rsid w:val="004565FC"/>
    <w:rsid w:val="00460AD1"/>
    <w:rsid w:val="00464F4E"/>
    <w:rsid w:val="00465E1B"/>
    <w:rsid w:val="00466D3E"/>
    <w:rsid w:val="00470599"/>
    <w:rsid w:val="00473C90"/>
    <w:rsid w:val="00480657"/>
    <w:rsid w:val="00484EC3"/>
    <w:rsid w:val="00486551"/>
    <w:rsid w:val="0048690E"/>
    <w:rsid w:val="0049197A"/>
    <w:rsid w:val="004944DA"/>
    <w:rsid w:val="0049737F"/>
    <w:rsid w:val="004978FD"/>
    <w:rsid w:val="004A298D"/>
    <w:rsid w:val="004A4652"/>
    <w:rsid w:val="004A63DE"/>
    <w:rsid w:val="004B1D6C"/>
    <w:rsid w:val="004B2ED1"/>
    <w:rsid w:val="004B5799"/>
    <w:rsid w:val="004B6F7F"/>
    <w:rsid w:val="004D02BE"/>
    <w:rsid w:val="004D0D35"/>
    <w:rsid w:val="004D2018"/>
    <w:rsid w:val="004D34CF"/>
    <w:rsid w:val="004D563D"/>
    <w:rsid w:val="004D6987"/>
    <w:rsid w:val="004D6DDF"/>
    <w:rsid w:val="004D7C38"/>
    <w:rsid w:val="004E26F6"/>
    <w:rsid w:val="004E394B"/>
    <w:rsid w:val="004E4DD2"/>
    <w:rsid w:val="004E540E"/>
    <w:rsid w:val="004E6A07"/>
    <w:rsid w:val="004E6E05"/>
    <w:rsid w:val="004E74FF"/>
    <w:rsid w:val="004F2720"/>
    <w:rsid w:val="004F32B2"/>
    <w:rsid w:val="004F3CC7"/>
    <w:rsid w:val="004F5A41"/>
    <w:rsid w:val="004F71C5"/>
    <w:rsid w:val="00500F53"/>
    <w:rsid w:val="005013C3"/>
    <w:rsid w:val="00501698"/>
    <w:rsid w:val="005045C6"/>
    <w:rsid w:val="00506F0A"/>
    <w:rsid w:val="00507359"/>
    <w:rsid w:val="00507A5F"/>
    <w:rsid w:val="00507FAF"/>
    <w:rsid w:val="005114C7"/>
    <w:rsid w:val="00511F2D"/>
    <w:rsid w:val="00515B40"/>
    <w:rsid w:val="00515D99"/>
    <w:rsid w:val="00516EA9"/>
    <w:rsid w:val="005173AC"/>
    <w:rsid w:val="00517F51"/>
    <w:rsid w:val="00517FA1"/>
    <w:rsid w:val="0052026E"/>
    <w:rsid w:val="00520B67"/>
    <w:rsid w:val="00523155"/>
    <w:rsid w:val="00523A1A"/>
    <w:rsid w:val="00525989"/>
    <w:rsid w:val="00525B26"/>
    <w:rsid w:val="00526BFB"/>
    <w:rsid w:val="00527C0E"/>
    <w:rsid w:val="00531814"/>
    <w:rsid w:val="00531AAA"/>
    <w:rsid w:val="00540EA5"/>
    <w:rsid w:val="00547E99"/>
    <w:rsid w:val="00551129"/>
    <w:rsid w:val="005522E4"/>
    <w:rsid w:val="00552800"/>
    <w:rsid w:val="005532E0"/>
    <w:rsid w:val="00555821"/>
    <w:rsid w:val="00556748"/>
    <w:rsid w:val="00561DAD"/>
    <w:rsid w:val="00565A64"/>
    <w:rsid w:val="005665C2"/>
    <w:rsid w:val="0056660E"/>
    <w:rsid w:val="0057193F"/>
    <w:rsid w:val="00571F81"/>
    <w:rsid w:val="00572EB0"/>
    <w:rsid w:val="00573FB4"/>
    <w:rsid w:val="00574231"/>
    <w:rsid w:val="00574B66"/>
    <w:rsid w:val="005763D1"/>
    <w:rsid w:val="00577566"/>
    <w:rsid w:val="00580136"/>
    <w:rsid w:val="00584677"/>
    <w:rsid w:val="00584C15"/>
    <w:rsid w:val="005904CA"/>
    <w:rsid w:val="00590CC8"/>
    <w:rsid w:val="00593704"/>
    <w:rsid w:val="00593A49"/>
    <w:rsid w:val="00593F91"/>
    <w:rsid w:val="00594B84"/>
    <w:rsid w:val="00596E61"/>
    <w:rsid w:val="00597B4A"/>
    <w:rsid w:val="005A34F0"/>
    <w:rsid w:val="005A3BE0"/>
    <w:rsid w:val="005A3D41"/>
    <w:rsid w:val="005A5682"/>
    <w:rsid w:val="005B1B7A"/>
    <w:rsid w:val="005B3D82"/>
    <w:rsid w:val="005B407D"/>
    <w:rsid w:val="005B4AA8"/>
    <w:rsid w:val="005B59A3"/>
    <w:rsid w:val="005B6FE3"/>
    <w:rsid w:val="005C0201"/>
    <w:rsid w:val="005C089A"/>
    <w:rsid w:val="005C3C3A"/>
    <w:rsid w:val="005C3E0A"/>
    <w:rsid w:val="005D1331"/>
    <w:rsid w:val="005D29A8"/>
    <w:rsid w:val="005D44EC"/>
    <w:rsid w:val="005E0D77"/>
    <w:rsid w:val="005E10B7"/>
    <w:rsid w:val="005E1734"/>
    <w:rsid w:val="005E3319"/>
    <w:rsid w:val="005E4E2C"/>
    <w:rsid w:val="005F0A5E"/>
    <w:rsid w:val="005F22CA"/>
    <w:rsid w:val="005F3F2B"/>
    <w:rsid w:val="005F55DD"/>
    <w:rsid w:val="005F62E9"/>
    <w:rsid w:val="005F7429"/>
    <w:rsid w:val="005F79DD"/>
    <w:rsid w:val="005F7D52"/>
    <w:rsid w:val="00604920"/>
    <w:rsid w:val="006068B6"/>
    <w:rsid w:val="0061097C"/>
    <w:rsid w:val="00611D93"/>
    <w:rsid w:val="00612CF5"/>
    <w:rsid w:val="006135EB"/>
    <w:rsid w:val="0061381F"/>
    <w:rsid w:val="00613980"/>
    <w:rsid w:val="006160D3"/>
    <w:rsid w:val="0061668D"/>
    <w:rsid w:val="00622657"/>
    <w:rsid w:val="00622FE0"/>
    <w:rsid w:val="00623B50"/>
    <w:rsid w:val="0062779B"/>
    <w:rsid w:val="0063390B"/>
    <w:rsid w:val="00634632"/>
    <w:rsid w:val="0063532A"/>
    <w:rsid w:val="00637DC7"/>
    <w:rsid w:val="00640AF8"/>
    <w:rsid w:val="006416C6"/>
    <w:rsid w:val="00643D75"/>
    <w:rsid w:val="00650CCA"/>
    <w:rsid w:val="0065398D"/>
    <w:rsid w:val="00654406"/>
    <w:rsid w:val="0065536B"/>
    <w:rsid w:val="00655932"/>
    <w:rsid w:val="00657432"/>
    <w:rsid w:val="00661974"/>
    <w:rsid w:val="00664669"/>
    <w:rsid w:val="00674A37"/>
    <w:rsid w:val="00676108"/>
    <w:rsid w:val="00676D29"/>
    <w:rsid w:val="00682AB8"/>
    <w:rsid w:val="00683F8A"/>
    <w:rsid w:val="00685049"/>
    <w:rsid w:val="00685278"/>
    <w:rsid w:val="00686194"/>
    <w:rsid w:val="00686EDB"/>
    <w:rsid w:val="0068772A"/>
    <w:rsid w:val="00690386"/>
    <w:rsid w:val="00691640"/>
    <w:rsid w:val="00692D46"/>
    <w:rsid w:val="006947BE"/>
    <w:rsid w:val="00695723"/>
    <w:rsid w:val="006A07ED"/>
    <w:rsid w:val="006A10F9"/>
    <w:rsid w:val="006B019C"/>
    <w:rsid w:val="006B3BB8"/>
    <w:rsid w:val="006B4132"/>
    <w:rsid w:val="006C021D"/>
    <w:rsid w:val="006C0EC5"/>
    <w:rsid w:val="006C1214"/>
    <w:rsid w:val="006C2A12"/>
    <w:rsid w:val="006C37D0"/>
    <w:rsid w:val="006C5D6B"/>
    <w:rsid w:val="006C66ED"/>
    <w:rsid w:val="006C7F88"/>
    <w:rsid w:val="006D27A9"/>
    <w:rsid w:val="006D5A64"/>
    <w:rsid w:val="006D5C79"/>
    <w:rsid w:val="006D718F"/>
    <w:rsid w:val="006E068C"/>
    <w:rsid w:val="006E0A2F"/>
    <w:rsid w:val="006E7B10"/>
    <w:rsid w:val="006F2EA8"/>
    <w:rsid w:val="006F3B32"/>
    <w:rsid w:val="006F58F0"/>
    <w:rsid w:val="00701EA0"/>
    <w:rsid w:val="00702138"/>
    <w:rsid w:val="00706033"/>
    <w:rsid w:val="00706B5D"/>
    <w:rsid w:val="00710018"/>
    <w:rsid w:val="00710CD8"/>
    <w:rsid w:val="00711B59"/>
    <w:rsid w:val="0071205C"/>
    <w:rsid w:val="00713CAB"/>
    <w:rsid w:val="0071490B"/>
    <w:rsid w:val="00715410"/>
    <w:rsid w:val="00722D23"/>
    <w:rsid w:val="00723296"/>
    <w:rsid w:val="007233CD"/>
    <w:rsid w:val="00726F7F"/>
    <w:rsid w:val="00726FB7"/>
    <w:rsid w:val="00727ADE"/>
    <w:rsid w:val="007334D9"/>
    <w:rsid w:val="0073727B"/>
    <w:rsid w:val="00742498"/>
    <w:rsid w:val="007441F2"/>
    <w:rsid w:val="00744547"/>
    <w:rsid w:val="0074684C"/>
    <w:rsid w:val="00750DC1"/>
    <w:rsid w:val="007513FB"/>
    <w:rsid w:val="007559C6"/>
    <w:rsid w:val="00755E83"/>
    <w:rsid w:val="00756FD4"/>
    <w:rsid w:val="007571B0"/>
    <w:rsid w:val="00760656"/>
    <w:rsid w:val="007633C6"/>
    <w:rsid w:val="007660D3"/>
    <w:rsid w:val="007749DE"/>
    <w:rsid w:val="00776E3B"/>
    <w:rsid w:val="00782DB5"/>
    <w:rsid w:val="00787206"/>
    <w:rsid w:val="007905F6"/>
    <w:rsid w:val="00790E6B"/>
    <w:rsid w:val="00792824"/>
    <w:rsid w:val="00794389"/>
    <w:rsid w:val="00795906"/>
    <w:rsid w:val="00796A0C"/>
    <w:rsid w:val="007979D0"/>
    <w:rsid w:val="007A2DC6"/>
    <w:rsid w:val="007A78CE"/>
    <w:rsid w:val="007B0F6D"/>
    <w:rsid w:val="007B101C"/>
    <w:rsid w:val="007B1811"/>
    <w:rsid w:val="007B4FDA"/>
    <w:rsid w:val="007C0A7F"/>
    <w:rsid w:val="007C22B1"/>
    <w:rsid w:val="007C2DE3"/>
    <w:rsid w:val="007C3104"/>
    <w:rsid w:val="007C5B54"/>
    <w:rsid w:val="007C5BF6"/>
    <w:rsid w:val="007D01F5"/>
    <w:rsid w:val="007D55A5"/>
    <w:rsid w:val="007D6343"/>
    <w:rsid w:val="007E4959"/>
    <w:rsid w:val="007E70E0"/>
    <w:rsid w:val="007F048E"/>
    <w:rsid w:val="007F0E9C"/>
    <w:rsid w:val="007F1DAD"/>
    <w:rsid w:val="007F38F0"/>
    <w:rsid w:val="007F464B"/>
    <w:rsid w:val="007F774B"/>
    <w:rsid w:val="00801002"/>
    <w:rsid w:val="00801D6E"/>
    <w:rsid w:val="00801FB1"/>
    <w:rsid w:val="0080240A"/>
    <w:rsid w:val="008024FC"/>
    <w:rsid w:val="00802C28"/>
    <w:rsid w:val="00805A61"/>
    <w:rsid w:val="00805F4F"/>
    <w:rsid w:val="008064A9"/>
    <w:rsid w:val="00806C9C"/>
    <w:rsid w:val="00807FE5"/>
    <w:rsid w:val="00811AE2"/>
    <w:rsid w:val="00813B33"/>
    <w:rsid w:val="0081463D"/>
    <w:rsid w:val="00814947"/>
    <w:rsid w:val="00816C26"/>
    <w:rsid w:val="008171D8"/>
    <w:rsid w:val="00822BB1"/>
    <w:rsid w:val="00823D96"/>
    <w:rsid w:val="00826BB3"/>
    <w:rsid w:val="00830BDA"/>
    <w:rsid w:val="008331C3"/>
    <w:rsid w:val="00833B1B"/>
    <w:rsid w:val="00836348"/>
    <w:rsid w:val="00836B06"/>
    <w:rsid w:val="0084398E"/>
    <w:rsid w:val="00844AA0"/>
    <w:rsid w:val="00847A4C"/>
    <w:rsid w:val="00847F1E"/>
    <w:rsid w:val="00850476"/>
    <w:rsid w:val="00850626"/>
    <w:rsid w:val="008507C9"/>
    <w:rsid w:val="00852F8F"/>
    <w:rsid w:val="0085354F"/>
    <w:rsid w:val="00853D49"/>
    <w:rsid w:val="00855306"/>
    <w:rsid w:val="00856BA9"/>
    <w:rsid w:val="00860F23"/>
    <w:rsid w:val="008622A9"/>
    <w:rsid w:val="0086364A"/>
    <w:rsid w:val="0086425C"/>
    <w:rsid w:val="00864C8F"/>
    <w:rsid w:val="00877DB5"/>
    <w:rsid w:val="0088045F"/>
    <w:rsid w:val="00881146"/>
    <w:rsid w:val="008813B0"/>
    <w:rsid w:val="00882D00"/>
    <w:rsid w:val="00883E01"/>
    <w:rsid w:val="008847EA"/>
    <w:rsid w:val="00884C47"/>
    <w:rsid w:val="008879FA"/>
    <w:rsid w:val="00887C70"/>
    <w:rsid w:val="00890D9D"/>
    <w:rsid w:val="0089234B"/>
    <w:rsid w:val="008934CD"/>
    <w:rsid w:val="008977C5"/>
    <w:rsid w:val="008A42DD"/>
    <w:rsid w:val="008A6AB5"/>
    <w:rsid w:val="008A6EC3"/>
    <w:rsid w:val="008B0CE1"/>
    <w:rsid w:val="008B1958"/>
    <w:rsid w:val="008B3E09"/>
    <w:rsid w:val="008B65F1"/>
    <w:rsid w:val="008C02CF"/>
    <w:rsid w:val="008C0C46"/>
    <w:rsid w:val="008C1ADF"/>
    <w:rsid w:val="008C439D"/>
    <w:rsid w:val="008C467E"/>
    <w:rsid w:val="008D053B"/>
    <w:rsid w:val="008D2ECA"/>
    <w:rsid w:val="008D4189"/>
    <w:rsid w:val="008D4B69"/>
    <w:rsid w:val="008D6A38"/>
    <w:rsid w:val="008E459F"/>
    <w:rsid w:val="008E4A2F"/>
    <w:rsid w:val="008E5332"/>
    <w:rsid w:val="008E5521"/>
    <w:rsid w:val="008E5720"/>
    <w:rsid w:val="008E5A9C"/>
    <w:rsid w:val="008E75D5"/>
    <w:rsid w:val="008F28C6"/>
    <w:rsid w:val="008F3C01"/>
    <w:rsid w:val="008F66B0"/>
    <w:rsid w:val="00903B68"/>
    <w:rsid w:val="00903D8A"/>
    <w:rsid w:val="00905C43"/>
    <w:rsid w:val="00906351"/>
    <w:rsid w:val="0090654B"/>
    <w:rsid w:val="0091239D"/>
    <w:rsid w:val="00912CDA"/>
    <w:rsid w:val="00926D61"/>
    <w:rsid w:val="00927B64"/>
    <w:rsid w:val="00933015"/>
    <w:rsid w:val="009338B5"/>
    <w:rsid w:val="00934AF9"/>
    <w:rsid w:val="00934FBF"/>
    <w:rsid w:val="0093547C"/>
    <w:rsid w:val="00935F4B"/>
    <w:rsid w:val="00936522"/>
    <w:rsid w:val="009379E8"/>
    <w:rsid w:val="00940EFC"/>
    <w:rsid w:val="00941FE9"/>
    <w:rsid w:val="00943438"/>
    <w:rsid w:val="00946A9D"/>
    <w:rsid w:val="009501C2"/>
    <w:rsid w:val="00951D92"/>
    <w:rsid w:val="0095355B"/>
    <w:rsid w:val="00954E3A"/>
    <w:rsid w:val="0095540A"/>
    <w:rsid w:val="00955C8C"/>
    <w:rsid w:val="009601ED"/>
    <w:rsid w:val="00962252"/>
    <w:rsid w:val="0096272C"/>
    <w:rsid w:val="00964E68"/>
    <w:rsid w:val="0096511B"/>
    <w:rsid w:val="00965197"/>
    <w:rsid w:val="00965AAC"/>
    <w:rsid w:val="00965BF7"/>
    <w:rsid w:val="00970800"/>
    <w:rsid w:val="0097328E"/>
    <w:rsid w:val="009809A6"/>
    <w:rsid w:val="00981E4B"/>
    <w:rsid w:val="00987183"/>
    <w:rsid w:val="00991AC6"/>
    <w:rsid w:val="00994862"/>
    <w:rsid w:val="009A01E0"/>
    <w:rsid w:val="009A7CC5"/>
    <w:rsid w:val="009A7EDA"/>
    <w:rsid w:val="009B15E2"/>
    <w:rsid w:val="009B2055"/>
    <w:rsid w:val="009B2AD3"/>
    <w:rsid w:val="009B571E"/>
    <w:rsid w:val="009B73BE"/>
    <w:rsid w:val="009C133E"/>
    <w:rsid w:val="009C5367"/>
    <w:rsid w:val="009C5E28"/>
    <w:rsid w:val="009C7AB0"/>
    <w:rsid w:val="009D0784"/>
    <w:rsid w:val="009D2C85"/>
    <w:rsid w:val="009D3AC5"/>
    <w:rsid w:val="009D3E2B"/>
    <w:rsid w:val="009D5CBA"/>
    <w:rsid w:val="009D7055"/>
    <w:rsid w:val="009E1E3F"/>
    <w:rsid w:val="009E266C"/>
    <w:rsid w:val="009E26E0"/>
    <w:rsid w:val="009E3A65"/>
    <w:rsid w:val="009E3A66"/>
    <w:rsid w:val="009E5C94"/>
    <w:rsid w:val="009E60C1"/>
    <w:rsid w:val="009E6284"/>
    <w:rsid w:val="009F07B9"/>
    <w:rsid w:val="009F08AA"/>
    <w:rsid w:val="009F1782"/>
    <w:rsid w:val="009F2F11"/>
    <w:rsid w:val="009F63C7"/>
    <w:rsid w:val="00A00638"/>
    <w:rsid w:val="00A014D8"/>
    <w:rsid w:val="00A05795"/>
    <w:rsid w:val="00A061F4"/>
    <w:rsid w:val="00A063B3"/>
    <w:rsid w:val="00A073D1"/>
    <w:rsid w:val="00A112D5"/>
    <w:rsid w:val="00A13F5B"/>
    <w:rsid w:val="00A15567"/>
    <w:rsid w:val="00A16DD4"/>
    <w:rsid w:val="00A16F41"/>
    <w:rsid w:val="00A17840"/>
    <w:rsid w:val="00A20153"/>
    <w:rsid w:val="00A22793"/>
    <w:rsid w:val="00A2379E"/>
    <w:rsid w:val="00A23B92"/>
    <w:rsid w:val="00A250DF"/>
    <w:rsid w:val="00A2570F"/>
    <w:rsid w:val="00A31A96"/>
    <w:rsid w:val="00A31FD7"/>
    <w:rsid w:val="00A32B47"/>
    <w:rsid w:val="00A3452B"/>
    <w:rsid w:val="00A355F8"/>
    <w:rsid w:val="00A35966"/>
    <w:rsid w:val="00A402C8"/>
    <w:rsid w:val="00A4205D"/>
    <w:rsid w:val="00A4264B"/>
    <w:rsid w:val="00A42EF0"/>
    <w:rsid w:val="00A4643D"/>
    <w:rsid w:val="00A477FD"/>
    <w:rsid w:val="00A501EF"/>
    <w:rsid w:val="00A51EFC"/>
    <w:rsid w:val="00A521A7"/>
    <w:rsid w:val="00A5578B"/>
    <w:rsid w:val="00A5591A"/>
    <w:rsid w:val="00A568D3"/>
    <w:rsid w:val="00A60F5D"/>
    <w:rsid w:val="00A6130E"/>
    <w:rsid w:val="00A61507"/>
    <w:rsid w:val="00A62275"/>
    <w:rsid w:val="00A62A7D"/>
    <w:rsid w:val="00A6366F"/>
    <w:rsid w:val="00A6392B"/>
    <w:rsid w:val="00A748AA"/>
    <w:rsid w:val="00A74BF8"/>
    <w:rsid w:val="00A76202"/>
    <w:rsid w:val="00A76BD7"/>
    <w:rsid w:val="00A80120"/>
    <w:rsid w:val="00A8196C"/>
    <w:rsid w:val="00A81D58"/>
    <w:rsid w:val="00A8293F"/>
    <w:rsid w:val="00A83424"/>
    <w:rsid w:val="00A838E6"/>
    <w:rsid w:val="00A842C8"/>
    <w:rsid w:val="00A85D89"/>
    <w:rsid w:val="00A8794B"/>
    <w:rsid w:val="00A908FB"/>
    <w:rsid w:val="00A90B62"/>
    <w:rsid w:val="00A911AF"/>
    <w:rsid w:val="00A91371"/>
    <w:rsid w:val="00A93464"/>
    <w:rsid w:val="00A936B1"/>
    <w:rsid w:val="00A9453D"/>
    <w:rsid w:val="00A94DFB"/>
    <w:rsid w:val="00A9550C"/>
    <w:rsid w:val="00A9557A"/>
    <w:rsid w:val="00AA0E8F"/>
    <w:rsid w:val="00AA2649"/>
    <w:rsid w:val="00AA4844"/>
    <w:rsid w:val="00AA4A05"/>
    <w:rsid w:val="00AA550B"/>
    <w:rsid w:val="00AA615D"/>
    <w:rsid w:val="00AA7E9A"/>
    <w:rsid w:val="00AB14FD"/>
    <w:rsid w:val="00AB2CDC"/>
    <w:rsid w:val="00AB3C0E"/>
    <w:rsid w:val="00AC1218"/>
    <w:rsid w:val="00AC1C7E"/>
    <w:rsid w:val="00AC493E"/>
    <w:rsid w:val="00AC507E"/>
    <w:rsid w:val="00AC50E9"/>
    <w:rsid w:val="00AC6056"/>
    <w:rsid w:val="00AC72D1"/>
    <w:rsid w:val="00AD2730"/>
    <w:rsid w:val="00AD2C1E"/>
    <w:rsid w:val="00AD31E8"/>
    <w:rsid w:val="00AD3739"/>
    <w:rsid w:val="00AD401D"/>
    <w:rsid w:val="00AD520F"/>
    <w:rsid w:val="00AD6C36"/>
    <w:rsid w:val="00AD7426"/>
    <w:rsid w:val="00AE1218"/>
    <w:rsid w:val="00AE40EC"/>
    <w:rsid w:val="00AE43EA"/>
    <w:rsid w:val="00AE482E"/>
    <w:rsid w:val="00AE749D"/>
    <w:rsid w:val="00AF0246"/>
    <w:rsid w:val="00AF1A38"/>
    <w:rsid w:val="00AF2D6B"/>
    <w:rsid w:val="00AF34A9"/>
    <w:rsid w:val="00AF3911"/>
    <w:rsid w:val="00B00612"/>
    <w:rsid w:val="00B04C66"/>
    <w:rsid w:val="00B04DE7"/>
    <w:rsid w:val="00B05ACF"/>
    <w:rsid w:val="00B0613C"/>
    <w:rsid w:val="00B064BA"/>
    <w:rsid w:val="00B07BF2"/>
    <w:rsid w:val="00B10627"/>
    <w:rsid w:val="00B10682"/>
    <w:rsid w:val="00B123E6"/>
    <w:rsid w:val="00B135E6"/>
    <w:rsid w:val="00B13B45"/>
    <w:rsid w:val="00B15638"/>
    <w:rsid w:val="00B20357"/>
    <w:rsid w:val="00B2122F"/>
    <w:rsid w:val="00B217AA"/>
    <w:rsid w:val="00B22D0C"/>
    <w:rsid w:val="00B2303C"/>
    <w:rsid w:val="00B23A91"/>
    <w:rsid w:val="00B2446A"/>
    <w:rsid w:val="00B30532"/>
    <w:rsid w:val="00B32BA8"/>
    <w:rsid w:val="00B334AC"/>
    <w:rsid w:val="00B35A28"/>
    <w:rsid w:val="00B43199"/>
    <w:rsid w:val="00B4475E"/>
    <w:rsid w:val="00B47689"/>
    <w:rsid w:val="00B47FB8"/>
    <w:rsid w:val="00B50E7B"/>
    <w:rsid w:val="00B517B5"/>
    <w:rsid w:val="00B53091"/>
    <w:rsid w:val="00B53276"/>
    <w:rsid w:val="00B5492E"/>
    <w:rsid w:val="00B56BBA"/>
    <w:rsid w:val="00B63A1E"/>
    <w:rsid w:val="00B63EE1"/>
    <w:rsid w:val="00B64471"/>
    <w:rsid w:val="00B648ED"/>
    <w:rsid w:val="00B72078"/>
    <w:rsid w:val="00B72BEF"/>
    <w:rsid w:val="00B755B4"/>
    <w:rsid w:val="00B81FEB"/>
    <w:rsid w:val="00B82390"/>
    <w:rsid w:val="00B84895"/>
    <w:rsid w:val="00B875C8"/>
    <w:rsid w:val="00B9020E"/>
    <w:rsid w:val="00B91032"/>
    <w:rsid w:val="00B93A9F"/>
    <w:rsid w:val="00B93CEC"/>
    <w:rsid w:val="00B96FB0"/>
    <w:rsid w:val="00B97A8E"/>
    <w:rsid w:val="00BA23B8"/>
    <w:rsid w:val="00BA282C"/>
    <w:rsid w:val="00BA4DDC"/>
    <w:rsid w:val="00BB0882"/>
    <w:rsid w:val="00BB13C7"/>
    <w:rsid w:val="00BB2F09"/>
    <w:rsid w:val="00BB3447"/>
    <w:rsid w:val="00BB39B7"/>
    <w:rsid w:val="00BB4476"/>
    <w:rsid w:val="00BB4EBC"/>
    <w:rsid w:val="00BB6A80"/>
    <w:rsid w:val="00BB6BD0"/>
    <w:rsid w:val="00BB71F5"/>
    <w:rsid w:val="00BC02EB"/>
    <w:rsid w:val="00BC2810"/>
    <w:rsid w:val="00BC37C3"/>
    <w:rsid w:val="00BC51DF"/>
    <w:rsid w:val="00BC5B6E"/>
    <w:rsid w:val="00BC63C9"/>
    <w:rsid w:val="00BC6761"/>
    <w:rsid w:val="00BD043D"/>
    <w:rsid w:val="00BD0D76"/>
    <w:rsid w:val="00BD270D"/>
    <w:rsid w:val="00BD3867"/>
    <w:rsid w:val="00BD5BA8"/>
    <w:rsid w:val="00BD6086"/>
    <w:rsid w:val="00BD64D7"/>
    <w:rsid w:val="00BE29A5"/>
    <w:rsid w:val="00BE6621"/>
    <w:rsid w:val="00BF548B"/>
    <w:rsid w:val="00BF5FBF"/>
    <w:rsid w:val="00C01231"/>
    <w:rsid w:val="00C034BA"/>
    <w:rsid w:val="00C03DF7"/>
    <w:rsid w:val="00C0400B"/>
    <w:rsid w:val="00C0746A"/>
    <w:rsid w:val="00C075B1"/>
    <w:rsid w:val="00C07D60"/>
    <w:rsid w:val="00C07EB4"/>
    <w:rsid w:val="00C140DC"/>
    <w:rsid w:val="00C15E45"/>
    <w:rsid w:val="00C165A5"/>
    <w:rsid w:val="00C20CF9"/>
    <w:rsid w:val="00C20D0C"/>
    <w:rsid w:val="00C21555"/>
    <w:rsid w:val="00C21669"/>
    <w:rsid w:val="00C222AB"/>
    <w:rsid w:val="00C24D1E"/>
    <w:rsid w:val="00C267EB"/>
    <w:rsid w:val="00C27A70"/>
    <w:rsid w:val="00C27C9A"/>
    <w:rsid w:val="00C30D02"/>
    <w:rsid w:val="00C343A8"/>
    <w:rsid w:val="00C372CB"/>
    <w:rsid w:val="00C42BCA"/>
    <w:rsid w:val="00C45148"/>
    <w:rsid w:val="00C46A95"/>
    <w:rsid w:val="00C5051E"/>
    <w:rsid w:val="00C54441"/>
    <w:rsid w:val="00C60473"/>
    <w:rsid w:val="00C612A7"/>
    <w:rsid w:val="00C61692"/>
    <w:rsid w:val="00C616CA"/>
    <w:rsid w:val="00C6319F"/>
    <w:rsid w:val="00C63446"/>
    <w:rsid w:val="00C63A6B"/>
    <w:rsid w:val="00C63C00"/>
    <w:rsid w:val="00C66236"/>
    <w:rsid w:val="00C6641F"/>
    <w:rsid w:val="00C67029"/>
    <w:rsid w:val="00C7103D"/>
    <w:rsid w:val="00C73E31"/>
    <w:rsid w:val="00C74270"/>
    <w:rsid w:val="00C772CB"/>
    <w:rsid w:val="00C80016"/>
    <w:rsid w:val="00C8062E"/>
    <w:rsid w:val="00C80C01"/>
    <w:rsid w:val="00C81AEA"/>
    <w:rsid w:val="00C843CD"/>
    <w:rsid w:val="00C856FF"/>
    <w:rsid w:val="00C8573B"/>
    <w:rsid w:val="00C859E8"/>
    <w:rsid w:val="00C87037"/>
    <w:rsid w:val="00C87C45"/>
    <w:rsid w:val="00C9384F"/>
    <w:rsid w:val="00C96645"/>
    <w:rsid w:val="00C9702D"/>
    <w:rsid w:val="00CA2984"/>
    <w:rsid w:val="00CA627A"/>
    <w:rsid w:val="00CA727B"/>
    <w:rsid w:val="00CA7F82"/>
    <w:rsid w:val="00CB2B08"/>
    <w:rsid w:val="00CB5EA0"/>
    <w:rsid w:val="00CB6026"/>
    <w:rsid w:val="00CB775B"/>
    <w:rsid w:val="00CC0FE0"/>
    <w:rsid w:val="00CC1A98"/>
    <w:rsid w:val="00CC3119"/>
    <w:rsid w:val="00CC590C"/>
    <w:rsid w:val="00CC7B52"/>
    <w:rsid w:val="00CD0E0E"/>
    <w:rsid w:val="00CD25FD"/>
    <w:rsid w:val="00CD2A4F"/>
    <w:rsid w:val="00CD34EE"/>
    <w:rsid w:val="00CD523E"/>
    <w:rsid w:val="00CD5759"/>
    <w:rsid w:val="00CD57A9"/>
    <w:rsid w:val="00CD5F7F"/>
    <w:rsid w:val="00CD6B7B"/>
    <w:rsid w:val="00CD6F74"/>
    <w:rsid w:val="00CE1387"/>
    <w:rsid w:val="00CE19D5"/>
    <w:rsid w:val="00CE240B"/>
    <w:rsid w:val="00CE25B8"/>
    <w:rsid w:val="00CE2985"/>
    <w:rsid w:val="00CE35A6"/>
    <w:rsid w:val="00CE4277"/>
    <w:rsid w:val="00CE4A08"/>
    <w:rsid w:val="00CF057C"/>
    <w:rsid w:val="00CF1E22"/>
    <w:rsid w:val="00CF2BFC"/>
    <w:rsid w:val="00CF37A4"/>
    <w:rsid w:val="00D01B0E"/>
    <w:rsid w:val="00D02494"/>
    <w:rsid w:val="00D02505"/>
    <w:rsid w:val="00D03464"/>
    <w:rsid w:val="00D03D99"/>
    <w:rsid w:val="00D07883"/>
    <w:rsid w:val="00D12AF3"/>
    <w:rsid w:val="00D12FC9"/>
    <w:rsid w:val="00D204B8"/>
    <w:rsid w:val="00D213F5"/>
    <w:rsid w:val="00D22221"/>
    <w:rsid w:val="00D24D06"/>
    <w:rsid w:val="00D25E38"/>
    <w:rsid w:val="00D328DD"/>
    <w:rsid w:val="00D32BB7"/>
    <w:rsid w:val="00D33B55"/>
    <w:rsid w:val="00D342A9"/>
    <w:rsid w:val="00D40666"/>
    <w:rsid w:val="00D42071"/>
    <w:rsid w:val="00D42076"/>
    <w:rsid w:val="00D46FCD"/>
    <w:rsid w:val="00D4745E"/>
    <w:rsid w:val="00D50672"/>
    <w:rsid w:val="00D51DD0"/>
    <w:rsid w:val="00D53EDD"/>
    <w:rsid w:val="00D54109"/>
    <w:rsid w:val="00D54A82"/>
    <w:rsid w:val="00D57147"/>
    <w:rsid w:val="00D57B29"/>
    <w:rsid w:val="00D617A6"/>
    <w:rsid w:val="00D62322"/>
    <w:rsid w:val="00D64D13"/>
    <w:rsid w:val="00D65405"/>
    <w:rsid w:val="00D66273"/>
    <w:rsid w:val="00D66E0B"/>
    <w:rsid w:val="00D66E5F"/>
    <w:rsid w:val="00D716EF"/>
    <w:rsid w:val="00D74881"/>
    <w:rsid w:val="00D75955"/>
    <w:rsid w:val="00D75F90"/>
    <w:rsid w:val="00D77C0F"/>
    <w:rsid w:val="00D82947"/>
    <w:rsid w:val="00D8328F"/>
    <w:rsid w:val="00D856A4"/>
    <w:rsid w:val="00D87197"/>
    <w:rsid w:val="00D9103F"/>
    <w:rsid w:val="00D91395"/>
    <w:rsid w:val="00D93415"/>
    <w:rsid w:val="00D966E2"/>
    <w:rsid w:val="00D96B1C"/>
    <w:rsid w:val="00DA2D0D"/>
    <w:rsid w:val="00DA44E9"/>
    <w:rsid w:val="00DA5DB2"/>
    <w:rsid w:val="00DA6A26"/>
    <w:rsid w:val="00DB6018"/>
    <w:rsid w:val="00DC03AC"/>
    <w:rsid w:val="00DC187B"/>
    <w:rsid w:val="00DC1D80"/>
    <w:rsid w:val="00DC2F84"/>
    <w:rsid w:val="00DC338E"/>
    <w:rsid w:val="00DC3B87"/>
    <w:rsid w:val="00DC7EB8"/>
    <w:rsid w:val="00DC7EEF"/>
    <w:rsid w:val="00DD06DA"/>
    <w:rsid w:val="00DD08E5"/>
    <w:rsid w:val="00DD14BE"/>
    <w:rsid w:val="00DD1E13"/>
    <w:rsid w:val="00DD34D9"/>
    <w:rsid w:val="00DD38E2"/>
    <w:rsid w:val="00DD3993"/>
    <w:rsid w:val="00DD4443"/>
    <w:rsid w:val="00DD44CA"/>
    <w:rsid w:val="00DE0F71"/>
    <w:rsid w:val="00DE30BF"/>
    <w:rsid w:val="00DE5C2B"/>
    <w:rsid w:val="00DE65C4"/>
    <w:rsid w:val="00DE777E"/>
    <w:rsid w:val="00DF09D8"/>
    <w:rsid w:val="00DF23BB"/>
    <w:rsid w:val="00DF2431"/>
    <w:rsid w:val="00DF26AD"/>
    <w:rsid w:val="00DF6E2D"/>
    <w:rsid w:val="00E004A9"/>
    <w:rsid w:val="00E033E9"/>
    <w:rsid w:val="00E037D5"/>
    <w:rsid w:val="00E03827"/>
    <w:rsid w:val="00E0393D"/>
    <w:rsid w:val="00E04E48"/>
    <w:rsid w:val="00E05A9B"/>
    <w:rsid w:val="00E075B5"/>
    <w:rsid w:val="00E1077D"/>
    <w:rsid w:val="00E11797"/>
    <w:rsid w:val="00E13547"/>
    <w:rsid w:val="00E170D2"/>
    <w:rsid w:val="00E21F26"/>
    <w:rsid w:val="00E257EE"/>
    <w:rsid w:val="00E2723C"/>
    <w:rsid w:val="00E27AAD"/>
    <w:rsid w:val="00E326E3"/>
    <w:rsid w:val="00E33E94"/>
    <w:rsid w:val="00E371F8"/>
    <w:rsid w:val="00E43355"/>
    <w:rsid w:val="00E44587"/>
    <w:rsid w:val="00E50E9B"/>
    <w:rsid w:val="00E54E40"/>
    <w:rsid w:val="00E56B8F"/>
    <w:rsid w:val="00E5775B"/>
    <w:rsid w:val="00E61BF8"/>
    <w:rsid w:val="00E6741D"/>
    <w:rsid w:val="00E70C5E"/>
    <w:rsid w:val="00E711A7"/>
    <w:rsid w:val="00E747E8"/>
    <w:rsid w:val="00E750FC"/>
    <w:rsid w:val="00E805C3"/>
    <w:rsid w:val="00E80873"/>
    <w:rsid w:val="00E80945"/>
    <w:rsid w:val="00E87F82"/>
    <w:rsid w:val="00E91120"/>
    <w:rsid w:val="00E921FF"/>
    <w:rsid w:val="00E9589D"/>
    <w:rsid w:val="00E95D28"/>
    <w:rsid w:val="00EA7BD0"/>
    <w:rsid w:val="00EB0C64"/>
    <w:rsid w:val="00EB3227"/>
    <w:rsid w:val="00EB52E0"/>
    <w:rsid w:val="00EB7D02"/>
    <w:rsid w:val="00EC592A"/>
    <w:rsid w:val="00EC5C94"/>
    <w:rsid w:val="00ED0238"/>
    <w:rsid w:val="00ED2330"/>
    <w:rsid w:val="00ED3314"/>
    <w:rsid w:val="00ED3B0F"/>
    <w:rsid w:val="00ED694B"/>
    <w:rsid w:val="00ED6C15"/>
    <w:rsid w:val="00ED6C1C"/>
    <w:rsid w:val="00ED7478"/>
    <w:rsid w:val="00ED74CE"/>
    <w:rsid w:val="00EE0EC4"/>
    <w:rsid w:val="00EE1642"/>
    <w:rsid w:val="00EE1D9A"/>
    <w:rsid w:val="00EE43AA"/>
    <w:rsid w:val="00EE4870"/>
    <w:rsid w:val="00EF1F56"/>
    <w:rsid w:val="00EF45DB"/>
    <w:rsid w:val="00EF7B1F"/>
    <w:rsid w:val="00F00001"/>
    <w:rsid w:val="00F0114E"/>
    <w:rsid w:val="00F01E97"/>
    <w:rsid w:val="00F040B8"/>
    <w:rsid w:val="00F0475E"/>
    <w:rsid w:val="00F04AFA"/>
    <w:rsid w:val="00F05614"/>
    <w:rsid w:val="00F063BE"/>
    <w:rsid w:val="00F06DCD"/>
    <w:rsid w:val="00F101DC"/>
    <w:rsid w:val="00F15906"/>
    <w:rsid w:val="00F15EF5"/>
    <w:rsid w:val="00F1613F"/>
    <w:rsid w:val="00F20CB7"/>
    <w:rsid w:val="00F211EC"/>
    <w:rsid w:val="00F21A08"/>
    <w:rsid w:val="00F300AB"/>
    <w:rsid w:val="00F31B00"/>
    <w:rsid w:val="00F334F9"/>
    <w:rsid w:val="00F34300"/>
    <w:rsid w:val="00F36124"/>
    <w:rsid w:val="00F36598"/>
    <w:rsid w:val="00F4312F"/>
    <w:rsid w:val="00F4593E"/>
    <w:rsid w:val="00F46BFE"/>
    <w:rsid w:val="00F46FD2"/>
    <w:rsid w:val="00F47548"/>
    <w:rsid w:val="00F50248"/>
    <w:rsid w:val="00F52E21"/>
    <w:rsid w:val="00F53331"/>
    <w:rsid w:val="00F54CB8"/>
    <w:rsid w:val="00F55B63"/>
    <w:rsid w:val="00F5711F"/>
    <w:rsid w:val="00F635E4"/>
    <w:rsid w:val="00F63AC3"/>
    <w:rsid w:val="00F64B8C"/>
    <w:rsid w:val="00F65E9D"/>
    <w:rsid w:val="00F67887"/>
    <w:rsid w:val="00F723E1"/>
    <w:rsid w:val="00F764D3"/>
    <w:rsid w:val="00F76CB5"/>
    <w:rsid w:val="00F7721B"/>
    <w:rsid w:val="00F801B1"/>
    <w:rsid w:val="00F82428"/>
    <w:rsid w:val="00F825B5"/>
    <w:rsid w:val="00F872DE"/>
    <w:rsid w:val="00F92925"/>
    <w:rsid w:val="00F93DD9"/>
    <w:rsid w:val="00FA0859"/>
    <w:rsid w:val="00FA26B4"/>
    <w:rsid w:val="00FA2DAA"/>
    <w:rsid w:val="00FA3168"/>
    <w:rsid w:val="00FA3CA4"/>
    <w:rsid w:val="00FA5243"/>
    <w:rsid w:val="00FA5392"/>
    <w:rsid w:val="00FA5DDF"/>
    <w:rsid w:val="00FA76E0"/>
    <w:rsid w:val="00FB0957"/>
    <w:rsid w:val="00FB10DD"/>
    <w:rsid w:val="00FB2864"/>
    <w:rsid w:val="00FB35C2"/>
    <w:rsid w:val="00FB4717"/>
    <w:rsid w:val="00FB47CE"/>
    <w:rsid w:val="00FB6333"/>
    <w:rsid w:val="00FB6628"/>
    <w:rsid w:val="00FB697D"/>
    <w:rsid w:val="00FB6D3D"/>
    <w:rsid w:val="00FB71D3"/>
    <w:rsid w:val="00FC3612"/>
    <w:rsid w:val="00FC37DA"/>
    <w:rsid w:val="00FC6863"/>
    <w:rsid w:val="00FD00B1"/>
    <w:rsid w:val="00FD1F66"/>
    <w:rsid w:val="00FD2239"/>
    <w:rsid w:val="00FD2C82"/>
    <w:rsid w:val="00FD39AD"/>
    <w:rsid w:val="00FD67B0"/>
    <w:rsid w:val="00FD681D"/>
    <w:rsid w:val="00FE406D"/>
    <w:rsid w:val="00FE610B"/>
    <w:rsid w:val="00FE6F67"/>
    <w:rsid w:val="00FE722D"/>
    <w:rsid w:val="00FF0375"/>
    <w:rsid w:val="00FF1ADC"/>
    <w:rsid w:val="00FF2E6B"/>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ADE1B"/>
  <w15:docId w15:val="{FC0D182B-BA92-4F97-B8C6-A1F0B65C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2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9A0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A01E0"/>
    <w:rPr>
      <w:sz w:val="20"/>
      <w:szCs w:val="20"/>
    </w:rPr>
  </w:style>
  <w:style w:type="character" w:styleId="FootnoteReference">
    <w:name w:val="footnote reference"/>
    <w:semiHidden/>
    <w:rsid w:val="009A01E0"/>
    <w:rPr>
      <w:vertAlign w:val="superscript"/>
    </w:rPr>
  </w:style>
  <w:style w:type="paragraph" w:styleId="EndnoteText">
    <w:name w:val="endnote text"/>
    <w:basedOn w:val="Normal"/>
    <w:link w:val="EndnoteTextChar"/>
    <w:rsid w:val="00801FB1"/>
    <w:rPr>
      <w:sz w:val="20"/>
      <w:szCs w:val="20"/>
    </w:rPr>
  </w:style>
  <w:style w:type="character" w:customStyle="1" w:styleId="EndnoteTextChar">
    <w:name w:val="Endnote Text Char"/>
    <w:basedOn w:val="DefaultParagraphFont"/>
    <w:link w:val="EndnoteText"/>
    <w:rsid w:val="00801FB1"/>
  </w:style>
  <w:style w:type="character" w:styleId="EndnoteReference">
    <w:name w:val="endnote reference"/>
    <w:rsid w:val="00801FB1"/>
    <w:rPr>
      <w:vertAlign w:val="superscript"/>
    </w:rPr>
  </w:style>
  <w:style w:type="paragraph" w:customStyle="1" w:styleId="Default">
    <w:name w:val="Default"/>
    <w:rsid w:val="00D42071"/>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515B40"/>
    <w:rPr>
      <w:sz w:val="16"/>
      <w:szCs w:val="16"/>
    </w:rPr>
  </w:style>
  <w:style w:type="paragraph" w:styleId="CommentText">
    <w:name w:val="annotation text"/>
    <w:basedOn w:val="Normal"/>
    <w:link w:val="CommentTextChar"/>
    <w:unhideWhenUsed/>
    <w:rsid w:val="00515B40"/>
    <w:rPr>
      <w:sz w:val="20"/>
      <w:szCs w:val="20"/>
    </w:rPr>
  </w:style>
  <w:style w:type="character" w:customStyle="1" w:styleId="CommentTextChar">
    <w:name w:val="Comment Text Char"/>
    <w:basedOn w:val="DefaultParagraphFont"/>
    <w:link w:val="CommentText"/>
    <w:rsid w:val="00515B40"/>
  </w:style>
  <w:style w:type="paragraph" w:styleId="CommentSubject">
    <w:name w:val="annotation subject"/>
    <w:basedOn w:val="CommentText"/>
    <w:next w:val="CommentText"/>
    <w:link w:val="CommentSubjectChar"/>
    <w:semiHidden/>
    <w:unhideWhenUsed/>
    <w:rsid w:val="00515B40"/>
    <w:rPr>
      <w:b/>
      <w:bCs/>
    </w:rPr>
  </w:style>
  <w:style w:type="character" w:customStyle="1" w:styleId="CommentSubjectChar">
    <w:name w:val="Comment Subject Char"/>
    <w:basedOn w:val="CommentTextChar"/>
    <w:link w:val="CommentSubject"/>
    <w:semiHidden/>
    <w:rsid w:val="00515B40"/>
    <w:rPr>
      <w:b/>
      <w:bCs/>
    </w:rPr>
  </w:style>
  <w:style w:type="paragraph" w:styleId="Revision">
    <w:name w:val="Revision"/>
    <w:hidden/>
    <w:uiPriority w:val="99"/>
    <w:semiHidden/>
    <w:rsid w:val="00BD64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376982">
      <w:bodyDiv w:val="1"/>
      <w:marLeft w:val="0"/>
      <w:marRight w:val="0"/>
      <w:marTop w:val="0"/>
      <w:marBottom w:val="0"/>
      <w:divBdr>
        <w:top w:val="none" w:sz="0" w:space="0" w:color="auto"/>
        <w:left w:val="none" w:sz="0" w:space="0" w:color="auto"/>
        <w:bottom w:val="none" w:sz="0" w:space="0" w:color="auto"/>
        <w:right w:val="none" w:sz="0" w:space="0" w:color="auto"/>
      </w:divBdr>
    </w:div>
    <w:div w:id="1088113949">
      <w:bodyDiv w:val="1"/>
      <w:marLeft w:val="0"/>
      <w:marRight w:val="0"/>
      <w:marTop w:val="0"/>
      <w:marBottom w:val="0"/>
      <w:divBdr>
        <w:top w:val="none" w:sz="0" w:space="0" w:color="auto"/>
        <w:left w:val="none" w:sz="0" w:space="0" w:color="auto"/>
        <w:bottom w:val="none" w:sz="0" w:space="0" w:color="auto"/>
        <w:right w:val="none" w:sz="0" w:space="0" w:color="auto"/>
      </w:divBdr>
      <w:divsChild>
        <w:div w:id="118228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11" ma:contentTypeDescription="Create a new document." ma:contentTypeScope="" ma:versionID="e4dc782ef8c70bc9e7405844bf637780">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65e1764aa32b4c6ebeaf46c734ec0e28"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91E3-682E-4126-88FC-86D055B41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61562-10F3-4116-B268-E622A652EC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1CDC03-7486-4C3D-A09C-4FD5B20AA13A}">
  <ds:schemaRefs>
    <ds:schemaRef ds:uri="http://schemas.microsoft.com/sharepoint/v3/contenttype/forms"/>
  </ds:schemaRefs>
</ds:datastoreItem>
</file>

<file path=customXml/itemProps4.xml><?xml version="1.0" encoding="utf-8"?>
<ds:datastoreItem xmlns:ds="http://schemas.openxmlformats.org/officeDocument/2006/customXml" ds:itemID="{AEF52F4D-7721-425C-88A8-B849770A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2</cp:revision>
  <cp:lastPrinted>2017-09-27T15:40:00Z</cp:lastPrinted>
  <dcterms:created xsi:type="dcterms:W3CDTF">2021-03-04T16:47:00Z</dcterms:created>
  <dcterms:modified xsi:type="dcterms:W3CDTF">2021-03-04T16:47:00Z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641100</vt:r8>
  </property>
</Properties>
</file>