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F749E" w:rsidR="00BE68E2" w:rsidP="00BE68E2" w:rsidRDefault="00BE68E2" w14:paraId="78676199" w14:textId="77777777">
      <w:pPr>
        <w:pStyle w:val="ListParagraph"/>
        <w:ind w:left="0" w:firstLine="4"/>
        <w:jc w:val="center"/>
        <w:rPr>
          <w:bCs/>
        </w:rPr>
      </w:pPr>
      <w:r w:rsidRPr="00CF749E">
        <w:rPr>
          <w:bCs/>
        </w:rPr>
        <w:t xml:space="preserve">National Credit Union Administration </w:t>
      </w:r>
    </w:p>
    <w:p w:rsidRPr="000B0A83" w:rsidR="00476AA9" w:rsidP="009B00ED" w:rsidRDefault="000B0A83" w14:paraId="3118264A" w14:textId="772337D9">
      <w:pPr>
        <w:pStyle w:val="ListParagraph"/>
        <w:ind w:left="0" w:firstLine="4"/>
        <w:jc w:val="center"/>
        <w:rPr>
          <w:b/>
        </w:rPr>
      </w:pPr>
      <w:r w:rsidRPr="000B0A83">
        <w:rPr>
          <w:b/>
        </w:rPr>
        <w:t>SUPPORTING STATEMENT</w:t>
      </w:r>
    </w:p>
    <w:p w:rsidR="00CF749E" w:rsidP="009B00ED" w:rsidRDefault="00CF749E" w14:paraId="0681BA88" w14:textId="77777777">
      <w:pPr>
        <w:pStyle w:val="ListParagraph"/>
        <w:ind w:left="0" w:firstLine="4"/>
        <w:jc w:val="center"/>
        <w:rPr>
          <w:b/>
          <w:bCs/>
        </w:rPr>
      </w:pPr>
    </w:p>
    <w:p w:rsidRPr="000B0A83" w:rsidR="00E4762D" w:rsidP="009B00ED" w:rsidRDefault="008C6322" w14:paraId="39DD981F" w14:textId="77777777">
      <w:pPr>
        <w:pStyle w:val="ListParagraph"/>
        <w:ind w:left="0" w:firstLine="4"/>
        <w:jc w:val="center"/>
      </w:pPr>
      <w:r w:rsidRPr="000B0A83">
        <w:t xml:space="preserve">Consumer </w:t>
      </w:r>
      <w:r w:rsidRPr="000B0A83" w:rsidR="00E4762D">
        <w:t>Assistance Center</w:t>
      </w:r>
      <w:r w:rsidRPr="000B0A83">
        <w:t xml:space="preserve"> </w:t>
      </w:r>
    </w:p>
    <w:p w:rsidRPr="00026113" w:rsidR="003A0D60" w:rsidP="003A0D60" w:rsidRDefault="00B077AF" w14:paraId="0521B741" w14:textId="483D1D0D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 w:rsidRPr="00026113">
        <w:rPr>
          <w:b/>
          <w:bCs/>
        </w:rPr>
        <w:t>OMB Control No: 3133-</w:t>
      </w:r>
      <w:r w:rsidRPr="00026113" w:rsidR="00247638">
        <w:rPr>
          <w:b/>
          <w:bCs/>
        </w:rPr>
        <w:t>0200</w:t>
      </w:r>
    </w:p>
    <w:p w:rsidR="003A0D60" w:rsidP="003A0D60" w:rsidRDefault="003A0D60" w14:paraId="797FF1DB" w14:textId="77777777">
      <w:pPr>
        <w:pStyle w:val="ListParagraph"/>
        <w:ind w:left="0"/>
        <w:rPr>
          <w:b/>
        </w:rPr>
      </w:pPr>
    </w:p>
    <w:p w:rsidRPr="00A13B41" w:rsidR="003A0D60" w:rsidP="003A0D60" w:rsidRDefault="003A0D60" w14:paraId="3C6E5612" w14:textId="77777777">
      <w:pPr>
        <w:pStyle w:val="ListParagraph"/>
        <w:ind w:left="0"/>
        <w:rPr>
          <w:b/>
        </w:rPr>
      </w:pPr>
    </w:p>
    <w:p w:rsidRPr="00E44F63" w:rsidR="003A0D60" w:rsidP="001F11AA" w:rsidRDefault="003A0D60" w14:paraId="6FE8BF96" w14:textId="77777777">
      <w:pPr>
        <w:pStyle w:val="ListParagraph"/>
        <w:numPr>
          <w:ilvl w:val="0"/>
          <w:numId w:val="2"/>
        </w:numPr>
        <w:tabs>
          <w:tab w:val="left" w:pos="720"/>
        </w:tabs>
        <w:ind w:left="720" w:hanging="720"/>
        <w:rPr>
          <w:b/>
        </w:rPr>
      </w:pPr>
      <w:r w:rsidRPr="00E44F63">
        <w:rPr>
          <w:b/>
        </w:rPr>
        <w:t>JUSTIFICATION</w:t>
      </w:r>
    </w:p>
    <w:p w:rsidRPr="00E44F63" w:rsidR="003A0D60" w:rsidP="001F11AA" w:rsidRDefault="003A0D60" w14:paraId="4F0ACF88" w14:textId="77777777">
      <w:pPr>
        <w:pStyle w:val="ListParagraph"/>
        <w:tabs>
          <w:tab w:val="left" w:pos="720"/>
        </w:tabs>
        <w:ind w:hanging="720"/>
        <w:rPr>
          <w:b/>
        </w:rPr>
      </w:pPr>
    </w:p>
    <w:p w:rsidR="00BE68E2" w:rsidP="00BE68E2" w:rsidRDefault="00BE68E2" w14:paraId="6CC87FED" w14:textId="298873C7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625090">
        <w:rPr>
          <w:b/>
        </w:rPr>
        <w:t>Circumstances that make the collection of information necessary</w:t>
      </w:r>
      <w:r>
        <w:rPr>
          <w:b/>
        </w:rPr>
        <w:t>.</w:t>
      </w:r>
    </w:p>
    <w:p w:rsidR="00BE68E2" w:rsidP="005747C0" w:rsidRDefault="00BE68E2" w14:paraId="62E09A09" w14:textId="77777777">
      <w:pPr>
        <w:tabs>
          <w:tab w:val="left" w:pos="720"/>
        </w:tabs>
      </w:pPr>
    </w:p>
    <w:p w:rsidR="004E42E1" w:rsidP="001F11AA" w:rsidRDefault="001F11AA" w14:paraId="5D823DAF" w14:textId="5D80AEC5">
      <w:pPr>
        <w:pStyle w:val="ListParagraph"/>
        <w:tabs>
          <w:tab w:val="left" w:pos="720"/>
        </w:tabs>
        <w:ind w:hanging="720"/>
      </w:pPr>
      <w:r>
        <w:tab/>
      </w:r>
      <w:r w:rsidRPr="00F07BC0" w:rsidR="004E42E1">
        <w:t xml:space="preserve">Section 1034 of the Dodd-Frank Wall Street Reform and Consumer Protection Act </w:t>
      </w:r>
      <w:r w:rsidR="00480F38">
        <w:t>(</w:t>
      </w:r>
      <w:proofErr w:type="spellStart"/>
      <w:r w:rsidR="00480F38">
        <w:t>Pub.L</w:t>
      </w:r>
      <w:proofErr w:type="spellEnd"/>
      <w:r w:rsidR="00480F38">
        <w:t xml:space="preserve">. 111-203) </w:t>
      </w:r>
      <w:r w:rsidRPr="00F07BC0" w:rsidR="004E42E1">
        <w:t>authorize</w:t>
      </w:r>
      <w:r w:rsidRPr="00F07BC0" w:rsidR="00924D3B">
        <w:t>s</w:t>
      </w:r>
      <w:r w:rsidRPr="00F07BC0" w:rsidR="004E42E1">
        <w:t xml:space="preserve"> the National Credit Union Administration (NCUA) to accept and resolve member complaints. </w:t>
      </w:r>
      <w:r w:rsidR="008A35B2">
        <w:t xml:space="preserve"> </w:t>
      </w:r>
      <w:r w:rsidRPr="00F07BC0" w:rsidR="004E42E1">
        <w:t>In addition, various federal consumer</w:t>
      </w:r>
      <w:r w:rsidR="00A63A06">
        <w:t xml:space="preserve"> financial</w:t>
      </w:r>
      <w:r w:rsidRPr="00F07BC0" w:rsidR="004E42E1">
        <w:t xml:space="preserve"> protection laws give </w:t>
      </w:r>
      <w:r w:rsidR="008F7EEC">
        <w:t>the NCUA</w:t>
      </w:r>
      <w:r w:rsidRPr="00F07BC0" w:rsidR="004E42E1">
        <w:t xml:space="preserve"> enforcement authority for federal credit union</w:t>
      </w:r>
      <w:r w:rsidRPr="00F07BC0" w:rsidR="00924D3B">
        <w:t>s</w:t>
      </w:r>
      <w:r w:rsidRPr="00F07BC0" w:rsidR="004E42E1">
        <w:t xml:space="preserve">. </w:t>
      </w:r>
      <w:r w:rsidRPr="00F07BC0" w:rsidR="00924D3B">
        <w:t xml:space="preserve">Specifically, </w:t>
      </w:r>
      <w:r w:rsidR="00286F4B">
        <w:t>12</w:t>
      </w:r>
      <w:r w:rsidRPr="00F07BC0" w:rsidR="00286F4B">
        <w:t xml:space="preserve"> </w:t>
      </w:r>
      <w:r w:rsidRPr="00F07BC0" w:rsidR="004E42E1">
        <w:t>USC §5516(d)(1) provide</w:t>
      </w:r>
      <w:r w:rsidR="00050783">
        <w:t>s</w:t>
      </w:r>
      <w:r w:rsidRPr="00F07BC0" w:rsidR="004E42E1">
        <w:t xml:space="preserve"> prudential regulators</w:t>
      </w:r>
      <w:r w:rsidRPr="00F07BC0" w:rsidR="00924D3B">
        <w:t xml:space="preserve">, like </w:t>
      </w:r>
      <w:r w:rsidR="008F7EEC">
        <w:t xml:space="preserve">the </w:t>
      </w:r>
      <w:r w:rsidRPr="00F07BC0" w:rsidR="00924D3B">
        <w:t>NCUA,</w:t>
      </w:r>
      <w:r w:rsidRPr="00F07BC0" w:rsidR="004E42E1">
        <w:t xml:space="preserve"> with exclusive authority to enforce federal consumer financial </w:t>
      </w:r>
      <w:r w:rsidRPr="00F07BC0" w:rsidR="00924D3B">
        <w:t xml:space="preserve">protection </w:t>
      </w:r>
      <w:r w:rsidR="00CE68FA">
        <w:t xml:space="preserve">laws. </w:t>
      </w:r>
      <w:r w:rsidR="008A35B2">
        <w:t xml:space="preserve"> </w:t>
      </w:r>
      <w:r w:rsidR="008F7EEC">
        <w:t xml:space="preserve">The </w:t>
      </w:r>
      <w:r w:rsidRPr="00F07BC0" w:rsidR="004E42E1">
        <w:t xml:space="preserve">NCUA is the prudential regulator for federally insured credit unions. </w:t>
      </w:r>
    </w:p>
    <w:p w:rsidR="00480F38" w:rsidP="001F11AA" w:rsidRDefault="00480F38" w14:paraId="68854A6C" w14:textId="77777777">
      <w:pPr>
        <w:pStyle w:val="NormalWeb"/>
        <w:tabs>
          <w:tab w:val="left" w:pos="720"/>
        </w:tabs>
        <w:spacing w:before="0" w:beforeAutospacing="0" w:after="0" w:afterAutospacing="0"/>
        <w:ind w:left="720" w:hanging="720"/>
      </w:pPr>
    </w:p>
    <w:p w:rsidR="001F11AA" w:rsidP="001F11AA" w:rsidRDefault="00480F38" w14:paraId="5C8507FF" w14:textId="323B2A06">
      <w:pPr>
        <w:pStyle w:val="NormalWeb"/>
        <w:tabs>
          <w:tab w:val="left" w:pos="720"/>
        </w:tabs>
        <w:spacing w:before="0" w:beforeAutospacing="0" w:after="0" w:afterAutospacing="0"/>
        <w:ind w:left="720" w:hanging="720"/>
        <w:rPr>
          <w:color w:val="555555"/>
        </w:rPr>
      </w:pPr>
      <w:r>
        <w:tab/>
      </w:r>
      <w:r w:rsidRPr="00CF017E" w:rsidR="00CF017E">
        <w:t>N</w:t>
      </w:r>
      <w:r>
        <w:t>CUA</w:t>
      </w:r>
      <w:r w:rsidRPr="00CF017E" w:rsidR="00765935">
        <w:t xml:space="preserve"> has </w:t>
      </w:r>
      <w:r w:rsidR="002F2961">
        <w:t xml:space="preserve">a </w:t>
      </w:r>
      <w:r w:rsidRPr="00CF017E" w:rsidR="00765935">
        <w:t>centralized</w:t>
      </w:r>
      <w:r w:rsidR="002F2961">
        <w:t xml:space="preserve"> website for</w:t>
      </w:r>
      <w:r w:rsidRPr="00CF017E" w:rsidR="00765935">
        <w:t xml:space="preserve"> the intake of consumer </w:t>
      </w:r>
      <w:r w:rsidR="00421725">
        <w:t>inquiries</w:t>
      </w:r>
      <w:r w:rsidRPr="00CF017E" w:rsidR="00421725">
        <w:t xml:space="preserve"> </w:t>
      </w:r>
      <w:r w:rsidRPr="00CF017E" w:rsidR="00765935">
        <w:t xml:space="preserve">and </w:t>
      </w:r>
      <w:r w:rsidR="00421725">
        <w:t>complaints</w:t>
      </w:r>
      <w:r w:rsidRPr="00CF017E" w:rsidR="00421725">
        <w:t xml:space="preserve"> </w:t>
      </w:r>
      <w:r w:rsidRPr="00CF017E" w:rsidR="00765935">
        <w:t xml:space="preserve">under the </w:t>
      </w:r>
      <w:r w:rsidRPr="00CF017E" w:rsidR="001F11AA">
        <w:t>Consumer Assist</w:t>
      </w:r>
      <w:r w:rsidRPr="00CF017E" w:rsidR="00765935">
        <w:t xml:space="preserve">ance Center, via the </w:t>
      </w:r>
      <w:hyperlink w:history="1" r:id="rId8">
        <w:r w:rsidRPr="0076451D" w:rsidR="0076451D">
          <w:rPr>
            <w:rStyle w:val="Hyperlink"/>
          </w:rPr>
          <w:t>MyCreditUnion.gov</w:t>
        </w:r>
      </w:hyperlink>
      <w:r w:rsidRPr="00C96B6F" w:rsidR="00050783">
        <w:rPr>
          <w:rStyle w:val="Hyperlink"/>
          <w:color w:val="auto"/>
          <w:u w:val="none"/>
        </w:rPr>
        <w:t xml:space="preserve"> website</w:t>
      </w:r>
      <w:r w:rsidR="00CE68FA">
        <w:t xml:space="preserve">. </w:t>
      </w:r>
      <w:r w:rsidR="008A35B2">
        <w:t xml:space="preserve"> </w:t>
      </w:r>
      <w:r w:rsidRPr="00CF017E" w:rsidR="00765935">
        <w:t>The C</w:t>
      </w:r>
      <w:r w:rsidR="00A63A06">
        <w:t>ons</w:t>
      </w:r>
      <w:r w:rsidR="00116884">
        <w:t>umer</w:t>
      </w:r>
      <w:r w:rsidR="00A63A06">
        <w:t xml:space="preserve"> Assistance Center </w:t>
      </w:r>
      <w:r w:rsidRPr="00CF017E" w:rsidR="00765935">
        <w:t>assists consumer</w:t>
      </w:r>
      <w:r w:rsidR="004A5CFD">
        <w:t>s</w:t>
      </w:r>
      <w:r w:rsidRPr="00CF017E" w:rsidR="00765935">
        <w:t xml:space="preserve"> with information about federal financial consumer protection and share insurance </w:t>
      </w:r>
      <w:r w:rsidRPr="00CF017E" w:rsidR="000339C4">
        <w:t>matters</w:t>
      </w:r>
      <w:r w:rsidR="000339C4">
        <w:t xml:space="preserve"> and</w:t>
      </w:r>
      <w:r w:rsidR="00D807CE">
        <w:t xml:space="preserve"> </w:t>
      </w:r>
      <w:r w:rsidRPr="00CF017E" w:rsidR="00765935">
        <w:t>assists in resolving disputes with credit</w:t>
      </w:r>
      <w:r w:rsidR="00BD092F">
        <w:t xml:space="preserve"> unions</w:t>
      </w:r>
      <w:r w:rsidRPr="00CF017E" w:rsidR="00765935">
        <w:t>.</w:t>
      </w:r>
      <w:r w:rsidRPr="00CF017E" w:rsidR="001F11AA">
        <w:t xml:space="preserve"> </w:t>
      </w:r>
    </w:p>
    <w:p w:rsidRPr="00F07BC0" w:rsidR="001F11AA" w:rsidP="00CF017E" w:rsidRDefault="001F11AA" w14:paraId="769097A7" w14:textId="77777777">
      <w:pPr>
        <w:pStyle w:val="ListParagraph"/>
        <w:tabs>
          <w:tab w:val="left" w:pos="720"/>
        </w:tabs>
        <w:ind w:hanging="720"/>
      </w:pPr>
    </w:p>
    <w:p w:rsidR="00BE68E2" w:rsidP="00DE652A" w:rsidRDefault="00BE68E2" w14:paraId="2416CF97" w14:textId="63CA3A09">
      <w:pPr>
        <w:pStyle w:val="BodyTextIndent2"/>
        <w:numPr>
          <w:ilvl w:val="0"/>
          <w:numId w:val="3"/>
        </w:numPr>
        <w:spacing w:after="0" w:line="240" w:lineRule="auto"/>
        <w:ind w:left="720" w:hanging="720"/>
        <w:rPr>
          <w:b/>
        </w:rPr>
      </w:pPr>
      <w:r w:rsidRPr="00D214DB">
        <w:rPr>
          <w:b/>
        </w:rPr>
        <w:t xml:space="preserve">Purpose and </w:t>
      </w:r>
      <w:r w:rsidR="005747C0">
        <w:rPr>
          <w:b/>
        </w:rPr>
        <w:t>u</w:t>
      </w:r>
      <w:r w:rsidRPr="00D214DB">
        <w:rPr>
          <w:b/>
        </w:rPr>
        <w:t xml:space="preserve">se of the </w:t>
      </w:r>
      <w:r w:rsidR="000B0A83">
        <w:rPr>
          <w:b/>
        </w:rPr>
        <w:t>i</w:t>
      </w:r>
      <w:r w:rsidRPr="00D214DB">
        <w:rPr>
          <w:b/>
        </w:rPr>
        <w:t xml:space="preserve">nformation </w:t>
      </w:r>
      <w:r w:rsidR="000B0A83">
        <w:rPr>
          <w:b/>
        </w:rPr>
        <w:t>c</w:t>
      </w:r>
      <w:r w:rsidRPr="00D214DB">
        <w:rPr>
          <w:b/>
        </w:rPr>
        <w:t>ollection</w:t>
      </w:r>
      <w:r>
        <w:rPr>
          <w:b/>
        </w:rPr>
        <w:t>.</w:t>
      </w:r>
    </w:p>
    <w:p w:rsidR="004E42E1" w:rsidP="00CF017E" w:rsidRDefault="004E42E1" w14:paraId="1A269951" w14:textId="77777777">
      <w:pPr>
        <w:pStyle w:val="ListParagraph"/>
        <w:tabs>
          <w:tab w:val="left" w:pos="720"/>
        </w:tabs>
        <w:ind w:left="0"/>
      </w:pPr>
    </w:p>
    <w:p w:rsidR="00D807CE" w:rsidP="00CF017E" w:rsidRDefault="00BF61AB" w14:paraId="55D47A83" w14:textId="60216926">
      <w:pPr>
        <w:pStyle w:val="ListParagraph"/>
        <w:tabs>
          <w:tab w:val="left" w:pos="720"/>
        </w:tabs>
      </w:pPr>
      <w:r w:rsidRPr="004F5D38">
        <w:t>C</w:t>
      </w:r>
      <w:r>
        <w:t>onsumers can submit</w:t>
      </w:r>
      <w:r w:rsidRPr="004F5D38">
        <w:t xml:space="preserve"> inquiries or complaint</w:t>
      </w:r>
      <w:r>
        <w:t>s</w:t>
      </w:r>
      <w:r w:rsidRPr="004F5D38">
        <w:t xml:space="preserve"> electronically through</w:t>
      </w:r>
      <w:r>
        <w:t xml:space="preserve"> </w:t>
      </w:r>
      <w:r w:rsidRPr="004F5D38">
        <w:t>the</w:t>
      </w:r>
      <w:r>
        <w:t xml:space="preserve"> agency’s </w:t>
      </w:r>
      <w:hyperlink w:history="1" r:id="rId9">
        <w:r w:rsidRPr="0076451D" w:rsidR="0076451D">
          <w:rPr>
            <w:rStyle w:val="Hyperlink"/>
          </w:rPr>
          <w:t>MyCreditUnion.gov</w:t>
        </w:r>
      </w:hyperlink>
      <w:r>
        <w:t xml:space="preserve"> website </w:t>
      </w:r>
      <w:r w:rsidR="00CE68FA">
        <w:t>that offers a</w:t>
      </w:r>
      <w:r w:rsidR="00983FD2">
        <w:t xml:space="preserve"> consumer complaint</w:t>
      </w:r>
      <w:r w:rsidR="00CE68FA">
        <w:t xml:space="preserve"> </w:t>
      </w:r>
      <w:r w:rsidRPr="006140F1" w:rsidR="00A63A06">
        <w:t xml:space="preserve">online portal </w:t>
      </w:r>
      <w:r w:rsidRPr="006140F1" w:rsidR="00A340D5">
        <w:t>platform</w:t>
      </w:r>
      <w:r w:rsidR="00CB23BD">
        <w:t>.</w:t>
      </w:r>
      <w:r w:rsidRPr="006140F1" w:rsidR="00A340D5">
        <w:t xml:space="preserve"> </w:t>
      </w:r>
      <w:r w:rsidR="00CB23BD">
        <w:t xml:space="preserve">The </w:t>
      </w:r>
      <w:r w:rsidR="000514B8">
        <w:t>f</w:t>
      </w:r>
      <w:r w:rsidRPr="004F5D38">
        <w:t xml:space="preserve">illable PDF versions </w:t>
      </w:r>
      <w:r>
        <w:t>are also available to consumers via the website</w:t>
      </w:r>
      <w:r w:rsidR="00983FD2">
        <w:t xml:space="preserve"> and complaints may be submitted via regular mail as well</w:t>
      </w:r>
      <w:r>
        <w:t>.</w:t>
      </w:r>
    </w:p>
    <w:p w:rsidR="00D807CE" w:rsidP="00CF017E" w:rsidRDefault="00D807CE" w14:paraId="536CD55F" w14:textId="77777777">
      <w:pPr>
        <w:pStyle w:val="ListParagraph"/>
        <w:tabs>
          <w:tab w:val="left" w:pos="720"/>
        </w:tabs>
      </w:pPr>
    </w:p>
    <w:p w:rsidR="00CF017E" w:rsidP="00785A28" w:rsidRDefault="00CF017E" w14:paraId="114278ED" w14:textId="154569B2">
      <w:pPr>
        <w:pStyle w:val="ListParagraph"/>
        <w:numPr>
          <w:ilvl w:val="0"/>
          <w:numId w:val="17"/>
        </w:numPr>
        <w:tabs>
          <w:tab w:val="left" w:pos="720"/>
        </w:tabs>
      </w:pPr>
      <w:r>
        <w:t xml:space="preserve">Consumer Inquiry Form: </w:t>
      </w:r>
      <w:r w:rsidR="00977426">
        <w:t>This</w:t>
      </w:r>
      <w:r w:rsidR="00BF61AB">
        <w:t xml:space="preserve"> form </w:t>
      </w:r>
      <w:r w:rsidR="00977426">
        <w:t xml:space="preserve">is used to submit an </w:t>
      </w:r>
      <w:r w:rsidR="00BF61AB">
        <w:t>inquir</w:t>
      </w:r>
      <w:r w:rsidR="00977426">
        <w:t>y</w:t>
      </w:r>
      <w:r w:rsidR="00BF61AB">
        <w:t xml:space="preserve"> </w:t>
      </w:r>
      <w:r w:rsidR="00977426">
        <w:t xml:space="preserve">to NCUA </w:t>
      </w:r>
      <w:r w:rsidR="00BF61AB">
        <w:t>about various federal consumer financial protection topics</w:t>
      </w:r>
      <w:r w:rsidR="00983FD2">
        <w:t xml:space="preserve"> and credit union operations</w:t>
      </w:r>
      <w:r w:rsidR="00BF61AB">
        <w:t xml:space="preserve">. </w:t>
      </w:r>
    </w:p>
    <w:p w:rsidRPr="00785A28" w:rsidR="009F2B54" w:rsidP="00CF017E" w:rsidRDefault="009F2B54" w14:paraId="3E25E6A7" w14:textId="77777777">
      <w:pPr>
        <w:pStyle w:val="ListParagraph"/>
        <w:tabs>
          <w:tab w:val="left" w:pos="720"/>
        </w:tabs>
      </w:pPr>
    </w:p>
    <w:p w:rsidR="00977426" w:rsidP="00B676AB" w:rsidRDefault="000514B8" w14:paraId="224B97F7" w14:textId="2D672E5A">
      <w:pPr>
        <w:pStyle w:val="ListParagraph"/>
        <w:numPr>
          <w:ilvl w:val="0"/>
          <w:numId w:val="17"/>
        </w:numPr>
        <w:tabs>
          <w:tab w:val="left" w:pos="720"/>
        </w:tabs>
      </w:pPr>
      <w:r>
        <w:t xml:space="preserve">Consumer Assistance Form: </w:t>
      </w:r>
      <w:r w:rsidR="00977426">
        <w:t>This form is used to submit a formal complaint against a federally insured credit union.</w:t>
      </w:r>
      <w:r w:rsidR="008A35B2">
        <w:t xml:space="preserve"> </w:t>
      </w:r>
      <w:r w:rsidR="00977426">
        <w:t xml:space="preserve"> The purpose of the for</w:t>
      </w:r>
      <w:r w:rsidRPr="00977426" w:rsidR="00977426">
        <w:t>m is to collect information necessary for NCUA to investigate and take further action on a complaint submitted by a consumer regarding the actions of an institution overseen by NCUA</w:t>
      </w:r>
      <w:r w:rsidR="00977426">
        <w:t>.</w:t>
      </w:r>
    </w:p>
    <w:p w:rsidR="00977426" w:rsidP="00977426" w:rsidRDefault="00977426" w14:paraId="74BA2171" w14:textId="77777777">
      <w:pPr>
        <w:tabs>
          <w:tab w:val="left" w:pos="720"/>
        </w:tabs>
      </w:pPr>
    </w:p>
    <w:p w:rsidRPr="00977426" w:rsidR="00CF017E" w:rsidP="00977426" w:rsidRDefault="006B5C99" w14:paraId="090E9FED" w14:textId="660BA0B8">
      <w:pPr>
        <w:pStyle w:val="CommentText"/>
        <w:numPr>
          <w:ilvl w:val="0"/>
          <w:numId w:val="17"/>
        </w:numPr>
        <w:rPr>
          <w:sz w:val="24"/>
          <w:szCs w:val="24"/>
        </w:rPr>
      </w:pPr>
      <w:r w:rsidRPr="00977426">
        <w:rPr>
          <w:sz w:val="24"/>
          <w:szCs w:val="24"/>
        </w:rPr>
        <w:t>Appraisal Complaint Form</w:t>
      </w:r>
      <w:r w:rsidRPr="00977426" w:rsidR="00BF5345">
        <w:rPr>
          <w:sz w:val="24"/>
          <w:szCs w:val="24"/>
        </w:rPr>
        <w:t xml:space="preserve"> (NCUA Form 15003)</w:t>
      </w:r>
      <w:r w:rsidRPr="00977426" w:rsidR="009F2B54">
        <w:rPr>
          <w:sz w:val="24"/>
          <w:szCs w:val="24"/>
        </w:rPr>
        <w:t xml:space="preserve">: This form is used to submit a formal complaint </w:t>
      </w:r>
      <w:r w:rsidRPr="00977426" w:rsidR="00BD092F">
        <w:rPr>
          <w:sz w:val="24"/>
          <w:szCs w:val="24"/>
        </w:rPr>
        <w:t xml:space="preserve">when </w:t>
      </w:r>
      <w:r w:rsidRPr="00977426" w:rsidR="009F2B54">
        <w:rPr>
          <w:sz w:val="24"/>
          <w:szCs w:val="24"/>
        </w:rPr>
        <w:t>an entity</w:t>
      </w:r>
      <w:r w:rsidRPr="00977426" w:rsidR="00983FD2">
        <w:rPr>
          <w:sz w:val="24"/>
          <w:szCs w:val="24"/>
        </w:rPr>
        <w:t xml:space="preserve"> regulated by</w:t>
      </w:r>
      <w:r w:rsidRPr="00977426" w:rsidR="008F7EEC">
        <w:rPr>
          <w:sz w:val="24"/>
          <w:szCs w:val="24"/>
        </w:rPr>
        <w:t xml:space="preserve"> the</w:t>
      </w:r>
      <w:r w:rsidRPr="00977426" w:rsidR="00983FD2">
        <w:rPr>
          <w:sz w:val="24"/>
          <w:szCs w:val="24"/>
        </w:rPr>
        <w:t xml:space="preserve"> NCUA</w:t>
      </w:r>
      <w:r w:rsidRPr="00977426" w:rsidR="009F2B54">
        <w:rPr>
          <w:sz w:val="24"/>
          <w:szCs w:val="24"/>
        </w:rPr>
        <w:t xml:space="preserve"> has failed to comply with the appraisal independence standards or Uniform Standards of Professional Appraisal Practice (USPAP).</w:t>
      </w:r>
      <w:r w:rsidR="008A35B2">
        <w:rPr>
          <w:sz w:val="24"/>
          <w:szCs w:val="24"/>
        </w:rPr>
        <w:t xml:space="preserve"> </w:t>
      </w:r>
      <w:r w:rsidRPr="00977426" w:rsidR="00BA500F">
        <w:rPr>
          <w:sz w:val="24"/>
          <w:szCs w:val="24"/>
        </w:rPr>
        <w:t xml:space="preserve"> </w:t>
      </w:r>
      <w:r w:rsidR="00977426">
        <w:rPr>
          <w:sz w:val="24"/>
          <w:szCs w:val="24"/>
        </w:rPr>
        <w:t>The purpose of the for</w:t>
      </w:r>
      <w:r w:rsidRPr="00977426" w:rsidR="00F170F2">
        <w:rPr>
          <w:sz w:val="24"/>
          <w:szCs w:val="24"/>
        </w:rPr>
        <w:t xml:space="preserve">m is to collect information necessary for NCUA to investigate and take further action on a complaint </w:t>
      </w:r>
      <w:r w:rsidRPr="00977426" w:rsidR="00F170F2">
        <w:rPr>
          <w:sz w:val="24"/>
          <w:szCs w:val="24"/>
        </w:rPr>
        <w:lastRenderedPageBreak/>
        <w:t>submitted by a consumer regarding the actions of an institution overseen by NCUA as it pertains to property appra</w:t>
      </w:r>
      <w:r w:rsidRPr="00977426" w:rsidR="00977426">
        <w:rPr>
          <w:sz w:val="24"/>
          <w:szCs w:val="24"/>
        </w:rPr>
        <w:t>isals and the appraisal process</w:t>
      </w:r>
      <w:r w:rsidRPr="00977426" w:rsidR="008F7EEC">
        <w:rPr>
          <w:sz w:val="24"/>
          <w:szCs w:val="24"/>
        </w:rPr>
        <w:t>, including the actions of the appraiser.</w:t>
      </w:r>
      <w:r w:rsidRPr="00977426" w:rsidR="004A2225">
        <w:rPr>
          <w:sz w:val="24"/>
          <w:szCs w:val="24"/>
        </w:rPr>
        <w:t xml:space="preserve"> </w:t>
      </w:r>
      <w:r w:rsidR="008A35B2">
        <w:rPr>
          <w:sz w:val="24"/>
          <w:szCs w:val="24"/>
        </w:rPr>
        <w:t xml:space="preserve"> </w:t>
      </w:r>
      <w:r w:rsidRPr="00977426" w:rsidR="00785A28">
        <w:rPr>
          <w:sz w:val="24"/>
          <w:szCs w:val="24"/>
        </w:rPr>
        <w:t>The NCUA use</w:t>
      </w:r>
      <w:r w:rsidR="002F2961">
        <w:rPr>
          <w:sz w:val="24"/>
          <w:szCs w:val="24"/>
        </w:rPr>
        <w:t>s</w:t>
      </w:r>
      <w:r w:rsidRPr="00977426" w:rsidR="00785A28">
        <w:rPr>
          <w:sz w:val="24"/>
          <w:szCs w:val="24"/>
        </w:rPr>
        <w:t xml:space="preserve"> the information to take action on </w:t>
      </w:r>
      <w:r w:rsidR="00CB23BD">
        <w:rPr>
          <w:sz w:val="24"/>
          <w:szCs w:val="24"/>
        </w:rPr>
        <w:t>a</w:t>
      </w:r>
      <w:r w:rsidRPr="00977426" w:rsidR="00785A28">
        <w:rPr>
          <w:sz w:val="24"/>
          <w:szCs w:val="24"/>
        </w:rPr>
        <w:t xml:space="preserve"> complaint to the extent it relates to an issue within its jurisdiction. </w:t>
      </w:r>
    </w:p>
    <w:p w:rsidR="00785A28" w:rsidP="00785A28" w:rsidRDefault="00785A28" w14:paraId="111A085D" w14:textId="77777777">
      <w:pPr>
        <w:pStyle w:val="ListParagraph"/>
      </w:pPr>
    </w:p>
    <w:p w:rsidR="003A0D60" w:rsidP="00785A28" w:rsidRDefault="004E42E1" w14:paraId="2EBF9348" w14:textId="3C3DF1DA">
      <w:pPr>
        <w:pStyle w:val="ListParagraph"/>
      </w:pPr>
      <w:r w:rsidRPr="00F07BC0">
        <w:t xml:space="preserve">The information </w:t>
      </w:r>
      <w:r w:rsidR="002F2961">
        <w:t xml:space="preserve">is </w:t>
      </w:r>
      <w:r w:rsidR="00786BD5">
        <w:t>further used</w:t>
      </w:r>
      <w:r w:rsidRPr="00F07BC0">
        <w:t xml:space="preserve"> to improve the way </w:t>
      </w:r>
      <w:r w:rsidR="008F7EEC">
        <w:t xml:space="preserve">the </w:t>
      </w:r>
      <w:r w:rsidRPr="00F07BC0">
        <w:t xml:space="preserve">NCUA communicates with consumers requesting assistance in resolving inquiries or complaints </w:t>
      </w:r>
      <w:r w:rsidR="0045470F">
        <w:t xml:space="preserve">concerning </w:t>
      </w:r>
      <w:r w:rsidRPr="00F07BC0">
        <w:t>fe</w:t>
      </w:r>
      <w:r w:rsidR="00883D8C">
        <w:t xml:space="preserve">derally insured credit unions. </w:t>
      </w:r>
      <w:r w:rsidR="008A35B2">
        <w:t xml:space="preserve"> </w:t>
      </w:r>
      <w:r w:rsidR="008F7EEC">
        <w:t xml:space="preserve">The </w:t>
      </w:r>
      <w:r w:rsidRPr="00F07BC0">
        <w:t>NCUA</w:t>
      </w:r>
      <w:r w:rsidRPr="00F07BC0" w:rsidR="00BD092F">
        <w:t xml:space="preserve"> </w:t>
      </w:r>
      <w:r w:rsidRPr="00F07BC0">
        <w:t>use</w:t>
      </w:r>
      <w:r w:rsidR="002F2961">
        <w:t>s</w:t>
      </w:r>
      <w:r w:rsidRPr="00F07BC0">
        <w:t xml:space="preserve"> information</w:t>
      </w:r>
      <w:r w:rsidR="00BD092F">
        <w:t xml:space="preserve"> collected</w:t>
      </w:r>
      <w:r w:rsidRPr="00F07BC0">
        <w:t xml:space="preserve"> from the form</w:t>
      </w:r>
      <w:r w:rsidR="00785A28">
        <w:t>s</w:t>
      </w:r>
      <w:r w:rsidRPr="00F07BC0">
        <w:t xml:space="preserve"> to determine the nature of the inquiry or complaint, and which federal cred</w:t>
      </w:r>
      <w:r w:rsidR="00883D8C">
        <w:t xml:space="preserve">it union, if any, is involved. </w:t>
      </w:r>
      <w:r w:rsidR="008A35B2">
        <w:t xml:space="preserve"> </w:t>
      </w:r>
      <w:r w:rsidRPr="00F07BC0">
        <w:t>Collecting the information also allow</w:t>
      </w:r>
      <w:r w:rsidR="002F2961">
        <w:t>s</w:t>
      </w:r>
      <w:r w:rsidRPr="00F07BC0">
        <w:t xml:space="preserve"> the Consumer Assistance Center</w:t>
      </w:r>
      <w:r w:rsidR="005301B1">
        <w:t xml:space="preserve"> </w:t>
      </w:r>
      <w:r w:rsidRPr="00F07BC0">
        <w:t>to review the information submitted in order to determine the relevant response for the requestor.</w:t>
      </w:r>
    </w:p>
    <w:p w:rsidRPr="00E44F63" w:rsidR="00785A28" w:rsidP="00785A28" w:rsidRDefault="00785A28" w14:paraId="0681ED2D" w14:textId="77777777">
      <w:pPr>
        <w:pStyle w:val="ListParagraph"/>
      </w:pPr>
    </w:p>
    <w:p w:rsidR="00BE68E2" w:rsidP="00BE68E2" w:rsidRDefault="00BE68E2" w14:paraId="41749DC8" w14:textId="5833A88C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9371DF">
        <w:rPr>
          <w:b/>
        </w:rPr>
        <w:t xml:space="preserve">Use of </w:t>
      </w:r>
      <w:r w:rsidR="000B0A83">
        <w:rPr>
          <w:b/>
        </w:rPr>
        <w:t>i</w:t>
      </w:r>
      <w:r w:rsidRPr="009371DF">
        <w:rPr>
          <w:b/>
        </w:rPr>
        <w:t xml:space="preserve">nformation </w:t>
      </w:r>
      <w:r w:rsidR="000B0A83">
        <w:rPr>
          <w:b/>
        </w:rPr>
        <w:t>t</w:t>
      </w:r>
      <w:r w:rsidRPr="009371DF">
        <w:rPr>
          <w:b/>
        </w:rPr>
        <w:t>echnology</w:t>
      </w:r>
      <w:r>
        <w:rPr>
          <w:b/>
        </w:rPr>
        <w:t>.</w:t>
      </w:r>
    </w:p>
    <w:p w:rsidR="003A0D60" w:rsidP="00476AA9" w:rsidRDefault="003A0D60" w14:paraId="31D5D19B" w14:textId="77777777">
      <w:pPr>
        <w:pStyle w:val="ListParagraph"/>
        <w:tabs>
          <w:tab w:val="left" w:pos="-720"/>
          <w:tab w:val="left" w:pos="720"/>
        </w:tabs>
        <w:suppressAutoHyphens/>
        <w:ind w:hanging="720"/>
      </w:pPr>
      <w:r>
        <w:tab/>
      </w:r>
    </w:p>
    <w:p w:rsidRPr="00F07BC0" w:rsidR="004E42E1" w:rsidP="00BE5A48" w:rsidRDefault="00BE5A48" w14:paraId="72D6F9E0" w14:textId="142C6634">
      <w:pPr>
        <w:pStyle w:val="ListParagraph"/>
        <w:tabs>
          <w:tab w:val="left" w:pos="720"/>
        </w:tabs>
      </w:pPr>
      <w:r>
        <w:t>MyCreditUnion.gov provide</w:t>
      </w:r>
      <w:r w:rsidR="00BF5345">
        <w:t xml:space="preserve">s </w:t>
      </w:r>
      <w:r w:rsidRPr="00F07BC0" w:rsidR="004E42E1">
        <w:t>interactive online form</w:t>
      </w:r>
      <w:r w:rsidR="00BF5345">
        <w:t>s</w:t>
      </w:r>
      <w:r w:rsidRPr="00F07BC0" w:rsidR="004E42E1">
        <w:t xml:space="preserve"> available to the general public to submit an inquiry </w:t>
      </w:r>
      <w:r w:rsidR="00BF5345">
        <w:t>or complaint</w:t>
      </w:r>
      <w:r w:rsidR="00CB7EC7">
        <w:t xml:space="preserve"> with ease</w:t>
      </w:r>
      <w:r w:rsidRPr="00F07BC0" w:rsidR="004E42E1">
        <w:t xml:space="preserve">. </w:t>
      </w:r>
      <w:r w:rsidRPr="00F07BC0" w:rsidR="001A2F66">
        <w:t>While the forms are available in both paper and electronic</w:t>
      </w:r>
      <w:r w:rsidR="004A5CFD">
        <w:t xml:space="preserve"> formats</w:t>
      </w:r>
      <w:r w:rsidRPr="00F07BC0" w:rsidR="001A2F66">
        <w:t xml:space="preserve">, </w:t>
      </w:r>
      <w:r w:rsidR="008F7EEC">
        <w:t xml:space="preserve">the </w:t>
      </w:r>
      <w:r w:rsidR="006B5C99">
        <w:t>NCUA</w:t>
      </w:r>
      <w:r w:rsidRPr="00F07BC0" w:rsidR="001A2F66">
        <w:t xml:space="preserve"> urges the public to utilize electronic methods of submission </w:t>
      </w:r>
      <w:r w:rsidR="008F7EEC">
        <w:t>through</w:t>
      </w:r>
      <w:r w:rsidRPr="00F07BC0" w:rsidR="001A2F66">
        <w:t xml:space="preserve"> the consumer complaint portal. </w:t>
      </w:r>
    </w:p>
    <w:p w:rsidRPr="00E44F63" w:rsidR="004E42E1" w:rsidP="006B5C99" w:rsidRDefault="004E42E1" w14:paraId="3C3D0D06" w14:textId="77777777">
      <w:pPr>
        <w:tabs>
          <w:tab w:val="left" w:pos="720"/>
        </w:tabs>
        <w:ind w:left="720" w:hanging="720"/>
      </w:pPr>
    </w:p>
    <w:p w:rsidR="00BE68E2" w:rsidP="00BE68E2" w:rsidRDefault="00BE68E2" w14:paraId="0D296265" w14:textId="384407E8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9371DF">
        <w:rPr>
          <w:b/>
        </w:rPr>
        <w:t xml:space="preserve">Duplication of </w:t>
      </w:r>
      <w:r w:rsidR="000B0A83">
        <w:rPr>
          <w:b/>
        </w:rPr>
        <w:t>i</w:t>
      </w:r>
      <w:r w:rsidRPr="009371DF">
        <w:rPr>
          <w:b/>
        </w:rPr>
        <w:t>nformation</w:t>
      </w:r>
      <w:r>
        <w:rPr>
          <w:b/>
        </w:rPr>
        <w:t>.</w:t>
      </w:r>
    </w:p>
    <w:p w:rsidR="004E42E1" w:rsidP="00476AA9" w:rsidRDefault="003A0D60" w14:paraId="07B06D8C" w14:textId="77777777">
      <w:pPr>
        <w:pStyle w:val="ListParagraph"/>
        <w:tabs>
          <w:tab w:val="left" w:pos="720"/>
        </w:tabs>
        <w:suppressAutoHyphens/>
        <w:ind w:hanging="720"/>
      </w:pPr>
      <w:r>
        <w:tab/>
      </w:r>
    </w:p>
    <w:p w:rsidRPr="00F07BC0" w:rsidR="004E42E1" w:rsidP="006B5C99" w:rsidRDefault="006B5C99" w14:paraId="166757D2" w14:textId="0659827B">
      <w:pPr>
        <w:pStyle w:val="ListParagraph"/>
        <w:suppressAutoHyphens/>
      </w:pPr>
      <w:r>
        <w:t>The NCUA does not duplicate any other complaint system maintained by ot</w:t>
      </w:r>
      <w:r w:rsidR="00883D8C">
        <w:t xml:space="preserve">her Federal or State agencies. </w:t>
      </w:r>
      <w:r w:rsidRPr="00F07BC0" w:rsidR="001A2F66">
        <w:t xml:space="preserve">The Office of Consumer </w:t>
      </w:r>
      <w:r w:rsidR="006A7D12">
        <w:t xml:space="preserve">Financial </w:t>
      </w:r>
      <w:r w:rsidRPr="00F07BC0" w:rsidR="001A2F66">
        <w:t>Protection (OC</w:t>
      </w:r>
      <w:r w:rsidR="006A7D12">
        <w:t>F</w:t>
      </w:r>
      <w:r w:rsidRPr="00F07BC0" w:rsidR="001A2F66">
        <w:t>P) is the</w:t>
      </w:r>
      <w:r w:rsidR="0012130A">
        <w:t xml:space="preserve"> primary office </w:t>
      </w:r>
      <w:r w:rsidRPr="00F07BC0" w:rsidR="001A2F66">
        <w:t>that interfaces with consumers</w:t>
      </w:r>
      <w:r w:rsidR="0012130A">
        <w:t>,</w:t>
      </w:r>
      <w:r w:rsidRPr="00F07BC0" w:rsidR="001A2F66">
        <w:t xml:space="preserve"> and only </w:t>
      </w:r>
      <w:r w:rsidR="0012130A">
        <w:t>its Division of Consumer Affair</w:t>
      </w:r>
      <w:r w:rsidR="001E1192">
        <w:t>s</w:t>
      </w:r>
      <w:r w:rsidR="0012130A">
        <w:t xml:space="preserve"> is</w:t>
      </w:r>
      <w:r w:rsidRPr="00F07BC0" w:rsidR="001A2F66">
        <w:t xml:space="preserve"> tasked with requesting such information from the public</w:t>
      </w:r>
      <w:r w:rsidR="00BF5345">
        <w:t xml:space="preserve"> involving </w:t>
      </w:r>
      <w:r w:rsidR="008F7EEC">
        <w:t>federal</w:t>
      </w:r>
      <w:r w:rsidR="001E1192">
        <w:t xml:space="preserve"> </w:t>
      </w:r>
      <w:r w:rsidR="00BF5345">
        <w:t>credit unions</w:t>
      </w:r>
      <w:r w:rsidRPr="00F07BC0" w:rsidR="001A2F66">
        <w:t xml:space="preserve">. Information collected on the complaint form </w:t>
      </w:r>
      <w:r w:rsidRPr="00F07BC0" w:rsidR="009C6F93">
        <w:t>is solely used by OC</w:t>
      </w:r>
      <w:r w:rsidR="006A7D12">
        <w:t>F</w:t>
      </w:r>
      <w:r w:rsidRPr="00F07BC0" w:rsidR="009C6F93">
        <w:t xml:space="preserve">P </w:t>
      </w:r>
      <w:r w:rsidRPr="00F07BC0" w:rsidR="001A2F66">
        <w:t xml:space="preserve">and no other request of this nature currently exists within the agency. </w:t>
      </w:r>
    </w:p>
    <w:p w:rsidRPr="00631257" w:rsidR="003A0D60" w:rsidP="006B5C99" w:rsidRDefault="003A0D60" w14:paraId="15A0E377" w14:textId="77777777">
      <w:pPr>
        <w:pStyle w:val="ListParagraph"/>
        <w:suppressAutoHyphens/>
        <w:ind w:hanging="720"/>
      </w:pPr>
    </w:p>
    <w:p w:rsidRPr="00625090" w:rsidR="00BE68E2" w:rsidP="00BE68E2" w:rsidRDefault="00BE68E2" w14:paraId="58430D58" w14:textId="732F1A4B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625090">
        <w:rPr>
          <w:b/>
        </w:rPr>
        <w:t xml:space="preserve">Efforts to </w:t>
      </w:r>
      <w:r w:rsidR="000B0A83">
        <w:rPr>
          <w:b/>
        </w:rPr>
        <w:t>r</w:t>
      </w:r>
      <w:r w:rsidRPr="00625090">
        <w:rPr>
          <w:b/>
        </w:rPr>
        <w:t xml:space="preserve">educe </w:t>
      </w:r>
      <w:r w:rsidR="000B0A83">
        <w:rPr>
          <w:b/>
        </w:rPr>
        <w:t>b</w:t>
      </w:r>
      <w:r w:rsidRPr="00625090">
        <w:rPr>
          <w:b/>
        </w:rPr>
        <w:t>ur</w:t>
      </w:r>
      <w:r>
        <w:rPr>
          <w:b/>
        </w:rPr>
        <w:t xml:space="preserve">den </w:t>
      </w:r>
      <w:r w:rsidRPr="00625090">
        <w:rPr>
          <w:b/>
        </w:rPr>
        <w:t xml:space="preserve">on </w:t>
      </w:r>
      <w:r w:rsidR="000B0A83">
        <w:rPr>
          <w:b/>
        </w:rPr>
        <w:t>s</w:t>
      </w:r>
      <w:r w:rsidRPr="00625090">
        <w:rPr>
          <w:b/>
        </w:rPr>
        <w:t xml:space="preserve">mall </w:t>
      </w:r>
      <w:r w:rsidR="000B0A83">
        <w:rPr>
          <w:b/>
        </w:rPr>
        <w:t>e</w:t>
      </w:r>
      <w:r w:rsidRPr="00625090">
        <w:rPr>
          <w:b/>
        </w:rPr>
        <w:t>ntities</w:t>
      </w:r>
      <w:r>
        <w:rPr>
          <w:b/>
        </w:rPr>
        <w:t>.</w:t>
      </w:r>
    </w:p>
    <w:p w:rsidR="00BA500F" w:rsidP="005747C0" w:rsidRDefault="00BA500F" w14:paraId="1F63BCE4" w14:textId="77777777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</w:p>
    <w:p w:rsidRPr="00F07BC0" w:rsidR="004E42E1" w:rsidP="00667DE8" w:rsidRDefault="00667DE8" w14:paraId="50523B16" w14:textId="77777777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  <w:r>
        <w:t>The information collection do</w:t>
      </w:r>
      <w:r w:rsidR="00B804D3">
        <w:t>es not have a significant impact</w:t>
      </w:r>
      <w:r>
        <w:t xml:space="preserve"> on a substantial number of small businesses or other small entities.</w:t>
      </w:r>
      <w:r w:rsidRPr="00F07BC0" w:rsidDel="00667DE8">
        <w:t xml:space="preserve"> </w:t>
      </w:r>
    </w:p>
    <w:p w:rsidRPr="00631257" w:rsidR="003A0D60" w:rsidP="00667DE8" w:rsidRDefault="003A0D60" w14:paraId="7DB1A709" w14:textId="77777777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</w:p>
    <w:p w:rsidRPr="00625090" w:rsidR="00BE68E2" w:rsidP="00BE68E2" w:rsidRDefault="00BE68E2" w14:paraId="236201A0" w14:textId="1162FA5E">
      <w:pPr>
        <w:rPr>
          <w:b/>
        </w:rPr>
      </w:pPr>
      <w:r>
        <w:rPr>
          <w:b/>
        </w:rPr>
        <w:t>6.</w:t>
      </w:r>
      <w:r>
        <w:rPr>
          <w:b/>
        </w:rPr>
        <w:tab/>
      </w:r>
      <w:r w:rsidRPr="00625090">
        <w:rPr>
          <w:b/>
        </w:rPr>
        <w:t xml:space="preserve">Consequences of </w:t>
      </w:r>
      <w:r w:rsidR="000B0A83">
        <w:rPr>
          <w:b/>
        </w:rPr>
        <w:t>n</w:t>
      </w:r>
      <w:r w:rsidRPr="00625090">
        <w:rPr>
          <w:b/>
        </w:rPr>
        <w:t xml:space="preserve">ot </w:t>
      </w:r>
      <w:r w:rsidR="000B0A83">
        <w:rPr>
          <w:b/>
        </w:rPr>
        <w:t>c</w:t>
      </w:r>
      <w:r w:rsidRPr="00625090">
        <w:rPr>
          <w:b/>
        </w:rPr>
        <w:t>onducting</w:t>
      </w:r>
      <w:r w:rsidR="000B0A83">
        <w:rPr>
          <w:b/>
        </w:rPr>
        <w:t xml:space="preserve"> the</w:t>
      </w:r>
      <w:r w:rsidRPr="00625090">
        <w:rPr>
          <w:b/>
        </w:rPr>
        <w:t xml:space="preserve"> </w:t>
      </w:r>
      <w:r w:rsidR="000B0A83">
        <w:rPr>
          <w:b/>
        </w:rPr>
        <w:t>c</w:t>
      </w:r>
      <w:r w:rsidRPr="00625090">
        <w:rPr>
          <w:b/>
        </w:rPr>
        <w:t>ollection</w:t>
      </w:r>
      <w:r>
        <w:rPr>
          <w:b/>
        </w:rPr>
        <w:t>.</w:t>
      </w:r>
      <w:r w:rsidRPr="00625090">
        <w:rPr>
          <w:b/>
        </w:rPr>
        <w:t xml:space="preserve"> </w:t>
      </w:r>
    </w:p>
    <w:p w:rsidR="004E42E1" w:rsidP="00667DE8" w:rsidRDefault="004E42E1" w14:paraId="01E52C9F" w14:textId="77777777">
      <w:pPr>
        <w:pStyle w:val="ListParagraph"/>
        <w:tabs>
          <w:tab w:val="left" w:pos="720"/>
        </w:tabs>
        <w:suppressAutoHyphens/>
        <w:ind w:hanging="720"/>
        <w:rPr>
          <w:bCs/>
        </w:rPr>
      </w:pPr>
    </w:p>
    <w:p w:rsidRPr="00F07BC0" w:rsidR="004E42E1" w:rsidP="00667DE8" w:rsidRDefault="00A63A06" w14:paraId="4FED8CE7" w14:textId="77777777">
      <w:pPr>
        <w:pStyle w:val="ListParagraph"/>
        <w:tabs>
          <w:tab w:val="left" w:pos="720"/>
        </w:tabs>
        <w:suppressAutoHyphens/>
        <w:rPr>
          <w:bCs/>
        </w:rPr>
      </w:pPr>
      <w:r w:rsidRPr="006140F1">
        <w:t xml:space="preserve">The information collection is voluntary; however, </w:t>
      </w:r>
      <w:r w:rsidRPr="006140F1" w:rsidR="003F2219">
        <w:t>not conducti</w:t>
      </w:r>
      <w:r w:rsidR="001E1192">
        <w:t>ng</w:t>
      </w:r>
      <w:r w:rsidRPr="006140F1" w:rsidR="003F2219">
        <w:t xml:space="preserve"> a</w:t>
      </w:r>
      <w:r w:rsidRPr="006140F1">
        <w:t xml:space="preserve"> collection </w:t>
      </w:r>
      <w:r w:rsidRPr="006140F1" w:rsidR="003F2219">
        <w:t>of information would substantially impair the effectiveness of the Consumer Assistance Center.</w:t>
      </w:r>
    </w:p>
    <w:p w:rsidRPr="00E44F63" w:rsidR="003A0D60" w:rsidP="00667DE8" w:rsidRDefault="003A0D60" w14:paraId="67435C26" w14:textId="77777777">
      <w:pPr>
        <w:tabs>
          <w:tab w:val="left" w:pos="720"/>
        </w:tabs>
        <w:ind w:left="720" w:hanging="720"/>
      </w:pPr>
    </w:p>
    <w:p w:rsidRPr="00625090" w:rsidR="00BE68E2" w:rsidP="00BE68E2" w:rsidRDefault="00BE68E2" w14:paraId="1E3313AB" w14:textId="42C46EEF">
      <w:pPr>
        <w:rPr>
          <w:b/>
        </w:rPr>
      </w:pPr>
      <w:r>
        <w:rPr>
          <w:b/>
        </w:rPr>
        <w:t>7.</w:t>
      </w:r>
      <w:r>
        <w:rPr>
          <w:b/>
        </w:rPr>
        <w:tab/>
      </w:r>
      <w:r w:rsidRPr="00625090">
        <w:rPr>
          <w:b/>
        </w:rPr>
        <w:t xml:space="preserve">Inconsistencies with </w:t>
      </w:r>
      <w:r w:rsidR="000B0A83">
        <w:rPr>
          <w:b/>
        </w:rPr>
        <w:t>G</w:t>
      </w:r>
      <w:r w:rsidRPr="00625090">
        <w:rPr>
          <w:b/>
        </w:rPr>
        <w:t>uidelines in 5 CFR 1320.5(d)(2)</w:t>
      </w:r>
      <w:r w:rsidR="000B0A83">
        <w:rPr>
          <w:b/>
        </w:rPr>
        <w:t>.</w:t>
      </w:r>
    </w:p>
    <w:p w:rsidRPr="00631257" w:rsidR="003A0D60" w:rsidP="003C1CBC" w:rsidRDefault="003A0D60" w14:paraId="2886563F" w14:textId="77777777">
      <w:pPr>
        <w:suppressAutoHyphens/>
        <w:ind w:left="720" w:hanging="720"/>
      </w:pPr>
    </w:p>
    <w:p w:rsidR="00344087" w:rsidP="005747C0" w:rsidRDefault="004E42E1" w14:paraId="692125A8" w14:textId="16791141">
      <w:pPr>
        <w:pStyle w:val="ListParagraph"/>
        <w:rPr>
          <w:b/>
        </w:rPr>
      </w:pPr>
      <w:r w:rsidRPr="00F07BC0">
        <w:t>There are no special circumstances.</w:t>
      </w:r>
      <w:r w:rsidR="008A35B2">
        <w:t xml:space="preserve"> </w:t>
      </w:r>
      <w:r w:rsidR="00883D8C">
        <w:t xml:space="preserve"> </w:t>
      </w:r>
      <w:r w:rsidRPr="00F07BC0" w:rsidR="00F76694">
        <w:t>This collection is consistent with the guidelines in 5 CFR 1320.5(d)(2).</w:t>
      </w:r>
    </w:p>
    <w:p w:rsidRPr="00E44F63" w:rsidR="003A0D60" w:rsidP="00667DE8" w:rsidRDefault="003A0D60" w14:paraId="544292C7" w14:textId="77777777">
      <w:pPr>
        <w:pStyle w:val="ListParagraph"/>
        <w:tabs>
          <w:tab w:val="left" w:pos="720"/>
        </w:tabs>
        <w:ind w:hanging="720"/>
        <w:rPr>
          <w:b/>
        </w:rPr>
      </w:pPr>
    </w:p>
    <w:p w:rsidR="00026113" w:rsidRDefault="00026113" w14:paraId="4A1597C9" w14:textId="7777777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Pr="00625090" w:rsidR="00BE68E2" w:rsidP="00BE68E2" w:rsidRDefault="00BE68E2" w14:paraId="37AE8369" w14:textId="34AF7483">
      <w:pPr>
        <w:rPr>
          <w:b/>
        </w:rPr>
      </w:pPr>
      <w:r>
        <w:rPr>
          <w:b/>
        </w:rPr>
        <w:lastRenderedPageBreak/>
        <w:t>8.</w:t>
      </w:r>
      <w:r>
        <w:rPr>
          <w:b/>
        </w:rPr>
        <w:tab/>
      </w:r>
      <w:r w:rsidR="000B0A83">
        <w:rPr>
          <w:b/>
        </w:rPr>
        <w:t>Efforts to c</w:t>
      </w:r>
      <w:r w:rsidRPr="00625090">
        <w:rPr>
          <w:b/>
        </w:rPr>
        <w:t xml:space="preserve">onsult with </w:t>
      </w:r>
      <w:r w:rsidR="000B0A83">
        <w:rPr>
          <w:b/>
        </w:rPr>
        <w:t>p</w:t>
      </w:r>
      <w:r w:rsidRPr="00625090">
        <w:rPr>
          <w:b/>
        </w:rPr>
        <w:t xml:space="preserve">ersons </w:t>
      </w:r>
      <w:r w:rsidR="000B0A83">
        <w:rPr>
          <w:b/>
        </w:rPr>
        <w:t>o</w:t>
      </w:r>
      <w:r w:rsidRPr="00625090">
        <w:rPr>
          <w:b/>
        </w:rPr>
        <w:t xml:space="preserve">utside the </w:t>
      </w:r>
      <w:r w:rsidR="000B0A83">
        <w:rPr>
          <w:b/>
        </w:rPr>
        <w:t>a</w:t>
      </w:r>
      <w:r w:rsidRPr="00625090">
        <w:rPr>
          <w:b/>
        </w:rPr>
        <w:t>gency</w:t>
      </w:r>
      <w:r w:rsidR="000B0A83">
        <w:rPr>
          <w:b/>
        </w:rPr>
        <w:t>.</w:t>
      </w:r>
    </w:p>
    <w:p w:rsidRPr="00631257" w:rsidR="009C6F93" w:rsidP="003A0D60" w:rsidRDefault="009C6F93" w14:paraId="3CF423C5" w14:textId="7354CFBD">
      <w:pPr>
        <w:pStyle w:val="ListParagraph"/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43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ind w:left="0" w:hanging="360"/>
      </w:pPr>
    </w:p>
    <w:p w:rsidR="00FE7D57" w:rsidP="000339C4" w:rsidRDefault="003B7C77" w14:paraId="182073BC" w14:textId="3EF42F36">
      <w:pPr>
        <w:tabs>
          <w:tab w:val="left" w:pos="720"/>
        </w:tabs>
        <w:ind w:left="720" w:hanging="720"/>
      </w:pPr>
      <w:r>
        <w:tab/>
        <w:t xml:space="preserve">A 60-day notice was published in the </w:t>
      </w:r>
      <w:r w:rsidRPr="003B7C77">
        <w:rPr>
          <w:i/>
        </w:rPr>
        <w:t>Federal Register</w:t>
      </w:r>
      <w:r>
        <w:t xml:space="preserve"> on </w:t>
      </w:r>
      <w:r w:rsidR="00786BD5">
        <w:t>June 9, 2021</w:t>
      </w:r>
      <w:r w:rsidR="008A35B2">
        <w:t>,</w:t>
      </w:r>
      <w:r>
        <w:t xml:space="preserve"> at </w:t>
      </w:r>
      <w:r w:rsidR="006A7D12">
        <w:t>8</w:t>
      </w:r>
      <w:r w:rsidR="00786BD5">
        <w:t>6</w:t>
      </w:r>
      <w:r w:rsidR="006A7D12">
        <w:t xml:space="preserve"> </w:t>
      </w:r>
      <w:r>
        <w:t xml:space="preserve">FR </w:t>
      </w:r>
      <w:r w:rsidR="00786BD5">
        <w:t>30629</w:t>
      </w:r>
      <w:r w:rsidR="008A35B2">
        <w:t>,</w:t>
      </w:r>
      <w:r>
        <w:t xml:space="preserve"> soliciting comments from t</w:t>
      </w:r>
      <w:r w:rsidR="00FE7D57">
        <w:t xml:space="preserve">he public and no comments </w:t>
      </w:r>
      <w:r>
        <w:t xml:space="preserve">were received. </w:t>
      </w:r>
    </w:p>
    <w:p w:rsidRPr="000339C4" w:rsidR="000339C4" w:rsidP="000339C4" w:rsidRDefault="000339C4" w14:paraId="38C407C1" w14:textId="77777777">
      <w:pPr>
        <w:tabs>
          <w:tab w:val="left" w:pos="720"/>
        </w:tabs>
        <w:ind w:left="720" w:hanging="720"/>
      </w:pPr>
    </w:p>
    <w:p w:rsidRPr="00625090" w:rsidR="00BE68E2" w:rsidP="00BE68E2" w:rsidRDefault="00BE68E2" w14:paraId="3004B1DD" w14:textId="2D226DAD">
      <w:pPr>
        <w:rPr>
          <w:b/>
        </w:rPr>
      </w:pPr>
      <w:r>
        <w:rPr>
          <w:b/>
        </w:rPr>
        <w:t>9.</w:t>
      </w:r>
      <w:r>
        <w:rPr>
          <w:b/>
        </w:rPr>
        <w:tab/>
      </w:r>
      <w:r w:rsidRPr="00625090">
        <w:rPr>
          <w:b/>
        </w:rPr>
        <w:t xml:space="preserve">Payment or </w:t>
      </w:r>
      <w:r w:rsidR="000B0A83">
        <w:rPr>
          <w:b/>
        </w:rPr>
        <w:t>g</w:t>
      </w:r>
      <w:r w:rsidRPr="00625090">
        <w:rPr>
          <w:b/>
        </w:rPr>
        <w:t xml:space="preserve">ifts to </w:t>
      </w:r>
      <w:r w:rsidR="000B0A83">
        <w:rPr>
          <w:b/>
        </w:rPr>
        <w:t>r</w:t>
      </w:r>
      <w:r w:rsidRPr="00625090">
        <w:rPr>
          <w:b/>
        </w:rPr>
        <w:t>espondents</w:t>
      </w:r>
      <w:r w:rsidR="000B0A83">
        <w:rPr>
          <w:b/>
        </w:rPr>
        <w:t>.</w:t>
      </w:r>
    </w:p>
    <w:p w:rsidR="00BA500F" w:rsidP="005747C0" w:rsidRDefault="00BA500F" w14:paraId="3F283876" w14:textId="77777777"/>
    <w:p w:rsidR="003A0D60" w:rsidP="00A666B6" w:rsidRDefault="004E42E1" w14:paraId="050AE428" w14:textId="77D25888">
      <w:pPr>
        <w:pStyle w:val="ListParagraph"/>
      </w:pPr>
      <w:r w:rsidRPr="00F07BC0">
        <w:t xml:space="preserve">There is no intent by </w:t>
      </w:r>
      <w:r w:rsidR="004A2225">
        <w:t>the</w:t>
      </w:r>
      <w:r w:rsidR="008F7EEC">
        <w:t xml:space="preserve"> NCUA</w:t>
      </w:r>
      <w:r w:rsidRPr="00F07BC0">
        <w:t xml:space="preserve"> to provide payment or gifts for information collected.</w:t>
      </w:r>
    </w:p>
    <w:p w:rsidRPr="00F07BC0" w:rsidR="00A666B6" w:rsidP="00A666B6" w:rsidRDefault="00A666B6" w14:paraId="0DDF8B7B" w14:textId="77777777">
      <w:pPr>
        <w:pStyle w:val="ListParagraph"/>
      </w:pPr>
    </w:p>
    <w:p w:rsidR="00BE68E2" w:rsidP="00BE68E2" w:rsidRDefault="00BE68E2" w14:paraId="53F6A2F5" w14:textId="1CD64E02">
      <w:pPr>
        <w:rPr>
          <w:b/>
        </w:rPr>
      </w:pPr>
      <w:r>
        <w:rPr>
          <w:b/>
        </w:rPr>
        <w:t>10.</w:t>
      </w:r>
      <w:r>
        <w:rPr>
          <w:b/>
        </w:rPr>
        <w:tab/>
      </w:r>
      <w:r w:rsidRPr="00625090">
        <w:rPr>
          <w:b/>
        </w:rPr>
        <w:t xml:space="preserve">Assurance of </w:t>
      </w:r>
      <w:r w:rsidR="000B0A83">
        <w:rPr>
          <w:b/>
        </w:rPr>
        <w:t>c</w:t>
      </w:r>
      <w:r w:rsidRPr="00625090">
        <w:rPr>
          <w:b/>
        </w:rPr>
        <w:t>onfidentiality</w:t>
      </w:r>
      <w:r w:rsidR="000B0A83">
        <w:rPr>
          <w:b/>
        </w:rPr>
        <w:t>.</w:t>
      </w:r>
      <w:r w:rsidRPr="00625090">
        <w:rPr>
          <w:b/>
        </w:rPr>
        <w:t xml:space="preserve"> </w:t>
      </w:r>
    </w:p>
    <w:p w:rsidRPr="00BA500F" w:rsidR="00A666B6" w:rsidP="00A666B6" w:rsidRDefault="00A666B6" w14:paraId="37D67077" w14:textId="77777777">
      <w:pPr>
        <w:tabs>
          <w:tab w:val="left" w:pos="720"/>
        </w:tabs>
        <w:suppressAutoHyphens/>
        <w:ind w:left="720" w:hanging="720"/>
      </w:pPr>
    </w:p>
    <w:p w:rsidRPr="00F07BC0" w:rsidR="00AA27E5" w:rsidP="00A666B6" w:rsidRDefault="00A666B6" w14:paraId="38A54871" w14:textId="64D38B29">
      <w:pPr>
        <w:tabs>
          <w:tab w:val="left" w:pos="720"/>
        </w:tabs>
        <w:suppressAutoHyphens/>
        <w:ind w:left="720" w:hanging="720"/>
      </w:pPr>
      <w:r>
        <w:tab/>
        <w:t>There is no assurance of confidentiality other than</w:t>
      </w:r>
      <w:r w:rsidR="00BE0FB0">
        <w:t xml:space="preserve"> what is provided by law</w:t>
      </w:r>
      <w:r w:rsidR="009F1AB7">
        <w:t>.</w:t>
      </w:r>
      <w:r w:rsidRPr="00F07BC0" w:rsidR="00AA27E5">
        <w:t xml:space="preserve">  </w:t>
      </w:r>
    </w:p>
    <w:p w:rsidRPr="00E44F63" w:rsidR="003A0D60" w:rsidP="00A666B6" w:rsidRDefault="003A0D60" w14:paraId="37D8EE45" w14:textId="77777777">
      <w:pPr>
        <w:tabs>
          <w:tab w:val="left" w:pos="720"/>
          <w:tab w:val="left" w:pos="6187"/>
        </w:tabs>
        <w:ind w:left="720" w:hanging="720"/>
      </w:pPr>
      <w:r>
        <w:tab/>
      </w:r>
    </w:p>
    <w:p w:rsidR="00BE68E2" w:rsidP="00BE68E2" w:rsidRDefault="00BE68E2" w14:paraId="18399107" w14:textId="647B5321">
      <w:pPr>
        <w:rPr>
          <w:b/>
        </w:rPr>
      </w:pPr>
      <w:r>
        <w:rPr>
          <w:b/>
        </w:rPr>
        <w:t>11.</w:t>
      </w:r>
      <w:r>
        <w:rPr>
          <w:b/>
        </w:rPr>
        <w:tab/>
      </w:r>
      <w:r w:rsidRPr="00625090">
        <w:rPr>
          <w:b/>
        </w:rPr>
        <w:t xml:space="preserve">Questions of a </w:t>
      </w:r>
      <w:r w:rsidR="000B0A83">
        <w:rPr>
          <w:b/>
        </w:rPr>
        <w:t>s</w:t>
      </w:r>
      <w:r w:rsidRPr="00625090">
        <w:rPr>
          <w:b/>
        </w:rPr>
        <w:t xml:space="preserve">ensitive </w:t>
      </w:r>
      <w:r w:rsidR="000B0A83">
        <w:rPr>
          <w:b/>
        </w:rPr>
        <w:t>n</w:t>
      </w:r>
      <w:r w:rsidRPr="00625090">
        <w:rPr>
          <w:b/>
        </w:rPr>
        <w:t>ature</w:t>
      </w:r>
      <w:r w:rsidR="000B0A83">
        <w:rPr>
          <w:b/>
        </w:rPr>
        <w:t>.</w:t>
      </w:r>
    </w:p>
    <w:p w:rsidR="006923ED" w:rsidP="00A666B6" w:rsidRDefault="006923ED" w14:paraId="737D89B7" w14:textId="110A9E2A">
      <w:pPr>
        <w:tabs>
          <w:tab w:val="left" w:pos="720"/>
        </w:tabs>
        <w:ind w:left="720" w:hanging="720"/>
        <w:rPr>
          <w:bCs/>
          <w:i/>
        </w:rPr>
      </w:pPr>
    </w:p>
    <w:p w:rsidR="000A5844" w:rsidP="00C32734" w:rsidRDefault="00116554" w14:paraId="321918F5" w14:textId="2E2A7145">
      <w:pPr>
        <w:pStyle w:val="ListParagraph"/>
      </w:pPr>
      <w:r>
        <w:t xml:space="preserve">Information may be disclosed to officials of federal credit unions and other persons mentioned in a complaint or identified during an investigation. </w:t>
      </w:r>
      <w:r w:rsidR="000A5844">
        <w:t xml:space="preserve">A privacy impact assessment (PIA) has been conducted for information collected under this request as part of the “Consumer Complaints Against Federal Credit Unions” </w:t>
      </w:r>
      <w:r w:rsidR="00C97D97">
        <w:t>system, NCUA-12,</w:t>
      </w:r>
      <w:r w:rsidR="000A5844">
        <w:t xml:space="preserve"> and a Privacy Act System of Records </w:t>
      </w:r>
      <w:r w:rsidR="002D3EA0">
        <w:t>N</w:t>
      </w:r>
      <w:r w:rsidR="000A5844">
        <w:t xml:space="preserve">otice (SORN) has been published in the Federal Register </w:t>
      </w:r>
      <w:r w:rsidR="00E61F97">
        <w:t xml:space="preserve">at </w:t>
      </w:r>
      <w:r w:rsidR="00C97D97">
        <w:t>83</w:t>
      </w:r>
      <w:r w:rsidR="00E61F97">
        <w:t xml:space="preserve"> FR </w:t>
      </w:r>
      <w:r w:rsidR="00C97D97">
        <w:t>40572</w:t>
      </w:r>
      <w:r w:rsidR="00EC1044">
        <w:t>.</w:t>
      </w:r>
    </w:p>
    <w:p w:rsidRPr="003E3C31" w:rsidR="001E1192" w:rsidP="003A0D60" w:rsidRDefault="001E1192" w14:paraId="07DF4301" w14:textId="77777777">
      <w:pPr>
        <w:rPr>
          <w:bCs/>
          <w:i/>
        </w:rPr>
      </w:pPr>
    </w:p>
    <w:p w:rsidR="00BE68E2" w:rsidP="00BE68E2" w:rsidRDefault="00BE68E2" w14:paraId="1B1A223B" w14:textId="6A30FFDD">
      <w:pPr>
        <w:rPr>
          <w:b/>
        </w:rPr>
      </w:pPr>
      <w:r>
        <w:rPr>
          <w:b/>
        </w:rPr>
        <w:t>12.</w:t>
      </w:r>
      <w:r>
        <w:rPr>
          <w:b/>
        </w:rPr>
        <w:tab/>
      </w:r>
      <w:r w:rsidRPr="00F94991">
        <w:rPr>
          <w:b/>
        </w:rPr>
        <w:t xml:space="preserve">Burden of </w:t>
      </w:r>
      <w:r w:rsidR="000B0A83">
        <w:rPr>
          <w:b/>
        </w:rPr>
        <w:t>i</w:t>
      </w:r>
      <w:r w:rsidRPr="00F94991">
        <w:rPr>
          <w:b/>
        </w:rPr>
        <w:t xml:space="preserve">nformation </w:t>
      </w:r>
      <w:r w:rsidR="000B0A83">
        <w:rPr>
          <w:b/>
        </w:rPr>
        <w:t>c</w:t>
      </w:r>
      <w:r w:rsidRPr="00F94991">
        <w:rPr>
          <w:b/>
        </w:rPr>
        <w:t>ollection</w:t>
      </w:r>
      <w:r w:rsidR="000B0A83">
        <w:rPr>
          <w:b/>
        </w:rPr>
        <w:t>.</w:t>
      </w:r>
    </w:p>
    <w:p w:rsidR="00C32734" w:rsidP="00B804D3" w:rsidRDefault="00C32734" w14:paraId="549FF2FF" w14:textId="122C540B">
      <w:pPr>
        <w:tabs>
          <w:tab w:val="left" w:pos="720"/>
        </w:tabs>
        <w:suppressAutoHyphens/>
        <w:ind w:left="720" w:hanging="720"/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2605"/>
        <w:gridCol w:w="1060"/>
        <w:gridCol w:w="960"/>
        <w:gridCol w:w="1080"/>
        <w:gridCol w:w="1151"/>
        <w:gridCol w:w="1080"/>
        <w:gridCol w:w="960"/>
        <w:gridCol w:w="960"/>
      </w:tblGrid>
      <w:tr w:rsidRPr="007A0D46" w:rsidR="00DD0FC9" w:rsidTr="00DD0FC9" w14:paraId="1215DCE1" w14:textId="77777777">
        <w:trPr>
          <w:trHeight w:val="630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  <w:hideMark/>
          </w:tcPr>
          <w:p w:rsidRPr="007A0D46" w:rsidR="007A0D46" w:rsidP="007A0D46" w:rsidRDefault="007A0D46" w14:paraId="7DC177A9" w14:textId="777777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>Information Collection Activity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  <w:hideMark/>
          </w:tcPr>
          <w:p w:rsidRPr="007A0D46" w:rsidR="007A0D46" w:rsidP="007A0D46" w:rsidRDefault="007A0D46" w14:paraId="02189917" w14:textId="777777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>Respondents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  <w:hideMark/>
          </w:tcPr>
          <w:p w:rsidRPr="007A0D46" w:rsidR="007A0D46" w:rsidP="007A0D46" w:rsidRDefault="007A0D46" w14:paraId="04B5C33A" w14:textId="777777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># Responses per Respondent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  <w:hideMark/>
          </w:tcPr>
          <w:p w:rsidRPr="007A0D46" w:rsidR="007A0D46" w:rsidP="007A0D46" w:rsidRDefault="007A0D46" w14:paraId="4C0F4091" w14:textId="777777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>Total Annual Responses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  <w:hideMark/>
          </w:tcPr>
          <w:p w:rsidRPr="007A0D46" w:rsidR="007A0D46" w:rsidP="007A0D46" w:rsidRDefault="007A0D46" w14:paraId="002CE9DD" w14:textId="777777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>Time per Response (Hours)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DEBF7"/>
            <w:vAlign w:val="center"/>
            <w:hideMark/>
          </w:tcPr>
          <w:p w:rsidRPr="007A0D46" w:rsidR="007A0D46" w:rsidP="007A0D46" w:rsidRDefault="007A0D46" w14:paraId="56147CC1" w14:textId="777777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>Total Annual Burden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  <w:hideMark/>
          </w:tcPr>
          <w:p w:rsidRPr="007A0D46" w:rsidR="007A0D46" w:rsidP="007A0D46" w:rsidRDefault="00DD0FC9" w14:paraId="6B02DE2A" w14:textId="2DA675D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Previously</w:t>
            </w:r>
            <w:r w:rsidRPr="007A0D46" w:rsid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Approved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  <w:hideMark/>
          </w:tcPr>
          <w:p w:rsidRPr="007A0D46" w:rsidR="007A0D46" w:rsidP="007A0D46" w:rsidRDefault="007A0D46" w14:paraId="6811E89E" w14:textId="777777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>Difference</w:t>
            </w:r>
          </w:p>
        </w:tc>
      </w:tr>
      <w:tr w:rsidRPr="007A0D46" w:rsidR="00453C79" w:rsidTr="00DD0FC9" w14:paraId="34F5A5EE" w14:textId="77777777">
        <w:trPr>
          <w:trHeight w:val="290"/>
        </w:trPr>
        <w:tc>
          <w:tcPr>
            <w:tcW w:w="2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0D46" w:rsidR="00453C79" w:rsidP="00453C79" w:rsidRDefault="00453C79" w14:paraId="742A3C3F" w14:textId="5654C654">
            <w:pPr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 xml:space="preserve">Consumer </w:t>
            </w:r>
            <w:r>
              <w:rPr>
                <w:color w:val="000000"/>
                <w:sz w:val="22"/>
                <w:szCs w:val="22"/>
              </w:rPr>
              <w:t xml:space="preserve">Inquiry </w:t>
            </w:r>
            <w:r w:rsidRPr="007A0D46">
              <w:rPr>
                <w:color w:val="000000"/>
                <w:sz w:val="22"/>
                <w:szCs w:val="22"/>
              </w:rPr>
              <w:t>Form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0D46" w:rsidR="00453C79" w:rsidP="00453C79" w:rsidRDefault="00453C79" w14:paraId="13563F7D" w14:textId="0D4961A8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3,400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0D46" w:rsidR="00453C79" w:rsidP="00453C79" w:rsidRDefault="00453C79" w14:paraId="6ECE68F6" w14:textId="5334150A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0D46" w:rsidR="00453C79" w:rsidP="00453C79" w:rsidRDefault="00453C79" w14:paraId="7F9D9B4D" w14:textId="10180484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3,400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A0D46" w:rsidR="00453C79" w:rsidP="00453C79" w:rsidRDefault="00453C79" w14:paraId="5C5BD594" w14:textId="0471F44E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7A0D46" w:rsidR="00453C79" w:rsidP="00453C79" w:rsidRDefault="00453C79" w14:paraId="4A1D6B4D" w14:textId="22B5F83B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282.20</w:t>
            </w:r>
          </w:p>
        </w:tc>
        <w:tc>
          <w:tcPr>
            <w:tcW w:w="9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:rsidRPr="007A0D46" w:rsidR="00453C79" w:rsidP="00453C79" w:rsidRDefault="00453C79" w14:paraId="65AA4F53" w14:textId="3A00A323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</w:tcPr>
          <w:p w:rsidRPr="007A0D46" w:rsidR="00453C79" w:rsidP="00453C79" w:rsidRDefault="00453C79" w14:paraId="51B201A3" w14:textId="457F35EE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-115.80</w:t>
            </w:r>
          </w:p>
        </w:tc>
      </w:tr>
      <w:tr w:rsidRPr="007A0D46" w:rsidR="00453C79" w:rsidTr="00DD0FC9" w14:paraId="598ABC02" w14:textId="77777777">
        <w:trPr>
          <w:trHeight w:val="290"/>
        </w:trPr>
        <w:tc>
          <w:tcPr>
            <w:tcW w:w="2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6BC7514B" w14:textId="44DF466A">
            <w:pPr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 xml:space="preserve">Consumer </w:t>
            </w:r>
            <w:r>
              <w:rPr>
                <w:color w:val="000000"/>
                <w:sz w:val="22"/>
                <w:szCs w:val="22"/>
              </w:rPr>
              <w:t>Complaint</w:t>
            </w:r>
            <w:r w:rsidRPr="007A0D46">
              <w:rPr>
                <w:color w:val="000000"/>
                <w:sz w:val="22"/>
                <w:szCs w:val="22"/>
              </w:rPr>
              <w:t xml:space="preserve"> Form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588694DE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11,500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3E09F4C5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1F000787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11,500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5F2D9757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7313C184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1,920.50</w:t>
            </w:r>
          </w:p>
        </w:tc>
        <w:tc>
          <w:tcPr>
            <w:tcW w:w="9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  <w:hideMark/>
          </w:tcPr>
          <w:p w:rsidRPr="007A0D46" w:rsidR="00453C79" w:rsidP="00453C79" w:rsidRDefault="00453C79" w14:paraId="57F3C7C8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  <w:hideMark/>
          </w:tcPr>
          <w:p w:rsidRPr="007A0D46" w:rsidR="00453C79" w:rsidP="00453C79" w:rsidRDefault="00453C79" w14:paraId="3E4433F9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-79.50</w:t>
            </w:r>
          </w:p>
        </w:tc>
      </w:tr>
      <w:tr w:rsidRPr="007A0D46" w:rsidR="00453C79" w:rsidTr="00DD0FC9" w14:paraId="729447F5" w14:textId="77777777">
        <w:trPr>
          <w:trHeight w:val="300"/>
        </w:trPr>
        <w:tc>
          <w:tcPr>
            <w:tcW w:w="260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453C79" w:rsidP="00453C79" w:rsidRDefault="00453C79" w14:paraId="2086BF65" w14:textId="77777777">
            <w:pPr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Appraisal Complaint Form</w:t>
            </w:r>
          </w:p>
          <w:p w:rsidRPr="007A0D46" w:rsidR="00453C79" w:rsidP="00453C79" w:rsidRDefault="00453C79" w14:paraId="4C6C64B3" w14:textId="6A4F3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NCUA 15003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75600403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7F86D0E3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72088095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4B39D887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  <w:hideMark/>
          </w:tcPr>
          <w:p w:rsidRPr="007A0D46" w:rsidR="00453C79" w:rsidP="00453C79" w:rsidRDefault="00453C79" w14:paraId="05348B63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6.00</w:t>
            </w:r>
          </w:p>
        </w:tc>
        <w:tc>
          <w:tcPr>
            <w:tcW w:w="96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E2EFDA"/>
            <w:vAlign w:val="center"/>
            <w:hideMark/>
          </w:tcPr>
          <w:p w:rsidRPr="007A0D46" w:rsidR="00453C79" w:rsidP="00453C79" w:rsidRDefault="00453C79" w14:paraId="4BD40E5C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CE4D6"/>
            <w:noWrap/>
            <w:vAlign w:val="center"/>
            <w:hideMark/>
          </w:tcPr>
          <w:p w:rsidRPr="007A0D46" w:rsidR="00453C79" w:rsidP="00453C79" w:rsidRDefault="00453C79" w14:paraId="2137BE82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0.00</w:t>
            </w:r>
          </w:p>
        </w:tc>
      </w:tr>
      <w:tr w:rsidRPr="007A0D46" w:rsidR="00453C79" w:rsidTr="00DD0FC9" w14:paraId="37814D90" w14:textId="77777777">
        <w:trPr>
          <w:trHeight w:val="403"/>
        </w:trPr>
        <w:tc>
          <w:tcPr>
            <w:tcW w:w="260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A0D46" w:rsidR="00453C79" w:rsidP="00453C79" w:rsidRDefault="00453C79" w14:paraId="3D996DD4" w14:textId="777777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A0D46" w:rsidR="00453C79" w:rsidP="00453C79" w:rsidRDefault="00453C79" w14:paraId="4217202D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14,912</w:t>
            </w:r>
          </w:p>
        </w:tc>
        <w:tc>
          <w:tcPr>
            <w:tcW w:w="9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A0D46" w:rsidR="00453C79" w:rsidP="00453C79" w:rsidRDefault="00453C79" w14:paraId="0C3A471A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A0D46" w:rsidR="00453C79" w:rsidP="00453C79" w:rsidRDefault="00453C79" w14:paraId="32C66160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14,912</w:t>
            </w:r>
          </w:p>
        </w:tc>
        <w:tc>
          <w:tcPr>
            <w:tcW w:w="11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A0D46" w:rsidR="00453C79" w:rsidP="00453C79" w:rsidRDefault="00453C79" w14:paraId="7F926ACD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0.1481156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  <w:hideMark/>
          </w:tcPr>
          <w:p w:rsidRPr="007A0D46" w:rsidR="00453C79" w:rsidP="00453C79" w:rsidRDefault="00453C79" w14:paraId="2F182CE4" w14:textId="777777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A0D46">
              <w:rPr>
                <w:b/>
                <w:bCs/>
                <w:color w:val="000000"/>
                <w:sz w:val="22"/>
                <w:szCs w:val="22"/>
              </w:rPr>
              <w:t>2,208.70</w:t>
            </w:r>
          </w:p>
        </w:tc>
        <w:tc>
          <w:tcPr>
            <w:tcW w:w="9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  <w:hideMark/>
          </w:tcPr>
          <w:p w:rsidRPr="007A0D46" w:rsidR="00453C79" w:rsidP="00453C79" w:rsidRDefault="00453C79" w14:paraId="4D7EE864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2,404</w:t>
            </w:r>
          </w:p>
        </w:tc>
        <w:tc>
          <w:tcPr>
            <w:tcW w:w="9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noWrap/>
            <w:vAlign w:val="center"/>
            <w:hideMark/>
          </w:tcPr>
          <w:p w:rsidRPr="007A0D46" w:rsidR="00453C79" w:rsidP="00453C79" w:rsidRDefault="00453C79" w14:paraId="18A61BB2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-195.30</w:t>
            </w:r>
          </w:p>
        </w:tc>
      </w:tr>
    </w:tbl>
    <w:p w:rsidR="00E115F0" w:rsidP="001A3CEC" w:rsidRDefault="00E115F0" w14:paraId="460E9E1B" w14:textId="348C809E">
      <w:pPr>
        <w:tabs>
          <w:tab w:val="left" w:pos="720"/>
        </w:tabs>
        <w:suppressAutoHyphens/>
        <w:ind w:left="720"/>
      </w:pPr>
      <w:r>
        <w:t>Estimated cost burden to respondents</w:t>
      </w:r>
      <w:r w:rsidR="00413474">
        <w:t xml:space="preserve">: </w:t>
      </w:r>
      <w:r w:rsidR="00E61F97">
        <w:t xml:space="preserve"> </w:t>
      </w:r>
      <w:r w:rsidR="00AB674F">
        <w:t>2,208</w:t>
      </w:r>
      <w:r w:rsidR="009765DD">
        <w:t xml:space="preserve"> x $25.03</w:t>
      </w:r>
      <w:r w:rsidR="00BB1F72">
        <w:t xml:space="preserve"> = </w:t>
      </w:r>
      <w:r w:rsidR="00F11683">
        <w:t>$</w:t>
      </w:r>
      <w:r w:rsidR="00116554">
        <w:t>55</w:t>
      </w:r>
      <w:r w:rsidR="000339C4">
        <w:t>,266.24</w:t>
      </w:r>
    </w:p>
    <w:p w:rsidR="00E115F0" w:rsidP="00413474" w:rsidRDefault="00BB1F72" w14:paraId="39D44475" w14:textId="77777777">
      <w:pPr>
        <w:tabs>
          <w:tab w:val="left" w:pos="720"/>
        </w:tabs>
        <w:suppressAutoHyphens/>
      </w:pPr>
      <w:r>
        <w:tab/>
      </w:r>
    </w:p>
    <w:p w:rsidR="00BE68E2" w:rsidP="00BE68E2" w:rsidRDefault="00BE68E2" w14:paraId="1F52FD65" w14:textId="67F0732C">
      <w:pPr>
        <w:rPr>
          <w:b/>
        </w:rPr>
      </w:pPr>
      <w:r>
        <w:rPr>
          <w:b/>
        </w:rPr>
        <w:t>13.</w:t>
      </w:r>
      <w:r>
        <w:rPr>
          <w:b/>
        </w:rPr>
        <w:tab/>
      </w:r>
      <w:r w:rsidRPr="00F94991">
        <w:rPr>
          <w:b/>
        </w:rPr>
        <w:t xml:space="preserve">Capital </w:t>
      </w:r>
      <w:r w:rsidR="000B0A83">
        <w:rPr>
          <w:b/>
        </w:rPr>
        <w:t>s</w:t>
      </w:r>
      <w:r w:rsidRPr="00F94991">
        <w:rPr>
          <w:b/>
        </w:rPr>
        <w:t xml:space="preserve">tart-up or </w:t>
      </w:r>
      <w:r w:rsidR="000B0A83">
        <w:rPr>
          <w:b/>
        </w:rPr>
        <w:t>o</w:t>
      </w:r>
      <w:r w:rsidRPr="00F94991">
        <w:rPr>
          <w:b/>
        </w:rPr>
        <w:t xml:space="preserve">n-going </w:t>
      </w:r>
      <w:r w:rsidR="000B0A83">
        <w:rPr>
          <w:b/>
        </w:rPr>
        <w:t>o</w:t>
      </w:r>
      <w:r w:rsidRPr="00F94991">
        <w:rPr>
          <w:b/>
        </w:rPr>
        <w:t xml:space="preserve">peration and </w:t>
      </w:r>
      <w:r w:rsidR="000B0A83">
        <w:rPr>
          <w:b/>
        </w:rPr>
        <w:t>m</w:t>
      </w:r>
      <w:r w:rsidRPr="00F94991">
        <w:rPr>
          <w:b/>
        </w:rPr>
        <w:t xml:space="preserve">aintenance </w:t>
      </w:r>
      <w:r w:rsidR="000B0A83">
        <w:rPr>
          <w:b/>
        </w:rPr>
        <w:t>c</w:t>
      </w:r>
      <w:r w:rsidRPr="00F94991">
        <w:rPr>
          <w:b/>
        </w:rPr>
        <w:t>osts</w:t>
      </w:r>
      <w:r w:rsidR="000B0A83">
        <w:rPr>
          <w:b/>
        </w:rPr>
        <w:t>.</w:t>
      </w:r>
    </w:p>
    <w:p w:rsidR="008157A3" w:rsidP="00F07BC0" w:rsidRDefault="008157A3" w14:paraId="4DCFCAB5" w14:textId="77777777"/>
    <w:p w:rsidRPr="009765DD" w:rsidR="00CA4518" w:rsidP="00150798" w:rsidRDefault="00C25A18" w14:paraId="37A05261" w14:textId="5F764F8C">
      <w:pPr>
        <w:tabs>
          <w:tab w:val="left" w:pos="720"/>
        </w:tabs>
        <w:ind w:left="720"/>
      </w:pPr>
      <w:r>
        <w:t>There are no capital start-up or maintenance costs</w:t>
      </w:r>
      <w:r w:rsidR="00276C11">
        <w:t>.</w:t>
      </w:r>
    </w:p>
    <w:p w:rsidRPr="00E44F63" w:rsidR="003A0D60" w:rsidP="003A0D60" w:rsidRDefault="003A0D60" w14:paraId="1C8517CD" w14:textId="77777777">
      <w:pPr>
        <w:pStyle w:val="ListParagraph"/>
        <w:ind w:left="0" w:hanging="360"/>
        <w:rPr>
          <w:b/>
        </w:rPr>
      </w:pPr>
    </w:p>
    <w:p w:rsidRPr="00F94991" w:rsidR="00BE68E2" w:rsidP="00BE68E2" w:rsidRDefault="00BE68E2" w14:paraId="38EECEAB" w14:textId="5375BBB7">
      <w:pPr>
        <w:rPr>
          <w:b/>
        </w:rPr>
      </w:pPr>
      <w:r>
        <w:rPr>
          <w:b/>
        </w:rPr>
        <w:t>14.</w:t>
      </w:r>
      <w:r>
        <w:rPr>
          <w:b/>
        </w:rPr>
        <w:tab/>
      </w:r>
      <w:r w:rsidR="000B0A83">
        <w:rPr>
          <w:b/>
        </w:rPr>
        <w:t>Annualized c</w:t>
      </w:r>
      <w:r w:rsidRPr="00F94991">
        <w:rPr>
          <w:b/>
        </w:rPr>
        <w:t xml:space="preserve">osts to Federal </w:t>
      </w:r>
      <w:r w:rsidR="000B0A83">
        <w:rPr>
          <w:b/>
        </w:rPr>
        <w:t>g</w:t>
      </w:r>
      <w:r w:rsidRPr="00F94991">
        <w:rPr>
          <w:b/>
        </w:rPr>
        <w:t>overnment</w:t>
      </w:r>
      <w:r w:rsidR="000B0A83">
        <w:rPr>
          <w:b/>
        </w:rPr>
        <w:t>.</w:t>
      </w:r>
    </w:p>
    <w:p w:rsidR="00CA4518" w:rsidP="00883853" w:rsidRDefault="00CA4518" w14:paraId="3C7B3CA1" w14:textId="77777777">
      <w:pPr>
        <w:suppressAutoHyphens/>
      </w:pPr>
    </w:p>
    <w:p w:rsidRPr="00F07BC0" w:rsidR="00CA4518" w:rsidP="008157A3" w:rsidRDefault="00CA4518" w14:paraId="5ED1C367" w14:textId="77777777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810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  <w:r w:rsidRPr="00F07BC0">
        <w:t xml:space="preserve">The annual cost to the NCUA is </w:t>
      </w:r>
      <w:r w:rsidR="00C25A18">
        <w:t>minimal.</w:t>
      </w:r>
    </w:p>
    <w:p w:rsidRPr="00F07BC0" w:rsidR="00C25A18" w:rsidP="003A0D60" w:rsidRDefault="00C25A18" w14:paraId="30423B3C" w14:textId="77777777">
      <w:pPr>
        <w:pStyle w:val="ListParagraph"/>
        <w:ind w:left="0" w:hanging="360"/>
        <w:rPr>
          <w:b/>
        </w:rPr>
      </w:pPr>
    </w:p>
    <w:p w:rsidR="00026113" w:rsidRDefault="00026113" w14:paraId="17653ADD" w14:textId="7777777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Pr="00F94991" w:rsidR="00BE68E2" w:rsidP="00BE68E2" w:rsidRDefault="00BE68E2" w14:paraId="77E72717" w14:textId="7AF15560">
      <w:pPr>
        <w:rPr>
          <w:b/>
        </w:rPr>
      </w:pPr>
      <w:r>
        <w:rPr>
          <w:b/>
        </w:rPr>
        <w:lastRenderedPageBreak/>
        <w:t>15.</w:t>
      </w:r>
      <w:r>
        <w:rPr>
          <w:b/>
        </w:rPr>
        <w:tab/>
      </w:r>
      <w:r w:rsidRPr="00F94991">
        <w:rPr>
          <w:b/>
        </w:rPr>
        <w:t xml:space="preserve">Changes in </w:t>
      </w:r>
      <w:r w:rsidR="000B0A83">
        <w:rPr>
          <w:b/>
        </w:rPr>
        <w:t>b</w:t>
      </w:r>
      <w:r w:rsidRPr="00F94991">
        <w:rPr>
          <w:b/>
        </w:rPr>
        <w:t>urden</w:t>
      </w:r>
      <w:r w:rsidR="000B0A83">
        <w:rPr>
          <w:b/>
        </w:rPr>
        <w:t>.</w:t>
      </w:r>
    </w:p>
    <w:p w:rsidR="003A0D60" w:rsidP="006073DE" w:rsidRDefault="003A0D60" w14:paraId="79D38354" w14:textId="77777777">
      <w:pPr>
        <w:tabs>
          <w:tab w:val="left" w:pos="720"/>
        </w:tabs>
        <w:ind w:left="720" w:hanging="720"/>
        <w:rPr>
          <w:b/>
        </w:rPr>
      </w:pPr>
    </w:p>
    <w:p w:rsidR="000339C4" w:rsidP="000339C4" w:rsidRDefault="000339C4" w14:paraId="111FFE2F" w14:textId="4FE2FAED">
      <w:pPr>
        <w:pStyle w:val="ListParagraph"/>
        <w:tabs>
          <w:tab w:val="left" w:pos="720"/>
        </w:tabs>
      </w:pPr>
      <w:r>
        <w:t>A reduction of 195 burden hours is due to an adjustment in the number of respondents submitting inquiries or complaints.</w:t>
      </w:r>
      <w:r w:rsidRPr="005E0867">
        <w:t xml:space="preserve">  </w:t>
      </w:r>
    </w:p>
    <w:p w:rsidR="00AB674F" w:rsidP="000339C4" w:rsidRDefault="00AB674F" w14:paraId="51C12ED0" w14:textId="7B2DBDCC">
      <w:pPr>
        <w:pStyle w:val="ListParagraph"/>
        <w:tabs>
          <w:tab w:val="left" w:pos="720"/>
        </w:tabs>
      </w:pPr>
    </w:p>
    <w:p w:rsidRPr="005E0867" w:rsidR="00AB674F" w:rsidP="000339C4" w:rsidRDefault="00AB674F" w14:paraId="24D72BF4" w14:textId="609FDC0C">
      <w:pPr>
        <w:pStyle w:val="ListParagraph"/>
        <w:tabs>
          <w:tab w:val="left" w:pos="720"/>
        </w:tabs>
      </w:pPr>
      <w:r w:rsidRPr="00AB674F">
        <w:t>Burden associated with the Inquiry Form and Complaint Form were inverted on the previous ROCIS entry; the supporting statement was correct.  This submission makes the correction to th</w:t>
      </w:r>
      <w:r>
        <w:t>e</w:t>
      </w:r>
      <w:bookmarkStart w:name="_GoBack" w:id="0"/>
      <w:bookmarkEnd w:id="0"/>
      <w:r w:rsidRPr="00AB674F">
        <w:t xml:space="preserve"> error.  The supporting statements remain correct.  The total burden adjustment remain</w:t>
      </w:r>
      <w:r>
        <w:t>s</w:t>
      </w:r>
      <w:r w:rsidRPr="00AB674F">
        <w:t xml:space="preserve"> the same.</w:t>
      </w:r>
    </w:p>
    <w:p w:rsidRPr="00F07BC0" w:rsidR="00CA4518" w:rsidP="000339C4" w:rsidRDefault="00CA4518" w14:paraId="4CBCEF5D" w14:textId="77777777"/>
    <w:p w:rsidRPr="00F94991" w:rsidR="00BE68E2" w:rsidP="00BE68E2" w:rsidRDefault="00BE68E2" w14:paraId="0737AA31" w14:textId="6437D98B">
      <w:pPr>
        <w:rPr>
          <w:b/>
        </w:rPr>
      </w:pPr>
      <w:r>
        <w:rPr>
          <w:b/>
        </w:rPr>
        <w:t>16.</w:t>
      </w:r>
      <w:r>
        <w:rPr>
          <w:b/>
        </w:rPr>
        <w:tab/>
      </w:r>
      <w:r w:rsidRPr="00F94991">
        <w:rPr>
          <w:b/>
        </w:rPr>
        <w:t xml:space="preserve">Information </w:t>
      </w:r>
      <w:r w:rsidR="000B0A83">
        <w:rPr>
          <w:b/>
        </w:rPr>
        <w:t>c</w:t>
      </w:r>
      <w:r w:rsidRPr="00F94991">
        <w:rPr>
          <w:b/>
        </w:rPr>
        <w:t xml:space="preserve">ollection </w:t>
      </w:r>
      <w:r w:rsidR="000B0A83">
        <w:rPr>
          <w:b/>
        </w:rPr>
        <w:t>p</w:t>
      </w:r>
      <w:r w:rsidRPr="00F94991">
        <w:rPr>
          <w:b/>
        </w:rPr>
        <w:t xml:space="preserve">lanned for </w:t>
      </w:r>
      <w:r w:rsidR="000B0A83">
        <w:rPr>
          <w:b/>
        </w:rPr>
        <w:t>s</w:t>
      </w:r>
      <w:r w:rsidRPr="00F94991">
        <w:rPr>
          <w:b/>
        </w:rPr>
        <w:t xml:space="preserve">tatistical </w:t>
      </w:r>
      <w:r w:rsidR="000B0A83">
        <w:rPr>
          <w:b/>
        </w:rPr>
        <w:t>p</w:t>
      </w:r>
      <w:r w:rsidRPr="00F94991">
        <w:rPr>
          <w:b/>
        </w:rPr>
        <w:t>urposes</w:t>
      </w:r>
      <w:r w:rsidR="000B0A83">
        <w:rPr>
          <w:b/>
        </w:rPr>
        <w:t>.</w:t>
      </w:r>
    </w:p>
    <w:p w:rsidR="003A0D60" w:rsidP="00476AA9" w:rsidRDefault="003A0D60" w14:paraId="7D88C063" w14:textId="77777777">
      <w:pPr>
        <w:suppressAutoHyphens/>
        <w:ind w:left="720" w:hanging="720"/>
      </w:pPr>
      <w:r>
        <w:tab/>
      </w:r>
    </w:p>
    <w:p w:rsidRPr="00631257" w:rsidR="003A0D60" w:rsidP="009F2B54" w:rsidRDefault="003A0D60" w14:paraId="024984B7" w14:textId="77777777">
      <w:pPr>
        <w:tabs>
          <w:tab w:val="left" w:pos="720"/>
        </w:tabs>
        <w:suppressAutoHyphens/>
        <w:ind w:left="720" w:hanging="720"/>
      </w:pPr>
      <w:r>
        <w:tab/>
        <w:t>The information collection is not used for statistical purposes</w:t>
      </w:r>
      <w:r w:rsidR="009F2B54">
        <w:t>.</w:t>
      </w:r>
    </w:p>
    <w:p w:rsidR="00CA4518" w:rsidP="00CA4518" w:rsidRDefault="00CA4518" w14:paraId="5974FF93" w14:textId="77777777">
      <w:pPr>
        <w:rPr>
          <w:b/>
        </w:rPr>
      </w:pPr>
    </w:p>
    <w:p w:rsidRPr="00F94991" w:rsidR="00BE68E2" w:rsidP="00BE68E2" w:rsidRDefault="00BE68E2" w14:paraId="787D92DA" w14:textId="7A741FAD">
      <w:pPr>
        <w:rPr>
          <w:b/>
        </w:rPr>
      </w:pPr>
      <w:r>
        <w:rPr>
          <w:b/>
        </w:rPr>
        <w:t>17.</w:t>
      </w:r>
      <w:r>
        <w:rPr>
          <w:b/>
        </w:rPr>
        <w:tab/>
      </w:r>
      <w:r w:rsidRPr="00F94991">
        <w:rPr>
          <w:b/>
        </w:rPr>
        <w:t>Request</w:t>
      </w:r>
      <w:r>
        <w:rPr>
          <w:b/>
        </w:rPr>
        <w:t xml:space="preserve"> </w:t>
      </w:r>
      <w:r w:rsidR="000B0A83">
        <w:rPr>
          <w:b/>
        </w:rPr>
        <w:t>n</w:t>
      </w:r>
      <w:r>
        <w:rPr>
          <w:b/>
        </w:rPr>
        <w:t>on-</w:t>
      </w:r>
      <w:r w:rsidRPr="00F94991">
        <w:rPr>
          <w:b/>
        </w:rPr>
        <w:t xml:space="preserve">display the </w:t>
      </w:r>
      <w:r w:rsidR="000B0A83">
        <w:rPr>
          <w:b/>
        </w:rPr>
        <w:t>e</w:t>
      </w:r>
      <w:r>
        <w:rPr>
          <w:b/>
        </w:rPr>
        <w:t xml:space="preserve">xpiration </w:t>
      </w:r>
      <w:r w:rsidR="000B0A83">
        <w:rPr>
          <w:b/>
        </w:rPr>
        <w:t>d</w:t>
      </w:r>
      <w:r>
        <w:rPr>
          <w:b/>
        </w:rPr>
        <w:t xml:space="preserve">ate of the </w:t>
      </w:r>
      <w:r w:rsidRPr="00F94991">
        <w:rPr>
          <w:b/>
        </w:rPr>
        <w:t xml:space="preserve">OMB </w:t>
      </w:r>
      <w:r w:rsidR="000B0A83">
        <w:rPr>
          <w:b/>
        </w:rPr>
        <w:t>c</w:t>
      </w:r>
      <w:r>
        <w:rPr>
          <w:b/>
        </w:rPr>
        <w:t xml:space="preserve">ontrol </w:t>
      </w:r>
      <w:r w:rsidR="000B0A83">
        <w:rPr>
          <w:b/>
        </w:rPr>
        <w:t>n</w:t>
      </w:r>
      <w:r>
        <w:rPr>
          <w:b/>
        </w:rPr>
        <w:t>umber</w:t>
      </w:r>
      <w:r w:rsidR="000B0A83">
        <w:rPr>
          <w:b/>
        </w:rPr>
        <w:t>.</w:t>
      </w:r>
    </w:p>
    <w:p w:rsidR="00B804D3" w:rsidP="005747C0" w:rsidRDefault="00B804D3" w14:paraId="0477ADFC" w14:textId="7777777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:rsidR="00276C11" w:rsidP="00CF749E" w:rsidRDefault="001F2E52" w14:paraId="7E5A4887" w14:textId="67729B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OMB control number and expiration date associated with this PRA submission will be displayed on the Federal Government’s electronic PRA docket </w:t>
      </w:r>
      <w:r w:rsidR="00026113">
        <w:rPr>
          <w:rFonts w:ascii="Times New Roman" w:hAnsi="Times New Roman" w:cs="Times New Roman"/>
          <w:sz w:val="24"/>
          <w:szCs w:val="24"/>
        </w:rPr>
        <w:t xml:space="preserve">site </w:t>
      </w:r>
      <w:r>
        <w:rPr>
          <w:rFonts w:ascii="Times New Roman" w:hAnsi="Times New Roman" w:cs="Times New Roman"/>
          <w:sz w:val="24"/>
          <w:szCs w:val="24"/>
        </w:rPr>
        <w:t>at www.reginfo.gov.</w:t>
      </w:r>
    </w:p>
    <w:p w:rsidRPr="00E44F63" w:rsidR="003A0D60" w:rsidP="009F2B54" w:rsidRDefault="003A0D60" w14:paraId="689D54C8" w14:textId="77777777">
      <w:pPr>
        <w:tabs>
          <w:tab w:val="left" w:pos="720"/>
        </w:tabs>
        <w:suppressAutoHyphens/>
        <w:ind w:left="720" w:hanging="720"/>
      </w:pPr>
    </w:p>
    <w:p w:rsidRPr="001E564B" w:rsidR="00BE68E2" w:rsidP="00BE68E2" w:rsidRDefault="00BE68E2" w14:paraId="76CA72AA" w14:textId="53F01766">
      <w:pPr>
        <w:rPr>
          <w:b/>
        </w:rPr>
      </w:pPr>
      <w:r>
        <w:rPr>
          <w:b/>
        </w:rPr>
        <w:t>18.</w:t>
      </w:r>
      <w:r>
        <w:rPr>
          <w:b/>
        </w:rPr>
        <w:tab/>
      </w:r>
      <w:r w:rsidRPr="00E44F63">
        <w:rPr>
          <w:b/>
        </w:rPr>
        <w:t>Exceptions to Certification for Paperwork Reduction Act Submissions</w:t>
      </w:r>
      <w:r w:rsidR="000B0A83">
        <w:rPr>
          <w:b/>
        </w:rPr>
        <w:t>.</w:t>
      </w:r>
    </w:p>
    <w:p w:rsidR="003A0D60" w:rsidP="009F2B54" w:rsidRDefault="003A0D60" w14:paraId="4F9DE72E" w14:textId="77777777">
      <w:pPr>
        <w:tabs>
          <w:tab w:val="left" w:pos="720"/>
        </w:tabs>
        <w:suppressAutoHyphens/>
        <w:ind w:left="720" w:hanging="720"/>
      </w:pPr>
      <w:r>
        <w:tab/>
      </w:r>
    </w:p>
    <w:p w:rsidRPr="001A3CEC" w:rsidR="003A0D60" w:rsidP="009F2B54" w:rsidRDefault="003A0D60" w14:paraId="77BAC0A0" w14:textId="77777777">
      <w:pPr>
        <w:tabs>
          <w:tab w:val="left" w:pos="720"/>
        </w:tabs>
        <w:suppressAutoHyphens/>
        <w:ind w:left="720" w:hanging="720"/>
      </w:pPr>
      <w:r>
        <w:tab/>
      </w:r>
      <w:r w:rsidRPr="001A3CEC" w:rsidR="00B804D3">
        <w:t>There are no exceptions to the certification</w:t>
      </w:r>
      <w:r w:rsidR="001A3CEC">
        <w:t xml:space="preserve"> statement</w:t>
      </w:r>
      <w:r w:rsidRPr="001A3CEC" w:rsidR="00B804D3">
        <w:t>.</w:t>
      </w:r>
    </w:p>
    <w:p w:rsidR="00CA4518" w:rsidP="001A3CEC" w:rsidRDefault="00CA4518" w14:paraId="527CB010" w14:textId="20B41375">
      <w:pPr>
        <w:suppressAutoHyphens/>
        <w:rPr>
          <w:caps/>
          <w:sz w:val="22"/>
          <w:szCs w:val="22"/>
        </w:rPr>
      </w:pPr>
    </w:p>
    <w:p w:rsidRPr="00EC038D" w:rsidR="00DE652A" w:rsidP="001A3CEC" w:rsidRDefault="00DE652A" w14:paraId="375B259A" w14:textId="77777777">
      <w:pPr>
        <w:suppressAutoHyphens/>
        <w:rPr>
          <w:caps/>
          <w:sz w:val="22"/>
          <w:szCs w:val="22"/>
        </w:rPr>
      </w:pPr>
    </w:p>
    <w:p w:rsidR="001A3CEC" w:rsidP="001A3CEC" w:rsidRDefault="001A3CEC" w14:paraId="5455F18C" w14:textId="77777777">
      <w:pPr>
        <w:suppressAutoHyphens/>
        <w:rPr>
          <w:caps/>
          <w:sz w:val="22"/>
          <w:szCs w:val="22"/>
        </w:rPr>
      </w:pPr>
    </w:p>
    <w:p w:rsidRPr="00EC038D" w:rsidR="004A2225" w:rsidP="001A3CEC" w:rsidRDefault="004A2225" w14:paraId="7F1701D2" w14:textId="77777777">
      <w:pPr>
        <w:suppressAutoHyphens/>
        <w:rPr>
          <w:caps/>
          <w:sz w:val="22"/>
          <w:szCs w:val="22"/>
        </w:rPr>
      </w:pPr>
    </w:p>
    <w:p w:rsidR="001A3CEC" w:rsidP="001A3CEC" w:rsidRDefault="001A3CEC" w14:paraId="0020673F" w14:textId="77777777">
      <w:pPr>
        <w:pStyle w:val="ListParagraph"/>
        <w:numPr>
          <w:ilvl w:val="0"/>
          <w:numId w:val="2"/>
        </w:numPr>
        <w:ind w:left="720" w:hanging="720"/>
        <w:rPr>
          <w:b/>
        </w:rPr>
      </w:pPr>
      <w:r w:rsidRPr="001A3CEC">
        <w:rPr>
          <w:b/>
        </w:rPr>
        <w:t>COLLECTIONS OF INFORMATION EMPLOYING STATISTICAL METHODS</w:t>
      </w:r>
    </w:p>
    <w:p w:rsidR="001A3CEC" w:rsidP="001A3CEC" w:rsidRDefault="001A3CEC" w14:paraId="76259820" w14:textId="77777777">
      <w:pPr>
        <w:rPr>
          <w:b/>
        </w:rPr>
      </w:pPr>
    </w:p>
    <w:p w:rsidRPr="001A3CEC" w:rsidR="002104AB" w:rsidP="001A3CEC" w:rsidRDefault="001A3CEC" w14:paraId="1B4A0554" w14:textId="77777777">
      <w:pPr>
        <w:ind w:left="720"/>
      </w:pPr>
      <w:r w:rsidRPr="001A3CEC">
        <w:t>This collection of information does not employ statistical methods.</w:t>
      </w:r>
    </w:p>
    <w:sectPr w:rsidRPr="001A3CEC" w:rsidR="002104A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468A1" w14:textId="77777777" w:rsidR="009272B2" w:rsidRDefault="009272B2" w:rsidP="00B804D3">
      <w:r>
        <w:separator/>
      </w:r>
    </w:p>
  </w:endnote>
  <w:endnote w:type="continuationSeparator" w:id="0">
    <w:p w14:paraId="27E5EC7B" w14:textId="77777777" w:rsidR="009272B2" w:rsidRDefault="009272B2" w:rsidP="00B8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629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F63C3" w14:textId="6D42FFAE" w:rsidR="00B804D3" w:rsidRDefault="00286F4B" w:rsidP="003E3C31">
        <w:pPr>
          <w:pStyle w:val="Footer"/>
        </w:pPr>
        <w:r>
          <w:rPr>
            <w:i/>
            <w:sz w:val="20"/>
            <w:szCs w:val="20"/>
          </w:rPr>
          <w:t>OMB No. 3133-</w:t>
        </w:r>
        <w:r w:rsidR="00247638">
          <w:rPr>
            <w:i/>
            <w:sz w:val="20"/>
            <w:szCs w:val="20"/>
          </w:rPr>
          <w:t>0200</w:t>
        </w:r>
        <w:r>
          <w:rPr>
            <w:i/>
            <w:sz w:val="20"/>
            <w:szCs w:val="20"/>
          </w:rPr>
          <w:t>;</w:t>
        </w:r>
        <w:r w:rsidR="000339C4">
          <w:rPr>
            <w:i/>
            <w:sz w:val="20"/>
            <w:szCs w:val="20"/>
          </w:rPr>
          <w:t xml:space="preserve"> </w:t>
        </w:r>
        <w:r w:rsidR="00DD0FC9">
          <w:rPr>
            <w:i/>
            <w:sz w:val="20"/>
            <w:szCs w:val="20"/>
          </w:rPr>
          <w:t>August</w:t>
        </w:r>
        <w:r>
          <w:rPr>
            <w:i/>
            <w:sz w:val="20"/>
            <w:szCs w:val="20"/>
          </w:rPr>
          <w:t xml:space="preserve"> 20</w:t>
        </w:r>
        <w:r w:rsidR="00247638">
          <w:rPr>
            <w:i/>
            <w:sz w:val="20"/>
            <w:szCs w:val="20"/>
          </w:rPr>
          <w:t>21</w:t>
        </w:r>
        <w:r w:rsidR="003E3C31">
          <w:tab/>
        </w:r>
        <w:r w:rsidR="003E3C31">
          <w:tab/>
        </w:r>
        <w:r w:rsidR="00B804D3">
          <w:fldChar w:fldCharType="begin"/>
        </w:r>
        <w:r w:rsidR="00B804D3">
          <w:instrText xml:space="preserve"> PAGE   \* MERGEFORMAT </w:instrText>
        </w:r>
        <w:r w:rsidR="00B804D3">
          <w:fldChar w:fldCharType="separate"/>
        </w:r>
        <w:r w:rsidR="00C570C0">
          <w:rPr>
            <w:noProof/>
          </w:rPr>
          <w:t>1</w:t>
        </w:r>
        <w:r w:rsidR="00B804D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D3826" w14:textId="77777777" w:rsidR="009272B2" w:rsidRDefault="009272B2" w:rsidP="00B804D3">
      <w:r>
        <w:separator/>
      </w:r>
    </w:p>
  </w:footnote>
  <w:footnote w:type="continuationSeparator" w:id="0">
    <w:p w14:paraId="6D71CDD9" w14:textId="77777777" w:rsidR="009272B2" w:rsidRDefault="009272B2" w:rsidP="00B80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C7E3050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228BE"/>
    <w:multiLevelType w:val="hybridMultilevel"/>
    <w:tmpl w:val="82CC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E2034"/>
    <w:multiLevelType w:val="hybridMultilevel"/>
    <w:tmpl w:val="F412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62E20"/>
    <w:multiLevelType w:val="hybridMultilevel"/>
    <w:tmpl w:val="8A50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05CA"/>
    <w:multiLevelType w:val="hybridMultilevel"/>
    <w:tmpl w:val="EB4A2640"/>
    <w:lvl w:ilvl="0" w:tplc="FA32E4A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F966CB5"/>
    <w:multiLevelType w:val="hybridMultilevel"/>
    <w:tmpl w:val="82B6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CA04C6"/>
    <w:multiLevelType w:val="hybridMultilevel"/>
    <w:tmpl w:val="71484EF4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9" w15:restartNumberingAfterBreak="0">
    <w:nsid w:val="39926033"/>
    <w:multiLevelType w:val="hybridMultilevel"/>
    <w:tmpl w:val="B05C7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21831"/>
    <w:multiLevelType w:val="hybridMultilevel"/>
    <w:tmpl w:val="F1E8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B1BC1"/>
    <w:multiLevelType w:val="hybridMultilevel"/>
    <w:tmpl w:val="D2A835C4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2" w15:restartNumberingAfterBreak="0">
    <w:nsid w:val="489C56E2"/>
    <w:multiLevelType w:val="hybridMultilevel"/>
    <w:tmpl w:val="44E6A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4F0487"/>
    <w:multiLevelType w:val="hybridMultilevel"/>
    <w:tmpl w:val="D4C0735E"/>
    <w:lvl w:ilvl="0" w:tplc="471EC37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200F35"/>
    <w:multiLevelType w:val="hybridMultilevel"/>
    <w:tmpl w:val="1526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17063"/>
    <w:multiLevelType w:val="hybridMultilevel"/>
    <w:tmpl w:val="7780EBB6"/>
    <w:lvl w:ilvl="0" w:tplc="63648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B18EA"/>
    <w:multiLevelType w:val="hybridMultilevel"/>
    <w:tmpl w:val="F6A6E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52E3B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C216D8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412705"/>
    <w:multiLevelType w:val="hybridMultilevel"/>
    <w:tmpl w:val="C380B012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126302"/>
    <w:multiLevelType w:val="hybridMultilevel"/>
    <w:tmpl w:val="18DC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20D52"/>
    <w:multiLevelType w:val="multilevel"/>
    <w:tmpl w:val="C380B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A14AC9"/>
    <w:multiLevelType w:val="hybridMultilevel"/>
    <w:tmpl w:val="E328F4C2"/>
    <w:lvl w:ilvl="0" w:tplc="BC6E69E4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79061E7E"/>
    <w:multiLevelType w:val="hybridMultilevel"/>
    <w:tmpl w:val="0D52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6"/>
  </w:num>
  <w:num w:numId="9">
    <w:abstractNumId w:val="16"/>
  </w:num>
  <w:num w:numId="10">
    <w:abstractNumId w:val="18"/>
  </w:num>
  <w:num w:numId="11">
    <w:abstractNumId w:val="17"/>
  </w:num>
  <w:num w:numId="12">
    <w:abstractNumId w:val="21"/>
  </w:num>
  <w:num w:numId="13">
    <w:abstractNumId w:val="15"/>
  </w:num>
  <w:num w:numId="14">
    <w:abstractNumId w:val="14"/>
  </w:num>
  <w:num w:numId="15">
    <w:abstractNumId w:val="3"/>
  </w:num>
  <w:num w:numId="16">
    <w:abstractNumId w:val="10"/>
  </w:num>
  <w:num w:numId="17">
    <w:abstractNumId w:val="12"/>
  </w:num>
  <w:num w:numId="18">
    <w:abstractNumId w:val="20"/>
  </w:num>
  <w:num w:numId="19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23"/>
  </w:num>
  <w:num w:numId="21">
    <w:abstractNumId w:val="0"/>
    <w:lvlOverride w:ilvl="0">
      <w:lvl w:ilvl="0"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60"/>
    <w:rsid w:val="000025CA"/>
    <w:rsid w:val="000217E7"/>
    <w:rsid w:val="000232A3"/>
    <w:rsid w:val="00026113"/>
    <w:rsid w:val="000339C4"/>
    <w:rsid w:val="00050783"/>
    <w:rsid w:val="000514B8"/>
    <w:rsid w:val="0006222E"/>
    <w:rsid w:val="00080BAE"/>
    <w:rsid w:val="000A5844"/>
    <w:rsid w:val="000B0A83"/>
    <w:rsid w:val="000E36D1"/>
    <w:rsid w:val="000E670A"/>
    <w:rsid w:val="00116554"/>
    <w:rsid w:val="00116884"/>
    <w:rsid w:val="0012130A"/>
    <w:rsid w:val="00135B29"/>
    <w:rsid w:val="00150798"/>
    <w:rsid w:val="00151D71"/>
    <w:rsid w:val="00164D62"/>
    <w:rsid w:val="001A2F66"/>
    <w:rsid w:val="001A3CEC"/>
    <w:rsid w:val="001B3987"/>
    <w:rsid w:val="001C18D0"/>
    <w:rsid w:val="001D1EA4"/>
    <w:rsid w:val="001E1192"/>
    <w:rsid w:val="001F11AA"/>
    <w:rsid w:val="001F2E52"/>
    <w:rsid w:val="00206284"/>
    <w:rsid w:val="002104AB"/>
    <w:rsid w:val="00221200"/>
    <w:rsid w:val="00222FCB"/>
    <w:rsid w:val="00230FAA"/>
    <w:rsid w:val="00247638"/>
    <w:rsid w:val="0026608C"/>
    <w:rsid w:val="0027585F"/>
    <w:rsid w:val="00276C11"/>
    <w:rsid w:val="00286F4B"/>
    <w:rsid w:val="00293BB4"/>
    <w:rsid w:val="002C0091"/>
    <w:rsid w:val="002C3934"/>
    <w:rsid w:val="002D3EA0"/>
    <w:rsid w:val="002E2F91"/>
    <w:rsid w:val="002F2961"/>
    <w:rsid w:val="0030168A"/>
    <w:rsid w:val="00310FA7"/>
    <w:rsid w:val="00315220"/>
    <w:rsid w:val="003170E6"/>
    <w:rsid w:val="00344087"/>
    <w:rsid w:val="003750C2"/>
    <w:rsid w:val="00381567"/>
    <w:rsid w:val="00390DA4"/>
    <w:rsid w:val="003A0D60"/>
    <w:rsid w:val="003A4805"/>
    <w:rsid w:val="003B54C7"/>
    <w:rsid w:val="003B7C77"/>
    <w:rsid w:val="003C1CBC"/>
    <w:rsid w:val="003E3C31"/>
    <w:rsid w:val="003F2219"/>
    <w:rsid w:val="003F777A"/>
    <w:rsid w:val="00402659"/>
    <w:rsid w:val="00407A25"/>
    <w:rsid w:val="00407BA4"/>
    <w:rsid w:val="004102A4"/>
    <w:rsid w:val="00413474"/>
    <w:rsid w:val="00421725"/>
    <w:rsid w:val="0042561D"/>
    <w:rsid w:val="00425EC7"/>
    <w:rsid w:val="00453C79"/>
    <w:rsid w:val="0045470F"/>
    <w:rsid w:val="00476AA9"/>
    <w:rsid w:val="00480F38"/>
    <w:rsid w:val="00482644"/>
    <w:rsid w:val="00491A52"/>
    <w:rsid w:val="004A2225"/>
    <w:rsid w:val="004A5CFD"/>
    <w:rsid w:val="004D0FCD"/>
    <w:rsid w:val="004E1BE2"/>
    <w:rsid w:val="004E42E1"/>
    <w:rsid w:val="004E5568"/>
    <w:rsid w:val="004E69F1"/>
    <w:rsid w:val="005301B1"/>
    <w:rsid w:val="005742A1"/>
    <w:rsid w:val="005747C0"/>
    <w:rsid w:val="00597982"/>
    <w:rsid w:val="005C6AAE"/>
    <w:rsid w:val="006073DE"/>
    <w:rsid w:val="006140F1"/>
    <w:rsid w:val="00656F9D"/>
    <w:rsid w:val="00667DE8"/>
    <w:rsid w:val="00675F2A"/>
    <w:rsid w:val="006923ED"/>
    <w:rsid w:val="006A75F0"/>
    <w:rsid w:val="006A7D12"/>
    <w:rsid w:val="006B5C99"/>
    <w:rsid w:val="006D395F"/>
    <w:rsid w:val="0076451D"/>
    <w:rsid w:val="00765935"/>
    <w:rsid w:val="0077261F"/>
    <w:rsid w:val="0077705A"/>
    <w:rsid w:val="00784750"/>
    <w:rsid w:val="00785A28"/>
    <w:rsid w:val="00786BD5"/>
    <w:rsid w:val="007A0D46"/>
    <w:rsid w:val="007B7001"/>
    <w:rsid w:val="007E301A"/>
    <w:rsid w:val="008157A3"/>
    <w:rsid w:val="00823A55"/>
    <w:rsid w:val="00883853"/>
    <w:rsid w:val="00883D8C"/>
    <w:rsid w:val="008A129B"/>
    <w:rsid w:val="008A35B2"/>
    <w:rsid w:val="008C6322"/>
    <w:rsid w:val="008C79DC"/>
    <w:rsid w:val="008F7EEC"/>
    <w:rsid w:val="00924D3B"/>
    <w:rsid w:val="009272B2"/>
    <w:rsid w:val="009335E8"/>
    <w:rsid w:val="00970942"/>
    <w:rsid w:val="009765DD"/>
    <w:rsid w:val="00977426"/>
    <w:rsid w:val="00983FD2"/>
    <w:rsid w:val="00995EAB"/>
    <w:rsid w:val="009A7E73"/>
    <w:rsid w:val="009B00ED"/>
    <w:rsid w:val="009C6F93"/>
    <w:rsid w:val="009D49D3"/>
    <w:rsid w:val="009E4120"/>
    <w:rsid w:val="009F1AB7"/>
    <w:rsid w:val="009F2B54"/>
    <w:rsid w:val="00A05A66"/>
    <w:rsid w:val="00A0653F"/>
    <w:rsid w:val="00A340D5"/>
    <w:rsid w:val="00A63A06"/>
    <w:rsid w:val="00A666B6"/>
    <w:rsid w:val="00A75B4E"/>
    <w:rsid w:val="00A8264A"/>
    <w:rsid w:val="00A82EE5"/>
    <w:rsid w:val="00AA27E5"/>
    <w:rsid w:val="00AA28C8"/>
    <w:rsid w:val="00AB674F"/>
    <w:rsid w:val="00B077AF"/>
    <w:rsid w:val="00B22FF8"/>
    <w:rsid w:val="00B31E38"/>
    <w:rsid w:val="00B725A8"/>
    <w:rsid w:val="00B804D3"/>
    <w:rsid w:val="00B86579"/>
    <w:rsid w:val="00BA500F"/>
    <w:rsid w:val="00BB1F72"/>
    <w:rsid w:val="00BB4603"/>
    <w:rsid w:val="00BB6B5A"/>
    <w:rsid w:val="00BC39B8"/>
    <w:rsid w:val="00BC6974"/>
    <w:rsid w:val="00BD092F"/>
    <w:rsid w:val="00BE0FB0"/>
    <w:rsid w:val="00BE5A48"/>
    <w:rsid w:val="00BE68E2"/>
    <w:rsid w:val="00BF5345"/>
    <w:rsid w:val="00BF61AB"/>
    <w:rsid w:val="00C25A18"/>
    <w:rsid w:val="00C32734"/>
    <w:rsid w:val="00C371A1"/>
    <w:rsid w:val="00C570C0"/>
    <w:rsid w:val="00C75DF9"/>
    <w:rsid w:val="00C96B6F"/>
    <w:rsid w:val="00C97D97"/>
    <w:rsid w:val="00CA4518"/>
    <w:rsid w:val="00CA7B0B"/>
    <w:rsid w:val="00CB23BD"/>
    <w:rsid w:val="00CB7EC7"/>
    <w:rsid w:val="00CD7F6C"/>
    <w:rsid w:val="00CE68FA"/>
    <w:rsid w:val="00CF017E"/>
    <w:rsid w:val="00CF749E"/>
    <w:rsid w:val="00D05D7A"/>
    <w:rsid w:val="00D5065D"/>
    <w:rsid w:val="00D7022B"/>
    <w:rsid w:val="00D807CE"/>
    <w:rsid w:val="00D80885"/>
    <w:rsid w:val="00D864CB"/>
    <w:rsid w:val="00D9333C"/>
    <w:rsid w:val="00DC787B"/>
    <w:rsid w:val="00DD0FC9"/>
    <w:rsid w:val="00DD5AFA"/>
    <w:rsid w:val="00DE652A"/>
    <w:rsid w:val="00DF747A"/>
    <w:rsid w:val="00DF7E70"/>
    <w:rsid w:val="00E115F0"/>
    <w:rsid w:val="00E22D61"/>
    <w:rsid w:val="00E34AE0"/>
    <w:rsid w:val="00E35243"/>
    <w:rsid w:val="00E43C79"/>
    <w:rsid w:val="00E4762D"/>
    <w:rsid w:val="00E61F97"/>
    <w:rsid w:val="00E632EC"/>
    <w:rsid w:val="00E736D5"/>
    <w:rsid w:val="00EC038D"/>
    <w:rsid w:val="00EC1044"/>
    <w:rsid w:val="00EC6288"/>
    <w:rsid w:val="00ED3E5E"/>
    <w:rsid w:val="00F07BC0"/>
    <w:rsid w:val="00F11683"/>
    <w:rsid w:val="00F12048"/>
    <w:rsid w:val="00F170F2"/>
    <w:rsid w:val="00F60735"/>
    <w:rsid w:val="00F76694"/>
    <w:rsid w:val="00F8787F"/>
    <w:rsid w:val="00F91096"/>
    <w:rsid w:val="00FA4244"/>
    <w:rsid w:val="00FE506F"/>
    <w:rsid w:val="00FE7D57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66CC6"/>
  <w15:docId w15:val="{1ECB4A05-2355-4F2C-B130-6851F393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4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D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D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3B"/>
    <w:rPr>
      <w:rFonts w:ascii="Segoe UI" w:eastAsia="Times New Roman" w:hAnsi="Segoe UI" w:cs="Segoe UI"/>
      <w:sz w:val="18"/>
      <w:szCs w:val="18"/>
    </w:rPr>
  </w:style>
  <w:style w:type="paragraph" w:customStyle="1" w:styleId="NumberedList">
    <w:name w:val="NumberedList"/>
    <w:rsid w:val="00A05A66"/>
    <w:pPr>
      <w:tabs>
        <w:tab w:val="num" w:pos="360"/>
      </w:tabs>
      <w:spacing w:before="120"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F8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762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3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4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4D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E68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68E2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BE68E2"/>
    <w:pPr>
      <w:widowControl w:val="0"/>
      <w:numPr>
        <w:numId w:val="19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BE68E2"/>
    <w:pPr>
      <w:widowControl w:val="0"/>
      <w:autoSpaceDE w:val="0"/>
      <w:autoSpaceDN w:val="0"/>
      <w:adjustRightInd w:val="0"/>
      <w:ind w:left="722" w:hanging="361"/>
    </w:pPr>
  </w:style>
  <w:style w:type="character" w:styleId="UnresolvedMention">
    <w:name w:val="Unresolved Mention"/>
    <w:basedOn w:val="DefaultParagraphFont"/>
    <w:uiPriority w:val="99"/>
    <w:semiHidden/>
    <w:unhideWhenUsed/>
    <w:rsid w:val="0076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8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6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4107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8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5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3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73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46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4218">
              <w:marLeft w:val="0"/>
              <w:marRight w:val="0"/>
              <w:marTop w:val="0"/>
              <w:marBottom w:val="0"/>
              <w:divBdr>
                <w:top w:val="single" w:sz="6" w:space="11" w:color="FCFCFC"/>
                <w:left w:val="single" w:sz="6" w:space="11" w:color="ECECEC"/>
                <w:bottom w:val="single" w:sz="6" w:space="4" w:color="ECECEC"/>
                <w:right w:val="single" w:sz="6" w:space="11" w:color="ECECEC"/>
              </w:divBdr>
              <w:divsChild>
                <w:div w:id="1092973106">
                  <w:marLeft w:val="0"/>
                  <w:marRight w:val="0"/>
                  <w:marTop w:val="0"/>
                  <w:marBottom w:val="0"/>
                  <w:divBdr>
                    <w:top w:val="single" w:sz="36" w:space="4" w:color="FFFFFF"/>
                    <w:left w:val="single" w:sz="36" w:space="8" w:color="FFFFFF"/>
                    <w:bottom w:val="single" w:sz="36" w:space="4" w:color="FFFFFF"/>
                    <w:right w:val="single" w:sz="36" w:space="8" w:color="FFFFFF"/>
                  </w:divBdr>
                  <w:divsChild>
                    <w:div w:id="133521633">
                      <w:marLeft w:val="0"/>
                      <w:marRight w:val="375"/>
                      <w:marTop w:val="0"/>
                      <w:marBottom w:val="0"/>
                      <w:divBdr>
                        <w:top w:val="single" w:sz="36" w:space="8" w:color="E8EAED"/>
                        <w:left w:val="single" w:sz="36" w:space="4" w:color="E8EAED"/>
                        <w:bottom w:val="single" w:sz="36" w:space="8" w:color="E8EAED"/>
                        <w:right w:val="single" w:sz="36" w:space="4" w:color="E8EAED"/>
                      </w:divBdr>
                      <w:divsChild>
                        <w:div w:id="2833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creditunion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ycreditunion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C9A1-17BB-457B-BDCD-B98E3D13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]</dc:creator>
  <cp:keywords/>
  <dc:description/>
  <cp:lastModifiedBy>Wolfgang, Dawn</cp:lastModifiedBy>
  <cp:revision>2</cp:revision>
  <cp:lastPrinted>2021-08-11T17:24:00Z</cp:lastPrinted>
  <dcterms:created xsi:type="dcterms:W3CDTF">2021-08-18T13:24:00Z</dcterms:created>
  <dcterms:modified xsi:type="dcterms:W3CDTF">2021-08-18T13:24:00Z</dcterms:modified>
</cp:coreProperties>
</file>