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3FF2" w:rsidR="006F3880" w:rsidP="00393FF2" w:rsidRDefault="006F3880" w14:paraId="6FBABC4F" w14:textId="1B1EDC03">
      <w:pPr>
        <w:pStyle w:val="NoSpacing"/>
        <w:jc w:val="center"/>
        <w:rPr>
          <w:sz w:val="32"/>
          <w:szCs w:val="32"/>
        </w:rPr>
      </w:pPr>
      <w:r w:rsidRPr="00393FF2">
        <w:rPr>
          <w:sz w:val="32"/>
          <w:szCs w:val="32"/>
        </w:rPr>
        <w:t>Agricultural Marketing Service</w:t>
      </w:r>
    </w:p>
    <w:p w:rsidR="006F3880" w:rsidP="00393FF2" w:rsidRDefault="006F3880" w14:paraId="2E0C8EB7" w14:textId="5C634ACD">
      <w:pPr>
        <w:pStyle w:val="NoSpacing"/>
        <w:jc w:val="center"/>
        <w:rPr>
          <w:sz w:val="32"/>
          <w:szCs w:val="32"/>
        </w:rPr>
      </w:pPr>
      <w:r w:rsidRPr="00393FF2">
        <w:rPr>
          <w:sz w:val="32"/>
          <w:szCs w:val="32"/>
        </w:rPr>
        <w:t>U.S. Department of Agriculture</w:t>
      </w:r>
    </w:p>
    <w:p w:rsidR="00393FF2" w:rsidP="00393FF2" w:rsidRDefault="00393FF2" w14:paraId="68397DD3" w14:textId="4734A776">
      <w:pPr>
        <w:pStyle w:val="NoSpacing"/>
        <w:jc w:val="center"/>
        <w:rPr>
          <w:sz w:val="32"/>
          <w:szCs w:val="32"/>
        </w:rPr>
      </w:pPr>
      <w:r>
        <w:rPr>
          <w:sz w:val="32"/>
          <w:szCs w:val="32"/>
        </w:rPr>
        <w:t xml:space="preserve">Meat and Poultry Interstate Shipment and Inspection Readiness Program (ISIRP)- Specific Terms and Conditions </w:t>
      </w:r>
    </w:p>
    <w:p w:rsidRPr="00393FF2" w:rsidR="00393FF2" w:rsidP="00393FF2" w:rsidRDefault="003E710D" w14:paraId="4A092F0F" w14:textId="42FEEDA5">
      <w:pPr>
        <w:pStyle w:val="NoSpacing"/>
        <w:jc w:val="center"/>
        <w:rPr>
          <w:sz w:val="32"/>
          <w:szCs w:val="32"/>
        </w:rPr>
      </w:pPr>
      <w:r>
        <w:rPr>
          <w:sz w:val="32"/>
          <w:szCs w:val="32"/>
        </w:rPr>
        <w:t xml:space="preserve">May </w:t>
      </w:r>
      <w:r w:rsidR="00393FF2">
        <w:rPr>
          <w:sz w:val="32"/>
          <w:szCs w:val="32"/>
        </w:rPr>
        <w:t>2021</w:t>
      </w:r>
    </w:p>
    <w:p w:rsidR="006F3880" w:rsidP="006F3880" w:rsidRDefault="006F3880" w14:paraId="31BAE7DD" w14:textId="0A8CABE4">
      <w:pPr>
        <w:pStyle w:val="NoSpacing"/>
      </w:pPr>
    </w:p>
    <w:p w:rsidRPr="00D51118" w:rsidR="006F3880" w:rsidP="006F3880" w:rsidRDefault="00A00A10" w14:paraId="51AB05B2" w14:textId="2B508E85">
      <w:pPr>
        <w:pStyle w:val="NoSpacing"/>
        <w:rPr>
          <w:sz w:val="20"/>
          <w:szCs w:val="20"/>
        </w:rPr>
      </w:pPr>
      <w:r w:rsidRPr="00D51118">
        <w:rPr>
          <w:sz w:val="20"/>
          <w:szCs w:val="20"/>
        </w:rPr>
        <w:t>In addition to the</w:t>
      </w:r>
      <w:r w:rsidRPr="00D51118" w:rsidR="00B1130A">
        <w:rPr>
          <w:sz w:val="20"/>
          <w:szCs w:val="20"/>
        </w:rPr>
        <w:t xml:space="preserve"> terms and conditions</w:t>
      </w:r>
      <w:r w:rsidRPr="00D51118">
        <w:rPr>
          <w:sz w:val="20"/>
          <w:szCs w:val="20"/>
        </w:rPr>
        <w:t xml:space="preserve"> identified in the AMS General Terms and Conditions, the following </w:t>
      </w:r>
      <w:r w:rsidRPr="00D51118" w:rsidR="00B1130A">
        <w:rPr>
          <w:sz w:val="20"/>
          <w:szCs w:val="20"/>
        </w:rPr>
        <w:t>terms</w:t>
      </w:r>
      <w:r w:rsidRPr="00D51118" w:rsidR="00DD5377">
        <w:rPr>
          <w:sz w:val="20"/>
          <w:szCs w:val="20"/>
        </w:rPr>
        <w:t xml:space="preserve"> </w:t>
      </w:r>
      <w:r w:rsidRPr="00D51118" w:rsidR="00B1130A">
        <w:rPr>
          <w:sz w:val="20"/>
          <w:szCs w:val="20"/>
        </w:rPr>
        <w:t>and conditions</w:t>
      </w:r>
      <w:r w:rsidRPr="00D51118">
        <w:rPr>
          <w:sz w:val="20"/>
          <w:szCs w:val="20"/>
        </w:rPr>
        <w:t xml:space="preserve"> apply</w:t>
      </w:r>
      <w:r w:rsidRPr="00D51118" w:rsidR="00DD5377">
        <w:rPr>
          <w:sz w:val="20"/>
          <w:szCs w:val="20"/>
        </w:rPr>
        <w:t xml:space="preserve"> for awards made through the ISIRP</w:t>
      </w:r>
      <w:r w:rsidRPr="00D51118">
        <w:rPr>
          <w:sz w:val="20"/>
          <w:szCs w:val="20"/>
        </w:rPr>
        <w:t xml:space="preserve">. </w:t>
      </w:r>
      <w:r w:rsidRPr="00D51118" w:rsidR="00687CFF">
        <w:rPr>
          <w:sz w:val="20"/>
          <w:szCs w:val="20"/>
        </w:rPr>
        <w:t>In the situation that there is inconsistency between the AMS General Terms and Conditions and th</w:t>
      </w:r>
      <w:r w:rsidRPr="00D51118" w:rsidR="00B1130A">
        <w:rPr>
          <w:sz w:val="20"/>
          <w:szCs w:val="20"/>
        </w:rPr>
        <w:t xml:space="preserve">e ISIRP </w:t>
      </w:r>
      <w:r w:rsidRPr="00D51118" w:rsidR="00687CFF">
        <w:rPr>
          <w:sz w:val="20"/>
          <w:szCs w:val="20"/>
        </w:rPr>
        <w:t xml:space="preserve">program specific terms and conditions, this document will take precedence. </w:t>
      </w:r>
    </w:p>
    <w:p w:rsidRPr="00E3629A" w:rsidR="00DD5377" w:rsidP="00DD5377" w:rsidRDefault="00DD5377" w14:paraId="5E8D6714" w14:textId="3A350197">
      <w:pPr>
        <w:shd w:val="clear" w:color="auto" w:fill="0070C0"/>
        <w:spacing w:before="240" w:after="240"/>
        <w:ind w:firstLine="288"/>
        <w:outlineLvl w:val="0"/>
        <w:rPr>
          <w:rFonts w:ascii="Calibri" w:hAnsi="Calibri" w:eastAsia="Calibri" w:cs="Calibri"/>
          <w:b/>
          <w:bCs/>
          <w:caps/>
          <w:color w:val="FFFFFF" w:themeColor="background1"/>
          <w:sz w:val="28"/>
        </w:rPr>
      </w:pPr>
      <w:r>
        <w:rPr>
          <w:rFonts w:ascii="Calibri" w:hAnsi="Calibri" w:eastAsia="Calibri"/>
          <w:b/>
          <w:bCs/>
          <w:caps/>
          <w:color w:val="FFFFFF" w:themeColor="background1"/>
          <w:spacing w:val="29"/>
          <w:sz w:val="28"/>
        </w:rPr>
        <w:t>1.0 Applicable regulations</w:t>
      </w:r>
    </w:p>
    <w:p w:rsidR="00DD5377" w:rsidP="006F3880" w:rsidRDefault="00DD5377" w14:paraId="7A00D2FF" w14:textId="3AE7EE42">
      <w:pPr>
        <w:pStyle w:val="NoSpacing"/>
        <w:rPr>
          <w:sz w:val="20"/>
          <w:szCs w:val="20"/>
        </w:rPr>
      </w:pPr>
      <w:r>
        <w:rPr>
          <w:sz w:val="20"/>
          <w:szCs w:val="20"/>
        </w:rPr>
        <w:t xml:space="preserve">As a condition of this award, the recipient assures and certifies that it will comply with the requirements contained in the AMS General </w:t>
      </w:r>
      <w:r w:rsidR="00432C95">
        <w:rPr>
          <w:sz w:val="20"/>
          <w:szCs w:val="20"/>
        </w:rPr>
        <w:t>T</w:t>
      </w:r>
      <w:r>
        <w:rPr>
          <w:sz w:val="20"/>
          <w:szCs w:val="20"/>
        </w:rPr>
        <w:t xml:space="preserve">erms and </w:t>
      </w:r>
      <w:r w:rsidR="00432C95">
        <w:rPr>
          <w:sz w:val="20"/>
          <w:szCs w:val="20"/>
        </w:rPr>
        <w:t>C</w:t>
      </w:r>
      <w:r>
        <w:rPr>
          <w:sz w:val="20"/>
          <w:szCs w:val="20"/>
        </w:rPr>
        <w:t xml:space="preserve">onditions and the </w:t>
      </w:r>
      <w:r w:rsidR="00432C95">
        <w:rPr>
          <w:sz w:val="20"/>
          <w:szCs w:val="20"/>
        </w:rPr>
        <w:t>following statutes</w:t>
      </w:r>
      <w:r>
        <w:rPr>
          <w:sz w:val="20"/>
          <w:szCs w:val="20"/>
        </w:rPr>
        <w:t xml:space="preserve"> and regulations, as applicable. </w:t>
      </w:r>
    </w:p>
    <w:p w:rsidR="00DD5377" w:rsidP="006F3880" w:rsidRDefault="00DD5377" w14:paraId="6EA98C9A" w14:textId="3B35C9EC">
      <w:pPr>
        <w:pStyle w:val="NoSpacing"/>
        <w:rPr>
          <w:sz w:val="20"/>
          <w:szCs w:val="20"/>
        </w:rPr>
      </w:pPr>
    </w:p>
    <w:p w:rsidRPr="00E531E9" w:rsidR="009F2C38" w:rsidP="00432C95" w:rsidRDefault="009F2C38" w14:paraId="06F95958" w14:textId="53F31A93">
      <w:pPr>
        <w:pStyle w:val="NoSpacing"/>
        <w:numPr>
          <w:ilvl w:val="0"/>
          <w:numId w:val="1"/>
        </w:numPr>
        <w:rPr>
          <w:rFonts w:cstheme="minorHAnsi"/>
          <w:sz w:val="20"/>
          <w:szCs w:val="20"/>
        </w:rPr>
      </w:pPr>
      <w:r w:rsidRPr="00E531E9">
        <w:rPr>
          <w:rFonts w:cstheme="minorHAnsi"/>
          <w:sz w:val="20"/>
          <w:szCs w:val="20"/>
        </w:rPr>
        <w:t>21 U.S.C. 601</w:t>
      </w:r>
      <w:r w:rsidR="000F5E11">
        <w:rPr>
          <w:rFonts w:cstheme="minorHAnsi"/>
          <w:sz w:val="20"/>
          <w:szCs w:val="20"/>
        </w:rPr>
        <w:t xml:space="preserve"> </w:t>
      </w:r>
      <w:r w:rsidRPr="00E531E9">
        <w:rPr>
          <w:rFonts w:cstheme="minorHAnsi"/>
          <w:sz w:val="20"/>
          <w:szCs w:val="20"/>
        </w:rPr>
        <w:t>–  “</w:t>
      </w:r>
      <w:hyperlink w:history="1" r:id="rId11">
        <w:r w:rsidRPr="00E531E9">
          <w:rPr>
            <w:rStyle w:val="Hyperlink"/>
            <w:rFonts w:cstheme="minorHAnsi"/>
            <w:sz w:val="20"/>
            <w:szCs w:val="20"/>
          </w:rPr>
          <w:t>Federal Meat Inspection Act</w:t>
        </w:r>
      </w:hyperlink>
      <w:r w:rsidRPr="00E531E9">
        <w:rPr>
          <w:rFonts w:cstheme="minorHAnsi"/>
          <w:sz w:val="20"/>
          <w:szCs w:val="20"/>
        </w:rPr>
        <w:t>”</w:t>
      </w:r>
    </w:p>
    <w:p w:rsidRPr="00E531E9" w:rsidR="009F2C38" w:rsidP="00432C95" w:rsidRDefault="009F2C38" w14:paraId="35A05BF8" w14:textId="0C3E7AA1">
      <w:pPr>
        <w:pStyle w:val="NoSpacing"/>
        <w:numPr>
          <w:ilvl w:val="0"/>
          <w:numId w:val="1"/>
        </w:numPr>
        <w:rPr>
          <w:rFonts w:cstheme="minorHAnsi"/>
          <w:sz w:val="20"/>
          <w:szCs w:val="20"/>
        </w:rPr>
      </w:pPr>
      <w:r w:rsidRPr="00E531E9">
        <w:rPr>
          <w:rFonts w:cstheme="minorHAnsi"/>
          <w:sz w:val="20"/>
          <w:szCs w:val="20"/>
        </w:rPr>
        <w:t>21 U.S.C. 451</w:t>
      </w:r>
      <w:r w:rsidR="000F5E11">
        <w:rPr>
          <w:rFonts w:cstheme="minorHAnsi"/>
          <w:sz w:val="20"/>
          <w:szCs w:val="20"/>
        </w:rPr>
        <w:t xml:space="preserve"> </w:t>
      </w:r>
      <w:r w:rsidRPr="00E531E9">
        <w:rPr>
          <w:rFonts w:cstheme="minorHAnsi"/>
          <w:sz w:val="20"/>
          <w:szCs w:val="20"/>
        </w:rPr>
        <w:t>– “</w:t>
      </w:r>
      <w:hyperlink w:history="1" r:id="rId12">
        <w:r w:rsidRPr="00E531E9">
          <w:rPr>
            <w:rStyle w:val="Hyperlink"/>
            <w:rFonts w:cstheme="minorHAnsi"/>
            <w:sz w:val="20"/>
            <w:szCs w:val="20"/>
          </w:rPr>
          <w:t>Poultry Products Inspection Act</w:t>
        </w:r>
      </w:hyperlink>
      <w:r w:rsidRPr="00E531E9">
        <w:rPr>
          <w:rFonts w:cstheme="minorHAnsi"/>
          <w:sz w:val="20"/>
          <w:szCs w:val="20"/>
        </w:rPr>
        <w:t>”</w:t>
      </w:r>
    </w:p>
    <w:p w:rsidRPr="00E531E9" w:rsidR="009F2C38" w:rsidP="00432C95" w:rsidRDefault="009F2C38" w14:paraId="3BCCDE66" w14:textId="06516A32">
      <w:pPr>
        <w:pStyle w:val="NoSpacing"/>
        <w:numPr>
          <w:ilvl w:val="0"/>
          <w:numId w:val="1"/>
        </w:numPr>
        <w:rPr>
          <w:rFonts w:cstheme="minorHAnsi"/>
          <w:sz w:val="20"/>
          <w:szCs w:val="20"/>
        </w:rPr>
      </w:pPr>
      <w:r w:rsidRPr="00E531E9">
        <w:rPr>
          <w:rFonts w:cstheme="minorHAnsi"/>
          <w:sz w:val="20"/>
          <w:szCs w:val="20"/>
        </w:rPr>
        <w:t xml:space="preserve">21 U.S.C. </w:t>
      </w:r>
      <w:r w:rsidRPr="00E531E9" w:rsidR="00E531E9">
        <w:rPr>
          <w:rFonts w:cstheme="minorHAnsi"/>
          <w:sz w:val="20"/>
          <w:szCs w:val="20"/>
        </w:rPr>
        <w:t>683</w:t>
      </w:r>
      <w:r w:rsidR="00E531E9">
        <w:rPr>
          <w:rFonts w:cstheme="minorHAnsi"/>
          <w:sz w:val="20"/>
          <w:szCs w:val="20"/>
        </w:rPr>
        <w:t xml:space="preserve"> </w:t>
      </w:r>
      <w:r w:rsidRPr="00E531E9" w:rsidR="00E531E9">
        <w:rPr>
          <w:rFonts w:cstheme="minorHAnsi"/>
          <w:sz w:val="20"/>
          <w:szCs w:val="20"/>
        </w:rPr>
        <w:t>–</w:t>
      </w:r>
      <w:r w:rsidR="00E531E9">
        <w:rPr>
          <w:rFonts w:cstheme="minorHAnsi"/>
          <w:sz w:val="20"/>
          <w:szCs w:val="20"/>
        </w:rPr>
        <w:t xml:space="preserve"> </w:t>
      </w:r>
      <w:r w:rsidRPr="00E531E9" w:rsidR="00E531E9">
        <w:rPr>
          <w:rFonts w:cstheme="minorHAnsi"/>
          <w:sz w:val="20"/>
          <w:szCs w:val="20"/>
        </w:rPr>
        <w:t>“</w:t>
      </w:r>
      <w:hyperlink w:history="1" r:id="rId13">
        <w:r w:rsidRPr="00E531E9" w:rsidR="00E531E9">
          <w:rPr>
            <w:rStyle w:val="Hyperlink"/>
            <w:rFonts w:cstheme="minorHAnsi"/>
            <w:sz w:val="20"/>
            <w:szCs w:val="20"/>
          </w:rPr>
          <w:t xml:space="preserve">Cooperative Interstate Shipment </w:t>
        </w:r>
        <w:r w:rsidR="00643BC3">
          <w:rPr>
            <w:rStyle w:val="Hyperlink"/>
            <w:rFonts w:cstheme="minorHAnsi"/>
            <w:sz w:val="20"/>
            <w:szCs w:val="20"/>
          </w:rPr>
          <w:t>P</w:t>
        </w:r>
        <w:r w:rsidRPr="00E531E9" w:rsidR="00E531E9">
          <w:rPr>
            <w:rStyle w:val="Hyperlink"/>
            <w:rFonts w:cstheme="minorHAnsi"/>
            <w:sz w:val="20"/>
            <w:szCs w:val="20"/>
          </w:rPr>
          <w:t>rogram -Meat</w:t>
        </w:r>
      </w:hyperlink>
      <w:r w:rsidRPr="00E531E9" w:rsidR="00E531E9">
        <w:rPr>
          <w:rFonts w:cstheme="minorHAnsi"/>
          <w:sz w:val="20"/>
          <w:szCs w:val="20"/>
        </w:rPr>
        <w:t>”</w:t>
      </w:r>
    </w:p>
    <w:p w:rsidRPr="00E531E9" w:rsidR="00E531E9" w:rsidP="00432C95" w:rsidRDefault="00E531E9" w14:paraId="11778B8C" w14:textId="0BB903FA">
      <w:pPr>
        <w:pStyle w:val="NoSpacing"/>
        <w:numPr>
          <w:ilvl w:val="0"/>
          <w:numId w:val="1"/>
        </w:numPr>
        <w:rPr>
          <w:rFonts w:cstheme="minorHAnsi"/>
          <w:sz w:val="20"/>
          <w:szCs w:val="20"/>
        </w:rPr>
      </w:pPr>
      <w:r w:rsidRPr="00E531E9">
        <w:rPr>
          <w:rFonts w:cstheme="minorHAnsi"/>
          <w:sz w:val="20"/>
          <w:szCs w:val="20"/>
        </w:rPr>
        <w:t xml:space="preserve">21 U.S.C 472 – </w:t>
      </w:r>
      <w:r>
        <w:rPr>
          <w:rFonts w:cstheme="minorHAnsi"/>
          <w:sz w:val="20"/>
          <w:szCs w:val="20"/>
        </w:rPr>
        <w:t>“</w:t>
      </w:r>
      <w:r w:rsidRPr="00E531E9">
        <w:rPr>
          <w:rFonts w:cstheme="minorHAnsi"/>
          <w:sz w:val="20"/>
          <w:szCs w:val="20"/>
        </w:rPr>
        <w:t xml:space="preserve">Cooperative </w:t>
      </w:r>
      <w:r>
        <w:rPr>
          <w:rFonts w:cstheme="minorHAnsi"/>
          <w:sz w:val="20"/>
          <w:szCs w:val="20"/>
        </w:rPr>
        <w:t>Inters</w:t>
      </w:r>
      <w:r w:rsidRPr="00E531E9">
        <w:rPr>
          <w:rFonts w:cstheme="minorHAnsi"/>
          <w:sz w:val="20"/>
          <w:szCs w:val="20"/>
        </w:rPr>
        <w:t xml:space="preserve">tate Shipment Program – </w:t>
      </w:r>
      <w:r>
        <w:rPr>
          <w:rFonts w:cstheme="minorHAnsi"/>
          <w:sz w:val="20"/>
          <w:szCs w:val="20"/>
        </w:rPr>
        <w:t>P</w:t>
      </w:r>
      <w:r w:rsidRPr="00E531E9">
        <w:rPr>
          <w:rFonts w:cstheme="minorHAnsi"/>
          <w:sz w:val="20"/>
          <w:szCs w:val="20"/>
        </w:rPr>
        <w:t>oultry</w:t>
      </w:r>
      <w:r>
        <w:rPr>
          <w:rFonts w:cstheme="minorHAnsi"/>
          <w:sz w:val="20"/>
          <w:szCs w:val="20"/>
        </w:rPr>
        <w:t>”</w:t>
      </w:r>
      <w:r w:rsidRPr="00E531E9">
        <w:rPr>
          <w:rFonts w:cstheme="minorHAnsi"/>
          <w:sz w:val="20"/>
          <w:szCs w:val="20"/>
        </w:rPr>
        <w:t xml:space="preserve"> </w:t>
      </w:r>
    </w:p>
    <w:p w:rsidRPr="00E531E9" w:rsidR="00DD5377" w:rsidP="00432C95" w:rsidRDefault="00432C95" w14:paraId="19903229" w14:textId="4EBEC0DA">
      <w:pPr>
        <w:pStyle w:val="NoSpacing"/>
        <w:numPr>
          <w:ilvl w:val="0"/>
          <w:numId w:val="1"/>
        </w:numPr>
        <w:rPr>
          <w:rFonts w:cstheme="minorHAnsi"/>
          <w:sz w:val="20"/>
          <w:szCs w:val="20"/>
        </w:rPr>
      </w:pPr>
      <w:r w:rsidRPr="00E531E9">
        <w:rPr>
          <w:rFonts w:cstheme="minorHAnsi"/>
          <w:sz w:val="20"/>
          <w:szCs w:val="20"/>
        </w:rPr>
        <w:t xml:space="preserve">9 CFR </w:t>
      </w:r>
      <w:r w:rsidRPr="00E531E9" w:rsidR="006C4BC8">
        <w:rPr>
          <w:rFonts w:cstheme="minorHAnsi"/>
          <w:sz w:val="20"/>
          <w:szCs w:val="20"/>
        </w:rPr>
        <w:t xml:space="preserve"> Parts </w:t>
      </w:r>
      <w:r w:rsidRPr="00E531E9">
        <w:rPr>
          <w:rFonts w:cstheme="minorHAnsi"/>
          <w:sz w:val="20"/>
          <w:szCs w:val="20"/>
        </w:rPr>
        <w:t>301 through</w:t>
      </w:r>
      <w:r w:rsidRPr="00E531E9" w:rsidR="00266CDD">
        <w:rPr>
          <w:rFonts w:cstheme="minorHAnsi"/>
          <w:sz w:val="20"/>
          <w:szCs w:val="20"/>
        </w:rPr>
        <w:t xml:space="preserve"> 381- “</w:t>
      </w:r>
      <w:hyperlink w:history="1" r:id="rId14">
        <w:r w:rsidRPr="00E531E9" w:rsidR="00266CDD">
          <w:rPr>
            <w:rStyle w:val="Hyperlink"/>
            <w:rFonts w:cstheme="minorHAnsi"/>
            <w:sz w:val="20"/>
            <w:szCs w:val="20"/>
          </w:rPr>
          <w:t>Mandatory Meat and Poultry Products Inspection and Voluntary Inspection and Certification</w:t>
        </w:r>
      </w:hyperlink>
      <w:r w:rsidRPr="00E531E9" w:rsidR="00266CDD">
        <w:rPr>
          <w:rFonts w:cstheme="minorHAnsi"/>
          <w:sz w:val="20"/>
          <w:szCs w:val="20"/>
        </w:rPr>
        <w:t>”</w:t>
      </w:r>
    </w:p>
    <w:p w:rsidRPr="00E531E9" w:rsidR="00432C95" w:rsidP="00432C95" w:rsidRDefault="00432C95" w14:paraId="793049B7" w14:textId="6CDBBB82">
      <w:pPr>
        <w:pStyle w:val="NoSpacing"/>
        <w:numPr>
          <w:ilvl w:val="0"/>
          <w:numId w:val="1"/>
        </w:numPr>
        <w:rPr>
          <w:rFonts w:cstheme="minorHAnsi"/>
          <w:sz w:val="20"/>
          <w:szCs w:val="20"/>
        </w:rPr>
      </w:pPr>
      <w:r w:rsidRPr="00E531E9">
        <w:rPr>
          <w:rFonts w:cstheme="minorHAnsi"/>
          <w:sz w:val="20"/>
          <w:szCs w:val="20"/>
        </w:rPr>
        <w:t>9 CFR</w:t>
      </w:r>
      <w:r w:rsidRPr="00E531E9" w:rsidR="006C4BC8">
        <w:rPr>
          <w:rFonts w:cstheme="minorHAnsi"/>
          <w:sz w:val="20"/>
          <w:szCs w:val="20"/>
        </w:rPr>
        <w:t xml:space="preserve"> Parts</w:t>
      </w:r>
      <w:r w:rsidRPr="00E531E9">
        <w:rPr>
          <w:rFonts w:cstheme="minorHAnsi"/>
          <w:sz w:val="20"/>
          <w:szCs w:val="20"/>
        </w:rPr>
        <w:t xml:space="preserve"> 416</w:t>
      </w:r>
      <w:r w:rsidRPr="00E531E9" w:rsidR="006C4BC8">
        <w:rPr>
          <w:rFonts w:cstheme="minorHAnsi"/>
          <w:sz w:val="20"/>
          <w:szCs w:val="20"/>
        </w:rPr>
        <w:t xml:space="preserve"> through 500</w:t>
      </w:r>
      <w:r w:rsidRPr="00E531E9" w:rsidR="009F2C38">
        <w:rPr>
          <w:rFonts w:cstheme="minorHAnsi"/>
          <w:sz w:val="20"/>
          <w:szCs w:val="20"/>
        </w:rPr>
        <w:t xml:space="preserve"> –</w:t>
      </w:r>
      <w:r w:rsidRPr="00E531E9" w:rsidR="00266CDD">
        <w:rPr>
          <w:rFonts w:cstheme="minorHAnsi"/>
          <w:sz w:val="20"/>
          <w:szCs w:val="20"/>
        </w:rPr>
        <w:t xml:space="preserve"> </w:t>
      </w:r>
      <w:r w:rsidRPr="00E531E9" w:rsidR="006C4BC8">
        <w:rPr>
          <w:rFonts w:cstheme="minorHAnsi"/>
          <w:sz w:val="20"/>
          <w:szCs w:val="20"/>
        </w:rPr>
        <w:t>“</w:t>
      </w:r>
      <w:hyperlink w:history="1" r:id="rId15">
        <w:r w:rsidRPr="00E531E9" w:rsidR="006C4BC8">
          <w:rPr>
            <w:rStyle w:val="Hyperlink"/>
            <w:rFonts w:cstheme="minorHAnsi"/>
            <w:sz w:val="20"/>
            <w:szCs w:val="20"/>
          </w:rPr>
          <w:t>Regulatory Requirements under the Federal Meat Inspection and the Poultry Products Inspection Act</w:t>
        </w:r>
      </w:hyperlink>
      <w:r w:rsidRPr="00E531E9" w:rsidR="006C4BC8">
        <w:rPr>
          <w:rFonts w:cstheme="minorHAnsi"/>
          <w:sz w:val="20"/>
          <w:szCs w:val="20"/>
        </w:rPr>
        <w:t>”</w:t>
      </w:r>
    </w:p>
    <w:p w:rsidRPr="009F2C38" w:rsidR="006C4BC8" w:rsidP="00432C95" w:rsidRDefault="006C4BC8" w14:paraId="46D43D51" w14:textId="3A2BC29A">
      <w:pPr>
        <w:pStyle w:val="NoSpacing"/>
        <w:numPr>
          <w:ilvl w:val="0"/>
          <w:numId w:val="1"/>
        </w:numPr>
        <w:rPr>
          <w:rFonts w:cstheme="minorHAnsi"/>
          <w:sz w:val="20"/>
          <w:szCs w:val="20"/>
        </w:rPr>
      </w:pPr>
      <w:r w:rsidRPr="009F2C38">
        <w:rPr>
          <w:rFonts w:cstheme="minorHAnsi"/>
          <w:sz w:val="20"/>
          <w:szCs w:val="20"/>
        </w:rPr>
        <w:t>9 CFR Parts 530 through 561</w:t>
      </w:r>
      <w:r w:rsidR="009F2C38">
        <w:rPr>
          <w:rFonts w:cstheme="minorHAnsi"/>
          <w:sz w:val="20"/>
          <w:szCs w:val="20"/>
        </w:rPr>
        <w:t xml:space="preserve"> </w:t>
      </w:r>
      <w:r w:rsidRPr="009F2C38" w:rsidR="009F2C38">
        <w:rPr>
          <w:rFonts w:cstheme="minorHAnsi"/>
          <w:sz w:val="20"/>
          <w:szCs w:val="20"/>
        </w:rPr>
        <w:t xml:space="preserve">– </w:t>
      </w:r>
      <w:r w:rsidR="009F2C38">
        <w:rPr>
          <w:rFonts w:cstheme="minorHAnsi"/>
          <w:sz w:val="20"/>
          <w:szCs w:val="20"/>
        </w:rPr>
        <w:t xml:space="preserve"> </w:t>
      </w:r>
      <w:r w:rsidRPr="009F2C38">
        <w:rPr>
          <w:rFonts w:cstheme="minorHAnsi"/>
          <w:sz w:val="20"/>
          <w:szCs w:val="20"/>
        </w:rPr>
        <w:t xml:space="preserve">“ </w:t>
      </w:r>
      <w:hyperlink w:history="1" r:id="rId16">
        <w:r w:rsidRPr="009F2C38">
          <w:rPr>
            <w:rStyle w:val="Hyperlink"/>
            <w:rFonts w:cstheme="minorHAnsi"/>
            <w:sz w:val="20"/>
            <w:szCs w:val="20"/>
          </w:rPr>
          <w:t xml:space="preserve">Mandatory inspection of Fish of the order </w:t>
        </w:r>
        <w:proofErr w:type="spellStart"/>
        <w:r w:rsidRPr="009F2C38">
          <w:rPr>
            <w:rStyle w:val="Hyperlink"/>
            <w:rFonts w:cstheme="minorHAnsi"/>
            <w:sz w:val="20"/>
            <w:szCs w:val="20"/>
          </w:rPr>
          <w:t>Siluriformes</w:t>
        </w:r>
        <w:proofErr w:type="spellEnd"/>
        <w:r w:rsidRPr="009F2C38">
          <w:rPr>
            <w:rStyle w:val="Hyperlink"/>
            <w:rFonts w:cstheme="minorHAnsi"/>
            <w:sz w:val="20"/>
            <w:szCs w:val="20"/>
          </w:rPr>
          <w:t xml:space="preserve"> and Products of Such Fish</w:t>
        </w:r>
      </w:hyperlink>
      <w:r w:rsidRPr="009F2C38">
        <w:rPr>
          <w:rFonts w:cstheme="minorHAnsi"/>
          <w:sz w:val="20"/>
          <w:szCs w:val="20"/>
        </w:rPr>
        <w:t>”</w:t>
      </w:r>
    </w:p>
    <w:p w:rsidRPr="009F2C38" w:rsidR="006C4BC8" w:rsidP="00432C95" w:rsidRDefault="006C4BC8" w14:paraId="2533E7D7" w14:textId="25277988">
      <w:pPr>
        <w:pStyle w:val="NoSpacing"/>
        <w:numPr>
          <w:ilvl w:val="0"/>
          <w:numId w:val="1"/>
        </w:numPr>
        <w:rPr>
          <w:rFonts w:cstheme="minorHAnsi"/>
          <w:sz w:val="20"/>
          <w:szCs w:val="20"/>
        </w:rPr>
      </w:pPr>
      <w:r w:rsidRPr="009F2C38">
        <w:rPr>
          <w:rFonts w:cstheme="minorHAnsi"/>
          <w:sz w:val="20"/>
          <w:szCs w:val="20"/>
        </w:rPr>
        <w:t>9 CFR Parts 590 through 592</w:t>
      </w:r>
      <w:r w:rsidR="009F2C38">
        <w:rPr>
          <w:rFonts w:cstheme="minorHAnsi"/>
          <w:sz w:val="20"/>
          <w:szCs w:val="20"/>
        </w:rPr>
        <w:t xml:space="preserve"> </w:t>
      </w:r>
      <w:r w:rsidRPr="009F2C38">
        <w:rPr>
          <w:rFonts w:cstheme="minorHAnsi"/>
          <w:sz w:val="20"/>
          <w:szCs w:val="20"/>
        </w:rPr>
        <w:t xml:space="preserve"> </w:t>
      </w:r>
      <w:r w:rsidRPr="009F2C38" w:rsidR="009F2C38">
        <w:rPr>
          <w:rFonts w:cstheme="minorHAnsi"/>
          <w:sz w:val="20"/>
          <w:szCs w:val="20"/>
        </w:rPr>
        <w:t xml:space="preserve">– </w:t>
      </w:r>
      <w:r w:rsidRPr="009F2C38">
        <w:rPr>
          <w:rFonts w:cstheme="minorHAnsi"/>
          <w:sz w:val="20"/>
          <w:szCs w:val="20"/>
        </w:rPr>
        <w:t>“</w:t>
      </w:r>
      <w:hyperlink w:history="1" r:id="rId17">
        <w:r w:rsidRPr="009F2C38">
          <w:rPr>
            <w:rStyle w:val="Hyperlink"/>
            <w:rFonts w:cstheme="minorHAnsi"/>
            <w:sz w:val="20"/>
            <w:szCs w:val="20"/>
          </w:rPr>
          <w:t>Egg Products inspection</w:t>
        </w:r>
      </w:hyperlink>
      <w:r w:rsidRPr="009F2C38">
        <w:rPr>
          <w:rFonts w:cstheme="minorHAnsi"/>
          <w:sz w:val="20"/>
          <w:szCs w:val="20"/>
        </w:rPr>
        <w:t xml:space="preserve">” </w:t>
      </w:r>
    </w:p>
    <w:p w:rsidRPr="009F2C38" w:rsidR="00432C95" w:rsidP="00432C95" w:rsidRDefault="00432C95" w14:paraId="442C7BD1" w14:textId="136A064F">
      <w:pPr>
        <w:pStyle w:val="NoSpacing"/>
        <w:numPr>
          <w:ilvl w:val="0"/>
          <w:numId w:val="1"/>
        </w:numPr>
        <w:rPr>
          <w:rFonts w:cstheme="minorHAnsi"/>
          <w:sz w:val="20"/>
          <w:szCs w:val="20"/>
        </w:rPr>
      </w:pPr>
      <w:r w:rsidRPr="009F2C38">
        <w:rPr>
          <w:rFonts w:cstheme="minorHAnsi"/>
          <w:sz w:val="20"/>
          <w:szCs w:val="20"/>
        </w:rPr>
        <w:t>40 CFR part 141</w:t>
      </w:r>
      <w:r w:rsidR="009F2C38">
        <w:rPr>
          <w:rFonts w:cstheme="minorHAnsi"/>
          <w:sz w:val="20"/>
          <w:szCs w:val="20"/>
        </w:rPr>
        <w:t xml:space="preserve"> </w:t>
      </w:r>
      <w:r w:rsidRPr="009F2C38" w:rsidR="009F2C38">
        <w:rPr>
          <w:rFonts w:cstheme="minorHAnsi"/>
          <w:sz w:val="20"/>
          <w:szCs w:val="20"/>
        </w:rPr>
        <w:t>–</w:t>
      </w:r>
      <w:r w:rsidRPr="009F2C38">
        <w:rPr>
          <w:rFonts w:cstheme="minorHAnsi"/>
          <w:sz w:val="20"/>
          <w:szCs w:val="20"/>
        </w:rPr>
        <w:t xml:space="preserve"> </w:t>
      </w:r>
      <w:r w:rsidRPr="009F2C38" w:rsidR="009F2C38">
        <w:rPr>
          <w:rFonts w:cstheme="minorHAnsi"/>
          <w:sz w:val="20"/>
          <w:szCs w:val="20"/>
        </w:rPr>
        <w:t>“</w:t>
      </w:r>
      <w:hyperlink w:history="1" r:id="rId18">
        <w:r w:rsidRPr="009F2C38">
          <w:rPr>
            <w:rStyle w:val="Hyperlink"/>
            <w:rFonts w:cstheme="minorHAnsi"/>
            <w:sz w:val="20"/>
            <w:szCs w:val="20"/>
          </w:rPr>
          <w:t xml:space="preserve">National Primary Drinking Water </w:t>
        </w:r>
        <w:r w:rsidRPr="009F2C38" w:rsidR="006C4BC8">
          <w:rPr>
            <w:rStyle w:val="Hyperlink"/>
            <w:rFonts w:cstheme="minorHAnsi"/>
            <w:sz w:val="20"/>
            <w:szCs w:val="20"/>
          </w:rPr>
          <w:t>Regulations</w:t>
        </w:r>
      </w:hyperlink>
      <w:r w:rsidRPr="009F2C38" w:rsidR="006C4BC8">
        <w:rPr>
          <w:rFonts w:cstheme="minorHAnsi"/>
          <w:sz w:val="20"/>
          <w:szCs w:val="20"/>
        </w:rPr>
        <w:t>”</w:t>
      </w:r>
    </w:p>
    <w:p w:rsidRPr="00687CFF" w:rsidR="00DD5377" w:rsidP="006F3880" w:rsidRDefault="00DD5377" w14:paraId="464A6F67" w14:textId="77777777">
      <w:pPr>
        <w:pStyle w:val="NoSpacing"/>
        <w:rPr>
          <w:sz w:val="20"/>
          <w:szCs w:val="20"/>
        </w:rPr>
      </w:pPr>
    </w:p>
    <w:p w:rsidRPr="00E3629A" w:rsidR="006F3880" w:rsidP="006F3880" w:rsidRDefault="006F3880" w14:paraId="3FD27885" w14:textId="6F78D1FD">
      <w:pPr>
        <w:shd w:val="clear" w:color="auto" w:fill="0070C0"/>
        <w:spacing w:before="240" w:after="240"/>
        <w:ind w:firstLine="288"/>
        <w:outlineLvl w:val="0"/>
        <w:rPr>
          <w:rFonts w:ascii="Calibri" w:hAnsi="Calibri" w:eastAsia="Calibri" w:cs="Calibri"/>
          <w:b/>
          <w:bCs/>
          <w:caps/>
          <w:color w:val="FFFFFF" w:themeColor="background1"/>
          <w:sz w:val="28"/>
        </w:rPr>
      </w:pPr>
      <w:bookmarkStart w:name="_Toc11323977" w:id="0"/>
      <w:bookmarkStart w:name="_Toc60845188" w:id="1"/>
      <w:bookmarkStart w:name="_Toc485292771" w:id="2"/>
      <w:bookmarkStart w:name="_Toc485293762" w:id="3"/>
      <w:bookmarkStart w:name="_Toc485301182" w:id="4"/>
      <w:bookmarkStart w:name="_Hlk22618382" w:id="5"/>
      <w:r w:rsidRPr="00E3629A">
        <w:rPr>
          <w:rFonts w:ascii="Calibri" w:hAnsi="Calibri" w:eastAsia="Calibri"/>
          <w:b/>
          <w:bCs/>
          <w:caps/>
          <w:color w:val="FFFFFF" w:themeColor="background1"/>
          <w:spacing w:val="29"/>
          <w:sz w:val="28"/>
        </w:rPr>
        <w:t xml:space="preserve"> </w:t>
      </w:r>
      <w:bookmarkEnd w:id="0"/>
      <w:bookmarkEnd w:id="1"/>
      <w:r w:rsidR="00E531E9">
        <w:rPr>
          <w:rFonts w:ascii="Calibri" w:hAnsi="Calibri" w:eastAsia="Calibri"/>
          <w:b/>
          <w:bCs/>
          <w:caps/>
          <w:color w:val="FFFFFF" w:themeColor="background1"/>
          <w:spacing w:val="29"/>
          <w:sz w:val="28"/>
        </w:rPr>
        <w:t>2</w:t>
      </w:r>
      <w:r w:rsidR="00A00A10">
        <w:rPr>
          <w:rFonts w:ascii="Calibri" w:hAnsi="Calibri" w:eastAsia="Calibri"/>
          <w:b/>
          <w:bCs/>
          <w:caps/>
          <w:color w:val="FFFFFF" w:themeColor="background1"/>
          <w:spacing w:val="29"/>
          <w:sz w:val="28"/>
        </w:rPr>
        <w:t>.0 Allowable and Unallowable Cost and Activities</w:t>
      </w:r>
    </w:p>
    <w:tbl>
      <w:tblPr>
        <w:tblStyle w:val="TableGrid"/>
        <w:tblW w:w="0" w:type="auto"/>
        <w:tblLook w:val="04A0" w:firstRow="1" w:lastRow="0" w:firstColumn="1" w:lastColumn="0" w:noHBand="0" w:noVBand="1"/>
      </w:tblPr>
      <w:tblGrid>
        <w:gridCol w:w="2245"/>
        <w:gridCol w:w="7105"/>
      </w:tblGrid>
      <w:tr w:rsidR="00A00A10" w:rsidTr="00984ABD" w14:paraId="4F045790" w14:textId="77777777">
        <w:trPr>
          <w:trHeight w:val="341"/>
        </w:trPr>
        <w:tc>
          <w:tcPr>
            <w:tcW w:w="2245" w:type="dxa"/>
            <w:shd w:val="clear" w:color="auto" w:fill="0070C0"/>
          </w:tcPr>
          <w:bookmarkEnd w:id="2"/>
          <w:bookmarkEnd w:id="3"/>
          <w:bookmarkEnd w:id="4"/>
          <w:bookmarkEnd w:id="5"/>
          <w:p w:rsidRPr="00687CFF" w:rsidR="00A00A10" w:rsidP="00A00A10" w:rsidRDefault="00A00A10" w14:paraId="17A66BA6" w14:textId="3F0932A6">
            <w:pPr>
              <w:jc w:val="center"/>
              <w:rPr>
                <w:b/>
                <w:bCs/>
                <w:color w:val="FFFFFF" w:themeColor="background1"/>
                <w:sz w:val="20"/>
                <w:szCs w:val="20"/>
              </w:rPr>
            </w:pPr>
            <w:r w:rsidRPr="00687CFF">
              <w:rPr>
                <w:b/>
                <w:bCs/>
                <w:color w:val="FFFFFF" w:themeColor="background1"/>
                <w:sz w:val="20"/>
                <w:szCs w:val="20"/>
              </w:rPr>
              <w:t>Cost Category</w:t>
            </w:r>
          </w:p>
        </w:tc>
        <w:tc>
          <w:tcPr>
            <w:tcW w:w="7105" w:type="dxa"/>
            <w:shd w:val="clear" w:color="auto" w:fill="0070C0"/>
          </w:tcPr>
          <w:p w:rsidRPr="00687CFF" w:rsidR="00A00A10" w:rsidP="00A00A10" w:rsidRDefault="00A00A10" w14:paraId="667C70E8" w14:textId="7ACAE606">
            <w:pPr>
              <w:jc w:val="center"/>
              <w:rPr>
                <w:b/>
                <w:bCs/>
                <w:color w:val="FFFFFF" w:themeColor="background1"/>
                <w:sz w:val="20"/>
                <w:szCs w:val="20"/>
              </w:rPr>
            </w:pPr>
            <w:r w:rsidRPr="00687CFF">
              <w:rPr>
                <w:b/>
                <w:bCs/>
                <w:color w:val="FFFFFF" w:themeColor="background1"/>
                <w:sz w:val="20"/>
                <w:szCs w:val="20"/>
              </w:rPr>
              <w:t>Description, Guidance and Exceptions</w:t>
            </w:r>
          </w:p>
        </w:tc>
      </w:tr>
      <w:tr w:rsidR="00A00A10" w:rsidTr="00A00A10" w14:paraId="356773D4" w14:textId="77777777">
        <w:tc>
          <w:tcPr>
            <w:tcW w:w="2245" w:type="dxa"/>
          </w:tcPr>
          <w:p w:rsidRPr="00687CFF" w:rsidR="00A00A10" w:rsidRDefault="00A00A10" w14:paraId="749FFCA3" w14:textId="1001458D">
            <w:pPr>
              <w:rPr>
                <w:b/>
                <w:bCs/>
                <w:sz w:val="20"/>
                <w:szCs w:val="20"/>
              </w:rPr>
            </w:pPr>
            <w:r w:rsidRPr="00687CFF">
              <w:rPr>
                <w:b/>
                <w:bCs/>
                <w:sz w:val="20"/>
                <w:szCs w:val="20"/>
              </w:rPr>
              <w:t>Building</w:t>
            </w:r>
            <w:r w:rsidRPr="00687CFF" w:rsidR="00687CFF">
              <w:rPr>
                <w:b/>
                <w:bCs/>
                <w:sz w:val="20"/>
                <w:szCs w:val="20"/>
              </w:rPr>
              <w:t xml:space="preserve"> and Land- Construction</w:t>
            </w:r>
          </w:p>
        </w:tc>
        <w:tc>
          <w:tcPr>
            <w:tcW w:w="7105" w:type="dxa"/>
          </w:tcPr>
          <w:p w:rsidRPr="00687CFF" w:rsidR="00A00A10" w:rsidRDefault="00687CFF" w14:paraId="38ABE470" w14:textId="2EC90A37">
            <w:pPr>
              <w:rPr>
                <w:sz w:val="20"/>
                <w:szCs w:val="20"/>
              </w:rPr>
            </w:pPr>
            <w:r w:rsidRPr="00687CFF">
              <w:rPr>
                <w:b/>
                <w:bCs/>
                <w:sz w:val="20"/>
                <w:szCs w:val="20"/>
              </w:rPr>
              <w:t xml:space="preserve">Allowable </w:t>
            </w:r>
            <w:r w:rsidRPr="00687CFF">
              <w:rPr>
                <w:sz w:val="20"/>
                <w:szCs w:val="20"/>
              </w:rPr>
              <w:t xml:space="preserve">for </w:t>
            </w:r>
            <w:r w:rsidRPr="005555B6">
              <w:rPr>
                <w:sz w:val="20"/>
                <w:szCs w:val="20"/>
              </w:rPr>
              <w:t>the acquisition of buildings, facilities, or land or to make additions, improvements, modifications, replacements, rearrangements, reinstallations, renovations</w:t>
            </w:r>
            <w:r>
              <w:rPr>
                <w:sz w:val="20"/>
                <w:szCs w:val="20"/>
              </w:rPr>
              <w:t>,</w:t>
            </w:r>
            <w:r w:rsidRPr="005555B6">
              <w:rPr>
                <w:sz w:val="20"/>
                <w:szCs w:val="20"/>
              </w:rPr>
              <w:t xml:space="preserve"> or alterations of an existing building or facility (including site grading and improvement, and architecture fees). This also includes construction and construction-related materials, which may include, but are not limited to</w:t>
            </w:r>
            <w:r>
              <w:rPr>
                <w:sz w:val="20"/>
                <w:szCs w:val="20"/>
              </w:rPr>
              <w:t>,</w:t>
            </w:r>
            <w:r w:rsidRPr="005555B6">
              <w:rPr>
                <w:sz w:val="20"/>
                <w:szCs w:val="20"/>
              </w:rPr>
              <w:t xml:space="preserve"> the purchase of building materials such as wood, nails, concrete, asphalt, roofing, gravel, sand, paint, insulation, drywall, or plumbing.</w:t>
            </w:r>
          </w:p>
        </w:tc>
      </w:tr>
      <w:tr w:rsidR="00A00A10" w:rsidTr="00A00A10" w14:paraId="4455BCF0" w14:textId="77777777">
        <w:tc>
          <w:tcPr>
            <w:tcW w:w="2245" w:type="dxa"/>
          </w:tcPr>
          <w:p w:rsidRPr="00687CFF" w:rsidR="00A00A10" w:rsidRDefault="00687CFF" w14:paraId="5CD36F5E" w14:textId="4F84AC2B">
            <w:pPr>
              <w:rPr>
                <w:b/>
                <w:bCs/>
                <w:sz w:val="20"/>
                <w:szCs w:val="20"/>
              </w:rPr>
            </w:pPr>
            <w:r>
              <w:rPr>
                <w:b/>
                <w:bCs/>
                <w:sz w:val="20"/>
                <w:szCs w:val="20"/>
              </w:rPr>
              <w:t>Equipment</w:t>
            </w:r>
          </w:p>
        </w:tc>
        <w:tc>
          <w:tcPr>
            <w:tcW w:w="7105" w:type="dxa"/>
          </w:tcPr>
          <w:p w:rsidR="00A00A10" w:rsidRDefault="005D2393" w14:paraId="27EC413E" w14:textId="124C7B58">
            <w:pPr>
              <w:rPr>
                <w:b/>
                <w:bCs/>
                <w:sz w:val="20"/>
                <w:szCs w:val="20"/>
              </w:rPr>
            </w:pPr>
            <w:r>
              <w:rPr>
                <w:b/>
                <w:bCs/>
                <w:sz w:val="20"/>
                <w:szCs w:val="20"/>
              </w:rPr>
              <w:t xml:space="preserve">Allowable </w:t>
            </w:r>
            <w:r w:rsidRPr="005D2393">
              <w:rPr>
                <w:sz w:val="20"/>
                <w:szCs w:val="20"/>
              </w:rPr>
              <w:t>with</w:t>
            </w:r>
            <w:r>
              <w:rPr>
                <w:b/>
                <w:bCs/>
                <w:sz w:val="20"/>
                <w:szCs w:val="20"/>
              </w:rPr>
              <w:t xml:space="preserve"> </w:t>
            </w:r>
            <w:r w:rsidRPr="005D2393">
              <w:rPr>
                <w:sz w:val="20"/>
                <w:szCs w:val="20"/>
              </w:rPr>
              <w:t>prior approval</w:t>
            </w:r>
            <w:r>
              <w:rPr>
                <w:b/>
                <w:bCs/>
                <w:sz w:val="20"/>
                <w:szCs w:val="20"/>
              </w:rPr>
              <w:t xml:space="preserve"> </w:t>
            </w:r>
            <w:r w:rsidRPr="005D2393">
              <w:rPr>
                <w:sz w:val="20"/>
                <w:szCs w:val="20"/>
              </w:rPr>
              <w:t xml:space="preserve">for </w:t>
            </w:r>
            <w:r>
              <w:rPr>
                <w:sz w:val="20"/>
                <w:szCs w:val="20"/>
              </w:rPr>
              <w:t>acquisition costs</w:t>
            </w:r>
            <w:r w:rsidRPr="005D2393">
              <w:rPr>
                <w:sz w:val="20"/>
                <w:szCs w:val="20"/>
              </w:rPr>
              <w:t xml:space="preserve"> of general-purpose equipment.</w:t>
            </w:r>
            <w:r>
              <w:rPr>
                <w:sz w:val="20"/>
                <w:szCs w:val="20"/>
              </w:rPr>
              <w:t xml:space="preserve"> Recipients should consider </w:t>
            </w:r>
            <w:r w:rsidR="00984ABD">
              <w:rPr>
                <w:sz w:val="20"/>
                <w:szCs w:val="20"/>
              </w:rPr>
              <w:t xml:space="preserve">rental cost of </w:t>
            </w:r>
            <w:r w:rsidR="00A91A7B">
              <w:rPr>
                <w:sz w:val="20"/>
                <w:szCs w:val="20"/>
              </w:rPr>
              <w:t>general-purpose</w:t>
            </w:r>
            <w:r w:rsidR="00984ABD">
              <w:rPr>
                <w:sz w:val="20"/>
                <w:szCs w:val="20"/>
              </w:rPr>
              <w:t xml:space="preserve"> equipment as their first option. </w:t>
            </w:r>
            <w:r>
              <w:rPr>
                <w:b/>
                <w:bCs/>
                <w:sz w:val="20"/>
                <w:szCs w:val="20"/>
              </w:rPr>
              <w:t xml:space="preserve"> </w:t>
            </w:r>
          </w:p>
          <w:p w:rsidRPr="00687CFF" w:rsidR="00984ABD" w:rsidRDefault="00984ABD" w14:paraId="366463CF" w14:textId="31248829">
            <w:pPr>
              <w:rPr>
                <w:b/>
                <w:bCs/>
                <w:sz w:val="20"/>
                <w:szCs w:val="20"/>
              </w:rPr>
            </w:pPr>
            <w:r>
              <w:rPr>
                <w:b/>
                <w:bCs/>
                <w:sz w:val="20"/>
                <w:szCs w:val="20"/>
              </w:rPr>
              <w:t xml:space="preserve">Allowable </w:t>
            </w:r>
            <w:r w:rsidRPr="00984ABD">
              <w:rPr>
                <w:sz w:val="20"/>
                <w:szCs w:val="20"/>
              </w:rPr>
              <w:t>for the acquisition of special purpose equipment</w:t>
            </w:r>
            <w:r>
              <w:rPr>
                <w:sz w:val="20"/>
                <w:szCs w:val="20"/>
              </w:rPr>
              <w:t>.</w:t>
            </w:r>
            <w:r>
              <w:rPr>
                <w:b/>
                <w:bCs/>
                <w:sz w:val="20"/>
                <w:szCs w:val="20"/>
              </w:rPr>
              <w:t xml:space="preserve"> </w:t>
            </w:r>
          </w:p>
        </w:tc>
      </w:tr>
      <w:tr w:rsidR="003E09A2" w:rsidTr="00A00A10" w14:paraId="403CF9EA" w14:textId="77777777">
        <w:tc>
          <w:tcPr>
            <w:tcW w:w="2245" w:type="dxa"/>
          </w:tcPr>
          <w:p w:rsidR="003E09A2" w:rsidRDefault="003E09A2" w14:paraId="64AB2AB9" w14:textId="13B35BEF">
            <w:pPr>
              <w:rPr>
                <w:b/>
                <w:bCs/>
                <w:sz w:val="20"/>
                <w:szCs w:val="20"/>
              </w:rPr>
            </w:pPr>
            <w:r>
              <w:rPr>
                <w:b/>
                <w:bCs/>
                <w:sz w:val="20"/>
                <w:szCs w:val="20"/>
              </w:rPr>
              <w:t>Compensation for Damage</w:t>
            </w:r>
          </w:p>
        </w:tc>
        <w:tc>
          <w:tcPr>
            <w:tcW w:w="7105" w:type="dxa"/>
          </w:tcPr>
          <w:p w:rsidR="003E09A2" w:rsidRDefault="003E09A2" w14:paraId="1592EA8E" w14:textId="7B7C97BD">
            <w:pPr>
              <w:rPr>
                <w:b/>
                <w:bCs/>
                <w:sz w:val="20"/>
                <w:szCs w:val="20"/>
              </w:rPr>
            </w:pPr>
            <w:r>
              <w:rPr>
                <w:b/>
                <w:bCs/>
                <w:sz w:val="20"/>
                <w:szCs w:val="20"/>
              </w:rPr>
              <w:t xml:space="preserve">Unallowable </w:t>
            </w:r>
            <w:r w:rsidRPr="003E09A2">
              <w:rPr>
                <w:sz w:val="20"/>
                <w:szCs w:val="20"/>
              </w:rPr>
              <w:t>for recipients to receive compensation for injuries or damage to property arising from project activities</w:t>
            </w:r>
            <w:r>
              <w:rPr>
                <w:b/>
                <w:bCs/>
                <w:sz w:val="20"/>
                <w:szCs w:val="20"/>
              </w:rPr>
              <w:t xml:space="preserve">. </w:t>
            </w:r>
          </w:p>
        </w:tc>
      </w:tr>
      <w:tr w:rsidR="0077271F" w:rsidTr="00A00A10" w14:paraId="7B230150" w14:textId="77777777">
        <w:tc>
          <w:tcPr>
            <w:tcW w:w="2245" w:type="dxa"/>
          </w:tcPr>
          <w:p w:rsidR="0077271F" w:rsidRDefault="0077271F" w14:paraId="4FD94AD6" w14:textId="1A9C11A6">
            <w:pPr>
              <w:rPr>
                <w:b/>
                <w:bCs/>
                <w:sz w:val="20"/>
                <w:szCs w:val="20"/>
              </w:rPr>
            </w:pPr>
            <w:r>
              <w:rPr>
                <w:b/>
                <w:bCs/>
                <w:sz w:val="20"/>
                <w:szCs w:val="20"/>
              </w:rPr>
              <w:t>Marketing Costs</w:t>
            </w:r>
          </w:p>
        </w:tc>
        <w:tc>
          <w:tcPr>
            <w:tcW w:w="7105" w:type="dxa"/>
          </w:tcPr>
          <w:p w:rsidR="0077271F" w:rsidRDefault="0077271F" w14:paraId="5E18DEAA" w14:textId="372113A6">
            <w:pPr>
              <w:rPr>
                <w:b/>
                <w:bCs/>
                <w:sz w:val="20"/>
                <w:szCs w:val="20"/>
              </w:rPr>
            </w:pPr>
            <w:r>
              <w:rPr>
                <w:b/>
                <w:bCs/>
                <w:sz w:val="20"/>
                <w:szCs w:val="20"/>
              </w:rPr>
              <w:t>Unallowable</w:t>
            </w:r>
            <w:r w:rsidR="00886052">
              <w:rPr>
                <w:b/>
                <w:bCs/>
                <w:sz w:val="20"/>
                <w:szCs w:val="20"/>
              </w:rPr>
              <w:t xml:space="preserve"> </w:t>
            </w:r>
            <w:r w:rsidRPr="00352F80" w:rsidR="00886052">
              <w:rPr>
                <w:sz w:val="20"/>
                <w:szCs w:val="20"/>
              </w:rPr>
              <w:t xml:space="preserve">for recipients to use funds </w:t>
            </w:r>
            <w:r w:rsidRPr="00352F80" w:rsidR="00352F80">
              <w:rPr>
                <w:sz w:val="20"/>
                <w:szCs w:val="20"/>
              </w:rPr>
              <w:t>for marketing their product(s) or organization</w:t>
            </w:r>
            <w:r w:rsidR="00352F80">
              <w:rPr>
                <w:sz w:val="20"/>
                <w:szCs w:val="20"/>
              </w:rPr>
              <w:t>.</w:t>
            </w:r>
          </w:p>
        </w:tc>
      </w:tr>
    </w:tbl>
    <w:p w:rsidR="006F3880" w:rsidRDefault="006F3880" w14:paraId="500CC57A" w14:textId="47158B97">
      <w:pPr>
        <w:rPr>
          <w:b/>
          <w:bCs/>
        </w:rPr>
      </w:pPr>
    </w:p>
    <w:p w:rsidRPr="00E3629A" w:rsidR="006F3880" w:rsidP="006F3880" w:rsidRDefault="009E5FED" w14:paraId="73E1A405" w14:textId="7FBAED89">
      <w:pPr>
        <w:shd w:val="clear" w:color="auto" w:fill="0070C0"/>
        <w:spacing w:before="240" w:after="240"/>
        <w:ind w:firstLine="288"/>
        <w:outlineLvl w:val="0"/>
        <w:rPr>
          <w:rFonts w:ascii="Calibri" w:hAnsi="Calibri" w:eastAsia="Calibri" w:cs="Calibri"/>
          <w:b/>
          <w:bCs/>
          <w:caps/>
          <w:color w:val="FFFFFF" w:themeColor="background1"/>
          <w:sz w:val="28"/>
        </w:rPr>
      </w:pPr>
      <w:r>
        <w:rPr>
          <w:rFonts w:ascii="Calibri" w:hAnsi="Calibri" w:eastAsia="Calibri"/>
          <w:b/>
          <w:bCs/>
          <w:caps/>
          <w:color w:val="FFFFFF" w:themeColor="background1"/>
          <w:spacing w:val="10"/>
          <w:sz w:val="28"/>
        </w:rPr>
        <w:t>3</w:t>
      </w:r>
      <w:r w:rsidR="00A00A10">
        <w:rPr>
          <w:rFonts w:ascii="Calibri" w:hAnsi="Calibri" w:eastAsia="Calibri"/>
          <w:b/>
          <w:bCs/>
          <w:caps/>
          <w:color w:val="FFFFFF" w:themeColor="background1"/>
          <w:spacing w:val="10"/>
          <w:sz w:val="28"/>
        </w:rPr>
        <w:t>.0</w:t>
      </w:r>
      <w:r w:rsidRPr="00E3629A" w:rsidR="006F3880">
        <w:rPr>
          <w:rFonts w:ascii="Calibri" w:hAnsi="Calibri" w:eastAsia="Calibri"/>
          <w:b/>
          <w:bCs/>
          <w:caps/>
          <w:color w:val="FFFFFF" w:themeColor="background1"/>
          <w:spacing w:val="29"/>
          <w:sz w:val="28"/>
        </w:rPr>
        <w:t xml:space="preserve"> </w:t>
      </w:r>
      <w:r w:rsidR="005D2393">
        <w:rPr>
          <w:rFonts w:ascii="Calibri" w:hAnsi="Calibri" w:eastAsia="Calibri"/>
          <w:b/>
          <w:bCs/>
          <w:caps/>
          <w:color w:val="FFFFFF" w:themeColor="background1"/>
          <w:sz w:val="28"/>
        </w:rPr>
        <w:t>No Cost Extension</w:t>
      </w:r>
    </w:p>
    <w:p w:rsidRPr="00A91A7B" w:rsidR="006F3880" w:rsidRDefault="005D2393" w14:paraId="7B0724D2" w14:textId="64A4D654">
      <w:pPr>
        <w:rPr>
          <w:sz w:val="20"/>
          <w:szCs w:val="20"/>
        </w:rPr>
      </w:pPr>
      <w:r w:rsidRPr="00A91A7B">
        <w:rPr>
          <w:sz w:val="20"/>
          <w:szCs w:val="20"/>
        </w:rPr>
        <w:t xml:space="preserve">The recipient </w:t>
      </w:r>
      <w:r w:rsidRPr="00A91A7B" w:rsidR="00984ABD">
        <w:rPr>
          <w:sz w:val="20"/>
          <w:szCs w:val="20"/>
        </w:rPr>
        <w:t>must have received a federal</w:t>
      </w:r>
      <w:r w:rsidR="00A91A7B">
        <w:rPr>
          <w:sz w:val="20"/>
          <w:szCs w:val="20"/>
        </w:rPr>
        <w:t xml:space="preserve"> meat or poultry</w:t>
      </w:r>
      <w:r w:rsidRPr="00A91A7B" w:rsidR="00984ABD">
        <w:rPr>
          <w:sz w:val="20"/>
          <w:szCs w:val="20"/>
        </w:rPr>
        <w:t xml:space="preserve"> inspection or acquired a cooperative interstate shipment program (CIS) certification within 36 months of the initial period of the grant agreement</w:t>
      </w:r>
      <w:r w:rsidRPr="00A91A7B" w:rsidR="00A91A7B">
        <w:rPr>
          <w:sz w:val="20"/>
          <w:szCs w:val="20"/>
        </w:rPr>
        <w:t xml:space="preserve"> in order to avoid having to return awarded funds</w:t>
      </w:r>
      <w:r w:rsidRPr="00A91A7B" w:rsidR="00984ABD">
        <w:rPr>
          <w:sz w:val="20"/>
          <w:szCs w:val="20"/>
        </w:rPr>
        <w:t xml:space="preserve">. A no cost extension will not be granted to meet this requirement. A recipient may request a no cost extension </w:t>
      </w:r>
      <w:r w:rsidR="00A91A7B">
        <w:rPr>
          <w:sz w:val="20"/>
          <w:szCs w:val="20"/>
        </w:rPr>
        <w:t xml:space="preserve">of up to 12 months from the end of the period of performance to complete project objectives. The request must be submitted 10 days prior to the ending date of the grant agreement. </w:t>
      </w:r>
    </w:p>
    <w:p w:rsidRPr="00E3629A" w:rsidR="006F3880" w:rsidP="006F3880" w:rsidRDefault="009E5FED" w14:paraId="325E3E84" w14:textId="6BD95AA0">
      <w:pPr>
        <w:shd w:val="clear" w:color="auto" w:fill="0070C0"/>
        <w:spacing w:before="240" w:after="240"/>
        <w:ind w:firstLine="288"/>
        <w:outlineLvl w:val="0"/>
        <w:rPr>
          <w:rFonts w:ascii="Calibri" w:hAnsi="Calibri" w:eastAsia="Calibri" w:cs="Calibri"/>
          <w:b/>
          <w:bCs/>
          <w:caps/>
          <w:color w:val="FFFFFF" w:themeColor="background1"/>
          <w:sz w:val="28"/>
        </w:rPr>
      </w:pPr>
      <w:r>
        <w:rPr>
          <w:rFonts w:ascii="Calibri" w:hAnsi="Calibri" w:eastAsia="Calibri"/>
          <w:b/>
          <w:bCs/>
          <w:caps/>
          <w:color w:val="FFFFFF" w:themeColor="background1"/>
          <w:spacing w:val="10"/>
          <w:sz w:val="28"/>
        </w:rPr>
        <w:t>4</w:t>
      </w:r>
      <w:r w:rsidRPr="00E3629A" w:rsidR="006F3880">
        <w:rPr>
          <w:rFonts w:ascii="Calibri" w:hAnsi="Calibri" w:eastAsia="Calibri"/>
          <w:b/>
          <w:bCs/>
          <w:caps/>
          <w:color w:val="FFFFFF" w:themeColor="background1"/>
          <w:spacing w:val="10"/>
          <w:sz w:val="28"/>
        </w:rPr>
        <w:t>.0</w:t>
      </w:r>
      <w:r w:rsidR="00A91A7B">
        <w:rPr>
          <w:rFonts w:ascii="Calibri" w:hAnsi="Calibri" w:eastAsia="Calibri"/>
          <w:b/>
          <w:bCs/>
          <w:caps/>
          <w:color w:val="FFFFFF" w:themeColor="background1"/>
          <w:sz w:val="28"/>
        </w:rPr>
        <w:t xml:space="preserve"> </w:t>
      </w:r>
      <w:r w:rsidR="003E09A2">
        <w:rPr>
          <w:rFonts w:ascii="Calibri" w:hAnsi="Calibri" w:eastAsia="Calibri"/>
          <w:b/>
          <w:bCs/>
          <w:caps/>
          <w:color w:val="FFFFFF" w:themeColor="background1"/>
          <w:sz w:val="28"/>
        </w:rPr>
        <w:t>CONSTRUCTION AND EQUIPMENT</w:t>
      </w:r>
    </w:p>
    <w:p w:rsidR="003E09A2" w:rsidRDefault="00FF6181" w14:paraId="341809CE" w14:textId="5338AD5E">
      <w:pPr>
        <w:rPr>
          <w:sz w:val="20"/>
          <w:szCs w:val="20"/>
        </w:rPr>
      </w:pPr>
      <w:r>
        <w:rPr>
          <w:sz w:val="20"/>
          <w:szCs w:val="20"/>
        </w:rPr>
        <w:t>ISIRP r</w:t>
      </w:r>
      <w:r w:rsidRPr="00100908" w:rsidR="00100908">
        <w:rPr>
          <w:sz w:val="20"/>
          <w:szCs w:val="20"/>
        </w:rPr>
        <w:t>ecipients are encouraged to purchase only American-made equipment and products</w:t>
      </w:r>
      <w:r w:rsidR="00100908">
        <w:rPr>
          <w:sz w:val="20"/>
          <w:szCs w:val="20"/>
        </w:rPr>
        <w:t xml:space="preserve">, per Executive Order </w:t>
      </w:r>
      <w:hyperlink w:history="1" r:id="rId19">
        <w:r w:rsidRPr="00B42B9F" w:rsidR="00100908">
          <w:rPr>
            <w:rStyle w:val="Hyperlink"/>
            <w:sz w:val="20"/>
            <w:szCs w:val="20"/>
          </w:rPr>
          <w:t>13</w:t>
        </w:r>
        <w:r w:rsidRPr="00B42B9F" w:rsidR="00B42B9F">
          <w:rPr>
            <w:rStyle w:val="Hyperlink"/>
            <w:sz w:val="20"/>
            <w:szCs w:val="20"/>
          </w:rPr>
          <w:t>858</w:t>
        </w:r>
      </w:hyperlink>
      <w:r w:rsidRPr="00100908" w:rsidR="00100908">
        <w:rPr>
          <w:sz w:val="20"/>
          <w:szCs w:val="20"/>
        </w:rPr>
        <w:t>.</w:t>
      </w:r>
      <w:r w:rsidR="003E09A2">
        <w:rPr>
          <w:sz w:val="20"/>
          <w:szCs w:val="20"/>
        </w:rPr>
        <w:t xml:space="preserve"> Recipients are encouraged to use, to the greatest extent possible, iron and aluminum as well steel, cement, and other manufactured products produced in the U.S in every contract, subcontract, purchase order or subaward. </w:t>
      </w:r>
    </w:p>
    <w:p w:rsidR="00100908" w:rsidRDefault="00100908" w14:paraId="5AFCC9C4" w14:textId="2BCFDEC1">
      <w:pPr>
        <w:rPr>
          <w:sz w:val="20"/>
          <w:szCs w:val="20"/>
        </w:rPr>
      </w:pPr>
      <w:r w:rsidRPr="00100908">
        <w:rPr>
          <w:sz w:val="20"/>
          <w:szCs w:val="20"/>
        </w:rPr>
        <w:t xml:space="preserve">Title to nonexpendable equipment purchased with award funds will vest in the recipient upon completion of the award project and acceptance by </w:t>
      </w:r>
      <w:r>
        <w:rPr>
          <w:sz w:val="20"/>
          <w:szCs w:val="20"/>
        </w:rPr>
        <w:t xml:space="preserve">AMS </w:t>
      </w:r>
      <w:r w:rsidRPr="00100908">
        <w:rPr>
          <w:sz w:val="20"/>
          <w:szCs w:val="20"/>
        </w:rPr>
        <w:t xml:space="preserve">of required final reports. </w:t>
      </w:r>
      <w:r w:rsidR="00F42A9A">
        <w:rPr>
          <w:sz w:val="20"/>
          <w:szCs w:val="20"/>
        </w:rPr>
        <w:t xml:space="preserve">Please refer to section 12.0 of AMS General Terms and Conditions for equipment disposition instructions. </w:t>
      </w:r>
    </w:p>
    <w:p w:rsidRPr="00E3629A" w:rsidR="00F42A9A" w:rsidP="00F42A9A" w:rsidRDefault="009E5FED" w14:paraId="006F54AC" w14:textId="335AF2C7">
      <w:pPr>
        <w:shd w:val="clear" w:color="auto" w:fill="0070C0"/>
        <w:spacing w:before="240" w:after="240"/>
        <w:ind w:firstLine="288"/>
        <w:outlineLvl w:val="0"/>
        <w:rPr>
          <w:rFonts w:ascii="Calibri" w:hAnsi="Calibri" w:eastAsia="Calibri" w:cs="Calibri"/>
          <w:b/>
          <w:bCs/>
          <w:caps/>
          <w:color w:val="FFFFFF" w:themeColor="background1"/>
          <w:sz w:val="28"/>
        </w:rPr>
      </w:pPr>
      <w:r>
        <w:rPr>
          <w:rFonts w:ascii="Calibri" w:hAnsi="Calibri" w:eastAsia="Calibri"/>
          <w:b/>
          <w:bCs/>
          <w:caps/>
          <w:color w:val="FFFFFF" w:themeColor="background1"/>
          <w:spacing w:val="10"/>
          <w:sz w:val="28"/>
        </w:rPr>
        <w:t>5</w:t>
      </w:r>
      <w:r w:rsidRPr="00E3629A" w:rsidR="00F42A9A">
        <w:rPr>
          <w:rFonts w:ascii="Calibri" w:hAnsi="Calibri" w:eastAsia="Calibri"/>
          <w:b/>
          <w:bCs/>
          <w:caps/>
          <w:color w:val="FFFFFF" w:themeColor="background1"/>
          <w:spacing w:val="10"/>
          <w:sz w:val="28"/>
        </w:rPr>
        <w:t>.0</w:t>
      </w:r>
      <w:r w:rsidR="00F42A9A">
        <w:rPr>
          <w:rFonts w:ascii="Calibri" w:hAnsi="Calibri" w:eastAsia="Calibri"/>
          <w:b/>
          <w:bCs/>
          <w:caps/>
          <w:color w:val="FFFFFF" w:themeColor="background1"/>
          <w:sz w:val="28"/>
        </w:rPr>
        <w:t xml:space="preserve"> real property</w:t>
      </w:r>
    </w:p>
    <w:p w:rsidRPr="00F976B1" w:rsidR="00F976B1" w:rsidP="00F976B1" w:rsidRDefault="00F976B1" w14:paraId="7FB30A4E" w14:textId="1A512A7D">
      <w:pPr>
        <w:pStyle w:val="NoSpacing"/>
        <w:rPr>
          <w:sz w:val="20"/>
          <w:szCs w:val="20"/>
        </w:rPr>
      </w:pPr>
      <w:r w:rsidRPr="00F976B1">
        <w:rPr>
          <w:sz w:val="20"/>
          <w:szCs w:val="20"/>
        </w:rPr>
        <w:t xml:space="preserve">The recipient cannot encumber property acquired or improved as part of the grant award and must follow the requirements of 2 CFR 200.311 before disposing of the property. The real property will be used for the originally authorized purpose as long as needed for that purpose. When real property is no longer needed for the originally authorized purpose, the recipient must obtain disposition instructions from AMS. The following alternatives will apply: </w:t>
      </w:r>
    </w:p>
    <w:p w:rsidRPr="00F976B1" w:rsidR="00F976B1" w:rsidP="00F976B1" w:rsidRDefault="00F976B1" w14:paraId="36D7B708" w14:textId="77777777">
      <w:pPr>
        <w:pStyle w:val="NoSpacing"/>
        <w:rPr>
          <w:sz w:val="20"/>
          <w:szCs w:val="20"/>
        </w:rPr>
      </w:pPr>
    </w:p>
    <w:p w:rsidR="00F976B1" w:rsidP="00960CAD" w:rsidRDefault="00F976B1" w14:paraId="5F42265E" w14:textId="0D467A90">
      <w:pPr>
        <w:pStyle w:val="NoSpacing"/>
        <w:ind w:left="360"/>
        <w:rPr>
          <w:sz w:val="20"/>
          <w:szCs w:val="20"/>
        </w:rPr>
      </w:pPr>
      <w:r w:rsidRPr="00F976B1">
        <w:rPr>
          <w:sz w:val="20"/>
          <w:szCs w:val="20"/>
        </w:rPr>
        <w:t>a</w:t>
      </w:r>
      <w:r>
        <w:rPr>
          <w:sz w:val="20"/>
          <w:szCs w:val="20"/>
        </w:rPr>
        <w:t>.</w:t>
      </w:r>
      <w:r w:rsidRPr="00F976B1">
        <w:rPr>
          <w:sz w:val="20"/>
          <w:szCs w:val="20"/>
        </w:rPr>
        <w:t xml:space="preserve"> </w:t>
      </w:r>
      <w:r>
        <w:rPr>
          <w:sz w:val="20"/>
          <w:szCs w:val="20"/>
        </w:rPr>
        <w:t>R</w:t>
      </w:r>
      <w:r w:rsidRPr="00F976B1">
        <w:rPr>
          <w:sz w:val="20"/>
          <w:szCs w:val="20"/>
        </w:rPr>
        <w:t>etain title after compensating the Federal awarding agency as described in 2 CFR Part 200.311(c)(1</w:t>
      </w:r>
      <w:proofErr w:type="gramStart"/>
      <w:r w:rsidRPr="00F976B1">
        <w:rPr>
          <w:sz w:val="20"/>
          <w:szCs w:val="20"/>
        </w:rPr>
        <w:t>);</w:t>
      </w:r>
      <w:proofErr w:type="gramEnd"/>
      <w:r w:rsidRPr="00F976B1">
        <w:rPr>
          <w:sz w:val="20"/>
          <w:szCs w:val="20"/>
        </w:rPr>
        <w:t xml:space="preserve"> </w:t>
      </w:r>
    </w:p>
    <w:p w:rsidRPr="00F976B1" w:rsidR="00F976B1" w:rsidP="00960CAD" w:rsidRDefault="00F976B1" w14:paraId="64A92CA5" w14:textId="08FD9D06">
      <w:pPr>
        <w:pStyle w:val="NoSpacing"/>
        <w:ind w:left="360"/>
        <w:rPr>
          <w:sz w:val="20"/>
          <w:szCs w:val="20"/>
        </w:rPr>
      </w:pPr>
      <w:r w:rsidRPr="00F976B1">
        <w:rPr>
          <w:sz w:val="20"/>
          <w:szCs w:val="20"/>
        </w:rPr>
        <w:t>b</w:t>
      </w:r>
      <w:r>
        <w:rPr>
          <w:sz w:val="20"/>
          <w:szCs w:val="20"/>
        </w:rPr>
        <w:t>.</w:t>
      </w:r>
      <w:r w:rsidRPr="00F976B1">
        <w:rPr>
          <w:sz w:val="20"/>
          <w:szCs w:val="20"/>
        </w:rPr>
        <w:t xml:space="preserve"> Sell the property and compensate the federal awarding agency as specified in 2 CFR Part 200.311(c)(2); or</w:t>
      </w:r>
    </w:p>
    <w:p w:rsidR="00C92426" w:rsidP="00377728" w:rsidRDefault="00F976B1" w14:paraId="2EB56A4B" w14:textId="7A85EC2A">
      <w:pPr>
        <w:pStyle w:val="NoSpacing"/>
        <w:ind w:left="360"/>
        <w:rPr>
          <w:b/>
          <w:bCs/>
        </w:rPr>
      </w:pPr>
      <w:r w:rsidRPr="00F976B1">
        <w:rPr>
          <w:sz w:val="20"/>
          <w:szCs w:val="20"/>
        </w:rPr>
        <w:t>c</w:t>
      </w:r>
      <w:r>
        <w:rPr>
          <w:sz w:val="20"/>
          <w:szCs w:val="20"/>
        </w:rPr>
        <w:t>.</w:t>
      </w:r>
      <w:r w:rsidRPr="00F976B1">
        <w:rPr>
          <w:sz w:val="20"/>
          <w:szCs w:val="20"/>
        </w:rPr>
        <w:t xml:space="preserve"> </w:t>
      </w:r>
      <w:r>
        <w:rPr>
          <w:sz w:val="20"/>
          <w:szCs w:val="20"/>
        </w:rPr>
        <w:t>T</w:t>
      </w:r>
      <w:r w:rsidRPr="00F976B1">
        <w:rPr>
          <w:sz w:val="20"/>
          <w:szCs w:val="20"/>
        </w:rPr>
        <w:t>ransfer title to the Federal awarding agency or to a third Party designated/approved by the Federal awarding agency as specified in CFR Part 200.311(c)(3).</w:t>
      </w:r>
    </w:p>
    <w:p w:rsidRPr="00E3629A" w:rsidR="009E5FED" w:rsidP="009E5FED" w:rsidRDefault="009E5FED" w14:paraId="59552B5A" w14:textId="37634FD0">
      <w:pPr>
        <w:shd w:val="clear" w:color="auto" w:fill="0070C0"/>
        <w:spacing w:before="240" w:after="240"/>
        <w:ind w:firstLine="288"/>
        <w:outlineLvl w:val="0"/>
        <w:rPr>
          <w:rFonts w:ascii="Calibri" w:hAnsi="Calibri" w:eastAsia="Calibri" w:cs="Calibri"/>
          <w:b/>
          <w:bCs/>
          <w:caps/>
          <w:color w:val="FFFFFF" w:themeColor="background1"/>
          <w:sz w:val="28"/>
        </w:rPr>
      </w:pPr>
      <w:r>
        <w:rPr>
          <w:rFonts w:ascii="Calibri" w:hAnsi="Calibri" w:eastAsia="Calibri"/>
          <w:b/>
          <w:bCs/>
          <w:caps/>
          <w:color w:val="FFFFFF" w:themeColor="background1"/>
          <w:spacing w:val="10"/>
          <w:sz w:val="28"/>
        </w:rPr>
        <w:t>6</w:t>
      </w:r>
      <w:r w:rsidRPr="00E3629A">
        <w:rPr>
          <w:rFonts w:ascii="Calibri" w:hAnsi="Calibri" w:eastAsia="Calibri"/>
          <w:b/>
          <w:bCs/>
          <w:caps/>
          <w:color w:val="FFFFFF" w:themeColor="background1"/>
          <w:spacing w:val="10"/>
          <w:sz w:val="28"/>
        </w:rPr>
        <w:t>.0</w:t>
      </w:r>
      <w:r>
        <w:rPr>
          <w:rFonts w:ascii="Calibri" w:hAnsi="Calibri" w:eastAsia="Calibri"/>
          <w:b/>
          <w:bCs/>
          <w:caps/>
          <w:color w:val="FFFFFF" w:themeColor="background1"/>
          <w:sz w:val="28"/>
        </w:rPr>
        <w:t xml:space="preserve"> Performance</w:t>
      </w:r>
      <w:r w:rsidR="00D96171">
        <w:rPr>
          <w:rFonts w:ascii="Calibri" w:hAnsi="Calibri" w:eastAsia="Calibri"/>
          <w:b/>
          <w:bCs/>
          <w:caps/>
          <w:color w:val="FFFFFF" w:themeColor="background1"/>
          <w:sz w:val="28"/>
        </w:rPr>
        <w:t xml:space="preserve"> M</w:t>
      </w:r>
      <w:r w:rsidR="00E05503">
        <w:rPr>
          <w:rFonts w:ascii="Calibri" w:hAnsi="Calibri" w:eastAsia="Calibri"/>
          <w:b/>
          <w:bCs/>
          <w:caps/>
          <w:color w:val="FFFFFF" w:themeColor="background1"/>
          <w:sz w:val="28"/>
        </w:rPr>
        <w:t xml:space="preserve">onitoring and </w:t>
      </w:r>
      <w:r>
        <w:rPr>
          <w:rFonts w:ascii="Calibri" w:hAnsi="Calibri" w:eastAsia="Calibri"/>
          <w:b/>
          <w:bCs/>
          <w:caps/>
          <w:color w:val="FFFFFF" w:themeColor="background1"/>
          <w:sz w:val="28"/>
        </w:rPr>
        <w:t>reports</w:t>
      </w:r>
    </w:p>
    <w:p w:rsidRPr="00D51118" w:rsidR="009E5FED" w:rsidRDefault="00E05503" w14:paraId="31090A05" w14:textId="41B2BD65">
      <w:pPr>
        <w:rPr>
          <w:sz w:val="20"/>
          <w:szCs w:val="20"/>
        </w:rPr>
      </w:pPr>
      <w:r w:rsidRPr="00D51118">
        <w:rPr>
          <w:sz w:val="20"/>
          <w:szCs w:val="20"/>
        </w:rPr>
        <w:t>The recipient is responsible for monitoring the day-to</w:t>
      </w:r>
      <w:r w:rsidRPr="00D51118" w:rsidR="009864C2">
        <w:rPr>
          <w:sz w:val="20"/>
          <w:szCs w:val="20"/>
        </w:rPr>
        <w:t>-</w:t>
      </w:r>
      <w:r w:rsidRPr="00D51118">
        <w:rPr>
          <w:sz w:val="20"/>
          <w:szCs w:val="20"/>
        </w:rPr>
        <w:t>day progress</w:t>
      </w:r>
      <w:r w:rsidRPr="00D51118" w:rsidR="009864C2">
        <w:rPr>
          <w:sz w:val="20"/>
          <w:szCs w:val="20"/>
        </w:rPr>
        <w:t xml:space="preserve"> of the project and report</w:t>
      </w:r>
      <w:r w:rsidR="00377728">
        <w:rPr>
          <w:sz w:val="20"/>
          <w:szCs w:val="20"/>
        </w:rPr>
        <w:t>ing</w:t>
      </w:r>
      <w:r w:rsidRPr="00D51118" w:rsidR="009864C2">
        <w:rPr>
          <w:sz w:val="20"/>
          <w:szCs w:val="20"/>
        </w:rPr>
        <w:t xml:space="preserve"> to </w:t>
      </w:r>
      <w:r w:rsidRPr="00D51118" w:rsidR="003E5286">
        <w:rPr>
          <w:sz w:val="20"/>
          <w:szCs w:val="20"/>
        </w:rPr>
        <w:t>AMS any</w:t>
      </w:r>
      <w:r w:rsidRPr="00D51118" w:rsidR="003604A5">
        <w:rPr>
          <w:sz w:val="20"/>
          <w:szCs w:val="20"/>
        </w:rPr>
        <w:t xml:space="preserve"> </w:t>
      </w:r>
      <w:r w:rsidRPr="00D51118" w:rsidR="00BC6E93">
        <w:rPr>
          <w:sz w:val="20"/>
          <w:szCs w:val="20"/>
        </w:rPr>
        <w:t xml:space="preserve">setback or </w:t>
      </w:r>
      <w:r w:rsidRPr="00D51118" w:rsidR="003604A5">
        <w:rPr>
          <w:sz w:val="20"/>
          <w:szCs w:val="20"/>
        </w:rPr>
        <w:t>delays</w:t>
      </w:r>
      <w:r w:rsidR="001C6022">
        <w:rPr>
          <w:sz w:val="20"/>
          <w:szCs w:val="20"/>
        </w:rPr>
        <w:t xml:space="preserve"> in accomplishing their project objectives</w:t>
      </w:r>
      <w:r w:rsidRPr="00D51118" w:rsidR="003604A5">
        <w:rPr>
          <w:sz w:val="20"/>
          <w:szCs w:val="20"/>
        </w:rPr>
        <w:t xml:space="preserve">. </w:t>
      </w:r>
      <w:r w:rsidRPr="00D51118" w:rsidR="00D640E5">
        <w:rPr>
          <w:sz w:val="20"/>
          <w:szCs w:val="20"/>
        </w:rPr>
        <w:t xml:space="preserve">Interim performance reports, final performance reports and </w:t>
      </w:r>
      <w:r w:rsidRPr="00D51118" w:rsidR="00BC6E93">
        <w:rPr>
          <w:sz w:val="20"/>
          <w:szCs w:val="20"/>
        </w:rPr>
        <w:t xml:space="preserve">federal financial report are due </w:t>
      </w:r>
      <w:r w:rsidRPr="00D51118" w:rsidR="00EC1990">
        <w:rPr>
          <w:sz w:val="20"/>
          <w:szCs w:val="20"/>
        </w:rPr>
        <w:t xml:space="preserve">as specified in section 10 of AMS General Terms and Conditions. </w:t>
      </w:r>
      <w:r w:rsidRPr="00D51118" w:rsidR="00974B7D">
        <w:rPr>
          <w:sz w:val="20"/>
          <w:szCs w:val="20"/>
        </w:rPr>
        <w:t xml:space="preserve">AMS will withhold payments under this award if the recipient is delinquent in submitting required reports. </w:t>
      </w:r>
    </w:p>
    <w:p w:rsidRPr="00E3629A" w:rsidR="00F42A9A" w:rsidP="00F42A9A" w:rsidRDefault="009E5FED" w14:paraId="0D80B560" w14:textId="0E35B499">
      <w:pPr>
        <w:shd w:val="clear" w:color="auto" w:fill="0070C0"/>
        <w:spacing w:before="240" w:after="240"/>
        <w:ind w:firstLine="288"/>
        <w:outlineLvl w:val="0"/>
        <w:rPr>
          <w:rFonts w:ascii="Calibri" w:hAnsi="Calibri" w:eastAsia="Calibri" w:cs="Calibri"/>
          <w:b/>
          <w:bCs/>
          <w:caps/>
          <w:color w:val="FFFFFF" w:themeColor="background1"/>
          <w:sz w:val="28"/>
        </w:rPr>
      </w:pPr>
      <w:r>
        <w:rPr>
          <w:rFonts w:ascii="Calibri" w:hAnsi="Calibri" w:eastAsia="Calibri"/>
          <w:b/>
          <w:bCs/>
          <w:caps/>
          <w:color w:val="FFFFFF" w:themeColor="background1"/>
          <w:spacing w:val="10"/>
          <w:sz w:val="28"/>
        </w:rPr>
        <w:t>7</w:t>
      </w:r>
      <w:r w:rsidRPr="00E3629A" w:rsidR="00F42A9A">
        <w:rPr>
          <w:rFonts w:ascii="Calibri" w:hAnsi="Calibri" w:eastAsia="Calibri"/>
          <w:b/>
          <w:bCs/>
          <w:caps/>
          <w:color w:val="FFFFFF" w:themeColor="background1"/>
          <w:spacing w:val="10"/>
          <w:sz w:val="28"/>
        </w:rPr>
        <w:t>.0</w:t>
      </w:r>
      <w:r w:rsidR="00F42A9A">
        <w:rPr>
          <w:rFonts w:ascii="Calibri" w:hAnsi="Calibri" w:eastAsia="Calibri"/>
          <w:b/>
          <w:bCs/>
          <w:caps/>
          <w:color w:val="FFFFFF" w:themeColor="background1"/>
          <w:sz w:val="28"/>
        </w:rPr>
        <w:t xml:space="preserve"> Award closeout</w:t>
      </w:r>
    </w:p>
    <w:p w:rsidRPr="001C6022" w:rsidR="00C364E2" w:rsidRDefault="005C1D2F" w14:paraId="74E60343" w14:textId="15EF7921">
      <w:pPr>
        <w:rPr>
          <w:sz w:val="20"/>
          <w:szCs w:val="20"/>
        </w:rPr>
      </w:pPr>
      <w:r w:rsidRPr="001C6022">
        <w:rPr>
          <w:sz w:val="20"/>
          <w:szCs w:val="20"/>
        </w:rPr>
        <w:t xml:space="preserve">In addition to the </w:t>
      </w:r>
      <w:r w:rsidRPr="001C6022" w:rsidR="0097505D">
        <w:rPr>
          <w:sz w:val="20"/>
          <w:szCs w:val="20"/>
        </w:rPr>
        <w:t xml:space="preserve">closeout requirements stated </w:t>
      </w:r>
      <w:r w:rsidRPr="001C6022" w:rsidR="008B726B">
        <w:rPr>
          <w:sz w:val="20"/>
          <w:szCs w:val="20"/>
        </w:rPr>
        <w:t>i</w:t>
      </w:r>
      <w:r w:rsidRPr="001C6022" w:rsidR="0097505D">
        <w:rPr>
          <w:sz w:val="20"/>
          <w:szCs w:val="20"/>
        </w:rPr>
        <w:t xml:space="preserve">n section 14.0 of AMS </w:t>
      </w:r>
      <w:r w:rsidRPr="001C6022" w:rsidR="008B726B">
        <w:rPr>
          <w:sz w:val="20"/>
          <w:szCs w:val="20"/>
        </w:rPr>
        <w:t>G</w:t>
      </w:r>
      <w:r w:rsidRPr="001C6022" w:rsidR="0097505D">
        <w:rPr>
          <w:sz w:val="20"/>
          <w:szCs w:val="20"/>
        </w:rPr>
        <w:t xml:space="preserve">eneral </w:t>
      </w:r>
      <w:r w:rsidRPr="001C6022" w:rsidR="008B726B">
        <w:rPr>
          <w:sz w:val="20"/>
          <w:szCs w:val="20"/>
        </w:rPr>
        <w:t>T</w:t>
      </w:r>
      <w:r w:rsidRPr="001C6022" w:rsidR="0097505D">
        <w:rPr>
          <w:sz w:val="20"/>
          <w:szCs w:val="20"/>
        </w:rPr>
        <w:t xml:space="preserve">erms and </w:t>
      </w:r>
      <w:r w:rsidRPr="001C6022" w:rsidR="008B726B">
        <w:rPr>
          <w:sz w:val="20"/>
          <w:szCs w:val="20"/>
        </w:rPr>
        <w:t>C</w:t>
      </w:r>
      <w:r w:rsidRPr="001C6022" w:rsidR="0097505D">
        <w:rPr>
          <w:sz w:val="20"/>
          <w:szCs w:val="20"/>
        </w:rPr>
        <w:t xml:space="preserve">onditions, the recipient must submit the following documentation to </w:t>
      </w:r>
      <w:r w:rsidRPr="001C6022" w:rsidR="00644E34">
        <w:rPr>
          <w:sz w:val="20"/>
          <w:szCs w:val="20"/>
        </w:rPr>
        <w:t xml:space="preserve">demonstrate </w:t>
      </w:r>
      <w:r w:rsidRPr="001C6022" w:rsidR="00DF4A4D">
        <w:rPr>
          <w:sz w:val="20"/>
          <w:szCs w:val="20"/>
        </w:rPr>
        <w:t xml:space="preserve">they have successfully met the </w:t>
      </w:r>
      <w:r w:rsidRPr="001C6022" w:rsidR="00A30CA0">
        <w:rPr>
          <w:sz w:val="20"/>
          <w:szCs w:val="20"/>
        </w:rPr>
        <w:t xml:space="preserve">project and </w:t>
      </w:r>
      <w:r w:rsidRPr="001C6022" w:rsidR="00DF4A4D">
        <w:rPr>
          <w:sz w:val="20"/>
          <w:szCs w:val="20"/>
        </w:rPr>
        <w:t xml:space="preserve">program goals. </w:t>
      </w:r>
    </w:p>
    <w:p w:rsidRPr="001C6022" w:rsidR="001349C7" w:rsidP="001349C7" w:rsidRDefault="00452E6D" w14:paraId="63C2AFB0" w14:textId="47A4E25D">
      <w:pPr>
        <w:pStyle w:val="ListParagraph"/>
        <w:numPr>
          <w:ilvl w:val="0"/>
          <w:numId w:val="3"/>
        </w:numPr>
        <w:rPr>
          <w:sz w:val="20"/>
          <w:szCs w:val="20"/>
        </w:rPr>
      </w:pPr>
      <w:r w:rsidRPr="001C6022">
        <w:rPr>
          <w:sz w:val="20"/>
          <w:szCs w:val="20"/>
        </w:rPr>
        <w:t>Federal</w:t>
      </w:r>
      <w:r w:rsidRPr="001C6022" w:rsidR="001349C7">
        <w:rPr>
          <w:sz w:val="20"/>
          <w:szCs w:val="20"/>
        </w:rPr>
        <w:t xml:space="preserve"> </w:t>
      </w:r>
      <w:r w:rsidRPr="001C6022" w:rsidR="00485D60">
        <w:rPr>
          <w:sz w:val="20"/>
          <w:szCs w:val="20"/>
        </w:rPr>
        <w:t>G</w:t>
      </w:r>
      <w:r w:rsidRPr="001C6022" w:rsidR="001349C7">
        <w:rPr>
          <w:sz w:val="20"/>
          <w:szCs w:val="20"/>
        </w:rPr>
        <w:t xml:space="preserve">rant of </w:t>
      </w:r>
      <w:r w:rsidRPr="001C6022" w:rsidR="00485D60">
        <w:rPr>
          <w:sz w:val="20"/>
          <w:szCs w:val="20"/>
        </w:rPr>
        <w:t>I</w:t>
      </w:r>
      <w:r w:rsidRPr="001C6022" w:rsidR="001349C7">
        <w:rPr>
          <w:sz w:val="20"/>
          <w:szCs w:val="20"/>
        </w:rPr>
        <w:t xml:space="preserve">nspection </w:t>
      </w:r>
      <w:r w:rsidRPr="001C6022" w:rsidR="00485D60">
        <w:rPr>
          <w:sz w:val="20"/>
          <w:szCs w:val="20"/>
        </w:rPr>
        <w:t>C</w:t>
      </w:r>
      <w:r w:rsidRPr="001C6022" w:rsidR="001349C7">
        <w:rPr>
          <w:sz w:val="20"/>
          <w:szCs w:val="20"/>
        </w:rPr>
        <w:t>ertification</w:t>
      </w:r>
    </w:p>
    <w:p w:rsidRPr="001C6022" w:rsidR="00A30CA0" w:rsidP="001349C7" w:rsidRDefault="002E5971" w14:paraId="1F069A64" w14:textId="05D503F6">
      <w:pPr>
        <w:pStyle w:val="ListParagraph"/>
        <w:numPr>
          <w:ilvl w:val="0"/>
          <w:numId w:val="3"/>
        </w:numPr>
        <w:rPr>
          <w:sz w:val="20"/>
          <w:szCs w:val="20"/>
        </w:rPr>
      </w:pPr>
      <w:r w:rsidRPr="001C6022">
        <w:rPr>
          <w:sz w:val="20"/>
          <w:szCs w:val="20"/>
        </w:rPr>
        <w:t xml:space="preserve">Proof </w:t>
      </w:r>
      <w:r w:rsidRPr="001C6022" w:rsidR="002603C6">
        <w:rPr>
          <w:sz w:val="20"/>
          <w:szCs w:val="20"/>
        </w:rPr>
        <w:t>of obtaining a</w:t>
      </w:r>
      <w:r w:rsidRPr="001C6022" w:rsidR="00010C80">
        <w:rPr>
          <w:sz w:val="20"/>
          <w:szCs w:val="20"/>
        </w:rPr>
        <w:t>nd participating in the</w:t>
      </w:r>
      <w:r w:rsidRPr="001C6022" w:rsidR="002603C6">
        <w:rPr>
          <w:sz w:val="20"/>
          <w:szCs w:val="20"/>
        </w:rPr>
        <w:t xml:space="preserve"> Cooperative</w:t>
      </w:r>
      <w:r w:rsidRPr="001C6022" w:rsidR="0039254D">
        <w:rPr>
          <w:sz w:val="20"/>
          <w:szCs w:val="20"/>
        </w:rPr>
        <w:t xml:space="preserve"> Interstate Ship</w:t>
      </w:r>
      <w:r w:rsidRPr="001C6022" w:rsidR="00010C80">
        <w:rPr>
          <w:sz w:val="20"/>
          <w:szCs w:val="20"/>
        </w:rPr>
        <w:t xml:space="preserve">ment </w:t>
      </w:r>
      <w:r w:rsidRPr="001C6022" w:rsidR="0039254D">
        <w:rPr>
          <w:sz w:val="20"/>
          <w:szCs w:val="20"/>
        </w:rPr>
        <w:t xml:space="preserve">program </w:t>
      </w:r>
    </w:p>
    <w:p w:rsidR="00100908" w:rsidP="00880C6B" w:rsidRDefault="00BC0E6B" w14:paraId="03A83431" w14:textId="496F793D">
      <w:pPr>
        <w:pStyle w:val="ListParagraph"/>
        <w:numPr>
          <w:ilvl w:val="0"/>
          <w:numId w:val="3"/>
        </w:numPr>
        <w:rPr>
          <w:sz w:val="20"/>
          <w:szCs w:val="20"/>
        </w:rPr>
      </w:pPr>
      <w:r w:rsidRPr="001C6022">
        <w:rPr>
          <w:sz w:val="20"/>
          <w:szCs w:val="20"/>
        </w:rPr>
        <w:lastRenderedPageBreak/>
        <w:t xml:space="preserve">If unable to fulfill the goals of the project, </w:t>
      </w:r>
      <w:r w:rsidRPr="001C6022" w:rsidR="005B5F66">
        <w:rPr>
          <w:sz w:val="20"/>
          <w:szCs w:val="20"/>
        </w:rPr>
        <w:t xml:space="preserve">an </w:t>
      </w:r>
      <w:r w:rsidRPr="001C6022" w:rsidR="00031EA4">
        <w:rPr>
          <w:sz w:val="20"/>
          <w:szCs w:val="20"/>
        </w:rPr>
        <w:t>official letter signed by the AOR d</w:t>
      </w:r>
      <w:r w:rsidRPr="001C6022" w:rsidR="0048216E">
        <w:rPr>
          <w:sz w:val="20"/>
          <w:szCs w:val="20"/>
        </w:rPr>
        <w:t xml:space="preserve">emonstrating </w:t>
      </w:r>
      <w:r w:rsidRPr="001C6022" w:rsidR="00031EA4">
        <w:rPr>
          <w:sz w:val="20"/>
          <w:szCs w:val="20"/>
        </w:rPr>
        <w:t xml:space="preserve">the </w:t>
      </w:r>
      <w:r w:rsidRPr="001C6022" w:rsidR="00EC2FDB">
        <w:rPr>
          <w:sz w:val="20"/>
          <w:szCs w:val="20"/>
        </w:rPr>
        <w:t>actual effort</w:t>
      </w:r>
      <w:r w:rsidRPr="001C6022" w:rsidR="005B5F66">
        <w:rPr>
          <w:sz w:val="20"/>
          <w:szCs w:val="20"/>
        </w:rPr>
        <w:t>s</w:t>
      </w:r>
      <w:r w:rsidRPr="001C6022" w:rsidR="00EC2FDB">
        <w:rPr>
          <w:sz w:val="20"/>
          <w:szCs w:val="20"/>
        </w:rPr>
        <w:t xml:space="preserve"> rendered by the recipient towards compliance with the program </w:t>
      </w:r>
      <w:r w:rsidRPr="001C6022" w:rsidR="005B5F66">
        <w:rPr>
          <w:sz w:val="20"/>
          <w:szCs w:val="20"/>
        </w:rPr>
        <w:t>requirement</w:t>
      </w:r>
      <w:r w:rsidRPr="001C6022" w:rsidR="00EC1990">
        <w:rPr>
          <w:sz w:val="20"/>
          <w:szCs w:val="20"/>
        </w:rPr>
        <w:t>s</w:t>
      </w:r>
      <w:r w:rsidRPr="001C6022" w:rsidR="00B33F77">
        <w:rPr>
          <w:sz w:val="20"/>
          <w:szCs w:val="20"/>
        </w:rPr>
        <w:t>.</w:t>
      </w:r>
    </w:p>
    <w:p w:rsidR="004411A7" w:rsidP="004411A7" w:rsidRDefault="004411A7" w14:paraId="548AE5D0" w14:textId="02EB7BFB">
      <w:pPr>
        <w:rPr>
          <w:sz w:val="20"/>
          <w:szCs w:val="20"/>
        </w:rPr>
      </w:pPr>
    </w:p>
    <w:p w:rsidR="004411A7" w:rsidP="004411A7" w:rsidRDefault="004411A7" w14:paraId="5B8A4464" w14:textId="3149847F">
      <w:pPr>
        <w:rPr>
          <w:rFonts w:cstheme="minorHAnsi"/>
        </w:rPr>
      </w:pPr>
      <w:r w:rsidRPr="008D4E15">
        <w:rPr>
          <w:rFonts w:cstheme="minorHAnsi"/>
        </w:rPr>
        <w:t>According to the Paperwork Reduction Act of 1995 (</w:t>
      </w:r>
      <w:hyperlink w:history="1" r:id="rId20">
        <w:r w:rsidRPr="008D4E15">
          <w:rPr>
            <w:rStyle w:val="Hyperlink"/>
            <w:rFonts w:cstheme="minorHAnsi"/>
          </w:rPr>
          <w:t>44 U.S.C. § 3501 et seq</w:t>
        </w:r>
      </w:hyperlink>
      <w:r w:rsidRPr="008D4E15">
        <w:rPr>
          <w:rFonts w:cstheme="minorHAnsi"/>
        </w:rPr>
        <w:t>), an agency may not conduct or sponsor, and a person is not required to respond to a collection of information unless it displays a valid OMB control number. The valid OMB control number for this information collection is 0581</w:t>
      </w:r>
      <w:r w:rsidRPr="00353723">
        <w:rPr>
          <w:rFonts w:cstheme="minorHAnsi"/>
        </w:rPr>
        <w:t>-</w:t>
      </w:r>
      <w:r w:rsidRPr="00991B35">
        <w:rPr>
          <w:rFonts w:cstheme="minorHAnsi"/>
        </w:rPr>
        <w:t>NEW</w:t>
      </w:r>
      <w:r w:rsidRPr="00353723">
        <w:rPr>
          <w:rFonts w:cstheme="minorHAnsi"/>
        </w:rPr>
        <w:t>.</w:t>
      </w:r>
      <w:r>
        <w:t xml:space="preserve"> </w:t>
      </w:r>
      <w:r w:rsidRPr="000A1FFA">
        <w:rPr>
          <w:rFonts w:cstheme="minorHAnsi"/>
        </w:rPr>
        <w:t xml:space="preserve">The time required to complete this information collection is estimated to average </w:t>
      </w:r>
      <w:r w:rsidR="001F57FC">
        <w:rPr>
          <w:rFonts w:cstheme="minorHAnsi"/>
        </w:rPr>
        <w:t>2</w:t>
      </w:r>
      <w:r>
        <w:rPr>
          <w:rFonts w:cstheme="minorHAnsi"/>
        </w:rPr>
        <w:t xml:space="preserve"> </w:t>
      </w:r>
      <w:r w:rsidRPr="000A1FFA">
        <w:rPr>
          <w:rFonts w:cstheme="minorHAnsi"/>
        </w:rPr>
        <w:t>hours per response, including the time for reviewing instructions, searching existing data sources, gathering and maintaining the data needed, and completing and reviewing the collection of information.</w:t>
      </w:r>
    </w:p>
    <w:p w:rsidRPr="004411A7" w:rsidR="004411A7" w:rsidP="004411A7" w:rsidRDefault="004411A7" w14:paraId="1EFFEF41" w14:textId="77777777">
      <w:pPr>
        <w:rPr>
          <w:sz w:val="20"/>
          <w:szCs w:val="20"/>
        </w:rPr>
      </w:pPr>
    </w:p>
    <w:sectPr w:rsidRPr="004411A7" w:rsidR="004411A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5BC72" w14:textId="77777777" w:rsidR="00451D96" w:rsidRDefault="00451D96" w:rsidP="00827AB1">
      <w:pPr>
        <w:spacing w:after="0" w:line="240" w:lineRule="auto"/>
      </w:pPr>
      <w:r>
        <w:separator/>
      </w:r>
    </w:p>
  </w:endnote>
  <w:endnote w:type="continuationSeparator" w:id="0">
    <w:p w14:paraId="6BA479A1" w14:textId="77777777" w:rsidR="00451D96" w:rsidRDefault="00451D96" w:rsidP="0082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C5F1B" w14:textId="77777777" w:rsidR="00451D96" w:rsidRDefault="00451D96" w:rsidP="00827AB1">
      <w:pPr>
        <w:spacing w:after="0" w:line="240" w:lineRule="auto"/>
      </w:pPr>
      <w:r>
        <w:separator/>
      </w:r>
    </w:p>
  </w:footnote>
  <w:footnote w:type="continuationSeparator" w:id="0">
    <w:p w14:paraId="66B49F38" w14:textId="77777777" w:rsidR="00451D96" w:rsidRDefault="00451D96" w:rsidP="00827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8A076" w14:textId="77777777" w:rsidR="00827AB1" w:rsidRPr="00C254F4" w:rsidRDefault="00827AB1" w:rsidP="00827AB1">
    <w:pPr>
      <w:pStyle w:val="NoSpacing"/>
      <w:jc w:val="right"/>
    </w:pPr>
    <w:r w:rsidRPr="003723F3">
      <w:rPr>
        <w:sz w:val="16"/>
        <w:szCs w:val="16"/>
      </w:rPr>
      <w:t>OMB No. 0581-NEW</w:t>
    </w:r>
  </w:p>
  <w:p w14:paraId="523F889B" w14:textId="77777777" w:rsidR="00827AB1" w:rsidRDefault="00827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13A2A"/>
    <w:multiLevelType w:val="hybridMultilevel"/>
    <w:tmpl w:val="FA46D1B4"/>
    <w:lvl w:ilvl="0" w:tplc="2A02E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CD2310"/>
    <w:multiLevelType w:val="hybridMultilevel"/>
    <w:tmpl w:val="7CE4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6329BC"/>
    <w:multiLevelType w:val="hybridMultilevel"/>
    <w:tmpl w:val="9230A454"/>
    <w:lvl w:ilvl="0" w:tplc="BEBE18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27"/>
    <w:rsid w:val="00010C80"/>
    <w:rsid w:val="00031EA4"/>
    <w:rsid w:val="000609FC"/>
    <w:rsid w:val="00087296"/>
    <w:rsid w:val="000A10D3"/>
    <w:rsid w:val="000B29BC"/>
    <w:rsid w:val="000F5E11"/>
    <w:rsid w:val="00100908"/>
    <w:rsid w:val="001349C7"/>
    <w:rsid w:val="001817B3"/>
    <w:rsid w:val="001A44C9"/>
    <w:rsid w:val="001C6022"/>
    <w:rsid w:val="001D70D1"/>
    <w:rsid w:val="001F57FC"/>
    <w:rsid w:val="002603C6"/>
    <w:rsid w:val="00266CDD"/>
    <w:rsid w:val="00276C4F"/>
    <w:rsid w:val="002E3A89"/>
    <w:rsid w:val="002E5971"/>
    <w:rsid w:val="003032CF"/>
    <w:rsid w:val="00311BD5"/>
    <w:rsid w:val="00335339"/>
    <w:rsid w:val="003456CA"/>
    <w:rsid w:val="00352F80"/>
    <w:rsid w:val="003604A5"/>
    <w:rsid w:val="00363D5C"/>
    <w:rsid w:val="00377728"/>
    <w:rsid w:val="0039254D"/>
    <w:rsid w:val="00393FF2"/>
    <w:rsid w:val="003B4999"/>
    <w:rsid w:val="003E09A2"/>
    <w:rsid w:val="003E5286"/>
    <w:rsid w:val="003E710D"/>
    <w:rsid w:val="00430D0E"/>
    <w:rsid w:val="00432C95"/>
    <w:rsid w:val="004411A7"/>
    <w:rsid w:val="00451D96"/>
    <w:rsid w:val="00452E6D"/>
    <w:rsid w:val="0047366B"/>
    <w:rsid w:val="0048216E"/>
    <w:rsid w:val="00485397"/>
    <w:rsid w:val="00485D60"/>
    <w:rsid w:val="005B5F66"/>
    <w:rsid w:val="005C1D2F"/>
    <w:rsid w:val="005C2B7D"/>
    <w:rsid w:val="005D2393"/>
    <w:rsid w:val="00643BC3"/>
    <w:rsid w:val="00644E34"/>
    <w:rsid w:val="0065259C"/>
    <w:rsid w:val="00687CFF"/>
    <w:rsid w:val="006A500A"/>
    <w:rsid w:val="006B2092"/>
    <w:rsid w:val="006C4BC8"/>
    <w:rsid w:val="006F3880"/>
    <w:rsid w:val="00722B1F"/>
    <w:rsid w:val="007307FB"/>
    <w:rsid w:val="00771D32"/>
    <w:rsid w:val="0077271F"/>
    <w:rsid w:val="00787764"/>
    <w:rsid w:val="0081601E"/>
    <w:rsid w:val="00827AB1"/>
    <w:rsid w:val="00854129"/>
    <w:rsid w:val="00866827"/>
    <w:rsid w:val="008674FF"/>
    <w:rsid w:val="00886052"/>
    <w:rsid w:val="008B726B"/>
    <w:rsid w:val="00960CAD"/>
    <w:rsid w:val="00961EDA"/>
    <w:rsid w:val="00974B7D"/>
    <w:rsid w:val="0097505D"/>
    <w:rsid w:val="00984ABD"/>
    <w:rsid w:val="009864C2"/>
    <w:rsid w:val="009D21A6"/>
    <w:rsid w:val="009E5FED"/>
    <w:rsid w:val="009F2C38"/>
    <w:rsid w:val="00A00A10"/>
    <w:rsid w:val="00A30CA0"/>
    <w:rsid w:val="00A51EC4"/>
    <w:rsid w:val="00A91A7B"/>
    <w:rsid w:val="00AA460E"/>
    <w:rsid w:val="00B1130A"/>
    <w:rsid w:val="00B33F77"/>
    <w:rsid w:val="00B42B9F"/>
    <w:rsid w:val="00B42D7C"/>
    <w:rsid w:val="00B70DBD"/>
    <w:rsid w:val="00B92AEE"/>
    <w:rsid w:val="00BC0E6B"/>
    <w:rsid w:val="00BC6E93"/>
    <w:rsid w:val="00C1019F"/>
    <w:rsid w:val="00C112AE"/>
    <w:rsid w:val="00C364E2"/>
    <w:rsid w:val="00C56914"/>
    <w:rsid w:val="00C92426"/>
    <w:rsid w:val="00D42189"/>
    <w:rsid w:val="00D47E18"/>
    <w:rsid w:val="00D51118"/>
    <w:rsid w:val="00D640E5"/>
    <w:rsid w:val="00D96171"/>
    <w:rsid w:val="00DA70FB"/>
    <w:rsid w:val="00DD5377"/>
    <w:rsid w:val="00DF4A4D"/>
    <w:rsid w:val="00E05503"/>
    <w:rsid w:val="00E07AE7"/>
    <w:rsid w:val="00E15102"/>
    <w:rsid w:val="00E2623F"/>
    <w:rsid w:val="00E531E9"/>
    <w:rsid w:val="00E8463B"/>
    <w:rsid w:val="00EC1990"/>
    <w:rsid w:val="00EC2FDB"/>
    <w:rsid w:val="00F42A9A"/>
    <w:rsid w:val="00F976B1"/>
    <w:rsid w:val="00FF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7401"/>
  <w15:chartTrackingRefBased/>
  <w15:docId w15:val="{864D0CF5-6B85-4B7A-B006-7C2BF920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9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9BC"/>
    <w:rPr>
      <w:color w:val="0000FF"/>
      <w:u w:val="single"/>
    </w:rPr>
  </w:style>
  <w:style w:type="character" w:customStyle="1" w:styleId="element-invisible">
    <w:name w:val="element-invisible"/>
    <w:basedOn w:val="DefaultParagraphFont"/>
    <w:rsid w:val="000B29BC"/>
  </w:style>
  <w:style w:type="character" w:styleId="FollowedHyperlink">
    <w:name w:val="FollowedHyperlink"/>
    <w:basedOn w:val="DefaultParagraphFont"/>
    <w:uiPriority w:val="99"/>
    <w:semiHidden/>
    <w:unhideWhenUsed/>
    <w:rsid w:val="000B29BC"/>
    <w:rPr>
      <w:color w:val="954F72" w:themeColor="followedHyperlink"/>
      <w:u w:val="single"/>
    </w:rPr>
  </w:style>
  <w:style w:type="character" w:styleId="UnresolvedMention">
    <w:name w:val="Unresolved Mention"/>
    <w:basedOn w:val="DefaultParagraphFont"/>
    <w:uiPriority w:val="99"/>
    <w:semiHidden/>
    <w:unhideWhenUsed/>
    <w:rsid w:val="003032CF"/>
    <w:rPr>
      <w:color w:val="605E5C"/>
      <w:shd w:val="clear" w:color="auto" w:fill="E1DFDD"/>
    </w:rPr>
  </w:style>
  <w:style w:type="paragraph" w:styleId="BalloonText">
    <w:name w:val="Balloon Text"/>
    <w:basedOn w:val="Normal"/>
    <w:link w:val="BalloonTextChar"/>
    <w:uiPriority w:val="99"/>
    <w:semiHidden/>
    <w:unhideWhenUsed/>
    <w:rsid w:val="00C36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E2"/>
    <w:rPr>
      <w:rFonts w:ascii="Segoe UI" w:hAnsi="Segoe UI" w:cs="Segoe UI"/>
      <w:sz w:val="18"/>
      <w:szCs w:val="18"/>
    </w:rPr>
  </w:style>
  <w:style w:type="paragraph" w:styleId="NoSpacing">
    <w:name w:val="No Spacing"/>
    <w:link w:val="NoSpacingChar"/>
    <w:uiPriority w:val="1"/>
    <w:qFormat/>
    <w:rsid w:val="006F3880"/>
    <w:pPr>
      <w:spacing w:after="0" w:line="240" w:lineRule="auto"/>
    </w:pPr>
  </w:style>
  <w:style w:type="table" w:styleId="TableGrid">
    <w:name w:val="Table Grid"/>
    <w:basedOn w:val="TableNormal"/>
    <w:uiPriority w:val="39"/>
    <w:rsid w:val="00A0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CA0"/>
    <w:pPr>
      <w:ind w:left="720"/>
      <w:contextualSpacing/>
    </w:pPr>
  </w:style>
  <w:style w:type="character" w:styleId="CommentReference">
    <w:name w:val="annotation reference"/>
    <w:basedOn w:val="DefaultParagraphFont"/>
    <w:uiPriority w:val="99"/>
    <w:semiHidden/>
    <w:unhideWhenUsed/>
    <w:rsid w:val="00C1019F"/>
    <w:rPr>
      <w:sz w:val="16"/>
      <w:szCs w:val="16"/>
    </w:rPr>
  </w:style>
  <w:style w:type="paragraph" w:styleId="CommentText">
    <w:name w:val="annotation text"/>
    <w:basedOn w:val="Normal"/>
    <w:link w:val="CommentTextChar"/>
    <w:uiPriority w:val="99"/>
    <w:semiHidden/>
    <w:unhideWhenUsed/>
    <w:rsid w:val="00C1019F"/>
    <w:pPr>
      <w:spacing w:line="240" w:lineRule="auto"/>
    </w:pPr>
    <w:rPr>
      <w:sz w:val="20"/>
      <w:szCs w:val="20"/>
    </w:rPr>
  </w:style>
  <w:style w:type="character" w:customStyle="1" w:styleId="CommentTextChar">
    <w:name w:val="Comment Text Char"/>
    <w:basedOn w:val="DefaultParagraphFont"/>
    <w:link w:val="CommentText"/>
    <w:uiPriority w:val="99"/>
    <w:semiHidden/>
    <w:rsid w:val="00C1019F"/>
    <w:rPr>
      <w:sz w:val="20"/>
      <w:szCs w:val="20"/>
    </w:rPr>
  </w:style>
  <w:style w:type="paragraph" w:styleId="CommentSubject">
    <w:name w:val="annotation subject"/>
    <w:basedOn w:val="CommentText"/>
    <w:next w:val="CommentText"/>
    <w:link w:val="CommentSubjectChar"/>
    <w:uiPriority w:val="99"/>
    <w:semiHidden/>
    <w:unhideWhenUsed/>
    <w:rsid w:val="00C1019F"/>
    <w:rPr>
      <w:b/>
      <w:bCs/>
    </w:rPr>
  </w:style>
  <w:style w:type="character" w:customStyle="1" w:styleId="CommentSubjectChar">
    <w:name w:val="Comment Subject Char"/>
    <w:basedOn w:val="CommentTextChar"/>
    <w:link w:val="CommentSubject"/>
    <w:uiPriority w:val="99"/>
    <w:semiHidden/>
    <w:rsid w:val="00C1019F"/>
    <w:rPr>
      <w:b/>
      <w:bCs/>
      <w:sz w:val="20"/>
      <w:szCs w:val="20"/>
    </w:rPr>
  </w:style>
  <w:style w:type="paragraph" w:styleId="Header">
    <w:name w:val="header"/>
    <w:basedOn w:val="Normal"/>
    <w:link w:val="HeaderChar"/>
    <w:uiPriority w:val="99"/>
    <w:unhideWhenUsed/>
    <w:rsid w:val="00827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B1"/>
  </w:style>
  <w:style w:type="paragraph" w:styleId="Footer">
    <w:name w:val="footer"/>
    <w:basedOn w:val="Normal"/>
    <w:link w:val="FooterChar"/>
    <w:uiPriority w:val="99"/>
    <w:unhideWhenUsed/>
    <w:rsid w:val="00827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B1"/>
  </w:style>
  <w:style w:type="character" w:customStyle="1" w:styleId="NoSpacingChar">
    <w:name w:val="No Spacing Char"/>
    <w:basedOn w:val="DefaultParagraphFont"/>
    <w:link w:val="NoSpacing"/>
    <w:uiPriority w:val="1"/>
    <w:rsid w:val="0082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26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USCODE-2011-title21/pdf/USCODE-2011-title21-chap12-subchapIV-A-sec683.pdf" TargetMode="External"/><Relationship Id="rId18" Type="http://schemas.openxmlformats.org/officeDocument/2006/relationships/hyperlink" Target="https://www.ecfr.gov/cgi-bin/text-idx?tpl=/ecfrbrowse/Title40/40cfr141_main_02.t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sis.usda.gov/policy/food-safety-acts/poultry-products-inspection-act" TargetMode="External"/><Relationship Id="rId17" Type="http://schemas.openxmlformats.org/officeDocument/2006/relationships/hyperlink" Target="https://www.govinfo.gov/content/pkg/CFR-2020-title9-vol2/pdf/CFR-2020-title9-vol2-chapIII-subchapI.pdf" TargetMode="External"/><Relationship Id="rId2" Type="http://schemas.openxmlformats.org/officeDocument/2006/relationships/customXml" Target="../customXml/item2.xml"/><Relationship Id="rId16" Type="http://schemas.openxmlformats.org/officeDocument/2006/relationships/hyperlink" Target="https://www.govinfo.gov/content/pkg/CFR-2020-title9-vol2/pdf/CFR-2020-title9-vol2-chapIII-subchapF.pdf" TargetMode="External"/><Relationship Id="rId20" Type="http://schemas.openxmlformats.org/officeDocument/2006/relationships/hyperlink" Target="https://www.govinfo.gov/content/pkg/BILLS-104s244enr/pdf/BILLS-104s244en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is.usda.gov/policy/food-safety-acts/federal-meat-inspection-act" TargetMode="External"/><Relationship Id="rId5" Type="http://schemas.openxmlformats.org/officeDocument/2006/relationships/numbering" Target="numbering.xml"/><Relationship Id="rId15" Type="http://schemas.openxmlformats.org/officeDocument/2006/relationships/hyperlink" Target="https://www.govinfo.gov/content/pkg/CFR-2020-title9-vol2/pdf/CFR-2020-title9-vol2-chapIII-subchap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info.gov/content/pkg/FR-2019-02-05/pdf/2019-014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CFR-2020-title9-vol2/pdf/CFR-2020-title9-vol2-chapIII-subchap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THTAUHCSY2F2-1201048014-166</_dlc_DocId>
    <_dlc_DocIdUrl xmlns="aa16a7f6-ad7c-47b6-99e8-107db7961b82">
      <Url>https://usdagcc.sharepoint.com/sites/ams/AMS-TMIntranet/_layouts/15/DocIdRedir.aspx?ID=THTAUHCSY2F2-1201048014-166</Url>
      <Description>THTAUHCSY2F2-1201048014-166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380F7-0038-4860-A133-EA34B3A72B53}">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BFC18681-11D0-4DA1-939A-F2BEFC91ADE2}">
  <ds:schemaRefs>
    <ds:schemaRef ds:uri="http://schemas.microsoft.com/sharepoint/v3/contenttype/forms"/>
  </ds:schemaRefs>
</ds:datastoreItem>
</file>

<file path=customXml/itemProps3.xml><?xml version="1.0" encoding="utf-8"?>
<ds:datastoreItem xmlns:ds="http://schemas.openxmlformats.org/officeDocument/2006/customXml" ds:itemID="{60F6D18D-D697-4781-9E9F-17D9E02B104E}">
  <ds:schemaRefs>
    <ds:schemaRef ds:uri="http://schemas.microsoft.com/sharepoint/events"/>
  </ds:schemaRefs>
</ds:datastoreItem>
</file>

<file path=customXml/itemProps4.xml><?xml version="1.0" encoding="utf-8"?>
<ds:datastoreItem xmlns:ds="http://schemas.openxmlformats.org/officeDocument/2006/customXml" ds:itemID="{CC7744F1-B7E2-4FD9-A0A8-0A69C254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Paez Delgado, Dewell - AMS</dc:creator>
  <cp:keywords/>
  <dc:description/>
  <cp:lastModifiedBy>Ceccarini, Annie - AMS</cp:lastModifiedBy>
  <cp:revision>13</cp:revision>
  <dcterms:created xsi:type="dcterms:W3CDTF">2021-04-22T16:41:00Z</dcterms:created>
  <dcterms:modified xsi:type="dcterms:W3CDTF">2021-04-26T19:51:00Z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b872b363-c077-432f-95f1-6758085b11c7</vt:lpwstr>
  </property>
</Properties>
</file>