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7B2A08DC"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9C1A7F" w:rsidP="001673BF" w:rsidRDefault="00AD4629" w14:paraId="523954C5" w14:textId="1DA34323">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1673BF">
        <w:rPr>
          <w:rFonts w:ascii="Times New Roman" w:hAnsi="Times New Roman"/>
          <w:b/>
          <w:szCs w:val="24"/>
          <w:lang w:val="es-US"/>
        </w:rPr>
        <w:t>NEW</w:t>
      </w:r>
      <w:r w:rsidR="00B14B8D">
        <w:rPr>
          <w:rFonts w:ascii="Times New Roman" w:hAnsi="Times New Roman"/>
          <w:b/>
          <w:szCs w:val="24"/>
          <w:lang w:val="es-US"/>
        </w:rPr>
        <w:t>:</w:t>
      </w:r>
    </w:p>
    <w:p w:rsidRPr="009C1A7F" w:rsidR="00B335C9" w:rsidP="001673BF" w:rsidRDefault="00060175" w14:paraId="7B2A08DF" w14:textId="1C004558">
      <w:pPr>
        <w:tabs>
          <w:tab w:val="right" w:pos="9360"/>
        </w:tabs>
        <w:spacing w:line="480" w:lineRule="auto"/>
        <w:jc w:val="center"/>
        <w:rPr>
          <w:rFonts w:ascii="Times New Roman" w:hAnsi="Times New Roman"/>
          <w:b/>
          <w:szCs w:val="24"/>
          <w:lang w:val="es-US"/>
        </w:rPr>
      </w:pPr>
      <w:r>
        <w:rPr>
          <w:rFonts w:ascii="Times New Roman" w:hAnsi="Times New Roman"/>
          <w:b/>
          <w:szCs w:val="24"/>
          <w:lang w:val="es-US"/>
        </w:rPr>
        <w:t xml:space="preserve">Child Nutrition </w:t>
      </w:r>
      <w:r w:rsidR="00B14B8D">
        <w:rPr>
          <w:rFonts w:ascii="Times New Roman" w:hAnsi="Times New Roman"/>
          <w:b/>
          <w:szCs w:val="24"/>
          <w:lang w:val="es-US"/>
        </w:rPr>
        <w:t>Non-Competitive Technology Innovation Grant</w:t>
      </w:r>
    </w:p>
    <w:p w:rsidR="00B335C9" w:rsidP="006759ED" w:rsidRDefault="00B335C9" w14:paraId="7B2A08E2" w14:textId="766A756F">
      <w:pPr>
        <w:tabs>
          <w:tab w:val="right" w:pos="9360"/>
        </w:tabs>
        <w:spacing w:line="480" w:lineRule="auto"/>
        <w:rPr>
          <w:rFonts w:ascii="Times New Roman" w:hAnsi="Times New Roman"/>
          <w:szCs w:val="24"/>
          <w:lang w:val="es-US"/>
        </w:rPr>
      </w:pPr>
    </w:p>
    <w:p w:rsidR="00E62424" w:rsidP="006759ED" w:rsidRDefault="00E62424" w14:paraId="6D28294B" w14:textId="38C519C2">
      <w:pPr>
        <w:tabs>
          <w:tab w:val="right" w:pos="9360"/>
        </w:tabs>
        <w:spacing w:line="480" w:lineRule="auto"/>
        <w:rPr>
          <w:rFonts w:ascii="Times New Roman" w:hAnsi="Times New Roman"/>
          <w:szCs w:val="24"/>
          <w:lang w:val="es-US"/>
        </w:rPr>
      </w:pPr>
    </w:p>
    <w:p w:rsidR="00E62424" w:rsidP="006759ED" w:rsidRDefault="00E62424" w14:paraId="7C79F686" w14:textId="6DF364B8">
      <w:pPr>
        <w:tabs>
          <w:tab w:val="right" w:pos="9360"/>
        </w:tabs>
        <w:spacing w:line="480" w:lineRule="auto"/>
        <w:rPr>
          <w:rFonts w:ascii="Times New Roman" w:hAnsi="Times New Roman"/>
          <w:szCs w:val="24"/>
          <w:lang w:val="es-US"/>
        </w:rPr>
      </w:pPr>
    </w:p>
    <w:p w:rsidR="00E62424" w:rsidP="006759ED" w:rsidRDefault="00E62424" w14:paraId="2D6BD25E" w14:textId="1C722CCD">
      <w:pPr>
        <w:tabs>
          <w:tab w:val="right" w:pos="9360"/>
        </w:tabs>
        <w:spacing w:line="480" w:lineRule="auto"/>
        <w:rPr>
          <w:rFonts w:ascii="Times New Roman" w:hAnsi="Times New Roman"/>
          <w:szCs w:val="24"/>
          <w:lang w:val="es-US"/>
        </w:rPr>
      </w:pPr>
    </w:p>
    <w:p w:rsidR="00E62424" w:rsidP="006759ED" w:rsidRDefault="00E62424" w14:paraId="632D8757" w14:textId="64AE10C2">
      <w:pPr>
        <w:tabs>
          <w:tab w:val="right" w:pos="9360"/>
        </w:tabs>
        <w:spacing w:line="480" w:lineRule="auto"/>
        <w:rPr>
          <w:rFonts w:ascii="Times New Roman" w:hAnsi="Times New Roman"/>
          <w:szCs w:val="24"/>
          <w:lang w:val="es-US"/>
        </w:rPr>
      </w:pPr>
    </w:p>
    <w:p w:rsidR="00E62424" w:rsidP="006759ED" w:rsidRDefault="00E62424" w14:paraId="04C5E1DC" w14:textId="3676604E">
      <w:pPr>
        <w:tabs>
          <w:tab w:val="right" w:pos="9360"/>
        </w:tabs>
        <w:spacing w:line="480" w:lineRule="auto"/>
        <w:rPr>
          <w:rFonts w:ascii="Times New Roman" w:hAnsi="Times New Roman"/>
          <w:szCs w:val="24"/>
          <w:lang w:val="es-US"/>
        </w:rPr>
      </w:pPr>
    </w:p>
    <w:p w:rsidR="00E62424" w:rsidP="006759ED" w:rsidRDefault="00E62424" w14:paraId="765970B1" w14:textId="1BB54E77">
      <w:pPr>
        <w:tabs>
          <w:tab w:val="right" w:pos="9360"/>
        </w:tabs>
        <w:spacing w:line="480" w:lineRule="auto"/>
        <w:rPr>
          <w:rFonts w:ascii="Times New Roman" w:hAnsi="Times New Roman"/>
          <w:szCs w:val="24"/>
          <w:lang w:val="es-US"/>
        </w:rPr>
      </w:pPr>
    </w:p>
    <w:p w:rsidR="00E62424" w:rsidP="006759ED" w:rsidRDefault="00E62424" w14:paraId="158FDF9C" w14:textId="5ABCBF91">
      <w:pPr>
        <w:tabs>
          <w:tab w:val="right" w:pos="9360"/>
        </w:tabs>
        <w:spacing w:line="480" w:lineRule="auto"/>
        <w:rPr>
          <w:rFonts w:ascii="Times New Roman" w:hAnsi="Times New Roman"/>
          <w:szCs w:val="24"/>
          <w:lang w:val="es-US"/>
        </w:rPr>
      </w:pPr>
    </w:p>
    <w:p w:rsidR="00E62424" w:rsidP="006759ED" w:rsidRDefault="00E62424" w14:paraId="160E0BE6" w14:textId="33EB3173">
      <w:pPr>
        <w:tabs>
          <w:tab w:val="right" w:pos="9360"/>
        </w:tabs>
        <w:spacing w:line="480" w:lineRule="auto"/>
        <w:rPr>
          <w:rFonts w:ascii="Times New Roman" w:hAnsi="Times New Roman"/>
          <w:szCs w:val="24"/>
          <w:lang w:val="es-US"/>
        </w:rPr>
      </w:pPr>
    </w:p>
    <w:p w:rsidR="00E62424" w:rsidP="006759ED" w:rsidRDefault="00E62424" w14:paraId="60D4D9C6" w14:textId="60B36854">
      <w:pPr>
        <w:tabs>
          <w:tab w:val="right" w:pos="9360"/>
        </w:tabs>
        <w:spacing w:line="480" w:lineRule="auto"/>
        <w:rPr>
          <w:rFonts w:ascii="Times New Roman" w:hAnsi="Times New Roman"/>
          <w:szCs w:val="24"/>
          <w:lang w:val="es-US"/>
        </w:rPr>
      </w:pPr>
    </w:p>
    <w:p w:rsidRPr="002568E6" w:rsidR="00E62424" w:rsidP="006759ED" w:rsidRDefault="00E62424" w14:paraId="5DB651D4" w14:textId="77777777">
      <w:pPr>
        <w:tabs>
          <w:tab w:val="right" w:pos="9360"/>
        </w:tabs>
        <w:spacing w:line="480" w:lineRule="auto"/>
        <w:rPr>
          <w:rFonts w:ascii="Times New Roman" w:hAnsi="Times New Roman"/>
          <w:szCs w:val="24"/>
          <w:lang w:val="es-US"/>
        </w:rPr>
      </w:pPr>
    </w:p>
    <w:p w:rsidRPr="002568E6" w:rsidR="00447C1E" w:rsidP="00447C1E" w:rsidRDefault="00BB0112" w14:paraId="7B2A08E3" w14:textId="33A42B93">
      <w:pPr>
        <w:spacing w:line="480" w:lineRule="auto"/>
        <w:jc w:val="center"/>
        <w:rPr>
          <w:rFonts w:ascii="Times New Roman" w:hAnsi="Times New Roman"/>
          <w:szCs w:val="24"/>
          <w:lang w:val="es-US"/>
        </w:rPr>
      </w:pPr>
      <w:r>
        <w:rPr>
          <w:rFonts w:ascii="Times New Roman" w:hAnsi="Times New Roman"/>
          <w:szCs w:val="24"/>
          <w:lang w:val="es-US"/>
        </w:rPr>
        <w:t>Grants and Fiscal Policy Division</w:t>
      </w:r>
    </w:p>
    <w:p w:rsidR="00146025" w:rsidP="00146025" w:rsidRDefault="00146025" w14:paraId="130A8914" w14:textId="713A1445">
      <w:pPr>
        <w:spacing w:line="480" w:lineRule="auto"/>
        <w:jc w:val="center"/>
        <w:rPr>
          <w:rFonts w:ascii="Times New Roman" w:hAnsi="Times New Roman"/>
          <w:szCs w:val="24"/>
        </w:rPr>
      </w:pPr>
      <w:r>
        <w:rPr>
          <w:rFonts w:ascii="Times New Roman" w:hAnsi="Times New Roman"/>
          <w:szCs w:val="24"/>
        </w:rPr>
        <w:t>Food and Nutrition Service</w:t>
      </w:r>
    </w:p>
    <w:p w:rsidR="00146025" w:rsidP="00146025" w:rsidRDefault="00146025" w14:paraId="6B6A5C00" w14:textId="54D88F9E">
      <w:pPr>
        <w:spacing w:line="480" w:lineRule="auto"/>
        <w:jc w:val="center"/>
        <w:rPr>
          <w:rFonts w:ascii="Times New Roman" w:hAnsi="Times New Roman"/>
          <w:szCs w:val="24"/>
        </w:rPr>
      </w:pPr>
      <w:r>
        <w:rPr>
          <w:rFonts w:ascii="Times New Roman" w:hAnsi="Times New Roman"/>
          <w:szCs w:val="24"/>
        </w:rPr>
        <w:t>1320 Braddock Place</w:t>
      </w:r>
    </w:p>
    <w:p w:rsidR="00146025" w:rsidP="00146025" w:rsidRDefault="00146025" w14:paraId="0EE5FA0C" w14:textId="7B3B0DEA">
      <w:pPr>
        <w:spacing w:line="480" w:lineRule="auto"/>
        <w:jc w:val="center"/>
        <w:rPr>
          <w:rFonts w:ascii="Times New Roman" w:hAnsi="Times New Roman"/>
          <w:szCs w:val="24"/>
        </w:rPr>
      </w:pPr>
      <w:r>
        <w:rPr>
          <w:rFonts w:ascii="Times New Roman" w:hAnsi="Times New Roman"/>
          <w:szCs w:val="24"/>
        </w:rPr>
        <w:t>Alexandria, VA  22314</w:t>
      </w:r>
    </w:p>
    <w:p w:rsidR="00BB0112" w:rsidP="00146025" w:rsidRDefault="00BB0112" w14:paraId="2391D048" w14:textId="43568D53">
      <w:pPr>
        <w:spacing w:line="480" w:lineRule="auto"/>
        <w:jc w:val="center"/>
        <w:rPr>
          <w:rFonts w:ascii="Times New Roman" w:hAnsi="Times New Roman"/>
          <w:szCs w:val="24"/>
        </w:rPr>
      </w:pPr>
      <w:r>
        <w:rPr>
          <w:rFonts w:ascii="Times New Roman" w:hAnsi="Times New Roman"/>
          <w:szCs w:val="24"/>
        </w:rPr>
        <w:t>Office Phone: 703-305-1575</w:t>
      </w:r>
    </w:p>
    <w:p w:rsidR="00BB0112" w:rsidP="00146025" w:rsidRDefault="00BB0112" w14:paraId="6A787E1E" w14:textId="2F044F0B">
      <w:pPr>
        <w:spacing w:line="480" w:lineRule="auto"/>
        <w:jc w:val="center"/>
        <w:rPr>
          <w:rFonts w:ascii="Times New Roman" w:hAnsi="Times New Roman"/>
          <w:szCs w:val="24"/>
        </w:rPr>
      </w:pPr>
      <w:r>
        <w:rPr>
          <w:rFonts w:ascii="Times New Roman" w:hAnsi="Times New Roman"/>
          <w:szCs w:val="24"/>
        </w:rPr>
        <w:t>Fax: 703-305-0363</w:t>
      </w:r>
    </w:p>
    <w:p w:rsidR="00D94C1C" w:rsidP="00146025" w:rsidRDefault="00124711" w14:paraId="53591E14" w14:textId="08631A8C">
      <w:pPr>
        <w:spacing w:line="480" w:lineRule="auto"/>
        <w:jc w:val="center"/>
        <w:rPr>
          <w:rFonts w:ascii="Times New Roman" w:hAnsi="Times New Roman"/>
          <w:szCs w:val="24"/>
        </w:rPr>
      </w:pPr>
      <w:r>
        <w:rPr>
          <w:rFonts w:ascii="Times New Roman" w:hAnsi="Times New Roman"/>
          <w:szCs w:val="24"/>
        </w:rPr>
        <w:t>Greg Walton</w:t>
      </w:r>
    </w:p>
    <w:p w:rsidRPr="002568E6" w:rsidR="00BB0112" w:rsidP="00146025" w:rsidRDefault="00BB0112" w14:paraId="1ABF40A9" w14:textId="5856B639">
      <w:pPr>
        <w:spacing w:line="480" w:lineRule="auto"/>
        <w:jc w:val="center"/>
        <w:rPr>
          <w:rFonts w:ascii="Times New Roman" w:hAnsi="Times New Roman"/>
          <w:szCs w:val="24"/>
        </w:rPr>
      </w:pPr>
      <w:r>
        <w:rPr>
          <w:rFonts w:ascii="Times New Roman" w:hAnsi="Times New Roman"/>
          <w:szCs w:val="24"/>
        </w:rPr>
        <w:t xml:space="preserve">Email: </w:t>
      </w:r>
      <w:hyperlink w:history="1" r:id="rId11">
        <w:r w:rsidRPr="00BC2B5E" w:rsidR="00846F47">
          <w:rPr>
            <w:rStyle w:val="Hyperlink"/>
            <w:rFonts w:ascii="Times New Roman" w:hAnsi="Times New Roman"/>
            <w:szCs w:val="24"/>
          </w:rPr>
          <w:t>greg.walton@usda.gov</w:t>
        </w:r>
      </w:hyperlink>
    </w:p>
    <w:p w:rsidR="00905A5F" w:rsidRDefault="00905A5F" w14:paraId="7B2A08EB"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sdt>
      <w:sdtPr>
        <w:rPr>
          <w:rFonts w:ascii="Courier" w:hAnsi="Courier" w:eastAsia="Times New Roman" w:cs="Times New Roman"/>
          <w:color w:val="auto"/>
          <w:sz w:val="24"/>
          <w:szCs w:val="20"/>
        </w:rPr>
        <w:id w:val="676080357"/>
        <w:docPartObj>
          <w:docPartGallery w:val="Table of Contents"/>
          <w:docPartUnique/>
        </w:docPartObj>
      </w:sdtPr>
      <w:sdtEndPr>
        <w:rPr>
          <w:b/>
          <w:bCs/>
          <w:noProof/>
        </w:rPr>
      </w:sdtEndPr>
      <w:sdtContent>
        <w:p w:rsidRPr="00AC2608" w:rsidR="00AC2608" w:rsidRDefault="00AC2608" w14:paraId="572800EC" w14:textId="26C6E6FE">
          <w:pPr>
            <w:pStyle w:val="TOCHeading"/>
            <w:rPr>
              <w:rFonts w:ascii="Times New Roman" w:hAnsi="Times New Roman" w:cs="Times New Roman"/>
              <w:b/>
              <w:color w:val="auto"/>
              <w:sz w:val="24"/>
              <w:u w:val="single"/>
            </w:rPr>
          </w:pPr>
          <w:r w:rsidRPr="00AC2608">
            <w:rPr>
              <w:rFonts w:ascii="Times New Roman" w:hAnsi="Times New Roman" w:cs="Times New Roman"/>
              <w:b/>
              <w:color w:val="auto"/>
              <w:sz w:val="24"/>
              <w:u w:val="single"/>
            </w:rPr>
            <w:t>Table of Contents</w:t>
          </w:r>
        </w:p>
        <w:p w:rsidR="001A687A" w:rsidRDefault="00AC2608" w14:paraId="16B9C849" w14:textId="152BB54A">
          <w:pPr>
            <w:pStyle w:val="TOC1"/>
            <w:rPr>
              <w:rFonts w:asciiTheme="minorHAnsi" w:hAnsiTheme="minorHAnsi" w:eastAsiaTheme="minorEastAsia" w:cstheme="minorBidi"/>
              <w:b w:val="0"/>
              <w:bCs w:val="0"/>
              <w:caps w:val="0"/>
              <w:sz w:val="22"/>
              <w:szCs w:val="22"/>
            </w:rPr>
          </w:pPr>
          <w:r w:rsidRPr="00AC2608">
            <w:fldChar w:fldCharType="begin"/>
          </w:r>
          <w:r w:rsidRPr="00AC2608">
            <w:instrText xml:space="preserve"> TOC \o "1-3" \h \z \u </w:instrText>
          </w:r>
          <w:r w:rsidRPr="00AC2608">
            <w:fldChar w:fldCharType="separate"/>
          </w:r>
          <w:hyperlink w:history="1" w:anchor="_Toc71026054">
            <w:r w:rsidRPr="00282BF3" w:rsidR="001A687A">
              <w:rPr>
                <w:rStyle w:val="Hyperlink"/>
              </w:rPr>
              <w:t>A1. Circumstances that make the collection of information necessary.</w:t>
            </w:r>
            <w:r w:rsidR="001A687A">
              <w:rPr>
                <w:webHidden/>
              </w:rPr>
              <w:tab/>
            </w:r>
            <w:r w:rsidR="001A687A">
              <w:rPr>
                <w:webHidden/>
              </w:rPr>
              <w:fldChar w:fldCharType="begin"/>
            </w:r>
            <w:r w:rsidR="001A687A">
              <w:rPr>
                <w:webHidden/>
              </w:rPr>
              <w:instrText xml:space="preserve"> PAGEREF _Toc71026054 \h </w:instrText>
            </w:r>
            <w:r w:rsidR="001A687A">
              <w:rPr>
                <w:webHidden/>
              </w:rPr>
            </w:r>
            <w:r w:rsidR="001A687A">
              <w:rPr>
                <w:webHidden/>
              </w:rPr>
              <w:fldChar w:fldCharType="separate"/>
            </w:r>
            <w:r w:rsidR="001A687A">
              <w:rPr>
                <w:webHidden/>
              </w:rPr>
              <w:t>3</w:t>
            </w:r>
            <w:r w:rsidR="001A687A">
              <w:rPr>
                <w:webHidden/>
              </w:rPr>
              <w:fldChar w:fldCharType="end"/>
            </w:r>
          </w:hyperlink>
        </w:p>
        <w:p w:rsidR="001A687A" w:rsidRDefault="004113B9" w14:paraId="70455E93" w14:textId="7D0F1A11">
          <w:pPr>
            <w:pStyle w:val="TOC1"/>
            <w:rPr>
              <w:rFonts w:asciiTheme="minorHAnsi" w:hAnsiTheme="minorHAnsi" w:eastAsiaTheme="minorEastAsia" w:cstheme="minorBidi"/>
              <w:b w:val="0"/>
              <w:bCs w:val="0"/>
              <w:caps w:val="0"/>
              <w:sz w:val="22"/>
              <w:szCs w:val="22"/>
            </w:rPr>
          </w:pPr>
          <w:hyperlink w:history="1" w:anchor="_Toc71026055">
            <w:r w:rsidRPr="00282BF3" w:rsidR="001A687A">
              <w:rPr>
                <w:rStyle w:val="Hyperlink"/>
              </w:rPr>
              <w:t>A2. Purpose and Use of the Information.</w:t>
            </w:r>
            <w:r w:rsidR="001A687A">
              <w:rPr>
                <w:webHidden/>
              </w:rPr>
              <w:tab/>
            </w:r>
            <w:r w:rsidR="001A687A">
              <w:rPr>
                <w:webHidden/>
              </w:rPr>
              <w:fldChar w:fldCharType="begin"/>
            </w:r>
            <w:r w:rsidR="001A687A">
              <w:rPr>
                <w:webHidden/>
              </w:rPr>
              <w:instrText xml:space="preserve"> PAGEREF _Toc71026055 \h </w:instrText>
            </w:r>
            <w:r w:rsidR="001A687A">
              <w:rPr>
                <w:webHidden/>
              </w:rPr>
            </w:r>
            <w:r w:rsidR="001A687A">
              <w:rPr>
                <w:webHidden/>
              </w:rPr>
              <w:fldChar w:fldCharType="separate"/>
            </w:r>
            <w:r w:rsidR="001A687A">
              <w:rPr>
                <w:webHidden/>
              </w:rPr>
              <w:t>4</w:t>
            </w:r>
            <w:r w:rsidR="001A687A">
              <w:rPr>
                <w:webHidden/>
              </w:rPr>
              <w:fldChar w:fldCharType="end"/>
            </w:r>
          </w:hyperlink>
        </w:p>
        <w:p w:rsidR="001A687A" w:rsidRDefault="004113B9" w14:paraId="304A273D" w14:textId="534602E0">
          <w:pPr>
            <w:pStyle w:val="TOC1"/>
            <w:rPr>
              <w:rFonts w:asciiTheme="minorHAnsi" w:hAnsiTheme="minorHAnsi" w:eastAsiaTheme="minorEastAsia" w:cstheme="minorBidi"/>
              <w:b w:val="0"/>
              <w:bCs w:val="0"/>
              <w:caps w:val="0"/>
              <w:sz w:val="22"/>
              <w:szCs w:val="22"/>
            </w:rPr>
          </w:pPr>
          <w:hyperlink w:history="1" w:anchor="_Toc71026056">
            <w:r w:rsidRPr="00282BF3" w:rsidR="001A687A">
              <w:rPr>
                <w:rStyle w:val="Hyperlink"/>
              </w:rPr>
              <w:t>A3.  Use of information technology and burden reduction.</w:t>
            </w:r>
            <w:r w:rsidR="001A687A">
              <w:rPr>
                <w:webHidden/>
              </w:rPr>
              <w:tab/>
            </w:r>
            <w:r w:rsidR="001A687A">
              <w:rPr>
                <w:webHidden/>
              </w:rPr>
              <w:fldChar w:fldCharType="begin"/>
            </w:r>
            <w:r w:rsidR="001A687A">
              <w:rPr>
                <w:webHidden/>
              </w:rPr>
              <w:instrText xml:space="preserve"> PAGEREF _Toc71026056 \h </w:instrText>
            </w:r>
            <w:r w:rsidR="001A687A">
              <w:rPr>
                <w:webHidden/>
              </w:rPr>
            </w:r>
            <w:r w:rsidR="001A687A">
              <w:rPr>
                <w:webHidden/>
              </w:rPr>
              <w:fldChar w:fldCharType="separate"/>
            </w:r>
            <w:r w:rsidR="001A687A">
              <w:rPr>
                <w:webHidden/>
              </w:rPr>
              <w:t>4</w:t>
            </w:r>
            <w:r w:rsidR="001A687A">
              <w:rPr>
                <w:webHidden/>
              </w:rPr>
              <w:fldChar w:fldCharType="end"/>
            </w:r>
          </w:hyperlink>
        </w:p>
        <w:p w:rsidR="001A687A" w:rsidRDefault="004113B9" w14:paraId="27D01020" w14:textId="4EA41C26">
          <w:pPr>
            <w:pStyle w:val="TOC1"/>
            <w:rPr>
              <w:rFonts w:asciiTheme="minorHAnsi" w:hAnsiTheme="minorHAnsi" w:eastAsiaTheme="minorEastAsia" w:cstheme="minorBidi"/>
              <w:b w:val="0"/>
              <w:bCs w:val="0"/>
              <w:caps w:val="0"/>
              <w:sz w:val="22"/>
              <w:szCs w:val="22"/>
            </w:rPr>
          </w:pPr>
          <w:hyperlink w:history="1" w:anchor="_Toc71026057">
            <w:r w:rsidRPr="00282BF3" w:rsidR="001A687A">
              <w:rPr>
                <w:rStyle w:val="Hyperlink"/>
              </w:rPr>
              <w:t>A4.  Efforts to identify duplication.</w:t>
            </w:r>
            <w:r w:rsidR="001A687A">
              <w:rPr>
                <w:webHidden/>
              </w:rPr>
              <w:tab/>
            </w:r>
            <w:r w:rsidR="001A687A">
              <w:rPr>
                <w:webHidden/>
              </w:rPr>
              <w:fldChar w:fldCharType="begin"/>
            </w:r>
            <w:r w:rsidR="001A687A">
              <w:rPr>
                <w:webHidden/>
              </w:rPr>
              <w:instrText xml:space="preserve"> PAGEREF _Toc71026057 \h </w:instrText>
            </w:r>
            <w:r w:rsidR="001A687A">
              <w:rPr>
                <w:webHidden/>
              </w:rPr>
            </w:r>
            <w:r w:rsidR="001A687A">
              <w:rPr>
                <w:webHidden/>
              </w:rPr>
              <w:fldChar w:fldCharType="separate"/>
            </w:r>
            <w:r w:rsidR="001A687A">
              <w:rPr>
                <w:webHidden/>
              </w:rPr>
              <w:t>5</w:t>
            </w:r>
            <w:r w:rsidR="001A687A">
              <w:rPr>
                <w:webHidden/>
              </w:rPr>
              <w:fldChar w:fldCharType="end"/>
            </w:r>
          </w:hyperlink>
        </w:p>
        <w:p w:rsidR="001A687A" w:rsidRDefault="004113B9" w14:paraId="7407619B" w14:textId="40B60D1D">
          <w:pPr>
            <w:pStyle w:val="TOC1"/>
            <w:rPr>
              <w:rFonts w:asciiTheme="minorHAnsi" w:hAnsiTheme="minorHAnsi" w:eastAsiaTheme="minorEastAsia" w:cstheme="minorBidi"/>
              <w:b w:val="0"/>
              <w:bCs w:val="0"/>
              <w:caps w:val="0"/>
              <w:sz w:val="22"/>
              <w:szCs w:val="22"/>
            </w:rPr>
          </w:pPr>
          <w:hyperlink w:history="1" w:anchor="_Toc71026058">
            <w:r w:rsidRPr="00282BF3" w:rsidR="001A687A">
              <w:rPr>
                <w:rStyle w:val="Hyperlink"/>
              </w:rPr>
              <w:t>A5.  Impacts on small businesses or other small entities.</w:t>
            </w:r>
            <w:r w:rsidR="001A687A">
              <w:rPr>
                <w:webHidden/>
              </w:rPr>
              <w:tab/>
            </w:r>
            <w:r w:rsidR="001A687A">
              <w:rPr>
                <w:webHidden/>
              </w:rPr>
              <w:fldChar w:fldCharType="begin"/>
            </w:r>
            <w:r w:rsidR="001A687A">
              <w:rPr>
                <w:webHidden/>
              </w:rPr>
              <w:instrText xml:space="preserve"> PAGEREF _Toc71026058 \h </w:instrText>
            </w:r>
            <w:r w:rsidR="001A687A">
              <w:rPr>
                <w:webHidden/>
              </w:rPr>
            </w:r>
            <w:r w:rsidR="001A687A">
              <w:rPr>
                <w:webHidden/>
              </w:rPr>
              <w:fldChar w:fldCharType="separate"/>
            </w:r>
            <w:r w:rsidR="001A687A">
              <w:rPr>
                <w:webHidden/>
              </w:rPr>
              <w:t>5</w:t>
            </w:r>
            <w:r w:rsidR="001A687A">
              <w:rPr>
                <w:webHidden/>
              </w:rPr>
              <w:fldChar w:fldCharType="end"/>
            </w:r>
          </w:hyperlink>
        </w:p>
        <w:p w:rsidR="001A687A" w:rsidRDefault="004113B9" w14:paraId="5A386A2C" w14:textId="4AC171F5">
          <w:pPr>
            <w:pStyle w:val="TOC1"/>
            <w:rPr>
              <w:rFonts w:asciiTheme="minorHAnsi" w:hAnsiTheme="minorHAnsi" w:eastAsiaTheme="minorEastAsia" w:cstheme="minorBidi"/>
              <w:b w:val="0"/>
              <w:bCs w:val="0"/>
              <w:caps w:val="0"/>
              <w:sz w:val="22"/>
              <w:szCs w:val="22"/>
            </w:rPr>
          </w:pPr>
          <w:hyperlink w:history="1" w:anchor="_Toc71026059">
            <w:r w:rsidRPr="00282BF3" w:rsidR="001A687A">
              <w:rPr>
                <w:rStyle w:val="Hyperlink"/>
              </w:rPr>
              <w:t>A6.  Consequences of collecting the information less frequently.</w:t>
            </w:r>
            <w:r w:rsidR="001A687A">
              <w:rPr>
                <w:webHidden/>
              </w:rPr>
              <w:tab/>
            </w:r>
            <w:r w:rsidR="001A687A">
              <w:rPr>
                <w:webHidden/>
              </w:rPr>
              <w:fldChar w:fldCharType="begin"/>
            </w:r>
            <w:r w:rsidR="001A687A">
              <w:rPr>
                <w:webHidden/>
              </w:rPr>
              <w:instrText xml:space="preserve"> PAGEREF _Toc71026059 \h </w:instrText>
            </w:r>
            <w:r w:rsidR="001A687A">
              <w:rPr>
                <w:webHidden/>
              </w:rPr>
            </w:r>
            <w:r w:rsidR="001A687A">
              <w:rPr>
                <w:webHidden/>
              </w:rPr>
              <w:fldChar w:fldCharType="separate"/>
            </w:r>
            <w:r w:rsidR="001A687A">
              <w:rPr>
                <w:webHidden/>
              </w:rPr>
              <w:t>5</w:t>
            </w:r>
            <w:r w:rsidR="001A687A">
              <w:rPr>
                <w:webHidden/>
              </w:rPr>
              <w:fldChar w:fldCharType="end"/>
            </w:r>
          </w:hyperlink>
        </w:p>
        <w:p w:rsidR="001A687A" w:rsidRDefault="004113B9" w14:paraId="414E055B" w14:textId="0978E325">
          <w:pPr>
            <w:pStyle w:val="TOC1"/>
            <w:rPr>
              <w:rFonts w:asciiTheme="minorHAnsi" w:hAnsiTheme="minorHAnsi" w:eastAsiaTheme="minorEastAsia" w:cstheme="minorBidi"/>
              <w:b w:val="0"/>
              <w:bCs w:val="0"/>
              <w:caps w:val="0"/>
              <w:sz w:val="22"/>
              <w:szCs w:val="22"/>
            </w:rPr>
          </w:pPr>
          <w:hyperlink w:history="1" w:anchor="_Toc71026060">
            <w:r w:rsidRPr="00282BF3" w:rsidR="001A687A">
              <w:rPr>
                <w:rStyle w:val="Hyperlink"/>
              </w:rPr>
              <w:t>A7.  Special circumstances relating to the Guidelines of 5 CFR 1320.5.</w:t>
            </w:r>
            <w:r w:rsidR="001A687A">
              <w:rPr>
                <w:webHidden/>
              </w:rPr>
              <w:tab/>
            </w:r>
            <w:r w:rsidR="001A687A">
              <w:rPr>
                <w:webHidden/>
              </w:rPr>
              <w:fldChar w:fldCharType="begin"/>
            </w:r>
            <w:r w:rsidR="001A687A">
              <w:rPr>
                <w:webHidden/>
              </w:rPr>
              <w:instrText xml:space="preserve"> PAGEREF _Toc71026060 \h </w:instrText>
            </w:r>
            <w:r w:rsidR="001A687A">
              <w:rPr>
                <w:webHidden/>
              </w:rPr>
            </w:r>
            <w:r w:rsidR="001A687A">
              <w:rPr>
                <w:webHidden/>
              </w:rPr>
              <w:fldChar w:fldCharType="separate"/>
            </w:r>
            <w:r w:rsidR="001A687A">
              <w:rPr>
                <w:webHidden/>
              </w:rPr>
              <w:t>6</w:t>
            </w:r>
            <w:r w:rsidR="001A687A">
              <w:rPr>
                <w:webHidden/>
              </w:rPr>
              <w:fldChar w:fldCharType="end"/>
            </w:r>
          </w:hyperlink>
        </w:p>
        <w:p w:rsidR="001A687A" w:rsidRDefault="004113B9" w14:paraId="6930590F" w14:textId="3DA96531">
          <w:pPr>
            <w:pStyle w:val="TOC1"/>
            <w:rPr>
              <w:rFonts w:asciiTheme="minorHAnsi" w:hAnsiTheme="minorHAnsi" w:eastAsiaTheme="minorEastAsia" w:cstheme="minorBidi"/>
              <w:b w:val="0"/>
              <w:bCs w:val="0"/>
              <w:caps w:val="0"/>
              <w:sz w:val="22"/>
              <w:szCs w:val="22"/>
            </w:rPr>
          </w:pPr>
          <w:hyperlink w:history="1" w:anchor="_Toc71026061">
            <w:r w:rsidRPr="00282BF3" w:rsidR="001A687A">
              <w:rPr>
                <w:rStyle w:val="Hyperlink"/>
              </w:rPr>
              <w:t>A8.  Comments to the Federal Register Notice and efforts for consultation.</w:t>
            </w:r>
            <w:r w:rsidR="001A687A">
              <w:rPr>
                <w:webHidden/>
              </w:rPr>
              <w:tab/>
            </w:r>
            <w:r w:rsidR="001A687A">
              <w:rPr>
                <w:webHidden/>
              </w:rPr>
              <w:fldChar w:fldCharType="begin"/>
            </w:r>
            <w:r w:rsidR="001A687A">
              <w:rPr>
                <w:webHidden/>
              </w:rPr>
              <w:instrText xml:space="preserve"> PAGEREF _Toc71026061 \h </w:instrText>
            </w:r>
            <w:r w:rsidR="001A687A">
              <w:rPr>
                <w:webHidden/>
              </w:rPr>
            </w:r>
            <w:r w:rsidR="001A687A">
              <w:rPr>
                <w:webHidden/>
              </w:rPr>
              <w:fldChar w:fldCharType="separate"/>
            </w:r>
            <w:r w:rsidR="001A687A">
              <w:rPr>
                <w:webHidden/>
              </w:rPr>
              <w:t>6</w:t>
            </w:r>
            <w:r w:rsidR="001A687A">
              <w:rPr>
                <w:webHidden/>
              </w:rPr>
              <w:fldChar w:fldCharType="end"/>
            </w:r>
          </w:hyperlink>
        </w:p>
        <w:p w:rsidR="001A687A" w:rsidRDefault="004113B9" w14:paraId="7ED58EF4" w14:textId="4F8435AD">
          <w:pPr>
            <w:pStyle w:val="TOC1"/>
            <w:rPr>
              <w:rFonts w:asciiTheme="minorHAnsi" w:hAnsiTheme="minorHAnsi" w:eastAsiaTheme="minorEastAsia" w:cstheme="minorBidi"/>
              <w:b w:val="0"/>
              <w:bCs w:val="0"/>
              <w:caps w:val="0"/>
              <w:sz w:val="22"/>
              <w:szCs w:val="22"/>
            </w:rPr>
          </w:pPr>
          <w:hyperlink w:history="1" w:anchor="_Toc71026062">
            <w:r w:rsidRPr="00282BF3" w:rsidR="001A687A">
              <w:rPr>
                <w:rStyle w:val="Hyperlink"/>
              </w:rPr>
              <w:t>A9.  Explain any decisions to provide any payment or gift to respondents.</w:t>
            </w:r>
            <w:r w:rsidR="001A687A">
              <w:rPr>
                <w:webHidden/>
              </w:rPr>
              <w:tab/>
            </w:r>
            <w:r w:rsidR="001A687A">
              <w:rPr>
                <w:webHidden/>
              </w:rPr>
              <w:fldChar w:fldCharType="begin"/>
            </w:r>
            <w:r w:rsidR="001A687A">
              <w:rPr>
                <w:webHidden/>
              </w:rPr>
              <w:instrText xml:space="preserve"> PAGEREF _Toc71026062 \h </w:instrText>
            </w:r>
            <w:r w:rsidR="001A687A">
              <w:rPr>
                <w:webHidden/>
              </w:rPr>
            </w:r>
            <w:r w:rsidR="001A687A">
              <w:rPr>
                <w:webHidden/>
              </w:rPr>
              <w:fldChar w:fldCharType="separate"/>
            </w:r>
            <w:r w:rsidR="001A687A">
              <w:rPr>
                <w:webHidden/>
              </w:rPr>
              <w:t>7</w:t>
            </w:r>
            <w:r w:rsidR="001A687A">
              <w:rPr>
                <w:webHidden/>
              </w:rPr>
              <w:fldChar w:fldCharType="end"/>
            </w:r>
          </w:hyperlink>
        </w:p>
        <w:p w:rsidR="001A687A" w:rsidRDefault="004113B9" w14:paraId="61DA262B" w14:textId="27AD522F">
          <w:pPr>
            <w:pStyle w:val="TOC1"/>
            <w:rPr>
              <w:rFonts w:asciiTheme="minorHAnsi" w:hAnsiTheme="minorHAnsi" w:eastAsiaTheme="minorEastAsia" w:cstheme="minorBidi"/>
              <w:b w:val="0"/>
              <w:bCs w:val="0"/>
              <w:caps w:val="0"/>
              <w:sz w:val="22"/>
              <w:szCs w:val="22"/>
            </w:rPr>
          </w:pPr>
          <w:hyperlink w:history="1" w:anchor="_Toc71026063">
            <w:r w:rsidRPr="00282BF3" w:rsidR="001A687A">
              <w:rPr>
                <w:rStyle w:val="Hyperlink"/>
              </w:rPr>
              <w:t>A10.  Assurances of confidentiality provided to respondents.</w:t>
            </w:r>
            <w:r w:rsidR="001A687A">
              <w:rPr>
                <w:webHidden/>
              </w:rPr>
              <w:tab/>
            </w:r>
            <w:r w:rsidR="001A687A">
              <w:rPr>
                <w:webHidden/>
              </w:rPr>
              <w:fldChar w:fldCharType="begin"/>
            </w:r>
            <w:r w:rsidR="001A687A">
              <w:rPr>
                <w:webHidden/>
              </w:rPr>
              <w:instrText xml:space="preserve"> PAGEREF _Toc71026063 \h </w:instrText>
            </w:r>
            <w:r w:rsidR="001A687A">
              <w:rPr>
                <w:webHidden/>
              </w:rPr>
            </w:r>
            <w:r w:rsidR="001A687A">
              <w:rPr>
                <w:webHidden/>
              </w:rPr>
              <w:fldChar w:fldCharType="separate"/>
            </w:r>
            <w:r w:rsidR="001A687A">
              <w:rPr>
                <w:webHidden/>
              </w:rPr>
              <w:t>7</w:t>
            </w:r>
            <w:r w:rsidR="001A687A">
              <w:rPr>
                <w:webHidden/>
              </w:rPr>
              <w:fldChar w:fldCharType="end"/>
            </w:r>
          </w:hyperlink>
        </w:p>
        <w:p w:rsidR="001A687A" w:rsidRDefault="004113B9" w14:paraId="08F71F75" w14:textId="0EF56CA2">
          <w:pPr>
            <w:pStyle w:val="TOC1"/>
            <w:rPr>
              <w:rFonts w:asciiTheme="minorHAnsi" w:hAnsiTheme="minorHAnsi" w:eastAsiaTheme="minorEastAsia" w:cstheme="minorBidi"/>
              <w:b w:val="0"/>
              <w:bCs w:val="0"/>
              <w:caps w:val="0"/>
              <w:sz w:val="22"/>
              <w:szCs w:val="22"/>
            </w:rPr>
          </w:pPr>
          <w:hyperlink w:history="1" w:anchor="_Toc71026064">
            <w:r w:rsidRPr="00282BF3" w:rsidR="001A687A">
              <w:rPr>
                <w:rStyle w:val="Hyperlink"/>
              </w:rPr>
              <w:t>A11.  Justification for any questions of a sensitive nature.</w:t>
            </w:r>
            <w:r w:rsidR="001A687A">
              <w:rPr>
                <w:webHidden/>
              </w:rPr>
              <w:tab/>
            </w:r>
            <w:r w:rsidR="001A687A">
              <w:rPr>
                <w:webHidden/>
              </w:rPr>
              <w:fldChar w:fldCharType="begin"/>
            </w:r>
            <w:r w:rsidR="001A687A">
              <w:rPr>
                <w:webHidden/>
              </w:rPr>
              <w:instrText xml:space="preserve"> PAGEREF _Toc71026064 \h </w:instrText>
            </w:r>
            <w:r w:rsidR="001A687A">
              <w:rPr>
                <w:webHidden/>
              </w:rPr>
            </w:r>
            <w:r w:rsidR="001A687A">
              <w:rPr>
                <w:webHidden/>
              </w:rPr>
              <w:fldChar w:fldCharType="separate"/>
            </w:r>
            <w:r w:rsidR="001A687A">
              <w:rPr>
                <w:webHidden/>
              </w:rPr>
              <w:t>7</w:t>
            </w:r>
            <w:r w:rsidR="001A687A">
              <w:rPr>
                <w:webHidden/>
              </w:rPr>
              <w:fldChar w:fldCharType="end"/>
            </w:r>
          </w:hyperlink>
        </w:p>
        <w:p w:rsidR="001A687A" w:rsidRDefault="004113B9" w14:paraId="0B7E8B32" w14:textId="283CD829">
          <w:pPr>
            <w:pStyle w:val="TOC1"/>
            <w:rPr>
              <w:rFonts w:asciiTheme="minorHAnsi" w:hAnsiTheme="minorHAnsi" w:eastAsiaTheme="minorEastAsia" w:cstheme="minorBidi"/>
              <w:b w:val="0"/>
              <w:bCs w:val="0"/>
              <w:caps w:val="0"/>
              <w:sz w:val="22"/>
              <w:szCs w:val="22"/>
            </w:rPr>
          </w:pPr>
          <w:hyperlink w:history="1" w:anchor="_Toc71026065">
            <w:r w:rsidRPr="00282BF3" w:rsidR="001A687A">
              <w:rPr>
                <w:rStyle w:val="Hyperlink"/>
              </w:rPr>
              <w:t>A12.  Estimates of the hour burden of the collection of information.</w:t>
            </w:r>
            <w:r w:rsidR="001A687A">
              <w:rPr>
                <w:webHidden/>
              </w:rPr>
              <w:tab/>
            </w:r>
            <w:r w:rsidR="001A687A">
              <w:rPr>
                <w:webHidden/>
              </w:rPr>
              <w:fldChar w:fldCharType="begin"/>
            </w:r>
            <w:r w:rsidR="001A687A">
              <w:rPr>
                <w:webHidden/>
              </w:rPr>
              <w:instrText xml:space="preserve"> PAGEREF _Toc71026065 \h </w:instrText>
            </w:r>
            <w:r w:rsidR="001A687A">
              <w:rPr>
                <w:webHidden/>
              </w:rPr>
            </w:r>
            <w:r w:rsidR="001A687A">
              <w:rPr>
                <w:webHidden/>
              </w:rPr>
              <w:fldChar w:fldCharType="separate"/>
            </w:r>
            <w:r w:rsidR="001A687A">
              <w:rPr>
                <w:webHidden/>
              </w:rPr>
              <w:t>8</w:t>
            </w:r>
            <w:r w:rsidR="001A687A">
              <w:rPr>
                <w:webHidden/>
              </w:rPr>
              <w:fldChar w:fldCharType="end"/>
            </w:r>
          </w:hyperlink>
        </w:p>
        <w:p w:rsidR="001A687A" w:rsidRDefault="004113B9" w14:paraId="10AEBFC7" w14:textId="4FB4F26A">
          <w:pPr>
            <w:pStyle w:val="TOC1"/>
            <w:rPr>
              <w:rFonts w:asciiTheme="minorHAnsi" w:hAnsiTheme="minorHAnsi" w:eastAsiaTheme="minorEastAsia" w:cstheme="minorBidi"/>
              <w:b w:val="0"/>
              <w:bCs w:val="0"/>
              <w:caps w:val="0"/>
              <w:sz w:val="22"/>
              <w:szCs w:val="22"/>
            </w:rPr>
          </w:pPr>
          <w:hyperlink w:history="1" w:anchor="_Toc71026066">
            <w:r w:rsidRPr="00282BF3" w:rsidR="001A687A">
              <w:rPr>
                <w:rStyle w:val="Hyperlink"/>
              </w:rPr>
              <w:t>A13.  Estimates of other total annual cost burden.</w:t>
            </w:r>
            <w:r w:rsidR="001A687A">
              <w:rPr>
                <w:webHidden/>
              </w:rPr>
              <w:tab/>
            </w:r>
            <w:r w:rsidR="001A687A">
              <w:rPr>
                <w:webHidden/>
              </w:rPr>
              <w:fldChar w:fldCharType="begin"/>
            </w:r>
            <w:r w:rsidR="001A687A">
              <w:rPr>
                <w:webHidden/>
              </w:rPr>
              <w:instrText xml:space="preserve"> PAGEREF _Toc71026066 \h </w:instrText>
            </w:r>
            <w:r w:rsidR="001A687A">
              <w:rPr>
                <w:webHidden/>
              </w:rPr>
            </w:r>
            <w:r w:rsidR="001A687A">
              <w:rPr>
                <w:webHidden/>
              </w:rPr>
              <w:fldChar w:fldCharType="separate"/>
            </w:r>
            <w:r w:rsidR="001A687A">
              <w:rPr>
                <w:webHidden/>
              </w:rPr>
              <w:t>10</w:t>
            </w:r>
            <w:r w:rsidR="001A687A">
              <w:rPr>
                <w:webHidden/>
              </w:rPr>
              <w:fldChar w:fldCharType="end"/>
            </w:r>
          </w:hyperlink>
        </w:p>
        <w:p w:rsidR="001A687A" w:rsidRDefault="004113B9" w14:paraId="1AFFFB21" w14:textId="26079887">
          <w:pPr>
            <w:pStyle w:val="TOC1"/>
            <w:rPr>
              <w:rFonts w:asciiTheme="minorHAnsi" w:hAnsiTheme="minorHAnsi" w:eastAsiaTheme="minorEastAsia" w:cstheme="minorBidi"/>
              <w:b w:val="0"/>
              <w:bCs w:val="0"/>
              <w:caps w:val="0"/>
              <w:sz w:val="22"/>
              <w:szCs w:val="22"/>
            </w:rPr>
          </w:pPr>
          <w:hyperlink w:history="1" w:anchor="_Toc71026067">
            <w:r w:rsidRPr="00282BF3" w:rsidR="001A687A">
              <w:rPr>
                <w:rStyle w:val="Hyperlink"/>
              </w:rPr>
              <w:t>A14.  Provide estimates of annualized cost to the Federal government.</w:t>
            </w:r>
            <w:r w:rsidR="001A687A">
              <w:rPr>
                <w:webHidden/>
              </w:rPr>
              <w:tab/>
            </w:r>
            <w:r w:rsidR="001A687A">
              <w:rPr>
                <w:webHidden/>
              </w:rPr>
              <w:fldChar w:fldCharType="begin"/>
            </w:r>
            <w:r w:rsidR="001A687A">
              <w:rPr>
                <w:webHidden/>
              </w:rPr>
              <w:instrText xml:space="preserve"> PAGEREF _Toc71026067 \h </w:instrText>
            </w:r>
            <w:r w:rsidR="001A687A">
              <w:rPr>
                <w:webHidden/>
              </w:rPr>
            </w:r>
            <w:r w:rsidR="001A687A">
              <w:rPr>
                <w:webHidden/>
              </w:rPr>
              <w:fldChar w:fldCharType="separate"/>
            </w:r>
            <w:r w:rsidR="001A687A">
              <w:rPr>
                <w:webHidden/>
              </w:rPr>
              <w:t>10</w:t>
            </w:r>
            <w:r w:rsidR="001A687A">
              <w:rPr>
                <w:webHidden/>
              </w:rPr>
              <w:fldChar w:fldCharType="end"/>
            </w:r>
          </w:hyperlink>
        </w:p>
        <w:p w:rsidR="001A687A" w:rsidRDefault="004113B9" w14:paraId="6951DF8D" w14:textId="60C02CD6">
          <w:pPr>
            <w:pStyle w:val="TOC1"/>
            <w:rPr>
              <w:rFonts w:asciiTheme="minorHAnsi" w:hAnsiTheme="minorHAnsi" w:eastAsiaTheme="minorEastAsia" w:cstheme="minorBidi"/>
              <w:b w:val="0"/>
              <w:bCs w:val="0"/>
              <w:caps w:val="0"/>
              <w:sz w:val="22"/>
              <w:szCs w:val="22"/>
            </w:rPr>
          </w:pPr>
          <w:hyperlink w:history="1" w:anchor="_Toc71026068">
            <w:r w:rsidRPr="00282BF3" w:rsidR="001A687A">
              <w:rPr>
                <w:rStyle w:val="Hyperlink"/>
              </w:rPr>
              <w:t>A15.  Explanation of program changes or adjustments.</w:t>
            </w:r>
            <w:r w:rsidR="001A687A">
              <w:rPr>
                <w:webHidden/>
              </w:rPr>
              <w:tab/>
            </w:r>
            <w:r w:rsidR="001A687A">
              <w:rPr>
                <w:webHidden/>
              </w:rPr>
              <w:fldChar w:fldCharType="begin"/>
            </w:r>
            <w:r w:rsidR="001A687A">
              <w:rPr>
                <w:webHidden/>
              </w:rPr>
              <w:instrText xml:space="preserve"> PAGEREF _Toc71026068 \h </w:instrText>
            </w:r>
            <w:r w:rsidR="001A687A">
              <w:rPr>
                <w:webHidden/>
              </w:rPr>
            </w:r>
            <w:r w:rsidR="001A687A">
              <w:rPr>
                <w:webHidden/>
              </w:rPr>
              <w:fldChar w:fldCharType="separate"/>
            </w:r>
            <w:r w:rsidR="001A687A">
              <w:rPr>
                <w:webHidden/>
              </w:rPr>
              <w:t>11</w:t>
            </w:r>
            <w:r w:rsidR="001A687A">
              <w:rPr>
                <w:webHidden/>
              </w:rPr>
              <w:fldChar w:fldCharType="end"/>
            </w:r>
          </w:hyperlink>
        </w:p>
        <w:p w:rsidR="001A687A" w:rsidRDefault="004113B9" w14:paraId="04FA17C4" w14:textId="67BDCDB7">
          <w:pPr>
            <w:pStyle w:val="TOC1"/>
            <w:rPr>
              <w:rFonts w:asciiTheme="minorHAnsi" w:hAnsiTheme="minorHAnsi" w:eastAsiaTheme="minorEastAsia" w:cstheme="minorBidi"/>
              <w:b w:val="0"/>
              <w:bCs w:val="0"/>
              <w:caps w:val="0"/>
              <w:sz w:val="22"/>
              <w:szCs w:val="22"/>
            </w:rPr>
          </w:pPr>
          <w:hyperlink w:history="1" w:anchor="_Toc71026069">
            <w:r w:rsidRPr="00282BF3" w:rsidR="001A687A">
              <w:rPr>
                <w:rStyle w:val="Hyperlink"/>
              </w:rPr>
              <w:t>A16.  Plans for tabulation, and publication and project time schedule.</w:t>
            </w:r>
            <w:r w:rsidR="001A687A">
              <w:rPr>
                <w:webHidden/>
              </w:rPr>
              <w:tab/>
            </w:r>
            <w:r w:rsidR="001A687A">
              <w:rPr>
                <w:webHidden/>
              </w:rPr>
              <w:fldChar w:fldCharType="begin"/>
            </w:r>
            <w:r w:rsidR="001A687A">
              <w:rPr>
                <w:webHidden/>
              </w:rPr>
              <w:instrText xml:space="preserve"> PAGEREF _Toc71026069 \h </w:instrText>
            </w:r>
            <w:r w:rsidR="001A687A">
              <w:rPr>
                <w:webHidden/>
              </w:rPr>
            </w:r>
            <w:r w:rsidR="001A687A">
              <w:rPr>
                <w:webHidden/>
              </w:rPr>
              <w:fldChar w:fldCharType="separate"/>
            </w:r>
            <w:r w:rsidR="001A687A">
              <w:rPr>
                <w:webHidden/>
              </w:rPr>
              <w:t>11</w:t>
            </w:r>
            <w:r w:rsidR="001A687A">
              <w:rPr>
                <w:webHidden/>
              </w:rPr>
              <w:fldChar w:fldCharType="end"/>
            </w:r>
          </w:hyperlink>
        </w:p>
        <w:p w:rsidR="001A687A" w:rsidRDefault="004113B9" w14:paraId="096E7121" w14:textId="5AA64694">
          <w:pPr>
            <w:pStyle w:val="TOC1"/>
            <w:rPr>
              <w:rFonts w:asciiTheme="minorHAnsi" w:hAnsiTheme="minorHAnsi" w:eastAsiaTheme="minorEastAsia" w:cstheme="minorBidi"/>
              <w:b w:val="0"/>
              <w:bCs w:val="0"/>
              <w:caps w:val="0"/>
              <w:sz w:val="22"/>
              <w:szCs w:val="22"/>
            </w:rPr>
          </w:pPr>
          <w:hyperlink w:history="1" w:anchor="_Toc71026070">
            <w:r w:rsidRPr="00282BF3" w:rsidR="001A687A">
              <w:rPr>
                <w:rStyle w:val="Hyperlink"/>
              </w:rPr>
              <w:t>A17.  Displaying the OMB Approval Expiration Date.</w:t>
            </w:r>
            <w:r w:rsidR="001A687A">
              <w:rPr>
                <w:webHidden/>
              </w:rPr>
              <w:tab/>
            </w:r>
            <w:r w:rsidR="001A687A">
              <w:rPr>
                <w:webHidden/>
              </w:rPr>
              <w:fldChar w:fldCharType="begin"/>
            </w:r>
            <w:r w:rsidR="001A687A">
              <w:rPr>
                <w:webHidden/>
              </w:rPr>
              <w:instrText xml:space="preserve"> PAGEREF _Toc71026070 \h </w:instrText>
            </w:r>
            <w:r w:rsidR="001A687A">
              <w:rPr>
                <w:webHidden/>
              </w:rPr>
            </w:r>
            <w:r w:rsidR="001A687A">
              <w:rPr>
                <w:webHidden/>
              </w:rPr>
              <w:fldChar w:fldCharType="separate"/>
            </w:r>
            <w:r w:rsidR="001A687A">
              <w:rPr>
                <w:webHidden/>
              </w:rPr>
              <w:t>11</w:t>
            </w:r>
            <w:r w:rsidR="001A687A">
              <w:rPr>
                <w:webHidden/>
              </w:rPr>
              <w:fldChar w:fldCharType="end"/>
            </w:r>
          </w:hyperlink>
        </w:p>
        <w:p w:rsidR="001A687A" w:rsidRDefault="004113B9" w14:paraId="6CF6B7EE" w14:textId="40F53E11">
          <w:pPr>
            <w:pStyle w:val="TOC1"/>
            <w:rPr>
              <w:rFonts w:asciiTheme="minorHAnsi" w:hAnsiTheme="minorHAnsi" w:eastAsiaTheme="minorEastAsia" w:cstheme="minorBidi"/>
              <w:b w:val="0"/>
              <w:bCs w:val="0"/>
              <w:caps w:val="0"/>
              <w:sz w:val="22"/>
              <w:szCs w:val="22"/>
            </w:rPr>
          </w:pPr>
          <w:hyperlink w:history="1" w:anchor="_Toc71026071">
            <w:r w:rsidRPr="00282BF3" w:rsidR="001A687A">
              <w:rPr>
                <w:rStyle w:val="Hyperlink"/>
              </w:rPr>
              <w:t>A18.  Exceptions to the certification statement identified in Item 19.</w:t>
            </w:r>
            <w:r w:rsidR="001A687A">
              <w:rPr>
                <w:webHidden/>
              </w:rPr>
              <w:tab/>
            </w:r>
            <w:r w:rsidR="001A687A">
              <w:rPr>
                <w:webHidden/>
              </w:rPr>
              <w:fldChar w:fldCharType="begin"/>
            </w:r>
            <w:r w:rsidR="001A687A">
              <w:rPr>
                <w:webHidden/>
              </w:rPr>
              <w:instrText xml:space="preserve"> PAGEREF _Toc71026071 \h </w:instrText>
            </w:r>
            <w:r w:rsidR="001A687A">
              <w:rPr>
                <w:webHidden/>
              </w:rPr>
            </w:r>
            <w:r w:rsidR="001A687A">
              <w:rPr>
                <w:webHidden/>
              </w:rPr>
              <w:fldChar w:fldCharType="separate"/>
            </w:r>
            <w:r w:rsidR="001A687A">
              <w:rPr>
                <w:webHidden/>
              </w:rPr>
              <w:t>11</w:t>
            </w:r>
            <w:r w:rsidR="001A687A">
              <w:rPr>
                <w:webHidden/>
              </w:rPr>
              <w:fldChar w:fldCharType="end"/>
            </w:r>
          </w:hyperlink>
        </w:p>
        <w:p w:rsidR="00AC2608" w:rsidP="00AC2608" w:rsidRDefault="00AC2608" w14:paraId="4A60DF6F" w14:textId="6425BC68">
          <w:pPr>
            <w:rPr>
              <w:rFonts w:ascii="Times New Roman" w:hAnsi="Times New Roman"/>
              <w:b/>
              <w:szCs w:val="24"/>
              <w:u w:val="single"/>
            </w:rPr>
          </w:pPr>
          <w:r w:rsidRPr="00AC2608">
            <w:rPr>
              <w:rFonts w:ascii="Times New Roman" w:hAnsi="Times New Roman"/>
              <w:b/>
              <w:bCs/>
              <w:noProof/>
            </w:rPr>
            <w:fldChar w:fldCharType="end"/>
          </w:r>
        </w:p>
      </w:sdtContent>
    </w:sdt>
    <w:p w:rsidR="00AC2608" w:rsidP="009F7E1A" w:rsidRDefault="00AC2608" w14:paraId="4859CB96" w14:textId="77777777">
      <w:pPr>
        <w:tabs>
          <w:tab w:val="center" w:pos="4680"/>
        </w:tabs>
        <w:rPr>
          <w:rFonts w:ascii="Times New Roman" w:hAnsi="Times New Roman"/>
          <w:b/>
          <w:szCs w:val="24"/>
          <w:u w:val="single"/>
        </w:rPr>
      </w:pPr>
    </w:p>
    <w:p w:rsidR="00905A5F" w:rsidP="009F7E1A" w:rsidRDefault="00905A5F" w14:paraId="7B2A0900" w14:textId="77777777">
      <w:pPr>
        <w:tabs>
          <w:tab w:val="center" w:pos="4680"/>
        </w:tabs>
        <w:rPr>
          <w:rFonts w:ascii="Times New Roman" w:hAnsi="Times New Roman"/>
          <w:b/>
          <w:szCs w:val="24"/>
          <w:u w:val="single"/>
        </w:rPr>
      </w:pPr>
    </w:p>
    <w:p w:rsidR="00905A5F" w:rsidP="009F7E1A" w:rsidRDefault="00905A5F" w14:paraId="7B2A0901" w14:textId="77777777">
      <w:pPr>
        <w:tabs>
          <w:tab w:val="center" w:pos="4680"/>
        </w:tabs>
        <w:rPr>
          <w:rFonts w:ascii="Times New Roman" w:hAnsi="Times New Roman"/>
          <w:b/>
          <w:szCs w:val="24"/>
          <w:u w:val="single"/>
        </w:rPr>
      </w:pPr>
    </w:p>
    <w:p w:rsidR="002568E6" w:rsidP="009F7E1A" w:rsidRDefault="00905A5F" w14:paraId="7B2A0902"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P="009B23F1" w:rsidRDefault="004F7E06" w14:paraId="7B2A0903" w14:textId="4C801596">
      <w:pPr>
        <w:tabs>
          <w:tab w:val="center" w:pos="4680"/>
        </w:tabs>
        <w:ind w:left="360" w:hanging="360"/>
        <w:rPr>
          <w:rFonts w:ascii="Times New Roman" w:hAnsi="Times New Roman"/>
          <w:szCs w:val="24"/>
        </w:rPr>
      </w:pPr>
      <w:r w:rsidRPr="002D75AF">
        <w:rPr>
          <w:rFonts w:ascii="Times New Roman" w:hAnsi="Times New Roman"/>
          <w:szCs w:val="24"/>
        </w:rPr>
        <w:t>Appendix</w:t>
      </w:r>
      <w:r w:rsidRPr="002D75AF" w:rsidR="00571540">
        <w:rPr>
          <w:rFonts w:ascii="Times New Roman" w:hAnsi="Times New Roman"/>
          <w:szCs w:val="24"/>
        </w:rPr>
        <w:t xml:space="preserve"> </w:t>
      </w:r>
      <w:r w:rsidRPr="002D75AF" w:rsidR="003651AE">
        <w:rPr>
          <w:rFonts w:ascii="Times New Roman" w:hAnsi="Times New Roman"/>
          <w:szCs w:val="24"/>
        </w:rPr>
        <w:t xml:space="preserve">A: </w:t>
      </w:r>
      <w:r w:rsidR="009B23F1">
        <w:rPr>
          <w:rFonts w:ascii="Times New Roman" w:hAnsi="Times New Roman"/>
          <w:szCs w:val="24"/>
        </w:rPr>
        <w:t xml:space="preserve">Child Nutrition Program’s Non-Competitive Technology Innovation Grant </w:t>
      </w:r>
      <w:r w:rsidRPr="002D75AF" w:rsidR="001673BF">
        <w:rPr>
          <w:rFonts w:ascii="Times New Roman" w:hAnsi="Times New Roman"/>
          <w:szCs w:val="24"/>
        </w:rPr>
        <w:t>Burden Table</w:t>
      </w:r>
    </w:p>
    <w:p w:rsidR="006841DE" w:rsidP="00124711" w:rsidRDefault="006841DE" w14:paraId="70065DF8" w14:textId="2BE76D45">
      <w:pPr>
        <w:tabs>
          <w:tab w:val="center" w:pos="4680"/>
        </w:tabs>
        <w:ind w:left="360" w:hanging="360"/>
        <w:rPr>
          <w:rFonts w:ascii="Times New Roman" w:hAnsi="Times New Roman"/>
          <w:szCs w:val="24"/>
        </w:rPr>
      </w:pPr>
      <w:r>
        <w:rPr>
          <w:rFonts w:ascii="Times New Roman" w:hAnsi="Times New Roman"/>
          <w:szCs w:val="24"/>
        </w:rPr>
        <w:t xml:space="preserve">Appendix B: </w:t>
      </w:r>
      <w:r w:rsidR="006741F5">
        <w:rPr>
          <w:rFonts w:ascii="Times New Roman" w:hAnsi="Times New Roman"/>
          <w:szCs w:val="24"/>
        </w:rPr>
        <w:t>A</w:t>
      </w:r>
      <w:r>
        <w:rPr>
          <w:rFonts w:ascii="Times New Roman" w:hAnsi="Times New Roman"/>
          <w:szCs w:val="24"/>
        </w:rPr>
        <w:t xml:space="preserve">nnouncement </w:t>
      </w:r>
      <w:r w:rsidR="006741F5">
        <w:rPr>
          <w:rFonts w:ascii="Times New Roman" w:hAnsi="Times New Roman"/>
          <w:szCs w:val="24"/>
        </w:rPr>
        <w:t>L</w:t>
      </w:r>
      <w:r>
        <w:rPr>
          <w:rFonts w:ascii="Times New Roman" w:hAnsi="Times New Roman"/>
          <w:szCs w:val="24"/>
        </w:rPr>
        <w:t>etter of the Non-Competitive Technology Innovation Grant</w:t>
      </w:r>
    </w:p>
    <w:p w:rsidR="0042787C" w:rsidP="00124711" w:rsidRDefault="00124711" w14:paraId="4C36D56F" w14:textId="3E36DA48">
      <w:pPr>
        <w:tabs>
          <w:tab w:val="center" w:pos="4680"/>
        </w:tabs>
        <w:ind w:left="360" w:hanging="360"/>
        <w:rPr>
          <w:rFonts w:ascii="Times New Roman" w:hAnsi="Times New Roman"/>
          <w:szCs w:val="24"/>
        </w:rPr>
      </w:pPr>
      <w:r>
        <w:rPr>
          <w:rFonts w:ascii="Times New Roman" w:hAnsi="Times New Roman"/>
          <w:szCs w:val="24"/>
        </w:rPr>
        <w:t xml:space="preserve">Appendix </w:t>
      </w:r>
      <w:r w:rsidR="006841DE">
        <w:rPr>
          <w:rFonts w:ascii="Times New Roman" w:hAnsi="Times New Roman"/>
          <w:szCs w:val="24"/>
        </w:rPr>
        <w:t>C</w:t>
      </w:r>
      <w:r>
        <w:rPr>
          <w:rFonts w:ascii="Times New Roman" w:hAnsi="Times New Roman"/>
          <w:szCs w:val="24"/>
        </w:rPr>
        <w:t>: Child Nutrition Program’s Non-Competitive Technology Innovation Grant Application Template</w:t>
      </w:r>
    </w:p>
    <w:p w:rsidR="009B7909" w:rsidP="009F7E1A" w:rsidRDefault="006841DE" w14:paraId="6F6D2439" w14:textId="77777777">
      <w:pPr>
        <w:tabs>
          <w:tab w:val="center" w:pos="4680"/>
        </w:tabs>
        <w:rPr>
          <w:rFonts w:ascii="Times New Roman" w:hAnsi="Times New Roman"/>
          <w:szCs w:val="24"/>
        </w:rPr>
      </w:pPr>
      <w:r>
        <w:rPr>
          <w:rFonts w:ascii="Times New Roman" w:hAnsi="Times New Roman"/>
          <w:szCs w:val="24"/>
        </w:rPr>
        <w:t>Appendix D</w:t>
      </w:r>
      <w:r w:rsidR="009B7909">
        <w:rPr>
          <w:rFonts w:ascii="Times New Roman" w:hAnsi="Times New Roman"/>
          <w:szCs w:val="24"/>
        </w:rPr>
        <w:t>:</w:t>
      </w:r>
    </w:p>
    <w:p w:rsidR="009B7909" w:rsidP="009B7909" w:rsidRDefault="009B7909" w14:paraId="4FDFE3A3" w14:textId="360FA599">
      <w:pPr>
        <w:ind w:left="360"/>
        <w:rPr>
          <w:rFonts w:ascii="Times New Roman" w:hAnsi="Times New Roman"/>
          <w:szCs w:val="24"/>
        </w:rPr>
      </w:pPr>
      <w:r>
        <w:rPr>
          <w:rFonts w:ascii="Times New Roman" w:hAnsi="Times New Roman"/>
          <w:szCs w:val="24"/>
        </w:rPr>
        <w:t>D</w:t>
      </w:r>
      <w:r>
        <w:rPr>
          <w:rFonts w:ascii="Times New Roman" w:hAnsi="Times New Roman"/>
          <w:szCs w:val="24"/>
        </w:rPr>
        <w:tab/>
      </w:r>
      <w:r w:rsidR="0049109E">
        <w:rPr>
          <w:rFonts w:ascii="Times New Roman" w:hAnsi="Times New Roman"/>
          <w:szCs w:val="24"/>
        </w:rPr>
        <w:tab/>
      </w:r>
      <w:r>
        <w:rPr>
          <w:rFonts w:ascii="Times New Roman" w:hAnsi="Times New Roman"/>
          <w:szCs w:val="24"/>
        </w:rPr>
        <w:t>SF-424A</w:t>
      </w:r>
    </w:p>
    <w:p w:rsidR="009B7909" w:rsidP="009B7909" w:rsidRDefault="009B7909" w14:paraId="790E0E6B" w14:textId="77777777">
      <w:pPr>
        <w:ind w:left="360"/>
        <w:rPr>
          <w:rFonts w:ascii="Times New Roman" w:hAnsi="Times New Roman"/>
          <w:szCs w:val="24"/>
        </w:rPr>
      </w:pPr>
      <w:r>
        <w:rPr>
          <w:rFonts w:ascii="Times New Roman" w:hAnsi="Times New Roman"/>
          <w:szCs w:val="24"/>
        </w:rPr>
        <w:t>D-1</w:t>
      </w:r>
      <w:r>
        <w:rPr>
          <w:rFonts w:ascii="Times New Roman" w:hAnsi="Times New Roman"/>
          <w:szCs w:val="24"/>
        </w:rPr>
        <w:tab/>
        <w:t>SF-424B</w:t>
      </w:r>
    </w:p>
    <w:p w:rsidR="009B7909" w:rsidP="009B7909" w:rsidRDefault="009B7909" w14:paraId="4B6C569E" w14:textId="77777777">
      <w:pPr>
        <w:ind w:left="360"/>
        <w:rPr>
          <w:rFonts w:ascii="Times New Roman" w:hAnsi="Times New Roman"/>
          <w:szCs w:val="24"/>
        </w:rPr>
      </w:pPr>
      <w:r>
        <w:rPr>
          <w:rFonts w:ascii="Times New Roman" w:hAnsi="Times New Roman"/>
          <w:szCs w:val="24"/>
        </w:rPr>
        <w:t>D-2</w:t>
      </w:r>
      <w:r>
        <w:rPr>
          <w:rFonts w:ascii="Times New Roman" w:hAnsi="Times New Roman"/>
          <w:szCs w:val="24"/>
        </w:rPr>
        <w:tab/>
        <w:t>SF-424C</w:t>
      </w:r>
    </w:p>
    <w:p w:rsidR="009B7909" w:rsidP="009B7909" w:rsidRDefault="009B7909" w14:paraId="6E1A20D1" w14:textId="77777777">
      <w:pPr>
        <w:ind w:left="360"/>
        <w:rPr>
          <w:rFonts w:ascii="Times New Roman" w:hAnsi="Times New Roman"/>
          <w:szCs w:val="24"/>
        </w:rPr>
      </w:pPr>
      <w:r>
        <w:rPr>
          <w:rFonts w:ascii="Times New Roman" w:hAnsi="Times New Roman"/>
          <w:szCs w:val="24"/>
        </w:rPr>
        <w:t>D-3</w:t>
      </w:r>
      <w:r>
        <w:rPr>
          <w:rFonts w:ascii="Times New Roman" w:hAnsi="Times New Roman"/>
          <w:szCs w:val="24"/>
        </w:rPr>
        <w:tab/>
        <w:t>SF-424D</w:t>
      </w:r>
    </w:p>
    <w:p w:rsidR="009B7909" w:rsidP="009B7909" w:rsidRDefault="005C0E22" w14:paraId="1A3C22F1" w14:textId="12075442">
      <w:pPr>
        <w:ind w:left="360"/>
        <w:rPr>
          <w:rFonts w:ascii="Times New Roman" w:hAnsi="Times New Roman"/>
          <w:szCs w:val="24"/>
        </w:rPr>
      </w:pPr>
      <w:r>
        <w:rPr>
          <w:rFonts w:ascii="Times New Roman" w:hAnsi="Times New Roman"/>
          <w:szCs w:val="24"/>
        </w:rPr>
        <w:t>D-4</w:t>
      </w:r>
      <w:r>
        <w:rPr>
          <w:rFonts w:ascii="Times New Roman" w:hAnsi="Times New Roman"/>
          <w:szCs w:val="24"/>
        </w:rPr>
        <w:tab/>
        <w:t>SF-425</w:t>
      </w:r>
    </w:p>
    <w:p w:rsidR="009B7909" w:rsidP="009B7909" w:rsidRDefault="009B7909" w14:paraId="4018BDD7" w14:textId="77777777">
      <w:pPr>
        <w:ind w:left="360"/>
        <w:rPr>
          <w:rFonts w:ascii="Times New Roman" w:hAnsi="Times New Roman"/>
          <w:szCs w:val="24"/>
        </w:rPr>
      </w:pPr>
      <w:r>
        <w:rPr>
          <w:rFonts w:ascii="Times New Roman" w:hAnsi="Times New Roman"/>
          <w:szCs w:val="24"/>
        </w:rPr>
        <w:t>D-5</w:t>
      </w:r>
      <w:r>
        <w:rPr>
          <w:rFonts w:ascii="Times New Roman" w:hAnsi="Times New Roman"/>
          <w:szCs w:val="24"/>
        </w:rPr>
        <w:tab/>
        <w:t>SF-LLL</w:t>
      </w:r>
    </w:p>
    <w:p w:rsidR="009B7909" w:rsidP="009B7909" w:rsidRDefault="009B7909" w14:paraId="4278255A" w14:textId="77777777">
      <w:pPr>
        <w:ind w:left="360"/>
        <w:rPr>
          <w:rFonts w:ascii="Times New Roman" w:hAnsi="Times New Roman"/>
          <w:szCs w:val="24"/>
        </w:rPr>
      </w:pPr>
      <w:r>
        <w:rPr>
          <w:rFonts w:ascii="Times New Roman" w:hAnsi="Times New Roman"/>
          <w:szCs w:val="24"/>
        </w:rPr>
        <w:t>D-6</w:t>
      </w:r>
      <w:r>
        <w:rPr>
          <w:rFonts w:ascii="Times New Roman" w:hAnsi="Times New Roman"/>
          <w:szCs w:val="24"/>
        </w:rPr>
        <w:tab/>
        <w:t>AD-1047</w:t>
      </w:r>
    </w:p>
    <w:p w:rsidR="009B7909" w:rsidP="009B7909" w:rsidRDefault="009B7909" w14:paraId="24F2736A" w14:textId="77777777">
      <w:pPr>
        <w:ind w:left="360"/>
        <w:rPr>
          <w:rFonts w:ascii="Times New Roman" w:hAnsi="Times New Roman"/>
          <w:szCs w:val="24"/>
        </w:rPr>
      </w:pPr>
      <w:r>
        <w:rPr>
          <w:rFonts w:ascii="Times New Roman" w:hAnsi="Times New Roman"/>
          <w:szCs w:val="24"/>
        </w:rPr>
        <w:t>D-7</w:t>
      </w:r>
      <w:r>
        <w:rPr>
          <w:rFonts w:ascii="Times New Roman" w:hAnsi="Times New Roman"/>
          <w:szCs w:val="24"/>
        </w:rPr>
        <w:tab/>
        <w:t>AD-1048</w:t>
      </w:r>
    </w:p>
    <w:p w:rsidR="009B7909" w:rsidP="009B7909" w:rsidRDefault="009B7909" w14:paraId="0E9C579A" w14:textId="77777777">
      <w:pPr>
        <w:ind w:left="360"/>
        <w:rPr>
          <w:rFonts w:ascii="Times New Roman" w:hAnsi="Times New Roman"/>
          <w:szCs w:val="24"/>
        </w:rPr>
      </w:pPr>
      <w:r>
        <w:rPr>
          <w:rFonts w:ascii="Times New Roman" w:hAnsi="Times New Roman"/>
          <w:szCs w:val="24"/>
        </w:rPr>
        <w:t>D-8</w:t>
      </w:r>
      <w:r>
        <w:rPr>
          <w:rFonts w:ascii="Times New Roman" w:hAnsi="Times New Roman"/>
          <w:szCs w:val="24"/>
        </w:rPr>
        <w:tab/>
        <w:t>AD-1049</w:t>
      </w:r>
    </w:p>
    <w:p w:rsidR="009B7909" w:rsidP="009B7909" w:rsidRDefault="009B7909" w14:paraId="2AD69F00" w14:textId="77777777">
      <w:pPr>
        <w:ind w:left="360"/>
        <w:rPr>
          <w:rFonts w:ascii="Times New Roman" w:hAnsi="Times New Roman"/>
          <w:szCs w:val="24"/>
        </w:rPr>
      </w:pPr>
      <w:r>
        <w:rPr>
          <w:rFonts w:ascii="Times New Roman" w:hAnsi="Times New Roman"/>
          <w:szCs w:val="24"/>
        </w:rPr>
        <w:t>D-9</w:t>
      </w:r>
      <w:r>
        <w:rPr>
          <w:rFonts w:ascii="Times New Roman" w:hAnsi="Times New Roman"/>
          <w:szCs w:val="24"/>
        </w:rPr>
        <w:tab/>
        <w:t>FNS-908</w:t>
      </w:r>
    </w:p>
    <w:p w:rsidRPr="006759ED" w:rsidR="009F7E1A" w:rsidP="009B7909" w:rsidRDefault="009B7909" w14:paraId="7B2A0906" w14:textId="2214EE16">
      <w:pPr>
        <w:ind w:left="360"/>
        <w:rPr>
          <w:rFonts w:ascii="Times New Roman" w:hAnsi="Times New Roman"/>
          <w:szCs w:val="24"/>
        </w:rPr>
      </w:pPr>
      <w:r>
        <w:rPr>
          <w:rFonts w:ascii="Times New Roman" w:hAnsi="Times New Roman"/>
          <w:szCs w:val="24"/>
        </w:rPr>
        <w:t>D-10</w:t>
      </w:r>
      <w:r>
        <w:rPr>
          <w:rFonts w:ascii="Times New Roman" w:hAnsi="Times New Roman"/>
          <w:szCs w:val="24"/>
        </w:rPr>
        <w:tab/>
        <w:t>SF-424</w:t>
      </w:r>
      <w:r w:rsidR="002568E6">
        <w:rPr>
          <w:rFonts w:ascii="Times New Roman" w:hAnsi="Times New Roman"/>
          <w:szCs w:val="24"/>
        </w:rPr>
        <w:br w:type="page"/>
      </w:r>
    </w:p>
    <w:p w:rsidRPr="002568E6" w:rsidR="004F2F54" w:rsidRDefault="004F2F54" w14:paraId="7B2A0907" w14:textId="77777777">
      <w:pPr>
        <w:tabs>
          <w:tab w:val="left" w:pos="-720"/>
        </w:tabs>
        <w:suppressAutoHyphens/>
        <w:rPr>
          <w:rFonts w:ascii="Times New Roman" w:hAnsi="Times New Roman"/>
          <w:szCs w:val="24"/>
        </w:rPr>
      </w:pPr>
    </w:p>
    <w:p w:rsidRPr="002568E6" w:rsidR="005A3F80" w:rsidP="006A1BDB" w:rsidRDefault="005A3F80" w14:paraId="7B2A0908" w14:textId="77777777">
      <w:pPr>
        <w:pStyle w:val="Heading1"/>
        <w:rPr>
          <w:szCs w:val="24"/>
        </w:rPr>
      </w:pPr>
      <w:bookmarkStart w:name="_Toc401831357" w:id="0"/>
      <w:bookmarkStart w:name="_Toc401832401" w:id="1"/>
      <w:bookmarkStart w:name="_Toc71026054" w:id="2"/>
      <w:r w:rsidRPr="002568E6">
        <w:rPr>
          <w:szCs w:val="24"/>
        </w:rPr>
        <w:t xml:space="preserve">A1. </w:t>
      </w:r>
      <w:r w:rsidR="002568E6">
        <w:rPr>
          <w:szCs w:val="24"/>
        </w:rPr>
        <w:t>C</w:t>
      </w:r>
      <w:r w:rsidRPr="002568E6">
        <w:rPr>
          <w:szCs w:val="24"/>
        </w:rPr>
        <w:t>ircumstances that make the collection of information necessary.</w:t>
      </w:r>
      <w:bookmarkEnd w:id="0"/>
      <w:bookmarkEnd w:id="1"/>
      <w:bookmarkEnd w:id="2"/>
    </w:p>
    <w:p w:rsidRPr="002568E6" w:rsidR="003333DF" w:rsidP="003333DF" w:rsidRDefault="003333DF" w14:paraId="7B2A0909" w14:textId="77777777">
      <w:pPr>
        <w:tabs>
          <w:tab w:val="left" w:pos="-720"/>
        </w:tabs>
        <w:suppressAutoHyphens/>
        <w:rPr>
          <w:rFonts w:ascii="Times New Roman" w:hAnsi="Times New Roman"/>
          <w:b/>
          <w:szCs w:val="24"/>
        </w:rPr>
      </w:pPr>
    </w:p>
    <w:p w:rsidRPr="002568E6" w:rsidR="003333DF" w:rsidP="003333DF" w:rsidRDefault="003333DF" w14:paraId="7B2A090A"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7B2A090B" w14:textId="77777777">
      <w:pPr>
        <w:tabs>
          <w:tab w:val="left" w:pos="-720"/>
        </w:tabs>
        <w:suppressAutoHyphens/>
        <w:rPr>
          <w:rFonts w:ascii="Times New Roman" w:hAnsi="Times New Roman"/>
          <w:szCs w:val="24"/>
        </w:rPr>
      </w:pPr>
    </w:p>
    <w:p w:rsidRPr="007F2D55" w:rsidR="007F2D55" w:rsidP="007F2D55" w:rsidRDefault="001378D8" w14:paraId="711BCB20" w14:textId="33A247EE">
      <w:pPr>
        <w:pStyle w:val="BodyText"/>
        <w:spacing w:line="480" w:lineRule="auto"/>
        <w:ind w:right="173"/>
        <w:rPr>
          <w:rFonts w:cstheme="minorHAnsi"/>
          <w:b w:val="0"/>
        </w:rPr>
      </w:pPr>
      <w:r w:rsidRPr="00B87BAD">
        <w:rPr>
          <w:b w:val="0"/>
        </w:rPr>
        <w:t xml:space="preserve">Pursuant to </w:t>
      </w:r>
      <w:r w:rsidRPr="00B87BAD" w:rsidR="00B87BAD">
        <w:rPr>
          <w:b w:val="0"/>
        </w:rPr>
        <w:t xml:space="preserve">the authorization </w:t>
      </w:r>
      <w:r w:rsidR="00553CCA">
        <w:rPr>
          <w:b w:val="0"/>
        </w:rPr>
        <w:t xml:space="preserve">in Division B, Title IV </w:t>
      </w:r>
      <w:r w:rsidRPr="00B87BAD" w:rsidR="00B87BAD">
        <w:rPr>
          <w:b w:val="0"/>
        </w:rPr>
        <w:t xml:space="preserve">of the </w:t>
      </w:r>
      <w:r w:rsidRPr="00B87BAD" w:rsidR="00B87BAD">
        <w:rPr>
          <w:rFonts w:cstheme="minorHAnsi"/>
          <w:b w:val="0"/>
        </w:rPr>
        <w:t>Further Consolidat</w:t>
      </w:r>
      <w:r w:rsidR="00E31F69">
        <w:rPr>
          <w:rFonts w:cstheme="minorHAnsi"/>
          <w:b w:val="0"/>
        </w:rPr>
        <w:t>ed Appropriations Act, 2020 (Public Law</w:t>
      </w:r>
      <w:r w:rsidRPr="00B87BAD" w:rsidR="00B87BAD">
        <w:rPr>
          <w:rFonts w:cstheme="minorHAnsi"/>
          <w:b w:val="0"/>
        </w:rPr>
        <w:t xml:space="preserve"> 116-94) and Consolidated A</w:t>
      </w:r>
      <w:r w:rsidR="00E31F69">
        <w:rPr>
          <w:rFonts w:cstheme="minorHAnsi"/>
          <w:b w:val="0"/>
        </w:rPr>
        <w:t>ppropriations Act, 2021 (Public Law</w:t>
      </w:r>
      <w:r w:rsidRPr="00B87BAD" w:rsidR="00B87BAD">
        <w:rPr>
          <w:rFonts w:cstheme="minorHAnsi"/>
          <w:b w:val="0"/>
        </w:rPr>
        <w:t xml:space="preserve"> 116-260)</w:t>
      </w:r>
      <w:r w:rsidRPr="00B87BAD">
        <w:rPr>
          <w:b w:val="0"/>
        </w:rPr>
        <w:t xml:space="preserve">, Food and Nutrition Service (FNS) </w:t>
      </w:r>
      <w:r w:rsidRPr="00B87BAD" w:rsidR="00B87BAD">
        <w:rPr>
          <w:rFonts w:cstheme="minorHAnsi"/>
          <w:b w:val="0"/>
        </w:rPr>
        <w:t>received $25 million in each fiscal years (FYs) 2020 and 2021 (totally $50 million available in FY 2021) in State funding for the purpose of developing, improving, and maintaining aut</w:t>
      </w:r>
      <w:r w:rsidR="007F2D55">
        <w:rPr>
          <w:rFonts w:cstheme="minorHAnsi"/>
          <w:b w:val="0"/>
        </w:rPr>
        <w:t>omated information technology</w:t>
      </w:r>
      <w:r w:rsidRPr="00B87BAD" w:rsidR="00B87BAD">
        <w:rPr>
          <w:rFonts w:cstheme="minorHAnsi"/>
          <w:b w:val="0"/>
        </w:rPr>
        <w:t xml:space="preserve"> systems use to operate and manage all </w:t>
      </w:r>
      <w:r w:rsidR="007F2D55">
        <w:rPr>
          <w:rFonts w:cstheme="minorHAnsi"/>
          <w:b w:val="0"/>
        </w:rPr>
        <w:t>Child Nutrition (</w:t>
      </w:r>
      <w:r w:rsidRPr="00B87BAD" w:rsidR="00B87BAD">
        <w:rPr>
          <w:rFonts w:cstheme="minorHAnsi"/>
          <w:b w:val="0"/>
        </w:rPr>
        <w:t>CN</w:t>
      </w:r>
      <w:r w:rsidR="007F2D55">
        <w:rPr>
          <w:rFonts w:cstheme="minorHAnsi"/>
          <w:b w:val="0"/>
        </w:rPr>
        <w:t>)</w:t>
      </w:r>
      <w:r w:rsidRPr="00B87BAD" w:rsidR="00B87BAD">
        <w:rPr>
          <w:rFonts w:cstheme="minorHAnsi"/>
          <w:b w:val="0"/>
        </w:rPr>
        <w:t xml:space="preserve"> Programs (</w:t>
      </w:r>
      <w:r w:rsidRPr="007F2D55" w:rsidR="00B87BAD">
        <w:rPr>
          <w:b w:val="0"/>
        </w:rPr>
        <w:t>i.e.,</w:t>
      </w:r>
      <w:r w:rsidRPr="00B87BAD" w:rsidR="00B87BAD">
        <w:rPr>
          <w:b w:val="0"/>
        </w:rPr>
        <w:t xml:space="preserve"> School Meal Programs, Summer Food Service Program and Child and Adult Care Food Program)</w:t>
      </w:r>
      <w:r w:rsidRPr="00B87BAD" w:rsidR="00B87BAD">
        <w:rPr>
          <w:rFonts w:cstheme="minorHAnsi"/>
          <w:b w:val="0"/>
        </w:rPr>
        <w:t xml:space="preserve">. </w:t>
      </w:r>
      <w:r w:rsidR="007F2D55">
        <w:rPr>
          <w:b w:val="0"/>
          <w:szCs w:val="24"/>
        </w:rPr>
        <w:t xml:space="preserve">These authorities allows FNS to offer elgibile States a </w:t>
      </w:r>
      <w:r w:rsidRPr="007F2D55" w:rsidR="007F2D55">
        <w:rPr>
          <w:b w:val="0"/>
          <w:szCs w:val="24"/>
        </w:rPr>
        <w:t xml:space="preserve">Non-competitive </w:t>
      </w:r>
      <w:r w:rsidR="007F2D55">
        <w:rPr>
          <w:b w:val="0"/>
          <w:szCs w:val="24"/>
        </w:rPr>
        <w:t>Technology Innovation Grant (</w:t>
      </w:r>
      <w:r w:rsidR="002A03CC">
        <w:rPr>
          <w:b w:val="0"/>
          <w:szCs w:val="24"/>
        </w:rPr>
        <w:t>n</w:t>
      </w:r>
      <w:r w:rsidRPr="007F2D55" w:rsidR="007F2D55">
        <w:rPr>
          <w:b w:val="0"/>
          <w:szCs w:val="24"/>
        </w:rPr>
        <w:t>TIG</w:t>
      </w:r>
      <w:r w:rsidR="007F2D55">
        <w:rPr>
          <w:b w:val="0"/>
          <w:szCs w:val="24"/>
        </w:rPr>
        <w:t xml:space="preserve">) to replace the </w:t>
      </w:r>
      <w:r w:rsidRPr="007F2D55" w:rsidR="007F2D55">
        <w:rPr>
          <w:b w:val="0"/>
          <w:szCs w:val="24"/>
        </w:rPr>
        <w:t xml:space="preserve">competitive CN </w:t>
      </w:r>
      <w:r w:rsidR="002A03CC">
        <w:rPr>
          <w:b w:val="0"/>
          <w:szCs w:val="24"/>
        </w:rPr>
        <w:t xml:space="preserve">Technology Innovation Grant </w:t>
      </w:r>
      <w:r w:rsidRPr="007F2D55" w:rsidR="007F2D55">
        <w:rPr>
          <w:b w:val="0"/>
          <w:szCs w:val="24"/>
        </w:rPr>
        <w:t>(OMB Control #0584-0512) previously administered by FNS in fiscal years (FYs) 2017 and 2019.</w:t>
      </w:r>
    </w:p>
    <w:p w:rsidR="007F2D55" w:rsidP="00291A9C" w:rsidRDefault="007F2D55" w14:paraId="6439BDA9" w14:textId="77777777">
      <w:pPr>
        <w:pStyle w:val="BodyText"/>
        <w:spacing w:line="480" w:lineRule="auto"/>
        <w:ind w:right="173"/>
        <w:rPr>
          <w:b w:val="0"/>
        </w:rPr>
      </w:pPr>
    </w:p>
    <w:p w:rsidR="00B87BAD" w:rsidP="00291A9C" w:rsidRDefault="00B87BAD" w14:paraId="0B09FE52" w14:textId="7B13D690">
      <w:pPr>
        <w:pStyle w:val="BodyText"/>
        <w:spacing w:line="480" w:lineRule="auto"/>
        <w:ind w:right="173"/>
        <w:rPr>
          <w:b w:val="0"/>
        </w:rPr>
      </w:pPr>
      <w:r w:rsidRPr="00B87BAD">
        <w:rPr>
          <w:b w:val="0"/>
        </w:rPr>
        <w:t xml:space="preserve">Funding </w:t>
      </w:r>
      <w:r w:rsidR="007F2D55">
        <w:rPr>
          <w:b w:val="0"/>
        </w:rPr>
        <w:t xml:space="preserve">for CN’s </w:t>
      </w:r>
      <w:r w:rsidR="005C4582">
        <w:rPr>
          <w:b w:val="0"/>
        </w:rPr>
        <w:t>n</w:t>
      </w:r>
      <w:r w:rsidR="007F2D55">
        <w:rPr>
          <w:b w:val="0"/>
        </w:rPr>
        <w:t xml:space="preserve">TIG </w:t>
      </w:r>
      <w:r w:rsidRPr="00B87BAD">
        <w:rPr>
          <w:b w:val="0"/>
        </w:rPr>
        <w:t xml:space="preserve">will be offered by FNS to all eligible States and territories in an equal distribution based on available funds for FYs 2020 and 2021. In FY 2021, </w:t>
      </w:r>
      <w:r w:rsidRPr="00B87BAD">
        <w:rPr>
          <w:b w:val="0"/>
          <w:szCs w:val="24"/>
        </w:rPr>
        <w:t>54 States and territories (6</w:t>
      </w:r>
      <w:r w:rsidR="007B24AD">
        <w:rPr>
          <w:b w:val="0"/>
          <w:szCs w:val="24"/>
        </w:rPr>
        <w:t>9</w:t>
      </w:r>
      <w:r w:rsidRPr="00B87BAD">
        <w:rPr>
          <w:b w:val="0"/>
          <w:szCs w:val="24"/>
        </w:rPr>
        <w:t xml:space="preserve"> State agencies) are administering the CN Programs and therefore eligible to receive this funding. </w:t>
      </w:r>
      <w:r w:rsidRPr="00B87BAD">
        <w:rPr>
          <w:b w:val="0"/>
        </w:rPr>
        <w:t>Each State will be offered approximately $925,926 for the purposes described above. In States where more than one (1) eligible agency administers the CN Programs, the funding will be divided among those agencies based on the same distribution percentages used in the State Administrative Expense funding formula, as described in Section 7 of the Child Nutrition Act and per Title 7, Part 235 of the Code of Federal Regulations.</w:t>
      </w:r>
    </w:p>
    <w:p w:rsidRPr="00B87BAD" w:rsidR="00B87BAD" w:rsidP="00291A9C" w:rsidRDefault="00B87BAD" w14:paraId="5A862E8C" w14:textId="77777777">
      <w:pPr>
        <w:pStyle w:val="BodyText"/>
        <w:spacing w:line="480" w:lineRule="auto"/>
        <w:ind w:right="173"/>
        <w:rPr>
          <w:b w:val="0"/>
        </w:rPr>
      </w:pPr>
    </w:p>
    <w:p w:rsidRPr="002568E6" w:rsidR="00A308DB" w:rsidP="0062567E" w:rsidRDefault="005A3F80" w14:paraId="7B2A090E" w14:textId="77777777">
      <w:pPr>
        <w:pStyle w:val="Heading1"/>
        <w:rPr>
          <w:szCs w:val="24"/>
        </w:rPr>
      </w:pPr>
      <w:bookmarkStart w:name="_Toc401831358" w:id="3"/>
      <w:bookmarkStart w:name="_Toc401832402" w:id="4"/>
      <w:bookmarkStart w:name="_Toc71026055" w:id="5"/>
      <w:r w:rsidRPr="002568E6">
        <w:rPr>
          <w:szCs w:val="24"/>
        </w:rPr>
        <w:lastRenderedPageBreak/>
        <w:t xml:space="preserve">A2. </w:t>
      </w:r>
      <w:r w:rsidRPr="002568E6" w:rsidR="00447C1E">
        <w:rPr>
          <w:szCs w:val="24"/>
        </w:rPr>
        <w:t>Purpose and Use of the Information.</w:t>
      </w:r>
      <w:bookmarkEnd w:id="3"/>
      <w:bookmarkEnd w:id="4"/>
      <w:bookmarkEnd w:id="5"/>
    </w:p>
    <w:p w:rsidRPr="002568E6" w:rsidR="0062567E" w:rsidRDefault="0062567E" w14:paraId="7B2A090F" w14:textId="77777777">
      <w:pPr>
        <w:tabs>
          <w:tab w:val="left" w:pos="-720"/>
        </w:tabs>
        <w:suppressAutoHyphens/>
        <w:rPr>
          <w:rFonts w:ascii="Times New Roman" w:hAnsi="Times New Roman"/>
          <w:b/>
          <w:szCs w:val="24"/>
        </w:rPr>
      </w:pPr>
    </w:p>
    <w:p w:rsidRPr="002568E6" w:rsidR="003333DF" w:rsidRDefault="003333DF" w14:paraId="7B2A091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P="009F7E1A" w:rsidRDefault="009F7E1A" w14:paraId="7B2A0911" w14:textId="3B390377">
      <w:pPr>
        <w:tabs>
          <w:tab w:val="left" w:pos="-720"/>
        </w:tabs>
        <w:suppressAutoHyphens/>
        <w:rPr>
          <w:rFonts w:ascii="Times New Roman" w:hAnsi="Times New Roman"/>
          <w:szCs w:val="24"/>
        </w:rPr>
      </w:pPr>
    </w:p>
    <w:p w:rsidR="005C0E22" w:rsidP="005C0E22" w:rsidRDefault="006A1BDB" w14:paraId="5BF57033" w14:textId="0DD31BC7">
      <w:pPr>
        <w:tabs>
          <w:tab w:val="left" w:pos="-720"/>
        </w:tabs>
        <w:suppressAutoHyphens/>
        <w:spacing w:line="480" w:lineRule="auto"/>
        <w:rPr>
          <w:rFonts w:ascii="Times New Roman" w:hAnsi="Times New Roman"/>
        </w:rPr>
      </w:pPr>
      <w:r w:rsidRPr="00B87BAD">
        <w:rPr>
          <w:rFonts w:ascii="Times New Roman" w:hAnsi="Times New Roman"/>
        </w:rPr>
        <w:t>E</w:t>
      </w:r>
      <w:r w:rsidR="005C4582">
        <w:rPr>
          <w:rFonts w:ascii="Times New Roman" w:hAnsi="Times New Roman"/>
        </w:rPr>
        <w:t>ligible States accepting the n</w:t>
      </w:r>
      <w:r w:rsidRPr="00B87BAD">
        <w:rPr>
          <w:rFonts w:ascii="Times New Roman" w:hAnsi="Times New Roman"/>
        </w:rPr>
        <w:t xml:space="preserve">TIG funding will be required to submit an application package to FNS, via </w:t>
      </w:r>
      <w:hyperlink w:history="1" r:id="rId12">
        <w:r w:rsidRPr="00B87BAD">
          <w:rPr>
            <w:rStyle w:val="Hyperlink"/>
            <w:rFonts w:ascii="Times New Roman" w:hAnsi="Times New Roman"/>
          </w:rPr>
          <w:t>www.grants.gov</w:t>
        </w:r>
      </w:hyperlink>
      <w:r w:rsidRPr="00B87BAD">
        <w:rPr>
          <w:rFonts w:ascii="Times New Roman" w:hAnsi="Times New Roman"/>
        </w:rPr>
        <w:t>. This grant announcement, as with the other discretionary grant announcements included in the currently approved package</w:t>
      </w:r>
      <w:r w:rsidR="003E0C25">
        <w:rPr>
          <w:rFonts w:ascii="Times New Roman" w:hAnsi="Times New Roman"/>
        </w:rPr>
        <w:t xml:space="preserve"> (0584-0512)</w:t>
      </w:r>
      <w:r w:rsidRPr="00B87BAD">
        <w:rPr>
          <w:rFonts w:ascii="Times New Roman" w:hAnsi="Times New Roman"/>
        </w:rPr>
        <w:t xml:space="preserve">, include a number of information collections, including a “project description” (program narrative), budget information (SF-424 series), disclosure of lobbying activities certification (SF-LLL), AD Forms 1047 through 1049 certifications, </w:t>
      </w:r>
      <w:r w:rsidRPr="005C0E22">
        <w:rPr>
          <w:rFonts w:ascii="Times New Roman" w:hAnsi="Times New Roman"/>
        </w:rPr>
        <w:t>and the Grant Program Accounting System and Financial Capability Questionnaire</w:t>
      </w:r>
      <w:r w:rsidRPr="005C0E22" w:rsidR="005C0E22">
        <w:rPr>
          <w:rFonts w:ascii="Times New Roman" w:hAnsi="Times New Roman"/>
        </w:rPr>
        <w:t xml:space="preserve"> forms are pre-approved by the Office of Management and Budget for the competitive grant process. They are not currently approved for the non-competitive grant process. Therefore, this Emergency ICR addresses this summer’s cycle only of the non-competitive grant process. In preparation for future cycles involving the non-competitive grants process, the FNS grants program will update and renew their applicable ICRs to reflect both the competitive and non-competitive grants process.</w:t>
      </w:r>
    </w:p>
    <w:p w:rsidRPr="005C0E22" w:rsidR="00A571A4" w:rsidP="005C0E22" w:rsidRDefault="00A571A4" w14:paraId="76DD5092" w14:textId="77777777">
      <w:pPr>
        <w:tabs>
          <w:tab w:val="left" w:pos="-720"/>
        </w:tabs>
        <w:suppressAutoHyphens/>
        <w:spacing w:line="480" w:lineRule="auto"/>
        <w:rPr>
          <w:rFonts w:ascii="Times New Roman" w:hAnsi="Times New Roman"/>
          <w:sz w:val="22"/>
        </w:rPr>
      </w:pPr>
    </w:p>
    <w:p w:rsidR="006A1BDB" w:rsidP="00A571A4" w:rsidRDefault="006A1BDB" w14:paraId="1546ADA5" w14:textId="2368E27C">
      <w:pPr>
        <w:tabs>
          <w:tab w:val="left" w:pos="-720"/>
        </w:tabs>
        <w:suppressAutoHyphens/>
        <w:spacing w:line="480" w:lineRule="auto"/>
        <w:rPr>
          <w:rFonts w:ascii="Times New Roman" w:hAnsi="Times New Roman"/>
        </w:rPr>
      </w:pPr>
      <w:r w:rsidRPr="00B87BAD">
        <w:rPr>
          <w:rFonts w:ascii="Times New Roman" w:hAnsi="Times New Roman"/>
        </w:rPr>
        <w:t>Th</w:t>
      </w:r>
      <w:r w:rsidR="00A571A4">
        <w:rPr>
          <w:rFonts w:ascii="Times New Roman" w:hAnsi="Times New Roman"/>
        </w:rPr>
        <w:t xml:space="preserve">e aforementioned </w:t>
      </w:r>
      <w:r w:rsidRPr="00B87BAD">
        <w:rPr>
          <w:rFonts w:ascii="Times New Roman" w:hAnsi="Times New Roman"/>
        </w:rPr>
        <w:t xml:space="preserve">information is needed to evaluate and protect the integrity of the grantee selection process. States will have three (3) years to expend the awarded funds and be required to submit bi-annual progress </w:t>
      </w:r>
      <w:r w:rsidRPr="00A571A4">
        <w:rPr>
          <w:rFonts w:ascii="Times New Roman" w:hAnsi="Times New Roman"/>
        </w:rPr>
        <w:t>reports and quarterly financial reports to FNS. Final Progress and Financial Status reports will be due 120 days after the termination date of the project.</w:t>
      </w:r>
    </w:p>
    <w:p w:rsidRPr="00A571A4" w:rsidR="00A571A4" w:rsidP="00A571A4" w:rsidRDefault="00A571A4" w14:paraId="09C562D3" w14:textId="77777777">
      <w:pPr>
        <w:tabs>
          <w:tab w:val="left" w:pos="-720"/>
        </w:tabs>
        <w:suppressAutoHyphens/>
        <w:spacing w:line="480" w:lineRule="auto"/>
        <w:rPr>
          <w:rFonts w:ascii="Times New Roman" w:hAnsi="Times New Roman"/>
        </w:rPr>
      </w:pPr>
    </w:p>
    <w:p w:rsidRPr="00A571A4" w:rsidR="00A571A4" w:rsidP="00A571A4" w:rsidRDefault="00A571A4" w14:paraId="53C21D8E" w14:textId="77777777">
      <w:pPr>
        <w:spacing w:line="480" w:lineRule="auto"/>
        <w:rPr>
          <w:rFonts w:ascii="Times New Roman" w:hAnsi="Times New Roman"/>
        </w:rPr>
      </w:pPr>
      <w:r w:rsidRPr="00A571A4">
        <w:rPr>
          <w:rFonts w:ascii="Times New Roman" w:hAnsi="Times New Roman"/>
        </w:rPr>
        <w:t>Current OMB Control numbers for the aforementioned required forms include those listed below. This Emergency ICR reflects the burden for those forms as it relates to the non-competitive grants process:</w:t>
      </w:r>
    </w:p>
    <w:tbl>
      <w:tblPr>
        <w:tblW w:w="6030" w:type="dxa"/>
        <w:tblLook w:val="04A0" w:firstRow="1" w:lastRow="0" w:firstColumn="1" w:lastColumn="0" w:noHBand="0" w:noVBand="1"/>
      </w:tblPr>
      <w:tblGrid>
        <w:gridCol w:w="1350"/>
        <w:gridCol w:w="1530"/>
        <w:gridCol w:w="1440"/>
        <w:gridCol w:w="1710"/>
      </w:tblGrid>
      <w:tr w:rsidRPr="00C23E2D" w:rsidR="00C23E2D" w:rsidTr="00720FA0" w14:paraId="5CCEA322" w14:textId="77777777">
        <w:trPr>
          <w:trHeight w:val="290"/>
        </w:trPr>
        <w:tc>
          <w:tcPr>
            <w:tcW w:w="1350" w:type="dxa"/>
            <w:tcBorders>
              <w:top w:val="nil"/>
              <w:left w:val="nil"/>
              <w:bottom w:val="nil"/>
              <w:right w:val="nil"/>
            </w:tcBorders>
            <w:shd w:val="clear" w:color="auto" w:fill="auto"/>
            <w:noWrap/>
            <w:vAlign w:val="bottom"/>
            <w:hideMark/>
          </w:tcPr>
          <w:p w:rsidRPr="00C23E2D" w:rsidR="00C23E2D" w:rsidP="00C23E2D" w:rsidRDefault="00C23E2D" w14:paraId="781D1D2E" w14:textId="0C8961F1">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lastRenderedPageBreak/>
              <w:t>S</w:t>
            </w:r>
            <w:r w:rsidR="009B7909">
              <w:rPr>
                <w:rFonts w:ascii="Calibri" w:hAnsi="Calibri" w:cs="Calibri"/>
                <w:color w:val="000000"/>
                <w:sz w:val="22"/>
                <w:szCs w:val="22"/>
              </w:rPr>
              <w:t>F</w:t>
            </w:r>
            <w:r w:rsidRPr="00C23E2D">
              <w:rPr>
                <w:rFonts w:ascii="Calibri" w:hAnsi="Calibri" w:cs="Calibri"/>
                <w:color w:val="000000"/>
                <w:sz w:val="22"/>
                <w:szCs w:val="22"/>
              </w:rPr>
              <w:t>-424</w:t>
            </w:r>
          </w:p>
        </w:tc>
        <w:tc>
          <w:tcPr>
            <w:tcW w:w="1530" w:type="dxa"/>
            <w:tcBorders>
              <w:top w:val="nil"/>
              <w:left w:val="nil"/>
              <w:bottom w:val="nil"/>
              <w:right w:val="nil"/>
            </w:tcBorders>
            <w:shd w:val="clear" w:color="auto" w:fill="auto"/>
            <w:noWrap/>
            <w:vAlign w:val="bottom"/>
            <w:hideMark/>
          </w:tcPr>
          <w:p w:rsidRPr="00C23E2D" w:rsidR="00C23E2D" w:rsidP="00C23E2D" w:rsidRDefault="00C23E2D" w14:paraId="0FF56513"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4040-0004</w:t>
            </w:r>
          </w:p>
        </w:tc>
        <w:tc>
          <w:tcPr>
            <w:tcW w:w="1440" w:type="dxa"/>
            <w:tcBorders>
              <w:top w:val="nil"/>
              <w:left w:val="nil"/>
              <w:bottom w:val="nil"/>
              <w:right w:val="nil"/>
            </w:tcBorders>
            <w:shd w:val="clear" w:color="auto" w:fill="auto"/>
            <w:noWrap/>
            <w:vAlign w:val="bottom"/>
            <w:hideMark/>
          </w:tcPr>
          <w:p w:rsidRPr="00C23E2D" w:rsidR="00C23E2D" w:rsidP="00C23E2D" w:rsidRDefault="00C23E2D" w14:paraId="54334B04"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FNS-908</w:t>
            </w:r>
          </w:p>
        </w:tc>
        <w:tc>
          <w:tcPr>
            <w:tcW w:w="1710" w:type="dxa"/>
            <w:tcBorders>
              <w:top w:val="nil"/>
              <w:left w:val="nil"/>
              <w:bottom w:val="nil"/>
              <w:right w:val="nil"/>
            </w:tcBorders>
            <w:shd w:val="clear" w:color="auto" w:fill="auto"/>
            <w:noWrap/>
            <w:vAlign w:val="bottom"/>
            <w:hideMark/>
          </w:tcPr>
          <w:p w:rsidRPr="00C23E2D" w:rsidR="00C23E2D" w:rsidP="00C23E2D" w:rsidRDefault="00C23E2D" w14:paraId="4ED1AC5F"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0584-0512</w:t>
            </w:r>
          </w:p>
        </w:tc>
      </w:tr>
      <w:tr w:rsidRPr="00C23E2D" w:rsidR="00C23E2D" w:rsidTr="00720FA0" w14:paraId="17007F43" w14:textId="77777777">
        <w:trPr>
          <w:trHeight w:val="290"/>
        </w:trPr>
        <w:tc>
          <w:tcPr>
            <w:tcW w:w="1350" w:type="dxa"/>
            <w:tcBorders>
              <w:top w:val="nil"/>
              <w:left w:val="nil"/>
              <w:bottom w:val="nil"/>
              <w:right w:val="nil"/>
            </w:tcBorders>
            <w:shd w:val="clear" w:color="auto" w:fill="auto"/>
            <w:noWrap/>
            <w:vAlign w:val="bottom"/>
            <w:hideMark/>
          </w:tcPr>
          <w:p w:rsidRPr="00C23E2D" w:rsidR="00C23E2D" w:rsidP="00C23E2D" w:rsidRDefault="00C23E2D" w14:paraId="7E553B65" w14:textId="0645C5E8">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S</w:t>
            </w:r>
            <w:r w:rsidR="009B7909">
              <w:rPr>
                <w:rFonts w:ascii="Calibri" w:hAnsi="Calibri" w:cs="Calibri"/>
                <w:color w:val="000000"/>
                <w:sz w:val="22"/>
                <w:szCs w:val="22"/>
              </w:rPr>
              <w:t>F</w:t>
            </w:r>
            <w:r w:rsidRPr="00C23E2D">
              <w:rPr>
                <w:rFonts w:ascii="Calibri" w:hAnsi="Calibri" w:cs="Calibri"/>
                <w:color w:val="000000"/>
                <w:sz w:val="22"/>
                <w:szCs w:val="22"/>
              </w:rPr>
              <w:t>-424A</w:t>
            </w:r>
          </w:p>
        </w:tc>
        <w:tc>
          <w:tcPr>
            <w:tcW w:w="1530" w:type="dxa"/>
            <w:tcBorders>
              <w:top w:val="nil"/>
              <w:left w:val="nil"/>
              <w:bottom w:val="nil"/>
              <w:right w:val="nil"/>
            </w:tcBorders>
            <w:shd w:val="clear" w:color="auto" w:fill="auto"/>
            <w:noWrap/>
            <w:vAlign w:val="bottom"/>
            <w:hideMark/>
          </w:tcPr>
          <w:p w:rsidRPr="00C23E2D" w:rsidR="00C23E2D" w:rsidP="00C23E2D" w:rsidRDefault="00C23E2D" w14:paraId="26D48F0C"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4040-0006</w:t>
            </w:r>
          </w:p>
        </w:tc>
        <w:tc>
          <w:tcPr>
            <w:tcW w:w="1440" w:type="dxa"/>
            <w:tcBorders>
              <w:top w:val="nil"/>
              <w:left w:val="nil"/>
              <w:bottom w:val="nil"/>
              <w:right w:val="nil"/>
            </w:tcBorders>
            <w:shd w:val="clear" w:color="auto" w:fill="auto"/>
            <w:noWrap/>
            <w:vAlign w:val="bottom"/>
            <w:hideMark/>
          </w:tcPr>
          <w:p w:rsidRPr="00C23E2D" w:rsidR="00C23E2D" w:rsidP="00C23E2D" w:rsidRDefault="00C23E2D" w14:paraId="438094DA"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SF-LLL</w:t>
            </w:r>
          </w:p>
        </w:tc>
        <w:tc>
          <w:tcPr>
            <w:tcW w:w="1710" w:type="dxa"/>
            <w:tcBorders>
              <w:top w:val="nil"/>
              <w:left w:val="nil"/>
              <w:bottom w:val="nil"/>
              <w:right w:val="nil"/>
            </w:tcBorders>
            <w:shd w:val="clear" w:color="auto" w:fill="auto"/>
            <w:noWrap/>
            <w:vAlign w:val="bottom"/>
            <w:hideMark/>
          </w:tcPr>
          <w:p w:rsidRPr="00C23E2D" w:rsidR="00C23E2D" w:rsidP="00C23E2D" w:rsidRDefault="00C23E2D" w14:paraId="36DB52B3"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4040-0013</w:t>
            </w:r>
          </w:p>
        </w:tc>
      </w:tr>
      <w:tr w:rsidRPr="00C23E2D" w:rsidR="00C23E2D" w:rsidTr="00720FA0" w14:paraId="55B659AA" w14:textId="77777777">
        <w:trPr>
          <w:trHeight w:val="290"/>
        </w:trPr>
        <w:tc>
          <w:tcPr>
            <w:tcW w:w="1350" w:type="dxa"/>
            <w:tcBorders>
              <w:top w:val="nil"/>
              <w:left w:val="nil"/>
              <w:bottom w:val="nil"/>
              <w:right w:val="nil"/>
            </w:tcBorders>
            <w:shd w:val="clear" w:color="auto" w:fill="auto"/>
            <w:noWrap/>
            <w:vAlign w:val="bottom"/>
            <w:hideMark/>
          </w:tcPr>
          <w:p w:rsidRPr="00C23E2D" w:rsidR="00C23E2D" w:rsidP="00C23E2D" w:rsidRDefault="00C23E2D" w14:paraId="091EE5D7" w14:textId="64DD0470">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S</w:t>
            </w:r>
            <w:r w:rsidR="009B7909">
              <w:rPr>
                <w:rFonts w:ascii="Calibri" w:hAnsi="Calibri" w:cs="Calibri"/>
                <w:color w:val="000000"/>
                <w:sz w:val="22"/>
                <w:szCs w:val="22"/>
              </w:rPr>
              <w:t>F</w:t>
            </w:r>
            <w:r w:rsidRPr="00C23E2D">
              <w:rPr>
                <w:rFonts w:ascii="Calibri" w:hAnsi="Calibri" w:cs="Calibri"/>
                <w:color w:val="000000"/>
                <w:sz w:val="22"/>
                <w:szCs w:val="22"/>
              </w:rPr>
              <w:t>-424B</w:t>
            </w:r>
          </w:p>
        </w:tc>
        <w:tc>
          <w:tcPr>
            <w:tcW w:w="1530" w:type="dxa"/>
            <w:tcBorders>
              <w:top w:val="nil"/>
              <w:left w:val="nil"/>
              <w:bottom w:val="nil"/>
              <w:right w:val="nil"/>
            </w:tcBorders>
            <w:shd w:val="clear" w:color="auto" w:fill="auto"/>
            <w:noWrap/>
            <w:vAlign w:val="bottom"/>
            <w:hideMark/>
          </w:tcPr>
          <w:p w:rsidRPr="00C23E2D" w:rsidR="00C23E2D" w:rsidP="00C23E2D" w:rsidRDefault="00C23E2D" w14:paraId="01641AF0"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4040-0007</w:t>
            </w:r>
          </w:p>
        </w:tc>
        <w:tc>
          <w:tcPr>
            <w:tcW w:w="1440" w:type="dxa"/>
            <w:tcBorders>
              <w:top w:val="nil"/>
              <w:left w:val="nil"/>
              <w:bottom w:val="nil"/>
              <w:right w:val="nil"/>
            </w:tcBorders>
            <w:shd w:val="clear" w:color="auto" w:fill="auto"/>
            <w:noWrap/>
            <w:vAlign w:val="bottom"/>
            <w:hideMark/>
          </w:tcPr>
          <w:p w:rsidRPr="00C23E2D" w:rsidR="00C23E2D" w:rsidP="00C23E2D" w:rsidRDefault="00C23E2D" w14:paraId="786A14A5" w14:textId="445C9175">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AD-104</w:t>
            </w:r>
            <w:r w:rsidR="005C0E22">
              <w:rPr>
                <w:rFonts w:ascii="Calibri" w:hAnsi="Calibri" w:cs="Calibri"/>
                <w:color w:val="000000"/>
                <w:sz w:val="22"/>
                <w:szCs w:val="22"/>
              </w:rPr>
              <w:t>7</w:t>
            </w:r>
          </w:p>
        </w:tc>
        <w:tc>
          <w:tcPr>
            <w:tcW w:w="1710" w:type="dxa"/>
            <w:tcBorders>
              <w:top w:val="nil"/>
              <w:left w:val="nil"/>
              <w:bottom w:val="nil"/>
              <w:right w:val="nil"/>
            </w:tcBorders>
            <w:shd w:val="clear" w:color="auto" w:fill="auto"/>
            <w:noWrap/>
            <w:vAlign w:val="bottom"/>
            <w:hideMark/>
          </w:tcPr>
          <w:p w:rsidRPr="00C23E2D" w:rsidR="00C23E2D" w:rsidP="00C23E2D" w:rsidRDefault="00C23E2D" w14:paraId="18A6E545"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0505-0027</w:t>
            </w:r>
          </w:p>
        </w:tc>
      </w:tr>
      <w:tr w:rsidRPr="00C23E2D" w:rsidR="00C23E2D" w:rsidTr="00720FA0" w14:paraId="7EDFF8D1" w14:textId="77777777">
        <w:trPr>
          <w:trHeight w:val="290"/>
        </w:trPr>
        <w:tc>
          <w:tcPr>
            <w:tcW w:w="1350" w:type="dxa"/>
            <w:tcBorders>
              <w:top w:val="nil"/>
              <w:left w:val="nil"/>
              <w:bottom w:val="nil"/>
              <w:right w:val="nil"/>
            </w:tcBorders>
            <w:shd w:val="clear" w:color="auto" w:fill="auto"/>
            <w:noWrap/>
            <w:vAlign w:val="bottom"/>
            <w:hideMark/>
          </w:tcPr>
          <w:p w:rsidRPr="00C23E2D" w:rsidR="00C23E2D" w:rsidP="00C23E2D" w:rsidRDefault="00C23E2D" w14:paraId="4F9AA12E" w14:textId="48BB25F8">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S</w:t>
            </w:r>
            <w:r w:rsidR="009B7909">
              <w:rPr>
                <w:rFonts w:ascii="Calibri" w:hAnsi="Calibri" w:cs="Calibri"/>
                <w:color w:val="000000"/>
                <w:sz w:val="22"/>
                <w:szCs w:val="22"/>
              </w:rPr>
              <w:t>F</w:t>
            </w:r>
            <w:r w:rsidRPr="00C23E2D">
              <w:rPr>
                <w:rFonts w:ascii="Calibri" w:hAnsi="Calibri" w:cs="Calibri"/>
                <w:color w:val="000000"/>
                <w:sz w:val="22"/>
                <w:szCs w:val="22"/>
              </w:rPr>
              <w:t>-424C</w:t>
            </w:r>
          </w:p>
        </w:tc>
        <w:tc>
          <w:tcPr>
            <w:tcW w:w="1530" w:type="dxa"/>
            <w:tcBorders>
              <w:top w:val="nil"/>
              <w:left w:val="nil"/>
              <w:bottom w:val="nil"/>
              <w:right w:val="nil"/>
            </w:tcBorders>
            <w:shd w:val="clear" w:color="auto" w:fill="auto"/>
            <w:noWrap/>
            <w:vAlign w:val="bottom"/>
            <w:hideMark/>
          </w:tcPr>
          <w:p w:rsidRPr="00C23E2D" w:rsidR="00C23E2D" w:rsidP="00C23E2D" w:rsidRDefault="00C23E2D" w14:paraId="7A26340E"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4040-0008</w:t>
            </w:r>
          </w:p>
        </w:tc>
        <w:tc>
          <w:tcPr>
            <w:tcW w:w="1440" w:type="dxa"/>
            <w:tcBorders>
              <w:top w:val="nil"/>
              <w:left w:val="nil"/>
              <w:bottom w:val="nil"/>
              <w:right w:val="nil"/>
            </w:tcBorders>
            <w:shd w:val="clear" w:color="auto" w:fill="auto"/>
            <w:noWrap/>
            <w:vAlign w:val="bottom"/>
            <w:hideMark/>
          </w:tcPr>
          <w:p w:rsidRPr="00C23E2D" w:rsidR="00C23E2D" w:rsidP="00C23E2D" w:rsidRDefault="00C23E2D" w14:paraId="26A7EED4"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AD-1048</w:t>
            </w:r>
          </w:p>
        </w:tc>
        <w:tc>
          <w:tcPr>
            <w:tcW w:w="1710" w:type="dxa"/>
            <w:tcBorders>
              <w:top w:val="nil"/>
              <w:left w:val="nil"/>
              <w:bottom w:val="nil"/>
              <w:right w:val="nil"/>
            </w:tcBorders>
            <w:shd w:val="clear" w:color="auto" w:fill="auto"/>
            <w:noWrap/>
            <w:vAlign w:val="bottom"/>
            <w:hideMark/>
          </w:tcPr>
          <w:p w:rsidRPr="00C23E2D" w:rsidR="00C23E2D" w:rsidP="00C23E2D" w:rsidRDefault="00C23E2D" w14:paraId="13820AAB"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0505-0027</w:t>
            </w:r>
          </w:p>
        </w:tc>
      </w:tr>
      <w:tr w:rsidRPr="00C23E2D" w:rsidR="00C23E2D" w:rsidTr="00720FA0" w14:paraId="2CCCA6B9" w14:textId="77777777">
        <w:trPr>
          <w:trHeight w:val="290"/>
        </w:trPr>
        <w:tc>
          <w:tcPr>
            <w:tcW w:w="1350" w:type="dxa"/>
            <w:tcBorders>
              <w:top w:val="nil"/>
              <w:left w:val="nil"/>
              <w:bottom w:val="nil"/>
              <w:right w:val="nil"/>
            </w:tcBorders>
            <w:shd w:val="clear" w:color="auto" w:fill="auto"/>
            <w:noWrap/>
            <w:vAlign w:val="bottom"/>
            <w:hideMark/>
          </w:tcPr>
          <w:p w:rsidRPr="00C23E2D" w:rsidR="00C23E2D" w:rsidP="00C23E2D" w:rsidRDefault="00C23E2D" w14:paraId="71595AB1" w14:textId="4381E4D2">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S</w:t>
            </w:r>
            <w:r w:rsidR="009B7909">
              <w:rPr>
                <w:rFonts w:ascii="Calibri" w:hAnsi="Calibri" w:cs="Calibri"/>
                <w:color w:val="000000"/>
                <w:sz w:val="22"/>
                <w:szCs w:val="22"/>
              </w:rPr>
              <w:t>F</w:t>
            </w:r>
            <w:r w:rsidRPr="00C23E2D">
              <w:rPr>
                <w:rFonts w:ascii="Calibri" w:hAnsi="Calibri" w:cs="Calibri"/>
                <w:color w:val="000000"/>
                <w:sz w:val="22"/>
                <w:szCs w:val="22"/>
              </w:rPr>
              <w:t>-424D</w:t>
            </w:r>
          </w:p>
        </w:tc>
        <w:tc>
          <w:tcPr>
            <w:tcW w:w="1530" w:type="dxa"/>
            <w:tcBorders>
              <w:top w:val="nil"/>
              <w:left w:val="nil"/>
              <w:bottom w:val="nil"/>
              <w:right w:val="nil"/>
            </w:tcBorders>
            <w:shd w:val="clear" w:color="auto" w:fill="auto"/>
            <w:noWrap/>
            <w:vAlign w:val="bottom"/>
            <w:hideMark/>
          </w:tcPr>
          <w:p w:rsidRPr="00C23E2D" w:rsidR="00C23E2D" w:rsidP="00C23E2D" w:rsidRDefault="00C23E2D" w14:paraId="0BF92061"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4040-0009</w:t>
            </w:r>
          </w:p>
        </w:tc>
        <w:tc>
          <w:tcPr>
            <w:tcW w:w="1440" w:type="dxa"/>
            <w:tcBorders>
              <w:top w:val="nil"/>
              <w:left w:val="nil"/>
              <w:bottom w:val="nil"/>
              <w:right w:val="nil"/>
            </w:tcBorders>
            <w:shd w:val="clear" w:color="auto" w:fill="auto"/>
            <w:noWrap/>
            <w:vAlign w:val="bottom"/>
            <w:hideMark/>
          </w:tcPr>
          <w:p w:rsidRPr="00C23E2D" w:rsidR="00C23E2D" w:rsidP="00C23E2D" w:rsidRDefault="00C23E2D" w14:paraId="6F5BE840"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AD-1049</w:t>
            </w:r>
          </w:p>
        </w:tc>
        <w:tc>
          <w:tcPr>
            <w:tcW w:w="1710" w:type="dxa"/>
            <w:tcBorders>
              <w:top w:val="nil"/>
              <w:left w:val="nil"/>
              <w:bottom w:val="nil"/>
              <w:right w:val="nil"/>
            </w:tcBorders>
            <w:shd w:val="clear" w:color="auto" w:fill="auto"/>
            <w:noWrap/>
            <w:vAlign w:val="bottom"/>
            <w:hideMark/>
          </w:tcPr>
          <w:p w:rsidRPr="00C23E2D" w:rsidR="00C23E2D" w:rsidP="00C23E2D" w:rsidRDefault="00C23E2D" w14:paraId="33E9D63D"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0505-0027</w:t>
            </w:r>
          </w:p>
        </w:tc>
      </w:tr>
      <w:tr w:rsidRPr="00C23E2D" w:rsidR="00C23E2D" w:rsidTr="00720FA0" w14:paraId="2783C7A7" w14:textId="77777777">
        <w:trPr>
          <w:trHeight w:val="290"/>
        </w:trPr>
        <w:tc>
          <w:tcPr>
            <w:tcW w:w="1350" w:type="dxa"/>
            <w:tcBorders>
              <w:top w:val="nil"/>
              <w:left w:val="nil"/>
              <w:bottom w:val="nil"/>
              <w:right w:val="nil"/>
            </w:tcBorders>
            <w:shd w:val="clear" w:color="auto" w:fill="auto"/>
            <w:noWrap/>
            <w:vAlign w:val="bottom"/>
            <w:hideMark/>
          </w:tcPr>
          <w:p w:rsidRPr="00C23E2D" w:rsidR="00C23E2D" w:rsidP="00C23E2D" w:rsidRDefault="00C23E2D" w14:paraId="4224C267" w14:textId="68EA9EA1">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S</w:t>
            </w:r>
            <w:r w:rsidR="009B7909">
              <w:rPr>
                <w:rFonts w:ascii="Calibri" w:hAnsi="Calibri" w:cs="Calibri"/>
                <w:color w:val="000000"/>
                <w:sz w:val="22"/>
                <w:szCs w:val="22"/>
              </w:rPr>
              <w:t>F</w:t>
            </w:r>
            <w:r w:rsidRPr="00C23E2D">
              <w:rPr>
                <w:rFonts w:ascii="Calibri" w:hAnsi="Calibri" w:cs="Calibri"/>
                <w:color w:val="000000"/>
                <w:sz w:val="22"/>
                <w:szCs w:val="22"/>
              </w:rPr>
              <w:t>-425</w:t>
            </w:r>
          </w:p>
        </w:tc>
        <w:tc>
          <w:tcPr>
            <w:tcW w:w="1530" w:type="dxa"/>
            <w:tcBorders>
              <w:top w:val="nil"/>
              <w:left w:val="nil"/>
              <w:bottom w:val="nil"/>
              <w:right w:val="nil"/>
            </w:tcBorders>
            <w:shd w:val="clear" w:color="auto" w:fill="auto"/>
            <w:noWrap/>
            <w:vAlign w:val="bottom"/>
            <w:hideMark/>
          </w:tcPr>
          <w:p w:rsidRPr="00C23E2D" w:rsidR="00C23E2D" w:rsidP="00C23E2D" w:rsidRDefault="00C23E2D" w14:paraId="1742AFEE" w14:textId="77777777">
            <w:pPr>
              <w:widowControl/>
              <w:overflowPunct/>
              <w:autoSpaceDE/>
              <w:autoSpaceDN/>
              <w:adjustRightInd/>
              <w:textAlignment w:val="auto"/>
              <w:rPr>
                <w:rFonts w:ascii="Calibri" w:hAnsi="Calibri" w:cs="Calibri"/>
                <w:color w:val="000000"/>
                <w:sz w:val="22"/>
                <w:szCs w:val="22"/>
              </w:rPr>
            </w:pPr>
            <w:r w:rsidRPr="00C23E2D">
              <w:rPr>
                <w:rFonts w:ascii="Calibri" w:hAnsi="Calibri" w:cs="Calibri"/>
                <w:color w:val="000000"/>
                <w:sz w:val="22"/>
                <w:szCs w:val="22"/>
              </w:rPr>
              <w:t>4040-0014</w:t>
            </w:r>
          </w:p>
        </w:tc>
        <w:tc>
          <w:tcPr>
            <w:tcW w:w="1440" w:type="dxa"/>
            <w:tcBorders>
              <w:top w:val="nil"/>
              <w:left w:val="nil"/>
              <w:bottom w:val="nil"/>
              <w:right w:val="nil"/>
            </w:tcBorders>
            <w:shd w:val="clear" w:color="auto" w:fill="auto"/>
            <w:noWrap/>
            <w:vAlign w:val="bottom"/>
            <w:hideMark/>
          </w:tcPr>
          <w:p w:rsidRPr="00C23E2D" w:rsidR="00C23E2D" w:rsidP="00C23E2D" w:rsidRDefault="00C23E2D" w14:paraId="7463EE03" w14:textId="77777777">
            <w:pPr>
              <w:widowControl/>
              <w:overflowPunct/>
              <w:autoSpaceDE/>
              <w:autoSpaceDN/>
              <w:adjustRightInd/>
              <w:textAlignment w:val="auto"/>
              <w:rPr>
                <w:rFonts w:ascii="Calibri" w:hAnsi="Calibri" w:cs="Calibri"/>
                <w:color w:val="000000"/>
                <w:sz w:val="22"/>
                <w:szCs w:val="22"/>
              </w:rPr>
            </w:pPr>
          </w:p>
        </w:tc>
        <w:tc>
          <w:tcPr>
            <w:tcW w:w="1710" w:type="dxa"/>
            <w:tcBorders>
              <w:top w:val="nil"/>
              <w:left w:val="nil"/>
              <w:bottom w:val="nil"/>
              <w:right w:val="nil"/>
            </w:tcBorders>
            <w:shd w:val="clear" w:color="auto" w:fill="auto"/>
            <w:noWrap/>
            <w:vAlign w:val="bottom"/>
            <w:hideMark/>
          </w:tcPr>
          <w:p w:rsidRPr="00C23E2D" w:rsidR="00C23E2D" w:rsidP="00C23E2D" w:rsidRDefault="00C23E2D" w14:paraId="38AEDDE7" w14:textId="77777777">
            <w:pPr>
              <w:widowControl/>
              <w:overflowPunct/>
              <w:autoSpaceDE/>
              <w:autoSpaceDN/>
              <w:adjustRightInd/>
              <w:textAlignment w:val="auto"/>
              <w:rPr>
                <w:rFonts w:ascii="Times New Roman" w:hAnsi="Times New Roman"/>
                <w:sz w:val="20"/>
              </w:rPr>
            </w:pPr>
          </w:p>
        </w:tc>
      </w:tr>
    </w:tbl>
    <w:p w:rsidR="00C23E2D" w:rsidP="006A1BDB" w:rsidRDefault="00C23E2D" w14:paraId="07F00FB2" w14:textId="77777777">
      <w:pPr>
        <w:tabs>
          <w:tab w:val="left" w:pos="-720"/>
        </w:tabs>
        <w:suppressAutoHyphens/>
        <w:spacing w:line="480" w:lineRule="auto"/>
        <w:rPr>
          <w:rFonts w:ascii="Times New Roman" w:hAnsi="Times New Roman"/>
        </w:rPr>
      </w:pPr>
    </w:p>
    <w:p w:rsidR="006A1BDB" w:rsidP="009F7E1A" w:rsidRDefault="006A1BDB" w14:paraId="24796256" w14:textId="77777777">
      <w:pPr>
        <w:tabs>
          <w:tab w:val="left" w:pos="-720"/>
        </w:tabs>
        <w:suppressAutoHyphens/>
        <w:rPr>
          <w:rFonts w:ascii="Times New Roman" w:hAnsi="Times New Roman"/>
          <w:szCs w:val="24"/>
        </w:rPr>
      </w:pPr>
    </w:p>
    <w:p w:rsidRPr="002568E6" w:rsidR="00A308DB" w:rsidP="0062567E" w:rsidRDefault="005A3F80" w14:paraId="7B2A0914" w14:textId="573C81F2">
      <w:pPr>
        <w:pStyle w:val="Heading1"/>
        <w:rPr>
          <w:szCs w:val="24"/>
        </w:rPr>
      </w:pPr>
      <w:bookmarkStart w:name="_Toc401831359" w:id="6"/>
      <w:bookmarkStart w:name="_Toc401832403" w:id="7"/>
      <w:bookmarkStart w:name="_Toc71026056" w:id="8"/>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6"/>
      <w:bookmarkEnd w:id="7"/>
      <w:bookmarkEnd w:id="8"/>
    </w:p>
    <w:p w:rsidRPr="002568E6" w:rsidR="003333DF" w:rsidRDefault="003333DF" w14:paraId="7B2A0915" w14:textId="77777777">
      <w:pPr>
        <w:tabs>
          <w:tab w:val="left" w:pos="0"/>
        </w:tabs>
        <w:suppressAutoHyphens/>
        <w:rPr>
          <w:rFonts w:ascii="Times New Roman" w:hAnsi="Times New Roman"/>
          <w:szCs w:val="24"/>
        </w:rPr>
      </w:pPr>
    </w:p>
    <w:p w:rsidRPr="002568E6" w:rsidR="003333DF" w:rsidP="0062567E" w:rsidRDefault="003333DF" w14:paraId="7B2A0916"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7B2A0917" w14:textId="77777777">
      <w:pPr>
        <w:tabs>
          <w:tab w:val="left" w:pos="0"/>
        </w:tabs>
        <w:suppressAutoHyphens/>
        <w:rPr>
          <w:rFonts w:ascii="Times New Roman" w:hAnsi="Times New Roman"/>
          <w:szCs w:val="24"/>
        </w:rPr>
      </w:pPr>
    </w:p>
    <w:p w:rsidRPr="006A1BDB" w:rsidR="006A1BDB" w:rsidP="001E668C" w:rsidRDefault="006A1BDB" w14:paraId="487CA353" w14:textId="6932BDBA">
      <w:pPr>
        <w:tabs>
          <w:tab w:val="left" w:pos="0"/>
        </w:tabs>
        <w:suppressAutoHyphens/>
        <w:spacing w:line="480" w:lineRule="auto"/>
        <w:rPr>
          <w:rFonts w:ascii="Times New Roman" w:hAnsi="Times New Roman"/>
          <w:szCs w:val="24"/>
        </w:rPr>
      </w:pPr>
      <w:r w:rsidRPr="006A1BDB">
        <w:rPr>
          <w:rFonts w:ascii="Times New Roman" w:hAnsi="Times New Roman"/>
        </w:rPr>
        <w:t xml:space="preserve">In compliance with the E-Government Act 2002, FNS offers applicants the opportunity to receive and provide information electronically. Applicants may receive the RFA package by downloading the application from the </w:t>
      </w:r>
      <w:hyperlink w:history="1" r:id="rId13">
        <w:r w:rsidRPr="006A1BDB">
          <w:rPr>
            <w:rStyle w:val="Hyperlink"/>
            <w:rFonts w:ascii="Times New Roman" w:hAnsi="Times New Roman"/>
          </w:rPr>
          <w:t>www.grants.gov</w:t>
        </w:r>
      </w:hyperlink>
      <w:r w:rsidRPr="006A1BDB">
        <w:rPr>
          <w:rFonts w:ascii="Times New Roman" w:hAnsi="Times New Roman"/>
        </w:rPr>
        <w:t xml:space="preserve"> website. There will be no exceptions. FNS will not accept emailed, faxed, or hand delivered applications</w:t>
      </w:r>
      <w:r>
        <w:rPr>
          <w:rFonts w:ascii="Times New Roman" w:hAnsi="Times New Roman"/>
        </w:rPr>
        <w:t>.</w:t>
      </w:r>
    </w:p>
    <w:p w:rsidRPr="002568E6" w:rsidR="006A1BDB" w:rsidP="001E668C" w:rsidRDefault="006A1BDB" w14:paraId="7014C468" w14:textId="77777777">
      <w:pPr>
        <w:tabs>
          <w:tab w:val="left" w:pos="0"/>
        </w:tabs>
        <w:suppressAutoHyphens/>
        <w:spacing w:line="480" w:lineRule="auto"/>
        <w:rPr>
          <w:rFonts w:ascii="Times New Roman" w:hAnsi="Times New Roman"/>
          <w:szCs w:val="24"/>
        </w:rPr>
      </w:pPr>
    </w:p>
    <w:p w:rsidRPr="002568E6" w:rsidR="00A308DB" w:rsidP="0062567E" w:rsidRDefault="005A3F80" w14:paraId="7B2A091A" w14:textId="77777777">
      <w:pPr>
        <w:pStyle w:val="Heading1"/>
        <w:rPr>
          <w:szCs w:val="24"/>
        </w:rPr>
      </w:pPr>
      <w:bookmarkStart w:name="_Toc401831360" w:id="9"/>
      <w:bookmarkStart w:name="_Toc401832404" w:id="10"/>
      <w:bookmarkStart w:name="_Toc71026057" w:id="11"/>
      <w:r w:rsidRPr="002568E6">
        <w:rPr>
          <w:szCs w:val="24"/>
        </w:rPr>
        <w:t xml:space="preserve">A4.  </w:t>
      </w:r>
      <w:r w:rsidR="002568E6">
        <w:rPr>
          <w:szCs w:val="24"/>
        </w:rPr>
        <w:t>E</w:t>
      </w:r>
      <w:r w:rsidRPr="002568E6">
        <w:rPr>
          <w:szCs w:val="24"/>
        </w:rPr>
        <w:t>fforts to identify duplication.</w:t>
      </w:r>
      <w:bookmarkEnd w:id="9"/>
      <w:bookmarkEnd w:id="10"/>
      <w:bookmarkEnd w:id="11"/>
      <w:r w:rsidRPr="002568E6">
        <w:rPr>
          <w:szCs w:val="24"/>
        </w:rPr>
        <w:t xml:space="preserve"> </w:t>
      </w:r>
    </w:p>
    <w:p w:rsidRPr="002568E6" w:rsidR="003333DF" w:rsidRDefault="003333DF" w14:paraId="7B2A091B" w14:textId="77777777">
      <w:pPr>
        <w:tabs>
          <w:tab w:val="left" w:pos="0"/>
        </w:tabs>
        <w:suppressAutoHyphens/>
        <w:rPr>
          <w:rFonts w:ascii="Times New Roman" w:hAnsi="Times New Roman"/>
          <w:szCs w:val="24"/>
        </w:rPr>
      </w:pPr>
    </w:p>
    <w:p w:rsidR="003333DF" w:rsidRDefault="003333DF" w14:paraId="7B2A091C" w14:textId="002B17B8">
      <w:pPr>
        <w:tabs>
          <w:tab w:val="left" w:pos="0"/>
        </w:tabs>
        <w:suppressAutoHyphens/>
        <w:rPr>
          <w:rFonts w:ascii="Times New Roman" w:hAnsi="Times New Roman"/>
          <w:b/>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7F2D55" w:rsidR="001E668C" w:rsidP="006A1BDB" w:rsidRDefault="001E668C" w14:paraId="1039A72B" w14:textId="631A657A">
      <w:pPr>
        <w:tabs>
          <w:tab w:val="left" w:pos="0"/>
        </w:tabs>
        <w:suppressAutoHyphens/>
        <w:spacing w:line="480" w:lineRule="auto"/>
        <w:rPr>
          <w:rFonts w:ascii="Times New Roman" w:hAnsi="Times New Roman"/>
          <w:szCs w:val="24"/>
        </w:rPr>
      </w:pPr>
    </w:p>
    <w:p w:rsidRPr="007F2D55" w:rsidR="006A1BDB" w:rsidP="006A1BDB" w:rsidRDefault="006A1BDB" w14:paraId="06B3F089" w14:textId="08376FFC">
      <w:pPr>
        <w:tabs>
          <w:tab w:val="left" w:pos="0"/>
        </w:tabs>
        <w:suppressAutoHyphens/>
        <w:spacing w:line="480" w:lineRule="auto"/>
        <w:rPr>
          <w:rFonts w:ascii="Times New Roman" w:hAnsi="Times New Roman"/>
          <w:szCs w:val="24"/>
        </w:rPr>
      </w:pPr>
      <w:r w:rsidRPr="007F2D55">
        <w:rPr>
          <w:rFonts w:ascii="Times New Roman" w:hAnsi="Times New Roman"/>
        </w:rPr>
        <w:t>The application is unique and program specific. There is no similar data collection effort available.</w:t>
      </w:r>
    </w:p>
    <w:p w:rsidR="006A1BDB" w:rsidRDefault="006A1BDB" w14:paraId="38EEF09E" w14:textId="77777777">
      <w:pPr>
        <w:tabs>
          <w:tab w:val="left" w:pos="0"/>
        </w:tabs>
        <w:suppressAutoHyphens/>
        <w:rPr>
          <w:rFonts w:ascii="Times New Roman" w:hAnsi="Times New Roman"/>
          <w:szCs w:val="24"/>
        </w:rPr>
      </w:pPr>
    </w:p>
    <w:p w:rsidRPr="002568E6" w:rsidR="00A308DB" w:rsidP="0062567E" w:rsidRDefault="005A3F80" w14:paraId="7B2A0920" w14:textId="10519594">
      <w:pPr>
        <w:pStyle w:val="Heading1"/>
        <w:rPr>
          <w:szCs w:val="24"/>
        </w:rPr>
      </w:pPr>
      <w:bookmarkStart w:name="_Toc401831361" w:id="12"/>
      <w:bookmarkStart w:name="_Toc401832405" w:id="13"/>
      <w:bookmarkStart w:name="_Toc71026058" w:id="14"/>
      <w:r w:rsidRPr="002568E6">
        <w:rPr>
          <w:szCs w:val="24"/>
        </w:rPr>
        <w:t>A5.  Impacts on small businesses or other small entities.</w:t>
      </w:r>
      <w:bookmarkEnd w:id="12"/>
      <w:bookmarkEnd w:id="13"/>
      <w:bookmarkEnd w:id="14"/>
    </w:p>
    <w:p w:rsidRPr="002568E6" w:rsidR="003333DF" w:rsidRDefault="003333DF" w14:paraId="7B2A0921" w14:textId="77777777">
      <w:pPr>
        <w:tabs>
          <w:tab w:val="left" w:pos="0"/>
        </w:tabs>
        <w:suppressAutoHyphens/>
        <w:rPr>
          <w:rFonts w:ascii="Times New Roman" w:hAnsi="Times New Roman"/>
          <w:szCs w:val="24"/>
        </w:rPr>
      </w:pPr>
    </w:p>
    <w:p w:rsidRPr="002568E6" w:rsidR="003333DF" w:rsidRDefault="003333DF" w14:paraId="7B2A0922"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7B2A0923" w14:textId="77777777">
      <w:pPr>
        <w:tabs>
          <w:tab w:val="left" w:pos="0"/>
        </w:tabs>
        <w:suppressAutoHyphens/>
        <w:rPr>
          <w:rFonts w:ascii="Times New Roman" w:hAnsi="Times New Roman"/>
          <w:szCs w:val="24"/>
        </w:rPr>
      </w:pPr>
    </w:p>
    <w:p w:rsidRPr="00E31F69" w:rsidR="00E31F69" w:rsidP="00E31F69" w:rsidRDefault="00E31F69" w14:paraId="5C538292" w14:textId="58849DEB">
      <w:pPr>
        <w:tabs>
          <w:tab w:val="left" w:pos="-720"/>
        </w:tabs>
        <w:suppressAutoHyphens/>
        <w:spacing w:line="480" w:lineRule="auto"/>
        <w:rPr>
          <w:rFonts w:ascii="Times New Roman" w:hAnsi="Times New Roman"/>
          <w:szCs w:val="24"/>
        </w:rPr>
      </w:pPr>
      <w:r w:rsidRPr="00E31F69">
        <w:rPr>
          <w:rFonts w:ascii="Times New Roman" w:hAnsi="Times New Roman"/>
          <w:spacing w:val="-3"/>
        </w:rPr>
        <w:t xml:space="preserve">Information being requested or required has been held to the minimum required for the intended </w:t>
      </w:r>
      <w:r w:rsidRPr="00E31F69">
        <w:rPr>
          <w:rFonts w:ascii="Times New Roman" w:hAnsi="Times New Roman"/>
          <w:spacing w:val="-3"/>
        </w:rPr>
        <w:lastRenderedPageBreak/>
        <w:t>u</w:t>
      </w:r>
      <w:r>
        <w:rPr>
          <w:rFonts w:ascii="Times New Roman" w:hAnsi="Times New Roman"/>
          <w:spacing w:val="-3"/>
        </w:rPr>
        <w:t xml:space="preserve">se. </w:t>
      </w:r>
      <w:r w:rsidRPr="00E31F69">
        <w:rPr>
          <w:rFonts w:ascii="Times New Roman" w:hAnsi="Times New Roman"/>
          <w:spacing w:val="-3"/>
        </w:rPr>
        <w:t>S</w:t>
      </w:r>
      <w:r w:rsidRPr="00E31F69">
        <w:rPr>
          <w:rFonts w:ascii="Times New Roman" w:hAnsi="Times New Roman"/>
        </w:rPr>
        <w:t>tate agencies are not considered small entities as state populations exceed the 50,000 threshold for a small government jurisdiction; therefore, they do not meet the definition of ‘‘small entity’’ in the Regulatory Flexibility Act.</w:t>
      </w:r>
      <w:r w:rsidRPr="00E31F69">
        <w:rPr>
          <w:rFonts w:ascii="Times New Roman" w:hAnsi="Times New Roman"/>
          <w:spacing w:val="-3"/>
        </w:rPr>
        <w:t xml:space="preserve"> None of respondents are small entities.</w:t>
      </w:r>
    </w:p>
    <w:p w:rsidRPr="002568E6" w:rsidR="00E31F69" w:rsidP="009F7E1A" w:rsidRDefault="00E31F69" w14:paraId="16127564" w14:textId="77777777">
      <w:pPr>
        <w:tabs>
          <w:tab w:val="left" w:pos="-720"/>
        </w:tabs>
        <w:suppressAutoHyphens/>
        <w:spacing w:line="480" w:lineRule="auto"/>
        <w:rPr>
          <w:rFonts w:ascii="Times New Roman" w:hAnsi="Times New Roman"/>
          <w:spacing w:val="-3"/>
          <w:szCs w:val="24"/>
        </w:rPr>
      </w:pPr>
    </w:p>
    <w:p w:rsidRPr="002568E6" w:rsidR="00A308DB" w:rsidP="0062567E" w:rsidRDefault="005A3F80" w14:paraId="7B2A0926" w14:textId="4D16C662">
      <w:pPr>
        <w:pStyle w:val="Heading1"/>
        <w:rPr>
          <w:szCs w:val="24"/>
        </w:rPr>
      </w:pPr>
      <w:bookmarkStart w:name="_Toc401831362" w:id="15"/>
      <w:bookmarkStart w:name="_Toc401832406" w:id="16"/>
      <w:bookmarkStart w:name="_Toc71026059" w:id="17"/>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5"/>
      <w:bookmarkEnd w:id="16"/>
      <w:bookmarkEnd w:id="17"/>
    </w:p>
    <w:p w:rsidRPr="002568E6" w:rsidR="003333DF" w:rsidP="005C04BB" w:rsidRDefault="003333DF" w14:paraId="7B2A0927" w14:textId="77777777">
      <w:pPr>
        <w:tabs>
          <w:tab w:val="left" w:pos="0"/>
        </w:tabs>
        <w:suppressAutoHyphens/>
        <w:rPr>
          <w:rFonts w:ascii="Times New Roman" w:hAnsi="Times New Roman"/>
          <w:szCs w:val="24"/>
        </w:rPr>
      </w:pPr>
    </w:p>
    <w:p w:rsidRPr="002568E6" w:rsidR="003333DF" w:rsidP="0062567E" w:rsidRDefault="003333DF" w14:paraId="7B2A0928"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7B2A0929" w14:textId="77777777">
      <w:pPr>
        <w:tabs>
          <w:tab w:val="left" w:pos="-720"/>
        </w:tabs>
        <w:suppressAutoHyphens/>
        <w:rPr>
          <w:rFonts w:ascii="Times New Roman" w:hAnsi="Times New Roman"/>
          <w:szCs w:val="24"/>
        </w:rPr>
      </w:pPr>
    </w:p>
    <w:p w:rsidR="00E11A38" w:rsidP="00E11A38" w:rsidRDefault="006A1BDB" w14:paraId="7B2A092B" w14:textId="5CB3C6EF">
      <w:pPr>
        <w:tabs>
          <w:tab w:val="left" w:pos="-720"/>
        </w:tabs>
        <w:suppressAutoHyphens/>
        <w:spacing w:line="480" w:lineRule="auto"/>
        <w:rPr>
          <w:rFonts w:ascii="Times New Roman" w:hAnsi="Times New Roman"/>
        </w:rPr>
      </w:pPr>
      <w:r w:rsidRPr="006A1BDB">
        <w:rPr>
          <w:rFonts w:ascii="Times New Roman" w:hAnsi="Times New Roman"/>
        </w:rPr>
        <w:t>This is a voluntary data collection.  If the information is not collected, FNS will not have adequate data to award the appropriate grantee or monitor financial reporting requirements.  FNS will seek minimal information that will be critical to award all eligible applicants. Reduced frequency is not possible as this is currently a onetime application coinciding with the appropriation of funds.</w:t>
      </w:r>
    </w:p>
    <w:p w:rsidRPr="006A1BDB" w:rsidR="006A1BDB" w:rsidP="006A1BDB" w:rsidRDefault="006A1BDB" w14:paraId="77E3A699" w14:textId="77777777">
      <w:pPr>
        <w:tabs>
          <w:tab w:val="left" w:pos="-720"/>
        </w:tabs>
        <w:suppressAutoHyphens/>
        <w:rPr>
          <w:rFonts w:ascii="Times New Roman" w:hAnsi="Times New Roman"/>
          <w:szCs w:val="24"/>
        </w:rPr>
      </w:pPr>
    </w:p>
    <w:p w:rsidRPr="002568E6" w:rsidR="00A308DB" w:rsidP="0062567E" w:rsidRDefault="00213436" w14:paraId="7B2A092C" w14:textId="034528FA">
      <w:pPr>
        <w:pStyle w:val="Heading1"/>
        <w:rPr>
          <w:szCs w:val="24"/>
        </w:rPr>
      </w:pPr>
      <w:bookmarkStart w:name="_Toc401831363" w:id="18"/>
      <w:bookmarkStart w:name="_Toc401832407" w:id="19"/>
      <w:bookmarkStart w:name="_Toc71026060" w:id="20"/>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8"/>
      <w:bookmarkEnd w:id="19"/>
      <w:bookmarkEnd w:id="20"/>
    </w:p>
    <w:p w:rsidRPr="002568E6" w:rsidR="00A308DB" w:rsidP="00213436" w:rsidRDefault="00A308DB" w14:paraId="7B2A092D" w14:textId="77777777">
      <w:pPr>
        <w:tabs>
          <w:tab w:val="left" w:pos="0"/>
        </w:tabs>
        <w:suppressAutoHyphens/>
        <w:rPr>
          <w:rFonts w:ascii="Times New Roman" w:hAnsi="Times New Roman"/>
          <w:szCs w:val="24"/>
        </w:rPr>
      </w:pPr>
    </w:p>
    <w:p w:rsidRPr="002568E6" w:rsidR="003333DF" w:rsidP="0062567E" w:rsidRDefault="003333DF" w14:paraId="7B2A092E"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7B2A09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7B2A093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7B2A09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7B2A09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7B2A09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7B2A0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7B2A093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7B2A0936"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 xml:space="preserve">strate that it has instituted procedures to </w:t>
      </w:r>
      <w:r w:rsidRPr="002568E6">
        <w:rPr>
          <w:szCs w:val="24"/>
        </w:rPr>
        <w:lastRenderedPageBreak/>
        <w:t>protect the information's confidentiali</w:t>
      </w:r>
      <w:r w:rsidRPr="002568E6" w:rsidR="0032533B">
        <w:rPr>
          <w:szCs w:val="24"/>
        </w:rPr>
        <w:t>ty to the extent permit</w:t>
      </w:r>
      <w:r w:rsidRPr="002568E6">
        <w:rPr>
          <w:szCs w:val="24"/>
        </w:rPr>
        <w:t>ted by law.</w:t>
      </w:r>
    </w:p>
    <w:p w:rsidRPr="002568E6" w:rsidR="003333DF" w:rsidP="00213436" w:rsidRDefault="003333DF" w14:paraId="7B2A0937" w14:textId="77777777">
      <w:pPr>
        <w:tabs>
          <w:tab w:val="left" w:pos="0"/>
        </w:tabs>
        <w:suppressAutoHyphens/>
        <w:rPr>
          <w:rFonts w:ascii="Times New Roman" w:hAnsi="Times New Roman"/>
          <w:szCs w:val="24"/>
        </w:rPr>
      </w:pPr>
    </w:p>
    <w:p w:rsidRPr="002568E6" w:rsidR="00E11A38" w:rsidP="00E11A38" w:rsidRDefault="00D27001" w14:paraId="7B2A0939" w14:textId="260B519C">
      <w:pPr>
        <w:tabs>
          <w:tab w:val="left" w:pos="-720"/>
        </w:tabs>
        <w:suppressAutoHyphens/>
        <w:spacing w:line="480" w:lineRule="auto"/>
        <w:rPr>
          <w:rFonts w:ascii="Times New Roman" w:hAnsi="Times New Roman"/>
          <w:szCs w:val="24"/>
        </w:rPr>
      </w:pPr>
      <w:r>
        <w:rPr>
          <w:rFonts w:ascii="Times New Roman" w:hAnsi="Times New Roman"/>
          <w:szCs w:val="24"/>
        </w:rPr>
        <w:t xml:space="preserve">There are no </w:t>
      </w:r>
      <w:r w:rsidR="00FC366C">
        <w:rPr>
          <w:rFonts w:ascii="Times New Roman" w:hAnsi="Times New Roman"/>
          <w:szCs w:val="24"/>
        </w:rPr>
        <w:t xml:space="preserve">other </w:t>
      </w:r>
      <w:r>
        <w:rPr>
          <w:rFonts w:ascii="Times New Roman" w:hAnsi="Times New Roman"/>
          <w:szCs w:val="24"/>
        </w:rPr>
        <w:t>special circumstances</w:t>
      </w:r>
      <w:r w:rsidR="006A1BDB">
        <w:rPr>
          <w:rFonts w:ascii="Times New Roman" w:hAnsi="Times New Roman"/>
          <w:szCs w:val="24"/>
        </w:rPr>
        <w:t xml:space="preserve"> that require the collection to be conducted in the manner stated above.</w:t>
      </w:r>
    </w:p>
    <w:p w:rsidRPr="002568E6" w:rsidR="00BE0B08" w:rsidP="00BE0B08" w:rsidRDefault="00BE0B08" w14:paraId="7B2A093A" w14:textId="77777777">
      <w:pPr>
        <w:tabs>
          <w:tab w:val="left" w:pos="0"/>
        </w:tabs>
        <w:suppressAutoHyphens/>
        <w:rPr>
          <w:rFonts w:ascii="Times New Roman" w:hAnsi="Times New Roman"/>
          <w:szCs w:val="24"/>
        </w:rPr>
      </w:pPr>
    </w:p>
    <w:p w:rsidRPr="002568E6" w:rsidR="00BE0B08" w:rsidP="0062567E" w:rsidRDefault="00BE0B08" w14:paraId="7B2A093B" w14:textId="77777777">
      <w:pPr>
        <w:pStyle w:val="Heading1"/>
        <w:rPr>
          <w:szCs w:val="24"/>
        </w:rPr>
      </w:pPr>
      <w:bookmarkStart w:name="_Toc401831364" w:id="21"/>
      <w:bookmarkStart w:name="_Toc401832408" w:id="22"/>
      <w:bookmarkStart w:name="_Toc71026061" w:id="23"/>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21"/>
      <w:bookmarkEnd w:id="22"/>
      <w:bookmarkEnd w:id="23"/>
      <w:r w:rsidRPr="002568E6">
        <w:rPr>
          <w:szCs w:val="24"/>
        </w:rPr>
        <w:t xml:space="preserve">  </w:t>
      </w:r>
    </w:p>
    <w:p w:rsidRPr="002568E6" w:rsidR="003333DF" w:rsidP="005917B8" w:rsidRDefault="003333DF" w14:paraId="7B2A093C" w14:textId="77777777">
      <w:pPr>
        <w:tabs>
          <w:tab w:val="left" w:pos="450"/>
        </w:tabs>
        <w:suppressAutoHyphens/>
        <w:ind w:left="450" w:hanging="450"/>
        <w:rPr>
          <w:rFonts w:ascii="Times New Roman" w:hAnsi="Times New Roman"/>
          <w:szCs w:val="24"/>
        </w:rPr>
      </w:pPr>
    </w:p>
    <w:p w:rsidRPr="002568E6" w:rsidR="003333DF" w:rsidP="0062567E" w:rsidRDefault="003333DF" w14:paraId="7B2A093D"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7B2A093E" w14:textId="77777777">
      <w:pPr>
        <w:rPr>
          <w:rFonts w:ascii="Times New Roman" w:hAnsi="Times New Roman"/>
          <w:b/>
          <w:szCs w:val="24"/>
        </w:rPr>
      </w:pPr>
    </w:p>
    <w:p w:rsidRPr="002568E6" w:rsidR="003333DF" w:rsidP="0062567E" w:rsidRDefault="003333DF" w14:paraId="7B2A093F"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7B2A0940" w14:textId="77777777">
      <w:pPr>
        <w:rPr>
          <w:rFonts w:ascii="Times New Roman" w:hAnsi="Times New Roman"/>
          <w:b/>
          <w:szCs w:val="24"/>
        </w:rPr>
      </w:pPr>
    </w:p>
    <w:p w:rsidRPr="002568E6" w:rsidR="003333DF" w:rsidP="0062567E" w:rsidRDefault="003333DF" w14:paraId="7B2A0941"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7B2A0942" w14:textId="77777777">
      <w:pPr>
        <w:tabs>
          <w:tab w:val="left" w:pos="-720"/>
        </w:tabs>
        <w:suppressAutoHyphens/>
        <w:rPr>
          <w:rFonts w:ascii="Times New Roman" w:hAnsi="Times New Roman"/>
          <w:szCs w:val="24"/>
        </w:rPr>
      </w:pPr>
      <w:bookmarkStart w:name="OLE_LINK1" w:id="24"/>
      <w:bookmarkStart w:name="OLE_LINK2" w:id="25"/>
    </w:p>
    <w:p w:rsidRPr="009B23F1" w:rsidR="00ED28F2" w:rsidP="007F2D55" w:rsidRDefault="007F2D55" w14:paraId="7B2A0944" w14:textId="28710BAC">
      <w:pPr>
        <w:pStyle w:val="CommentText"/>
        <w:spacing w:line="480" w:lineRule="auto"/>
        <w:rPr>
          <w:rFonts w:ascii="Times New Roman" w:hAnsi="Times New Roman"/>
          <w:sz w:val="24"/>
          <w:szCs w:val="24"/>
        </w:rPr>
      </w:pPr>
      <w:r w:rsidRPr="007B24AD">
        <w:rPr>
          <w:rFonts w:ascii="Times New Roman" w:hAnsi="Times New Roman"/>
          <w:sz w:val="24"/>
          <w:szCs w:val="24"/>
        </w:rPr>
        <w:t xml:space="preserve">As in the competitive CN TIG (OMB Control #0584-0512), </w:t>
      </w:r>
      <w:r w:rsidRPr="007B24AD">
        <w:rPr>
          <w:rFonts w:ascii="Times New Roman" w:hAnsi="Times New Roman"/>
          <w:sz w:val="24"/>
        </w:rPr>
        <w:t>FNS staff often discuss the availability of the various grant opportunities and the grant application requirements with potential applicants at various national or regional meetings</w:t>
      </w:r>
      <w:r w:rsidR="00F05C94">
        <w:rPr>
          <w:rFonts w:ascii="Times New Roman" w:hAnsi="Times New Roman"/>
          <w:sz w:val="24"/>
        </w:rPr>
        <w:t>, including the nTIG</w:t>
      </w:r>
      <w:r w:rsidRPr="009B23F1">
        <w:rPr>
          <w:rFonts w:ascii="Times New Roman" w:hAnsi="Times New Roman"/>
          <w:sz w:val="24"/>
          <w:szCs w:val="24"/>
        </w:rPr>
        <w:t>.</w:t>
      </w:r>
      <w:r w:rsidRPr="009B23F1" w:rsidR="009B23F1">
        <w:rPr>
          <w:rFonts w:ascii="Times New Roman" w:hAnsi="Times New Roman"/>
          <w:sz w:val="24"/>
          <w:szCs w:val="24"/>
        </w:rPr>
        <w:t xml:space="preserve"> As this is an emergency clearance request and all State partners are operating at maximum capacity on COVID-19 related matters, FNS has not consulted on this information collection or associated burden estimates. Should an ongoing information collection be needed following the expiration of this emergency ICR, FNS commits to consulting on those prior to submitting the full information collection.</w:t>
      </w:r>
    </w:p>
    <w:p w:rsidRPr="002568E6" w:rsidR="007F2D55" w:rsidP="00ED28F2" w:rsidRDefault="007F2D55" w14:paraId="47FAFD84" w14:textId="77777777">
      <w:pPr>
        <w:tabs>
          <w:tab w:val="left" w:pos="-720"/>
        </w:tabs>
        <w:suppressAutoHyphens/>
        <w:spacing w:line="480" w:lineRule="auto"/>
        <w:rPr>
          <w:rFonts w:ascii="Times New Roman" w:hAnsi="Times New Roman"/>
          <w:szCs w:val="24"/>
        </w:rPr>
      </w:pPr>
    </w:p>
    <w:p w:rsidRPr="002568E6" w:rsidR="00BE0B08" w:rsidP="0062567E" w:rsidRDefault="00BE0B08" w14:paraId="7B2A0945" w14:textId="0E408CBF">
      <w:pPr>
        <w:pStyle w:val="Heading1"/>
        <w:rPr>
          <w:szCs w:val="24"/>
        </w:rPr>
      </w:pPr>
      <w:bookmarkStart w:name="_Toc401831365" w:id="26"/>
      <w:bookmarkStart w:name="_Toc401832409" w:id="27"/>
      <w:bookmarkStart w:name="_Toc71026062" w:id="28"/>
      <w:bookmarkEnd w:id="24"/>
      <w:bookmarkEnd w:id="25"/>
      <w:r w:rsidRPr="002568E6">
        <w:rPr>
          <w:szCs w:val="24"/>
        </w:rPr>
        <w:t>A9.  Explain any decisions to provide any payment or gift to respondents.</w:t>
      </w:r>
      <w:bookmarkEnd w:id="26"/>
      <w:bookmarkEnd w:id="27"/>
      <w:bookmarkEnd w:id="28"/>
    </w:p>
    <w:p w:rsidRPr="002568E6" w:rsidR="003333DF" w:rsidP="00BE0B08" w:rsidRDefault="003333DF" w14:paraId="7B2A0946" w14:textId="77777777">
      <w:pPr>
        <w:tabs>
          <w:tab w:val="left" w:pos="0"/>
        </w:tabs>
        <w:suppressAutoHyphens/>
        <w:rPr>
          <w:rFonts w:ascii="Times New Roman" w:hAnsi="Times New Roman"/>
          <w:szCs w:val="24"/>
        </w:rPr>
      </w:pPr>
    </w:p>
    <w:p w:rsidRPr="002568E6" w:rsidR="003333DF" w:rsidP="00BE0B08" w:rsidRDefault="003333DF" w14:paraId="7B2A0947" w14:textId="77777777">
      <w:pPr>
        <w:tabs>
          <w:tab w:val="left" w:pos="0"/>
        </w:tabs>
        <w:suppressAutoHyphens/>
        <w:rPr>
          <w:rFonts w:ascii="Times New Roman" w:hAnsi="Times New Roman"/>
          <w:b/>
          <w:szCs w:val="24"/>
        </w:rPr>
      </w:pPr>
      <w:r w:rsidRPr="002568E6">
        <w:rPr>
          <w:rFonts w:ascii="Times New Roman" w:hAnsi="Times New Roman"/>
          <w:b/>
          <w:szCs w:val="24"/>
        </w:rPr>
        <w:lastRenderedPageBreak/>
        <w:t>Explain any decision to provide any payment or gift to respondents, other than remuneration of contractors or grantees.</w:t>
      </w:r>
    </w:p>
    <w:p w:rsidRPr="002568E6" w:rsidR="00ED28F2" w:rsidP="00ED28F2" w:rsidRDefault="00ED28F2" w14:paraId="7B2A0948" w14:textId="77777777">
      <w:pPr>
        <w:tabs>
          <w:tab w:val="left" w:pos="-720"/>
        </w:tabs>
        <w:suppressAutoHyphens/>
        <w:rPr>
          <w:rFonts w:ascii="Times New Roman" w:hAnsi="Times New Roman"/>
          <w:szCs w:val="24"/>
        </w:rPr>
      </w:pPr>
    </w:p>
    <w:p w:rsidRPr="00FC366C" w:rsidR="00FC366C" w:rsidP="00FC366C" w:rsidRDefault="00FC366C" w14:paraId="2D4F5B53" w14:textId="19861D3F">
      <w:pPr>
        <w:tabs>
          <w:tab w:val="left" w:pos="360"/>
        </w:tabs>
        <w:spacing w:line="360" w:lineRule="auto"/>
        <w:rPr>
          <w:rFonts w:ascii="Times New Roman" w:hAnsi="Times New Roman"/>
        </w:rPr>
      </w:pPr>
      <w:r w:rsidRPr="00FC366C">
        <w:rPr>
          <w:rFonts w:ascii="Times New Roman" w:hAnsi="Times New Roman"/>
        </w:rPr>
        <w:t>No payments or gifts are provided to res</w:t>
      </w:r>
      <w:r w:rsidR="005C4582">
        <w:rPr>
          <w:rFonts w:ascii="Times New Roman" w:hAnsi="Times New Roman"/>
        </w:rPr>
        <w:t>pondents under this collection.</w:t>
      </w:r>
    </w:p>
    <w:p w:rsidRPr="002568E6" w:rsidR="00ED28F2" w:rsidP="00ED28F2" w:rsidRDefault="00ED28F2" w14:paraId="7B2A094A" w14:textId="77777777">
      <w:pPr>
        <w:tabs>
          <w:tab w:val="left" w:pos="-720"/>
        </w:tabs>
        <w:suppressAutoHyphens/>
        <w:spacing w:line="480" w:lineRule="auto"/>
        <w:rPr>
          <w:rFonts w:ascii="Times New Roman" w:hAnsi="Times New Roman"/>
          <w:szCs w:val="24"/>
        </w:rPr>
      </w:pPr>
    </w:p>
    <w:p w:rsidRPr="002568E6" w:rsidR="00BE0B08" w:rsidP="0062567E" w:rsidRDefault="00BE0B08" w14:paraId="7B2A094B" w14:textId="414A608B">
      <w:pPr>
        <w:pStyle w:val="Heading1"/>
        <w:rPr>
          <w:szCs w:val="24"/>
        </w:rPr>
      </w:pPr>
      <w:bookmarkStart w:name="_Toc401831366" w:id="29"/>
      <w:bookmarkStart w:name="_Toc401832410" w:id="30"/>
      <w:bookmarkStart w:name="_Toc71026063" w:id="31"/>
      <w:r w:rsidRPr="002568E6">
        <w:rPr>
          <w:szCs w:val="24"/>
        </w:rPr>
        <w:t>A10.  Assurances of confidentiality provided to respondents.</w:t>
      </w:r>
      <w:bookmarkEnd w:id="29"/>
      <w:bookmarkEnd w:id="30"/>
      <w:bookmarkEnd w:id="31"/>
    </w:p>
    <w:p w:rsidRPr="002568E6" w:rsidR="003333DF" w:rsidP="00BE0B08" w:rsidRDefault="003333DF" w14:paraId="7B2A094C" w14:textId="77777777">
      <w:pPr>
        <w:rPr>
          <w:rFonts w:ascii="Times New Roman" w:hAnsi="Times New Roman"/>
          <w:szCs w:val="24"/>
        </w:rPr>
      </w:pPr>
    </w:p>
    <w:p w:rsidRPr="002568E6" w:rsidR="003333DF" w:rsidP="0062567E" w:rsidRDefault="003333DF" w14:paraId="7B2A094D"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7B2A094E" w14:textId="77777777">
      <w:pPr>
        <w:rPr>
          <w:rFonts w:ascii="Times New Roman" w:hAnsi="Times New Roman"/>
          <w:szCs w:val="24"/>
        </w:rPr>
      </w:pPr>
    </w:p>
    <w:p w:rsidRPr="007D5A4A" w:rsidR="00BB0112" w:rsidP="00BB0112" w:rsidRDefault="007D5A4A" w14:paraId="5E788A1B" w14:textId="6E53B4A2">
      <w:pPr>
        <w:spacing w:line="480" w:lineRule="auto"/>
        <w:ind w:right="-720"/>
        <w:rPr>
          <w:rFonts w:ascii="Times New Roman" w:hAnsi="Times New Roman"/>
        </w:rPr>
      </w:pPr>
      <w:r w:rsidRPr="007D5A4A">
        <w:rPr>
          <w:rFonts w:ascii="Times New Roman" w:hAnsi="Times New Roman"/>
          <w:spacing w:val="-3"/>
        </w:rPr>
        <w:t>The Department complies with the Privacy Act of 1974.  No confidential information is associated with this information collection.  This collection does not request any personally identifiable information, nor does it contain any forms that require a Privacy Act Statement.</w:t>
      </w:r>
    </w:p>
    <w:p w:rsidR="00BB0112" w:rsidP="00BB0112" w:rsidRDefault="00BB0112" w14:paraId="6233ACD0" w14:textId="03242D81">
      <w:pPr>
        <w:spacing w:line="480" w:lineRule="auto"/>
        <w:ind w:right="-720"/>
        <w:rPr>
          <w:rFonts w:ascii="Times New Roman" w:hAnsi="Times New Roman"/>
        </w:rPr>
      </w:pPr>
    </w:p>
    <w:p w:rsidRPr="002568E6" w:rsidR="00A308DB" w:rsidP="0062567E" w:rsidRDefault="00BE0B08" w14:paraId="7B2A0951" w14:textId="710F52AB">
      <w:pPr>
        <w:pStyle w:val="Heading1"/>
        <w:rPr>
          <w:szCs w:val="24"/>
        </w:rPr>
      </w:pPr>
      <w:bookmarkStart w:name="_Toc401831367" w:id="32"/>
      <w:bookmarkStart w:name="_Toc401832411" w:id="33"/>
      <w:bookmarkStart w:name="_Toc71026064" w:id="34"/>
      <w:r w:rsidRPr="002568E6">
        <w:rPr>
          <w:szCs w:val="24"/>
        </w:rPr>
        <w:t>A11.  Justification for any questions of a sensitive nature.</w:t>
      </w:r>
      <w:bookmarkEnd w:id="32"/>
      <w:bookmarkEnd w:id="33"/>
      <w:bookmarkEnd w:id="34"/>
    </w:p>
    <w:p w:rsidRPr="002568E6" w:rsidR="003333DF" w:rsidP="00BE0B08" w:rsidRDefault="003333DF" w14:paraId="7B2A0952" w14:textId="77777777">
      <w:pPr>
        <w:tabs>
          <w:tab w:val="left" w:pos="0"/>
        </w:tabs>
        <w:suppressAutoHyphens/>
        <w:rPr>
          <w:rFonts w:ascii="Times New Roman" w:hAnsi="Times New Roman"/>
          <w:szCs w:val="24"/>
        </w:rPr>
      </w:pPr>
    </w:p>
    <w:p w:rsidRPr="002568E6" w:rsidR="003333DF" w:rsidP="00BE0B08" w:rsidRDefault="003333DF" w14:paraId="7B2A0953"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B0112" w:rsidR="00ED28F2" w:rsidP="00ED28F2" w:rsidRDefault="00ED28F2" w14:paraId="7B2A0954" w14:textId="77777777">
      <w:pPr>
        <w:tabs>
          <w:tab w:val="left" w:pos="-720"/>
        </w:tabs>
        <w:suppressAutoHyphens/>
        <w:rPr>
          <w:rFonts w:ascii="Times New Roman" w:hAnsi="Times New Roman"/>
          <w:szCs w:val="24"/>
        </w:rPr>
      </w:pPr>
    </w:p>
    <w:p w:rsidRPr="00BB0112" w:rsidR="00BB0112" w:rsidP="004D3903" w:rsidRDefault="00BB0112" w14:paraId="76147ACB" w14:textId="30629D6E">
      <w:pPr>
        <w:tabs>
          <w:tab w:val="left" w:pos="-720"/>
        </w:tabs>
        <w:suppressAutoHyphens/>
        <w:spacing w:line="480" w:lineRule="auto"/>
        <w:rPr>
          <w:rFonts w:ascii="Times New Roman" w:hAnsi="Times New Roman"/>
        </w:rPr>
      </w:pPr>
      <w:r w:rsidRPr="00BB0112">
        <w:rPr>
          <w:rFonts w:ascii="Times New Roman" w:hAnsi="Times New Roman"/>
        </w:rPr>
        <w:t>There are no questions of a sensitive nature included in the uniform grant application package for discretionary grant programs.</w:t>
      </w:r>
    </w:p>
    <w:p w:rsidRPr="00BB0112" w:rsidR="00ED28F2" w:rsidP="004D3903" w:rsidRDefault="00ED28F2" w14:paraId="7B2A0956" w14:textId="50C0C7E4">
      <w:pPr>
        <w:tabs>
          <w:tab w:val="left" w:pos="-720"/>
        </w:tabs>
        <w:suppressAutoHyphens/>
        <w:spacing w:line="480" w:lineRule="auto"/>
        <w:rPr>
          <w:rFonts w:ascii="Times New Roman" w:hAnsi="Times New Roman"/>
          <w:szCs w:val="24"/>
        </w:rPr>
      </w:pPr>
    </w:p>
    <w:p w:rsidRPr="002568E6" w:rsidR="000438E8" w:rsidP="0062567E" w:rsidRDefault="000438E8" w14:paraId="7B2A0957" w14:textId="77777777">
      <w:pPr>
        <w:pStyle w:val="Heading1"/>
        <w:rPr>
          <w:szCs w:val="24"/>
        </w:rPr>
      </w:pPr>
      <w:bookmarkStart w:name="_Toc401831368" w:id="35"/>
      <w:bookmarkStart w:name="_Toc401832412" w:id="36"/>
      <w:bookmarkStart w:name="_Toc71026065" w:id="37"/>
      <w:r w:rsidRPr="002568E6">
        <w:rPr>
          <w:szCs w:val="24"/>
        </w:rPr>
        <w:t>A12.  Estimates of the hour burden of the collection of information.</w:t>
      </w:r>
      <w:bookmarkEnd w:id="35"/>
      <w:bookmarkEnd w:id="36"/>
      <w:bookmarkEnd w:id="37"/>
      <w:r w:rsidRPr="002568E6">
        <w:rPr>
          <w:szCs w:val="24"/>
        </w:rPr>
        <w:t xml:space="preserve">  </w:t>
      </w:r>
    </w:p>
    <w:p w:rsidRPr="002568E6" w:rsidR="003333DF" w:rsidP="000438E8" w:rsidRDefault="003333DF" w14:paraId="7B2A0958" w14:textId="77777777">
      <w:pPr>
        <w:tabs>
          <w:tab w:val="left" w:pos="0"/>
        </w:tabs>
        <w:suppressAutoHyphens/>
        <w:rPr>
          <w:rFonts w:ascii="Times New Roman" w:hAnsi="Times New Roman"/>
          <w:b/>
          <w:szCs w:val="24"/>
        </w:rPr>
      </w:pPr>
    </w:p>
    <w:p w:rsidRPr="002568E6" w:rsidR="003333DF" w:rsidP="000438E8" w:rsidRDefault="003333DF" w14:paraId="7B2A0959"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7B2A095A" w14:textId="77777777">
      <w:pPr>
        <w:tabs>
          <w:tab w:val="left" w:pos="0"/>
        </w:tabs>
        <w:suppressAutoHyphens/>
        <w:rPr>
          <w:rFonts w:ascii="Times New Roman" w:hAnsi="Times New Roman"/>
          <w:b/>
          <w:szCs w:val="24"/>
        </w:rPr>
      </w:pPr>
    </w:p>
    <w:p w:rsidRPr="002568E6" w:rsidR="003333DF" w:rsidP="003333DF" w:rsidRDefault="003333DF" w14:paraId="7B2A095B"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7B2A095C" w14:textId="77777777">
      <w:pPr>
        <w:tabs>
          <w:tab w:val="left" w:pos="-720"/>
        </w:tabs>
        <w:suppressAutoHyphens/>
        <w:rPr>
          <w:rFonts w:ascii="Times New Roman" w:hAnsi="Times New Roman"/>
          <w:szCs w:val="24"/>
        </w:rPr>
      </w:pPr>
    </w:p>
    <w:p w:rsidR="0012078A" w:rsidP="00ED28F2" w:rsidRDefault="00D34930" w14:paraId="5570C4F1" w14:textId="3D5F6F68">
      <w:pPr>
        <w:tabs>
          <w:tab w:val="left" w:pos="-720"/>
        </w:tabs>
        <w:suppressAutoHyphens/>
        <w:spacing w:line="480" w:lineRule="auto"/>
        <w:rPr>
          <w:rFonts w:ascii="Times New Roman" w:hAnsi="Times New Roman"/>
          <w:szCs w:val="24"/>
        </w:rPr>
      </w:pPr>
      <w:r>
        <w:rPr>
          <w:rFonts w:ascii="Times New Roman" w:hAnsi="Times New Roman"/>
          <w:szCs w:val="24"/>
        </w:rPr>
        <w:t>The competitive</w:t>
      </w:r>
      <w:r w:rsidRPr="0012323F">
        <w:rPr>
          <w:rFonts w:ascii="Times New Roman" w:hAnsi="Times New Roman"/>
          <w:szCs w:val="24"/>
        </w:rPr>
        <w:t xml:space="preserve"> </w:t>
      </w:r>
      <w:r w:rsidRPr="0012323F" w:rsidR="0012323F">
        <w:rPr>
          <w:rFonts w:ascii="Times New Roman" w:hAnsi="Times New Roman"/>
          <w:szCs w:val="24"/>
        </w:rPr>
        <w:t xml:space="preserve">grant </w:t>
      </w:r>
      <w:r>
        <w:rPr>
          <w:rFonts w:ascii="Times New Roman" w:hAnsi="Times New Roman"/>
          <w:szCs w:val="24"/>
        </w:rPr>
        <w:t xml:space="preserve">process </w:t>
      </w:r>
      <w:r w:rsidRPr="0012323F" w:rsidR="0012323F">
        <w:rPr>
          <w:rFonts w:ascii="Times New Roman" w:hAnsi="Times New Roman"/>
          <w:szCs w:val="24"/>
        </w:rPr>
        <w:t>is currently approved under OMB Control #0584-0512</w:t>
      </w:r>
      <w:r w:rsidR="00432C89">
        <w:rPr>
          <w:rFonts w:ascii="Times New Roman" w:hAnsi="Times New Roman"/>
          <w:szCs w:val="24"/>
        </w:rPr>
        <w:t>. The non-</w:t>
      </w:r>
      <w:r w:rsidR="00432C89">
        <w:rPr>
          <w:rFonts w:ascii="Times New Roman" w:hAnsi="Times New Roman"/>
          <w:szCs w:val="24"/>
        </w:rPr>
        <w:lastRenderedPageBreak/>
        <w:t>competitive grant process is not incorporated in this collection</w:t>
      </w:r>
      <w:r>
        <w:rPr>
          <w:rFonts w:ascii="Times New Roman" w:hAnsi="Times New Roman"/>
          <w:szCs w:val="24"/>
        </w:rPr>
        <w:t xml:space="preserve">  This emergency ICR requests approval to use a </w:t>
      </w:r>
      <w:r w:rsidRPr="0012323F" w:rsidR="0012323F">
        <w:rPr>
          <w:rFonts w:ascii="Times New Roman" w:hAnsi="Times New Roman"/>
          <w:szCs w:val="24"/>
        </w:rPr>
        <w:t xml:space="preserve"> non-competitive grant</w:t>
      </w:r>
      <w:r>
        <w:rPr>
          <w:rFonts w:ascii="Times New Roman" w:hAnsi="Times New Roman"/>
          <w:szCs w:val="24"/>
        </w:rPr>
        <w:t xml:space="preserve"> process</w:t>
      </w:r>
      <w:r w:rsidRPr="0012323F" w:rsidR="0012323F">
        <w:rPr>
          <w:rFonts w:ascii="Times New Roman" w:hAnsi="Times New Roman"/>
          <w:szCs w:val="24"/>
        </w:rPr>
        <w:t>.</w:t>
      </w:r>
      <w:r w:rsidR="00E31F69">
        <w:rPr>
          <w:rFonts w:ascii="Times New Roman" w:hAnsi="Times New Roman"/>
          <w:szCs w:val="24"/>
        </w:rPr>
        <w:t xml:space="preserve"> </w:t>
      </w:r>
      <w:r w:rsidR="007B24AD">
        <w:rPr>
          <w:rFonts w:ascii="Times New Roman" w:hAnsi="Times New Roman"/>
          <w:szCs w:val="24"/>
        </w:rPr>
        <w:t>FNS expects 60 of the 69</w:t>
      </w:r>
      <w:r w:rsidR="001D6CB0">
        <w:rPr>
          <w:rFonts w:ascii="Times New Roman" w:hAnsi="Times New Roman"/>
          <w:szCs w:val="24"/>
        </w:rPr>
        <w:t xml:space="preserve"> eligible </w:t>
      </w:r>
      <w:r w:rsidR="0012078A">
        <w:rPr>
          <w:rFonts w:ascii="Times New Roman" w:hAnsi="Times New Roman"/>
          <w:szCs w:val="24"/>
        </w:rPr>
        <w:t>State</w:t>
      </w:r>
      <w:r w:rsidR="00E70FAF">
        <w:rPr>
          <w:rFonts w:ascii="Times New Roman" w:hAnsi="Times New Roman"/>
          <w:szCs w:val="24"/>
        </w:rPr>
        <w:t xml:space="preserve"> agencies will choose to participate in the </w:t>
      </w:r>
      <w:r w:rsidR="001D6CB0">
        <w:rPr>
          <w:rFonts w:ascii="Times New Roman" w:hAnsi="Times New Roman"/>
          <w:szCs w:val="24"/>
        </w:rPr>
        <w:t xml:space="preserve">CN </w:t>
      </w:r>
      <w:r w:rsidR="005C4582">
        <w:rPr>
          <w:rFonts w:ascii="Times New Roman" w:hAnsi="Times New Roman"/>
          <w:szCs w:val="24"/>
        </w:rPr>
        <w:t>n</w:t>
      </w:r>
      <w:r w:rsidR="001D6CB0">
        <w:rPr>
          <w:rFonts w:ascii="Times New Roman" w:hAnsi="Times New Roman"/>
          <w:szCs w:val="24"/>
        </w:rPr>
        <w:t>TIG</w:t>
      </w:r>
      <w:r w:rsidR="00E70FAF">
        <w:rPr>
          <w:rFonts w:ascii="Times New Roman" w:hAnsi="Times New Roman"/>
          <w:szCs w:val="24"/>
        </w:rPr>
        <w:t xml:space="preserve">. </w:t>
      </w:r>
      <w:r w:rsidR="0012323F">
        <w:rPr>
          <w:rFonts w:ascii="Times New Roman" w:hAnsi="Times New Roman"/>
          <w:szCs w:val="24"/>
        </w:rPr>
        <w:t>E</w:t>
      </w:r>
      <w:r w:rsidRPr="00B87BAD" w:rsidR="001D6CB0">
        <w:rPr>
          <w:rFonts w:ascii="Times New Roman" w:hAnsi="Times New Roman"/>
        </w:rPr>
        <w:t>ligible States</w:t>
      </w:r>
      <w:r w:rsidR="001D6CB0">
        <w:rPr>
          <w:rFonts w:ascii="Times New Roman" w:hAnsi="Times New Roman"/>
        </w:rPr>
        <w:t xml:space="preserve"> agencies </w:t>
      </w:r>
      <w:r w:rsidRPr="00B87BAD" w:rsidR="001D6CB0">
        <w:rPr>
          <w:rFonts w:ascii="Times New Roman" w:hAnsi="Times New Roman"/>
        </w:rPr>
        <w:t xml:space="preserve">accepting the </w:t>
      </w:r>
      <w:r w:rsidR="005C4582">
        <w:rPr>
          <w:rFonts w:ascii="Times New Roman" w:hAnsi="Times New Roman"/>
        </w:rPr>
        <w:t>n</w:t>
      </w:r>
      <w:r w:rsidRPr="00B87BAD" w:rsidR="001D6CB0">
        <w:rPr>
          <w:rFonts w:ascii="Times New Roman" w:hAnsi="Times New Roman"/>
        </w:rPr>
        <w:t xml:space="preserve">TIG funding will be required to submit an application package to FNS, via </w:t>
      </w:r>
      <w:hyperlink w:history="1" r:id="rId14">
        <w:r w:rsidRPr="00B87BAD" w:rsidR="001D6CB0">
          <w:rPr>
            <w:rStyle w:val="Hyperlink"/>
            <w:rFonts w:ascii="Times New Roman" w:hAnsi="Times New Roman"/>
          </w:rPr>
          <w:t>www.grants.gov</w:t>
        </w:r>
      </w:hyperlink>
      <w:r w:rsidRPr="00B87BAD" w:rsidR="001D6CB0">
        <w:rPr>
          <w:rFonts w:ascii="Times New Roman" w:hAnsi="Times New Roman"/>
        </w:rPr>
        <w:t>. This grant announcement, as with the other discretionary grant announcements included in the currently approved package</w:t>
      </w:r>
      <w:r>
        <w:rPr>
          <w:rFonts w:ascii="Times New Roman" w:hAnsi="Times New Roman"/>
        </w:rPr>
        <w:t xml:space="preserve"> (#0584-0512)</w:t>
      </w:r>
      <w:r w:rsidRPr="00B87BAD" w:rsidR="001D6CB0">
        <w:rPr>
          <w:rFonts w:ascii="Times New Roman" w:hAnsi="Times New Roman"/>
        </w:rPr>
        <w:t>, include a number of information collections, including a “project description” (program narrative), budget information (SF-424 series), disclosure of lobbying activities certification (SF-LLL), AD Forms 1047 through 1049 certifications, and the Grant Program Accounting System and Financial Capability Questionnaire</w:t>
      </w:r>
      <w:r w:rsidR="001D6CB0">
        <w:rPr>
          <w:rFonts w:ascii="Times New Roman" w:hAnsi="Times New Roman"/>
        </w:rPr>
        <w:t xml:space="preserve">. </w:t>
      </w:r>
      <w:r w:rsidR="0012078A">
        <w:rPr>
          <w:rFonts w:ascii="Times New Roman" w:hAnsi="Times New Roman"/>
          <w:szCs w:val="24"/>
        </w:rPr>
        <w:t>The table below demonstrates the estimated frequency and burden associated with activities asso</w:t>
      </w:r>
      <w:r w:rsidR="00E70FAF">
        <w:rPr>
          <w:rFonts w:ascii="Times New Roman" w:hAnsi="Times New Roman"/>
          <w:szCs w:val="24"/>
        </w:rPr>
        <w:t xml:space="preserve">ciated with </w:t>
      </w:r>
      <w:r w:rsidR="00D731BC">
        <w:rPr>
          <w:rFonts w:ascii="Times New Roman" w:hAnsi="Times New Roman"/>
          <w:szCs w:val="24"/>
        </w:rPr>
        <w:t>submitting information</w:t>
      </w:r>
      <w:r w:rsidR="0052671A">
        <w:rPr>
          <w:rFonts w:ascii="Times New Roman" w:hAnsi="Times New Roman"/>
          <w:szCs w:val="24"/>
        </w:rPr>
        <w:t xml:space="preserve"> asso</w:t>
      </w:r>
      <w:r w:rsidR="001D6CB0">
        <w:rPr>
          <w:rFonts w:ascii="Times New Roman" w:hAnsi="Times New Roman"/>
          <w:szCs w:val="24"/>
        </w:rPr>
        <w:t xml:space="preserve">ciated with this grant opportunity </w:t>
      </w:r>
      <w:r w:rsidR="0012078A">
        <w:rPr>
          <w:rFonts w:ascii="Times New Roman" w:hAnsi="Times New Roman"/>
          <w:szCs w:val="24"/>
        </w:rPr>
        <w:t>to FNS.</w:t>
      </w:r>
    </w:p>
    <w:p w:rsidR="0052671A" w:rsidP="00ED28F2" w:rsidRDefault="0052671A" w14:paraId="3554C46A" w14:textId="77777777">
      <w:pPr>
        <w:tabs>
          <w:tab w:val="left" w:pos="-720"/>
        </w:tabs>
        <w:suppressAutoHyphens/>
        <w:spacing w:line="480" w:lineRule="auto"/>
        <w:rPr>
          <w:rFonts w:ascii="Times New Roman" w:hAnsi="Times New Roman"/>
          <w:szCs w:val="24"/>
        </w:rPr>
      </w:pPr>
    </w:p>
    <w:p w:rsidR="00ED28F2" w:rsidP="00ED28F2" w:rsidRDefault="006239CA" w14:paraId="7B2A095D" w14:textId="571583DC">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requested burden hours for this collection is </w:t>
      </w:r>
      <w:r w:rsidR="002F1937">
        <w:rPr>
          <w:rFonts w:ascii="Times New Roman" w:hAnsi="Times New Roman"/>
          <w:szCs w:val="24"/>
        </w:rPr>
        <w:t>1,508</w:t>
      </w:r>
      <w:r w:rsidR="001D6CB0">
        <w:rPr>
          <w:rFonts w:ascii="Times New Roman" w:hAnsi="Times New Roman"/>
          <w:szCs w:val="24"/>
        </w:rPr>
        <w:t>.</w:t>
      </w:r>
      <w:r>
        <w:rPr>
          <w:rFonts w:ascii="Times New Roman" w:hAnsi="Times New Roman"/>
          <w:szCs w:val="24"/>
        </w:rPr>
        <w:t xml:space="preserve">  See table below for calculations.</w:t>
      </w:r>
    </w:p>
    <w:p w:rsidR="00AB053B" w:rsidP="00ED28F2" w:rsidRDefault="00AB053B" w14:paraId="488BF118" w14:textId="15822325">
      <w:pPr>
        <w:tabs>
          <w:tab w:val="left" w:pos="-720"/>
        </w:tabs>
        <w:suppressAutoHyphens/>
        <w:spacing w:line="480" w:lineRule="auto"/>
        <w:rPr>
          <w:rFonts w:ascii="Times New Roman" w:hAnsi="Times New Roman"/>
          <w:szCs w:val="24"/>
        </w:rPr>
      </w:pPr>
    </w:p>
    <w:tbl>
      <w:tblPr>
        <w:tblW w:w="9350" w:type="dxa"/>
        <w:tblLayout w:type="fixed"/>
        <w:tblLook w:val="04A0" w:firstRow="1" w:lastRow="0" w:firstColumn="1" w:lastColumn="0" w:noHBand="0" w:noVBand="1"/>
      </w:tblPr>
      <w:tblGrid>
        <w:gridCol w:w="1244"/>
        <w:gridCol w:w="1225"/>
        <w:gridCol w:w="1138"/>
        <w:gridCol w:w="1333"/>
        <w:gridCol w:w="1170"/>
        <w:gridCol w:w="1170"/>
        <w:gridCol w:w="1080"/>
        <w:gridCol w:w="990"/>
      </w:tblGrid>
      <w:tr w:rsidRPr="002F1937" w:rsidR="002F1937" w:rsidTr="002F1937" w14:paraId="6B2DCDCB" w14:textId="77777777">
        <w:trPr>
          <w:trHeight w:val="828"/>
        </w:trPr>
        <w:tc>
          <w:tcPr>
            <w:tcW w:w="1244" w:type="dxa"/>
            <w:tcBorders>
              <w:top w:val="single" w:color="auto" w:sz="4" w:space="0"/>
              <w:left w:val="single" w:color="auto" w:sz="8" w:space="0"/>
              <w:bottom w:val="single" w:color="auto" w:sz="12" w:space="0"/>
              <w:right w:val="single" w:color="auto" w:sz="4" w:space="0"/>
            </w:tcBorders>
            <w:shd w:val="clear" w:color="auto" w:fill="auto"/>
            <w:vAlign w:val="bottom"/>
            <w:hideMark/>
          </w:tcPr>
          <w:p w:rsidRPr="002F1937" w:rsidR="002F1937" w:rsidP="002F1937" w:rsidRDefault="002F1937" w14:paraId="429121A0" w14:textId="77777777">
            <w:pPr>
              <w:widowControl/>
              <w:overflowPunct/>
              <w:autoSpaceDE/>
              <w:autoSpaceDN/>
              <w:adjustRightInd/>
              <w:textAlignment w:val="auto"/>
              <w:rPr>
                <w:rFonts w:ascii="Calibri" w:hAnsi="Calibri" w:cs="Calibri"/>
                <w:b/>
                <w:bCs/>
                <w:sz w:val="20"/>
              </w:rPr>
            </w:pPr>
            <w:r w:rsidRPr="002F1937">
              <w:rPr>
                <w:rFonts w:ascii="Calibri" w:hAnsi="Calibri" w:cs="Calibri"/>
                <w:b/>
                <w:bCs/>
                <w:sz w:val="20"/>
              </w:rPr>
              <w:t>Respondent Category</w:t>
            </w:r>
          </w:p>
        </w:tc>
        <w:tc>
          <w:tcPr>
            <w:tcW w:w="1225" w:type="dxa"/>
            <w:tcBorders>
              <w:top w:val="single" w:color="auto" w:sz="4" w:space="0"/>
              <w:left w:val="nil"/>
              <w:bottom w:val="single" w:color="auto" w:sz="12" w:space="0"/>
              <w:right w:val="single" w:color="auto" w:sz="4" w:space="0"/>
            </w:tcBorders>
            <w:shd w:val="clear" w:color="auto" w:fill="auto"/>
            <w:vAlign w:val="bottom"/>
            <w:hideMark/>
          </w:tcPr>
          <w:p w:rsidRPr="002F1937" w:rsidR="002F1937" w:rsidP="002F1937" w:rsidRDefault="002F1937" w14:paraId="54C3BDDB"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Instruments</w:t>
            </w:r>
          </w:p>
        </w:tc>
        <w:tc>
          <w:tcPr>
            <w:tcW w:w="1138" w:type="dxa"/>
            <w:tcBorders>
              <w:top w:val="single" w:color="auto" w:sz="4" w:space="0"/>
              <w:left w:val="nil"/>
              <w:bottom w:val="single" w:color="auto" w:sz="12" w:space="0"/>
              <w:right w:val="single" w:color="auto" w:sz="8" w:space="0"/>
            </w:tcBorders>
            <w:shd w:val="clear" w:color="auto" w:fill="auto"/>
            <w:vAlign w:val="bottom"/>
            <w:hideMark/>
          </w:tcPr>
          <w:p w:rsidRPr="002F1937" w:rsidR="002F1937" w:rsidP="002F1937" w:rsidRDefault="002F1937" w14:paraId="74576661"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Form</w:t>
            </w:r>
          </w:p>
        </w:tc>
        <w:tc>
          <w:tcPr>
            <w:tcW w:w="1333" w:type="dxa"/>
            <w:tcBorders>
              <w:top w:val="single" w:color="auto" w:sz="4" w:space="0"/>
              <w:left w:val="nil"/>
              <w:bottom w:val="single" w:color="auto" w:sz="12" w:space="0"/>
              <w:right w:val="single" w:color="auto" w:sz="4" w:space="0"/>
            </w:tcBorders>
            <w:shd w:val="clear" w:color="auto" w:fill="auto"/>
            <w:vAlign w:val="bottom"/>
            <w:hideMark/>
          </w:tcPr>
          <w:p w:rsidRPr="002F1937" w:rsidR="002F1937" w:rsidP="002F1937" w:rsidRDefault="002F1937" w14:paraId="57FF7FB0"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Number of respondents</w:t>
            </w:r>
          </w:p>
        </w:tc>
        <w:tc>
          <w:tcPr>
            <w:tcW w:w="1170" w:type="dxa"/>
            <w:tcBorders>
              <w:top w:val="single" w:color="auto" w:sz="4" w:space="0"/>
              <w:left w:val="nil"/>
              <w:bottom w:val="single" w:color="auto" w:sz="12" w:space="0"/>
              <w:right w:val="single" w:color="auto" w:sz="4" w:space="0"/>
            </w:tcBorders>
            <w:shd w:val="clear" w:color="auto" w:fill="auto"/>
            <w:vAlign w:val="bottom"/>
            <w:hideMark/>
          </w:tcPr>
          <w:p w:rsidRPr="002F1937" w:rsidR="002F1937" w:rsidP="002F1937" w:rsidRDefault="002F1937" w14:paraId="7FD264DD"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Frequency of response</w:t>
            </w:r>
          </w:p>
        </w:tc>
        <w:tc>
          <w:tcPr>
            <w:tcW w:w="1170" w:type="dxa"/>
            <w:tcBorders>
              <w:top w:val="single" w:color="auto" w:sz="4" w:space="0"/>
              <w:left w:val="nil"/>
              <w:bottom w:val="single" w:color="auto" w:sz="12" w:space="0"/>
              <w:right w:val="single" w:color="auto" w:sz="4" w:space="0"/>
            </w:tcBorders>
            <w:shd w:val="clear" w:color="auto" w:fill="auto"/>
            <w:vAlign w:val="bottom"/>
            <w:hideMark/>
          </w:tcPr>
          <w:p w:rsidRPr="002F1937" w:rsidR="002F1937" w:rsidP="002F1937" w:rsidRDefault="002F1937" w14:paraId="457481FF"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Total Annual responses</w:t>
            </w:r>
          </w:p>
        </w:tc>
        <w:tc>
          <w:tcPr>
            <w:tcW w:w="1080" w:type="dxa"/>
            <w:tcBorders>
              <w:top w:val="single" w:color="auto" w:sz="4" w:space="0"/>
              <w:left w:val="nil"/>
              <w:bottom w:val="single" w:color="auto" w:sz="12" w:space="0"/>
              <w:right w:val="single" w:color="auto" w:sz="4" w:space="0"/>
            </w:tcBorders>
            <w:shd w:val="clear" w:color="auto" w:fill="auto"/>
            <w:vAlign w:val="bottom"/>
            <w:hideMark/>
          </w:tcPr>
          <w:p w:rsidRPr="002F1937" w:rsidR="002F1937" w:rsidP="002F1937" w:rsidRDefault="002F1937" w14:paraId="21ABFC77"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Hours per response</w:t>
            </w:r>
          </w:p>
        </w:tc>
        <w:tc>
          <w:tcPr>
            <w:tcW w:w="990" w:type="dxa"/>
            <w:tcBorders>
              <w:top w:val="single" w:color="auto" w:sz="4" w:space="0"/>
              <w:left w:val="nil"/>
              <w:bottom w:val="single" w:color="auto" w:sz="12" w:space="0"/>
              <w:right w:val="single" w:color="auto" w:sz="8" w:space="0"/>
            </w:tcBorders>
            <w:shd w:val="clear" w:color="auto" w:fill="auto"/>
            <w:vAlign w:val="bottom"/>
            <w:hideMark/>
          </w:tcPr>
          <w:p w:rsidRPr="002F1937" w:rsidR="002F1937" w:rsidP="002F1937" w:rsidRDefault="002F1937" w14:paraId="5E011920" w14:textId="77777777">
            <w:pPr>
              <w:widowControl/>
              <w:overflowPunct/>
              <w:autoSpaceDE/>
              <w:autoSpaceDN/>
              <w:adjustRightInd/>
              <w:jc w:val="center"/>
              <w:textAlignment w:val="auto"/>
              <w:rPr>
                <w:rFonts w:ascii="Calibri" w:hAnsi="Calibri" w:cs="Calibri"/>
                <w:b/>
                <w:bCs/>
                <w:sz w:val="20"/>
              </w:rPr>
            </w:pPr>
            <w:r w:rsidRPr="002F1937">
              <w:rPr>
                <w:rFonts w:ascii="Calibri" w:hAnsi="Calibri" w:cs="Calibri"/>
                <w:b/>
                <w:bCs/>
                <w:sz w:val="20"/>
              </w:rPr>
              <w:t>Annual burden (hours)</w:t>
            </w:r>
          </w:p>
        </w:tc>
      </w:tr>
      <w:tr w:rsidRPr="002F1937" w:rsidR="002F1937" w:rsidTr="00C83971" w14:paraId="19BE933A" w14:textId="77777777">
        <w:trPr>
          <w:trHeight w:val="1704"/>
        </w:trPr>
        <w:tc>
          <w:tcPr>
            <w:tcW w:w="1244" w:type="dxa"/>
            <w:vMerge w:val="restart"/>
            <w:tcBorders>
              <w:top w:val="single" w:color="auto" w:sz="12" w:space="0"/>
              <w:left w:val="single" w:color="auto" w:sz="4" w:space="0"/>
              <w:right w:val="single" w:color="auto" w:sz="4" w:space="0"/>
            </w:tcBorders>
            <w:shd w:val="clear" w:color="auto" w:fill="auto"/>
            <w:vAlign w:val="center"/>
            <w:hideMark/>
          </w:tcPr>
          <w:p w:rsidRPr="002F1937" w:rsidR="002F1937" w:rsidP="002F1937" w:rsidRDefault="002F1937" w14:paraId="03CB6E3C" w14:textId="77777777">
            <w:pPr>
              <w:widowControl/>
              <w:overflowPunct/>
              <w:autoSpaceDE/>
              <w:autoSpaceDN/>
              <w:adjustRightInd/>
              <w:textAlignment w:val="auto"/>
              <w:rPr>
                <w:rFonts w:ascii="Calibri" w:hAnsi="Calibri" w:cs="Calibri"/>
                <w:color w:val="000000"/>
                <w:sz w:val="20"/>
              </w:rPr>
            </w:pPr>
            <w:r w:rsidRPr="002F1937">
              <w:rPr>
                <w:rFonts w:ascii="Calibri" w:hAnsi="Calibri" w:cs="Calibri"/>
                <w:color w:val="000000"/>
                <w:sz w:val="20"/>
              </w:rPr>
              <w:t>State Agency</w:t>
            </w:r>
          </w:p>
        </w:tc>
        <w:tc>
          <w:tcPr>
            <w:tcW w:w="1225" w:type="dxa"/>
            <w:vMerge w:val="restart"/>
            <w:tcBorders>
              <w:top w:val="single" w:color="auto" w:sz="12" w:space="0"/>
              <w:left w:val="nil"/>
              <w:right w:val="single" w:color="auto" w:sz="4" w:space="0"/>
            </w:tcBorders>
            <w:shd w:val="clear" w:color="auto" w:fill="auto"/>
            <w:vAlign w:val="center"/>
            <w:hideMark/>
          </w:tcPr>
          <w:p w:rsidRPr="002F1937" w:rsidR="002F1937" w:rsidP="002F1937" w:rsidRDefault="002F1937" w14:paraId="2E509F68" w14:textId="77777777">
            <w:pPr>
              <w:widowControl/>
              <w:overflowPunct/>
              <w:autoSpaceDE/>
              <w:autoSpaceDN/>
              <w:adjustRightInd/>
              <w:textAlignment w:val="auto"/>
              <w:rPr>
                <w:rFonts w:ascii="Calibri" w:hAnsi="Calibri" w:cs="Calibri"/>
                <w:color w:val="000000"/>
                <w:sz w:val="20"/>
              </w:rPr>
            </w:pPr>
            <w:r w:rsidRPr="002F1937">
              <w:rPr>
                <w:rFonts w:ascii="Calibri" w:hAnsi="Calibri" w:cs="Calibri"/>
                <w:color w:val="000000"/>
                <w:sz w:val="20"/>
              </w:rPr>
              <w:t>State Agency project narrative via application on Grants.gov</w:t>
            </w:r>
          </w:p>
        </w:tc>
        <w:tc>
          <w:tcPr>
            <w:tcW w:w="1138" w:type="dxa"/>
            <w:tcBorders>
              <w:top w:val="single" w:color="auto" w:sz="12" w:space="0"/>
              <w:left w:val="nil"/>
              <w:bottom w:val="single" w:color="auto" w:sz="4" w:space="0"/>
              <w:right w:val="single" w:color="auto" w:sz="8" w:space="0"/>
            </w:tcBorders>
            <w:shd w:val="clear" w:color="auto" w:fill="auto"/>
            <w:vAlign w:val="bottom"/>
            <w:hideMark/>
          </w:tcPr>
          <w:p w:rsidRPr="002F1937" w:rsidR="002F1937" w:rsidP="002F1937" w:rsidRDefault="005B055D" w14:paraId="660027AE" w14:textId="1A441033">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Announcement Letter</w:t>
            </w:r>
          </w:p>
        </w:tc>
        <w:tc>
          <w:tcPr>
            <w:tcW w:w="1333" w:type="dxa"/>
            <w:tcBorders>
              <w:top w:val="single" w:color="auto" w:sz="12" w:space="0"/>
              <w:left w:val="nil"/>
              <w:bottom w:val="single" w:color="auto" w:sz="4" w:space="0"/>
              <w:right w:val="single" w:color="auto" w:sz="4" w:space="0"/>
            </w:tcBorders>
            <w:shd w:val="clear" w:color="auto" w:fill="auto"/>
            <w:vAlign w:val="bottom"/>
            <w:hideMark/>
          </w:tcPr>
          <w:p w:rsidRPr="002F1937" w:rsidR="002F1937" w:rsidP="002F1937" w:rsidRDefault="002F1937" w14:paraId="2EFF2251"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single" w:color="auto" w:sz="12" w:space="0"/>
              <w:left w:val="nil"/>
              <w:bottom w:val="single" w:color="auto" w:sz="4" w:space="0"/>
              <w:right w:val="single" w:color="auto" w:sz="4" w:space="0"/>
            </w:tcBorders>
            <w:shd w:val="clear" w:color="auto" w:fill="auto"/>
            <w:vAlign w:val="bottom"/>
            <w:hideMark/>
          </w:tcPr>
          <w:p w:rsidRPr="002F1937" w:rsidR="002F1937" w:rsidP="002F1937" w:rsidRDefault="002F1937" w14:paraId="0CD44AAE"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single" w:color="auto" w:sz="12" w:space="0"/>
              <w:left w:val="nil"/>
              <w:bottom w:val="single" w:color="auto" w:sz="4" w:space="0"/>
              <w:right w:val="single" w:color="auto" w:sz="4" w:space="0"/>
            </w:tcBorders>
            <w:shd w:val="clear" w:color="auto" w:fill="auto"/>
            <w:vAlign w:val="bottom"/>
            <w:hideMark/>
          </w:tcPr>
          <w:p w:rsidRPr="002F1937" w:rsidR="002F1937" w:rsidP="002F1937" w:rsidRDefault="002F1937" w14:paraId="4741B31A"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single" w:color="auto" w:sz="12" w:space="0"/>
              <w:left w:val="nil"/>
              <w:bottom w:val="single" w:color="auto" w:sz="4" w:space="0"/>
              <w:right w:val="single" w:color="auto" w:sz="4" w:space="0"/>
            </w:tcBorders>
            <w:shd w:val="clear" w:color="auto" w:fill="auto"/>
            <w:vAlign w:val="bottom"/>
            <w:hideMark/>
          </w:tcPr>
          <w:p w:rsidRPr="002F1937" w:rsidR="002F1937" w:rsidP="002F1937" w:rsidRDefault="005B055D" w14:paraId="3E80C7A2" w14:textId="4B3114D8">
            <w:pPr>
              <w:widowControl/>
              <w:overflowPunct/>
              <w:autoSpaceDE/>
              <w:autoSpaceDN/>
              <w:adjustRightInd/>
              <w:jc w:val="right"/>
              <w:textAlignment w:val="auto"/>
              <w:rPr>
                <w:rFonts w:ascii="Calibri" w:hAnsi="Calibri" w:cs="Calibri"/>
                <w:color w:val="000000"/>
                <w:sz w:val="20"/>
              </w:rPr>
            </w:pPr>
            <w:r>
              <w:rPr>
                <w:rFonts w:ascii="Calibri" w:hAnsi="Calibri" w:cs="Calibri"/>
                <w:color w:val="000000"/>
                <w:sz w:val="20"/>
              </w:rPr>
              <w:t>.33</w:t>
            </w:r>
          </w:p>
        </w:tc>
        <w:tc>
          <w:tcPr>
            <w:tcW w:w="990" w:type="dxa"/>
            <w:tcBorders>
              <w:top w:val="single" w:color="auto" w:sz="12" w:space="0"/>
              <w:left w:val="nil"/>
              <w:bottom w:val="single" w:color="auto" w:sz="4" w:space="0"/>
              <w:right w:val="single" w:color="auto" w:sz="8" w:space="0"/>
            </w:tcBorders>
            <w:shd w:val="clear" w:color="auto" w:fill="auto"/>
            <w:vAlign w:val="bottom"/>
            <w:hideMark/>
          </w:tcPr>
          <w:p w:rsidRPr="002F1937" w:rsidR="002F1937" w:rsidP="002F1937" w:rsidRDefault="005B055D" w14:paraId="6D776DDC" w14:textId="0A9AA5C1">
            <w:pPr>
              <w:widowControl/>
              <w:overflowPunct/>
              <w:autoSpaceDE/>
              <w:autoSpaceDN/>
              <w:adjustRightInd/>
              <w:jc w:val="right"/>
              <w:textAlignment w:val="auto"/>
              <w:rPr>
                <w:rFonts w:ascii="Calibri" w:hAnsi="Calibri" w:cs="Calibri"/>
                <w:color w:val="000000"/>
                <w:sz w:val="20"/>
              </w:rPr>
            </w:pPr>
            <w:r>
              <w:rPr>
                <w:rFonts w:ascii="Calibri" w:hAnsi="Calibri" w:cs="Calibri"/>
                <w:color w:val="000000"/>
                <w:sz w:val="20"/>
              </w:rPr>
              <w:t>19.8</w:t>
            </w:r>
          </w:p>
        </w:tc>
      </w:tr>
      <w:tr w:rsidRPr="002F1937" w:rsidR="005B055D" w:rsidTr="00C83971" w14:paraId="7A4E66A5" w14:textId="77777777">
        <w:trPr>
          <w:trHeight w:val="1704"/>
        </w:trPr>
        <w:tc>
          <w:tcPr>
            <w:tcW w:w="1244" w:type="dxa"/>
            <w:vMerge/>
            <w:tcBorders>
              <w:top w:val="single" w:color="auto" w:sz="12" w:space="0"/>
              <w:left w:val="single" w:color="auto" w:sz="4" w:space="0"/>
              <w:right w:val="single" w:color="auto" w:sz="4" w:space="0"/>
            </w:tcBorders>
            <w:shd w:val="clear" w:color="auto" w:fill="auto"/>
            <w:vAlign w:val="center"/>
          </w:tcPr>
          <w:p w:rsidRPr="002F1937" w:rsidR="005B055D" w:rsidP="002F1937" w:rsidRDefault="005B055D" w14:paraId="6E26737C" w14:textId="77777777">
            <w:pPr>
              <w:widowControl/>
              <w:overflowPunct/>
              <w:autoSpaceDE/>
              <w:autoSpaceDN/>
              <w:adjustRightInd/>
              <w:textAlignment w:val="auto"/>
              <w:rPr>
                <w:rFonts w:ascii="Calibri" w:hAnsi="Calibri" w:cs="Calibri"/>
                <w:color w:val="000000"/>
                <w:sz w:val="20"/>
              </w:rPr>
            </w:pPr>
          </w:p>
        </w:tc>
        <w:tc>
          <w:tcPr>
            <w:tcW w:w="1225" w:type="dxa"/>
            <w:vMerge/>
            <w:tcBorders>
              <w:top w:val="single" w:color="auto" w:sz="12" w:space="0"/>
              <w:left w:val="nil"/>
              <w:right w:val="single" w:color="auto" w:sz="4" w:space="0"/>
            </w:tcBorders>
            <w:shd w:val="clear" w:color="auto" w:fill="auto"/>
            <w:vAlign w:val="center"/>
          </w:tcPr>
          <w:p w:rsidRPr="002F1937" w:rsidR="005B055D" w:rsidP="002F1937" w:rsidRDefault="005B055D" w14:paraId="542941F3" w14:textId="77777777">
            <w:pPr>
              <w:widowControl/>
              <w:overflowPunct/>
              <w:autoSpaceDE/>
              <w:autoSpaceDN/>
              <w:adjustRightInd/>
              <w:textAlignment w:val="auto"/>
              <w:rPr>
                <w:rFonts w:ascii="Calibri" w:hAnsi="Calibri" w:cs="Calibri"/>
                <w:color w:val="000000"/>
                <w:sz w:val="20"/>
              </w:rPr>
            </w:pPr>
          </w:p>
        </w:tc>
        <w:tc>
          <w:tcPr>
            <w:tcW w:w="1138" w:type="dxa"/>
            <w:tcBorders>
              <w:top w:val="single" w:color="auto" w:sz="12" w:space="0"/>
              <w:left w:val="nil"/>
              <w:bottom w:val="single" w:color="auto" w:sz="4" w:space="0"/>
              <w:right w:val="single" w:color="auto" w:sz="8" w:space="0"/>
            </w:tcBorders>
            <w:shd w:val="clear" w:color="auto" w:fill="auto"/>
            <w:vAlign w:val="bottom"/>
          </w:tcPr>
          <w:p w:rsidRPr="002F1937" w:rsidR="005B055D" w:rsidP="002F1937" w:rsidRDefault="005B055D" w14:paraId="4DD3E251" w14:textId="4DA09BFA">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Narrative Application</w:t>
            </w:r>
          </w:p>
        </w:tc>
        <w:tc>
          <w:tcPr>
            <w:tcW w:w="1333" w:type="dxa"/>
            <w:tcBorders>
              <w:top w:val="single" w:color="auto" w:sz="12" w:space="0"/>
              <w:left w:val="nil"/>
              <w:bottom w:val="single" w:color="auto" w:sz="4" w:space="0"/>
              <w:right w:val="single" w:color="auto" w:sz="4" w:space="0"/>
            </w:tcBorders>
            <w:shd w:val="clear" w:color="auto" w:fill="auto"/>
            <w:vAlign w:val="bottom"/>
          </w:tcPr>
          <w:p w:rsidRPr="002F1937" w:rsidR="005B055D" w:rsidP="002F1937" w:rsidRDefault="005B055D" w14:paraId="549E0B80" w14:textId="21DB2548">
            <w:pPr>
              <w:widowControl/>
              <w:overflowPunct/>
              <w:autoSpaceDE/>
              <w:autoSpaceDN/>
              <w:adjustRightInd/>
              <w:jc w:val="right"/>
              <w:textAlignment w:val="auto"/>
              <w:rPr>
                <w:rFonts w:ascii="Calibri" w:hAnsi="Calibri" w:cs="Calibri"/>
                <w:color w:val="000000"/>
                <w:sz w:val="20"/>
              </w:rPr>
            </w:pPr>
            <w:r>
              <w:rPr>
                <w:rFonts w:ascii="Calibri" w:hAnsi="Calibri" w:cs="Calibri"/>
                <w:color w:val="000000"/>
                <w:sz w:val="20"/>
              </w:rPr>
              <w:t>60</w:t>
            </w:r>
          </w:p>
        </w:tc>
        <w:tc>
          <w:tcPr>
            <w:tcW w:w="1170" w:type="dxa"/>
            <w:tcBorders>
              <w:top w:val="single" w:color="auto" w:sz="12" w:space="0"/>
              <w:left w:val="nil"/>
              <w:bottom w:val="single" w:color="auto" w:sz="4" w:space="0"/>
              <w:right w:val="single" w:color="auto" w:sz="4" w:space="0"/>
            </w:tcBorders>
            <w:shd w:val="clear" w:color="auto" w:fill="auto"/>
            <w:vAlign w:val="bottom"/>
          </w:tcPr>
          <w:p w:rsidRPr="002F1937" w:rsidR="005B055D" w:rsidP="002F1937" w:rsidRDefault="005B055D" w14:paraId="4E2C11AE" w14:textId="6F31F227">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1</w:t>
            </w:r>
          </w:p>
        </w:tc>
        <w:tc>
          <w:tcPr>
            <w:tcW w:w="1170" w:type="dxa"/>
            <w:tcBorders>
              <w:top w:val="single" w:color="auto" w:sz="12" w:space="0"/>
              <w:left w:val="nil"/>
              <w:bottom w:val="single" w:color="auto" w:sz="4" w:space="0"/>
              <w:right w:val="single" w:color="auto" w:sz="4" w:space="0"/>
            </w:tcBorders>
            <w:shd w:val="clear" w:color="auto" w:fill="auto"/>
            <w:vAlign w:val="bottom"/>
          </w:tcPr>
          <w:p w:rsidRPr="002F1937" w:rsidR="005B055D" w:rsidP="002F1937" w:rsidRDefault="005B055D" w14:paraId="0BAF146F" w14:textId="7501F501">
            <w:pPr>
              <w:widowControl/>
              <w:overflowPunct/>
              <w:autoSpaceDE/>
              <w:autoSpaceDN/>
              <w:adjustRightInd/>
              <w:jc w:val="right"/>
              <w:textAlignment w:val="auto"/>
              <w:rPr>
                <w:rFonts w:ascii="Calibri" w:hAnsi="Calibri" w:cs="Calibri"/>
                <w:color w:val="000000"/>
                <w:sz w:val="20"/>
              </w:rPr>
            </w:pPr>
            <w:r>
              <w:rPr>
                <w:rFonts w:ascii="Calibri" w:hAnsi="Calibri" w:cs="Calibri"/>
                <w:color w:val="000000"/>
                <w:sz w:val="20"/>
              </w:rPr>
              <w:t>60</w:t>
            </w:r>
          </w:p>
        </w:tc>
        <w:tc>
          <w:tcPr>
            <w:tcW w:w="1080" w:type="dxa"/>
            <w:tcBorders>
              <w:top w:val="single" w:color="auto" w:sz="12" w:space="0"/>
              <w:left w:val="nil"/>
              <w:bottom w:val="single" w:color="auto" w:sz="4" w:space="0"/>
              <w:right w:val="single" w:color="auto" w:sz="4" w:space="0"/>
            </w:tcBorders>
            <w:shd w:val="clear" w:color="auto" w:fill="auto"/>
            <w:vAlign w:val="bottom"/>
          </w:tcPr>
          <w:p w:rsidRPr="002F1937" w:rsidR="005B055D" w:rsidP="002F1937" w:rsidRDefault="005B055D" w14:paraId="56AFA018" w14:textId="33DDDD1B">
            <w:pPr>
              <w:widowControl/>
              <w:overflowPunct/>
              <w:autoSpaceDE/>
              <w:autoSpaceDN/>
              <w:adjustRightInd/>
              <w:jc w:val="right"/>
              <w:textAlignment w:val="auto"/>
              <w:rPr>
                <w:rFonts w:ascii="Calibri" w:hAnsi="Calibri" w:cs="Calibri"/>
                <w:color w:val="000000"/>
                <w:sz w:val="20"/>
              </w:rPr>
            </w:pPr>
            <w:r>
              <w:rPr>
                <w:rFonts w:ascii="Calibri" w:hAnsi="Calibri" w:cs="Calibri"/>
                <w:color w:val="000000"/>
                <w:sz w:val="20"/>
              </w:rPr>
              <w:t>7.67</w:t>
            </w:r>
          </w:p>
        </w:tc>
        <w:tc>
          <w:tcPr>
            <w:tcW w:w="990" w:type="dxa"/>
            <w:tcBorders>
              <w:top w:val="single" w:color="auto" w:sz="12" w:space="0"/>
              <w:left w:val="nil"/>
              <w:bottom w:val="single" w:color="auto" w:sz="4" w:space="0"/>
              <w:right w:val="single" w:color="auto" w:sz="8" w:space="0"/>
            </w:tcBorders>
            <w:shd w:val="clear" w:color="auto" w:fill="auto"/>
            <w:vAlign w:val="bottom"/>
          </w:tcPr>
          <w:p w:rsidRPr="002F1937" w:rsidR="005B055D" w:rsidP="002F1937" w:rsidRDefault="005B055D" w14:paraId="2A9D9448" w14:textId="5668A98D">
            <w:pPr>
              <w:widowControl/>
              <w:overflowPunct/>
              <w:autoSpaceDE/>
              <w:autoSpaceDN/>
              <w:adjustRightInd/>
              <w:jc w:val="right"/>
              <w:textAlignment w:val="auto"/>
              <w:rPr>
                <w:rFonts w:ascii="Calibri" w:hAnsi="Calibri" w:cs="Calibri"/>
                <w:color w:val="000000"/>
                <w:sz w:val="20"/>
              </w:rPr>
            </w:pPr>
            <w:r>
              <w:rPr>
                <w:rFonts w:ascii="Calibri" w:hAnsi="Calibri" w:cs="Calibri"/>
                <w:color w:val="000000"/>
                <w:sz w:val="20"/>
              </w:rPr>
              <w:t>460.2</w:t>
            </w:r>
          </w:p>
        </w:tc>
      </w:tr>
      <w:tr w:rsidRPr="002F1937" w:rsidR="002F1937" w:rsidTr="00C83971" w14:paraId="1F1D746A"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3F22C6C0" w14:textId="44B11097">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hideMark/>
          </w:tcPr>
          <w:p w:rsidRPr="002F1937" w:rsidR="002F1937" w:rsidP="002F1937" w:rsidRDefault="002F1937" w14:paraId="342F93CF" w14:textId="6D8D85D0">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204640CC"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SF-424</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4230885C"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5AEBF861"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29A47B9A"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26269F09"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1.1</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32AFD8D0"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66.0</w:t>
            </w:r>
          </w:p>
        </w:tc>
      </w:tr>
      <w:tr w:rsidRPr="002F1937" w:rsidR="002F1937" w:rsidTr="00C83971" w14:paraId="729EDEEB"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4807B99C" w14:textId="57D64466">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6B686ADD" w14:textId="3FE53B87">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1FD88E48"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SF-424A</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51D72C82"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46D35496"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3460E4C5"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04353116"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1.8</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07A8D277"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108.0</w:t>
            </w:r>
          </w:p>
        </w:tc>
      </w:tr>
      <w:tr w:rsidRPr="002F1937" w:rsidR="002F1937" w:rsidTr="00C83971" w14:paraId="755098F8"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53DAC658" w14:textId="520AEB33">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0AF80A3E" w14:textId="58298F32">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68ADB20E"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SF-424B</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6A94B281"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6590DC86"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0168DC79"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2EDEAEA1"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0.81</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2FDE1176"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48.6</w:t>
            </w:r>
          </w:p>
        </w:tc>
      </w:tr>
      <w:tr w:rsidRPr="002F1937" w:rsidR="002F1937" w:rsidTr="00C83971" w14:paraId="0F90BF03"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30095406" w14:textId="07EDDDD2">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70E93807" w14:textId="4D67533F">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3E175A2E"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SF-424C</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20EB7772"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04521700"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5C491285"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7A586901"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2</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2CC152C3"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120.0</w:t>
            </w:r>
          </w:p>
        </w:tc>
      </w:tr>
      <w:tr w:rsidRPr="002F1937" w:rsidR="002F1937" w:rsidTr="00C83971" w14:paraId="0EDB1974"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3EFC8419" w14:textId="4B63700B">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78647AC9" w14:textId="0FF168D0">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41C76AB4"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SF-424D</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1A5554A2"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569C8B24"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4E92B812"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6DAC7C21"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0.5</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0D22E5EB"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30.0</w:t>
            </w:r>
          </w:p>
        </w:tc>
      </w:tr>
      <w:tr w:rsidRPr="002F1937" w:rsidR="002F1937" w:rsidTr="00C83971" w14:paraId="74651DA9"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066C29A5" w14:textId="40CE3D06">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7E8662BF" w14:textId="3B4EADA2">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0487485B"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SF-LLL</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54EF6E0D"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005DBBE6"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26FE0B7F"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7B0BCFAA"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0.17</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0F2AB4C2"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10.2</w:t>
            </w:r>
          </w:p>
        </w:tc>
      </w:tr>
      <w:tr w:rsidRPr="002F1937" w:rsidR="002F1937" w:rsidTr="00C83971" w14:paraId="4A390CB2"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662FDC85" w14:textId="4307DFA7">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552BCB88" w14:textId="5467F0EC">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0C2C0BDB"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AD-1047</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10CF962C"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06C0BFA6"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2B84F67B"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26F0A8D9"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0.25</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798A5057"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15.0</w:t>
            </w:r>
          </w:p>
        </w:tc>
      </w:tr>
      <w:tr w:rsidRPr="002F1937" w:rsidR="002F1937" w:rsidTr="00C83971" w14:paraId="5E370F8D"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09A8E282" w14:textId="201BE6A8">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2F064089" w14:textId="32927C1B">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1DE6A129"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AD-1048</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33C1701F"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1EF72104"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09BA626F"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4E5EF6D8"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0.25</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2C3090FD"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15.0</w:t>
            </w:r>
          </w:p>
        </w:tc>
      </w:tr>
      <w:tr w:rsidRPr="002F1937" w:rsidR="002F1937" w:rsidTr="00C83971" w14:paraId="39063B7D"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015C85AB" w14:textId="696C7E77">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center"/>
          </w:tcPr>
          <w:p w:rsidRPr="002F1937" w:rsidR="002F1937" w:rsidP="002F1937" w:rsidRDefault="002F1937" w14:paraId="5580A4BF" w14:textId="38AFE0A4">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433D12FF" w14:textId="77777777">
            <w:pPr>
              <w:widowControl/>
              <w:overflowPunct/>
              <w:autoSpaceDE/>
              <w:autoSpaceDN/>
              <w:adjustRightInd/>
              <w:textAlignment w:val="auto"/>
              <w:rPr>
                <w:rFonts w:ascii="Calibri" w:hAnsi="Calibri" w:cs="Calibri"/>
                <w:sz w:val="20"/>
              </w:rPr>
            </w:pPr>
            <w:r w:rsidRPr="002F1937">
              <w:rPr>
                <w:rFonts w:ascii="Calibri" w:hAnsi="Calibri" w:cs="Calibri"/>
                <w:sz w:val="20"/>
              </w:rPr>
              <w:t>AD-1049</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190E9D40"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60B36735"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1</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5D8B369E"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080" w:type="dxa"/>
            <w:tcBorders>
              <w:top w:val="nil"/>
              <w:left w:val="nil"/>
              <w:bottom w:val="single" w:color="auto" w:sz="4" w:space="0"/>
              <w:right w:val="single" w:color="auto" w:sz="4" w:space="0"/>
            </w:tcBorders>
            <w:shd w:val="clear" w:color="auto" w:fill="auto"/>
            <w:vAlign w:val="center"/>
            <w:hideMark/>
          </w:tcPr>
          <w:p w:rsidRPr="002F1937" w:rsidR="002F1937" w:rsidP="002F1937" w:rsidRDefault="002F1937" w14:paraId="40BB277C"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0.25</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66E6A2F3"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15.0</w:t>
            </w:r>
          </w:p>
        </w:tc>
      </w:tr>
      <w:tr w:rsidRPr="002F1937" w:rsidR="002F1937" w:rsidTr="00C83971" w14:paraId="18287224" w14:textId="77777777">
        <w:trPr>
          <w:trHeight w:val="1512"/>
        </w:trPr>
        <w:tc>
          <w:tcPr>
            <w:tcW w:w="1244" w:type="dxa"/>
            <w:vMerge/>
            <w:tcBorders>
              <w:left w:val="single" w:color="auto" w:sz="4" w:space="0"/>
              <w:right w:val="single" w:color="auto" w:sz="4" w:space="0"/>
            </w:tcBorders>
            <w:shd w:val="clear" w:color="auto" w:fill="auto"/>
            <w:vAlign w:val="center"/>
          </w:tcPr>
          <w:p w:rsidRPr="002F1937" w:rsidR="002F1937" w:rsidP="002F1937" w:rsidRDefault="002F1937" w14:paraId="3F2503E0" w14:textId="023C875B">
            <w:pPr>
              <w:widowControl/>
              <w:overflowPunct/>
              <w:autoSpaceDE/>
              <w:autoSpaceDN/>
              <w:adjustRightInd/>
              <w:textAlignment w:val="auto"/>
              <w:rPr>
                <w:rFonts w:ascii="Calibri" w:hAnsi="Calibri" w:cs="Calibri"/>
                <w:color w:val="000000"/>
                <w:sz w:val="20"/>
              </w:rPr>
            </w:pPr>
          </w:p>
        </w:tc>
        <w:tc>
          <w:tcPr>
            <w:tcW w:w="1225" w:type="dxa"/>
            <w:vMerge/>
            <w:tcBorders>
              <w:left w:val="nil"/>
              <w:right w:val="single" w:color="auto" w:sz="4" w:space="0"/>
            </w:tcBorders>
            <w:shd w:val="clear" w:color="auto" w:fill="auto"/>
            <w:vAlign w:val="bottom"/>
          </w:tcPr>
          <w:p w:rsidRPr="002F1937" w:rsidR="002F1937" w:rsidP="002F1937" w:rsidRDefault="002F1937" w14:paraId="0A127D92" w14:textId="4E49BC55">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4" w:space="0"/>
              <w:right w:val="single" w:color="auto" w:sz="8" w:space="0"/>
            </w:tcBorders>
            <w:shd w:val="clear" w:color="auto" w:fill="auto"/>
            <w:vAlign w:val="bottom"/>
            <w:hideMark/>
          </w:tcPr>
          <w:p w:rsidRPr="002F1937" w:rsidR="002F1937" w:rsidP="002F1937" w:rsidRDefault="002F1937" w14:paraId="026811AD" w14:textId="77777777">
            <w:pPr>
              <w:widowControl/>
              <w:overflowPunct/>
              <w:autoSpaceDE/>
              <w:autoSpaceDN/>
              <w:adjustRightInd/>
              <w:textAlignment w:val="auto"/>
              <w:rPr>
                <w:rFonts w:ascii="Calibri" w:hAnsi="Calibri" w:cs="Calibri"/>
                <w:color w:val="000000"/>
                <w:sz w:val="20"/>
              </w:rPr>
            </w:pPr>
            <w:r w:rsidRPr="002F1937">
              <w:rPr>
                <w:rFonts w:ascii="Calibri" w:hAnsi="Calibri" w:cs="Calibri"/>
                <w:color w:val="000000"/>
                <w:sz w:val="20"/>
              </w:rPr>
              <w:t>FNS-908</w:t>
            </w:r>
          </w:p>
        </w:tc>
        <w:tc>
          <w:tcPr>
            <w:tcW w:w="1333"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6D7ABFD5"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191E521C"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2</w:t>
            </w:r>
          </w:p>
        </w:tc>
        <w:tc>
          <w:tcPr>
            <w:tcW w:w="117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3B40ACCD"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120</w:t>
            </w:r>
          </w:p>
        </w:tc>
        <w:tc>
          <w:tcPr>
            <w:tcW w:w="1080" w:type="dxa"/>
            <w:tcBorders>
              <w:top w:val="nil"/>
              <w:left w:val="nil"/>
              <w:bottom w:val="single" w:color="auto" w:sz="4" w:space="0"/>
              <w:right w:val="single" w:color="auto" w:sz="4" w:space="0"/>
            </w:tcBorders>
            <w:shd w:val="clear" w:color="auto" w:fill="auto"/>
            <w:vAlign w:val="bottom"/>
            <w:hideMark/>
          </w:tcPr>
          <w:p w:rsidRPr="002F1937" w:rsidR="002F1937" w:rsidP="002F1937" w:rsidRDefault="002F1937" w14:paraId="3B3209E4"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3</w:t>
            </w:r>
          </w:p>
        </w:tc>
        <w:tc>
          <w:tcPr>
            <w:tcW w:w="990" w:type="dxa"/>
            <w:tcBorders>
              <w:top w:val="nil"/>
              <w:left w:val="nil"/>
              <w:bottom w:val="single" w:color="auto" w:sz="4" w:space="0"/>
              <w:right w:val="single" w:color="auto" w:sz="8" w:space="0"/>
            </w:tcBorders>
            <w:shd w:val="clear" w:color="auto" w:fill="auto"/>
            <w:vAlign w:val="center"/>
            <w:hideMark/>
          </w:tcPr>
          <w:p w:rsidRPr="002F1937" w:rsidR="002F1937" w:rsidP="002F1937" w:rsidRDefault="002F1937" w14:paraId="09B24C5E" w14:textId="77777777">
            <w:pPr>
              <w:widowControl/>
              <w:overflowPunct/>
              <w:autoSpaceDE/>
              <w:autoSpaceDN/>
              <w:adjustRightInd/>
              <w:jc w:val="right"/>
              <w:textAlignment w:val="auto"/>
              <w:rPr>
                <w:rFonts w:ascii="Calibri" w:hAnsi="Calibri" w:cs="Calibri"/>
                <w:sz w:val="20"/>
              </w:rPr>
            </w:pPr>
            <w:r w:rsidRPr="002F1937">
              <w:rPr>
                <w:rFonts w:ascii="Calibri" w:hAnsi="Calibri" w:cs="Calibri"/>
                <w:sz w:val="20"/>
              </w:rPr>
              <w:t>360.0</w:t>
            </w:r>
          </w:p>
        </w:tc>
      </w:tr>
      <w:tr w:rsidRPr="002F1937" w:rsidR="002F1937" w:rsidTr="00C83971" w14:paraId="03595D4C" w14:textId="77777777">
        <w:trPr>
          <w:trHeight w:val="1512"/>
        </w:trPr>
        <w:tc>
          <w:tcPr>
            <w:tcW w:w="1244" w:type="dxa"/>
            <w:vMerge/>
            <w:tcBorders>
              <w:left w:val="single" w:color="auto" w:sz="4" w:space="0"/>
              <w:bottom w:val="single" w:color="auto" w:sz="4" w:space="0"/>
              <w:right w:val="single" w:color="auto" w:sz="4" w:space="0"/>
            </w:tcBorders>
            <w:shd w:val="clear" w:color="auto" w:fill="auto"/>
            <w:vAlign w:val="center"/>
          </w:tcPr>
          <w:p w:rsidRPr="002F1937" w:rsidR="002F1937" w:rsidP="002F1937" w:rsidRDefault="002F1937" w14:paraId="62AF8733" w14:textId="672165A7">
            <w:pPr>
              <w:widowControl/>
              <w:overflowPunct/>
              <w:autoSpaceDE/>
              <w:autoSpaceDN/>
              <w:adjustRightInd/>
              <w:textAlignment w:val="auto"/>
              <w:rPr>
                <w:rFonts w:ascii="Calibri" w:hAnsi="Calibri" w:cs="Calibri"/>
                <w:color w:val="000000"/>
                <w:sz w:val="20"/>
              </w:rPr>
            </w:pPr>
          </w:p>
        </w:tc>
        <w:tc>
          <w:tcPr>
            <w:tcW w:w="1225" w:type="dxa"/>
            <w:vMerge/>
            <w:tcBorders>
              <w:left w:val="nil"/>
              <w:bottom w:val="single" w:color="auto" w:sz="8" w:space="0"/>
              <w:right w:val="single" w:color="auto" w:sz="4" w:space="0"/>
            </w:tcBorders>
            <w:shd w:val="clear" w:color="auto" w:fill="auto"/>
            <w:vAlign w:val="bottom"/>
          </w:tcPr>
          <w:p w:rsidRPr="002F1937" w:rsidR="002F1937" w:rsidP="002F1937" w:rsidRDefault="002F1937" w14:paraId="02E28B3E" w14:textId="7DCAF107">
            <w:pPr>
              <w:widowControl/>
              <w:overflowPunct/>
              <w:autoSpaceDE/>
              <w:autoSpaceDN/>
              <w:adjustRightInd/>
              <w:textAlignment w:val="auto"/>
              <w:rPr>
                <w:rFonts w:ascii="Calibri" w:hAnsi="Calibri" w:cs="Calibri"/>
                <w:color w:val="000000"/>
                <w:sz w:val="20"/>
              </w:rPr>
            </w:pPr>
          </w:p>
        </w:tc>
        <w:tc>
          <w:tcPr>
            <w:tcW w:w="1138" w:type="dxa"/>
            <w:tcBorders>
              <w:top w:val="nil"/>
              <w:left w:val="nil"/>
              <w:bottom w:val="single" w:color="auto" w:sz="8" w:space="0"/>
              <w:right w:val="nil"/>
            </w:tcBorders>
            <w:shd w:val="clear" w:color="auto" w:fill="auto"/>
            <w:vAlign w:val="bottom"/>
            <w:hideMark/>
          </w:tcPr>
          <w:p w:rsidRPr="002F1937" w:rsidR="002F1937" w:rsidP="002F1937" w:rsidRDefault="002F1937" w14:paraId="48048996" w14:textId="77777777">
            <w:pPr>
              <w:widowControl/>
              <w:overflowPunct/>
              <w:autoSpaceDE/>
              <w:autoSpaceDN/>
              <w:adjustRightInd/>
              <w:textAlignment w:val="auto"/>
              <w:rPr>
                <w:rFonts w:ascii="Calibri" w:hAnsi="Calibri" w:cs="Calibri"/>
                <w:color w:val="000000"/>
                <w:sz w:val="20"/>
              </w:rPr>
            </w:pPr>
            <w:r w:rsidRPr="002F1937">
              <w:rPr>
                <w:rFonts w:ascii="Calibri" w:hAnsi="Calibri" w:cs="Calibri"/>
                <w:color w:val="000000"/>
                <w:sz w:val="20"/>
              </w:rPr>
              <w:t>SF-425</w:t>
            </w:r>
          </w:p>
        </w:tc>
        <w:tc>
          <w:tcPr>
            <w:tcW w:w="1333" w:type="dxa"/>
            <w:tcBorders>
              <w:top w:val="nil"/>
              <w:left w:val="single" w:color="auto" w:sz="8" w:space="0"/>
              <w:bottom w:val="single" w:color="auto" w:sz="8" w:space="0"/>
              <w:right w:val="single" w:color="auto" w:sz="4" w:space="0"/>
            </w:tcBorders>
            <w:shd w:val="clear" w:color="auto" w:fill="auto"/>
            <w:vAlign w:val="bottom"/>
            <w:hideMark/>
          </w:tcPr>
          <w:p w:rsidRPr="002F1937" w:rsidR="002F1937" w:rsidP="002F1937" w:rsidRDefault="002F1937" w14:paraId="711F24F2"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60</w:t>
            </w:r>
          </w:p>
        </w:tc>
        <w:tc>
          <w:tcPr>
            <w:tcW w:w="1170" w:type="dxa"/>
            <w:tcBorders>
              <w:top w:val="nil"/>
              <w:left w:val="nil"/>
              <w:bottom w:val="single" w:color="auto" w:sz="8" w:space="0"/>
              <w:right w:val="single" w:color="auto" w:sz="4" w:space="0"/>
            </w:tcBorders>
            <w:shd w:val="clear" w:color="auto" w:fill="auto"/>
            <w:vAlign w:val="bottom"/>
            <w:hideMark/>
          </w:tcPr>
          <w:p w:rsidRPr="002F1937" w:rsidR="002F1937" w:rsidP="002F1937" w:rsidRDefault="002F1937" w14:paraId="52D94682" w14:textId="77777777">
            <w:pPr>
              <w:widowControl/>
              <w:overflowPunct/>
              <w:autoSpaceDE/>
              <w:autoSpaceDN/>
              <w:adjustRightInd/>
              <w:jc w:val="center"/>
              <w:textAlignment w:val="auto"/>
              <w:rPr>
                <w:rFonts w:ascii="Calibri" w:hAnsi="Calibri" w:cs="Calibri"/>
                <w:color w:val="000000"/>
                <w:sz w:val="20"/>
              </w:rPr>
            </w:pPr>
            <w:r w:rsidRPr="002F1937">
              <w:rPr>
                <w:rFonts w:ascii="Calibri" w:hAnsi="Calibri" w:cs="Calibri"/>
                <w:color w:val="000000"/>
                <w:sz w:val="20"/>
              </w:rPr>
              <w:t>4</w:t>
            </w:r>
          </w:p>
        </w:tc>
        <w:tc>
          <w:tcPr>
            <w:tcW w:w="1170" w:type="dxa"/>
            <w:tcBorders>
              <w:top w:val="nil"/>
              <w:left w:val="nil"/>
              <w:bottom w:val="single" w:color="auto" w:sz="8" w:space="0"/>
              <w:right w:val="single" w:color="auto" w:sz="4" w:space="0"/>
            </w:tcBorders>
            <w:shd w:val="clear" w:color="auto" w:fill="auto"/>
            <w:vAlign w:val="bottom"/>
            <w:hideMark/>
          </w:tcPr>
          <w:p w:rsidRPr="002F1937" w:rsidR="002F1937" w:rsidP="002F1937" w:rsidRDefault="002F1937" w14:paraId="7472C6F5"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240</w:t>
            </w:r>
          </w:p>
        </w:tc>
        <w:tc>
          <w:tcPr>
            <w:tcW w:w="1080" w:type="dxa"/>
            <w:tcBorders>
              <w:top w:val="nil"/>
              <w:left w:val="nil"/>
              <w:bottom w:val="single" w:color="auto" w:sz="8" w:space="0"/>
              <w:right w:val="single" w:color="auto" w:sz="4" w:space="0"/>
            </w:tcBorders>
            <w:shd w:val="clear" w:color="auto" w:fill="auto"/>
            <w:vAlign w:val="bottom"/>
            <w:hideMark/>
          </w:tcPr>
          <w:p w:rsidRPr="002F1937" w:rsidR="002F1937" w:rsidP="002F1937" w:rsidRDefault="002F1937" w14:paraId="7247AE1F"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1</w:t>
            </w:r>
          </w:p>
        </w:tc>
        <w:tc>
          <w:tcPr>
            <w:tcW w:w="990" w:type="dxa"/>
            <w:tcBorders>
              <w:top w:val="nil"/>
              <w:left w:val="nil"/>
              <w:bottom w:val="single" w:color="auto" w:sz="8" w:space="0"/>
              <w:right w:val="single" w:color="auto" w:sz="8" w:space="0"/>
            </w:tcBorders>
            <w:shd w:val="clear" w:color="auto" w:fill="auto"/>
            <w:vAlign w:val="bottom"/>
            <w:hideMark/>
          </w:tcPr>
          <w:p w:rsidRPr="002F1937" w:rsidR="002F1937" w:rsidP="002F1937" w:rsidRDefault="002F1937" w14:paraId="42EFC4B0" w14:textId="77777777">
            <w:pPr>
              <w:widowControl/>
              <w:overflowPunct/>
              <w:autoSpaceDE/>
              <w:autoSpaceDN/>
              <w:adjustRightInd/>
              <w:jc w:val="right"/>
              <w:textAlignment w:val="auto"/>
              <w:rPr>
                <w:rFonts w:ascii="Calibri" w:hAnsi="Calibri" w:cs="Calibri"/>
                <w:color w:val="000000"/>
                <w:sz w:val="20"/>
              </w:rPr>
            </w:pPr>
            <w:r w:rsidRPr="002F1937">
              <w:rPr>
                <w:rFonts w:ascii="Calibri" w:hAnsi="Calibri" w:cs="Calibri"/>
                <w:color w:val="000000"/>
                <w:sz w:val="20"/>
              </w:rPr>
              <w:t>240.0</w:t>
            </w:r>
          </w:p>
        </w:tc>
      </w:tr>
      <w:tr w:rsidRPr="002F1937" w:rsidR="002F1937" w:rsidTr="002F1937" w14:paraId="67C2BB89" w14:textId="77777777">
        <w:trPr>
          <w:trHeight w:val="457"/>
        </w:trPr>
        <w:tc>
          <w:tcPr>
            <w:tcW w:w="3607" w:type="dxa"/>
            <w:gridSpan w:val="3"/>
            <w:tcBorders>
              <w:top w:val="nil"/>
              <w:left w:val="single" w:color="auto" w:sz="8" w:space="0"/>
              <w:bottom w:val="single" w:color="auto" w:sz="8" w:space="0"/>
              <w:right w:val="single" w:color="auto" w:sz="4" w:space="0"/>
            </w:tcBorders>
            <w:shd w:val="clear" w:color="auto" w:fill="auto"/>
            <w:vAlign w:val="bottom"/>
            <w:hideMark/>
          </w:tcPr>
          <w:p w:rsidRPr="002F1937" w:rsidR="002F1937" w:rsidP="002F1937" w:rsidRDefault="002F1937" w14:paraId="3E1FEBE1" w14:textId="7079C43F">
            <w:pPr>
              <w:widowControl/>
              <w:overflowPunct/>
              <w:autoSpaceDE/>
              <w:autoSpaceDN/>
              <w:adjustRightInd/>
              <w:textAlignment w:val="auto"/>
              <w:rPr>
                <w:rFonts w:ascii="Calibri" w:hAnsi="Calibri" w:cs="Calibri"/>
                <w:b/>
                <w:bCs/>
                <w:color w:val="000000"/>
                <w:sz w:val="20"/>
              </w:rPr>
            </w:pPr>
            <w:r>
              <w:rPr>
                <w:rFonts w:ascii="Calibri" w:hAnsi="Calibri" w:cs="Calibri"/>
                <w:b/>
                <w:bCs/>
                <w:color w:val="000000"/>
                <w:sz w:val="20"/>
              </w:rPr>
              <w:t>Grant Total</w:t>
            </w:r>
          </w:p>
        </w:tc>
        <w:tc>
          <w:tcPr>
            <w:tcW w:w="1333" w:type="dxa"/>
            <w:tcBorders>
              <w:top w:val="nil"/>
              <w:left w:val="nil"/>
              <w:bottom w:val="single" w:color="auto" w:sz="8" w:space="0"/>
              <w:right w:val="single" w:color="auto" w:sz="4" w:space="0"/>
            </w:tcBorders>
            <w:shd w:val="clear" w:color="auto" w:fill="auto"/>
            <w:vAlign w:val="bottom"/>
            <w:hideMark/>
          </w:tcPr>
          <w:p w:rsidRPr="002F1937" w:rsidR="002F1937" w:rsidP="002F1937" w:rsidRDefault="002F1937" w14:paraId="69A8E9FC" w14:textId="77777777">
            <w:pPr>
              <w:widowControl/>
              <w:overflowPunct/>
              <w:autoSpaceDE/>
              <w:autoSpaceDN/>
              <w:adjustRightInd/>
              <w:jc w:val="right"/>
              <w:textAlignment w:val="auto"/>
              <w:rPr>
                <w:rFonts w:ascii="Calibri" w:hAnsi="Calibri" w:cs="Calibri"/>
                <w:b/>
                <w:bCs/>
                <w:color w:val="000000"/>
                <w:sz w:val="20"/>
              </w:rPr>
            </w:pPr>
            <w:r w:rsidRPr="002F1937">
              <w:rPr>
                <w:rFonts w:ascii="Calibri" w:hAnsi="Calibri" w:cs="Calibri"/>
                <w:b/>
                <w:bCs/>
                <w:color w:val="000000"/>
                <w:sz w:val="20"/>
              </w:rPr>
              <w:t>60</w:t>
            </w:r>
          </w:p>
        </w:tc>
        <w:tc>
          <w:tcPr>
            <w:tcW w:w="1170" w:type="dxa"/>
            <w:tcBorders>
              <w:top w:val="nil"/>
              <w:left w:val="nil"/>
              <w:bottom w:val="single" w:color="auto" w:sz="8" w:space="0"/>
              <w:right w:val="single" w:color="auto" w:sz="4" w:space="0"/>
            </w:tcBorders>
            <w:shd w:val="clear" w:color="auto" w:fill="auto"/>
            <w:vAlign w:val="bottom"/>
            <w:hideMark/>
          </w:tcPr>
          <w:p w:rsidRPr="002F1937" w:rsidR="002F1937" w:rsidP="005B055D" w:rsidRDefault="002F1937" w14:paraId="102551D3" w14:textId="39FC250C">
            <w:pPr>
              <w:widowControl/>
              <w:overflowPunct/>
              <w:autoSpaceDE/>
              <w:autoSpaceDN/>
              <w:adjustRightInd/>
              <w:jc w:val="center"/>
              <w:textAlignment w:val="auto"/>
              <w:rPr>
                <w:rFonts w:ascii="Calibri" w:hAnsi="Calibri" w:cs="Calibri"/>
                <w:b/>
                <w:bCs/>
                <w:color w:val="000000"/>
                <w:sz w:val="20"/>
              </w:rPr>
            </w:pPr>
            <w:r w:rsidRPr="002F1937">
              <w:rPr>
                <w:rFonts w:ascii="Calibri" w:hAnsi="Calibri" w:cs="Calibri"/>
                <w:b/>
                <w:bCs/>
                <w:color w:val="000000"/>
                <w:sz w:val="20"/>
              </w:rPr>
              <w:t>1</w:t>
            </w:r>
            <w:r w:rsidR="005B055D">
              <w:rPr>
                <w:rFonts w:ascii="Calibri" w:hAnsi="Calibri" w:cs="Calibri"/>
                <w:b/>
                <w:bCs/>
                <w:color w:val="000000"/>
                <w:sz w:val="20"/>
              </w:rPr>
              <w:t>7</w:t>
            </w:r>
            <w:r w:rsidRPr="002F1937">
              <w:rPr>
                <w:rFonts w:ascii="Calibri" w:hAnsi="Calibri" w:cs="Calibri"/>
                <w:b/>
                <w:bCs/>
                <w:color w:val="000000"/>
                <w:sz w:val="20"/>
              </w:rPr>
              <w:t>.0</w:t>
            </w:r>
          </w:p>
        </w:tc>
        <w:tc>
          <w:tcPr>
            <w:tcW w:w="1170" w:type="dxa"/>
            <w:tcBorders>
              <w:top w:val="nil"/>
              <w:left w:val="nil"/>
              <w:bottom w:val="single" w:color="auto" w:sz="8" w:space="0"/>
              <w:right w:val="single" w:color="auto" w:sz="4" w:space="0"/>
            </w:tcBorders>
            <w:shd w:val="clear" w:color="auto" w:fill="auto"/>
            <w:vAlign w:val="bottom"/>
            <w:hideMark/>
          </w:tcPr>
          <w:p w:rsidRPr="002F1937" w:rsidR="002F1937" w:rsidP="002F1937" w:rsidRDefault="004113B9" w14:paraId="02C0C700" w14:textId="376349F5">
            <w:pPr>
              <w:widowControl/>
              <w:overflowPunct/>
              <w:autoSpaceDE/>
              <w:autoSpaceDN/>
              <w:adjustRightInd/>
              <w:jc w:val="right"/>
              <w:textAlignment w:val="auto"/>
              <w:rPr>
                <w:rFonts w:ascii="Calibri" w:hAnsi="Calibri" w:cs="Calibri"/>
                <w:b/>
                <w:bCs/>
                <w:color w:val="000000"/>
                <w:sz w:val="20"/>
              </w:rPr>
            </w:pPr>
            <w:r>
              <w:rPr>
                <w:rFonts w:ascii="Calibri" w:hAnsi="Calibri" w:cs="Calibri"/>
                <w:b/>
                <w:bCs/>
                <w:color w:val="000000"/>
                <w:sz w:val="20"/>
              </w:rPr>
              <w:t>1020</w:t>
            </w:r>
          </w:p>
        </w:tc>
        <w:tc>
          <w:tcPr>
            <w:tcW w:w="1080" w:type="dxa"/>
            <w:tcBorders>
              <w:top w:val="nil"/>
              <w:left w:val="nil"/>
              <w:bottom w:val="single" w:color="auto" w:sz="8" w:space="0"/>
              <w:right w:val="single" w:color="auto" w:sz="4" w:space="0"/>
            </w:tcBorders>
            <w:shd w:val="clear" w:color="auto" w:fill="auto"/>
            <w:vAlign w:val="bottom"/>
            <w:hideMark/>
          </w:tcPr>
          <w:p w:rsidRPr="002F1937" w:rsidR="002F1937" w:rsidP="002F1937" w:rsidRDefault="002F1937" w14:paraId="389EF915" w14:textId="77777777">
            <w:pPr>
              <w:widowControl/>
              <w:overflowPunct/>
              <w:autoSpaceDE/>
              <w:autoSpaceDN/>
              <w:adjustRightInd/>
              <w:jc w:val="center"/>
              <w:textAlignment w:val="auto"/>
              <w:rPr>
                <w:rFonts w:ascii="Calibri" w:hAnsi="Calibri" w:cs="Calibri"/>
                <w:b/>
                <w:bCs/>
                <w:color w:val="000000"/>
                <w:sz w:val="20"/>
              </w:rPr>
            </w:pPr>
            <w:r w:rsidRPr="002F1937">
              <w:rPr>
                <w:rFonts w:ascii="Calibri" w:hAnsi="Calibri" w:cs="Calibri"/>
                <w:b/>
                <w:bCs/>
                <w:color w:val="000000"/>
                <w:sz w:val="20"/>
              </w:rPr>
              <w:t>19.1</w:t>
            </w:r>
          </w:p>
        </w:tc>
        <w:tc>
          <w:tcPr>
            <w:tcW w:w="990" w:type="dxa"/>
            <w:tcBorders>
              <w:top w:val="nil"/>
              <w:left w:val="nil"/>
              <w:bottom w:val="single" w:color="auto" w:sz="8" w:space="0"/>
              <w:right w:val="single" w:color="auto" w:sz="8" w:space="0"/>
            </w:tcBorders>
            <w:shd w:val="clear" w:color="auto" w:fill="auto"/>
            <w:vAlign w:val="bottom"/>
            <w:hideMark/>
          </w:tcPr>
          <w:p w:rsidRPr="002F1937" w:rsidR="002F1937" w:rsidP="002F1937" w:rsidRDefault="002F1937" w14:paraId="45C6694E" w14:textId="77777777">
            <w:pPr>
              <w:widowControl/>
              <w:overflowPunct/>
              <w:autoSpaceDE/>
              <w:autoSpaceDN/>
              <w:adjustRightInd/>
              <w:jc w:val="right"/>
              <w:textAlignment w:val="auto"/>
              <w:rPr>
                <w:rFonts w:ascii="Calibri" w:hAnsi="Calibri" w:cs="Calibri"/>
                <w:b/>
                <w:bCs/>
                <w:color w:val="000000"/>
                <w:sz w:val="20"/>
              </w:rPr>
            </w:pPr>
            <w:r w:rsidRPr="002F1937">
              <w:rPr>
                <w:rFonts w:ascii="Calibri" w:hAnsi="Calibri" w:cs="Calibri"/>
                <w:b/>
                <w:bCs/>
                <w:color w:val="000000"/>
                <w:sz w:val="20"/>
              </w:rPr>
              <w:t>1,508</w:t>
            </w:r>
          </w:p>
        </w:tc>
      </w:tr>
    </w:tbl>
    <w:p w:rsidR="006C1847" w:rsidP="00ED28F2" w:rsidRDefault="006C1847" w14:paraId="3C8AF013" w14:textId="3928D422">
      <w:pPr>
        <w:tabs>
          <w:tab w:val="left" w:pos="-720"/>
        </w:tabs>
        <w:suppressAutoHyphens/>
        <w:spacing w:line="480" w:lineRule="auto"/>
        <w:rPr>
          <w:rFonts w:ascii="Times New Roman" w:hAnsi="Times New Roman"/>
          <w:szCs w:val="24"/>
        </w:rPr>
      </w:pPr>
    </w:p>
    <w:p w:rsidRPr="002568E6" w:rsidR="0062567E" w:rsidP="000438E8" w:rsidRDefault="00FD71D3" w14:paraId="7B2A095F"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 xml:space="preserve">Provide estimates of annualized cost to respondents for the hour burdens for </w:t>
      </w:r>
      <w:bookmarkStart w:name="_GoBack" w:id="38"/>
      <w:bookmarkEnd w:id="38"/>
      <w:r w:rsidRPr="002568E6">
        <w:rPr>
          <w:rFonts w:ascii="Times New Roman" w:hAnsi="Times New Roman"/>
          <w:b/>
          <w:szCs w:val="24"/>
        </w:rPr>
        <w:t>collections of information, identifying and using appropriate wage rate categories.</w:t>
      </w:r>
    </w:p>
    <w:p w:rsidR="00EF0FAC" w:rsidP="00EF0FAC" w:rsidRDefault="00EF0FAC" w14:paraId="57276C2D" w14:textId="77777777">
      <w:pPr>
        <w:widowControl/>
        <w:tabs>
          <w:tab w:val="left" w:pos="-720"/>
          <w:tab w:val="left" w:pos="720"/>
        </w:tabs>
        <w:suppressAutoHyphens/>
        <w:overflowPunct/>
        <w:autoSpaceDE/>
        <w:autoSpaceDN/>
        <w:adjustRightInd/>
        <w:spacing w:line="360" w:lineRule="auto"/>
        <w:textAlignment w:val="auto"/>
        <w:rPr>
          <w:rFonts w:ascii="Times New Roman" w:hAnsi="Times New Roman"/>
          <w:b/>
          <w:szCs w:val="24"/>
        </w:rPr>
      </w:pPr>
    </w:p>
    <w:p w:rsidRPr="00423275" w:rsidR="00EF0FAC" w:rsidP="0038794B" w:rsidRDefault="00EF0FAC" w14:paraId="7825FE2F" w14:textId="47C2BD07">
      <w:pPr>
        <w:widowControl/>
        <w:tabs>
          <w:tab w:val="left" w:pos="-720"/>
          <w:tab w:val="left" w:pos="720"/>
        </w:tabs>
        <w:suppressAutoHyphens/>
        <w:overflowPunct/>
        <w:autoSpaceDE/>
        <w:autoSpaceDN/>
        <w:adjustRightInd/>
        <w:spacing w:line="480" w:lineRule="auto"/>
        <w:textAlignment w:val="auto"/>
        <w:rPr>
          <w:rFonts w:ascii="Times New Roman" w:hAnsi="Times New Roman"/>
          <w:spacing w:val="-3"/>
          <w:highlight w:val="yellow"/>
        </w:rPr>
      </w:pPr>
      <w:r w:rsidRPr="00EF0FAC">
        <w:rPr>
          <w:rFonts w:ascii="Times New Roman" w:hAnsi="Times New Roman"/>
          <w:spacing w:val="-3"/>
        </w:rPr>
        <w:t>State agency</w:t>
      </w:r>
      <w:r w:rsidR="0052671A">
        <w:rPr>
          <w:rFonts w:ascii="Times New Roman" w:hAnsi="Times New Roman"/>
          <w:spacing w:val="-3"/>
        </w:rPr>
        <w:t xml:space="preserve"> staff</w:t>
      </w:r>
      <w:r w:rsidR="0012323F">
        <w:rPr>
          <w:rFonts w:ascii="Times New Roman" w:hAnsi="Times New Roman"/>
          <w:spacing w:val="-3"/>
        </w:rPr>
        <w:t xml:space="preserve"> will be providing the responses</w:t>
      </w:r>
      <w:r w:rsidR="006645F5">
        <w:rPr>
          <w:rFonts w:ascii="Times New Roman" w:hAnsi="Times New Roman"/>
          <w:spacing w:val="-3"/>
        </w:rPr>
        <w:t xml:space="preserve">. </w:t>
      </w:r>
      <w:r w:rsidRPr="00EF0FAC">
        <w:rPr>
          <w:rFonts w:ascii="Times New Roman" w:hAnsi="Times New Roman"/>
          <w:spacing w:val="-3"/>
        </w:rPr>
        <w:t xml:space="preserve">Standard wage rate categories used in determining annualized burden costs were based on the most recent </w:t>
      </w:r>
      <w:r w:rsidRPr="0012323F" w:rsidR="0012323F">
        <w:rPr>
          <w:rFonts w:ascii="Times New Roman" w:hAnsi="Times New Roman"/>
          <w:spacing w:val="-3"/>
        </w:rPr>
        <w:t>U.S. Department of Labor,</w:t>
      </w:r>
      <w:r w:rsidR="0012323F">
        <w:rPr>
          <w:rFonts w:ascii="Times New Roman" w:hAnsi="Times New Roman"/>
          <w:spacing w:val="-3"/>
        </w:rPr>
        <w:t xml:space="preserve"> </w:t>
      </w:r>
      <w:r w:rsidRPr="00EF0FAC">
        <w:rPr>
          <w:rFonts w:ascii="Times New Roman" w:hAnsi="Times New Roman"/>
          <w:spacing w:val="-3"/>
        </w:rPr>
        <w:t>Bureau of Labor Statistics (BLS) Occupational Employment and Wages Statisti</w:t>
      </w:r>
      <w:r>
        <w:rPr>
          <w:rFonts w:ascii="Times New Roman" w:hAnsi="Times New Roman"/>
          <w:spacing w:val="-3"/>
        </w:rPr>
        <w:t>cs data from May 201</w:t>
      </w:r>
      <w:r w:rsidR="00653993">
        <w:rPr>
          <w:rFonts w:ascii="Times New Roman" w:hAnsi="Times New Roman"/>
          <w:spacing w:val="-3"/>
        </w:rPr>
        <w:t>9</w:t>
      </w:r>
      <w:r w:rsidRPr="00EF0FAC">
        <w:rPr>
          <w:rFonts w:ascii="Times New Roman" w:hAnsi="Times New Roman"/>
          <w:spacing w:val="-3"/>
        </w:rPr>
        <w:t xml:space="preserve">, using the </w:t>
      </w:r>
      <w:r w:rsidRPr="00423275">
        <w:rPr>
          <w:rFonts w:ascii="Times New Roman" w:hAnsi="Times New Roman"/>
          <w:spacing w:val="-3"/>
        </w:rPr>
        <w:t>corresponding occupation code</w:t>
      </w:r>
      <w:r w:rsidRPr="00423275" w:rsidR="00423275">
        <w:rPr>
          <w:rFonts w:ascii="Times New Roman" w:hAnsi="Times New Roman"/>
          <w:spacing w:val="-3"/>
        </w:rPr>
        <w:t xml:space="preserve"> 11-9039</w:t>
      </w:r>
      <w:r w:rsidRPr="00423275" w:rsidR="00262485">
        <w:rPr>
          <w:rFonts w:ascii="Times New Roman" w:hAnsi="Times New Roman"/>
          <w:spacing w:val="-3"/>
        </w:rPr>
        <w:t xml:space="preserve">, </w:t>
      </w:r>
      <w:r w:rsidRPr="00423275" w:rsidR="00423275">
        <w:rPr>
          <w:rFonts w:ascii="Times New Roman" w:hAnsi="Times New Roman"/>
          <w:szCs w:val="24"/>
        </w:rPr>
        <w:t>Education Administrators, All Other</w:t>
      </w:r>
      <w:r w:rsidR="00262485">
        <w:rPr>
          <w:rStyle w:val="FootnoteReference"/>
          <w:rFonts w:ascii="Times New Roman" w:hAnsi="Times New Roman"/>
          <w:spacing w:val="-3"/>
        </w:rPr>
        <w:footnoteReference w:id="1"/>
      </w:r>
      <w:r w:rsidR="00262485">
        <w:rPr>
          <w:rFonts w:ascii="Times New Roman" w:hAnsi="Times New Roman"/>
          <w:spacing w:val="-3"/>
        </w:rPr>
        <w:t xml:space="preserve">. </w:t>
      </w:r>
      <w:r w:rsidRPr="00EF0FAC">
        <w:rPr>
          <w:rFonts w:ascii="Times New Roman" w:hAnsi="Times New Roman"/>
          <w:spacing w:val="-3"/>
        </w:rPr>
        <w:t xml:space="preserve"> According to the most recent BLS data, workers in this occupation earn a me</w:t>
      </w:r>
      <w:r w:rsidR="00653993">
        <w:rPr>
          <w:rFonts w:ascii="Times New Roman" w:hAnsi="Times New Roman"/>
          <w:spacing w:val="-3"/>
        </w:rPr>
        <w:t>an</w:t>
      </w:r>
      <w:r w:rsidR="00423275">
        <w:rPr>
          <w:rFonts w:ascii="Times New Roman" w:hAnsi="Times New Roman"/>
          <w:spacing w:val="-3"/>
        </w:rPr>
        <w:t xml:space="preserve"> wage rate of $44.30 </w:t>
      </w:r>
      <w:r w:rsidR="00262485">
        <w:rPr>
          <w:rFonts w:ascii="Times New Roman" w:hAnsi="Times New Roman"/>
          <w:spacing w:val="-3"/>
        </w:rPr>
        <w:t>per hour</w:t>
      </w:r>
      <w:r w:rsidRPr="00EF0FAC">
        <w:rPr>
          <w:rFonts w:ascii="Times New Roman" w:hAnsi="Times New Roman"/>
          <w:spacing w:val="-3"/>
        </w:rPr>
        <w:t>.</w:t>
      </w:r>
      <w:r w:rsidRPr="00EF0FAC">
        <w:rPr>
          <w:rFonts w:ascii="Times New Roman" w:hAnsi="Times New Roman"/>
          <w:bCs/>
          <w:spacing w:val="-3"/>
        </w:rPr>
        <w:t xml:space="preserve"> </w:t>
      </w:r>
      <w:r w:rsidR="00980F44">
        <w:rPr>
          <w:rFonts w:ascii="Times New Roman" w:hAnsi="Times New Roman"/>
          <w:bCs/>
          <w:spacing w:val="-3"/>
        </w:rPr>
        <w:t>When this wage is fully loaded (wage + wage*.33) S</w:t>
      </w:r>
      <w:r w:rsidRPr="00EF0FAC" w:rsidR="00980F44">
        <w:rPr>
          <w:rFonts w:ascii="Times New Roman" w:hAnsi="Times New Roman"/>
          <w:bCs/>
          <w:spacing w:val="-3"/>
        </w:rPr>
        <w:t xml:space="preserve">tates would incur an annualized administrative cost of </w:t>
      </w:r>
      <w:r w:rsidR="00980F44">
        <w:rPr>
          <w:rFonts w:ascii="Times New Roman" w:hAnsi="Times New Roman"/>
          <w:bCs/>
          <w:spacing w:val="-3"/>
        </w:rPr>
        <w:t>$</w:t>
      </w:r>
      <w:r w:rsidR="00423275">
        <w:rPr>
          <w:rFonts w:ascii="Times New Roman" w:hAnsi="Times New Roman"/>
          <w:bCs/>
          <w:spacing w:val="-3"/>
        </w:rPr>
        <w:t>58.92</w:t>
      </w:r>
      <w:r w:rsidR="00980F44">
        <w:rPr>
          <w:rFonts w:ascii="Times New Roman" w:hAnsi="Times New Roman"/>
          <w:bCs/>
          <w:spacing w:val="-3"/>
        </w:rPr>
        <w:t xml:space="preserve"> </w:t>
      </w:r>
      <w:r w:rsidRPr="00EF0FAC" w:rsidR="00980F44">
        <w:rPr>
          <w:rFonts w:ascii="Times New Roman" w:hAnsi="Times New Roman"/>
          <w:bCs/>
          <w:spacing w:val="-3"/>
        </w:rPr>
        <w:t xml:space="preserve">per hour burden in the information collection. </w:t>
      </w:r>
      <w:r w:rsidR="00980F44">
        <w:rPr>
          <w:rFonts w:ascii="Times New Roman" w:hAnsi="Times New Roman"/>
          <w:bCs/>
          <w:spacing w:val="-3"/>
        </w:rPr>
        <w:t>$</w:t>
      </w:r>
      <w:r w:rsidR="00423275">
        <w:rPr>
          <w:rFonts w:ascii="Times New Roman" w:hAnsi="Times New Roman"/>
          <w:bCs/>
          <w:spacing w:val="-3"/>
        </w:rPr>
        <w:t>58.92</w:t>
      </w:r>
      <w:r w:rsidR="00980F44">
        <w:rPr>
          <w:rFonts w:ascii="Times New Roman" w:hAnsi="Times New Roman"/>
          <w:bCs/>
          <w:spacing w:val="-3"/>
        </w:rPr>
        <w:t xml:space="preserve"> * </w:t>
      </w:r>
      <w:r w:rsidR="002F1937">
        <w:rPr>
          <w:rFonts w:ascii="Times New Roman" w:hAnsi="Times New Roman"/>
          <w:bCs/>
          <w:spacing w:val="-3"/>
        </w:rPr>
        <w:t>1,508</w:t>
      </w:r>
      <w:r w:rsidR="00980F44">
        <w:rPr>
          <w:rFonts w:ascii="Times New Roman" w:hAnsi="Times New Roman"/>
          <w:bCs/>
          <w:spacing w:val="-3"/>
        </w:rPr>
        <w:t xml:space="preserve"> burden hours </w:t>
      </w:r>
      <w:r w:rsidR="007B24AD">
        <w:rPr>
          <w:rFonts w:ascii="Times New Roman" w:hAnsi="Times New Roman"/>
          <w:bCs/>
          <w:spacing w:val="-3"/>
        </w:rPr>
        <w:t xml:space="preserve">for the 60 respondents </w:t>
      </w:r>
      <w:r w:rsidR="00980F44">
        <w:rPr>
          <w:rFonts w:ascii="Times New Roman" w:hAnsi="Times New Roman"/>
          <w:bCs/>
          <w:spacing w:val="-3"/>
        </w:rPr>
        <w:t>equals $</w:t>
      </w:r>
      <w:r w:rsidR="002F1937">
        <w:rPr>
          <w:rFonts w:ascii="Times New Roman" w:hAnsi="Times New Roman"/>
          <w:bCs/>
          <w:spacing w:val="-3"/>
        </w:rPr>
        <w:t>88,838.07</w:t>
      </w:r>
      <w:r w:rsidR="00980F44">
        <w:rPr>
          <w:rFonts w:ascii="Times New Roman" w:hAnsi="Times New Roman"/>
          <w:bCs/>
          <w:spacing w:val="-3"/>
        </w:rPr>
        <w:t xml:space="preserve"> </w:t>
      </w:r>
      <w:r w:rsidR="007B24AD">
        <w:rPr>
          <w:rFonts w:ascii="Times New Roman" w:hAnsi="Times New Roman"/>
          <w:bCs/>
          <w:spacing w:val="-3"/>
        </w:rPr>
        <w:t xml:space="preserve">aggregated </w:t>
      </w:r>
      <w:r w:rsidR="00980F44">
        <w:rPr>
          <w:rFonts w:ascii="Times New Roman" w:hAnsi="Times New Roman"/>
          <w:bCs/>
          <w:spacing w:val="-3"/>
        </w:rPr>
        <w:t>cost</w:t>
      </w:r>
      <w:r w:rsidR="007B24AD">
        <w:rPr>
          <w:rFonts w:ascii="Times New Roman" w:hAnsi="Times New Roman"/>
          <w:bCs/>
          <w:spacing w:val="-3"/>
        </w:rPr>
        <w:t>.</w:t>
      </w:r>
    </w:p>
    <w:p w:rsidRPr="001D6CB0" w:rsidR="001D6CB0" w:rsidP="001D6CB0" w:rsidRDefault="001D6CB0" w14:paraId="4061997A" w14:textId="77777777">
      <w:pPr>
        <w:rPr>
          <w:rFonts w:ascii="Times New Roman" w:hAnsi="Times New Roman"/>
          <w:szCs w:val="24"/>
        </w:rPr>
      </w:pPr>
      <w:bookmarkStart w:name="_Toc401831369" w:id="39"/>
      <w:bookmarkStart w:name="_Toc401832413" w:id="40"/>
    </w:p>
    <w:p w:rsidRPr="002568E6" w:rsidR="000438E8" w:rsidP="0062567E" w:rsidRDefault="00FD71D3" w14:paraId="7B2A0963" w14:textId="44CEA693">
      <w:pPr>
        <w:pStyle w:val="Heading1"/>
        <w:rPr>
          <w:szCs w:val="24"/>
        </w:rPr>
      </w:pPr>
      <w:bookmarkStart w:name="_Toc71026066" w:id="41"/>
      <w:r w:rsidRPr="002568E6">
        <w:rPr>
          <w:szCs w:val="24"/>
        </w:rPr>
        <w:t xml:space="preserve">A13.  Estimates of other total annual cost </w:t>
      </w:r>
      <w:r w:rsidRPr="002568E6" w:rsidR="00ED28F2">
        <w:rPr>
          <w:szCs w:val="24"/>
        </w:rPr>
        <w:t>burden</w:t>
      </w:r>
      <w:r w:rsidRPr="002568E6">
        <w:rPr>
          <w:szCs w:val="24"/>
        </w:rPr>
        <w:t>.</w:t>
      </w:r>
      <w:bookmarkEnd w:id="39"/>
      <w:bookmarkEnd w:id="40"/>
      <w:bookmarkEnd w:id="41"/>
    </w:p>
    <w:p w:rsidRPr="002568E6" w:rsidR="0062567E" w:rsidP="000438E8" w:rsidRDefault="0062567E" w14:paraId="7B2A0964" w14:textId="77777777">
      <w:pPr>
        <w:tabs>
          <w:tab w:val="left" w:pos="0"/>
        </w:tabs>
        <w:suppressAutoHyphens/>
        <w:rPr>
          <w:rFonts w:ascii="Times New Roman" w:hAnsi="Times New Roman"/>
          <w:b/>
          <w:szCs w:val="24"/>
        </w:rPr>
      </w:pPr>
    </w:p>
    <w:p w:rsidRPr="002568E6" w:rsidR="0062567E" w:rsidP="000438E8" w:rsidRDefault="0062567E" w14:paraId="7B2A0965"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recordkeepers resulting from the collection of information, (do not include the cost of any hour burden shown in </w:t>
      </w:r>
      <w:r w:rsidRPr="002568E6">
        <w:rPr>
          <w:rFonts w:ascii="Times New Roman" w:hAnsi="Times New Roman"/>
          <w:b/>
          <w:szCs w:val="24"/>
        </w:rPr>
        <w:lastRenderedPageBreak/>
        <w:t>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7B2A0966" w14:textId="77777777">
      <w:pPr>
        <w:tabs>
          <w:tab w:val="left" w:pos="-720"/>
        </w:tabs>
        <w:suppressAutoHyphens/>
        <w:rPr>
          <w:rFonts w:ascii="Times New Roman" w:hAnsi="Times New Roman"/>
          <w:szCs w:val="24"/>
        </w:rPr>
      </w:pPr>
    </w:p>
    <w:p w:rsidRPr="002568E6" w:rsidR="00ED28F2" w:rsidP="00ED28F2" w:rsidRDefault="00AA0B7C" w14:paraId="7B2A0967" w14:textId="56D86442">
      <w:pPr>
        <w:tabs>
          <w:tab w:val="left" w:pos="-720"/>
        </w:tabs>
        <w:suppressAutoHyphens/>
        <w:spacing w:line="480" w:lineRule="auto"/>
        <w:rPr>
          <w:rFonts w:ascii="Times New Roman" w:hAnsi="Times New Roman"/>
          <w:szCs w:val="24"/>
        </w:rPr>
      </w:pPr>
      <w:r>
        <w:rPr>
          <w:rFonts w:ascii="Times New Roman" w:hAnsi="Times New Roman"/>
          <w:szCs w:val="24"/>
        </w:rPr>
        <w:t>FNS does not expect any additional annual cost burden to respondents or recordkeepers.</w:t>
      </w:r>
    </w:p>
    <w:p w:rsidRPr="002568E6" w:rsidR="00ED28F2" w:rsidP="00ED28F2" w:rsidRDefault="00ED28F2" w14:paraId="7B2A0968" w14:textId="77777777">
      <w:pPr>
        <w:tabs>
          <w:tab w:val="left" w:pos="-720"/>
        </w:tabs>
        <w:suppressAutoHyphens/>
        <w:spacing w:line="480" w:lineRule="auto"/>
        <w:rPr>
          <w:rFonts w:ascii="Times New Roman" w:hAnsi="Times New Roman"/>
          <w:szCs w:val="24"/>
        </w:rPr>
      </w:pPr>
    </w:p>
    <w:p w:rsidRPr="002568E6" w:rsidR="00A308DB" w:rsidP="0062567E" w:rsidRDefault="000438E8" w14:paraId="7B2A0969" w14:textId="307119EF">
      <w:pPr>
        <w:pStyle w:val="Heading1"/>
        <w:rPr>
          <w:szCs w:val="24"/>
        </w:rPr>
      </w:pPr>
      <w:bookmarkStart w:name="_Toc401831370" w:id="42"/>
      <w:bookmarkStart w:name="_Toc401832414" w:id="43"/>
      <w:bookmarkStart w:name="_Toc71026067" w:id="44"/>
      <w:r w:rsidRPr="002568E6">
        <w:rPr>
          <w:szCs w:val="24"/>
        </w:rPr>
        <w:t>A14.  Provide estimates of annualized cost to the Federal government.</w:t>
      </w:r>
      <w:bookmarkEnd w:id="42"/>
      <w:bookmarkEnd w:id="43"/>
      <w:bookmarkEnd w:id="44"/>
    </w:p>
    <w:p w:rsidRPr="002568E6" w:rsidR="0062567E" w:rsidP="000438E8" w:rsidRDefault="0062567E" w14:paraId="7B2A096A" w14:textId="77777777">
      <w:pPr>
        <w:tabs>
          <w:tab w:val="left" w:pos="0"/>
        </w:tabs>
        <w:suppressAutoHyphens/>
        <w:rPr>
          <w:rFonts w:ascii="Times New Roman" w:hAnsi="Times New Roman"/>
          <w:szCs w:val="24"/>
        </w:rPr>
      </w:pPr>
    </w:p>
    <w:p w:rsidRPr="002568E6" w:rsidR="0062567E" w:rsidP="0062567E" w:rsidRDefault="0062567E" w14:paraId="7B2A096B"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7B2A096C" w14:textId="77777777">
      <w:pPr>
        <w:tabs>
          <w:tab w:val="left" w:pos="0"/>
        </w:tabs>
        <w:suppressAutoHyphens/>
        <w:rPr>
          <w:rFonts w:ascii="Times New Roman" w:hAnsi="Times New Roman"/>
          <w:szCs w:val="24"/>
        </w:rPr>
      </w:pPr>
    </w:p>
    <w:p w:rsidR="00980F44" w:rsidP="00151D7B" w:rsidRDefault="00060175" w14:paraId="0E2B2E93" w14:textId="3C8FBFF9">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r>
        <w:rPr>
          <w:rFonts w:ascii="Times New Roman" w:hAnsi="Times New Roman"/>
          <w:spacing w:val="-3"/>
        </w:rPr>
        <w:t>T</w:t>
      </w:r>
      <w:r w:rsidRPr="00151D7B" w:rsidR="00151D7B">
        <w:rPr>
          <w:rFonts w:ascii="Times New Roman" w:hAnsi="Times New Roman"/>
          <w:spacing w:val="-3"/>
        </w:rPr>
        <w:t xml:space="preserve">he Federal cost </w:t>
      </w:r>
      <w:r w:rsidR="00F65932">
        <w:rPr>
          <w:rFonts w:ascii="Times New Roman" w:hAnsi="Times New Roman"/>
          <w:spacing w:val="-3"/>
        </w:rPr>
        <w:t xml:space="preserve">assumes it will take Regional or National Office staff </w:t>
      </w:r>
      <w:r>
        <w:rPr>
          <w:rFonts w:ascii="Times New Roman" w:hAnsi="Times New Roman"/>
          <w:spacing w:val="-3"/>
        </w:rPr>
        <w:t>(GS-13</w:t>
      </w:r>
      <w:r w:rsidR="00F1484D">
        <w:rPr>
          <w:rFonts w:ascii="Times New Roman" w:hAnsi="Times New Roman"/>
          <w:spacing w:val="-3"/>
        </w:rPr>
        <w:t xml:space="preserve"> Step</w:t>
      </w:r>
      <w:r>
        <w:rPr>
          <w:rFonts w:ascii="Times New Roman" w:hAnsi="Times New Roman"/>
          <w:spacing w:val="-3"/>
        </w:rPr>
        <w:t xml:space="preserve"> 1</w:t>
      </w:r>
      <w:r w:rsidR="00F1484D">
        <w:rPr>
          <w:rFonts w:ascii="Times New Roman" w:hAnsi="Times New Roman"/>
          <w:spacing w:val="-3"/>
        </w:rPr>
        <w:t xml:space="preserve">) </w:t>
      </w:r>
      <w:r>
        <w:rPr>
          <w:rFonts w:ascii="Times New Roman" w:hAnsi="Times New Roman"/>
          <w:spacing w:val="-3"/>
        </w:rPr>
        <w:t>approximately 5</w:t>
      </w:r>
      <w:r w:rsidR="00F65932">
        <w:rPr>
          <w:rFonts w:ascii="Times New Roman" w:hAnsi="Times New Roman"/>
          <w:spacing w:val="-3"/>
        </w:rPr>
        <w:t xml:space="preserve"> hour</w:t>
      </w:r>
      <w:r>
        <w:rPr>
          <w:rFonts w:ascii="Times New Roman" w:hAnsi="Times New Roman"/>
          <w:spacing w:val="-3"/>
        </w:rPr>
        <w:t>s</w:t>
      </w:r>
      <w:r w:rsidR="00F65932">
        <w:rPr>
          <w:rFonts w:ascii="Times New Roman" w:hAnsi="Times New Roman"/>
          <w:spacing w:val="-3"/>
        </w:rPr>
        <w:t xml:space="preserve"> to review and approve each</w:t>
      </w:r>
      <w:r>
        <w:rPr>
          <w:rFonts w:ascii="Times New Roman" w:hAnsi="Times New Roman"/>
          <w:spacing w:val="-3"/>
        </w:rPr>
        <w:t xml:space="preserve"> State agency opt-in application and implenetation plan</w:t>
      </w:r>
      <w:r w:rsidR="00E31F69">
        <w:rPr>
          <w:rFonts w:ascii="Times New Roman" w:hAnsi="Times New Roman"/>
          <w:spacing w:val="-3"/>
        </w:rPr>
        <w:t>.</w:t>
      </w:r>
    </w:p>
    <w:p w:rsidR="00151D7B" w:rsidP="00151D7B" w:rsidRDefault="00151D7B" w14:paraId="0873D09D" w14:textId="3ADDC708">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r w:rsidRPr="00151D7B">
        <w:rPr>
          <w:rFonts w:ascii="Times New Roman" w:hAnsi="Times New Roman"/>
          <w:spacing w:val="-3"/>
        </w:rPr>
        <w:t xml:space="preserve">This includes Federal worker time at FNS for the following: </w:t>
      </w:r>
    </w:p>
    <w:tbl>
      <w:tblPr>
        <w:tblStyle w:val="Table3Deffects3"/>
        <w:tblW w:w="5000" w:type="pct"/>
        <w:tblInd w:w="0" w:type="dxa"/>
        <w:tblLook w:val="06A0" w:firstRow="1" w:lastRow="0" w:firstColumn="1" w:lastColumn="0" w:noHBand="1" w:noVBand="1"/>
      </w:tblPr>
      <w:tblGrid>
        <w:gridCol w:w="2320"/>
        <w:gridCol w:w="2320"/>
        <w:gridCol w:w="2320"/>
        <w:gridCol w:w="2395"/>
      </w:tblGrid>
      <w:tr w:rsidRPr="00151D7B" w:rsidR="00980F44" w:rsidTr="006841DE" w14:paraId="5CA9ACD6" w14:textId="77777777">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240" w:type="pct"/>
            <w:tcBorders>
              <w:top w:val="nil"/>
              <w:left w:val="nil"/>
              <w:bottom w:val="single" w:color="auto" w:sz="4" w:space="0"/>
            </w:tcBorders>
            <w:vAlign w:val="center"/>
          </w:tcPr>
          <w:p w:rsidRPr="00151D7B" w:rsidR="00980F44" w:rsidP="006841DE" w:rsidRDefault="00980F44" w14:paraId="27A9A578" w14:textId="77777777">
            <w:pPr>
              <w:widowControl/>
              <w:tabs>
                <w:tab w:val="left" w:pos="1080"/>
              </w:tabs>
              <w:overflowPunct/>
              <w:autoSpaceDE/>
              <w:autoSpaceDN/>
              <w:adjustRightInd/>
              <w:spacing w:line="240" w:lineRule="auto"/>
              <w:contextualSpacing/>
              <w:jc w:val="center"/>
              <w:textAlignment w:val="auto"/>
              <w:rPr>
                <w:rFonts w:ascii="Times New Roman" w:hAnsi="Times New Roman"/>
                <w:spacing w:val="-3"/>
              </w:rPr>
            </w:pPr>
          </w:p>
        </w:tc>
        <w:tc>
          <w:tcPr>
            <w:tcW w:w="1240" w:type="pct"/>
            <w:tcBorders>
              <w:top w:val="single" w:color="auto" w:sz="4" w:space="0"/>
              <w:left w:val="nil"/>
              <w:bottom w:val="single" w:color="auto" w:sz="4" w:space="0"/>
              <w:right w:val="nil"/>
            </w:tcBorders>
            <w:vAlign w:val="center"/>
            <w:hideMark/>
          </w:tcPr>
          <w:p w:rsidRPr="00151D7B" w:rsidR="00980F44" w:rsidP="006841DE" w:rsidRDefault="00980F44" w14:paraId="323DB80C"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Hours</w:t>
            </w:r>
          </w:p>
        </w:tc>
        <w:tc>
          <w:tcPr>
            <w:tcW w:w="1240" w:type="pct"/>
            <w:tcBorders>
              <w:top w:val="single" w:color="auto" w:sz="4" w:space="0"/>
              <w:left w:val="nil"/>
              <w:bottom w:val="single" w:color="auto" w:sz="4" w:space="0"/>
              <w:right w:val="nil"/>
            </w:tcBorders>
            <w:vAlign w:val="center"/>
            <w:hideMark/>
          </w:tcPr>
          <w:p w:rsidRPr="00151D7B" w:rsidR="00980F44" w:rsidP="006841DE" w:rsidRDefault="00980F44" w14:paraId="04CA7AD5"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Hourly Wage Rage*</w:t>
            </w:r>
          </w:p>
        </w:tc>
        <w:tc>
          <w:tcPr>
            <w:tcW w:w="1280" w:type="pct"/>
            <w:tcBorders>
              <w:top w:val="single" w:color="auto" w:sz="4" w:space="0"/>
              <w:left w:val="nil"/>
              <w:bottom w:val="single" w:color="auto" w:sz="4" w:space="0"/>
              <w:right w:val="single" w:color="auto" w:sz="4" w:space="0"/>
            </w:tcBorders>
            <w:vAlign w:val="center"/>
            <w:hideMark/>
          </w:tcPr>
          <w:p w:rsidRPr="00151D7B" w:rsidR="00980F44" w:rsidP="006841DE" w:rsidRDefault="00980F44" w14:paraId="66D6E204" w14:textId="77777777">
            <w:pPr>
              <w:widowControl/>
              <w:tabs>
                <w:tab w:val="left" w:pos="1080"/>
              </w:tabs>
              <w:overflowPunct/>
              <w:autoSpaceDE/>
              <w:autoSpaceDN/>
              <w:adjustRightInd/>
              <w:spacing w:line="240" w:lineRule="auto"/>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Total</w:t>
            </w:r>
          </w:p>
        </w:tc>
      </w:tr>
      <w:tr w:rsidRPr="00151D7B" w:rsidR="00980F44" w:rsidTr="006841DE" w14:paraId="2AC9C07D" w14:textId="77777777">
        <w:trPr>
          <w:trHeight w:val="800"/>
        </w:trPr>
        <w:tc>
          <w:tcPr>
            <w:cnfStyle w:val="001000000000" w:firstRow="0" w:lastRow="0" w:firstColumn="1" w:lastColumn="0" w:oddVBand="0" w:evenVBand="0" w:oddHBand="0" w:evenHBand="0" w:firstRowFirstColumn="0" w:firstRowLastColumn="0" w:lastRowFirstColumn="0" w:lastRowLastColumn="0"/>
            <w:tcW w:w="1240" w:type="pct"/>
            <w:tcBorders>
              <w:top w:val="single" w:color="auto" w:sz="4" w:space="0"/>
              <w:left w:val="single" w:color="auto" w:sz="4" w:space="0"/>
              <w:bottom w:val="single" w:color="auto" w:sz="4" w:space="0"/>
            </w:tcBorders>
            <w:vAlign w:val="center"/>
            <w:hideMark/>
          </w:tcPr>
          <w:p w:rsidRPr="00014023" w:rsidR="00980F44" w:rsidP="006841DE" w:rsidRDefault="00980F44" w14:paraId="74587178" w14:textId="77777777">
            <w:pPr>
              <w:widowControl/>
              <w:tabs>
                <w:tab w:val="left" w:pos="1080"/>
              </w:tabs>
              <w:overflowPunct/>
              <w:autoSpaceDE/>
              <w:autoSpaceDN/>
              <w:adjustRightInd/>
              <w:spacing w:line="240" w:lineRule="auto"/>
              <w:contextualSpacing/>
              <w:textAlignment w:val="auto"/>
              <w:rPr>
                <w:rFonts w:ascii="Times New Roman" w:hAnsi="Times New Roman"/>
                <w:b/>
                <w:spacing w:val="-3"/>
              </w:rPr>
            </w:pPr>
            <w:r>
              <w:rPr>
                <w:rFonts w:ascii="Times New Roman" w:hAnsi="Times New Roman"/>
                <w:b/>
                <w:spacing w:val="-3"/>
                <w:sz w:val="22"/>
              </w:rPr>
              <w:t>GS-13/1</w:t>
            </w:r>
            <w:r w:rsidRPr="00014023">
              <w:rPr>
                <w:rFonts w:ascii="Times New Roman" w:hAnsi="Times New Roman"/>
                <w:b/>
                <w:spacing w:val="-3"/>
                <w:sz w:val="22"/>
              </w:rPr>
              <w:t xml:space="preserve"> Program Analyst</w:t>
            </w:r>
          </w:p>
        </w:tc>
        <w:tc>
          <w:tcPr>
            <w:tcW w:w="1240" w:type="pct"/>
            <w:tcBorders>
              <w:top w:val="single" w:color="auto" w:sz="4" w:space="0"/>
              <w:left w:val="nil"/>
              <w:bottom w:val="single" w:color="auto" w:sz="4" w:space="0"/>
              <w:right w:val="nil"/>
            </w:tcBorders>
            <w:vAlign w:val="center"/>
            <w:hideMark/>
          </w:tcPr>
          <w:p w:rsidRPr="00151D7B" w:rsidR="00980F44" w:rsidP="006841DE" w:rsidRDefault="0083670E" w14:paraId="0005FFBC" w14:textId="53F83FE8">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300</w:t>
            </w:r>
          </w:p>
        </w:tc>
        <w:tc>
          <w:tcPr>
            <w:tcW w:w="1240" w:type="pct"/>
            <w:tcBorders>
              <w:top w:val="single" w:color="auto" w:sz="4" w:space="0"/>
              <w:left w:val="nil"/>
              <w:bottom w:val="single" w:color="auto" w:sz="4" w:space="0"/>
              <w:right w:val="nil"/>
            </w:tcBorders>
            <w:vAlign w:val="center"/>
            <w:hideMark/>
          </w:tcPr>
          <w:p w:rsidRPr="00151D7B" w:rsidR="00980F44" w:rsidP="006841DE" w:rsidRDefault="00980F44" w14:paraId="01307B95" w14:textId="77777777">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w:t>
            </w:r>
            <w:r>
              <w:rPr>
                <w:rFonts w:ascii="Times New Roman" w:hAnsi="Times New Roman"/>
                <w:spacing w:val="-3"/>
              </w:rPr>
              <w:t>49.19</w:t>
            </w:r>
          </w:p>
        </w:tc>
        <w:tc>
          <w:tcPr>
            <w:tcW w:w="1280" w:type="pct"/>
            <w:tcBorders>
              <w:top w:val="single" w:color="auto" w:sz="4" w:space="0"/>
              <w:left w:val="nil"/>
              <w:bottom w:val="single" w:color="auto" w:sz="4" w:space="0"/>
              <w:right w:val="single" w:color="auto" w:sz="4" w:space="0"/>
            </w:tcBorders>
            <w:vAlign w:val="center"/>
            <w:hideMark/>
          </w:tcPr>
          <w:p w:rsidRPr="00151D7B" w:rsidR="00980F44" w:rsidP="0083670E" w:rsidRDefault="00980F44" w14:paraId="3C01C405" w14:textId="70DB909C">
            <w:pPr>
              <w:widowControl/>
              <w:tabs>
                <w:tab w:val="left" w:pos="1080"/>
              </w:tabs>
              <w:overflowPunct/>
              <w:autoSpaceDE/>
              <w:autoSpaceDN/>
              <w:adjustRightInd/>
              <w:spacing w:line="240"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sidRPr="00151D7B">
              <w:rPr>
                <w:rFonts w:ascii="Times New Roman" w:hAnsi="Times New Roman"/>
                <w:spacing w:val="-3"/>
              </w:rPr>
              <w:t>$</w:t>
            </w:r>
            <w:r w:rsidR="0083670E">
              <w:rPr>
                <w:rFonts w:ascii="Times New Roman" w:hAnsi="Times New Roman"/>
                <w:spacing w:val="-3"/>
              </w:rPr>
              <w:t>14,757</w:t>
            </w:r>
          </w:p>
        </w:tc>
      </w:tr>
      <w:tr w:rsidRPr="00151D7B" w:rsidR="00980F44" w:rsidTr="006841DE" w14:paraId="0EF68C81"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980F44" w:rsidP="006841DE" w:rsidRDefault="00980F44" w14:paraId="18EA3AF4" w14:textId="77777777">
            <w:pPr>
              <w:widowControl/>
              <w:tabs>
                <w:tab w:val="left" w:pos="1080"/>
              </w:tabs>
              <w:overflowPunct/>
              <w:autoSpaceDE/>
              <w:autoSpaceDN/>
              <w:adjustRightInd/>
              <w:contextualSpacing/>
              <w:textAlignment w:val="auto"/>
              <w:rPr>
                <w:rFonts w:ascii="Times New Roman" w:hAnsi="Times New Roman"/>
                <w:spacing w:val="-3"/>
              </w:rPr>
            </w:pPr>
            <w:r>
              <w:rPr>
                <w:rFonts w:ascii="Times New Roman" w:hAnsi="Times New Roman"/>
                <w:b/>
                <w:bCs/>
                <w:spacing w:val="-3"/>
              </w:rPr>
              <w:t>+ 33% for Staff Fringe Benefits</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980F44" w:rsidP="0083670E" w:rsidRDefault="0083670E" w14:paraId="6CE45750" w14:textId="53A14B0F">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pacing w:val="-3"/>
              </w:rPr>
            </w:pPr>
            <w:r>
              <w:rPr>
                <w:rFonts w:ascii="Times New Roman" w:hAnsi="Times New Roman"/>
                <w:spacing w:val="-3"/>
              </w:rPr>
              <w:t>$4,869.81</w:t>
            </w:r>
          </w:p>
        </w:tc>
      </w:tr>
      <w:tr w:rsidRPr="00151D7B" w:rsidR="00980F44" w:rsidTr="006841DE" w14:paraId="4EBEF8E0" w14:textId="77777777">
        <w:trPr>
          <w:trHeight w:val="432"/>
        </w:trPr>
        <w:tc>
          <w:tcPr>
            <w:cnfStyle w:val="001000000000" w:firstRow="0" w:lastRow="0" w:firstColumn="1" w:lastColumn="0" w:oddVBand="0" w:evenVBand="0" w:oddHBand="0" w:evenHBand="0" w:firstRowFirstColumn="0" w:firstRowLastColumn="0" w:lastRowFirstColumn="0" w:lastRowLastColumn="0"/>
            <w:tcW w:w="3720" w:type="pct"/>
            <w:gridSpan w:val="3"/>
            <w:tcBorders>
              <w:top w:val="single" w:color="auto" w:sz="4" w:space="0"/>
              <w:left w:val="single" w:color="auto" w:sz="4" w:space="0"/>
              <w:bottom w:val="single" w:color="auto" w:sz="4" w:space="0"/>
              <w:right w:val="single" w:color="auto" w:sz="4" w:space="0"/>
            </w:tcBorders>
            <w:vAlign w:val="center"/>
            <w:hideMark/>
          </w:tcPr>
          <w:p w:rsidRPr="00151D7B" w:rsidR="00980F44" w:rsidP="006841DE" w:rsidRDefault="00980F44" w14:paraId="2378EED5" w14:textId="77777777">
            <w:pPr>
              <w:widowControl/>
              <w:tabs>
                <w:tab w:val="left" w:pos="1080"/>
              </w:tabs>
              <w:overflowPunct/>
              <w:autoSpaceDE/>
              <w:autoSpaceDN/>
              <w:adjustRightInd/>
              <w:contextualSpacing/>
              <w:textAlignment w:val="auto"/>
              <w:rPr>
                <w:rFonts w:ascii="Times New Roman" w:hAnsi="Times New Roman"/>
                <w:spacing w:val="-3"/>
              </w:rPr>
            </w:pPr>
            <w:r w:rsidRPr="00151D7B">
              <w:rPr>
                <w:rFonts w:ascii="Times New Roman" w:hAnsi="Times New Roman"/>
                <w:b/>
                <w:bCs/>
                <w:spacing w:val="-3"/>
              </w:rPr>
              <w:t>Total Federal Cost</w:t>
            </w:r>
          </w:p>
        </w:tc>
        <w:tc>
          <w:tcPr>
            <w:tcW w:w="1280" w:type="pct"/>
            <w:tcBorders>
              <w:top w:val="single" w:color="auto" w:sz="4" w:space="0"/>
              <w:left w:val="single" w:color="auto" w:sz="4" w:space="0"/>
              <w:bottom w:val="single" w:color="auto" w:sz="4" w:space="0"/>
              <w:right w:val="single" w:color="auto" w:sz="4" w:space="0"/>
            </w:tcBorders>
            <w:vAlign w:val="center"/>
            <w:hideMark/>
          </w:tcPr>
          <w:p w:rsidRPr="00151D7B" w:rsidR="00980F44" w:rsidP="0083670E" w:rsidRDefault="0083670E" w14:paraId="716F1D2B" w14:textId="37E9B3D2">
            <w:pPr>
              <w:widowControl/>
              <w:tabs>
                <w:tab w:val="left" w:pos="1080"/>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
                <w:bCs/>
                <w:spacing w:val="-3"/>
              </w:rPr>
            </w:pPr>
            <w:r>
              <w:rPr>
                <w:rFonts w:ascii="Times New Roman" w:hAnsi="Times New Roman"/>
                <w:b/>
                <w:bCs/>
                <w:spacing w:val="-3"/>
              </w:rPr>
              <w:t>$19,626.81</w:t>
            </w:r>
          </w:p>
        </w:tc>
      </w:tr>
    </w:tbl>
    <w:p w:rsidR="00980F44" w:rsidP="00151D7B" w:rsidRDefault="00980F44" w14:paraId="298B8992" w14:textId="2AA2CA48">
      <w:pPr>
        <w:widowControl/>
        <w:tabs>
          <w:tab w:val="left" w:pos="360"/>
          <w:tab w:val="left" w:pos="1080"/>
        </w:tabs>
        <w:suppressAutoHyphens/>
        <w:overflowPunct/>
        <w:autoSpaceDE/>
        <w:autoSpaceDN/>
        <w:adjustRightInd/>
        <w:spacing w:after="240" w:line="360" w:lineRule="auto"/>
        <w:textAlignment w:val="auto"/>
        <w:rPr>
          <w:rFonts w:ascii="Times New Roman" w:hAnsi="Times New Roman"/>
          <w:spacing w:val="-3"/>
        </w:rPr>
      </w:pPr>
    </w:p>
    <w:p w:rsidRPr="00151D7B" w:rsidR="00151D7B" w:rsidP="00151D7B" w:rsidRDefault="00151D7B" w14:paraId="50479F5D" w14:textId="66A209CB">
      <w:pPr>
        <w:tabs>
          <w:tab w:val="left" w:pos="-720"/>
        </w:tabs>
        <w:suppressAutoHyphens/>
        <w:overflowPunct/>
        <w:autoSpaceDE/>
        <w:autoSpaceDN/>
        <w:adjustRightInd/>
        <w:spacing w:before="240" w:line="360" w:lineRule="auto"/>
        <w:textAlignment w:val="auto"/>
        <w:rPr>
          <w:rFonts w:ascii="Times New Roman" w:hAnsi="Times New Roman"/>
          <w:spacing w:val="-3"/>
          <w:sz w:val="20"/>
        </w:rPr>
      </w:pPr>
      <w:r w:rsidRPr="00151D7B">
        <w:rPr>
          <w:rFonts w:ascii="Times New Roman" w:hAnsi="Times New Roman"/>
          <w:spacing w:val="-3"/>
          <w:sz w:val="20"/>
        </w:rPr>
        <w:t>*Wage rages determined in accordance with the Office of Personnel Management salaries and wages information (</w:t>
      </w:r>
      <w:hyperlink w:history="1" r:id="rId15">
        <w:r w:rsidRPr="004818F6" w:rsidR="00F1484D">
          <w:rPr>
            <w:rStyle w:val="Hyperlink"/>
            <w:rFonts w:ascii="Times New Roman" w:hAnsi="Times New Roman"/>
            <w:spacing w:val="-3"/>
            <w:sz w:val="20"/>
          </w:rPr>
          <w:t>https://www.opm.gov/policy-data-oversight/pay-leave/salaries-wages/salary-tables/20Tables/html/DCB_h.aspx</w:t>
        </w:r>
      </w:hyperlink>
      <w:r w:rsidRPr="00151D7B">
        <w:rPr>
          <w:rFonts w:ascii="Times New Roman" w:hAnsi="Times New Roman"/>
          <w:spacing w:val="-3"/>
          <w:sz w:val="20"/>
        </w:rPr>
        <w:t>)</w:t>
      </w:r>
    </w:p>
    <w:p w:rsidR="00ED28F2" w:rsidP="00ED28F2" w:rsidRDefault="00ED28F2" w14:paraId="7B2A096E" w14:textId="2717DF49">
      <w:pPr>
        <w:tabs>
          <w:tab w:val="left" w:pos="-720"/>
        </w:tabs>
        <w:suppressAutoHyphens/>
        <w:spacing w:line="480" w:lineRule="auto"/>
        <w:rPr>
          <w:rFonts w:ascii="Times New Roman" w:hAnsi="Times New Roman"/>
          <w:szCs w:val="24"/>
        </w:rPr>
      </w:pPr>
    </w:p>
    <w:p w:rsidRPr="002568E6" w:rsidR="00900B20" w:rsidP="00ED28F2" w:rsidRDefault="00900B20" w14:paraId="59DDAD83" w14:textId="77777777">
      <w:pPr>
        <w:tabs>
          <w:tab w:val="left" w:pos="-720"/>
        </w:tabs>
        <w:suppressAutoHyphens/>
        <w:spacing w:line="480" w:lineRule="auto"/>
        <w:rPr>
          <w:rFonts w:ascii="Times New Roman" w:hAnsi="Times New Roman"/>
          <w:szCs w:val="24"/>
        </w:rPr>
      </w:pPr>
    </w:p>
    <w:p w:rsidRPr="002568E6" w:rsidR="000438E8" w:rsidP="0062567E" w:rsidRDefault="000438E8" w14:paraId="7B2A096F" w14:textId="77777777">
      <w:pPr>
        <w:pStyle w:val="Heading1"/>
        <w:rPr>
          <w:szCs w:val="24"/>
        </w:rPr>
      </w:pPr>
      <w:bookmarkStart w:name="_Toc401831371" w:id="45"/>
      <w:bookmarkStart w:name="_Toc401832415" w:id="46"/>
      <w:bookmarkStart w:name="_Toc71026068" w:id="47"/>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45"/>
      <w:bookmarkEnd w:id="46"/>
      <w:bookmarkEnd w:id="47"/>
    </w:p>
    <w:p w:rsidRPr="002568E6" w:rsidR="0062567E" w:rsidP="00900B20" w:rsidRDefault="0062567E" w14:paraId="7B2A0970" w14:textId="77777777">
      <w:pPr>
        <w:tabs>
          <w:tab w:val="left" w:pos="0"/>
        </w:tabs>
        <w:suppressAutoHyphens/>
        <w:rPr>
          <w:rFonts w:ascii="Times New Roman" w:hAnsi="Times New Roman"/>
          <w:b/>
          <w:szCs w:val="24"/>
        </w:rPr>
      </w:pPr>
    </w:p>
    <w:p w:rsidRPr="002568E6" w:rsidR="0062567E" w:rsidP="0062567E" w:rsidRDefault="0062567E" w14:paraId="7B2A0971"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Pr="0064088B" w:rsidR="00ED28F2" w:rsidP="00EE1B18" w:rsidRDefault="00F05C94" w14:paraId="7B2A0973" w14:textId="7D079A02">
      <w:pPr>
        <w:tabs>
          <w:tab w:val="left" w:pos="-720"/>
        </w:tabs>
        <w:suppressAutoHyphens/>
        <w:spacing w:line="480" w:lineRule="auto"/>
        <w:rPr>
          <w:rFonts w:ascii="Times New Roman" w:hAnsi="Times New Roman"/>
          <w:szCs w:val="24"/>
        </w:rPr>
      </w:pPr>
      <w:r w:rsidRPr="00F05C94">
        <w:rPr>
          <w:rFonts w:ascii="Times New Roman" w:hAnsi="Times New Roman"/>
        </w:rPr>
        <w:t xml:space="preserve">This submission is a new information collection request as a result of program changes and will </w:t>
      </w:r>
      <w:r w:rsidRPr="00F05C94">
        <w:rPr>
          <w:rFonts w:ascii="Times New Roman" w:hAnsi="Times New Roman"/>
        </w:rPr>
        <w:lastRenderedPageBreak/>
        <w:t xml:space="preserve">add </w:t>
      </w:r>
      <w:r w:rsidR="00E344E7">
        <w:rPr>
          <w:rFonts w:ascii="Times New Roman" w:hAnsi="Times New Roman"/>
        </w:rPr>
        <w:t>1,508</w:t>
      </w:r>
      <w:r w:rsidRPr="00F05C94">
        <w:rPr>
          <w:rFonts w:ascii="Times New Roman" w:hAnsi="Times New Roman"/>
        </w:rPr>
        <w:t xml:space="preserve"> hours of burden to OMB’s inventory.</w:t>
      </w:r>
    </w:p>
    <w:p w:rsidRPr="002568E6" w:rsidR="006B4BFE" w:rsidP="000438E8" w:rsidRDefault="006B4BFE" w14:paraId="7B2A0974" w14:textId="77777777">
      <w:pPr>
        <w:tabs>
          <w:tab w:val="left" w:pos="0"/>
        </w:tabs>
        <w:suppressAutoHyphens/>
        <w:rPr>
          <w:rFonts w:ascii="Times New Roman" w:hAnsi="Times New Roman"/>
          <w:szCs w:val="24"/>
        </w:rPr>
      </w:pPr>
    </w:p>
    <w:p w:rsidRPr="002568E6" w:rsidR="00A308DB" w:rsidP="0062567E" w:rsidRDefault="000438E8" w14:paraId="7B2A0975" w14:textId="2C9BFD71">
      <w:pPr>
        <w:pStyle w:val="Heading1"/>
        <w:rPr>
          <w:szCs w:val="24"/>
        </w:rPr>
      </w:pPr>
      <w:bookmarkStart w:name="_Toc401831372" w:id="48"/>
      <w:bookmarkStart w:name="_Toc401832416" w:id="49"/>
      <w:bookmarkStart w:name="_Toc71026069" w:id="50"/>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48"/>
      <w:bookmarkEnd w:id="49"/>
      <w:bookmarkEnd w:id="50"/>
    </w:p>
    <w:p w:rsidRPr="002568E6" w:rsidR="00A308DB" w:rsidP="000438E8" w:rsidRDefault="00A308DB" w14:paraId="7B2A0976" w14:textId="77777777">
      <w:pPr>
        <w:tabs>
          <w:tab w:val="left" w:pos="0"/>
        </w:tabs>
        <w:suppressAutoHyphens/>
        <w:rPr>
          <w:rFonts w:ascii="Times New Roman" w:hAnsi="Times New Roman"/>
          <w:b/>
          <w:szCs w:val="24"/>
        </w:rPr>
      </w:pPr>
    </w:p>
    <w:p w:rsidRPr="002568E6" w:rsidR="0062567E" w:rsidP="0062567E" w:rsidRDefault="0062567E" w14:paraId="7B2A0977"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7B2A0978" w14:textId="77777777">
      <w:pPr>
        <w:tabs>
          <w:tab w:val="left" w:pos="-720"/>
        </w:tabs>
        <w:suppressAutoHyphens/>
        <w:rPr>
          <w:rFonts w:ascii="Times New Roman" w:hAnsi="Times New Roman"/>
          <w:szCs w:val="24"/>
        </w:rPr>
      </w:pPr>
    </w:p>
    <w:p w:rsidRPr="0083670E" w:rsidR="000438E8" w:rsidP="00814E9A" w:rsidRDefault="0083670E" w14:paraId="7B2A097A" w14:textId="1C37E6BF">
      <w:pPr>
        <w:tabs>
          <w:tab w:val="left" w:pos="0"/>
        </w:tabs>
        <w:suppressAutoHyphens/>
        <w:spacing w:line="480" w:lineRule="auto"/>
        <w:rPr>
          <w:rFonts w:ascii="Times New Roman" w:hAnsi="Times New Roman"/>
          <w:szCs w:val="24"/>
        </w:rPr>
      </w:pPr>
      <w:r w:rsidRPr="0083670E">
        <w:rPr>
          <w:rFonts w:ascii="Times New Roman" w:hAnsi="Times New Roman"/>
        </w:rPr>
        <w:t xml:space="preserve">Information in the grant applications will not be published.  Disclosure of information contained in the grant application package is subject to the Freedom of Information Act and The Privacy Act, </w:t>
      </w:r>
      <w:hyperlink w:history="1" r:id="rId16">
        <w:r w:rsidRPr="0083670E">
          <w:rPr>
            <w:rStyle w:val="Hyperlink"/>
            <w:rFonts w:ascii="Times New Roman" w:hAnsi="Times New Roman"/>
          </w:rPr>
          <w:t>www.fns.usda.gov/privacy-policy</w:t>
        </w:r>
      </w:hyperlink>
      <w:r w:rsidRPr="0083670E">
        <w:rPr>
          <w:rFonts w:ascii="Times New Roman" w:hAnsi="Times New Roman"/>
        </w:rPr>
        <w:t>. FNS will publicize summary information of the applicants that receive funding on the FNS website</w:t>
      </w:r>
      <w:r w:rsidRPr="0083670E" w:rsidR="00EE1B18">
        <w:rPr>
          <w:rFonts w:ascii="Times New Roman" w:hAnsi="Times New Roman"/>
          <w:szCs w:val="24"/>
        </w:rPr>
        <w:t>.</w:t>
      </w:r>
    </w:p>
    <w:p w:rsidRPr="002568E6" w:rsidR="00F1484D" w:rsidP="000438E8" w:rsidRDefault="00F1484D" w14:paraId="4CC9367D" w14:textId="77777777">
      <w:pPr>
        <w:tabs>
          <w:tab w:val="left" w:pos="0"/>
        </w:tabs>
        <w:suppressAutoHyphens/>
        <w:rPr>
          <w:rFonts w:ascii="Times New Roman" w:hAnsi="Times New Roman"/>
          <w:szCs w:val="24"/>
        </w:rPr>
      </w:pPr>
    </w:p>
    <w:p w:rsidRPr="002568E6" w:rsidR="00A308DB" w:rsidP="0062567E" w:rsidRDefault="000438E8" w14:paraId="7B2A097B" w14:textId="77777777">
      <w:pPr>
        <w:pStyle w:val="Heading1"/>
        <w:rPr>
          <w:szCs w:val="24"/>
        </w:rPr>
      </w:pPr>
      <w:bookmarkStart w:name="_Toc401831373" w:id="51"/>
      <w:bookmarkStart w:name="_Toc401832417" w:id="52"/>
      <w:bookmarkStart w:name="_Toc71026070" w:id="53"/>
      <w:r w:rsidRPr="002568E6">
        <w:rPr>
          <w:szCs w:val="24"/>
        </w:rPr>
        <w:t xml:space="preserve">A17.  </w:t>
      </w:r>
      <w:r w:rsidRPr="002568E6" w:rsidR="001C6CBE">
        <w:rPr>
          <w:szCs w:val="24"/>
        </w:rPr>
        <w:t>Displaying the OMB Approval Expiration Date.</w:t>
      </w:r>
      <w:bookmarkEnd w:id="51"/>
      <w:bookmarkEnd w:id="52"/>
      <w:bookmarkEnd w:id="53"/>
    </w:p>
    <w:p w:rsidRPr="002568E6" w:rsidR="0062567E" w:rsidP="0062567E" w:rsidRDefault="0062567E" w14:paraId="7B2A097C" w14:textId="77777777">
      <w:pPr>
        <w:pStyle w:val="ListParagraph"/>
        <w:widowControl/>
        <w:spacing w:line="240" w:lineRule="auto"/>
        <w:ind w:left="0"/>
        <w:rPr>
          <w:b/>
          <w:szCs w:val="24"/>
        </w:rPr>
      </w:pPr>
    </w:p>
    <w:p w:rsidRPr="002568E6" w:rsidR="0062567E" w:rsidP="0062567E" w:rsidRDefault="0062567E" w14:paraId="7B2A097D"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7B2A097E" w14:textId="77777777">
      <w:pPr>
        <w:tabs>
          <w:tab w:val="left" w:pos="-720"/>
        </w:tabs>
        <w:suppressAutoHyphens/>
        <w:rPr>
          <w:rFonts w:ascii="Times New Roman" w:hAnsi="Times New Roman"/>
          <w:szCs w:val="24"/>
        </w:rPr>
      </w:pPr>
    </w:p>
    <w:p w:rsidRPr="002568E6" w:rsidR="00ED28F2" w:rsidP="00ED28F2" w:rsidRDefault="00EE1B18" w14:paraId="7B2A097F" w14:textId="7F8D1576">
      <w:pPr>
        <w:tabs>
          <w:tab w:val="left" w:pos="-720"/>
        </w:tabs>
        <w:suppressAutoHyphens/>
        <w:spacing w:line="480" w:lineRule="auto"/>
        <w:rPr>
          <w:rFonts w:ascii="Times New Roman" w:hAnsi="Times New Roman"/>
          <w:szCs w:val="24"/>
        </w:rPr>
      </w:pPr>
      <w:r w:rsidRPr="00EE1B18">
        <w:rPr>
          <w:rFonts w:ascii="Times New Roman" w:hAnsi="Times New Roman"/>
          <w:szCs w:val="24"/>
        </w:rPr>
        <w:t xml:space="preserve">The agency plans to display </w:t>
      </w:r>
      <w:r w:rsidR="0083670E">
        <w:rPr>
          <w:rFonts w:ascii="Times New Roman" w:hAnsi="Times New Roman"/>
          <w:szCs w:val="24"/>
        </w:rPr>
        <w:t xml:space="preserve">OMB control number and </w:t>
      </w:r>
      <w:r w:rsidRPr="00EE1B18">
        <w:rPr>
          <w:rFonts w:ascii="Times New Roman" w:hAnsi="Times New Roman"/>
          <w:szCs w:val="24"/>
        </w:rPr>
        <w:t>the</w:t>
      </w:r>
      <w:r w:rsidR="0083670E">
        <w:rPr>
          <w:rFonts w:ascii="Times New Roman" w:hAnsi="Times New Roman"/>
          <w:szCs w:val="24"/>
        </w:rPr>
        <w:t xml:space="preserve"> expiration date</w:t>
      </w:r>
      <w:r w:rsidRPr="00EE1B18">
        <w:rPr>
          <w:rFonts w:ascii="Times New Roman" w:hAnsi="Times New Roman"/>
          <w:szCs w:val="24"/>
        </w:rPr>
        <w:t xml:space="preserve"> on all instruments.</w:t>
      </w:r>
    </w:p>
    <w:p w:rsidRPr="002568E6" w:rsidR="000438E8" w:rsidP="000438E8" w:rsidRDefault="000438E8" w14:paraId="7B2A0980" w14:textId="77777777">
      <w:pPr>
        <w:tabs>
          <w:tab w:val="left" w:pos="0"/>
        </w:tabs>
        <w:suppressAutoHyphens/>
        <w:rPr>
          <w:rFonts w:ascii="Times New Roman" w:hAnsi="Times New Roman"/>
          <w:szCs w:val="24"/>
        </w:rPr>
      </w:pPr>
    </w:p>
    <w:p w:rsidRPr="002568E6" w:rsidR="00A308DB" w:rsidP="0062567E" w:rsidRDefault="000438E8" w14:paraId="7B2A0981" w14:textId="2ECD3E9B">
      <w:pPr>
        <w:pStyle w:val="Heading1"/>
        <w:rPr>
          <w:szCs w:val="24"/>
        </w:rPr>
      </w:pPr>
      <w:bookmarkStart w:name="_Toc401831374" w:id="54"/>
      <w:bookmarkStart w:name="_Toc401832418" w:id="55"/>
      <w:bookmarkStart w:name="_Toc71026071" w:id="56"/>
      <w:r w:rsidRPr="002568E6">
        <w:rPr>
          <w:szCs w:val="24"/>
        </w:rPr>
        <w:t>A18.  Exception</w:t>
      </w:r>
      <w:r w:rsidR="002568E6">
        <w:rPr>
          <w:szCs w:val="24"/>
        </w:rPr>
        <w:t>s</w:t>
      </w:r>
      <w:r w:rsidRPr="002568E6">
        <w:rPr>
          <w:szCs w:val="24"/>
        </w:rPr>
        <w:t xml:space="preserve"> to the certification statement identified in Item 19.</w:t>
      </w:r>
      <w:bookmarkEnd w:id="54"/>
      <w:bookmarkEnd w:id="55"/>
      <w:bookmarkEnd w:id="56"/>
    </w:p>
    <w:p w:rsidRPr="002568E6" w:rsidR="0062567E" w:rsidP="000438E8" w:rsidRDefault="0062567E" w14:paraId="7B2A0982" w14:textId="77777777">
      <w:pPr>
        <w:tabs>
          <w:tab w:val="left" w:pos="0"/>
        </w:tabs>
        <w:suppressAutoHyphens/>
        <w:rPr>
          <w:rFonts w:ascii="Times New Roman" w:hAnsi="Times New Roman"/>
          <w:b/>
          <w:szCs w:val="24"/>
        </w:rPr>
      </w:pPr>
    </w:p>
    <w:p w:rsidRPr="002568E6" w:rsidR="0062567E" w:rsidP="000438E8" w:rsidRDefault="0062567E" w14:paraId="7B2A0983"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720FA0" w:rsidP="00C23E2D" w:rsidRDefault="00720FA0" w14:paraId="461AE7D9" w14:textId="77777777">
      <w:pPr>
        <w:tabs>
          <w:tab w:val="left" w:pos="-720"/>
        </w:tabs>
        <w:suppressAutoHyphens/>
        <w:spacing w:line="480" w:lineRule="auto"/>
        <w:rPr>
          <w:rFonts w:ascii="Times New Roman" w:hAnsi="Times New Roman"/>
          <w:szCs w:val="24"/>
        </w:rPr>
      </w:pPr>
    </w:p>
    <w:p w:rsidR="003F1A2C" w:rsidP="00C23E2D" w:rsidRDefault="00D51023" w14:paraId="02771CA9" w14:textId="373D4F60">
      <w:pPr>
        <w:tabs>
          <w:tab w:val="left" w:pos="-720"/>
        </w:tabs>
        <w:suppressAutoHyphens/>
        <w:spacing w:line="480" w:lineRule="auto"/>
        <w:rPr>
          <w:rFonts w:ascii="Times New Roman" w:hAnsi="Times New Roman"/>
          <w:szCs w:val="24"/>
        </w:rPr>
      </w:pPr>
      <w:r>
        <w:rPr>
          <w:rFonts w:ascii="Times New Roman" w:hAnsi="Times New Roman"/>
          <w:szCs w:val="24"/>
        </w:rPr>
        <w:t>FNS does not have any exceptions to the certification statement.</w:t>
      </w:r>
    </w:p>
    <w:sectPr w:rsidR="003F1A2C" w:rsidSect="006841DE">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52D4D" w14:textId="77777777" w:rsidR="00CB697E" w:rsidRDefault="00CB697E">
      <w:pPr>
        <w:spacing w:line="20" w:lineRule="exact"/>
      </w:pPr>
    </w:p>
  </w:endnote>
  <w:endnote w:type="continuationSeparator" w:id="0">
    <w:p w14:paraId="445B5BEA" w14:textId="77777777" w:rsidR="00CB697E" w:rsidRDefault="00CB697E">
      <w:r>
        <w:t xml:space="preserve"> </w:t>
      </w:r>
    </w:p>
  </w:endnote>
  <w:endnote w:type="continuationNotice" w:id="1">
    <w:p w14:paraId="1ACAB08D" w14:textId="77777777" w:rsidR="00CB697E" w:rsidRDefault="00CB69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27A2" w14:textId="213DE3EC" w:rsidR="00D77B50" w:rsidRPr="00935A96" w:rsidRDefault="00D77B50" w:rsidP="006841DE">
    <w:pPr>
      <w:pStyle w:val="Footer"/>
      <w:tabs>
        <w:tab w:val="left" w:pos="720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C3A4" w14:textId="77777777" w:rsidR="00CB697E" w:rsidRDefault="00CB697E">
      <w:r>
        <w:separator/>
      </w:r>
    </w:p>
  </w:footnote>
  <w:footnote w:type="continuationSeparator" w:id="0">
    <w:p w14:paraId="352AF218" w14:textId="77777777" w:rsidR="00CB697E" w:rsidRDefault="00CB697E">
      <w:r>
        <w:continuationSeparator/>
      </w:r>
    </w:p>
  </w:footnote>
  <w:footnote w:id="1">
    <w:p w14:paraId="18128D8B" w14:textId="0F5D600E" w:rsidR="00D77B50" w:rsidRPr="00262485" w:rsidRDefault="00D77B50">
      <w:pPr>
        <w:pStyle w:val="FootnoteText"/>
        <w:rPr>
          <w:rFonts w:ascii="Times New Roman" w:hAnsi="Times New Roman"/>
        </w:rPr>
      </w:pPr>
      <w:r w:rsidRPr="00262485">
        <w:rPr>
          <w:rStyle w:val="FootnoteReference"/>
          <w:rFonts w:ascii="Times New Roman" w:hAnsi="Times New Roman"/>
        </w:rPr>
        <w:footnoteRef/>
      </w:r>
      <w:hyperlink r:id="rId1" w:history="1">
        <w:r w:rsidRPr="00F43858">
          <w:rPr>
            <w:rStyle w:val="Hyperlink"/>
            <w:rFonts w:ascii="Times New Roman" w:hAnsi="Times New Roman"/>
          </w:rPr>
          <w:t>https://www.bls.gov/oes/current/oes119039.htm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204108"/>
    <w:multiLevelType w:val="hybridMultilevel"/>
    <w:tmpl w:val="02CE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56E5772"/>
    <w:multiLevelType w:val="hybridMultilevel"/>
    <w:tmpl w:val="10887F3E"/>
    <w:lvl w:ilvl="0" w:tplc="5E10E2B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A1581"/>
    <w:multiLevelType w:val="hybridMultilevel"/>
    <w:tmpl w:val="81E80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36822"/>
    <w:multiLevelType w:val="hybridMultilevel"/>
    <w:tmpl w:val="690E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104CA"/>
    <w:multiLevelType w:val="hybridMultilevel"/>
    <w:tmpl w:val="EE328F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512FE"/>
    <w:multiLevelType w:val="hybridMultilevel"/>
    <w:tmpl w:val="3F7A9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C6B9F"/>
    <w:multiLevelType w:val="hybridMultilevel"/>
    <w:tmpl w:val="EFA2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C0109"/>
    <w:multiLevelType w:val="hybridMultilevel"/>
    <w:tmpl w:val="C3B0D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2"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1"/>
  </w:num>
  <w:num w:numId="3">
    <w:abstractNumId w:val="30"/>
  </w:num>
  <w:num w:numId="4">
    <w:abstractNumId w:val="12"/>
  </w:num>
  <w:num w:numId="5">
    <w:abstractNumId w:val="3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7"/>
  </w:num>
  <w:num w:numId="19">
    <w:abstractNumId w:val="11"/>
  </w:num>
  <w:num w:numId="20">
    <w:abstractNumId w:val="27"/>
  </w:num>
  <w:num w:numId="21">
    <w:abstractNumId w:val="23"/>
  </w:num>
  <w:num w:numId="22">
    <w:abstractNumId w:val="22"/>
  </w:num>
  <w:num w:numId="23">
    <w:abstractNumId w:val="32"/>
  </w:num>
  <w:num w:numId="24">
    <w:abstractNumId w:val="18"/>
  </w:num>
  <w:num w:numId="25">
    <w:abstractNumId w:val="24"/>
  </w:num>
  <w:num w:numId="26">
    <w:abstractNumId w:val="26"/>
  </w:num>
  <w:num w:numId="27">
    <w:abstractNumId w:val="10"/>
  </w:num>
  <w:num w:numId="28">
    <w:abstractNumId w:val="28"/>
  </w:num>
  <w:num w:numId="29">
    <w:abstractNumId w:val="16"/>
  </w:num>
  <w:num w:numId="30">
    <w:abstractNumId w:val="14"/>
  </w:num>
  <w:num w:numId="31">
    <w:abstractNumId w:val="19"/>
  </w:num>
  <w:num w:numId="32">
    <w:abstractNumId w:val="20"/>
  </w:num>
  <w:num w:numId="33">
    <w:abstractNumId w:val="2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914"/>
    <w:rsid w:val="00010DE3"/>
    <w:rsid w:val="00010DEC"/>
    <w:rsid w:val="00011898"/>
    <w:rsid w:val="00014023"/>
    <w:rsid w:val="000145E1"/>
    <w:rsid w:val="00014B4D"/>
    <w:rsid w:val="00015FCF"/>
    <w:rsid w:val="000223C1"/>
    <w:rsid w:val="00022592"/>
    <w:rsid w:val="000234FF"/>
    <w:rsid w:val="00023521"/>
    <w:rsid w:val="00023BFF"/>
    <w:rsid w:val="00027233"/>
    <w:rsid w:val="00027438"/>
    <w:rsid w:val="00032621"/>
    <w:rsid w:val="000329F0"/>
    <w:rsid w:val="000373C7"/>
    <w:rsid w:val="00040718"/>
    <w:rsid w:val="000417D2"/>
    <w:rsid w:val="000431A5"/>
    <w:rsid w:val="0004364B"/>
    <w:rsid w:val="000438E8"/>
    <w:rsid w:val="000447C0"/>
    <w:rsid w:val="0004539F"/>
    <w:rsid w:val="000460EC"/>
    <w:rsid w:val="0004668E"/>
    <w:rsid w:val="00047338"/>
    <w:rsid w:val="00047AFB"/>
    <w:rsid w:val="00047E46"/>
    <w:rsid w:val="000507EA"/>
    <w:rsid w:val="00052C5C"/>
    <w:rsid w:val="00053AB5"/>
    <w:rsid w:val="00054647"/>
    <w:rsid w:val="00054E5E"/>
    <w:rsid w:val="00056479"/>
    <w:rsid w:val="0006004A"/>
    <w:rsid w:val="00060175"/>
    <w:rsid w:val="0006089A"/>
    <w:rsid w:val="00061FC3"/>
    <w:rsid w:val="000621C5"/>
    <w:rsid w:val="0006369E"/>
    <w:rsid w:val="00063761"/>
    <w:rsid w:val="00063800"/>
    <w:rsid w:val="0006449A"/>
    <w:rsid w:val="00064754"/>
    <w:rsid w:val="0006609B"/>
    <w:rsid w:val="00070A9C"/>
    <w:rsid w:val="00071ACF"/>
    <w:rsid w:val="00072177"/>
    <w:rsid w:val="00072C97"/>
    <w:rsid w:val="000744ED"/>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62"/>
    <w:rsid w:val="000A3781"/>
    <w:rsid w:val="000A4F8D"/>
    <w:rsid w:val="000A7424"/>
    <w:rsid w:val="000B26F3"/>
    <w:rsid w:val="000B3EF0"/>
    <w:rsid w:val="000B50C9"/>
    <w:rsid w:val="000B5DEB"/>
    <w:rsid w:val="000B7836"/>
    <w:rsid w:val="000C089B"/>
    <w:rsid w:val="000C10F7"/>
    <w:rsid w:val="000C55A2"/>
    <w:rsid w:val="000C5B0F"/>
    <w:rsid w:val="000C7369"/>
    <w:rsid w:val="000D0C93"/>
    <w:rsid w:val="000D17F6"/>
    <w:rsid w:val="000D279A"/>
    <w:rsid w:val="000D2CDB"/>
    <w:rsid w:val="000D42C0"/>
    <w:rsid w:val="000D5750"/>
    <w:rsid w:val="000D6419"/>
    <w:rsid w:val="000D724C"/>
    <w:rsid w:val="000E1CA0"/>
    <w:rsid w:val="000E2E6E"/>
    <w:rsid w:val="000E3CC6"/>
    <w:rsid w:val="000E4107"/>
    <w:rsid w:val="000E60A0"/>
    <w:rsid w:val="000E61B9"/>
    <w:rsid w:val="000E6CC9"/>
    <w:rsid w:val="000E7822"/>
    <w:rsid w:val="000E7D6D"/>
    <w:rsid w:val="000F1885"/>
    <w:rsid w:val="000F1BD4"/>
    <w:rsid w:val="000F24C8"/>
    <w:rsid w:val="000F2BAE"/>
    <w:rsid w:val="000F4EE7"/>
    <w:rsid w:val="000F52ED"/>
    <w:rsid w:val="000F6949"/>
    <w:rsid w:val="001052BD"/>
    <w:rsid w:val="0010698D"/>
    <w:rsid w:val="00106A09"/>
    <w:rsid w:val="00110773"/>
    <w:rsid w:val="00114D11"/>
    <w:rsid w:val="00115E73"/>
    <w:rsid w:val="001170E4"/>
    <w:rsid w:val="0011713C"/>
    <w:rsid w:val="00117A58"/>
    <w:rsid w:val="0012078A"/>
    <w:rsid w:val="00120E7F"/>
    <w:rsid w:val="00121633"/>
    <w:rsid w:val="00122007"/>
    <w:rsid w:val="0012249E"/>
    <w:rsid w:val="0012323F"/>
    <w:rsid w:val="00124711"/>
    <w:rsid w:val="0012531F"/>
    <w:rsid w:val="00127364"/>
    <w:rsid w:val="00130FB4"/>
    <w:rsid w:val="00132669"/>
    <w:rsid w:val="00132EF8"/>
    <w:rsid w:val="00132F0C"/>
    <w:rsid w:val="0013306C"/>
    <w:rsid w:val="001334EF"/>
    <w:rsid w:val="0013469F"/>
    <w:rsid w:val="001363FB"/>
    <w:rsid w:val="001378D8"/>
    <w:rsid w:val="00137C85"/>
    <w:rsid w:val="00143411"/>
    <w:rsid w:val="0014383A"/>
    <w:rsid w:val="00143852"/>
    <w:rsid w:val="00145FCB"/>
    <w:rsid w:val="00146025"/>
    <w:rsid w:val="0015139F"/>
    <w:rsid w:val="00151D7B"/>
    <w:rsid w:val="00151DF5"/>
    <w:rsid w:val="00154D85"/>
    <w:rsid w:val="00156839"/>
    <w:rsid w:val="00157282"/>
    <w:rsid w:val="00160DAC"/>
    <w:rsid w:val="001613F6"/>
    <w:rsid w:val="00166501"/>
    <w:rsid w:val="001672A7"/>
    <w:rsid w:val="001673BF"/>
    <w:rsid w:val="00167686"/>
    <w:rsid w:val="001707E2"/>
    <w:rsid w:val="001710FC"/>
    <w:rsid w:val="00171619"/>
    <w:rsid w:val="00172B17"/>
    <w:rsid w:val="0017348C"/>
    <w:rsid w:val="00180150"/>
    <w:rsid w:val="00182728"/>
    <w:rsid w:val="001829D2"/>
    <w:rsid w:val="0018306B"/>
    <w:rsid w:val="001834A9"/>
    <w:rsid w:val="0018456B"/>
    <w:rsid w:val="00185270"/>
    <w:rsid w:val="0018740F"/>
    <w:rsid w:val="001912C2"/>
    <w:rsid w:val="00193D4D"/>
    <w:rsid w:val="001963D1"/>
    <w:rsid w:val="001964E8"/>
    <w:rsid w:val="001A01C9"/>
    <w:rsid w:val="001A63AF"/>
    <w:rsid w:val="001A687A"/>
    <w:rsid w:val="001B1E25"/>
    <w:rsid w:val="001B3D92"/>
    <w:rsid w:val="001B7724"/>
    <w:rsid w:val="001C15C7"/>
    <w:rsid w:val="001C256E"/>
    <w:rsid w:val="001C3A4C"/>
    <w:rsid w:val="001C4C39"/>
    <w:rsid w:val="001C5266"/>
    <w:rsid w:val="001C5B13"/>
    <w:rsid w:val="001C6CBE"/>
    <w:rsid w:val="001C70AF"/>
    <w:rsid w:val="001C7DC9"/>
    <w:rsid w:val="001D1F6E"/>
    <w:rsid w:val="001D2F45"/>
    <w:rsid w:val="001D343E"/>
    <w:rsid w:val="001D4FB0"/>
    <w:rsid w:val="001D6CB0"/>
    <w:rsid w:val="001D7677"/>
    <w:rsid w:val="001E0748"/>
    <w:rsid w:val="001E22E9"/>
    <w:rsid w:val="001E5E66"/>
    <w:rsid w:val="001E668C"/>
    <w:rsid w:val="001F054A"/>
    <w:rsid w:val="001F4BF5"/>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21FC"/>
    <w:rsid w:val="00245150"/>
    <w:rsid w:val="00245CF0"/>
    <w:rsid w:val="00246457"/>
    <w:rsid w:val="002468EE"/>
    <w:rsid w:val="00250CEF"/>
    <w:rsid w:val="00251732"/>
    <w:rsid w:val="00252CF2"/>
    <w:rsid w:val="00253ECC"/>
    <w:rsid w:val="00255137"/>
    <w:rsid w:val="0025683E"/>
    <w:rsid w:val="002568E6"/>
    <w:rsid w:val="00260182"/>
    <w:rsid w:val="00260885"/>
    <w:rsid w:val="00262381"/>
    <w:rsid w:val="00262485"/>
    <w:rsid w:val="00262817"/>
    <w:rsid w:val="0026333C"/>
    <w:rsid w:val="002640ED"/>
    <w:rsid w:val="002649A9"/>
    <w:rsid w:val="00265623"/>
    <w:rsid w:val="002677D0"/>
    <w:rsid w:val="00267E64"/>
    <w:rsid w:val="00270D71"/>
    <w:rsid w:val="00272A66"/>
    <w:rsid w:val="00272DD6"/>
    <w:rsid w:val="002737E9"/>
    <w:rsid w:val="00275494"/>
    <w:rsid w:val="0027695F"/>
    <w:rsid w:val="00277BCD"/>
    <w:rsid w:val="00280BE5"/>
    <w:rsid w:val="00283364"/>
    <w:rsid w:val="00283F28"/>
    <w:rsid w:val="002900F6"/>
    <w:rsid w:val="00291A9C"/>
    <w:rsid w:val="002954B1"/>
    <w:rsid w:val="002A03CC"/>
    <w:rsid w:val="002A1B3D"/>
    <w:rsid w:val="002A7390"/>
    <w:rsid w:val="002B0654"/>
    <w:rsid w:val="002B46E1"/>
    <w:rsid w:val="002B4F85"/>
    <w:rsid w:val="002B6598"/>
    <w:rsid w:val="002C05AC"/>
    <w:rsid w:val="002C106E"/>
    <w:rsid w:val="002C2401"/>
    <w:rsid w:val="002C2537"/>
    <w:rsid w:val="002C4936"/>
    <w:rsid w:val="002C4A84"/>
    <w:rsid w:val="002C6748"/>
    <w:rsid w:val="002C7B26"/>
    <w:rsid w:val="002D0DED"/>
    <w:rsid w:val="002D1E33"/>
    <w:rsid w:val="002D47CD"/>
    <w:rsid w:val="002D75AF"/>
    <w:rsid w:val="002E1315"/>
    <w:rsid w:val="002E1A35"/>
    <w:rsid w:val="002E37A1"/>
    <w:rsid w:val="002E3B1B"/>
    <w:rsid w:val="002E3D8B"/>
    <w:rsid w:val="002E3E5E"/>
    <w:rsid w:val="002E40A9"/>
    <w:rsid w:val="002E6B5E"/>
    <w:rsid w:val="002E7427"/>
    <w:rsid w:val="002F1937"/>
    <w:rsid w:val="002F2888"/>
    <w:rsid w:val="002F28FD"/>
    <w:rsid w:val="002F3249"/>
    <w:rsid w:val="002F4036"/>
    <w:rsid w:val="002F51B4"/>
    <w:rsid w:val="002F5951"/>
    <w:rsid w:val="00304807"/>
    <w:rsid w:val="00307D2B"/>
    <w:rsid w:val="0031071F"/>
    <w:rsid w:val="003125D7"/>
    <w:rsid w:val="00312A60"/>
    <w:rsid w:val="003137E2"/>
    <w:rsid w:val="00313A06"/>
    <w:rsid w:val="003140F4"/>
    <w:rsid w:val="00314126"/>
    <w:rsid w:val="00315029"/>
    <w:rsid w:val="003154D3"/>
    <w:rsid w:val="003164E9"/>
    <w:rsid w:val="00322942"/>
    <w:rsid w:val="00324C06"/>
    <w:rsid w:val="00325195"/>
    <w:rsid w:val="0032533B"/>
    <w:rsid w:val="00326F10"/>
    <w:rsid w:val="00333190"/>
    <w:rsid w:val="003333DF"/>
    <w:rsid w:val="00334635"/>
    <w:rsid w:val="00335E50"/>
    <w:rsid w:val="0033630C"/>
    <w:rsid w:val="0033721D"/>
    <w:rsid w:val="00341BC3"/>
    <w:rsid w:val="00341DA8"/>
    <w:rsid w:val="00341DEE"/>
    <w:rsid w:val="00342170"/>
    <w:rsid w:val="00343967"/>
    <w:rsid w:val="0034535B"/>
    <w:rsid w:val="0034537B"/>
    <w:rsid w:val="00350550"/>
    <w:rsid w:val="00350FE5"/>
    <w:rsid w:val="003521A9"/>
    <w:rsid w:val="003549E3"/>
    <w:rsid w:val="0035606E"/>
    <w:rsid w:val="00356D92"/>
    <w:rsid w:val="00360B8B"/>
    <w:rsid w:val="003637E7"/>
    <w:rsid w:val="0036497A"/>
    <w:rsid w:val="003651AE"/>
    <w:rsid w:val="00366B3E"/>
    <w:rsid w:val="00366BB8"/>
    <w:rsid w:val="0037115C"/>
    <w:rsid w:val="00372784"/>
    <w:rsid w:val="00376E39"/>
    <w:rsid w:val="003770FE"/>
    <w:rsid w:val="00383C0A"/>
    <w:rsid w:val="00385A58"/>
    <w:rsid w:val="00386068"/>
    <w:rsid w:val="003874A5"/>
    <w:rsid w:val="0038794B"/>
    <w:rsid w:val="00393405"/>
    <w:rsid w:val="00395831"/>
    <w:rsid w:val="00396E91"/>
    <w:rsid w:val="003A222F"/>
    <w:rsid w:val="003A4F9D"/>
    <w:rsid w:val="003A556E"/>
    <w:rsid w:val="003A7703"/>
    <w:rsid w:val="003B0FD0"/>
    <w:rsid w:val="003B10E4"/>
    <w:rsid w:val="003B1199"/>
    <w:rsid w:val="003B1D07"/>
    <w:rsid w:val="003B28E2"/>
    <w:rsid w:val="003B4C92"/>
    <w:rsid w:val="003B4D28"/>
    <w:rsid w:val="003C2346"/>
    <w:rsid w:val="003C3FCC"/>
    <w:rsid w:val="003C41FC"/>
    <w:rsid w:val="003C5275"/>
    <w:rsid w:val="003C533C"/>
    <w:rsid w:val="003C5E7D"/>
    <w:rsid w:val="003C646A"/>
    <w:rsid w:val="003C6BDD"/>
    <w:rsid w:val="003D2FA4"/>
    <w:rsid w:val="003D3135"/>
    <w:rsid w:val="003D4A0F"/>
    <w:rsid w:val="003D6927"/>
    <w:rsid w:val="003E0247"/>
    <w:rsid w:val="003E0C25"/>
    <w:rsid w:val="003E0D93"/>
    <w:rsid w:val="003E2F2D"/>
    <w:rsid w:val="003E37C4"/>
    <w:rsid w:val="003E64F6"/>
    <w:rsid w:val="003F1A2C"/>
    <w:rsid w:val="003F33D5"/>
    <w:rsid w:val="003F7EFD"/>
    <w:rsid w:val="004000FA"/>
    <w:rsid w:val="00400754"/>
    <w:rsid w:val="004033DD"/>
    <w:rsid w:val="004037F9"/>
    <w:rsid w:val="0040495B"/>
    <w:rsid w:val="004060BE"/>
    <w:rsid w:val="004061F0"/>
    <w:rsid w:val="0040644F"/>
    <w:rsid w:val="00407AEA"/>
    <w:rsid w:val="004113AB"/>
    <w:rsid w:val="004113B9"/>
    <w:rsid w:val="004127EA"/>
    <w:rsid w:val="00415AE6"/>
    <w:rsid w:val="00417C54"/>
    <w:rsid w:val="00417D5F"/>
    <w:rsid w:val="00422327"/>
    <w:rsid w:val="00423275"/>
    <w:rsid w:val="00426F2B"/>
    <w:rsid w:val="0042787C"/>
    <w:rsid w:val="0043148A"/>
    <w:rsid w:val="00431975"/>
    <w:rsid w:val="00432197"/>
    <w:rsid w:val="00432716"/>
    <w:rsid w:val="00432C89"/>
    <w:rsid w:val="0043383F"/>
    <w:rsid w:val="00435AB5"/>
    <w:rsid w:val="00437234"/>
    <w:rsid w:val="00437471"/>
    <w:rsid w:val="00440392"/>
    <w:rsid w:val="00442B73"/>
    <w:rsid w:val="00443A6D"/>
    <w:rsid w:val="00444229"/>
    <w:rsid w:val="004459C6"/>
    <w:rsid w:val="00446314"/>
    <w:rsid w:val="004470D5"/>
    <w:rsid w:val="00447C1E"/>
    <w:rsid w:val="00451DEC"/>
    <w:rsid w:val="00452E03"/>
    <w:rsid w:val="00455134"/>
    <w:rsid w:val="0045641D"/>
    <w:rsid w:val="00457267"/>
    <w:rsid w:val="004600D7"/>
    <w:rsid w:val="00460622"/>
    <w:rsid w:val="00462B00"/>
    <w:rsid w:val="00462C4E"/>
    <w:rsid w:val="0046423B"/>
    <w:rsid w:val="00464A34"/>
    <w:rsid w:val="004652FD"/>
    <w:rsid w:val="004708FD"/>
    <w:rsid w:val="00471312"/>
    <w:rsid w:val="004714B1"/>
    <w:rsid w:val="00472A8F"/>
    <w:rsid w:val="00472E23"/>
    <w:rsid w:val="00474157"/>
    <w:rsid w:val="0047436D"/>
    <w:rsid w:val="00474A8E"/>
    <w:rsid w:val="004752E2"/>
    <w:rsid w:val="0047544E"/>
    <w:rsid w:val="0047561A"/>
    <w:rsid w:val="00476676"/>
    <w:rsid w:val="00477E91"/>
    <w:rsid w:val="0048076C"/>
    <w:rsid w:val="00483781"/>
    <w:rsid w:val="00483CCC"/>
    <w:rsid w:val="00483F2C"/>
    <w:rsid w:val="00486B5D"/>
    <w:rsid w:val="0049109E"/>
    <w:rsid w:val="00494A82"/>
    <w:rsid w:val="00495086"/>
    <w:rsid w:val="004A2D34"/>
    <w:rsid w:val="004A2F08"/>
    <w:rsid w:val="004A48CA"/>
    <w:rsid w:val="004A543C"/>
    <w:rsid w:val="004A6286"/>
    <w:rsid w:val="004A6581"/>
    <w:rsid w:val="004A70B8"/>
    <w:rsid w:val="004B46EC"/>
    <w:rsid w:val="004B5BE1"/>
    <w:rsid w:val="004C2E49"/>
    <w:rsid w:val="004C50AE"/>
    <w:rsid w:val="004C615B"/>
    <w:rsid w:val="004C69A7"/>
    <w:rsid w:val="004C719C"/>
    <w:rsid w:val="004D04AD"/>
    <w:rsid w:val="004D1FDB"/>
    <w:rsid w:val="004D3638"/>
    <w:rsid w:val="004D3903"/>
    <w:rsid w:val="004D43D3"/>
    <w:rsid w:val="004D4583"/>
    <w:rsid w:val="004D5E86"/>
    <w:rsid w:val="004E11D8"/>
    <w:rsid w:val="004E160F"/>
    <w:rsid w:val="004E4959"/>
    <w:rsid w:val="004E5D8C"/>
    <w:rsid w:val="004E5F80"/>
    <w:rsid w:val="004E6BFA"/>
    <w:rsid w:val="004E72D3"/>
    <w:rsid w:val="004E7651"/>
    <w:rsid w:val="004E7FD0"/>
    <w:rsid w:val="004F22CB"/>
    <w:rsid w:val="004F2540"/>
    <w:rsid w:val="004F2F54"/>
    <w:rsid w:val="004F40C6"/>
    <w:rsid w:val="004F422D"/>
    <w:rsid w:val="004F4886"/>
    <w:rsid w:val="004F6EDF"/>
    <w:rsid w:val="004F72C7"/>
    <w:rsid w:val="004F77ED"/>
    <w:rsid w:val="004F7E06"/>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4104"/>
    <w:rsid w:val="00525E4B"/>
    <w:rsid w:val="005266CA"/>
    <w:rsid w:val="0052671A"/>
    <w:rsid w:val="00531E6B"/>
    <w:rsid w:val="00532C45"/>
    <w:rsid w:val="005358BC"/>
    <w:rsid w:val="005362EB"/>
    <w:rsid w:val="005364A3"/>
    <w:rsid w:val="0053713F"/>
    <w:rsid w:val="00537800"/>
    <w:rsid w:val="00540608"/>
    <w:rsid w:val="00542038"/>
    <w:rsid w:val="00542051"/>
    <w:rsid w:val="00542C4F"/>
    <w:rsid w:val="005445BE"/>
    <w:rsid w:val="00545890"/>
    <w:rsid w:val="005468F9"/>
    <w:rsid w:val="00550A3B"/>
    <w:rsid w:val="00550E21"/>
    <w:rsid w:val="0055158F"/>
    <w:rsid w:val="005524A2"/>
    <w:rsid w:val="00553CCA"/>
    <w:rsid w:val="005547E1"/>
    <w:rsid w:val="005577E4"/>
    <w:rsid w:val="005601C3"/>
    <w:rsid w:val="00560A01"/>
    <w:rsid w:val="00563EAF"/>
    <w:rsid w:val="0056518C"/>
    <w:rsid w:val="00565D5B"/>
    <w:rsid w:val="00565FA4"/>
    <w:rsid w:val="005674F7"/>
    <w:rsid w:val="00567DE7"/>
    <w:rsid w:val="00571540"/>
    <w:rsid w:val="005721E3"/>
    <w:rsid w:val="005752F5"/>
    <w:rsid w:val="00580507"/>
    <w:rsid w:val="00581E48"/>
    <w:rsid w:val="005820C3"/>
    <w:rsid w:val="005827E8"/>
    <w:rsid w:val="005838D8"/>
    <w:rsid w:val="00584911"/>
    <w:rsid w:val="00585B91"/>
    <w:rsid w:val="00585F7F"/>
    <w:rsid w:val="00586F6C"/>
    <w:rsid w:val="005912FB"/>
    <w:rsid w:val="005917B8"/>
    <w:rsid w:val="00591AD7"/>
    <w:rsid w:val="0059282D"/>
    <w:rsid w:val="005940EB"/>
    <w:rsid w:val="0059525A"/>
    <w:rsid w:val="0059545A"/>
    <w:rsid w:val="005955C7"/>
    <w:rsid w:val="00596675"/>
    <w:rsid w:val="005967BB"/>
    <w:rsid w:val="005A0C2E"/>
    <w:rsid w:val="005A1FCE"/>
    <w:rsid w:val="005A3F80"/>
    <w:rsid w:val="005A4F79"/>
    <w:rsid w:val="005A598F"/>
    <w:rsid w:val="005B055D"/>
    <w:rsid w:val="005B172E"/>
    <w:rsid w:val="005B1F39"/>
    <w:rsid w:val="005B20B9"/>
    <w:rsid w:val="005B2A87"/>
    <w:rsid w:val="005B5933"/>
    <w:rsid w:val="005C04BB"/>
    <w:rsid w:val="005C0E22"/>
    <w:rsid w:val="005C286E"/>
    <w:rsid w:val="005C33B4"/>
    <w:rsid w:val="005C423C"/>
    <w:rsid w:val="005C4582"/>
    <w:rsid w:val="005C460D"/>
    <w:rsid w:val="005C50FC"/>
    <w:rsid w:val="005C54B0"/>
    <w:rsid w:val="005C6321"/>
    <w:rsid w:val="005D021A"/>
    <w:rsid w:val="005D4603"/>
    <w:rsid w:val="005D532E"/>
    <w:rsid w:val="005D6EA7"/>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1083"/>
    <w:rsid w:val="00603FF7"/>
    <w:rsid w:val="00604BE2"/>
    <w:rsid w:val="006059DF"/>
    <w:rsid w:val="00606B3D"/>
    <w:rsid w:val="0060707B"/>
    <w:rsid w:val="00610F05"/>
    <w:rsid w:val="00616358"/>
    <w:rsid w:val="00617B1B"/>
    <w:rsid w:val="0062182F"/>
    <w:rsid w:val="006220EC"/>
    <w:rsid w:val="0062241E"/>
    <w:rsid w:val="006226A2"/>
    <w:rsid w:val="006228E2"/>
    <w:rsid w:val="006239CA"/>
    <w:rsid w:val="0062567E"/>
    <w:rsid w:val="00626691"/>
    <w:rsid w:val="00630C90"/>
    <w:rsid w:val="0063244C"/>
    <w:rsid w:val="00634425"/>
    <w:rsid w:val="00634E66"/>
    <w:rsid w:val="0063688D"/>
    <w:rsid w:val="00640767"/>
    <w:rsid w:val="0064088B"/>
    <w:rsid w:val="00640C92"/>
    <w:rsid w:val="00640F7D"/>
    <w:rsid w:val="0064229A"/>
    <w:rsid w:val="006469D1"/>
    <w:rsid w:val="00646DDA"/>
    <w:rsid w:val="0065006B"/>
    <w:rsid w:val="00650AF4"/>
    <w:rsid w:val="00650EBF"/>
    <w:rsid w:val="00653993"/>
    <w:rsid w:val="00655D39"/>
    <w:rsid w:val="006563C8"/>
    <w:rsid w:val="0065657E"/>
    <w:rsid w:val="0066069C"/>
    <w:rsid w:val="00661AF9"/>
    <w:rsid w:val="00661B51"/>
    <w:rsid w:val="006645F5"/>
    <w:rsid w:val="00664AD0"/>
    <w:rsid w:val="00664C7C"/>
    <w:rsid w:val="0066583A"/>
    <w:rsid w:val="00665B4D"/>
    <w:rsid w:val="0066688F"/>
    <w:rsid w:val="00666F6E"/>
    <w:rsid w:val="00670841"/>
    <w:rsid w:val="00673E6A"/>
    <w:rsid w:val="006741F5"/>
    <w:rsid w:val="006759ED"/>
    <w:rsid w:val="00675EDB"/>
    <w:rsid w:val="00676E4D"/>
    <w:rsid w:val="00677034"/>
    <w:rsid w:val="0068067E"/>
    <w:rsid w:val="00682090"/>
    <w:rsid w:val="0068319C"/>
    <w:rsid w:val="006841DE"/>
    <w:rsid w:val="00686481"/>
    <w:rsid w:val="00686BB3"/>
    <w:rsid w:val="00687C66"/>
    <w:rsid w:val="006929FB"/>
    <w:rsid w:val="00694161"/>
    <w:rsid w:val="00694A12"/>
    <w:rsid w:val="00695911"/>
    <w:rsid w:val="006962A7"/>
    <w:rsid w:val="00696634"/>
    <w:rsid w:val="006A131B"/>
    <w:rsid w:val="006A1BDB"/>
    <w:rsid w:val="006A3E01"/>
    <w:rsid w:val="006A708D"/>
    <w:rsid w:val="006A7A14"/>
    <w:rsid w:val="006A7F48"/>
    <w:rsid w:val="006B005F"/>
    <w:rsid w:val="006B0C2C"/>
    <w:rsid w:val="006B3BF8"/>
    <w:rsid w:val="006B4BFE"/>
    <w:rsid w:val="006B6B39"/>
    <w:rsid w:val="006C0F33"/>
    <w:rsid w:val="006C1847"/>
    <w:rsid w:val="006C25BC"/>
    <w:rsid w:val="006C2B18"/>
    <w:rsid w:val="006C4942"/>
    <w:rsid w:val="006C4BE5"/>
    <w:rsid w:val="006C5470"/>
    <w:rsid w:val="006C571B"/>
    <w:rsid w:val="006C60D2"/>
    <w:rsid w:val="006C6F61"/>
    <w:rsid w:val="006C7186"/>
    <w:rsid w:val="006C7719"/>
    <w:rsid w:val="006D0EAD"/>
    <w:rsid w:val="006D0FF5"/>
    <w:rsid w:val="006D1A60"/>
    <w:rsid w:val="006D2901"/>
    <w:rsid w:val="006D4339"/>
    <w:rsid w:val="006D5D1F"/>
    <w:rsid w:val="006D6B2A"/>
    <w:rsid w:val="006D7835"/>
    <w:rsid w:val="006D7F88"/>
    <w:rsid w:val="006E16EE"/>
    <w:rsid w:val="006E4AC6"/>
    <w:rsid w:val="006E4B7F"/>
    <w:rsid w:val="006E5418"/>
    <w:rsid w:val="006E59D7"/>
    <w:rsid w:val="006E5E54"/>
    <w:rsid w:val="006F05C3"/>
    <w:rsid w:val="006F0720"/>
    <w:rsid w:val="006F142B"/>
    <w:rsid w:val="006F15B1"/>
    <w:rsid w:val="006F174B"/>
    <w:rsid w:val="006F3032"/>
    <w:rsid w:val="006F346E"/>
    <w:rsid w:val="006F5B38"/>
    <w:rsid w:val="006F6A9F"/>
    <w:rsid w:val="00700579"/>
    <w:rsid w:val="00700F3B"/>
    <w:rsid w:val="00701E5A"/>
    <w:rsid w:val="00702822"/>
    <w:rsid w:val="0070367B"/>
    <w:rsid w:val="00704A9A"/>
    <w:rsid w:val="00707ED6"/>
    <w:rsid w:val="00710CF7"/>
    <w:rsid w:val="0071282D"/>
    <w:rsid w:val="007135AF"/>
    <w:rsid w:val="0071759C"/>
    <w:rsid w:val="00717835"/>
    <w:rsid w:val="00720489"/>
    <w:rsid w:val="0072068A"/>
    <w:rsid w:val="0072072E"/>
    <w:rsid w:val="00720BC7"/>
    <w:rsid w:val="00720FA0"/>
    <w:rsid w:val="00722B78"/>
    <w:rsid w:val="00723374"/>
    <w:rsid w:val="00730697"/>
    <w:rsid w:val="0073096B"/>
    <w:rsid w:val="007317BC"/>
    <w:rsid w:val="0073357B"/>
    <w:rsid w:val="00733A77"/>
    <w:rsid w:val="00734D74"/>
    <w:rsid w:val="00736CE0"/>
    <w:rsid w:val="007377F1"/>
    <w:rsid w:val="0074142B"/>
    <w:rsid w:val="0074205E"/>
    <w:rsid w:val="00742246"/>
    <w:rsid w:val="007439F4"/>
    <w:rsid w:val="00743E8F"/>
    <w:rsid w:val="00745F3B"/>
    <w:rsid w:val="0074676D"/>
    <w:rsid w:val="00746993"/>
    <w:rsid w:val="00747267"/>
    <w:rsid w:val="007505B0"/>
    <w:rsid w:val="00751946"/>
    <w:rsid w:val="007528DC"/>
    <w:rsid w:val="007532C9"/>
    <w:rsid w:val="00754981"/>
    <w:rsid w:val="00756119"/>
    <w:rsid w:val="007570C9"/>
    <w:rsid w:val="00760434"/>
    <w:rsid w:val="00761877"/>
    <w:rsid w:val="00763D19"/>
    <w:rsid w:val="00764AB6"/>
    <w:rsid w:val="007704A9"/>
    <w:rsid w:val="00772867"/>
    <w:rsid w:val="00772B26"/>
    <w:rsid w:val="0077330C"/>
    <w:rsid w:val="00776D16"/>
    <w:rsid w:val="00782AAA"/>
    <w:rsid w:val="00782D70"/>
    <w:rsid w:val="00783919"/>
    <w:rsid w:val="00783DA7"/>
    <w:rsid w:val="00784603"/>
    <w:rsid w:val="007849FA"/>
    <w:rsid w:val="0078653A"/>
    <w:rsid w:val="00792C32"/>
    <w:rsid w:val="00794AFB"/>
    <w:rsid w:val="00797164"/>
    <w:rsid w:val="007A238A"/>
    <w:rsid w:val="007A293E"/>
    <w:rsid w:val="007A2BBA"/>
    <w:rsid w:val="007A3EC6"/>
    <w:rsid w:val="007A5E7D"/>
    <w:rsid w:val="007A7123"/>
    <w:rsid w:val="007B0003"/>
    <w:rsid w:val="007B008F"/>
    <w:rsid w:val="007B13FA"/>
    <w:rsid w:val="007B17C2"/>
    <w:rsid w:val="007B24AD"/>
    <w:rsid w:val="007B3030"/>
    <w:rsid w:val="007B32AD"/>
    <w:rsid w:val="007B4A75"/>
    <w:rsid w:val="007B54AE"/>
    <w:rsid w:val="007C0BE8"/>
    <w:rsid w:val="007C0D2F"/>
    <w:rsid w:val="007C0EBF"/>
    <w:rsid w:val="007C2127"/>
    <w:rsid w:val="007C31C5"/>
    <w:rsid w:val="007C44DA"/>
    <w:rsid w:val="007D1FBD"/>
    <w:rsid w:val="007D46EC"/>
    <w:rsid w:val="007D4D5F"/>
    <w:rsid w:val="007D5A4A"/>
    <w:rsid w:val="007D68BA"/>
    <w:rsid w:val="007D76FB"/>
    <w:rsid w:val="007E0B9B"/>
    <w:rsid w:val="007E3170"/>
    <w:rsid w:val="007E4256"/>
    <w:rsid w:val="007E5364"/>
    <w:rsid w:val="007E6793"/>
    <w:rsid w:val="007F2B2C"/>
    <w:rsid w:val="007F2D55"/>
    <w:rsid w:val="00800EE9"/>
    <w:rsid w:val="00801786"/>
    <w:rsid w:val="00803F61"/>
    <w:rsid w:val="008050EE"/>
    <w:rsid w:val="008071C5"/>
    <w:rsid w:val="00810BB3"/>
    <w:rsid w:val="00813EE2"/>
    <w:rsid w:val="008140F5"/>
    <w:rsid w:val="00814E9A"/>
    <w:rsid w:val="00816EB4"/>
    <w:rsid w:val="0082083D"/>
    <w:rsid w:val="00821AC8"/>
    <w:rsid w:val="008221AA"/>
    <w:rsid w:val="00823AB3"/>
    <w:rsid w:val="0082448C"/>
    <w:rsid w:val="00825CFE"/>
    <w:rsid w:val="00826253"/>
    <w:rsid w:val="0082671D"/>
    <w:rsid w:val="00826DD8"/>
    <w:rsid w:val="008270DC"/>
    <w:rsid w:val="0083118E"/>
    <w:rsid w:val="00831B90"/>
    <w:rsid w:val="00831EA7"/>
    <w:rsid w:val="00833324"/>
    <w:rsid w:val="00835A63"/>
    <w:rsid w:val="0083670E"/>
    <w:rsid w:val="008377B5"/>
    <w:rsid w:val="00841477"/>
    <w:rsid w:val="00842E02"/>
    <w:rsid w:val="00846F47"/>
    <w:rsid w:val="008502C2"/>
    <w:rsid w:val="008507EF"/>
    <w:rsid w:val="00850904"/>
    <w:rsid w:val="008525DD"/>
    <w:rsid w:val="00853829"/>
    <w:rsid w:val="00853BF9"/>
    <w:rsid w:val="00855487"/>
    <w:rsid w:val="00855EE1"/>
    <w:rsid w:val="00856AB0"/>
    <w:rsid w:val="00861FED"/>
    <w:rsid w:val="00862A3F"/>
    <w:rsid w:val="008648BF"/>
    <w:rsid w:val="00864D2A"/>
    <w:rsid w:val="00867C20"/>
    <w:rsid w:val="00870BB1"/>
    <w:rsid w:val="0087187D"/>
    <w:rsid w:val="00871E93"/>
    <w:rsid w:val="00872422"/>
    <w:rsid w:val="00872B95"/>
    <w:rsid w:val="00872C53"/>
    <w:rsid w:val="008733D8"/>
    <w:rsid w:val="008745A8"/>
    <w:rsid w:val="0088209A"/>
    <w:rsid w:val="0088245A"/>
    <w:rsid w:val="008832DB"/>
    <w:rsid w:val="00884B5C"/>
    <w:rsid w:val="0088500E"/>
    <w:rsid w:val="00886AC1"/>
    <w:rsid w:val="008876AB"/>
    <w:rsid w:val="008915FB"/>
    <w:rsid w:val="0089280A"/>
    <w:rsid w:val="008932EB"/>
    <w:rsid w:val="0089577E"/>
    <w:rsid w:val="00895CB0"/>
    <w:rsid w:val="00897DE4"/>
    <w:rsid w:val="008A1722"/>
    <w:rsid w:val="008A1A85"/>
    <w:rsid w:val="008A1F39"/>
    <w:rsid w:val="008A2948"/>
    <w:rsid w:val="008A4269"/>
    <w:rsid w:val="008A618C"/>
    <w:rsid w:val="008A7380"/>
    <w:rsid w:val="008B0F94"/>
    <w:rsid w:val="008B25E6"/>
    <w:rsid w:val="008B3FDA"/>
    <w:rsid w:val="008B4683"/>
    <w:rsid w:val="008B472E"/>
    <w:rsid w:val="008B4DD0"/>
    <w:rsid w:val="008B57A8"/>
    <w:rsid w:val="008C00B4"/>
    <w:rsid w:val="008C0747"/>
    <w:rsid w:val="008C1668"/>
    <w:rsid w:val="008C2EB3"/>
    <w:rsid w:val="008C3FAF"/>
    <w:rsid w:val="008C4728"/>
    <w:rsid w:val="008C62AD"/>
    <w:rsid w:val="008C6BEB"/>
    <w:rsid w:val="008D1717"/>
    <w:rsid w:val="008D174D"/>
    <w:rsid w:val="008D2B7F"/>
    <w:rsid w:val="008D2E1A"/>
    <w:rsid w:val="008D2FF6"/>
    <w:rsid w:val="008D4C32"/>
    <w:rsid w:val="008D554A"/>
    <w:rsid w:val="008D5DC5"/>
    <w:rsid w:val="008E0AD8"/>
    <w:rsid w:val="008E2B05"/>
    <w:rsid w:val="008E365E"/>
    <w:rsid w:val="008E569D"/>
    <w:rsid w:val="008F0099"/>
    <w:rsid w:val="008F0605"/>
    <w:rsid w:val="008F0A60"/>
    <w:rsid w:val="008F1939"/>
    <w:rsid w:val="008F2DEC"/>
    <w:rsid w:val="008F3F14"/>
    <w:rsid w:val="00900B20"/>
    <w:rsid w:val="00902E57"/>
    <w:rsid w:val="0090313F"/>
    <w:rsid w:val="00903920"/>
    <w:rsid w:val="00904305"/>
    <w:rsid w:val="009049C5"/>
    <w:rsid w:val="009049D1"/>
    <w:rsid w:val="00904B63"/>
    <w:rsid w:val="00904DF0"/>
    <w:rsid w:val="00905A5F"/>
    <w:rsid w:val="009062BF"/>
    <w:rsid w:val="0090666C"/>
    <w:rsid w:val="00906F7A"/>
    <w:rsid w:val="00910330"/>
    <w:rsid w:val="00910824"/>
    <w:rsid w:val="00910CCC"/>
    <w:rsid w:val="009141DF"/>
    <w:rsid w:val="00917120"/>
    <w:rsid w:val="009171A0"/>
    <w:rsid w:val="009172D7"/>
    <w:rsid w:val="00920B77"/>
    <w:rsid w:val="00921A94"/>
    <w:rsid w:val="0092248C"/>
    <w:rsid w:val="00922DEC"/>
    <w:rsid w:val="00922FC1"/>
    <w:rsid w:val="009232EE"/>
    <w:rsid w:val="00923F25"/>
    <w:rsid w:val="00924481"/>
    <w:rsid w:val="0092466F"/>
    <w:rsid w:val="00925D56"/>
    <w:rsid w:val="0092640D"/>
    <w:rsid w:val="0092668F"/>
    <w:rsid w:val="00930FCC"/>
    <w:rsid w:val="009361A2"/>
    <w:rsid w:val="009379DE"/>
    <w:rsid w:val="0094179F"/>
    <w:rsid w:val="00944853"/>
    <w:rsid w:val="009500BC"/>
    <w:rsid w:val="00950A52"/>
    <w:rsid w:val="009515BB"/>
    <w:rsid w:val="0095290A"/>
    <w:rsid w:val="009536A2"/>
    <w:rsid w:val="00956D8E"/>
    <w:rsid w:val="009575CF"/>
    <w:rsid w:val="00961994"/>
    <w:rsid w:val="00962F5F"/>
    <w:rsid w:val="00964E59"/>
    <w:rsid w:val="009666C0"/>
    <w:rsid w:val="00966860"/>
    <w:rsid w:val="00967564"/>
    <w:rsid w:val="00967F46"/>
    <w:rsid w:val="00971C3A"/>
    <w:rsid w:val="00972641"/>
    <w:rsid w:val="009727E2"/>
    <w:rsid w:val="00973A02"/>
    <w:rsid w:val="00974A06"/>
    <w:rsid w:val="00974B18"/>
    <w:rsid w:val="009751DC"/>
    <w:rsid w:val="00980270"/>
    <w:rsid w:val="00980D53"/>
    <w:rsid w:val="00980F44"/>
    <w:rsid w:val="009810FB"/>
    <w:rsid w:val="00981759"/>
    <w:rsid w:val="0098306F"/>
    <w:rsid w:val="00983ECF"/>
    <w:rsid w:val="009846F1"/>
    <w:rsid w:val="00985089"/>
    <w:rsid w:val="009853F5"/>
    <w:rsid w:val="00985454"/>
    <w:rsid w:val="00986A71"/>
    <w:rsid w:val="00986CFB"/>
    <w:rsid w:val="00990736"/>
    <w:rsid w:val="00991650"/>
    <w:rsid w:val="00991FC3"/>
    <w:rsid w:val="00992C1B"/>
    <w:rsid w:val="00992CA5"/>
    <w:rsid w:val="00993BC1"/>
    <w:rsid w:val="00994791"/>
    <w:rsid w:val="00994BF3"/>
    <w:rsid w:val="00997530"/>
    <w:rsid w:val="009A28AF"/>
    <w:rsid w:val="009A3AAC"/>
    <w:rsid w:val="009A5A09"/>
    <w:rsid w:val="009A6BE0"/>
    <w:rsid w:val="009A6E3B"/>
    <w:rsid w:val="009A7601"/>
    <w:rsid w:val="009A7BE0"/>
    <w:rsid w:val="009B23F1"/>
    <w:rsid w:val="009B2E15"/>
    <w:rsid w:val="009B4B0D"/>
    <w:rsid w:val="009B6105"/>
    <w:rsid w:val="009B7909"/>
    <w:rsid w:val="009C1A67"/>
    <w:rsid w:val="009C1A7F"/>
    <w:rsid w:val="009C32A5"/>
    <w:rsid w:val="009C419C"/>
    <w:rsid w:val="009C4CF6"/>
    <w:rsid w:val="009C5170"/>
    <w:rsid w:val="009C5B28"/>
    <w:rsid w:val="009C7411"/>
    <w:rsid w:val="009C7B21"/>
    <w:rsid w:val="009D2F27"/>
    <w:rsid w:val="009D5A73"/>
    <w:rsid w:val="009D5B4E"/>
    <w:rsid w:val="009D5C70"/>
    <w:rsid w:val="009D7951"/>
    <w:rsid w:val="009D7A98"/>
    <w:rsid w:val="009E07EA"/>
    <w:rsid w:val="009E0DFB"/>
    <w:rsid w:val="009E1059"/>
    <w:rsid w:val="009E120D"/>
    <w:rsid w:val="009E1234"/>
    <w:rsid w:val="009E245F"/>
    <w:rsid w:val="009E3311"/>
    <w:rsid w:val="009E6159"/>
    <w:rsid w:val="009F0360"/>
    <w:rsid w:val="009F0786"/>
    <w:rsid w:val="009F0EAB"/>
    <w:rsid w:val="009F104D"/>
    <w:rsid w:val="009F146E"/>
    <w:rsid w:val="009F14CE"/>
    <w:rsid w:val="009F228E"/>
    <w:rsid w:val="009F3487"/>
    <w:rsid w:val="009F4910"/>
    <w:rsid w:val="009F54AE"/>
    <w:rsid w:val="009F67CC"/>
    <w:rsid w:val="009F7643"/>
    <w:rsid w:val="009F7E1A"/>
    <w:rsid w:val="00A021C3"/>
    <w:rsid w:val="00A1154D"/>
    <w:rsid w:val="00A126D7"/>
    <w:rsid w:val="00A12F4D"/>
    <w:rsid w:val="00A13385"/>
    <w:rsid w:val="00A13F72"/>
    <w:rsid w:val="00A15D98"/>
    <w:rsid w:val="00A160BF"/>
    <w:rsid w:val="00A171D3"/>
    <w:rsid w:val="00A17719"/>
    <w:rsid w:val="00A20EFB"/>
    <w:rsid w:val="00A2115F"/>
    <w:rsid w:val="00A218F0"/>
    <w:rsid w:val="00A244A9"/>
    <w:rsid w:val="00A24832"/>
    <w:rsid w:val="00A24C1D"/>
    <w:rsid w:val="00A27B3A"/>
    <w:rsid w:val="00A27CD7"/>
    <w:rsid w:val="00A308DB"/>
    <w:rsid w:val="00A3110D"/>
    <w:rsid w:val="00A31871"/>
    <w:rsid w:val="00A31B2A"/>
    <w:rsid w:val="00A32543"/>
    <w:rsid w:val="00A3317C"/>
    <w:rsid w:val="00A35C55"/>
    <w:rsid w:val="00A37B27"/>
    <w:rsid w:val="00A37C87"/>
    <w:rsid w:val="00A419BA"/>
    <w:rsid w:val="00A431C7"/>
    <w:rsid w:val="00A439DA"/>
    <w:rsid w:val="00A44347"/>
    <w:rsid w:val="00A45DE3"/>
    <w:rsid w:val="00A500EE"/>
    <w:rsid w:val="00A51D62"/>
    <w:rsid w:val="00A55E93"/>
    <w:rsid w:val="00A56DAE"/>
    <w:rsid w:val="00A571A4"/>
    <w:rsid w:val="00A616E0"/>
    <w:rsid w:val="00A6232F"/>
    <w:rsid w:val="00A641B0"/>
    <w:rsid w:val="00A64291"/>
    <w:rsid w:val="00A649BB"/>
    <w:rsid w:val="00A66DF7"/>
    <w:rsid w:val="00A6703B"/>
    <w:rsid w:val="00A679E6"/>
    <w:rsid w:val="00A70E02"/>
    <w:rsid w:val="00A723AD"/>
    <w:rsid w:val="00A7252E"/>
    <w:rsid w:val="00A73197"/>
    <w:rsid w:val="00A73507"/>
    <w:rsid w:val="00A73EF4"/>
    <w:rsid w:val="00A7459E"/>
    <w:rsid w:val="00A75998"/>
    <w:rsid w:val="00A75A61"/>
    <w:rsid w:val="00A7688B"/>
    <w:rsid w:val="00A81B52"/>
    <w:rsid w:val="00A82AA1"/>
    <w:rsid w:val="00A82BB4"/>
    <w:rsid w:val="00A83FB0"/>
    <w:rsid w:val="00A865E6"/>
    <w:rsid w:val="00A86DA6"/>
    <w:rsid w:val="00A905F5"/>
    <w:rsid w:val="00A925C9"/>
    <w:rsid w:val="00A92D91"/>
    <w:rsid w:val="00A95DB5"/>
    <w:rsid w:val="00A969EB"/>
    <w:rsid w:val="00A96B59"/>
    <w:rsid w:val="00AA0B7C"/>
    <w:rsid w:val="00AA55D2"/>
    <w:rsid w:val="00AA6BEE"/>
    <w:rsid w:val="00AA7789"/>
    <w:rsid w:val="00AB053B"/>
    <w:rsid w:val="00AB0DCA"/>
    <w:rsid w:val="00AB0DD5"/>
    <w:rsid w:val="00AB44C6"/>
    <w:rsid w:val="00AB5F42"/>
    <w:rsid w:val="00AB67B2"/>
    <w:rsid w:val="00AB6B56"/>
    <w:rsid w:val="00AC0DA1"/>
    <w:rsid w:val="00AC1CF7"/>
    <w:rsid w:val="00AC2608"/>
    <w:rsid w:val="00AC2B52"/>
    <w:rsid w:val="00AC4F27"/>
    <w:rsid w:val="00AC61A8"/>
    <w:rsid w:val="00AD1B31"/>
    <w:rsid w:val="00AD2642"/>
    <w:rsid w:val="00AD2800"/>
    <w:rsid w:val="00AD4629"/>
    <w:rsid w:val="00AD6ECF"/>
    <w:rsid w:val="00AE0DA1"/>
    <w:rsid w:val="00AE32F7"/>
    <w:rsid w:val="00AE4F48"/>
    <w:rsid w:val="00AE5974"/>
    <w:rsid w:val="00AE6A0B"/>
    <w:rsid w:val="00AE7A2F"/>
    <w:rsid w:val="00AF07D8"/>
    <w:rsid w:val="00AF143D"/>
    <w:rsid w:val="00AF32EA"/>
    <w:rsid w:val="00AF55EF"/>
    <w:rsid w:val="00AF7AC8"/>
    <w:rsid w:val="00B01286"/>
    <w:rsid w:val="00B01769"/>
    <w:rsid w:val="00B01B6B"/>
    <w:rsid w:val="00B06CD9"/>
    <w:rsid w:val="00B12FBB"/>
    <w:rsid w:val="00B14B8D"/>
    <w:rsid w:val="00B20E43"/>
    <w:rsid w:val="00B2117C"/>
    <w:rsid w:val="00B22E0E"/>
    <w:rsid w:val="00B24022"/>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2B36"/>
    <w:rsid w:val="00B6562C"/>
    <w:rsid w:val="00B677F2"/>
    <w:rsid w:val="00B72525"/>
    <w:rsid w:val="00B73492"/>
    <w:rsid w:val="00B77958"/>
    <w:rsid w:val="00B77C3D"/>
    <w:rsid w:val="00B8362B"/>
    <w:rsid w:val="00B87BAD"/>
    <w:rsid w:val="00B92C27"/>
    <w:rsid w:val="00B9315A"/>
    <w:rsid w:val="00B932BE"/>
    <w:rsid w:val="00B9352B"/>
    <w:rsid w:val="00B93A5E"/>
    <w:rsid w:val="00B94086"/>
    <w:rsid w:val="00B942FD"/>
    <w:rsid w:val="00B95B69"/>
    <w:rsid w:val="00B96662"/>
    <w:rsid w:val="00BA0965"/>
    <w:rsid w:val="00BA2E7F"/>
    <w:rsid w:val="00BA4BA8"/>
    <w:rsid w:val="00BB0112"/>
    <w:rsid w:val="00BB1681"/>
    <w:rsid w:val="00BB4B24"/>
    <w:rsid w:val="00BB5FDD"/>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4BC2"/>
    <w:rsid w:val="00BF780B"/>
    <w:rsid w:val="00C00128"/>
    <w:rsid w:val="00C011D1"/>
    <w:rsid w:val="00C02236"/>
    <w:rsid w:val="00C02C23"/>
    <w:rsid w:val="00C02C6A"/>
    <w:rsid w:val="00C05443"/>
    <w:rsid w:val="00C05589"/>
    <w:rsid w:val="00C075A4"/>
    <w:rsid w:val="00C103B4"/>
    <w:rsid w:val="00C10D1F"/>
    <w:rsid w:val="00C13E67"/>
    <w:rsid w:val="00C15742"/>
    <w:rsid w:val="00C15AB7"/>
    <w:rsid w:val="00C16031"/>
    <w:rsid w:val="00C16FFC"/>
    <w:rsid w:val="00C17A13"/>
    <w:rsid w:val="00C21452"/>
    <w:rsid w:val="00C23E2D"/>
    <w:rsid w:val="00C24355"/>
    <w:rsid w:val="00C24C23"/>
    <w:rsid w:val="00C25057"/>
    <w:rsid w:val="00C25696"/>
    <w:rsid w:val="00C279DD"/>
    <w:rsid w:val="00C27F39"/>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33C3"/>
    <w:rsid w:val="00C54A1A"/>
    <w:rsid w:val="00C557D4"/>
    <w:rsid w:val="00C55A6C"/>
    <w:rsid w:val="00C5617B"/>
    <w:rsid w:val="00C5661E"/>
    <w:rsid w:val="00C6025D"/>
    <w:rsid w:val="00C619D0"/>
    <w:rsid w:val="00C61B37"/>
    <w:rsid w:val="00C63D53"/>
    <w:rsid w:val="00C672D6"/>
    <w:rsid w:val="00C7097C"/>
    <w:rsid w:val="00C70AD9"/>
    <w:rsid w:val="00C72374"/>
    <w:rsid w:val="00C7389B"/>
    <w:rsid w:val="00C77545"/>
    <w:rsid w:val="00C77CDA"/>
    <w:rsid w:val="00C81187"/>
    <w:rsid w:val="00C82339"/>
    <w:rsid w:val="00C83122"/>
    <w:rsid w:val="00C84D5A"/>
    <w:rsid w:val="00C851FC"/>
    <w:rsid w:val="00C860DE"/>
    <w:rsid w:val="00C867FB"/>
    <w:rsid w:val="00C90227"/>
    <w:rsid w:val="00C915DE"/>
    <w:rsid w:val="00C929DD"/>
    <w:rsid w:val="00C93698"/>
    <w:rsid w:val="00CA03CD"/>
    <w:rsid w:val="00CA0412"/>
    <w:rsid w:val="00CA1F00"/>
    <w:rsid w:val="00CA2EE6"/>
    <w:rsid w:val="00CA33C7"/>
    <w:rsid w:val="00CA4133"/>
    <w:rsid w:val="00CA5F04"/>
    <w:rsid w:val="00CA61A0"/>
    <w:rsid w:val="00CB022F"/>
    <w:rsid w:val="00CB462E"/>
    <w:rsid w:val="00CB4BAA"/>
    <w:rsid w:val="00CB5C7C"/>
    <w:rsid w:val="00CB697E"/>
    <w:rsid w:val="00CC03DA"/>
    <w:rsid w:val="00CC1844"/>
    <w:rsid w:val="00CC3B51"/>
    <w:rsid w:val="00CC400E"/>
    <w:rsid w:val="00CC5EE3"/>
    <w:rsid w:val="00CC78E0"/>
    <w:rsid w:val="00CC7D21"/>
    <w:rsid w:val="00CD11B6"/>
    <w:rsid w:val="00CD148B"/>
    <w:rsid w:val="00CD33F6"/>
    <w:rsid w:val="00CD4EBD"/>
    <w:rsid w:val="00CD4EFE"/>
    <w:rsid w:val="00CE2F33"/>
    <w:rsid w:val="00CE5DF7"/>
    <w:rsid w:val="00CF0312"/>
    <w:rsid w:val="00CF0BBA"/>
    <w:rsid w:val="00CF198E"/>
    <w:rsid w:val="00CF2F46"/>
    <w:rsid w:val="00CF2FF5"/>
    <w:rsid w:val="00CF3028"/>
    <w:rsid w:val="00CF7201"/>
    <w:rsid w:val="00CF7CB1"/>
    <w:rsid w:val="00D0059B"/>
    <w:rsid w:val="00D01018"/>
    <w:rsid w:val="00D04910"/>
    <w:rsid w:val="00D04B01"/>
    <w:rsid w:val="00D05859"/>
    <w:rsid w:val="00D0598F"/>
    <w:rsid w:val="00D076D5"/>
    <w:rsid w:val="00D0789B"/>
    <w:rsid w:val="00D100BF"/>
    <w:rsid w:val="00D12812"/>
    <w:rsid w:val="00D13013"/>
    <w:rsid w:val="00D15723"/>
    <w:rsid w:val="00D1795D"/>
    <w:rsid w:val="00D17F46"/>
    <w:rsid w:val="00D2213B"/>
    <w:rsid w:val="00D227C2"/>
    <w:rsid w:val="00D245FB"/>
    <w:rsid w:val="00D254A5"/>
    <w:rsid w:val="00D27001"/>
    <w:rsid w:val="00D33375"/>
    <w:rsid w:val="00D34930"/>
    <w:rsid w:val="00D352D9"/>
    <w:rsid w:val="00D373E1"/>
    <w:rsid w:val="00D3753F"/>
    <w:rsid w:val="00D37A4B"/>
    <w:rsid w:val="00D41FA8"/>
    <w:rsid w:val="00D42417"/>
    <w:rsid w:val="00D4297F"/>
    <w:rsid w:val="00D447DA"/>
    <w:rsid w:val="00D46D94"/>
    <w:rsid w:val="00D4719E"/>
    <w:rsid w:val="00D477ED"/>
    <w:rsid w:val="00D51023"/>
    <w:rsid w:val="00D5257C"/>
    <w:rsid w:val="00D528DB"/>
    <w:rsid w:val="00D55B8A"/>
    <w:rsid w:val="00D56126"/>
    <w:rsid w:val="00D571DE"/>
    <w:rsid w:val="00D57DE9"/>
    <w:rsid w:val="00D60210"/>
    <w:rsid w:val="00D603FC"/>
    <w:rsid w:val="00D6062A"/>
    <w:rsid w:val="00D61B62"/>
    <w:rsid w:val="00D63315"/>
    <w:rsid w:val="00D64255"/>
    <w:rsid w:val="00D65FFD"/>
    <w:rsid w:val="00D66261"/>
    <w:rsid w:val="00D6658D"/>
    <w:rsid w:val="00D66655"/>
    <w:rsid w:val="00D67E42"/>
    <w:rsid w:val="00D67F02"/>
    <w:rsid w:val="00D7035E"/>
    <w:rsid w:val="00D704CC"/>
    <w:rsid w:val="00D713CE"/>
    <w:rsid w:val="00D71DFC"/>
    <w:rsid w:val="00D726F8"/>
    <w:rsid w:val="00D72BBC"/>
    <w:rsid w:val="00D72EA7"/>
    <w:rsid w:val="00D731BC"/>
    <w:rsid w:val="00D74D9D"/>
    <w:rsid w:val="00D7624B"/>
    <w:rsid w:val="00D76CF7"/>
    <w:rsid w:val="00D77B50"/>
    <w:rsid w:val="00D77B69"/>
    <w:rsid w:val="00D77F76"/>
    <w:rsid w:val="00D803BD"/>
    <w:rsid w:val="00D81188"/>
    <w:rsid w:val="00D815E8"/>
    <w:rsid w:val="00D82746"/>
    <w:rsid w:val="00D83489"/>
    <w:rsid w:val="00D84706"/>
    <w:rsid w:val="00D84C83"/>
    <w:rsid w:val="00D91BC2"/>
    <w:rsid w:val="00D91CEF"/>
    <w:rsid w:val="00D93106"/>
    <w:rsid w:val="00D933AC"/>
    <w:rsid w:val="00D93DB0"/>
    <w:rsid w:val="00D94C1C"/>
    <w:rsid w:val="00D94CD1"/>
    <w:rsid w:val="00D96C21"/>
    <w:rsid w:val="00D97DBF"/>
    <w:rsid w:val="00DA0E06"/>
    <w:rsid w:val="00DA40F0"/>
    <w:rsid w:val="00DA5801"/>
    <w:rsid w:val="00DA5ADE"/>
    <w:rsid w:val="00DA5D07"/>
    <w:rsid w:val="00DA6090"/>
    <w:rsid w:val="00DA6CF2"/>
    <w:rsid w:val="00DA7813"/>
    <w:rsid w:val="00DB4209"/>
    <w:rsid w:val="00DB71BA"/>
    <w:rsid w:val="00DB739F"/>
    <w:rsid w:val="00DB7E31"/>
    <w:rsid w:val="00DC1BD4"/>
    <w:rsid w:val="00DC3ED1"/>
    <w:rsid w:val="00DC4141"/>
    <w:rsid w:val="00DC4628"/>
    <w:rsid w:val="00DC6BEA"/>
    <w:rsid w:val="00DD12B3"/>
    <w:rsid w:val="00DD1995"/>
    <w:rsid w:val="00DD1A63"/>
    <w:rsid w:val="00DD1A9F"/>
    <w:rsid w:val="00DD1AF7"/>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1F69"/>
    <w:rsid w:val="00E3278B"/>
    <w:rsid w:val="00E344E7"/>
    <w:rsid w:val="00E35B7D"/>
    <w:rsid w:val="00E368D6"/>
    <w:rsid w:val="00E37B85"/>
    <w:rsid w:val="00E37CF7"/>
    <w:rsid w:val="00E403BF"/>
    <w:rsid w:val="00E41819"/>
    <w:rsid w:val="00E41939"/>
    <w:rsid w:val="00E42146"/>
    <w:rsid w:val="00E4401A"/>
    <w:rsid w:val="00E44AE6"/>
    <w:rsid w:val="00E46F66"/>
    <w:rsid w:val="00E47383"/>
    <w:rsid w:val="00E52126"/>
    <w:rsid w:val="00E534EB"/>
    <w:rsid w:val="00E5460E"/>
    <w:rsid w:val="00E546CF"/>
    <w:rsid w:val="00E55327"/>
    <w:rsid w:val="00E563A4"/>
    <w:rsid w:val="00E57A43"/>
    <w:rsid w:val="00E606B2"/>
    <w:rsid w:val="00E60AC0"/>
    <w:rsid w:val="00E62424"/>
    <w:rsid w:val="00E63972"/>
    <w:rsid w:val="00E63ADA"/>
    <w:rsid w:val="00E63BDA"/>
    <w:rsid w:val="00E674D5"/>
    <w:rsid w:val="00E70ABD"/>
    <w:rsid w:val="00E70FAF"/>
    <w:rsid w:val="00E724A8"/>
    <w:rsid w:val="00E724EC"/>
    <w:rsid w:val="00E730BC"/>
    <w:rsid w:val="00E740FF"/>
    <w:rsid w:val="00E757B4"/>
    <w:rsid w:val="00E768F9"/>
    <w:rsid w:val="00E779B7"/>
    <w:rsid w:val="00E77A50"/>
    <w:rsid w:val="00E8084A"/>
    <w:rsid w:val="00E810A3"/>
    <w:rsid w:val="00E812B2"/>
    <w:rsid w:val="00E848DA"/>
    <w:rsid w:val="00E84E10"/>
    <w:rsid w:val="00E905D4"/>
    <w:rsid w:val="00E91260"/>
    <w:rsid w:val="00E91FD4"/>
    <w:rsid w:val="00E92A96"/>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39BB"/>
    <w:rsid w:val="00EB4A80"/>
    <w:rsid w:val="00EB7D33"/>
    <w:rsid w:val="00EC0443"/>
    <w:rsid w:val="00EC10F6"/>
    <w:rsid w:val="00EC17A9"/>
    <w:rsid w:val="00EC1BFE"/>
    <w:rsid w:val="00EC1D6A"/>
    <w:rsid w:val="00EC34AF"/>
    <w:rsid w:val="00EC35EA"/>
    <w:rsid w:val="00EC3C4C"/>
    <w:rsid w:val="00EC4DC3"/>
    <w:rsid w:val="00EC6954"/>
    <w:rsid w:val="00EC7E3B"/>
    <w:rsid w:val="00ED28F2"/>
    <w:rsid w:val="00ED3465"/>
    <w:rsid w:val="00ED3E7D"/>
    <w:rsid w:val="00ED5039"/>
    <w:rsid w:val="00EE0069"/>
    <w:rsid w:val="00EE1B18"/>
    <w:rsid w:val="00EE4866"/>
    <w:rsid w:val="00EE50D2"/>
    <w:rsid w:val="00EE574A"/>
    <w:rsid w:val="00EE59C2"/>
    <w:rsid w:val="00EE76C5"/>
    <w:rsid w:val="00EE7F43"/>
    <w:rsid w:val="00EF03AC"/>
    <w:rsid w:val="00EF0FAC"/>
    <w:rsid w:val="00EF249A"/>
    <w:rsid w:val="00EF347D"/>
    <w:rsid w:val="00EF3E6A"/>
    <w:rsid w:val="00EF3EF0"/>
    <w:rsid w:val="00EF415A"/>
    <w:rsid w:val="00EF46A2"/>
    <w:rsid w:val="00EF7189"/>
    <w:rsid w:val="00F00259"/>
    <w:rsid w:val="00F026D5"/>
    <w:rsid w:val="00F028D8"/>
    <w:rsid w:val="00F02BFD"/>
    <w:rsid w:val="00F05414"/>
    <w:rsid w:val="00F05C94"/>
    <w:rsid w:val="00F05D6B"/>
    <w:rsid w:val="00F07336"/>
    <w:rsid w:val="00F10753"/>
    <w:rsid w:val="00F10FA6"/>
    <w:rsid w:val="00F11014"/>
    <w:rsid w:val="00F11369"/>
    <w:rsid w:val="00F1484D"/>
    <w:rsid w:val="00F1599B"/>
    <w:rsid w:val="00F15ACC"/>
    <w:rsid w:val="00F178A6"/>
    <w:rsid w:val="00F20AEF"/>
    <w:rsid w:val="00F22341"/>
    <w:rsid w:val="00F22A97"/>
    <w:rsid w:val="00F23533"/>
    <w:rsid w:val="00F23E7C"/>
    <w:rsid w:val="00F24E9E"/>
    <w:rsid w:val="00F26E4E"/>
    <w:rsid w:val="00F27614"/>
    <w:rsid w:val="00F305A7"/>
    <w:rsid w:val="00F31DC7"/>
    <w:rsid w:val="00F326B3"/>
    <w:rsid w:val="00F36057"/>
    <w:rsid w:val="00F36940"/>
    <w:rsid w:val="00F4115C"/>
    <w:rsid w:val="00F411CB"/>
    <w:rsid w:val="00F4203F"/>
    <w:rsid w:val="00F443C6"/>
    <w:rsid w:val="00F45742"/>
    <w:rsid w:val="00F45E7D"/>
    <w:rsid w:val="00F507F6"/>
    <w:rsid w:val="00F51A73"/>
    <w:rsid w:val="00F54087"/>
    <w:rsid w:val="00F55F14"/>
    <w:rsid w:val="00F563C3"/>
    <w:rsid w:val="00F56824"/>
    <w:rsid w:val="00F570E0"/>
    <w:rsid w:val="00F62E54"/>
    <w:rsid w:val="00F63AC4"/>
    <w:rsid w:val="00F63FAF"/>
    <w:rsid w:val="00F64EFC"/>
    <w:rsid w:val="00F65818"/>
    <w:rsid w:val="00F65932"/>
    <w:rsid w:val="00F66986"/>
    <w:rsid w:val="00F679DC"/>
    <w:rsid w:val="00F7052B"/>
    <w:rsid w:val="00F7632B"/>
    <w:rsid w:val="00F80F6C"/>
    <w:rsid w:val="00F8269D"/>
    <w:rsid w:val="00F82BCE"/>
    <w:rsid w:val="00F84248"/>
    <w:rsid w:val="00F854FE"/>
    <w:rsid w:val="00F868A2"/>
    <w:rsid w:val="00F8793E"/>
    <w:rsid w:val="00F91587"/>
    <w:rsid w:val="00F940E4"/>
    <w:rsid w:val="00F943AD"/>
    <w:rsid w:val="00F95373"/>
    <w:rsid w:val="00F960C4"/>
    <w:rsid w:val="00F96207"/>
    <w:rsid w:val="00F97372"/>
    <w:rsid w:val="00FA03F2"/>
    <w:rsid w:val="00FA2369"/>
    <w:rsid w:val="00FA37DD"/>
    <w:rsid w:val="00FA5256"/>
    <w:rsid w:val="00FA5360"/>
    <w:rsid w:val="00FB09EC"/>
    <w:rsid w:val="00FB41E1"/>
    <w:rsid w:val="00FB6150"/>
    <w:rsid w:val="00FB7807"/>
    <w:rsid w:val="00FB7AB0"/>
    <w:rsid w:val="00FC06C4"/>
    <w:rsid w:val="00FC26B5"/>
    <w:rsid w:val="00FC366C"/>
    <w:rsid w:val="00FC54F6"/>
    <w:rsid w:val="00FC5505"/>
    <w:rsid w:val="00FC5EF5"/>
    <w:rsid w:val="00FD00CE"/>
    <w:rsid w:val="00FD14C0"/>
    <w:rsid w:val="00FD18CC"/>
    <w:rsid w:val="00FD1B1E"/>
    <w:rsid w:val="00FD48F4"/>
    <w:rsid w:val="00FD65F1"/>
    <w:rsid w:val="00FD71D3"/>
    <w:rsid w:val="00FE09E0"/>
    <w:rsid w:val="00FE1B20"/>
    <w:rsid w:val="00FE21EF"/>
    <w:rsid w:val="00FE37C1"/>
    <w:rsid w:val="00FE3C8E"/>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
    <w:name w:val="Comment Text Char"/>
    <w:link w:val="CommentText"/>
    <w:uiPriority w:val="99"/>
    <w:rsid w:val="001378D8"/>
    <w:rPr>
      <w:rFonts w:ascii="Courier" w:hAnsi="Courier"/>
    </w:rPr>
  </w:style>
  <w:style w:type="paragraph" w:styleId="TOCHeading">
    <w:name w:val="TOC Heading"/>
    <w:basedOn w:val="Heading1"/>
    <w:next w:val="Normal"/>
    <w:uiPriority w:val="39"/>
    <w:unhideWhenUsed/>
    <w:qFormat/>
    <w:rsid w:val="00AC2608"/>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HeaderChar">
    <w:name w:val="Header Char"/>
    <w:basedOn w:val="DefaultParagraphFont"/>
    <w:link w:val="Header"/>
    <w:rsid w:val="00124711"/>
    <w:rPr>
      <w:rFonts w:ascii="Courier" w:hAnsi="Courier"/>
      <w:sz w:val="24"/>
    </w:rPr>
  </w:style>
  <w:style w:type="character" w:customStyle="1" w:styleId="ListParagraphChar">
    <w:name w:val="List Paragraph Char"/>
    <w:basedOn w:val="DefaultParagraphFont"/>
    <w:link w:val="ListParagraph"/>
    <w:uiPriority w:val="1"/>
    <w:locked/>
    <w:rsid w:val="00124711"/>
    <w:rPr>
      <w:spacing w:val="-3"/>
      <w:sz w:val="24"/>
    </w:rPr>
  </w:style>
  <w:style w:type="paragraph" w:customStyle="1" w:styleId="BasicParagraph">
    <w:name w:val="[Basic Paragraph]"/>
    <w:basedOn w:val="Normal"/>
    <w:uiPriority w:val="99"/>
    <w:rsid w:val="006741F5"/>
    <w:pPr>
      <w:overflowPunct/>
      <w:spacing w:line="288" w:lineRule="auto"/>
      <w:textAlignment w:val="center"/>
    </w:pPr>
    <w:rPr>
      <w:rFonts w:ascii="MinionPro-Regular" w:eastAsiaTheme="minorEastAsia" w:hAnsi="MinionPro-Regular" w:cs="MinionPro-Regular"/>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59685927">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5414613">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13384463">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66801222">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2809094">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6660853">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29398476">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25452695">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36543386">
      <w:bodyDiv w:val="1"/>
      <w:marLeft w:val="0"/>
      <w:marRight w:val="0"/>
      <w:marTop w:val="0"/>
      <w:marBottom w:val="0"/>
      <w:divBdr>
        <w:top w:val="none" w:sz="0" w:space="0" w:color="auto"/>
        <w:left w:val="none" w:sz="0" w:space="0" w:color="auto"/>
        <w:bottom w:val="none" w:sz="0" w:space="0" w:color="auto"/>
        <w:right w:val="none" w:sz="0" w:space="0" w:color="auto"/>
      </w:divBdr>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I:\FM\FNS%20Grant%20Management%20Programs\GMOB\Terms%20and%20Conditions\www.fns.usda.gov\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walton@usda.gov"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20Tables/html/DCB_h.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0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4d41b3-ce81-4c80-8fa2-d44de1136e35"/>
    <ds:schemaRef ds:uri="http://www.w3.org/XML/1998/namespace"/>
    <ds:schemaRef ds:uri="http://purl.org/dc/dcmitype/"/>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BF014BFB-B753-47E6-8661-C24F9AB69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E3951-9718-485D-B92C-7B35E9E1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20743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2</cp:revision>
  <cp:lastPrinted>2013-08-08T14:23:00Z</cp:lastPrinted>
  <dcterms:created xsi:type="dcterms:W3CDTF">2021-05-11T17:56:00Z</dcterms:created>
  <dcterms:modified xsi:type="dcterms:W3CDTF">2021-05-11T17:56:00Z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