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1DD0" w:rsidR="00447C1E" w:rsidP="00447C1E" w:rsidRDefault="00447C1E" w14:paraId="4FD90848"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rsidRDefault="00AD4629" w14:paraId="541FA53F" w14:textId="4C532EE1">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Pr="00BD1DD0" w:rsidR="009F7E1A">
        <w:rPr>
          <w:rFonts w:ascii="Times New Roman" w:hAnsi="Times New Roman"/>
          <w:b/>
          <w:szCs w:val="24"/>
          <w:lang w:val="es-US"/>
        </w:rPr>
        <w:t xml:space="preserve">Control </w:t>
      </w:r>
      <w:r w:rsidRPr="00BD1DD0" w:rsidR="009F7E1A">
        <w:rPr>
          <w:rFonts w:ascii="Times New Roman" w:hAnsi="Times New Roman"/>
          <w:b/>
          <w:szCs w:val="24"/>
        </w:rPr>
        <w:t>Number</w:t>
      </w:r>
      <w:r w:rsidRPr="00BD1DD0">
        <w:rPr>
          <w:rFonts w:ascii="Times New Roman" w:hAnsi="Times New Roman"/>
          <w:b/>
          <w:szCs w:val="24"/>
          <w:lang w:val="es-US"/>
        </w:rPr>
        <w:t xml:space="preserve"> 0584-</w:t>
      </w:r>
      <w:r w:rsidR="00EB2850">
        <w:rPr>
          <w:rFonts w:ascii="Times New Roman" w:hAnsi="Times New Roman"/>
          <w:b/>
          <w:szCs w:val="24"/>
          <w:lang w:val="es-US"/>
        </w:rPr>
        <w:t>0034</w:t>
      </w:r>
      <w:r w:rsidRPr="00BD1DD0" w:rsidR="00B335C9">
        <w:rPr>
          <w:rFonts w:ascii="Times New Roman" w:hAnsi="Times New Roman"/>
          <w:b/>
          <w:szCs w:val="24"/>
          <w:lang w:val="es-US"/>
        </w:rPr>
        <w:t xml:space="preserve">:  </w:t>
      </w:r>
    </w:p>
    <w:p w:rsidRPr="00F02862" w:rsidR="00EB2850" w:rsidP="00EB2850" w:rsidRDefault="00EB2850" w14:paraId="5D1352BA" w14:textId="082A6081">
      <w:pPr>
        <w:tabs>
          <w:tab w:val="center" w:pos="4680"/>
        </w:tabs>
        <w:suppressAutoHyphens/>
        <w:jc w:val="center"/>
        <w:rPr>
          <w:rFonts w:ascii="Times New Roman" w:hAnsi="Times New Roman"/>
          <w:b/>
          <w:bCs/>
          <w:szCs w:val="24"/>
        </w:rPr>
      </w:pPr>
      <w:r w:rsidRPr="00F02862">
        <w:rPr>
          <w:rFonts w:ascii="Times New Roman" w:hAnsi="Times New Roman"/>
          <w:b/>
          <w:bCs/>
          <w:szCs w:val="24"/>
        </w:rPr>
        <w:t xml:space="preserve">FNS-245: </w:t>
      </w:r>
      <w:r w:rsidR="00635689">
        <w:rPr>
          <w:rFonts w:ascii="Times New Roman" w:hAnsi="Times New Roman"/>
          <w:b/>
          <w:bCs/>
          <w:szCs w:val="24"/>
        </w:rPr>
        <w:t xml:space="preserve">SNAP </w:t>
      </w:r>
      <w:r w:rsidR="00D53725">
        <w:rPr>
          <w:rFonts w:ascii="Times New Roman" w:hAnsi="Times New Roman"/>
          <w:b/>
          <w:bCs/>
          <w:szCs w:val="24"/>
        </w:rPr>
        <w:t>Negative</w:t>
      </w:r>
      <w:r w:rsidRPr="00F02862">
        <w:rPr>
          <w:rFonts w:ascii="Times New Roman" w:hAnsi="Times New Roman"/>
          <w:b/>
          <w:bCs/>
          <w:szCs w:val="24"/>
        </w:rPr>
        <w:t xml:space="preserve"> Case Action Review Schedule</w:t>
      </w:r>
    </w:p>
    <w:p w:rsidRPr="00BD1DD0" w:rsidR="00447C1E" w:rsidP="00447C1E" w:rsidRDefault="00447C1E" w14:paraId="4959988A" w14:textId="77777777">
      <w:pPr>
        <w:tabs>
          <w:tab w:val="right" w:pos="9360"/>
        </w:tabs>
        <w:spacing w:line="480" w:lineRule="auto"/>
        <w:jc w:val="center"/>
        <w:rPr>
          <w:rFonts w:ascii="Times New Roman" w:hAnsi="Times New Roman"/>
          <w:b/>
          <w:szCs w:val="24"/>
        </w:rPr>
      </w:pPr>
    </w:p>
    <w:p w:rsidRPr="002568E6" w:rsidR="00B335C9" w:rsidP="00447C1E" w:rsidRDefault="00B335C9" w14:paraId="0D3DC05A" w14:textId="77777777">
      <w:pPr>
        <w:tabs>
          <w:tab w:val="right" w:pos="9360"/>
        </w:tabs>
        <w:spacing w:line="480" w:lineRule="auto"/>
        <w:jc w:val="center"/>
        <w:rPr>
          <w:rFonts w:ascii="Times New Roman" w:hAnsi="Times New Roman"/>
          <w:szCs w:val="24"/>
          <w:lang w:val="es-US"/>
        </w:rPr>
      </w:pPr>
    </w:p>
    <w:p w:rsidRPr="002568E6" w:rsidR="00B335C9" w:rsidP="00447C1E" w:rsidRDefault="00B335C9" w14:paraId="1508E47C" w14:textId="77777777">
      <w:pPr>
        <w:tabs>
          <w:tab w:val="right" w:pos="9360"/>
        </w:tabs>
        <w:spacing w:line="480" w:lineRule="auto"/>
        <w:jc w:val="center"/>
        <w:rPr>
          <w:rFonts w:ascii="Times New Roman" w:hAnsi="Times New Roman"/>
          <w:szCs w:val="24"/>
          <w:lang w:val="es-US"/>
        </w:rPr>
      </w:pPr>
    </w:p>
    <w:p w:rsidR="00D53725" w:rsidP="00447C1E" w:rsidRDefault="00D53725" w14:paraId="11322DD6" w14:textId="77777777">
      <w:pPr>
        <w:spacing w:line="480" w:lineRule="auto"/>
        <w:jc w:val="center"/>
        <w:rPr>
          <w:rFonts w:ascii="Times New Roman" w:hAnsi="Times New Roman"/>
          <w:szCs w:val="24"/>
          <w:lang w:val="es-US"/>
        </w:rPr>
      </w:pPr>
    </w:p>
    <w:p w:rsidR="00D53725" w:rsidP="00447C1E" w:rsidRDefault="00D53725" w14:paraId="4D15147A" w14:textId="77777777">
      <w:pPr>
        <w:spacing w:line="480" w:lineRule="auto"/>
        <w:jc w:val="center"/>
        <w:rPr>
          <w:rFonts w:ascii="Times New Roman" w:hAnsi="Times New Roman"/>
          <w:szCs w:val="24"/>
          <w:lang w:val="es-US"/>
        </w:rPr>
      </w:pPr>
    </w:p>
    <w:p w:rsidR="00D53725" w:rsidP="00447C1E" w:rsidRDefault="00D53725" w14:paraId="3CBF6CD4" w14:textId="77777777">
      <w:pPr>
        <w:spacing w:line="480" w:lineRule="auto"/>
        <w:jc w:val="center"/>
        <w:rPr>
          <w:rFonts w:ascii="Times New Roman" w:hAnsi="Times New Roman"/>
          <w:szCs w:val="24"/>
          <w:lang w:val="es-US"/>
        </w:rPr>
      </w:pPr>
    </w:p>
    <w:p w:rsidR="00D53725" w:rsidP="00447C1E" w:rsidRDefault="00D53725" w14:paraId="16BED90F" w14:textId="77777777">
      <w:pPr>
        <w:spacing w:line="480" w:lineRule="auto"/>
        <w:jc w:val="center"/>
        <w:rPr>
          <w:rFonts w:ascii="Times New Roman" w:hAnsi="Times New Roman"/>
          <w:szCs w:val="24"/>
          <w:lang w:val="es-US"/>
        </w:rPr>
      </w:pPr>
    </w:p>
    <w:p w:rsidR="00D53725" w:rsidP="00447C1E" w:rsidRDefault="00D53725" w14:paraId="3299D856" w14:textId="77777777">
      <w:pPr>
        <w:spacing w:line="480" w:lineRule="auto"/>
        <w:jc w:val="center"/>
        <w:rPr>
          <w:rFonts w:ascii="Times New Roman" w:hAnsi="Times New Roman"/>
          <w:szCs w:val="24"/>
          <w:lang w:val="es-US"/>
        </w:rPr>
      </w:pPr>
    </w:p>
    <w:p w:rsidR="00D53725" w:rsidP="00447C1E" w:rsidRDefault="00D53725" w14:paraId="530D2472" w14:textId="77777777">
      <w:pPr>
        <w:spacing w:line="480" w:lineRule="auto"/>
        <w:jc w:val="center"/>
        <w:rPr>
          <w:rFonts w:ascii="Times New Roman" w:hAnsi="Times New Roman"/>
          <w:szCs w:val="24"/>
          <w:lang w:val="es-US"/>
        </w:rPr>
      </w:pPr>
    </w:p>
    <w:p w:rsidR="00D53725" w:rsidP="00447C1E" w:rsidRDefault="00D53725" w14:paraId="3A3C1503" w14:textId="77777777">
      <w:pPr>
        <w:spacing w:line="480" w:lineRule="auto"/>
        <w:jc w:val="center"/>
        <w:rPr>
          <w:rFonts w:ascii="Times New Roman" w:hAnsi="Times New Roman"/>
          <w:szCs w:val="24"/>
          <w:lang w:val="es-US"/>
        </w:rPr>
      </w:pPr>
    </w:p>
    <w:p w:rsidR="00D53725" w:rsidP="00447C1E" w:rsidRDefault="00D53725" w14:paraId="2DFEE7A3" w14:textId="77777777">
      <w:pPr>
        <w:spacing w:line="480" w:lineRule="auto"/>
        <w:jc w:val="center"/>
        <w:rPr>
          <w:rFonts w:ascii="Times New Roman" w:hAnsi="Times New Roman"/>
          <w:szCs w:val="24"/>
          <w:lang w:val="es-US"/>
        </w:rPr>
      </w:pPr>
    </w:p>
    <w:p w:rsidR="00D53725" w:rsidP="00447C1E" w:rsidRDefault="00D53725" w14:paraId="27091FFF" w14:textId="77777777">
      <w:pPr>
        <w:spacing w:line="480" w:lineRule="auto"/>
        <w:jc w:val="center"/>
        <w:rPr>
          <w:rFonts w:ascii="Times New Roman" w:hAnsi="Times New Roman"/>
          <w:szCs w:val="24"/>
          <w:lang w:val="es-US"/>
        </w:rPr>
      </w:pPr>
    </w:p>
    <w:p w:rsidR="00D53725" w:rsidP="00447C1E" w:rsidRDefault="00D53725" w14:paraId="241D53ED" w14:textId="77777777">
      <w:pPr>
        <w:spacing w:line="480" w:lineRule="auto"/>
        <w:jc w:val="center"/>
        <w:rPr>
          <w:rFonts w:ascii="Times New Roman" w:hAnsi="Times New Roman"/>
          <w:szCs w:val="24"/>
          <w:lang w:val="es-US"/>
        </w:rPr>
      </w:pPr>
    </w:p>
    <w:p w:rsidR="00D53725" w:rsidP="00447C1E" w:rsidRDefault="00D53725" w14:paraId="14298038" w14:textId="77777777">
      <w:pPr>
        <w:spacing w:line="480" w:lineRule="auto"/>
        <w:jc w:val="center"/>
        <w:rPr>
          <w:rFonts w:ascii="Times New Roman" w:hAnsi="Times New Roman"/>
          <w:szCs w:val="24"/>
          <w:lang w:val="es-US"/>
        </w:rPr>
      </w:pPr>
    </w:p>
    <w:p w:rsidR="00D53725" w:rsidP="00447C1E" w:rsidRDefault="00D53725" w14:paraId="1728A502" w14:textId="77777777">
      <w:pPr>
        <w:spacing w:line="480" w:lineRule="auto"/>
        <w:jc w:val="center"/>
        <w:rPr>
          <w:rFonts w:ascii="Times New Roman" w:hAnsi="Times New Roman"/>
          <w:szCs w:val="24"/>
          <w:lang w:val="es-US"/>
        </w:rPr>
      </w:pPr>
    </w:p>
    <w:p w:rsidRPr="002568E6" w:rsidR="00447C1E" w:rsidP="00447C1E" w:rsidRDefault="00D53725" w14:paraId="0D4F0E34" w14:textId="77777777">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2568E6" w:rsidR="00447C1E" w:rsidP="00447C1E" w:rsidRDefault="00EB2850" w14:paraId="2CE09784" w14:textId="77777777">
      <w:pPr>
        <w:spacing w:line="480" w:lineRule="auto"/>
        <w:jc w:val="center"/>
        <w:rPr>
          <w:rFonts w:ascii="Times New Roman" w:hAnsi="Times New Roman"/>
          <w:szCs w:val="24"/>
        </w:rPr>
      </w:pPr>
      <w:r>
        <w:rPr>
          <w:rFonts w:ascii="Times New Roman" w:hAnsi="Times New Roman"/>
          <w:szCs w:val="24"/>
        </w:rPr>
        <w:t>Program Analyst</w:t>
      </w:r>
    </w:p>
    <w:p w:rsidRPr="00F02862" w:rsidR="00EB2850" w:rsidP="00EB2850" w:rsidRDefault="00EB2850" w14:paraId="3F216664" w14:textId="77777777">
      <w:pPr>
        <w:spacing w:line="480" w:lineRule="auto"/>
        <w:jc w:val="center"/>
        <w:rPr>
          <w:rFonts w:ascii="Times New Roman" w:hAnsi="Times New Roman"/>
          <w:szCs w:val="24"/>
        </w:rPr>
      </w:pPr>
      <w:r w:rsidRPr="00F02862">
        <w:rPr>
          <w:rFonts w:ascii="Times New Roman" w:hAnsi="Times New Roman"/>
        </w:rPr>
        <w:t>Supplemental Nutrition Assistance Program</w:t>
      </w:r>
    </w:p>
    <w:p w:rsidRPr="002568E6" w:rsidR="00447C1E" w:rsidP="00447C1E" w:rsidRDefault="009F7E1A" w14:paraId="7F61D015" w14:textId="77777777">
      <w:pPr>
        <w:spacing w:line="480" w:lineRule="auto"/>
        <w:jc w:val="center"/>
        <w:rPr>
          <w:rFonts w:ascii="Times New Roman" w:hAnsi="Times New Roman"/>
          <w:szCs w:val="24"/>
        </w:rPr>
      </w:pPr>
      <w:r w:rsidRPr="002568E6">
        <w:rPr>
          <w:rFonts w:ascii="Times New Roman" w:hAnsi="Times New Roman"/>
          <w:szCs w:val="24"/>
        </w:rPr>
        <w:t xml:space="preserve">USDA, </w:t>
      </w:r>
      <w:r w:rsidRPr="002568E6" w:rsidR="00447C1E">
        <w:rPr>
          <w:rFonts w:ascii="Times New Roman" w:hAnsi="Times New Roman"/>
          <w:szCs w:val="24"/>
        </w:rPr>
        <w:t>Food and Nutrition Service</w:t>
      </w:r>
    </w:p>
    <w:p w:rsidRPr="002568E6" w:rsidR="00447C1E" w:rsidP="00447C1E" w:rsidRDefault="00D53725" w14:paraId="6678B9F3" w14:textId="77777777">
      <w:pPr>
        <w:spacing w:line="480" w:lineRule="auto"/>
        <w:jc w:val="center"/>
        <w:rPr>
          <w:rFonts w:ascii="Times New Roman" w:hAnsi="Times New Roman"/>
          <w:szCs w:val="24"/>
        </w:rPr>
      </w:pPr>
      <w:r>
        <w:rPr>
          <w:rFonts w:ascii="Times New Roman" w:hAnsi="Times New Roman"/>
          <w:szCs w:val="24"/>
        </w:rPr>
        <w:t>1320 Braddock Place, 5</w:t>
      </w:r>
      <w:r w:rsidRPr="00D53725">
        <w:rPr>
          <w:rFonts w:ascii="Times New Roman" w:hAnsi="Times New Roman"/>
          <w:szCs w:val="24"/>
          <w:vertAlign w:val="superscript"/>
        </w:rPr>
        <w:t>th</w:t>
      </w:r>
      <w:r>
        <w:rPr>
          <w:rFonts w:ascii="Times New Roman" w:hAnsi="Times New Roman"/>
          <w:szCs w:val="24"/>
        </w:rPr>
        <w:t xml:space="preserve"> Floor</w:t>
      </w:r>
    </w:p>
    <w:p w:rsidRPr="002568E6" w:rsidR="00447C1E" w:rsidP="00447C1E" w:rsidRDefault="00447C1E" w14:paraId="40829717" w14:textId="77777777">
      <w:pPr>
        <w:spacing w:line="480" w:lineRule="auto"/>
        <w:jc w:val="center"/>
        <w:rPr>
          <w:rFonts w:ascii="Times New Roman" w:hAnsi="Times New Roman"/>
          <w:szCs w:val="24"/>
        </w:rPr>
      </w:pPr>
      <w:r w:rsidRPr="002568E6">
        <w:rPr>
          <w:rFonts w:ascii="Times New Roman" w:hAnsi="Times New Roman"/>
          <w:szCs w:val="24"/>
        </w:rPr>
        <w:t>Alexandria, Virginia 223</w:t>
      </w:r>
      <w:r w:rsidR="00D53725">
        <w:rPr>
          <w:rFonts w:ascii="Times New Roman" w:hAnsi="Times New Roman"/>
          <w:szCs w:val="24"/>
        </w:rPr>
        <w:t>14</w:t>
      </w:r>
    </w:p>
    <w:p w:rsidR="00905A5F" w:rsidP="009F7E1A" w:rsidRDefault="00905A5F" w14:paraId="6CEB11D6"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rsidRDefault="00905A5F" w14:paraId="11183FB2" w14:textId="27B053BE">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564702">
          <w:rPr>
            <w:webHidden/>
          </w:rPr>
          <w:t>3</w:t>
        </w:r>
        <w:r w:rsidR="00BD1DD0">
          <w:rPr>
            <w:webHidden/>
          </w:rPr>
          <w:fldChar w:fldCharType="end"/>
        </w:r>
      </w:hyperlink>
    </w:p>
    <w:p w:rsidR="00BD1DD0" w:rsidRDefault="00981420" w14:paraId="6A505A5E" w14:textId="6146A5AE">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564702">
          <w:rPr>
            <w:webHidden/>
          </w:rPr>
          <w:t>3</w:t>
        </w:r>
        <w:r w:rsidR="00BD1DD0">
          <w:rPr>
            <w:webHidden/>
          </w:rPr>
          <w:fldChar w:fldCharType="end"/>
        </w:r>
      </w:hyperlink>
    </w:p>
    <w:p w:rsidR="00BD1DD0" w:rsidRDefault="00981420" w14:paraId="27A7A5A9" w14:textId="7323B6E0">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564702">
          <w:rPr>
            <w:webHidden/>
          </w:rPr>
          <w:t>4</w:t>
        </w:r>
        <w:r w:rsidR="00BD1DD0">
          <w:rPr>
            <w:webHidden/>
          </w:rPr>
          <w:fldChar w:fldCharType="end"/>
        </w:r>
      </w:hyperlink>
    </w:p>
    <w:p w:rsidR="00BD1DD0" w:rsidRDefault="00981420" w14:paraId="658B123E" w14:textId="4679B140">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564702">
          <w:rPr>
            <w:webHidden/>
          </w:rPr>
          <w:t>5</w:t>
        </w:r>
        <w:r w:rsidR="00BD1DD0">
          <w:rPr>
            <w:webHidden/>
          </w:rPr>
          <w:fldChar w:fldCharType="end"/>
        </w:r>
      </w:hyperlink>
    </w:p>
    <w:p w:rsidR="00BD1DD0" w:rsidRDefault="00981420" w14:paraId="2347CA2A" w14:textId="2975D13F">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564702">
          <w:rPr>
            <w:webHidden/>
          </w:rPr>
          <w:t>5</w:t>
        </w:r>
        <w:r w:rsidR="00BD1DD0">
          <w:rPr>
            <w:webHidden/>
          </w:rPr>
          <w:fldChar w:fldCharType="end"/>
        </w:r>
      </w:hyperlink>
    </w:p>
    <w:p w:rsidR="00BD1DD0" w:rsidRDefault="00981420" w14:paraId="1423677B" w14:textId="762B29B7">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564702">
          <w:rPr>
            <w:webHidden/>
          </w:rPr>
          <w:t>5</w:t>
        </w:r>
        <w:r w:rsidR="00BD1DD0">
          <w:rPr>
            <w:webHidden/>
          </w:rPr>
          <w:fldChar w:fldCharType="end"/>
        </w:r>
      </w:hyperlink>
    </w:p>
    <w:p w:rsidR="00BD1DD0" w:rsidRDefault="00981420" w14:paraId="2D459255" w14:textId="549D39AC">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564702">
          <w:rPr>
            <w:webHidden/>
          </w:rPr>
          <w:t>6</w:t>
        </w:r>
        <w:r w:rsidR="00BD1DD0">
          <w:rPr>
            <w:webHidden/>
          </w:rPr>
          <w:fldChar w:fldCharType="end"/>
        </w:r>
      </w:hyperlink>
    </w:p>
    <w:p w:rsidR="00BD1DD0" w:rsidRDefault="00981420" w14:paraId="610B86A4" w14:textId="45797177">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564702">
          <w:rPr>
            <w:webHidden/>
          </w:rPr>
          <w:t>7</w:t>
        </w:r>
        <w:r w:rsidR="00BD1DD0">
          <w:rPr>
            <w:webHidden/>
          </w:rPr>
          <w:fldChar w:fldCharType="end"/>
        </w:r>
      </w:hyperlink>
    </w:p>
    <w:p w:rsidR="00BD1DD0" w:rsidRDefault="00981420" w14:paraId="12393186" w14:textId="5ABE810F">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564702">
          <w:rPr>
            <w:webHidden/>
          </w:rPr>
          <w:t>8</w:t>
        </w:r>
        <w:r w:rsidR="00BD1DD0">
          <w:rPr>
            <w:webHidden/>
          </w:rPr>
          <w:fldChar w:fldCharType="end"/>
        </w:r>
      </w:hyperlink>
    </w:p>
    <w:p w:rsidR="00BD1DD0" w:rsidRDefault="00981420" w14:paraId="372DA365" w14:textId="035BCA41">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564702">
          <w:rPr>
            <w:webHidden/>
          </w:rPr>
          <w:t>8</w:t>
        </w:r>
        <w:r w:rsidR="00BD1DD0">
          <w:rPr>
            <w:webHidden/>
          </w:rPr>
          <w:fldChar w:fldCharType="end"/>
        </w:r>
      </w:hyperlink>
    </w:p>
    <w:p w:rsidR="00BD1DD0" w:rsidRDefault="00981420" w14:paraId="6CE218A1" w14:textId="1DDEC03A">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564702">
          <w:rPr>
            <w:webHidden/>
          </w:rPr>
          <w:t>8</w:t>
        </w:r>
        <w:r w:rsidR="00BD1DD0">
          <w:rPr>
            <w:webHidden/>
          </w:rPr>
          <w:fldChar w:fldCharType="end"/>
        </w:r>
      </w:hyperlink>
    </w:p>
    <w:p w:rsidR="00BD1DD0" w:rsidRDefault="00981420" w14:paraId="38D7C882" w14:textId="652F5627">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564702">
          <w:rPr>
            <w:webHidden/>
          </w:rPr>
          <w:t>9</w:t>
        </w:r>
        <w:r w:rsidR="00BD1DD0">
          <w:rPr>
            <w:webHidden/>
          </w:rPr>
          <w:fldChar w:fldCharType="end"/>
        </w:r>
      </w:hyperlink>
    </w:p>
    <w:p w:rsidR="00BD1DD0" w:rsidRDefault="00981420" w14:paraId="4933EBFB" w14:textId="6E4EECA9">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564702">
          <w:rPr>
            <w:webHidden/>
          </w:rPr>
          <w:t>11</w:t>
        </w:r>
        <w:r w:rsidR="00BD1DD0">
          <w:rPr>
            <w:webHidden/>
          </w:rPr>
          <w:fldChar w:fldCharType="end"/>
        </w:r>
      </w:hyperlink>
    </w:p>
    <w:p w:rsidR="00BD1DD0" w:rsidRDefault="00981420" w14:paraId="67F0E455" w14:textId="7BCF47A8">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564702">
          <w:rPr>
            <w:webHidden/>
          </w:rPr>
          <w:t>11</w:t>
        </w:r>
        <w:r w:rsidR="00BD1DD0">
          <w:rPr>
            <w:webHidden/>
          </w:rPr>
          <w:fldChar w:fldCharType="end"/>
        </w:r>
      </w:hyperlink>
    </w:p>
    <w:p w:rsidR="00BD1DD0" w:rsidRDefault="00981420" w14:paraId="1F747D27" w14:textId="64D9F12D">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564702">
          <w:rPr>
            <w:webHidden/>
          </w:rPr>
          <w:t>12</w:t>
        </w:r>
        <w:r w:rsidR="00BD1DD0">
          <w:rPr>
            <w:webHidden/>
          </w:rPr>
          <w:fldChar w:fldCharType="end"/>
        </w:r>
      </w:hyperlink>
    </w:p>
    <w:p w:rsidR="00BD1DD0" w:rsidRDefault="00981420" w14:paraId="52F206B3" w14:textId="4F54CB61">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564702">
          <w:rPr>
            <w:webHidden/>
          </w:rPr>
          <w:t>12</w:t>
        </w:r>
        <w:r w:rsidR="00BD1DD0">
          <w:rPr>
            <w:webHidden/>
          </w:rPr>
          <w:fldChar w:fldCharType="end"/>
        </w:r>
      </w:hyperlink>
    </w:p>
    <w:p w:rsidR="00BD1DD0" w:rsidRDefault="00981420" w14:paraId="29F7F073" w14:textId="180626D6">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564702">
          <w:rPr>
            <w:webHidden/>
          </w:rPr>
          <w:t>13</w:t>
        </w:r>
        <w:r w:rsidR="00BD1DD0">
          <w:rPr>
            <w:webHidden/>
          </w:rPr>
          <w:fldChar w:fldCharType="end"/>
        </w:r>
      </w:hyperlink>
    </w:p>
    <w:p w:rsidR="00BD1DD0" w:rsidRDefault="00981420" w14:paraId="27D02314" w14:textId="3F0CB144">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564702">
          <w:rPr>
            <w:webHidden/>
          </w:rPr>
          <w:t>13</w:t>
        </w:r>
        <w:r w:rsidR="00BD1DD0">
          <w:rPr>
            <w:webHidden/>
          </w:rPr>
          <w:fldChar w:fldCharType="end"/>
        </w:r>
      </w:hyperlink>
    </w:p>
    <w:p w:rsidR="00905A5F" w:rsidP="009F7E1A" w:rsidRDefault="00905A5F" w14:paraId="76DE6BB0"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4DD62C55" w14:textId="77777777">
      <w:pPr>
        <w:tabs>
          <w:tab w:val="center" w:pos="4680"/>
        </w:tabs>
        <w:rPr>
          <w:rFonts w:ascii="Times New Roman" w:hAnsi="Times New Roman"/>
          <w:b/>
          <w:szCs w:val="24"/>
          <w:u w:val="single"/>
        </w:rPr>
      </w:pPr>
    </w:p>
    <w:p w:rsidR="00905A5F" w:rsidP="009F7E1A" w:rsidRDefault="00905A5F" w14:paraId="2C6F9A36" w14:textId="77777777">
      <w:pPr>
        <w:tabs>
          <w:tab w:val="center" w:pos="4680"/>
        </w:tabs>
        <w:rPr>
          <w:rFonts w:ascii="Times New Roman" w:hAnsi="Times New Roman"/>
          <w:b/>
          <w:szCs w:val="24"/>
          <w:u w:val="single"/>
        </w:rPr>
      </w:pPr>
    </w:p>
    <w:p w:rsidR="002568E6" w:rsidP="009F7E1A" w:rsidRDefault="00905A5F" w14:paraId="507BE195" w14:textId="10E7BC54">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73829" w:rsidP="009F7E1A" w:rsidRDefault="00273829" w14:paraId="25308FB3" w14:textId="77777777">
      <w:pPr>
        <w:tabs>
          <w:tab w:val="center" w:pos="4680"/>
        </w:tabs>
        <w:rPr>
          <w:rFonts w:ascii="Times New Roman" w:hAnsi="Times New Roman"/>
          <w:b/>
          <w:szCs w:val="24"/>
          <w:u w:val="single"/>
        </w:rPr>
      </w:pPr>
    </w:p>
    <w:p w:rsidRPr="0077109A" w:rsidR="007F1597" w:rsidP="00700DC8" w:rsidRDefault="007F1597" w14:paraId="3B89F469" w14:textId="77777777">
      <w:pPr>
        <w:pStyle w:val="ListParagraph"/>
        <w:numPr>
          <w:ilvl w:val="0"/>
          <w:numId w:val="20"/>
        </w:numPr>
        <w:tabs>
          <w:tab w:val="center" w:pos="4680"/>
        </w:tabs>
        <w:rPr>
          <w:szCs w:val="24"/>
        </w:rPr>
      </w:pPr>
      <w:r w:rsidRPr="0077109A">
        <w:rPr>
          <w:szCs w:val="24"/>
        </w:rPr>
        <w:t>FNS-245 and Coding Instructions</w:t>
      </w:r>
    </w:p>
    <w:p w:rsidR="00A853D5" w:rsidP="00446DBF" w:rsidRDefault="00446DBF" w14:paraId="36722D79" w14:textId="77777777">
      <w:pPr>
        <w:pStyle w:val="ListParagraph"/>
        <w:numPr>
          <w:ilvl w:val="0"/>
          <w:numId w:val="20"/>
        </w:numPr>
        <w:tabs>
          <w:tab w:val="center" w:pos="4680"/>
        </w:tabs>
        <w:rPr>
          <w:szCs w:val="24"/>
        </w:rPr>
      </w:pPr>
      <w:r w:rsidRPr="00446DBF">
        <w:rPr>
          <w:szCs w:val="24"/>
        </w:rPr>
        <w:t xml:space="preserve">FNS 310 Handbook </w:t>
      </w:r>
    </w:p>
    <w:p w:rsidR="00291866" w:rsidP="00291866" w:rsidRDefault="00291866" w14:paraId="518BC345" w14:textId="77777777">
      <w:pPr>
        <w:pStyle w:val="ListParagraph"/>
        <w:numPr>
          <w:ilvl w:val="0"/>
          <w:numId w:val="20"/>
        </w:numPr>
        <w:tabs>
          <w:tab w:val="center" w:pos="4680"/>
        </w:tabs>
        <w:rPr>
          <w:szCs w:val="24"/>
        </w:rPr>
      </w:pPr>
      <w:r>
        <w:rPr>
          <w:szCs w:val="24"/>
        </w:rPr>
        <w:t>Burden Narrative</w:t>
      </w:r>
    </w:p>
    <w:p w:rsidRPr="00F578B4" w:rsidR="00291866" w:rsidP="00291866" w:rsidRDefault="00291866" w14:paraId="229DC89B" w14:textId="77777777">
      <w:pPr>
        <w:pStyle w:val="ListParagraph"/>
        <w:numPr>
          <w:ilvl w:val="0"/>
          <w:numId w:val="20"/>
        </w:numPr>
        <w:tabs>
          <w:tab w:val="center" w:pos="4680"/>
        </w:tabs>
        <w:rPr>
          <w:szCs w:val="24"/>
        </w:rPr>
      </w:pPr>
      <w:r>
        <w:rPr>
          <w:szCs w:val="24"/>
        </w:rPr>
        <w:t>Burden chart</w:t>
      </w:r>
    </w:p>
    <w:p w:rsidRPr="0064589F" w:rsidR="00BB444F" w:rsidP="00BB444F" w:rsidRDefault="00BB444F" w14:paraId="2BA53E40" w14:textId="77777777">
      <w:pPr>
        <w:pStyle w:val="ListParagraph"/>
        <w:numPr>
          <w:ilvl w:val="0"/>
          <w:numId w:val="20"/>
        </w:numPr>
        <w:tabs>
          <w:tab w:val="center" w:pos="4680"/>
        </w:tabs>
        <w:rPr>
          <w:szCs w:val="24"/>
        </w:rPr>
      </w:pPr>
      <w:r>
        <w:rPr>
          <w:szCs w:val="24"/>
        </w:rPr>
        <w:t>Legal Authority 1:</w:t>
      </w:r>
      <w:r w:rsidRPr="003A7667">
        <w:rPr>
          <w:szCs w:val="24"/>
        </w:rPr>
        <w:t xml:space="preserve">  CFR </w:t>
      </w:r>
      <w:hyperlink w:history="1" r:id="rId12">
        <w:r w:rsidRPr="0064589F">
          <w:rPr>
            <w:szCs w:val="24"/>
          </w:rPr>
          <w:t>PART 275—Performance Reporting System</w:t>
        </w:r>
      </w:hyperlink>
    </w:p>
    <w:p w:rsidR="00BB444F" w:rsidP="00083F42" w:rsidRDefault="00BB444F" w14:paraId="01A578B2" w14:textId="579CEFA1">
      <w:pPr>
        <w:pStyle w:val="ListParagraph"/>
        <w:tabs>
          <w:tab w:val="center" w:pos="4680"/>
        </w:tabs>
        <w:ind w:left="360"/>
        <w:rPr>
          <w:szCs w:val="24"/>
        </w:rPr>
      </w:pPr>
      <w:r w:rsidRPr="0064589F">
        <w:rPr>
          <w:szCs w:val="24"/>
        </w:rPr>
        <w:t>Legal Authority 2: Food and Nutrition Act 2008 Section 11 and 16</w:t>
      </w:r>
    </w:p>
    <w:p w:rsidRPr="00F83F08" w:rsidR="00923C6F" w:rsidRDefault="00923C6F" w14:paraId="3AA1DE1D" w14:textId="5A7DF2D9">
      <w:pPr>
        <w:pStyle w:val="ListParagraph"/>
        <w:tabs>
          <w:tab w:val="center" w:pos="4680"/>
        </w:tabs>
        <w:ind w:left="360"/>
      </w:pPr>
      <w:r w:rsidRPr="00F83F08">
        <w:t>Legal Authority 3: CFR 272.1 General Terms and Conditions</w:t>
      </w:r>
    </w:p>
    <w:p w:rsidRPr="00BB444F" w:rsidR="00BB444F" w:rsidP="00BB444F" w:rsidRDefault="00BB444F" w14:paraId="590E6D1D" w14:textId="1F406DA0">
      <w:pPr>
        <w:pStyle w:val="ListParagraph"/>
        <w:widowControl/>
        <w:numPr>
          <w:ilvl w:val="0"/>
          <w:numId w:val="20"/>
        </w:numPr>
        <w:rPr>
          <w:szCs w:val="24"/>
        </w:rPr>
      </w:pPr>
      <w:r w:rsidRPr="00BB444F">
        <w:rPr>
          <w:szCs w:val="24"/>
        </w:rPr>
        <w:t xml:space="preserve">SORN USDA/FNS-5 </w:t>
      </w:r>
      <w:r w:rsidRPr="00083F42">
        <w:rPr>
          <w:szCs w:val="24"/>
        </w:rPr>
        <w:t>Information on Persons Disqualified from the Supplemental Nutrition Assistance Program</w:t>
      </w:r>
    </w:p>
    <w:p w:rsidR="00E93CB2" w:rsidP="00E93CB2" w:rsidRDefault="00E93CB2" w14:paraId="25A4AA66" w14:textId="77777777">
      <w:pPr>
        <w:pStyle w:val="ListParagraph"/>
        <w:numPr>
          <w:ilvl w:val="0"/>
          <w:numId w:val="20"/>
        </w:numPr>
        <w:tabs>
          <w:tab w:val="center" w:pos="4680"/>
        </w:tabs>
        <w:rPr>
          <w:szCs w:val="24"/>
        </w:rPr>
      </w:pPr>
      <w:r w:rsidRPr="00446DBF">
        <w:rPr>
          <w:szCs w:val="24"/>
        </w:rPr>
        <w:lastRenderedPageBreak/>
        <w:t>Screen shots of FNS-245 in SNAP’s Automated QC System (SNAPQCS)</w:t>
      </w:r>
    </w:p>
    <w:p w:rsidR="00BB444F" w:rsidP="00446DBF" w:rsidRDefault="00177F55" w14:paraId="636E03E3" w14:textId="7EFAB6D9">
      <w:pPr>
        <w:pStyle w:val="ListParagraph"/>
        <w:numPr>
          <w:ilvl w:val="0"/>
          <w:numId w:val="20"/>
        </w:numPr>
        <w:tabs>
          <w:tab w:val="center" w:pos="4680"/>
        </w:tabs>
        <w:rPr>
          <w:szCs w:val="24"/>
        </w:rPr>
      </w:pPr>
      <w:r>
        <w:rPr>
          <w:szCs w:val="24"/>
        </w:rPr>
        <w:t>SNAPQCS PIA</w:t>
      </w:r>
    </w:p>
    <w:p w:rsidRPr="0064589F" w:rsidR="00177F55" w:rsidP="00446DBF" w:rsidRDefault="00177F55" w14:paraId="4C37D760" w14:textId="61E9DDB9">
      <w:pPr>
        <w:pStyle w:val="ListParagraph"/>
        <w:numPr>
          <w:ilvl w:val="0"/>
          <w:numId w:val="20"/>
        </w:numPr>
        <w:tabs>
          <w:tab w:val="center" w:pos="4680"/>
        </w:tabs>
        <w:rPr>
          <w:szCs w:val="24"/>
        </w:rPr>
      </w:pPr>
      <w:r>
        <w:rPr>
          <w:szCs w:val="24"/>
        </w:rPr>
        <w:t>Comment from IA</w:t>
      </w:r>
    </w:p>
    <w:p w:rsidR="002568E6" w:rsidP="00083F42" w:rsidRDefault="00177F55" w14:paraId="73F9E4EB" w14:textId="07DEFFCA">
      <w:pPr>
        <w:pStyle w:val="ListParagraph"/>
        <w:numPr>
          <w:ilvl w:val="0"/>
          <w:numId w:val="20"/>
        </w:numPr>
        <w:tabs>
          <w:tab w:val="center" w:pos="4680"/>
        </w:tabs>
      </w:pPr>
      <w:r>
        <w:rPr>
          <w:szCs w:val="24"/>
        </w:rPr>
        <w:t>FNS response to comment from IA</w:t>
      </w:r>
      <w:r w:rsidR="002568E6">
        <w:br w:type="page"/>
      </w:r>
    </w:p>
    <w:p w:rsidRPr="002568E6" w:rsidR="005A3F80" w:rsidP="0062567E" w:rsidRDefault="005A3F80" w14:paraId="54CFF3BF" w14:textId="77777777">
      <w:pPr>
        <w:pStyle w:val="Heading1"/>
        <w:rPr>
          <w:szCs w:val="24"/>
        </w:rPr>
      </w:pPr>
      <w:bookmarkStart w:name="_Toc401831357" w:id="0"/>
      <w:bookmarkStart w:name="_Toc401832401" w:id="1"/>
      <w:r w:rsidRPr="002568E6">
        <w:rPr>
          <w:szCs w:val="24"/>
        </w:rPr>
        <w:lastRenderedPageBreak/>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48C6C146" w14:textId="77777777">
      <w:pPr>
        <w:tabs>
          <w:tab w:val="left" w:pos="-720"/>
        </w:tabs>
        <w:suppressAutoHyphens/>
        <w:rPr>
          <w:rFonts w:ascii="Times New Roman" w:hAnsi="Times New Roman"/>
          <w:b/>
          <w:szCs w:val="24"/>
        </w:rPr>
      </w:pPr>
    </w:p>
    <w:p w:rsidRPr="002568E6" w:rsidR="003333DF" w:rsidP="003333DF" w:rsidRDefault="003333DF" w14:paraId="0BF180EF"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4AEC16E2" w14:textId="77777777">
      <w:pPr>
        <w:tabs>
          <w:tab w:val="left" w:pos="-720"/>
        </w:tabs>
        <w:suppressAutoHyphens/>
        <w:rPr>
          <w:rFonts w:ascii="Times New Roman" w:hAnsi="Times New Roman"/>
          <w:szCs w:val="24"/>
        </w:rPr>
      </w:pPr>
    </w:p>
    <w:p w:rsidRPr="00700DC8" w:rsidR="003C6D4F" w:rsidP="00362694" w:rsidRDefault="00362694" w14:paraId="06B424B4" w14:textId="10C281ED">
      <w:pPr>
        <w:spacing w:line="480" w:lineRule="auto"/>
        <w:rPr>
          <w:rFonts w:ascii="Times New Roman" w:hAnsi="Times New Roman"/>
        </w:rPr>
      </w:pPr>
      <w:r w:rsidRPr="00700DC8">
        <w:rPr>
          <w:rFonts w:ascii="Times New Roman" w:hAnsi="Times New Roman"/>
        </w:rPr>
        <w:t xml:space="preserve">This is a revision of a currently approved collection; </w:t>
      </w:r>
      <w:r w:rsidRPr="00700DC8" w:rsidR="00244D38">
        <w:rPr>
          <w:rFonts w:ascii="Times New Roman" w:hAnsi="Times New Roman"/>
        </w:rPr>
        <w:t>we are documenting the renewal of the collection and the reduction in negative cases</w:t>
      </w:r>
      <w:r w:rsidR="003C6D4F">
        <w:rPr>
          <w:rFonts w:ascii="Times New Roman" w:hAnsi="Times New Roman"/>
        </w:rPr>
        <w:t xml:space="preserve"> </w:t>
      </w:r>
      <w:r w:rsidRPr="003C6D4F" w:rsidR="003C6D4F">
        <w:rPr>
          <w:rFonts w:ascii="Times New Roman" w:hAnsi="Times New Roman"/>
        </w:rPr>
        <w:t xml:space="preserve">and FNS is changing the title from </w:t>
      </w:r>
      <w:r w:rsidRPr="00095900" w:rsidR="003C6D4F">
        <w:rPr>
          <w:rFonts w:ascii="Times New Roman" w:hAnsi="Times New Roman"/>
          <w:i/>
        </w:rPr>
        <w:t>Quality Control for SNAP: Case and Procedural Case Action Review Schedule</w:t>
      </w:r>
      <w:r w:rsidRPr="003C6D4F" w:rsidR="003C6D4F">
        <w:rPr>
          <w:rFonts w:ascii="Times New Roman" w:hAnsi="Times New Roman"/>
        </w:rPr>
        <w:t xml:space="preserve"> to </w:t>
      </w:r>
      <w:r w:rsidRPr="00095900" w:rsidR="003C6D4F">
        <w:rPr>
          <w:rFonts w:ascii="Times New Roman" w:hAnsi="Times New Roman"/>
          <w:i/>
        </w:rPr>
        <w:t>SNAP: Negative Case Action Review Schedule,</w:t>
      </w:r>
      <w:r w:rsidRPr="003C6D4F" w:rsidR="003C6D4F">
        <w:rPr>
          <w:rFonts w:ascii="Times New Roman" w:hAnsi="Times New Roman"/>
        </w:rPr>
        <w:t xml:space="preserve"> from this point forward.</w:t>
      </w:r>
      <w:r w:rsidRPr="00700DC8" w:rsidR="00244D38">
        <w:rPr>
          <w:rFonts w:ascii="Times New Roman" w:hAnsi="Times New Roman"/>
        </w:rPr>
        <w:t xml:space="preserve">  </w:t>
      </w:r>
      <w:r w:rsidRPr="00700DC8">
        <w:rPr>
          <w:rFonts w:ascii="Times New Roman" w:hAnsi="Times New Roman"/>
        </w:rPr>
        <w:t>State agencies are required to perform Quality Control (QC) reviews for the Supplemental Nutrition Assistance Program (SNAP).  The FNS-245 (</w:t>
      </w:r>
      <w:r w:rsidR="00C76536">
        <w:rPr>
          <w:rFonts w:ascii="Times New Roman" w:hAnsi="Times New Roman"/>
        </w:rPr>
        <w:t>Negative</w:t>
      </w:r>
      <w:r w:rsidRPr="00700DC8">
        <w:rPr>
          <w:rFonts w:ascii="Times New Roman" w:hAnsi="Times New Roman"/>
        </w:rPr>
        <w:t xml:space="preserve"> Case Action Review Schedule)</w:t>
      </w:r>
      <w:r w:rsidR="003C6D4F">
        <w:rPr>
          <w:rFonts w:ascii="Times New Roman" w:hAnsi="Times New Roman"/>
        </w:rPr>
        <w:t xml:space="preserve"> in</w:t>
      </w:r>
      <w:r w:rsidR="002D5D1E">
        <w:rPr>
          <w:rFonts w:ascii="Times New Roman" w:hAnsi="Times New Roman"/>
        </w:rPr>
        <w:t xml:space="preserve"> Appendix </w:t>
      </w:r>
      <w:r w:rsidR="00B40A75">
        <w:rPr>
          <w:rFonts w:ascii="Times New Roman" w:hAnsi="Times New Roman"/>
        </w:rPr>
        <w:t>D</w:t>
      </w:r>
      <w:r w:rsidR="00177F55">
        <w:rPr>
          <w:rFonts w:ascii="Times New Roman" w:hAnsi="Times New Roman"/>
        </w:rPr>
        <w:t xml:space="preserve"> [located in appendix B of this package)</w:t>
      </w:r>
      <w:r w:rsidR="003C6D4F">
        <w:rPr>
          <w:rFonts w:ascii="Times New Roman" w:hAnsi="Times New Roman"/>
        </w:rPr>
        <w:t xml:space="preserve"> of the </w:t>
      </w:r>
      <w:r w:rsidRPr="00700DC8" w:rsidR="003C6D4F">
        <w:rPr>
          <w:rFonts w:ascii="Times New Roman" w:hAnsi="Times New Roman"/>
        </w:rPr>
        <w:t>Food and Nutrition Service (FNS)</w:t>
      </w:r>
      <w:r w:rsidR="003C6D4F">
        <w:rPr>
          <w:rFonts w:ascii="Times New Roman" w:hAnsi="Times New Roman"/>
        </w:rPr>
        <w:t xml:space="preserve"> 310 Handbook</w:t>
      </w:r>
      <w:r w:rsidRPr="00700DC8">
        <w:rPr>
          <w:rFonts w:ascii="Times New Roman" w:hAnsi="Times New Roman"/>
        </w:rPr>
        <w:t xml:space="preserve">, is for State use to collect QC data and information on the status of </w:t>
      </w:r>
      <w:r w:rsidR="003623B1">
        <w:rPr>
          <w:rFonts w:ascii="Times New Roman" w:hAnsi="Times New Roman"/>
        </w:rPr>
        <w:t xml:space="preserve">negative case </w:t>
      </w:r>
      <w:r w:rsidRPr="00700DC8">
        <w:rPr>
          <w:rFonts w:ascii="Times New Roman" w:hAnsi="Times New Roman"/>
        </w:rPr>
        <w:t xml:space="preserve">reviews. </w:t>
      </w:r>
      <w:r w:rsidRPr="00700DC8" w:rsidR="00244D38">
        <w:rPr>
          <w:rFonts w:ascii="Times New Roman" w:hAnsi="Times New Roman"/>
        </w:rPr>
        <w:t xml:space="preserve"> There are i</w:t>
      </w:r>
      <w:r w:rsidRPr="00700DC8">
        <w:rPr>
          <w:rFonts w:ascii="Times New Roman" w:hAnsi="Times New Roman"/>
        </w:rPr>
        <w:t xml:space="preserve">nstructions for completing </w:t>
      </w:r>
      <w:r w:rsidRPr="00700DC8" w:rsidR="00244D38">
        <w:rPr>
          <w:rFonts w:ascii="Times New Roman" w:hAnsi="Times New Roman"/>
        </w:rPr>
        <w:t>f</w:t>
      </w:r>
      <w:r w:rsidRPr="00700DC8">
        <w:rPr>
          <w:rFonts w:ascii="Times New Roman" w:hAnsi="Times New Roman"/>
        </w:rPr>
        <w:t>orm FNS-</w:t>
      </w:r>
      <w:r w:rsidRPr="00700DC8" w:rsidR="003C6D4F">
        <w:rPr>
          <w:rFonts w:ascii="Times New Roman" w:hAnsi="Times New Roman"/>
        </w:rPr>
        <w:t>245</w:t>
      </w:r>
      <w:r w:rsidR="003C6D4F">
        <w:rPr>
          <w:rFonts w:ascii="Times New Roman" w:hAnsi="Times New Roman"/>
        </w:rPr>
        <w:t xml:space="preserve"> that are included with the form and are located in the FNS 310 Handbook.</w:t>
      </w:r>
    </w:p>
    <w:p w:rsidRPr="00362694" w:rsidR="00362694" w:rsidP="00095900" w:rsidRDefault="00362694" w14:paraId="14AF7013" w14:textId="49DF2D26">
      <w:pPr>
        <w:spacing w:line="480" w:lineRule="auto"/>
        <w:rPr>
          <w:rFonts w:ascii="Times New Roman" w:hAnsi="Times New Roman"/>
        </w:rPr>
      </w:pPr>
      <w:r w:rsidRPr="00362694">
        <w:rPr>
          <w:rFonts w:ascii="Times New Roman" w:hAnsi="Times New Roman"/>
        </w:rPr>
        <w:br/>
        <w:t xml:space="preserve">The legislative basis for the QC system is Section 16 of the Food and Nutrition Act of 2008, </w:t>
      </w:r>
      <w:r w:rsidR="003C0311">
        <w:rPr>
          <w:rFonts w:ascii="Times New Roman" w:hAnsi="Times New Roman"/>
        </w:rPr>
        <w:t xml:space="preserve">as </w:t>
      </w:r>
      <w:proofErr w:type="gramStart"/>
      <w:r w:rsidR="003C0311">
        <w:rPr>
          <w:rFonts w:ascii="Times New Roman" w:hAnsi="Times New Roman"/>
        </w:rPr>
        <w:t>amended</w:t>
      </w:r>
      <w:proofErr w:type="gramEnd"/>
      <w:r w:rsidR="003C0311">
        <w:rPr>
          <w:rFonts w:ascii="Times New Roman" w:hAnsi="Times New Roman"/>
        </w:rPr>
        <w:t xml:space="preserve">, </w:t>
      </w:r>
      <w:r w:rsidRPr="00362694">
        <w:rPr>
          <w:rFonts w:ascii="Times New Roman" w:hAnsi="Times New Roman"/>
        </w:rPr>
        <w:t>hereafter referred to as “the Act”.  Part 275, Subpart C, of SNAP regulations implements the legislative mandates found in the Act.  The regulatory basis for the QC reporting requirements is provided by 7 CFR 275.14(d) and 7 CFR 275.21</w:t>
      </w:r>
      <w:r w:rsidR="00A06FD8">
        <w:rPr>
          <w:rFonts w:ascii="Times New Roman" w:hAnsi="Times New Roman"/>
        </w:rPr>
        <w:t xml:space="preserve"> (see appendix E1).</w:t>
      </w:r>
    </w:p>
    <w:p w:rsidRPr="00362694" w:rsidR="00362694" w:rsidP="00362694" w:rsidRDefault="00362694" w14:paraId="296B4D17" w14:textId="77777777">
      <w:pPr>
        <w:tabs>
          <w:tab w:val="left" w:pos="1915"/>
        </w:tabs>
        <w:spacing w:line="480" w:lineRule="auto"/>
        <w:ind w:right="-180"/>
        <w:contextualSpacing/>
        <w:rPr>
          <w:rFonts w:ascii="Times New Roman" w:hAnsi="Times New Roman"/>
        </w:rPr>
      </w:pPr>
      <w:r w:rsidRPr="00362694">
        <w:rPr>
          <w:rFonts w:ascii="Times New Roman" w:hAnsi="Times New Roman"/>
        </w:rPr>
        <w:tab/>
      </w:r>
    </w:p>
    <w:p w:rsidRPr="00362694" w:rsidR="00362694" w:rsidP="00362694" w:rsidRDefault="00362694" w14:paraId="14792A13" w14:textId="77777777">
      <w:pPr>
        <w:spacing w:line="480" w:lineRule="auto"/>
        <w:ind w:right="-180"/>
        <w:contextualSpacing/>
        <w:rPr>
          <w:rFonts w:ascii="Times New Roman" w:hAnsi="Times New Roman"/>
        </w:rPr>
      </w:pPr>
      <w:r w:rsidRPr="00362694">
        <w:rPr>
          <w:rFonts w:ascii="Times New Roman" w:hAnsi="Times New Roman"/>
        </w:rPr>
        <w:t xml:space="preserve">The legislative basis for the recordkeeping requirements is </w:t>
      </w:r>
      <w:r w:rsidR="0072421A">
        <w:rPr>
          <w:rFonts w:ascii="Times New Roman" w:hAnsi="Times New Roman"/>
        </w:rPr>
        <w:t xml:space="preserve">– Section </w:t>
      </w:r>
      <w:r w:rsidRPr="00362694">
        <w:rPr>
          <w:rFonts w:ascii="Times New Roman" w:hAnsi="Times New Roman"/>
        </w:rPr>
        <w:t>11(a) of the Act.  SNAP regulations, in Section 272.1(f), specify that program records are to be retained for a period of three years from the date of fiscal or administrative closure.</w:t>
      </w:r>
    </w:p>
    <w:p w:rsidRPr="002568E6" w:rsidR="009F7E1A" w:rsidP="009F7E1A" w:rsidRDefault="009F7E1A" w14:paraId="074FCFA8" w14:textId="77777777">
      <w:pPr>
        <w:tabs>
          <w:tab w:val="left" w:pos="-720"/>
        </w:tabs>
        <w:suppressAutoHyphens/>
        <w:spacing w:line="480" w:lineRule="auto"/>
        <w:rPr>
          <w:rFonts w:ascii="Times New Roman" w:hAnsi="Times New Roman"/>
          <w:b/>
          <w:szCs w:val="24"/>
        </w:rPr>
      </w:pPr>
    </w:p>
    <w:p w:rsidRPr="002568E6" w:rsidR="00A308DB" w:rsidP="0062567E" w:rsidRDefault="005A3F80" w14:paraId="1BDE0EB7" w14:textId="77777777">
      <w:pPr>
        <w:pStyle w:val="Heading1"/>
        <w:rPr>
          <w:szCs w:val="24"/>
        </w:rPr>
      </w:pPr>
      <w:bookmarkStart w:name="_Toc401831358" w:id="2"/>
      <w:bookmarkStart w:name="_Toc401832402" w:id="3"/>
      <w:r w:rsidRPr="002568E6">
        <w:rPr>
          <w:szCs w:val="24"/>
        </w:rPr>
        <w:t xml:space="preserve">A2. </w:t>
      </w:r>
      <w:r w:rsidRPr="002568E6" w:rsidR="00447C1E">
        <w:rPr>
          <w:szCs w:val="24"/>
        </w:rPr>
        <w:t>Purpose and Use of the Information.</w:t>
      </w:r>
      <w:bookmarkEnd w:id="2"/>
      <w:bookmarkEnd w:id="3"/>
    </w:p>
    <w:p w:rsidRPr="002568E6" w:rsidR="0062567E" w:rsidRDefault="0062567E" w14:paraId="30E73C2D" w14:textId="77777777">
      <w:pPr>
        <w:tabs>
          <w:tab w:val="left" w:pos="-720"/>
        </w:tabs>
        <w:suppressAutoHyphens/>
        <w:rPr>
          <w:rFonts w:ascii="Times New Roman" w:hAnsi="Times New Roman"/>
          <w:b/>
          <w:szCs w:val="24"/>
        </w:rPr>
      </w:pPr>
    </w:p>
    <w:p w:rsidRPr="002568E6" w:rsidR="003333DF" w:rsidRDefault="003333DF" w14:paraId="31FC5EF1"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39D3202A" w14:textId="77777777">
      <w:pPr>
        <w:tabs>
          <w:tab w:val="left" w:pos="-720"/>
        </w:tabs>
        <w:suppressAutoHyphens/>
        <w:rPr>
          <w:rFonts w:ascii="Times New Roman" w:hAnsi="Times New Roman"/>
          <w:szCs w:val="24"/>
        </w:rPr>
      </w:pPr>
    </w:p>
    <w:p w:rsidRPr="00724D5B" w:rsidR="00724D5B" w:rsidP="00724D5B" w:rsidRDefault="00724D5B" w14:paraId="7385B236" w14:textId="11D3EA7E">
      <w:pPr>
        <w:tabs>
          <w:tab w:val="left" w:pos="-720"/>
          <w:tab w:val="left" w:pos="0"/>
        </w:tabs>
        <w:suppressAutoHyphens/>
        <w:spacing w:line="480" w:lineRule="auto"/>
        <w:ind w:right="-180"/>
        <w:rPr>
          <w:rFonts w:ascii="Times New Roman" w:hAnsi="Times New Roman"/>
        </w:rPr>
      </w:pPr>
      <w:r w:rsidRPr="00724D5B">
        <w:rPr>
          <w:rFonts w:ascii="Times New Roman" w:hAnsi="Times New Roman"/>
        </w:rPr>
        <w:t xml:space="preserve">The FNS-245 </w:t>
      </w:r>
      <w:r w:rsidR="00B32E31">
        <w:rPr>
          <w:rFonts w:ascii="Times New Roman" w:hAnsi="Times New Roman"/>
        </w:rPr>
        <w:t xml:space="preserve">form </w:t>
      </w:r>
      <w:r w:rsidRPr="00724D5B">
        <w:rPr>
          <w:rFonts w:ascii="Times New Roman" w:hAnsi="Times New Roman"/>
        </w:rPr>
        <w:t xml:space="preserve">serves as the data collection form for </w:t>
      </w:r>
      <w:r w:rsidR="00BC4230">
        <w:rPr>
          <w:rFonts w:ascii="Times New Roman" w:hAnsi="Times New Roman"/>
        </w:rPr>
        <w:t>negative</w:t>
      </w:r>
      <w:r w:rsidRPr="00724D5B">
        <w:rPr>
          <w:rFonts w:ascii="Times New Roman" w:hAnsi="Times New Roman"/>
        </w:rPr>
        <w:t xml:space="preserve"> case reviews.  Case and Procedural cases include the </w:t>
      </w:r>
      <w:r w:rsidR="00021C99">
        <w:rPr>
          <w:rFonts w:ascii="Times New Roman" w:hAnsi="Times New Roman"/>
        </w:rPr>
        <w:t xml:space="preserve">name, address and telephone number of applicants who were a part of the </w:t>
      </w:r>
      <w:r w:rsidRPr="00724D5B">
        <w:rPr>
          <w:rFonts w:ascii="Times New Roman" w:hAnsi="Times New Roman"/>
        </w:rPr>
        <w:t xml:space="preserve">denial, termination or suspension </w:t>
      </w:r>
      <w:r w:rsidR="00021C99">
        <w:rPr>
          <w:rFonts w:ascii="Times New Roman" w:hAnsi="Times New Roman"/>
        </w:rPr>
        <w:t xml:space="preserve">process </w:t>
      </w:r>
      <w:r w:rsidRPr="00724D5B">
        <w:rPr>
          <w:rFonts w:ascii="Times New Roman" w:hAnsi="Times New Roman"/>
        </w:rPr>
        <w:t>of benefits.  The form consists of four sections</w:t>
      </w:r>
      <w:r w:rsidR="00700DC8">
        <w:rPr>
          <w:rFonts w:ascii="Times New Roman" w:hAnsi="Times New Roman"/>
        </w:rPr>
        <w:t xml:space="preserve"> and is used to record data in Case and P</w:t>
      </w:r>
      <w:r w:rsidRPr="00724D5B">
        <w:rPr>
          <w:rFonts w:ascii="Times New Roman" w:hAnsi="Times New Roman"/>
        </w:rPr>
        <w:t xml:space="preserve">rocedural case action reviews only.  The first section, Case Management Information, is designed for State-related management tool use.  The second section, Identifying Information, provides space for information about the household.  The third section, Analysis of Review Activity, is for coding compliance with notice requirements.  The fourth section, Description of Variances, provides for the detailed coding of each distinct variance identified in the review and the recorded reasons for the agency’s action.  All information will be previously provided by the household through a SNAP application or through the interview process with a </w:t>
      </w:r>
      <w:r w:rsidR="00B32E31">
        <w:rPr>
          <w:rFonts w:ascii="Times New Roman" w:hAnsi="Times New Roman"/>
        </w:rPr>
        <w:t xml:space="preserve">State </w:t>
      </w:r>
      <w:r w:rsidRPr="00724D5B">
        <w:rPr>
          <w:rFonts w:ascii="Times New Roman" w:hAnsi="Times New Roman"/>
        </w:rPr>
        <w:t>eligibility worker.  The State agency will use the extant collected data to input into the worksheet.</w:t>
      </w:r>
    </w:p>
    <w:p w:rsidR="00724D5B" w:rsidP="0062567E" w:rsidRDefault="00724D5B" w14:paraId="6B12C257" w14:textId="77777777">
      <w:pPr>
        <w:pStyle w:val="Heading1"/>
        <w:rPr>
          <w:szCs w:val="24"/>
        </w:rPr>
      </w:pPr>
      <w:bookmarkStart w:name="_Toc401831359" w:id="4"/>
      <w:bookmarkStart w:name="_Toc401832403" w:id="5"/>
    </w:p>
    <w:p w:rsidRPr="002568E6" w:rsidR="00A308DB" w:rsidP="0062567E" w:rsidRDefault="005A3F80" w14:paraId="49B68635" w14:textId="77777777">
      <w:pPr>
        <w:pStyle w:val="Heading1"/>
        <w:rPr>
          <w:szCs w:val="24"/>
        </w:rPr>
      </w:pPr>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Pr="002568E6" w:rsidR="003333DF" w:rsidRDefault="003333DF" w14:paraId="7A4769CE" w14:textId="77777777">
      <w:pPr>
        <w:tabs>
          <w:tab w:val="left" w:pos="0"/>
        </w:tabs>
        <w:suppressAutoHyphens/>
        <w:rPr>
          <w:rFonts w:ascii="Times New Roman" w:hAnsi="Times New Roman"/>
          <w:szCs w:val="24"/>
        </w:rPr>
      </w:pPr>
    </w:p>
    <w:p w:rsidRPr="002568E6" w:rsidR="003333DF" w:rsidP="0062567E" w:rsidRDefault="003333DF" w14:paraId="20B2F9C6"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0D24F72D" w14:textId="77777777">
      <w:pPr>
        <w:tabs>
          <w:tab w:val="left" w:pos="0"/>
        </w:tabs>
        <w:suppressAutoHyphens/>
        <w:rPr>
          <w:rFonts w:ascii="Times New Roman" w:hAnsi="Times New Roman"/>
          <w:szCs w:val="24"/>
        </w:rPr>
      </w:pPr>
    </w:p>
    <w:p w:rsidRPr="00724D5B" w:rsidR="00724D5B" w:rsidP="00724D5B" w:rsidRDefault="00724D5B" w14:paraId="5E2B2F72" w14:textId="77777777">
      <w:pPr>
        <w:spacing w:line="480" w:lineRule="auto"/>
        <w:ind w:right="-180"/>
        <w:contextualSpacing/>
        <w:rPr>
          <w:rFonts w:ascii="Times New Roman" w:hAnsi="Times New Roman"/>
        </w:rPr>
      </w:pPr>
      <w:r w:rsidRPr="00724D5B">
        <w:rPr>
          <w:rFonts w:ascii="Times New Roman" w:hAnsi="Times New Roman"/>
        </w:rPr>
        <w:lastRenderedPageBreak/>
        <w:t>In compliance with the E-Government Act, 2002 (E-</w:t>
      </w:r>
      <w:proofErr w:type="spellStart"/>
      <w:r w:rsidRPr="00724D5B">
        <w:rPr>
          <w:rFonts w:ascii="Times New Roman" w:hAnsi="Times New Roman"/>
        </w:rPr>
        <w:t>Gov</w:t>
      </w:r>
      <w:proofErr w:type="spellEnd"/>
      <w:r w:rsidRPr="00724D5B">
        <w:rPr>
          <w:rFonts w:ascii="Times New Roman" w:hAnsi="Times New Roman"/>
        </w:rPr>
        <w:t xml:space="preserve">), FNS has reviewed the QC review and sampling process.  We have made every effort to streamline and automate the process.  </w:t>
      </w:r>
    </w:p>
    <w:p w:rsidRPr="00724D5B" w:rsidR="00724D5B" w:rsidP="00724D5B" w:rsidRDefault="00724D5B" w14:paraId="39C807CC" w14:textId="63C52389">
      <w:pPr>
        <w:spacing w:line="480" w:lineRule="auto"/>
        <w:ind w:right="-180"/>
        <w:contextualSpacing/>
        <w:rPr>
          <w:rFonts w:ascii="Times New Roman" w:hAnsi="Times New Roman"/>
        </w:rPr>
      </w:pPr>
      <w:r w:rsidRPr="00724D5B">
        <w:rPr>
          <w:rFonts w:ascii="Times New Roman" w:hAnsi="Times New Roman"/>
        </w:rPr>
        <w:t>The FNS-245 serves as both the data summary entry form that the QC reviewer completes during each case and procedural case action review and, subsequently as the data input document for direct data entry into the SNAP Quality Control System (SNAPQCS).  Therefore, while data is manually collected by State Agencies, it is</w:t>
      </w:r>
      <w:r w:rsidR="003623B1">
        <w:rPr>
          <w:rFonts w:ascii="Times New Roman" w:hAnsi="Times New Roman"/>
        </w:rPr>
        <w:t xml:space="preserve"> 100%</w:t>
      </w:r>
      <w:r w:rsidRPr="00724D5B">
        <w:rPr>
          <w:rFonts w:ascii="Times New Roman" w:hAnsi="Times New Roman"/>
        </w:rPr>
        <w:t xml:space="preserve"> electronically submitted via </w:t>
      </w:r>
      <w:hyperlink w:history="1" r:id="rId13">
        <w:r w:rsidRPr="00235E90" w:rsidR="0089327C">
          <w:rPr>
            <w:rStyle w:val="Hyperlink"/>
            <w:rFonts w:ascii="Times New Roman" w:hAnsi="Times New Roman"/>
          </w:rPr>
          <w:t>www.fns.usda.gov</w:t>
        </w:r>
      </w:hyperlink>
      <w:r w:rsidR="0089327C">
        <w:rPr>
          <w:rFonts w:ascii="Times New Roman" w:hAnsi="Times New Roman"/>
        </w:rPr>
        <w:t xml:space="preserve"> </w:t>
      </w:r>
      <w:r w:rsidRPr="00724D5B">
        <w:rPr>
          <w:rFonts w:ascii="Times New Roman" w:hAnsi="Times New Roman"/>
        </w:rPr>
        <w:t>a virtual network connection to a web-based database for tabulation and analysis.</w:t>
      </w:r>
    </w:p>
    <w:p w:rsidRPr="002568E6" w:rsidR="00A308DB" w:rsidP="0062567E" w:rsidRDefault="00DD5E7E" w14:paraId="49DFFFB7" w14:textId="77777777">
      <w:pPr>
        <w:pStyle w:val="Heading1"/>
        <w:rPr>
          <w:szCs w:val="24"/>
        </w:rPr>
      </w:pPr>
      <w:bookmarkStart w:name="_Toc401831360" w:id="6"/>
      <w:bookmarkStart w:name="_Toc401832404" w:id="7"/>
      <w:r>
        <w:rPr>
          <w:szCs w:val="24"/>
        </w:rPr>
        <w:br/>
      </w:r>
      <w:r w:rsidRPr="002568E6" w:rsidR="005A3F80">
        <w:rPr>
          <w:szCs w:val="24"/>
        </w:rPr>
        <w:t xml:space="preserve">A4.  </w:t>
      </w:r>
      <w:r w:rsidR="002568E6">
        <w:rPr>
          <w:szCs w:val="24"/>
        </w:rPr>
        <w:t>E</w:t>
      </w:r>
      <w:r w:rsidRPr="002568E6" w:rsidR="005A3F80">
        <w:rPr>
          <w:szCs w:val="24"/>
        </w:rPr>
        <w:t>fforts to identify duplication.</w:t>
      </w:r>
      <w:bookmarkEnd w:id="6"/>
      <w:bookmarkEnd w:id="7"/>
      <w:r w:rsidRPr="002568E6" w:rsidR="005A3F80">
        <w:rPr>
          <w:szCs w:val="24"/>
        </w:rPr>
        <w:t xml:space="preserve"> </w:t>
      </w:r>
    </w:p>
    <w:p w:rsidRPr="002568E6" w:rsidR="003333DF" w:rsidRDefault="003333DF" w14:paraId="3161EAD2" w14:textId="77777777">
      <w:pPr>
        <w:tabs>
          <w:tab w:val="left" w:pos="0"/>
        </w:tabs>
        <w:suppressAutoHyphens/>
        <w:rPr>
          <w:rFonts w:ascii="Times New Roman" w:hAnsi="Times New Roman"/>
          <w:szCs w:val="24"/>
        </w:rPr>
      </w:pPr>
    </w:p>
    <w:p w:rsidRPr="002568E6" w:rsidR="003333DF" w:rsidRDefault="003333DF" w14:paraId="147A3DE1"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9F7E1A" w:rsidRDefault="009F7E1A" w14:paraId="30A48E12" w14:textId="77777777">
      <w:pPr>
        <w:tabs>
          <w:tab w:val="left" w:pos="-720"/>
        </w:tabs>
        <w:suppressAutoHyphens/>
        <w:rPr>
          <w:rFonts w:ascii="Times New Roman" w:hAnsi="Times New Roman"/>
          <w:szCs w:val="24"/>
        </w:rPr>
      </w:pPr>
    </w:p>
    <w:p w:rsidRPr="00724D5B" w:rsidR="00724D5B" w:rsidP="00724D5B" w:rsidRDefault="00724D5B" w14:paraId="33EB1E42" w14:textId="77777777">
      <w:pPr>
        <w:tabs>
          <w:tab w:val="left" w:pos="-720"/>
          <w:tab w:val="left" w:pos="0"/>
        </w:tabs>
        <w:suppressAutoHyphens/>
        <w:spacing w:line="480" w:lineRule="auto"/>
        <w:rPr>
          <w:rFonts w:ascii="Times New Roman" w:hAnsi="Times New Roman"/>
        </w:rPr>
      </w:pPr>
      <w:r w:rsidRPr="00724D5B">
        <w:rPr>
          <w:rFonts w:ascii="Times New Roman" w:hAnsi="Times New Roman"/>
        </w:rPr>
        <w:t xml:space="preserve">There is no duplication of effort since there is no similar data available. </w:t>
      </w:r>
      <w:r>
        <w:rPr>
          <w:rFonts w:ascii="Times New Roman" w:hAnsi="Times New Roman"/>
        </w:rPr>
        <w:t xml:space="preserve"> </w:t>
      </w:r>
      <w:r w:rsidRPr="00724D5B">
        <w:rPr>
          <w:rFonts w:ascii="Times New Roman" w:hAnsi="Times New Roman"/>
        </w:rPr>
        <w:t>FNS solely monitors the Q</w:t>
      </w:r>
      <w:r>
        <w:rPr>
          <w:rFonts w:ascii="Times New Roman" w:hAnsi="Times New Roman"/>
        </w:rPr>
        <w:t xml:space="preserve">uality </w:t>
      </w:r>
      <w:r w:rsidRPr="00724D5B">
        <w:rPr>
          <w:rFonts w:ascii="Times New Roman" w:hAnsi="Times New Roman"/>
        </w:rPr>
        <w:t>C</w:t>
      </w:r>
      <w:r>
        <w:rPr>
          <w:rFonts w:ascii="Times New Roman" w:hAnsi="Times New Roman"/>
        </w:rPr>
        <w:t xml:space="preserve">ontrol </w:t>
      </w:r>
      <w:r w:rsidR="00B25BF9">
        <w:rPr>
          <w:rFonts w:ascii="Times New Roman" w:hAnsi="Times New Roman"/>
        </w:rPr>
        <w:t xml:space="preserve">reviews for SNAP </w:t>
      </w:r>
      <w:r w:rsidRPr="00724D5B">
        <w:rPr>
          <w:rFonts w:ascii="Times New Roman" w:hAnsi="Times New Roman"/>
        </w:rPr>
        <w:t xml:space="preserve">to ensure program integrity.  </w:t>
      </w:r>
    </w:p>
    <w:p w:rsidRPr="002568E6" w:rsidR="00A308DB" w:rsidP="0062567E" w:rsidRDefault="00DD5E7E" w14:paraId="5DF49C06" w14:textId="77777777">
      <w:pPr>
        <w:pStyle w:val="Heading1"/>
        <w:rPr>
          <w:szCs w:val="24"/>
        </w:rPr>
      </w:pPr>
      <w:bookmarkStart w:name="_Toc401831361" w:id="8"/>
      <w:bookmarkStart w:name="_Toc401832405" w:id="9"/>
      <w:r>
        <w:rPr>
          <w:szCs w:val="24"/>
        </w:rPr>
        <w:br/>
      </w:r>
      <w:r w:rsidRPr="002568E6" w:rsidR="005A3F80">
        <w:rPr>
          <w:szCs w:val="24"/>
        </w:rPr>
        <w:t>A5.  Impacts on small businesses or other small entities.</w:t>
      </w:r>
      <w:bookmarkEnd w:id="8"/>
      <w:bookmarkEnd w:id="9"/>
      <w:r w:rsidRPr="002568E6" w:rsidR="005A3F80">
        <w:rPr>
          <w:szCs w:val="24"/>
        </w:rPr>
        <w:t xml:space="preserve">  </w:t>
      </w:r>
    </w:p>
    <w:p w:rsidRPr="002568E6" w:rsidR="003333DF" w:rsidRDefault="003333DF" w14:paraId="0C12680D" w14:textId="77777777">
      <w:pPr>
        <w:tabs>
          <w:tab w:val="left" w:pos="0"/>
        </w:tabs>
        <w:suppressAutoHyphens/>
        <w:rPr>
          <w:rFonts w:ascii="Times New Roman" w:hAnsi="Times New Roman"/>
          <w:szCs w:val="24"/>
        </w:rPr>
      </w:pPr>
    </w:p>
    <w:p w:rsidRPr="002568E6" w:rsidR="003333DF" w:rsidRDefault="003333DF" w14:paraId="392E7458"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DD5E7E" w:rsidP="00DD5E7E" w:rsidRDefault="00DD5E7E" w14:paraId="46322198" w14:textId="77777777">
      <w:pPr>
        <w:tabs>
          <w:tab w:val="left" w:pos="-720"/>
        </w:tabs>
        <w:suppressAutoHyphens/>
        <w:spacing w:line="480" w:lineRule="auto"/>
        <w:rPr>
          <w:rFonts w:ascii="Times New Roman" w:hAnsi="Times New Roman"/>
        </w:rPr>
      </w:pPr>
      <w:r>
        <w:rPr>
          <w:rFonts w:ascii="Times New Roman" w:hAnsi="Times New Roman"/>
        </w:rPr>
        <w:br/>
      </w:r>
      <w:r w:rsidRPr="00724D5B">
        <w:rPr>
          <w:rFonts w:ascii="Times New Roman" w:hAnsi="Times New Roman"/>
        </w:rPr>
        <w:t xml:space="preserve">FNS has determined that the requirements for this information collection do not adversely impact small businesses or other small entities.  There are </w:t>
      </w:r>
      <w:r w:rsidRPr="00724D5B">
        <w:rPr>
          <w:rFonts w:ascii="Times New Roman" w:hAnsi="Times New Roman"/>
        </w:rPr>
        <w:lastRenderedPageBreak/>
        <w:t>smaller State agencies; however they provide the same data as larger State agencies for this collection.</w:t>
      </w:r>
    </w:p>
    <w:p w:rsidRPr="002568E6" w:rsidR="00A308DB" w:rsidP="0062567E" w:rsidRDefault="00DD5E7E" w14:paraId="0C3FA4F4" w14:textId="77777777">
      <w:pPr>
        <w:pStyle w:val="Heading1"/>
        <w:rPr>
          <w:szCs w:val="24"/>
        </w:rPr>
      </w:pPr>
      <w:bookmarkStart w:name="_Toc401831362" w:id="10"/>
      <w:bookmarkStart w:name="_Toc401832406" w:id="11"/>
      <w:r>
        <w:rPr>
          <w:szCs w:val="24"/>
        </w:rPr>
        <w:br/>
      </w:r>
      <w:r w:rsidRPr="002568E6" w:rsidR="005A3F80">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sidR="005A3F80">
        <w:rPr>
          <w:szCs w:val="24"/>
        </w:rPr>
        <w:t>less frequently.</w:t>
      </w:r>
      <w:bookmarkEnd w:id="10"/>
      <w:bookmarkEnd w:id="11"/>
      <w:r w:rsidRPr="002568E6" w:rsidR="005A3F80">
        <w:rPr>
          <w:szCs w:val="24"/>
        </w:rPr>
        <w:t xml:space="preserve">  </w:t>
      </w:r>
    </w:p>
    <w:p w:rsidRPr="002568E6" w:rsidR="003333DF" w:rsidP="005C04BB" w:rsidRDefault="003333DF" w14:paraId="00A7EB3A" w14:textId="77777777">
      <w:pPr>
        <w:tabs>
          <w:tab w:val="left" w:pos="0"/>
        </w:tabs>
        <w:suppressAutoHyphens/>
        <w:rPr>
          <w:rFonts w:ascii="Times New Roman" w:hAnsi="Times New Roman"/>
          <w:szCs w:val="24"/>
        </w:rPr>
      </w:pPr>
    </w:p>
    <w:p w:rsidRPr="002568E6" w:rsidR="003333DF" w:rsidP="0062567E" w:rsidRDefault="003333DF" w14:paraId="44F7C798"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70B0DC8C" w14:textId="77777777">
      <w:pPr>
        <w:tabs>
          <w:tab w:val="left" w:pos="-720"/>
        </w:tabs>
        <w:suppressAutoHyphens/>
        <w:rPr>
          <w:rFonts w:ascii="Times New Roman" w:hAnsi="Times New Roman"/>
          <w:szCs w:val="24"/>
        </w:rPr>
      </w:pPr>
    </w:p>
    <w:p w:rsidRPr="00724D5B" w:rsidR="00724D5B" w:rsidP="00724D5B" w:rsidRDefault="00021C99" w14:paraId="4C09D35B" w14:textId="54825D8A">
      <w:pPr>
        <w:spacing w:line="480" w:lineRule="auto"/>
        <w:ind w:right="-180"/>
        <w:contextualSpacing/>
        <w:rPr>
          <w:rFonts w:ascii="Times New Roman" w:hAnsi="Times New Roman"/>
        </w:rPr>
      </w:pPr>
      <w:r>
        <w:rPr>
          <w:rFonts w:ascii="Times New Roman" w:hAnsi="Times New Roman"/>
        </w:rPr>
        <w:t xml:space="preserve">This is a mandatory on-going data collection.  </w:t>
      </w:r>
      <w:r w:rsidR="00DD5E7E">
        <w:rPr>
          <w:rFonts w:ascii="Times New Roman" w:hAnsi="Times New Roman"/>
        </w:rPr>
        <w:t>FNS would not be able to effectively monitor invalid denials, terminations or suspensions; nor would we be able to identify related policy improvements without information obtained through the negative case review.</w:t>
      </w:r>
      <w:r w:rsidR="00DD5E7E">
        <w:rPr>
          <w:rFonts w:ascii="Times New Roman" w:hAnsi="Times New Roman"/>
        </w:rPr>
        <w:br/>
      </w:r>
      <w:r w:rsidR="00DD5E7E">
        <w:rPr>
          <w:rFonts w:ascii="Times New Roman" w:hAnsi="Times New Roman"/>
        </w:rPr>
        <w:br/>
      </w:r>
      <w:r w:rsidRPr="00724D5B" w:rsidR="00724D5B">
        <w:rPr>
          <w:rFonts w:ascii="Times New Roman" w:hAnsi="Times New Roman"/>
        </w:rPr>
        <w:t>Legal obstacles to reducing the frequency of this collection are contained in SNAP regulations at 7 CFR 275.14(d) and 7 CFR 275.21</w:t>
      </w:r>
      <w:r w:rsidR="00A06FD8">
        <w:rPr>
          <w:rFonts w:ascii="Times New Roman" w:hAnsi="Times New Roman"/>
        </w:rPr>
        <w:t xml:space="preserve"> (see appendix E1)</w:t>
      </w:r>
      <w:r w:rsidRPr="00724D5B" w:rsidR="00724D5B">
        <w:rPr>
          <w:rFonts w:ascii="Times New Roman" w:hAnsi="Times New Roman"/>
        </w:rPr>
        <w:t>.</w:t>
      </w:r>
    </w:p>
    <w:p w:rsidR="00724D5B" w:rsidP="0062567E" w:rsidRDefault="00724D5B" w14:paraId="2FFE2480" w14:textId="77777777">
      <w:pPr>
        <w:pStyle w:val="Heading1"/>
        <w:rPr>
          <w:szCs w:val="24"/>
        </w:rPr>
      </w:pPr>
      <w:bookmarkStart w:name="_Toc401831363" w:id="12"/>
      <w:bookmarkStart w:name="_Toc401832407" w:id="13"/>
    </w:p>
    <w:p w:rsidRPr="002568E6" w:rsidR="00A308DB" w:rsidP="0062567E" w:rsidRDefault="00213436" w14:paraId="43CAFF31" w14:textId="77777777">
      <w:pPr>
        <w:pStyle w:val="Heading1"/>
        <w:rPr>
          <w:szCs w:val="24"/>
        </w:rPr>
      </w:pPr>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Pr="002568E6" w:rsidR="00A308DB" w:rsidP="00213436" w:rsidRDefault="00A308DB" w14:paraId="5DACD995" w14:textId="77777777">
      <w:pPr>
        <w:tabs>
          <w:tab w:val="left" w:pos="0"/>
        </w:tabs>
        <w:suppressAutoHyphens/>
        <w:rPr>
          <w:rFonts w:ascii="Times New Roman" w:hAnsi="Times New Roman"/>
          <w:szCs w:val="24"/>
        </w:rPr>
      </w:pPr>
    </w:p>
    <w:p w:rsidRPr="002568E6" w:rsidR="003333DF" w:rsidP="0062567E" w:rsidRDefault="003333DF" w14:paraId="4B2420B7"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P="0062567E" w:rsidRDefault="003333DF" w14:paraId="4407E26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r w:rsidR="00DD5E7E">
        <w:rPr>
          <w:rFonts w:ascii="Times New Roman" w:hAnsi="Times New Roman"/>
          <w:b/>
          <w:szCs w:val="24"/>
        </w:rPr>
        <w:br/>
      </w:r>
    </w:p>
    <w:p w:rsidRPr="002568E6" w:rsidR="003333DF" w:rsidP="00083F42" w:rsidRDefault="00DD5E7E" w14:paraId="1FF36AF2" w14:textId="2E9026E6">
      <w:pPr>
        <w:widowControl/>
        <w:tabs>
          <w:tab w:val="left" w:pos="-720"/>
        </w:tabs>
        <w:suppressAutoHyphens/>
        <w:overflowPunct/>
        <w:autoSpaceDE/>
        <w:autoSpaceDN/>
        <w:adjustRightInd/>
        <w:spacing w:line="480" w:lineRule="auto"/>
        <w:ind w:left="360"/>
        <w:textAlignment w:val="auto"/>
        <w:rPr>
          <w:rFonts w:ascii="Times New Roman" w:hAnsi="Times New Roman"/>
          <w:b/>
          <w:szCs w:val="24"/>
        </w:rPr>
      </w:pPr>
      <w:r>
        <w:rPr>
          <w:rFonts w:ascii="Times New Roman" w:hAnsi="Times New Roman"/>
          <w:szCs w:val="24"/>
        </w:rPr>
        <w:t>State agencies are required to select, conduct, and report on QC reviews on a monthly, ongoing basis</w:t>
      </w:r>
      <w:r w:rsidR="00A06FD8">
        <w:rPr>
          <w:rFonts w:ascii="Times New Roman" w:hAnsi="Times New Roman"/>
          <w:szCs w:val="24"/>
        </w:rPr>
        <w:t>.  This information is discussed in 7 CFR 275 rules (see appendix E1).</w:t>
      </w:r>
      <w:r>
        <w:rPr>
          <w:rFonts w:ascii="Times New Roman" w:hAnsi="Times New Roman"/>
          <w:szCs w:val="24"/>
        </w:rPr>
        <w:br/>
      </w:r>
      <w:r w:rsidRPr="002568E6" w:rsidR="003333DF">
        <w:rPr>
          <w:rFonts w:ascii="Times New Roman" w:hAnsi="Times New Roman"/>
          <w:b/>
          <w:szCs w:val="24"/>
        </w:rPr>
        <w:t>Requirin</w:t>
      </w:r>
      <w:r w:rsidRPr="002568E6" w:rsidR="008F3F14">
        <w:rPr>
          <w:rFonts w:ascii="Times New Roman" w:hAnsi="Times New Roman"/>
          <w:b/>
          <w:szCs w:val="24"/>
        </w:rPr>
        <w:t>g respondents to prepare a writ</w:t>
      </w:r>
      <w:r w:rsidRPr="002568E6" w:rsidR="003333DF">
        <w:rPr>
          <w:rFonts w:ascii="Times New Roman" w:hAnsi="Times New Roman"/>
          <w:b/>
          <w:szCs w:val="24"/>
        </w:rPr>
        <w:t>ten re</w:t>
      </w:r>
      <w:r w:rsidRPr="002568E6" w:rsidR="008F3F14">
        <w:rPr>
          <w:rFonts w:ascii="Times New Roman" w:hAnsi="Times New Roman"/>
          <w:b/>
          <w:szCs w:val="24"/>
        </w:rPr>
        <w:t>sponse to a collection of informa</w:t>
      </w:r>
      <w:r w:rsidRPr="002568E6" w:rsidR="003333DF">
        <w:rPr>
          <w:rFonts w:ascii="Times New Roman" w:hAnsi="Times New Roman"/>
          <w:b/>
          <w:szCs w:val="24"/>
        </w:rPr>
        <w:t xml:space="preserve">tion in fewer than 30 days after receipt of it; </w:t>
      </w:r>
      <w:r>
        <w:rPr>
          <w:rFonts w:ascii="Times New Roman" w:hAnsi="Times New Roman"/>
          <w:b/>
          <w:szCs w:val="24"/>
        </w:rPr>
        <w:br/>
      </w:r>
    </w:p>
    <w:p w:rsidRPr="002568E6" w:rsidR="003333DF" w:rsidP="0062567E" w:rsidRDefault="003333DF" w14:paraId="585A80B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r w:rsidR="00DD5E7E">
        <w:rPr>
          <w:rFonts w:ascii="Times New Roman" w:hAnsi="Times New Roman"/>
          <w:b/>
          <w:szCs w:val="24"/>
        </w:rPr>
        <w:br/>
      </w:r>
      <w:r w:rsidR="00DD5E7E">
        <w:rPr>
          <w:rFonts w:ascii="Times New Roman" w:hAnsi="Times New Roman"/>
          <w:szCs w:val="24"/>
        </w:rPr>
        <w:br/>
      </w:r>
    </w:p>
    <w:p w:rsidRPr="002568E6" w:rsidR="003333DF" w:rsidP="00713317" w:rsidRDefault="003333DF" w14:paraId="23097654" w14:textId="16A09701">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r w:rsidR="00DD5E7E">
        <w:rPr>
          <w:rFonts w:ascii="Times New Roman" w:hAnsi="Times New Roman"/>
          <w:b/>
          <w:szCs w:val="24"/>
        </w:rPr>
        <w:br/>
      </w:r>
      <w:r w:rsidR="00DD5E7E">
        <w:rPr>
          <w:rFonts w:ascii="Times New Roman" w:hAnsi="Times New Roman"/>
          <w:szCs w:val="24"/>
        </w:rPr>
        <w:t xml:space="preserve">SNAP regulations in 7 CFR 272.1(f) specify that program records are to be retained for a period of three years from the date of fiscal or administrative closure.  The date of administrative closure </w:t>
      </w:r>
      <w:r w:rsidR="003623B1">
        <w:rPr>
          <w:rFonts w:ascii="Times New Roman" w:hAnsi="Times New Roman"/>
          <w:szCs w:val="24"/>
        </w:rPr>
        <w:t>for negative cases will always begin on the date of the announcement for annual case and procedural error rates- the rates that result from negative case reviews.</w:t>
      </w:r>
    </w:p>
    <w:p w:rsidRPr="002568E6" w:rsidR="003333DF" w:rsidP="0062567E" w:rsidRDefault="008F3F14" w14:paraId="3D0D39A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r w:rsidR="00DD5E7E">
        <w:rPr>
          <w:rFonts w:ascii="Times New Roman" w:hAnsi="Times New Roman"/>
          <w:b/>
          <w:szCs w:val="24"/>
        </w:rPr>
        <w:br/>
      </w:r>
      <w:r w:rsidR="00DD5E7E">
        <w:rPr>
          <w:rFonts w:ascii="Times New Roman" w:hAnsi="Times New Roman"/>
          <w:szCs w:val="24"/>
        </w:rPr>
        <w:br/>
      </w:r>
    </w:p>
    <w:p w:rsidRPr="002568E6" w:rsidR="003333DF" w:rsidP="0062567E" w:rsidRDefault="008F3F14" w14:paraId="3F6A6E6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r w:rsidR="00DD5E7E">
        <w:rPr>
          <w:rFonts w:ascii="Times New Roman" w:hAnsi="Times New Roman"/>
          <w:b/>
          <w:szCs w:val="24"/>
        </w:rPr>
        <w:br/>
      </w:r>
      <w:r w:rsidR="00DD5E7E">
        <w:rPr>
          <w:rFonts w:ascii="Times New Roman" w:hAnsi="Times New Roman"/>
          <w:szCs w:val="24"/>
        </w:rPr>
        <w:br/>
      </w:r>
    </w:p>
    <w:p w:rsidRPr="002568E6" w:rsidR="003333DF" w:rsidP="0062567E" w:rsidRDefault="003333DF" w14:paraId="711B177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r w:rsidR="00DD5E7E">
        <w:rPr>
          <w:rFonts w:ascii="Times New Roman" w:hAnsi="Times New Roman"/>
          <w:b/>
          <w:szCs w:val="24"/>
        </w:rPr>
        <w:br/>
      </w:r>
      <w:r w:rsidR="00DD5E7E">
        <w:rPr>
          <w:rFonts w:ascii="Times New Roman" w:hAnsi="Times New Roman"/>
          <w:szCs w:val="24"/>
        </w:rPr>
        <w:br/>
      </w:r>
    </w:p>
    <w:p w:rsidRPr="00CA4248" w:rsidR="003333DF" w:rsidP="0062567E" w:rsidRDefault="003333DF" w14:paraId="3761636A"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A64ED5" w:rsidP="00CA4248" w:rsidRDefault="00A64ED5" w14:paraId="2E2FB226" w14:textId="77777777">
      <w:pPr>
        <w:pStyle w:val="BodyText"/>
        <w:ind w:left="360"/>
        <w:rPr>
          <w:szCs w:val="24"/>
        </w:rPr>
      </w:pPr>
    </w:p>
    <w:p w:rsidRPr="003623B1" w:rsidR="003333DF" w:rsidP="00CA4248" w:rsidRDefault="00A64ED5" w14:paraId="76D23112" w14:textId="77777777">
      <w:pPr>
        <w:pStyle w:val="BodyText"/>
        <w:ind w:left="360"/>
        <w:rPr>
          <w:b w:val="0"/>
          <w:szCs w:val="24"/>
        </w:rPr>
      </w:pPr>
      <w:r w:rsidRPr="003623B1">
        <w:rPr>
          <w:b w:val="0"/>
          <w:szCs w:val="24"/>
        </w:rPr>
        <w:t>There are no other special circumstances.</w:t>
      </w:r>
      <w:r w:rsidRPr="003623B1" w:rsidR="00DD5E7E">
        <w:rPr>
          <w:b w:val="0"/>
          <w:szCs w:val="24"/>
        </w:rPr>
        <w:t xml:space="preserve">      </w:t>
      </w:r>
    </w:p>
    <w:p w:rsidRPr="002568E6" w:rsidR="00E11A38" w:rsidP="00E11A38" w:rsidRDefault="00E11A38" w14:paraId="78B17480" w14:textId="77777777">
      <w:pPr>
        <w:tabs>
          <w:tab w:val="left" w:pos="-720"/>
        </w:tabs>
        <w:suppressAutoHyphens/>
        <w:rPr>
          <w:rFonts w:ascii="Times New Roman" w:hAnsi="Times New Roman"/>
          <w:szCs w:val="24"/>
        </w:rPr>
      </w:pPr>
    </w:p>
    <w:p w:rsidRPr="002568E6" w:rsidR="00BE0B08" w:rsidP="00BE0B08" w:rsidRDefault="00BE0B08" w14:paraId="4ACF412B" w14:textId="77777777">
      <w:pPr>
        <w:tabs>
          <w:tab w:val="left" w:pos="0"/>
        </w:tabs>
        <w:suppressAutoHyphens/>
        <w:rPr>
          <w:rFonts w:ascii="Times New Roman" w:hAnsi="Times New Roman"/>
          <w:szCs w:val="24"/>
        </w:rPr>
      </w:pPr>
    </w:p>
    <w:p w:rsidRPr="002568E6" w:rsidR="00BE0B08" w:rsidP="0062567E" w:rsidRDefault="00BE0B08" w14:paraId="0C03F367" w14:textId="77777777">
      <w:pPr>
        <w:pStyle w:val="Heading1"/>
        <w:rPr>
          <w:szCs w:val="24"/>
        </w:rPr>
      </w:pPr>
      <w:bookmarkStart w:name="_Toc401831364" w:id="14"/>
      <w:bookmarkStart w:name="_Toc401832408" w:id="15"/>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Pr="002568E6" w:rsidR="003333DF" w:rsidP="005917B8" w:rsidRDefault="003333DF" w14:paraId="0E9D75A9" w14:textId="77777777">
      <w:pPr>
        <w:tabs>
          <w:tab w:val="left" w:pos="450"/>
        </w:tabs>
        <w:suppressAutoHyphens/>
        <w:ind w:left="450" w:hanging="450"/>
        <w:rPr>
          <w:rFonts w:ascii="Times New Roman" w:hAnsi="Times New Roman"/>
          <w:szCs w:val="24"/>
        </w:rPr>
      </w:pPr>
    </w:p>
    <w:p w:rsidRPr="002568E6" w:rsidR="003333DF" w:rsidP="0062567E" w:rsidRDefault="003333DF" w14:paraId="49B7938F"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P="0062567E" w:rsidRDefault="003333DF" w14:paraId="22A4B383" w14:textId="77777777">
      <w:pPr>
        <w:rPr>
          <w:rFonts w:ascii="Times New Roman" w:hAnsi="Times New Roman"/>
          <w:b/>
          <w:szCs w:val="24"/>
        </w:rPr>
      </w:pPr>
    </w:p>
    <w:p w:rsidRPr="00700DC8" w:rsidR="00DD5E7E" w:rsidP="00713317" w:rsidRDefault="00DD5E7E" w14:paraId="238764E9" w14:textId="35C47580">
      <w:pPr>
        <w:spacing w:line="480" w:lineRule="auto"/>
        <w:rPr>
          <w:rFonts w:ascii="Times New Roman" w:hAnsi="Times New Roman"/>
          <w:szCs w:val="24"/>
        </w:rPr>
      </w:pPr>
      <w:r>
        <w:rPr>
          <w:rFonts w:ascii="Times New Roman" w:hAnsi="Times New Roman"/>
          <w:szCs w:val="24"/>
        </w:rPr>
        <w:t xml:space="preserve">Notice of this collection was published in the Federal Register on </w:t>
      </w:r>
      <w:r w:rsidR="003623B1">
        <w:rPr>
          <w:rFonts w:ascii="Times New Roman" w:hAnsi="Times New Roman"/>
          <w:szCs w:val="24"/>
        </w:rPr>
        <w:t>January 4, 2021</w:t>
      </w:r>
      <w:r>
        <w:rPr>
          <w:rFonts w:ascii="Times New Roman" w:hAnsi="Times New Roman"/>
          <w:szCs w:val="24"/>
        </w:rPr>
        <w:t xml:space="preserve"> (</w:t>
      </w:r>
      <w:r w:rsidR="00852DA5">
        <w:rPr>
          <w:rFonts w:ascii="Times New Roman" w:hAnsi="Times New Roman"/>
          <w:szCs w:val="24"/>
        </w:rPr>
        <w:t xml:space="preserve">Volume </w:t>
      </w:r>
      <w:r w:rsidR="003623B1">
        <w:rPr>
          <w:rFonts w:ascii="Times New Roman" w:hAnsi="Times New Roman"/>
          <w:szCs w:val="24"/>
        </w:rPr>
        <w:t>86</w:t>
      </w:r>
      <w:r w:rsidR="00852DA5">
        <w:rPr>
          <w:rFonts w:ascii="Times New Roman" w:hAnsi="Times New Roman"/>
          <w:szCs w:val="24"/>
        </w:rPr>
        <w:t xml:space="preserve">, Number 1, </w:t>
      </w:r>
      <w:proofErr w:type="gramStart"/>
      <w:r w:rsidR="00852DA5">
        <w:rPr>
          <w:rFonts w:ascii="Times New Roman" w:hAnsi="Times New Roman"/>
          <w:szCs w:val="24"/>
        </w:rPr>
        <w:t>Page</w:t>
      </w:r>
      <w:proofErr w:type="gramEnd"/>
      <w:r w:rsidR="00852DA5">
        <w:rPr>
          <w:rFonts w:ascii="Times New Roman" w:hAnsi="Times New Roman"/>
          <w:szCs w:val="24"/>
        </w:rPr>
        <w:t xml:space="preserve"> </w:t>
      </w:r>
      <w:r w:rsidR="003623B1">
        <w:rPr>
          <w:rFonts w:ascii="Times New Roman" w:hAnsi="Times New Roman"/>
          <w:szCs w:val="24"/>
        </w:rPr>
        <w:t>51</w:t>
      </w:r>
      <w:r w:rsidR="00852DA5">
        <w:rPr>
          <w:rFonts w:ascii="Times New Roman" w:hAnsi="Times New Roman"/>
          <w:szCs w:val="24"/>
        </w:rPr>
        <w:t xml:space="preserve">).  We received </w:t>
      </w:r>
      <w:r w:rsidR="003623B1">
        <w:rPr>
          <w:rFonts w:ascii="Times New Roman" w:hAnsi="Times New Roman"/>
          <w:szCs w:val="24"/>
        </w:rPr>
        <w:t xml:space="preserve">one </w:t>
      </w:r>
      <w:r w:rsidR="00852DA5">
        <w:rPr>
          <w:rFonts w:ascii="Times New Roman" w:hAnsi="Times New Roman"/>
          <w:szCs w:val="24"/>
        </w:rPr>
        <w:t>comment</w:t>
      </w:r>
      <w:r w:rsidR="003623B1">
        <w:rPr>
          <w:rFonts w:ascii="Times New Roman" w:hAnsi="Times New Roman"/>
          <w:szCs w:val="24"/>
        </w:rPr>
        <w:t xml:space="preserve"> from the State of Iowa</w:t>
      </w:r>
      <w:r w:rsidR="00A06FD8">
        <w:rPr>
          <w:rFonts w:ascii="Times New Roman" w:hAnsi="Times New Roman"/>
          <w:szCs w:val="24"/>
        </w:rPr>
        <w:t xml:space="preserve"> (Appendix I)</w:t>
      </w:r>
      <w:r w:rsidR="003623B1">
        <w:rPr>
          <w:rFonts w:ascii="Times New Roman" w:hAnsi="Times New Roman"/>
          <w:szCs w:val="24"/>
        </w:rPr>
        <w:t>.  The commente</w:t>
      </w:r>
      <w:r w:rsidR="0046219B">
        <w:rPr>
          <w:rFonts w:ascii="Times New Roman" w:hAnsi="Times New Roman"/>
          <w:szCs w:val="24"/>
        </w:rPr>
        <w:t>r provided four different comments about the collection, three of which were suggestions on coding, which FNS clarified proper existing coding in our response.  The final comment had to do with our breakdown of the burden associated with the different components of the Negative review, which was very helpful in our reevaluating the burden that was presented and updating the hours associated with the correct regulatory requirements, which FNS further sought consultation with persons outside the agency to request feedback.</w:t>
      </w:r>
    </w:p>
    <w:p w:rsidRPr="002568E6" w:rsidR="003333DF" w:rsidP="0062567E" w:rsidRDefault="003333DF" w14:paraId="1C36FA97"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04383253" w14:textId="77777777">
      <w:pPr>
        <w:rPr>
          <w:rFonts w:ascii="Times New Roman" w:hAnsi="Times New Roman"/>
          <w:b/>
          <w:szCs w:val="24"/>
        </w:rPr>
      </w:pPr>
    </w:p>
    <w:p w:rsidRPr="002568E6" w:rsidR="003333DF" w:rsidP="0062567E" w:rsidRDefault="003333DF" w14:paraId="7AEF47DB"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48A4951E" w14:textId="77777777">
      <w:pPr>
        <w:tabs>
          <w:tab w:val="left" w:pos="-720"/>
        </w:tabs>
        <w:suppressAutoHyphens/>
        <w:rPr>
          <w:rFonts w:ascii="Times New Roman" w:hAnsi="Times New Roman"/>
          <w:szCs w:val="24"/>
        </w:rPr>
      </w:pPr>
      <w:bookmarkStart w:name="OLE_LINK1" w:id="16"/>
      <w:bookmarkStart w:name="OLE_LINK2" w:id="17"/>
    </w:p>
    <w:p w:rsidRPr="00DC109A" w:rsidR="00DC109A" w:rsidP="00DC109A" w:rsidRDefault="00DC109A" w14:paraId="6CF983C7" w14:textId="569148C1">
      <w:pPr>
        <w:pStyle w:val="BodyText2"/>
        <w:ind w:right="-180"/>
        <w:contextualSpacing/>
        <w:rPr>
          <w:rFonts w:ascii="Times New Roman" w:hAnsi="Times New Roman"/>
        </w:rPr>
      </w:pPr>
      <w:r w:rsidRPr="00C33087">
        <w:rPr>
          <w:rFonts w:ascii="Times New Roman" w:hAnsi="Times New Roman"/>
        </w:rPr>
        <w:t xml:space="preserve">FNS </w:t>
      </w:r>
      <w:r w:rsidR="0046219B">
        <w:rPr>
          <w:rFonts w:ascii="Times New Roman" w:hAnsi="Times New Roman"/>
        </w:rPr>
        <w:t>sought feedback, through email</w:t>
      </w:r>
      <w:r w:rsidR="00C502E2">
        <w:rPr>
          <w:rFonts w:ascii="Times New Roman" w:hAnsi="Times New Roman"/>
        </w:rPr>
        <w:t xml:space="preserve"> on February 8, 2021</w:t>
      </w:r>
      <w:r w:rsidR="0046219B">
        <w:rPr>
          <w:rFonts w:ascii="Times New Roman" w:hAnsi="Times New Roman"/>
        </w:rPr>
        <w:t>, from t</w:t>
      </w:r>
      <w:r w:rsidRPr="00DC109A">
        <w:rPr>
          <w:rFonts w:ascii="Times New Roman" w:hAnsi="Times New Roman"/>
        </w:rPr>
        <w:t>he Quality Control Technical Advisory Group (QC TAG)</w:t>
      </w:r>
      <w:r w:rsidR="0046219B">
        <w:rPr>
          <w:rFonts w:ascii="Times New Roman" w:hAnsi="Times New Roman"/>
        </w:rPr>
        <w:t>, a group made up of</w:t>
      </w:r>
      <w:r w:rsidR="00A52024">
        <w:rPr>
          <w:rFonts w:ascii="Times New Roman" w:hAnsi="Times New Roman"/>
        </w:rPr>
        <w:t xml:space="preserve"> at least five</w:t>
      </w:r>
      <w:r w:rsidR="0046219B">
        <w:rPr>
          <w:rFonts w:ascii="Times New Roman" w:hAnsi="Times New Roman"/>
        </w:rPr>
        <w:t xml:space="preserve"> </w:t>
      </w:r>
      <w:r w:rsidR="0046219B">
        <w:rPr>
          <w:rFonts w:ascii="Times New Roman" w:hAnsi="Times New Roman"/>
        </w:rPr>
        <w:lastRenderedPageBreak/>
        <w:t>SNAP QC directors,</w:t>
      </w:r>
      <w:r w:rsidRPr="00DC109A">
        <w:rPr>
          <w:rFonts w:ascii="Times New Roman" w:hAnsi="Times New Roman"/>
        </w:rPr>
        <w:t xml:space="preserve"> </w:t>
      </w:r>
      <w:r w:rsidR="0046219B">
        <w:rPr>
          <w:rFonts w:ascii="Times New Roman" w:hAnsi="Times New Roman"/>
        </w:rPr>
        <w:t>about their views on burden updates to the FNS 245 collection, frequency</w:t>
      </w:r>
      <w:r w:rsidRPr="0046219B" w:rsidR="0046219B">
        <w:rPr>
          <w:rFonts w:ascii="Times New Roman" w:hAnsi="Times New Roman"/>
        </w:rPr>
        <w:t xml:space="preserve"> of collection,</w:t>
      </w:r>
      <w:r w:rsidR="0046219B">
        <w:rPr>
          <w:rFonts w:ascii="Times New Roman" w:hAnsi="Times New Roman"/>
        </w:rPr>
        <w:t xml:space="preserve"> and</w:t>
      </w:r>
      <w:r w:rsidRPr="0046219B" w:rsidR="0046219B">
        <w:rPr>
          <w:rFonts w:ascii="Times New Roman" w:hAnsi="Times New Roman"/>
        </w:rPr>
        <w:t xml:space="preserve"> the clarity of instructions and recordkeeping, disclosure, or reporting format</w:t>
      </w:r>
      <w:r w:rsidR="0046219B">
        <w:rPr>
          <w:rFonts w:ascii="Times New Roman" w:hAnsi="Times New Roman"/>
        </w:rPr>
        <w:t xml:space="preserve">.  </w:t>
      </w:r>
      <w:r w:rsidR="00C502E2">
        <w:rPr>
          <w:rFonts w:ascii="Times New Roman" w:hAnsi="Times New Roman"/>
        </w:rPr>
        <w:t>Unfortunately</w:t>
      </w:r>
      <w:r w:rsidR="00424F28">
        <w:rPr>
          <w:rFonts w:ascii="Times New Roman" w:hAnsi="Times New Roman"/>
        </w:rPr>
        <w:t>,</w:t>
      </w:r>
      <w:r w:rsidR="00C502E2">
        <w:rPr>
          <w:rFonts w:ascii="Times New Roman" w:hAnsi="Times New Roman"/>
        </w:rPr>
        <w:t xml:space="preserve"> </w:t>
      </w:r>
      <w:r w:rsidR="0046219B">
        <w:rPr>
          <w:rFonts w:ascii="Times New Roman" w:hAnsi="Times New Roman"/>
        </w:rPr>
        <w:t>FNS did not receive feedback from</w:t>
      </w:r>
      <w:r w:rsidR="00A52024">
        <w:rPr>
          <w:rFonts w:ascii="Times New Roman" w:hAnsi="Times New Roman"/>
        </w:rPr>
        <w:t xml:space="preserve"> any</w:t>
      </w:r>
      <w:r w:rsidR="0046219B">
        <w:rPr>
          <w:rFonts w:ascii="Times New Roman" w:hAnsi="Times New Roman"/>
        </w:rPr>
        <w:t xml:space="preserve"> members of the </w:t>
      </w:r>
      <w:r w:rsidR="00C502E2">
        <w:rPr>
          <w:rFonts w:ascii="Times New Roman" w:hAnsi="Times New Roman"/>
        </w:rPr>
        <w:t>QC TAG by the time this supporting statement was submitted</w:t>
      </w:r>
      <w:r w:rsidR="00BE532B">
        <w:rPr>
          <w:rFonts w:ascii="Times New Roman" w:hAnsi="Times New Roman"/>
        </w:rPr>
        <w:t xml:space="preserve"> for approval</w:t>
      </w:r>
      <w:r w:rsidR="00C502E2">
        <w:rPr>
          <w:rFonts w:ascii="Times New Roman" w:hAnsi="Times New Roman"/>
        </w:rPr>
        <w:t>.</w:t>
      </w:r>
    </w:p>
    <w:p w:rsidRPr="002568E6" w:rsidR="00ED28F2" w:rsidP="00ED28F2" w:rsidRDefault="00ED28F2" w14:paraId="3B414801" w14:textId="77777777">
      <w:pPr>
        <w:tabs>
          <w:tab w:val="left" w:pos="-720"/>
        </w:tabs>
        <w:suppressAutoHyphens/>
        <w:spacing w:line="480" w:lineRule="auto"/>
        <w:rPr>
          <w:rFonts w:ascii="Times New Roman" w:hAnsi="Times New Roman"/>
          <w:szCs w:val="24"/>
        </w:rPr>
      </w:pPr>
    </w:p>
    <w:p w:rsidRPr="002568E6" w:rsidR="00BE0B08" w:rsidP="0062567E" w:rsidRDefault="00BE0B08" w14:paraId="5274189E" w14:textId="77777777">
      <w:pPr>
        <w:pStyle w:val="Heading1"/>
        <w:rPr>
          <w:szCs w:val="24"/>
        </w:rPr>
      </w:pPr>
      <w:bookmarkStart w:name="_Toc401831365" w:id="18"/>
      <w:bookmarkStart w:name="_Toc401832409" w:id="1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Pr="002568E6" w:rsidR="003333DF" w:rsidP="00BE0B08" w:rsidRDefault="003333DF" w14:paraId="4AE13F76" w14:textId="77777777">
      <w:pPr>
        <w:tabs>
          <w:tab w:val="left" w:pos="0"/>
        </w:tabs>
        <w:suppressAutoHyphens/>
        <w:rPr>
          <w:rFonts w:ascii="Times New Roman" w:hAnsi="Times New Roman"/>
          <w:szCs w:val="24"/>
        </w:rPr>
      </w:pPr>
    </w:p>
    <w:p w:rsidRPr="002568E6" w:rsidR="003333DF" w:rsidP="00BE0B08" w:rsidRDefault="003333DF" w14:paraId="3E4C7872"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16B57A71" w14:textId="77777777">
      <w:pPr>
        <w:tabs>
          <w:tab w:val="left" w:pos="-720"/>
        </w:tabs>
        <w:suppressAutoHyphens/>
        <w:rPr>
          <w:rFonts w:ascii="Times New Roman" w:hAnsi="Times New Roman"/>
          <w:szCs w:val="24"/>
        </w:rPr>
      </w:pPr>
    </w:p>
    <w:p w:rsidRPr="00DC109A" w:rsidR="00DC109A" w:rsidP="00DC109A" w:rsidRDefault="00DC109A" w14:paraId="4B271066" w14:textId="77777777">
      <w:pPr>
        <w:pStyle w:val="BodyText2"/>
        <w:ind w:right="-180"/>
        <w:contextualSpacing/>
        <w:rPr>
          <w:rFonts w:ascii="Times New Roman" w:hAnsi="Times New Roman"/>
        </w:rPr>
      </w:pPr>
      <w:r w:rsidRPr="00DC109A">
        <w:rPr>
          <w:rFonts w:ascii="Times New Roman" w:hAnsi="Times New Roman"/>
        </w:rPr>
        <w:t>No payments or gifts are made to respondents.</w:t>
      </w:r>
    </w:p>
    <w:p w:rsidRPr="002568E6" w:rsidR="00BE0B08" w:rsidP="0062567E" w:rsidRDefault="00BE0B08" w14:paraId="34AD009B" w14:textId="77777777">
      <w:pPr>
        <w:pStyle w:val="Heading1"/>
        <w:rPr>
          <w:szCs w:val="24"/>
        </w:rPr>
      </w:pPr>
      <w:bookmarkStart w:name="_Toc401831366" w:id="20"/>
      <w:bookmarkStart w:name="_Toc401832410" w:id="21"/>
      <w:r w:rsidRPr="002568E6">
        <w:rPr>
          <w:szCs w:val="24"/>
        </w:rPr>
        <w:t>A10.  Assurances of confidentiality provided to respondents.</w:t>
      </w:r>
      <w:bookmarkEnd w:id="20"/>
      <w:bookmarkEnd w:id="21"/>
      <w:r w:rsidRPr="002568E6">
        <w:rPr>
          <w:szCs w:val="24"/>
        </w:rPr>
        <w:t xml:space="preserve">  </w:t>
      </w:r>
    </w:p>
    <w:p w:rsidRPr="002568E6" w:rsidR="003333DF" w:rsidP="00BE0B08" w:rsidRDefault="003333DF" w14:paraId="6BFD1532" w14:textId="77777777">
      <w:pPr>
        <w:rPr>
          <w:rFonts w:ascii="Times New Roman" w:hAnsi="Times New Roman"/>
          <w:szCs w:val="24"/>
        </w:rPr>
      </w:pPr>
    </w:p>
    <w:p w:rsidRPr="002568E6" w:rsidR="003333DF" w:rsidP="0062567E" w:rsidRDefault="003333DF" w14:paraId="672305AA"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459D372E" w14:textId="77777777">
      <w:pPr>
        <w:rPr>
          <w:rFonts w:ascii="Times New Roman" w:hAnsi="Times New Roman"/>
          <w:szCs w:val="24"/>
        </w:rPr>
      </w:pPr>
    </w:p>
    <w:p w:rsidR="00E77D50" w:rsidP="00ED28F2" w:rsidRDefault="00EF6AB3" w14:paraId="701D748E" w14:textId="3D9812E6">
      <w:pPr>
        <w:tabs>
          <w:tab w:val="left" w:pos="-720"/>
        </w:tabs>
        <w:suppressAutoHyphens/>
        <w:spacing w:line="480" w:lineRule="auto"/>
        <w:rPr>
          <w:rFonts w:ascii="Times New Roman" w:hAnsi="Times New Roman"/>
        </w:rPr>
      </w:pPr>
      <w:r>
        <w:rPr>
          <w:rFonts w:ascii="Times New Roman" w:hAnsi="Times New Roman"/>
        </w:rPr>
        <w:t>I</w:t>
      </w:r>
      <w:r w:rsidRPr="00DC109A" w:rsidR="00DC109A">
        <w:rPr>
          <w:rFonts w:ascii="Times New Roman" w:hAnsi="Times New Roman"/>
        </w:rPr>
        <w:t>nformation gathered from S</w:t>
      </w:r>
      <w:r w:rsidR="00DC109A">
        <w:rPr>
          <w:rFonts w:ascii="Times New Roman" w:hAnsi="Times New Roman"/>
        </w:rPr>
        <w:t xml:space="preserve">tate </w:t>
      </w:r>
      <w:r w:rsidRPr="00700DC8" w:rsidR="00DC109A">
        <w:rPr>
          <w:rFonts w:ascii="Times New Roman" w:hAnsi="Times New Roman"/>
        </w:rPr>
        <w:t>agency</w:t>
      </w:r>
      <w:r w:rsidRPr="00DC109A" w:rsidR="00DC109A">
        <w:rPr>
          <w:rFonts w:ascii="Times New Roman" w:hAnsi="Times New Roman"/>
        </w:rPr>
        <w:t xml:space="preserve"> records and </w:t>
      </w:r>
      <w:r w:rsidRPr="00700DC8" w:rsidR="00DC109A">
        <w:rPr>
          <w:rFonts w:ascii="Times New Roman" w:hAnsi="Times New Roman"/>
        </w:rPr>
        <w:t>information gathered</w:t>
      </w:r>
      <w:r w:rsidRPr="00DC109A" w:rsidR="00DC109A">
        <w:rPr>
          <w:rFonts w:ascii="Times New Roman" w:hAnsi="Times New Roman"/>
        </w:rPr>
        <w:t xml:space="preserve"> in interviews during </w:t>
      </w:r>
      <w:r>
        <w:rPr>
          <w:rFonts w:ascii="Times New Roman" w:hAnsi="Times New Roman"/>
        </w:rPr>
        <w:t xml:space="preserve">negative </w:t>
      </w:r>
      <w:r w:rsidRPr="00DC109A" w:rsidR="00DC109A">
        <w:rPr>
          <w:rFonts w:ascii="Times New Roman" w:hAnsi="Times New Roman"/>
        </w:rPr>
        <w:t>case action reviews (</w:t>
      </w:r>
      <w:r>
        <w:rPr>
          <w:rFonts w:ascii="Times New Roman" w:hAnsi="Times New Roman"/>
        </w:rPr>
        <w:t xml:space="preserve">recorded on the </w:t>
      </w:r>
      <w:r w:rsidRPr="00DC109A" w:rsidR="00DC109A">
        <w:rPr>
          <w:rFonts w:ascii="Times New Roman" w:hAnsi="Times New Roman"/>
        </w:rPr>
        <w:t>FNS-245) are subject to the same privacy safeguards as information obtained from households applying for SNAP benefits.  Section 11(e)(8) of the Act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Section 272.1(c) of SNAP regulations implements this legislative mandate</w:t>
      </w:r>
      <w:r w:rsidR="002D7016">
        <w:rPr>
          <w:rFonts w:ascii="Times New Roman" w:hAnsi="Times New Roman"/>
        </w:rPr>
        <w:t xml:space="preserve"> (see appendix E3)</w:t>
      </w:r>
      <w:r w:rsidRPr="00DC109A" w:rsidR="00DC109A">
        <w:rPr>
          <w:rFonts w:ascii="Times New Roman" w:hAnsi="Times New Roman"/>
        </w:rPr>
        <w:t>.  The findings of negative case reviews, when compiled, do not identify the recipient by name.</w:t>
      </w:r>
      <w:r w:rsidR="00D374BF">
        <w:rPr>
          <w:rFonts w:ascii="Times New Roman" w:hAnsi="Times New Roman"/>
        </w:rPr>
        <w:t xml:space="preserve">  Please see: </w:t>
      </w:r>
      <w:r w:rsidR="002F2BFF">
        <w:rPr>
          <w:rFonts w:ascii="Times New Roman" w:hAnsi="Times New Roman"/>
        </w:rPr>
        <w:t xml:space="preserve">Attachment F: </w:t>
      </w:r>
      <w:r w:rsidR="00A64ED5">
        <w:rPr>
          <w:rFonts w:ascii="Times New Roman" w:hAnsi="Times New Roman"/>
        </w:rPr>
        <w:t>USDA/FNS</w:t>
      </w:r>
      <w:r w:rsidR="002F2BFF">
        <w:rPr>
          <w:rFonts w:ascii="Times New Roman" w:hAnsi="Times New Roman"/>
        </w:rPr>
        <w:t xml:space="preserve">-5 </w:t>
      </w:r>
      <w:r w:rsidR="00A64ED5">
        <w:rPr>
          <w:rFonts w:ascii="Times New Roman" w:hAnsi="Times New Roman"/>
        </w:rPr>
        <w:t xml:space="preserve">System of </w:t>
      </w:r>
      <w:r w:rsidRPr="002F2BFF" w:rsidR="00A64ED5">
        <w:rPr>
          <w:rFonts w:ascii="Times New Roman" w:hAnsi="Times New Roman"/>
          <w:szCs w:val="24"/>
        </w:rPr>
        <w:t xml:space="preserve">Record Notice </w:t>
      </w:r>
      <w:r w:rsidRPr="002F2BFF" w:rsidR="00A64ED5">
        <w:rPr>
          <w:rFonts w:ascii="Times New Roman" w:hAnsi="Times New Roman"/>
          <w:szCs w:val="24"/>
        </w:rPr>
        <w:lastRenderedPageBreak/>
        <w:t xml:space="preserve">(SORNs) </w:t>
      </w:r>
      <w:r w:rsidRPr="002F2BFF" w:rsidR="00D374BF">
        <w:rPr>
          <w:rFonts w:ascii="Times New Roman" w:hAnsi="Times New Roman"/>
          <w:szCs w:val="24"/>
        </w:rPr>
        <w:t>“</w:t>
      </w:r>
      <w:r w:rsidRPr="00083F42" w:rsidR="002F2BFF">
        <w:rPr>
          <w:rFonts w:ascii="Times New Roman" w:hAnsi="Times New Roman"/>
          <w:szCs w:val="24"/>
        </w:rPr>
        <w:t>Information on Persons Disqualified from the Supplemental Nutrition Assistance Program.</w:t>
      </w:r>
      <w:r w:rsidRPr="002F2BFF" w:rsidR="00D374BF">
        <w:rPr>
          <w:rFonts w:ascii="Times New Roman" w:hAnsi="Times New Roman"/>
          <w:szCs w:val="24"/>
        </w:rPr>
        <w:t xml:space="preserve">” </w:t>
      </w:r>
      <w:r w:rsidRPr="002F2BFF" w:rsidR="002F2BFF">
        <w:rPr>
          <w:rFonts w:ascii="Times New Roman" w:hAnsi="Times New Roman"/>
          <w:szCs w:val="24"/>
        </w:rPr>
        <w:t xml:space="preserve">published </w:t>
      </w:r>
      <w:r w:rsidRPr="002F2BFF" w:rsidR="00D374BF">
        <w:rPr>
          <w:rFonts w:ascii="Times New Roman" w:hAnsi="Times New Roman"/>
          <w:szCs w:val="24"/>
        </w:rPr>
        <w:t>in the Federal Register</w:t>
      </w:r>
      <w:r w:rsidRPr="002F2BFF" w:rsidR="002F2BFF">
        <w:rPr>
          <w:rFonts w:ascii="Times New Roman" w:hAnsi="Times New Roman"/>
          <w:szCs w:val="24"/>
        </w:rPr>
        <w:t xml:space="preserve"> Volume 75, Number 237, Page 81205 on </w:t>
      </w:r>
      <w:r w:rsidRPr="003A4B01" w:rsidR="002F2BFF">
        <w:rPr>
          <w:rFonts w:ascii="Times New Roman" w:hAnsi="Times New Roman"/>
          <w:szCs w:val="24"/>
        </w:rPr>
        <w:t>December 27, 2010, Vol</w:t>
      </w:r>
      <w:r w:rsidRPr="003A4B01" w:rsidR="00D374BF">
        <w:rPr>
          <w:rFonts w:ascii="Times New Roman" w:hAnsi="Times New Roman"/>
          <w:szCs w:val="24"/>
        </w:rPr>
        <w:t>.</w:t>
      </w:r>
      <w:r w:rsidR="00D374BF">
        <w:rPr>
          <w:rFonts w:ascii="Times New Roman" w:hAnsi="Times New Roman"/>
        </w:rPr>
        <w:t xml:space="preserve">  </w:t>
      </w:r>
    </w:p>
    <w:p w:rsidRPr="00DC109A" w:rsidR="00ED28F2" w:rsidP="00E77D50" w:rsidRDefault="00E77D50" w14:paraId="3B5AB32F" w14:textId="37E3F502">
      <w:pPr>
        <w:tabs>
          <w:tab w:val="left" w:pos="-720"/>
        </w:tabs>
        <w:suppressAutoHyphens/>
        <w:spacing w:line="480" w:lineRule="auto"/>
        <w:rPr>
          <w:rFonts w:ascii="Times New Roman" w:hAnsi="Times New Roman"/>
          <w:szCs w:val="24"/>
        </w:rPr>
      </w:pPr>
      <w:r>
        <w:rPr>
          <w:rFonts w:ascii="Times New Roman" w:hAnsi="Times New Roman"/>
        </w:rPr>
        <w:t xml:space="preserve">Per Miguel Marling, on October 2, 2020, FNS </w:t>
      </w:r>
      <w:r w:rsidR="002D7016">
        <w:rPr>
          <w:rFonts w:ascii="Times New Roman" w:hAnsi="Times New Roman"/>
        </w:rPr>
        <w:t>replaced the existing privacy statement with</w:t>
      </w:r>
      <w:r>
        <w:rPr>
          <w:rFonts w:ascii="Times New Roman" w:hAnsi="Times New Roman"/>
        </w:rPr>
        <w:t xml:space="preserve"> the following statement </w:t>
      </w:r>
      <w:r w:rsidR="002D7016">
        <w:rPr>
          <w:rFonts w:ascii="Times New Roman" w:hAnsi="Times New Roman"/>
        </w:rPr>
        <w:t>on</w:t>
      </w:r>
      <w:r>
        <w:rPr>
          <w:rFonts w:ascii="Times New Roman" w:hAnsi="Times New Roman"/>
        </w:rPr>
        <w:t xml:space="preserve"> the FNS 245 form </w:t>
      </w:r>
      <w:r w:rsidR="002D7016">
        <w:rPr>
          <w:rFonts w:ascii="Times New Roman" w:hAnsi="Times New Roman"/>
        </w:rPr>
        <w:t>for</w:t>
      </w:r>
      <w:r>
        <w:rPr>
          <w:rFonts w:ascii="Times New Roman" w:hAnsi="Times New Roman"/>
        </w:rPr>
        <w:t xml:space="preserve"> compliance with the Privacy Act:  </w:t>
      </w:r>
      <w:r w:rsidRPr="00083F42">
        <w:rPr>
          <w:rFonts w:ascii="Times New Roman" w:hAnsi="Times New Roman"/>
          <w:i/>
          <w:iCs/>
        </w:rPr>
        <w:t>This information is being collected under the authority of provisions of The Supplemental Nutrition Assistance Program, at 7 CFR § 275.14 - Review processing. The primary use of this information is by U.S. Department of Agriculture Supplemental Nutrition Assistance Program staff to review State performance in determining the eligibility of applicants and recipients. The information will be used to determine State compliance with eligibility determination requirements. Additional disclosures of the information may be: to a Federal, State, or local law enforcement agency when an agency becomes aware of a violation or possible violation of civil or criminal law; to a Federal agency when conducting an investigation for employment or security reasons; or the General Services Administration in connection with its responsibilities for records management. Per the Privacy Act of 1974, 5 U.S. Code § 552a - Records maintained on individuals, at (e</w:t>
      </w:r>
      <w:proofErr w:type="gramStart"/>
      <w:r w:rsidRPr="00083F42">
        <w:rPr>
          <w:rFonts w:ascii="Times New Roman" w:hAnsi="Times New Roman"/>
          <w:i/>
          <w:iCs/>
        </w:rPr>
        <w:t>)(</w:t>
      </w:r>
      <w:proofErr w:type="gramEnd"/>
      <w:r w:rsidRPr="00083F42">
        <w:rPr>
          <w:rFonts w:ascii="Times New Roman" w:hAnsi="Times New Roman"/>
          <w:i/>
          <w:iCs/>
        </w:rPr>
        <w:t>3), disclosing the information is mandatory in order to comply with USDA/FNS audit and reporting procedures. Failure to do may result in a delay or finding of non-compliance. Providing this form is a required component for State agencies to conduct Quality Control under the Food and Nutrition Act, as amended.</w:t>
      </w:r>
      <w:r w:rsidRPr="00DC109A" w:rsidR="00DC109A">
        <w:rPr>
          <w:rFonts w:ascii="Times New Roman" w:hAnsi="Times New Roman"/>
        </w:rPr>
        <w:br/>
      </w:r>
    </w:p>
    <w:p w:rsidRPr="002568E6" w:rsidR="00A308DB" w:rsidP="0062567E" w:rsidRDefault="00BE0B08" w14:paraId="2198D2E4" w14:textId="77777777">
      <w:pPr>
        <w:pStyle w:val="Heading1"/>
        <w:rPr>
          <w:szCs w:val="24"/>
        </w:rPr>
      </w:pPr>
      <w:bookmarkStart w:name="_Toc401831367" w:id="22"/>
      <w:bookmarkStart w:name="_Toc401832411" w:id="23"/>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Pr="002568E6" w:rsidR="003333DF" w:rsidP="00BE0B08" w:rsidRDefault="003333DF" w14:paraId="7EDF2CDF" w14:textId="77777777">
      <w:pPr>
        <w:tabs>
          <w:tab w:val="left" w:pos="0"/>
        </w:tabs>
        <w:suppressAutoHyphens/>
        <w:rPr>
          <w:rFonts w:ascii="Times New Roman" w:hAnsi="Times New Roman"/>
          <w:szCs w:val="24"/>
        </w:rPr>
      </w:pPr>
    </w:p>
    <w:p w:rsidRPr="002568E6" w:rsidR="003333DF" w:rsidP="00BE0B08" w:rsidRDefault="003333DF" w14:paraId="52C9621E"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w:t>
      </w:r>
      <w:r w:rsidRPr="002568E6">
        <w:rPr>
          <w:rFonts w:ascii="Times New Roman" w:hAnsi="Times New Roman"/>
          <w:b/>
          <w:szCs w:val="24"/>
        </w:rPr>
        <w:lastRenderedPageBreak/>
        <w:t>specific uses to be made of the information, the explanation to be given to persons from whom the information is requested, and any steps to be taken to obtain their consent.</w:t>
      </w:r>
    </w:p>
    <w:p w:rsidRPr="002568E6" w:rsidR="00ED28F2" w:rsidP="00ED28F2" w:rsidRDefault="00ED28F2" w14:paraId="12C60386" w14:textId="77777777">
      <w:pPr>
        <w:tabs>
          <w:tab w:val="left" w:pos="-720"/>
        </w:tabs>
        <w:suppressAutoHyphens/>
        <w:rPr>
          <w:rFonts w:ascii="Times New Roman" w:hAnsi="Times New Roman"/>
          <w:szCs w:val="24"/>
        </w:rPr>
      </w:pPr>
    </w:p>
    <w:p w:rsidRPr="005209CD" w:rsidR="005209CD" w:rsidP="005209CD" w:rsidRDefault="005209CD" w14:paraId="5181F15D" w14:textId="77777777">
      <w:pPr>
        <w:pStyle w:val="BodyText2"/>
        <w:rPr>
          <w:rFonts w:ascii="Times New Roman" w:hAnsi="Times New Roman"/>
        </w:rPr>
      </w:pPr>
      <w:r w:rsidRPr="005209CD">
        <w:rPr>
          <w:rFonts w:ascii="Times New Roman" w:hAnsi="Times New Roman"/>
        </w:rPr>
        <w:t>There are no questions of a sensitive nature on the FNS 245.</w:t>
      </w:r>
    </w:p>
    <w:p w:rsidRPr="002568E6" w:rsidR="00ED28F2" w:rsidP="00ED28F2" w:rsidRDefault="00ED28F2" w14:paraId="011553C8" w14:textId="77777777">
      <w:pPr>
        <w:tabs>
          <w:tab w:val="left" w:pos="-720"/>
        </w:tabs>
        <w:suppressAutoHyphens/>
        <w:spacing w:line="480" w:lineRule="auto"/>
        <w:rPr>
          <w:rFonts w:ascii="Times New Roman" w:hAnsi="Times New Roman"/>
          <w:szCs w:val="24"/>
        </w:rPr>
      </w:pPr>
    </w:p>
    <w:p w:rsidRPr="002568E6" w:rsidR="000438E8" w:rsidP="0062567E" w:rsidRDefault="000438E8" w14:paraId="2A3BCEB6" w14:textId="77777777">
      <w:pPr>
        <w:pStyle w:val="Heading1"/>
        <w:rPr>
          <w:szCs w:val="24"/>
        </w:rPr>
      </w:pPr>
      <w:bookmarkStart w:name="_Toc401831368" w:id="24"/>
      <w:bookmarkStart w:name="_Toc401832412" w:id="25"/>
      <w:r w:rsidRPr="002568E6">
        <w:rPr>
          <w:szCs w:val="24"/>
        </w:rPr>
        <w:t>A12.  Estimates of the hour burden of the collection of information.</w:t>
      </w:r>
      <w:bookmarkEnd w:id="24"/>
      <w:bookmarkEnd w:id="25"/>
      <w:r w:rsidRPr="002568E6">
        <w:rPr>
          <w:szCs w:val="24"/>
        </w:rPr>
        <w:t xml:space="preserve">  </w:t>
      </w:r>
    </w:p>
    <w:p w:rsidRPr="002568E6" w:rsidR="003333DF" w:rsidP="000438E8" w:rsidRDefault="003333DF" w14:paraId="5375F8A7" w14:textId="77777777">
      <w:pPr>
        <w:tabs>
          <w:tab w:val="left" w:pos="0"/>
        </w:tabs>
        <w:suppressAutoHyphens/>
        <w:rPr>
          <w:rFonts w:ascii="Times New Roman" w:hAnsi="Times New Roman"/>
          <w:b/>
          <w:szCs w:val="24"/>
        </w:rPr>
      </w:pPr>
    </w:p>
    <w:p w:rsidRPr="002568E6" w:rsidR="003333DF" w:rsidP="000438E8" w:rsidRDefault="003333DF" w14:paraId="6FD11085"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4273AB6A" w14:textId="77777777">
      <w:pPr>
        <w:tabs>
          <w:tab w:val="left" w:pos="0"/>
        </w:tabs>
        <w:suppressAutoHyphens/>
        <w:rPr>
          <w:rFonts w:ascii="Times New Roman" w:hAnsi="Times New Roman"/>
          <w:b/>
          <w:szCs w:val="24"/>
        </w:rPr>
      </w:pPr>
    </w:p>
    <w:p w:rsidRPr="002568E6" w:rsidR="003333DF" w:rsidP="003333DF" w:rsidRDefault="003333DF" w14:paraId="6A83C6F7"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5C74DA2E" w14:textId="77777777">
      <w:pPr>
        <w:tabs>
          <w:tab w:val="left" w:pos="-720"/>
        </w:tabs>
        <w:suppressAutoHyphens/>
        <w:rPr>
          <w:rFonts w:ascii="Times New Roman" w:hAnsi="Times New Roman"/>
          <w:szCs w:val="24"/>
        </w:rPr>
      </w:pPr>
    </w:p>
    <w:p w:rsidR="007E0BFC" w:rsidP="007E0BFC" w:rsidRDefault="007E0BFC" w14:paraId="09E2F87F" w14:textId="225589C6">
      <w:pPr>
        <w:spacing w:line="480" w:lineRule="auto"/>
        <w:rPr>
          <w:rFonts w:ascii="Times New Roman" w:hAnsi="Times New Roman"/>
        </w:rPr>
      </w:pPr>
      <w:r w:rsidRPr="007E0BFC">
        <w:rPr>
          <w:rFonts w:ascii="Times New Roman" w:hAnsi="Times New Roman"/>
        </w:rPr>
        <w:t>There are 53 state agencies required to conduct QC reviews of the negative cases as part of the Performance Reporting System</w:t>
      </w:r>
      <w:r w:rsidRPr="007E0BFC" w:rsidR="00C33087">
        <w:rPr>
          <w:rFonts w:ascii="Times New Roman" w:hAnsi="Times New Roman"/>
        </w:rPr>
        <w:t xml:space="preserve">.  </w:t>
      </w:r>
      <w:r w:rsidRPr="007E0BFC">
        <w:rPr>
          <w:rFonts w:ascii="Times New Roman" w:hAnsi="Times New Roman"/>
        </w:rPr>
        <w:t xml:space="preserve">State agencies complete the FNS-245 for each negative case in their QC sample.  The </w:t>
      </w:r>
      <w:r w:rsidR="004E6ABB">
        <w:rPr>
          <w:rFonts w:ascii="Times New Roman" w:hAnsi="Times New Roman"/>
        </w:rPr>
        <w:t xml:space="preserve">overall </w:t>
      </w:r>
      <w:r w:rsidRPr="007E0BFC">
        <w:rPr>
          <w:rFonts w:ascii="Times New Roman" w:hAnsi="Times New Roman"/>
        </w:rPr>
        <w:t xml:space="preserve">reporting and recordkeeping burden associated with the completion of the FNS-245 has decreased from approximately </w:t>
      </w:r>
      <w:r w:rsidRPr="007E0BFC" w:rsidR="00D842C7">
        <w:rPr>
          <w:rFonts w:ascii="Times New Roman" w:hAnsi="Times New Roman"/>
        </w:rPr>
        <w:t>115,514.</w:t>
      </w:r>
      <w:r w:rsidR="00D842C7">
        <w:rPr>
          <w:rFonts w:ascii="Times New Roman" w:hAnsi="Times New Roman"/>
        </w:rPr>
        <w:t>39</w:t>
      </w:r>
      <w:r w:rsidRPr="007E0BFC" w:rsidR="00D842C7">
        <w:rPr>
          <w:rFonts w:ascii="Times New Roman" w:hAnsi="Times New Roman"/>
        </w:rPr>
        <w:t xml:space="preserve"> </w:t>
      </w:r>
      <w:r w:rsidRPr="007E0BFC">
        <w:rPr>
          <w:rFonts w:ascii="Times New Roman" w:hAnsi="Times New Roman"/>
        </w:rPr>
        <w:t xml:space="preserve">hours to </w:t>
      </w:r>
      <w:r w:rsidR="00D842C7">
        <w:rPr>
          <w:rFonts w:ascii="Times New Roman" w:hAnsi="Times New Roman"/>
        </w:rPr>
        <w:t xml:space="preserve">112,491.43 </w:t>
      </w:r>
      <w:r w:rsidRPr="007E0BFC">
        <w:rPr>
          <w:rFonts w:ascii="Times New Roman" w:hAnsi="Times New Roman"/>
        </w:rPr>
        <w:t>hours.  The</w:t>
      </w:r>
      <w:bookmarkStart w:name="Dropdown2" w:id="26"/>
      <w:r w:rsidRPr="007E0BFC">
        <w:rPr>
          <w:rFonts w:ascii="Times New Roman" w:hAnsi="Times New Roman"/>
        </w:rPr>
        <w:t xml:space="preserve"> </w:t>
      </w:r>
      <w:r w:rsidR="00D842C7">
        <w:rPr>
          <w:rFonts w:ascii="Times New Roman" w:hAnsi="Times New Roman"/>
        </w:rPr>
        <w:t>3,022.97</w:t>
      </w:r>
      <w:r w:rsidRPr="007E0BFC">
        <w:rPr>
          <w:rFonts w:ascii="Times New Roman" w:hAnsi="Times New Roman"/>
        </w:rPr>
        <w:t xml:space="preserve"> hour </w:t>
      </w:r>
      <w:bookmarkEnd w:id="26"/>
      <w:r w:rsidRPr="007E0BFC">
        <w:rPr>
          <w:rFonts w:ascii="Times New Roman" w:hAnsi="Times New Roman"/>
        </w:rPr>
        <w:t xml:space="preserve">decrease in the total burden is largely a result of the decrease in total SNAP negative case selections from </w:t>
      </w:r>
      <w:r w:rsidRPr="00D842C7" w:rsidR="00D842C7">
        <w:rPr>
          <w:rFonts w:ascii="Times New Roman" w:hAnsi="Times New Roman"/>
        </w:rPr>
        <w:t xml:space="preserve">38,970 </w:t>
      </w:r>
      <w:r w:rsidRPr="007E0BFC">
        <w:rPr>
          <w:rFonts w:ascii="Times New Roman" w:hAnsi="Times New Roman"/>
        </w:rPr>
        <w:t xml:space="preserve">cases in FY </w:t>
      </w:r>
      <w:r w:rsidRPr="007E0BFC" w:rsidR="00D842C7">
        <w:rPr>
          <w:rFonts w:ascii="Times New Roman" w:hAnsi="Times New Roman"/>
        </w:rPr>
        <w:t>20</w:t>
      </w:r>
      <w:r w:rsidR="00D842C7">
        <w:rPr>
          <w:rFonts w:ascii="Times New Roman" w:hAnsi="Times New Roman"/>
        </w:rPr>
        <w:t>15</w:t>
      </w:r>
      <w:r w:rsidRPr="007E0BFC" w:rsidR="00D842C7">
        <w:rPr>
          <w:rFonts w:ascii="Times New Roman" w:hAnsi="Times New Roman"/>
        </w:rPr>
        <w:t xml:space="preserve"> </w:t>
      </w:r>
      <w:r w:rsidRPr="007E0BFC">
        <w:rPr>
          <w:rFonts w:ascii="Times New Roman" w:hAnsi="Times New Roman"/>
        </w:rPr>
        <w:t xml:space="preserve">to </w:t>
      </w:r>
      <w:r w:rsidR="00D842C7">
        <w:rPr>
          <w:rFonts w:ascii="Times New Roman" w:hAnsi="Times New Roman"/>
        </w:rPr>
        <w:t>35,446</w:t>
      </w:r>
      <w:r w:rsidRPr="007E0BFC">
        <w:rPr>
          <w:rFonts w:ascii="Times New Roman" w:hAnsi="Times New Roman"/>
        </w:rPr>
        <w:t xml:space="preserve"> cases in FY </w:t>
      </w:r>
      <w:r w:rsidRPr="007E0BFC" w:rsidR="00D842C7">
        <w:rPr>
          <w:rFonts w:ascii="Times New Roman" w:hAnsi="Times New Roman"/>
        </w:rPr>
        <w:t>201</w:t>
      </w:r>
      <w:r w:rsidR="00D842C7">
        <w:rPr>
          <w:rFonts w:ascii="Times New Roman" w:hAnsi="Times New Roman"/>
        </w:rPr>
        <w:t>9</w:t>
      </w:r>
      <w:r w:rsidRPr="007E0BFC">
        <w:rPr>
          <w:rFonts w:ascii="Times New Roman" w:hAnsi="Times New Roman"/>
        </w:rPr>
        <w:t>.</w:t>
      </w:r>
    </w:p>
    <w:p w:rsidRPr="007E0BFC" w:rsidR="000E40BA" w:rsidP="000E40BA" w:rsidRDefault="000E40BA" w14:paraId="6363D52F" w14:textId="77777777">
      <w:pPr>
        <w:pStyle w:val="BodyText2"/>
        <w:ind w:right="-180"/>
        <w:contextualSpacing/>
        <w:rPr>
          <w:rFonts w:ascii="Times New Roman" w:hAnsi="Times New Roman"/>
        </w:rPr>
      </w:pPr>
      <w:r>
        <w:rPr>
          <w:rFonts w:ascii="Times New Roman" w:hAnsi="Times New Roman"/>
        </w:rPr>
        <w:br/>
      </w:r>
      <w:r w:rsidRPr="007E0BFC">
        <w:rPr>
          <w:rFonts w:ascii="Times New Roman" w:hAnsi="Times New Roman"/>
        </w:rPr>
        <w:t xml:space="preserve">In addition, each of the 53 state agencies are required to maintain records of the Form </w:t>
      </w:r>
    </w:p>
    <w:p w:rsidRPr="007E0BFC" w:rsidR="000E40BA" w:rsidP="000E40BA" w:rsidRDefault="000E40BA" w14:paraId="07F65CFF" w14:textId="0E19D51A">
      <w:pPr>
        <w:pStyle w:val="BodyText2"/>
        <w:ind w:right="-180"/>
        <w:contextualSpacing/>
        <w:rPr>
          <w:rFonts w:ascii="Times New Roman" w:hAnsi="Times New Roman"/>
        </w:rPr>
      </w:pPr>
      <w:r w:rsidRPr="007E0BFC">
        <w:rPr>
          <w:rFonts w:ascii="Times New Roman" w:hAnsi="Times New Roman"/>
        </w:rPr>
        <w:lastRenderedPageBreak/>
        <w:t xml:space="preserve">FNS-245 for the recordkeeping requirement.  FNS estimates </w:t>
      </w:r>
      <w:r w:rsidR="00293EBD">
        <w:rPr>
          <w:rFonts w:ascii="Times New Roman" w:hAnsi="Times New Roman"/>
        </w:rPr>
        <w:t>668.79</w:t>
      </w:r>
      <w:r w:rsidRPr="007E0BFC">
        <w:rPr>
          <w:rFonts w:ascii="Times New Roman" w:hAnsi="Times New Roman"/>
        </w:rPr>
        <w:t xml:space="preserve"> total annual records will be maintained by </w:t>
      </w:r>
      <w:r>
        <w:rPr>
          <w:rFonts w:ascii="Times New Roman" w:hAnsi="Times New Roman"/>
        </w:rPr>
        <w:t xml:space="preserve">each </w:t>
      </w:r>
      <w:r w:rsidRPr="007E0BFC">
        <w:rPr>
          <w:rFonts w:ascii="Times New Roman" w:hAnsi="Times New Roman"/>
        </w:rPr>
        <w:t>state agenc</w:t>
      </w:r>
      <w:r>
        <w:rPr>
          <w:rFonts w:ascii="Times New Roman" w:hAnsi="Times New Roman"/>
        </w:rPr>
        <w:t>y</w:t>
      </w:r>
      <w:r w:rsidR="004E6ABB">
        <w:rPr>
          <w:rFonts w:ascii="Times New Roman" w:hAnsi="Times New Roman"/>
        </w:rPr>
        <w:t xml:space="preserve"> for a combined total annual records of </w:t>
      </w:r>
      <w:r w:rsidR="00D817E4">
        <w:rPr>
          <w:rFonts w:ascii="Times New Roman" w:hAnsi="Times New Roman"/>
        </w:rPr>
        <w:t>35</w:t>
      </w:r>
      <w:r w:rsidR="00293EBD">
        <w:rPr>
          <w:rFonts w:ascii="Times New Roman" w:hAnsi="Times New Roman"/>
        </w:rPr>
        <w:t>,446.00</w:t>
      </w:r>
      <w:r w:rsidRPr="007E0BFC">
        <w:rPr>
          <w:rFonts w:ascii="Times New Roman" w:hAnsi="Times New Roman"/>
        </w:rPr>
        <w:t xml:space="preserve">.  We estimate the burden is 0.0236 hours per record.  This record keeping burden totals approximately </w:t>
      </w:r>
      <w:r w:rsidR="00293EBD">
        <w:rPr>
          <w:rFonts w:ascii="Times New Roman" w:hAnsi="Times New Roman"/>
        </w:rPr>
        <w:t>836.5256</w:t>
      </w:r>
      <w:r>
        <w:rPr>
          <w:rFonts w:ascii="Times New Roman" w:hAnsi="Times New Roman"/>
        </w:rPr>
        <w:t xml:space="preserve"> </w:t>
      </w:r>
      <w:r w:rsidRPr="007E0BFC">
        <w:rPr>
          <w:rFonts w:ascii="Times New Roman" w:hAnsi="Times New Roman"/>
        </w:rPr>
        <w:t>hours per year</w:t>
      </w:r>
      <w:r w:rsidR="004E6ABB">
        <w:rPr>
          <w:rFonts w:ascii="Times New Roman" w:hAnsi="Times New Roman"/>
        </w:rPr>
        <w:t xml:space="preserve"> to maintain the records</w:t>
      </w:r>
      <w:r w:rsidRPr="007E0BFC">
        <w:rPr>
          <w:rFonts w:ascii="Times New Roman" w:hAnsi="Times New Roman"/>
        </w:rPr>
        <w:t>.</w:t>
      </w:r>
    </w:p>
    <w:p w:rsidRPr="007E0BFC" w:rsidR="000E40BA" w:rsidP="000E40BA" w:rsidRDefault="000E40BA" w14:paraId="115A4BDA" w14:textId="77777777">
      <w:pPr>
        <w:pStyle w:val="BodyText2"/>
        <w:ind w:right="-180"/>
        <w:contextualSpacing/>
        <w:rPr>
          <w:rFonts w:ascii="Times New Roman" w:hAnsi="Times New Roman"/>
        </w:rPr>
      </w:pPr>
    </w:p>
    <w:p w:rsidR="000E40BA" w:rsidP="000E40BA" w:rsidRDefault="000E40BA" w14:paraId="501C99ED" w14:textId="42706391">
      <w:pPr>
        <w:spacing w:line="480" w:lineRule="auto"/>
        <w:rPr>
          <w:rFonts w:ascii="Times New Roman" w:hAnsi="Times New Roman"/>
        </w:rPr>
      </w:pPr>
      <w:r w:rsidRPr="007E0BFC">
        <w:rPr>
          <w:rFonts w:ascii="Times New Roman" w:hAnsi="Times New Roman"/>
        </w:rPr>
        <w:t xml:space="preserve">We estimate the total annual reporting and recordkeeping burden for the FNS-245 to be </w:t>
      </w:r>
      <w:r w:rsidR="004E6ABB">
        <w:rPr>
          <w:rFonts w:ascii="Times New Roman" w:hAnsi="Times New Roman"/>
        </w:rPr>
        <w:t>115</w:t>
      </w:r>
      <w:r w:rsidR="00B54993">
        <w:rPr>
          <w:rFonts w:ascii="Times New Roman" w:hAnsi="Times New Roman"/>
        </w:rPr>
        <w:t>,</w:t>
      </w:r>
      <w:r w:rsidR="004E6ABB">
        <w:rPr>
          <w:rFonts w:ascii="Times New Roman" w:hAnsi="Times New Roman"/>
        </w:rPr>
        <w:t>514</w:t>
      </w:r>
      <w:r w:rsidR="00B54993">
        <w:rPr>
          <w:rFonts w:ascii="Times New Roman" w:hAnsi="Times New Roman"/>
        </w:rPr>
        <w:t>.</w:t>
      </w:r>
      <w:r w:rsidR="004E6ABB">
        <w:rPr>
          <w:rFonts w:ascii="Times New Roman" w:hAnsi="Times New Roman"/>
        </w:rPr>
        <w:t>39</w:t>
      </w:r>
      <w:r w:rsidRPr="007E0BFC" w:rsidR="004E6ABB">
        <w:rPr>
          <w:rFonts w:ascii="Times New Roman" w:hAnsi="Times New Roman"/>
        </w:rPr>
        <w:t xml:space="preserve"> </w:t>
      </w:r>
      <w:r w:rsidRPr="007E0BFC">
        <w:rPr>
          <w:rFonts w:ascii="Times New Roman" w:hAnsi="Times New Roman"/>
        </w:rPr>
        <w:t>hours.  The above burdens were arrived at by adding together the estimated reporting burden and the estimated recordkeeping burden.</w:t>
      </w:r>
    </w:p>
    <w:p w:rsidR="00B21E8C" w:rsidP="000E40BA" w:rsidRDefault="00B21E8C" w14:paraId="6CA87D6D" w14:textId="16E0B0F1">
      <w:pPr>
        <w:spacing w:line="480" w:lineRule="auto"/>
        <w:rPr>
          <w:rFonts w:ascii="Times New Roman" w:hAnsi="Times New Roman"/>
        </w:rPr>
      </w:pPr>
    </w:p>
    <w:p w:rsidR="00B21E8C" w:rsidP="000E40BA" w:rsidRDefault="00B21E8C" w14:paraId="44F0C838" w14:textId="77777777">
      <w:pPr>
        <w:spacing w:line="480" w:lineRule="auto"/>
        <w:rPr>
          <w:rFonts w:ascii="Times New Roman" w:hAnsi="Times New Roman"/>
        </w:rPr>
      </w:pPr>
    </w:p>
    <w:tbl>
      <w:tblPr>
        <w:tblW w:w="11235" w:type="dxa"/>
        <w:jc w:val="center"/>
        <w:tblLayout w:type="fixed"/>
        <w:tblLook w:val="04A0" w:firstRow="1" w:lastRow="0" w:firstColumn="1" w:lastColumn="0" w:noHBand="0" w:noVBand="1"/>
      </w:tblPr>
      <w:tblGrid>
        <w:gridCol w:w="1015"/>
        <w:gridCol w:w="1065"/>
        <w:gridCol w:w="1150"/>
        <w:gridCol w:w="1118"/>
        <w:gridCol w:w="1257"/>
        <w:gridCol w:w="1160"/>
        <w:gridCol w:w="122"/>
        <w:gridCol w:w="1108"/>
        <w:gridCol w:w="24"/>
        <w:gridCol w:w="1065"/>
        <w:gridCol w:w="136"/>
        <w:gridCol w:w="845"/>
        <w:gridCol w:w="98"/>
        <w:gridCol w:w="1072"/>
      </w:tblGrid>
      <w:tr w:rsidRPr="00981420" w:rsidR="00981420" w:rsidTr="00981420" w14:paraId="3D3FA091" w14:textId="77777777">
        <w:trPr>
          <w:trHeight w:val="261"/>
          <w:jc w:val="center"/>
        </w:trPr>
        <w:tc>
          <w:tcPr>
            <w:tcW w:w="11235" w:type="dxa"/>
            <w:gridSpan w:val="14"/>
            <w:tcBorders>
              <w:top w:val="single" w:color="auto" w:sz="8" w:space="0"/>
              <w:left w:val="single" w:color="auto" w:sz="12" w:space="0"/>
              <w:bottom w:val="single" w:color="auto" w:sz="8" w:space="0"/>
              <w:right w:val="single" w:color="000000" w:sz="12" w:space="0"/>
            </w:tcBorders>
            <w:shd w:val="clear" w:color="000000" w:fill="FFFF00"/>
            <w:vAlign w:val="center"/>
            <w:hideMark/>
          </w:tcPr>
          <w:p w:rsidRPr="00981420" w:rsidR="002679A7" w:rsidP="002679A7" w:rsidRDefault="002679A7" w14:paraId="56740DBB"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Reporting and Recordkeeping Burden for State Agencies FNS 245, OMB 0584-0034</w:t>
            </w:r>
          </w:p>
        </w:tc>
      </w:tr>
      <w:tr w:rsidRPr="00981420" w:rsidR="00981420" w:rsidTr="00981420" w14:paraId="079028ED" w14:textId="77777777">
        <w:trPr>
          <w:trHeight w:val="1037"/>
          <w:jc w:val="center"/>
        </w:trPr>
        <w:tc>
          <w:tcPr>
            <w:tcW w:w="1015" w:type="dxa"/>
            <w:tcBorders>
              <w:top w:val="nil"/>
              <w:left w:val="single" w:color="auto" w:sz="12" w:space="0"/>
              <w:bottom w:val="single" w:color="auto" w:sz="8" w:space="0"/>
              <w:right w:val="single" w:color="auto" w:sz="8" w:space="0"/>
            </w:tcBorders>
            <w:shd w:val="clear" w:color="auto" w:fill="auto"/>
            <w:vAlign w:val="center"/>
            <w:hideMark/>
          </w:tcPr>
          <w:p w:rsidRPr="00981420" w:rsidR="002679A7" w:rsidP="002679A7" w:rsidRDefault="002679A7" w14:paraId="4CFFA827"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Regulation</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06E2B2F8"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Description of Activity</w:t>
            </w:r>
          </w:p>
        </w:tc>
        <w:tc>
          <w:tcPr>
            <w:tcW w:w="1150"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41F87C8E"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Number of Respondents</w:t>
            </w:r>
          </w:p>
        </w:tc>
        <w:tc>
          <w:tcPr>
            <w:tcW w:w="1118"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74CF30B8"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Estimated Frequency Number of Negative Sample Cases Per Respondent</w:t>
            </w:r>
          </w:p>
        </w:tc>
        <w:tc>
          <w:tcPr>
            <w:tcW w:w="1257"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4B8CFA94"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Estimated Total Annual Number of Negative Sample Cases Per Annum</w:t>
            </w:r>
          </w:p>
        </w:tc>
        <w:tc>
          <w:tcPr>
            <w:tcW w:w="1160"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7A75E3CB"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Estimated Annual Reporting Hours Per Respondents</w:t>
            </w:r>
          </w:p>
        </w:tc>
        <w:tc>
          <w:tcPr>
            <w:tcW w:w="1230"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17B0CF65"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Estimated Total Annual Burden Hours</w:t>
            </w:r>
          </w:p>
        </w:tc>
        <w:tc>
          <w:tcPr>
            <w:tcW w:w="1225" w:type="dxa"/>
            <w:gridSpan w:val="3"/>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751117DA"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Previous Submission Total Hours</w:t>
            </w:r>
          </w:p>
        </w:tc>
        <w:tc>
          <w:tcPr>
            <w:tcW w:w="943"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2BCCEEF2"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Difference Due to Program Changes</w:t>
            </w:r>
          </w:p>
        </w:tc>
        <w:tc>
          <w:tcPr>
            <w:tcW w:w="1072" w:type="dxa"/>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6FF7915A"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 xml:space="preserve">Difference Due to </w:t>
            </w:r>
            <w:bookmarkStart w:name="_GoBack" w:id="27"/>
            <w:r w:rsidRPr="00981420">
              <w:rPr>
                <w:rFonts w:ascii="Times New Roman" w:hAnsi="Times New Roman"/>
                <w:b/>
                <w:bCs/>
                <w:sz w:val="14"/>
                <w:szCs w:val="14"/>
              </w:rPr>
              <w:t>Adjustments</w:t>
            </w:r>
            <w:bookmarkEnd w:id="27"/>
          </w:p>
        </w:tc>
      </w:tr>
      <w:tr w:rsidRPr="00981420" w:rsidR="00981420" w:rsidTr="00981420" w14:paraId="5C009F9F" w14:textId="77777777">
        <w:trPr>
          <w:trHeight w:val="440"/>
          <w:jc w:val="center"/>
        </w:trPr>
        <w:tc>
          <w:tcPr>
            <w:tcW w:w="11235" w:type="dxa"/>
            <w:gridSpan w:val="14"/>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981420" w:rsidR="002679A7" w:rsidP="002679A7" w:rsidRDefault="002679A7" w14:paraId="407ED00F" w14:textId="77777777">
            <w:pPr>
              <w:widowControl/>
              <w:overflowPunct/>
              <w:autoSpaceDE/>
              <w:autoSpaceDN/>
              <w:adjustRightInd/>
              <w:jc w:val="center"/>
              <w:textAlignment w:val="auto"/>
              <w:rPr>
                <w:rFonts w:ascii="Times New Roman" w:hAnsi="Times New Roman"/>
                <w:b/>
                <w:bCs/>
                <w:sz w:val="16"/>
                <w:szCs w:val="16"/>
                <w:u w:val="single"/>
              </w:rPr>
            </w:pPr>
            <w:r w:rsidRPr="00981420">
              <w:rPr>
                <w:rFonts w:ascii="Times New Roman" w:hAnsi="Times New Roman"/>
                <w:b/>
                <w:bCs/>
                <w:sz w:val="16"/>
                <w:szCs w:val="16"/>
                <w:u w:val="single"/>
              </w:rPr>
              <w:t>Reporting Burden</w:t>
            </w:r>
          </w:p>
        </w:tc>
      </w:tr>
      <w:tr w:rsidRPr="00981420" w:rsidR="00981420" w:rsidTr="00981420" w14:paraId="29866F6E" w14:textId="77777777">
        <w:trPr>
          <w:trHeight w:val="318"/>
          <w:jc w:val="center"/>
        </w:trPr>
        <w:tc>
          <w:tcPr>
            <w:tcW w:w="1015" w:type="dxa"/>
            <w:tcBorders>
              <w:top w:val="nil"/>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1EF87E3D"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275.13 (b)</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3E0FBE15" w14:textId="77777777">
            <w:pPr>
              <w:widowControl/>
              <w:overflowPunct/>
              <w:autoSpaceDE/>
              <w:autoSpaceDN/>
              <w:adjustRightInd/>
              <w:textAlignment w:val="auto"/>
              <w:rPr>
                <w:rFonts w:ascii="Times New Roman" w:hAnsi="Times New Roman"/>
                <w:sz w:val="16"/>
                <w:szCs w:val="16"/>
              </w:rPr>
            </w:pPr>
            <w:r w:rsidRPr="00981420">
              <w:rPr>
                <w:rFonts w:ascii="Times New Roman" w:hAnsi="Times New Roman"/>
                <w:sz w:val="16"/>
                <w:szCs w:val="16"/>
              </w:rPr>
              <w:t>Household Case Record Review</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7CFBEFE3"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w:t>
            </w:r>
          </w:p>
        </w:tc>
        <w:tc>
          <w:tcPr>
            <w:tcW w:w="1118"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82EC382"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668.79</w:t>
            </w:r>
          </w:p>
        </w:tc>
        <w:tc>
          <w:tcPr>
            <w:tcW w:w="1257"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50F4FBB"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35,446.00</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17729C4B"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1.50</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22E2972E"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53,169.00</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69CE8072"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32229338"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7376A435"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r>
      <w:tr w:rsidRPr="00981420" w:rsidR="00981420" w:rsidTr="00981420" w14:paraId="6009C534" w14:textId="77777777">
        <w:trPr>
          <w:trHeight w:val="180"/>
          <w:jc w:val="center"/>
        </w:trPr>
        <w:tc>
          <w:tcPr>
            <w:tcW w:w="1015" w:type="dxa"/>
            <w:tcBorders>
              <w:top w:val="nil"/>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256D9146"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275.13 (c)</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776AFAC0" w14:textId="77777777">
            <w:pPr>
              <w:widowControl/>
              <w:overflowPunct/>
              <w:autoSpaceDE/>
              <w:autoSpaceDN/>
              <w:adjustRightInd/>
              <w:textAlignment w:val="auto"/>
              <w:rPr>
                <w:rFonts w:ascii="Times New Roman" w:hAnsi="Times New Roman"/>
                <w:sz w:val="16"/>
                <w:szCs w:val="16"/>
              </w:rPr>
            </w:pPr>
            <w:r w:rsidRPr="00981420">
              <w:rPr>
                <w:rFonts w:ascii="Times New Roman" w:hAnsi="Times New Roman"/>
                <w:sz w:val="16"/>
                <w:szCs w:val="16"/>
              </w:rPr>
              <w:t>Error analysis</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5E228D29"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w:t>
            </w:r>
          </w:p>
        </w:tc>
        <w:tc>
          <w:tcPr>
            <w:tcW w:w="1118"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E8E5002"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668.79</w:t>
            </w:r>
          </w:p>
        </w:tc>
        <w:tc>
          <w:tcPr>
            <w:tcW w:w="1257"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4A04F11"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35,446.00</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75062034"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1.15</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070E73B7"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40,762.90</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5079DAAB"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6DC6ABE2"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79BCEE2A"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r>
      <w:tr w:rsidRPr="00981420" w:rsidR="00981420" w:rsidTr="00981420" w14:paraId="54205E92" w14:textId="77777777">
        <w:trPr>
          <w:trHeight w:val="318"/>
          <w:jc w:val="center"/>
        </w:trPr>
        <w:tc>
          <w:tcPr>
            <w:tcW w:w="1015" w:type="dxa"/>
            <w:tcBorders>
              <w:top w:val="nil"/>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71DF5725"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275.13 (d)</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201F1EEE" w14:textId="77777777">
            <w:pPr>
              <w:widowControl/>
              <w:overflowPunct/>
              <w:autoSpaceDE/>
              <w:autoSpaceDN/>
              <w:adjustRightInd/>
              <w:textAlignment w:val="auto"/>
              <w:rPr>
                <w:rFonts w:ascii="Times New Roman" w:hAnsi="Times New Roman"/>
                <w:sz w:val="16"/>
                <w:szCs w:val="16"/>
              </w:rPr>
            </w:pPr>
            <w:r w:rsidRPr="00981420">
              <w:rPr>
                <w:rFonts w:ascii="Times New Roman" w:hAnsi="Times New Roman"/>
                <w:sz w:val="16"/>
                <w:szCs w:val="16"/>
              </w:rPr>
              <w:t>Reporting of review findings</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4F246EF"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w:t>
            </w:r>
          </w:p>
        </w:tc>
        <w:tc>
          <w:tcPr>
            <w:tcW w:w="1118"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3D981AB0"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668.79</w:t>
            </w:r>
          </w:p>
        </w:tc>
        <w:tc>
          <w:tcPr>
            <w:tcW w:w="1257"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0F449FF1"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35,446.00</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56B89766"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0.25</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0294FC66"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8,861.50</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28A38E74"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259CB0DE"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0739EC06"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r>
      <w:tr w:rsidRPr="00981420" w:rsidR="00981420" w:rsidTr="00981420" w14:paraId="32F6B963" w14:textId="77777777">
        <w:trPr>
          <w:trHeight w:val="318"/>
          <w:jc w:val="center"/>
        </w:trPr>
        <w:tc>
          <w:tcPr>
            <w:tcW w:w="1015" w:type="dxa"/>
            <w:tcBorders>
              <w:top w:val="nil"/>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78D8F04F"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275.13 (e)</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35880EC5" w14:textId="77777777">
            <w:pPr>
              <w:widowControl/>
              <w:overflowPunct/>
              <w:autoSpaceDE/>
              <w:autoSpaceDN/>
              <w:adjustRightInd/>
              <w:textAlignment w:val="auto"/>
              <w:rPr>
                <w:rFonts w:ascii="Times New Roman" w:hAnsi="Times New Roman"/>
                <w:sz w:val="16"/>
                <w:szCs w:val="16"/>
              </w:rPr>
            </w:pPr>
            <w:r w:rsidRPr="00981420">
              <w:rPr>
                <w:rFonts w:ascii="Times New Roman" w:hAnsi="Times New Roman"/>
                <w:sz w:val="16"/>
                <w:szCs w:val="16"/>
              </w:rPr>
              <w:t xml:space="preserve">Disposition of case review </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3FAB7003"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w:t>
            </w:r>
          </w:p>
        </w:tc>
        <w:tc>
          <w:tcPr>
            <w:tcW w:w="1118"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2EF4F1C4"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668.79</w:t>
            </w:r>
          </w:p>
        </w:tc>
        <w:tc>
          <w:tcPr>
            <w:tcW w:w="1257"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05EBBB68"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35,446.00</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3F813808"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0.25</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5B4F6E09"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8,861.50</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113D3506"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7427F447"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3BD34479"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r>
      <w:tr w:rsidRPr="00981420" w:rsidR="00981420" w:rsidTr="00981420" w14:paraId="1FE259D8" w14:textId="77777777">
        <w:trPr>
          <w:trHeight w:val="180"/>
          <w:jc w:val="center"/>
        </w:trPr>
        <w:tc>
          <w:tcPr>
            <w:tcW w:w="4348" w:type="dxa"/>
            <w:gridSpan w:val="4"/>
            <w:tcBorders>
              <w:top w:val="single" w:color="auto" w:sz="8" w:space="0"/>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3E32E63A" w14:textId="77777777">
            <w:pPr>
              <w:widowControl/>
              <w:overflowPunct/>
              <w:autoSpaceDE/>
              <w:autoSpaceDN/>
              <w:adjustRightInd/>
              <w:textAlignment w:val="auto"/>
              <w:rPr>
                <w:rFonts w:ascii="Times New Roman" w:hAnsi="Times New Roman"/>
                <w:b/>
                <w:bCs/>
                <w:sz w:val="16"/>
                <w:szCs w:val="16"/>
              </w:rPr>
            </w:pPr>
            <w:r w:rsidRPr="00981420">
              <w:rPr>
                <w:rFonts w:ascii="Times New Roman" w:hAnsi="Times New Roman"/>
                <w:b/>
                <w:bCs/>
                <w:sz w:val="16"/>
                <w:szCs w:val="16"/>
              </w:rPr>
              <w:t>Total Reporting Burden</w:t>
            </w:r>
          </w:p>
        </w:tc>
        <w:tc>
          <w:tcPr>
            <w:tcW w:w="1257"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41B7220D" w14:textId="77777777">
            <w:pPr>
              <w:widowControl/>
              <w:overflowPunct/>
              <w:autoSpaceDE/>
              <w:autoSpaceDN/>
              <w:adjustRightInd/>
              <w:textAlignment w:val="auto"/>
              <w:rPr>
                <w:rFonts w:ascii="Times New Roman" w:hAnsi="Times New Roman"/>
                <w:b/>
                <w:bCs/>
                <w:sz w:val="16"/>
                <w:szCs w:val="16"/>
              </w:rPr>
            </w:pPr>
            <w:r w:rsidRPr="00981420">
              <w:rPr>
                <w:rFonts w:ascii="Times New Roman" w:hAnsi="Times New Roman"/>
                <w:b/>
                <w:bCs/>
                <w:sz w:val="16"/>
                <w:szCs w:val="16"/>
              </w:rPr>
              <w:t> </w:t>
            </w:r>
          </w:p>
        </w:tc>
        <w:tc>
          <w:tcPr>
            <w:tcW w:w="1282" w:type="dxa"/>
            <w:gridSpan w:val="2"/>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29A2248A"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3.15</w:t>
            </w:r>
          </w:p>
        </w:tc>
        <w:tc>
          <w:tcPr>
            <w:tcW w:w="1132" w:type="dxa"/>
            <w:gridSpan w:val="2"/>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4C60977A"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111,654.90</w:t>
            </w:r>
          </w:p>
        </w:tc>
        <w:tc>
          <w:tcPr>
            <w:tcW w:w="1065" w:type="dxa"/>
            <w:tcBorders>
              <w:top w:val="nil"/>
              <w:left w:val="nil"/>
              <w:bottom w:val="single" w:color="auto" w:sz="8" w:space="0"/>
              <w:right w:val="single" w:color="auto" w:sz="8" w:space="0"/>
            </w:tcBorders>
            <w:shd w:val="clear" w:color="000000" w:fill="DDEBF7"/>
            <w:noWrap/>
            <w:vAlign w:val="center"/>
            <w:hideMark/>
          </w:tcPr>
          <w:p w:rsidRPr="00981420" w:rsidR="002679A7" w:rsidP="002679A7" w:rsidRDefault="002679A7" w14:paraId="309FF8E4"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114,594.71</w:t>
            </w:r>
          </w:p>
        </w:tc>
        <w:tc>
          <w:tcPr>
            <w:tcW w:w="981" w:type="dxa"/>
            <w:gridSpan w:val="2"/>
            <w:tcBorders>
              <w:top w:val="nil"/>
              <w:left w:val="nil"/>
              <w:bottom w:val="single" w:color="auto" w:sz="8" w:space="0"/>
              <w:right w:val="single" w:color="auto" w:sz="8" w:space="0"/>
            </w:tcBorders>
            <w:shd w:val="clear" w:color="000000" w:fill="DDEBF7"/>
            <w:noWrap/>
            <w:vAlign w:val="center"/>
            <w:hideMark/>
          </w:tcPr>
          <w:p w:rsidRPr="00981420" w:rsidR="002679A7" w:rsidP="002679A7" w:rsidRDefault="002679A7" w14:paraId="041C06F1" w14:textId="77777777">
            <w:pPr>
              <w:widowControl/>
              <w:overflowPunct/>
              <w:autoSpaceDE/>
              <w:autoSpaceDN/>
              <w:adjustRightInd/>
              <w:textAlignment w:val="auto"/>
              <w:rPr>
                <w:rFonts w:ascii="Times New Roman" w:hAnsi="Times New Roman"/>
                <w:b/>
                <w:bCs/>
                <w:sz w:val="16"/>
                <w:szCs w:val="16"/>
              </w:rPr>
            </w:pPr>
            <w:r w:rsidRPr="00981420">
              <w:rPr>
                <w:rFonts w:ascii="Times New Roman" w:hAnsi="Times New Roman"/>
                <w:b/>
                <w:bCs/>
                <w:sz w:val="16"/>
                <w:szCs w:val="16"/>
              </w:rPr>
              <w:t> </w:t>
            </w:r>
          </w:p>
        </w:tc>
        <w:tc>
          <w:tcPr>
            <w:tcW w:w="1170" w:type="dxa"/>
            <w:gridSpan w:val="2"/>
            <w:tcBorders>
              <w:top w:val="nil"/>
              <w:left w:val="nil"/>
              <w:bottom w:val="single" w:color="auto" w:sz="8" w:space="0"/>
              <w:right w:val="single" w:color="auto" w:sz="12" w:space="0"/>
            </w:tcBorders>
            <w:shd w:val="clear" w:color="000000" w:fill="DDEBF7"/>
            <w:noWrap/>
            <w:vAlign w:val="center"/>
            <w:hideMark/>
          </w:tcPr>
          <w:p w:rsidRPr="00981420" w:rsidR="002679A7" w:rsidP="002679A7" w:rsidRDefault="002679A7" w14:paraId="4243034C"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-2,939.81</w:t>
            </w:r>
          </w:p>
        </w:tc>
      </w:tr>
      <w:tr w:rsidRPr="00981420" w:rsidR="00981420" w:rsidTr="00981420" w14:paraId="3B7C8A4C" w14:textId="77777777">
        <w:trPr>
          <w:trHeight w:val="180"/>
          <w:jc w:val="center"/>
        </w:trPr>
        <w:tc>
          <w:tcPr>
            <w:tcW w:w="11235" w:type="dxa"/>
            <w:gridSpan w:val="14"/>
            <w:tcBorders>
              <w:top w:val="single" w:color="auto" w:sz="8" w:space="0"/>
              <w:left w:val="single" w:color="auto" w:sz="12" w:space="0"/>
              <w:bottom w:val="single" w:color="auto" w:sz="8" w:space="0"/>
              <w:right w:val="single" w:color="000000" w:sz="12" w:space="0"/>
            </w:tcBorders>
            <w:shd w:val="clear" w:color="auto" w:fill="auto"/>
            <w:noWrap/>
            <w:vAlign w:val="center"/>
            <w:hideMark/>
          </w:tcPr>
          <w:p w:rsidRPr="00981420" w:rsidR="002679A7" w:rsidP="002679A7" w:rsidRDefault="002679A7" w14:paraId="499D8823" w14:textId="77777777">
            <w:pPr>
              <w:widowControl/>
              <w:overflowPunct/>
              <w:autoSpaceDE/>
              <w:autoSpaceDN/>
              <w:adjustRightInd/>
              <w:jc w:val="center"/>
              <w:textAlignment w:val="auto"/>
              <w:rPr>
                <w:rFonts w:ascii="Times New Roman" w:hAnsi="Times New Roman"/>
                <w:b/>
                <w:bCs/>
                <w:sz w:val="16"/>
                <w:szCs w:val="16"/>
                <w:u w:val="single"/>
              </w:rPr>
            </w:pPr>
            <w:r w:rsidRPr="00981420">
              <w:rPr>
                <w:rFonts w:ascii="Times New Roman" w:hAnsi="Times New Roman"/>
                <w:b/>
                <w:bCs/>
                <w:sz w:val="16"/>
                <w:szCs w:val="16"/>
                <w:u w:val="single"/>
              </w:rPr>
              <w:t>Recordkeeping Burden</w:t>
            </w:r>
          </w:p>
        </w:tc>
      </w:tr>
      <w:tr w:rsidRPr="00981420" w:rsidR="00981420" w:rsidTr="00981420" w14:paraId="2D3ADD1F" w14:textId="77777777">
        <w:trPr>
          <w:trHeight w:val="180"/>
          <w:jc w:val="center"/>
        </w:trPr>
        <w:tc>
          <w:tcPr>
            <w:tcW w:w="1015" w:type="dxa"/>
            <w:tcBorders>
              <w:top w:val="nil"/>
              <w:left w:val="single" w:color="auto" w:sz="12" w:space="0"/>
              <w:bottom w:val="single" w:color="auto" w:sz="8" w:space="0"/>
              <w:right w:val="single" w:color="auto" w:sz="8" w:space="0"/>
            </w:tcBorders>
            <w:shd w:val="clear" w:color="auto" w:fill="auto"/>
            <w:noWrap/>
            <w:vAlign w:val="center"/>
            <w:hideMark/>
          </w:tcPr>
          <w:p w:rsidRPr="00981420" w:rsidR="002679A7" w:rsidP="002679A7" w:rsidRDefault="002679A7" w14:paraId="33D24872"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275.4</w:t>
            </w:r>
          </w:p>
        </w:tc>
        <w:tc>
          <w:tcPr>
            <w:tcW w:w="1065"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25321827"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Record Retention</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0DD568BD"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53</w:t>
            </w:r>
          </w:p>
        </w:tc>
        <w:tc>
          <w:tcPr>
            <w:tcW w:w="1118" w:type="dxa"/>
            <w:tcBorders>
              <w:top w:val="nil"/>
              <w:left w:val="nil"/>
              <w:bottom w:val="nil"/>
              <w:right w:val="nil"/>
            </w:tcBorders>
            <w:shd w:val="clear" w:color="auto" w:fill="auto"/>
            <w:noWrap/>
            <w:vAlign w:val="center"/>
            <w:hideMark/>
          </w:tcPr>
          <w:p w:rsidRPr="00981420" w:rsidR="002679A7" w:rsidP="002679A7" w:rsidRDefault="002679A7" w14:paraId="4F1FC299"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668.7924528</w:t>
            </w:r>
          </w:p>
        </w:tc>
        <w:tc>
          <w:tcPr>
            <w:tcW w:w="1257" w:type="dxa"/>
            <w:tcBorders>
              <w:top w:val="nil"/>
              <w:left w:val="single" w:color="auto" w:sz="8" w:space="0"/>
              <w:bottom w:val="single" w:color="auto" w:sz="8" w:space="0"/>
              <w:right w:val="single" w:color="auto" w:sz="8" w:space="0"/>
            </w:tcBorders>
            <w:shd w:val="clear" w:color="auto" w:fill="auto"/>
            <w:noWrap/>
            <w:vAlign w:val="center"/>
            <w:hideMark/>
          </w:tcPr>
          <w:p w:rsidRPr="00981420" w:rsidR="002679A7" w:rsidP="002679A7" w:rsidRDefault="002679A7" w14:paraId="10793A4E"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35,446.00</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15BE8A32"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0.0236</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49C85B0F"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836.5256</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265A1F73"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919.688</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6A753FD0"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2F1E01E1" w14:textId="77777777">
            <w:pPr>
              <w:widowControl/>
              <w:overflowPunct/>
              <w:autoSpaceDE/>
              <w:autoSpaceDN/>
              <w:adjustRightInd/>
              <w:jc w:val="right"/>
              <w:textAlignment w:val="auto"/>
              <w:rPr>
                <w:rFonts w:ascii="Times New Roman" w:hAnsi="Times New Roman"/>
                <w:sz w:val="16"/>
                <w:szCs w:val="16"/>
              </w:rPr>
            </w:pPr>
            <w:r w:rsidRPr="00981420">
              <w:rPr>
                <w:rFonts w:ascii="Times New Roman" w:hAnsi="Times New Roman"/>
                <w:sz w:val="16"/>
                <w:szCs w:val="16"/>
              </w:rPr>
              <w:t>-83.1624</w:t>
            </w:r>
          </w:p>
        </w:tc>
      </w:tr>
      <w:tr w:rsidRPr="00981420" w:rsidR="00981420" w:rsidTr="00981420" w14:paraId="206F5EDA" w14:textId="77777777">
        <w:trPr>
          <w:trHeight w:val="180"/>
          <w:jc w:val="center"/>
        </w:trPr>
        <w:tc>
          <w:tcPr>
            <w:tcW w:w="2080" w:type="dxa"/>
            <w:gridSpan w:val="2"/>
            <w:tcBorders>
              <w:top w:val="single" w:color="auto" w:sz="8" w:space="0"/>
              <w:left w:val="single" w:color="auto" w:sz="12" w:space="0"/>
              <w:bottom w:val="single" w:color="auto" w:sz="8" w:space="0"/>
              <w:right w:val="single" w:color="000000" w:sz="8" w:space="0"/>
            </w:tcBorders>
            <w:shd w:val="clear" w:color="auto" w:fill="auto"/>
            <w:noWrap/>
            <w:vAlign w:val="center"/>
            <w:hideMark/>
          </w:tcPr>
          <w:p w:rsidRPr="00981420" w:rsidR="002679A7" w:rsidP="002679A7" w:rsidRDefault="002679A7" w14:paraId="4641B392"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Total Recordkeeping Burden</w:t>
            </w:r>
          </w:p>
        </w:tc>
        <w:tc>
          <w:tcPr>
            <w:tcW w:w="1150" w:type="dxa"/>
            <w:tcBorders>
              <w:top w:val="nil"/>
              <w:left w:val="nil"/>
              <w:bottom w:val="single" w:color="auto" w:sz="8" w:space="0"/>
              <w:right w:val="single" w:color="auto" w:sz="8" w:space="0"/>
            </w:tcBorders>
            <w:shd w:val="clear" w:color="auto" w:fill="auto"/>
            <w:noWrap/>
            <w:vAlign w:val="center"/>
            <w:hideMark/>
          </w:tcPr>
          <w:p w:rsidRPr="00981420" w:rsidR="002679A7" w:rsidP="002679A7" w:rsidRDefault="002679A7" w14:paraId="6192C28D"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18" w:type="dxa"/>
            <w:tcBorders>
              <w:top w:val="single" w:color="auto" w:sz="8" w:space="0"/>
              <w:left w:val="nil"/>
              <w:bottom w:val="single" w:color="auto" w:sz="8" w:space="0"/>
              <w:right w:val="single" w:color="auto" w:sz="8" w:space="0"/>
            </w:tcBorders>
            <w:shd w:val="clear" w:color="auto" w:fill="auto"/>
            <w:vAlign w:val="center"/>
            <w:hideMark/>
          </w:tcPr>
          <w:p w:rsidRPr="00981420" w:rsidR="002679A7" w:rsidP="002679A7" w:rsidRDefault="002679A7" w14:paraId="563E853F"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257" w:type="dxa"/>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378A9C8D"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28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5BA49ED1"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32" w:type="dxa"/>
            <w:gridSpan w:val="2"/>
            <w:tcBorders>
              <w:top w:val="nil"/>
              <w:left w:val="nil"/>
              <w:bottom w:val="single" w:color="auto" w:sz="8" w:space="0"/>
              <w:right w:val="single" w:color="auto" w:sz="8" w:space="0"/>
            </w:tcBorders>
            <w:shd w:val="clear" w:color="auto" w:fill="auto"/>
            <w:vAlign w:val="center"/>
            <w:hideMark/>
          </w:tcPr>
          <w:p w:rsidRPr="00981420" w:rsidR="002679A7" w:rsidP="002679A7" w:rsidRDefault="002679A7" w14:paraId="556DB0B6"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065" w:type="dxa"/>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6C210876"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981" w:type="dxa"/>
            <w:gridSpan w:val="2"/>
            <w:tcBorders>
              <w:top w:val="nil"/>
              <w:left w:val="nil"/>
              <w:bottom w:val="single" w:color="auto" w:sz="8" w:space="0"/>
              <w:right w:val="single" w:color="auto" w:sz="8" w:space="0"/>
            </w:tcBorders>
            <w:shd w:val="clear" w:color="000000" w:fill="DDEBF7"/>
            <w:vAlign w:val="center"/>
            <w:hideMark/>
          </w:tcPr>
          <w:p w:rsidRPr="00981420" w:rsidR="002679A7" w:rsidP="002679A7" w:rsidRDefault="002679A7" w14:paraId="4A4E889C"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c>
          <w:tcPr>
            <w:tcW w:w="1170" w:type="dxa"/>
            <w:gridSpan w:val="2"/>
            <w:tcBorders>
              <w:top w:val="nil"/>
              <w:left w:val="nil"/>
              <w:bottom w:val="single" w:color="auto" w:sz="8" w:space="0"/>
              <w:right w:val="single" w:color="auto" w:sz="12" w:space="0"/>
            </w:tcBorders>
            <w:shd w:val="clear" w:color="000000" w:fill="DDEBF7"/>
            <w:vAlign w:val="center"/>
            <w:hideMark/>
          </w:tcPr>
          <w:p w:rsidRPr="00981420" w:rsidR="002679A7" w:rsidP="002679A7" w:rsidRDefault="002679A7" w14:paraId="41DB9852" w14:textId="77777777">
            <w:pPr>
              <w:widowControl/>
              <w:overflowPunct/>
              <w:autoSpaceDE/>
              <w:autoSpaceDN/>
              <w:adjustRightInd/>
              <w:jc w:val="center"/>
              <w:textAlignment w:val="auto"/>
              <w:rPr>
                <w:rFonts w:ascii="Times New Roman" w:hAnsi="Times New Roman"/>
                <w:sz w:val="16"/>
                <w:szCs w:val="16"/>
              </w:rPr>
            </w:pPr>
            <w:r w:rsidRPr="00981420">
              <w:rPr>
                <w:rFonts w:ascii="Times New Roman" w:hAnsi="Times New Roman"/>
                <w:sz w:val="16"/>
                <w:szCs w:val="16"/>
              </w:rPr>
              <w:t> </w:t>
            </w:r>
          </w:p>
        </w:tc>
      </w:tr>
      <w:tr w:rsidRPr="00981420" w:rsidR="00981420" w:rsidTr="00981420" w14:paraId="7281A622" w14:textId="77777777">
        <w:trPr>
          <w:trHeight w:val="835"/>
          <w:jc w:val="center"/>
        </w:trPr>
        <w:tc>
          <w:tcPr>
            <w:tcW w:w="2080" w:type="dxa"/>
            <w:gridSpan w:val="2"/>
            <w:tcBorders>
              <w:top w:val="single" w:color="auto" w:sz="8" w:space="0"/>
              <w:left w:val="single" w:color="auto" w:sz="12" w:space="0"/>
              <w:bottom w:val="single" w:color="auto" w:sz="12" w:space="0"/>
              <w:right w:val="single" w:color="000000" w:sz="8" w:space="0"/>
            </w:tcBorders>
            <w:shd w:val="clear" w:color="auto" w:fill="auto"/>
            <w:vAlign w:val="center"/>
            <w:hideMark/>
          </w:tcPr>
          <w:p w:rsidRPr="00981420" w:rsidR="002679A7" w:rsidP="002679A7" w:rsidRDefault="002679A7" w14:paraId="6B969B99" w14:textId="77777777">
            <w:pPr>
              <w:widowControl/>
              <w:overflowPunct/>
              <w:autoSpaceDE/>
              <w:autoSpaceDN/>
              <w:adjustRightInd/>
              <w:jc w:val="center"/>
              <w:textAlignment w:val="auto"/>
              <w:rPr>
                <w:rFonts w:ascii="Times New Roman" w:hAnsi="Times New Roman"/>
                <w:b/>
                <w:bCs/>
                <w:sz w:val="16"/>
                <w:szCs w:val="16"/>
              </w:rPr>
            </w:pPr>
            <w:r w:rsidRPr="00981420">
              <w:rPr>
                <w:rFonts w:ascii="Times New Roman" w:hAnsi="Times New Roman"/>
                <w:b/>
                <w:bCs/>
                <w:sz w:val="16"/>
                <w:szCs w:val="16"/>
              </w:rPr>
              <w:t xml:space="preserve">Total Reporting and Recordkeeping Burden </w:t>
            </w:r>
          </w:p>
        </w:tc>
        <w:tc>
          <w:tcPr>
            <w:tcW w:w="1150" w:type="dxa"/>
            <w:tcBorders>
              <w:top w:val="nil"/>
              <w:left w:val="nil"/>
              <w:bottom w:val="single" w:color="auto" w:sz="12" w:space="0"/>
              <w:right w:val="single" w:color="auto" w:sz="8" w:space="0"/>
            </w:tcBorders>
            <w:shd w:val="clear" w:color="auto" w:fill="auto"/>
            <w:vAlign w:val="center"/>
            <w:hideMark/>
          </w:tcPr>
          <w:p w:rsidRPr="00981420" w:rsidR="002679A7" w:rsidP="002679A7" w:rsidRDefault="002679A7" w14:paraId="0BDC2496"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53</w:t>
            </w:r>
          </w:p>
        </w:tc>
        <w:tc>
          <w:tcPr>
            <w:tcW w:w="1118" w:type="dxa"/>
            <w:tcBorders>
              <w:top w:val="nil"/>
              <w:left w:val="nil"/>
              <w:bottom w:val="single" w:color="auto" w:sz="12" w:space="0"/>
              <w:right w:val="single" w:color="auto" w:sz="8" w:space="0"/>
            </w:tcBorders>
            <w:shd w:val="clear" w:color="auto" w:fill="auto"/>
            <w:vAlign w:val="center"/>
            <w:hideMark/>
          </w:tcPr>
          <w:p w:rsidRPr="00981420" w:rsidR="002679A7" w:rsidP="002679A7" w:rsidRDefault="00290D91" w14:paraId="17744677" w14:textId="24F20DA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3343.962264</w:t>
            </w:r>
          </w:p>
        </w:tc>
        <w:tc>
          <w:tcPr>
            <w:tcW w:w="1257" w:type="dxa"/>
            <w:tcBorders>
              <w:top w:val="nil"/>
              <w:left w:val="nil"/>
              <w:bottom w:val="single" w:color="auto" w:sz="12" w:space="0"/>
              <w:right w:val="single" w:color="auto" w:sz="8" w:space="0"/>
            </w:tcBorders>
            <w:shd w:val="clear" w:color="auto" w:fill="auto"/>
            <w:vAlign w:val="center"/>
            <w:hideMark/>
          </w:tcPr>
          <w:p w:rsidRPr="00981420" w:rsidR="002679A7" w:rsidP="002679A7" w:rsidRDefault="002679A7" w14:paraId="62C01101"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177,230.00</w:t>
            </w:r>
          </w:p>
        </w:tc>
        <w:tc>
          <w:tcPr>
            <w:tcW w:w="1282" w:type="dxa"/>
            <w:gridSpan w:val="2"/>
            <w:tcBorders>
              <w:top w:val="nil"/>
              <w:left w:val="nil"/>
              <w:bottom w:val="single" w:color="auto" w:sz="12" w:space="0"/>
              <w:right w:val="single" w:color="auto" w:sz="8" w:space="0"/>
            </w:tcBorders>
            <w:shd w:val="clear" w:color="auto" w:fill="auto"/>
            <w:vAlign w:val="center"/>
            <w:hideMark/>
          </w:tcPr>
          <w:p w:rsidRPr="00981420" w:rsidR="002679A7" w:rsidP="002679A7" w:rsidRDefault="00C6635D" w14:paraId="7D594207" w14:textId="2A8558CE">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0.63472</w:t>
            </w:r>
          </w:p>
        </w:tc>
        <w:tc>
          <w:tcPr>
            <w:tcW w:w="1132" w:type="dxa"/>
            <w:gridSpan w:val="2"/>
            <w:tcBorders>
              <w:top w:val="nil"/>
              <w:left w:val="nil"/>
              <w:bottom w:val="single" w:color="auto" w:sz="12" w:space="0"/>
              <w:right w:val="single" w:color="auto" w:sz="8" w:space="0"/>
            </w:tcBorders>
            <w:shd w:val="clear" w:color="auto" w:fill="auto"/>
            <w:vAlign w:val="center"/>
            <w:hideMark/>
          </w:tcPr>
          <w:p w:rsidRPr="00981420" w:rsidR="002679A7" w:rsidP="002679A7" w:rsidRDefault="002679A7" w14:paraId="6447119C"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112,491.43</w:t>
            </w:r>
          </w:p>
        </w:tc>
        <w:tc>
          <w:tcPr>
            <w:tcW w:w="1065" w:type="dxa"/>
            <w:tcBorders>
              <w:top w:val="nil"/>
              <w:left w:val="nil"/>
              <w:bottom w:val="single" w:color="auto" w:sz="12" w:space="0"/>
              <w:right w:val="single" w:color="auto" w:sz="8" w:space="0"/>
            </w:tcBorders>
            <w:shd w:val="clear" w:color="000000" w:fill="DDEBF7"/>
            <w:vAlign w:val="center"/>
            <w:hideMark/>
          </w:tcPr>
          <w:p w:rsidRPr="00981420" w:rsidR="002679A7" w:rsidP="002679A7" w:rsidRDefault="002679A7" w14:paraId="157B6C4F"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115,514.40</w:t>
            </w:r>
          </w:p>
        </w:tc>
        <w:tc>
          <w:tcPr>
            <w:tcW w:w="981" w:type="dxa"/>
            <w:gridSpan w:val="2"/>
            <w:tcBorders>
              <w:top w:val="nil"/>
              <w:left w:val="nil"/>
              <w:bottom w:val="single" w:color="auto" w:sz="12" w:space="0"/>
              <w:right w:val="single" w:color="auto" w:sz="8" w:space="0"/>
            </w:tcBorders>
            <w:shd w:val="clear" w:color="000000" w:fill="DDEBF7"/>
            <w:vAlign w:val="center"/>
            <w:hideMark/>
          </w:tcPr>
          <w:p w:rsidRPr="00981420" w:rsidR="002679A7" w:rsidP="002679A7" w:rsidRDefault="002679A7" w14:paraId="3AF6D5FC" w14:textId="77777777">
            <w:pPr>
              <w:widowControl/>
              <w:overflowPunct/>
              <w:autoSpaceDE/>
              <w:autoSpaceDN/>
              <w:adjustRightInd/>
              <w:textAlignment w:val="auto"/>
              <w:rPr>
                <w:rFonts w:ascii="Times New Roman" w:hAnsi="Times New Roman"/>
                <w:b/>
                <w:bCs/>
                <w:sz w:val="16"/>
                <w:szCs w:val="16"/>
              </w:rPr>
            </w:pPr>
            <w:r w:rsidRPr="00981420">
              <w:rPr>
                <w:rFonts w:ascii="Times New Roman" w:hAnsi="Times New Roman"/>
                <w:b/>
                <w:bCs/>
                <w:sz w:val="16"/>
                <w:szCs w:val="16"/>
              </w:rPr>
              <w:t> </w:t>
            </w:r>
          </w:p>
        </w:tc>
        <w:tc>
          <w:tcPr>
            <w:tcW w:w="1170" w:type="dxa"/>
            <w:gridSpan w:val="2"/>
            <w:tcBorders>
              <w:top w:val="nil"/>
              <w:left w:val="nil"/>
              <w:bottom w:val="single" w:color="auto" w:sz="12" w:space="0"/>
              <w:right w:val="single" w:color="auto" w:sz="12" w:space="0"/>
            </w:tcBorders>
            <w:shd w:val="clear" w:color="000000" w:fill="DDEBF7"/>
            <w:vAlign w:val="center"/>
            <w:hideMark/>
          </w:tcPr>
          <w:p w:rsidRPr="00981420" w:rsidR="002679A7" w:rsidP="002679A7" w:rsidRDefault="002679A7" w14:paraId="2A7C02BC" w14:textId="77777777">
            <w:pPr>
              <w:widowControl/>
              <w:overflowPunct/>
              <w:autoSpaceDE/>
              <w:autoSpaceDN/>
              <w:adjustRightInd/>
              <w:jc w:val="right"/>
              <w:textAlignment w:val="auto"/>
              <w:rPr>
                <w:rFonts w:ascii="Times New Roman" w:hAnsi="Times New Roman"/>
                <w:b/>
                <w:bCs/>
                <w:sz w:val="16"/>
                <w:szCs w:val="16"/>
              </w:rPr>
            </w:pPr>
            <w:r w:rsidRPr="00981420">
              <w:rPr>
                <w:rFonts w:ascii="Times New Roman" w:hAnsi="Times New Roman"/>
                <w:b/>
                <w:bCs/>
                <w:sz w:val="16"/>
                <w:szCs w:val="16"/>
              </w:rPr>
              <w:t>-3,022.97</w:t>
            </w:r>
          </w:p>
        </w:tc>
      </w:tr>
    </w:tbl>
    <w:p w:rsidRPr="002568E6" w:rsidR="00ED28F2" w:rsidP="00ED28F2" w:rsidRDefault="00ED28F2" w14:paraId="23842CFA" w14:textId="77777777">
      <w:pPr>
        <w:tabs>
          <w:tab w:val="left" w:pos="-720"/>
        </w:tabs>
        <w:suppressAutoHyphens/>
        <w:spacing w:line="480" w:lineRule="auto"/>
        <w:rPr>
          <w:rFonts w:ascii="Times New Roman" w:hAnsi="Times New Roman"/>
          <w:szCs w:val="24"/>
        </w:rPr>
      </w:pPr>
    </w:p>
    <w:p w:rsidRPr="002568E6" w:rsidR="0062567E" w:rsidP="00981420" w:rsidRDefault="00FD71D3" w14:paraId="20BE26AC" w14:textId="77777777">
      <w:pPr>
        <w:tabs>
          <w:tab w:val="left" w:pos="0"/>
          <w:tab w:val="left" w:pos="702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A308DB" w:rsidP="000438E8" w:rsidRDefault="00A308DB" w14:paraId="39DE62A3" w14:textId="77777777">
      <w:pPr>
        <w:tabs>
          <w:tab w:val="left" w:pos="0"/>
        </w:tabs>
        <w:suppressAutoHyphens/>
        <w:rPr>
          <w:rFonts w:ascii="Times New Roman" w:hAnsi="Times New Roman"/>
          <w:b/>
          <w:szCs w:val="24"/>
        </w:rPr>
      </w:pPr>
    </w:p>
    <w:p w:rsidRPr="00820B5B" w:rsidR="000E40BA" w:rsidP="000E40BA" w:rsidRDefault="000E40BA" w14:paraId="237ACC00" w14:textId="7C9963B4">
      <w:pPr>
        <w:spacing w:line="480" w:lineRule="auto"/>
        <w:rPr>
          <w:rFonts w:ascii="Times New Roman" w:hAnsi="Times New Roman"/>
        </w:rPr>
      </w:pPr>
      <w:r w:rsidRPr="00721BC9">
        <w:rPr>
          <w:rFonts w:ascii="Times New Roman" w:hAnsi="Times New Roman"/>
        </w:rPr>
        <w:t>The</w:t>
      </w:r>
      <w:r w:rsidRPr="00820B5B">
        <w:rPr>
          <w:rFonts w:ascii="Times New Roman" w:hAnsi="Times New Roman"/>
        </w:rPr>
        <w:t xml:space="preserve"> cost to the public is </w:t>
      </w:r>
      <w:r w:rsidRPr="00317A90">
        <w:rPr>
          <w:rFonts w:ascii="Times New Roman" w:hAnsi="Times New Roman"/>
        </w:rPr>
        <w:t>based on $</w:t>
      </w:r>
      <w:r w:rsidRPr="00EB584E" w:rsidR="00473AB1">
        <w:rPr>
          <w:rFonts w:ascii="Times New Roman" w:hAnsi="Times New Roman"/>
        </w:rPr>
        <w:t>2</w:t>
      </w:r>
      <w:r w:rsidR="00473AB1">
        <w:rPr>
          <w:rFonts w:ascii="Times New Roman" w:hAnsi="Times New Roman"/>
        </w:rPr>
        <w:t>6</w:t>
      </w:r>
      <w:r w:rsidRPr="00EB584E">
        <w:rPr>
          <w:rFonts w:ascii="Times New Roman" w:hAnsi="Times New Roman"/>
        </w:rPr>
        <w:t>.</w:t>
      </w:r>
      <w:r w:rsidR="00C739BD">
        <w:rPr>
          <w:rFonts w:ascii="Times New Roman" w:hAnsi="Times New Roman"/>
        </w:rPr>
        <w:t>90</w:t>
      </w:r>
      <w:r w:rsidRPr="00317A90" w:rsidR="00C739BD">
        <w:rPr>
          <w:rFonts w:ascii="Times New Roman" w:hAnsi="Times New Roman"/>
        </w:rPr>
        <w:t xml:space="preserve"> </w:t>
      </w:r>
      <w:r w:rsidRPr="00317A90">
        <w:rPr>
          <w:rFonts w:ascii="Times New Roman" w:hAnsi="Times New Roman"/>
        </w:rPr>
        <w:t>per hour</w:t>
      </w:r>
      <w:r w:rsidR="00721BC9">
        <w:rPr>
          <w:rFonts w:ascii="Times New Roman" w:hAnsi="Times New Roman"/>
        </w:rPr>
        <w:t>, representing an average social worker’s salary</w:t>
      </w:r>
      <w:r w:rsidRPr="00317A90">
        <w:rPr>
          <w:rFonts w:ascii="Times New Roman" w:hAnsi="Times New Roman"/>
        </w:rPr>
        <w:t xml:space="preserve">.  </w:t>
      </w:r>
      <w:r w:rsidR="00721BC9">
        <w:rPr>
          <w:rFonts w:ascii="Times New Roman" w:hAnsi="Times New Roman"/>
        </w:rPr>
        <w:t>The average salary rate, with loaded wages is $</w:t>
      </w:r>
      <w:r w:rsidR="00C739BD">
        <w:rPr>
          <w:rFonts w:ascii="Times New Roman" w:hAnsi="Times New Roman"/>
        </w:rPr>
        <w:t>35.78</w:t>
      </w:r>
      <w:r w:rsidR="00721BC9">
        <w:rPr>
          <w:rFonts w:ascii="Times New Roman" w:hAnsi="Times New Roman"/>
        </w:rPr>
        <w:t xml:space="preserve"> per hour. </w:t>
      </w:r>
      <w:r w:rsidRPr="00317A90">
        <w:rPr>
          <w:rFonts w:ascii="Times New Roman" w:hAnsi="Times New Roman"/>
        </w:rPr>
        <w:t xml:space="preserve">The rate to State agencies after 50 percent reimbursement by FNS is </w:t>
      </w:r>
      <w:r w:rsidRPr="00EB584E">
        <w:rPr>
          <w:rFonts w:ascii="Times New Roman" w:hAnsi="Times New Roman"/>
        </w:rPr>
        <w:t>$1</w:t>
      </w:r>
      <w:r w:rsidR="00721BC9">
        <w:rPr>
          <w:rFonts w:ascii="Times New Roman" w:hAnsi="Times New Roman"/>
        </w:rPr>
        <w:t>3.</w:t>
      </w:r>
      <w:r w:rsidR="00C739BD">
        <w:rPr>
          <w:rFonts w:ascii="Times New Roman" w:hAnsi="Times New Roman"/>
        </w:rPr>
        <w:t xml:space="preserve">45 </w:t>
      </w:r>
      <w:r w:rsidR="00721BC9">
        <w:rPr>
          <w:rFonts w:ascii="Times New Roman" w:hAnsi="Times New Roman"/>
        </w:rPr>
        <w:t>per hour without loaded wages and $17.</w:t>
      </w:r>
      <w:r w:rsidR="00C739BD">
        <w:rPr>
          <w:rFonts w:ascii="Times New Roman" w:hAnsi="Times New Roman"/>
        </w:rPr>
        <w:t>89</w:t>
      </w:r>
      <w:r w:rsidRPr="00317A90">
        <w:rPr>
          <w:rFonts w:ascii="Times New Roman" w:hAnsi="Times New Roman"/>
        </w:rPr>
        <w:t xml:space="preserve">.  Based on these figures the estimated total cost to respondents for the reporting and recordkeeping burdens after FNS reimbursement is </w:t>
      </w:r>
      <w:r w:rsidRPr="00C739BD" w:rsidR="00C739BD">
        <w:rPr>
          <w:rFonts w:ascii="Times New Roman" w:hAnsi="Times New Roman"/>
        </w:rPr>
        <w:t xml:space="preserve">$1,513,009.67 </w:t>
      </w:r>
      <w:r w:rsidR="00721BC9">
        <w:rPr>
          <w:rFonts w:ascii="Times New Roman" w:hAnsi="Times New Roman"/>
        </w:rPr>
        <w:t xml:space="preserve">without loaded wages and </w:t>
      </w:r>
      <w:r w:rsidRPr="00721BC9" w:rsidR="00721BC9">
        <w:rPr>
          <w:rFonts w:ascii="Times New Roman" w:hAnsi="Times New Roman"/>
        </w:rPr>
        <w:t>$</w:t>
      </w:r>
      <w:r w:rsidRPr="00C739BD" w:rsidR="00C739BD">
        <w:rPr>
          <w:rFonts w:ascii="Times New Roman" w:hAnsi="Times New Roman"/>
        </w:rPr>
        <w:t>2,012,302.87</w:t>
      </w:r>
      <w:r w:rsidR="00721BC9">
        <w:rPr>
          <w:rFonts w:ascii="Times New Roman" w:hAnsi="Times New Roman"/>
        </w:rPr>
        <w:t xml:space="preserve"> with loaded wages</w:t>
      </w:r>
      <w:r w:rsidRPr="00820B5B">
        <w:rPr>
          <w:rFonts w:ascii="Times New Roman" w:hAnsi="Times New Roman"/>
        </w:rPr>
        <w:t>.</w:t>
      </w:r>
    </w:p>
    <w:p w:rsidRPr="00820B5B" w:rsidR="000E40BA" w:rsidP="000E40BA" w:rsidRDefault="000E40BA" w14:paraId="38F0EC19" w14:textId="77777777">
      <w:pPr>
        <w:spacing w:line="480" w:lineRule="auto"/>
        <w:rPr>
          <w:rFonts w:ascii="Times New Roman" w:hAnsi="Times New Roman"/>
          <w:color w:val="000000"/>
        </w:rPr>
      </w:pPr>
      <w:r w:rsidRPr="00820B5B">
        <w:rPr>
          <w:rFonts w:ascii="Times New Roman" w:hAnsi="Times New Roman"/>
          <w:color w:val="000000"/>
        </w:rPr>
        <w:t xml:space="preserve"> </w:t>
      </w:r>
    </w:p>
    <w:p w:rsidR="000E40BA" w:rsidP="000E40BA" w:rsidRDefault="000E40BA" w14:paraId="0D9E5B98" w14:textId="77777777">
      <w:pPr>
        <w:tabs>
          <w:tab w:val="left" w:pos="0"/>
        </w:tabs>
        <w:suppressAutoHyphens/>
        <w:spacing w:line="480" w:lineRule="auto"/>
        <w:rPr>
          <w:rFonts w:ascii="Times New Roman" w:hAnsi="Times New Roman"/>
        </w:rPr>
      </w:pPr>
      <w:r w:rsidRPr="00820B5B">
        <w:rPr>
          <w:rFonts w:ascii="Times New Roman" w:hAnsi="Times New Roman"/>
        </w:rPr>
        <w:lastRenderedPageBreak/>
        <w:t>To estimate public cost, FNS consulted with</w:t>
      </w:r>
      <w:r>
        <w:rPr>
          <w:rFonts w:ascii="Times New Roman" w:hAnsi="Times New Roman"/>
        </w:rPr>
        <w:t xml:space="preserve"> the U.S. Department of Labor, Bureau of Labor </w:t>
      </w:r>
    </w:p>
    <w:p w:rsidR="00342369" w:rsidP="000E40BA" w:rsidRDefault="000E40BA" w14:paraId="37E3C11E" w14:textId="57DFA07C">
      <w:pPr>
        <w:tabs>
          <w:tab w:val="left" w:pos="0"/>
        </w:tabs>
        <w:suppressAutoHyphens/>
        <w:rPr>
          <w:rFonts w:ascii="Times New Roman" w:hAnsi="Times New Roman"/>
        </w:rPr>
      </w:pPr>
      <w:r>
        <w:rPr>
          <w:rFonts w:ascii="Times New Roman" w:hAnsi="Times New Roman"/>
        </w:rPr>
        <w:t xml:space="preserve">Statistics’ </w:t>
      </w:r>
      <w:r w:rsidRPr="00820B5B">
        <w:rPr>
          <w:rFonts w:ascii="Times New Roman" w:hAnsi="Times New Roman"/>
        </w:rPr>
        <w:t xml:space="preserve">May </w:t>
      </w:r>
      <w:r w:rsidR="00C739BD">
        <w:rPr>
          <w:rFonts w:ascii="Times New Roman" w:hAnsi="Times New Roman"/>
        </w:rPr>
        <w:t xml:space="preserve">2020 </w:t>
      </w:r>
      <w:r>
        <w:rPr>
          <w:rFonts w:ascii="Times New Roman" w:hAnsi="Times New Roman"/>
        </w:rPr>
        <w:t xml:space="preserve">data.  Please </w:t>
      </w:r>
      <w:r w:rsidR="00721BC9">
        <w:rPr>
          <w:rFonts w:ascii="Times New Roman" w:hAnsi="Times New Roman"/>
        </w:rPr>
        <w:t xml:space="preserve">see </w:t>
      </w:r>
      <w:hyperlink w:history="1" r:id="rId14">
        <w:r w:rsidRPr="00C739BD" w:rsidR="00C739BD">
          <w:rPr>
            <w:rStyle w:val="Hyperlink"/>
            <w:rFonts w:ascii="Times New Roman" w:hAnsi="Times New Roman"/>
          </w:rPr>
          <w:t>https://www.bls.gov/oes/2020/may/oes_nat.htm</w:t>
        </w:r>
      </w:hyperlink>
      <w:r w:rsidR="00721BC9">
        <w:rPr>
          <w:rFonts w:ascii="Times New Roman" w:hAnsi="Times New Roman"/>
        </w:rPr>
        <w:t>.</w:t>
      </w:r>
    </w:p>
    <w:p w:rsidR="00342369" w:rsidP="000E40BA" w:rsidRDefault="00342369" w14:paraId="675F2CE2" w14:textId="77777777">
      <w:pPr>
        <w:tabs>
          <w:tab w:val="left" w:pos="0"/>
        </w:tabs>
        <w:suppressAutoHyphens/>
        <w:rPr>
          <w:rFonts w:ascii="Times New Roman" w:hAnsi="Times New Roman"/>
        </w:rPr>
      </w:pPr>
    </w:p>
    <w:tbl>
      <w:tblPr>
        <w:tblW w:w="10980" w:type="dxa"/>
        <w:tblInd w:w="-820" w:type="dxa"/>
        <w:tblLook w:val="04A0" w:firstRow="1" w:lastRow="0" w:firstColumn="1" w:lastColumn="0" w:noHBand="0" w:noVBand="1"/>
      </w:tblPr>
      <w:tblGrid>
        <w:gridCol w:w="1057"/>
        <w:gridCol w:w="1659"/>
        <w:gridCol w:w="936"/>
        <w:gridCol w:w="996"/>
        <w:gridCol w:w="1026"/>
        <w:gridCol w:w="1276"/>
        <w:gridCol w:w="1251"/>
        <w:gridCol w:w="1249"/>
        <w:gridCol w:w="1530"/>
      </w:tblGrid>
      <w:tr w:rsidRPr="00C739BD" w:rsidR="00C739BD" w:rsidTr="00C739BD" w14:paraId="277F0A55" w14:textId="77777777">
        <w:trPr>
          <w:trHeight w:val="187"/>
        </w:trPr>
        <w:tc>
          <w:tcPr>
            <w:tcW w:w="5674" w:type="dxa"/>
            <w:gridSpan w:val="5"/>
            <w:tcBorders>
              <w:top w:val="single" w:color="auto" w:sz="8" w:space="0"/>
              <w:left w:val="single" w:color="auto" w:sz="8" w:space="0"/>
              <w:bottom w:val="single" w:color="auto" w:sz="8" w:space="0"/>
              <w:right w:val="nil"/>
            </w:tcBorders>
            <w:shd w:val="clear" w:color="auto" w:fill="auto"/>
            <w:noWrap/>
            <w:vAlign w:val="center"/>
            <w:hideMark/>
          </w:tcPr>
          <w:p w:rsidRPr="00C739BD" w:rsidR="00C739BD" w:rsidP="00C739BD" w:rsidRDefault="00C739BD" w14:paraId="70EA9BF3"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Estimates of Annualized Cost to Respondents</w:t>
            </w:r>
            <w:r w:rsidRPr="00C739BD">
              <w:rPr>
                <w:rFonts w:ascii="Times New Roman" w:hAnsi="Times New Roman"/>
                <w:i/>
                <w:iCs/>
                <w:color w:val="000000"/>
                <w:sz w:val="18"/>
                <w:szCs w:val="18"/>
              </w:rPr>
              <w:t xml:space="preserve"> </w:t>
            </w:r>
            <w:r w:rsidRPr="00C739BD">
              <w:rPr>
                <w:rFonts w:ascii="Times New Roman" w:hAnsi="Times New Roman"/>
                <w:b/>
                <w:bCs/>
                <w:color w:val="000000"/>
                <w:sz w:val="18"/>
                <w:szCs w:val="18"/>
              </w:rPr>
              <w:t>FNS 245, OMB 0584-0034</w:t>
            </w:r>
          </w:p>
        </w:tc>
        <w:tc>
          <w:tcPr>
            <w:tcW w:w="1276" w:type="dxa"/>
            <w:tcBorders>
              <w:top w:val="single" w:color="auto" w:sz="8" w:space="0"/>
              <w:left w:val="nil"/>
              <w:bottom w:val="single" w:color="auto" w:sz="8" w:space="0"/>
              <w:right w:val="nil"/>
            </w:tcBorders>
            <w:shd w:val="clear" w:color="auto" w:fill="auto"/>
            <w:noWrap/>
            <w:vAlign w:val="center"/>
            <w:hideMark/>
          </w:tcPr>
          <w:p w:rsidRPr="00C739BD" w:rsidR="00C739BD" w:rsidP="00C739BD" w:rsidRDefault="00C739BD" w14:paraId="736DB5CE"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c>
          <w:tcPr>
            <w:tcW w:w="1251" w:type="dxa"/>
            <w:tcBorders>
              <w:top w:val="single" w:color="auto" w:sz="8" w:space="0"/>
              <w:left w:val="nil"/>
              <w:bottom w:val="single" w:color="auto" w:sz="8" w:space="0"/>
              <w:right w:val="nil"/>
            </w:tcBorders>
            <w:shd w:val="clear" w:color="auto" w:fill="auto"/>
            <w:noWrap/>
            <w:vAlign w:val="center"/>
            <w:hideMark/>
          </w:tcPr>
          <w:p w:rsidRPr="00C739BD" w:rsidR="00C739BD" w:rsidP="00C739BD" w:rsidRDefault="00C739BD" w14:paraId="52E49BD7"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c>
          <w:tcPr>
            <w:tcW w:w="1249" w:type="dxa"/>
            <w:tcBorders>
              <w:top w:val="single" w:color="auto" w:sz="8" w:space="0"/>
              <w:left w:val="nil"/>
              <w:bottom w:val="single" w:color="auto" w:sz="8" w:space="0"/>
              <w:right w:val="nil"/>
            </w:tcBorders>
            <w:shd w:val="clear" w:color="auto" w:fill="auto"/>
            <w:noWrap/>
            <w:vAlign w:val="center"/>
            <w:hideMark/>
          </w:tcPr>
          <w:p w:rsidRPr="00C739BD" w:rsidR="00C739BD" w:rsidP="00C739BD" w:rsidRDefault="00C739BD" w14:paraId="273B78A0"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C739BD" w:rsidR="00C739BD" w:rsidP="00C739BD" w:rsidRDefault="00C739BD" w14:paraId="2F8F4CB8"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r>
      <w:tr w:rsidRPr="00C739BD" w:rsidR="00C739BD" w:rsidTr="00C739BD" w14:paraId="1A382040" w14:textId="77777777">
        <w:trPr>
          <w:trHeight w:val="949"/>
        </w:trPr>
        <w:tc>
          <w:tcPr>
            <w:tcW w:w="10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39BD" w:rsidR="00C739BD" w:rsidP="00C739BD" w:rsidRDefault="00C739BD" w14:paraId="4FBC3066"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Regulation</w:t>
            </w:r>
          </w:p>
        </w:tc>
        <w:tc>
          <w:tcPr>
            <w:tcW w:w="1659"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0199AAE0"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Description of Activity</w:t>
            </w:r>
          </w:p>
        </w:tc>
        <w:tc>
          <w:tcPr>
            <w:tcW w:w="936"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7F3D037A"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Number of Negative Sample Cases Per Annum</w:t>
            </w:r>
          </w:p>
        </w:tc>
        <w:tc>
          <w:tcPr>
            <w:tcW w:w="996"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62BB50B0"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Reporting Hours</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47134E92"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Burden Hours</w:t>
            </w:r>
          </w:p>
        </w:tc>
        <w:tc>
          <w:tcPr>
            <w:tcW w:w="1276"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4ABA20B0"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Hourly Wage Rate (50% for State Agency Staff – not Households)</w:t>
            </w:r>
          </w:p>
        </w:tc>
        <w:tc>
          <w:tcPr>
            <w:tcW w:w="1251"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6184DE1F"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Total cost not loaded</w:t>
            </w:r>
          </w:p>
        </w:tc>
        <w:tc>
          <w:tcPr>
            <w:tcW w:w="1249"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414A3177"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Hourly with Loaded Wages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C739BD" w:rsidR="00C739BD" w:rsidP="00C739BD" w:rsidRDefault="00C739BD" w14:paraId="565872C7"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Total Respondent Cost with loaded wages</w:t>
            </w:r>
          </w:p>
        </w:tc>
      </w:tr>
      <w:tr w:rsidRPr="00C739BD" w:rsidR="00C739BD" w:rsidTr="00C739BD" w14:paraId="4CE4266B" w14:textId="77777777">
        <w:trPr>
          <w:trHeight w:val="180"/>
        </w:trPr>
        <w:tc>
          <w:tcPr>
            <w:tcW w:w="5674" w:type="dxa"/>
            <w:gridSpan w:val="5"/>
            <w:tcBorders>
              <w:top w:val="single" w:color="auto" w:sz="4" w:space="0"/>
              <w:left w:val="single" w:color="auto" w:sz="4" w:space="0"/>
              <w:bottom w:val="single" w:color="auto" w:sz="4" w:space="0"/>
              <w:right w:val="nil"/>
            </w:tcBorders>
            <w:shd w:val="clear" w:color="auto" w:fill="auto"/>
            <w:noWrap/>
            <w:vAlign w:val="center"/>
            <w:hideMark/>
          </w:tcPr>
          <w:p w:rsidRPr="00C739BD" w:rsidR="00C739BD" w:rsidP="00C739BD" w:rsidRDefault="00C739BD" w14:paraId="7639F690" w14:textId="77777777">
            <w:pPr>
              <w:widowControl/>
              <w:overflowPunct/>
              <w:autoSpaceDE/>
              <w:autoSpaceDN/>
              <w:adjustRightInd/>
              <w:jc w:val="center"/>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Reporting Burden</w:t>
            </w:r>
          </w:p>
        </w:tc>
        <w:tc>
          <w:tcPr>
            <w:tcW w:w="1276"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28B4DECF"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251"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3DD485A3"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249"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1D17A146"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530"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2E92B2DA"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r>
      <w:tr w:rsidRPr="00C739BD" w:rsidR="00C739BD" w:rsidTr="00C739BD" w14:paraId="45C7FC31" w14:textId="77777777">
        <w:trPr>
          <w:trHeight w:val="234"/>
        </w:trPr>
        <w:tc>
          <w:tcPr>
            <w:tcW w:w="1057" w:type="dxa"/>
            <w:tcBorders>
              <w:top w:val="nil"/>
              <w:left w:val="single" w:color="auto" w:sz="8" w:space="0"/>
              <w:bottom w:val="single" w:color="auto" w:sz="8" w:space="0"/>
              <w:right w:val="nil"/>
            </w:tcBorders>
            <w:shd w:val="clear" w:color="auto" w:fill="auto"/>
            <w:noWrap/>
            <w:vAlign w:val="center"/>
            <w:hideMark/>
          </w:tcPr>
          <w:p w:rsidRPr="00C739BD" w:rsidR="00C739BD" w:rsidP="00C739BD" w:rsidRDefault="00C739BD" w14:paraId="67A2ACD0" w14:textId="77777777">
            <w:pPr>
              <w:widowControl/>
              <w:overflowPunct/>
              <w:autoSpaceDE/>
              <w:autoSpaceDN/>
              <w:adjustRightInd/>
              <w:jc w:val="center"/>
              <w:textAlignment w:val="auto"/>
              <w:rPr>
                <w:rFonts w:ascii="Times New Roman" w:hAnsi="Times New Roman"/>
                <w:sz w:val="18"/>
                <w:szCs w:val="18"/>
              </w:rPr>
            </w:pPr>
            <w:r w:rsidRPr="00C739BD">
              <w:rPr>
                <w:rFonts w:ascii="Times New Roman" w:hAnsi="Times New Roman"/>
                <w:sz w:val="18"/>
                <w:szCs w:val="18"/>
              </w:rPr>
              <w:t>275.13 (b)</w:t>
            </w:r>
          </w:p>
        </w:tc>
        <w:tc>
          <w:tcPr>
            <w:tcW w:w="1659"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66CC8E83" w14:textId="77777777">
            <w:pPr>
              <w:widowControl/>
              <w:overflowPunct/>
              <w:autoSpaceDE/>
              <w:autoSpaceDN/>
              <w:adjustRightInd/>
              <w:textAlignment w:val="auto"/>
              <w:rPr>
                <w:rFonts w:ascii="Times New Roman" w:hAnsi="Times New Roman"/>
                <w:sz w:val="18"/>
                <w:szCs w:val="18"/>
              </w:rPr>
            </w:pPr>
            <w:r w:rsidRPr="00C739BD">
              <w:rPr>
                <w:rFonts w:ascii="Times New Roman" w:hAnsi="Times New Roman"/>
                <w:sz w:val="18"/>
                <w:szCs w:val="18"/>
              </w:rPr>
              <w:t>Household Case Record Review</w:t>
            </w:r>
          </w:p>
        </w:tc>
        <w:tc>
          <w:tcPr>
            <w:tcW w:w="93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50842775" w14:textId="77777777">
            <w:pPr>
              <w:widowControl/>
              <w:overflowPunct/>
              <w:autoSpaceDE/>
              <w:autoSpaceDN/>
              <w:adjustRightInd/>
              <w:jc w:val="right"/>
              <w:textAlignment w:val="auto"/>
              <w:rPr>
                <w:rFonts w:ascii="Times New Roman" w:hAnsi="Times New Roman"/>
                <w:sz w:val="18"/>
                <w:szCs w:val="18"/>
              </w:rPr>
            </w:pPr>
            <w:r w:rsidRPr="00C739BD">
              <w:rPr>
                <w:rFonts w:ascii="Times New Roman" w:hAnsi="Times New Roman"/>
                <w:sz w:val="18"/>
                <w:szCs w:val="18"/>
              </w:rPr>
              <w:t>35,446.00</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8EA949C"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1.50</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A540E18"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53,169.00</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5AD9E6F"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$13.45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0A401DB"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$715,123.05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3EE8203A"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$17.89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A291999"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$951,113.66 </w:t>
            </w:r>
          </w:p>
        </w:tc>
      </w:tr>
      <w:tr w:rsidRPr="00C739BD" w:rsidR="00C739BD" w:rsidTr="00C739BD" w14:paraId="3302A1BE" w14:textId="77777777">
        <w:trPr>
          <w:trHeight w:val="234"/>
        </w:trPr>
        <w:tc>
          <w:tcPr>
            <w:tcW w:w="1057" w:type="dxa"/>
            <w:tcBorders>
              <w:top w:val="nil"/>
              <w:left w:val="single" w:color="auto" w:sz="8" w:space="0"/>
              <w:bottom w:val="single" w:color="auto" w:sz="8" w:space="0"/>
              <w:right w:val="nil"/>
            </w:tcBorders>
            <w:shd w:val="clear" w:color="auto" w:fill="auto"/>
            <w:noWrap/>
            <w:vAlign w:val="center"/>
            <w:hideMark/>
          </w:tcPr>
          <w:p w:rsidRPr="00C739BD" w:rsidR="00C739BD" w:rsidP="00C739BD" w:rsidRDefault="00C739BD" w14:paraId="2422B613" w14:textId="77777777">
            <w:pPr>
              <w:widowControl/>
              <w:overflowPunct/>
              <w:autoSpaceDE/>
              <w:autoSpaceDN/>
              <w:adjustRightInd/>
              <w:jc w:val="center"/>
              <w:textAlignment w:val="auto"/>
              <w:rPr>
                <w:rFonts w:ascii="Times New Roman" w:hAnsi="Times New Roman"/>
                <w:sz w:val="18"/>
                <w:szCs w:val="18"/>
              </w:rPr>
            </w:pPr>
            <w:r w:rsidRPr="00C739BD">
              <w:rPr>
                <w:rFonts w:ascii="Times New Roman" w:hAnsi="Times New Roman"/>
                <w:sz w:val="18"/>
                <w:szCs w:val="18"/>
              </w:rPr>
              <w:t>275.13 (c)</w:t>
            </w:r>
          </w:p>
        </w:tc>
        <w:tc>
          <w:tcPr>
            <w:tcW w:w="1659"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62AFBB4F" w14:textId="77777777">
            <w:pPr>
              <w:widowControl/>
              <w:overflowPunct/>
              <w:autoSpaceDE/>
              <w:autoSpaceDN/>
              <w:adjustRightInd/>
              <w:textAlignment w:val="auto"/>
              <w:rPr>
                <w:rFonts w:ascii="Times New Roman" w:hAnsi="Times New Roman"/>
                <w:sz w:val="18"/>
                <w:szCs w:val="18"/>
              </w:rPr>
            </w:pPr>
            <w:r w:rsidRPr="00C739BD">
              <w:rPr>
                <w:rFonts w:ascii="Times New Roman" w:hAnsi="Times New Roman"/>
                <w:sz w:val="18"/>
                <w:szCs w:val="18"/>
              </w:rPr>
              <w:t>Error analysis</w:t>
            </w:r>
          </w:p>
        </w:tc>
        <w:tc>
          <w:tcPr>
            <w:tcW w:w="93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0AB1BFB0" w14:textId="77777777">
            <w:pPr>
              <w:widowControl/>
              <w:overflowPunct/>
              <w:autoSpaceDE/>
              <w:autoSpaceDN/>
              <w:adjustRightInd/>
              <w:jc w:val="right"/>
              <w:textAlignment w:val="auto"/>
              <w:rPr>
                <w:rFonts w:ascii="Times New Roman" w:hAnsi="Times New Roman"/>
                <w:sz w:val="18"/>
                <w:szCs w:val="18"/>
              </w:rPr>
            </w:pPr>
            <w:r w:rsidRPr="00C739BD">
              <w:rPr>
                <w:rFonts w:ascii="Times New Roman" w:hAnsi="Times New Roman"/>
                <w:sz w:val="18"/>
                <w:szCs w:val="18"/>
              </w:rPr>
              <w:t>35,446.00</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0136B52"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1.15</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4092551"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40,762.90</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4DE99048"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$13.45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1450FDAA"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$548,261.01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2201EA1"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$17.89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543BEFC"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$729,187.14 </w:t>
            </w:r>
          </w:p>
        </w:tc>
      </w:tr>
      <w:tr w:rsidRPr="00C739BD" w:rsidR="00C739BD" w:rsidTr="00C739BD" w14:paraId="3A5C77BD" w14:textId="77777777">
        <w:trPr>
          <w:trHeight w:val="234"/>
        </w:trPr>
        <w:tc>
          <w:tcPr>
            <w:tcW w:w="1057" w:type="dxa"/>
            <w:tcBorders>
              <w:top w:val="nil"/>
              <w:left w:val="single" w:color="auto" w:sz="8" w:space="0"/>
              <w:bottom w:val="single" w:color="auto" w:sz="8" w:space="0"/>
              <w:right w:val="nil"/>
            </w:tcBorders>
            <w:shd w:val="clear" w:color="auto" w:fill="auto"/>
            <w:noWrap/>
            <w:vAlign w:val="center"/>
            <w:hideMark/>
          </w:tcPr>
          <w:p w:rsidRPr="00C739BD" w:rsidR="00C739BD" w:rsidP="00C739BD" w:rsidRDefault="00C739BD" w14:paraId="0703B87D" w14:textId="77777777">
            <w:pPr>
              <w:widowControl/>
              <w:overflowPunct/>
              <w:autoSpaceDE/>
              <w:autoSpaceDN/>
              <w:adjustRightInd/>
              <w:jc w:val="center"/>
              <w:textAlignment w:val="auto"/>
              <w:rPr>
                <w:rFonts w:ascii="Times New Roman" w:hAnsi="Times New Roman"/>
                <w:sz w:val="18"/>
                <w:szCs w:val="18"/>
              </w:rPr>
            </w:pPr>
            <w:r w:rsidRPr="00C739BD">
              <w:rPr>
                <w:rFonts w:ascii="Times New Roman" w:hAnsi="Times New Roman"/>
                <w:sz w:val="18"/>
                <w:szCs w:val="18"/>
              </w:rPr>
              <w:t>275.13 (d)</w:t>
            </w:r>
          </w:p>
        </w:tc>
        <w:tc>
          <w:tcPr>
            <w:tcW w:w="1659"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34C94B4F" w14:textId="77777777">
            <w:pPr>
              <w:widowControl/>
              <w:overflowPunct/>
              <w:autoSpaceDE/>
              <w:autoSpaceDN/>
              <w:adjustRightInd/>
              <w:textAlignment w:val="auto"/>
              <w:rPr>
                <w:rFonts w:ascii="Times New Roman" w:hAnsi="Times New Roman"/>
                <w:sz w:val="18"/>
                <w:szCs w:val="18"/>
              </w:rPr>
            </w:pPr>
            <w:r w:rsidRPr="00C739BD">
              <w:rPr>
                <w:rFonts w:ascii="Times New Roman" w:hAnsi="Times New Roman"/>
                <w:sz w:val="18"/>
                <w:szCs w:val="18"/>
              </w:rPr>
              <w:t>Reporting of review findings</w:t>
            </w:r>
          </w:p>
        </w:tc>
        <w:tc>
          <w:tcPr>
            <w:tcW w:w="93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295ADC82" w14:textId="77777777">
            <w:pPr>
              <w:widowControl/>
              <w:overflowPunct/>
              <w:autoSpaceDE/>
              <w:autoSpaceDN/>
              <w:adjustRightInd/>
              <w:jc w:val="right"/>
              <w:textAlignment w:val="auto"/>
              <w:rPr>
                <w:rFonts w:ascii="Times New Roman" w:hAnsi="Times New Roman"/>
                <w:sz w:val="18"/>
                <w:szCs w:val="18"/>
              </w:rPr>
            </w:pPr>
            <w:r w:rsidRPr="00C739BD">
              <w:rPr>
                <w:rFonts w:ascii="Times New Roman" w:hAnsi="Times New Roman"/>
                <w:sz w:val="18"/>
                <w:szCs w:val="18"/>
              </w:rPr>
              <w:t>35,446.00</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1DCA33A8"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0.25</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12C71FF"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8,861.50</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11E25CB"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$13.45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C9CB4CA"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$119,187.18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2D06D44"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$17.89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40FCB946"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$158,518.94 </w:t>
            </w:r>
          </w:p>
        </w:tc>
      </w:tr>
      <w:tr w:rsidRPr="00C739BD" w:rsidR="00C739BD" w:rsidTr="00C739BD" w14:paraId="42EA8EC3" w14:textId="77777777">
        <w:trPr>
          <w:trHeight w:val="234"/>
        </w:trPr>
        <w:tc>
          <w:tcPr>
            <w:tcW w:w="1057" w:type="dxa"/>
            <w:tcBorders>
              <w:top w:val="nil"/>
              <w:left w:val="single" w:color="auto" w:sz="8" w:space="0"/>
              <w:bottom w:val="single" w:color="auto" w:sz="8" w:space="0"/>
              <w:right w:val="nil"/>
            </w:tcBorders>
            <w:shd w:val="clear" w:color="auto" w:fill="auto"/>
            <w:noWrap/>
            <w:vAlign w:val="center"/>
            <w:hideMark/>
          </w:tcPr>
          <w:p w:rsidRPr="00C739BD" w:rsidR="00C739BD" w:rsidP="00C739BD" w:rsidRDefault="00C739BD" w14:paraId="086A682D" w14:textId="77777777">
            <w:pPr>
              <w:widowControl/>
              <w:overflowPunct/>
              <w:autoSpaceDE/>
              <w:autoSpaceDN/>
              <w:adjustRightInd/>
              <w:jc w:val="center"/>
              <w:textAlignment w:val="auto"/>
              <w:rPr>
                <w:rFonts w:ascii="Times New Roman" w:hAnsi="Times New Roman"/>
                <w:sz w:val="18"/>
                <w:szCs w:val="18"/>
              </w:rPr>
            </w:pPr>
            <w:r w:rsidRPr="00C739BD">
              <w:rPr>
                <w:rFonts w:ascii="Times New Roman" w:hAnsi="Times New Roman"/>
                <w:sz w:val="18"/>
                <w:szCs w:val="18"/>
              </w:rPr>
              <w:t>275.13 (e)</w:t>
            </w:r>
          </w:p>
        </w:tc>
        <w:tc>
          <w:tcPr>
            <w:tcW w:w="1659"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752B4A01" w14:textId="77777777">
            <w:pPr>
              <w:widowControl/>
              <w:overflowPunct/>
              <w:autoSpaceDE/>
              <w:autoSpaceDN/>
              <w:adjustRightInd/>
              <w:textAlignment w:val="auto"/>
              <w:rPr>
                <w:rFonts w:ascii="Times New Roman" w:hAnsi="Times New Roman"/>
                <w:sz w:val="18"/>
                <w:szCs w:val="18"/>
              </w:rPr>
            </w:pPr>
            <w:r w:rsidRPr="00C739BD">
              <w:rPr>
                <w:rFonts w:ascii="Times New Roman" w:hAnsi="Times New Roman"/>
                <w:sz w:val="18"/>
                <w:szCs w:val="18"/>
              </w:rPr>
              <w:t xml:space="preserve">Disposition of case review </w:t>
            </w:r>
          </w:p>
        </w:tc>
        <w:tc>
          <w:tcPr>
            <w:tcW w:w="93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18C30964" w14:textId="77777777">
            <w:pPr>
              <w:widowControl/>
              <w:overflowPunct/>
              <w:autoSpaceDE/>
              <w:autoSpaceDN/>
              <w:adjustRightInd/>
              <w:jc w:val="right"/>
              <w:textAlignment w:val="auto"/>
              <w:rPr>
                <w:rFonts w:ascii="Times New Roman" w:hAnsi="Times New Roman"/>
                <w:sz w:val="18"/>
                <w:szCs w:val="18"/>
              </w:rPr>
            </w:pPr>
            <w:r w:rsidRPr="00C739BD">
              <w:rPr>
                <w:rFonts w:ascii="Times New Roman" w:hAnsi="Times New Roman"/>
                <w:sz w:val="18"/>
                <w:szCs w:val="18"/>
              </w:rPr>
              <w:t>35,446.00</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D4C1314"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0.25</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3A84A043"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8,861.50</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D04F473"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$13.45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1222858B"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$119,187.18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169EDF3"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$17.89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7DA75EA"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$158,518.94 </w:t>
            </w:r>
          </w:p>
        </w:tc>
      </w:tr>
      <w:tr w:rsidRPr="00C739BD" w:rsidR="00C739BD" w:rsidTr="00C739BD" w14:paraId="6D02FDAF" w14:textId="77777777">
        <w:trPr>
          <w:trHeight w:val="180"/>
        </w:trPr>
        <w:tc>
          <w:tcPr>
            <w:tcW w:w="3652" w:type="dxa"/>
            <w:gridSpan w:val="3"/>
            <w:tcBorders>
              <w:top w:val="nil"/>
              <w:left w:val="single" w:color="auto" w:sz="4" w:space="0"/>
              <w:bottom w:val="single" w:color="auto" w:sz="4" w:space="0"/>
              <w:right w:val="single" w:color="000000" w:sz="4" w:space="0"/>
            </w:tcBorders>
            <w:shd w:val="clear" w:color="auto" w:fill="auto"/>
            <w:noWrap/>
            <w:vAlign w:val="center"/>
            <w:hideMark/>
          </w:tcPr>
          <w:p w:rsidRPr="00C739BD" w:rsidR="00C739BD" w:rsidP="00C739BD" w:rsidRDefault="00C739BD" w14:paraId="3B73B93D"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Total Reporting Burden</w:t>
            </w:r>
          </w:p>
        </w:tc>
        <w:tc>
          <w:tcPr>
            <w:tcW w:w="99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6196304D" w14:textId="77777777">
            <w:pPr>
              <w:widowControl/>
              <w:overflowPunct/>
              <w:autoSpaceDE/>
              <w:autoSpaceDN/>
              <w:adjustRightInd/>
              <w:jc w:val="right"/>
              <w:textAlignment w:val="auto"/>
              <w:rPr>
                <w:rFonts w:ascii="Times New Roman" w:hAnsi="Times New Roman"/>
                <w:b/>
                <w:bCs/>
                <w:color w:val="000000"/>
                <w:sz w:val="18"/>
                <w:szCs w:val="18"/>
              </w:rPr>
            </w:pPr>
            <w:r w:rsidRPr="00C739BD">
              <w:rPr>
                <w:rFonts w:ascii="Times New Roman" w:hAnsi="Times New Roman"/>
                <w:b/>
                <w:bCs/>
                <w:color w:val="000000"/>
                <w:sz w:val="18"/>
                <w:szCs w:val="18"/>
              </w:rPr>
              <w:t>3.15</w:t>
            </w:r>
          </w:p>
        </w:tc>
        <w:tc>
          <w:tcPr>
            <w:tcW w:w="102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59C7DD54" w14:textId="77777777">
            <w:pPr>
              <w:widowControl/>
              <w:overflowPunct/>
              <w:autoSpaceDE/>
              <w:autoSpaceDN/>
              <w:adjustRightInd/>
              <w:jc w:val="right"/>
              <w:textAlignment w:val="auto"/>
              <w:rPr>
                <w:rFonts w:ascii="Times New Roman" w:hAnsi="Times New Roman"/>
                <w:b/>
                <w:bCs/>
                <w:color w:val="000000"/>
                <w:sz w:val="18"/>
                <w:szCs w:val="18"/>
              </w:rPr>
            </w:pPr>
            <w:r w:rsidRPr="00C739BD">
              <w:rPr>
                <w:rFonts w:ascii="Times New Roman" w:hAnsi="Times New Roman"/>
                <w:b/>
                <w:bCs/>
                <w:color w:val="000000"/>
                <w:sz w:val="18"/>
                <w:szCs w:val="18"/>
              </w:rPr>
              <w:t>111,654.90</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382B3CF"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838F34D" w14:textId="77777777">
            <w:pPr>
              <w:widowControl/>
              <w:overflowPunct/>
              <w:autoSpaceDE/>
              <w:autoSpaceDN/>
              <w:adjustRightInd/>
              <w:jc w:val="right"/>
              <w:textAlignment w:val="auto"/>
              <w:rPr>
                <w:rFonts w:ascii="Times New Roman" w:hAnsi="Times New Roman"/>
                <w:b/>
                <w:bCs/>
                <w:color w:val="000000"/>
                <w:sz w:val="18"/>
                <w:szCs w:val="18"/>
              </w:rPr>
            </w:pPr>
            <w:r w:rsidRPr="00C739BD">
              <w:rPr>
                <w:rFonts w:ascii="Times New Roman" w:hAnsi="Times New Roman"/>
                <w:b/>
                <w:bCs/>
                <w:color w:val="000000"/>
                <w:sz w:val="18"/>
                <w:szCs w:val="18"/>
              </w:rPr>
              <w:t xml:space="preserve">$1,501,758.41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BDAA86A" w14:textId="77777777">
            <w:pPr>
              <w:widowControl/>
              <w:overflowPunct/>
              <w:autoSpaceDE/>
              <w:autoSpaceDN/>
              <w:adjustRightInd/>
              <w:textAlignment w:val="auto"/>
              <w:rPr>
                <w:rFonts w:ascii="Times New Roman" w:hAnsi="Times New Roman"/>
                <w:b/>
                <w:bCs/>
                <w:color w:val="000000"/>
                <w:sz w:val="18"/>
                <w:szCs w:val="18"/>
              </w:rPr>
            </w:pPr>
            <w:r w:rsidRPr="00C739BD">
              <w:rPr>
                <w:rFonts w:ascii="Times New Roman" w:hAnsi="Times New Roman"/>
                <w:b/>
                <w:bCs/>
                <w:color w:val="000000"/>
                <w:sz w:val="18"/>
                <w:szCs w:val="18"/>
              </w:rPr>
              <w:t>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E7BC35F" w14:textId="77777777">
            <w:pPr>
              <w:widowControl/>
              <w:overflowPunct/>
              <w:autoSpaceDE/>
              <w:autoSpaceDN/>
              <w:adjustRightInd/>
              <w:jc w:val="center"/>
              <w:textAlignment w:val="auto"/>
              <w:rPr>
                <w:rFonts w:ascii="Times New Roman" w:hAnsi="Times New Roman"/>
                <w:b/>
                <w:bCs/>
                <w:color w:val="000000"/>
                <w:sz w:val="18"/>
                <w:szCs w:val="18"/>
              </w:rPr>
            </w:pPr>
            <w:r w:rsidRPr="00C739BD">
              <w:rPr>
                <w:rFonts w:ascii="Times New Roman" w:hAnsi="Times New Roman"/>
                <w:b/>
                <w:bCs/>
                <w:color w:val="000000"/>
                <w:sz w:val="18"/>
                <w:szCs w:val="18"/>
              </w:rPr>
              <w:t>$1,997,338.68</w:t>
            </w:r>
          </w:p>
        </w:tc>
      </w:tr>
      <w:tr w:rsidRPr="00C739BD" w:rsidR="00C739BD" w:rsidTr="00C739BD" w14:paraId="586A11FB" w14:textId="77777777">
        <w:trPr>
          <w:trHeight w:val="180"/>
        </w:trPr>
        <w:tc>
          <w:tcPr>
            <w:tcW w:w="5674" w:type="dxa"/>
            <w:gridSpan w:val="5"/>
            <w:tcBorders>
              <w:top w:val="single" w:color="auto" w:sz="4" w:space="0"/>
              <w:left w:val="single" w:color="auto" w:sz="4" w:space="0"/>
              <w:bottom w:val="single" w:color="auto" w:sz="4" w:space="0"/>
              <w:right w:val="nil"/>
            </w:tcBorders>
            <w:shd w:val="clear" w:color="auto" w:fill="auto"/>
            <w:noWrap/>
            <w:vAlign w:val="center"/>
            <w:hideMark/>
          </w:tcPr>
          <w:p w:rsidRPr="00C739BD" w:rsidR="00C739BD" w:rsidP="00C739BD" w:rsidRDefault="00C739BD" w14:paraId="26CB0B40" w14:textId="77777777">
            <w:pPr>
              <w:widowControl/>
              <w:overflowPunct/>
              <w:autoSpaceDE/>
              <w:autoSpaceDN/>
              <w:adjustRightInd/>
              <w:jc w:val="center"/>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Recordkeeping Burden</w:t>
            </w:r>
          </w:p>
        </w:tc>
        <w:tc>
          <w:tcPr>
            <w:tcW w:w="1276"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567B66A6"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251"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571DC452"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249"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2C016BB6"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c>
          <w:tcPr>
            <w:tcW w:w="1530"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4D8DEA80" w14:textId="77777777">
            <w:pPr>
              <w:widowControl/>
              <w:overflowPunct/>
              <w:autoSpaceDE/>
              <w:autoSpaceDN/>
              <w:adjustRightInd/>
              <w:textAlignment w:val="auto"/>
              <w:rPr>
                <w:rFonts w:ascii="Times New Roman" w:hAnsi="Times New Roman"/>
                <w:b/>
                <w:bCs/>
                <w:color w:val="000000"/>
                <w:sz w:val="18"/>
                <w:szCs w:val="18"/>
                <w:u w:val="single"/>
              </w:rPr>
            </w:pPr>
            <w:r w:rsidRPr="00C739BD">
              <w:rPr>
                <w:rFonts w:ascii="Times New Roman" w:hAnsi="Times New Roman"/>
                <w:b/>
                <w:bCs/>
                <w:color w:val="000000"/>
                <w:sz w:val="18"/>
                <w:szCs w:val="18"/>
                <w:u w:val="single"/>
              </w:rPr>
              <w:t> </w:t>
            </w:r>
          </w:p>
        </w:tc>
      </w:tr>
      <w:tr w:rsidRPr="00C739BD" w:rsidR="00C739BD" w:rsidTr="00C739BD" w14:paraId="061F4113" w14:textId="77777777">
        <w:trPr>
          <w:trHeight w:val="180"/>
        </w:trPr>
        <w:tc>
          <w:tcPr>
            <w:tcW w:w="1057"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7840B015"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275.4</w:t>
            </w:r>
          </w:p>
        </w:tc>
        <w:tc>
          <w:tcPr>
            <w:tcW w:w="1659"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64B01707"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Record Retention</w:t>
            </w:r>
          </w:p>
        </w:tc>
        <w:tc>
          <w:tcPr>
            <w:tcW w:w="936"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52705C0E" w14:textId="77777777">
            <w:pPr>
              <w:widowControl/>
              <w:overflowPunct/>
              <w:autoSpaceDE/>
              <w:autoSpaceDN/>
              <w:adjustRightInd/>
              <w:jc w:val="right"/>
              <w:textAlignment w:val="auto"/>
              <w:rPr>
                <w:rFonts w:ascii="Times New Roman" w:hAnsi="Times New Roman"/>
                <w:sz w:val="18"/>
                <w:szCs w:val="18"/>
              </w:rPr>
            </w:pPr>
            <w:r w:rsidRPr="00C739BD">
              <w:rPr>
                <w:rFonts w:ascii="Times New Roman" w:hAnsi="Times New Roman"/>
                <w:sz w:val="18"/>
                <w:szCs w:val="18"/>
              </w:rPr>
              <w:t>35,446.00</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3B88703C"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0.0236</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C467DE4"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836.5256</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37589AB3"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$13.45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D339D11"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$11,251.27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01D7F6D"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$17.89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6AE41CE"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xml:space="preserve">$14,964.19 </w:t>
            </w:r>
          </w:p>
        </w:tc>
      </w:tr>
      <w:tr w:rsidRPr="00C739BD" w:rsidR="00C739BD" w:rsidTr="00C739BD" w14:paraId="218522B2" w14:textId="77777777">
        <w:trPr>
          <w:trHeight w:val="180"/>
        </w:trPr>
        <w:tc>
          <w:tcPr>
            <w:tcW w:w="1057" w:type="dxa"/>
            <w:tcBorders>
              <w:top w:val="nil"/>
              <w:left w:val="single" w:color="auto" w:sz="4" w:space="0"/>
              <w:bottom w:val="single" w:color="auto" w:sz="4" w:space="0"/>
              <w:right w:val="single" w:color="auto" w:sz="4" w:space="0"/>
            </w:tcBorders>
            <w:shd w:val="clear" w:color="auto" w:fill="auto"/>
            <w:noWrap/>
            <w:vAlign w:val="center"/>
            <w:hideMark/>
          </w:tcPr>
          <w:p w:rsidRPr="00C739BD" w:rsidR="00C739BD" w:rsidP="00C739BD" w:rsidRDefault="00C739BD" w14:paraId="78102315"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659" w:type="dxa"/>
            <w:tcBorders>
              <w:top w:val="nil"/>
              <w:left w:val="nil"/>
              <w:bottom w:val="single" w:color="auto" w:sz="4" w:space="0"/>
              <w:right w:val="single" w:color="auto" w:sz="4" w:space="0"/>
            </w:tcBorders>
            <w:shd w:val="clear" w:color="auto" w:fill="auto"/>
            <w:noWrap/>
            <w:vAlign w:val="center"/>
            <w:hideMark/>
          </w:tcPr>
          <w:p w:rsidRPr="00C739BD" w:rsidR="00C739BD" w:rsidP="00C739BD" w:rsidRDefault="00C739BD" w14:paraId="1E1ECAC7"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93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1E55E85F"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99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0C04134"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4A9246AD"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68AE2C11"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7CDD847A"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593049A2"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2C85BBDF" w14:textId="77777777">
            <w:pPr>
              <w:widowControl/>
              <w:overflowPunct/>
              <w:autoSpaceDE/>
              <w:autoSpaceDN/>
              <w:adjustRightInd/>
              <w:jc w:val="center"/>
              <w:textAlignment w:val="auto"/>
              <w:rPr>
                <w:rFonts w:ascii="Times New Roman" w:hAnsi="Times New Roman"/>
                <w:color w:val="000000"/>
                <w:sz w:val="18"/>
                <w:szCs w:val="18"/>
              </w:rPr>
            </w:pPr>
            <w:r w:rsidRPr="00C739BD">
              <w:rPr>
                <w:rFonts w:ascii="Times New Roman" w:hAnsi="Times New Roman"/>
                <w:color w:val="000000"/>
                <w:sz w:val="18"/>
                <w:szCs w:val="18"/>
              </w:rPr>
              <w:t> </w:t>
            </w:r>
          </w:p>
        </w:tc>
      </w:tr>
      <w:tr w:rsidRPr="00C739BD" w:rsidR="00C739BD" w:rsidTr="00C739BD" w14:paraId="66D81346" w14:textId="77777777">
        <w:trPr>
          <w:trHeight w:val="180"/>
        </w:trPr>
        <w:tc>
          <w:tcPr>
            <w:tcW w:w="4648"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C739BD" w:rsidR="00C739BD" w:rsidP="00C739BD" w:rsidRDefault="00C739BD" w14:paraId="0B90C17C" w14:textId="77777777">
            <w:pPr>
              <w:widowControl/>
              <w:overflowPunct/>
              <w:autoSpaceDE/>
              <w:autoSpaceDN/>
              <w:adjustRightInd/>
              <w:textAlignment w:val="auto"/>
              <w:rPr>
                <w:rFonts w:ascii="Times New Roman" w:hAnsi="Times New Roman"/>
                <w:b/>
                <w:bCs/>
                <w:color w:val="FF0000"/>
                <w:sz w:val="18"/>
                <w:szCs w:val="18"/>
              </w:rPr>
            </w:pPr>
            <w:r w:rsidRPr="00C739BD">
              <w:rPr>
                <w:rFonts w:ascii="Times New Roman" w:hAnsi="Times New Roman"/>
                <w:b/>
                <w:bCs/>
                <w:color w:val="FF0000"/>
                <w:sz w:val="18"/>
                <w:szCs w:val="18"/>
              </w:rPr>
              <w:t>Total Reporting and Recordkeeping Burden and Costs</w:t>
            </w:r>
          </w:p>
        </w:tc>
        <w:tc>
          <w:tcPr>
            <w:tcW w:w="102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4B5B7C13" w14:textId="77777777">
            <w:pPr>
              <w:widowControl/>
              <w:overflowPunct/>
              <w:autoSpaceDE/>
              <w:autoSpaceDN/>
              <w:adjustRightInd/>
              <w:jc w:val="right"/>
              <w:textAlignment w:val="auto"/>
              <w:rPr>
                <w:rFonts w:ascii="Times New Roman" w:hAnsi="Times New Roman"/>
                <w:b/>
                <w:bCs/>
                <w:color w:val="FF0000"/>
                <w:sz w:val="18"/>
                <w:szCs w:val="18"/>
              </w:rPr>
            </w:pPr>
            <w:r w:rsidRPr="00C739BD">
              <w:rPr>
                <w:rFonts w:ascii="Times New Roman" w:hAnsi="Times New Roman"/>
                <w:b/>
                <w:bCs/>
                <w:color w:val="FF0000"/>
                <w:sz w:val="18"/>
                <w:szCs w:val="18"/>
              </w:rPr>
              <w:t>112,491.43</w:t>
            </w:r>
          </w:p>
        </w:tc>
        <w:tc>
          <w:tcPr>
            <w:tcW w:w="1276"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FB3D06D" w14:textId="77777777">
            <w:pPr>
              <w:widowControl/>
              <w:overflowPunct/>
              <w:autoSpaceDE/>
              <w:autoSpaceDN/>
              <w:adjustRightInd/>
              <w:textAlignment w:val="auto"/>
              <w:rPr>
                <w:rFonts w:ascii="Times New Roman" w:hAnsi="Times New Roman"/>
                <w:b/>
                <w:bCs/>
                <w:color w:val="FF0000"/>
                <w:sz w:val="18"/>
                <w:szCs w:val="18"/>
              </w:rPr>
            </w:pPr>
            <w:r w:rsidRPr="00C739BD">
              <w:rPr>
                <w:rFonts w:ascii="Times New Roman" w:hAnsi="Times New Roman"/>
                <w:b/>
                <w:bCs/>
                <w:color w:val="FF0000"/>
                <w:sz w:val="18"/>
                <w:szCs w:val="18"/>
              </w:rPr>
              <w:t> </w:t>
            </w:r>
          </w:p>
        </w:tc>
        <w:tc>
          <w:tcPr>
            <w:tcW w:w="1251"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04FB22E" w14:textId="77777777">
            <w:pPr>
              <w:widowControl/>
              <w:overflowPunct/>
              <w:autoSpaceDE/>
              <w:autoSpaceDN/>
              <w:adjustRightInd/>
              <w:jc w:val="right"/>
              <w:textAlignment w:val="auto"/>
              <w:rPr>
                <w:rFonts w:ascii="Times New Roman" w:hAnsi="Times New Roman"/>
                <w:b/>
                <w:bCs/>
                <w:color w:val="FF0000"/>
                <w:sz w:val="18"/>
                <w:szCs w:val="18"/>
              </w:rPr>
            </w:pPr>
            <w:r w:rsidRPr="00C739BD">
              <w:rPr>
                <w:rFonts w:ascii="Times New Roman" w:hAnsi="Times New Roman"/>
                <w:b/>
                <w:bCs/>
                <w:color w:val="FF0000"/>
                <w:sz w:val="18"/>
                <w:szCs w:val="18"/>
              </w:rPr>
              <w:t xml:space="preserve">$1,513,009.67 </w:t>
            </w:r>
          </w:p>
        </w:tc>
        <w:tc>
          <w:tcPr>
            <w:tcW w:w="1249"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0C733441" w14:textId="77777777">
            <w:pPr>
              <w:widowControl/>
              <w:overflowPunct/>
              <w:autoSpaceDE/>
              <w:autoSpaceDN/>
              <w:adjustRightInd/>
              <w:textAlignment w:val="auto"/>
              <w:rPr>
                <w:rFonts w:ascii="Times New Roman" w:hAnsi="Times New Roman"/>
                <w:b/>
                <w:bCs/>
                <w:color w:val="FF0000"/>
                <w:sz w:val="18"/>
                <w:szCs w:val="18"/>
              </w:rPr>
            </w:pPr>
            <w:r w:rsidRPr="00C739BD">
              <w:rPr>
                <w:rFonts w:ascii="Times New Roman" w:hAnsi="Times New Roman"/>
                <w:b/>
                <w:bCs/>
                <w:color w:val="FF0000"/>
                <w:sz w:val="18"/>
                <w:szCs w:val="18"/>
              </w:rPr>
              <w:t> </w:t>
            </w:r>
          </w:p>
        </w:tc>
        <w:tc>
          <w:tcPr>
            <w:tcW w:w="1530" w:type="dxa"/>
            <w:tcBorders>
              <w:top w:val="nil"/>
              <w:left w:val="nil"/>
              <w:bottom w:val="single" w:color="auto" w:sz="4" w:space="0"/>
              <w:right w:val="single" w:color="auto" w:sz="4" w:space="0"/>
            </w:tcBorders>
            <w:shd w:val="clear" w:color="auto" w:fill="auto"/>
            <w:vAlign w:val="center"/>
            <w:hideMark/>
          </w:tcPr>
          <w:p w:rsidRPr="00C739BD" w:rsidR="00C739BD" w:rsidP="00C739BD" w:rsidRDefault="00C739BD" w14:paraId="3AA8552B" w14:textId="77777777">
            <w:pPr>
              <w:widowControl/>
              <w:overflowPunct/>
              <w:autoSpaceDE/>
              <w:autoSpaceDN/>
              <w:adjustRightInd/>
              <w:jc w:val="center"/>
              <w:textAlignment w:val="auto"/>
              <w:rPr>
                <w:rFonts w:ascii="Times New Roman" w:hAnsi="Times New Roman"/>
                <w:b/>
                <w:bCs/>
                <w:color w:val="FF0000"/>
                <w:sz w:val="18"/>
                <w:szCs w:val="18"/>
              </w:rPr>
            </w:pPr>
            <w:r w:rsidRPr="00C739BD">
              <w:rPr>
                <w:rFonts w:ascii="Times New Roman" w:hAnsi="Times New Roman"/>
                <w:b/>
                <w:bCs/>
                <w:color w:val="FF0000"/>
                <w:sz w:val="18"/>
                <w:szCs w:val="18"/>
              </w:rPr>
              <w:t>$2,012,302.87</w:t>
            </w:r>
          </w:p>
        </w:tc>
      </w:tr>
    </w:tbl>
    <w:p w:rsidR="00342369" w:rsidP="000E40BA" w:rsidRDefault="00342369" w14:paraId="6CD7DD8D" w14:textId="77777777">
      <w:pPr>
        <w:tabs>
          <w:tab w:val="left" w:pos="0"/>
        </w:tabs>
        <w:suppressAutoHyphens/>
        <w:rPr>
          <w:rFonts w:ascii="Times New Roman" w:hAnsi="Times New Roman"/>
        </w:rPr>
      </w:pPr>
    </w:p>
    <w:p w:rsidR="00342369" w:rsidP="000E40BA" w:rsidRDefault="00342369" w14:paraId="31EBE888" w14:textId="77777777">
      <w:pPr>
        <w:tabs>
          <w:tab w:val="left" w:pos="0"/>
        </w:tabs>
        <w:suppressAutoHyphens/>
        <w:rPr>
          <w:rFonts w:ascii="Times New Roman" w:hAnsi="Times New Roman"/>
        </w:rPr>
      </w:pPr>
    </w:p>
    <w:p w:rsidR="000E40BA" w:rsidP="000E40BA" w:rsidRDefault="000E40BA" w14:paraId="0F2C87E6" w14:textId="58FF6121">
      <w:pPr>
        <w:tabs>
          <w:tab w:val="left" w:pos="0"/>
        </w:tabs>
        <w:suppressAutoHyphens/>
        <w:rPr>
          <w:rFonts w:ascii="Times New Roman" w:hAnsi="Times New Roman"/>
        </w:rPr>
      </w:pPr>
    </w:p>
    <w:p w:rsidRPr="00095900" w:rsidR="00801274" w:rsidP="00095900" w:rsidRDefault="00801274" w14:paraId="7A8C8BC0" w14:textId="77777777"/>
    <w:p w:rsidRPr="002568E6" w:rsidR="000438E8" w:rsidP="0062567E" w:rsidRDefault="00FD71D3" w14:paraId="178EC592" w14:textId="77777777">
      <w:pPr>
        <w:pStyle w:val="Heading1"/>
        <w:rPr>
          <w:szCs w:val="24"/>
        </w:rPr>
      </w:pPr>
      <w:bookmarkStart w:name="_Toc401831369" w:id="28"/>
      <w:bookmarkStart w:name="_Toc401832413" w:id="29"/>
      <w:r w:rsidRPr="002568E6">
        <w:rPr>
          <w:szCs w:val="24"/>
        </w:rPr>
        <w:t xml:space="preserve">A13.  Estimates of other total annual cost </w:t>
      </w:r>
      <w:r w:rsidRPr="002568E6" w:rsidR="00ED28F2">
        <w:rPr>
          <w:szCs w:val="24"/>
        </w:rPr>
        <w:t>burden</w:t>
      </w:r>
      <w:r w:rsidRPr="002568E6">
        <w:rPr>
          <w:szCs w:val="24"/>
        </w:rPr>
        <w:t>.</w:t>
      </w:r>
      <w:bookmarkEnd w:id="28"/>
      <w:bookmarkEnd w:id="29"/>
    </w:p>
    <w:p w:rsidRPr="002568E6" w:rsidR="0062567E" w:rsidP="000438E8" w:rsidRDefault="0062567E" w14:paraId="5B3E3EB0" w14:textId="77777777">
      <w:pPr>
        <w:tabs>
          <w:tab w:val="left" w:pos="0"/>
        </w:tabs>
        <w:suppressAutoHyphens/>
        <w:rPr>
          <w:rFonts w:ascii="Times New Roman" w:hAnsi="Times New Roman"/>
          <w:b/>
          <w:szCs w:val="24"/>
        </w:rPr>
      </w:pPr>
    </w:p>
    <w:p w:rsidR="00ED28F2" w:rsidP="00C87CA1" w:rsidRDefault="0062567E" w14:paraId="7DF7DF2B"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w:t>
      </w:r>
      <w:proofErr w:type="spellStart"/>
      <w:r w:rsidRPr="002568E6">
        <w:rPr>
          <w:rFonts w:ascii="Times New Roman" w:hAnsi="Times New Roman"/>
          <w:b/>
          <w:szCs w:val="24"/>
        </w:rPr>
        <w:t>recordkeepers</w:t>
      </w:r>
      <w:proofErr w:type="spellEnd"/>
      <w:r w:rsidRPr="002568E6">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w:t>
      </w:r>
      <w:r w:rsidRPr="002568E6">
        <w:rPr>
          <w:rFonts w:ascii="Times New Roman" w:hAnsi="Times New Roman"/>
          <w:b/>
          <w:szCs w:val="24"/>
        </w:rPr>
        <w:lastRenderedPageBreak/>
        <w:t>up cost component annualized over its expected useful life; and (b) a total operation and maintenance and purchase of services component.</w:t>
      </w:r>
    </w:p>
    <w:p w:rsidR="00C87CA1" w:rsidP="00C87CA1" w:rsidRDefault="00C87CA1" w14:paraId="293970C7" w14:textId="77777777">
      <w:pPr>
        <w:tabs>
          <w:tab w:val="left" w:pos="0"/>
        </w:tabs>
        <w:suppressAutoHyphens/>
        <w:rPr>
          <w:rFonts w:ascii="Times New Roman" w:hAnsi="Times New Roman"/>
          <w:b/>
          <w:szCs w:val="24"/>
        </w:rPr>
      </w:pPr>
    </w:p>
    <w:p w:rsidRPr="002568E6" w:rsidR="00ED28F2" w:rsidP="00ED28F2" w:rsidRDefault="00C40E39" w14:paraId="1BA85B63"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capital/start-up costs for this collection by respondents or </w:t>
      </w:r>
      <w:proofErr w:type="spellStart"/>
      <w:r>
        <w:rPr>
          <w:rFonts w:ascii="Times New Roman" w:hAnsi="Times New Roman"/>
          <w:szCs w:val="24"/>
        </w:rPr>
        <w:t>recordkeepers</w:t>
      </w:r>
      <w:proofErr w:type="spellEnd"/>
      <w:r>
        <w:rPr>
          <w:rFonts w:ascii="Times New Roman" w:hAnsi="Times New Roman"/>
          <w:szCs w:val="24"/>
        </w:rPr>
        <w:t>.</w:t>
      </w:r>
    </w:p>
    <w:p w:rsidRPr="002568E6" w:rsidR="00A308DB" w:rsidP="0062567E" w:rsidRDefault="000438E8" w14:paraId="24C69752" w14:textId="77777777">
      <w:pPr>
        <w:pStyle w:val="Heading1"/>
        <w:rPr>
          <w:szCs w:val="24"/>
        </w:rPr>
      </w:pPr>
      <w:bookmarkStart w:name="_Toc401831370" w:id="30"/>
      <w:bookmarkStart w:name="_Toc401832414" w:id="31"/>
      <w:r w:rsidRPr="00700DC8">
        <w:rPr>
          <w:szCs w:val="24"/>
        </w:rPr>
        <w:t>A14.  Provide estimates of annualized cost to the Federal government.</w:t>
      </w:r>
      <w:bookmarkEnd w:id="30"/>
      <w:bookmarkEnd w:id="31"/>
      <w:r w:rsidRPr="002568E6" w:rsidR="0088245A">
        <w:rPr>
          <w:szCs w:val="24"/>
        </w:rPr>
        <w:t xml:space="preserve">  </w:t>
      </w:r>
    </w:p>
    <w:p w:rsidRPr="002568E6" w:rsidR="0062567E" w:rsidP="000438E8" w:rsidRDefault="0062567E" w14:paraId="71A7DAA9" w14:textId="77777777">
      <w:pPr>
        <w:tabs>
          <w:tab w:val="left" w:pos="0"/>
        </w:tabs>
        <w:suppressAutoHyphens/>
        <w:rPr>
          <w:rFonts w:ascii="Times New Roman" w:hAnsi="Times New Roman"/>
          <w:szCs w:val="24"/>
        </w:rPr>
      </w:pPr>
    </w:p>
    <w:p w:rsidRPr="002568E6" w:rsidR="0062567E" w:rsidP="0062567E" w:rsidRDefault="0062567E" w14:paraId="4F7C763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r w:rsidR="00DB3555">
        <w:rPr>
          <w:b/>
          <w:szCs w:val="24"/>
        </w:rPr>
        <w:br/>
      </w:r>
    </w:p>
    <w:p w:rsidR="0062567E" w:rsidP="00B0051F" w:rsidRDefault="00DB3555" w14:paraId="74D0CAEA" w14:textId="326A5C69">
      <w:pPr>
        <w:tabs>
          <w:tab w:val="left" w:pos="0"/>
        </w:tabs>
        <w:suppressAutoHyphens/>
        <w:spacing w:line="480" w:lineRule="auto"/>
        <w:rPr>
          <w:rFonts w:ascii="Times New Roman" w:hAnsi="Times New Roman"/>
          <w:szCs w:val="24"/>
        </w:rPr>
      </w:pPr>
      <w:r>
        <w:rPr>
          <w:rFonts w:ascii="Times New Roman" w:hAnsi="Times New Roman"/>
          <w:szCs w:val="24"/>
        </w:rPr>
        <w:t>The annual cost to the Federal Government to collect and use the data for the FNS-245 is estimated at $</w:t>
      </w:r>
      <w:r w:rsidRPr="003A4109" w:rsidR="003A4109">
        <w:rPr>
          <w:rFonts w:ascii="Times New Roman" w:hAnsi="Times New Roman"/>
          <w:szCs w:val="24"/>
        </w:rPr>
        <w:t>5,275,083.60</w:t>
      </w:r>
      <w:r w:rsidR="008323CB">
        <w:rPr>
          <w:rFonts w:ascii="Times New Roman" w:hAnsi="Times New Roman"/>
          <w:szCs w:val="24"/>
        </w:rPr>
        <w:t xml:space="preserve"> </w:t>
      </w:r>
      <w:r w:rsidR="00934F65">
        <w:rPr>
          <w:rFonts w:ascii="Times New Roman" w:hAnsi="Times New Roman"/>
          <w:szCs w:val="24"/>
        </w:rPr>
        <w:t xml:space="preserve">(including fringe benefits).  </w:t>
      </w:r>
      <w:r>
        <w:rPr>
          <w:rFonts w:ascii="Times New Roman" w:hAnsi="Times New Roman"/>
          <w:szCs w:val="24"/>
        </w:rPr>
        <w:t xml:space="preserve">This cost includes (1) the cost of printing reporting forms; (2) </w:t>
      </w:r>
      <w:r w:rsidR="005F2AD1">
        <w:rPr>
          <w:rFonts w:ascii="Times New Roman" w:hAnsi="Times New Roman"/>
          <w:szCs w:val="24"/>
        </w:rPr>
        <w:t xml:space="preserve">the Federal government’s share of State Agency’s reimbursable operating costs for SNAP; (3) </w:t>
      </w:r>
      <w:r w:rsidR="00934F65">
        <w:rPr>
          <w:rFonts w:ascii="Times New Roman" w:hAnsi="Times New Roman"/>
          <w:szCs w:val="24"/>
        </w:rPr>
        <w:t xml:space="preserve">using 2021 Federal General Schedule </w:t>
      </w:r>
      <w:r w:rsidR="005F2AD1">
        <w:rPr>
          <w:rFonts w:ascii="Times New Roman" w:hAnsi="Times New Roman"/>
          <w:szCs w:val="24"/>
        </w:rPr>
        <w:t xml:space="preserve">the cost for 105 Federal regional staff to spend 33 percent of their annual time </w:t>
      </w:r>
      <w:r>
        <w:rPr>
          <w:rFonts w:ascii="Times New Roman" w:hAnsi="Times New Roman"/>
          <w:szCs w:val="24"/>
        </w:rPr>
        <w:t>review</w:t>
      </w:r>
      <w:r w:rsidR="005F2AD1">
        <w:rPr>
          <w:rFonts w:ascii="Times New Roman" w:hAnsi="Times New Roman"/>
          <w:szCs w:val="24"/>
        </w:rPr>
        <w:t>ing</w:t>
      </w:r>
      <w:r>
        <w:rPr>
          <w:rFonts w:ascii="Times New Roman" w:hAnsi="Times New Roman"/>
          <w:szCs w:val="24"/>
        </w:rPr>
        <w:t xml:space="preserve"> and </w:t>
      </w:r>
      <w:r w:rsidR="005F2AD1">
        <w:rPr>
          <w:rFonts w:ascii="Times New Roman" w:hAnsi="Times New Roman"/>
          <w:szCs w:val="24"/>
        </w:rPr>
        <w:t>approving the data submitted by the State agency for negative reviews</w:t>
      </w:r>
      <w:r>
        <w:rPr>
          <w:rFonts w:ascii="Times New Roman" w:hAnsi="Times New Roman"/>
          <w:szCs w:val="24"/>
        </w:rPr>
        <w:t xml:space="preserve">; </w:t>
      </w:r>
      <w:r w:rsidR="0010656A">
        <w:rPr>
          <w:rFonts w:ascii="Times New Roman" w:hAnsi="Times New Roman"/>
          <w:szCs w:val="24"/>
        </w:rPr>
        <w:t>(4)</w:t>
      </w:r>
      <w:r w:rsidR="005F2AD1">
        <w:rPr>
          <w:rFonts w:ascii="Times New Roman" w:hAnsi="Times New Roman"/>
          <w:szCs w:val="24"/>
        </w:rPr>
        <w:t xml:space="preserve"> the cost for national office program staff and supervisors to draft, review &amp; approve</w:t>
      </w:r>
      <w:r w:rsidRPr="005F2AD1" w:rsidR="005F2AD1">
        <w:rPr>
          <w:rFonts w:ascii="Times New Roman" w:hAnsi="Times New Roman"/>
          <w:szCs w:val="24"/>
        </w:rPr>
        <w:t xml:space="preserve"> </w:t>
      </w:r>
      <w:r w:rsidR="005F2AD1">
        <w:rPr>
          <w:rFonts w:ascii="Times New Roman" w:hAnsi="Times New Roman"/>
          <w:szCs w:val="24"/>
        </w:rPr>
        <w:t xml:space="preserve">this </w:t>
      </w:r>
      <w:r w:rsidRPr="005F2AD1" w:rsidR="005F2AD1">
        <w:rPr>
          <w:rFonts w:ascii="Times New Roman" w:hAnsi="Times New Roman"/>
          <w:szCs w:val="24"/>
        </w:rPr>
        <w:t>ICR</w:t>
      </w:r>
      <w:r w:rsidR="005F2AD1">
        <w:rPr>
          <w:rFonts w:ascii="Times New Roman" w:hAnsi="Times New Roman"/>
          <w:szCs w:val="24"/>
        </w:rPr>
        <w:t xml:space="preserve">; and (5) automated system costs associated with the FNS 245 form[includes system monitoring and salaries]. </w:t>
      </w:r>
    </w:p>
    <w:tbl>
      <w:tblPr>
        <w:tblW w:w="11445" w:type="dxa"/>
        <w:tblInd w:w="-1090" w:type="dxa"/>
        <w:tblLook w:val="04A0" w:firstRow="1" w:lastRow="0" w:firstColumn="1" w:lastColumn="0" w:noHBand="0" w:noVBand="1"/>
      </w:tblPr>
      <w:tblGrid>
        <w:gridCol w:w="2712"/>
        <w:gridCol w:w="1319"/>
        <w:gridCol w:w="1539"/>
        <w:gridCol w:w="1720"/>
        <w:gridCol w:w="2070"/>
        <w:gridCol w:w="2085"/>
      </w:tblGrid>
      <w:tr w:rsidRPr="003A4109" w:rsidR="003A4109" w:rsidTr="003A4109" w14:paraId="47518007" w14:textId="77777777">
        <w:trPr>
          <w:trHeight w:val="312"/>
        </w:trPr>
        <w:tc>
          <w:tcPr>
            <w:tcW w:w="11445"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3A4109" w:rsidR="003A4109" w:rsidP="003A4109" w:rsidRDefault="003A4109" w14:paraId="4B4C4074" w14:textId="77777777">
            <w:pPr>
              <w:widowControl/>
              <w:overflowPunct/>
              <w:autoSpaceDE/>
              <w:autoSpaceDN/>
              <w:adjustRightInd/>
              <w:jc w:val="center"/>
              <w:textAlignment w:val="auto"/>
              <w:rPr>
                <w:rFonts w:ascii="Times New Roman" w:hAnsi="Times New Roman"/>
                <w:b/>
                <w:bCs/>
                <w:color w:val="000000"/>
                <w:sz w:val="20"/>
              </w:rPr>
            </w:pPr>
            <w:r w:rsidRPr="003A4109">
              <w:rPr>
                <w:rFonts w:ascii="Times New Roman" w:hAnsi="Times New Roman"/>
                <w:b/>
                <w:bCs/>
                <w:color w:val="000000"/>
                <w:sz w:val="20"/>
              </w:rPr>
              <w:t>Estimates of Annualized Cost to Federal Government for FNS 245, OMB 0584-0034</w:t>
            </w:r>
          </w:p>
        </w:tc>
      </w:tr>
      <w:tr w:rsidRPr="003A4109" w:rsidR="003A4109" w:rsidTr="003A4109" w14:paraId="5EB047D8" w14:textId="77777777">
        <w:trPr>
          <w:trHeight w:val="772"/>
        </w:trPr>
        <w:tc>
          <w:tcPr>
            <w:tcW w:w="2712" w:type="dxa"/>
            <w:tcBorders>
              <w:top w:val="nil"/>
              <w:left w:val="single" w:color="auto" w:sz="8" w:space="0"/>
              <w:bottom w:val="nil"/>
              <w:right w:val="single" w:color="auto" w:sz="8" w:space="0"/>
            </w:tcBorders>
            <w:shd w:val="clear" w:color="auto" w:fill="auto"/>
            <w:vAlign w:val="center"/>
            <w:hideMark/>
          </w:tcPr>
          <w:p w:rsidRPr="003A4109" w:rsidR="003A4109" w:rsidP="003A4109" w:rsidRDefault="003A4109" w14:paraId="1CA956E0"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Activities</w:t>
            </w:r>
          </w:p>
        </w:tc>
        <w:tc>
          <w:tcPr>
            <w:tcW w:w="1319" w:type="dxa"/>
            <w:tcBorders>
              <w:top w:val="nil"/>
              <w:left w:val="nil"/>
              <w:bottom w:val="nil"/>
              <w:right w:val="single" w:color="auto" w:sz="8" w:space="0"/>
            </w:tcBorders>
            <w:shd w:val="clear" w:color="auto" w:fill="auto"/>
            <w:vAlign w:val="center"/>
            <w:hideMark/>
          </w:tcPr>
          <w:p w:rsidRPr="003A4109" w:rsidR="003A4109" w:rsidP="003A4109" w:rsidRDefault="003A4109" w14:paraId="27768A0C"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Hours Spent on Collection</w:t>
            </w:r>
          </w:p>
        </w:tc>
        <w:tc>
          <w:tcPr>
            <w:tcW w:w="1539" w:type="dxa"/>
            <w:tcBorders>
              <w:top w:val="nil"/>
              <w:left w:val="nil"/>
              <w:bottom w:val="nil"/>
              <w:right w:val="single" w:color="auto" w:sz="8" w:space="0"/>
            </w:tcBorders>
            <w:shd w:val="clear" w:color="auto" w:fill="auto"/>
            <w:vAlign w:val="center"/>
            <w:hideMark/>
          </w:tcPr>
          <w:p w:rsidRPr="003A4109" w:rsidR="003A4109" w:rsidP="003A4109" w:rsidRDefault="003A4109" w14:paraId="099AAA75"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Costs or Hourly Wage Rate</w:t>
            </w:r>
          </w:p>
        </w:tc>
        <w:tc>
          <w:tcPr>
            <w:tcW w:w="1720" w:type="dxa"/>
            <w:tcBorders>
              <w:top w:val="nil"/>
              <w:left w:val="nil"/>
              <w:bottom w:val="nil"/>
              <w:right w:val="single" w:color="auto" w:sz="8" w:space="0"/>
            </w:tcBorders>
            <w:shd w:val="clear" w:color="auto" w:fill="auto"/>
            <w:vAlign w:val="center"/>
            <w:hideMark/>
          </w:tcPr>
          <w:p w:rsidRPr="003A4109" w:rsidR="003A4109" w:rsidP="003A4109" w:rsidRDefault="003A4109" w14:paraId="0D89F18C"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Total Cost</w:t>
            </w:r>
          </w:p>
        </w:tc>
        <w:tc>
          <w:tcPr>
            <w:tcW w:w="2070" w:type="dxa"/>
            <w:tcBorders>
              <w:top w:val="nil"/>
              <w:left w:val="nil"/>
              <w:bottom w:val="nil"/>
              <w:right w:val="single" w:color="auto" w:sz="8" w:space="0"/>
            </w:tcBorders>
            <w:shd w:val="clear" w:color="auto" w:fill="auto"/>
            <w:vAlign w:val="center"/>
            <w:hideMark/>
          </w:tcPr>
          <w:p w:rsidRPr="003A4109" w:rsidR="003A4109" w:rsidP="003A4109" w:rsidRDefault="003A4109" w14:paraId="00042D54"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Fringe Benefits Cost for Staff (0.33)</w:t>
            </w:r>
          </w:p>
        </w:tc>
        <w:tc>
          <w:tcPr>
            <w:tcW w:w="2085" w:type="dxa"/>
            <w:tcBorders>
              <w:top w:val="nil"/>
              <w:left w:val="nil"/>
              <w:bottom w:val="nil"/>
              <w:right w:val="single" w:color="auto" w:sz="8" w:space="0"/>
            </w:tcBorders>
            <w:shd w:val="clear" w:color="auto" w:fill="auto"/>
            <w:vAlign w:val="center"/>
            <w:hideMark/>
          </w:tcPr>
          <w:p w:rsidRPr="003A4109" w:rsidR="003A4109" w:rsidP="003A4109" w:rsidRDefault="003A4109" w14:paraId="3B4B9C19" w14:textId="77777777">
            <w:pPr>
              <w:widowControl/>
              <w:overflowPunct/>
              <w:autoSpaceDE/>
              <w:autoSpaceDN/>
              <w:adjustRightInd/>
              <w:textAlignment w:val="auto"/>
              <w:rPr>
                <w:rFonts w:ascii="Times New Roman" w:hAnsi="Times New Roman"/>
                <w:b/>
                <w:bCs/>
                <w:color w:val="000000"/>
                <w:sz w:val="20"/>
              </w:rPr>
            </w:pPr>
            <w:r w:rsidRPr="003A4109">
              <w:rPr>
                <w:rFonts w:ascii="Times New Roman" w:hAnsi="Times New Roman"/>
                <w:b/>
                <w:bCs/>
                <w:color w:val="000000"/>
                <w:sz w:val="20"/>
              </w:rPr>
              <w:t>Overall Base Cost w/ Fringe Benefits for Staff</w:t>
            </w:r>
          </w:p>
        </w:tc>
      </w:tr>
      <w:tr w:rsidRPr="003A4109" w:rsidR="003A4109" w:rsidTr="003A4109" w14:paraId="1556271B" w14:textId="77777777">
        <w:trPr>
          <w:trHeight w:val="312"/>
        </w:trPr>
        <w:tc>
          <w:tcPr>
            <w:tcW w:w="271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2BC10C3A"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1.  Printing Cost</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3A4109" w:rsidR="003A4109" w:rsidP="003A4109" w:rsidRDefault="003A4109" w14:paraId="27FECFFC"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1539" w:type="dxa"/>
            <w:tcBorders>
              <w:top w:val="single" w:color="auto" w:sz="8" w:space="0"/>
              <w:left w:val="nil"/>
              <w:bottom w:val="single" w:color="auto" w:sz="8" w:space="0"/>
              <w:right w:val="single" w:color="auto" w:sz="8" w:space="0"/>
            </w:tcBorders>
            <w:shd w:val="clear" w:color="auto" w:fill="auto"/>
            <w:vAlign w:val="center"/>
            <w:hideMark/>
          </w:tcPr>
          <w:p w:rsidRPr="003A4109" w:rsidR="003A4109" w:rsidP="003A4109" w:rsidRDefault="003A4109" w14:paraId="757DB1E3"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 </w:t>
            </w:r>
          </w:p>
        </w:tc>
        <w:tc>
          <w:tcPr>
            <w:tcW w:w="1720" w:type="dxa"/>
            <w:tcBorders>
              <w:top w:val="single" w:color="auto" w:sz="8" w:space="0"/>
              <w:left w:val="nil"/>
              <w:bottom w:val="single" w:color="auto" w:sz="8" w:space="0"/>
              <w:right w:val="single" w:color="auto" w:sz="8" w:space="0"/>
            </w:tcBorders>
            <w:shd w:val="clear" w:color="auto" w:fill="auto"/>
            <w:vAlign w:val="center"/>
            <w:hideMark/>
          </w:tcPr>
          <w:p w:rsidRPr="003A4109" w:rsidR="003A4109" w:rsidP="003A4109" w:rsidRDefault="003A4109" w14:paraId="721E4C45"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$2,000.00</w:t>
            </w:r>
          </w:p>
        </w:tc>
        <w:tc>
          <w:tcPr>
            <w:tcW w:w="2070" w:type="dxa"/>
            <w:tcBorders>
              <w:top w:val="single" w:color="auto" w:sz="8" w:space="0"/>
              <w:left w:val="nil"/>
              <w:bottom w:val="single" w:color="auto" w:sz="8" w:space="0"/>
              <w:right w:val="single" w:color="auto" w:sz="8" w:space="0"/>
            </w:tcBorders>
            <w:shd w:val="clear" w:color="auto" w:fill="auto"/>
            <w:vAlign w:val="center"/>
            <w:hideMark/>
          </w:tcPr>
          <w:p w:rsidRPr="003A4109" w:rsidR="003A4109" w:rsidP="003A4109" w:rsidRDefault="003A4109" w14:paraId="0F60E82F"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2085" w:type="dxa"/>
            <w:tcBorders>
              <w:top w:val="single" w:color="auto" w:sz="8" w:space="0"/>
              <w:left w:val="nil"/>
              <w:bottom w:val="single" w:color="auto" w:sz="8" w:space="0"/>
              <w:right w:val="single" w:color="auto" w:sz="8" w:space="0"/>
            </w:tcBorders>
            <w:shd w:val="clear" w:color="auto" w:fill="auto"/>
            <w:vAlign w:val="center"/>
            <w:hideMark/>
          </w:tcPr>
          <w:p w:rsidRPr="003A4109" w:rsidR="003A4109" w:rsidP="003A4109" w:rsidRDefault="003A4109" w14:paraId="13B802F5"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$2,000.00</w:t>
            </w:r>
          </w:p>
        </w:tc>
      </w:tr>
      <w:tr w:rsidRPr="003A4109" w:rsidR="003A4109" w:rsidTr="003A4109" w14:paraId="62EAA4AC" w14:textId="77777777">
        <w:trPr>
          <w:trHeight w:val="518"/>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2526EFD5"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2.  50% Reimbursement Cost to States for reporting &amp; recordkeeping administrative cost</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1CB7A9F"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562C0119"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 </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1330607"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$1,513,009.67</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4D7B349A"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$499,293.19</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0A9DCDBE"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$2,012,302.87</w:t>
            </w:r>
          </w:p>
        </w:tc>
      </w:tr>
      <w:tr w:rsidRPr="003A4109" w:rsidR="003A4109" w:rsidTr="003A4109" w14:paraId="69E222F4" w14:textId="77777777">
        <w:trPr>
          <w:trHeight w:val="518"/>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5EBC5298"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3.  33% of annual salary for 105 Regional Federal Staff (GS 12/1 base) annual</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9B97193"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5A4704DE"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 </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192AB36"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$2,315,624.85</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22BF2C68"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$764,156.20</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1B1759F1"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$3,079,781.05</w:t>
            </w:r>
          </w:p>
        </w:tc>
      </w:tr>
      <w:tr w:rsidRPr="003A4109" w:rsidR="003A4109" w:rsidTr="003A4109" w14:paraId="7039A313" w14:textId="77777777">
        <w:trPr>
          <w:trHeight w:val="772"/>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2363D185"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lastRenderedPageBreak/>
              <w:t>4a .Program Analyst GS 13 step 1 base Estimates of Annualized Cost to Federal Government for drafting, reviewing &amp; approving ICR</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47699DDA"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80</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39D9996D"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$32.02</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BDFAD48"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$36.99</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F079651"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$12.21</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11EA8AB"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$49.20</w:t>
            </w:r>
          </w:p>
        </w:tc>
      </w:tr>
      <w:tr w:rsidRPr="003A4109" w:rsidR="003A4109" w:rsidTr="003A4109" w14:paraId="4E7427F7" w14:textId="77777777">
        <w:trPr>
          <w:trHeight w:val="772"/>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6E3212E0"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4b. Program Branch Chief Estimates of Annualized Cost to Federal Government for drafting, reviewing &amp; approving ICR</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120B08B3"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10</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4C596F1A"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$45.00</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1E081B81"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$450.00</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3813DC49"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$148.50</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CF6ADBD"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$598.50</w:t>
            </w:r>
          </w:p>
        </w:tc>
      </w:tr>
      <w:tr w:rsidRPr="003A4109" w:rsidR="003A4109" w:rsidTr="003A4109" w14:paraId="326699B0" w14:textId="77777777">
        <w:trPr>
          <w:trHeight w:val="772"/>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592E15C1"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4c. Program Division Director Estimates of Annualized Cost to Federal Government for drafting, reviewing &amp; approving ICR</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580583F3"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5</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6A3DE43"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$52.93</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37929A24"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$264.65</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0E301CD7"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$87.33</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6CF1BB3"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$351.98</w:t>
            </w:r>
          </w:p>
        </w:tc>
      </w:tr>
      <w:tr w:rsidRPr="003A4109" w:rsidR="003A4109" w:rsidTr="003A4109" w14:paraId="4BF0B003" w14:textId="77777777">
        <w:trPr>
          <w:trHeight w:val="518"/>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2522D1DA"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5. Automated System Cost (includes fringe benefits in fixed rate Contractor Monitoring)</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43D954AA"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0391C7A4"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$180,000.00</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0AA495CE"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$180,000.00</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6713AE4A" w14:textId="77777777">
            <w:pPr>
              <w:widowControl/>
              <w:overflowPunct/>
              <w:autoSpaceDE/>
              <w:autoSpaceDN/>
              <w:adjustRightInd/>
              <w:textAlignment w:val="auto"/>
              <w:rPr>
                <w:rFonts w:ascii="Times New Roman" w:hAnsi="Times New Roman"/>
                <w:color w:val="000000"/>
                <w:sz w:val="20"/>
              </w:rPr>
            </w:pPr>
            <w:r w:rsidRPr="003A4109">
              <w:rPr>
                <w:rFonts w:ascii="Times New Roman" w:hAnsi="Times New Roman"/>
                <w:color w:val="000000"/>
                <w:sz w:val="20"/>
              </w:rPr>
              <w:t>N/A</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9123E65" w14:textId="77777777">
            <w:pPr>
              <w:widowControl/>
              <w:overflowPunct/>
              <w:autoSpaceDE/>
              <w:autoSpaceDN/>
              <w:adjustRightInd/>
              <w:jc w:val="right"/>
              <w:textAlignment w:val="auto"/>
              <w:rPr>
                <w:rFonts w:ascii="Times New Roman" w:hAnsi="Times New Roman"/>
                <w:color w:val="000000"/>
                <w:sz w:val="20"/>
              </w:rPr>
            </w:pPr>
            <w:r w:rsidRPr="003A4109">
              <w:rPr>
                <w:rFonts w:ascii="Times New Roman" w:hAnsi="Times New Roman"/>
                <w:color w:val="000000"/>
                <w:sz w:val="20"/>
              </w:rPr>
              <w:t>$180,000.00</w:t>
            </w:r>
          </w:p>
        </w:tc>
      </w:tr>
      <w:tr w:rsidRPr="003A4109" w:rsidR="003A4109" w:rsidTr="003A4109" w14:paraId="568BEDCD" w14:textId="77777777">
        <w:trPr>
          <w:trHeight w:val="312"/>
        </w:trPr>
        <w:tc>
          <w:tcPr>
            <w:tcW w:w="2712" w:type="dxa"/>
            <w:tcBorders>
              <w:top w:val="nil"/>
              <w:left w:val="single" w:color="auto" w:sz="8" w:space="0"/>
              <w:bottom w:val="single" w:color="auto" w:sz="8" w:space="0"/>
              <w:right w:val="single" w:color="auto" w:sz="8" w:space="0"/>
            </w:tcBorders>
            <w:shd w:val="clear" w:color="auto" w:fill="auto"/>
            <w:vAlign w:val="center"/>
            <w:hideMark/>
          </w:tcPr>
          <w:p w:rsidRPr="003A4109" w:rsidR="003A4109" w:rsidP="003A4109" w:rsidRDefault="003A4109" w14:paraId="6B9D3EBA" w14:textId="77777777">
            <w:pPr>
              <w:widowControl/>
              <w:overflowPunct/>
              <w:autoSpaceDE/>
              <w:autoSpaceDN/>
              <w:adjustRightInd/>
              <w:textAlignment w:val="auto"/>
              <w:rPr>
                <w:rFonts w:ascii="Times New Roman" w:hAnsi="Times New Roman"/>
                <w:b/>
                <w:bCs/>
                <w:color w:val="FF0000"/>
                <w:sz w:val="20"/>
              </w:rPr>
            </w:pPr>
            <w:r w:rsidRPr="003A4109">
              <w:rPr>
                <w:rFonts w:ascii="Times New Roman" w:hAnsi="Times New Roman"/>
                <w:b/>
                <w:bCs/>
                <w:color w:val="FF0000"/>
                <w:sz w:val="20"/>
              </w:rPr>
              <w:t>Grand Total Cost to Government</w:t>
            </w:r>
          </w:p>
        </w:tc>
        <w:tc>
          <w:tcPr>
            <w:tcW w:w="131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0A7C4508" w14:textId="77777777">
            <w:pPr>
              <w:widowControl/>
              <w:overflowPunct/>
              <w:autoSpaceDE/>
              <w:autoSpaceDN/>
              <w:adjustRightInd/>
              <w:textAlignment w:val="auto"/>
              <w:rPr>
                <w:rFonts w:ascii="Times New Roman" w:hAnsi="Times New Roman"/>
                <w:color w:val="FF0000"/>
                <w:sz w:val="20"/>
              </w:rPr>
            </w:pPr>
            <w:r w:rsidRPr="003A4109">
              <w:rPr>
                <w:rFonts w:ascii="Times New Roman" w:hAnsi="Times New Roman"/>
                <w:color w:val="FF0000"/>
                <w:sz w:val="20"/>
              </w:rPr>
              <w:t> </w:t>
            </w:r>
          </w:p>
        </w:tc>
        <w:tc>
          <w:tcPr>
            <w:tcW w:w="1539"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5C710744" w14:textId="77777777">
            <w:pPr>
              <w:widowControl/>
              <w:overflowPunct/>
              <w:autoSpaceDE/>
              <w:autoSpaceDN/>
              <w:adjustRightInd/>
              <w:textAlignment w:val="auto"/>
              <w:rPr>
                <w:rFonts w:ascii="Times New Roman" w:hAnsi="Times New Roman"/>
                <w:color w:val="FF0000"/>
                <w:sz w:val="20"/>
              </w:rPr>
            </w:pPr>
            <w:r w:rsidRPr="003A4109">
              <w:rPr>
                <w:rFonts w:ascii="Times New Roman" w:hAnsi="Times New Roman"/>
                <w:color w:val="FF0000"/>
                <w:sz w:val="20"/>
              </w:rPr>
              <w:t> </w:t>
            </w:r>
          </w:p>
        </w:tc>
        <w:tc>
          <w:tcPr>
            <w:tcW w:w="172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7730A0DA" w14:textId="77777777">
            <w:pPr>
              <w:widowControl/>
              <w:overflowPunct/>
              <w:autoSpaceDE/>
              <w:autoSpaceDN/>
              <w:adjustRightInd/>
              <w:jc w:val="right"/>
              <w:textAlignment w:val="auto"/>
              <w:rPr>
                <w:rFonts w:ascii="Times New Roman" w:hAnsi="Times New Roman"/>
                <w:color w:val="FF0000"/>
                <w:sz w:val="20"/>
              </w:rPr>
            </w:pPr>
            <w:r w:rsidRPr="003A4109">
              <w:rPr>
                <w:rFonts w:ascii="Times New Roman" w:hAnsi="Times New Roman"/>
                <w:color w:val="FF0000"/>
                <w:sz w:val="20"/>
              </w:rPr>
              <w:t>$4,011,386.16</w:t>
            </w:r>
          </w:p>
        </w:tc>
        <w:tc>
          <w:tcPr>
            <w:tcW w:w="2070"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1F97D3A4" w14:textId="77777777">
            <w:pPr>
              <w:widowControl/>
              <w:overflowPunct/>
              <w:autoSpaceDE/>
              <w:autoSpaceDN/>
              <w:adjustRightInd/>
              <w:jc w:val="right"/>
              <w:textAlignment w:val="auto"/>
              <w:rPr>
                <w:rFonts w:ascii="Times New Roman" w:hAnsi="Times New Roman"/>
                <w:color w:val="FF0000"/>
                <w:sz w:val="20"/>
              </w:rPr>
            </w:pPr>
            <w:r w:rsidRPr="003A4109">
              <w:rPr>
                <w:rFonts w:ascii="Times New Roman" w:hAnsi="Times New Roman"/>
                <w:color w:val="FF0000"/>
                <w:sz w:val="20"/>
              </w:rPr>
              <w:t>$1,263,697.43</w:t>
            </w:r>
          </w:p>
        </w:tc>
        <w:tc>
          <w:tcPr>
            <w:tcW w:w="2085" w:type="dxa"/>
            <w:tcBorders>
              <w:top w:val="nil"/>
              <w:left w:val="nil"/>
              <w:bottom w:val="single" w:color="auto" w:sz="8" w:space="0"/>
              <w:right w:val="single" w:color="auto" w:sz="8" w:space="0"/>
            </w:tcBorders>
            <w:shd w:val="clear" w:color="auto" w:fill="auto"/>
            <w:vAlign w:val="center"/>
            <w:hideMark/>
          </w:tcPr>
          <w:p w:rsidRPr="003A4109" w:rsidR="003A4109" w:rsidP="003A4109" w:rsidRDefault="003A4109" w14:paraId="1E9F0B94" w14:textId="77777777">
            <w:pPr>
              <w:widowControl/>
              <w:overflowPunct/>
              <w:autoSpaceDE/>
              <w:autoSpaceDN/>
              <w:adjustRightInd/>
              <w:jc w:val="right"/>
              <w:textAlignment w:val="auto"/>
              <w:rPr>
                <w:rFonts w:ascii="Times New Roman" w:hAnsi="Times New Roman"/>
                <w:b/>
                <w:bCs/>
                <w:color w:val="FF0000"/>
                <w:sz w:val="20"/>
              </w:rPr>
            </w:pPr>
            <w:r w:rsidRPr="003A4109">
              <w:rPr>
                <w:rFonts w:ascii="Times New Roman" w:hAnsi="Times New Roman"/>
                <w:b/>
                <w:bCs/>
                <w:color w:val="FF0000"/>
                <w:sz w:val="20"/>
              </w:rPr>
              <w:t>$5,275,083.60</w:t>
            </w:r>
          </w:p>
        </w:tc>
      </w:tr>
    </w:tbl>
    <w:p w:rsidR="005F2AD1" w:rsidP="00B0051F" w:rsidRDefault="005F2AD1" w14:paraId="6BA82569" w14:textId="77777777">
      <w:pPr>
        <w:tabs>
          <w:tab w:val="left" w:pos="0"/>
        </w:tabs>
        <w:suppressAutoHyphens/>
        <w:spacing w:line="480" w:lineRule="auto"/>
        <w:rPr>
          <w:rFonts w:ascii="Times New Roman" w:hAnsi="Times New Roman"/>
          <w:szCs w:val="24"/>
        </w:rPr>
      </w:pPr>
    </w:p>
    <w:p w:rsidR="00DB3555" w:rsidP="000438E8" w:rsidRDefault="00DB3555" w14:paraId="09055B29" w14:textId="77777777">
      <w:pPr>
        <w:tabs>
          <w:tab w:val="left" w:pos="0"/>
        </w:tabs>
        <w:suppressAutoHyphens/>
        <w:rPr>
          <w:rFonts w:ascii="Times New Roman" w:hAnsi="Times New Roman"/>
          <w:szCs w:val="24"/>
        </w:rPr>
      </w:pPr>
    </w:p>
    <w:p w:rsidRPr="002568E6" w:rsidR="000438E8" w:rsidP="0062567E" w:rsidRDefault="000438E8" w14:paraId="36C8811B" w14:textId="77777777">
      <w:pPr>
        <w:pStyle w:val="Heading1"/>
        <w:rPr>
          <w:szCs w:val="24"/>
        </w:rPr>
      </w:pPr>
      <w:bookmarkStart w:name="_Toc401831371" w:id="32"/>
      <w:bookmarkStart w:name="_Toc401832415" w:id="33"/>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2"/>
      <w:bookmarkEnd w:id="33"/>
    </w:p>
    <w:p w:rsidRPr="002568E6" w:rsidR="0062567E" w:rsidP="0062567E" w:rsidRDefault="0062567E" w14:paraId="450DC652" w14:textId="77777777">
      <w:pPr>
        <w:tabs>
          <w:tab w:val="left" w:pos="0"/>
        </w:tabs>
        <w:suppressAutoHyphens/>
        <w:jc w:val="center"/>
        <w:rPr>
          <w:rFonts w:ascii="Times New Roman" w:hAnsi="Times New Roman"/>
          <w:b/>
          <w:szCs w:val="24"/>
        </w:rPr>
      </w:pPr>
    </w:p>
    <w:p w:rsidRPr="002568E6" w:rsidR="0062567E" w:rsidP="0062567E" w:rsidRDefault="0062567E" w14:paraId="3C7E05A4"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r w:rsidR="00DB3555">
        <w:rPr>
          <w:b/>
          <w:szCs w:val="24"/>
        </w:rPr>
        <w:br/>
      </w:r>
    </w:p>
    <w:p w:rsidRPr="002568E6" w:rsidR="00ED28F2" w:rsidP="00700DC8" w:rsidRDefault="00DB3555" w14:paraId="49AB33DA" w14:textId="61B675FC">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revision of a currently approved information collection.  The total negative case selection decreased from </w:t>
      </w:r>
      <w:r w:rsidRPr="007E0BFC">
        <w:rPr>
          <w:rFonts w:ascii="Times New Roman" w:hAnsi="Times New Roman"/>
        </w:rPr>
        <w:t>38,970 cases in FY 2015</w:t>
      </w:r>
      <w:r w:rsidR="00AF4504">
        <w:rPr>
          <w:rFonts w:ascii="Times New Roman" w:hAnsi="Times New Roman"/>
        </w:rPr>
        <w:t xml:space="preserve"> to 35,446 cases in FY 2019</w:t>
      </w:r>
      <w:r>
        <w:rPr>
          <w:rFonts w:ascii="Times New Roman" w:hAnsi="Times New Roman"/>
        </w:rPr>
        <w:t xml:space="preserve">.  This caused an adjustment in the overall burden from </w:t>
      </w:r>
      <w:r w:rsidRPr="00DB3555">
        <w:rPr>
          <w:rFonts w:ascii="Times New Roman" w:hAnsi="Times New Roman"/>
        </w:rPr>
        <w:t>115,514.87</w:t>
      </w:r>
      <w:r>
        <w:rPr>
          <w:rFonts w:ascii="Times New Roman" w:hAnsi="Times New Roman"/>
        </w:rPr>
        <w:t xml:space="preserve"> hours in FY 2015</w:t>
      </w:r>
      <w:r w:rsidR="00AF4504">
        <w:rPr>
          <w:rFonts w:ascii="Times New Roman" w:hAnsi="Times New Roman"/>
        </w:rPr>
        <w:t xml:space="preserve"> to 112,491.43 hours in FY 2019</w:t>
      </w:r>
      <w:r>
        <w:rPr>
          <w:rFonts w:ascii="Times New Roman" w:hAnsi="Times New Roman"/>
        </w:rPr>
        <w:t xml:space="preserve">; a </w:t>
      </w:r>
      <w:r w:rsidR="00AF4504">
        <w:rPr>
          <w:rFonts w:ascii="Times New Roman" w:hAnsi="Times New Roman"/>
        </w:rPr>
        <w:t>3,022.97</w:t>
      </w:r>
      <w:r>
        <w:rPr>
          <w:rFonts w:ascii="Times New Roman" w:hAnsi="Times New Roman"/>
        </w:rPr>
        <w:t xml:space="preserve"> hour </w:t>
      </w:r>
      <w:r>
        <w:rPr>
          <w:rFonts w:ascii="Times New Roman" w:hAnsi="Times New Roman"/>
        </w:rPr>
        <w:lastRenderedPageBreak/>
        <w:t>decrease in overall burden.</w:t>
      </w:r>
      <w:r w:rsidR="006C29B1">
        <w:rPr>
          <w:rFonts w:ascii="Times New Roman" w:hAnsi="Times New Roman"/>
        </w:rPr>
        <w:t xml:space="preserve">  In addition, the number of responses increased from 77,940 to 177, 230.  This change is primarily due to the correction of 1) which regulations must be included in the collection and 2) how to calculate the number of responses accurately based on the updated regulatory references.</w:t>
      </w:r>
    </w:p>
    <w:p w:rsidRPr="00820B5B" w:rsidR="00820B5B" w:rsidP="00820B5B" w:rsidRDefault="00820B5B" w14:paraId="47F112C7" w14:textId="77777777">
      <w:pPr>
        <w:tabs>
          <w:tab w:val="left" w:pos="0"/>
        </w:tabs>
        <w:suppressAutoHyphens/>
        <w:rPr>
          <w:rFonts w:ascii="Times New Roman" w:hAnsi="Times New Roman"/>
        </w:rPr>
      </w:pPr>
    </w:p>
    <w:p w:rsidRPr="002568E6" w:rsidR="00A308DB" w:rsidP="0062567E" w:rsidRDefault="000438E8" w14:paraId="066A3B4E" w14:textId="77777777">
      <w:pPr>
        <w:pStyle w:val="Heading1"/>
        <w:rPr>
          <w:szCs w:val="24"/>
        </w:rPr>
      </w:pPr>
      <w:bookmarkStart w:name="_Toc401831372" w:id="34"/>
      <w:bookmarkStart w:name="_Toc401832416" w:id="35"/>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4"/>
      <w:bookmarkEnd w:id="35"/>
      <w:r w:rsidRPr="002568E6">
        <w:rPr>
          <w:szCs w:val="24"/>
        </w:rPr>
        <w:t xml:space="preserve"> </w:t>
      </w:r>
    </w:p>
    <w:p w:rsidRPr="002568E6" w:rsidR="00A308DB" w:rsidP="000438E8" w:rsidRDefault="00A308DB" w14:paraId="3471DF1A" w14:textId="77777777">
      <w:pPr>
        <w:tabs>
          <w:tab w:val="left" w:pos="0"/>
        </w:tabs>
        <w:suppressAutoHyphens/>
        <w:rPr>
          <w:rFonts w:ascii="Times New Roman" w:hAnsi="Times New Roman"/>
          <w:b/>
          <w:szCs w:val="24"/>
        </w:rPr>
      </w:pPr>
    </w:p>
    <w:p w:rsidRPr="002568E6" w:rsidR="0062567E" w:rsidP="0062567E" w:rsidRDefault="0062567E" w14:paraId="0F88B207"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Pr="002568E6" w:rsidR="00ED28F2" w:rsidP="00ED28F2" w:rsidRDefault="00ED28F2" w14:paraId="0A227842" w14:textId="77777777">
      <w:pPr>
        <w:tabs>
          <w:tab w:val="left" w:pos="-720"/>
        </w:tabs>
        <w:suppressAutoHyphens/>
        <w:rPr>
          <w:rFonts w:ascii="Times New Roman" w:hAnsi="Times New Roman"/>
          <w:szCs w:val="24"/>
        </w:rPr>
      </w:pPr>
    </w:p>
    <w:p w:rsidRPr="0017038A" w:rsidR="0017038A" w:rsidP="0017038A" w:rsidRDefault="0017038A" w14:paraId="676C3AEA" w14:textId="77777777">
      <w:pPr>
        <w:pStyle w:val="BodyText2"/>
        <w:ind w:right="-180"/>
        <w:contextualSpacing/>
        <w:rPr>
          <w:rFonts w:ascii="Times New Roman" w:hAnsi="Times New Roman"/>
        </w:rPr>
      </w:pPr>
      <w:r w:rsidRPr="0017038A">
        <w:rPr>
          <w:rFonts w:ascii="Times New Roman" w:hAnsi="Times New Roman"/>
        </w:rPr>
        <w:t>Data tabulation is achieved through established computer programs.</w:t>
      </w:r>
      <w:r w:rsidR="00DB3555">
        <w:rPr>
          <w:rFonts w:ascii="Times New Roman" w:hAnsi="Times New Roman"/>
        </w:rPr>
        <w:t xml:space="preserve">  </w:t>
      </w:r>
      <w:r w:rsidRPr="0017038A">
        <w:rPr>
          <w:rFonts w:ascii="Times New Roman" w:hAnsi="Times New Roman"/>
        </w:rPr>
        <w:t>Data included in this collection of information is gathered throughout each annual (fiscal year) review period.  The data is then published in the SNAP QC Annual Report.  This report presents official QC error rates, and related data for the United States, individual states, Guam, the Virgin Islands and the District of Columbia.  The SNAP QC Annual Report will be published approximately one year after the end of each annual review period and is sent</w:t>
      </w:r>
      <w:r w:rsidRPr="0017038A" w:rsidDel="005D2194">
        <w:rPr>
          <w:rFonts w:ascii="Times New Roman" w:hAnsi="Times New Roman"/>
        </w:rPr>
        <w:t xml:space="preserve"> </w:t>
      </w:r>
      <w:r w:rsidRPr="0017038A">
        <w:rPr>
          <w:rFonts w:ascii="Times New Roman" w:hAnsi="Times New Roman"/>
        </w:rPr>
        <w:t>to each region and</w:t>
      </w:r>
      <w:r>
        <w:rPr>
          <w:rFonts w:ascii="Times New Roman" w:hAnsi="Times New Roman"/>
        </w:rPr>
        <w:t xml:space="preserve"> state electronically though FNS’</w:t>
      </w:r>
      <w:r w:rsidRPr="0017038A">
        <w:rPr>
          <w:rFonts w:ascii="Times New Roman" w:hAnsi="Times New Roman"/>
        </w:rPr>
        <w:t xml:space="preserve"> </w:t>
      </w:r>
      <w:proofErr w:type="spellStart"/>
      <w:r w:rsidRPr="0017038A">
        <w:rPr>
          <w:rFonts w:ascii="Times New Roman" w:hAnsi="Times New Roman"/>
        </w:rPr>
        <w:t>PartnerWeb</w:t>
      </w:r>
      <w:proofErr w:type="spellEnd"/>
      <w:r w:rsidRPr="0017038A">
        <w:rPr>
          <w:rFonts w:ascii="Times New Roman" w:hAnsi="Times New Roman"/>
        </w:rPr>
        <w:t xml:space="preserve"> application.</w:t>
      </w:r>
    </w:p>
    <w:p w:rsidRPr="002568E6" w:rsidR="000438E8" w:rsidP="000438E8" w:rsidRDefault="000438E8" w14:paraId="3E1D1307" w14:textId="77777777">
      <w:pPr>
        <w:tabs>
          <w:tab w:val="left" w:pos="0"/>
        </w:tabs>
        <w:suppressAutoHyphens/>
        <w:rPr>
          <w:rFonts w:ascii="Times New Roman" w:hAnsi="Times New Roman"/>
          <w:szCs w:val="24"/>
        </w:rPr>
      </w:pPr>
    </w:p>
    <w:p w:rsidRPr="002568E6" w:rsidR="00A308DB" w:rsidP="0062567E" w:rsidRDefault="000438E8" w14:paraId="7C6FBC38" w14:textId="77777777">
      <w:pPr>
        <w:pStyle w:val="Heading1"/>
        <w:rPr>
          <w:szCs w:val="24"/>
        </w:rPr>
      </w:pPr>
      <w:bookmarkStart w:name="_Toc401831373" w:id="36"/>
      <w:bookmarkStart w:name="_Toc401832417" w:id="37"/>
      <w:r w:rsidRPr="002568E6">
        <w:rPr>
          <w:szCs w:val="24"/>
        </w:rPr>
        <w:t xml:space="preserve">A17.  </w:t>
      </w:r>
      <w:r w:rsidRPr="002568E6" w:rsidR="001C6CBE">
        <w:rPr>
          <w:szCs w:val="24"/>
        </w:rPr>
        <w:t>Displaying the OMB Approval Expiration Date.</w:t>
      </w:r>
      <w:bookmarkEnd w:id="36"/>
      <w:bookmarkEnd w:id="37"/>
    </w:p>
    <w:p w:rsidRPr="002568E6" w:rsidR="0062567E" w:rsidP="0062567E" w:rsidRDefault="0062567E" w14:paraId="6594B7E3" w14:textId="77777777">
      <w:pPr>
        <w:pStyle w:val="ListParagraph"/>
        <w:widowControl/>
        <w:spacing w:line="240" w:lineRule="auto"/>
        <w:ind w:left="0"/>
        <w:rPr>
          <w:b/>
          <w:szCs w:val="24"/>
        </w:rPr>
      </w:pPr>
    </w:p>
    <w:p w:rsidRPr="002568E6" w:rsidR="0062567E" w:rsidP="0062567E" w:rsidRDefault="0062567E" w14:paraId="155F6FEF"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0955EFF4" w14:textId="77777777">
      <w:pPr>
        <w:tabs>
          <w:tab w:val="left" w:pos="-720"/>
        </w:tabs>
        <w:suppressAutoHyphens/>
        <w:rPr>
          <w:rFonts w:ascii="Times New Roman" w:hAnsi="Times New Roman"/>
          <w:szCs w:val="24"/>
        </w:rPr>
      </w:pPr>
    </w:p>
    <w:p w:rsidRPr="0017038A" w:rsidR="0017038A" w:rsidP="0017038A" w:rsidRDefault="0017038A" w14:paraId="40E32C19" w14:textId="391C8F1D">
      <w:pPr>
        <w:pStyle w:val="BodyText2"/>
        <w:ind w:right="-180"/>
        <w:contextualSpacing/>
        <w:rPr>
          <w:rFonts w:ascii="Times New Roman" w:hAnsi="Times New Roman"/>
        </w:rPr>
      </w:pPr>
      <w:r w:rsidRPr="0017038A">
        <w:rPr>
          <w:rFonts w:ascii="Times New Roman" w:hAnsi="Times New Roman"/>
        </w:rPr>
        <w:t>FNS will be displaying the expiration date on the form.</w:t>
      </w:r>
    </w:p>
    <w:p w:rsidRPr="002568E6" w:rsidR="000438E8" w:rsidP="000438E8" w:rsidRDefault="000438E8" w14:paraId="661F875B" w14:textId="77777777">
      <w:pPr>
        <w:tabs>
          <w:tab w:val="left" w:pos="0"/>
        </w:tabs>
        <w:suppressAutoHyphens/>
        <w:rPr>
          <w:rFonts w:ascii="Times New Roman" w:hAnsi="Times New Roman"/>
          <w:szCs w:val="24"/>
        </w:rPr>
      </w:pPr>
    </w:p>
    <w:p w:rsidRPr="002568E6" w:rsidR="00A308DB" w:rsidP="0062567E" w:rsidRDefault="000438E8" w14:paraId="6298AAD0" w14:textId="77777777">
      <w:pPr>
        <w:pStyle w:val="Heading1"/>
        <w:rPr>
          <w:szCs w:val="24"/>
        </w:rPr>
      </w:pPr>
      <w:bookmarkStart w:name="_Toc401831374" w:id="38"/>
      <w:bookmarkStart w:name="_Toc401832418" w:id="39"/>
      <w:r w:rsidRPr="002568E6">
        <w:rPr>
          <w:szCs w:val="24"/>
        </w:rPr>
        <w:lastRenderedPageBreak/>
        <w:t>A18.  Exception</w:t>
      </w:r>
      <w:r w:rsidR="002568E6">
        <w:rPr>
          <w:szCs w:val="24"/>
        </w:rPr>
        <w:t>s</w:t>
      </w:r>
      <w:r w:rsidRPr="002568E6">
        <w:rPr>
          <w:szCs w:val="24"/>
        </w:rPr>
        <w:t xml:space="preserve"> to the certification statement identified in Item 19.</w:t>
      </w:r>
      <w:bookmarkEnd w:id="38"/>
      <w:bookmarkEnd w:id="39"/>
      <w:r w:rsidRPr="002568E6" w:rsidR="006F346E">
        <w:rPr>
          <w:szCs w:val="24"/>
        </w:rPr>
        <w:t xml:space="preserve">  </w:t>
      </w:r>
    </w:p>
    <w:p w:rsidRPr="002568E6" w:rsidR="0062567E" w:rsidP="000438E8" w:rsidRDefault="0062567E" w14:paraId="15DDD7F7" w14:textId="77777777">
      <w:pPr>
        <w:tabs>
          <w:tab w:val="left" w:pos="0"/>
        </w:tabs>
        <w:suppressAutoHyphens/>
        <w:rPr>
          <w:rFonts w:ascii="Times New Roman" w:hAnsi="Times New Roman"/>
          <w:b/>
          <w:szCs w:val="24"/>
        </w:rPr>
      </w:pPr>
    </w:p>
    <w:p w:rsidRPr="002568E6" w:rsidR="0062567E" w:rsidP="000438E8" w:rsidRDefault="0062567E" w14:paraId="7AB2CF81"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Pr="002568E6" w:rsidR="00ED28F2" w:rsidP="00ED28F2" w:rsidRDefault="00ED28F2" w14:paraId="38CF9195" w14:textId="77777777">
      <w:pPr>
        <w:tabs>
          <w:tab w:val="left" w:pos="-720"/>
        </w:tabs>
        <w:suppressAutoHyphens/>
        <w:rPr>
          <w:rFonts w:ascii="Times New Roman" w:hAnsi="Times New Roman"/>
          <w:szCs w:val="24"/>
        </w:rPr>
      </w:pPr>
    </w:p>
    <w:p w:rsidRPr="002568E6" w:rsidR="006F346E" w:rsidP="00083F42" w:rsidRDefault="00721FB1" w14:paraId="36DE3714" w14:textId="17AB0BC0">
      <w:pPr>
        <w:pStyle w:val="BodyText2"/>
        <w:ind w:right="-180"/>
        <w:contextualSpacing/>
        <w:rPr>
          <w:rFonts w:ascii="Times New Roman" w:hAnsi="Times New Roman"/>
          <w:szCs w:val="24"/>
        </w:rPr>
      </w:pPr>
      <w:r w:rsidRPr="00721FB1">
        <w:rPr>
          <w:rFonts w:ascii="Times New Roman" w:hAnsi="Times New Roman"/>
        </w:rPr>
        <w:t>This information collection conforms to the requirements of 5 CFR 1320.9.  There are no exceptions to the certification statement.</w:t>
      </w:r>
    </w:p>
    <w:sectPr w:rsidRPr="002568E6" w:rsidR="006F346E"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6CF2" w16cex:dateUtc="2021-03-30T13:25:00Z"/>
  <w16cex:commentExtensible w16cex:durableId="240D7F45" w16cex:dateUtc="2021-03-30T14:43:00Z"/>
  <w16cex:commentExtensible w16cex:durableId="240DB03F" w16cex:dateUtc="2021-03-30T18:12:00Z"/>
  <w16cex:commentExtensible w16cex:durableId="240DB124" w16cex:dateUtc="2021-03-30T18:16:00Z"/>
  <w16cex:commentExtensible w16cex:durableId="240DB2BB" w16cex:dateUtc="2021-03-30T18:22:00Z"/>
  <w16cex:commentExtensible w16cex:durableId="240DC8FC" w16cex:dateUtc="2021-03-30T19:57:00Z"/>
  <w16cex:commentExtensible w16cex:durableId="240DCD68" w16cex:dateUtc="2021-03-30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11B16" w16cid:durableId="243680D9"/>
  <w16cid:commentId w16cid:paraId="516703C6" w16cid:durableId="243682F2"/>
  <w16cid:commentId w16cid:paraId="19544438" w16cid:durableId="243680DA"/>
  <w16cid:commentId w16cid:paraId="10FF128E" w16cid:durableId="24368338"/>
  <w16cid:commentId w16cid:paraId="598D45E5" w16cid:durableId="243680DB"/>
  <w16cid:commentId w16cid:paraId="2FD56A08" w16cid:durableId="24368353"/>
  <w16cid:commentId w16cid:paraId="6500B9BB" w16cid:durableId="243680DC"/>
  <w16cid:commentId w16cid:paraId="284B6847" w16cid:durableId="24368369"/>
  <w16cid:commentId w16cid:paraId="1015529F" w16cid:durableId="243680DD"/>
  <w16cid:commentId w16cid:paraId="7A7E51F0" w16cid:durableId="2436839B"/>
  <w16cid:commentId w16cid:paraId="1630A9F1" w16cid:durableId="243680DE"/>
  <w16cid:commentId w16cid:paraId="07E4AC88" w16cid:durableId="243684DA"/>
  <w16cid:commentId w16cid:paraId="2D749B6C" w16cid:durableId="243680DF"/>
  <w16cid:commentId w16cid:paraId="1EA0E87C" w16cid:durableId="24368F5C"/>
  <w16cid:commentId w16cid:paraId="0E057AB1" w16cid:durableId="243680E0"/>
  <w16cid:commentId w16cid:paraId="555B764F" w16cid:durableId="24368903"/>
  <w16cid:commentId w16cid:paraId="23A00546" w16cid:durableId="243680E1"/>
  <w16cid:commentId w16cid:paraId="3D1A8FCD" w16cid:durableId="24368943"/>
  <w16cid:commentId w16cid:paraId="35AA75AD" w16cid:durableId="243680E2"/>
  <w16cid:commentId w16cid:paraId="7E6C8AF3" w16cid:durableId="2436894D"/>
  <w16cid:commentId w16cid:paraId="3F387B1D" w16cid:durableId="243680E3"/>
  <w16cid:commentId w16cid:paraId="22DBA832" w16cid:durableId="243691FC"/>
  <w16cid:commentId w16cid:paraId="2FD91C70" w16cid:durableId="24368E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3EF0" w14:textId="77777777" w:rsidR="00177F55" w:rsidRDefault="00177F55">
      <w:pPr>
        <w:spacing w:line="20" w:lineRule="exact"/>
      </w:pPr>
    </w:p>
  </w:endnote>
  <w:endnote w:type="continuationSeparator" w:id="0">
    <w:p w14:paraId="7C535D47" w14:textId="77777777" w:rsidR="00177F55" w:rsidRDefault="00177F55">
      <w:r>
        <w:t xml:space="preserve"> </w:t>
      </w:r>
    </w:p>
  </w:endnote>
  <w:endnote w:type="continuationNotice" w:id="1">
    <w:p w14:paraId="7FE1D259" w14:textId="77777777" w:rsidR="00177F55" w:rsidRDefault="00177F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297E28B9" w14:textId="5ACCC324" w:rsidR="00177F55" w:rsidRPr="002568E6" w:rsidRDefault="00177F55">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981420">
          <w:rPr>
            <w:rFonts w:ascii="Times New Roman" w:hAnsi="Times New Roman"/>
            <w:noProof/>
          </w:rPr>
          <w:t>16</w:t>
        </w:r>
        <w:r w:rsidRPr="002568E6">
          <w:rPr>
            <w:rFonts w:ascii="Times New Roman" w:hAnsi="Times New Roman"/>
            <w:noProof/>
          </w:rPr>
          <w:fldChar w:fldCharType="end"/>
        </w:r>
      </w:p>
    </w:sdtContent>
  </w:sdt>
  <w:p w14:paraId="67ED17F9" w14:textId="77777777" w:rsidR="00177F55" w:rsidRDefault="00177F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732D" w14:textId="77777777" w:rsidR="00177F55" w:rsidRDefault="00177F55">
      <w:r>
        <w:separator/>
      </w:r>
    </w:p>
  </w:footnote>
  <w:footnote w:type="continuationSeparator" w:id="0">
    <w:p w14:paraId="59D3EBE9" w14:textId="77777777" w:rsidR="00177F55" w:rsidRDefault="00177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6B7A"/>
    <w:multiLevelType w:val="hybridMultilevel"/>
    <w:tmpl w:val="3B20AC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47030"/>
    <w:multiLevelType w:val="hybridMultilevel"/>
    <w:tmpl w:val="79289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781AF1"/>
    <w:multiLevelType w:val="hybridMultilevel"/>
    <w:tmpl w:val="A8D468FC"/>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A43795"/>
    <w:multiLevelType w:val="hybridMultilevel"/>
    <w:tmpl w:val="2F1A5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12"/>
  </w:num>
  <w:num w:numId="5">
    <w:abstractNumId w:val="2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1"/>
  </w:num>
  <w:num w:numId="20">
    <w:abstractNumId w:val="10"/>
  </w:num>
  <w:num w:numId="21">
    <w:abstractNumId w:val="17"/>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s-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1C99"/>
    <w:rsid w:val="000223C1"/>
    <w:rsid w:val="00022592"/>
    <w:rsid w:val="000234FF"/>
    <w:rsid w:val="00023BFF"/>
    <w:rsid w:val="00025F80"/>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1DA3"/>
    <w:rsid w:val="00072177"/>
    <w:rsid w:val="00072C97"/>
    <w:rsid w:val="000750F4"/>
    <w:rsid w:val="00075687"/>
    <w:rsid w:val="00075AFC"/>
    <w:rsid w:val="00076D3A"/>
    <w:rsid w:val="00080C3F"/>
    <w:rsid w:val="000812F7"/>
    <w:rsid w:val="000814FD"/>
    <w:rsid w:val="00083F42"/>
    <w:rsid w:val="00084B36"/>
    <w:rsid w:val="00086831"/>
    <w:rsid w:val="00090155"/>
    <w:rsid w:val="00090C98"/>
    <w:rsid w:val="00093427"/>
    <w:rsid w:val="0009567D"/>
    <w:rsid w:val="00095900"/>
    <w:rsid w:val="00095C26"/>
    <w:rsid w:val="000A28C4"/>
    <w:rsid w:val="000A34BE"/>
    <w:rsid w:val="000A3781"/>
    <w:rsid w:val="000A4F8D"/>
    <w:rsid w:val="000A7424"/>
    <w:rsid w:val="000A7994"/>
    <w:rsid w:val="000B26F3"/>
    <w:rsid w:val="000B50C9"/>
    <w:rsid w:val="000B7836"/>
    <w:rsid w:val="000C089B"/>
    <w:rsid w:val="000C0922"/>
    <w:rsid w:val="000C10F7"/>
    <w:rsid w:val="000C11A5"/>
    <w:rsid w:val="000C55A2"/>
    <w:rsid w:val="000C5B0F"/>
    <w:rsid w:val="000D0C93"/>
    <w:rsid w:val="000D17F6"/>
    <w:rsid w:val="000D279A"/>
    <w:rsid w:val="000D5750"/>
    <w:rsid w:val="000D6419"/>
    <w:rsid w:val="000D724C"/>
    <w:rsid w:val="000D74D0"/>
    <w:rsid w:val="000E1CA0"/>
    <w:rsid w:val="000E2E6E"/>
    <w:rsid w:val="000E3CC6"/>
    <w:rsid w:val="000E40BA"/>
    <w:rsid w:val="000E4107"/>
    <w:rsid w:val="000E61B9"/>
    <w:rsid w:val="000E6CC9"/>
    <w:rsid w:val="000E7D6D"/>
    <w:rsid w:val="000F1BD4"/>
    <w:rsid w:val="000F24C8"/>
    <w:rsid w:val="000F2BAE"/>
    <w:rsid w:val="000F4EE7"/>
    <w:rsid w:val="001052BD"/>
    <w:rsid w:val="0010656A"/>
    <w:rsid w:val="0010698D"/>
    <w:rsid w:val="00110773"/>
    <w:rsid w:val="00113A45"/>
    <w:rsid w:val="00115E73"/>
    <w:rsid w:val="001170E4"/>
    <w:rsid w:val="00117A58"/>
    <w:rsid w:val="00120E7F"/>
    <w:rsid w:val="00121633"/>
    <w:rsid w:val="00122007"/>
    <w:rsid w:val="0012249E"/>
    <w:rsid w:val="0012531F"/>
    <w:rsid w:val="00127364"/>
    <w:rsid w:val="00127B16"/>
    <w:rsid w:val="00130FB4"/>
    <w:rsid w:val="00132EF8"/>
    <w:rsid w:val="00132F0C"/>
    <w:rsid w:val="0013306C"/>
    <w:rsid w:val="001334EF"/>
    <w:rsid w:val="00133782"/>
    <w:rsid w:val="0013469F"/>
    <w:rsid w:val="001363FB"/>
    <w:rsid w:val="00143411"/>
    <w:rsid w:val="0014383A"/>
    <w:rsid w:val="00143852"/>
    <w:rsid w:val="00145FCB"/>
    <w:rsid w:val="00147845"/>
    <w:rsid w:val="0015139F"/>
    <w:rsid w:val="00151DF5"/>
    <w:rsid w:val="00152505"/>
    <w:rsid w:val="00154D85"/>
    <w:rsid w:val="00156839"/>
    <w:rsid w:val="00157282"/>
    <w:rsid w:val="00160DAC"/>
    <w:rsid w:val="001613F6"/>
    <w:rsid w:val="00165CCA"/>
    <w:rsid w:val="00166501"/>
    <w:rsid w:val="0016695C"/>
    <w:rsid w:val="00167686"/>
    <w:rsid w:val="0017038A"/>
    <w:rsid w:val="001707E2"/>
    <w:rsid w:val="00171619"/>
    <w:rsid w:val="00172B17"/>
    <w:rsid w:val="0017348C"/>
    <w:rsid w:val="00177F55"/>
    <w:rsid w:val="00180150"/>
    <w:rsid w:val="00182728"/>
    <w:rsid w:val="001829D2"/>
    <w:rsid w:val="0018306B"/>
    <w:rsid w:val="001834A9"/>
    <w:rsid w:val="0018456B"/>
    <w:rsid w:val="00185270"/>
    <w:rsid w:val="0018740F"/>
    <w:rsid w:val="001912C2"/>
    <w:rsid w:val="001964E8"/>
    <w:rsid w:val="0019711B"/>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880"/>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15F"/>
    <w:rsid w:val="00235EB3"/>
    <w:rsid w:val="002370B7"/>
    <w:rsid w:val="00241834"/>
    <w:rsid w:val="00244D38"/>
    <w:rsid w:val="00245150"/>
    <w:rsid w:val="00245CF0"/>
    <w:rsid w:val="00246457"/>
    <w:rsid w:val="002468EE"/>
    <w:rsid w:val="00250CEF"/>
    <w:rsid w:val="00252CF2"/>
    <w:rsid w:val="00253ECC"/>
    <w:rsid w:val="00255137"/>
    <w:rsid w:val="0025683E"/>
    <w:rsid w:val="002568E6"/>
    <w:rsid w:val="00262817"/>
    <w:rsid w:val="002629C9"/>
    <w:rsid w:val="0026333C"/>
    <w:rsid w:val="002649A9"/>
    <w:rsid w:val="00265623"/>
    <w:rsid w:val="002679A7"/>
    <w:rsid w:val="00267E64"/>
    <w:rsid w:val="00270D71"/>
    <w:rsid w:val="00272C56"/>
    <w:rsid w:val="00272DD6"/>
    <w:rsid w:val="002737E9"/>
    <w:rsid w:val="00273829"/>
    <w:rsid w:val="00275494"/>
    <w:rsid w:val="0027695F"/>
    <w:rsid w:val="00283364"/>
    <w:rsid w:val="002900F6"/>
    <w:rsid w:val="002905B9"/>
    <w:rsid w:val="00290D91"/>
    <w:rsid w:val="00291866"/>
    <w:rsid w:val="00293EBD"/>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D5D1E"/>
    <w:rsid w:val="002D7016"/>
    <w:rsid w:val="002E1315"/>
    <w:rsid w:val="002E1A35"/>
    <w:rsid w:val="002E3B1B"/>
    <w:rsid w:val="002E3D8B"/>
    <w:rsid w:val="002E3E5E"/>
    <w:rsid w:val="002E40A9"/>
    <w:rsid w:val="002E6B5E"/>
    <w:rsid w:val="002E7427"/>
    <w:rsid w:val="002F1F50"/>
    <w:rsid w:val="002F2888"/>
    <w:rsid w:val="002F28FD"/>
    <w:rsid w:val="002F2BFF"/>
    <w:rsid w:val="002F3249"/>
    <w:rsid w:val="002F4036"/>
    <w:rsid w:val="002F5951"/>
    <w:rsid w:val="00304807"/>
    <w:rsid w:val="00307D2B"/>
    <w:rsid w:val="0031071F"/>
    <w:rsid w:val="003125D7"/>
    <w:rsid w:val="00312A60"/>
    <w:rsid w:val="00313A06"/>
    <w:rsid w:val="003140F4"/>
    <w:rsid w:val="00315029"/>
    <w:rsid w:val="003164E9"/>
    <w:rsid w:val="00317A90"/>
    <w:rsid w:val="00324C06"/>
    <w:rsid w:val="00325195"/>
    <w:rsid w:val="0032533B"/>
    <w:rsid w:val="00326F10"/>
    <w:rsid w:val="00333190"/>
    <w:rsid w:val="003333DF"/>
    <w:rsid w:val="00334635"/>
    <w:rsid w:val="0033630C"/>
    <w:rsid w:val="0033721D"/>
    <w:rsid w:val="00341AD7"/>
    <w:rsid w:val="00341DA8"/>
    <w:rsid w:val="00341DEE"/>
    <w:rsid w:val="00342170"/>
    <w:rsid w:val="00342369"/>
    <w:rsid w:val="00343967"/>
    <w:rsid w:val="0034535B"/>
    <w:rsid w:val="0034537B"/>
    <w:rsid w:val="00350550"/>
    <w:rsid w:val="003521A9"/>
    <w:rsid w:val="00356D92"/>
    <w:rsid w:val="00360B8B"/>
    <w:rsid w:val="003623B1"/>
    <w:rsid w:val="00362694"/>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109"/>
    <w:rsid w:val="003A4B01"/>
    <w:rsid w:val="003A4F9D"/>
    <w:rsid w:val="003A556E"/>
    <w:rsid w:val="003A7667"/>
    <w:rsid w:val="003A7703"/>
    <w:rsid w:val="003B0FD0"/>
    <w:rsid w:val="003B10E4"/>
    <w:rsid w:val="003B1199"/>
    <w:rsid w:val="003B1D07"/>
    <w:rsid w:val="003B28E2"/>
    <w:rsid w:val="003B4C92"/>
    <w:rsid w:val="003C0311"/>
    <w:rsid w:val="003C2346"/>
    <w:rsid w:val="003C3FCC"/>
    <w:rsid w:val="003C41FC"/>
    <w:rsid w:val="003C5E7D"/>
    <w:rsid w:val="003C646A"/>
    <w:rsid w:val="003C6BDD"/>
    <w:rsid w:val="003C6D4F"/>
    <w:rsid w:val="003D2FA4"/>
    <w:rsid w:val="003D3135"/>
    <w:rsid w:val="003D6927"/>
    <w:rsid w:val="003E0D93"/>
    <w:rsid w:val="003E2F2D"/>
    <w:rsid w:val="003E64F6"/>
    <w:rsid w:val="003F129C"/>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2A86"/>
    <w:rsid w:val="00424F28"/>
    <w:rsid w:val="00430FEF"/>
    <w:rsid w:val="0043148A"/>
    <w:rsid w:val="00431975"/>
    <w:rsid w:val="00432716"/>
    <w:rsid w:val="0043383F"/>
    <w:rsid w:val="00435AB5"/>
    <w:rsid w:val="00437234"/>
    <w:rsid w:val="00437471"/>
    <w:rsid w:val="00440392"/>
    <w:rsid w:val="00442B73"/>
    <w:rsid w:val="00443A6D"/>
    <w:rsid w:val="004459C6"/>
    <w:rsid w:val="00446314"/>
    <w:rsid w:val="00446DBF"/>
    <w:rsid w:val="004470D5"/>
    <w:rsid w:val="00447C1E"/>
    <w:rsid w:val="00451DEC"/>
    <w:rsid w:val="00452E03"/>
    <w:rsid w:val="00454639"/>
    <w:rsid w:val="00455134"/>
    <w:rsid w:val="004558DB"/>
    <w:rsid w:val="004600D7"/>
    <w:rsid w:val="0046219B"/>
    <w:rsid w:val="00462B00"/>
    <w:rsid w:val="00462C4E"/>
    <w:rsid w:val="0046423B"/>
    <w:rsid w:val="004708FD"/>
    <w:rsid w:val="004714B1"/>
    <w:rsid w:val="00472A8F"/>
    <w:rsid w:val="00472E23"/>
    <w:rsid w:val="00473AB1"/>
    <w:rsid w:val="00474A8E"/>
    <w:rsid w:val="004752E2"/>
    <w:rsid w:val="0047544E"/>
    <w:rsid w:val="0047561A"/>
    <w:rsid w:val="00476676"/>
    <w:rsid w:val="00477E91"/>
    <w:rsid w:val="00483781"/>
    <w:rsid w:val="00483CCC"/>
    <w:rsid w:val="00483F2C"/>
    <w:rsid w:val="00494A82"/>
    <w:rsid w:val="0049552C"/>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ABB"/>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9CD"/>
    <w:rsid w:val="00520A94"/>
    <w:rsid w:val="005234BE"/>
    <w:rsid w:val="005266CA"/>
    <w:rsid w:val="00530186"/>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4702"/>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B3A12"/>
    <w:rsid w:val="005C04BB"/>
    <w:rsid w:val="005C286E"/>
    <w:rsid w:val="005C33B4"/>
    <w:rsid w:val="005C423C"/>
    <w:rsid w:val="005C50FC"/>
    <w:rsid w:val="005C54B0"/>
    <w:rsid w:val="005C6321"/>
    <w:rsid w:val="005C7B2B"/>
    <w:rsid w:val="005D021A"/>
    <w:rsid w:val="005D4603"/>
    <w:rsid w:val="005D532E"/>
    <w:rsid w:val="005D7CF3"/>
    <w:rsid w:val="005E0A1A"/>
    <w:rsid w:val="005E22A5"/>
    <w:rsid w:val="005E292E"/>
    <w:rsid w:val="005E631A"/>
    <w:rsid w:val="005E6A3C"/>
    <w:rsid w:val="005E70B9"/>
    <w:rsid w:val="005E7295"/>
    <w:rsid w:val="005F0A77"/>
    <w:rsid w:val="005F2AD1"/>
    <w:rsid w:val="005F2D36"/>
    <w:rsid w:val="005F31C0"/>
    <w:rsid w:val="005F3A48"/>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689"/>
    <w:rsid w:val="0063649B"/>
    <w:rsid w:val="0063688D"/>
    <w:rsid w:val="00640767"/>
    <w:rsid w:val="00640F7D"/>
    <w:rsid w:val="0064229A"/>
    <w:rsid w:val="0064589F"/>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268"/>
    <w:rsid w:val="00686481"/>
    <w:rsid w:val="00686BB3"/>
    <w:rsid w:val="00686D79"/>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9B1"/>
    <w:rsid w:val="006C2B18"/>
    <w:rsid w:val="006C4942"/>
    <w:rsid w:val="006C4BE5"/>
    <w:rsid w:val="006C5470"/>
    <w:rsid w:val="006C571B"/>
    <w:rsid w:val="006C60D2"/>
    <w:rsid w:val="006C67DA"/>
    <w:rsid w:val="006C6F61"/>
    <w:rsid w:val="006C7186"/>
    <w:rsid w:val="006D0EAD"/>
    <w:rsid w:val="006D0FF5"/>
    <w:rsid w:val="006D2901"/>
    <w:rsid w:val="006D4339"/>
    <w:rsid w:val="006D5D1F"/>
    <w:rsid w:val="006D6B2A"/>
    <w:rsid w:val="006D7835"/>
    <w:rsid w:val="006D7F88"/>
    <w:rsid w:val="006E4A97"/>
    <w:rsid w:val="006E4AC6"/>
    <w:rsid w:val="006E4B7F"/>
    <w:rsid w:val="006E5418"/>
    <w:rsid w:val="006E5E54"/>
    <w:rsid w:val="006F05C3"/>
    <w:rsid w:val="006F15B1"/>
    <w:rsid w:val="006F174B"/>
    <w:rsid w:val="006F3032"/>
    <w:rsid w:val="006F346E"/>
    <w:rsid w:val="006F5B38"/>
    <w:rsid w:val="006F6A9F"/>
    <w:rsid w:val="00700579"/>
    <w:rsid w:val="00700DC8"/>
    <w:rsid w:val="00700F3B"/>
    <w:rsid w:val="00701E5A"/>
    <w:rsid w:val="00702822"/>
    <w:rsid w:val="0070367B"/>
    <w:rsid w:val="00707ED6"/>
    <w:rsid w:val="00710CF7"/>
    <w:rsid w:val="0071282D"/>
    <w:rsid w:val="00713317"/>
    <w:rsid w:val="007135AF"/>
    <w:rsid w:val="00717835"/>
    <w:rsid w:val="00720489"/>
    <w:rsid w:val="0072072E"/>
    <w:rsid w:val="00720BC7"/>
    <w:rsid w:val="00721BC9"/>
    <w:rsid w:val="00721FB1"/>
    <w:rsid w:val="00722B78"/>
    <w:rsid w:val="00723374"/>
    <w:rsid w:val="0072421A"/>
    <w:rsid w:val="00724D5B"/>
    <w:rsid w:val="007252ED"/>
    <w:rsid w:val="00730697"/>
    <w:rsid w:val="0073096B"/>
    <w:rsid w:val="007317BC"/>
    <w:rsid w:val="0073357B"/>
    <w:rsid w:val="00733A77"/>
    <w:rsid w:val="00734D74"/>
    <w:rsid w:val="00736CE0"/>
    <w:rsid w:val="007377F1"/>
    <w:rsid w:val="0074205E"/>
    <w:rsid w:val="00742246"/>
    <w:rsid w:val="007439F4"/>
    <w:rsid w:val="007449A5"/>
    <w:rsid w:val="00745F3B"/>
    <w:rsid w:val="0074676D"/>
    <w:rsid w:val="00746993"/>
    <w:rsid w:val="00747267"/>
    <w:rsid w:val="007505B0"/>
    <w:rsid w:val="00751946"/>
    <w:rsid w:val="007532C9"/>
    <w:rsid w:val="00754981"/>
    <w:rsid w:val="00756119"/>
    <w:rsid w:val="00756E4F"/>
    <w:rsid w:val="00760434"/>
    <w:rsid w:val="00761877"/>
    <w:rsid w:val="00763D19"/>
    <w:rsid w:val="00764AB6"/>
    <w:rsid w:val="007704A9"/>
    <w:rsid w:val="0077109A"/>
    <w:rsid w:val="00772867"/>
    <w:rsid w:val="00772B26"/>
    <w:rsid w:val="0077330C"/>
    <w:rsid w:val="00776D16"/>
    <w:rsid w:val="00783919"/>
    <w:rsid w:val="00783DA7"/>
    <w:rsid w:val="00784603"/>
    <w:rsid w:val="0078653A"/>
    <w:rsid w:val="0079019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C6971"/>
    <w:rsid w:val="007D1FBD"/>
    <w:rsid w:val="007D46EC"/>
    <w:rsid w:val="007D4D5F"/>
    <w:rsid w:val="007D76FB"/>
    <w:rsid w:val="007E0B9B"/>
    <w:rsid w:val="007E0BFC"/>
    <w:rsid w:val="007E3170"/>
    <w:rsid w:val="007E4256"/>
    <w:rsid w:val="007E5364"/>
    <w:rsid w:val="007F1597"/>
    <w:rsid w:val="007F2B2C"/>
    <w:rsid w:val="00800EE9"/>
    <w:rsid w:val="00801274"/>
    <w:rsid w:val="00801786"/>
    <w:rsid w:val="00803F61"/>
    <w:rsid w:val="008050EE"/>
    <w:rsid w:val="008071C5"/>
    <w:rsid w:val="00810BB3"/>
    <w:rsid w:val="00813EE2"/>
    <w:rsid w:val="00816EB4"/>
    <w:rsid w:val="0082083D"/>
    <w:rsid w:val="00820B5B"/>
    <w:rsid w:val="00821AC8"/>
    <w:rsid w:val="008221AA"/>
    <w:rsid w:val="0082448C"/>
    <w:rsid w:val="00826253"/>
    <w:rsid w:val="0082671D"/>
    <w:rsid w:val="00826DD8"/>
    <w:rsid w:val="008270DC"/>
    <w:rsid w:val="00827159"/>
    <w:rsid w:val="0083118E"/>
    <w:rsid w:val="00831EA7"/>
    <w:rsid w:val="008323CB"/>
    <w:rsid w:val="00833324"/>
    <w:rsid w:val="00835A63"/>
    <w:rsid w:val="008377B5"/>
    <w:rsid w:val="00841477"/>
    <w:rsid w:val="00842E02"/>
    <w:rsid w:val="008502C2"/>
    <w:rsid w:val="008507EF"/>
    <w:rsid w:val="00850904"/>
    <w:rsid w:val="008525DD"/>
    <w:rsid w:val="00852DA5"/>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25C5"/>
    <w:rsid w:val="008832DB"/>
    <w:rsid w:val="00884B5C"/>
    <w:rsid w:val="0088500E"/>
    <w:rsid w:val="00886AC1"/>
    <w:rsid w:val="008876AB"/>
    <w:rsid w:val="008915FB"/>
    <w:rsid w:val="0089327C"/>
    <w:rsid w:val="0089577E"/>
    <w:rsid w:val="0089583F"/>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4DCA"/>
    <w:rsid w:val="008C59C5"/>
    <w:rsid w:val="008C62AD"/>
    <w:rsid w:val="008C65B8"/>
    <w:rsid w:val="008C6BEB"/>
    <w:rsid w:val="008D1717"/>
    <w:rsid w:val="008D174D"/>
    <w:rsid w:val="008D2E1A"/>
    <w:rsid w:val="008D2FF6"/>
    <w:rsid w:val="008D554A"/>
    <w:rsid w:val="008D5DC5"/>
    <w:rsid w:val="008E2B05"/>
    <w:rsid w:val="008E569D"/>
    <w:rsid w:val="008F0099"/>
    <w:rsid w:val="008F0605"/>
    <w:rsid w:val="008F0A60"/>
    <w:rsid w:val="008F2DEC"/>
    <w:rsid w:val="008F3F14"/>
    <w:rsid w:val="008F4544"/>
    <w:rsid w:val="00902E57"/>
    <w:rsid w:val="00903920"/>
    <w:rsid w:val="00904305"/>
    <w:rsid w:val="009049D1"/>
    <w:rsid w:val="00904B63"/>
    <w:rsid w:val="00904FDC"/>
    <w:rsid w:val="00905A5F"/>
    <w:rsid w:val="009062BF"/>
    <w:rsid w:val="00906F7A"/>
    <w:rsid w:val="00910330"/>
    <w:rsid w:val="00910824"/>
    <w:rsid w:val="00910CCC"/>
    <w:rsid w:val="009141DF"/>
    <w:rsid w:val="00917120"/>
    <w:rsid w:val="009171A0"/>
    <w:rsid w:val="00920B77"/>
    <w:rsid w:val="00921A94"/>
    <w:rsid w:val="0092248C"/>
    <w:rsid w:val="00922633"/>
    <w:rsid w:val="00922DEC"/>
    <w:rsid w:val="00922FC1"/>
    <w:rsid w:val="009232EE"/>
    <w:rsid w:val="00923C6F"/>
    <w:rsid w:val="00923F25"/>
    <w:rsid w:val="0092466F"/>
    <w:rsid w:val="00925D56"/>
    <w:rsid w:val="00925FA3"/>
    <w:rsid w:val="0092640D"/>
    <w:rsid w:val="0092668F"/>
    <w:rsid w:val="00930FCC"/>
    <w:rsid w:val="00934F65"/>
    <w:rsid w:val="009361A2"/>
    <w:rsid w:val="009379DE"/>
    <w:rsid w:val="0094179F"/>
    <w:rsid w:val="00944853"/>
    <w:rsid w:val="009500BC"/>
    <w:rsid w:val="0095293D"/>
    <w:rsid w:val="009536A2"/>
    <w:rsid w:val="00956D8E"/>
    <w:rsid w:val="009575CF"/>
    <w:rsid w:val="00961994"/>
    <w:rsid w:val="00962F5F"/>
    <w:rsid w:val="00964E59"/>
    <w:rsid w:val="009666C0"/>
    <w:rsid w:val="00966860"/>
    <w:rsid w:val="00967BF4"/>
    <w:rsid w:val="00967F46"/>
    <w:rsid w:val="00971C3A"/>
    <w:rsid w:val="00972641"/>
    <w:rsid w:val="009727E2"/>
    <w:rsid w:val="00973A02"/>
    <w:rsid w:val="00974A06"/>
    <w:rsid w:val="00974B18"/>
    <w:rsid w:val="009751DC"/>
    <w:rsid w:val="00980270"/>
    <w:rsid w:val="00980D53"/>
    <w:rsid w:val="009810FB"/>
    <w:rsid w:val="00981420"/>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5660"/>
    <w:rsid w:val="009B6105"/>
    <w:rsid w:val="009C073A"/>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6D5B"/>
    <w:rsid w:val="00A06FD8"/>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47DC5"/>
    <w:rsid w:val="00A500EE"/>
    <w:rsid w:val="00A51D62"/>
    <w:rsid w:val="00A52024"/>
    <w:rsid w:val="00A55E93"/>
    <w:rsid w:val="00A56DAE"/>
    <w:rsid w:val="00A5761B"/>
    <w:rsid w:val="00A616E0"/>
    <w:rsid w:val="00A6232F"/>
    <w:rsid w:val="00A641B0"/>
    <w:rsid w:val="00A64291"/>
    <w:rsid w:val="00A649BB"/>
    <w:rsid w:val="00A64ED5"/>
    <w:rsid w:val="00A66DF7"/>
    <w:rsid w:val="00A6703B"/>
    <w:rsid w:val="00A70E02"/>
    <w:rsid w:val="00A7252E"/>
    <w:rsid w:val="00A73197"/>
    <w:rsid w:val="00A73507"/>
    <w:rsid w:val="00A7459E"/>
    <w:rsid w:val="00A75998"/>
    <w:rsid w:val="00A7688B"/>
    <w:rsid w:val="00A81B52"/>
    <w:rsid w:val="00A82AA1"/>
    <w:rsid w:val="00A82BB4"/>
    <w:rsid w:val="00A83FB0"/>
    <w:rsid w:val="00A853D5"/>
    <w:rsid w:val="00A905F5"/>
    <w:rsid w:val="00A925C9"/>
    <w:rsid w:val="00A92D91"/>
    <w:rsid w:val="00A93663"/>
    <w:rsid w:val="00A95DB5"/>
    <w:rsid w:val="00A969EB"/>
    <w:rsid w:val="00A96B59"/>
    <w:rsid w:val="00AA55D2"/>
    <w:rsid w:val="00AA6BEE"/>
    <w:rsid w:val="00AB5F42"/>
    <w:rsid w:val="00AB67B2"/>
    <w:rsid w:val="00AB6B56"/>
    <w:rsid w:val="00AB7800"/>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4504"/>
    <w:rsid w:val="00AF55EF"/>
    <w:rsid w:val="00AF7AC8"/>
    <w:rsid w:val="00B0051F"/>
    <w:rsid w:val="00B01286"/>
    <w:rsid w:val="00B01769"/>
    <w:rsid w:val="00B01B6B"/>
    <w:rsid w:val="00B067E2"/>
    <w:rsid w:val="00B06CD9"/>
    <w:rsid w:val="00B12FBB"/>
    <w:rsid w:val="00B20E43"/>
    <w:rsid w:val="00B2117C"/>
    <w:rsid w:val="00B21E8C"/>
    <w:rsid w:val="00B22E0E"/>
    <w:rsid w:val="00B25BF9"/>
    <w:rsid w:val="00B303B9"/>
    <w:rsid w:val="00B30A20"/>
    <w:rsid w:val="00B32E31"/>
    <w:rsid w:val="00B335C9"/>
    <w:rsid w:val="00B33FB9"/>
    <w:rsid w:val="00B35F66"/>
    <w:rsid w:val="00B36D92"/>
    <w:rsid w:val="00B40A75"/>
    <w:rsid w:val="00B40E2C"/>
    <w:rsid w:val="00B410B9"/>
    <w:rsid w:val="00B4117A"/>
    <w:rsid w:val="00B42633"/>
    <w:rsid w:val="00B42A4C"/>
    <w:rsid w:val="00B44520"/>
    <w:rsid w:val="00B45036"/>
    <w:rsid w:val="00B46119"/>
    <w:rsid w:val="00B5016E"/>
    <w:rsid w:val="00B502BF"/>
    <w:rsid w:val="00B52C79"/>
    <w:rsid w:val="00B534DA"/>
    <w:rsid w:val="00B54993"/>
    <w:rsid w:val="00B55CA4"/>
    <w:rsid w:val="00B616CD"/>
    <w:rsid w:val="00B62726"/>
    <w:rsid w:val="00B6562C"/>
    <w:rsid w:val="00B677F2"/>
    <w:rsid w:val="00B73492"/>
    <w:rsid w:val="00B77958"/>
    <w:rsid w:val="00B77C3D"/>
    <w:rsid w:val="00B80256"/>
    <w:rsid w:val="00B8362B"/>
    <w:rsid w:val="00B86263"/>
    <w:rsid w:val="00B92C27"/>
    <w:rsid w:val="00B9315A"/>
    <w:rsid w:val="00B932BE"/>
    <w:rsid w:val="00B9352B"/>
    <w:rsid w:val="00B93A5E"/>
    <w:rsid w:val="00B94086"/>
    <w:rsid w:val="00B942FD"/>
    <w:rsid w:val="00B95B69"/>
    <w:rsid w:val="00B96662"/>
    <w:rsid w:val="00BA0965"/>
    <w:rsid w:val="00BA2E7F"/>
    <w:rsid w:val="00BA4BA8"/>
    <w:rsid w:val="00BB1681"/>
    <w:rsid w:val="00BB444F"/>
    <w:rsid w:val="00BB4B24"/>
    <w:rsid w:val="00BB6B52"/>
    <w:rsid w:val="00BC1F50"/>
    <w:rsid w:val="00BC207F"/>
    <w:rsid w:val="00BC23B8"/>
    <w:rsid w:val="00BC4230"/>
    <w:rsid w:val="00BC6ABA"/>
    <w:rsid w:val="00BD1992"/>
    <w:rsid w:val="00BD1DD0"/>
    <w:rsid w:val="00BD29F1"/>
    <w:rsid w:val="00BD4DF6"/>
    <w:rsid w:val="00BD5404"/>
    <w:rsid w:val="00BD5862"/>
    <w:rsid w:val="00BD63BE"/>
    <w:rsid w:val="00BD6F9A"/>
    <w:rsid w:val="00BE0B08"/>
    <w:rsid w:val="00BE294C"/>
    <w:rsid w:val="00BE308A"/>
    <w:rsid w:val="00BE4553"/>
    <w:rsid w:val="00BE532B"/>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12E6"/>
    <w:rsid w:val="00C24355"/>
    <w:rsid w:val="00C24C23"/>
    <w:rsid w:val="00C25057"/>
    <w:rsid w:val="00C25696"/>
    <w:rsid w:val="00C279DD"/>
    <w:rsid w:val="00C315EE"/>
    <w:rsid w:val="00C32B1D"/>
    <w:rsid w:val="00C32DEF"/>
    <w:rsid w:val="00C33087"/>
    <w:rsid w:val="00C333A0"/>
    <w:rsid w:val="00C34D0E"/>
    <w:rsid w:val="00C351B7"/>
    <w:rsid w:val="00C365BA"/>
    <w:rsid w:val="00C36E90"/>
    <w:rsid w:val="00C37760"/>
    <w:rsid w:val="00C379C4"/>
    <w:rsid w:val="00C408EC"/>
    <w:rsid w:val="00C40BC0"/>
    <w:rsid w:val="00C40E39"/>
    <w:rsid w:val="00C41E75"/>
    <w:rsid w:val="00C427D6"/>
    <w:rsid w:val="00C45064"/>
    <w:rsid w:val="00C4592B"/>
    <w:rsid w:val="00C502E2"/>
    <w:rsid w:val="00C5330F"/>
    <w:rsid w:val="00C54A1A"/>
    <w:rsid w:val="00C553DE"/>
    <w:rsid w:val="00C557D4"/>
    <w:rsid w:val="00C55A6C"/>
    <w:rsid w:val="00C5617B"/>
    <w:rsid w:val="00C6025D"/>
    <w:rsid w:val="00C619D0"/>
    <w:rsid w:val="00C61B37"/>
    <w:rsid w:val="00C6635D"/>
    <w:rsid w:val="00C7097C"/>
    <w:rsid w:val="00C70AD9"/>
    <w:rsid w:val="00C72374"/>
    <w:rsid w:val="00C739BD"/>
    <w:rsid w:val="00C76536"/>
    <w:rsid w:val="00C77545"/>
    <w:rsid w:val="00C77CDA"/>
    <w:rsid w:val="00C81187"/>
    <w:rsid w:val="00C82339"/>
    <w:rsid w:val="00C84D5A"/>
    <w:rsid w:val="00C851FC"/>
    <w:rsid w:val="00C860DE"/>
    <w:rsid w:val="00C867FB"/>
    <w:rsid w:val="00C87CA1"/>
    <w:rsid w:val="00C90227"/>
    <w:rsid w:val="00C915DE"/>
    <w:rsid w:val="00C91975"/>
    <w:rsid w:val="00C929DD"/>
    <w:rsid w:val="00C92E36"/>
    <w:rsid w:val="00C93698"/>
    <w:rsid w:val="00CA0412"/>
    <w:rsid w:val="00CA166D"/>
    <w:rsid w:val="00CA1F00"/>
    <w:rsid w:val="00CA2EE6"/>
    <w:rsid w:val="00CA33C7"/>
    <w:rsid w:val="00CA4248"/>
    <w:rsid w:val="00CA5F04"/>
    <w:rsid w:val="00CA61A0"/>
    <w:rsid w:val="00CB022F"/>
    <w:rsid w:val="00CB462E"/>
    <w:rsid w:val="00CB4BAA"/>
    <w:rsid w:val="00CC03DA"/>
    <w:rsid w:val="00CC05EC"/>
    <w:rsid w:val="00CC3B51"/>
    <w:rsid w:val="00CC400E"/>
    <w:rsid w:val="00CC5EE3"/>
    <w:rsid w:val="00CC78E0"/>
    <w:rsid w:val="00CC7D21"/>
    <w:rsid w:val="00CD11B6"/>
    <w:rsid w:val="00CD4EFE"/>
    <w:rsid w:val="00CE0A0F"/>
    <w:rsid w:val="00CE280E"/>
    <w:rsid w:val="00CE2F33"/>
    <w:rsid w:val="00CE5DF7"/>
    <w:rsid w:val="00CF0312"/>
    <w:rsid w:val="00CF0BBA"/>
    <w:rsid w:val="00CF198E"/>
    <w:rsid w:val="00CF2F46"/>
    <w:rsid w:val="00CF3028"/>
    <w:rsid w:val="00CF51A0"/>
    <w:rsid w:val="00CF7201"/>
    <w:rsid w:val="00CF7CB1"/>
    <w:rsid w:val="00D0059B"/>
    <w:rsid w:val="00D01018"/>
    <w:rsid w:val="00D04910"/>
    <w:rsid w:val="00D04B01"/>
    <w:rsid w:val="00D076D5"/>
    <w:rsid w:val="00D100BF"/>
    <w:rsid w:val="00D12812"/>
    <w:rsid w:val="00D13013"/>
    <w:rsid w:val="00D15723"/>
    <w:rsid w:val="00D1795D"/>
    <w:rsid w:val="00D17F46"/>
    <w:rsid w:val="00D2062B"/>
    <w:rsid w:val="00D2213B"/>
    <w:rsid w:val="00D227C2"/>
    <w:rsid w:val="00D245FB"/>
    <w:rsid w:val="00D254A5"/>
    <w:rsid w:val="00D33375"/>
    <w:rsid w:val="00D352D9"/>
    <w:rsid w:val="00D373E1"/>
    <w:rsid w:val="00D374BF"/>
    <w:rsid w:val="00D3753F"/>
    <w:rsid w:val="00D37A4B"/>
    <w:rsid w:val="00D41FA8"/>
    <w:rsid w:val="00D42417"/>
    <w:rsid w:val="00D4297F"/>
    <w:rsid w:val="00D46D94"/>
    <w:rsid w:val="00D4719E"/>
    <w:rsid w:val="00D5257C"/>
    <w:rsid w:val="00D528DB"/>
    <w:rsid w:val="00D53725"/>
    <w:rsid w:val="00D55B8A"/>
    <w:rsid w:val="00D571DE"/>
    <w:rsid w:val="00D57DE9"/>
    <w:rsid w:val="00D60210"/>
    <w:rsid w:val="00D603FC"/>
    <w:rsid w:val="00D61B62"/>
    <w:rsid w:val="00D61D7F"/>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17E4"/>
    <w:rsid w:val="00D82746"/>
    <w:rsid w:val="00D83489"/>
    <w:rsid w:val="00D842C7"/>
    <w:rsid w:val="00D84706"/>
    <w:rsid w:val="00D84C83"/>
    <w:rsid w:val="00D91BC2"/>
    <w:rsid w:val="00D91CEF"/>
    <w:rsid w:val="00D92E4B"/>
    <w:rsid w:val="00D93106"/>
    <w:rsid w:val="00D93DB0"/>
    <w:rsid w:val="00D94CD1"/>
    <w:rsid w:val="00D96C21"/>
    <w:rsid w:val="00DA0E06"/>
    <w:rsid w:val="00DA40F0"/>
    <w:rsid w:val="00DA5801"/>
    <w:rsid w:val="00DA6090"/>
    <w:rsid w:val="00DA6CF2"/>
    <w:rsid w:val="00DB3555"/>
    <w:rsid w:val="00DB4209"/>
    <w:rsid w:val="00DB6FEB"/>
    <w:rsid w:val="00DB71BA"/>
    <w:rsid w:val="00DB739F"/>
    <w:rsid w:val="00DB7E31"/>
    <w:rsid w:val="00DC109A"/>
    <w:rsid w:val="00DC1BD4"/>
    <w:rsid w:val="00DC22BB"/>
    <w:rsid w:val="00DC3ED1"/>
    <w:rsid w:val="00DC4628"/>
    <w:rsid w:val="00DC6BEA"/>
    <w:rsid w:val="00DD12B3"/>
    <w:rsid w:val="00DD1995"/>
    <w:rsid w:val="00DD1A9F"/>
    <w:rsid w:val="00DD1AF7"/>
    <w:rsid w:val="00DD4661"/>
    <w:rsid w:val="00DD5C89"/>
    <w:rsid w:val="00DD5E7E"/>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330"/>
    <w:rsid w:val="00E0371E"/>
    <w:rsid w:val="00E03B56"/>
    <w:rsid w:val="00E03FB0"/>
    <w:rsid w:val="00E06442"/>
    <w:rsid w:val="00E06672"/>
    <w:rsid w:val="00E07160"/>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56"/>
    <w:rsid w:val="00E606B2"/>
    <w:rsid w:val="00E63ADA"/>
    <w:rsid w:val="00E63BDA"/>
    <w:rsid w:val="00E674D5"/>
    <w:rsid w:val="00E70ABD"/>
    <w:rsid w:val="00E724EC"/>
    <w:rsid w:val="00E730BC"/>
    <w:rsid w:val="00E757B4"/>
    <w:rsid w:val="00E76F74"/>
    <w:rsid w:val="00E779B7"/>
    <w:rsid w:val="00E77A50"/>
    <w:rsid w:val="00E77D50"/>
    <w:rsid w:val="00E8084A"/>
    <w:rsid w:val="00E810A3"/>
    <w:rsid w:val="00E812B2"/>
    <w:rsid w:val="00E84E10"/>
    <w:rsid w:val="00E905D4"/>
    <w:rsid w:val="00E91FD4"/>
    <w:rsid w:val="00E93CB2"/>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850"/>
    <w:rsid w:val="00EB2A7D"/>
    <w:rsid w:val="00EB3317"/>
    <w:rsid w:val="00EB3649"/>
    <w:rsid w:val="00EB3985"/>
    <w:rsid w:val="00EB4A80"/>
    <w:rsid w:val="00EB6398"/>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6AB3"/>
    <w:rsid w:val="00F00259"/>
    <w:rsid w:val="00F026D5"/>
    <w:rsid w:val="00F028D8"/>
    <w:rsid w:val="00F02BFD"/>
    <w:rsid w:val="00F05414"/>
    <w:rsid w:val="00F05D6B"/>
    <w:rsid w:val="00F07336"/>
    <w:rsid w:val="00F10753"/>
    <w:rsid w:val="00F10FA6"/>
    <w:rsid w:val="00F151CA"/>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578B4"/>
    <w:rsid w:val="00F62E54"/>
    <w:rsid w:val="00F63FAF"/>
    <w:rsid w:val="00F64EFC"/>
    <w:rsid w:val="00F65818"/>
    <w:rsid w:val="00F7052B"/>
    <w:rsid w:val="00F7632B"/>
    <w:rsid w:val="00F80F6C"/>
    <w:rsid w:val="00F8269D"/>
    <w:rsid w:val="00F82BCE"/>
    <w:rsid w:val="00F83F08"/>
    <w:rsid w:val="00F84248"/>
    <w:rsid w:val="00F849C5"/>
    <w:rsid w:val="00F854FE"/>
    <w:rsid w:val="00F868A2"/>
    <w:rsid w:val="00F8793E"/>
    <w:rsid w:val="00F91587"/>
    <w:rsid w:val="00F92E32"/>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86B95D"/>
  <w15:docId w15:val="{FCC57106-87FC-4343-8A08-8FD9569E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DC109A"/>
    <w:pPr>
      <w:spacing w:after="120" w:line="480" w:lineRule="auto"/>
    </w:pPr>
  </w:style>
  <w:style w:type="character" w:customStyle="1" w:styleId="BodyText2Char">
    <w:name w:val="Body Text 2 Char"/>
    <w:basedOn w:val="DefaultParagraphFont"/>
    <w:link w:val="BodyText2"/>
    <w:rsid w:val="00DC109A"/>
    <w:rPr>
      <w:rFonts w:ascii="Courier" w:hAnsi="Courier"/>
      <w:sz w:val="24"/>
    </w:rPr>
  </w:style>
  <w:style w:type="paragraph" w:customStyle="1" w:styleId="a">
    <w:name w:val="_"/>
    <w:uiPriority w:val="99"/>
    <w:rsid w:val="00341AD7"/>
    <w:pPr>
      <w:widowControl w:val="0"/>
      <w:ind w:left="720"/>
    </w:pPr>
    <w:rPr>
      <w:sz w:val="24"/>
    </w:rPr>
  </w:style>
  <w:style w:type="character" w:customStyle="1" w:styleId="UnresolvedMention">
    <w:name w:val="Unresolved Mention"/>
    <w:basedOn w:val="DefaultParagraphFont"/>
    <w:uiPriority w:val="99"/>
    <w:semiHidden/>
    <w:unhideWhenUsed/>
    <w:rsid w:val="00C73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485">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5543691">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76493678">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583530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12439045">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50850671">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24456529">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480152254">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7948587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7617243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7417248">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69897423">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403703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ns.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retrieveECFR?gp=&amp;SID=929d8f58e9c1cd29d501c76234e2c638&amp;mc=true&amp;n=pt7.4.275&amp;r=PART&amp;ty=HTML"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2020/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C5DD7420-095D-468C-BC80-9E7A41869B57}">
  <ds:schemaRefs>
    <ds:schemaRef ds:uri="9dbcbb5a-2d39-43bd-b6c7-d27f844c7fb7"/>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B17D042-B71E-47A9-96FA-D9960E57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3809</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26759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3</cp:revision>
  <cp:lastPrinted>2017-10-04T20:10:00Z</cp:lastPrinted>
  <dcterms:created xsi:type="dcterms:W3CDTF">2021-04-30T18:57:00Z</dcterms:created>
  <dcterms:modified xsi:type="dcterms:W3CDTF">2021-04-30T19:00:00Z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