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27E91" w:rsidRDefault="00327E91" w14:paraId="421DF201" w14:textId="77777777">
      <w:pPr>
        <w:jc w:val="center"/>
        <w:rPr>
          <w:b/>
          <w:bCs/>
          <w:sz w:val="24"/>
          <w:szCs w:val="24"/>
        </w:rPr>
      </w:pPr>
      <w:r>
        <w:rPr>
          <w:b/>
          <w:bCs/>
          <w:sz w:val="24"/>
          <w:szCs w:val="24"/>
        </w:rPr>
        <w:t>Department of Commerce</w:t>
      </w:r>
    </w:p>
    <w:p w:rsidR="00327E91" w:rsidRDefault="00327E91" w14:paraId="11D9DD9E" w14:textId="77777777">
      <w:pPr>
        <w:jc w:val="center"/>
        <w:rPr>
          <w:b/>
          <w:bCs/>
          <w:sz w:val="24"/>
          <w:szCs w:val="24"/>
        </w:rPr>
      </w:pPr>
      <w:r>
        <w:rPr>
          <w:b/>
          <w:bCs/>
          <w:sz w:val="24"/>
          <w:szCs w:val="24"/>
        </w:rPr>
        <w:t>U.S. Census Bureau</w:t>
      </w:r>
    </w:p>
    <w:p w:rsidR="00917861" w:rsidRDefault="00917861" w14:paraId="6E17B449" w14:textId="77777777">
      <w:pPr>
        <w:jc w:val="center"/>
        <w:rPr>
          <w:b/>
          <w:bCs/>
          <w:sz w:val="24"/>
          <w:szCs w:val="24"/>
        </w:rPr>
      </w:pPr>
      <w:r>
        <w:rPr>
          <w:b/>
          <w:bCs/>
          <w:sz w:val="24"/>
          <w:szCs w:val="24"/>
        </w:rPr>
        <w:t>OMB Information Collection Request</w:t>
      </w:r>
    </w:p>
    <w:p w:rsidR="005B0D79" w:rsidP="00917861" w:rsidRDefault="00327E91" w14:paraId="1E6C5613" w14:textId="77777777">
      <w:pPr>
        <w:jc w:val="center"/>
        <w:rPr>
          <w:b/>
          <w:bCs/>
          <w:sz w:val="24"/>
          <w:szCs w:val="24"/>
        </w:rPr>
      </w:pPr>
      <w:r>
        <w:rPr>
          <w:b/>
          <w:bCs/>
          <w:sz w:val="24"/>
          <w:szCs w:val="24"/>
        </w:rPr>
        <w:t>Manufacturers’ Unfilled Orders Survey</w:t>
      </w:r>
      <w:r w:rsidR="00917861">
        <w:rPr>
          <w:b/>
          <w:bCs/>
          <w:sz w:val="24"/>
          <w:szCs w:val="24"/>
        </w:rPr>
        <w:t xml:space="preserve"> (MA-3000)</w:t>
      </w:r>
    </w:p>
    <w:p w:rsidR="005B0D79" w:rsidRDefault="005B0D79" w14:paraId="3D2ECCA0" w14:textId="77777777">
      <w:pPr>
        <w:jc w:val="center"/>
        <w:rPr>
          <w:sz w:val="24"/>
          <w:szCs w:val="24"/>
        </w:rPr>
      </w:pPr>
      <w:r>
        <w:rPr>
          <w:b/>
          <w:bCs/>
          <w:sz w:val="24"/>
          <w:szCs w:val="24"/>
        </w:rPr>
        <w:t>OMB Control No. 0607-0561</w:t>
      </w:r>
    </w:p>
    <w:p w:rsidR="005B0D79" w:rsidRDefault="005B0D79" w14:paraId="476CF908" w14:textId="77777777">
      <w:pPr>
        <w:rPr>
          <w:b/>
          <w:bCs/>
          <w:sz w:val="24"/>
          <w:szCs w:val="24"/>
        </w:rPr>
      </w:pPr>
    </w:p>
    <w:p w:rsidR="005B0D79" w:rsidRDefault="00917861" w14:paraId="3A9A78C1" w14:textId="77777777">
      <w:pPr>
        <w:rPr>
          <w:b/>
          <w:bCs/>
          <w:sz w:val="24"/>
          <w:szCs w:val="24"/>
        </w:rPr>
      </w:pPr>
      <w:r>
        <w:rPr>
          <w:b/>
          <w:bCs/>
          <w:sz w:val="24"/>
          <w:szCs w:val="24"/>
        </w:rPr>
        <w:t xml:space="preserve">Part B -- </w:t>
      </w:r>
      <w:r w:rsidR="005B0D79">
        <w:rPr>
          <w:b/>
          <w:bCs/>
          <w:sz w:val="24"/>
          <w:szCs w:val="24"/>
          <w:u w:val="single"/>
        </w:rPr>
        <w:t>Collection of Information Employing Statistical Methods</w:t>
      </w:r>
      <w:r w:rsidR="005B0D79">
        <w:rPr>
          <w:b/>
          <w:bCs/>
          <w:sz w:val="24"/>
          <w:szCs w:val="24"/>
        </w:rPr>
        <w:tab/>
      </w:r>
    </w:p>
    <w:p w:rsidR="005B0D79" w:rsidRDefault="005B0D79" w14:paraId="53175D94" w14:textId="77777777">
      <w:pPr>
        <w:rPr>
          <w:b/>
          <w:bCs/>
          <w:sz w:val="24"/>
          <w:szCs w:val="24"/>
        </w:rPr>
      </w:pPr>
      <w:r>
        <w:rPr>
          <w:b/>
          <w:bCs/>
          <w:sz w:val="24"/>
          <w:szCs w:val="24"/>
        </w:rPr>
        <w:tab/>
      </w:r>
    </w:p>
    <w:p w:rsidR="005B0D79" w:rsidRDefault="005B0D79" w14:paraId="426DCBF6" w14:textId="77777777">
      <w:pPr>
        <w:rPr>
          <w:b/>
          <w:bCs/>
          <w:sz w:val="24"/>
          <w:szCs w:val="24"/>
        </w:rPr>
      </w:pPr>
      <w:r>
        <w:rPr>
          <w:b/>
          <w:bCs/>
          <w:sz w:val="24"/>
          <w:szCs w:val="24"/>
        </w:rPr>
        <w:t xml:space="preserve">       1.  </w:t>
      </w:r>
      <w:r w:rsidR="005F7A95">
        <w:rPr>
          <w:b/>
          <w:bCs/>
          <w:sz w:val="24"/>
          <w:szCs w:val="24"/>
          <w:u w:val="single"/>
        </w:rPr>
        <w:t>Universe and Respondent Selection</w:t>
      </w:r>
    </w:p>
    <w:p w:rsidR="00506CB5" w:rsidP="00AB16A9" w:rsidRDefault="00AB16A9" w14:paraId="09366401" w14:textId="77777777">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5F690B" w:rsidP="00BE4484" w:rsidRDefault="00055481" w14:paraId="06A7205B" w14:textId="77777777">
      <w:pPr>
        <w:ind w:left="720"/>
        <w:rPr>
          <w:sz w:val="24"/>
          <w:szCs w:val="24"/>
        </w:rPr>
      </w:pPr>
      <w:r w:rsidRPr="00055481">
        <w:rPr>
          <w:sz w:val="24"/>
          <w:szCs w:val="24"/>
        </w:rPr>
        <w:t>The target population for the Manufacturers’ Unfilled Orders (M3UFO) Survey is defined as all domestic companies with five or more employees that have one or more manufacturing establishments classified in any of the 201</w:t>
      </w:r>
      <w:r w:rsidR="00C9481A">
        <w:rPr>
          <w:sz w:val="24"/>
          <w:szCs w:val="24"/>
        </w:rPr>
        <w:t>7</w:t>
      </w:r>
      <w:r w:rsidRPr="00055481">
        <w:rPr>
          <w:sz w:val="24"/>
          <w:szCs w:val="24"/>
        </w:rPr>
        <w:t xml:space="preserve"> North American Industry Classification System (NAICS) industries that make up the 42 M3 industry categories believed to maintain unfilled orders. Eight of these industry categories are each broken into two categories, a defense </w:t>
      </w:r>
      <w:proofErr w:type="gramStart"/>
      <w:r w:rsidRPr="00055481">
        <w:rPr>
          <w:sz w:val="24"/>
          <w:szCs w:val="24"/>
        </w:rPr>
        <w:t>component</w:t>
      </w:r>
      <w:proofErr w:type="gramEnd"/>
      <w:r w:rsidRPr="00055481">
        <w:rPr>
          <w:sz w:val="24"/>
          <w:szCs w:val="24"/>
        </w:rPr>
        <w:t xml:space="preserve"> and a nondefense component. Therefore, the M3UFO survey </w:t>
      </w:r>
      <w:proofErr w:type="gramStart"/>
      <w:r w:rsidRPr="00055481">
        <w:rPr>
          <w:sz w:val="24"/>
          <w:szCs w:val="24"/>
        </w:rPr>
        <w:t>actually covers</w:t>
      </w:r>
      <w:proofErr w:type="gramEnd"/>
      <w:r w:rsidRPr="00055481">
        <w:rPr>
          <w:sz w:val="24"/>
          <w:szCs w:val="24"/>
        </w:rPr>
        <w:t xml:space="preserve"> 50 M3 industry categories. These 50 industry categories encompass the following major groups in manufacturing:</w:t>
      </w:r>
    </w:p>
    <w:p w:rsidR="00450A17" w:rsidP="00BE4484" w:rsidRDefault="00450A17" w14:paraId="5490FA0E" w14:textId="77777777">
      <w:pPr>
        <w:ind w:left="720"/>
        <w:rPr>
          <w:sz w:val="24"/>
          <w:szCs w:val="24"/>
        </w:rPr>
      </w:pPr>
    </w:p>
    <w:p w:rsidR="00055481" w:rsidP="00BE4484" w:rsidRDefault="00055481" w14:paraId="58D5D15D" w14:textId="77777777">
      <w:pPr>
        <w:numPr>
          <w:ilvl w:val="0"/>
          <w:numId w:val="2"/>
        </w:numPr>
        <w:rPr>
          <w:sz w:val="24"/>
          <w:szCs w:val="24"/>
        </w:rPr>
      </w:pPr>
      <w:r w:rsidRPr="005F690B">
        <w:rPr>
          <w:sz w:val="24"/>
          <w:szCs w:val="24"/>
        </w:rPr>
        <w:t>Primary Metals</w:t>
      </w:r>
    </w:p>
    <w:p w:rsidR="00055481" w:rsidP="00BE4484" w:rsidRDefault="00055481" w14:paraId="1DCDB44E" w14:textId="77777777">
      <w:pPr>
        <w:numPr>
          <w:ilvl w:val="0"/>
          <w:numId w:val="2"/>
        </w:numPr>
        <w:rPr>
          <w:sz w:val="24"/>
          <w:szCs w:val="24"/>
        </w:rPr>
      </w:pPr>
      <w:r w:rsidRPr="005F690B">
        <w:rPr>
          <w:sz w:val="24"/>
          <w:szCs w:val="24"/>
        </w:rPr>
        <w:t>Fabricated Metal Products</w:t>
      </w:r>
    </w:p>
    <w:p w:rsidR="00055481" w:rsidP="00BE4484" w:rsidRDefault="00055481" w14:paraId="778ACDCE" w14:textId="77777777">
      <w:pPr>
        <w:numPr>
          <w:ilvl w:val="0"/>
          <w:numId w:val="2"/>
        </w:numPr>
        <w:rPr>
          <w:sz w:val="24"/>
          <w:szCs w:val="24"/>
        </w:rPr>
      </w:pPr>
      <w:r w:rsidRPr="005F690B">
        <w:rPr>
          <w:sz w:val="24"/>
          <w:szCs w:val="24"/>
        </w:rPr>
        <w:t>Machinery</w:t>
      </w:r>
    </w:p>
    <w:p w:rsidR="00055481" w:rsidP="00BE4484" w:rsidRDefault="00055481" w14:paraId="23063DE4" w14:textId="77777777">
      <w:pPr>
        <w:numPr>
          <w:ilvl w:val="0"/>
          <w:numId w:val="2"/>
        </w:numPr>
        <w:rPr>
          <w:sz w:val="24"/>
          <w:szCs w:val="24"/>
        </w:rPr>
      </w:pPr>
      <w:r w:rsidRPr="005F690B">
        <w:rPr>
          <w:sz w:val="24"/>
          <w:szCs w:val="24"/>
        </w:rPr>
        <w:t>Computers and Electronic Products</w:t>
      </w:r>
    </w:p>
    <w:p w:rsidR="00055481" w:rsidP="00BE4484" w:rsidRDefault="00055481" w14:paraId="41811697" w14:textId="77777777">
      <w:pPr>
        <w:numPr>
          <w:ilvl w:val="0"/>
          <w:numId w:val="2"/>
        </w:numPr>
        <w:rPr>
          <w:sz w:val="24"/>
          <w:szCs w:val="24"/>
        </w:rPr>
      </w:pPr>
      <w:r w:rsidRPr="005F690B">
        <w:rPr>
          <w:sz w:val="24"/>
          <w:szCs w:val="24"/>
        </w:rPr>
        <w:t>Electrical Equipment, Appliances, and Components</w:t>
      </w:r>
    </w:p>
    <w:p w:rsidR="00055481" w:rsidP="00BE4484" w:rsidRDefault="00055481" w14:paraId="104C72A1" w14:textId="77777777">
      <w:pPr>
        <w:numPr>
          <w:ilvl w:val="0"/>
          <w:numId w:val="2"/>
        </w:numPr>
        <w:rPr>
          <w:sz w:val="24"/>
          <w:szCs w:val="24"/>
        </w:rPr>
      </w:pPr>
      <w:r w:rsidRPr="005F690B">
        <w:rPr>
          <w:sz w:val="24"/>
          <w:szCs w:val="24"/>
        </w:rPr>
        <w:t>Transportation Equipment</w:t>
      </w:r>
    </w:p>
    <w:p w:rsidR="00055481" w:rsidP="00BE4484" w:rsidRDefault="00055481" w14:paraId="5FD640CF" w14:textId="77777777">
      <w:pPr>
        <w:numPr>
          <w:ilvl w:val="0"/>
          <w:numId w:val="2"/>
        </w:numPr>
        <w:rPr>
          <w:sz w:val="24"/>
          <w:szCs w:val="24"/>
        </w:rPr>
      </w:pPr>
      <w:r w:rsidRPr="005F690B">
        <w:rPr>
          <w:sz w:val="24"/>
          <w:szCs w:val="24"/>
        </w:rPr>
        <w:t>Furniture and Related Products</w:t>
      </w:r>
    </w:p>
    <w:p w:rsidRPr="005F690B" w:rsidR="00945E6B" w:rsidP="00BE4484" w:rsidRDefault="00055481" w14:paraId="3981397D" w14:textId="77777777">
      <w:pPr>
        <w:numPr>
          <w:ilvl w:val="0"/>
          <w:numId w:val="2"/>
        </w:numPr>
        <w:rPr>
          <w:sz w:val="24"/>
          <w:szCs w:val="24"/>
        </w:rPr>
      </w:pPr>
      <w:r w:rsidRPr="005F690B">
        <w:rPr>
          <w:sz w:val="24"/>
          <w:szCs w:val="24"/>
        </w:rPr>
        <w:t>Miscellaneous Products</w:t>
      </w:r>
    </w:p>
    <w:p w:rsidR="00357E8C" w:rsidP="00CB2B38" w:rsidRDefault="00357E8C" w14:paraId="2D8746A7" w14:textId="77777777">
      <w:pPr>
        <w:ind w:left="720"/>
        <w:rPr>
          <w:sz w:val="24"/>
          <w:szCs w:val="24"/>
        </w:rPr>
      </w:pPr>
    </w:p>
    <w:p w:rsidR="006A1642" w:rsidP="00E60501" w:rsidRDefault="00DA55AA" w14:paraId="39AE5121" w14:textId="77777777">
      <w:pPr>
        <w:ind w:left="720"/>
        <w:rPr>
          <w:sz w:val="24"/>
          <w:szCs w:val="24"/>
        </w:rPr>
      </w:pPr>
      <w:r w:rsidRPr="00CC5581">
        <w:rPr>
          <w:sz w:val="24"/>
          <w:szCs w:val="24"/>
        </w:rPr>
        <w:t xml:space="preserve">The industries selected for the M3UFO survey are those which the U.S. Census Bureau determined </w:t>
      </w:r>
      <w:r w:rsidR="00F97268">
        <w:rPr>
          <w:sz w:val="24"/>
          <w:szCs w:val="24"/>
        </w:rPr>
        <w:t xml:space="preserve">to </w:t>
      </w:r>
      <w:r w:rsidRPr="00CC5581">
        <w:rPr>
          <w:sz w:val="24"/>
          <w:szCs w:val="24"/>
        </w:rPr>
        <w:t xml:space="preserve">maintain considerable unfilled orders.  The </w:t>
      </w:r>
      <w:r w:rsidR="00F55AEB">
        <w:rPr>
          <w:sz w:val="24"/>
          <w:szCs w:val="24"/>
        </w:rPr>
        <w:t xml:space="preserve">M3UFO </w:t>
      </w:r>
      <w:r w:rsidRPr="00CC5581">
        <w:rPr>
          <w:sz w:val="24"/>
          <w:szCs w:val="24"/>
        </w:rPr>
        <w:t xml:space="preserve">survey is necessary to ensure future accuracy of the </w:t>
      </w:r>
      <w:r w:rsidR="00031FAD">
        <w:rPr>
          <w:sz w:val="24"/>
          <w:szCs w:val="24"/>
        </w:rPr>
        <w:t xml:space="preserve">unfilled orders and </w:t>
      </w:r>
      <w:r w:rsidRPr="00CC5581">
        <w:rPr>
          <w:sz w:val="24"/>
          <w:szCs w:val="24"/>
        </w:rPr>
        <w:t xml:space="preserve">new orders data in the </w:t>
      </w:r>
      <w:r w:rsidRPr="00CC5581" w:rsidR="00CE7987">
        <w:rPr>
          <w:sz w:val="24"/>
          <w:szCs w:val="24"/>
        </w:rPr>
        <w:t xml:space="preserve">Manufacturers’ Shipments, Inventories, and Orders </w:t>
      </w:r>
      <w:r w:rsidR="00CE7987">
        <w:rPr>
          <w:sz w:val="24"/>
          <w:szCs w:val="24"/>
        </w:rPr>
        <w:t>(</w:t>
      </w:r>
      <w:r w:rsidRPr="00CC5581">
        <w:rPr>
          <w:sz w:val="24"/>
          <w:szCs w:val="24"/>
        </w:rPr>
        <w:t>M3</w:t>
      </w:r>
      <w:r w:rsidR="00CE7987">
        <w:rPr>
          <w:sz w:val="24"/>
          <w:szCs w:val="24"/>
        </w:rPr>
        <w:t xml:space="preserve">) </w:t>
      </w:r>
      <w:r w:rsidR="00281554">
        <w:rPr>
          <w:sz w:val="24"/>
          <w:szCs w:val="24"/>
        </w:rPr>
        <w:t>S</w:t>
      </w:r>
      <w:r w:rsidR="00CE7987">
        <w:rPr>
          <w:sz w:val="24"/>
          <w:szCs w:val="24"/>
        </w:rPr>
        <w:t>urvey</w:t>
      </w:r>
      <w:r w:rsidRPr="00CC5581">
        <w:rPr>
          <w:sz w:val="24"/>
          <w:szCs w:val="24"/>
        </w:rPr>
        <w:t xml:space="preserve"> and to determine which NAICS industries continue to maintain </w:t>
      </w:r>
      <w:r w:rsidR="00F55AEB">
        <w:rPr>
          <w:sz w:val="24"/>
          <w:szCs w:val="24"/>
        </w:rPr>
        <w:t xml:space="preserve">unfilled </w:t>
      </w:r>
      <w:r w:rsidRPr="00CC5581">
        <w:rPr>
          <w:sz w:val="24"/>
          <w:szCs w:val="24"/>
        </w:rPr>
        <w:t>orders.</w:t>
      </w:r>
      <w:r w:rsidRPr="00CC5581" w:rsidR="00CC5581">
        <w:rPr>
          <w:sz w:val="24"/>
          <w:szCs w:val="24"/>
        </w:rPr>
        <w:t xml:space="preserve">  </w:t>
      </w:r>
      <w:r w:rsidRPr="00CC5581" w:rsidR="00CB2B38">
        <w:rPr>
          <w:sz w:val="24"/>
          <w:szCs w:val="24"/>
        </w:rPr>
        <w:t xml:space="preserve">There is a clear need for periodic benchmarking of the M3 </w:t>
      </w:r>
      <w:r w:rsidR="00281554">
        <w:rPr>
          <w:sz w:val="24"/>
          <w:szCs w:val="24"/>
        </w:rPr>
        <w:t xml:space="preserve">survey </w:t>
      </w:r>
      <w:r w:rsidRPr="00CC5581" w:rsidR="00CB2B38">
        <w:rPr>
          <w:sz w:val="24"/>
          <w:szCs w:val="24"/>
        </w:rPr>
        <w:t xml:space="preserve">estimates to </w:t>
      </w:r>
      <w:r w:rsidR="00F55AEB">
        <w:rPr>
          <w:sz w:val="24"/>
          <w:szCs w:val="24"/>
        </w:rPr>
        <w:t xml:space="preserve">accurately </w:t>
      </w:r>
      <w:r w:rsidRPr="00CC5581" w:rsidR="00CB2B38">
        <w:rPr>
          <w:sz w:val="24"/>
          <w:szCs w:val="24"/>
        </w:rPr>
        <w:t>reflect the manufacturing universe</w:t>
      </w:r>
      <w:r w:rsidR="00F55AEB">
        <w:rPr>
          <w:sz w:val="24"/>
          <w:szCs w:val="24"/>
        </w:rPr>
        <w:t>, and the M3UFO survey provides these benchmarks for unfilled orders data</w:t>
      </w:r>
      <w:r w:rsidR="00031FAD">
        <w:rPr>
          <w:sz w:val="24"/>
          <w:szCs w:val="24"/>
        </w:rPr>
        <w:t>.</w:t>
      </w:r>
      <w:r w:rsidRPr="00CC5581" w:rsidR="00CB2B38">
        <w:rPr>
          <w:sz w:val="24"/>
          <w:szCs w:val="24"/>
        </w:rPr>
        <w:t xml:space="preserve"> </w:t>
      </w:r>
    </w:p>
    <w:p w:rsidR="006A1642" w:rsidRDefault="006A1642" w14:paraId="6F6B3E5F" w14:textId="77777777">
      <w:pPr>
        <w:tabs>
          <w:tab w:val="left" w:pos="720"/>
        </w:tabs>
        <w:ind w:left="720" w:hanging="720"/>
        <w:rPr>
          <w:sz w:val="24"/>
          <w:szCs w:val="24"/>
        </w:rPr>
      </w:pPr>
    </w:p>
    <w:p w:rsidR="006A1642" w:rsidRDefault="006A1642" w14:paraId="0044A51F" w14:textId="77777777">
      <w:pPr>
        <w:tabs>
          <w:tab w:val="left" w:pos="720"/>
        </w:tabs>
        <w:ind w:left="720" w:hanging="720"/>
        <w:rPr>
          <w:sz w:val="24"/>
          <w:szCs w:val="24"/>
        </w:rPr>
      </w:pPr>
    </w:p>
    <w:p w:rsidR="005B0D79" w:rsidRDefault="005B0D79" w14:paraId="647F4B3C" w14:textId="77777777">
      <w:pPr>
        <w:rPr>
          <w:sz w:val="24"/>
          <w:szCs w:val="24"/>
        </w:rPr>
      </w:pPr>
      <w:r>
        <w:rPr>
          <w:sz w:val="24"/>
          <w:szCs w:val="24"/>
        </w:rPr>
        <w:t xml:space="preserve">      </w:t>
      </w:r>
      <w:r>
        <w:rPr>
          <w:b/>
          <w:bCs/>
          <w:sz w:val="24"/>
          <w:szCs w:val="24"/>
        </w:rPr>
        <w:t xml:space="preserve"> 2.  </w:t>
      </w:r>
      <w:r w:rsidR="005F7A95">
        <w:rPr>
          <w:b/>
          <w:bCs/>
          <w:sz w:val="24"/>
          <w:szCs w:val="24"/>
          <w:u w:val="single"/>
        </w:rPr>
        <w:t>Procedures for Collecting Information</w:t>
      </w:r>
    </w:p>
    <w:p w:rsidR="005B0D79" w:rsidP="00AB16A9" w:rsidRDefault="005B0D79" w14:paraId="027626C0" w14:textId="77777777">
      <w:pPr>
        <w:rPr>
          <w:sz w:val="24"/>
          <w:szCs w:val="24"/>
        </w:rPr>
      </w:pPr>
    </w:p>
    <w:p w:rsidRPr="004F3FAC" w:rsidR="004F3FAC" w:rsidP="004F3FAC" w:rsidRDefault="004F3FAC" w14:paraId="09B94F79" w14:textId="77777777">
      <w:pPr>
        <w:ind w:left="720"/>
        <w:rPr>
          <w:sz w:val="24"/>
          <w:szCs w:val="24"/>
          <w:lang w:val="en"/>
        </w:rPr>
      </w:pPr>
      <w:r w:rsidRPr="004F3FAC">
        <w:rPr>
          <w:sz w:val="24"/>
          <w:szCs w:val="24"/>
          <w:lang w:val="en"/>
        </w:rPr>
        <w:t xml:space="preserve">The sampling frame for the M3UFO survey is constructed using information extracted from the Census Bureau’s Business Register and updated with measure-of-size (shipments) data from the Economic Census. This sample frame represents roughly 72,000 manufacturing companies located in the United States having five or more employees and with establishments classified in any of the 50 M3 industry categories </w:t>
      </w:r>
      <w:r w:rsidRPr="004F3FAC">
        <w:rPr>
          <w:sz w:val="24"/>
          <w:szCs w:val="24"/>
          <w:lang w:val="en"/>
        </w:rPr>
        <w:lastRenderedPageBreak/>
        <w:t>described above.</w:t>
      </w:r>
      <w:bookmarkStart w:name="par_textimage_1197407618" w:id="0"/>
      <w:bookmarkEnd w:id="0"/>
    </w:p>
    <w:p w:rsidRPr="004F3FAC" w:rsidR="004F3FAC" w:rsidP="004F3FAC" w:rsidRDefault="004F3FAC" w14:paraId="252A7F85" w14:textId="77777777">
      <w:pPr>
        <w:ind w:left="720"/>
        <w:rPr>
          <w:sz w:val="24"/>
          <w:szCs w:val="24"/>
          <w:lang w:val="en"/>
        </w:rPr>
      </w:pPr>
    </w:p>
    <w:p w:rsidRPr="004F3FAC" w:rsidR="004F3FAC" w:rsidP="004F3FAC" w:rsidRDefault="004F3FAC" w14:paraId="6A6AE261" w14:textId="77777777">
      <w:pPr>
        <w:ind w:left="720"/>
        <w:rPr>
          <w:sz w:val="24"/>
          <w:szCs w:val="24"/>
          <w:lang w:val="en"/>
        </w:rPr>
      </w:pPr>
      <w:r w:rsidRPr="004F3FAC">
        <w:rPr>
          <w:sz w:val="24"/>
          <w:szCs w:val="24"/>
          <w:lang w:val="en"/>
        </w:rPr>
        <w:t>The initial sampling frame for the M3UFO survey is comprised of company by M3 industry category records.  Companies with activity in multiple industry categories have multiple records in this initial frame.  Each company by industry category record represents the combined activity of all establishments classified within that industry category.</w:t>
      </w:r>
    </w:p>
    <w:p w:rsidRPr="004F3FAC" w:rsidR="004F3FAC" w:rsidP="004F3FAC" w:rsidRDefault="004F3FAC" w14:paraId="217B825D" w14:textId="77777777">
      <w:pPr>
        <w:ind w:left="720"/>
        <w:rPr>
          <w:sz w:val="24"/>
          <w:szCs w:val="24"/>
          <w:lang w:val="en"/>
        </w:rPr>
      </w:pPr>
    </w:p>
    <w:p w:rsidR="00312BD9" w:rsidP="004F3FAC" w:rsidRDefault="004F3FAC" w14:paraId="1A44E0C9" w14:textId="77777777">
      <w:pPr>
        <w:ind w:left="720"/>
        <w:rPr>
          <w:sz w:val="24"/>
          <w:szCs w:val="24"/>
          <w:lang w:val="en"/>
        </w:rPr>
      </w:pPr>
      <w:r w:rsidRPr="004F3FAC">
        <w:rPr>
          <w:sz w:val="24"/>
          <w:szCs w:val="24"/>
          <w:lang w:val="en"/>
        </w:rPr>
        <w:t>The sample for the M3UFO survey is selected using a probability-proportional-to-size (</w:t>
      </w:r>
      <w:proofErr w:type="spellStart"/>
      <w:r w:rsidRPr="004F3FAC">
        <w:rPr>
          <w:sz w:val="24"/>
          <w:szCs w:val="24"/>
          <w:lang w:val="en"/>
        </w:rPr>
        <w:t>pps</w:t>
      </w:r>
      <w:proofErr w:type="spellEnd"/>
      <w:r w:rsidRPr="004F3FAC">
        <w:rPr>
          <w:sz w:val="24"/>
          <w:szCs w:val="24"/>
          <w:lang w:val="en"/>
        </w:rPr>
        <w:t xml:space="preserve">) sample design based on the assigned measure of size.  Sampling is controlled at the M3 industry category level and each company is assigned a probability of selection based on its respective measure of size for each industry in which it has activity.  Therefore, each company by industry category record in the initial frame is assigned a probability of selection that is commensurate with its relative importance (based on value of shipments) within the respective industry category.  Consequently, a company with activity in multiple industry categories is assigned multiple probabilities of selection.  The final probability of selection assigned for each company is the maximum of these industry-based selection probabilities.  We also impose a minimum probability rule, which results in a maximum sample weight (inverse of the minimum probability).  This minimum probability rule reduces the risk of exceedingly large sample weights that can adversely impact sample estimates and variances.  For the M3UFO survey, the minimum probability is 0.01, resulting in a maximum sample weight of 100.  There are also some companies specified by the M3UFO survey analysts to be included in the sample as </w:t>
      </w:r>
      <w:r w:rsidR="00B90651">
        <w:rPr>
          <w:sz w:val="24"/>
          <w:szCs w:val="24"/>
          <w:lang w:val="en"/>
        </w:rPr>
        <w:t>predetermined</w:t>
      </w:r>
      <w:r w:rsidRPr="004F3FAC">
        <w:rPr>
          <w:sz w:val="24"/>
          <w:szCs w:val="24"/>
          <w:lang w:val="en"/>
        </w:rPr>
        <w:t xml:space="preserve"> certainties.  These companies are flagged up front and included in the sample with weights of 1.  The sample is allocated across the 42 unique M3 industry categories that are in scope of the M3UFO survey based on industry category priorities.  Ultimately, the sample selection process for the M3UFO survey results in a final sample of 6,000 companies.</w:t>
      </w:r>
    </w:p>
    <w:p w:rsidR="004F3FAC" w:rsidP="004F3FAC" w:rsidRDefault="004F3FAC" w14:paraId="5F703EEF" w14:textId="77777777">
      <w:pPr>
        <w:ind w:left="720"/>
        <w:rPr>
          <w:sz w:val="24"/>
          <w:szCs w:val="24"/>
          <w:lang w:val="en"/>
        </w:rPr>
      </w:pPr>
    </w:p>
    <w:p w:rsidRPr="004B7DE2" w:rsidR="004B7DE2" w:rsidP="004B7DE2" w:rsidRDefault="004B7DE2" w14:paraId="702B2E56" w14:textId="77777777">
      <w:pPr>
        <w:ind w:left="720"/>
        <w:rPr>
          <w:sz w:val="24"/>
          <w:szCs w:val="24"/>
          <w:lang w:val="en"/>
        </w:rPr>
      </w:pPr>
      <w:r w:rsidRPr="004B7DE2">
        <w:rPr>
          <w:sz w:val="24"/>
          <w:szCs w:val="24"/>
          <w:lang w:val="en"/>
        </w:rPr>
        <w:t xml:space="preserve">Unfilled orders estimates are produced for each of the M3UFO industry categories using a ratio estimator.  The industry categories that have both defense and nondefense components are split based on allocations obtained from actual M3 data.  Horvitz-Thompson (HT) weighted estimates of unfilled orders and value of shipments are derived for each industry category using only companies in the M3UFO sample that have reported data for both data items, </w:t>
      </w:r>
      <w:proofErr w:type="gramStart"/>
      <w:r w:rsidRPr="004B7DE2">
        <w:rPr>
          <w:sz w:val="24"/>
          <w:szCs w:val="24"/>
          <w:lang w:val="en"/>
        </w:rPr>
        <w:t>provided that</w:t>
      </w:r>
      <w:proofErr w:type="gramEnd"/>
      <w:r w:rsidRPr="004B7DE2">
        <w:rPr>
          <w:sz w:val="24"/>
          <w:szCs w:val="24"/>
          <w:lang w:val="en"/>
        </w:rPr>
        <w:t xml:space="preserve"> shipments data are greater than zero.  The sample weight assigned to each company is the inverse of its probability of selection.  Ratio estimates of unfilled orders are produced for each industry category by constructing a ratio of the weighted estimate for unfilled orders to the weighted estimate for value of shipments (UO/VS) from the M3UFO survey and applying this ratio to the corresponding Annual Survey of Manufactures (ASM) or Census of Manufactures total value of shipments estimate.  Therefore, the unfilled orders </w:t>
      </w:r>
      <w:proofErr w:type="gramStart"/>
      <w:r w:rsidRPr="004B7DE2">
        <w:rPr>
          <w:sz w:val="24"/>
          <w:szCs w:val="24"/>
          <w:lang w:val="en"/>
        </w:rPr>
        <w:t>estimates</w:t>
      </w:r>
      <w:proofErr w:type="gramEnd"/>
      <w:r w:rsidRPr="004B7DE2">
        <w:rPr>
          <w:sz w:val="24"/>
          <w:szCs w:val="24"/>
          <w:lang w:val="en"/>
        </w:rPr>
        <w:t xml:space="preserve"> for each industry category produced from the M3UFO survey are derived using the following formula:</w:t>
      </w:r>
    </w:p>
    <w:p w:rsidRPr="004B7DE2" w:rsidR="004B7DE2" w:rsidP="004B7DE2" w:rsidRDefault="004B7DE2" w14:paraId="439D9F70" w14:textId="77777777">
      <w:pPr>
        <w:ind w:left="720"/>
        <w:rPr>
          <w:sz w:val="24"/>
          <w:szCs w:val="24"/>
          <w:lang w:val="en"/>
        </w:rPr>
      </w:pPr>
    </w:p>
    <w:p w:rsidRPr="004B7DE2" w:rsidR="004B7DE2" w:rsidP="004B7DE2" w:rsidRDefault="004B7DE2" w14:paraId="10FA71D1" w14:textId="77777777">
      <w:pPr>
        <w:ind w:left="720"/>
        <w:rPr>
          <w:sz w:val="24"/>
          <w:szCs w:val="24"/>
          <w:lang w:val="en"/>
        </w:rPr>
      </w:pPr>
      <w:r w:rsidRPr="004B7DE2">
        <w:rPr>
          <w:sz w:val="24"/>
          <w:szCs w:val="24"/>
          <w:lang w:val="en"/>
        </w:rPr>
        <w:t>[(HT estimate of unfilled orders) / (HT estimate of value of shipments)] * ASM or Census total value of shipments estimate</w:t>
      </w:r>
    </w:p>
    <w:p w:rsidRPr="004B7DE2" w:rsidR="004B7DE2" w:rsidP="004B7DE2" w:rsidRDefault="004B7DE2" w14:paraId="72ED2881" w14:textId="77777777">
      <w:pPr>
        <w:ind w:left="720"/>
        <w:rPr>
          <w:sz w:val="24"/>
          <w:szCs w:val="24"/>
          <w:lang w:val="en"/>
        </w:rPr>
      </w:pPr>
    </w:p>
    <w:p w:rsidR="00FB57B8" w:rsidP="004B7DE2" w:rsidRDefault="004B7DE2" w14:paraId="0F37C4F1" w14:textId="77777777">
      <w:pPr>
        <w:ind w:left="720"/>
        <w:rPr>
          <w:sz w:val="24"/>
          <w:szCs w:val="24"/>
          <w:lang w:val="en"/>
        </w:rPr>
      </w:pPr>
      <w:r w:rsidRPr="004B7DE2">
        <w:rPr>
          <w:sz w:val="24"/>
          <w:szCs w:val="24"/>
          <w:lang w:val="en"/>
        </w:rPr>
        <w:t>Similar to the M3 monthly link-relative estimation procedure, when a large company reports an unusual ratio of unfilled orders to shipments for a given industry category and strongly influences the overall industry ratio, the company’s data are excluded from the UO/VS ratio for that industry.  However, the company’s unfilled orders data are included in the final unfilled orders estimate for the industry category.</w:t>
      </w:r>
    </w:p>
    <w:p w:rsidR="00A3663D" w:rsidP="004B7DE2" w:rsidRDefault="00A3663D" w14:paraId="698B1090" w14:textId="77777777">
      <w:pPr>
        <w:ind w:left="720"/>
        <w:rPr>
          <w:sz w:val="24"/>
          <w:szCs w:val="24"/>
          <w:lang w:val="en"/>
        </w:rPr>
      </w:pPr>
    </w:p>
    <w:p w:rsidR="00A3663D" w:rsidP="004B7DE2" w:rsidRDefault="0070749A" w14:paraId="17075B4D" w14:textId="77777777">
      <w:pPr>
        <w:ind w:left="720"/>
        <w:rPr>
          <w:sz w:val="24"/>
          <w:szCs w:val="24"/>
        </w:rPr>
      </w:pPr>
      <w:r>
        <w:rPr>
          <w:sz w:val="24"/>
          <w:szCs w:val="24"/>
        </w:rPr>
        <w:t>Estimated coefficients of variat</w:t>
      </w:r>
      <w:r w:rsidR="00CD7261">
        <w:rPr>
          <w:sz w:val="24"/>
          <w:szCs w:val="24"/>
        </w:rPr>
        <w:t xml:space="preserve">ion (CVs) are computed for all unfilled orders estimates, at the total manufacturing level and for all M3UFO industry categories.  Sampling was controlled </w:t>
      </w:r>
      <w:r w:rsidR="00A93D22">
        <w:rPr>
          <w:sz w:val="24"/>
          <w:szCs w:val="24"/>
        </w:rPr>
        <w:t xml:space="preserve">for each industry category </w:t>
      </w:r>
      <w:r w:rsidR="00433456">
        <w:rPr>
          <w:sz w:val="24"/>
          <w:szCs w:val="24"/>
        </w:rPr>
        <w:t>under CV constraints</w:t>
      </w:r>
      <w:r w:rsidR="00A93D22">
        <w:rPr>
          <w:sz w:val="24"/>
          <w:szCs w:val="24"/>
        </w:rPr>
        <w:t xml:space="preserve"> ranging from 0.015 to 0.20, depending on industry priority.  For the </w:t>
      </w:r>
      <w:r w:rsidR="00433456">
        <w:rPr>
          <w:sz w:val="24"/>
          <w:szCs w:val="24"/>
        </w:rPr>
        <w:t>most recent M3UFO survey</w:t>
      </w:r>
      <w:r w:rsidR="00DC0A15">
        <w:rPr>
          <w:sz w:val="24"/>
          <w:szCs w:val="24"/>
        </w:rPr>
        <w:t>,</w:t>
      </w:r>
      <w:r w:rsidR="00433456">
        <w:rPr>
          <w:sz w:val="24"/>
          <w:szCs w:val="24"/>
        </w:rPr>
        <w:t xml:space="preserve"> a</w:t>
      </w:r>
      <w:r w:rsidR="00A93D22">
        <w:rPr>
          <w:sz w:val="24"/>
          <w:szCs w:val="24"/>
        </w:rPr>
        <w:t xml:space="preserve">ctual estimated CVs </w:t>
      </w:r>
      <w:r w:rsidR="00DC0A15">
        <w:rPr>
          <w:sz w:val="24"/>
          <w:szCs w:val="24"/>
        </w:rPr>
        <w:t xml:space="preserve">ranged between 0.01 and 0.18 at the industry category level, and the estimated CV at the total manufacturing level was </w:t>
      </w:r>
      <w:r w:rsidR="00B90651">
        <w:rPr>
          <w:sz w:val="24"/>
          <w:szCs w:val="24"/>
        </w:rPr>
        <w:t>less than</w:t>
      </w:r>
      <w:r w:rsidR="00DC0A15">
        <w:rPr>
          <w:sz w:val="24"/>
          <w:szCs w:val="24"/>
        </w:rPr>
        <w:t xml:space="preserve"> 0.02</w:t>
      </w:r>
      <w:r w:rsidR="001A67C6">
        <w:rPr>
          <w:sz w:val="24"/>
          <w:szCs w:val="24"/>
        </w:rPr>
        <w:t>, so all reliability requirements were satisfied.</w:t>
      </w:r>
    </w:p>
    <w:p w:rsidR="00B13560" w:rsidRDefault="00B13560" w14:paraId="10465D89" w14:textId="77777777">
      <w:pPr>
        <w:rPr>
          <w:sz w:val="24"/>
          <w:szCs w:val="24"/>
        </w:rPr>
      </w:pPr>
    </w:p>
    <w:p w:rsidR="00357578" w:rsidRDefault="00357578" w14:paraId="767F0BF6" w14:textId="77777777">
      <w:pPr>
        <w:rPr>
          <w:sz w:val="24"/>
          <w:szCs w:val="24"/>
        </w:rPr>
      </w:pPr>
    </w:p>
    <w:p w:rsidR="005B0D79" w:rsidRDefault="005B0D79" w14:paraId="02FAC93E" w14:textId="77777777">
      <w:pPr>
        <w:rPr>
          <w:b/>
          <w:bCs/>
          <w:sz w:val="24"/>
          <w:szCs w:val="24"/>
        </w:rPr>
      </w:pPr>
      <w:r>
        <w:rPr>
          <w:sz w:val="24"/>
          <w:szCs w:val="24"/>
        </w:rPr>
        <w:t xml:space="preserve">       </w:t>
      </w:r>
      <w:r>
        <w:rPr>
          <w:b/>
          <w:bCs/>
          <w:sz w:val="24"/>
          <w:szCs w:val="24"/>
        </w:rPr>
        <w:t xml:space="preserve">3.  </w:t>
      </w:r>
      <w:r>
        <w:rPr>
          <w:b/>
          <w:bCs/>
          <w:sz w:val="24"/>
          <w:szCs w:val="24"/>
          <w:u w:val="single"/>
        </w:rPr>
        <w:t>Efforts to Maximize Response</w:t>
      </w:r>
      <w:r>
        <w:rPr>
          <w:b/>
          <w:bCs/>
          <w:sz w:val="24"/>
          <w:szCs w:val="24"/>
        </w:rPr>
        <w:t xml:space="preserve"> </w:t>
      </w:r>
    </w:p>
    <w:p w:rsidR="00357578" w:rsidRDefault="00357578" w14:paraId="6A070026" w14:textId="77777777">
      <w:pPr>
        <w:rPr>
          <w:sz w:val="24"/>
          <w:szCs w:val="24"/>
        </w:rPr>
      </w:pPr>
    </w:p>
    <w:p w:rsidR="00A3663D" w:rsidP="00EA13FB" w:rsidRDefault="00543918" w14:paraId="299DAD97" w14:textId="77777777">
      <w:pPr>
        <w:ind w:left="720"/>
        <w:rPr>
          <w:sz w:val="24"/>
          <w:szCs w:val="24"/>
        </w:rPr>
      </w:pPr>
      <w:r>
        <w:rPr>
          <w:sz w:val="24"/>
          <w:szCs w:val="24"/>
        </w:rPr>
        <w:t>We calculate two measures of response for the M3UFO survey.  The check-in rate measures the unweighted proportion of questionnaires returned, with or without data</w:t>
      </w:r>
      <w:r w:rsidR="009423FF">
        <w:rPr>
          <w:sz w:val="24"/>
          <w:szCs w:val="24"/>
        </w:rPr>
        <w:t>, out of the total number of questionnaires mailed</w:t>
      </w:r>
      <w:r w:rsidR="003D1372">
        <w:rPr>
          <w:sz w:val="24"/>
          <w:szCs w:val="24"/>
        </w:rPr>
        <w:t xml:space="preserve">.  The </w:t>
      </w:r>
      <w:r w:rsidR="008E0B83">
        <w:rPr>
          <w:sz w:val="24"/>
          <w:szCs w:val="24"/>
        </w:rPr>
        <w:t>coverage</w:t>
      </w:r>
      <w:r w:rsidR="003D1372">
        <w:rPr>
          <w:sz w:val="24"/>
          <w:szCs w:val="24"/>
        </w:rPr>
        <w:t xml:space="preserve"> rate measures the weighted contribution in terms of measure of size (value of shipments) for active companies with reported data included in the final unfilled orders estimates relative to the total weighted measure of size for all active companies in the M3UFO survey.  </w:t>
      </w:r>
      <w:r w:rsidRPr="00EA13FB" w:rsidR="00EA13FB">
        <w:rPr>
          <w:rFonts w:eastAsia="@MingLiU_HKSCS"/>
          <w:color w:val="000000"/>
          <w:sz w:val="24"/>
          <w:szCs w:val="24"/>
        </w:rPr>
        <w:t xml:space="preserve">The Census Bureau observed lower response in </w:t>
      </w:r>
      <w:r w:rsidR="00EA13FB">
        <w:rPr>
          <w:rFonts w:eastAsia="@MingLiU_HKSCS"/>
          <w:color w:val="000000"/>
          <w:sz w:val="24"/>
          <w:szCs w:val="24"/>
        </w:rPr>
        <w:t>2020</w:t>
      </w:r>
      <w:r w:rsidRPr="00EA13FB" w:rsidR="00EA13FB">
        <w:rPr>
          <w:rFonts w:eastAsia="@MingLiU_HKSCS"/>
          <w:color w:val="000000"/>
          <w:sz w:val="24"/>
          <w:szCs w:val="24"/>
        </w:rPr>
        <w:t xml:space="preserve"> because of the Coronavirus pandemic</w:t>
      </w:r>
      <w:r w:rsidR="00EA13FB">
        <w:rPr>
          <w:rFonts w:eastAsia="@MingLiU_HKSCS"/>
          <w:color w:val="000000"/>
          <w:sz w:val="24"/>
          <w:szCs w:val="24"/>
        </w:rPr>
        <w:t>.</w:t>
      </w:r>
      <w:r w:rsidR="00EA13FB">
        <w:rPr>
          <w:sz w:val="24"/>
          <w:szCs w:val="24"/>
        </w:rPr>
        <w:t xml:space="preserve"> </w:t>
      </w:r>
      <w:r w:rsidR="00B011CC">
        <w:rPr>
          <w:sz w:val="24"/>
          <w:szCs w:val="24"/>
        </w:rPr>
        <w:t>The</w:t>
      </w:r>
      <w:r w:rsidR="00EA13FB">
        <w:rPr>
          <w:sz w:val="24"/>
          <w:szCs w:val="24"/>
        </w:rPr>
        <w:t xml:space="preserve"> check-in rate was approximately 71 percent and the </w:t>
      </w:r>
      <w:r w:rsidR="00726146">
        <w:rPr>
          <w:sz w:val="24"/>
          <w:szCs w:val="24"/>
        </w:rPr>
        <w:t>coverage</w:t>
      </w:r>
      <w:r w:rsidR="00EA13FB">
        <w:rPr>
          <w:sz w:val="24"/>
          <w:szCs w:val="24"/>
        </w:rPr>
        <w:t xml:space="preserve"> rate </w:t>
      </w:r>
      <w:proofErr w:type="gramStart"/>
      <w:r w:rsidR="00EA13FB">
        <w:rPr>
          <w:sz w:val="24"/>
          <w:szCs w:val="24"/>
        </w:rPr>
        <w:t>was</w:t>
      </w:r>
      <w:proofErr w:type="gramEnd"/>
      <w:r w:rsidR="00EA13FB">
        <w:rPr>
          <w:sz w:val="24"/>
          <w:szCs w:val="24"/>
        </w:rPr>
        <w:t xml:space="preserve"> </w:t>
      </w:r>
      <w:r w:rsidR="001618C0">
        <w:rPr>
          <w:sz w:val="24"/>
          <w:szCs w:val="24"/>
        </w:rPr>
        <w:t>just over 73</w:t>
      </w:r>
      <w:r w:rsidR="00EA13FB">
        <w:rPr>
          <w:sz w:val="24"/>
          <w:szCs w:val="24"/>
        </w:rPr>
        <w:t xml:space="preserve"> percent</w:t>
      </w:r>
      <w:r w:rsidR="00B011CC">
        <w:rPr>
          <w:sz w:val="24"/>
          <w:szCs w:val="24"/>
        </w:rPr>
        <w:t xml:space="preserve"> in </w:t>
      </w:r>
      <w:r w:rsidR="0073460E">
        <w:rPr>
          <w:sz w:val="24"/>
          <w:szCs w:val="24"/>
        </w:rPr>
        <w:t xml:space="preserve">2020.  </w:t>
      </w:r>
      <w:r w:rsidR="00EA13FB">
        <w:rPr>
          <w:sz w:val="24"/>
          <w:szCs w:val="24"/>
        </w:rPr>
        <w:t xml:space="preserve">  </w:t>
      </w:r>
      <w:r w:rsidR="00B011CC">
        <w:rPr>
          <w:sz w:val="24"/>
          <w:szCs w:val="24"/>
        </w:rPr>
        <w:t>We</w:t>
      </w:r>
      <w:r w:rsidR="007C109A">
        <w:rPr>
          <w:sz w:val="24"/>
          <w:szCs w:val="24"/>
        </w:rPr>
        <w:t xml:space="preserve"> expect </w:t>
      </w:r>
      <w:r w:rsidR="00B011CC">
        <w:rPr>
          <w:sz w:val="24"/>
          <w:szCs w:val="24"/>
        </w:rPr>
        <w:t xml:space="preserve">the </w:t>
      </w:r>
      <w:r w:rsidR="0073460E">
        <w:rPr>
          <w:sz w:val="24"/>
          <w:szCs w:val="24"/>
        </w:rPr>
        <w:t xml:space="preserve">M3UFO </w:t>
      </w:r>
      <w:r w:rsidR="00B011CC">
        <w:rPr>
          <w:sz w:val="24"/>
          <w:szCs w:val="24"/>
        </w:rPr>
        <w:t xml:space="preserve">survey to rebound in 2021 with </w:t>
      </w:r>
      <w:r w:rsidR="007C109A">
        <w:rPr>
          <w:sz w:val="24"/>
          <w:szCs w:val="24"/>
        </w:rPr>
        <w:t>a</w:t>
      </w:r>
      <w:r w:rsidR="00376DE9">
        <w:rPr>
          <w:sz w:val="24"/>
          <w:szCs w:val="24"/>
        </w:rPr>
        <w:t xml:space="preserve"> </w:t>
      </w:r>
      <w:r w:rsidRPr="004B17F1" w:rsidR="00376DE9">
        <w:rPr>
          <w:sz w:val="24"/>
          <w:szCs w:val="24"/>
        </w:rPr>
        <w:t xml:space="preserve">check-in </w:t>
      </w:r>
      <w:r w:rsidRPr="004B17F1" w:rsidR="005B0D79">
        <w:rPr>
          <w:sz w:val="24"/>
          <w:szCs w:val="24"/>
        </w:rPr>
        <w:t xml:space="preserve">rate of at least </w:t>
      </w:r>
      <w:r w:rsidR="00B011CC">
        <w:rPr>
          <w:sz w:val="24"/>
          <w:szCs w:val="24"/>
        </w:rPr>
        <w:t>75</w:t>
      </w:r>
      <w:r w:rsidRPr="004B17F1" w:rsidR="005B0D79">
        <w:rPr>
          <w:sz w:val="24"/>
          <w:szCs w:val="24"/>
        </w:rPr>
        <w:t xml:space="preserve"> </w:t>
      </w:r>
      <w:r w:rsidRPr="00942A1D" w:rsidR="005B0D79">
        <w:rPr>
          <w:sz w:val="24"/>
          <w:szCs w:val="24"/>
        </w:rPr>
        <w:t xml:space="preserve">percent </w:t>
      </w:r>
      <w:r w:rsidRPr="00942A1D" w:rsidR="007C109A">
        <w:rPr>
          <w:sz w:val="24"/>
          <w:szCs w:val="24"/>
        </w:rPr>
        <w:t>and</w:t>
      </w:r>
      <w:r w:rsidRPr="001618C0" w:rsidR="007C109A">
        <w:rPr>
          <w:sz w:val="24"/>
          <w:szCs w:val="24"/>
        </w:rPr>
        <w:t xml:space="preserve"> a </w:t>
      </w:r>
      <w:r w:rsidR="00726146">
        <w:rPr>
          <w:sz w:val="24"/>
          <w:szCs w:val="24"/>
        </w:rPr>
        <w:t xml:space="preserve">coverage rate </w:t>
      </w:r>
      <w:r w:rsidRPr="001618C0" w:rsidR="007C109A">
        <w:rPr>
          <w:sz w:val="24"/>
          <w:szCs w:val="24"/>
        </w:rPr>
        <w:t xml:space="preserve">of </w:t>
      </w:r>
      <w:r w:rsidRPr="001618C0" w:rsidR="003D1372">
        <w:rPr>
          <w:sz w:val="24"/>
          <w:szCs w:val="24"/>
        </w:rPr>
        <w:t xml:space="preserve">at least </w:t>
      </w:r>
      <w:r w:rsidRPr="001618C0" w:rsidR="00EA13FB">
        <w:rPr>
          <w:sz w:val="24"/>
          <w:szCs w:val="24"/>
        </w:rPr>
        <w:t>80</w:t>
      </w:r>
      <w:r w:rsidRPr="001618C0" w:rsidR="007C109A">
        <w:rPr>
          <w:sz w:val="24"/>
          <w:szCs w:val="24"/>
        </w:rPr>
        <w:t xml:space="preserve"> percent</w:t>
      </w:r>
      <w:r w:rsidR="001618C0">
        <w:rPr>
          <w:sz w:val="24"/>
          <w:szCs w:val="24"/>
        </w:rPr>
        <w:t>.</w:t>
      </w:r>
    </w:p>
    <w:p w:rsidR="00A3663D" w:rsidRDefault="00A3663D" w14:paraId="21194709" w14:textId="77777777">
      <w:pPr>
        <w:ind w:left="720"/>
        <w:rPr>
          <w:sz w:val="24"/>
          <w:szCs w:val="24"/>
        </w:rPr>
      </w:pPr>
    </w:p>
    <w:p w:rsidR="00EA13FB" w:rsidRDefault="005B0D79" w14:paraId="61C6DB31" w14:textId="77777777">
      <w:pPr>
        <w:ind w:left="720"/>
        <w:rPr>
          <w:sz w:val="24"/>
          <w:szCs w:val="24"/>
        </w:rPr>
      </w:pPr>
      <w:r>
        <w:rPr>
          <w:sz w:val="24"/>
          <w:szCs w:val="24"/>
        </w:rPr>
        <w:t xml:space="preserve">Dedicated efforts </w:t>
      </w:r>
      <w:r w:rsidR="00FE479B">
        <w:rPr>
          <w:sz w:val="24"/>
          <w:szCs w:val="24"/>
        </w:rPr>
        <w:t xml:space="preserve">are made to maximize </w:t>
      </w:r>
      <w:r w:rsidR="00074EC3">
        <w:rPr>
          <w:sz w:val="24"/>
          <w:szCs w:val="24"/>
        </w:rPr>
        <w:t xml:space="preserve">the </w:t>
      </w:r>
      <w:r w:rsidR="00FE479B">
        <w:rPr>
          <w:sz w:val="24"/>
          <w:szCs w:val="24"/>
        </w:rPr>
        <w:t xml:space="preserve">check-in </w:t>
      </w:r>
      <w:r w:rsidR="00074EC3">
        <w:rPr>
          <w:sz w:val="24"/>
          <w:szCs w:val="24"/>
        </w:rPr>
        <w:t xml:space="preserve">and </w:t>
      </w:r>
      <w:r w:rsidR="0073460E">
        <w:rPr>
          <w:sz w:val="24"/>
          <w:szCs w:val="24"/>
        </w:rPr>
        <w:t>coverage</w:t>
      </w:r>
      <w:r w:rsidR="00FE479B">
        <w:rPr>
          <w:sz w:val="24"/>
          <w:szCs w:val="24"/>
        </w:rPr>
        <w:t xml:space="preserve"> rate</w:t>
      </w:r>
      <w:r w:rsidR="00074EC3">
        <w:rPr>
          <w:sz w:val="24"/>
          <w:szCs w:val="24"/>
        </w:rPr>
        <w:t>s</w:t>
      </w:r>
      <w:r w:rsidR="001967E1">
        <w:rPr>
          <w:sz w:val="24"/>
          <w:szCs w:val="24"/>
        </w:rPr>
        <w:t xml:space="preserve">.  </w:t>
      </w:r>
      <w:r w:rsidR="00A572A5">
        <w:rPr>
          <w:sz w:val="24"/>
          <w:szCs w:val="24"/>
        </w:rPr>
        <w:t>Since</w:t>
      </w:r>
      <w:r w:rsidR="001967E1">
        <w:rPr>
          <w:sz w:val="24"/>
          <w:szCs w:val="24"/>
        </w:rPr>
        <w:t xml:space="preserve"> 2016, a reminder letter </w:t>
      </w:r>
      <w:r w:rsidR="00A572A5">
        <w:rPr>
          <w:sz w:val="24"/>
          <w:szCs w:val="24"/>
        </w:rPr>
        <w:t>has been used as part of the M3UF</w:t>
      </w:r>
      <w:r w:rsidR="006E365A">
        <w:rPr>
          <w:sz w:val="24"/>
          <w:szCs w:val="24"/>
        </w:rPr>
        <w:t xml:space="preserve">O </w:t>
      </w:r>
      <w:r w:rsidR="001967E1">
        <w:rPr>
          <w:sz w:val="24"/>
          <w:szCs w:val="24"/>
        </w:rPr>
        <w:t>collection strategy</w:t>
      </w:r>
      <w:r w:rsidR="006E365A">
        <w:rPr>
          <w:sz w:val="24"/>
          <w:szCs w:val="24"/>
        </w:rPr>
        <w:t xml:space="preserve"> to reduce the number of respondents that are classified as past due as of the 30-day</w:t>
      </w:r>
      <w:r w:rsidR="00D81C1C">
        <w:rPr>
          <w:sz w:val="24"/>
          <w:szCs w:val="24"/>
        </w:rPr>
        <w:t xml:space="preserve"> reporting</w:t>
      </w:r>
      <w:r w:rsidR="006E365A">
        <w:rPr>
          <w:sz w:val="24"/>
          <w:szCs w:val="24"/>
        </w:rPr>
        <w:t xml:space="preserve"> deadline.  </w:t>
      </w:r>
      <w:r w:rsidR="00D81C1C">
        <w:rPr>
          <w:sz w:val="24"/>
          <w:szCs w:val="24"/>
        </w:rPr>
        <w:t xml:space="preserve">The </w:t>
      </w:r>
      <w:r w:rsidR="006E365A">
        <w:rPr>
          <w:sz w:val="24"/>
          <w:szCs w:val="24"/>
        </w:rPr>
        <w:t xml:space="preserve">reminder letter </w:t>
      </w:r>
      <w:r w:rsidR="00A572A5">
        <w:rPr>
          <w:sz w:val="24"/>
          <w:szCs w:val="24"/>
        </w:rPr>
        <w:t>is</w:t>
      </w:r>
      <w:r w:rsidR="00D81C1C">
        <w:rPr>
          <w:sz w:val="24"/>
          <w:szCs w:val="24"/>
        </w:rPr>
        <w:t xml:space="preserve"> sent to non-respondents </w:t>
      </w:r>
      <w:r w:rsidR="00F54AFE">
        <w:rPr>
          <w:sz w:val="24"/>
          <w:szCs w:val="24"/>
        </w:rPr>
        <w:t xml:space="preserve">20 days after the initial mailing of the form.  </w:t>
      </w:r>
      <w:r w:rsidR="00DD48EC">
        <w:rPr>
          <w:sz w:val="24"/>
          <w:szCs w:val="24"/>
        </w:rPr>
        <w:t>Since</w:t>
      </w:r>
      <w:r w:rsidR="00F92DA7">
        <w:rPr>
          <w:sz w:val="24"/>
          <w:szCs w:val="24"/>
        </w:rPr>
        <w:t xml:space="preserve"> </w:t>
      </w:r>
      <w:r w:rsidR="00A572A5">
        <w:rPr>
          <w:sz w:val="24"/>
          <w:szCs w:val="24"/>
        </w:rPr>
        <w:t>20</w:t>
      </w:r>
      <w:r w:rsidR="00DD48EC">
        <w:rPr>
          <w:sz w:val="24"/>
          <w:szCs w:val="24"/>
        </w:rPr>
        <w:t>19</w:t>
      </w:r>
      <w:r w:rsidR="00A572A5">
        <w:rPr>
          <w:sz w:val="24"/>
          <w:szCs w:val="24"/>
        </w:rPr>
        <w:t>, an</w:t>
      </w:r>
      <w:r w:rsidR="00E72DFC">
        <w:rPr>
          <w:sz w:val="24"/>
          <w:szCs w:val="24"/>
        </w:rPr>
        <w:t xml:space="preserve"> email</w:t>
      </w:r>
      <w:r w:rsidR="00A572A5">
        <w:rPr>
          <w:sz w:val="24"/>
          <w:szCs w:val="24"/>
        </w:rPr>
        <w:t xml:space="preserve"> reminder </w:t>
      </w:r>
      <w:r w:rsidR="00DD48EC">
        <w:rPr>
          <w:sz w:val="24"/>
          <w:szCs w:val="24"/>
        </w:rPr>
        <w:t>has been</w:t>
      </w:r>
      <w:r w:rsidR="00A572A5">
        <w:rPr>
          <w:sz w:val="24"/>
          <w:szCs w:val="24"/>
        </w:rPr>
        <w:t xml:space="preserve"> sent to respondents </w:t>
      </w:r>
      <w:r w:rsidR="00E72DFC">
        <w:rPr>
          <w:sz w:val="24"/>
          <w:szCs w:val="24"/>
        </w:rPr>
        <w:t>five</w:t>
      </w:r>
      <w:r w:rsidR="00A572A5">
        <w:rPr>
          <w:sz w:val="24"/>
          <w:szCs w:val="24"/>
        </w:rPr>
        <w:t xml:space="preserve"> days after the </w:t>
      </w:r>
      <w:r w:rsidR="00E72DFC">
        <w:rPr>
          <w:sz w:val="24"/>
          <w:szCs w:val="24"/>
        </w:rPr>
        <w:t>mailing of initial letters to inform the contact of record for each company that an initial letter was sent.  An additional</w:t>
      </w:r>
      <w:r w:rsidR="00730716">
        <w:rPr>
          <w:sz w:val="24"/>
          <w:szCs w:val="24"/>
        </w:rPr>
        <w:t xml:space="preserve"> due date email reminder is sent seven days before the</w:t>
      </w:r>
      <w:r w:rsidR="007F2946">
        <w:rPr>
          <w:sz w:val="24"/>
          <w:szCs w:val="24"/>
        </w:rPr>
        <w:t xml:space="preserve"> </w:t>
      </w:r>
      <w:r w:rsidR="00730716">
        <w:rPr>
          <w:sz w:val="24"/>
          <w:szCs w:val="24"/>
        </w:rPr>
        <w:t xml:space="preserve">due date to </w:t>
      </w:r>
      <w:r w:rsidR="00F92DA7">
        <w:rPr>
          <w:sz w:val="24"/>
          <w:szCs w:val="24"/>
        </w:rPr>
        <w:t>non-response companies</w:t>
      </w:r>
      <w:r w:rsidR="00730716">
        <w:rPr>
          <w:sz w:val="24"/>
          <w:szCs w:val="24"/>
        </w:rPr>
        <w:t xml:space="preserve">. </w:t>
      </w:r>
      <w:r w:rsidR="007F2946">
        <w:rPr>
          <w:sz w:val="24"/>
          <w:szCs w:val="24"/>
        </w:rPr>
        <w:t xml:space="preserve">Companies that did not respond to the survey after 30 days received an additional follow-up letter.  </w:t>
      </w:r>
    </w:p>
    <w:p w:rsidR="00EA13FB" w:rsidRDefault="00EA13FB" w14:paraId="24D3C61D" w14:textId="77777777">
      <w:pPr>
        <w:ind w:left="720"/>
        <w:rPr>
          <w:sz w:val="24"/>
          <w:szCs w:val="24"/>
        </w:rPr>
      </w:pPr>
    </w:p>
    <w:p w:rsidR="00367E54" w:rsidRDefault="00F54AFE" w14:paraId="6B63FBCF" w14:textId="77777777">
      <w:pPr>
        <w:ind w:left="720"/>
        <w:rPr>
          <w:sz w:val="24"/>
          <w:szCs w:val="24"/>
        </w:rPr>
      </w:pPr>
      <w:r>
        <w:rPr>
          <w:sz w:val="24"/>
          <w:szCs w:val="24"/>
        </w:rPr>
        <w:t xml:space="preserve">Forty-five </w:t>
      </w:r>
      <w:r w:rsidR="00B13560">
        <w:rPr>
          <w:sz w:val="24"/>
          <w:szCs w:val="24"/>
        </w:rPr>
        <w:t xml:space="preserve">days after the follow-up </w:t>
      </w:r>
      <w:r w:rsidR="00FE479B">
        <w:rPr>
          <w:sz w:val="24"/>
          <w:szCs w:val="24"/>
        </w:rPr>
        <w:t xml:space="preserve">letter, a telephone follow-up </w:t>
      </w:r>
      <w:r w:rsidR="00EA13FB">
        <w:rPr>
          <w:sz w:val="24"/>
          <w:szCs w:val="24"/>
        </w:rPr>
        <w:t>is</w:t>
      </w:r>
      <w:r w:rsidR="00B13560">
        <w:rPr>
          <w:sz w:val="24"/>
          <w:szCs w:val="24"/>
        </w:rPr>
        <w:t xml:space="preserve"> conducted of non-respondents</w:t>
      </w:r>
      <w:r w:rsidR="00125084">
        <w:rPr>
          <w:sz w:val="24"/>
          <w:szCs w:val="24"/>
        </w:rPr>
        <w:t xml:space="preserve"> for a series of four call attempts over a four-week window</w:t>
      </w:r>
      <w:r w:rsidR="00B13560">
        <w:rPr>
          <w:sz w:val="24"/>
          <w:szCs w:val="24"/>
        </w:rPr>
        <w:t>.</w:t>
      </w:r>
      <w:r w:rsidR="005B0D79">
        <w:rPr>
          <w:sz w:val="24"/>
          <w:szCs w:val="24"/>
        </w:rPr>
        <w:t xml:space="preserve"> </w:t>
      </w:r>
    </w:p>
    <w:p w:rsidR="00367E54" w:rsidRDefault="00367E54" w14:paraId="75C013A8" w14:textId="77777777">
      <w:pPr>
        <w:ind w:left="720"/>
        <w:rPr>
          <w:sz w:val="24"/>
          <w:szCs w:val="24"/>
        </w:rPr>
      </w:pPr>
    </w:p>
    <w:p w:rsidR="007F2946" w:rsidRDefault="007F2946" w14:paraId="64BEFDC1" w14:textId="77777777">
      <w:pPr>
        <w:ind w:left="720"/>
        <w:rPr>
          <w:sz w:val="24"/>
          <w:szCs w:val="24"/>
        </w:rPr>
      </w:pPr>
      <w:r>
        <w:rPr>
          <w:sz w:val="24"/>
          <w:szCs w:val="24"/>
        </w:rPr>
        <w:t>A</w:t>
      </w:r>
      <w:r w:rsidR="00367E54">
        <w:rPr>
          <w:sz w:val="24"/>
          <w:szCs w:val="24"/>
        </w:rPr>
        <w:t xml:space="preserve"> second telephone follow-up </w:t>
      </w:r>
      <w:r w:rsidR="00125084">
        <w:rPr>
          <w:sz w:val="24"/>
          <w:szCs w:val="24"/>
        </w:rPr>
        <w:t xml:space="preserve">series </w:t>
      </w:r>
      <w:r w:rsidR="00590738">
        <w:rPr>
          <w:sz w:val="24"/>
          <w:szCs w:val="24"/>
        </w:rPr>
        <w:t xml:space="preserve">is conducted to contact </w:t>
      </w:r>
      <w:r w:rsidR="008454D1">
        <w:rPr>
          <w:sz w:val="24"/>
          <w:szCs w:val="24"/>
        </w:rPr>
        <w:t>the</w:t>
      </w:r>
      <w:r w:rsidR="00367E54">
        <w:rPr>
          <w:sz w:val="24"/>
          <w:szCs w:val="24"/>
        </w:rPr>
        <w:t xml:space="preserve"> </w:t>
      </w:r>
      <w:r w:rsidR="001967E1">
        <w:rPr>
          <w:sz w:val="24"/>
          <w:szCs w:val="24"/>
        </w:rPr>
        <w:t>largest</w:t>
      </w:r>
      <w:r w:rsidR="00367E54">
        <w:rPr>
          <w:sz w:val="24"/>
          <w:szCs w:val="24"/>
        </w:rPr>
        <w:t xml:space="preserve"> </w:t>
      </w:r>
      <w:r w:rsidR="00590738">
        <w:rPr>
          <w:sz w:val="24"/>
          <w:szCs w:val="24"/>
        </w:rPr>
        <w:t xml:space="preserve">non-response </w:t>
      </w:r>
      <w:r w:rsidR="00367E54">
        <w:rPr>
          <w:sz w:val="24"/>
          <w:szCs w:val="24"/>
        </w:rPr>
        <w:t xml:space="preserve">companies of each </w:t>
      </w:r>
      <w:r w:rsidR="008454D1">
        <w:rPr>
          <w:sz w:val="24"/>
          <w:szCs w:val="24"/>
        </w:rPr>
        <w:t xml:space="preserve">M3UFO </w:t>
      </w:r>
      <w:r w:rsidR="00367E54">
        <w:rPr>
          <w:sz w:val="24"/>
          <w:szCs w:val="24"/>
        </w:rPr>
        <w:t>industry category</w:t>
      </w:r>
      <w:r w:rsidR="001967E1">
        <w:rPr>
          <w:sz w:val="24"/>
          <w:szCs w:val="24"/>
        </w:rPr>
        <w:t xml:space="preserve"> </w:t>
      </w:r>
      <w:r w:rsidR="00FE479B">
        <w:rPr>
          <w:sz w:val="24"/>
          <w:szCs w:val="24"/>
        </w:rPr>
        <w:t xml:space="preserve">seven days </w:t>
      </w:r>
      <w:r w:rsidR="00F54AFE">
        <w:rPr>
          <w:sz w:val="24"/>
          <w:szCs w:val="24"/>
        </w:rPr>
        <w:t xml:space="preserve">after the initial telephone follow-up period </w:t>
      </w:r>
      <w:r w:rsidR="00FE479B">
        <w:rPr>
          <w:sz w:val="24"/>
          <w:szCs w:val="24"/>
        </w:rPr>
        <w:t>ha</w:t>
      </w:r>
      <w:r w:rsidR="00726146">
        <w:rPr>
          <w:sz w:val="24"/>
          <w:szCs w:val="24"/>
        </w:rPr>
        <w:t>s</w:t>
      </w:r>
      <w:r w:rsidR="00F54AFE">
        <w:rPr>
          <w:sz w:val="24"/>
          <w:szCs w:val="24"/>
        </w:rPr>
        <w:t xml:space="preserve"> been concluded</w:t>
      </w:r>
      <w:r w:rsidR="00367E54">
        <w:rPr>
          <w:sz w:val="24"/>
          <w:szCs w:val="24"/>
        </w:rPr>
        <w:t xml:space="preserve">.  </w:t>
      </w:r>
      <w:r w:rsidR="00FE479B">
        <w:rPr>
          <w:sz w:val="24"/>
          <w:szCs w:val="24"/>
        </w:rPr>
        <w:t>Each of these companies</w:t>
      </w:r>
      <w:r w:rsidR="00590738">
        <w:rPr>
          <w:sz w:val="24"/>
          <w:szCs w:val="24"/>
        </w:rPr>
        <w:t xml:space="preserve"> is</w:t>
      </w:r>
      <w:r w:rsidR="001967E1">
        <w:rPr>
          <w:sz w:val="24"/>
          <w:szCs w:val="24"/>
        </w:rPr>
        <w:t xml:space="preserve"> contacted until a valid</w:t>
      </w:r>
      <w:r w:rsidR="00FE479B">
        <w:rPr>
          <w:sz w:val="24"/>
          <w:szCs w:val="24"/>
        </w:rPr>
        <w:t xml:space="preserve"> </w:t>
      </w:r>
      <w:r w:rsidR="00FE479B">
        <w:rPr>
          <w:sz w:val="24"/>
          <w:szCs w:val="24"/>
        </w:rPr>
        <w:lastRenderedPageBreak/>
        <w:t xml:space="preserve">response </w:t>
      </w:r>
      <w:r w:rsidR="00726146">
        <w:rPr>
          <w:sz w:val="24"/>
          <w:szCs w:val="24"/>
        </w:rPr>
        <w:t>i</w:t>
      </w:r>
      <w:r w:rsidR="00FE479B">
        <w:rPr>
          <w:sz w:val="24"/>
          <w:szCs w:val="24"/>
        </w:rPr>
        <w:t>s</w:t>
      </w:r>
      <w:r w:rsidR="001967E1">
        <w:rPr>
          <w:sz w:val="24"/>
          <w:szCs w:val="24"/>
        </w:rPr>
        <w:t xml:space="preserve"> acquired by an M3UFO analyst.</w:t>
      </w:r>
      <w:r w:rsidR="00367E54">
        <w:rPr>
          <w:sz w:val="24"/>
          <w:szCs w:val="24"/>
        </w:rPr>
        <w:t xml:space="preserve">  </w:t>
      </w:r>
    </w:p>
    <w:p w:rsidR="007F2946" w:rsidRDefault="007F2946" w14:paraId="0E19BA58" w14:textId="77777777">
      <w:pPr>
        <w:ind w:left="720"/>
        <w:rPr>
          <w:sz w:val="24"/>
          <w:szCs w:val="24"/>
        </w:rPr>
      </w:pPr>
    </w:p>
    <w:p w:rsidR="000E5315" w:rsidRDefault="00726146" w14:paraId="0C0E84A9" w14:textId="77777777">
      <w:pPr>
        <w:ind w:left="720"/>
        <w:rPr>
          <w:sz w:val="24"/>
          <w:szCs w:val="24"/>
        </w:rPr>
      </w:pPr>
      <w:r>
        <w:rPr>
          <w:sz w:val="24"/>
          <w:szCs w:val="24"/>
        </w:rPr>
        <w:t>A</w:t>
      </w:r>
      <w:r w:rsidR="007F2946">
        <w:rPr>
          <w:sz w:val="24"/>
          <w:szCs w:val="24"/>
        </w:rPr>
        <w:t>fter the telephone follow-up process c</w:t>
      </w:r>
      <w:r w:rsidR="00590738">
        <w:rPr>
          <w:sz w:val="24"/>
          <w:szCs w:val="24"/>
        </w:rPr>
        <w:t>oncludes</w:t>
      </w:r>
      <w:r>
        <w:rPr>
          <w:sz w:val="24"/>
          <w:szCs w:val="24"/>
        </w:rPr>
        <w:t>, non-respondents</w:t>
      </w:r>
      <w:r w:rsidR="007F2946">
        <w:rPr>
          <w:sz w:val="24"/>
          <w:szCs w:val="24"/>
        </w:rPr>
        <w:t xml:space="preserve"> receive </w:t>
      </w:r>
      <w:r w:rsidR="00DD48EC">
        <w:rPr>
          <w:sz w:val="24"/>
          <w:szCs w:val="24"/>
        </w:rPr>
        <w:t xml:space="preserve">an </w:t>
      </w:r>
      <w:r w:rsidR="007F2946">
        <w:rPr>
          <w:sz w:val="24"/>
          <w:szCs w:val="24"/>
        </w:rPr>
        <w:t xml:space="preserve">additional email reminder each subsequent month </w:t>
      </w:r>
      <w:r w:rsidR="00F92DA7">
        <w:rPr>
          <w:sz w:val="24"/>
          <w:szCs w:val="24"/>
        </w:rPr>
        <w:t>until a valid response is obtained electronically or by an M3UFO analyst</w:t>
      </w:r>
      <w:r w:rsidR="007F2946">
        <w:rPr>
          <w:sz w:val="24"/>
          <w:szCs w:val="24"/>
        </w:rPr>
        <w:t>.</w:t>
      </w:r>
    </w:p>
    <w:p w:rsidR="000E5315" w:rsidRDefault="000E5315" w14:paraId="2403EDD6" w14:textId="77777777">
      <w:pPr>
        <w:ind w:left="720"/>
        <w:rPr>
          <w:sz w:val="24"/>
          <w:szCs w:val="24"/>
        </w:rPr>
      </w:pPr>
    </w:p>
    <w:p w:rsidR="00367E54" w:rsidRDefault="000E5315" w14:paraId="45C7E530" w14:textId="77777777">
      <w:pPr>
        <w:ind w:left="720"/>
        <w:rPr>
          <w:sz w:val="24"/>
          <w:szCs w:val="24"/>
        </w:rPr>
      </w:pPr>
      <w:r>
        <w:rPr>
          <w:sz w:val="24"/>
          <w:szCs w:val="24"/>
        </w:rPr>
        <w:t xml:space="preserve">The M3UFO survey </w:t>
      </w:r>
      <w:r w:rsidR="00A56D82">
        <w:rPr>
          <w:sz w:val="24"/>
          <w:szCs w:val="24"/>
        </w:rPr>
        <w:t>will continue to use th</w:t>
      </w:r>
      <w:r w:rsidR="00F81FA3">
        <w:rPr>
          <w:sz w:val="24"/>
          <w:szCs w:val="24"/>
        </w:rPr>
        <w:t xml:space="preserve">is </w:t>
      </w:r>
      <w:r w:rsidR="007A1740">
        <w:rPr>
          <w:sz w:val="24"/>
          <w:szCs w:val="24"/>
        </w:rPr>
        <w:t xml:space="preserve">mailing </w:t>
      </w:r>
      <w:r w:rsidR="00FE479B">
        <w:rPr>
          <w:sz w:val="24"/>
          <w:szCs w:val="24"/>
        </w:rPr>
        <w:t xml:space="preserve">strategy </w:t>
      </w:r>
      <w:r w:rsidR="007A1740">
        <w:rPr>
          <w:sz w:val="24"/>
          <w:szCs w:val="24"/>
        </w:rPr>
        <w:t xml:space="preserve">going forward </w:t>
      </w:r>
      <w:r w:rsidR="00A56D82">
        <w:rPr>
          <w:sz w:val="24"/>
          <w:szCs w:val="24"/>
        </w:rPr>
        <w:t>by</w:t>
      </w:r>
      <w:r w:rsidR="00FE479B">
        <w:rPr>
          <w:sz w:val="24"/>
          <w:szCs w:val="24"/>
        </w:rPr>
        <w:t xml:space="preserve"> sending </w:t>
      </w:r>
      <w:r w:rsidRPr="00590738" w:rsidR="00FE479B">
        <w:rPr>
          <w:sz w:val="24"/>
          <w:szCs w:val="24"/>
        </w:rPr>
        <w:t xml:space="preserve">an initial </w:t>
      </w:r>
      <w:r w:rsidRPr="00590738" w:rsidR="007A1740">
        <w:rPr>
          <w:sz w:val="24"/>
          <w:szCs w:val="24"/>
        </w:rPr>
        <w:t xml:space="preserve">form </w:t>
      </w:r>
      <w:r w:rsidRPr="00590738" w:rsidR="00FE479B">
        <w:rPr>
          <w:sz w:val="24"/>
          <w:szCs w:val="24"/>
        </w:rPr>
        <w:t>to respondents</w:t>
      </w:r>
      <w:r w:rsidRPr="00590738" w:rsidR="001137CF">
        <w:rPr>
          <w:sz w:val="24"/>
          <w:szCs w:val="24"/>
        </w:rPr>
        <w:t>,</w:t>
      </w:r>
      <w:r w:rsidRPr="00590738" w:rsidR="007319BB">
        <w:rPr>
          <w:sz w:val="24"/>
          <w:szCs w:val="24"/>
        </w:rPr>
        <w:t xml:space="preserve"> </w:t>
      </w:r>
      <w:r w:rsidRPr="00590738" w:rsidR="00FE479B">
        <w:rPr>
          <w:sz w:val="24"/>
          <w:szCs w:val="24"/>
        </w:rPr>
        <w:t>followed by a reminder letter</w:t>
      </w:r>
      <w:r w:rsidRPr="00590738" w:rsidR="007A1740">
        <w:rPr>
          <w:sz w:val="24"/>
          <w:szCs w:val="24"/>
        </w:rPr>
        <w:t xml:space="preserve"> and follow-up letter to non-respondents.  </w:t>
      </w:r>
      <w:r w:rsidRPr="00590738" w:rsidR="001137CF">
        <w:rPr>
          <w:sz w:val="24"/>
          <w:szCs w:val="24"/>
        </w:rPr>
        <w:t>An email strategy will be used to notify respondent</w:t>
      </w:r>
      <w:r w:rsidR="00F92DA7">
        <w:rPr>
          <w:sz w:val="24"/>
          <w:szCs w:val="24"/>
        </w:rPr>
        <w:t>s</w:t>
      </w:r>
      <w:r w:rsidRPr="00590738" w:rsidR="001137CF">
        <w:rPr>
          <w:sz w:val="24"/>
          <w:szCs w:val="24"/>
        </w:rPr>
        <w:t xml:space="preserve"> that the initial letter has been mailed, followed by a due date reminder and then a series of non-response notifications.  </w:t>
      </w:r>
      <w:r w:rsidRPr="00590738" w:rsidR="007A1740">
        <w:rPr>
          <w:sz w:val="24"/>
          <w:szCs w:val="24"/>
        </w:rPr>
        <w:t xml:space="preserve">A </w:t>
      </w:r>
      <w:r w:rsidRPr="00590738" w:rsidR="004B4FCF">
        <w:rPr>
          <w:sz w:val="24"/>
          <w:szCs w:val="24"/>
        </w:rPr>
        <w:t xml:space="preserve">phone strategy consisting of </w:t>
      </w:r>
      <w:r w:rsidRPr="00590738" w:rsidR="007A1740">
        <w:rPr>
          <w:sz w:val="24"/>
          <w:szCs w:val="24"/>
        </w:rPr>
        <w:t xml:space="preserve">telephone follow-up for non-respondents </w:t>
      </w:r>
      <w:r w:rsidRPr="00590738" w:rsidR="004B4FCF">
        <w:rPr>
          <w:sz w:val="24"/>
          <w:szCs w:val="24"/>
        </w:rPr>
        <w:t xml:space="preserve">with a </w:t>
      </w:r>
      <w:r w:rsidRPr="00590738" w:rsidR="007A1740">
        <w:rPr>
          <w:sz w:val="24"/>
          <w:szCs w:val="24"/>
        </w:rPr>
        <w:t>subsequent round</w:t>
      </w:r>
      <w:r w:rsidR="007A1740">
        <w:rPr>
          <w:sz w:val="24"/>
          <w:szCs w:val="24"/>
        </w:rPr>
        <w:t xml:space="preserve"> of telephone follow-up for the largest </w:t>
      </w:r>
      <w:r w:rsidR="004B4FCF">
        <w:rPr>
          <w:sz w:val="24"/>
          <w:szCs w:val="24"/>
        </w:rPr>
        <w:t xml:space="preserve">non-respondent </w:t>
      </w:r>
      <w:r w:rsidR="007A1740">
        <w:rPr>
          <w:sz w:val="24"/>
          <w:szCs w:val="24"/>
        </w:rPr>
        <w:t xml:space="preserve">companies </w:t>
      </w:r>
      <w:r w:rsidR="004B4FCF">
        <w:rPr>
          <w:sz w:val="24"/>
          <w:szCs w:val="24"/>
        </w:rPr>
        <w:t xml:space="preserve">will be used going forward </w:t>
      </w:r>
      <w:r>
        <w:rPr>
          <w:sz w:val="24"/>
          <w:szCs w:val="24"/>
        </w:rPr>
        <w:t>for the purpose of</w:t>
      </w:r>
      <w:r w:rsidR="008454D1">
        <w:rPr>
          <w:sz w:val="24"/>
          <w:szCs w:val="24"/>
        </w:rPr>
        <w:t xml:space="preserve"> </w:t>
      </w:r>
      <w:r>
        <w:rPr>
          <w:sz w:val="24"/>
          <w:szCs w:val="24"/>
        </w:rPr>
        <w:t>achieving</w:t>
      </w:r>
      <w:r w:rsidR="008454D1">
        <w:rPr>
          <w:sz w:val="24"/>
          <w:szCs w:val="24"/>
        </w:rPr>
        <w:t xml:space="preserve"> </w:t>
      </w:r>
      <w:r w:rsidR="00144E64">
        <w:rPr>
          <w:sz w:val="24"/>
          <w:szCs w:val="24"/>
        </w:rPr>
        <w:t xml:space="preserve">and maintaining </w:t>
      </w:r>
      <w:r w:rsidR="008454D1">
        <w:rPr>
          <w:sz w:val="24"/>
          <w:szCs w:val="24"/>
        </w:rPr>
        <w:t xml:space="preserve">higher </w:t>
      </w:r>
      <w:r w:rsidR="00984882">
        <w:rPr>
          <w:sz w:val="24"/>
          <w:szCs w:val="24"/>
        </w:rPr>
        <w:t xml:space="preserve">check-in and </w:t>
      </w:r>
      <w:r w:rsidR="008454D1">
        <w:rPr>
          <w:sz w:val="24"/>
          <w:szCs w:val="24"/>
        </w:rPr>
        <w:t>coverage rates</w:t>
      </w:r>
      <w:r w:rsidR="004B4FCF">
        <w:rPr>
          <w:sz w:val="24"/>
          <w:szCs w:val="24"/>
        </w:rPr>
        <w:t>.</w:t>
      </w:r>
    </w:p>
    <w:p w:rsidR="00367E54" w:rsidRDefault="00367E54" w14:paraId="20B02FFE" w14:textId="77777777">
      <w:pPr>
        <w:ind w:left="720"/>
        <w:rPr>
          <w:sz w:val="24"/>
          <w:szCs w:val="24"/>
        </w:rPr>
      </w:pPr>
    </w:p>
    <w:p w:rsidR="005B0D79" w:rsidRDefault="005B0D79" w14:paraId="222DD6AD" w14:textId="77777777">
      <w:pPr>
        <w:ind w:left="720"/>
        <w:rPr>
          <w:sz w:val="24"/>
          <w:szCs w:val="24"/>
        </w:rPr>
      </w:pPr>
      <w:r>
        <w:rPr>
          <w:sz w:val="24"/>
          <w:szCs w:val="24"/>
        </w:rPr>
        <w:t>Report forms are reviewed and evaluated for any comments and suggestions made by the respondents to improve the survey results.</w:t>
      </w:r>
    </w:p>
    <w:p w:rsidR="00357578" w:rsidRDefault="00357578" w14:paraId="5391758D" w14:textId="77777777">
      <w:pPr>
        <w:rPr>
          <w:sz w:val="24"/>
          <w:szCs w:val="24"/>
        </w:rPr>
      </w:pPr>
    </w:p>
    <w:p w:rsidR="00C4430E" w:rsidRDefault="00C4430E" w14:paraId="0E577FBD" w14:textId="77777777">
      <w:pPr>
        <w:rPr>
          <w:sz w:val="24"/>
          <w:szCs w:val="24"/>
        </w:rPr>
      </w:pPr>
    </w:p>
    <w:p w:rsidR="005B0D79" w:rsidRDefault="005B0D79" w14:paraId="4DCC1D26" w14:textId="77777777">
      <w:pPr>
        <w:rPr>
          <w:b/>
          <w:bCs/>
          <w:sz w:val="24"/>
          <w:szCs w:val="24"/>
          <w:u w:val="single"/>
        </w:rPr>
      </w:pPr>
      <w:r>
        <w:rPr>
          <w:sz w:val="24"/>
          <w:szCs w:val="24"/>
        </w:rPr>
        <w:t xml:space="preserve">       </w:t>
      </w:r>
      <w:r>
        <w:rPr>
          <w:b/>
          <w:bCs/>
          <w:sz w:val="24"/>
          <w:szCs w:val="24"/>
        </w:rPr>
        <w:t xml:space="preserve">4.  </w:t>
      </w:r>
      <w:r>
        <w:rPr>
          <w:b/>
          <w:bCs/>
          <w:sz w:val="24"/>
          <w:szCs w:val="24"/>
          <w:u w:val="single"/>
        </w:rPr>
        <w:t>Tests of Procedures or Methods</w:t>
      </w:r>
    </w:p>
    <w:p w:rsidR="005B0D79" w:rsidRDefault="005B0D79" w14:paraId="2A870A15" w14:textId="77777777">
      <w:pPr>
        <w:rPr>
          <w:sz w:val="24"/>
          <w:szCs w:val="24"/>
        </w:rPr>
      </w:pPr>
    </w:p>
    <w:p w:rsidR="005B0D79" w:rsidRDefault="005B0D79" w14:paraId="199A81DA" w14:textId="77777777">
      <w:pPr>
        <w:ind w:left="720"/>
        <w:rPr>
          <w:sz w:val="24"/>
          <w:szCs w:val="24"/>
        </w:rPr>
      </w:pPr>
      <w:r>
        <w:rPr>
          <w:sz w:val="24"/>
          <w:szCs w:val="24"/>
        </w:rPr>
        <w:t xml:space="preserve">Periodically, the Census Bureau staff interviews survey respondents to assess our data        requests and to keep abreast of the current record keeping practices and changes in            technology.           </w:t>
      </w:r>
    </w:p>
    <w:p w:rsidR="005B0D79" w:rsidRDefault="005B0D79" w14:paraId="577440D7" w14:textId="77777777">
      <w:pPr>
        <w:rPr>
          <w:sz w:val="24"/>
          <w:szCs w:val="24"/>
        </w:rPr>
      </w:pPr>
    </w:p>
    <w:p w:rsidR="0070749A" w:rsidRDefault="0070749A" w14:paraId="21E85E3C" w14:textId="77777777">
      <w:pPr>
        <w:rPr>
          <w:sz w:val="24"/>
          <w:szCs w:val="24"/>
        </w:rPr>
      </w:pPr>
    </w:p>
    <w:p w:rsidR="005B0D79" w:rsidRDefault="005B0D79" w14:paraId="6A73ED60" w14:textId="77777777">
      <w:pPr>
        <w:rPr>
          <w:b/>
          <w:bCs/>
          <w:sz w:val="24"/>
          <w:szCs w:val="24"/>
        </w:rPr>
      </w:pPr>
      <w:r>
        <w:rPr>
          <w:sz w:val="24"/>
          <w:szCs w:val="24"/>
        </w:rPr>
        <w:t xml:space="preserve">       </w:t>
      </w:r>
      <w:r>
        <w:rPr>
          <w:b/>
          <w:bCs/>
          <w:sz w:val="24"/>
          <w:szCs w:val="24"/>
        </w:rPr>
        <w:t xml:space="preserve">5.  </w:t>
      </w:r>
      <w:r>
        <w:rPr>
          <w:b/>
          <w:bCs/>
          <w:sz w:val="24"/>
          <w:szCs w:val="24"/>
          <w:u w:val="single"/>
        </w:rPr>
        <w:t>Contacts for Statistical Aspects and Data Collection</w:t>
      </w:r>
    </w:p>
    <w:p w:rsidR="0070749A" w:rsidRDefault="0070749A" w14:paraId="7C6663F2" w14:textId="77777777">
      <w:pPr>
        <w:rPr>
          <w:sz w:val="24"/>
          <w:szCs w:val="24"/>
        </w:rPr>
      </w:pPr>
    </w:p>
    <w:p w:rsidR="005B0D79" w:rsidRDefault="005B0D79" w14:paraId="7F154694" w14:textId="77777777">
      <w:pPr>
        <w:ind w:left="720"/>
        <w:rPr>
          <w:sz w:val="24"/>
          <w:szCs w:val="24"/>
        </w:rPr>
      </w:pPr>
      <w:r>
        <w:rPr>
          <w:sz w:val="24"/>
          <w:szCs w:val="24"/>
        </w:rPr>
        <w:t>Person responsible for statistical methodology:</w:t>
      </w:r>
    </w:p>
    <w:p w:rsidR="005B0D79" w:rsidRDefault="005B0D79" w14:paraId="6E418BC8" w14:textId="77777777">
      <w:pPr>
        <w:rPr>
          <w:sz w:val="24"/>
          <w:szCs w:val="24"/>
        </w:rPr>
      </w:pPr>
    </w:p>
    <w:p w:rsidR="005B0D79" w:rsidRDefault="005B0D79" w14:paraId="639C66C6" w14:textId="77777777">
      <w:pPr>
        <w:rPr>
          <w:sz w:val="24"/>
          <w:szCs w:val="24"/>
        </w:rPr>
      </w:pPr>
      <w:r>
        <w:rPr>
          <w:sz w:val="24"/>
          <w:szCs w:val="24"/>
        </w:rPr>
        <w:tab/>
        <w:t>Amy M. Newman</w:t>
      </w:r>
      <w:r w:rsidR="002438CA">
        <w:rPr>
          <w:sz w:val="24"/>
          <w:szCs w:val="24"/>
        </w:rPr>
        <w:t>-</w:t>
      </w:r>
      <w:r>
        <w:rPr>
          <w:sz w:val="24"/>
          <w:szCs w:val="24"/>
        </w:rPr>
        <w:t xml:space="preserve">Smith, </w:t>
      </w:r>
    </w:p>
    <w:p w:rsidR="002438CA" w:rsidRDefault="005B0D79" w14:paraId="021FA229" w14:textId="77777777">
      <w:pPr>
        <w:rPr>
          <w:sz w:val="24"/>
          <w:szCs w:val="24"/>
        </w:rPr>
      </w:pPr>
      <w:r>
        <w:rPr>
          <w:sz w:val="24"/>
          <w:szCs w:val="24"/>
        </w:rPr>
        <w:tab/>
        <w:t>Methodology</w:t>
      </w:r>
      <w:r w:rsidR="00E129B2">
        <w:rPr>
          <w:sz w:val="24"/>
          <w:szCs w:val="24"/>
        </w:rPr>
        <w:t xml:space="preserve"> Director for </w:t>
      </w:r>
    </w:p>
    <w:p w:rsidR="005B0D79" w:rsidP="002438CA" w:rsidRDefault="00E129B2" w14:paraId="129CA569" w14:textId="77777777">
      <w:pPr>
        <w:ind w:firstLine="720"/>
        <w:rPr>
          <w:sz w:val="24"/>
          <w:szCs w:val="24"/>
        </w:rPr>
      </w:pPr>
      <w:r>
        <w:rPr>
          <w:sz w:val="24"/>
          <w:szCs w:val="24"/>
        </w:rPr>
        <w:t xml:space="preserve">Manufacturing, </w:t>
      </w:r>
      <w:r w:rsidR="002438CA">
        <w:rPr>
          <w:sz w:val="24"/>
          <w:szCs w:val="24"/>
        </w:rPr>
        <w:t>Investment</w:t>
      </w:r>
      <w:r>
        <w:rPr>
          <w:sz w:val="24"/>
          <w:szCs w:val="24"/>
        </w:rPr>
        <w:t xml:space="preserve"> and Construction</w:t>
      </w:r>
      <w:r w:rsidR="002438CA">
        <w:rPr>
          <w:sz w:val="24"/>
          <w:szCs w:val="24"/>
        </w:rPr>
        <w:t xml:space="preserve"> Programs</w:t>
      </w:r>
    </w:p>
    <w:p w:rsidR="005B0D79" w:rsidRDefault="005B0D79" w14:paraId="1E826E90" w14:textId="77777777">
      <w:pPr>
        <w:rPr>
          <w:sz w:val="24"/>
          <w:szCs w:val="24"/>
        </w:rPr>
      </w:pPr>
      <w:r>
        <w:rPr>
          <w:sz w:val="24"/>
          <w:szCs w:val="24"/>
        </w:rPr>
        <w:tab/>
      </w:r>
      <w:r w:rsidR="00E129B2">
        <w:rPr>
          <w:sz w:val="24"/>
          <w:szCs w:val="24"/>
        </w:rPr>
        <w:t>Economic Statistical Methods Division</w:t>
      </w:r>
    </w:p>
    <w:p w:rsidR="005B0D79" w:rsidRDefault="005B0D79" w14:paraId="0CD84463" w14:textId="77777777">
      <w:pPr>
        <w:rPr>
          <w:sz w:val="24"/>
          <w:szCs w:val="24"/>
        </w:rPr>
      </w:pPr>
      <w:r>
        <w:rPr>
          <w:sz w:val="24"/>
          <w:szCs w:val="24"/>
        </w:rPr>
        <w:tab/>
        <w:t xml:space="preserve">U.S. Census Bureau </w:t>
      </w:r>
    </w:p>
    <w:p w:rsidR="005B0D79" w:rsidRDefault="005B0D79" w14:paraId="5FC434AC" w14:textId="77777777">
      <w:pPr>
        <w:rPr>
          <w:sz w:val="24"/>
          <w:szCs w:val="24"/>
        </w:rPr>
      </w:pPr>
      <w:r>
        <w:rPr>
          <w:sz w:val="24"/>
          <w:szCs w:val="24"/>
        </w:rPr>
        <w:tab/>
        <w:t>(301) 763-6595</w:t>
      </w:r>
    </w:p>
    <w:p w:rsidR="005B0D79" w:rsidRDefault="005B0D79" w14:paraId="052598DC" w14:textId="77777777">
      <w:pPr>
        <w:rPr>
          <w:sz w:val="24"/>
          <w:szCs w:val="24"/>
        </w:rPr>
      </w:pPr>
    </w:p>
    <w:p w:rsidR="005B0D79" w:rsidRDefault="005B0D79" w14:paraId="0E65D264" w14:textId="77777777">
      <w:pPr>
        <w:rPr>
          <w:sz w:val="24"/>
          <w:szCs w:val="24"/>
        </w:rPr>
      </w:pPr>
      <w:r>
        <w:rPr>
          <w:sz w:val="24"/>
          <w:szCs w:val="24"/>
        </w:rPr>
        <w:tab/>
        <w:t>Person responsible for data collection:</w:t>
      </w:r>
    </w:p>
    <w:p w:rsidR="005B0D79" w:rsidRDefault="005B0D79" w14:paraId="73450F15" w14:textId="77777777">
      <w:pPr>
        <w:rPr>
          <w:sz w:val="24"/>
          <w:szCs w:val="24"/>
        </w:rPr>
      </w:pPr>
    </w:p>
    <w:p w:rsidR="005B0D79" w:rsidRDefault="005B0D79" w14:paraId="3B6080C8" w14:textId="77777777">
      <w:pPr>
        <w:rPr>
          <w:sz w:val="24"/>
          <w:szCs w:val="24"/>
        </w:rPr>
      </w:pPr>
      <w:r>
        <w:rPr>
          <w:sz w:val="24"/>
          <w:szCs w:val="24"/>
        </w:rPr>
        <w:tab/>
      </w:r>
      <w:r w:rsidR="005F4C43">
        <w:rPr>
          <w:sz w:val="24"/>
          <w:szCs w:val="24"/>
        </w:rPr>
        <w:t xml:space="preserve">Carol </w:t>
      </w:r>
      <w:proofErr w:type="spellStart"/>
      <w:r w:rsidR="005F4C43">
        <w:rPr>
          <w:sz w:val="24"/>
          <w:szCs w:val="24"/>
        </w:rPr>
        <w:t>Aristone</w:t>
      </w:r>
      <w:proofErr w:type="spellEnd"/>
      <w:r>
        <w:rPr>
          <w:sz w:val="24"/>
          <w:szCs w:val="24"/>
        </w:rPr>
        <w:t>, Assistant Division Chief</w:t>
      </w:r>
    </w:p>
    <w:p w:rsidR="005B0D79" w:rsidRDefault="005B0D79" w14:paraId="00393EB8" w14:textId="77777777">
      <w:pPr>
        <w:rPr>
          <w:sz w:val="24"/>
          <w:szCs w:val="24"/>
        </w:rPr>
      </w:pPr>
      <w:r>
        <w:rPr>
          <w:sz w:val="24"/>
          <w:szCs w:val="24"/>
        </w:rPr>
        <w:tab/>
      </w:r>
      <w:r w:rsidR="005F4C43">
        <w:rPr>
          <w:sz w:val="24"/>
          <w:szCs w:val="24"/>
        </w:rPr>
        <w:t>Manufacturing, Corp. Profits and Business Dynamics</w:t>
      </w:r>
    </w:p>
    <w:p w:rsidR="005B0D79" w:rsidRDefault="00E129B2" w14:paraId="2F27C5F4" w14:textId="77777777">
      <w:pPr>
        <w:rPr>
          <w:sz w:val="24"/>
          <w:szCs w:val="24"/>
        </w:rPr>
      </w:pPr>
      <w:r>
        <w:rPr>
          <w:sz w:val="24"/>
          <w:szCs w:val="24"/>
        </w:rPr>
        <w:tab/>
        <w:t xml:space="preserve">Economic Indicators Division </w:t>
      </w:r>
      <w:r w:rsidR="005B0D79">
        <w:rPr>
          <w:sz w:val="24"/>
          <w:szCs w:val="24"/>
        </w:rPr>
        <w:tab/>
      </w:r>
      <w:r w:rsidR="005B0D79">
        <w:rPr>
          <w:sz w:val="24"/>
          <w:szCs w:val="24"/>
        </w:rPr>
        <w:tab/>
      </w:r>
      <w:r w:rsidR="005B0D79">
        <w:rPr>
          <w:sz w:val="24"/>
          <w:szCs w:val="24"/>
        </w:rPr>
        <w:tab/>
      </w:r>
      <w:r w:rsidR="005B0D79">
        <w:rPr>
          <w:sz w:val="24"/>
          <w:szCs w:val="24"/>
        </w:rPr>
        <w:tab/>
      </w:r>
    </w:p>
    <w:p w:rsidR="005B0D79" w:rsidRDefault="005B0D79" w14:paraId="23E1E275" w14:textId="77777777">
      <w:pPr>
        <w:rPr>
          <w:sz w:val="24"/>
          <w:szCs w:val="24"/>
        </w:rPr>
      </w:pPr>
      <w:r>
        <w:rPr>
          <w:sz w:val="24"/>
          <w:szCs w:val="24"/>
        </w:rPr>
        <w:tab/>
        <w:t>U.S. Census Bureau</w:t>
      </w:r>
    </w:p>
    <w:p w:rsidR="005B0D79" w:rsidRDefault="005B0D79" w14:paraId="2BB968F0" w14:textId="77777777">
      <w:pPr>
        <w:rPr>
          <w:sz w:val="24"/>
          <w:szCs w:val="24"/>
          <w:u w:val="single"/>
        </w:rPr>
      </w:pPr>
      <w:r>
        <w:rPr>
          <w:sz w:val="24"/>
          <w:szCs w:val="24"/>
        </w:rPr>
        <w:tab/>
        <w:t>(301) 763-</w:t>
      </w:r>
      <w:r w:rsidR="005F4C43">
        <w:rPr>
          <w:sz w:val="24"/>
          <w:szCs w:val="24"/>
        </w:rPr>
        <w:t>7062</w:t>
      </w:r>
      <w:r>
        <w:rPr>
          <w:sz w:val="24"/>
          <w:szCs w:val="24"/>
        </w:rPr>
        <w:t xml:space="preserve"> </w:t>
      </w:r>
      <w:r>
        <w:rPr>
          <w:sz w:val="24"/>
          <w:szCs w:val="24"/>
        </w:rPr>
        <w:tab/>
      </w:r>
    </w:p>
    <w:p w:rsidR="005B0D79" w:rsidRDefault="00000DE6" w14:paraId="02FB8F24" w14:textId="77777777">
      <w:pPr>
        <w:jc w:val="center"/>
        <w:rPr>
          <w:sz w:val="24"/>
          <w:szCs w:val="24"/>
          <w:u w:val="single"/>
        </w:rPr>
      </w:pPr>
      <w:r>
        <w:rPr>
          <w:sz w:val="24"/>
          <w:szCs w:val="24"/>
          <w:u w:val="single"/>
        </w:rPr>
        <w:br w:type="page"/>
      </w:r>
      <w:r w:rsidR="005B0D79">
        <w:rPr>
          <w:sz w:val="24"/>
          <w:szCs w:val="24"/>
          <w:u w:val="single"/>
        </w:rPr>
        <w:lastRenderedPageBreak/>
        <w:t>List of A</w:t>
      </w:r>
      <w:r w:rsidR="004D5F8D">
        <w:rPr>
          <w:sz w:val="24"/>
          <w:szCs w:val="24"/>
          <w:u w:val="single"/>
        </w:rPr>
        <w:t>ttachments</w:t>
      </w:r>
    </w:p>
    <w:p w:rsidR="00000DE6" w:rsidP="00000DE6" w:rsidRDefault="00000DE6" w14:paraId="07AF044A" w14:textId="77777777">
      <w:pPr>
        <w:rPr>
          <w:sz w:val="24"/>
          <w:szCs w:val="24"/>
        </w:rPr>
      </w:pPr>
    </w:p>
    <w:p w:rsidR="005B0D79" w:rsidRDefault="005B0D79" w14:paraId="604444CE" w14:textId="77777777">
      <w:pPr>
        <w:jc w:val="center"/>
        <w:rPr>
          <w:sz w:val="24"/>
          <w:szCs w:val="24"/>
        </w:rPr>
      </w:pPr>
    </w:p>
    <w:p w:rsidRPr="006A1642" w:rsidR="005B0D79" w:rsidP="005B0D79" w:rsidRDefault="005B0D79" w14:paraId="36106CF7" w14:textId="77777777">
      <w:pPr>
        <w:rPr>
          <w:sz w:val="24"/>
          <w:szCs w:val="24"/>
        </w:rPr>
      </w:pPr>
      <w:r w:rsidRPr="006A1642">
        <w:rPr>
          <w:sz w:val="24"/>
          <w:szCs w:val="24"/>
        </w:rPr>
        <w:t>A.</w:t>
      </w:r>
      <w:r w:rsidRPr="006A1642">
        <w:rPr>
          <w:sz w:val="24"/>
          <w:szCs w:val="24"/>
        </w:rPr>
        <w:tab/>
        <w:t>Form MA-3000</w:t>
      </w:r>
    </w:p>
    <w:p w:rsidRPr="006A1642" w:rsidR="005B0D79" w:rsidP="005B0D79" w:rsidRDefault="005B0D79" w14:paraId="2F311DFE" w14:textId="77777777">
      <w:pPr>
        <w:rPr>
          <w:sz w:val="24"/>
          <w:szCs w:val="24"/>
        </w:rPr>
      </w:pPr>
      <w:r w:rsidRPr="006A1642">
        <w:rPr>
          <w:sz w:val="24"/>
          <w:szCs w:val="24"/>
        </w:rPr>
        <w:t>B.</w:t>
      </w:r>
      <w:r w:rsidRPr="006A1642">
        <w:rPr>
          <w:sz w:val="24"/>
          <w:szCs w:val="24"/>
        </w:rPr>
        <w:tab/>
        <w:t>Instructions MA-3000(INST)</w:t>
      </w:r>
    </w:p>
    <w:p w:rsidRPr="006A1642" w:rsidR="005B0D79" w:rsidP="005B0D79" w:rsidRDefault="005B0D79" w14:paraId="0A586016" w14:textId="77777777">
      <w:pPr>
        <w:rPr>
          <w:sz w:val="24"/>
          <w:szCs w:val="24"/>
        </w:rPr>
      </w:pPr>
      <w:r w:rsidRPr="006A1642">
        <w:rPr>
          <w:sz w:val="24"/>
          <w:szCs w:val="24"/>
        </w:rPr>
        <w:t>C.</w:t>
      </w:r>
      <w:r w:rsidRPr="006A1642">
        <w:rPr>
          <w:sz w:val="24"/>
          <w:szCs w:val="24"/>
        </w:rPr>
        <w:tab/>
        <w:t>Major Manufacturing Activities List MA-3000(I)</w:t>
      </w:r>
    </w:p>
    <w:p w:rsidRPr="006A1642" w:rsidR="005B0D79" w:rsidP="005B0D79" w:rsidRDefault="005B0D79" w14:paraId="7B6AD20D" w14:textId="77777777">
      <w:pPr>
        <w:rPr>
          <w:sz w:val="24"/>
          <w:szCs w:val="24"/>
        </w:rPr>
      </w:pPr>
      <w:r w:rsidRPr="006A1642">
        <w:rPr>
          <w:sz w:val="24"/>
          <w:szCs w:val="24"/>
        </w:rPr>
        <w:t>D.</w:t>
      </w:r>
      <w:r w:rsidRPr="006A1642">
        <w:rPr>
          <w:sz w:val="24"/>
          <w:szCs w:val="24"/>
        </w:rPr>
        <w:tab/>
        <w:t>Initial Mail-out Letter</w:t>
      </w:r>
    </w:p>
    <w:p w:rsidRPr="006A1642" w:rsidR="005B0D79" w:rsidP="005B0D79" w:rsidRDefault="005B0D79" w14:paraId="4C09476A" w14:textId="77777777">
      <w:pPr>
        <w:rPr>
          <w:sz w:val="24"/>
          <w:szCs w:val="24"/>
        </w:rPr>
      </w:pPr>
      <w:r w:rsidRPr="006A1642">
        <w:rPr>
          <w:sz w:val="24"/>
          <w:szCs w:val="24"/>
        </w:rPr>
        <w:t>E.</w:t>
      </w:r>
      <w:r w:rsidRPr="006A1642">
        <w:rPr>
          <w:sz w:val="24"/>
          <w:szCs w:val="24"/>
        </w:rPr>
        <w:tab/>
      </w:r>
      <w:r w:rsidRPr="006A1642" w:rsidR="00DD7F5C">
        <w:rPr>
          <w:sz w:val="24"/>
          <w:szCs w:val="24"/>
        </w:rPr>
        <w:t>Reminder</w:t>
      </w:r>
      <w:r w:rsidRPr="006A1642">
        <w:rPr>
          <w:sz w:val="24"/>
          <w:szCs w:val="24"/>
        </w:rPr>
        <w:t xml:space="preserve"> Letter</w:t>
      </w:r>
    </w:p>
    <w:p w:rsidRPr="006A1642" w:rsidR="00DD7F5C" w:rsidP="005B0D79" w:rsidRDefault="00DD7F5C" w14:paraId="1B058FBE" w14:textId="77777777">
      <w:pPr>
        <w:rPr>
          <w:sz w:val="24"/>
          <w:szCs w:val="24"/>
        </w:rPr>
      </w:pPr>
      <w:r w:rsidRPr="006A1642">
        <w:rPr>
          <w:sz w:val="24"/>
          <w:szCs w:val="24"/>
        </w:rPr>
        <w:t xml:space="preserve">F. </w:t>
      </w:r>
      <w:r w:rsidRPr="006A1642">
        <w:rPr>
          <w:sz w:val="24"/>
          <w:szCs w:val="24"/>
        </w:rPr>
        <w:tab/>
        <w:t>Past Due Letter</w:t>
      </w:r>
    </w:p>
    <w:p w:rsidR="00AE669F" w:rsidP="00DD7F5C" w:rsidRDefault="00DD7F5C" w14:paraId="3F682485" w14:textId="77777777">
      <w:pPr>
        <w:rPr>
          <w:sz w:val="24"/>
          <w:szCs w:val="24"/>
        </w:rPr>
      </w:pPr>
      <w:r w:rsidRPr="006A1642">
        <w:rPr>
          <w:sz w:val="24"/>
          <w:szCs w:val="24"/>
        </w:rPr>
        <w:t>G</w:t>
      </w:r>
      <w:r w:rsidRPr="006A1642" w:rsidR="00AE669F">
        <w:rPr>
          <w:sz w:val="24"/>
          <w:szCs w:val="24"/>
        </w:rPr>
        <w:t>.</w:t>
      </w:r>
      <w:r w:rsidRPr="006A1642" w:rsidR="00AE669F">
        <w:rPr>
          <w:sz w:val="24"/>
          <w:szCs w:val="24"/>
        </w:rPr>
        <w:tab/>
      </w:r>
      <w:r w:rsidRPr="006A1642">
        <w:rPr>
          <w:sz w:val="24"/>
          <w:szCs w:val="24"/>
        </w:rPr>
        <w:t>Centurion Instrument Screenshots</w:t>
      </w:r>
    </w:p>
    <w:p w:rsidR="005F4C43" w:rsidP="00DD7F5C" w:rsidRDefault="005F4C43" w14:paraId="194DDA82" w14:textId="77777777">
      <w:pPr>
        <w:rPr>
          <w:sz w:val="24"/>
          <w:szCs w:val="24"/>
        </w:rPr>
      </w:pPr>
      <w:r>
        <w:rPr>
          <w:sz w:val="24"/>
          <w:szCs w:val="24"/>
        </w:rPr>
        <w:t xml:space="preserve">H. </w:t>
      </w:r>
      <w:r>
        <w:rPr>
          <w:sz w:val="24"/>
          <w:szCs w:val="24"/>
        </w:rPr>
        <w:tab/>
        <w:t>Title 13 Relevant Sections</w:t>
      </w:r>
    </w:p>
    <w:p w:rsidR="005B0D79" w:rsidRDefault="005B0D79" w14:paraId="5AC47F0C" w14:textId="77777777">
      <w:r>
        <w:rPr>
          <w:sz w:val="24"/>
          <w:szCs w:val="24"/>
        </w:rPr>
        <w:tab/>
      </w:r>
      <w:r>
        <w:rPr>
          <w:sz w:val="24"/>
          <w:szCs w:val="24"/>
        </w:rPr>
        <w:tab/>
      </w:r>
    </w:p>
    <w:sectPr w:rsidR="005B0D79">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4D84C2" w14:textId="77777777" w:rsidR="00D67550" w:rsidRDefault="00D67550" w:rsidP="00DD7F5C">
      <w:r>
        <w:separator/>
      </w:r>
    </w:p>
  </w:endnote>
  <w:endnote w:type="continuationSeparator" w:id="0">
    <w:p w14:paraId="53B03A07" w14:textId="77777777" w:rsidR="00D67550" w:rsidRDefault="00D67550" w:rsidP="00DD7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gLiU_HKSCS">
    <w:altName w:val="@MingLiU_HKSCS"/>
    <w:charset w:val="88"/>
    <w:family w:val="roman"/>
    <w:pitch w:val="variable"/>
    <w:sig w:usb0="A00002FF" w:usb1="3A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B0CDF2" w14:textId="77777777" w:rsidR="00DD7F5C" w:rsidRDefault="00DD7F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A7E7C2" w14:textId="77777777" w:rsidR="00DD7F5C" w:rsidRDefault="00DD7F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DF657E" w14:textId="77777777" w:rsidR="00DD7F5C" w:rsidRDefault="00DD7F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4AD6B0" w14:textId="77777777" w:rsidR="00D67550" w:rsidRDefault="00D67550" w:rsidP="00DD7F5C">
      <w:r>
        <w:separator/>
      </w:r>
    </w:p>
  </w:footnote>
  <w:footnote w:type="continuationSeparator" w:id="0">
    <w:p w14:paraId="63A6A13C" w14:textId="77777777" w:rsidR="00D67550" w:rsidRDefault="00D67550" w:rsidP="00DD7F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E5C8FB" w14:textId="77777777" w:rsidR="00DD7F5C" w:rsidRDefault="00DD7F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FA1F10" w14:textId="77777777" w:rsidR="00DD7F5C" w:rsidRDefault="00DD7F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EC706E" w14:textId="77777777" w:rsidR="00DD7F5C" w:rsidRDefault="00DD7F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9C415F"/>
    <w:multiLevelType w:val="hybridMultilevel"/>
    <w:tmpl w:val="3796D5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EE6755B"/>
    <w:multiLevelType w:val="hybridMultilevel"/>
    <w:tmpl w:val="CDF4B3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oNotTrackMoves/>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noTabHangInd/>
    <w:spaceForUL/>
    <w:balanceSingleByteDoubleByteWidth/>
    <w:doNotLeaveBackslashAlone/>
    <w:ulTrailSpace/>
    <w:doNotExpandShiftReturn/>
    <w:subFontBySize/>
    <w:usePrinterMetric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AMO_XmlVersion" w:val="Empty"/>
  </w:docVars>
  <w:rsids>
    <w:rsidRoot w:val="00AF6478"/>
    <w:rsid w:val="00000DE6"/>
    <w:rsid w:val="00002A3A"/>
    <w:rsid w:val="00031FAD"/>
    <w:rsid w:val="00055481"/>
    <w:rsid w:val="00074EC3"/>
    <w:rsid w:val="00095B25"/>
    <w:rsid w:val="000E4BE0"/>
    <w:rsid w:val="000E5315"/>
    <w:rsid w:val="00105D9E"/>
    <w:rsid w:val="001137CF"/>
    <w:rsid w:val="00125084"/>
    <w:rsid w:val="00144E64"/>
    <w:rsid w:val="001618C0"/>
    <w:rsid w:val="00161ADD"/>
    <w:rsid w:val="001967E1"/>
    <w:rsid w:val="001A67C6"/>
    <w:rsid w:val="001B5323"/>
    <w:rsid w:val="001E28FA"/>
    <w:rsid w:val="002034B0"/>
    <w:rsid w:val="0023057A"/>
    <w:rsid w:val="002363D0"/>
    <w:rsid w:val="002438CA"/>
    <w:rsid w:val="00281554"/>
    <w:rsid w:val="00284F15"/>
    <w:rsid w:val="002923CC"/>
    <w:rsid w:val="002B0437"/>
    <w:rsid w:val="002D105F"/>
    <w:rsid w:val="00310F20"/>
    <w:rsid w:val="00312BD9"/>
    <w:rsid w:val="00322F18"/>
    <w:rsid w:val="00327E91"/>
    <w:rsid w:val="00357578"/>
    <w:rsid w:val="00357E8C"/>
    <w:rsid w:val="00367E54"/>
    <w:rsid w:val="003751DA"/>
    <w:rsid w:val="00376DE9"/>
    <w:rsid w:val="003B3A1B"/>
    <w:rsid w:val="003D0831"/>
    <w:rsid w:val="003D1372"/>
    <w:rsid w:val="00433456"/>
    <w:rsid w:val="0044586F"/>
    <w:rsid w:val="00450A17"/>
    <w:rsid w:val="004A060F"/>
    <w:rsid w:val="004A4E68"/>
    <w:rsid w:val="004B17F1"/>
    <w:rsid w:val="004B4FCF"/>
    <w:rsid w:val="004B7DE2"/>
    <w:rsid w:val="004D5F8D"/>
    <w:rsid w:val="004E27F5"/>
    <w:rsid w:val="004F3FAC"/>
    <w:rsid w:val="00506CB5"/>
    <w:rsid w:val="00525767"/>
    <w:rsid w:val="00543918"/>
    <w:rsid w:val="0055279A"/>
    <w:rsid w:val="00582D55"/>
    <w:rsid w:val="00590738"/>
    <w:rsid w:val="005B0D79"/>
    <w:rsid w:val="005F4C43"/>
    <w:rsid w:val="005F690B"/>
    <w:rsid w:val="005F7A95"/>
    <w:rsid w:val="00677E7D"/>
    <w:rsid w:val="00681E3E"/>
    <w:rsid w:val="006A1642"/>
    <w:rsid w:val="006A6AD3"/>
    <w:rsid w:val="006C22D0"/>
    <w:rsid w:val="006E365A"/>
    <w:rsid w:val="0070749A"/>
    <w:rsid w:val="00715036"/>
    <w:rsid w:val="00725360"/>
    <w:rsid w:val="00726146"/>
    <w:rsid w:val="00726F6C"/>
    <w:rsid w:val="00730716"/>
    <w:rsid w:val="007319BB"/>
    <w:rsid w:val="0073460E"/>
    <w:rsid w:val="00735E1A"/>
    <w:rsid w:val="00761BBB"/>
    <w:rsid w:val="00771AAA"/>
    <w:rsid w:val="00777487"/>
    <w:rsid w:val="007A1740"/>
    <w:rsid w:val="007A46CC"/>
    <w:rsid w:val="007A4ECE"/>
    <w:rsid w:val="007A6F81"/>
    <w:rsid w:val="007C109A"/>
    <w:rsid w:val="007D6BCB"/>
    <w:rsid w:val="007E49DF"/>
    <w:rsid w:val="007F2946"/>
    <w:rsid w:val="008454D1"/>
    <w:rsid w:val="0085206B"/>
    <w:rsid w:val="00863217"/>
    <w:rsid w:val="00870DDE"/>
    <w:rsid w:val="008807B4"/>
    <w:rsid w:val="008E0B83"/>
    <w:rsid w:val="008E4382"/>
    <w:rsid w:val="00917861"/>
    <w:rsid w:val="009423FF"/>
    <w:rsid w:val="00942A1D"/>
    <w:rsid w:val="00945E6B"/>
    <w:rsid w:val="00946B67"/>
    <w:rsid w:val="00962B22"/>
    <w:rsid w:val="00984882"/>
    <w:rsid w:val="009C3441"/>
    <w:rsid w:val="00A10071"/>
    <w:rsid w:val="00A10B9A"/>
    <w:rsid w:val="00A3663D"/>
    <w:rsid w:val="00A56D82"/>
    <w:rsid w:val="00A572A5"/>
    <w:rsid w:val="00A61FF1"/>
    <w:rsid w:val="00A7530A"/>
    <w:rsid w:val="00A93D22"/>
    <w:rsid w:val="00AA39B7"/>
    <w:rsid w:val="00AA68C1"/>
    <w:rsid w:val="00AB16A9"/>
    <w:rsid w:val="00AD192B"/>
    <w:rsid w:val="00AE669F"/>
    <w:rsid w:val="00B011CC"/>
    <w:rsid w:val="00B13560"/>
    <w:rsid w:val="00B22E94"/>
    <w:rsid w:val="00B35A59"/>
    <w:rsid w:val="00B50093"/>
    <w:rsid w:val="00B65A24"/>
    <w:rsid w:val="00B80A99"/>
    <w:rsid w:val="00B81C15"/>
    <w:rsid w:val="00B90651"/>
    <w:rsid w:val="00BA6265"/>
    <w:rsid w:val="00BB6085"/>
    <w:rsid w:val="00BE4484"/>
    <w:rsid w:val="00BF3353"/>
    <w:rsid w:val="00BF58FC"/>
    <w:rsid w:val="00C14805"/>
    <w:rsid w:val="00C17C5B"/>
    <w:rsid w:val="00C4430E"/>
    <w:rsid w:val="00C569DA"/>
    <w:rsid w:val="00C87E8B"/>
    <w:rsid w:val="00C9481A"/>
    <w:rsid w:val="00C9657F"/>
    <w:rsid w:val="00CB2B38"/>
    <w:rsid w:val="00CB457F"/>
    <w:rsid w:val="00CC5581"/>
    <w:rsid w:val="00CD7261"/>
    <w:rsid w:val="00CE6BD4"/>
    <w:rsid w:val="00CE7987"/>
    <w:rsid w:val="00D43228"/>
    <w:rsid w:val="00D67550"/>
    <w:rsid w:val="00D81C1C"/>
    <w:rsid w:val="00D85DEF"/>
    <w:rsid w:val="00DA55AA"/>
    <w:rsid w:val="00DC0A15"/>
    <w:rsid w:val="00DD17B8"/>
    <w:rsid w:val="00DD48EC"/>
    <w:rsid w:val="00DD7F5C"/>
    <w:rsid w:val="00DE1E98"/>
    <w:rsid w:val="00DF4A77"/>
    <w:rsid w:val="00E129B2"/>
    <w:rsid w:val="00E3401C"/>
    <w:rsid w:val="00E60501"/>
    <w:rsid w:val="00E72DFC"/>
    <w:rsid w:val="00E9044B"/>
    <w:rsid w:val="00EA13FB"/>
    <w:rsid w:val="00EB6464"/>
    <w:rsid w:val="00ED1610"/>
    <w:rsid w:val="00F27F9A"/>
    <w:rsid w:val="00F3323C"/>
    <w:rsid w:val="00F54AFE"/>
    <w:rsid w:val="00F55AEB"/>
    <w:rsid w:val="00F81FA3"/>
    <w:rsid w:val="00F92DA7"/>
    <w:rsid w:val="00F97268"/>
    <w:rsid w:val="00FB57B8"/>
    <w:rsid w:val="00FE47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8FEF747"/>
  <w15:chartTrackingRefBased/>
  <w15:docId w15:val="{231550BE-C4A7-406C-B823-D1C6A6D9D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CB2B38"/>
    <w:rPr>
      <w:rFonts w:ascii="Tahoma" w:hAnsi="Tahoma" w:cs="Tahoma"/>
      <w:sz w:val="16"/>
      <w:szCs w:val="16"/>
    </w:rPr>
  </w:style>
  <w:style w:type="character" w:customStyle="1" w:styleId="BalloonTextChar">
    <w:name w:val="Balloon Text Char"/>
    <w:link w:val="BalloonText"/>
    <w:rsid w:val="00CB2B38"/>
    <w:rPr>
      <w:rFonts w:ascii="Tahoma" w:hAnsi="Tahoma" w:cs="Tahoma"/>
      <w:sz w:val="16"/>
      <w:szCs w:val="16"/>
    </w:rPr>
  </w:style>
  <w:style w:type="character" w:styleId="CommentReference">
    <w:name w:val="annotation reference"/>
    <w:rsid w:val="00677E7D"/>
    <w:rPr>
      <w:sz w:val="16"/>
      <w:szCs w:val="16"/>
    </w:rPr>
  </w:style>
  <w:style w:type="paragraph" w:styleId="CommentText">
    <w:name w:val="annotation text"/>
    <w:basedOn w:val="Normal"/>
    <w:link w:val="CommentTextChar"/>
    <w:rsid w:val="00677E7D"/>
  </w:style>
  <w:style w:type="character" w:customStyle="1" w:styleId="CommentTextChar">
    <w:name w:val="Comment Text Char"/>
    <w:link w:val="CommentText"/>
    <w:rsid w:val="00677E7D"/>
    <w:rPr>
      <w:rFonts w:ascii="Times New Roman" w:hAnsi="Times New Roman"/>
    </w:rPr>
  </w:style>
  <w:style w:type="paragraph" w:styleId="CommentSubject">
    <w:name w:val="annotation subject"/>
    <w:basedOn w:val="CommentText"/>
    <w:next w:val="CommentText"/>
    <w:link w:val="CommentSubjectChar"/>
    <w:rsid w:val="00677E7D"/>
    <w:rPr>
      <w:b/>
      <w:bCs/>
    </w:rPr>
  </w:style>
  <w:style w:type="character" w:customStyle="1" w:styleId="CommentSubjectChar">
    <w:name w:val="Comment Subject Char"/>
    <w:link w:val="CommentSubject"/>
    <w:rsid w:val="00677E7D"/>
    <w:rPr>
      <w:rFonts w:ascii="Times New Roman" w:hAnsi="Times New Roman"/>
      <w:b/>
      <w:bCs/>
    </w:rPr>
  </w:style>
  <w:style w:type="paragraph" w:styleId="Quote">
    <w:name w:val="Quote"/>
    <w:basedOn w:val="Normal"/>
    <w:next w:val="Normal"/>
    <w:link w:val="QuoteChar"/>
    <w:qFormat/>
    <w:rsid w:val="00C569DA"/>
    <w:pPr>
      <w:spacing w:before="200" w:after="160"/>
      <w:ind w:left="864" w:right="864"/>
      <w:jc w:val="center"/>
    </w:pPr>
    <w:rPr>
      <w:i/>
      <w:iCs/>
      <w:color w:val="404040"/>
    </w:rPr>
  </w:style>
  <w:style w:type="character" w:customStyle="1" w:styleId="QuoteChar">
    <w:name w:val="Quote Char"/>
    <w:link w:val="Quote"/>
    <w:rsid w:val="00C569DA"/>
    <w:rPr>
      <w:rFonts w:ascii="Times New Roman" w:hAnsi="Times New Roman"/>
      <w:i/>
      <w:iCs/>
      <w:color w:val="404040"/>
    </w:rPr>
  </w:style>
  <w:style w:type="paragraph" w:styleId="NormalWeb">
    <w:name w:val="Normal (Web)"/>
    <w:basedOn w:val="Normal"/>
    <w:uiPriority w:val="99"/>
    <w:unhideWhenUsed/>
    <w:rsid w:val="005F7A95"/>
    <w:pPr>
      <w:widowControl/>
      <w:autoSpaceDE/>
      <w:autoSpaceDN/>
      <w:adjustRightInd/>
      <w:spacing w:before="100" w:beforeAutospacing="1" w:after="100" w:afterAutospacing="1"/>
    </w:pPr>
    <w:rPr>
      <w:color w:val="000000"/>
      <w:sz w:val="24"/>
      <w:szCs w:val="24"/>
    </w:rPr>
  </w:style>
  <w:style w:type="paragraph" w:styleId="Header">
    <w:name w:val="header"/>
    <w:basedOn w:val="Normal"/>
    <w:link w:val="HeaderChar"/>
    <w:rsid w:val="00DD7F5C"/>
    <w:pPr>
      <w:tabs>
        <w:tab w:val="center" w:pos="4680"/>
        <w:tab w:val="right" w:pos="9360"/>
      </w:tabs>
    </w:pPr>
  </w:style>
  <w:style w:type="character" w:customStyle="1" w:styleId="HeaderChar">
    <w:name w:val="Header Char"/>
    <w:link w:val="Header"/>
    <w:rsid w:val="00DD7F5C"/>
    <w:rPr>
      <w:rFonts w:ascii="Times New Roman" w:hAnsi="Times New Roman"/>
    </w:rPr>
  </w:style>
  <w:style w:type="paragraph" w:styleId="Footer">
    <w:name w:val="footer"/>
    <w:basedOn w:val="Normal"/>
    <w:link w:val="FooterChar"/>
    <w:rsid w:val="00DD7F5C"/>
    <w:pPr>
      <w:tabs>
        <w:tab w:val="center" w:pos="4680"/>
        <w:tab w:val="right" w:pos="9360"/>
      </w:tabs>
    </w:pPr>
  </w:style>
  <w:style w:type="character" w:customStyle="1" w:styleId="FooterChar">
    <w:name w:val="Footer Char"/>
    <w:link w:val="Footer"/>
    <w:rsid w:val="00DD7F5C"/>
    <w:rPr>
      <w:rFonts w:ascii="Times New Roman" w:hAnsi="Times New Roman"/>
    </w:rPr>
  </w:style>
  <w:style w:type="paragraph" w:styleId="Revision">
    <w:name w:val="Revision"/>
    <w:hidden/>
    <w:rsid w:val="006C22D0"/>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F0AD45-4AA2-4028-B40E-30B45B3E4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1557</Words>
  <Characters>8880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10417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young006</dc:creator>
  <cp:keywords/>
  <cp:lastModifiedBy>Thomas J Smith (CENSUS/EMD FED)</cp:lastModifiedBy>
  <cp:revision>2</cp:revision>
  <cp:lastPrinted>2018-06-25T17:57:00Z</cp:lastPrinted>
  <dcterms:created xsi:type="dcterms:W3CDTF">2021-04-22T12:24:00Z</dcterms:created>
  <dcterms:modified xsi:type="dcterms:W3CDTF">2021-04-22T12:24:00Z</dcterms:modified>
</cp:coreProperties>
</file>