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3131F" w:rsidR="00686DD1" w:rsidP="004F20AE" w:rsidRDefault="00E820B7" w14:paraId="14D5DC0B" w14:textId="2A6E63ED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</w:t>
      </w:r>
      <w:proofErr w:type="spellStart"/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>Nonsubstantive</w:t>
      </w:r>
      <w:proofErr w:type="spellEnd"/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Change Request</w:t>
      </w:r>
    </w:p>
    <w:p w:rsidRPr="00F3131F" w:rsidR="00E820B7" w:rsidP="004F20AE" w:rsidRDefault="00E820B7" w14:paraId="121AD309" w14:textId="300E859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F3131F" w:rsidR="00E820B7" w:rsidP="004F20AE" w:rsidRDefault="00E820B7" w14:paraId="77E52C6B" w14:textId="1D2503C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F3131F" w:rsidR="00E820B7" w:rsidP="004F20AE" w:rsidRDefault="00E820B7" w14:paraId="687528A7" w14:textId="439BAB3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</w:t>
      </w:r>
      <w:r w:rsidRPr="00F3131F" w:rsidR="005121F4">
        <w:rPr>
          <w:rFonts w:asciiTheme="minorHAnsi" w:hAnsiTheme="minorHAnsi" w:cstheme="minorHAnsi"/>
          <w:b/>
          <w:color w:val="000000"/>
          <w:sz w:val="24"/>
          <w:szCs w:val="24"/>
        </w:rPr>
        <w:t>2020 Census</w:t>
      </w:r>
      <w:r w:rsidRPr="00F3131F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Post-Enumeration </w:t>
      </w:r>
      <w:r w:rsidRPr="00F3131F" w:rsidR="00A3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Survey </w:t>
      </w:r>
      <w:r w:rsidRPr="00F3131F" w:rsidR="0012585A">
        <w:rPr>
          <w:rFonts w:asciiTheme="minorHAnsi" w:hAnsiTheme="minorHAnsi" w:cstheme="minorHAnsi"/>
          <w:b/>
          <w:color w:val="000000"/>
          <w:sz w:val="24"/>
          <w:szCs w:val="24"/>
        </w:rPr>
        <w:t>Person Interview</w:t>
      </w:r>
      <w:r w:rsidRPr="00F3131F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</w:t>
      </w:r>
      <w:r w:rsidRPr="00F3131F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Person </w:t>
      </w:r>
      <w:proofErr w:type="spellStart"/>
      <w:r w:rsidRPr="00F3131F" w:rsidR="00A36D66">
        <w:rPr>
          <w:rFonts w:asciiTheme="minorHAnsi" w:hAnsiTheme="minorHAnsi" w:cstheme="minorHAnsi"/>
          <w:b/>
          <w:color w:val="000000"/>
          <w:sz w:val="24"/>
          <w:szCs w:val="24"/>
        </w:rPr>
        <w:t>Follow</w:t>
      </w:r>
      <w:r w:rsidRPr="00F3131F" w:rsidR="005121F4">
        <w:rPr>
          <w:rFonts w:asciiTheme="minorHAnsi" w:hAnsiTheme="minorHAnsi" w:cstheme="minorHAnsi"/>
          <w:b/>
          <w:color w:val="000000"/>
          <w:sz w:val="24"/>
          <w:szCs w:val="24"/>
        </w:rPr>
        <w:t>up</w:t>
      </w:r>
      <w:proofErr w:type="spellEnd"/>
      <w:r w:rsidRPr="00F3131F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Pr="00F3131F" w:rsidR="00E820B7" w:rsidP="004F20AE" w:rsidRDefault="00E820B7" w14:paraId="74D4904C" w14:textId="6E6ACD5C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Control Number: </w:t>
      </w:r>
      <w:r w:rsidRPr="00F3131F" w:rsidR="005121F4">
        <w:rPr>
          <w:rFonts w:asciiTheme="minorHAnsi" w:hAnsiTheme="minorHAnsi" w:cstheme="minorHAnsi"/>
          <w:b/>
          <w:color w:val="000000"/>
          <w:sz w:val="24"/>
          <w:szCs w:val="24"/>
        </w:rPr>
        <w:t>0607-</w:t>
      </w:r>
      <w:r w:rsidRPr="00F3131F" w:rsidR="00A36D66">
        <w:rPr>
          <w:rFonts w:asciiTheme="minorHAnsi" w:hAnsiTheme="minorHAnsi" w:cstheme="minorHAnsi"/>
          <w:b/>
          <w:color w:val="000000"/>
          <w:sz w:val="24"/>
          <w:szCs w:val="24"/>
        </w:rPr>
        <w:t>1011</w:t>
      </w:r>
    </w:p>
    <w:p w:rsidRPr="00F3131F" w:rsidR="00E820B7" w:rsidP="004F20AE" w:rsidRDefault="00E820B7" w14:paraId="28935F78" w14:textId="67B9B53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F3131F" w:rsidR="005121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F3131F" w:rsidR="00A36D66">
        <w:rPr>
          <w:rFonts w:asciiTheme="minorHAnsi" w:hAnsiTheme="minorHAnsi" w:cstheme="minorHAnsi"/>
          <w:b/>
          <w:sz w:val="24"/>
          <w:szCs w:val="24"/>
        </w:rPr>
        <w:t>01/3</w:t>
      </w:r>
      <w:r w:rsidR="00B96771">
        <w:rPr>
          <w:rFonts w:asciiTheme="minorHAnsi" w:hAnsiTheme="minorHAnsi" w:cstheme="minorHAnsi"/>
          <w:b/>
          <w:sz w:val="24"/>
          <w:szCs w:val="24"/>
        </w:rPr>
        <w:t>1</w:t>
      </w:r>
      <w:r w:rsidRPr="00F3131F" w:rsidR="00A36D66">
        <w:rPr>
          <w:rFonts w:asciiTheme="minorHAnsi" w:hAnsiTheme="minorHAnsi" w:cstheme="minorHAnsi"/>
          <w:b/>
          <w:sz w:val="24"/>
          <w:szCs w:val="24"/>
        </w:rPr>
        <w:t>/2023</w:t>
      </w:r>
    </w:p>
    <w:p w:rsidRPr="00F3131F" w:rsidR="00E820B7" w:rsidP="004F20AE" w:rsidRDefault="00E820B7" w14:paraId="1137DDFA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85FF7" w:rsidP="004533A1" w:rsidRDefault="00657AF9" w14:paraId="1728F44B" w14:textId="388B50E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adjustRightInd/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F3131F" w:rsidR="00B6503D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F3131F" w:rsidR="00B6503D">
        <w:rPr>
          <w:rFonts w:asciiTheme="minorHAnsi" w:hAnsiTheme="minorHAnsi" w:cstheme="minorHAnsi"/>
          <w:color w:val="000000"/>
          <w:sz w:val="24"/>
          <w:szCs w:val="24"/>
        </w:rPr>
        <w:t>This non-substantive change is to notify the public of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 xml:space="preserve"> an</w:t>
      </w:r>
      <w:r w:rsidRPr="00F3131F" w:rsidR="00B650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A55932">
        <w:rPr>
          <w:rFonts w:asciiTheme="minorHAnsi" w:hAnsiTheme="minorHAnsi" w:cstheme="minorHAnsi"/>
          <w:color w:val="000000"/>
          <w:sz w:val="24"/>
          <w:szCs w:val="24"/>
        </w:rPr>
        <w:t>increase</w:t>
      </w:r>
      <w:r w:rsidRPr="00F3131F" w:rsidR="005265E8">
        <w:rPr>
          <w:rFonts w:asciiTheme="minorHAnsi" w:hAnsiTheme="minorHAnsi" w:cstheme="minorHAnsi"/>
          <w:color w:val="000000"/>
          <w:sz w:val="24"/>
          <w:szCs w:val="24"/>
        </w:rPr>
        <w:t xml:space="preserve"> of</w:t>
      </w:r>
      <w:r w:rsidRPr="00F3131F" w:rsidR="00A559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943A30">
        <w:rPr>
          <w:rFonts w:asciiTheme="minorHAnsi" w:hAnsiTheme="minorHAnsi" w:cstheme="minorHAnsi"/>
          <w:color w:val="000000"/>
          <w:sz w:val="24"/>
          <w:szCs w:val="24"/>
        </w:rPr>
        <w:t>estimate</w:t>
      </w:r>
      <w:r w:rsidR="00F05B4B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F3131F" w:rsidR="00943A30">
        <w:rPr>
          <w:rFonts w:asciiTheme="minorHAnsi" w:hAnsiTheme="minorHAnsi" w:cstheme="minorHAnsi"/>
          <w:color w:val="000000"/>
          <w:sz w:val="24"/>
          <w:szCs w:val="24"/>
        </w:rPr>
        <w:t xml:space="preserve"> hour</w:t>
      </w:r>
      <w:r w:rsidRPr="00F3131F" w:rsidR="005265E8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F3131F" w:rsidR="00943A30">
        <w:rPr>
          <w:rFonts w:asciiTheme="minorHAnsi" w:hAnsiTheme="minorHAnsi" w:cstheme="minorHAnsi"/>
          <w:color w:val="000000"/>
          <w:sz w:val="24"/>
          <w:szCs w:val="24"/>
        </w:rPr>
        <w:t xml:space="preserve"> of burden </w:t>
      </w:r>
      <w:r w:rsidRPr="00F3131F" w:rsidR="00FF7CAC">
        <w:rPr>
          <w:rFonts w:asciiTheme="minorHAnsi" w:hAnsiTheme="minorHAnsi" w:cstheme="minorHAnsi"/>
          <w:color w:val="000000"/>
          <w:sz w:val="24"/>
          <w:szCs w:val="24"/>
        </w:rPr>
        <w:t xml:space="preserve">associated with </w:t>
      </w:r>
      <w:r w:rsidRPr="00F3131F" w:rsidR="00B6503D">
        <w:rPr>
          <w:rFonts w:asciiTheme="minorHAnsi" w:hAnsiTheme="minorHAnsi" w:cstheme="minorHAnsi"/>
          <w:color w:val="000000"/>
          <w:sz w:val="24"/>
          <w:szCs w:val="24"/>
        </w:rPr>
        <w:t xml:space="preserve">the approved information collection for the 2020 Census Post-Enumeration Survey (PES) </w:t>
      </w:r>
      <w:r w:rsidRPr="00F3131F" w:rsidR="00B43009">
        <w:rPr>
          <w:rFonts w:asciiTheme="minorHAnsi" w:hAnsiTheme="minorHAnsi" w:cstheme="minorHAnsi"/>
          <w:color w:val="000000"/>
          <w:sz w:val="24"/>
          <w:szCs w:val="24"/>
        </w:rPr>
        <w:t xml:space="preserve">Person </w:t>
      </w:r>
      <w:proofErr w:type="spellStart"/>
      <w:r w:rsidRPr="00F3131F" w:rsidR="00B43009">
        <w:rPr>
          <w:rFonts w:asciiTheme="minorHAnsi" w:hAnsiTheme="minorHAnsi" w:cstheme="minorHAnsi"/>
          <w:color w:val="000000"/>
          <w:sz w:val="24"/>
          <w:szCs w:val="24"/>
        </w:rPr>
        <w:t>Followup</w:t>
      </w:r>
      <w:proofErr w:type="spellEnd"/>
      <w:r w:rsidRPr="00F3131F" w:rsidR="00B43009">
        <w:rPr>
          <w:rFonts w:asciiTheme="minorHAnsi" w:hAnsiTheme="minorHAnsi" w:cstheme="minorHAnsi"/>
          <w:color w:val="000000"/>
          <w:sz w:val="24"/>
          <w:szCs w:val="24"/>
        </w:rPr>
        <w:t xml:space="preserve"> (PFU) field operation</w:t>
      </w:r>
      <w:r w:rsidR="00A576F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4533A1">
        <w:rPr>
          <w:rFonts w:asciiTheme="minorHAnsi" w:hAnsiTheme="minorHAnsi" w:cstheme="minorHAnsi"/>
          <w:color w:val="000000"/>
          <w:sz w:val="24"/>
          <w:szCs w:val="24"/>
        </w:rPr>
        <w:t>PES PFU field d</w:t>
      </w:r>
      <w:r w:rsidRPr="00F3131F" w:rsidR="004533A1">
        <w:rPr>
          <w:rFonts w:asciiTheme="minorHAnsi" w:hAnsiTheme="minorHAnsi" w:cstheme="minorHAnsi"/>
          <w:color w:val="000000"/>
          <w:sz w:val="24"/>
          <w:szCs w:val="24"/>
        </w:rPr>
        <w:t>ata collection is scheduled</w:t>
      </w:r>
      <w:r w:rsidR="004533A1">
        <w:rPr>
          <w:rFonts w:asciiTheme="minorHAnsi" w:hAnsiTheme="minorHAnsi" w:cstheme="minorHAnsi"/>
          <w:color w:val="000000"/>
          <w:sz w:val="24"/>
          <w:szCs w:val="24"/>
        </w:rPr>
        <w:t xml:space="preserve"> to take place June</w:t>
      </w:r>
      <w:r w:rsidR="001D16BA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4533A1">
        <w:rPr>
          <w:rFonts w:asciiTheme="minorHAnsi" w:hAnsiTheme="minorHAnsi" w:cstheme="minorHAnsi"/>
          <w:color w:val="000000"/>
          <w:sz w:val="24"/>
          <w:szCs w:val="24"/>
        </w:rPr>
        <w:t xml:space="preserve"> through </w:t>
      </w:r>
      <w:r w:rsidR="00C74F8E">
        <w:rPr>
          <w:rFonts w:asciiTheme="minorHAnsi" w:hAnsiTheme="minorHAnsi" w:cstheme="minorHAnsi"/>
          <w:color w:val="000000"/>
          <w:sz w:val="24"/>
          <w:szCs w:val="24"/>
        </w:rPr>
        <w:t>September</w:t>
      </w:r>
      <w:r w:rsidR="001D16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533A1">
        <w:rPr>
          <w:rFonts w:asciiTheme="minorHAnsi" w:hAnsiTheme="minorHAnsi" w:cstheme="minorHAnsi"/>
          <w:color w:val="000000"/>
          <w:sz w:val="24"/>
          <w:szCs w:val="24"/>
        </w:rPr>
        <w:t xml:space="preserve">2021. </w:t>
      </w:r>
    </w:p>
    <w:p w:rsidRPr="003B5C84" w:rsidR="003B5C84" w:rsidP="00686498" w:rsidRDefault="003B5C84" w14:paraId="1868E138" w14:textId="45ACE71C">
      <w:pPr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</w:pPr>
      <w:r w:rsidRPr="00DA023D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>
        <w:rPr>
          <w:rFonts w:asciiTheme="minorHAnsi" w:hAnsiTheme="minorHAnsi" w:cstheme="minorHAnsi"/>
          <w:color w:val="000000"/>
          <w:sz w:val="24"/>
          <w:szCs w:val="24"/>
        </w:rPr>
        <w:t>April</w:t>
      </w:r>
      <w:r w:rsidRPr="00DA023D">
        <w:rPr>
          <w:rFonts w:asciiTheme="minorHAnsi" w:hAnsiTheme="minorHAnsi" w:cstheme="minorHAnsi"/>
          <w:color w:val="000000"/>
          <w:sz w:val="24"/>
          <w:szCs w:val="24"/>
        </w:rPr>
        <w:t xml:space="preserve"> 2021, the </w:t>
      </w:r>
      <w:r>
        <w:rPr>
          <w:rFonts w:asciiTheme="minorHAnsi" w:hAnsiTheme="minorHAnsi" w:cstheme="minorHAnsi"/>
          <w:color w:val="000000"/>
          <w:sz w:val="24"/>
          <w:szCs w:val="24"/>
        </w:rPr>
        <w:t>preliminary results of the</w:t>
      </w:r>
      <w:r w:rsidRPr="00DA023D">
        <w:rPr>
          <w:rFonts w:asciiTheme="minorHAnsi" w:hAnsiTheme="minorHAnsi" w:cstheme="minorHAnsi"/>
          <w:color w:val="000000"/>
          <w:sz w:val="24"/>
          <w:szCs w:val="24"/>
        </w:rPr>
        <w:t xml:space="preserve"> 2020 </w:t>
      </w:r>
      <w:r w:rsidR="004D5F4C">
        <w:rPr>
          <w:rFonts w:asciiTheme="minorHAnsi" w:hAnsiTheme="minorHAnsi" w:cstheme="minorHAnsi"/>
          <w:color w:val="000000"/>
          <w:sz w:val="24"/>
          <w:szCs w:val="24"/>
        </w:rPr>
        <w:t>Person Interview data and</w:t>
      </w:r>
      <w:r w:rsidRPr="00DA02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D5F4C">
        <w:rPr>
          <w:rFonts w:asciiTheme="minorHAnsi" w:hAnsiTheme="minorHAnsi" w:cstheme="minorHAnsi"/>
          <w:color w:val="000000"/>
          <w:sz w:val="24"/>
          <w:szCs w:val="24"/>
        </w:rPr>
        <w:t>p</w:t>
      </w:r>
      <w:r>
        <w:rPr>
          <w:rFonts w:asciiTheme="minorHAnsi" w:hAnsiTheme="minorHAnsi" w:cstheme="minorHAnsi"/>
          <w:color w:val="000000"/>
          <w:sz w:val="24"/>
          <w:szCs w:val="24"/>
        </w:rPr>
        <w:t>erson computer</w:t>
      </w:r>
      <w:r w:rsidRPr="00DA02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matching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show</w:t>
      </w:r>
      <w:r w:rsidR="004773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ed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 higher response rate by proxy and higher item nonresponse rates than expected for items used in matching PES to census person records. </w:t>
      </w:r>
      <w:r w:rsidR="004773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The decrease in collected data is associated with the COVID-19 pandemic, as people have demonstrated less tolerance for in-person data collection.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As a result, </w:t>
      </w:r>
      <w:r w:rsidR="009F23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there </w:t>
      </w:r>
      <w:r w:rsidR="00F108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we</w:t>
      </w:r>
      <w:r w:rsidR="009F23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re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13 percent fewer matches </w:t>
      </w:r>
      <w:r w:rsidR="009F23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between PES person records and census person records as compared to</w:t>
      </w:r>
      <w:r w:rsidR="00C646B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 2010 Census Coverage Measurement results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.</w:t>
      </w:r>
      <w:r w:rsidR="002210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 </w:t>
      </w:r>
      <w:r w:rsidR="009F23D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The decreased number of matches results in more cases that need to be sent to fieldwork for resolution. </w:t>
      </w:r>
      <w:r w:rsidR="00C74F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H</w:t>
      </w:r>
      <w:r w:rsidR="002210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igher nonresponse in items used to determine residence status </w:t>
      </w:r>
      <w:r w:rsidR="00C74F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also </w:t>
      </w:r>
      <w:r w:rsidR="002210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contribute</w:t>
      </w:r>
      <w:r w:rsidR="0035005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s</w:t>
      </w:r>
      <w:r w:rsidR="0022101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 to increase fieldwork</w:t>
      </w:r>
      <w:r w:rsidR="00C74F8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.</w:t>
      </w:r>
    </w:p>
    <w:p w:rsidRPr="00F3131F" w:rsidR="00DA023D" w:rsidP="00C646B1" w:rsidRDefault="00C646B1" w14:paraId="14A15778" w14:textId="04549D72">
      <w:pPr>
        <w:tabs>
          <w:tab w:val="left" w:pos="3180"/>
        </w:tabs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BB759A" w:rsidP="00EB122E" w:rsidRDefault="00BA704A" w14:paraId="3D373F5E" w14:textId="7552F72E">
      <w:pPr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sz w:val="24"/>
          <w:szCs w:val="24"/>
        </w:rPr>
        <w:t xml:space="preserve">The Census Bureau </w:t>
      </w:r>
      <w:r w:rsidRPr="00F3131F" w:rsidR="00A47A8A">
        <w:rPr>
          <w:rFonts w:asciiTheme="minorHAnsi" w:hAnsiTheme="minorHAnsi" w:cstheme="minorHAnsi"/>
          <w:sz w:val="24"/>
          <w:szCs w:val="24"/>
        </w:rPr>
        <w:t>is proposing</w:t>
      </w:r>
      <w:r w:rsidRPr="00F3131F" w:rsidR="004A14A7">
        <w:rPr>
          <w:rFonts w:asciiTheme="minorHAnsi" w:hAnsiTheme="minorHAnsi" w:cstheme="minorHAnsi"/>
          <w:sz w:val="24"/>
          <w:szCs w:val="24"/>
        </w:rPr>
        <w:t xml:space="preserve"> an</w:t>
      </w:r>
      <w:r w:rsidRPr="00F3131F" w:rsidR="00700D21">
        <w:rPr>
          <w:rFonts w:asciiTheme="minorHAnsi" w:hAnsiTheme="minorHAnsi" w:cstheme="minorHAnsi"/>
          <w:sz w:val="24"/>
          <w:szCs w:val="24"/>
        </w:rPr>
        <w:t xml:space="preserve"> increase of estimate</w:t>
      </w:r>
      <w:r w:rsidR="00F05B4B">
        <w:rPr>
          <w:rFonts w:asciiTheme="minorHAnsi" w:hAnsiTheme="minorHAnsi" w:cstheme="minorHAnsi"/>
          <w:sz w:val="24"/>
          <w:szCs w:val="24"/>
        </w:rPr>
        <w:t>d</w:t>
      </w:r>
      <w:r w:rsidRPr="00F3131F" w:rsidR="00700D21">
        <w:rPr>
          <w:rFonts w:asciiTheme="minorHAnsi" w:hAnsiTheme="minorHAnsi" w:cstheme="minorHAnsi"/>
          <w:sz w:val="24"/>
          <w:szCs w:val="24"/>
        </w:rPr>
        <w:t xml:space="preserve"> hour</w:t>
      </w:r>
      <w:r w:rsidRPr="00F3131F" w:rsidR="004A14A7">
        <w:rPr>
          <w:rFonts w:asciiTheme="minorHAnsi" w:hAnsiTheme="minorHAnsi" w:cstheme="minorHAnsi"/>
          <w:sz w:val="24"/>
          <w:szCs w:val="24"/>
        </w:rPr>
        <w:t>s</w:t>
      </w:r>
      <w:r w:rsidRPr="00F3131F" w:rsidR="00700D21">
        <w:rPr>
          <w:rFonts w:asciiTheme="minorHAnsi" w:hAnsiTheme="minorHAnsi" w:cstheme="minorHAnsi"/>
          <w:sz w:val="24"/>
          <w:szCs w:val="24"/>
        </w:rPr>
        <w:t xml:space="preserve"> of burden</w:t>
      </w:r>
      <w:r w:rsidRPr="00F3131F" w:rsidR="00A55932">
        <w:rPr>
          <w:rFonts w:asciiTheme="minorHAnsi" w:hAnsiTheme="minorHAnsi" w:cstheme="minorHAnsi"/>
          <w:sz w:val="24"/>
          <w:szCs w:val="24"/>
        </w:rPr>
        <w:t xml:space="preserve"> </w:t>
      </w:r>
      <w:r w:rsidRPr="00F3131F" w:rsidR="00B02B81">
        <w:rPr>
          <w:rFonts w:asciiTheme="minorHAnsi" w:hAnsiTheme="minorHAnsi" w:cstheme="minorHAnsi"/>
          <w:sz w:val="24"/>
          <w:szCs w:val="24"/>
        </w:rPr>
        <w:t>for</w:t>
      </w:r>
      <w:r w:rsidRPr="00F3131F">
        <w:rPr>
          <w:rFonts w:asciiTheme="minorHAnsi" w:hAnsiTheme="minorHAnsi" w:cstheme="minorHAnsi"/>
          <w:sz w:val="24"/>
          <w:szCs w:val="24"/>
        </w:rPr>
        <w:t xml:space="preserve"> </w:t>
      </w:r>
      <w:r w:rsidRPr="00F3131F" w:rsidR="008C3452">
        <w:rPr>
          <w:rFonts w:asciiTheme="minorHAnsi" w:hAnsiTheme="minorHAnsi" w:cstheme="minorHAnsi"/>
          <w:sz w:val="24"/>
          <w:szCs w:val="24"/>
        </w:rPr>
        <w:t xml:space="preserve">the </w:t>
      </w:r>
      <w:r w:rsidRPr="00F3131F" w:rsidR="00A47A8A">
        <w:rPr>
          <w:rFonts w:asciiTheme="minorHAnsi" w:hAnsiTheme="minorHAnsi" w:cstheme="minorHAnsi"/>
          <w:sz w:val="24"/>
          <w:szCs w:val="24"/>
        </w:rPr>
        <w:t>PFU</w:t>
      </w:r>
      <w:r w:rsidRPr="00F3131F" w:rsidR="00B02B81">
        <w:rPr>
          <w:rFonts w:asciiTheme="minorHAnsi" w:hAnsiTheme="minorHAnsi" w:cstheme="minorHAnsi"/>
          <w:sz w:val="24"/>
          <w:szCs w:val="24"/>
        </w:rPr>
        <w:t xml:space="preserve"> </w:t>
      </w:r>
      <w:r w:rsidRPr="00F3131F">
        <w:rPr>
          <w:rFonts w:asciiTheme="minorHAnsi" w:hAnsiTheme="minorHAnsi" w:cstheme="minorHAnsi"/>
          <w:sz w:val="24"/>
          <w:szCs w:val="24"/>
        </w:rPr>
        <w:t xml:space="preserve">operation from what was previously stated </w:t>
      </w:r>
      <w:r w:rsidRPr="00F3131F">
        <w:rPr>
          <w:rFonts w:eastAsia="Calibri" w:asciiTheme="minorHAnsi" w:hAnsiTheme="minorHAnsi" w:cstheme="minorHAnsi"/>
          <w:sz w:val="24"/>
          <w:szCs w:val="24"/>
        </w:rPr>
        <w:t xml:space="preserve">in the </w:t>
      </w:r>
      <w:r w:rsidRPr="00F3131F">
        <w:rPr>
          <w:rFonts w:eastAsia="Calibri" w:asciiTheme="minorHAnsi" w:hAnsiTheme="minorHAnsi" w:cstheme="minorHAnsi"/>
          <w:b/>
          <w:bCs/>
          <w:sz w:val="24"/>
          <w:szCs w:val="24"/>
        </w:rPr>
        <w:t>Federal Register</w:t>
      </w:r>
      <w:r w:rsidRPr="00F3131F">
        <w:rPr>
          <w:rFonts w:eastAsia="Calibri" w:asciiTheme="minorHAnsi" w:hAnsiTheme="minorHAnsi" w:cstheme="minorHAnsi"/>
          <w:sz w:val="24"/>
          <w:szCs w:val="24"/>
        </w:rPr>
        <w:t xml:space="preserve"> on</w:t>
      </w:r>
      <w:r w:rsidRPr="00F3131F" w:rsidR="003E7259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F3131F" w:rsidR="00871063">
        <w:rPr>
          <w:rFonts w:eastAsia="Calibri" w:asciiTheme="minorHAnsi" w:hAnsiTheme="minorHAnsi" w:cstheme="minorHAnsi"/>
          <w:sz w:val="24"/>
          <w:szCs w:val="24"/>
        </w:rPr>
        <w:t>June</w:t>
      </w:r>
      <w:r w:rsidRPr="00F3131F" w:rsidR="003E7259">
        <w:rPr>
          <w:rFonts w:eastAsia="Calibri" w:asciiTheme="minorHAnsi" w:hAnsiTheme="minorHAnsi" w:cstheme="minorHAnsi"/>
          <w:sz w:val="24"/>
          <w:szCs w:val="24"/>
        </w:rPr>
        <w:t xml:space="preserve"> 2019 (Vol. 84, No. 108, p.</w:t>
      </w:r>
      <w:r w:rsidRPr="00F3131F" w:rsidR="00D53F19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F3131F" w:rsidR="003E7259">
        <w:rPr>
          <w:rFonts w:eastAsia="Calibri" w:asciiTheme="minorHAnsi" w:hAnsiTheme="minorHAnsi" w:cstheme="minorHAnsi"/>
          <w:sz w:val="24"/>
          <w:szCs w:val="24"/>
        </w:rPr>
        <w:t>2606</w:t>
      </w:r>
      <w:r w:rsidRPr="00F3131F" w:rsidR="00A55932">
        <w:rPr>
          <w:rFonts w:eastAsia="Calibri" w:asciiTheme="minorHAnsi" w:hAnsiTheme="minorHAnsi" w:cstheme="minorHAnsi"/>
          <w:sz w:val="24"/>
          <w:szCs w:val="24"/>
        </w:rPr>
        <w:t>8</w:t>
      </w:r>
      <w:r w:rsidRPr="00F3131F" w:rsidR="00B02B81">
        <w:rPr>
          <w:rFonts w:eastAsia="Calibri" w:asciiTheme="minorHAnsi" w:hAnsiTheme="minorHAnsi" w:cstheme="minorHAnsi"/>
          <w:sz w:val="24"/>
          <w:szCs w:val="24"/>
        </w:rPr>
        <w:t>.)</w:t>
      </w:r>
      <w:r w:rsidR="004520A0">
        <w:rPr>
          <w:rFonts w:eastAsia="Calibri" w:asciiTheme="minorHAnsi" w:hAnsiTheme="minorHAnsi" w:cstheme="minorHAnsi"/>
          <w:sz w:val="24"/>
          <w:szCs w:val="24"/>
        </w:rPr>
        <w:t xml:space="preserve">. 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>The estimated workload is now approximately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 xml:space="preserve"> 120,500</w:t>
      </w:r>
      <w:r w:rsidRPr="00F3131F" w:rsidR="0017639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F3131F" w:rsidR="00176394">
        <w:rPr>
          <w:rFonts w:asciiTheme="minorHAnsi" w:hAnsiTheme="minorHAnsi" w:cstheme="minorHAnsi"/>
          <w:color w:val="000000"/>
          <w:sz w:val="24"/>
          <w:szCs w:val="24"/>
        </w:rPr>
        <w:t>65,000</w:t>
      </w:r>
      <w:r w:rsidRPr="00F3131F" w:rsidR="009D0D64">
        <w:rPr>
          <w:rFonts w:asciiTheme="minorHAnsi" w:hAnsiTheme="minorHAnsi" w:cstheme="minorHAnsi"/>
          <w:color w:val="000000"/>
          <w:sz w:val="24"/>
          <w:szCs w:val="24"/>
        </w:rPr>
        <w:t xml:space="preserve"> original estimate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>housing units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 xml:space="preserve"> for PES </w:t>
      </w:r>
      <w:r w:rsidRPr="00F3131F" w:rsidR="00176394">
        <w:rPr>
          <w:rFonts w:asciiTheme="minorHAnsi" w:hAnsiTheme="minorHAnsi" w:cstheme="minorHAnsi"/>
          <w:color w:val="000000"/>
          <w:sz w:val="24"/>
          <w:szCs w:val="24"/>
        </w:rPr>
        <w:t>PFU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 xml:space="preserve"> in selected basic collection units (BCUs) in the 50 states</w:t>
      </w:r>
      <w:r w:rsidRPr="00F3131F" w:rsidR="0017639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 xml:space="preserve"> District of 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>Columbia,</w:t>
      </w:r>
      <w:r w:rsidRPr="00F3131F" w:rsidR="00BB759A">
        <w:rPr>
          <w:rFonts w:asciiTheme="minorHAnsi" w:hAnsiTheme="minorHAnsi" w:cstheme="minorHAnsi"/>
          <w:color w:val="000000"/>
          <w:sz w:val="24"/>
          <w:szCs w:val="24"/>
        </w:rPr>
        <w:t xml:space="preserve"> and Puerto Rico. </w:t>
      </w:r>
    </w:p>
    <w:p w:rsidRPr="00F3131F" w:rsidR="00EB122E" w:rsidP="00895011" w:rsidRDefault="00EB122E" w14:paraId="04D1CD54" w14:textId="77777777">
      <w:pPr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943A30" w:rsidP="004533A1" w:rsidRDefault="00BB759A" w14:paraId="5AA18B82" w14:textId="0AE19C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From the 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>PFU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workload, we will select a 15 percent sample 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 xml:space="preserve">of 18,075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 xml:space="preserve">9,750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original estimate) </w:t>
      </w:r>
      <w:r w:rsidR="006C506B">
        <w:rPr>
          <w:rFonts w:asciiTheme="minorHAnsi" w:hAnsiTheme="minorHAnsi" w:cstheme="minorHAnsi"/>
          <w:color w:val="000000"/>
          <w:sz w:val="24"/>
          <w:szCs w:val="24"/>
        </w:rPr>
        <w:t>housing units</w:t>
      </w:r>
      <w:r w:rsidRPr="00F3131F" w:rsidR="006C506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5265E8">
        <w:rPr>
          <w:rFonts w:asciiTheme="minorHAnsi" w:hAnsiTheme="minorHAnsi" w:cstheme="minorHAnsi"/>
          <w:color w:val="000000"/>
          <w:sz w:val="24"/>
          <w:szCs w:val="24"/>
        </w:rPr>
        <w:t>from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all BCUs in the 50 states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District of Columbia, and Puerto Rico for the 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 xml:space="preserve">PFU Reinterview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operation. To calculate the estimated burden hours, we assumed a theoretical 100 percent response rate and a completion time of 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minutes per case. The total estimated respondent burden for the 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>PFU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operation is </w:t>
      </w:r>
      <w:r w:rsidRPr="00F3131F" w:rsidR="004A14A7">
        <w:rPr>
          <w:rFonts w:asciiTheme="minorHAnsi" w:hAnsiTheme="minorHAnsi" w:cstheme="minorHAnsi"/>
          <w:color w:val="000000"/>
          <w:sz w:val="24"/>
          <w:szCs w:val="24"/>
        </w:rPr>
        <w:t xml:space="preserve">34,644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(1</w:t>
      </w:r>
      <w:r w:rsidRPr="00F3131F" w:rsidR="00883D38">
        <w:rPr>
          <w:rFonts w:asciiTheme="minorHAnsi" w:hAnsiTheme="minorHAnsi" w:cstheme="minorHAnsi"/>
          <w:color w:val="000000"/>
          <w:sz w:val="24"/>
          <w:szCs w:val="24"/>
        </w:rPr>
        <w:t>8,688</w:t>
      </w:r>
      <w:r w:rsidRPr="00F3131F" w:rsidR="00E41C4E">
        <w:rPr>
          <w:rFonts w:asciiTheme="minorHAnsi" w:hAnsiTheme="minorHAnsi" w:cstheme="minorHAnsi"/>
          <w:color w:val="000000"/>
          <w:sz w:val="24"/>
          <w:szCs w:val="24"/>
        </w:rPr>
        <w:t xml:space="preserve"> original estimate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) hours. </w:t>
      </w:r>
    </w:p>
    <w:p w:rsidRPr="004533A1" w:rsidR="004533A1" w:rsidP="004533A1" w:rsidRDefault="004533A1" w14:paraId="43BCC824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518"/>
        <w:gridCol w:w="2340"/>
      </w:tblGrid>
      <w:tr w:rsidRPr="00F3131F" w:rsidR="00943A30" w:rsidTr="00CB0603" w14:paraId="67793876" w14:textId="77777777">
        <w:tc>
          <w:tcPr>
            <w:tcW w:w="9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0271EC0C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2020 Census Post-Enumeration Survey – Original Estimate</w:t>
            </w:r>
          </w:p>
        </w:tc>
      </w:tr>
      <w:tr w:rsidRPr="00F3131F" w:rsidR="00943A30" w:rsidTr="00E41C4E" w14:paraId="35B23F7A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3077F83D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Operation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057AFFD3" w14:textId="2F69E1B8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Number of </w:t>
            </w:r>
            <w:r w:rsidRPr="00F3131F" w:rsidR="008950BB">
              <w:rPr>
                <w:rFonts w:asciiTheme="minorHAnsi" w:hAnsiTheme="minorHAnsi" w:cstheme="minorHAnsi"/>
                <w:b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5AB4F5F3" w14:textId="0C2B2C7C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Time per Response (in </w:t>
            </w:r>
            <w:r w:rsidR="007F4E5F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inutes)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6B4C633C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Total Burden Hours</w:t>
            </w:r>
          </w:p>
          <w:p w:rsidRPr="00F3131F" w:rsidR="00943A30" w:rsidP="00CB0603" w:rsidRDefault="00943A30" w14:paraId="6C87ED94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3131F" w:rsidR="00943A30" w:rsidTr="00E41C4E" w14:paraId="72C47D52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1239F6C7" w14:textId="1B30DB6D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 xml:space="preserve">Person Follow-up 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950BB" w14:paraId="54BCE065" w14:textId="38DB822B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65,000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943A30" w14:paraId="6CF9740E" w14:textId="0F2F254E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950BB" w14:paraId="38E63678" w14:textId="2DF60916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16,250</w:t>
            </w:r>
          </w:p>
        </w:tc>
      </w:tr>
      <w:tr w:rsidRPr="00F3131F" w:rsidR="00943A30" w:rsidTr="00E41C4E" w14:paraId="6C3AC795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72B89169" w14:textId="17BFD741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 xml:space="preserve">Person Follow-up </w:t>
            </w:r>
            <w:r w:rsidRPr="00F3131F" w:rsidR="00392FA5">
              <w:rPr>
                <w:rFonts w:asciiTheme="minorHAnsi" w:hAnsiTheme="minorHAnsi" w:cstheme="minorHAnsi"/>
                <w:sz w:val="24"/>
                <w:szCs w:val="24"/>
              </w:rPr>
              <w:t xml:space="preserve">Reinterview 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950BB" w14:paraId="2DAF6D8B" w14:textId="393C74C6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9,750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392FA5" w14:paraId="3E0A45D6" w14:textId="35B18C2A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3131F" w:rsidR="00943A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950BB" w14:paraId="2B260281" w14:textId="68BA0E1B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2,438</w:t>
            </w:r>
          </w:p>
        </w:tc>
      </w:tr>
      <w:tr w:rsidRPr="00F3131F" w:rsidR="00943A30" w:rsidTr="00E41C4E" w14:paraId="30779F9A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943A30" w:rsidP="00CB0603" w:rsidRDefault="00943A30" w14:paraId="6E563D8D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8950BB" w14:paraId="7D844028" w14:textId="6F563B27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74,750</w:t>
            </w:r>
            <w:r w:rsidR="00E51F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F4E5F">
              <w:rPr>
                <w:rFonts w:asciiTheme="minorHAnsi" w:hAnsiTheme="minorHAnsi" w:cstheme="minorHAnsi"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943A30" w14:paraId="559E3B23" w14:textId="44BC1486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943A30" w14:paraId="324F8A41" w14:textId="4FC4D830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3131F" w:rsidR="008950BB">
              <w:rPr>
                <w:rFonts w:asciiTheme="minorHAnsi" w:hAnsiTheme="minorHAnsi" w:cstheme="minorHAnsi"/>
                <w:sz w:val="24"/>
                <w:szCs w:val="24"/>
              </w:rPr>
              <w:t>8,688</w:t>
            </w:r>
            <w:r w:rsidR="00E51F30">
              <w:rPr>
                <w:rFonts w:asciiTheme="minorHAnsi" w:hAnsiTheme="minorHAnsi" w:cstheme="minorHAnsi"/>
                <w:sz w:val="24"/>
                <w:szCs w:val="24"/>
              </w:rPr>
              <w:t xml:space="preserve"> hours</w:t>
            </w:r>
            <w:r w:rsidRPr="00F3131F" w:rsidR="00895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Pr="00F3131F" w:rsidR="00943A30" w:rsidP="005F16CE" w:rsidRDefault="00943A30" w14:paraId="71CFE0D9" w14:textId="4EF1E4E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518"/>
        <w:gridCol w:w="2340"/>
      </w:tblGrid>
      <w:tr w:rsidRPr="00F3131F" w:rsidR="00943A30" w:rsidTr="00CB0603" w14:paraId="521F2BD6" w14:textId="77777777">
        <w:tc>
          <w:tcPr>
            <w:tcW w:w="9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5CC02382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2020 Census Post-Enumeration Survey- Revised Estimate</w:t>
            </w:r>
          </w:p>
        </w:tc>
      </w:tr>
      <w:tr w:rsidRPr="00F3131F" w:rsidR="00943A30" w:rsidTr="00E41C4E" w14:paraId="15DC4766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10E18304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Operation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366BF4DD" w14:textId="0C014454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Number of </w:t>
            </w:r>
            <w:r w:rsidRPr="00F3131F" w:rsidR="008950BB">
              <w:rPr>
                <w:rFonts w:asciiTheme="minorHAnsi" w:hAnsiTheme="minorHAnsi" w:cstheme="minorHAnsi"/>
                <w:b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669D95E7" w14:textId="5A284A84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Time per Response (in </w:t>
            </w:r>
            <w:r w:rsidR="007F4E5F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inutes)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43A30" w14:paraId="468CB408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Total Burden Hours</w:t>
            </w:r>
          </w:p>
          <w:p w:rsidRPr="00F3131F" w:rsidR="00943A30" w:rsidP="00CB0603" w:rsidRDefault="00943A30" w14:paraId="1EE36D13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3131F" w:rsidR="00943A30" w:rsidTr="00E41C4E" w14:paraId="33E67368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F33B8" w14:paraId="3EABD132" w14:textId="2658406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 xml:space="preserve">Person </w:t>
            </w:r>
            <w:r w:rsidRPr="00F3131F" w:rsidR="00943A30">
              <w:rPr>
                <w:rFonts w:asciiTheme="minorHAnsi" w:hAnsiTheme="minorHAnsi" w:cstheme="minorHAnsi"/>
                <w:sz w:val="24"/>
                <w:szCs w:val="24"/>
              </w:rPr>
              <w:t xml:space="preserve">Follow-up 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C535DF" w14:paraId="60854D65" w14:textId="40B6715C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  <w:r w:rsidRPr="00F3131F" w:rsidR="008F7F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9F33B8" w14:paraId="74F6FA8C" w14:textId="5DBFBCA8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3131F" w:rsidR="00943A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F7FD0" w14:paraId="41F6CB6A" w14:textId="1F2DF25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30,125</w:t>
            </w:r>
          </w:p>
        </w:tc>
      </w:tr>
      <w:tr w:rsidRPr="00F3131F" w:rsidR="00943A30" w:rsidTr="00E41C4E" w14:paraId="0DD682B1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943A30" w:rsidP="00CB0603" w:rsidRDefault="009F33B8" w14:paraId="0C32D391" w14:textId="1110E5F2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 xml:space="preserve">Person </w:t>
            </w:r>
            <w:r w:rsidRPr="00F3131F" w:rsidR="00943A30">
              <w:rPr>
                <w:rFonts w:asciiTheme="minorHAnsi" w:hAnsiTheme="minorHAnsi" w:cstheme="minorHAnsi"/>
                <w:sz w:val="24"/>
                <w:szCs w:val="24"/>
              </w:rPr>
              <w:t xml:space="preserve">Follow-up </w:t>
            </w:r>
            <w:r w:rsidRPr="00F3131F" w:rsidR="0062588D">
              <w:rPr>
                <w:rFonts w:asciiTheme="minorHAnsi" w:hAnsiTheme="minorHAnsi" w:cstheme="minorHAnsi"/>
                <w:sz w:val="24"/>
                <w:szCs w:val="24"/>
              </w:rPr>
              <w:t>Reinterview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F7FD0" w14:paraId="14EB28DC" w14:textId="36353A8D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18,075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392FA5" w14:paraId="1C8B48D4" w14:textId="21D97029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3131F" w:rsidR="00943A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943A30" w:rsidP="00CB0603" w:rsidRDefault="008F7FD0" w14:paraId="2675BCBE" w14:textId="0569917F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4,519</w:t>
            </w:r>
          </w:p>
        </w:tc>
      </w:tr>
      <w:tr w:rsidRPr="00F3131F" w:rsidR="00943A30" w:rsidTr="00E41C4E" w14:paraId="4EEBCD80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943A30" w:rsidP="00CB0603" w:rsidRDefault="00943A30" w14:paraId="487F31F4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8F7FD0" w14:paraId="52AC44F7" w14:textId="56BF93D3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138,575</w:t>
            </w:r>
            <w:r w:rsidR="00E51F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F4E5F">
              <w:rPr>
                <w:rFonts w:asciiTheme="minorHAnsi" w:hAnsiTheme="minorHAnsi" w:cstheme="minorHAnsi"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943A30" w14:paraId="35DEA414" w14:textId="417F0847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943A30" w:rsidP="00CB0603" w:rsidRDefault="008F7FD0" w14:paraId="39495FC5" w14:textId="79C15D9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34,644</w:t>
            </w:r>
            <w:r w:rsidR="00E51F30">
              <w:rPr>
                <w:rFonts w:asciiTheme="minorHAnsi" w:hAnsiTheme="minorHAnsi" w:cstheme="minorHAnsi"/>
                <w:sz w:val="24"/>
                <w:szCs w:val="24"/>
              </w:rPr>
              <w:t xml:space="preserve"> hours</w:t>
            </w:r>
          </w:p>
        </w:tc>
      </w:tr>
    </w:tbl>
    <w:p w:rsidRPr="00F3131F" w:rsidR="006E0BBD" w:rsidP="005F16CE" w:rsidRDefault="006E0BBD" w14:paraId="1AC8FA02" w14:textId="1D4E9B0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4533A1" w:rsidR="00700D21" w:rsidP="004533A1" w:rsidRDefault="001A27A0" w14:paraId="7BB26C8E" w14:textId="3C56EE8F">
      <w:pPr>
        <w:ind w:right="72"/>
        <w:rPr>
          <w:rFonts w:asciiTheme="minorHAnsi" w:hAnsiTheme="minorHAnsi" w:cstheme="minorHAnsi"/>
          <w:sz w:val="24"/>
          <w:szCs w:val="24"/>
        </w:rPr>
      </w:pPr>
      <w:r w:rsidRPr="00F3131F">
        <w:rPr>
          <w:rFonts w:asciiTheme="minorHAnsi" w:hAnsiTheme="minorHAnsi" w:cstheme="minorHAnsi"/>
          <w:sz w:val="24"/>
          <w:szCs w:val="24"/>
        </w:rPr>
        <w:t xml:space="preserve">There are no substantive changes to the program resulting from these proposed changes. </w:t>
      </w:r>
    </w:p>
    <w:sectPr w:rsidRPr="004533A1" w:rsidR="00700D21" w:rsidSect="005E2C85">
      <w:footerReference w:type="default" r:id="rId11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1ABF6" w14:textId="77777777" w:rsidR="00812C0F" w:rsidRDefault="00812C0F" w:rsidP="00EB74A3">
      <w:r>
        <w:separator/>
      </w:r>
    </w:p>
  </w:endnote>
  <w:endnote w:type="continuationSeparator" w:id="0">
    <w:p w14:paraId="681D01A1" w14:textId="77777777" w:rsidR="00812C0F" w:rsidRDefault="00812C0F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5167CD43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FEC5C" w14:textId="77777777" w:rsidR="00812C0F" w:rsidRDefault="00812C0F" w:rsidP="00EB74A3">
      <w:r>
        <w:separator/>
      </w:r>
    </w:p>
  </w:footnote>
  <w:footnote w:type="continuationSeparator" w:id="0">
    <w:p w14:paraId="64CB644C" w14:textId="77777777" w:rsidR="00812C0F" w:rsidRDefault="00812C0F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3ACD"/>
    <w:multiLevelType w:val="multilevel"/>
    <w:tmpl w:val="2E6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A1DF9"/>
    <w:multiLevelType w:val="hybridMultilevel"/>
    <w:tmpl w:val="B80A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8F7F56"/>
    <w:rsid w:val="00010EA6"/>
    <w:rsid w:val="00015DAE"/>
    <w:rsid w:val="00015E7B"/>
    <w:rsid w:val="0001715A"/>
    <w:rsid w:val="0003644D"/>
    <w:rsid w:val="0004794A"/>
    <w:rsid w:val="0005780D"/>
    <w:rsid w:val="00063EA4"/>
    <w:rsid w:val="00065B0B"/>
    <w:rsid w:val="000662AA"/>
    <w:rsid w:val="000723E3"/>
    <w:rsid w:val="00075956"/>
    <w:rsid w:val="00075FB2"/>
    <w:rsid w:val="000958CC"/>
    <w:rsid w:val="000A4C4B"/>
    <w:rsid w:val="000B2654"/>
    <w:rsid w:val="000B43FC"/>
    <w:rsid w:val="000C05CB"/>
    <w:rsid w:val="000C2E69"/>
    <w:rsid w:val="000D3F1B"/>
    <w:rsid w:val="000E49C5"/>
    <w:rsid w:val="000F1709"/>
    <w:rsid w:val="000F28A9"/>
    <w:rsid w:val="000F5654"/>
    <w:rsid w:val="001029AE"/>
    <w:rsid w:val="0010391C"/>
    <w:rsid w:val="00107030"/>
    <w:rsid w:val="00111D77"/>
    <w:rsid w:val="00112302"/>
    <w:rsid w:val="00115BD2"/>
    <w:rsid w:val="0012585A"/>
    <w:rsid w:val="00143E61"/>
    <w:rsid w:val="0015180B"/>
    <w:rsid w:val="00154794"/>
    <w:rsid w:val="00163810"/>
    <w:rsid w:val="00176394"/>
    <w:rsid w:val="00177779"/>
    <w:rsid w:val="00193C86"/>
    <w:rsid w:val="00195395"/>
    <w:rsid w:val="001978ED"/>
    <w:rsid w:val="001A27A0"/>
    <w:rsid w:val="001B1537"/>
    <w:rsid w:val="001B5160"/>
    <w:rsid w:val="001C65FB"/>
    <w:rsid w:val="001C7024"/>
    <w:rsid w:val="001D16BA"/>
    <w:rsid w:val="001E4F86"/>
    <w:rsid w:val="001F4CEC"/>
    <w:rsid w:val="0021333E"/>
    <w:rsid w:val="00215556"/>
    <w:rsid w:val="00221012"/>
    <w:rsid w:val="00223E09"/>
    <w:rsid w:val="002340B6"/>
    <w:rsid w:val="002343ED"/>
    <w:rsid w:val="0024511B"/>
    <w:rsid w:val="00245B02"/>
    <w:rsid w:val="002718B6"/>
    <w:rsid w:val="0027512E"/>
    <w:rsid w:val="00281160"/>
    <w:rsid w:val="0029211A"/>
    <w:rsid w:val="002971AB"/>
    <w:rsid w:val="002A2666"/>
    <w:rsid w:val="002A5E94"/>
    <w:rsid w:val="002B0AE4"/>
    <w:rsid w:val="002C2E1A"/>
    <w:rsid w:val="002C54F2"/>
    <w:rsid w:val="002C6F9B"/>
    <w:rsid w:val="002C7C05"/>
    <w:rsid w:val="002D01A2"/>
    <w:rsid w:val="002D2371"/>
    <w:rsid w:val="002D6353"/>
    <w:rsid w:val="002E145D"/>
    <w:rsid w:val="002E16E8"/>
    <w:rsid w:val="002E62AE"/>
    <w:rsid w:val="002F3736"/>
    <w:rsid w:val="002F6939"/>
    <w:rsid w:val="00302DF6"/>
    <w:rsid w:val="00303D92"/>
    <w:rsid w:val="00306394"/>
    <w:rsid w:val="00311191"/>
    <w:rsid w:val="00315D8F"/>
    <w:rsid w:val="0032269A"/>
    <w:rsid w:val="003263CA"/>
    <w:rsid w:val="00326C3D"/>
    <w:rsid w:val="00333C42"/>
    <w:rsid w:val="003428F3"/>
    <w:rsid w:val="00350052"/>
    <w:rsid w:val="003565A4"/>
    <w:rsid w:val="00360467"/>
    <w:rsid w:val="003611F1"/>
    <w:rsid w:val="00362A4F"/>
    <w:rsid w:val="00362E3E"/>
    <w:rsid w:val="00372AAE"/>
    <w:rsid w:val="003742A3"/>
    <w:rsid w:val="00381000"/>
    <w:rsid w:val="00387E5E"/>
    <w:rsid w:val="00392DF3"/>
    <w:rsid w:val="00392FA5"/>
    <w:rsid w:val="00396641"/>
    <w:rsid w:val="00397809"/>
    <w:rsid w:val="003A21EA"/>
    <w:rsid w:val="003B2561"/>
    <w:rsid w:val="003B5C84"/>
    <w:rsid w:val="003C67AC"/>
    <w:rsid w:val="003D24C0"/>
    <w:rsid w:val="003E0BC2"/>
    <w:rsid w:val="003E7259"/>
    <w:rsid w:val="0040119A"/>
    <w:rsid w:val="00402F86"/>
    <w:rsid w:val="00404475"/>
    <w:rsid w:val="00404EBA"/>
    <w:rsid w:val="00421E09"/>
    <w:rsid w:val="004246EE"/>
    <w:rsid w:val="00426888"/>
    <w:rsid w:val="00445E29"/>
    <w:rsid w:val="004520A0"/>
    <w:rsid w:val="0045316E"/>
    <w:rsid w:val="00453182"/>
    <w:rsid w:val="004533A1"/>
    <w:rsid w:val="004662A7"/>
    <w:rsid w:val="00466B7B"/>
    <w:rsid w:val="004722BA"/>
    <w:rsid w:val="0047737E"/>
    <w:rsid w:val="00484F54"/>
    <w:rsid w:val="00491754"/>
    <w:rsid w:val="0049724D"/>
    <w:rsid w:val="004A14A7"/>
    <w:rsid w:val="004A1BB0"/>
    <w:rsid w:val="004A2FD3"/>
    <w:rsid w:val="004B21B8"/>
    <w:rsid w:val="004C600B"/>
    <w:rsid w:val="004D5F4C"/>
    <w:rsid w:val="004D701C"/>
    <w:rsid w:val="004D74CE"/>
    <w:rsid w:val="004E4D64"/>
    <w:rsid w:val="004E6392"/>
    <w:rsid w:val="004E6E41"/>
    <w:rsid w:val="004F20AE"/>
    <w:rsid w:val="004F2878"/>
    <w:rsid w:val="005016FC"/>
    <w:rsid w:val="005060A9"/>
    <w:rsid w:val="0051074D"/>
    <w:rsid w:val="005121F4"/>
    <w:rsid w:val="0051344C"/>
    <w:rsid w:val="0051672B"/>
    <w:rsid w:val="005265E8"/>
    <w:rsid w:val="0053061D"/>
    <w:rsid w:val="00532BFA"/>
    <w:rsid w:val="0054167F"/>
    <w:rsid w:val="005444A2"/>
    <w:rsid w:val="0055156B"/>
    <w:rsid w:val="00561FA8"/>
    <w:rsid w:val="00566506"/>
    <w:rsid w:val="005678A0"/>
    <w:rsid w:val="00567A43"/>
    <w:rsid w:val="00570071"/>
    <w:rsid w:val="00572590"/>
    <w:rsid w:val="0058505D"/>
    <w:rsid w:val="005868F7"/>
    <w:rsid w:val="00593380"/>
    <w:rsid w:val="00593D86"/>
    <w:rsid w:val="00594DE7"/>
    <w:rsid w:val="005A3B80"/>
    <w:rsid w:val="005A677B"/>
    <w:rsid w:val="005B1129"/>
    <w:rsid w:val="005D38BD"/>
    <w:rsid w:val="005E07EC"/>
    <w:rsid w:val="005E2C85"/>
    <w:rsid w:val="005E74D0"/>
    <w:rsid w:val="005F16CE"/>
    <w:rsid w:val="005F286F"/>
    <w:rsid w:val="005F41CA"/>
    <w:rsid w:val="005F42D1"/>
    <w:rsid w:val="0060153C"/>
    <w:rsid w:val="006148EA"/>
    <w:rsid w:val="00625734"/>
    <w:rsid w:val="0062588D"/>
    <w:rsid w:val="00627577"/>
    <w:rsid w:val="00630521"/>
    <w:rsid w:val="006321D1"/>
    <w:rsid w:val="00634BA5"/>
    <w:rsid w:val="00644675"/>
    <w:rsid w:val="00652EB3"/>
    <w:rsid w:val="006533FF"/>
    <w:rsid w:val="00657AF9"/>
    <w:rsid w:val="00661CEB"/>
    <w:rsid w:val="0066461F"/>
    <w:rsid w:val="0066462B"/>
    <w:rsid w:val="006665EF"/>
    <w:rsid w:val="00667533"/>
    <w:rsid w:val="00675D3E"/>
    <w:rsid w:val="006779A2"/>
    <w:rsid w:val="006805AE"/>
    <w:rsid w:val="00686498"/>
    <w:rsid w:val="00686DD1"/>
    <w:rsid w:val="006A1D8C"/>
    <w:rsid w:val="006A2A88"/>
    <w:rsid w:val="006A5936"/>
    <w:rsid w:val="006C22C8"/>
    <w:rsid w:val="006C506B"/>
    <w:rsid w:val="006E0BBD"/>
    <w:rsid w:val="006E7E11"/>
    <w:rsid w:val="006F529B"/>
    <w:rsid w:val="00700D21"/>
    <w:rsid w:val="0070171C"/>
    <w:rsid w:val="007203A8"/>
    <w:rsid w:val="00720F53"/>
    <w:rsid w:val="00721BE8"/>
    <w:rsid w:val="007220ED"/>
    <w:rsid w:val="0072676E"/>
    <w:rsid w:val="00726B70"/>
    <w:rsid w:val="00727C08"/>
    <w:rsid w:val="00734AC8"/>
    <w:rsid w:val="007464D3"/>
    <w:rsid w:val="00746953"/>
    <w:rsid w:val="00750D57"/>
    <w:rsid w:val="00766EDA"/>
    <w:rsid w:val="007760E3"/>
    <w:rsid w:val="0078087A"/>
    <w:rsid w:val="00780BE8"/>
    <w:rsid w:val="00793038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E5F"/>
    <w:rsid w:val="007F4FE7"/>
    <w:rsid w:val="007F6907"/>
    <w:rsid w:val="00801471"/>
    <w:rsid w:val="008018B4"/>
    <w:rsid w:val="0080664D"/>
    <w:rsid w:val="00812C0F"/>
    <w:rsid w:val="00815A21"/>
    <w:rsid w:val="00820F68"/>
    <w:rsid w:val="0082106D"/>
    <w:rsid w:val="00822DD4"/>
    <w:rsid w:val="00825309"/>
    <w:rsid w:val="00827B81"/>
    <w:rsid w:val="00844C7D"/>
    <w:rsid w:val="00850728"/>
    <w:rsid w:val="00855369"/>
    <w:rsid w:val="00871063"/>
    <w:rsid w:val="008766CA"/>
    <w:rsid w:val="00883D38"/>
    <w:rsid w:val="00884A79"/>
    <w:rsid w:val="0088706A"/>
    <w:rsid w:val="00895011"/>
    <w:rsid w:val="008950BB"/>
    <w:rsid w:val="008A1344"/>
    <w:rsid w:val="008A172B"/>
    <w:rsid w:val="008A46EF"/>
    <w:rsid w:val="008B5CDF"/>
    <w:rsid w:val="008B6BFF"/>
    <w:rsid w:val="008C0260"/>
    <w:rsid w:val="008C155C"/>
    <w:rsid w:val="008C3452"/>
    <w:rsid w:val="008D0E72"/>
    <w:rsid w:val="008E4780"/>
    <w:rsid w:val="008E5E59"/>
    <w:rsid w:val="008F7F56"/>
    <w:rsid w:val="008F7FD0"/>
    <w:rsid w:val="009003A9"/>
    <w:rsid w:val="0090177C"/>
    <w:rsid w:val="00901829"/>
    <w:rsid w:val="00904877"/>
    <w:rsid w:val="009120C7"/>
    <w:rsid w:val="00912126"/>
    <w:rsid w:val="0092040A"/>
    <w:rsid w:val="00920BFB"/>
    <w:rsid w:val="00925D52"/>
    <w:rsid w:val="0093056D"/>
    <w:rsid w:val="00937751"/>
    <w:rsid w:val="00943A30"/>
    <w:rsid w:val="00947583"/>
    <w:rsid w:val="00964AC2"/>
    <w:rsid w:val="0097210E"/>
    <w:rsid w:val="009742E9"/>
    <w:rsid w:val="0097650C"/>
    <w:rsid w:val="009916FE"/>
    <w:rsid w:val="009921A5"/>
    <w:rsid w:val="00997B76"/>
    <w:rsid w:val="009A51B0"/>
    <w:rsid w:val="009B08DD"/>
    <w:rsid w:val="009B49AD"/>
    <w:rsid w:val="009C476D"/>
    <w:rsid w:val="009C59A3"/>
    <w:rsid w:val="009C7231"/>
    <w:rsid w:val="009D0D64"/>
    <w:rsid w:val="009D6207"/>
    <w:rsid w:val="009E41B5"/>
    <w:rsid w:val="009F23D7"/>
    <w:rsid w:val="009F3005"/>
    <w:rsid w:val="009F33B8"/>
    <w:rsid w:val="009F5C1E"/>
    <w:rsid w:val="009F64C3"/>
    <w:rsid w:val="00A04474"/>
    <w:rsid w:val="00A14952"/>
    <w:rsid w:val="00A22EE7"/>
    <w:rsid w:val="00A33B19"/>
    <w:rsid w:val="00A36D66"/>
    <w:rsid w:val="00A40F66"/>
    <w:rsid w:val="00A429E9"/>
    <w:rsid w:val="00A47A8A"/>
    <w:rsid w:val="00A52414"/>
    <w:rsid w:val="00A55932"/>
    <w:rsid w:val="00A5601C"/>
    <w:rsid w:val="00A569EE"/>
    <w:rsid w:val="00A576F0"/>
    <w:rsid w:val="00A622DC"/>
    <w:rsid w:val="00A717A5"/>
    <w:rsid w:val="00A85A2C"/>
    <w:rsid w:val="00A85FF7"/>
    <w:rsid w:val="00AC37C7"/>
    <w:rsid w:val="00AC426B"/>
    <w:rsid w:val="00AC5123"/>
    <w:rsid w:val="00AD0CD8"/>
    <w:rsid w:val="00AD0FAF"/>
    <w:rsid w:val="00AD1F11"/>
    <w:rsid w:val="00AD499E"/>
    <w:rsid w:val="00AE14FD"/>
    <w:rsid w:val="00AE2327"/>
    <w:rsid w:val="00AE4F58"/>
    <w:rsid w:val="00AF3903"/>
    <w:rsid w:val="00B02B81"/>
    <w:rsid w:val="00B061F3"/>
    <w:rsid w:val="00B15699"/>
    <w:rsid w:val="00B22036"/>
    <w:rsid w:val="00B24AC1"/>
    <w:rsid w:val="00B302E3"/>
    <w:rsid w:val="00B338F6"/>
    <w:rsid w:val="00B37124"/>
    <w:rsid w:val="00B43009"/>
    <w:rsid w:val="00B513AE"/>
    <w:rsid w:val="00B5695B"/>
    <w:rsid w:val="00B57350"/>
    <w:rsid w:val="00B57B23"/>
    <w:rsid w:val="00B6503D"/>
    <w:rsid w:val="00B67D01"/>
    <w:rsid w:val="00B778A9"/>
    <w:rsid w:val="00B96771"/>
    <w:rsid w:val="00BA685E"/>
    <w:rsid w:val="00BA704A"/>
    <w:rsid w:val="00BB759A"/>
    <w:rsid w:val="00BC4267"/>
    <w:rsid w:val="00BC5953"/>
    <w:rsid w:val="00BC5D20"/>
    <w:rsid w:val="00BD390C"/>
    <w:rsid w:val="00BD73E4"/>
    <w:rsid w:val="00BE00D4"/>
    <w:rsid w:val="00BE4268"/>
    <w:rsid w:val="00BE4A65"/>
    <w:rsid w:val="00BE6E53"/>
    <w:rsid w:val="00BE7AC7"/>
    <w:rsid w:val="00C03F6D"/>
    <w:rsid w:val="00C04E2A"/>
    <w:rsid w:val="00C16CE0"/>
    <w:rsid w:val="00C20C27"/>
    <w:rsid w:val="00C3743A"/>
    <w:rsid w:val="00C375A3"/>
    <w:rsid w:val="00C40A29"/>
    <w:rsid w:val="00C5206B"/>
    <w:rsid w:val="00C535DF"/>
    <w:rsid w:val="00C53D90"/>
    <w:rsid w:val="00C53F66"/>
    <w:rsid w:val="00C646B1"/>
    <w:rsid w:val="00C65667"/>
    <w:rsid w:val="00C66DF2"/>
    <w:rsid w:val="00C74F8E"/>
    <w:rsid w:val="00C8744D"/>
    <w:rsid w:val="00C94E4D"/>
    <w:rsid w:val="00CA26B5"/>
    <w:rsid w:val="00CA28CC"/>
    <w:rsid w:val="00CA2E0E"/>
    <w:rsid w:val="00CB5D27"/>
    <w:rsid w:val="00CC1209"/>
    <w:rsid w:val="00CC2699"/>
    <w:rsid w:val="00CD01A9"/>
    <w:rsid w:val="00CD7762"/>
    <w:rsid w:val="00CF5E8D"/>
    <w:rsid w:val="00D01540"/>
    <w:rsid w:val="00D2154F"/>
    <w:rsid w:val="00D26698"/>
    <w:rsid w:val="00D27EAC"/>
    <w:rsid w:val="00D5061E"/>
    <w:rsid w:val="00D5392C"/>
    <w:rsid w:val="00D53F19"/>
    <w:rsid w:val="00D63E03"/>
    <w:rsid w:val="00D75D84"/>
    <w:rsid w:val="00D7602F"/>
    <w:rsid w:val="00D775B9"/>
    <w:rsid w:val="00D81197"/>
    <w:rsid w:val="00D86FD8"/>
    <w:rsid w:val="00D87D75"/>
    <w:rsid w:val="00DA023D"/>
    <w:rsid w:val="00DA6733"/>
    <w:rsid w:val="00DA7423"/>
    <w:rsid w:val="00DC4966"/>
    <w:rsid w:val="00DC5943"/>
    <w:rsid w:val="00E0606C"/>
    <w:rsid w:val="00E14E3B"/>
    <w:rsid w:val="00E165F0"/>
    <w:rsid w:val="00E23ED4"/>
    <w:rsid w:val="00E27D90"/>
    <w:rsid w:val="00E31AED"/>
    <w:rsid w:val="00E34C90"/>
    <w:rsid w:val="00E36DD4"/>
    <w:rsid w:val="00E410B4"/>
    <w:rsid w:val="00E41C4E"/>
    <w:rsid w:val="00E43C9B"/>
    <w:rsid w:val="00E46A9D"/>
    <w:rsid w:val="00E51F30"/>
    <w:rsid w:val="00E550DF"/>
    <w:rsid w:val="00E61A7B"/>
    <w:rsid w:val="00E63C34"/>
    <w:rsid w:val="00E820B7"/>
    <w:rsid w:val="00E95072"/>
    <w:rsid w:val="00EA1536"/>
    <w:rsid w:val="00EA33E8"/>
    <w:rsid w:val="00EB122E"/>
    <w:rsid w:val="00EB6FB6"/>
    <w:rsid w:val="00EB74A3"/>
    <w:rsid w:val="00EC019A"/>
    <w:rsid w:val="00EC1E8E"/>
    <w:rsid w:val="00EC6745"/>
    <w:rsid w:val="00EC7F4D"/>
    <w:rsid w:val="00EE3B01"/>
    <w:rsid w:val="00EF2766"/>
    <w:rsid w:val="00EF4B73"/>
    <w:rsid w:val="00EF7065"/>
    <w:rsid w:val="00F05B4B"/>
    <w:rsid w:val="00F10895"/>
    <w:rsid w:val="00F1473E"/>
    <w:rsid w:val="00F15E18"/>
    <w:rsid w:val="00F3131F"/>
    <w:rsid w:val="00F53D95"/>
    <w:rsid w:val="00F620F1"/>
    <w:rsid w:val="00F66212"/>
    <w:rsid w:val="00F673D0"/>
    <w:rsid w:val="00F86784"/>
    <w:rsid w:val="00F979CE"/>
    <w:rsid w:val="00FA459E"/>
    <w:rsid w:val="00FB02CB"/>
    <w:rsid w:val="00FB6223"/>
    <w:rsid w:val="00FC0BD4"/>
    <w:rsid w:val="00FC1915"/>
    <w:rsid w:val="00FC647A"/>
    <w:rsid w:val="00FD0476"/>
    <w:rsid w:val="00FD1CB2"/>
    <w:rsid w:val="00FD35AF"/>
    <w:rsid w:val="00FE2F3B"/>
    <w:rsid w:val="00FE7B29"/>
    <w:rsid w:val="00FF565C"/>
    <w:rsid w:val="00FF77C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5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15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39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7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Final</Document_x0020_Status>
    <OMB_x0020_Package xmlns="dfc2ec3a-c873-4fd0-833e-82ea7dba9d6a">2020 Census PES Person Interview and PFU</OMB_x0020_Package>
    <Loaded_x0020_to_x0020_ROCIS xmlns="dfc2ec3a-c873-4fd0-833e-82ea7dba9d6a">No</Loaded_x0020_to_x0020_ROCIS>
    <Document_x0020_Type xmlns="dfc2ec3a-c873-4fd0-833e-82ea7dba9d6a">Non-substantive Change Request</Document_x0020_Type>
    <Program_x0020_Type xmlns="dfc2ec3a-c873-4fd0-833e-82ea7dba9d6a">American Community Survey</Program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4f851b9d654d87aef1edeaea230538f0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9c242bb454b56c5421f70aebf5d777a9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C19D5-2F15-4583-9CFC-0BEBEB0D612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dfc2ec3a-c873-4fd0-833e-82ea7dba9d6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C0B1AAD-7488-402B-A7F4-5658FC0DA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45942-3795-4881-8FAA-C42B46EF4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Methods Panel -2017 Mail Design Test</vt:lpstr>
    </vt:vector>
  </TitlesOfParts>
  <Company>U.S. Department of Commerce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Census PES Person Interview and PFU NSC</dc:title>
  <dc:creator>Erica L Olmsted Hawala</dc:creator>
  <cp:lastModifiedBy>Beth Clarke Tyszka (CENSUS/DCMD FED)</cp:lastModifiedBy>
  <cp:revision>3</cp:revision>
  <cp:lastPrinted>2017-03-07T16:44:00Z</cp:lastPrinted>
  <dcterms:created xsi:type="dcterms:W3CDTF">2021-04-28T12:35:00Z</dcterms:created>
  <dcterms:modified xsi:type="dcterms:W3CDTF">2021-04-28T12:40:00Z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