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4E4785" w:rsidR="008E61C9" w:rsidP="00BD7237" w:rsidRDefault="001477A3">
      <w:pPr>
        <w:pStyle w:val="Heading1"/>
        <w:ind w:left="0"/>
        <w:jc w:val="center"/>
        <w:rPr>
          <w:rFonts w:cs="Times New Roman"/>
        </w:rPr>
      </w:pPr>
      <w:r w:rsidRPr="004E4785">
        <w:rPr>
          <w:rFonts w:cs="Times New Roman"/>
        </w:rPr>
        <w:t>SUPPORTING STATEMENT</w:t>
      </w:r>
    </w:p>
    <w:p w:rsidRPr="004E4785" w:rsidR="00BD7237" w:rsidP="00BD7237" w:rsidRDefault="001477A3">
      <w:pPr>
        <w:spacing w:before="22" w:line="259" w:lineRule="auto"/>
        <w:ind w:firstLine="14"/>
        <w:jc w:val="center"/>
        <w:rPr>
          <w:rFonts w:cs="Times New Roman"/>
          <w:b/>
          <w:szCs w:val="24"/>
        </w:rPr>
      </w:pPr>
      <w:r w:rsidRPr="004E4785">
        <w:rPr>
          <w:rFonts w:cs="Times New Roman"/>
          <w:b/>
          <w:szCs w:val="24"/>
        </w:rPr>
        <w:t>U.S. Department of Commerce</w:t>
      </w:r>
    </w:p>
    <w:p w:rsidRPr="004E4785" w:rsidR="008E61C9" w:rsidP="00BD7237" w:rsidRDefault="00BD7237">
      <w:pPr>
        <w:spacing w:before="22" w:line="259" w:lineRule="auto"/>
        <w:ind w:firstLine="14"/>
        <w:jc w:val="center"/>
        <w:rPr>
          <w:rFonts w:cs="Times New Roman"/>
          <w:b/>
          <w:szCs w:val="24"/>
        </w:rPr>
      </w:pPr>
      <w:r w:rsidRPr="004E4785">
        <w:rPr>
          <w:rFonts w:cs="Times New Roman"/>
          <w:b/>
          <w:szCs w:val="24"/>
        </w:rPr>
        <w:t>National Oceanic &amp; Atmospheric Administration</w:t>
      </w:r>
    </w:p>
    <w:p w:rsidR="00F662B3" w:rsidP="00BD7237" w:rsidRDefault="00F662B3">
      <w:pPr>
        <w:spacing w:line="259" w:lineRule="auto"/>
        <w:ind w:hanging="6"/>
        <w:jc w:val="center"/>
        <w:rPr>
          <w:rFonts w:cs="Times New Roman"/>
          <w:b/>
          <w:szCs w:val="24"/>
        </w:rPr>
      </w:pPr>
      <w:r>
        <w:rPr>
          <w:b/>
        </w:rPr>
        <w:t>A Coastal Management Needs Assessment and Market Analysis for Financing Resilience</w:t>
      </w:r>
      <w:r w:rsidRPr="004E4785">
        <w:rPr>
          <w:rFonts w:cs="Times New Roman"/>
          <w:b/>
          <w:szCs w:val="24"/>
        </w:rPr>
        <w:t xml:space="preserve"> </w:t>
      </w:r>
    </w:p>
    <w:p w:rsidRPr="004E4785" w:rsidR="008E61C9" w:rsidP="00BD7237" w:rsidRDefault="001477A3">
      <w:pPr>
        <w:spacing w:line="259" w:lineRule="auto"/>
        <w:ind w:hanging="6"/>
        <w:jc w:val="center"/>
        <w:rPr>
          <w:rFonts w:cs="Times New Roman"/>
          <w:b/>
          <w:szCs w:val="24"/>
        </w:rPr>
      </w:pPr>
      <w:bookmarkStart w:name="_GoBack" w:id="0"/>
      <w:bookmarkEnd w:id="0"/>
      <w:r w:rsidRPr="004E4785">
        <w:rPr>
          <w:rFonts w:cs="Times New Roman"/>
          <w:b/>
          <w:szCs w:val="24"/>
        </w:rPr>
        <w:t>OMB Control No. 06</w:t>
      </w:r>
      <w:r w:rsidRPr="004E4785" w:rsidR="00BD7237">
        <w:rPr>
          <w:rFonts w:cs="Times New Roman"/>
          <w:b/>
          <w:szCs w:val="24"/>
        </w:rPr>
        <w:t>48</w:t>
      </w:r>
      <w:r w:rsidRPr="004E4785">
        <w:rPr>
          <w:rFonts w:cs="Times New Roman"/>
          <w:b/>
          <w:szCs w:val="24"/>
        </w:rPr>
        <w:t>-XXXX</w:t>
      </w:r>
    </w:p>
    <w:p w:rsidRPr="004E4785" w:rsidR="008E61C9" w:rsidP="00BD7237" w:rsidRDefault="008E61C9">
      <w:pPr>
        <w:pStyle w:val="BodyText"/>
        <w:spacing w:before="1"/>
        <w:ind w:left="0"/>
        <w:jc w:val="center"/>
        <w:rPr>
          <w:rFonts w:cs="Times New Roman"/>
          <w:b/>
        </w:rPr>
      </w:pPr>
    </w:p>
    <w:p w:rsidRPr="004E4785" w:rsidR="008E61C9" w:rsidP="00BD7237" w:rsidRDefault="001477A3">
      <w:pPr>
        <w:pStyle w:val="Heading1"/>
        <w:spacing w:before="199"/>
        <w:ind w:left="0"/>
        <w:rPr>
          <w:rFonts w:cs="Times New Roman"/>
        </w:rPr>
      </w:pPr>
      <w:r w:rsidRPr="004E4785">
        <w:rPr>
          <w:rFonts w:cs="Times New Roman"/>
        </w:rPr>
        <w:t>Abstract</w:t>
      </w:r>
    </w:p>
    <w:p w:rsidRPr="00F00EC3" w:rsidR="008E61C9" w:rsidP="00BD7237" w:rsidRDefault="00F00EC3">
      <w:pPr>
        <w:spacing w:before="144" w:line="259" w:lineRule="auto"/>
        <w:rPr>
          <w:rFonts w:cs="Times New Roman"/>
          <w:b/>
          <w:szCs w:val="24"/>
        </w:rPr>
      </w:pPr>
      <w:r w:rsidRPr="00F00EC3">
        <w:rPr>
          <w:rFonts w:cs="Times New Roman"/>
          <w:szCs w:val="24"/>
        </w:rPr>
        <w:t>This is a request for a new collection of information.</w:t>
      </w:r>
    </w:p>
    <w:p w:rsidRPr="004E4785" w:rsidR="008E61C9" w:rsidP="00BD7237" w:rsidRDefault="001477A3">
      <w:pPr>
        <w:pStyle w:val="Heading1"/>
        <w:spacing w:before="124"/>
        <w:ind w:left="0"/>
        <w:rPr>
          <w:rFonts w:cs="Times New Roman"/>
        </w:rPr>
      </w:pPr>
      <w:r w:rsidRPr="004E4785">
        <w:rPr>
          <w:rFonts w:cs="Times New Roman"/>
        </w:rPr>
        <w:t>Justification</w:t>
      </w:r>
    </w:p>
    <w:p w:rsidRPr="004E4785" w:rsidR="008E61C9" w:rsidP="00BD7237" w:rsidRDefault="001477A3">
      <w:pPr>
        <w:pStyle w:val="ListParagraph"/>
        <w:numPr>
          <w:ilvl w:val="0"/>
          <w:numId w:val="7"/>
        </w:numPr>
        <w:tabs>
          <w:tab w:val="left" w:pos="360"/>
        </w:tabs>
        <w:spacing w:before="182" w:line="259" w:lineRule="auto"/>
        <w:ind w:left="0" w:firstLine="0"/>
        <w:rPr>
          <w:rFonts w:cs="Times New Roman"/>
          <w:b/>
          <w:szCs w:val="24"/>
        </w:rPr>
      </w:pPr>
      <w:r w:rsidRPr="004E4785">
        <w:rPr>
          <w:rFonts w:cs="Times New Roman"/>
          <w:b/>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696453" w:rsidR="00696453" w:rsidP="00696453" w:rsidRDefault="00696453">
      <w:pPr>
        <w:pStyle w:val="ListParagraph"/>
        <w:pBdr>
          <w:top w:val="nil"/>
          <w:left w:val="nil"/>
          <w:bottom w:val="nil"/>
          <w:right w:val="nil"/>
          <w:between w:val="nil"/>
        </w:pBdr>
        <w:spacing w:after="220"/>
        <w:ind w:left="0" w:firstLine="0"/>
        <w:rPr>
          <w:szCs w:val="24"/>
        </w:rPr>
      </w:pPr>
      <w:r w:rsidRPr="00696453">
        <w:rPr>
          <w:color w:val="000000"/>
          <w:szCs w:val="24"/>
        </w:rPr>
        <w:t>NOAA’s Office of Coastal Management (OCM) and its regional, state, federal, and non-profit partners have worked closely with coastal managers across the country to increase the resilience of our coastal communities, economies and ecosystems. Per the Coastal Zone Management Act of 1972 (CZMA), OCM provides financial and technical assistance to states and territories, including that which helps its customers (coastal managers) develop hazard mitigation and climate adaptation plans that include strategies for short-term responses to immediate threats (e.g., flooding, hurricanes) as well as long-term responses to gradual changes (e.g., sea level r</w:t>
      </w:r>
      <w:r w:rsidRPr="00696453">
        <w:rPr>
          <w:szCs w:val="24"/>
        </w:rPr>
        <w:t xml:space="preserve">ise, drought). Services </w:t>
      </w:r>
      <w:proofErr w:type="gramStart"/>
      <w:r w:rsidRPr="00696453">
        <w:rPr>
          <w:szCs w:val="24"/>
        </w:rPr>
        <w:t>are provided</w:t>
      </w:r>
      <w:proofErr w:type="gramEnd"/>
      <w:r w:rsidRPr="00696453">
        <w:rPr>
          <w:szCs w:val="24"/>
        </w:rPr>
        <w:t xml:space="preserve"> through outreach, training, funding, resource, and tool development. </w:t>
      </w:r>
    </w:p>
    <w:p w:rsidRPr="00696453" w:rsidR="00696453" w:rsidP="00696453" w:rsidRDefault="00696453">
      <w:pPr>
        <w:pStyle w:val="ListParagraph"/>
        <w:pBdr>
          <w:top w:val="nil"/>
          <w:left w:val="nil"/>
          <w:bottom w:val="nil"/>
          <w:right w:val="nil"/>
          <w:between w:val="nil"/>
        </w:pBdr>
        <w:spacing w:after="220"/>
        <w:ind w:left="0" w:firstLine="0"/>
        <w:rPr>
          <w:color w:val="000000"/>
          <w:szCs w:val="24"/>
        </w:rPr>
      </w:pPr>
      <w:r w:rsidRPr="00696453">
        <w:rPr>
          <w:szCs w:val="24"/>
        </w:rPr>
        <w:t xml:space="preserve">Solutions to these resilience challenges are often complex and </w:t>
      </w:r>
      <w:proofErr w:type="gramStart"/>
      <w:r w:rsidRPr="00696453">
        <w:rPr>
          <w:szCs w:val="24"/>
        </w:rPr>
        <w:t>cross-sectoral</w:t>
      </w:r>
      <w:proofErr w:type="gramEnd"/>
      <w:r w:rsidRPr="00696453">
        <w:rPr>
          <w:szCs w:val="24"/>
        </w:rPr>
        <w:t>. Therefore, coastal decision-makers regularly point to the need for more substantial, coordinated, sustained and creative funding opportunities to support these efforts. T</w:t>
      </w:r>
      <w:r w:rsidRPr="00696453">
        <w:rPr>
          <w:color w:val="000000"/>
          <w:szCs w:val="24"/>
        </w:rPr>
        <w:t>he results of an initial review of more than 200 resources that NOAA conducted in support of this effort, and informal conversations with NOAA customers and other stakeholders</w:t>
      </w:r>
      <w:r w:rsidR="00F00EC3">
        <w:rPr>
          <w:color w:val="000000"/>
          <w:szCs w:val="24"/>
        </w:rPr>
        <w:t>,</w:t>
      </w:r>
      <w:r w:rsidRPr="00696453">
        <w:rPr>
          <w:color w:val="000000"/>
          <w:szCs w:val="24"/>
        </w:rPr>
        <w:t xml:space="preserve"> indicate that there is no comprehensive inventory or guide to understanding and selecting appropriate funding options or financing strategies. These findings </w:t>
      </w:r>
      <w:proofErr w:type="gramStart"/>
      <w:r w:rsidRPr="00696453">
        <w:rPr>
          <w:color w:val="000000"/>
          <w:szCs w:val="24"/>
        </w:rPr>
        <w:t>have been further confirmed</w:t>
      </w:r>
      <w:proofErr w:type="gramEnd"/>
      <w:r w:rsidRPr="00696453">
        <w:rPr>
          <w:color w:val="000000"/>
          <w:szCs w:val="24"/>
        </w:rPr>
        <w:t xml:space="preserve"> in subsequent informal discussions with coastal resilience and finance practitioners at national venues such as the National Adaptation Forum in April 2019</w:t>
      </w:r>
      <w:r>
        <w:t xml:space="preserve"> </w:t>
      </w:r>
      <w:r w:rsidRPr="00696453">
        <w:rPr>
          <w:szCs w:val="24"/>
        </w:rPr>
        <w:t>and Social Coast Forum in February 2020, and via feedback through OCM virtual training evaluations</w:t>
      </w:r>
      <w:r w:rsidRPr="00696453">
        <w:rPr>
          <w:color w:val="000000"/>
          <w:szCs w:val="24"/>
        </w:rPr>
        <w:t xml:space="preserve">. NOAA’s coastal management partners have </w:t>
      </w:r>
      <w:r w:rsidRPr="00696453">
        <w:rPr>
          <w:szCs w:val="24"/>
        </w:rPr>
        <w:t>continued to request</w:t>
      </w:r>
      <w:r w:rsidRPr="00696453">
        <w:rPr>
          <w:color w:val="000000"/>
          <w:szCs w:val="24"/>
        </w:rPr>
        <w:t xml:space="preserve"> support on this topic.</w:t>
      </w:r>
    </w:p>
    <w:p w:rsidRPr="00696453" w:rsidR="00696453" w:rsidP="00696453" w:rsidRDefault="00696453">
      <w:pPr>
        <w:pStyle w:val="ListParagraph"/>
        <w:widowControl/>
        <w:pBdr>
          <w:top w:val="nil"/>
          <w:left w:val="nil"/>
          <w:bottom w:val="nil"/>
          <w:right w:val="nil"/>
          <w:between w:val="nil"/>
        </w:pBdr>
        <w:spacing w:after="220" w:line="264" w:lineRule="auto"/>
        <w:ind w:left="0" w:firstLine="0"/>
        <w:rPr>
          <w:color w:val="000000"/>
          <w:szCs w:val="24"/>
        </w:rPr>
      </w:pPr>
      <w:bookmarkStart w:name="_heading=h.gjdgxs" w:colFirst="0" w:colLast="0" w:id="1"/>
      <w:bookmarkEnd w:id="1"/>
      <w:r w:rsidRPr="00696453">
        <w:rPr>
          <w:rFonts w:eastAsia="Times New Roman" w:cs="Times New Roman"/>
          <w:color w:val="000000"/>
          <w:szCs w:val="24"/>
        </w:rPr>
        <w:t xml:space="preserve">The financing world is one that is constantly evolving new products and retiring others. The range of funding and financing options, from grants and low-interest loans to more innovative private-public partnerships and emerging bonds, presents an ever-changing and complex array of choices. In initial internal communications conducted between June and September 2018, NOAA customers indicated that these opportunities and mechanisms </w:t>
      </w:r>
      <w:proofErr w:type="gramStart"/>
      <w:r w:rsidRPr="00696453">
        <w:rPr>
          <w:rFonts w:eastAsia="Times New Roman" w:cs="Times New Roman"/>
          <w:color w:val="000000"/>
          <w:szCs w:val="24"/>
        </w:rPr>
        <w:t>are not well understood</w:t>
      </w:r>
      <w:proofErr w:type="gramEnd"/>
      <w:r w:rsidRPr="00696453">
        <w:rPr>
          <w:rFonts w:eastAsia="Times New Roman" w:cs="Times New Roman"/>
          <w:color w:val="000000"/>
          <w:szCs w:val="24"/>
        </w:rPr>
        <w:t xml:space="preserve">, and are generally inaccessible to coastal managers, particularly in small to mid-sized communities, rural areas, and tribal communities.   </w:t>
      </w:r>
    </w:p>
    <w:p w:rsidRPr="00696453" w:rsidR="00696453" w:rsidP="00696453" w:rsidRDefault="00696453">
      <w:pPr>
        <w:pStyle w:val="ListParagraph"/>
        <w:spacing w:after="200"/>
        <w:ind w:left="0" w:firstLine="0"/>
        <w:rPr>
          <w:szCs w:val="24"/>
        </w:rPr>
      </w:pPr>
      <w:r w:rsidRPr="00696453">
        <w:rPr>
          <w:szCs w:val="24"/>
        </w:rPr>
        <w:t xml:space="preserve">In many coastal communities, investment in mitigation and resilience measures remains either limited or reactive in response to a catastrophic event. While there are no data on the number of adaptation plans that </w:t>
      </w:r>
      <w:proofErr w:type="gramStart"/>
      <w:r w:rsidRPr="00696453">
        <w:rPr>
          <w:szCs w:val="24"/>
        </w:rPr>
        <w:t>have been implemented</w:t>
      </w:r>
      <w:proofErr w:type="gramEnd"/>
      <w:r w:rsidRPr="00696453">
        <w:rPr>
          <w:szCs w:val="24"/>
        </w:rPr>
        <w:t xml:space="preserve">, lack of funding is a frequently cited barrier to implementation. At the same time, it has been estimated that investing in mitigation can save communities $6 for every $1 spent through mitigation grants from agencies including the Federal Emergency Management Agency, Department of Housing and Urban Development, and Economic Development Administration (according to the National Institute of Building Sciences’ October 2018 report, Natural Hazard </w:t>
      </w:r>
      <w:r w:rsidRPr="00696453">
        <w:rPr>
          <w:szCs w:val="24"/>
        </w:rPr>
        <w:lastRenderedPageBreak/>
        <w:t xml:space="preserve">Mitigation Saves: Utilities and Transportation Infrastructure). Understanding the suite of funding and financing options available at the time resilience planning is undertaken, and then incorporating financial strategies into the planning process and recommendations, will help ensure that these plans </w:t>
      </w:r>
      <w:proofErr w:type="gramStart"/>
      <w:r w:rsidRPr="00696453">
        <w:rPr>
          <w:szCs w:val="24"/>
        </w:rPr>
        <w:t>are implemented</w:t>
      </w:r>
      <w:proofErr w:type="gramEnd"/>
      <w:r w:rsidRPr="00696453">
        <w:rPr>
          <w:szCs w:val="24"/>
        </w:rPr>
        <w:t>. Section 310 of the Coastal Zone Management Act allows for technical assistance and management-oriented research to develop and implement state coastal management program amendments.</w:t>
      </w:r>
    </w:p>
    <w:p w:rsidRPr="004E4785" w:rsidR="001C3806" w:rsidP="001C3806" w:rsidRDefault="001C3806">
      <w:pPr>
        <w:pStyle w:val="Heading1"/>
        <w:tabs>
          <w:tab w:val="left" w:pos="360"/>
        </w:tabs>
        <w:spacing w:before="197"/>
        <w:ind w:left="0"/>
        <w:rPr>
          <w:rFonts w:cs="Times New Roman"/>
          <w:b w:val="0"/>
        </w:rPr>
      </w:pPr>
    </w:p>
    <w:p w:rsidRPr="004E4785" w:rsidR="008E61C9" w:rsidP="00BD7237" w:rsidRDefault="001477A3">
      <w:pPr>
        <w:pStyle w:val="Heading1"/>
        <w:numPr>
          <w:ilvl w:val="0"/>
          <w:numId w:val="7"/>
        </w:numPr>
        <w:tabs>
          <w:tab w:val="left" w:pos="360"/>
        </w:tabs>
        <w:spacing w:before="197"/>
        <w:ind w:left="0" w:firstLine="0"/>
        <w:rPr>
          <w:rFonts w:cs="Times New Roman"/>
        </w:rPr>
      </w:pPr>
      <w:r w:rsidRPr="004E4785">
        <w:rPr>
          <w:rFonts w:cs="Times New Roman"/>
          <w:bCs w:val="0"/>
        </w:rPr>
        <w:t xml:space="preserve">Indicate how, by whom, and for what purpose the information is to </w:t>
      </w:r>
      <w:proofErr w:type="gramStart"/>
      <w:r w:rsidRPr="004E4785">
        <w:rPr>
          <w:rFonts w:cs="Times New Roman"/>
          <w:bCs w:val="0"/>
        </w:rPr>
        <w:t>be used</w:t>
      </w:r>
      <w:proofErr w:type="gramEnd"/>
      <w:r w:rsidRPr="004E4785">
        <w:rPr>
          <w:rFonts w:cs="Times New Roman"/>
          <w:bCs w:val="0"/>
        </w:rPr>
        <w:t>. Except for a</w:t>
      </w:r>
      <w:r w:rsidRPr="004E4785">
        <w:rPr>
          <w:rFonts w:cs="Times New Roman"/>
        </w:rPr>
        <w:t xml:space="preserve"> </w:t>
      </w:r>
      <w:r w:rsidRPr="004E4785">
        <w:rPr>
          <w:rFonts w:cs="Times New Roman"/>
          <w:bCs w:val="0"/>
        </w:rPr>
        <w:t>new collection, indicate the actual use the agency has made of the information received from the</w:t>
      </w:r>
      <w:r w:rsidRPr="004E4785">
        <w:rPr>
          <w:rFonts w:cs="Times New Roman"/>
        </w:rPr>
        <w:t xml:space="preserve"> current</w:t>
      </w:r>
      <w:r w:rsidRPr="004E4785">
        <w:rPr>
          <w:rFonts w:cs="Times New Roman"/>
          <w:spacing w:val="-1"/>
        </w:rPr>
        <w:t xml:space="preserve"> </w:t>
      </w:r>
      <w:r w:rsidRPr="004E4785">
        <w:rPr>
          <w:rFonts w:cs="Times New Roman"/>
        </w:rPr>
        <w:t>collection.</w:t>
      </w:r>
    </w:p>
    <w:p w:rsidR="00F00EC3" w:rsidP="00696453" w:rsidRDefault="00F00EC3">
      <w:pPr>
        <w:spacing w:after="200"/>
        <w:rPr>
          <w:szCs w:val="24"/>
        </w:rPr>
      </w:pPr>
    </w:p>
    <w:p w:rsidR="00696453" w:rsidP="00696453" w:rsidRDefault="00696453">
      <w:pPr>
        <w:spacing w:after="200"/>
        <w:rPr>
          <w:szCs w:val="24"/>
        </w:rPr>
      </w:pPr>
      <w:r>
        <w:rPr>
          <w:szCs w:val="24"/>
        </w:rPr>
        <w:t>NOAA will be collecting the following information from selected interviewees:</w:t>
      </w:r>
    </w:p>
    <w:p w:rsidR="00696453" w:rsidP="00696453" w:rsidRDefault="00696453">
      <w:pPr>
        <w:numPr>
          <w:ilvl w:val="0"/>
          <w:numId w:val="15"/>
        </w:numPr>
        <w:autoSpaceDE/>
        <w:autoSpaceDN/>
        <w:rPr>
          <w:szCs w:val="24"/>
        </w:rPr>
      </w:pPr>
      <w:proofErr w:type="gramStart"/>
      <w:r>
        <w:rPr>
          <w:szCs w:val="24"/>
        </w:rPr>
        <w:t>Role/position,</w:t>
      </w:r>
      <w:proofErr w:type="gramEnd"/>
      <w:r>
        <w:rPr>
          <w:szCs w:val="24"/>
        </w:rPr>
        <w:t xml:space="preserve"> and the extent to which the interviewee and their organization are involved with resilience and resilience funding and finance efforts. </w:t>
      </w:r>
    </w:p>
    <w:p w:rsidR="00696453" w:rsidP="00696453" w:rsidRDefault="00696453">
      <w:pPr>
        <w:numPr>
          <w:ilvl w:val="0"/>
          <w:numId w:val="15"/>
        </w:numPr>
        <w:autoSpaceDE/>
        <w:autoSpaceDN/>
        <w:rPr>
          <w:szCs w:val="24"/>
        </w:rPr>
      </w:pPr>
      <w:r>
        <w:rPr>
          <w:szCs w:val="24"/>
        </w:rPr>
        <w:t xml:space="preserve">An overview of the organization’s recent and ongoing coastal resilience planning and implementation activities. </w:t>
      </w:r>
    </w:p>
    <w:p w:rsidR="00696453" w:rsidP="00696453" w:rsidRDefault="00696453">
      <w:pPr>
        <w:numPr>
          <w:ilvl w:val="0"/>
          <w:numId w:val="15"/>
        </w:numPr>
        <w:autoSpaceDE/>
        <w:autoSpaceDN/>
        <w:rPr>
          <w:szCs w:val="24"/>
        </w:rPr>
      </w:pPr>
      <w:r>
        <w:rPr>
          <w:szCs w:val="24"/>
        </w:rPr>
        <w:t xml:space="preserve">How high a priority coastal resilience is to the </w:t>
      </w:r>
      <w:proofErr w:type="gramStart"/>
      <w:r>
        <w:rPr>
          <w:szCs w:val="24"/>
        </w:rPr>
        <w:t>organization.</w:t>
      </w:r>
      <w:proofErr w:type="gramEnd"/>
    </w:p>
    <w:p w:rsidR="00696453" w:rsidP="00696453" w:rsidRDefault="00696453">
      <w:pPr>
        <w:numPr>
          <w:ilvl w:val="0"/>
          <w:numId w:val="15"/>
        </w:numPr>
        <w:autoSpaceDE/>
        <w:autoSpaceDN/>
        <w:rPr>
          <w:szCs w:val="24"/>
        </w:rPr>
      </w:pPr>
      <w:r>
        <w:rPr>
          <w:szCs w:val="24"/>
        </w:rPr>
        <w:t>The gap between coastal resilience needs and currently available funding.</w:t>
      </w:r>
    </w:p>
    <w:p w:rsidR="00696453" w:rsidP="00696453" w:rsidRDefault="00696453">
      <w:pPr>
        <w:numPr>
          <w:ilvl w:val="0"/>
          <w:numId w:val="15"/>
        </w:numPr>
        <w:autoSpaceDE/>
        <w:autoSpaceDN/>
        <w:rPr>
          <w:szCs w:val="24"/>
        </w:rPr>
      </w:pPr>
      <w:r>
        <w:rPr>
          <w:szCs w:val="24"/>
        </w:rPr>
        <w:t>Funding or financing tools or mechanisms used for resilience (coastal or otherwise) planning and implementation.</w:t>
      </w:r>
    </w:p>
    <w:p w:rsidR="00696453" w:rsidP="00696453" w:rsidRDefault="00696453">
      <w:pPr>
        <w:numPr>
          <w:ilvl w:val="0"/>
          <w:numId w:val="15"/>
        </w:numPr>
        <w:autoSpaceDE/>
        <w:autoSpaceDN/>
        <w:rPr>
          <w:szCs w:val="24"/>
        </w:rPr>
      </w:pPr>
      <w:r>
        <w:rPr>
          <w:szCs w:val="24"/>
        </w:rPr>
        <w:t>Planning and implementation-related projects funded.</w:t>
      </w:r>
    </w:p>
    <w:p w:rsidR="00696453" w:rsidP="00696453" w:rsidRDefault="00696453">
      <w:pPr>
        <w:numPr>
          <w:ilvl w:val="0"/>
          <w:numId w:val="15"/>
        </w:numPr>
        <w:autoSpaceDE/>
        <w:autoSpaceDN/>
        <w:rPr>
          <w:szCs w:val="24"/>
        </w:rPr>
      </w:pPr>
      <w:r>
        <w:rPr>
          <w:szCs w:val="24"/>
        </w:rPr>
        <w:t>Coastal resilience projects funded, and programs or mechanisms used to fund the projects.</w:t>
      </w:r>
    </w:p>
    <w:p w:rsidR="00696453" w:rsidP="00696453" w:rsidRDefault="00696453">
      <w:pPr>
        <w:numPr>
          <w:ilvl w:val="0"/>
          <w:numId w:val="15"/>
        </w:numPr>
        <w:autoSpaceDE/>
        <w:autoSpaceDN/>
        <w:rPr>
          <w:szCs w:val="24"/>
        </w:rPr>
      </w:pPr>
      <w:r>
        <w:rPr>
          <w:szCs w:val="24"/>
        </w:rPr>
        <w:t>Existing networks to share best practices for coastal or other related resilience efforts.</w:t>
      </w:r>
    </w:p>
    <w:p w:rsidR="00696453" w:rsidP="00696453" w:rsidRDefault="00696453">
      <w:pPr>
        <w:numPr>
          <w:ilvl w:val="0"/>
          <w:numId w:val="15"/>
        </w:numPr>
        <w:autoSpaceDE/>
        <w:autoSpaceDN/>
        <w:rPr>
          <w:szCs w:val="24"/>
        </w:rPr>
      </w:pPr>
      <w:r>
        <w:rPr>
          <w:szCs w:val="24"/>
        </w:rPr>
        <w:t>Extent to which it is difficult to obtain funding or financing for coastal resilience.</w:t>
      </w:r>
    </w:p>
    <w:p w:rsidR="00696453" w:rsidP="00696453" w:rsidRDefault="00696453">
      <w:pPr>
        <w:numPr>
          <w:ilvl w:val="0"/>
          <w:numId w:val="15"/>
        </w:numPr>
        <w:autoSpaceDE/>
        <w:autoSpaceDN/>
        <w:rPr>
          <w:szCs w:val="24"/>
        </w:rPr>
      </w:pPr>
      <w:r>
        <w:rPr>
          <w:szCs w:val="24"/>
        </w:rPr>
        <w:t>Major barriers to obtaining funding for these efforts.</w:t>
      </w:r>
    </w:p>
    <w:p w:rsidR="00696453" w:rsidP="00696453" w:rsidRDefault="00696453">
      <w:pPr>
        <w:numPr>
          <w:ilvl w:val="0"/>
          <w:numId w:val="15"/>
        </w:numPr>
        <w:autoSpaceDE/>
        <w:autoSpaceDN/>
        <w:rPr>
          <w:szCs w:val="24"/>
        </w:rPr>
      </w:pPr>
      <w:r>
        <w:rPr>
          <w:szCs w:val="24"/>
        </w:rPr>
        <w:t xml:space="preserve">Challenge encountered in identifying and securing appropriate funding. </w:t>
      </w:r>
    </w:p>
    <w:p w:rsidR="00696453" w:rsidP="00696453" w:rsidRDefault="00696453">
      <w:pPr>
        <w:numPr>
          <w:ilvl w:val="0"/>
          <w:numId w:val="15"/>
        </w:numPr>
        <w:autoSpaceDE/>
        <w:autoSpaceDN/>
        <w:rPr>
          <w:szCs w:val="24"/>
        </w:rPr>
      </w:pPr>
      <w:r>
        <w:rPr>
          <w:szCs w:val="24"/>
        </w:rPr>
        <w:t>Organizations, entities, or resources used to obtain funding or information on funding.</w:t>
      </w:r>
    </w:p>
    <w:p w:rsidR="00696453" w:rsidP="00696453" w:rsidRDefault="00696453">
      <w:pPr>
        <w:numPr>
          <w:ilvl w:val="0"/>
          <w:numId w:val="15"/>
        </w:numPr>
        <w:autoSpaceDE/>
        <w:autoSpaceDN/>
        <w:rPr>
          <w:szCs w:val="24"/>
        </w:rPr>
      </w:pPr>
      <w:r>
        <w:rPr>
          <w:szCs w:val="24"/>
        </w:rPr>
        <w:t>Needed information or resources.</w:t>
      </w:r>
    </w:p>
    <w:p w:rsidR="00696453" w:rsidP="00696453" w:rsidRDefault="00696453">
      <w:pPr>
        <w:numPr>
          <w:ilvl w:val="0"/>
          <w:numId w:val="15"/>
        </w:numPr>
        <w:autoSpaceDE/>
        <w:autoSpaceDN/>
        <w:rPr>
          <w:szCs w:val="24"/>
        </w:rPr>
      </w:pPr>
      <w:r>
        <w:rPr>
          <w:szCs w:val="24"/>
        </w:rPr>
        <w:t>Extent to which coastal resilience funding and financing needs are evaluated across sectors and considered as part of routine investments.</w:t>
      </w:r>
    </w:p>
    <w:p w:rsidR="00696453" w:rsidP="00696453" w:rsidRDefault="00696453">
      <w:pPr>
        <w:rPr>
          <w:szCs w:val="24"/>
        </w:rPr>
      </w:pPr>
    </w:p>
    <w:p w:rsidR="00696453" w:rsidP="00696453" w:rsidRDefault="00696453">
      <w:pPr>
        <w:rPr>
          <w:szCs w:val="24"/>
        </w:rPr>
      </w:pPr>
      <w:r>
        <w:rPr>
          <w:szCs w:val="24"/>
        </w:rPr>
        <w:t xml:space="preserve">Interviews </w:t>
      </w:r>
      <w:proofErr w:type="gramStart"/>
      <w:r>
        <w:rPr>
          <w:szCs w:val="24"/>
        </w:rPr>
        <w:t>will be conducted</w:t>
      </w:r>
      <w:proofErr w:type="gramEnd"/>
      <w:r>
        <w:rPr>
          <w:szCs w:val="24"/>
        </w:rPr>
        <w:t xml:space="preserve"> via one teleconference call; this is the single option for providing information. Interviewees will be individuals </w:t>
      </w:r>
      <w:proofErr w:type="gramStart"/>
      <w:r>
        <w:rPr>
          <w:szCs w:val="24"/>
        </w:rPr>
        <w:t>representing:</w:t>
      </w:r>
      <w:proofErr w:type="gramEnd"/>
      <w:r>
        <w:rPr>
          <w:szCs w:val="24"/>
        </w:rPr>
        <w:t xml:space="preserve"> state and local coastal management offices; non-profit organizations; academic institutions; finance industry organizations; consulting firms; and, the federal government. Interviewees </w:t>
      </w:r>
      <w:proofErr w:type="gramStart"/>
      <w:r>
        <w:rPr>
          <w:szCs w:val="24"/>
        </w:rPr>
        <w:t>were identified</w:t>
      </w:r>
      <w:proofErr w:type="gramEnd"/>
      <w:r>
        <w:rPr>
          <w:szCs w:val="24"/>
        </w:rPr>
        <w:t xml:space="preserve"> in part based on previous NOAA and contractor work in the area of resilience finance and coastal resilience, as well as through the literature review and funding and financing program research conducted at the outset of this effort. Additional interviewees self-nominated, based on their interest in the topic and understanding of the value of this research. Selected interviewees are experts in their respective fields and routinely participate in discussions, meetings, conferences, and other events to share their experience and knowledge. This also allows NOAA to limit the sample pool to a small number of people, while still maximizing the knowledge that </w:t>
      </w:r>
      <w:proofErr w:type="gramStart"/>
      <w:r>
        <w:rPr>
          <w:szCs w:val="24"/>
        </w:rPr>
        <w:t>will be gleaned</w:t>
      </w:r>
      <w:proofErr w:type="gramEnd"/>
      <w:r>
        <w:rPr>
          <w:szCs w:val="24"/>
        </w:rPr>
        <w:t xml:space="preserve"> from the interviews.</w:t>
      </w:r>
    </w:p>
    <w:p w:rsidR="00696453" w:rsidP="00696453" w:rsidRDefault="00696453">
      <w:pPr>
        <w:spacing w:before="240"/>
        <w:rPr>
          <w:szCs w:val="24"/>
        </w:rPr>
      </w:pPr>
      <w:r>
        <w:rPr>
          <w:szCs w:val="24"/>
        </w:rPr>
        <w:t xml:space="preserve">Two sets of interview questions </w:t>
      </w:r>
      <w:proofErr w:type="gramStart"/>
      <w:r>
        <w:rPr>
          <w:szCs w:val="24"/>
        </w:rPr>
        <w:t>have been developed</w:t>
      </w:r>
      <w:proofErr w:type="gramEnd"/>
      <w:r>
        <w:rPr>
          <w:szCs w:val="24"/>
        </w:rPr>
        <w:t xml:space="preserve"> – one for state and local coastal managers and one for all other respondents. The focus of the questions for both groups is the same, with slight variations depending on whether the respondent is directly responsible for managing and funding/financing activities related to coastal resilience (state and local coastal managers) or indirectly responsible for </w:t>
      </w:r>
      <w:r>
        <w:rPr>
          <w:szCs w:val="24"/>
        </w:rPr>
        <w:lastRenderedPageBreak/>
        <w:t>identifying, managing, and providing access to funding/financing opportunities and associated resources for coastal resilience (all other respondents).</w:t>
      </w:r>
    </w:p>
    <w:p w:rsidR="00696453" w:rsidP="00696453" w:rsidRDefault="00696453">
      <w:pPr>
        <w:rPr>
          <w:szCs w:val="24"/>
        </w:rPr>
      </w:pPr>
    </w:p>
    <w:p w:rsidR="00696453" w:rsidP="00696453" w:rsidRDefault="00696453">
      <w:pPr>
        <w:rPr>
          <w:szCs w:val="24"/>
        </w:rPr>
      </w:pPr>
      <w:r>
        <w:rPr>
          <w:szCs w:val="24"/>
        </w:rPr>
        <w:t xml:space="preserve">The information provided by interviewees </w:t>
      </w:r>
      <w:proofErr w:type="gramStart"/>
      <w:r>
        <w:rPr>
          <w:szCs w:val="24"/>
        </w:rPr>
        <w:t>will be synthesized</w:t>
      </w:r>
      <w:proofErr w:type="gramEnd"/>
      <w:r>
        <w:rPr>
          <w:szCs w:val="24"/>
        </w:rPr>
        <w:t xml:space="preserve"> into a needs assessment, which will address needs and information gaps partitioned by region, financial scale, time scale, and scope/sector. The information provided by interviewees </w:t>
      </w:r>
      <w:proofErr w:type="gramStart"/>
      <w:r>
        <w:rPr>
          <w:szCs w:val="24"/>
        </w:rPr>
        <w:t>will also be used</w:t>
      </w:r>
      <w:proofErr w:type="gramEnd"/>
      <w:r>
        <w:rPr>
          <w:szCs w:val="24"/>
        </w:rPr>
        <w:t xml:space="preserve"> to help inform a summary of existing entities providing resources for resilience funding, as well as a summary of existing and emerging funding sources and financial tools and mechanisms for coastal resilience. Finally, the interviews will inform recommendations on OCM’s potential niche in addressing the identified needs and gaps.</w:t>
      </w:r>
    </w:p>
    <w:p w:rsidR="00696453" w:rsidP="00696453" w:rsidRDefault="00696453">
      <w:pPr>
        <w:spacing w:before="240" w:after="200"/>
        <w:rPr>
          <w:szCs w:val="24"/>
        </w:rPr>
      </w:pPr>
      <w:r>
        <w:rPr>
          <w:szCs w:val="24"/>
        </w:rPr>
        <w:t xml:space="preserve">The resulting research (and any subsequent resources or tools developed by NOAA to address identified gaps) will provide much needed information to NOAA’s customers on funding and financing coastal resilience efforts, including available resources and mechanisms, best practices and strategies, real world success stories, and opportunities for technical and financial partnerships with private and public entities. </w:t>
      </w:r>
    </w:p>
    <w:p w:rsidR="00696453" w:rsidP="00696453" w:rsidRDefault="00696453">
      <w:pPr>
        <w:spacing w:before="240" w:after="240"/>
        <w:rPr>
          <w:szCs w:val="24"/>
        </w:rPr>
      </w:pPr>
      <w:r>
        <w:rPr>
          <w:szCs w:val="24"/>
        </w:rPr>
        <w:t xml:space="preserve">This will be a one-time data collection. It </w:t>
      </w:r>
      <w:proofErr w:type="gramStart"/>
      <w:r>
        <w:rPr>
          <w:szCs w:val="24"/>
        </w:rPr>
        <w:t>is anticipated</w:t>
      </w:r>
      <w:proofErr w:type="gramEnd"/>
      <w:r>
        <w:rPr>
          <w:szCs w:val="24"/>
        </w:rPr>
        <w:t xml:space="preserve"> that the information collected on funding opportunities and financing mechanisms will be disseminated to the public or used to support publicly disseminated information. NOAA OCM will retain control over the information and safeguard it from improper access, modification, and destruction, consistent with NOAA standards for confidentiality, privacy, and electronic information. See response to Question 10 of this Supporting Statement for more information on confidentiality and privacy. The information collection </w:t>
      </w:r>
      <w:proofErr w:type="gramStart"/>
      <w:r>
        <w:rPr>
          <w:szCs w:val="24"/>
        </w:rPr>
        <w:t>is designed</w:t>
      </w:r>
      <w:proofErr w:type="gramEnd"/>
      <w:r>
        <w:rPr>
          <w:szCs w:val="24"/>
        </w:rPr>
        <w:t xml:space="preserve"> to yield data that meet all applicable information quality guidelines. Prior to dissemination, the information </w:t>
      </w:r>
      <w:proofErr w:type="gramStart"/>
      <w:r>
        <w:rPr>
          <w:szCs w:val="24"/>
        </w:rPr>
        <w:t>will be subjected</w:t>
      </w:r>
      <w:proofErr w:type="gramEnd"/>
      <w:r>
        <w:rPr>
          <w:szCs w:val="24"/>
        </w:rPr>
        <w:t xml:space="preserve"> to quality control measures and a pre-dissemination review pursuant to Section 515 of Public Law 106-554.</w:t>
      </w:r>
    </w:p>
    <w:p w:rsidRPr="004E4785" w:rsidR="008E61C9" w:rsidP="00BD7237" w:rsidRDefault="001477A3">
      <w:pPr>
        <w:pStyle w:val="ListParagraph"/>
        <w:numPr>
          <w:ilvl w:val="0"/>
          <w:numId w:val="7"/>
        </w:numPr>
        <w:tabs>
          <w:tab w:val="left" w:pos="360"/>
        </w:tabs>
        <w:spacing w:before="199"/>
        <w:ind w:left="0" w:firstLine="0"/>
        <w:rPr>
          <w:rFonts w:cs="Times New Roman"/>
          <w:b/>
          <w:szCs w:val="24"/>
        </w:rPr>
      </w:pPr>
      <w:r w:rsidRPr="004E4785">
        <w:rPr>
          <w:rFonts w:cs="Times New Roman"/>
          <w:b/>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w:t>
      </w:r>
      <w:r w:rsidRPr="004E4785">
        <w:rPr>
          <w:rFonts w:cs="Times New Roman"/>
          <w:b/>
          <w:spacing w:val="-6"/>
          <w:szCs w:val="24"/>
        </w:rPr>
        <w:t xml:space="preserve"> </w:t>
      </w:r>
      <w:r w:rsidRPr="004E4785">
        <w:rPr>
          <w:rFonts w:cs="Times New Roman"/>
          <w:b/>
          <w:szCs w:val="24"/>
        </w:rPr>
        <w:t>burden.</w:t>
      </w:r>
    </w:p>
    <w:p w:rsidRPr="00696453" w:rsidR="00696453" w:rsidP="00696453" w:rsidRDefault="00696453">
      <w:pPr>
        <w:pStyle w:val="ListParagraph"/>
        <w:ind w:left="0" w:firstLine="0"/>
        <w:rPr>
          <w:szCs w:val="24"/>
        </w:rPr>
      </w:pPr>
      <w:r w:rsidRPr="00696453">
        <w:rPr>
          <w:szCs w:val="24"/>
        </w:rPr>
        <w:t xml:space="preserve">No automated, electronic, mechanical, or other technological techniques </w:t>
      </w:r>
      <w:proofErr w:type="gramStart"/>
      <w:r w:rsidRPr="00696453">
        <w:rPr>
          <w:szCs w:val="24"/>
        </w:rPr>
        <w:t>will be used</w:t>
      </w:r>
      <w:proofErr w:type="gramEnd"/>
      <w:r w:rsidRPr="00696453">
        <w:rPr>
          <w:szCs w:val="24"/>
        </w:rPr>
        <w:t xml:space="preserve"> to collect the information. All interviews </w:t>
      </w:r>
      <w:proofErr w:type="gramStart"/>
      <w:r w:rsidRPr="00696453">
        <w:rPr>
          <w:szCs w:val="24"/>
        </w:rPr>
        <w:t>will be conducted</w:t>
      </w:r>
      <w:proofErr w:type="gramEnd"/>
      <w:r w:rsidRPr="00696453">
        <w:rPr>
          <w:szCs w:val="24"/>
        </w:rPr>
        <w:t xml:space="preserve"> via phone and interviewers will transcribe notes from the interviews.</w:t>
      </w:r>
    </w:p>
    <w:p w:rsidRPr="004E4785" w:rsidR="001C3806" w:rsidP="00BD7237" w:rsidRDefault="001C3806">
      <w:pPr>
        <w:spacing w:before="161"/>
        <w:rPr>
          <w:rFonts w:cs="Times New Roman"/>
          <w:szCs w:val="24"/>
        </w:rPr>
      </w:pPr>
    </w:p>
    <w:p w:rsidRPr="004E4785" w:rsidR="008E61C9" w:rsidP="00BD7237" w:rsidRDefault="001477A3">
      <w:pPr>
        <w:pStyle w:val="ListParagraph"/>
        <w:numPr>
          <w:ilvl w:val="0"/>
          <w:numId w:val="7"/>
        </w:numPr>
        <w:tabs>
          <w:tab w:val="left" w:pos="360"/>
        </w:tabs>
        <w:spacing w:before="80"/>
        <w:ind w:left="0" w:firstLine="0"/>
        <w:rPr>
          <w:rFonts w:cs="Times New Roman"/>
          <w:b/>
          <w:szCs w:val="24"/>
        </w:rPr>
      </w:pPr>
      <w:r w:rsidRPr="004E4785">
        <w:rPr>
          <w:rFonts w:cs="Times New Roman"/>
          <w:b/>
          <w:szCs w:val="24"/>
        </w:rPr>
        <w:t>Describe efforts to identify duplication. Show specifically why any similar information already available cannot be used or modified for use for the purposes described in Question</w:t>
      </w:r>
      <w:r w:rsidRPr="004E4785">
        <w:rPr>
          <w:rFonts w:cs="Times New Roman"/>
          <w:b/>
          <w:spacing w:val="-42"/>
          <w:szCs w:val="24"/>
        </w:rPr>
        <w:t xml:space="preserve"> </w:t>
      </w:r>
      <w:r w:rsidRPr="004E4785">
        <w:rPr>
          <w:rFonts w:cs="Times New Roman"/>
          <w:b/>
          <w:szCs w:val="24"/>
        </w:rPr>
        <w:t>2</w:t>
      </w:r>
    </w:p>
    <w:p w:rsidRPr="00696453" w:rsidR="00696453" w:rsidP="00696453" w:rsidRDefault="00696453">
      <w:pPr>
        <w:pStyle w:val="ListParagraph"/>
        <w:ind w:left="0" w:firstLine="0"/>
        <w:rPr>
          <w:szCs w:val="24"/>
        </w:rPr>
      </w:pPr>
      <w:r w:rsidRPr="00696453">
        <w:rPr>
          <w:szCs w:val="24"/>
        </w:rPr>
        <w:t xml:space="preserve">NOAA compiled existing literature and other resources on the topic in the initial phase of this project. NOAA reviewed over 200 resources, including individual reports, papers, and factsheets and resource clearinghouses and identified 120 that are specifically relevant to this effort. These resources </w:t>
      </w:r>
      <w:proofErr w:type="gramStart"/>
      <w:r w:rsidRPr="00696453">
        <w:rPr>
          <w:szCs w:val="24"/>
        </w:rPr>
        <w:t>have been reviewed</w:t>
      </w:r>
      <w:proofErr w:type="gramEnd"/>
      <w:r w:rsidRPr="00696453">
        <w:rPr>
          <w:szCs w:val="24"/>
        </w:rPr>
        <w:t xml:space="preserve"> to ensure that the proposed interview effort does not duplicate existing, similar efforts, and interviews. They </w:t>
      </w:r>
      <w:proofErr w:type="gramStart"/>
      <w:r w:rsidRPr="00696453">
        <w:rPr>
          <w:szCs w:val="24"/>
        </w:rPr>
        <w:t>were also used</w:t>
      </w:r>
      <w:proofErr w:type="gramEnd"/>
      <w:r w:rsidRPr="00696453">
        <w:rPr>
          <w:szCs w:val="24"/>
        </w:rPr>
        <w:t xml:space="preserve"> to identify the most appropriate interviewees and tailor the interview questions to specifically address apparent gaps in research and resources that present challenges for state and local coastal managers receiving NOAA funding. Based on this research, to the best of our knowledge, no other federal studies or interview efforts have been performed that integrate perspectives and experience on coastal resilience finance across the federal, state, local, private, and non-profit sectors. This research identified a significant number of resources that are overly location- and sector-specific and many clearinghouse-type tools that are not specific to coastal resilience, and overwhelming in terms of volume of resources. NOAA also identified very few practical frameworks for cross-sector </w:t>
      </w:r>
      <w:r w:rsidRPr="00696453">
        <w:rPr>
          <w:szCs w:val="24"/>
        </w:rPr>
        <w:lastRenderedPageBreak/>
        <w:t xml:space="preserve">engagement and evaluating funding and financing options and limited resources that would be accessible and understandable </w:t>
      </w:r>
      <w:proofErr w:type="spellStart"/>
      <w:r w:rsidRPr="00696453">
        <w:rPr>
          <w:szCs w:val="24"/>
        </w:rPr>
        <w:t>to</w:t>
      </w:r>
      <w:proofErr w:type="spellEnd"/>
      <w:r w:rsidRPr="00696453">
        <w:rPr>
          <w:szCs w:val="24"/>
        </w:rPr>
        <w:t xml:space="preserve"> small to mid-sized communities. The research also identified gaps in existing funding and financing programs and mechanisms, including but not limited to: many programs and mechanisms being specific to one sector, which may inhibit collaboration and creativity; a focus on physical/infrastructure risks; and, extensive matching requirements that may be financially burdensome to smaller and/or economically disadvantaged communities.</w:t>
      </w:r>
    </w:p>
    <w:p w:rsidRPr="00696453" w:rsidR="00696453" w:rsidP="00696453" w:rsidRDefault="00696453">
      <w:pPr>
        <w:pStyle w:val="ListParagraph"/>
        <w:spacing w:before="240"/>
        <w:ind w:left="0" w:firstLine="0"/>
        <w:rPr>
          <w:szCs w:val="24"/>
        </w:rPr>
      </w:pPr>
      <w:r w:rsidRPr="00696453">
        <w:rPr>
          <w:szCs w:val="24"/>
        </w:rPr>
        <w:t>The proposed interviews will serve to address and confirm these gaps and shortcomings firsthand and offer direct, targeted customer feedback from NOAA to ensure that NOAA can develop products and/or services that address these gaps.</w:t>
      </w:r>
    </w:p>
    <w:p w:rsidRPr="00696453" w:rsidR="00696453" w:rsidP="00696453" w:rsidRDefault="00696453">
      <w:pPr>
        <w:pStyle w:val="ListParagraph"/>
        <w:ind w:left="0" w:firstLine="0"/>
        <w:rPr>
          <w:szCs w:val="24"/>
        </w:rPr>
      </w:pPr>
      <w:r w:rsidRPr="00696453">
        <w:rPr>
          <w:szCs w:val="24"/>
        </w:rPr>
        <w:t>Finally, NOAA also compiled an initial list of 70 federal, private, and non-profit funding sources relevant to coastal resilience, which help to further refine the scope of this research and interviews.</w:t>
      </w:r>
    </w:p>
    <w:p w:rsidRPr="004E4785" w:rsidR="001C3806" w:rsidP="001C3806" w:rsidRDefault="001C3806">
      <w:pPr>
        <w:pStyle w:val="ListParagraph"/>
        <w:tabs>
          <w:tab w:val="left" w:pos="360"/>
        </w:tabs>
        <w:spacing w:before="80"/>
        <w:ind w:left="0" w:firstLine="0"/>
        <w:rPr>
          <w:rFonts w:cs="Times New Roman"/>
          <w:szCs w:val="24"/>
        </w:rPr>
      </w:pPr>
    </w:p>
    <w:p w:rsidRPr="004E4785" w:rsidR="008E61C9" w:rsidP="00BD7237" w:rsidRDefault="001477A3">
      <w:pPr>
        <w:pStyle w:val="ListParagraph"/>
        <w:numPr>
          <w:ilvl w:val="0"/>
          <w:numId w:val="7"/>
        </w:numPr>
        <w:tabs>
          <w:tab w:val="left" w:pos="360"/>
        </w:tabs>
        <w:spacing w:before="80"/>
        <w:ind w:left="0" w:firstLine="0"/>
        <w:rPr>
          <w:rFonts w:cs="Times New Roman"/>
          <w:b/>
          <w:szCs w:val="24"/>
        </w:rPr>
      </w:pPr>
      <w:r w:rsidRPr="004E4785">
        <w:rPr>
          <w:rFonts w:cs="Times New Roman"/>
          <w:b/>
          <w:szCs w:val="24"/>
        </w:rPr>
        <w:t xml:space="preserve">If the collection of information </w:t>
      </w:r>
      <w:proofErr w:type="gramStart"/>
      <w:r w:rsidRPr="004E4785">
        <w:rPr>
          <w:rFonts w:cs="Times New Roman"/>
          <w:b/>
          <w:szCs w:val="24"/>
        </w:rPr>
        <w:t>impacts</w:t>
      </w:r>
      <w:proofErr w:type="gramEnd"/>
      <w:r w:rsidRPr="004E4785">
        <w:rPr>
          <w:rFonts w:cs="Times New Roman"/>
          <w:b/>
          <w:szCs w:val="24"/>
        </w:rPr>
        <w:t xml:space="preserve"> small businesses or other small entities, describe any methods used to minimize burden.</w:t>
      </w:r>
    </w:p>
    <w:p w:rsidRPr="00696453" w:rsidR="00696453" w:rsidP="00696453" w:rsidRDefault="00696453">
      <w:pPr>
        <w:pStyle w:val="ListParagraph"/>
        <w:ind w:left="0" w:firstLine="0"/>
        <w:rPr>
          <w:szCs w:val="24"/>
        </w:rPr>
      </w:pPr>
      <w:r w:rsidRPr="00696453">
        <w:rPr>
          <w:szCs w:val="24"/>
        </w:rPr>
        <w:t xml:space="preserve">A limited number of interviewees </w:t>
      </w:r>
      <w:proofErr w:type="gramStart"/>
      <w:r w:rsidRPr="00696453">
        <w:rPr>
          <w:szCs w:val="24"/>
        </w:rPr>
        <w:t>are affiliated</w:t>
      </w:r>
      <w:proofErr w:type="gramEnd"/>
      <w:r w:rsidRPr="00696453">
        <w:rPr>
          <w:szCs w:val="24"/>
        </w:rPr>
        <w:t xml:space="preserve"> with a small business. To reduce the burden on those entities, we have designed a structured interview framework that </w:t>
      </w:r>
      <w:proofErr w:type="gramStart"/>
      <w:r w:rsidRPr="00696453">
        <w:rPr>
          <w:szCs w:val="24"/>
        </w:rPr>
        <w:t>will be provided</w:t>
      </w:r>
      <w:proofErr w:type="gramEnd"/>
      <w:r w:rsidRPr="00696453">
        <w:rPr>
          <w:szCs w:val="24"/>
        </w:rPr>
        <w:t xml:space="preserve"> to the interviewee in advance. Interviewees </w:t>
      </w:r>
      <w:proofErr w:type="gramStart"/>
      <w:r w:rsidRPr="00696453">
        <w:rPr>
          <w:szCs w:val="24"/>
        </w:rPr>
        <w:t>will not be asked</w:t>
      </w:r>
      <w:proofErr w:type="gramEnd"/>
      <w:r w:rsidRPr="00696453">
        <w:rPr>
          <w:szCs w:val="24"/>
        </w:rPr>
        <w:t xml:space="preserve"> to review documentation or conduct any other preparatory work before or after the interview. Additionally, as noted above, numerous interviewees asked to participate in this effort and/or routinely participate in such efforts and conversations due to the nature of their work. </w:t>
      </w:r>
    </w:p>
    <w:p w:rsidRPr="004E4785" w:rsidR="001C3806" w:rsidP="001C3806" w:rsidRDefault="001C3806">
      <w:pPr>
        <w:pStyle w:val="ListParagraph"/>
        <w:tabs>
          <w:tab w:val="left" w:pos="360"/>
        </w:tabs>
        <w:spacing w:before="80"/>
        <w:ind w:left="0" w:firstLine="0"/>
        <w:rPr>
          <w:rFonts w:cs="Times New Roman"/>
          <w:szCs w:val="24"/>
        </w:rPr>
      </w:pPr>
    </w:p>
    <w:p w:rsidRPr="004E4785" w:rsidR="008E61C9" w:rsidP="00BD7237" w:rsidRDefault="001477A3">
      <w:pPr>
        <w:pStyle w:val="ListParagraph"/>
        <w:numPr>
          <w:ilvl w:val="0"/>
          <w:numId w:val="7"/>
        </w:numPr>
        <w:tabs>
          <w:tab w:val="left" w:pos="360"/>
        </w:tabs>
        <w:spacing w:before="80"/>
        <w:ind w:left="0" w:firstLine="0"/>
        <w:rPr>
          <w:rFonts w:cs="Times New Roman"/>
          <w:b/>
          <w:szCs w:val="24"/>
        </w:rPr>
      </w:pPr>
      <w:r w:rsidRPr="004E4785">
        <w:rPr>
          <w:rFonts w:cs="Times New Roman"/>
          <w:b/>
          <w:szCs w:val="24"/>
        </w:rPr>
        <w:t xml:space="preserve">Describe the consequence to Federal program or policy activities if the collection </w:t>
      </w:r>
      <w:proofErr w:type="gramStart"/>
      <w:r w:rsidRPr="004E4785">
        <w:rPr>
          <w:rFonts w:cs="Times New Roman"/>
          <w:b/>
          <w:szCs w:val="24"/>
        </w:rPr>
        <w:t>is not conducted</w:t>
      </w:r>
      <w:proofErr w:type="gramEnd"/>
      <w:r w:rsidRPr="004E4785">
        <w:rPr>
          <w:rFonts w:cs="Times New Roman"/>
          <w:b/>
          <w:szCs w:val="24"/>
        </w:rPr>
        <w:t xml:space="preserve"> or is conducted less frequently, as well as any technical or legal obstacles to reducing burden.</w:t>
      </w:r>
    </w:p>
    <w:p w:rsidRPr="00696453" w:rsidR="00696453" w:rsidP="00696453" w:rsidRDefault="00696453">
      <w:pPr>
        <w:pStyle w:val="ListParagraph"/>
        <w:ind w:left="0" w:firstLine="0"/>
        <w:rPr>
          <w:szCs w:val="24"/>
        </w:rPr>
      </w:pPr>
      <w:r w:rsidRPr="00696453">
        <w:rPr>
          <w:szCs w:val="24"/>
        </w:rPr>
        <w:t xml:space="preserve">These interviews will provide direct customer and expert feedback on how to address gaps in existing knowledge, resources, and funding or financing specifically identified and cited as a significant concern by customers. The interviews are a resource-efficient approach to collecting data that will be valuable to NOAA in understanding challenges and opportunities for financing coastal resilience. Understanding these gaps will allow NOAA to better focus efforts and resources to address customer needs in this area and ensure no duplication of effort. NOAA will also be able to use this information to identify opportunities for leveraging existing technical and financial resources to improve state and local capacity for funding and financing coastal resilience. In particular, NOAA seeks to identify innovative opportunities and examples from analogous sectors for leveraging non-federal sources of funding and financing to increase available resources for coastal resilience efforts without additional federal investment. </w:t>
      </w:r>
    </w:p>
    <w:p w:rsidRPr="00696453" w:rsidR="00696453" w:rsidP="00696453" w:rsidRDefault="00696453">
      <w:pPr>
        <w:pStyle w:val="ListParagraph"/>
        <w:ind w:left="0" w:firstLine="0"/>
        <w:rPr>
          <w:szCs w:val="24"/>
        </w:rPr>
      </w:pPr>
      <w:r w:rsidRPr="00696453">
        <w:rPr>
          <w:szCs w:val="24"/>
        </w:rPr>
        <w:t>Since this is a one-time collection, collecting the data less frequently would involve not collecting the data at all. Without the needs assessment information NOAA would have no specific customer feedback on these topics and would not be able to provide tailored resources and products that directly reflect customer needs. NOAA cannot effectively serve its coastal management partners on this important topic of coastal resilience financing, and coastal communities will continue to struggle to understand and access different funding and financing options.</w:t>
      </w:r>
    </w:p>
    <w:p w:rsidRPr="004E4785" w:rsidR="001C3806" w:rsidP="00696453" w:rsidRDefault="00696453">
      <w:pPr>
        <w:pStyle w:val="ListParagraph"/>
        <w:tabs>
          <w:tab w:val="left" w:pos="360"/>
        </w:tabs>
        <w:spacing w:before="80"/>
        <w:ind w:left="0" w:firstLine="0"/>
        <w:rPr>
          <w:rFonts w:cs="Times New Roman"/>
          <w:szCs w:val="24"/>
        </w:rPr>
      </w:pPr>
      <w:r>
        <w:rPr>
          <w:szCs w:val="24"/>
        </w:rPr>
        <w:t>NOAA is not aware of any technical or legal obstacles to efforts to reduce the burden on respondents.</w:t>
      </w:r>
    </w:p>
    <w:p w:rsidRPr="004E4785" w:rsidR="001C3806" w:rsidP="001C3806" w:rsidRDefault="001C3806">
      <w:pPr>
        <w:pStyle w:val="ListParagraph"/>
        <w:tabs>
          <w:tab w:val="left" w:pos="360"/>
        </w:tabs>
        <w:spacing w:before="80"/>
        <w:ind w:left="0" w:firstLine="0"/>
        <w:rPr>
          <w:rFonts w:cs="Times New Roman"/>
          <w:szCs w:val="24"/>
        </w:rPr>
      </w:pPr>
    </w:p>
    <w:p w:rsidRPr="004E4785" w:rsidR="008E61C9" w:rsidP="00BD7237" w:rsidRDefault="001477A3">
      <w:pPr>
        <w:pStyle w:val="ListParagraph"/>
        <w:numPr>
          <w:ilvl w:val="0"/>
          <w:numId w:val="7"/>
        </w:numPr>
        <w:tabs>
          <w:tab w:val="left" w:pos="360"/>
        </w:tabs>
        <w:spacing w:before="80"/>
        <w:ind w:left="0" w:firstLine="0"/>
        <w:rPr>
          <w:rFonts w:cs="Times New Roman"/>
          <w:b/>
          <w:szCs w:val="24"/>
        </w:rPr>
      </w:pPr>
      <w:r w:rsidRPr="004E4785">
        <w:rPr>
          <w:rFonts w:cs="Times New Roman"/>
          <w:b/>
          <w:szCs w:val="24"/>
        </w:rPr>
        <w:t xml:space="preserve">Explain any special circumstances that would cause an information collection to </w:t>
      </w:r>
      <w:proofErr w:type="gramStart"/>
      <w:r w:rsidRPr="004E4785">
        <w:rPr>
          <w:rFonts w:cs="Times New Roman"/>
          <w:b/>
          <w:szCs w:val="24"/>
        </w:rPr>
        <w:t>be conducted</w:t>
      </w:r>
      <w:proofErr w:type="gramEnd"/>
      <w:r w:rsidRPr="004E4785">
        <w:rPr>
          <w:rFonts w:cs="Times New Roman"/>
          <w:b/>
          <w:szCs w:val="24"/>
        </w:rPr>
        <w:t xml:space="preserve"> in a manner</w:t>
      </w:r>
      <w:r w:rsidR="00696453">
        <w:rPr>
          <w:rFonts w:cs="Times New Roman"/>
          <w:b/>
          <w:szCs w:val="24"/>
        </w:rPr>
        <w:t xml:space="preserve"> inconsistent with OMB guidelines.</w:t>
      </w:r>
    </w:p>
    <w:p w:rsidRPr="004E4785" w:rsidR="008E61C9" w:rsidP="00696453" w:rsidRDefault="00696453">
      <w:pPr>
        <w:pStyle w:val="ListParagraph"/>
        <w:spacing w:before="120"/>
        <w:ind w:left="0" w:firstLine="0"/>
        <w:rPr>
          <w:rFonts w:cs="Times New Roman"/>
          <w:szCs w:val="24"/>
        </w:rPr>
      </w:pPr>
      <w:r>
        <w:rPr>
          <w:rFonts w:cs="Times New Roman"/>
          <w:szCs w:val="24"/>
        </w:rPr>
        <w:lastRenderedPageBreak/>
        <w:t xml:space="preserve">This collection of information does not require any special circumstances and the collection </w:t>
      </w:r>
      <w:proofErr w:type="gramStart"/>
      <w:r>
        <w:rPr>
          <w:rFonts w:cs="Times New Roman"/>
          <w:szCs w:val="24"/>
        </w:rPr>
        <w:t>will be conducted</w:t>
      </w:r>
      <w:proofErr w:type="gramEnd"/>
      <w:r>
        <w:rPr>
          <w:rFonts w:cs="Times New Roman"/>
          <w:szCs w:val="24"/>
        </w:rPr>
        <w:t xml:space="preserve"> in a manner consistent with OMB guidelines.</w:t>
      </w:r>
    </w:p>
    <w:p w:rsidRPr="004E4785" w:rsidR="001C3806" w:rsidP="001C3806" w:rsidRDefault="001C3806">
      <w:pPr>
        <w:pStyle w:val="ListParagraph"/>
        <w:tabs>
          <w:tab w:val="left" w:pos="360"/>
        </w:tabs>
        <w:spacing w:before="80"/>
        <w:ind w:left="0" w:firstLine="0"/>
        <w:rPr>
          <w:rFonts w:cs="Times New Roman"/>
          <w:szCs w:val="24"/>
        </w:rPr>
      </w:pPr>
    </w:p>
    <w:p w:rsidRPr="004E4785" w:rsidR="008E61C9" w:rsidP="00BD7237" w:rsidRDefault="001477A3">
      <w:pPr>
        <w:pStyle w:val="ListParagraph"/>
        <w:numPr>
          <w:ilvl w:val="0"/>
          <w:numId w:val="7"/>
        </w:numPr>
        <w:tabs>
          <w:tab w:val="left" w:pos="360"/>
        </w:tabs>
        <w:spacing w:before="80"/>
        <w:ind w:left="0" w:firstLine="0"/>
        <w:rPr>
          <w:rFonts w:cs="Times New Roman"/>
          <w:b/>
          <w:szCs w:val="24"/>
        </w:rPr>
      </w:pPr>
      <w:r w:rsidRPr="004E4785">
        <w:rPr>
          <w:rFonts w:cs="Times New Roman"/>
          <w:b/>
          <w:szCs w:val="24"/>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175974" w:rsidP="001C3806" w:rsidRDefault="00175974">
      <w:pPr>
        <w:tabs>
          <w:tab w:val="left" w:pos="360"/>
        </w:tabs>
        <w:spacing w:before="80"/>
        <w:rPr>
          <w:rFonts w:cs="Times New Roman"/>
          <w:szCs w:val="24"/>
        </w:rPr>
      </w:pPr>
    </w:p>
    <w:p w:rsidRPr="004E4785" w:rsidR="001C3806" w:rsidP="001C3806" w:rsidRDefault="00696453">
      <w:pPr>
        <w:tabs>
          <w:tab w:val="left" w:pos="360"/>
        </w:tabs>
        <w:spacing w:before="80"/>
        <w:rPr>
          <w:rFonts w:cs="Times New Roman"/>
          <w:szCs w:val="24"/>
        </w:rPr>
      </w:pPr>
      <w:r>
        <w:rPr>
          <w:rFonts w:cs="Times New Roman"/>
          <w:szCs w:val="24"/>
        </w:rPr>
        <w:t xml:space="preserve">A Federal Register notice published on January </w:t>
      </w:r>
      <w:r w:rsidR="00175974">
        <w:rPr>
          <w:rFonts w:cs="Times New Roman"/>
          <w:szCs w:val="24"/>
        </w:rPr>
        <w:t>28</w:t>
      </w:r>
      <w:r>
        <w:rPr>
          <w:rFonts w:cs="Times New Roman"/>
          <w:szCs w:val="24"/>
        </w:rPr>
        <w:t xml:space="preserve">, 2021, (86 FR </w:t>
      </w:r>
      <w:r w:rsidR="00175974">
        <w:rPr>
          <w:rFonts w:cs="Times New Roman"/>
          <w:szCs w:val="24"/>
        </w:rPr>
        <w:t>7365</w:t>
      </w:r>
      <w:r>
        <w:rPr>
          <w:rFonts w:cs="Times New Roman"/>
          <w:szCs w:val="24"/>
        </w:rPr>
        <w:t xml:space="preserve">) solicited public comments.  No comments </w:t>
      </w:r>
      <w:proofErr w:type="gramStart"/>
      <w:r>
        <w:rPr>
          <w:rFonts w:cs="Times New Roman"/>
          <w:szCs w:val="24"/>
        </w:rPr>
        <w:t>were received</w:t>
      </w:r>
      <w:proofErr w:type="gramEnd"/>
      <w:r>
        <w:rPr>
          <w:rFonts w:cs="Times New Roman"/>
          <w:szCs w:val="24"/>
        </w:rPr>
        <w:t>.</w:t>
      </w:r>
    </w:p>
    <w:p w:rsidR="001C3806" w:rsidP="001C3806" w:rsidRDefault="00140D68">
      <w:pPr>
        <w:tabs>
          <w:tab w:val="left" w:pos="360"/>
        </w:tabs>
        <w:spacing w:before="80"/>
        <w:rPr>
          <w:rFonts w:cs="Times New Roman"/>
          <w:szCs w:val="24"/>
        </w:rPr>
      </w:pPr>
      <w:r>
        <w:rPr>
          <w:rFonts w:cs="Times New Roman"/>
          <w:szCs w:val="24"/>
        </w:rPr>
        <w:t xml:space="preserve">This collection of information is a direct result of conversations with external stakeholders on the availability – or lack thereof – of the data and all comments </w:t>
      </w:r>
      <w:proofErr w:type="gramStart"/>
      <w:r>
        <w:rPr>
          <w:rFonts w:cs="Times New Roman"/>
          <w:szCs w:val="24"/>
        </w:rPr>
        <w:t>were used</w:t>
      </w:r>
      <w:proofErr w:type="gramEnd"/>
      <w:r>
        <w:rPr>
          <w:rFonts w:cs="Times New Roman"/>
          <w:szCs w:val="24"/>
        </w:rPr>
        <w:t xml:space="preserve"> to determine the data elements to be recorded.</w:t>
      </w:r>
    </w:p>
    <w:p w:rsidRPr="004E4785" w:rsidR="00140D68" w:rsidP="001C3806" w:rsidRDefault="00140D68">
      <w:pPr>
        <w:tabs>
          <w:tab w:val="left" w:pos="360"/>
        </w:tabs>
        <w:spacing w:before="80"/>
        <w:rPr>
          <w:rFonts w:cs="Times New Roman"/>
          <w:szCs w:val="24"/>
        </w:rPr>
      </w:pPr>
    </w:p>
    <w:p w:rsidRPr="004E4785" w:rsidR="008E61C9" w:rsidP="00BD7237" w:rsidRDefault="001477A3">
      <w:pPr>
        <w:pStyle w:val="ListParagraph"/>
        <w:numPr>
          <w:ilvl w:val="0"/>
          <w:numId w:val="7"/>
        </w:numPr>
        <w:tabs>
          <w:tab w:val="left" w:pos="360"/>
        </w:tabs>
        <w:spacing w:before="80"/>
        <w:ind w:left="0" w:firstLine="0"/>
        <w:rPr>
          <w:rFonts w:cs="Times New Roman"/>
          <w:b/>
          <w:szCs w:val="24"/>
        </w:rPr>
      </w:pPr>
      <w:r w:rsidRPr="004E4785">
        <w:rPr>
          <w:rFonts w:cs="Times New Roman"/>
          <w:b/>
          <w:szCs w:val="24"/>
        </w:rPr>
        <w:t xml:space="preserve">Explain any decision to provide any payment or gift to respondents, other than </w:t>
      </w:r>
      <w:r w:rsidRPr="004E4785" w:rsidR="00D64DF9">
        <w:rPr>
          <w:rFonts w:cs="Times New Roman"/>
          <w:b/>
          <w:szCs w:val="24"/>
        </w:rPr>
        <w:t>remuneration</w:t>
      </w:r>
      <w:r w:rsidRPr="004E4785">
        <w:rPr>
          <w:rFonts w:cs="Times New Roman"/>
          <w:b/>
          <w:szCs w:val="24"/>
        </w:rPr>
        <w:t xml:space="preserve"> of contractors or grantees.</w:t>
      </w:r>
    </w:p>
    <w:p w:rsidRPr="00696453" w:rsidR="00696453" w:rsidP="00696453" w:rsidRDefault="00696453">
      <w:pPr>
        <w:pStyle w:val="ListParagraph"/>
        <w:ind w:left="0" w:firstLine="0"/>
        <w:rPr>
          <w:szCs w:val="24"/>
        </w:rPr>
      </w:pPr>
      <w:r w:rsidRPr="00696453">
        <w:rPr>
          <w:szCs w:val="24"/>
        </w:rPr>
        <w:t xml:space="preserve">There are no gifts or payments </w:t>
      </w:r>
      <w:proofErr w:type="gramStart"/>
      <w:r w:rsidRPr="00696453">
        <w:rPr>
          <w:szCs w:val="24"/>
        </w:rPr>
        <w:t>being made</w:t>
      </w:r>
      <w:proofErr w:type="gramEnd"/>
      <w:r w:rsidRPr="00696453">
        <w:rPr>
          <w:szCs w:val="24"/>
        </w:rPr>
        <w:t xml:space="preserve"> to respondents. </w:t>
      </w:r>
    </w:p>
    <w:p w:rsidRPr="004E4785" w:rsidR="001C3806" w:rsidP="001C3806" w:rsidRDefault="001C3806">
      <w:pPr>
        <w:pStyle w:val="ListParagraph"/>
        <w:tabs>
          <w:tab w:val="left" w:pos="360"/>
        </w:tabs>
        <w:spacing w:before="80"/>
        <w:ind w:left="0" w:firstLine="0"/>
        <w:rPr>
          <w:rFonts w:cs="Times New Roman"/>
          <w:szCs w:val="24"/>
        </w:rPr>
      </w:pPr>
    </w:p>
    <w:p w:rsidRPr="004E4785" w:rsidR="008E61C9" w:rsidP="00BD7237" w:rsidRDefault="001477A3">
      <w:pPr>
        <w:pStyle w:val="ListParagraph"/>
        <w:numPr>
          <w:ilvl w:val="0"/>
          <w:numId w:val="7"/>
        </w:numPr>
        <w:tabs>
          <w:tab w:val="left" w:pos="360"/>
        </w:tabs>
        <w:spacing w:before="80"/>
        <w:ind w:left="0" w:firstLine="0"/>
        <w:rPr>
          <w:rFonts w:cs="Times New Roman"/>
          <w:b/>
          <w:szCs w:val="24"/>
        </w:rPr>
      </w:pPr>
      <w:r w:rsidRPr="004E4785">
        <w:rPr>
          <w:rFonts w:cs="Times New Roman"/>
          <w:b/>
          <w:szCs w:val="24"/>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Pr="00696453" w:rsidR="00696453" w:rsidP="00696453" w:rsidRDefault="00696453">
      <w:pPr>
        <w:pStyle w:val="ListParagraph"/>
        <w:ind w:left="0" w:firstLine="0"/>
        <w:rPr>
          <w:szCs w:val="24"/>
        </w:rPr>
      </w:pPr>
      <w:r w:rsidRPr="00696453">
        <w:rPr>
          <w:szCs w:val="24"/>
        </w:rPr>
        <w:t xml:space="preserve">NOAA is not assuring confidentiality to respondents under this data collection. NOAA has subcontracted with Eastern Research Group, Inc. (ERG) to conduct the interviews, and worked with ERG to develop a list of potential interviewees publicly recognized as authorities on the topic of resilience finance and related issues. Participating in an interview is not required and potential interviewees can refuse to participate or answer questions if they choose. </w:t>
      </w:r>
    </w:p>
    <w:p w:rsidRPr="004E4785" w:rsidR="001C3806" w:rsidP="001C3806" w:rsidRDefault="001C3806">
      <w:pPr>
        <w:pStyle w:val="ListParagraph"/>
        <w:tabs>
          <w:tab w:val="left" w:pos="360"/>
        </w:tabs>
        <w:spacing w:before="80"/>
        <w:ind w:left="0" w:firstLine="0"/>
        <w:rPr>
          <w:rFonts w:cs="Times New Roman"/>
          <w:b/>
          <w:szCs w:val="24"/>
        </w:rPr>
      </w:pPr>
    </w:p>
    <w:p w:rsidRPr="004E4785" w:rsidR="008E61C9" w:rsidP="00BD7237" w:rsidRDefault="001477A3">
      <w:pPr>
        <w:pStyle w:val="ListParagraph"/>
        <w:numPr>
          <w:ilvl w:val="0"/>
          <w:numId w:val="7"/>
        </w:numPr>
        <w:tabs>
          <w:tab w:val="left" w:pos="360"/>
        </w:tabs>
        <w:spacing w:before="80"/>
        <w:ind w:left="0" w:firstLine="0"/>
        <w:rPr>
          <w:rFonts w:cs="Times New Roman"/>
          <w:b/>
          <w:szCs w:val="24"/>
        </w:rPr>
      </w:pPr>
      <w:r w:rsidRPr="004E4785">
        <w:rPr>
          <w:rFonts w:cs="Times New Roman"/>
          <w:b/>
          <w:szCs w:val="24"/>
        </w:rPr>
        <w:t xml:space="preserve">Provide additional justification for any questions of a sensitive nature, such as sexual behavior or attitudes, religious beliefs, and other matters that </w:t>
      </w:r>
      <w:proofErr w:type="gramStart"/>
      <w:r w:rsidRPr="004E4785">
        <w:rPr>
          <w:rFonts w:cs="Times New Roman"/>
          <w:b/>
          <w:szCs w:val="24"/>
        </w:rPr>
        <w:t>are commonly considered</w:t>
      </w:r>
      <w:proofErr w:type="gramEnd"/>
      <w:r w:rsidRPr="004E4785">
        <w:rPr>
          <w:rFonts w:cs="Times New Roman"/>
          <w:b/>
          <w:szCs w:val="24"/>
        </w:rPr>
        <w:t xml:space="preserve">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696453" w:rsidP="00BD7237" w:rsidRDefault="00696453">
      <w:pPr>
        <w:spacing w:line="259" w:lineRule="auto"/>
        <w:rPr>
          <w:szCs w:val="24"/>
        </w:rPr>
      </w:pPr>
    </w:p>
    <w:p w:rsidRPr="004E4785" w:rsidR="001C3806" w:rsidP="00BD7237" w:rsidRDefault="00696453">
      <w:pPr>
        <w:spacing w:line="259" w:lineRule="auto"/>
        <w:rPr>
          <w:rFonts w:cs="Times New Roman"/>
          <w:szCs w:val="24"/>
        </w:rPr>
      </w:pPr>
      <w:r>
        <w:rPr>
          <w:szCs w:val="24"/>
        </w:rPr>
        <w:t>The survey does not involve any sensitive questions.</w:t>
      </w:r>
    </w:p>
    <w:p w:rsidRPr="004E4785" w:rsidR="001C3806" w:rsidP="00BD7237" w:rsidRDefault="001C3806">
      <w:pPr>
        <w:spacing w:line="259" w:lineRule="auto"/>
        <w:rPr>
          <w:rFonts w:cs="Times New Roman"/>
          <w:szCs w:val="24"/>
        </w:rPr>
      </w:pPr>
    </w:p>
    <w:p w:rsidRPr="004E4785" w:rsidR="00D64DF9" w:rsidP="00BD7237" w:rsidRDefault="001477A3">
      <w:pPr>
        <w:spacing w:line="259" w:lineRule="auto"/>
        <w:rPr>
          <w:rFonts w:cs="Times New Roman"/>
          <w:color w:val="2F5496"/>
          <w:szCs w:val="24"/>
        </w:rPr>
        <w:sectPr w:rsidRPr="004E4785" w:rsidR="00D64DF9" w:rsidSect="00BD7237">
          <w:footerReference w:type="default" r:id="rId7"/>
          <w:pgSz w:w="12240" w:h="15840"/>
          <w:pgMar w:top="640" w:right="1080" w:bottom="1200" w:left="1080" w:header="0" w:footer="1014" w:gutter="0"/>
          <w:cols w:space="720"/>
        </w:sectPr>
      </w:pPr>
      <w:r w:rsidRPr="004E4785">
        <w:rPr>
          <w:rFonts w:cs="Times New Roman"/>
          <w:color w:val="2F5496"/>
          <w:szCs w:val="24"/>
        </w:rPr>
        <w:t>.</w:t>
      </w:r>
    </w:p>
    <w:p w:rsidRPr="004E4785" w:rsidR="008E61C9" w:rsidP="00BD7237" w:rsidRDefault="008E61C9">
      <w:pPr>
        <w:spacing w:line="259" w:lineRule="auto"/>
        <w:rPr>
          <w:rFonts w:cs="Times New Roman"/>
          <w:szCs w:val="24"/>
        </w:rPr>
      </w:pPr>
    </w:p>
    <w:p w:rsidRPr="004E4785" w:rsidR="008E61C9" w:rsidP="00BD7237" w:rsidRDefault="001477A3">
      <w:pPr>
        <w:pStyle w:val="ListParagraph"/>
        <w:numPr>
          <w:ilvl w:val="0"/>
          <w:numId w:val="7"/>
        </w:numPr>
        <w:tabs>
          <w:tab w:val="left" w:pos="360"/>
        </w:tabs>
        <w:spacing w:before="80"/>
        <w:ind w:left="0" w:firstLine="0"/>
        <w:rPr>
          <w:rFonts w:cs="Times New Roman"/>
          <w:b/>
          <w:szCs w:val="24"/>
        </w:rPr>
      </w:pPr>
      <w:r w:rsidRPr="004E4785">
        <w:rPr>
          <w:rFonts w:cs="Times New Roman"/>
          <w:b/>
          <w:szCs w:val="24"/>
        </w:rPr>
        <w:t>Provide estimates of the hour burden of the collection of information.</w:t>
      </w:r>
    </w:p>
    <w:p w:rsidRPr="00696453" w:rsidR="00696453" w:rsidP="00696453" w:rsidRDefault="00696453">
      <w:pPr>
        <w:pStyle w:val="ListParagraph"/>
        <w:ind w:left="400" w:firstLine="0"/>
        <w:rPr>
          <w:szCs w:val="24"/>
        </w:rPr>
      </w:pPr>
      <w:r w:rsidRPr="00696453">
        <w:rPr>
          <w:szCs w:val="24"/>
        </w:rPr>
        <w:t xml:space="preserve">Table 1 provides an estimate of the burden hours for this data collection. NOAA (via contractor ERG) plans to contact up to 51 potential interviewees </w:t>
      </w:r>
      <w:proofErr w:type="gramStart"/>
      <w:r w:rsidRPr="00696453">
        <w:rPr>
          <w:szCs w:val="24"/>
        </w:rPr>
        <w:t>representing:</w:t>
      </w:r>
      <w:proofErr w:type="gramEnd"/>
      <w:r w:rsidRPr="00696453">
        <w:rPr>
          <w:szCs w:val="24"/>
        </w:rPr>
        <w:t xml:space="preserve"> state and local coastal management offices; non-profit organizations; academic institutions; finance industry organizations; consulting firms; and, the federal government. NOAA anticipates that participation will be approximately 71%, or 36 individuals.</w:t>
      </w:r>
    </w:p>
    <w:p w:rsidRPr="004E4785" w:rsidR="008E61C9" w:rsidP="00696453" w:rsidRDefault="008E61C9">
      <w:pPr>
        <w:pStyle w:val="ListParagraph"/>
        <w:spacing w:before="120"/>
        <w:ind w:left="720" w:firstLine="0"/>
        <w:rPr>
          <w:rFonts w:cs="Times New Roman"/>
          <w:b/>
          <w:szCs w:val="24"/>
        </w:rPr>
      </w:pPr>
    </w:p>
    <w:p w:rsidRPr="004E4785" w:rsidR="00D64DF9" w:rsidP="00BD7237" w:rsidRDefault="00D64DF9">
      <w:pPr>
        <w:spacing w:line="259" w:lineRule="auto"/>
        <w:ind w:hanging="43"/>
        <w:jc w:val="center"/>
        <w:rPr>
          <w:rFonts w:cs="Times New Roman"/>
          <w:b/>
          <w:color w:val="FF0000"/>
          <w:szCs w:val="24"/>
        </w:rPr>
      </w:pPr>
    </w:p>
    <w:tbl>
      <w:tblPr>
        <w:tblW w:w="14590" w:type="dxa"/>
        <w:tblInd w:w="-10" w:type="dxa"/>
        <w:tblLook w:val="04A0" w:firstRow="1" w:lastRow="0" w:firstColumn="1" w:lastColumn="0" w:noHBand="0" w:noVBand="1"/>
      </w:tblPr>
      <w:tblGrid>
        <w:gridCol w:w="2175"/>
        <w:gridCol w:w="1980"/>
        <w:gridCol w:w="1747"/>
        <w:gridCol w:w="1493"/>
        <w:gridCol w:w="1440"/>
        <w:gridCol w:w="1350"/>
        <w:gridCol w:w="1350"/>
        <w:gridCol w:w="1530"/>
        <w:gridCol w:w="1525"/>
      </w:tblGrid>
      <w:tr w:rsidRPr="00B72DFD" w:rsidR="00B72DFD" w:rsidTr="00B72DFD">
        <w:trPr>
          <w:trHeight w:val="1365"/>
        </w:trPr>
        <w:tc>
          <w:tcPr>
            <w:tcW w:w="2175" w:type="dxa"/>
            <w:tcBorders>
              <w:top w:val="single" w:color="auto" w:sz="8" w:space="0"/>
              <w:left w:val="single" w:color="auto" w:sz="8" w:space="0"/>
              <w:bottom w:val="single" w:color="auto" w:sz="8" w:space="0"/>
              <w:right w:val="single" w:color="000000" w:sz="8" w:space="0"/>
            </w:tcBorders>
            <w:shd w:val="clear" w:color="000000" w:fill="BDD7EE"/>
            <w:vAlign w:val="center"/>
            <w:hideMark/>
          </w:tcPr>
          <w:p w:rsidRPr="00B72DFD" w:rsidR="00D64DF9" w:rsidP="00D64DF9" w:rsidRDefault="00D64DF9">
            <w:pPr>
              <w:widowControl/>
              <w:autoSpaceDE/>
              <w:autoSpaceDN/>
              <w:jc w:val="center"/>
              <w:rPr>
                <w:rFonts w:eastAsia="Times New Roman" w:asciiTheme="minorHAnsi" w:hAnsiTheme="minorHAnsi" w:cstheme="minorHAnsi"/>
                <w:b/>
                <w:bCs/>
                <w:color w:val="000000"/>
                <w:sz w:val="20"/>
                <w:szCs w:val="20"/>
              </w:rPr>
            </w:pPr>
            <w:r w:rsidRPr="00B72DFD">
              <w:rPr>
                <w:rFonts w:eastAsia="Times New Roman" w:asciiTheme="minorHAnsi" w:hAnsiTheme="minorHAnsi" w:cstheme="minorHAnsi"/>
                <w:b/>
                <w:bCs/>
                <w:color w:val="000000"/>
                <w:sz w:val="20"/>
                <w:szCs w:val="20"/>
              </w:rPr>
              <w:t>Information Collection</w:t>
            </w:r>
          </w:p>
        </w:tc>
        <w:tc>
          <w:tcPr>
            <w:tcW w:w="1980" w:type="dxa"/>
            <w:tcBorders>
              <w:top w:val="single" w:color="auto" w:sz="8" w:space="0"/>
              <w:left w:val="nil"/>
              <w:bottom w:val="single" w:color="auto" w:sz="8" w:space="0"/>
              <w:right w:val="single" w:color="000000" w:sz="8" w:space="0"/>
            </w:tcBorders>
            <w:shd w:val="clear" w:color="000000" w:fill="BDD7EE"/>
            <w:vAlign w:val="center"/>
            <w:hideMark/>
          </w:tcPr>
          <w:p w:rsidRPr="00B72DFD" w:rsidR="00D64DF9" w:rsidP="00D64DF9" w:rsidRDefault="00D64DF9">
            <w:pPr>
              <w:widowControl/>
              <w:autoSpaceDE/>
              <w:autoSpaceDN/>
              <w:jc w:val="center"/>
              <w:rPr>
                <w:rFonts w:eastAsia="Times New Roman" w:asciiTheme="minorHAnsi" w:hAnsiTheme="minorHAnsi" w:cstheme="minorHAnsi"/>
                <w:b/>
                <w:bCs/>
                <w:color w:val="000000"/>
                <w:sz w:val="20"/>
                <w:szCs w:val="20"/>
              </w:rPr>
            </w:pPr>
            <w:r w:rsidRPr="00B72DFD">
              <w:rPr>
                <w:rFonts w:eastAsia="Times New Roman" w:asciiTheme="minorHAnsi" w:hAnsiTheme="minorHAnsi" w:cstheme="minorHAnsi"/>
                <w:b/>
                <w:bCs/>
                <w:color w:val="000000"/>
                <w:sz w:val="20"/>
                <w:szCs w:val="20"/>
              </w:rPr>
              <w:t>Type of Respondent (e.g., Occupational Title)</w:t>
            </w:r>
          </w:p>
        </w:tc>
        <w:tc>
          <w:tcPr>
            <w:tcW w:w="1747" w:type="dxa"/>
            <w:tcBorders>
              <w:top w:val="single" w:color="auto" w:sz="8" w:space="0"/>
              <w:left w:val="nil"/>
              <w:bottom w:val="single" w:color="auto" w:sz="8" w:space="0"/>
              <w:right w:val="single" w:color="000000" w:sz="8" w:space="0"/>
            </w:tcBorders>
            <w:shd w:val="clear" w:color="000000" w:fill="BDD7EE"/>
            <w:vAlign w:val="center"/>
            <w:hideMark/>
          </w:tcPr>
          <w:p w:rsidRPr="00B72DFD" w:rsidR="00D64DF9" w:rsidP="00D64DF9" w:rsidRDefault="00D64DF9">
            <w:pPr>
              <w:widowControl/>
              <w:autoSpaceDE/>
              <w:autoSpaceDN/>
              <w:jc w:val="center"/>
              <w:rPr>
                <w:rFonts w:eastAsia="Times New Roman" w:asciiTheme="minorHAnsi" w:hAnsiTheme="minorHAnsi" w:cstheme="minorHAnsi"/>
                <w:b/>
                <w:bCs/>
                <w:color w:val="000000"/>
                <w:sz w:val="20"/>
                <w:szCs w:val="20"/>
              </w:rPr>
            </w:pPr>
            <w:r w:rsidRPr="00B72DFD">
              <w:rPr>
                <w:rFonts w:eastAsia="Times New Roman" w:asciiTheme="minorHAnsi" w:hAnsiTheme="minorHAnsi" w:cstheme="minorHAnsi"/>
                <w:b/>
                <w:bCs/>
                <w:color w:val="000000"/>
                <w:sz w:val="20"/>
                <w:szCs w:val="20"/>
              </w:rPr>
              <w:t># of Respondents/year</w:t>
            </w:r>
            <w:r w:rsidRPr="00B72DFD">
              <w:rPr>
                <w:rFonts w:eastAsia="Times New Roman" w:asciiTheme="minorHAnsi" w:hAnsiTheme="minorHAnsi" w:cstheme="minorHAnsi"/>
                <w:b/>
                <w:bCs/>
                <w:color w:val="000000"/>
                <w:sz w:val="20"/>
                <w:szCs w:val="20"/>
              </w:rPr>
              <w:br/>
              <w:t>(a)</w:t>
            </w:r>
          </w:p>
        </w:tc>
        <w:tc>
          <w:tcPr>
            <w:tcW w:w="1493" w:type="dxa"/>
            <w:tcBorders>
              <w:top w:val="single" w:color="auto" w:sz="8" w:space="0"/>
              <w:left w:val="nil"/>
              <w:bottom w:val="single" w:color="auto" w:sz="8" w:space="0"/>
              <w:right w:val="single" w:color="auto" w:sz="8" w:space="0"/>
            </w:tcBorders>
            <w:shd w:val="clear" w:color="000000" w:fill="BDD7EE"/>
            <w:vAlign w:val="center"/>
            <w:hideMark/>
          </w:tcPr>
          <w:p w:rsidRPr="00B72DFD" w:rsidR="00D64DF9" w:rsidP="00D64DF9" w:rsidRDefault="00D64DF9">
            <w:pPr>
              <w:widowControl/>
              <w:autoSpaceDE/>
              <w:autoSpaceDN/>
              <w:jc w:val="center"/>
              <w:rPr>
                <w:rFonts w:eastAsia="Times New Roman" w:asciiTheme="minorHAnsi" w:hAnsiTheme="minorHAnsi" w:cstheme="minorHAnsi"/>
                <w:b/>
                <w:bCs/>
                <w:color w:val="000000"/>
                <w:sz w:val="20"/>
                <w:szCs w:val="20"/>
              </w:rPr>
            </w:pPr>
            <w:r w:rsidRPr="00B72DFD">
              <w:rPr>
                <w:rFonts w:eastAsia="Times New Roman" w:asciiTheme="minorHAnsi" w:hAnsiTheme="minorHAnsi" w:cstheme="minorHAnsi"/>
                <w:b/>
                <w:bCs/>
                <w:color w:val="000000"/>
                <w:sz w:val="20"/>
                <w:szCs w:val="20"/>
              </w:rPr>
              <w:t>Annual # of Responses / Respondent</w:t>
            </w:r>
            <w:r w:rsidRPr="00B72DFD">
              <w:rPr>
                <w:rFonts w:eastAsia="Times New Roman" w:asciiTheme="minorHAnsi" w:hAnsiTheme="minorHAnsi" w:cstheme="minorHAnsi"/>
                <w:b/>
                <w:bCs/>
                <w:color w:val="000000"/>
                <w:sz w:val="20"/>
                <w:szCs w:val="20"/>
              </w:rPr>
              <w:br/>
              <w:t>(b)</w:t>
            </w:r>
          </w:p>
        </w:tc>
        <w:tc>
          <w:tcPr>
            <w:tcW w:w="1440" w:type="dxa"/>
            <w:tcBorders>
              <w:top w:val="single" w:color="auto" w:sz="8" w:space="0"/>
              <w:left w:val="nil"/>
              <w:bottom w:val="single" w:color="auto" w:sz="8" w:space="0"/>
              <w:right w:val="single" w:color="auto" w:sz="8" w:space="0"/>
            </w:tcBorders>
            <w:shd w:val="clear" w:color="000000" w:fill="BDD7EE"/>
            <w:vAlign w:val="center"/>
            <w:hideMark/>
          </w:tcPr>
          <w:p w:rsidRPr="00B72DFD" w:rsidR="00D64DF9" w:rsidP="00D64DF9" w:rsidRDefault="00D64DF9">
            <w:pPr>
              <w:widowControl/>
              <w:autoSpaceDE/>
              <w:autoSpaceDN/>
              <w:jc w:val="center"/>
              <w:rPr>
                <w:rFonts w:eastAsia="Times New Roman" w:asciiTheme="minorHAnsi" w:hAnsiTheme="minorHAnsi" w:cstheme="minorHAnsi"/>
                <w:b/>
                <w:bCs/>
                <w:color w:val="000000"/>
                <w:sz w:val="20"/>
                <w:szCs w:val="20"/>
              </w:rPr>
            </w:pPr>
            <w:r w:rsidRPr="00B72DFD">
              <w:rPr>
                <w:rFonts w:eastAsia="Times New Roman" w:asciiTheme="minorHAnsi" w:hAnsiTheme="minorHAnsi" w:cstheme="minorHAnsi"/>
                <w:b/>
                <w:bCs/>
                <w:color w:val="000000"/>
                <w:sz w:val="20"/>
                <w:szCs w:val="20"/>
              </w:rPr>
              <w:t xml:space="preserve"> Total # of Annual Responses</w:t>
            </w:r>
            <w:r w:rsidRPr="00B72DFD">
              <w:rPr>
                <w:rFonts w:eastAsia="Times New Roman" w:asciiTheme="minorHAnsi" w:hAnsiTheme="minorHAnsi" w:cstheme="minorHAnsi"/>
                <w:b/>
                <w:bCs/>
                <w:color w:val="000000"/>
                <w:sz w:val="20"/>
                <w:szCs w:val="20"/>
              </w:rPr>
              <w:br/>
              <w:t>(c) = (a) x (b)</w:t>
            </w:r>
          </w:p>
        </w:tc>
        <w:tc>
          <w:tcPr>
            <w:tcW w:w="1350" w:type="dxa"/>
            <w:tcBorders>
              <w:top w:val="single" w:color="auto" w:sz="8" w:space="0"/>
              <w:left w:val="nil"/>
              <w:bottom w:val="single" w:color="auto" w:sz="8" w:space="0"/>
              <w:right w:val="single" w:color="auto" w:sz="8" w:space="0"/>
            </w:tcBorders>
            <w:shd w:val="clear" w:color="000000" w:fill="BDD7EE"/>
            <w:vAlign w:val="center"/>
            <w:hideMark/>
          </w:tcPr>
          <w:p w:rsidRPr="00B72DFD" w:rsidR="00D64DF9" w:rsidP="00D64DF9" w:rsidRDefault="00D64DF9">
            <w:pPr>
              <w:widowControl/>
              <w:autoSpaceDE/>
              <w:autoSpaceDN/>
              <w:jc w:val="center"/>
              <w:rPr>
                <w:rFonts w:eastAsia="Times New Roman" w:asciiTheme="minorHAnsi" w:hAnsiTheme="minorHAnsi" w:cstheme="minorHAnsi"/>
                <w:b/>
                <w:bCs/>
                <w:color w:val="000000"/>
                <w:sz w:val="20"/>
                <w:szCs w:val="20"/>
              </w:rPr>
            </w:pPr>
            <w:r w:rsidRPr="00B72DFD">
              <w:rPr>
                <w:rFonts w:eastAsia="Times New Roman" w:asciiTheme="minorHAnsi" w:hAnsiTheme="minorHAnsi" w:cstheme="minorHAnsi"/>
                <w:b/>
                <w:bCs/>
                <w:color w:val="000000"/>
                <w:sz w:val="20"/>
                <w:szCs w:val="20"/>
              </w:rPr>
              <w:t xml:space="preserve">Burden </w:t>
            </w:r>
            <w:proofErr w:type="spellStart"/>
            <w:r w:rsidRPr="00B72DFD">
              <w:rPr>
                <w:rFonts w:eastAsia="Times New Roman" w:asciiTheme="minorHAnsi" w:hAnsiTheme="minorHAnsi" w:cstheme="minorHAnsi"/>
                <w:b/>
                <w:bCs/>
                <w:color w:val="000000"/>
                <w:sz w:val="20"/>
                <w:szCs w:val="20"/>
              </w:rPr>
              <w:t>Hrs</w:t>
            </w:r>
            <w:proofErr w:type="spellEnd"/>
            <w:r w:rsidRPr="00B72DFD">
              <w:rPr>
                <w:rFonts w:eastAsia="Times New Roman" w:asciiTheme="minorHAnsi" w:hAnsiTheme="minorHAnsi" w:cstheme="minorHAnsi"/>
                <w:b/>
                <w:bCs/>
                <w:color w:val="000000"/>
                <w:sz w:val="20"/>
                <w:szCs w:val="20"/>
              </w:rPr>
              <w:t xml:space="preserve"> / Response</w:t>
            </w:r>
            <w:r w:rsidRPr="00B72DFD">
              <w:rPr>
                <w:rFonts w:eastAsia="Times New Roman" w:asciiTheme="minorHAnsi" w:hAnsiTheme="minorHAnsi" w:cstheme="minorHAnsi"/>
                <w:b/>
                <w:bCs/>
                <w:color w:val="000000"/>
                <w:sz w:val="20"/>
                <w:szCs w:val="20"/>
              </w:rPr>
              <w:br/>
              <w:t>(d)</w:t>
            </w:r>
          </w:p>
        </w:tc>
        <w:tc>
          <w:tcPr>
            <w:tcW w:w="1350" w:type="dxa"/>
            <w:tcBorders>
              <w:top w:val="single" w:color="auto" w:sz="8" w:space="0"/>
              <w:left w:val="nil"/>
              <w:bottom w:val="single" w:color="auto" w:sz="8" w:space="0"/>
              <w:right w:val="single" w:color="auto" w:sz="8" w:space="0"/>
            </w:tcBorders>
            <w:shd w:val="clear" w:color="000000" w:fill="BDD7EE"/>
            <w:vAlign w:val="center"/>
            <w:hideMark/>
          </w:tcPr>
          <w:p w:rsidRPr="00B72DFD" w:rsidR="00D64DF9" w:rsidP="00D64DF9" w:rsidRDefault="00D64DF9">
            <w:pPr>
              <w:widowControl/>
              <w:autoSpaceDE/>
              <w:autoSpaceDN/>
              <w:jc w:val="center"/>
              <w:rPr>
                <w:rFonts w:eastAsia="Times New Roman" w:asciiTheme="minorHAnsi" w:hAnsiTheme="minorHAnsi" w:cstheme="minorHAnsi"/>
                <w:b/>
                <w:bCs/>
                <w:color w:val="000000"/>
                <w:sz w:val="20"/>
                <w:szCs w:val="20"/>
              </w:rPr>
            </w:pPr>
            <w:r w:rsidRPr="00B72DFD">
              <w:rPr>
                <w:rFonts w:eastAsia="Times New Roman" w:asciiTheme="minorHAnsi" w:hAnsiTheme="minorHAnsi" w:cstheme="minorHAnsi"/>
                <w:b/>
                <w:bCs/>
                <w:color w:val="000000"/>
                <w:sz w:val="20"/>
                <w:szCs w:val="20"/>
              </w:rPr>
              <w:t xml:space="preserve">Total Annual Burden </w:t>
            </w:r>
            <w:proofErr w:type="spellStart"/>
            <w:r w:rsidRPr="00B72DFD">
              <w:rPr>
                <w:rFonts w:eastAsia="Times New Roman" w:asciiTheme="minorHAnsi" w:hAnsiTheme="minorHAnsi" w:cstheme="minorHAnsi"/>
                <w:b/>
                <w:bCs/>
                <w:color w:val="000000"/>
                <w:sz w:val="20"/>
                <w:szCs w:val="20"/>
              </w:rPr>
              <w:t>Hrs</w:t>
            </w:r>
            <w:proofErr w:type="spellEnd"/>
            <w:r w:rsidRPr="00B72DFD">
              <w:rPr>
                <w:rFonts w:eastAsia="Times New Roman" w:asciiTheme="minorHAnsi" w:hAnsiTheme="minorHAnsi" w:cstheme="minorHAnsi"/>
                <w:b/>
                <w:bCs/>
                <w:color w:val="000000"/>
                <w:sz w:val="20"/>
                <w:szCs w:val="20"/>
              </w:rPr>
              <w:br/>
              <w:t>(e)  = (c) x (d)</w:t>
            </w:r>
          </w:p>
        </w:tc>
        <w:tc>
          <w:tcPr>
            <w:tcW w:w="1530" w:type="dxa"/>
            <w:tcBorders>
              <w:top w:val="single" w:color="auto" w:sz="8" w:space="0"/>
              <w:left w:val="nil"/>
              <w:bottom w:val="single" w:color="auto" w:sz="8" w:space="0"/>
              <w:right w:val="single" w:color="auto" w:sz="8" w:space="0"/>
            </w:tcBorders>
            <w:shd w:val="clear" w:color="000000" w:fill="BDD7EE"/>
            <w:vAlign w:val="center"/>
            <w:hideMark/>
          </w:tcPr>
          <w:p w:rsidRPr="00B72DFD" w:rsidR="00D64DF9" w:rsidP="00D64DF9" w:rsidRDefault="00D64DF9">
            <w:pPr>
              <w:widowControl/>
              <w:autoSpaceDE/>
              <w:autoSpaceDN/>
              <w:jc w:val="center"/>
              <w:rPr>
                <w:rFonts w:eastAsia="Times New Roman" w:asciiTheme="minorHAnsi" w:hAnsiTheme="minorHAnsi" w:cstheme="minorHAnsi"/>
                <w:b/>
                <w:bCs/>
                <w:color w:val="000000"/>
                <w:sz w:val="20"/>
                <w:szCs w:val="20"/>
              </w:rPr>
            </w:pPr>
            <w:r w:rsidRPr="00B72DFD">
              <w:rPr>
                <w:rFonts w:eastAsia="Times New Roman" w:asciiTheme="minorHAnsi" w:hAnsiTheme="minorHAnsi" w:cstheme="minorHAnsi"/>
                <w:b/>
                <w:bCs/>
                <w:color w:val="000000"/>
                <w:sz w:val="20"/>
                <w:szCs w:val="20"/>
              </w:rPr>
              <w:t>Hourly Wage Rate  (for Type of Respondent)</w:t>
            </w:r>
            <w:r w:rsidRPr="00B72DFD">
              <w:rPr>
                <w:rFonts w:eastAsia="Times New Roman" w:asciiTheme="minorHAnsi" w:hAnsiTheme="minorHAnsi" w:cstheme="minorHAnsi"/>
                <w:b/>
                <w:bCs/>
                <w:color w:val="000000"/>
                <w:sz w:val="20"/>
                <w:szCs w:val="20"/>
              </w:rPr>
              <w:br/>
              <w:t>(f)</w:t>
            </w:r>
          </w:p>
        </w:tc>
        <w:tc>
          <w:tcPr>
            <w:tcW w:w="1525" w:type="dxa"/>
            <w:tcBorders>
              <w:top w:val="single" w:color="auto" w:sz="8" w:space="0"/>
              <w:left w:val="nil"/>
              <w:bottom w:val="single" w:color="auto" w:sz="8" w:space="0"/>
              <w:right w:val="single" w:color="auto" w:sz="8" w:space="0"/>
            </w:tcBorders>
            <w:shd w:val="clear" w:color="000000" w:fill="BDD7EE"/>
            <w:vAlign w:val="center"/>
            <w:hideMark/>
          </w:tcPr>
          <w:p w:rsidRPr="00B72DFD" w:rsidR="00D64DF9" w:rsidP="00D64DF9" w:rsidRDefault="00D64DF9">
            <w:pPr>
              <w:widowControl/>
              <w:autoSpaceDE/>
              <w:autoSpaceDN/>
              <w:jc w:val="center"/>
              <w:rPr>
                <w:rFonts w:eastAsia="Times New Roman" w:asciiTheme="minorHAnsi" w:hAnsiTheme="minorHAnsi" w:cstheme="minorHAnsi"/>
                <w:b/>
                <w:bCs/>
                <w:color w:val="000000"/>
                <w:sz w:val="20"/>
                <w:szCs w:val="20"/>
              </w:rPr>
            </w:pPr>
            <w:r w:rsidRPr="00B72DFD">
              <w:rPr>
                <w:rFonts w:eastAsia="Times New Roman" w:asciiTheme="minorHAnsi" w:hAnsiTheme="minorHAnsi" w:cstheme="minorHAnsi"/>
                <w:b/>
                <w:bCs/>
                <w:color w:val="000000"/>
                <w:sz w:val="20"/>
                <w:szCs w:val="20"/>
              </w:rPr>
              <w:t>Total Annual Wage Burden Costs</w:t>
            </w:r>
            <w:r w:rsidRPr="00B72DFD">
              <w:rPr>
                <w:rFonts w:eastAsia="Times New Roman" w:asciiTheme="minorHAnsi" w:hAnsiTheme="minorHAnsi" w:cstheme="minorHAnsi"/>
                <w:b/>
                <w:bCs/>
                <w:color w:val="000000"/>
                <w:sz w:val="20"/>
                <w:szCs w:val="20"/>
              </w:rPr>
              <w:br/>
              <w:t>(g) = (e) x (f)</w:t>
            </w:r>
          </w:p>
        </w:tc>
      </w:tr>
      <w:tr w:rsidRPr="00B72DFD" w:rsidR="00B72DFD" w:rsidTr="00B72DFD">
        <w:trPr>
          <w:trHeight w:val="300"/>
        </w:trPr>
        <w:tc>
          <w:tcPr>
            <w:tcW w:w="2175" w:type="dxa"/>
            <w:tcBorders>
              <w:top w:val="nil"/>
              <w:left w:val="single" w:color="auto" w:sz="8" w:space="0"/>
              <w:bottom w:val="single" w:color="auto" w:sz="4" w:space="0"/>
              <w:right w:val="single" w:color="auto" w:sz="4" w:space="0"/>
            </w:tcBorders>
            <w:shd w:val="clear" w:color="auto" w:fill="auto"/>
            <w:vAlign w:val="center"/>
            <w:hideMark/>
          </w:tcPr>
          <w:p w:rsidRPr="00B72DFD" w:rsidR="00D64DF9" w:rsidP="00B72DFD" w:rsidRDefault="00696453">
            <w:pPr>
              <w:widowControl/>
              <w:autoSpaceDE/>
              <w:autoSpaceDN/>
              <w:jc w:val="center"/>
              <w:rPr>
                <w:rFonts w:eastAsia="Times New Roman" w:asciiTheme="minorHAnsi" w:hAnsiTheme="minorHAnsi" w:cstheme="minorHAnsi"/>
                <w:color w:val="000000"/>
                <w:sz w:val="20"/>
                <w:szCs w:val="20"/>
              </w:rPr>
            </w:pPr>
            <w:r w:rsidRPr="00B72DFD">
              <w:rPr>
                <w:rFonts w:eastAsia="Times New Roman" w:asciiTheme="minorHAnsi" w:hAnsiTheme="minorHAnsi" w:cstheme="minorHAnsi"/>
                <w:color w:val="000000"/>
                <w:sz w:val="20"/>
                <w:szCs w:val="20"/>
              </w:rPr>
              <w:t>Coastal Resilience Funding and Financing Opportunities and Needs</w:t>
            </w:r>
          </w:p>
        </w:tc>
        <w:tc>
          <w:tcPr>
            <w:tcW w:w="1980" w:type="dxa"/>
            <w:tcBorders>
              <w:top w:val="nil"/>
              <w:left w:val="nil"/>
              <w:bottom w:val="single" w:color="auto" w:sz="4" w:space="0"/>
              <w:right w:val="single" w:color="auto" w:sz="4" w:space="0"/>
            </w:tcBorders>
            <w:shd w:val="clear" w:color="auto" w:fill="auto"/>
            <w:vAlign w:val="center"/>
            <w:hideMark/>
          </w:tcPr>
          <w:p w:rsidRPr="00B72DFD" w:rsidR="00D64DF9" w:rsidP="00B72DFD" w:rsidRDefault="00696453">
            <w:pPr>
              <w:widowControl/>
              <w:autoSpaceDE/>
              <w:autoSpaceDN/>
              <w:jc w:val="center"/>
              <w:rPr>
                <w:rFonts w:eastAsia="Times New Roman" w:asciiTheme="minorHAnsi" w:hAnsiTheme="minorHAnsi" w:cstheme="minorHAnsi"/>
                <w:color w:val="000000"/>
                <w:sz w:val="20"/>
                <w:szCs w:val="20"/>
              </w:rPr>
            </w:pPr>
            <w:r w:rsidRPr="00B72DFD">
              <w:rPr>
                <w:rFonts w:eastAsia="Times New Roman" w:asciiTheme="minorHAnsi" w:hAnsiTheme="minorHAnsi" w:cstheme="minorHAnsi"/>
                <w:color w:val="000000"/>
                <w:sz w:val="20"/>
                <w:szCs w:val="20"/>
              </w:rPr>
              <w:t>Coastal Managers</w:t>
            </w:r>
          </w:p>
        </w:tc>
        <w:tc>
          <w:tcPr>
            <w:tcW w:w="1747" w:type="dxa"/>
            <w:tcBorders>
              <w:top w:val="nil"/>
              <w:left w:val="nil"/>
              <w:bottom w:val="single" w:color="auto" w:sz="4" w:space="0"/>
              <w:right w:val="single" w:color="auto" w:sz="4" w:space="0"/>
            </w:tcBorders>
            <w:shd w:val="clear" w:color="auto" w:fill="auto"/>
            <w:vAlign w:val="center"/>
            <w:hideMark/>
          </w:tcPr>
          <w:p w:rsidRPr="00B72DFD" w:rsidR="00D64DF9" w:rsidP="00B72DFD" w:rsidRDefault="00696453">
            <w:pPr>
              <w:widowControl/>
              <w:autoSpaceDE/>
              <w:autoSpaceDN/>
              <w:jc w:val="center"/>
              <w:rPr>
                <w:rFonts w:eastAsia="Times New Roman" w:asciiTheme="minorHAnsi" w:hAnsiTheme="minorHAnsi" w:cstheme="minorHAnsi"/>
                <w:color w:val="000000"/>
                <w:sz w:val="20"/>
                <w:szCs w:val="20"/>
              </w:rPr>
            </w:pPr>
            <w:r w:rsidRPr="00B72DFD">
              <w:rPr>
                <w:rFonts w:eastAsia="Times New Roman" w:asciiTheme="minorHAnsi" w:hAnsiTheme="minorHAnsi" w:cstheme="minorHAnsi"/>
                <w:color w:val="000000"/>
                <w:sz w:val="20"/>
                <w:szCs w:val="20"/>
              </w:rPr>
              <w:t>36</w:t>
            </w:r>
          </w:p>
        </w:tc>
        <w:tc>
          <w:tcPr>
            <w:tcW w:w="1493" w:type="dxa"/>
            <w:tcBorders>
              <w:top w:val="nil"/>
              <w:left w:val="nil"/>
              <w:bottom w:val="single" w:color="auto" w:sz="4" w:space="0"/>
              <w:right w:val="single" w:color="auto" w:sz="4" w:space="0"/>
            </w:tcBorders>
            <w:shd w:val="clear" w:color="auto" w:fill="auto"/>
            <w:vAlign w:val="center"/>
            <w:hideMark/>
          </w:tcPr>
          <w:p w:rsidRPr="00B72DFD" w:rsidR="00D64DF9" w:rsidP="00B72DFD" w:rsidRDefault="00696453">
            <w:pPr>
              <w:widowControl/>
              <w:autoSpaceDE/>
              <w:autoSpaceDN/>
              <w:jc w:val="center"/>
              <w:rPr>
                <w:rFonts w:eastAsia="Times New Roman" w:asciiTheme="minorHAnsi" w:hAnsiTheme="minorHAnsi" w:cstheme="minorHAnsi"/>
                <w:color w:val="000000"/>
                <w:sz w:val="20"/>
                <w:szCs w:val="20"/>
              </w:rPr>
            </w:pPr>
            <w:r w:rsidRPr="00B72DFD">
              <w:rPr>
                <w:rFonts w:eastAsia="Times New Roman" w:asciiTheme="minorHAnsi" w:hAnsiTheme="minorHAnsi" w:cstheme="minorHAnsi"/>
                <w:color w:val="000000"/>
                <w:sz w:val="20"/>
                <w:szCs w:val="20"/>
              </w:rPr>
              <w:t>1</w:t>
            </w:r>
          </w:p>
        </w:tc>
        <w:tc>
          <w:tcPr>
            <w:tcW w:w="1440" w:type="dxa"/>
            <w:tcBorders>
              <w:top w:val="nil"/>
              <w:left w:val="nil"/>
              <w:bottom w:val="single" w:color="auto" w:sz="4" w:space="0"/>
              <w:right w:val="single" w:color="auto" w:sz="4" w:space="0"/>
            </w:tcBorders>
            <w:shd w:val="clear" w:color="auto" w:fill="auto"/>
            <w:vAlign w:val="center"/>
            <w:hideMark/>
          </w:tcPr>
          <w:p w:rsidRPr="00B72DFD" w:rsidR="00D64DF9" w:rsidP="00B72DFD" w:rsidRDefault="00696453">
            <w:pPr>
              <w:widowControl/>
              <w:autoSpaceDE/>
              <w:autoSpaceDN/>
              <w:jc w:val="center"/>
              <w:rPr>
                <w:rFonts w:eastAsia="Times New Roman" w:asciiTheme="minorHAnsi" w:hAnsiTheme="minorHAnsi" w:cstheme="minorHAnsi"/>
                <w:color w:val="000000"/>
                <w:sz w:val="20"/>
                <w:szCs w:val="20"/>
              </w:rPr>
            </w:pPr>
            <w:r w:rsidRPr="00B72DFD">
              <w:rPr>
                <w:rFonts w:eastAsia="Times New Roman" w:asciiTheme="minorHAnsi" w:hAnsiTheme="minorHAnsi" w:cstheme="minorHAnsi"/>
                <w:color w:val="000000"/>
                <w:sz w:val="20"/>
                <w:szCs w:val="20"/>
              </w:rPr>
              <w:t>36</w:t>
            </w:r>
          </w:p>
        </w:tc>
        <w:tc>
          <w:tcPr>
            <w:tcW w:w="1350" w:type="dxa"/>
            <w:tcBorders>
              <w:top w:val="nil"/>
              <w:left w:val="nil"/>
              <w:bottom w:val="single" w:color="auto" w:sz="4" w:space="0"/>
              <w:right w:val="single" w:color="auto" w:sz="4" w:space="0"/>
            </w:tcBorders>
            <w:shd w:val="clear" w:color="auto" w:fill="auto"/>
            <w:vAlign w:val="center"/>
            <w:hideMark/>
          </w:tcPr>
          <w:p w:rsidRPr="00B72DFD" w:rsidR="00D64DF9" w:rsidP="00B72DFD" w:rsidRDefault="00696453">
            <w:pPr>
              <w:widowControl/>
              <w:autoSpaceDE/>
              <w:autoSpaceDN/>
              <w:jc w:val="center"/>
              <w:rPr>
                <w:rFonts w:eastAsia="Times New Roman" w:asciiTheme="minorHAnsi" w:hAnsiTheme="minorHAnsi" w:cstheme="minorHAnsi"/>
                <w:color w:val="000000"/>
                <w:sz w:val="20"/>
                <w:szCs w:val="20"/>
              </w:rPr>
            </w:pPr>
            <w:r w:rsidRPr="00B72DFD">
              <w:rPr>
                <w:rFonts w:eastAsia="Times New Roman" w:asciiTheme="minorHAnsi" w:hAnsiTheme="minorHAnsi" w:cstheme="minorHAnsi"/>
                <w:color w:val="000000"/>
                <w:sz w:val="20"/>
                <w:szCs w:val="20"/>
              </w:rPr>
              <w:t>1.5</w:t>
            </w:r>
          </w:p>
        </w:tc>
        <w:tc>
          <w:tcPr>
            <w:tcW w:w="1350" w:type="dxa"/>
            <w:tcBorders>
              <w:top w:val="nil"/>
              <w:left w:val="nil"/>
              <w:bottom w:val="single" w:color="auto" w:sz="4" w:space="0"/>
              <w:right w:val="single" w:color="auto" w:sz="4" w:space="0"/>
            </w:tcBorders>
            <w:shd w:val="clear" w:color="auto" w:fill="auto"/>
            <w:vAlign w:val="center"/>
            <w:hideMark/>
          </w:tcPr>
          <w:p w:rsidRPr="00B72DFD" w:rsidR="00D64DF9" w:rsidP="00B72DFD" w:rsidRDefault="00B72DFD">
            <w:pPr>
              <w:widowControl/>
              <w:autoSpaceDE/>
              <w:autoSpaceDN/>
              <w:jc w:val="center"/>
              <w:rPr>
                <w:rFonts w:eastAsia="Times New Roman" w:asciiTheme="minorHAnsi" w:hAnsiTheme="minorHAnsi" w:cstheme="minorHAnsi"/>
                <w:color w:val="000000"/>
                <w:sz w:val="20"/>
                <w:szCs w:val="20"/>
              </w:rPr>
            </w:pPr>
            <w:r w:rsidRPr="00B72DFD">
              <w:rPr>
                <w:rFonts w:eastAsia="Times New Roman" w:asciiTheme="minorHAnsi" w:hAnsiTheme="minorHAnsi" w:cstheme="minorHAnsi"/>
                <w:color w:val="000000"/>
                <w:sz w:val="20"/>
                <w:szCs w:val="20"/>
              </w:rPr>
              <w:t>54</w:t>
            </w:r>
          </w:p>
        </w:tc>
        <w:tc>
          <w:tcPr>
            <w:tcW w:w="1530" w:type="dxa"/>
            <w:tcBorders>
              <w:top w:val="nil"/>
              <w:left w:val="nil"/>
              <w:bottom w:val="single" w:color="auto" w:sz="4" w:space="0"/>
              <w:right w:val="single" w:color="auto" w:sz="4" w:space="0"/>
            </w:tcBorders>
            <w:shd w:val="clear" w:color="auto" w:fill="auto"/>
            <w:noWrap/>
            <w:vAlign w:val="center"/>
            <w:hideMark/>
          </w:tcPr>
          <w:p w:rsidRPr="00B72DFD" w:rsidR="00D64DF9" w:rsidP="00B72DFD" w:rsidRDefault="00B72DFD">
            <w:pPr>
              <w:widowControl/>
              <w:autoSpaceDE/>
              <w:autoSpaceDN/>
              <w:jc w:val="center"/>
              <w:rPr>
                <w:rFonts w:eastAsia="Times New Roman" w:asciiTheme="minorHAnsi" w:hAnsiTheme="minorHAnsi" w:cstheme="minorHAnsi"/>
                <w:color w:val="000000"/>
                <w:sz w:val="20"/>
                <w:szCs w:val="20"/>
              </w:rPr>
            </w:pPr>
            <w:r w:rsidRPr="00B72DFD">
              <w:rPr>
                <w:rFonts w:eastAsia="Times New Roman" w:asciiTheme="minorHAnsi" w:hAnsiTheme="minorHAnsi" w:cstheme="minorHAnsi"/>
                <w:color w:val="000000"/>
                <w:sz w:val="20"/>
                <w:szCs w:val="20"/>
              </w:rPr>
              <w:t>$50.80</w:t>
            </w:r>
          </w:p>
        </w:tc>
        <w:tc>
          <w:tcPr>
            <w:tcW w:w="1525" w:type="dxa"/>
            <w:tcBorders>
              <w:top w:val="nil"/>
              <w:left w:val="nil"/>
              <w:bottom w:val="single" w:color="auto" w:sz="4" w:space="0"/>
              <w:right w:val="single" w:color="auto" w:sz="8" w:space="0"/>
            </w:tcBorders>
            <w:shd w:val="clear" w:color="auto" w:fill="auto"/>
            <w:noWrap/>
            <w:vAlign w:val="center"/>
            <w:hideMark/>
          </w:tcPr>
          <w:p w:rsidRPr="00B72DFD" w:rsidR="00D64DF9" w:rsidP="00B72DFD" w:rsidRDefault="00B72DFD">
            <w:pPr>
              <w:widowControl/>
              <w:autoSpaceDE/>
              <w:autoSpaceDN/>
              <w:jc w:val="center"/>
              <w:rPr>
                <w:rFonts w:eastAsia="Times New Roman" w:asciiTheme="minorHAnsi" w:hAnsiTheme="minorHAnsi" w:cstheme="minorHAnsi"/>
                <w:color w:val="000000"/>
                <w:sz w:val="20"/>
                <w:szCs w:val="20"/>
              </w:rPr>
            </w:pPr>
            <w:r>
              <w:rPr>
                <w:rFonts w:eastAsia="Times New Roman" w:asciiTheme="minorHAnsi" w:hAnsiTheme="minorHAnsi" w:cstheme="minorHAnsi"/>
                <w:color w:val="000000"/>
                <w:sz w:val="20"/>
                <w:szCs w:val="20"/>
              </w:rPr>
              <w:t>$2,743.20</w:t>
            </w:r>
          </w:p>
        </w:tc>
      </w:tr>
      <w:tr w:rsidRPr="00B72DFD" w:rsidR="00B72DFD" w:rsidTr="00B72DFD">
        <w:trPr>
          <w:trHeight w:val="615"/>
        </w:trPr>
        <w:tc>
          <w:tcPr>
            <w:tcW w:w="2175" w:type="dxa"/>
            <w:tcBorders>
              <w:top w:val="nil"/>
              <w:left w:val="single" w:color="auto" w:sz="8" w:space="0"/>
              <w:bottom w:val="single" w:color="auto" w:sz="8" w:space="0"/>
              <w:right w:val="single" w:color="auto" w:sz="8" w:space="0"/>
            </w:tcBorders>
            <w:shd w:val="clear" w:color="000000" w:fill="DDEBF7"/>
            <w:noWrap/>
            <w:vAlign w:val="bottom"/>
            <w:hideMark/>
          </w:tcPr>
          <w:p w:rsidRPr="00B72DFD" w:rsidR="00D64DF9" w:rsidP="00D64DF9" w:rsidRDefault="00D64DF9">
            <w:pPr>
              <w:widowControl/>
              <w:autoSpaceDE/>
              <w:autoSpaceDN/>
              <w:rPr>
                <w:rFonts w:eastAsia="Times New Roman" w:asciiTheme="minorHAnsi" w:hAnsiTheme="minorHAnsi" w:cstheme="minorHAnsi"/>
                <w:b/>
                <w:bCs/>
                <w:color w:val="000000"/>
                <w:sz w:val="20"/>
                <w:szCs w:val="20"/>
              </w:rPr>
            </w:pPr>
            <w:r w:rsidRPr="00B72DFD">
              <w:rPr>
                <w:rFonts w:eastAsia="Times New Roman" w:asciiTheme="minorHAnsi" w:hAnsiTheme="minorHAnsi" w:cstheme="minorHAnsi"/>
                <w:b/>
                <w:bCs/>
                <w:color w:val="000000"/>
                <w:sz w:val="20"/>
                <w:szCs w:val="20"/>
              </w:rPr>
              <w:t>Totals</w:t>
            </w:r>
          </w:p>
        </w:tc>
        <w:tc>
          <w:tcPr>
            <w:tcW w:w="1980" w:type="dxa"/>
            <w:tcBorders>
              <w:top w:val="nil"/>
              <w:left w:val="nil"/>
              <w:bottom w:val="single" w:color="auto" w:sz="8" w:space="0"/>
              <w:right w:val="single" w:color="auto" w:sz="8" w:space="0"/>
            </w:tcBorders>
            <w:shd w:val="clear" w:color="000000" w:fill="000000"/>
            <w:noWrap/>
            <w:vAlign w:val="bottom"/>
            <w:hideMark/>
          </w:tcPr>
          <w:p w:rsidRPr="00B72DFD" w:rsidR="00D64DF9" w:rsidP="00D64DF9" w:rsidRDefault="00D64DF9">
            <w:pPr>
              <w:widowControl/>
              <w:autoSpaceDE/>
              <w:autoSpaceDN/>
              <w:rPr>
                <w:rFonts w:eastAsia="Times New Roman" w:asciiTheme="minorHAnsi" w:hAnsiTheme="minorHAnsi" w:cstheme="minorHAnsi"/>
                <w:b/>
                <w:bCs/>
                <w:color w:val="000000"/>
                <w:sz w:val="20"/>
                <w:szCs w:val="20"/>
              </w:rPr>
            </w:pPr>
            <w:r w:rsidRPr="00B72DFD">
              <w:rPr>
                <w:rFonts w:eastAsia="Times New Roman" w:asciiTheme="minorHAnsi" w:hAnsiTheme="minorHAnsi" w:cstheme="minorHAnsi"/>
                <w:b/>
                <w:bCs/>
                <w:color w:val="000000"/>
                <w:sz w:val="20"/>
                <w:szCs w:val="20"/>
              </w:rPr>
              <w:t> </w:t>
            </w:r>
          </w:p>
        </w:tc>
        <w:tc>
          <w:tcPr>
            <w:tcW w:w="1747" w:type="dxa"/>
            <w:tcBorders>
              <w:top w:val="nil"/>
              <w:left w:val="nil"/>
              <w:bottom w:val="single" w:color="auto" w:sz="8" w:space="0"/>
              <w:right w:val="single" w:color="auto" w:sz="8" w:space="0"/>
            </w:tcBorders>
            <w:shd w:val="clear" w:color="000000" w:fill="000000"/>
            <w:noWrap/>
            <w:vAlign w:val="bottom"/>
            <w:hideMark/>
          </w:tcPr>
          <w:p w:rsidRPr="00B72DFD" w:rsidR="00D64DF9" w:rsidP="00D64DF9" w:rsidRDefault="00D64DF9">
            <w:pPr>
              <w:widowControl/>
              <w:autoSpaceDE/>
              <w:autoSpaceDN/>
              <w:rPr>
                <w:rFonts w:eastAsia="Times New Roman" w:asciiTheme="minorHAnsi" w:hAnsiTheme="minorHAnsi" w:cstheme="minorHAnsi"/>
                <w:b/>
                <w:bCs/>
                <w:color w:val="000000"/>
                <w:sz w:val="20"/>
                <w:szCs w:val="20"/>
              </w:rPr>
            </w:pPr>
            <w:r w:rsidRPr="00B72DFD">
              <w:rPr>
                <w:rFonts w:eastAsia="Times New Roman" w:asciiTheme="minorHAnsi" w:hAnsiTheme="minorHAnsi" w:cstheme="minorHAnsi"/>
                <w:b/>
                <w:bCs/>
                <w:color w:val="000000"/>
                <w:sz w:val="20"/>
                <w:szCs w:val="20"/>
              </w:rPr>
              <w:t> </w:t>
            </w:r>
          </w:p>
        </w:tc>
        <w:tc>
          <w:tcPr>
            <w:tcW w:w="1493" w:type="dxa"/>
            <w:tcBorders>
              <w:top w:val="nil"/>
              <w:left w:val="nil"/>
              <w:bottom w:val="single" w:color="auto" w:sz="8" w:space="0"/>
              <w:right w:val="single" w:color="auto" w:sz="8" w:space="0"/>
            </w:tcBorders>
            <w:shd w:val="clear" w:color="000000" w:fill="000000"/>
            <w:noWrap/>
            <w:vAlign w:val="bottom"/>
            <w:hideMark/>
          </w:tcPr>
          <w:p w:rsidRPr="00B72DFD" w:rsidR="00D64DF9" w:rsidP="00D64DF9" w:rsidRDefault="00D64DF9">
            <w:pPr>
              <w:widowControl/>
              <w:autoSpaceDE/>
              <w:autoSpaceDN/>
              <w:rPr>
                <w:rFonts w:eastAsia="Times New Roman" w:asciiTheme="minorHAnsi" w:hAnsiTheme="minorHAnsi" w:cstheme="minorHAnsi"/>
                <w:b/>
                <w:bCs/>
                <w:color w:val="000000"/>
                <w:sz w:val="20"/>
                <w:szCs w:val="20"/>
              </w:rPr>
            </w:pPr>
            <w:r w:rsidRPr="00B72DFD">
              <w:rPr>
                <w:rFonts w:eastAsia="Times New Roman" w:asciiTheme="minorHAnsi" w:hAnsiTheme="minorHAnsi" w:cstheme="minorHAnsi"/>
                <w:b/>
                <w:bCs/>
                <w:color w:val="000000"/>
                <w:sz w:val="20"/>
                <w:szCs w:val="20"/>
              </w:rPr>
              <w:t> </w:t>
            </w:r>
          </w:p>
        </w:tc>
        <w:tc>
          <w:tcPr>
            <w:tcW w:w="1440" w:type="dxa"/>
            <w:tcBorders>
              <w:top w:val="nil"/>
              <w:left w:val="nil"/>
              <w:bottom w:val="single" w:color="auto" w:sz="8" w:space="0"/>
              <w:right w:val="single" w:color="auto" w:sz="8" w:space="0"/>
            </w:tcBorders>
            <w:shd w:val="clear" w:color="000000" w:fill="DDEBF7"/>
            <w:noWrap/>
            <w:vAlign w:val="center"/>
            <w:hideMark/>
          </w:tcPr>
          <w:p w:rsidRPr="00B72DFD" w:rsidR="00D64DF9" w:rsidP="00B72DFD" w:rsidRDefault="00B72DFD">
            <w:pPr>
              <w:widowControl/>
              <w:autoSpaceDE/>
              <w:autoSpaceDN/>
              <w:jc w:val="center"/>
              <w:rPr>
                <w:rFonts w:eastAsia="Times New Roman" w:asciiTheme="minorHAnsi" w:hAnsiTheme="minorHAnsi" w:cstheme="minorHAnsi"/>
                <w:b/>
                <w:bCs/>
                <w:color w:val="000000"/>
                <w:sz w:val="20"/>
                <w:szCs w:val="20"/>
              </w:rPr>
            </w:pPr>
            <w:r>
              <w:rPr>
                <w:rFonts w:eastAsia="Times New Roman" w:asciiTheme="minorHAnsi" w:hAnsiTheme="minorHAnsi" w:cstheme="minorHAnsi"/>
                <w:b/>
                <w:bCs/>
                <w:color w:val="000000"/>
                <w:sz w:val="20"/>
                <w:szCs w:val="20"/>
              </w:rPr>
              <w:t>36</w:t>
            </w:r>
          </w:p>
        </w:tc>
        <w:tc>
          <w:tcPr>
            <w:tcW w:w="1350" w:type="dxa"/>
            <w:tcBorders>
              <w:top w:val="nil"/>
              <w:left w:val="nil"/>
              <w:bottom w:val="single" w:color="auto" w:sz="8" w:space="0"/>
              <w:right w:val="single" w:color="auto" w:sz="8" w:space="0"/>
            </w:tcBorders>
            <w:shd w:val="clear" w:color="000000" w:fill="000000"/>
            <w:noWrap/>
            <w:vAlign w:val="center"/>
            <w:hideMark/>
          </w:tcPr>
          <w:p w:rsidRPr="00B72DFD" w:rsidR="00D64DF9" w:rsidP="00B72DFD" w:rsidRDefault="00D64DF9">
            <w:pPr>
              <w:widowControl/>
              <w:autoSpaceDE/>
              <w:autoSpaceDN/>
              <w:jc w:val="center"/>
              <w:rPr>
                <w:rFonts w:eastAsia="Times New Roman" w:asciiTheme="minorHAnsi" w:hAnsiTheme="minorHAnsi" w:cstheme="minorHAnsi"/>
                <w:b/>
                <w:bCs/>
                <w:color w:val="000000"/>
                <w:sz w:val="20"/>
                <w:szCs w:val="20"/>
              </w:rPr>
            </w:pPr>
          </w:p>
        </w:tc>
        <w:tc>
          <w:tcPr>
            <w:tcW w:w="1350" w:type="dxa"/>
            <w:tcBorders>
              <w:top w:val="nil"/>
              <w:left w:val="nil"/>
              <w:bottom w:val="single" w:color="auto" w:sz="8" w:space="0"/>
              <w:right w:val="single" w:color="auto" w:sz="8" w:space="0"/>
            </w:tcBorders>
            <w:shd w:val="clear" w:color="000000" w:fill="DDEBF7"/>
            <w:noWrap/>
            <w:vAlign w:val="center"/>
            <w:hideMark/>
          </w:tcPr>
          <w:p w:rsidRPr="00B72DFD" w:rsidR="00D64DF9" w:rsidP="00B72DFD" w:rsidRDefault="00B72DFD">
            <w:pPr>
              <w:widowControl/>
              <w:autoSpaceDE/>
              <w:autoSpaceDN/>
              <w:jc w:val="center"/>
              <w:rPr>
                <w:rFonts w:eastAsia="Times New Roman" w:asciiTheme="minorHAnsi" w:hAnsiTheme="minorHAnsi" w:cstheme="minorHAnsi"/>
                <w:b/>
                <w:bCs/>
                <w:color w:val="000000"/>
                <w:sz w:val="20"/>
                <w:szCs w:val="20"/>
              </w:rPr>
            </w:pPr>
            <w:r>
              <w:rPr>
                <w:rFonts w:eastAsia="Times New Roman" w:asciiTheme="minorHAnsi" w:hAnsiTheme="minorHAnsi" w:cstheme="minorHAnsi"/>
                <w:b/>
                <w:bCs/>
                <w:color w:val="000000"/>
                <w:sz w:val="20"/>
                <w:szCs w:val="20"/>
              </w:rPr>
              <w:t>54</w:t>
            </w:r>
          </w:p>
        </w:tc>
        <w:tc>
          <w:tcPr>
            <w:tcW w:w="1530" w:type="dxa"/>
            <w:tcBorders>
              <w:top w:val="nil"/>
              <w:left w:val="nil"/>
              <w:bottom w:val="single" w:color="auto" w:sz="8" w:space="0"/>
              <w:right w:val="single" w:color="auto" w:sz="8" w:space="0"/>
            </w:tcBorders>
            <w:shd w:val="clear" w:color="000000" w:fill="000000"/>
            <w:noWrap/>
            <w:vAlign w:val="center"/>
            <w:hideMark/>
          </w:tcPr>
          <w:p w:rsidRPr="00B72DFD" w:rsidR="00D64DF9" w:rsidP="00B72DFD" w:rsidRDefault="00D64DF9">
            <w:pPr>
              <w:widowControl/>
              <w:autoSpaceDE/>
              <w:autoSpaceDN/>
              <w:jc w:val="center"/>
              <w:rPr>
                <w:rFonts w:eastAsia="Times New Roman" w:asciiTheme="minorHAnsi" w:hAnsiTheme="minorHAnsi" w:cstheme="minorHAnsi"/>
                <w:b/>
                <w:bCs/>
                <w:color w:val="000000"/>
                <w:sz w:val="20"/>
                <w:szCs w:val="20"/>
              </w:rPr>
            </w:pPr>
          </w:p>
        </w:tc>
        <w:tc>
          <w:tcPr>
            <w:tcW w:w="1525" w:type="dxa"/>
            <w:tcBorders>
              <w:top w:val="nil"/>
              <w:left w:val="nil"/>
              <w:bottom w:val="single" w:color="auto" w:sz="8" w:space="0"/>
              <w:right w:val="single" w:color="auto" w:sz="8" w:space="0"/>
            </w:tcBorders>
            <w:shd w:val="clear" w:color="000000" w:fill="DDEBF7"/>
            <w:noWrap/>
            <w:vAlign w:val="center"/>
            <w:hideMark/>
          </w:tcPr>
          <w:p w:rsidRPr="00B72DFD" w:rsidR="00D64DF9" w:rsidP="00B72DFD" w:rsidRDefault="00B72DFD">
            <w:pPr>
              <w:widowControl/>
              <w:autoSpaceDE/>
              <w:autoSpaceDN/>
              <w:jc w:val="center"/>
              <w:rPr>
                <w:rFonts w:eastAsia="Times New Roman" w:asciiTheme="minorHAnsi" w:hAnsiTheme="minorHAnsi" w:cstheme="minorHAnsi"/>
                <w:b/>
                <w:bCs/>
                <w:color w:val="000000"/>
                <w:sz w:val="20"/>
                <w:szCs w:val="20"/>
              </w:rPr>
            </w:pPr>
            <w:r>
              <w:rPr>
                <w:rFonts w:eastAsia="Times New Roman" w:asciiTheme="minorHAnsi" w:hAnsiTheme="minorHAnsi" w:cstheme="minorHAnsi"/>
                <w:b/>
                <w:bCs/>
                <w:color w:val="000000"/>
                <w:sz w:val="20"/>
                <w:szCs w:val="20"/>
              </w:rPr>
              <w:t>$2,743.20</w:t>
            </w:r>
          </w:p>
        </w:tc>
      </w:tr>
    </w:tbl>
    <w:p w:rsidRPr="004E4785" w:rsidR="00D64DF9" w:rsidP="00D64DF9" w:rsidRDefault="00D64DF9">
      <w:pPr>
        <w:spacing w:line="259" w:lineRule="auto"/>
        <w:rPr>
          <w:rFonts w:cs="Times New Roman"/>
          <w:b/>
          <w:color w:val="FF0000"/>
          <w:szCs w:val="24"/>
        </w:rPr>
      </w:pPr>
    </w:p>
    <w:p w:rsidRPr="004E4785" w:rsidR="008E61C9" w:rsidP="00696453" w:rsidRDefault="00696453">
      <w:pPr>
        <w:spacing w:line="259" w:lineRule="auto"/>
        <w:rPr>
          <w:rFonts w:cs="Times New Roman"/>
          <w:szCs w:val="24"/>
        </w:rPr>
        <w:sectPr w:rsidRPr="004E4785" w:rsidR="008E61C9" w:rsidSect="00D64DF9">
          <w:pgSz w:w="15840" w:h="12240" w:orient="landscape"/>
          <w:pgMar w:top="1080" w:right="1200" w:bottom="1080" w:left="640" w:header="0" w:footer="1014" w:gutter="0"/>
          <w:cols w:space="720"/>
          <w:docGrid w:linePitch="299"/>
        </w:sectPr>
      </w:pPr>
      <w:r>
        <w:rPr>
          <w:szCs w:val="24"/>
        </w:rPr>
        <w:t>*</w:t>
      </w:r>
      <w:r>
        <w:rPr>
          <w:sz w:val="22"/>
        </w:rPr>
        <w:t xml:space="preserve">Cost </w:t>
      </w:r>
      <w:proofErr w:type="gramStart"/>
      <w:r>
        <w:rPr>
          <w:sz w:val="22"/>
        </w:rPr>
        <w:t>was calculated</w:t>
      </w:r>
      <w:proofErr w:type="gramEnd"/>
      <w:r>
        <w:rPr>
          <w:sz w:val="22"/>
        </w:rPr>
        <w:t xml:space="preserve"> using the national estimated median hourly wage for management occupations ($50.80) </w:t>
      </w:r>
      <w:r>
        <w:rPr>
          <w:szCs w:val="24"/>
        </w:rPr>
        <w:t>(</w:t>
      </w:r>
      <w:hyperlink r:id="rId8">
        <w:r>
          <w:rPr>
            <w:color w:val="0000FF"/>
            <w:u w:val="single"/>
          </w:rPr>
          <w:t>https://www.bls.gov/oes/current/oes110000.htm</w:t>
        </w:r>
      </w:hyperlink>
      <w:r>
        <w:rPr>
          <w:color w:val="0000FF"/>
          <w:u w:val="single"/>
        </w:rPr>
        <w:t>)</w:t>
      </w:r>
    </w:p>
    <w:p w:rsidRPr="004E4785" w:rsidR="008E61C9" w:rsidP="00BD7237" w:rsidRDefault="001477A3">
      <w:pPr>
        <w:pStyle w:val="ListParagraph"/>
        <w:numPr>
          <w:ilvl w:val="0"/>
          <w:numId w:val="7"/>
        </w:numPr>
        <w:tabs>
          <w:tab w:val="left" w:pos="360"/>
        </w:tabs>
        <w:spacing w:before="80"/>
        <w:ind w:left="0" w:firstLine="0"/>
        <w:rPr>
          <w:rFonts w:cs="Times New Roman"/>
          <w:b/>
          <w:szCs w:val="24"/>
        </w:rPr>
      </w:pPr>
      <w:r w:rsidRPr="004E4785">
        <w:rPr>
          <w:rFonts w:cs="Times New Roman"/>
          <w:b/>
          <w:szCs w:val="24"/>
        </w:rPr>
        <w:lastRenderedPageBreak/>
        <w:t>Provide an estimate for the total annual cost burden to respondents or record keepers resulting from the collection of information. (Do not include the cost of any hour burden already reflected on the burden worksheet).</w:t>
      </w:r>
    </w:p>
    <w:p w:rsidR="008E61C9" w:rsidP="00BD7237" w:rsidRDefault="008E61C9">
      <w:pPr>
        <w:pStyle w:val="BodyText"/>
        <w:spacing w:before="1"/>
        <w:ind w:left="0"/>
        <w:rPr>
          <w:rFonts w:cs="Times New Roman"/>
          <w:b/>
        </w:rPr>
      </w:pPr>
    </w:p>
    <w:p w:rsidR="00B72DFD" w:rsidP="00B72DFD" w:rsidRDefault="00B72DFD">
      <w:pPr>
        <w:rPr>
          <w:szCs w:val="24"/>
        </w:rPr>
      </w:pPr>
      <w:r>
        <w:rPr>
          <w:szCs w:val="24"/>
        </w:rPr>
        <w:t>There are no capital/start-up or ongoing operation/maintenance costs associated with this information collection.</w:t>
      </w:r>
    </w:p>
    <w:p w:rsidRPr="004E4785" w:rsidR="00B72DFD" w:rsidP="00BD7237" w:rsidRDefault="00B72DFD">
      <w:pPr>
        <w:pStyle w:val="BodyText"/>
        <w:spacing w:before="1"/>
        <w:ind w:left="0"/>
        <w:rPr>
          <w:rFonts w:cs="Times New Roman"/>
          <w:b/>
        </w:rPr>
      </w:pPr>
    </w:p>
    <w:p w:rsidRPr="004E4785" w:rsidR="008E61C9" w:rsidP="00BD7237" w:rsidRDefault="001477A3">
      <w:pPr>
        <w:pStyle w:val="ListParagraph"/>
        <w:numPr>
          <w:ilvl w:val="0"/>
          <w:numId w:val="7"/>
        </w:numPr>
        <w:tabs>
          <w:tab w:val="left" w:pos="360"/>
        </w:tabs>
        <w:spacing w:before="80"/>
        <w:ind w:left="0" w:firstLine="0"/>
        <w:rPr>
          <w:rFonts w:cs="Times New Roman"/>
          <w:b/>
          <w:szCs w:val="24"/>
        </w:rPr>
      </w:pPr>
      <w:r w:rsidRPr="004E4785">
        <w:rPr>
          <w:rFonts w:cs="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Pr="004E4785" w:rsidR="008E61C9" w:rsidP="00BD7237" w:rsidRDefault="008E61C9">
      <w:pPr>
        <w:pStyle w:val="BodyText"/>
        <w:spacing w:before="9" w:after="1"/>
        <w:ind w:left="0"/>
        <w:rPr>
          <w:rFonts w:cs="Times New Roman"/>
          <w:b/>
        </w:rPr>
      </w:pPr>
    </w:p>
    <w:tbl>
      <w:tblPr>
        <w:tblW w:w="8300" w:type="dxa"/>
        <w:tblInd w:w="-25" w:type="dxa"/>
        <w:tblLook w:val="04A0" w:firstRow="1" w:lastRow="0" w:firstColumn="1" w:lastColumn="0" w:noHBand="0" w:noVBand="1"/>
      </w:tblPr>
      <w:tblGrid>
        <w:gridCol w:w="2280"/>
        <w:gridCol w:w="1180"/>
        <w:gridCol w:w="1235"/>
        <w:gridCol w:w="1025"/>
        <w:gridCol w:w="1280"/>
        <w:gridCol w:w="1300"/>
      </w:tblGrid>
      <w:tr w:rsidRPr="00B72DFD" w:rsidR="00DF0CE3" w:rsidTr="008720A2">
        <w:trPr>
          <w:trHeight w:val="450"/>
        </w:trPr>
        <w:tc>
          <w:tcPr>
            <w:tcW w:w="2280" w:type="dxa"/>
            <w:tcBorders>
              <w:top w:val="single" w:color="auto" w:sz="8" w:space="0"/>
              <w:left w:val="single" w:color="auto" w:sz="8" w:space="0"/>
              <w:bottom w:val="nil"/>
              <w:right w:val="single" w:color="auto" w:sz="8" w:space="0"/>
            </w:tcBorders>
            <w:shd w:val="clear" w:color="000000" w:fill="BDD7EE"/>
            <w:vAlign w:val="center"/>
            <w:hideMark/>
          </w:tcPr>
          <w:p w:rsidRPr="00B72DFD" w:rsidR="00DF0CE3" w:rsidP="00DF0CE3" w:rsidRDefault="00DF0CE3">
            <w:pPr>
              <w:widowControl/>
              <w:autoSpaceDE/>
              <w:autoSpaceDN/>
              <w:jc w:val="center"/>
              <w:rPr>
                <w:rFonts w:eastAsia="Times New Roman" w:asciiTheme="minorHAnsi" w:hAnsiTheme="minorHAnsi" w:cstheme="minorHAnsi"/>
                <w:b/>
                <w:bCs/>
                <w:color w:val="000000"/>
                <w:sz w:val="20"/>
                <w:szCs w:val="20"/>
              </w:rPr>
            </w:pPr>
            <w:r w:rsidRPr="00B72DFD">
              <w:rPr>
                <w:rFonts w:eastAsia="Times New Roman" w:asciiTheme="minorHAnsi" w:hAnsiTheme="minorHAnsi" w:cstheme="minorHAnsi"/>
                <w:b/>
                <w:bCs/>
                <w:color w:val="000000"/>
                <w:sz w:val="20"/>
                <w:szCs w:val="20"/>
              </w:rPr>
              <w:t>Cost Descriptions</w:t>
            </w:r>
          </w:p>
        </w:tc>
        <w:tc>
          <w:tcPr>
            <w:tcW w:w="1180" w:type="dxa"/>
            <w:tcBorders>
              <w:top w:val="single" w:color="auto" w:sz="8" w:space="0"/>
              <w:left w:val="nil"/>
              <w:bottom w:val="nil"/>
              <w:right w:val="single" w:color="auto" w:sz="8" w:space="0"/>
            </w:tcBorders>
            <w:shd w:val="clear" w:color="000000" w:fill="BDD7EE"/>
            <w:vAlign w:val="center"/>
            <w:hideMark/>
          </w:tcPr>
          <w:p w:rsidRPr="00B72DFD" w:rsidR="00DF0CE3" w:rsidP="00DF0CE3" w:rsidRDefault="00DF0CE3">
            <w:pPr>
              <w:widowControl/>
              <w:autoSpaceDE/>
              <w:autoSpaceDN/>
              <w:jc w:val="center"/>
              <w:rPr>
                <w:rFonts w:eastAsia="Times New Roman" w:asciiTheme="minorHAnsi" w:hAnsiTheme="minorHAnsi" w:cstheme="minorHAnsi"/>
                <w:b/>
                <w:bCs/>
                <w:color w:val="000000"/>
                <w:sz w:val="20"/>
                <w:szCs w:val="20"/>
              </w:rPr>
            </w:pPr>
            <w:r w:rsidRPr="00B72DFD">
              <w:rPr>
                <w:rFonts w:eastAsia="Times New Roman" w:asciiTheme="minorHAnsi" w:hAnsiTheme="minorHAnsi" w:cstheme="minorHAnsi"/>
                <w:b/>
                <w:bCs/>
                <w:color w:val="000000"/>
                <w:sz w:val="20"/>
                <w:szCs w:val="20"/>
              </w:rPr>
              <w:t>Grade/Step</w:t>
            </w:r>
          </w:p>
        </w:tc>
        <w:tc>
          <w:tcPr>
            <w:tcW w:w="1235" w:type="dxa"/>
            <w:tcBorders>
              <w:top w:val="single" w:color="auto" w:sz="8" w:space="0"/>
              <w:left w:val="nil"/>
              <w:bottom w:val="nil"/>
              <w:right w:val="single" w:color="auto" w:sz="8" w:space="0"/>
            </w:tcBorders>
            <w:shd w:val="clear" w:color="000000" w:fill="BDD7EE"/>
            <w:vAlign w:val="center"/>
            <w:hideMark/>
          </w:tcPr>
          <w:p w:rsidRPr="00B72DFD" w:rsidR="00DF0CE3" w:rsidP="00DF0CE3" w:rsidRDefault="00DF0CE3">
            <w:pPr>
              <w:widowControl/>
              <w:autoSpaceDE/>
              <w:autoSpaceDN/>
              <w:jc w:val="center"/>
              <w:rPr>
                <w:rFonts w:eastAsia="Times New Roman" w:asciiTheme="minorHAnsi" w:hAnsiTheme="minorHAnsi" w:cstheme="minorHAnsi"/>
                <w:b/>
                <w:bCs/>
                <w:color w:val="000000"/>
                <w:sz w:val="20"/>
                <w:szCs w:val="20"/>
              </w:rPr>
            </w:pPr>
            <w:r w:rsidRPr="00B72DFD">
              <w:rPr>
                <w:rFonts w:eastAsia="Times New Roman" w:asciiTheme="minorHAnsi" w:hAnsiTheme="minorHAnsi" w:cstheme="minorHAnsi"/>
                <w:b/>
                <w:bCs/>
                <w:color w:val="000000"/>
                <w:sz w:val="20"/>
                <w:szCs w:val="20"/>
              </w:rPr>
              <w:t>Loaded Salary /Cost</w:t>
            </w:r>
          </w:p>
        </w:tc>
        <w:tc>
          <w:tcPr>
            <w:tcW w:w="1025" w:type="dxa"/>
            <w:tcBorders>
              <w:top w:val="single" w:color="auto" w:sz="8" w:space="0"/>
              <w:left w:val="nil"/>
              <w:bottom w:val="nil"/>
              <w:right w:val="single" w:color="auto" w:sz="8" w:space="0"/>
            </w:tcBorders>
            <w:shd w:val="clear" w:color="000000" w:fill="BDD7EE"/>
            <w:vAlign w:val="center"/>
            <w:hideMark/>
          </w:tcPr>
          <w:p w:rsidRPr="00B72DFD" w:rsidR="00DF0CE3" w:rsidP="00DF0CE3" w:rsidRDefault="00DF0CE3">
            <w:pPr>
              <w:widowControl/>
              <w:autoSpaceDE/>
              <w:autoSpaceDN/>
              <w:jc w:val="center"/>
              <w:rPr>
                <w:rFonts w:eastAsia="Times New Roman" w:asciiTheme="minorHAnsi" w:hAnsiTheme="minorHAnsi" w:cstheme="minorHAnsi"/>
                <w:b/>
                <w:bCs/>
                <w:color w:val="000000"/>
                <w:sz w:val="20"/>
                <w:szCs w:val="20"/>
              </w:rPr>
            </w:pPr>
            <w:r w:rsidRPr="00B72DFD">
              <w:rPr>
                <w:rFonts w:eastAsia="Times New Roman" w:asciiTheme="minorHAnsi" w:hAnsiTheme="minorHAnsi" w:cstheme="minorHAnsi"/>
                <w:b/>
                <w:bCs/>
                <w:color w:val="000000"/>
                <w:sz w:val="20"/>
                <w:szCs w:val="20"/>
              </w:rPr>
              <w:t>% of Effort</w:t>
            </w:r>
          </w:p>
        </w:tc>
        <w:tc>
          <w:tcPr>
            <w:tcW w:w="1280" w:type="dxa"/>
            <w:tcBorders>
              <w:top w:val="single" w:color="auto" w:sz="8" w:space="0"/>
              <w:left w:val="nil"/>
              <w:bottom w:val="nil"/>
              <w:right w:val="single" w:color="auto" w:sz="8" w:space="0"/>
            </w:tcBorders>
            <w:shd w:val="clear" w:color="000000" w:fill="BDD7EE"/>
            <w:vAlign w:val="center"/>
            <w:hideMark/>
          </w:tcPr>
          <w:p w:rsidRPr="00B72DFD" w:rsidR="00DF0CE3" w:rsidP="00DF0CE3" w:rsidRDefault="00DF0CE3">
            <w:pPr>
              <w:widowControl/>
              <w:autoSpaceDE/>
              <w:autoSpaceDN/>
              <w:jc w:val="center"/>
              <w:rPr>
                <w:rFonts w:eastAsia="Times New Roman" w:asciiTheme="minorHAnsi" w:hAnsiTheme="minorHAnsi" w:cstheme="minorHAnsi"/>
                <w:b/>
                <w:bCs/>
                <w:color w:val="000000"/>
                <w:sz w:val="20"/>
                <w:szCs w:val="20"/>
              </w:rPr>
            </w:pPr>
            <w:r w:rsidRPr="00B72DFD">
              <w:rPr>
                <w:rFonts w:eastAsia="Times New Roman" w:asciiTheme="minorHAnsi" w:hAnsiTheme="minorHAnsi" w:cstheme="minorHAnsi"/>
                <w:b/>
                <w:bCs/>
                <w:color w:val="000000"/>
                <w:sz w:val="20"/>
                <w:szCs w:val="20"/>
              </w:rPr>
              <w:t>Fringe (if Applicable)</w:t>
            </w:r>
          </w:p>
        </w:tc>
        <w:tc>
          <w:tcPr>
            <w:tcW w:w="1300" w:type="dxa"/>
            <w:tcBorders>
              <w:top w:val="single" w:color="auto" w:sz="8" w:space="0"/>
              <w:left w:val="nil"/>
              <w:bottom w:val="nil"/>
              <w:right w:val="single" w:color="auto" w:sz="8" w:space="0"/>
            </w:tcBorders>
            <w:shd w:val="clear" w:color="000000" w:fill="BDD7EE"/>
            <w:vAlign w:val="center"/>
            <w:hideMark/>
          </w:tcPr>
          <w:p w:rsidRPr="00B72DFD" w:rsidR="00DF0CE3" w:rsidP="00DF0CE3" w:rsidRDefault="00DF0CE3">
            <w:pPr>
              <w:widowControl/>
              <w:autoSpaceDE/>
              <w:autoSpaceDN/>
              <w:jc w:val="center"/>
              <w:rPr>
                <w:rFonts w:eastAsia="Times New Roman" w:asciiTheme="minorHAnsi" w:hAnsiTheme="minorHAnsi" w:cstheme="minorHAnsi"/>
                <w:b/>
                <w:bCs/>
                <w:color w:val="000000"/>
                <w:sz w:val="20"/>
                <w:szCs w:val="20"/>
              </w:rPr>
            </w:pPr>
            <w:r w:rsidRPr="00B72DFD">
              <w:rPr>
                <w:rFonts w:eastAsia="Times New Roman" w:asciiTheme="minorHAnsi" w:hAnsiTheme="minorHAnsi" w:cstheme="minorHAnsi"/>
                <w:b/>
                <w:bCs/>
                <w:color w:val="000000"/>
                <w:sz w:val="20"/>
                <w:szCs w:val="20"/>
              </w:rPr>
              <w:t>Total Cost to Government</w:t>
            </w:r>
          </w:p>
        </w:tc>
      </w:tr>
      <w:tr w:rsidRPr="00B72DFD" w:rsidR="00DF0CE3" w:rsidTr="008720A2">
        <w:trPr>
          <w:trHeight w:val="465"/>
        </w:trPr>
        <w:tc>
          <w:tcPr>
            <w:tcW w:w="2280" w:type="dxa"/>
            <w:tcBorders>
              <w:top w:val="single" w:color="auto" w:sz="4" w:space="0"/>
              <w:left w:val="single" w:color="auto" w:sz="8" w:space="0"/>
              <w:bottom w:val="single" w:color="auto" w:sz="4" w:space="0"/>
              <w:right w:val="single" w:color="auto" w:sz="8" w:space="0"/>
            </w:tcBorders>
            <w:shd w:val="clear" w:color="auto" w:fill="auto"/>
            <w:vAlign w:val="bottom"/>
            <w:hideMark/>
          </w:tcPr>
          <w:p w:rsidRPr="00B72DFD" w:rsidR="00DF0CE3" w:rsidP="00DF0CE3" w:rsidRDefault="00DF0CE3">
            <w:pPr>
              <w:widowControl/>
              <w:autoSpaceDE/>
              <w:autoSpaceDN/>
              <w:rPr>
                <w:rFonts w:eastAsia="Times New Roman" w:asciiTheme="minorHAnsi" w:hAnsiTheme="minorHAnsi" w:cstheme="minorHAnsi"/>
                <w:b/>
                <w:bCs/>
                <w:color w:val="000000"/>
                <w:sz w:val="20"/>
                <w:szCs w:val="20"/>
              </w:rPr>
            </w:pPr>
            <w:r w:rsidRPr="00B72DFD">
              <w:rPr>
                <w:rFonts w:eastAsia="Times New Roman" w:asciiTheme="minorHAnsi" w:hAnsiTheme="minorHAnsi" w:cstheme="minorHAnsi"/>
                <w:b/>
                <w:bCs/>
                <w:color w:val="000000"/>
                <w:sz w:val="20"/>
                <w:szCs w:val="20"/>
              </w:rPr>
              <w:t>Federal Oversight</w:t>
            </w:r>
          </w:p>
        </w:tc>
        <w:tc>
          <w:tcPr>
            <w:tcW w:w="1180" w:type="dxa"/>
            <w:tcBorders>
              <w:top w:val="single" w:color="auto" w:sz="4" w:space="0"/>
              <w:left w:val="nil"/>
              <w:bottom w:val="single" w:color="auto" w:sz="4" w:space="0"/>
              <w:right w:val="single" w:color="auto" w:sz="4" w:space="0"/>
            </w:tcBorders>
            <w:shd w:val="clear" w:color="auto" w:fill="auto"/>
            <w:noWrap/>
            <w:vAlign w:val="bottom"/>
            <w:hideMark/>
          </w:tcPr>
          <w:p w:rsidRPr="00B72DFD" w:rsidR="00DF0CE3" w:rsidP="00DF0CE3" w:rsidRDefault="00DF0CE3">
            <w:pPr>
              <w:widowControl/>
              <w:autoSpaceDE/>
              <w:autoSpaceDN/>
              <w:rPr>
                <w:rFonts w:eastAsia="Times New Roman" w:asciiTheme="minorHAnsi" w:hAnsiTheme="minorHAnsi" w:cstheme="minorHAnsi"/>
                <w:color w:val="000000"/>
                <w:sz w:val="20"/>
                <w:szCs w:val="20"/>
              </w:rPr>
            </w:pPr>
            <w:r w:rsidRPr="00B72DFD">
              <w:rPr>
                <w:rFonts w:eastAsia="Times New Roman" w:asciiTheme="minorHAnsi" w:hAnsiTheme="minorHAnsi" w:cstheme="minorHAnsi"/>
                <w:color w:val="000000"/>
                <w:sz w:val="20"/>
                <w:szCs w:val="20"/>
              </w:rPr>
              <w:t> </w:t>
            </w:r>
            <w:r w:rsidRPr="00B72DFD" w:rsidR="00B72DFD">
              <w:rPr>
                <w:rFonts w:eastAsia="Times New Roman" w:asciiTheme="minorHAnsi" w:hAnsiTheme="minorHAnsi" w:cstheme="minorHAnsi"/>
                <w:color w:val="000000"/>
                <w:sz w:val="20"/>
                <w:szCs w:val="20"/>
              </w:rPr>
              <w:t>ZA-0343-IV</w:t>
            </w:r>
          </w:p>
        </w:tc>
        <w:tc>
          <w:tcPr>
            <w:tcW w:w="1235" w:type="dxa"/>
            <w:tcBorders>
              <w:top w:val="single" w:color="auto" w:sz="4" w:space="0"/>
              <w:left w:val="nil"/>
              <w:bottom w:val="single" w:color="auto" w:sz="4" w:space="0"/>
              <w:right w:val="single" w:color="auto" w:sz="4" w:space="0"/>
            </w:tcBorders>
            <w:shd w:val="clear" w:color="auto" w:fill="auto"/>
            <w:noWrap/>
            <w:vAlign w:val="bottom"/>
            <w:hideMark/>
          </w:tcPr>
          <w:p w:rsidRPr="00B72DFD" w:rsidR="00DF0CE3" w:rsidP="00DF0CE3" w:rsidRDefault="00DF0CE3">
            <w:pPr>
              <w:widowControl/>
              <w:autoSpaceDE/>
              <w:autoSpaceDN/>
              <w:rPr>
                <w:rFonts w:eastAsia="Times New Roman" w:asciiTheme="minorHAnsi" w:hAnsiTheme="minorHAnsi" w:cstheme="minorHAnsi"/>
                <w:color w:val="000000"/>
                <w:sz w:val="20"/>
                <w:szCs w:val="20"/>
              </w:rPr>
            </w:pPr>
            <w:r w:rsidRPr="00B72DFD">
              <w:rPr>
                <w:rFonts w:eastAsia="Times New Roman" w:asciiTheme="minorHAnsi" w:hAnsiTheme="minorHAnsi" w:cstheme="minorHAnsi"/>
                <w:color w:val="000000"/>
                <w:sz w:val="20"/>
                <w:szCs w:val="20"/>
              </w:rPr>
              <w:t> </w:t>
            </w:r>
            <w:r w:rsidR="00B72DFD">
              <w:rPr>
                <w:rFonts w:eastAsia="Times New Roman" w:asciiTheme="minorHAnsi" w:hAnsiTheme="minorHAnsi" w:cstheme="minorHAnsi"/>
                <w:color w:val="000000"/>
                <w:sz w:val="20"/>
                <w:szCs w:val="20"/>
              </w:rPr>
              <w:t>$141,474</w:t>
            </w:r>
          </w:p>
        </w:tc>
        <w:tc>
          <w:tcPr>
            <w:tcW w:w="1025" w:type="dxa"/>
            <w:tcBorders>
              <w:top w:val="single" w:color="auto" w:sz="4" w:space="0"/>
              <w:left w:val="nil"/>
              <w:bottom w:val="single" w:color="auto" w:sz="4" w:space="0"/>
              <w:right w:val="single" w:color="auto" w:sz="4" w:space="0"/>
            </w:tcBorders>
            <w:shd w:val="clear" w:color="auto" w:fill="auto"/>
            <w:noWrap/>
            <w:vAlign w:val="bottom"/>
            <w:hideMark/>
          </w:tcPr>
          <w:p w:rsidRPr="00B72DFD" w:rsidR="00DF0CE3" w:rsidP="00DF0CE3" w:rsidRDefault="00B72DFD">
            <w:pPr>
              <w:widowControl/>
              <w:autoSpaceDE/>
              <w:autoSpaceDN/>
              <w:rPr>
                <w:rFonts w:eastAsia="Times New Roman" w:asciiTheme="minorHAnsi" w:hAnsiTheme="minorHAnsi" w:cstheme="minorHAnsi"/>
                <w:color w:val="000000"/>
                <w:sz w:val="20"/>
                <w:szCs w:val="20"/>
              </w:rPr>
            </w:pPr>
            <w:r>
              <w:rPr>
                <w:rFonts w:eastAsia="Times New Roman" w:asciiTheme="minorHAnsi" w:hAnsiTheme="minorHAnsi" w:cstheme="minorHAnsi"/>
                <w:color w:val="000000"/>
                <w:sz w:val="20"/>
                <w:szCs w:val="20"/>
              </w:rPr>
              <w:t>2%</w:t>
            </w:r>
          </w:p>
        </w:tc>
        <w:tc>
          <w:tcPr>
            <w:tcW w:w="1280" w:type="dxa"/>
            <w:tcBorders>
              <w:top w:val="single" w:color="auto" w:sz="4" w:space="0"/>
              <w:left w:val="nil"/>
              <w:bottom w:val="single" w:color="auto" w:sz="4" w:space="0"/>
              <w:right w:val="single" w:color="auto" w:sz="4" w:space="0"/>
            </w:tcBorders>
            <w:shd w:val="clear" w:color="000000" w:fill="808080"/>
            <w:noWrap/>
            <w:vAlign w:val="bottom"/>
            <w:hideMark/>
          </w:tcPr>
          <w:p w:rsidRPr="00B72DFD" w:rsidR="00DF0CE3" w:rsidP="00DF0CE3" w:rsidRDefault="00DF0CE3">
            <w:pPr>
              <w:widowControl/>
              <w:autoSpaceDE/>
              <w:autoSpaceDN/>
              <w:rPr>
                <w:rFonts w:eastAsia="Times New Roman" w:asciiTheme="minorHAnsi" w:hAnsiTheme="minorHAnsi" w:cstheme="minorHAnsi"/>
                <w:color w:val="000000"/>
                <w:sz w:val="20"/>
                <w:szCs w:val="20"/>
              </w:rPr>
            </w:pPr>
            <w:r w:rsidRPr="00B72DFD">
              <w:rPr>
                <w:rFonts w:eastAsia="Times New Roman" w:asciiTheme="minorHAnsi" w:hAnsiTheme="minorHAnsi" w:cstheme="minorHAnsi"/>
                <w:color w:val="000000"/>
                <w:sz w:val="20"/>
                <w:szCs w:val="20"/>
              </w:rPr>
              <w:t> </w:t>
            </w:r>
          </w:p>
        </w:tc>
        <w:tc>
          <w:tcPr>
            <w:tcW w:w="1300" w:type="dxa"/>
            <w:tcBorders>
              <w:top w:val="single" w:color="auto" w:sz="4" w:space="0"/>
              <w:left w:val="nil"/>
              <w:bottom w:val="single" w:color="auto" w:sz="4" w:space="0"/>
              <w:right w:val="single" w:color="auto" w:sz="8" w:space="0"/>
            </w:tcBorders>
            <w:shd w:val="clear" w:color="auto" w:fill="auto"/>
            <w:noWrap/>
            <w:vAlign w:val="bottom"/>
            <w:hideMark/>
          </w:tcPr>
          <w:p w:rsidRPr="00B72DFD" w:rsidR="00DF0CE3" w:rsidP="00DF0CE3" w:rsidRDefault="00B72DFD">
            <w:pPr>
              <w:widowControl/>
              <w:autoSpaceDE/>
              <w:autoSpaceDN/>
              <w:rPr>
                <w:rFonts w:eastAsia="Times New Roman" w:asciiTheme="minorHAnsi" w:hAnsiTheme="minorHAnsi" w:cstheme="minorHAnsi"/>
                <w:color w:val="000000"/>
                <w:sz w:val="20"/>
                <w:szCs w:val="20"/>
              </w:rPr>
            </w:pPr>
            <w:r>
              <w:rPr>
                <w:rFonts w:eastAsia="Times New Roman" w:asciiTheme="minorHAnsi" w:hAnsiTheme="minorHAnsi" w:cstheme="minorHAnsi"/>
                <w:color w:val="000000"/>
                <w:sz w:val="20"/>
                <w:szCs w:val="20"/>
              </w:rPr>
              <w:t>$2,829</w:t>
            </w:r>
          </w:p>
        </w:tc>
      </w:tr>
      <w:tr w:rsidRPr="00B72DFD" w:rsidR="00DF0CE3" w:rsidTr="008720A2">
        <w:trPr>
          <w:trHeight w:val="465"/>
        </w:trPr>
        <w:tc>
          <w:tcPr>
            <w:tcW w:w="2280" w:type="dxa"/>
            <w:tcBorders>
              <w:top w:val="nil"/>
              <w:left w:val="single" w:color="auto" w:sz="8" w:space="0"/>
              <w:bottom w:val="single" w:color="auto" w:sz="4" w:space="0"/>
              <w:right w:val="single" w:color="auto" w:sz="8" w:space="0"/>
            </w:tcBorders>
            <w:shd w:val="clear" w:color="auto" w:fill="auto"/>
            <w:vAlign w:val="bottom"/>
            <w:hideMark/>
          </w:tcPr>
          <w:p w:rsidRPr="00B72DFD" w:rsidR="00DF0CE3" w:rsidP="00DF0CE3" w:rsidRDefault="00DF0CE3">
            <w:pPr>
              <w:widowControl/>
              <w:autoSpaceDE/>
              <w:autoSpaceDN/>
              <w:rPr>
                <w:rFonts w:eastAsia="Times New Roman" w:asciiTheme="minorHAnsi" w:hAnsiTheme="minorHAnsi" w:cstheme="minorHAnsi"/>
                <w:b/>
                <w:bCs/>
                <w:color w:val="000000"/>
                <w:sz w:val="20"/>
                <w:szCs w:val="20"/>
              </w:rPr>
            </w:pPr>
            <w:r w:rsidRPr="00B72DFD">
              <w:rPr>
                <w:rFonts w:eastAsia="Times New Roman" w:asciiTheme="minorHAnsi" w:hAnsiTheme="minorHAnsi" w:cstheme="minorHAnsi"/>
                <w:b/>
                <w:bCs/>
                <w:color w:val="000000"/>
                <w:sz w:val="20"/>
                <w:szCs w:val="20"/>
              </w:rPr>
              <w:t>Contractor Cost</w:t>
            </w:r>
          </w:p>
        </w:tc>
        <w:tc>
          <w:tcPr>
            <w:tcW w:w="1180" w:type="dxa"/>
            <w:tcBorders>
              <w:top w:val="nil"/>
              <w:left w:val="nil"/>
              <w:bottom w:val="single" w:color="auto" w:sz="4" w:space="0"/>
              <w:right w:val="single" w:color="auto" w:sz="4" w:space="0"/>
            </w:tcBorders>
            <w:shd w:val="clear" w:color="000000" w:fill="808080"/>
            <w:noWrap/>
            <w:vAlign w:val="bottom"/>
            <w:hideMark/>
          </w:tcPr>
          <w:p w:rsidRPr="00B72DFD" w:rsidR="00DF0CE3" w:rsidP="00DF0CE3" w:rsidRDefault="00DF0CE3">
            <w:pPr>
              <w:widowControl/>
              <w:autoSpaceDE/>
              <w:autoSpaceDN/>
              <w:rPr>
                <w:rFonts w:eastAsia="Times New Roman" w:asciiTheme="minorHAnsi" w:hAnsiTheme="minorHAnsi" w:cstheme="minorHAnsi"/>
                <w:color w:val="000000"/>
                <w:sz w:val="20"/>
                <w:szCs w:val="20"/>
              </w:rPr>
            </w:pPr>
            <w:r w:rsidRPr="00B72DFD">
              <w:rPr>
                <w:rFonts w:eastAsia="Times New Roman" w:asciiTheme="minorHAnsi" w:hAnsiTheme="minorHAnsi" w:cstheme="minorHAnsi"/>
                <w:color w:val="000000"/>
                <w:sz w:val="20"/>
                <w:szCs w:val="20"/>
              </w:rPr>
              <w:t> </w:t>
            </w:r>
          </w:p>
        </w:tc>
        <w:tc>
          <w:tcPr>
            <w:tcW w:w="1235" w:type="dxa"/>
            <w:tcBorders>
              <w:top w:val="nil"/>
              <w:left w:val="nil"/>
              <w:bottom w:val="single" w:color="auto" w:sz="4" w:space="0"/>
              <w:right w:val="single" w:color="auto" w:sz="4" w:space="0"/>
            </w:tcBorders>
            <w:shd w:val="clear" w:color="auto" w:fill="auto"/>
            <w:noWrap/>
            <w:vAlign w:val="bottom"/>
            <w:hideMark/>
          </w:tcPr>
          <w:p w:rsidRPr="00B72DFD" w:rsidR="00DF0CE3" w:rsidP="00DF0CE3" w:rsidRDefault="00DF0CE3">
            <w:pPr>
              <w:widowControl/>
              <w:autoSpaceDE/>
              <w:autoSpaceDN/>
              <w:rPr>
                <w:rFonts w:eastAsia="Times New Roman" w:asciiTheme="minorHAnsi" w:hAnsiTheme="minorHAnsi" w:cstheme="minorHAnsi"/>
                <w:color w:val="000000"/>
                <w:sz w:val="20"/>
                <w:szCs w:val="20"/>
              </w:rPr>
            </w:pPr>
            <w:r w:rsidRPr="00B72DFD">
              <w:rPr>
                <w:rFonts w:eastAsia="Times New Roman" w:asciiTheme="minorHAnsi" w:hAnsiTheme="minorHAnsi" w:cstheme="minorHAnsi"/>
                <w:color w:val="000000"/>
                <w:sz w:val="20"/>
                <w:szCs w:val="20"/>
              </w:rPr>
              <w:t> </w:t>
            </w:r>
            <w:r w:rsidR="00B72DFD">
              <w:rPr>
                <w:rFonts w:eastAsia="Times New Roman" w:asciiTheme="minorHAnsi" w:hAnsiTheme="minorHAnsi" w:cstheme="minorHAnsi"/>
                <w:color w:val="000000"/>
                <w:sz w:val="20"/>
                <w:szCs w:val="20"/>
              </w:rPr>
              <w:t>$98,485</w:t>
            </w:r>
          </w:p>
        </w:tc>
        <w:tc>
          <w:tcPr>
            <w:tcW w:w="1025" w:type="dxa"/>
            <w:tcBorders>
              <w:top w:val="nil"/>
              <w:left w:val="nil"/>
              <w:bottom w:val="single" w:color="auto" w:sz="4" w:space="0"/>
              <w:right w:val="single" w:color="auto" w:sz="4" w:space="0"/>
            </w:tcBorders>
            <w:shd w:val="clear" w:color="auto" w:fill="auto"/>
            <w:noWrap/>
            <w:vAlign w:val="bottom"/>
            <w:hideMark/>
          </w:tcPr>
          <w:p w:rsidRPr="00B72DFD" w:rsidR="00DF0CE3" w:rsidP="00DF0CE3" w:rsidRDefault="00B72DFD">
            <w:pPr>
              <w:widowControl/>
              <w:autoSpaceDE/>
              <w:autoSpaceDN/>
              <w:rPr>
                <w:rFonts w:eastAsia="Times New Roman" w:asciiTheme="minorHAnsi" w:hAnsiTheme="minorHAnsi" w:cstheme="minorHAnsi"/>
                <w:color w:val="000000"/>
                <w:sz w:val="20"/>
                <w:szCs w:val="20"/>
              </w:rPr>
            </w:pPr>
            <w:r>
              <w:rPr>
                <w:rFonts w:eastAsia="Times New Roman" w:asciiTheme="minorHAnsi" w:hAnsiTheme="minorHAnsi" w:cstheme="minorHAnsi"/>
                <w:color w:val="000000"/>
                <w:sz w:val="20"/>
                <w:szCs w:val="20"/>
              </w:rPr>
              <w:t>25%</w:t>
            </w:r>
          </w:p>
        </w:tc>
        <w:tc>
          <w:tcPr>
            <w:tcW w:w="1280" w:type="dxa"/>
            <w:tcBorders>
              <w:top w:val="nil"/>
              <w:left w:val="nil"/>
              <w:bottom w:val="single" w:color="auto" w:sz="4" w:space="0"/>
              <w:right w:val="single" w:color="auto" w:sz="4" w:space="0"/>
            </w:tcBorders>
            <w:shd w:val="clear" w:color="auto" w:fill="auto"/>
            <w:noWrap/>
            <w:vAlign w:val="bottom"/>
            <w:hideMark/>
          </w:tcPr>
          <w:p w:rsidRPr="00B72DFD" w:rsidR="00DF0CE3" w:rsidP="00DF0CE3" w:rsidRDefault="00DF0CE3">
            <w:pPr>
              <w:widowControl/>
              <w:autoSpaceDE/>
              <w:autoSpaceDN/>
              <w:rPr>
                <w:rFonts w:eastAsia="Times New Roman" w:asciiTheme="minorHAnsi" w:hAnsiTheme="minorHAnsi" w:cstheme="minorHAnsi"/>
                <w:color w:val="000000"/>
                <w:sz w:val="20"/>
                <w:szCs w:val="20"/>
              </w:rPr>
            </w:pPr>
            <w:r w:rsidRPr="00B72DFD">
              <w:rPr>
                <w:rFonts w:eastAsia="Times New Roman" w:asciiTheme="minorHAnsi" w:hAnsiTheme="minorHAnsi" w:cstheme="minorHAnsi"/>
                <w:color w:val="000000"/>
                <w:sz w:val="20"/>
                <w:szCs w:val="20"/>
              </w:rPr>
              <w:t> </w:t>
            </w:r>
          </w:p>
        </w:tc>
        <w:tc>
          <w:tcPr>
            <w:tcW w:w="1300" w:type="dxa"/>
            <w:tcBorders>
              <w:top w:val="nil"/>
              <w:left w:val="nil"/>
              <w:bottom w:val="single" w:color="auto" w:sz="4" w:space="0"/>
              <w:right w:val="single" w:color="auto" w:sz="8" w:space="0"/>
            </w:tcBorders>
            <w:shd w:val="clear" w:color="auto" w:fill="auto"/>
            <w:noWrap/>
            <w:vAlign w:val="bottom"/>
            <w:hideMark/>
          </w:tcPr>
          <w:p w:rsidRPr="00B72DFD" w:rsidR="00DF0CE3" w:rsidP="00DF0CE3" w:rsidRDefault="00B72DFD">
            <w:pPr>
              <w:widowControl/>
              <w:autoSpaceDE/>
              <w:autoSpaceDN/>
              <w:rPr>
                <w:rFonts w:eastAsia="Times New Roman" w:asciiTheme="minorHAnsi" w:hAnsiTheme="minorHAnsi" w:cstheme="minorHAnsi"/>
                <w:color w:val="000000"/>
                <w:sz w:val="20"/>
                <w:szCs w:val="20"/>
              </w:rPr>
            </w:pPr>
            <w:r>
              <w:rPr>
                <w:rFonts w:eastAsia="Times New Roman" w:asciiTheme="minorHAnsi" w:hAnsiTheme="minorHAnsi" w:cstheme="minorHAnsi"/>
                <w:color w:val="000000"/>
                <w:sz w:val="20"/>
                <w:szCs w:val="20"/>
              </w:rPr>
              <w:t>$24,621</w:t>
            </w:r>
          </w:p>
        </w:tc>
      </w:tr>
      <w:tr w:rsidRPr="00B72DFD" w:rsidR="00DF0CE3" w:rsidTr="008720A2">
        <w:trPr>
          <w:trHeight w:val="300"/>
        </w:trPr>
        <w:tc>
          <w:tcPr>
            <w:tcW w:w="2280" w:type="dxa"/>
            <w:tcBorders>
              <w:top w:val="nil"/>
              <w:left w:val="single" w:color="auto" w:sz="8" w:space="0"/>
              <w:bottom w:val="single" w:color="auto" w:sz="4" w:space="0"/>
              <w:right w:val="single" w:color="auto" w:sz="8" w:space="0"/>
            </w:tcBorders>
            <w:shd w:val="clear" w:color="auto" w:fill="auto"/>
            <w:noWrap/>
            <w:vAlign w:val="bottom"/>
            <w:hideMark/>
          </w:tcPr>
          <w:p w:rsidRPr="00B72DFD" w:rsidR="00DF0CE3" w:rsidP="00DF0CE3" w:rsidRDefault="00DF0CE3">
            <w:pPr>
              <w:widowControl/>
              <w:autoSpaceDE/>
              <w:autoSpaceDN/>
              <w:rPr>
                <w:rFonts w:eastAsia="Times New Roman" w:asciiTheme="minorHAnsi" w:hAnsiTheme="minorHAnsi" w:cstheme="minorHAnsi"/>
                <w:b/>
                <w:bCs/>
                <w:color w:val="000000"/>
                <w:sz w:val="20"/>
                <w:szCs w:val="20"/>
              </w:rPr>
            </w:pPr>
            <w:r w:rsidRPr="00B72DFD">
              <w:rPr>
                <w:rFonts w:eastAsia="Times New Roman" w:asciiTheme="minorHAnsi" w:hAnsiTheme="minorHAnsi" w:cstheme="minorHAnsi"/>
                <w:b/>
                <w:bCs/>
                <w:color w:val="000000"/>
                <w:sz w:val="20"/>
                <w:szCs w:val="20"/>
              </w:rPr>
              <w:t>Travel</w:t>
            </w:r>
          </w:p>
        </w:tc>
        <w:tc>
          <w:tcPr>
            <w:tcW w:w="1180" w:type="dxa"/>
            <w:tcBorders>
              <w:top w:val="nil"/>
              <w:left w:val="nil"/>
              <w:bottom w:val="single" w:color="auto" w:sz="4" w:space="0"/>
              <w:right w:val="single" w:color="auto" w:sz="4" w:space="0"/>
            </w:tcBorders>
            <w:shd w:val="clear" w:color="000000" w:fill="808080"/>
            <w:noWrap/>
            <w:vAlign w:val="bottom"/>
            <w:hideMark/>
          </w:tcPr>
          <w:p w:rsidRPr="00B72DFD" w:rsidR="00DF0CE3" w:rsidP="00DF0CE3" w:rsidRDefault="00DF0CE3">
            <w:pPr>
              <w:widowControl/>
              <w:autoSpaceDE/>
              <w:autoSpaceDN/>
              <w:rPr>
                <w:rFonts w:eastAsia="Times New Roman" w:asciiTheme="minorHAnsi" w:hAnsiTheme="minorHAnsi" w:cstheme="minorHAnsi"/>
                <w:color w:val="000000"/>
                <w:sz w:val="20"/>
                <w:szCs w:val="20"/>
              </w:rPr>
            </w:pPr>
            <w:r w:rsidRPr="00B72DFD">
              <w:rPr>
                <w:rFonts w:eastAsia="Times New Roman" w:asciiTheme="minorHAnsi" w:hAnsiTheme="minorHAnsi" w:cstheme="minorHAnsi"/>
                <w:color w:val="000000"/>
                <w:sz w:val="20"/>
                <w:szCs w:val="20"/>
              </w:rPr>
              <w:t> </w:t>
            </w:r>
          </w:p>
        </w:tc>
        <w:tc>
          <w:tcPr>
            <w:tcW w:w="1235" w:type="dxa"/>
            <w:tcBorders>
              <w:top w:val="nil"/>
              <w:left w:val="nil"/>
              <w:bottom w:val="single" w:color="auto" w:sz="4" w:space="0"/>
              <w:right w:val="single" w:color="auto" w:sz="4" w:space="0"/>
            </w:tcBorders>
            <w:shd w:val="clear" w:color="000000" w:fill="808080"/>
            <w:noWrap/>
            <w:vAlign w:val="bottom"/>
            <w:hideMark/>
          </w:tcPr>
          <w:p w:rsidRPr="00B72DFD" w:rsidR="00DF0CE3" w:rsidP="00DF0CE3" w:rsidRDefault="00DF0CE3">
            <w:pPr>
              <w:widowControl/>
              <w:autoSpaceDE/>
              <w:autoSpaceDN/>
              <w:rPr>
                <w:rFonts w:eastAsia="Times New Roman" w:asciiTheme="minorHAnsi" w:hAnsiTheme="minorHAnsi" w:cstheme="minorHAnsi"/>
                <w:color w:val="000000"/>
                <w:sz w:val="20"/>
                <w:szCs w:val="20"/>
              </w:rPr>
            </w:pPr>
            <w:r w:rsidRPr="00B72DFD">
              <w:rPr>
                <w:rFonts w:eastAsia="Times New Roman" w:asciiTheme="minorHAnsi" w:hAnsiTheme="minorHAnsi" w:cstheme="minorHAnsi"/>
                <w:color w:val="000000"/>
                <w:sz w:val="20"/>
                <w:szCs w:val="20"/>
              </w:rPr>
              <w:t> </w:t>
            </w:r>
          </w:p>
        </w:tc>
        <w:tc>
          <w:tcPr>
            <w:tcW w:w="1025" w:type="dxa"/>
            <w:tcBorders>
              <w:top w:val="nil"/>
              <w:left w:val="nil"/>
              <w:bottom w:val="single" w:color="auto" w:sz="4" w:space="0"/>
              <w:right w:val="single" w:color="auto" w:sz="4" w:space="0"/>
            </w:tcBorders>
            <w:shd w:val="clear" w:color="000000" w:fill="808080"/>
            <w:noWrap/>
            <w:vAlign w:val="bottom"/>
            <w:hideMark/>
          </w:tcPr>
          <w:p w:rsidRPr="00B72DFD" w:rsidR="00DF0CE3" w:rsidP="00DF0CE3" w:rsidRDefault="00DF0CE3">
            <w:pPr>
              <w:widowControl/>
              <w:autoSpaceDE/>
              <w:autoSpaceDN/>
              <w:rPr>
                <w:rFonts w:eastAsia="Times New Roman" w:asciiTheme="minorHAnsi" w:hAnsiTheme="minorHAnsi" w:cstheme="minorHAnsi"/>
                <w:color w:val="000000"/>
                <w:sz w:val="20"/>
                <w:szCs w:val="20"/>
              </w:rPr>
            </w:pPr>
            <w:r w:rsidRPr="00B72DFD">
              <w:rPr>
                <w:rFonts w:eastAsia="Times New Roman" w:asciiTheme="minorHAnsi" w:hAnsiTheme="minorHAnsi" w:cstheme="minorHAnsi"/>
                <w:color w:val="000000"/>
                <w:sz w:val="20"/>
                <w:szCs w:val="20"/>
              </w:rPr>
              <w:t> </w:t>
            </w:r>
          </w:p>
        </w:tc>
        <w:tc>
          <w:tcPr>
            <w:tcW w:w="1280" w:type="dxa"/>
            <w:tcBorders>
              <w:top w:val="nil"/>
              <w:left w:val="nil"/>
              <w:bottom w:val="single" w:color="auto" w:sz="4" w:space="0"/>
              <w:right w:val="single" w:color="auto" w:sz="4" w:space="0"/>
            </w:tcBorders>
            <w:shd w:val="clear" w:color="000000" w:fill="808080"/>
            <w:noWrap/>
            <w:vAlign w:val="bottom"/>
            <w:hideMark/>
          </w:tcPr>
          <w:p w:rsidRPr="00B72DFD" w:rsidR="00DF0CE3" w:rsidP="00DF0CE3" w:rsidRDefault="00DF0CE3">
            <w:pPr>
              <w:widowControl/>
              <w:autoSpaceDE/>
              <w:autoSpaceDN/>
              <w:rPr>
                <w:rFonts w:eastAsia="Times New Roman" w:asciiTheme="minorHAnsi" w:hAnsiTheme="minorHAnsi" w:cstheme="minorHAnsi"/>
                <w:color w:val="000000"/>
                <w:sz w:val="20"/>
                <w:szCs w:val="20"/>
              </w:rPr>
            </w:pPr>
            <w:r w:rsidRPr="00B72DFD">
              <w:rPr>
                <w:rFonts w:eastAsia="Times New Roman" w:asciiTheme="minorHAnsi" w:hAnsiTheme="minorHAnsi" w:cstheme="minorHAnsi"/>
                <w:color w:val="000000"/>
                <w:sz w:val="20"/>
                <w:szCs w:val="20"/>
              </w:rPr>
              <w:t> </w:t>
            </w:r>
          </w:p>
        </w:tc>
        <w:tc>
          <w:tcPr>
            <w:tcW w:w="1300" w:type="dxa"/>
            <w:tcBorders>
              <w:top w:val="nil"/>
              <w:left w:val="nil"/>
              <w:bottom w:val="single" w:color="auto" w:sz="4" w:space="0"/>
              <w:right w:val="single" w:color="auto" w:sz="8" w:space="0"/>
            </w:tcBorders>
            <w:shd w:val="clear" w:color="auto" w:fill="auto"/>
            <w:noWrap/>
            <w:vAlign w:val="bottom"/>
            <w:hideMark/>
          </w:tcPr>
          <w:p w:rsidRPr="00B72DFD" w:rsidR="00DF0CE3" w:rsidP="00DF0CE3" w:rsidRDefault="00DF0CE3">
            <w:pPr>
              <w:widowControl/>
              <w:autoSpaceDE/>
              <w:autoSpaceDN/>
              <w:rPr>
                <w:rFonts w:eastAsia="Times New Roman" w:asciiTheme="minorHAnsi" w:hAnsiTheme="minorHAnsi" w:cstheme="minorHAnsi"/>
                <w:color w:val="000000"/>
                <w:sz w:val="20"/>
                <w:szCs w:val="20"/>
              </w:rPr>
            </w:pPr>
            <w:r w:rsidRPr="00B72DFD">
              <w:rPr>
                <w:rFonts w:eastAsia="Times New Roman" w:asciiTheme="minorHAnsi" w:hAnsiTheme="minorHAnsi" w:cstheme="minorHAnsi"/>
                <w:color w:val="000000"/>
                <w:sz w:val="20"/>
                <w:szCs w:val="20"/>
              </w:rPr>
              <w:t> </w:t>
            </w:r>
          </w:p>
        </w:tc>
      </w:tr>
      <w:tr w:rsidRPr="00B72DFD" w:rsidR="00DF0CE3" w:rsidTr="008720A2">
        <w:trPr>
          <w:trHeight w:val="525"/>
        </w:trPr>
        <w:tc>
          <w:tcPr>
            <w:tcW w:w="2280" w:type="dxa"/>
            <w:tcBorders>
              <w:top w:val="nil"/>
              <w:left w:val="single" w:color="auto" w:sz="8" w:space="0"/>
              <w:bottom w:val="nil"/>
              <w:right w:val="single" w:color="auto" w:sz="8" w:space="0"/>
            </w:tcBorders>
            <w:shd w:val="clear" w:color="auto" w:fill="auto"/>
            <w:vAlign w:val="center"/>
            <w:hideMark/>
          </w:tcPr>
          <w:p w:rsidRPr="00B72DFD" w:rsidR="00DF0CE3" w:rsidP="00DF0CE3" w:rsidRDefault="00DF0CE3">
            <w:pPr>
              <w:widowControl/>
              <w:autoSpaceDE/>
              <w:autoSpaceDN/>
              <w:rPr>
                <w:rFonts w:eastAsia="Times New Roman" w:asciiTheme="minorHAnsi" w:hAnsiTheme="minorHAnsi" w:cstheme="minorHAnsi"/>
                <w:b/>
                <w:bCs/>
                <w:color w:val="000000"/>
                <w:sz w:val="20"/>
                <w:szCs w:val="20"/>
              </w:rPr>
            </w:pPr>
            <w:r w:rsidRPr="00B72DFD">
              <w:rPr>
                <w:rFonts w:eastAsia="Times New Roman" w:asciiTheme="minorHAnsi" w:hAnsiTheme="minorHAnsi" w:cstheme="minorHAnsi"/>
                <w:b/>
                <w:bCs/>
                <w:color w:val="000000"/>
                <w:sz w:val="20"/>
                <w:szCs w:val="20"/>
              </w:rPr>
              <w:t xml:space="preserve">Other Costs: </w:t>
            </w:r>
          </w:p>
        </w:tc>
        <w:tc>
          <w:tcPr>
            <w:tcW w:w="1180" w:type="dxa"/>
            <w:tcBorders>
              <w:top w:val="nil"/>
              <w:left w:val="nil"/>
              <w:bottom w:val="single" w:color="auto" w:sz="4" w:space="0"/>
              <w:right w:val="single" w:color="auto" w:sz="4" w:space="0"/>
            </w:tcBorders>
            <w:shd w:val="clear" w:color="000000" w:fill="808080"/>
            <w:noWrap/>
            <w:vAlign w:val="bottom"/>
            <w:hideMark/>
          </w:tcPr>
          <w:p w:rsidRPr="00B72DFD" w:rsidR="00DF0CE3" w:rsidP="00DF0CE3" w:rsidRDefault="00DF0CE3">
            <w:pPr>
              <w:widowControl/>
              <w:autoSpaceDE/>
              <w:autoSpaceDN/>
              <w:rPr>
                <w:rFonts w:eastAsia="Times New Roman" w:asciiTheme="minorHAnsi" w:hAnsiTheme="minorHAnsi" w:cstheme="minorHAnsi"/>
                <w:color w:val="000000"/>
                <w:sz w:val="20"/>
                <w:szCs w:val="20"/>
              </w:rPr>
            </w:pPr>
            <w:r w:rsidRPr="00B72DFD">
              <w:rPr>
                <w:rFonts w:eastAsia="Times New Roman" w:asciiTheme="minorHAnsi" w:hAnsiTheme="minorHAnsi" w:cstheme="minorHAnsi"/>
                <w:color w:val="000000"/>
                <w:sz w:val="20"/>
                <w:szCs w:val="20"/>
              </w:rPr>
              <w:t> </w:t>
            </w:r>
          </w:p>
        </w:tc>
        <w:tc>
          <w:tcPr>
            <w:tcW w:w="1235" w:type="dxa"/>
            <w:tcBorders>
              <w:top w:val="nil"/>
              <w:left w:val="nil"/>
              <w:bottom w:val="single" w:color="auto" w:sz="4" w:space="0"/>
              <w:right w:val="single" w:color="auto" w:sz="4" w:space="0"/>
            </w:tcBorders>
            <w:shd w:val="clear" w:color="000000" w:fill="808080"/>
            <w:noWrap/>
            <w:vAlign w:val="bottom"/>
            <w:hideMark/>
          </w:tcPr>
          <w:p w:rsidRPr="00B72DFD" w:rsidR="00DF0CE3" w:rsidP="00DF0CE3" w:rsidRDefault="00DF0CE3">
            <w:pPr>
              <w:widowControl/>
              <w:autoSpaceDE/>
              <w:autoSpaceDN/>
              <w:rPr>
                <w:rFonts w:eastAsia="Times New Roman" w:asciiTheme="minorHAnsi" w:hAnsiTheme="minorHAnsi" w:cstheme="minorHAnsi"/>
                <w:color w:val="000000"/>
                <w:sz w:val="20"/>
                <w:szCs w:val="20"/>
              </w:rPr>
            </w:pPr>
            <w:r w:rsidRPr="00B72DFD">
              <w:rPr>
                <w:rFonts w:eastAsia="Times New Roman" w:asciiTheme="minorHAnsi" w:hAnsiTheme="minorHAnsi" w:cstheme="minorHAnsi"/>
                <w:color w:val="000000"/>
                <w:sz w:val="20"/>
                <w:szCs w:val="20"/>
              </w:rPr>
              <w:t> </w:t>
            </w:r>
          </w:p>
        </w:tc>
        <w:tc>
          <w:tcPr>
            <w:tcW w:w="1025" w:type="dxa"/>
            <w:tcBorders>
              <w:top w:val="nil"/>
              <w:left w:val="nil"/>
              <w:bottom w:val="single" w:color="auto" w:sz="4" w:space="0"/>
              <w:right w:val="single" w:color="auto" w:sz="4" w:space="0"/>
            </w:tcBorders>
            <w:shd w:val="clear" w:color="000000" w:fill="808080"/>
            <w:noWrap/>
            <w:vAlign w:val="bottom"/>
            <w:hideMark/>
          </w:tcPr>
          <w:p w:rsidRPr="00B72DFD" w:rsidR="00DF0CE3" w:rsidP="00DF0CE3" w:rsidRDefault="00DF0CE3">
            <w:pPr>
              <w:widowControl/>
              <w:autoSpaceDE/>
              <w:autoSpaceDN/>
              <w:rPr>
                <w:rFonts w:eastAsia="Times New Roman" w:asciiTheme="minorHAnsi" w:hAnsiTheme="minorHAnsi" w:cstheme="minorHAnsi"/>
                <w:color w:val="000000"/>
                <w:sz w:val="20"/>
                <w:szCs w:val="20"/>
              </w:rPr>
            </w:pPr>
            <w:r w:rsidRPr="00B72DFD">
              <w:rPr>
                <w:rFonts w:eastAsia="Times New Roman" w:asciiTheme="minorHAnsi" w:hAnsiTheme="minorHAnsi" w:cstheme="minorHAnsi"/>
                <w:color w:val="000000"/>
                <w:sz w:val="20"/>
                <w:szCs w:val="20"/>
              </w:rPr>
              <w:t> </w:t>
            </w:r>
          </w:p>
        </w:tc>
        <w:tc>
          <w:tcPr>
            <w:tcW w:w="1280" w:type="dxa"/>
            <w:tcBorders>
              <w:top w:val="nil"/>
              <w:left w:val="nil"/>
              <w:bottom w:val="single" w:color="auto" w:sz="4" w:space="0"/>
              <w:right w:val="single" w:color="auto" w:sz="4" w:space="0"/>
            </w:tcBorders>
            <w:shd w:val="clear" w:color="000000" w:fill="808080"/>
            <w:noWrap/>
            <w:vAlign w:val="bottom"/>
            <w:hideMark/>
          </w:tcPr>
          <w:p w:rsidRPr="00B72DFD" w:rsidR="00DF0CE3" w:rsidP="00DF0CE3" w:rsidRDefault="00DF0CE3">
            <w:pPr>
              <w:widowControl/>
              <w:autoSpaceDE/>
              <w:autoSpaceDN/>
              <w:rPr>
                <w:rFonts w:eastAsia="Times New Roman" w:asciiTheme="minorHAnsi" w:hAnsiTheme="minorHAnsi" w:cstheme="minorHAnsi"/>
                <w:color w:val="000000"/>
                <w:sz w:val="20"/>
                <w:szCs w:val="20"/>
              </w:rPr>
            </w:pPr>
            <w:r w:rsidRPr="00B72DFD">
              <w:rPr>
                <w:rFonts w:eastAsia="Times New Roman" w:asciiTheme="minorHAnsi" w:hAnsiTheme="minorHAnsi" w:cstheme="minorHAnsi"/>
                <w:color w:val="000000"/>
                <w:sz w:val="20"/>
                <w:szCs w:val="20"/>
              </w:rPr>
              <w:t> </w:t>
            </w:r>
          </w:p>
        </w:tc>
        <w:tc>
          <w:tcPr>
            <w:tcW w:w="1300" w:type="dxa"/>
            <w:tcBorders>
              <w:top w:val="nil"/>
              <w:left w:val="nil"/>
              <w:bottom w:val="single" w:color="auto" w:sz="4" w:space="0"/>
              <w:right w:val="single" w:color="auto" w:sz="8" w:space="0"/>
            </w:tcBorders>
            <w:shd w:val="clear" w:color="auto" w:fill="auto"/>
            <w:noWrap/>
            <w:vAlign w:val="bottom"/>
            <w:hideMark/>
          </w:tcPr>
          <w:p w:rsidRPr="00B72DFD" w:rsidR="00DF0CE3" w:rsidP="00DF0CE3" w:rsidRDefault="00DF0CE3">
            <w:pPr>
              <w:widowControl/>
              <w:autoSpaceDE/>
              <w:autoSpaceDN/>
              <w:rPr>
                <w:rFonts w:eastAsia="Times New Roman" w:asciiTheme="minorHAnsi" w:hAnsiTheme="minorHAnsi" w:cstheme="minorHAnsi"/>
                <w:color w:val="000000"/>
                <w:sz w:val="20"/>
                <w:szCs w:val="20"/>
              </w:rPr>
            </w:pPr>
            <w:r w:rsidRPr="00B72DFD">
              <w:rPr>
                <w:rFonts w:eastAsia="Times New Roman" w:asciiTheme="minorHAnsi" w:hAnsiTheme="minorHAnsi" w:cstheme="minorHAnsi"/>
                <w:color w:val="000000"/>
                <w:sz w:val="20"/>
                <w:szCs w:val="20"/>
              </w:rPr>
              <w:t> </w:t>
            </w:r>
          </w:p>
        </w:tc>
      </w:tr>
      <w:tr w:rsidRPr="00B72DFD" w:rsidR="00DF0CE3" w:rsidTr="008720A2">
        <w:trPr>
          <w:trHeight w:val="315"/>
        </w:trPr>
        <w:tc>
          <w:tcPr>
            <w:tcW w:w="2280" w:type="dxa"/>
            <w:tcBorders>
              <w:top w:val="single" w:color="auto" w:sz="8" w:space="0"/>
              <w:left w:val="single" w:color="auto" w:sz="8" w:space="0"/>
              <w:bottom w:val="single" w:color="auto" w:sz="8" w:space="0"/>
              <w:right w:val="single" w:color="auto" w:sz="8" w:space="0"/>
            </w:tcBorders>
            <w:shd w:val="clear" w:color="000000" w:fill="DDEBF7"/>
            <w:noWrap/>
            <w:vAlign w:val="bottom"/>
            <w:hideMark/>
          </w:tcPr>
          <w:p w:rsidRPr="00B72DFD" w:rsidR="00DF0CE3" w:rsidP="00DF0CE3" w:rsidRDefault="00DF0CE3">
            <w:pPr>
              <w:widowControl/>
              <w:autoSpaceDE/>
              <w:autoSpaceDN/>
              <w:rPr>
                <w:rFonts w:eastAsia="Times New Roman" w:asciiTheme="minorHAnsi" w:hAnsiTheme="minorHAnsi" w:cstheme="minorHAnsi"/>
                <w:b/>
                <w:bCs/>
                <w:color w:val="000000"/>
                <w:sz w:val="20"/>
                <w:szCs w:val="20"/>
              </w:rPr>
            </w:pPr>
            <w:r w:rsidRPr="00B72DFD">
              <w:rPr>
                <w:rFonts w:eastAsia="Times New Roman" w:asciiTheme="minorHAnsi" w:hAnsiTheme="minorHAnsi" w:cstheme="minorHAnsi"/>
                <w:b/>
                <w:bCs/>
                <w:color w:val="000000"/>
                <w:sz w:val="20"/>
                <w:szCs w:val="20"/>
              </w:rPr>
              <w:t>TOTAL</w:t>
            </w:r>
          </w:p>
        </w:tc>
        <w:tc>
          <w:tcPr>
            <w:tcW w:w="1180" w:type="dxa"/>
            <w:tcBorders>
              <w:top w:val="single" w:color="auto" w:sz="8" w:space="0"/>
              <w:left w:val="nil"/>
              <w:bottom w:val="single" w:color="auto" w:sz="8" w:space="0"/>
              <w:right w:val="single" w:color="auto" w:sz="8" w:space="0"/>
            </w:tcBorders>
            <w:shd w:val="clear" w:color="000000" w:fill="808080"/>
            <w:noWrap/>
            <w:vAlign w:val="bottom"/>
            <w:hideMark/>
          </w:tcPr>
          <w:p w:rsidRPr="00B72DFD" w:rsidR="00DF0CE3" w:rsidP="00DF0CE3" w:rsidRDefault="00DF0CE3">
            <w:pPr>
              <w:widowControl/>
              <w:autoSpaceDE/>
              <w:autoSpaceDN/>
              <w:rPr>
                <w:rFonts w:eastAsia="Times New Roman" w:asciiTheme="minorHAnsi" w:hAnsiTheme="minorHAnsi" w:cstheme="minorHAnsi"/>
                <w:color w:val="000000"/>
                <w:sz w:val="20"/>
                <w:szCs w:val="20"/>
              </w:rPr>
            </w:pPr>
            <w:r w:rsidRPr="00B72DFD">
              <w:rPr>
                <w:rFonts w:eastAsia="Times New Roman" w:asciiTheme="minorHAnsi" w:hAnsiTheme="minorHAnsi" w:cstheme="minorHAnsi"/>
                <w:color w:val="000000"/>
                <w:sz w:val="20"/>
                <w:szCs w:val="20"/>
              </w:rPr>
              <w:t> </w:t>
            </w:r>
          </w:p>
        </w:tc>
        <w:tc>
          <w:tcPr>
            <w:tcW w:w="1235" w:type="dxa"/>
            <w:tcBorders>
              <w:top w:val="single" w:color="auto" w:sz="8" w:space="0"/>
              <w:left w:val="nil"/>
              <w:bottom w:val="single" w:color="auto" w:sz="8" w:space="0"/>
              <w:right w:val="single" w:color="auto" w:sz="8" w:space="0"/>
            </w:tcBorders>
            <w:shd w:val="clear" w:color="auto" w:fill="808080" w:themeFill="background1" w:themeFillShade="80"/>
            <w:noWrap/>
            <w:vAlign w:val="bottom"/>
            <w:hideMark/>
          </w:tcPr>
          <w:p w:rsidRPr="00B72DFD" w:rsidR="00DF0CE3" w:rsidP="00DF0CE3" w:rsidRDefault="00DF0CE3">
            <w:pPr>
              <w:widowControl/>
              <w:autoSpaceDE/>
              <w:autoSpaceDN/>
              <w:rPr>
                <w:rFonts w:eastAsia="Times New Roman" w:asciiTheme="minorHAnsi" w:hAnsiTheme="minorHAnsi" w:cstheme="minorHAnsi"/>
                <w:color w:val="000000"/>
                <w:sz w:val="20"/>
                <w:szCs w:val="20"/>
              </w:rPr>
            </w:pPr>
            <w:r w:rsidRPr="00B72DFD">
              <w:rPr>
                <w:rFonts w:eastAsia="Times New Roman" w:asciiTheme="minorHAnsi" w:hAnsiTheme="minorHAnsi" w:cstheme="minorHAnsi"/>
                <w:color w:val="000000"/>
                <w:sz w:val="20"/>
                <w:szCs w:val="20"/>
              </w:rPr>
              <w:t> </w:t>
            </w:r>
          </w:p>
        </w:tc>
        <w:tc>
          <w:tcPr>
            <w:tcW w:w="1025" w:type="dxa"/>
            <w:tcBorders>
              <w:top w:val="single" w:color="auto" w:sz="8" w:space="0"/>
              <w:left w:val="nil"/>
              <w:bottom w:val="single" w:color="auto" w:sz="8" w:space="0"/>
              <w:right w:val="single" w:color="auto" w:sz="8" w:space="0"/>
            </w:tcBorders>
            <w:shd w:val="clear" w:color="000000" w:fill="757171"/>
            <w:noWrap/>
            <w:vAlign w:val="bottom"/>
            <w:hideMark/>
          </w:tcPr>
          <w:p w:rsidRPr="00B72DFD" w:rsidR="00DF0CE3" w:rsidP="00DF0CE3" w:rsidRDefault="00DF0CE3">
            <w:pPr>
              <w:widowControl/>
              <w:autoSpaceDE/>
              <w:autoSpaceDN/>
              <w:rPr>
                <w:rFonts w:eastAsia="Times New Roman" w:asciiTheme="minorHAnsi" w:hAnsiTheme="minorHAnsi" w:cstheme="minorHAnsi"/>
                <w:color w:val="000000"/>
                <w:sz w:val="20"/>
                <w:szCs w:val="20"/>
              </w:rPr>
            </w:pPr>
            <w:r w:rsidRPr="00B72DFD">
              <w:rPr>
                <w:rFonts w:eastAsia="Times New Roman" w:asciiTheme="minorHAnsi" w:hAnsiTheme="minorHAnsi" w:cstheme="minorHAnsi"/>
                <w:color w:val="000000"/>
                <w:sz w:val="20"/>
                <w:szCs w:val="20"/>
              </w:rPr>
              <w:t> </w:t>
            </w:r>
          </w:p>
        </w:tc>
        <w:tc>
          <w:tcPr>
            <w:tcW w:w="1280" w:type="dxa"/>
            <w:tcBorders>
              <w:top w:val="single" w:color="auto" w:sz="8" w:space="0"/>
              <w:left w:val="nil"/>
              <w:bottom w:val="single" w:color="auto" w:sz="8" w:space="0"/>
              <w:right w:val="single" w:color="auto" w:sz="8" w:space="0"/>
            </w:tcBorders>
            <w:shd w:val="clear" w:color="000000" w:fill="DDEBF7"/>
            <w:noWrap/>
            <w:vAlign w:val="bottom"/>
            <w:hideMark/>
          </w:tcPr>
          <w:p w:rsidRPr="00B72DFD" w:rsidR="00DF0CE3" w:rsidP="00DF0CE3" w:rsidRDefault="00DF0CE3">
            <w:pPr>
              <w:widowControl/>
              <w:autoSpaceDE/>
              <w:autoSpaceDN/>
              <w:rPr>
                <w:rFonts w:eastAsia="Times New Roman" w:asciiTheme="minorHAnsi" w:hAnsiTheme="minorHAnsi" w:cstheme="minorHAnsi"/>
                <w:color w:val="000000"/>
                <w:sz w:val="20"/>
                <w:szCs w:val="20"/>
              </w:rPr>
            </w:pPr>
            <w:r w:rsidRPr="00B72DFD">
              <w:rPr>
                <w:rFonts w:eastAsia="Times New Roman" w:asciiTheme="minorHAnsi" w:hAnsiTheme="minorHAnsi" w:cstheme="minorHAnsi"/>
                <w:color w:val="000000"/>
                <w:sz w:val="20"/>
                <w:szCs w:val="20"/>
              </w:rPr>
              <w:t> </w:t>
            </w:r>
          </w:p>
        </w:tc>
        <w:tc>
          <w:tcPr>
            <w:tcW w:w="1300" w:type="dxa"/>
            <w:tcBorders>
              <w:top w:val="single" w:color="auto" w:sz="8" w:space="0"/>
              <w:left w:val="nil"/>
              <w:bottom w:val="single" w:color="auto" w:sz="8" w:space="0"/>
              <w:right w:val="single" w:color="auto" w:sz="8" w:space="0"/>
            </w:tcBorders>
            <w:shd w:val="clear" w:color="000000" w:fill="DDEBF7"/>
            <w:noWrap/>
            <w:vAlign w:val="bottom"/>
            <w:hideMark/>
          </w:tcPr>
          <w:p w:rsidRPr="00B72DFD" w:rsidR="00DF0CE3" w:rsidP="00DF0CE3" w:rsidRDefault="00DF0CE3">
            <w:pPr>
              <w:widowControl/>
              <w:autoSpaceDE/>
              <w:autoSpaceDN/>
              <w:rPr>
                <w:rFonts w:eastAsia="Times New Roman" w:asciiTheme="minorHAnsi" w:hAnsiTheme="minorHAnsi" w:cstheme="minorHAnsi"/>
                <w:b/>
                <w:color w:val="000000"/>
                <w:sz w:val="20"/>
                <w:szCs w:val="20"/>
              </w:rPr>
            </w:pPr>
            <w:r w:rsidRPr="00B72DFD">
              <w:rPr>
                <w:rFonts w:eastAsia="Times New Roman" w:asciiTheme="minorHAnsi" w:hAnsiTheme="minorHAnsi" w:cstheme="minorHAnsi"/>
                <w:b/>
                <w:color w:val="000000"/>
                <w:sz w:val="20"/>
                <w:szCs w:val="20"/>
              </w:rPr>
              <w:t> </w:t>
            </w:r>
            <w:r w:rsidRPr="00B72DFD" w:rsidR="00B72DFD">
              <w:rPr>
                <w:rFonts w:eastAsia="Times New Roman" w:asciiTheme="minorHAnsi" w:hAnsiTheme="minorHAnsi" w:cstheme="minorHAnsi"/>
                <w:b/>
                <w:color w:val="000000"/>
                <w:sz w:val="20"/>
                <w:szCs w:val="20"/>
              </w:rPr>
              <w:t>$27,451</w:t>
            </w:r>
          </w:p>
        </w:tc>
      </w:tr>
    </w:tbl>
    <w:p w:rsidRPr="004E4785" w:rsidR="00DF0CE3" w:rsidP="00BD7237" w:rsidRDefault="00DF0CE3">
      <w:pPr>
        <w:pStyle w:val="BodyText"/>
        <w:spacing w:before="9" w:after="1"/>
        <w:ind w:left="0"/>
        <w:rPr>
          <w:rFonts w:cs="Times New Roman"/>
          <w:b/>
        </w:rPr>
      </w:pPr>
    </w:p>
    <w:p w:rsidRPr="004E4785" w:rsidR="008E61C9" w:rsidP="00BD7237" w:rsidRDefault="001477A3">
      <w:pPr>
        <w:pStyle w:val="ListParagraph"/>
        <w:numPr>
          <w:ilvl w:val="0"/>
          <w:numId w:val="7"/>
        </w:numPr>
        <w:tabs>
          <w:tab w:val="left" w:pos="360"/>
        </w:tabs>
        <w:spacing w:before="80"/>
        <w:ind w:left="0" w:firstLine="0"/>
        <w:rPr>
          <w:rFonts w:cs="Times New Roman"/>
          <w:b/>
          <w:szCs w:val="24"/>
        </w:rPr>
      </w:pPr>
      <w:r w:rsidRPr="004E4785">
        <w:rPr>
          <w:rFonts w:cs="Times New Roman"/>
          <w:b/>
          <w:szCs w:val="24"/>
        </w:rPr>
        <w:t>Explain the reasons for any program changes or adjustments reported in ROCIS.</w:t>
      </w:r>
    </w:p>
    <w:p w:rsidRPr="004E4785" w:rsidR="008E61C9" w:rsidP="00BD7237" w:rsidRDefault="008E61C9">
      <w:pPr>
        <w:pStyle w:val="BodyText"/>
        <w:spacing w:before="7"/>
        <w:ind w:left="0"/>
        <w:rPr>
          <w:rFonts w:cs="Times New Roman"/>
          <w:b/>
        </w:rPr>
      </w:pPr>
    </w:p>
    <w:p w:rsidRPr="00B72DFD" w:rsidR="00DF0CE3" w:rsidP="00BD7237" w:rsidRDefault="00B72DFD">
      <w:pPr>
        <w:pStyle w:val="BodyText"/>
        <w:spacing w:before="7"/>
        <w:ind w:left="0"/>
        <w:rPr>
          <w:rFonts w:cs="Times New Roman"/>
        </w:rPr>
      </w:pPr>
      <w:r w:rsidRPr="00B72DFD">
        <w:rPr>
          <w:rFonts w:cs="Times New Roman"/>
        </w:rPr>
        <w:t>This is a new collection of information.</w:t>
      </w:r>
    </w:p>
    <w:p w:rsidRPr="004E4785" w:rsidR="00DF0CE3" w:rsidP="00BD7237" w:rsidRDefault="00DF0CE3">
      <w:pPr>
        <w:pStyle w:val="BodyText"/>
        <w:spacing w:before="7"/>
        <w:ind w:left="0"/>
        <w:rPr>
          <w:rFonts w:cs="Times New Roman"/>
          <w:b/>
        </w:rPr>
      </w:pPr>
    </w:p>
    <w:p w:rsidRPr="004E4785" w:rsidR="008E61C9" w:rsidP="00BD7237" w:rsidRDefault="001477A3">
      <w:pPr>
        <w:pStyle w:val="ListParagraph"/>
        <w:numPr>
          <w:ilvl w:val="0"/>
          <w:numId w:val="7"/>
        </w:numPr>
        <w:tabs>
          <w:tab w:val="left" w:pos="360"/>
        </w:tabs>
        <w:spacing w:before="80"/>
        <w:ind w:left="0" w:firstLine="0"/>
        <w:rPr>
          <w:rFonts w:cs="Times New Roman"/>
          <w:b/>
          <w:szCs w:val="24"/>
        </w:rPr>
      </w:pPr>
      <w:r w:rsidRPr="004E4785">
        <w:rPr>
          <w:rFonts w:cs="Times New Roman"/>
          <w:b/>
          <w:szCs w:val="24"/>
        </w:rPr>
        <w:t xml:space="preserve">For collections of information whose results </w:t>
      </w:r>
      <w:proofErr w:type="gramStart"/>
      <w:r w:rsidRPr="004E4785">
        <w:rPr>
          <w:rFonts w:cs="Times New Roman"/>
          <w:b/>
          <w:szCs w:val="24"/>
        </w:rPr>
        <w:t>will be published</w:t>
      </w:r>
      <w:proofErr w:type="gramEnd"/>
      <w:r w:rsidRPr="004E4785">
        <w:rPr>
          <w:rFonts w:cs="Times New Roman"/>
          <w:b/>
          <w:szCs w:val="24"/>
        </w:rPr>
        <w:t>,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B72DFD" w:rsidR="00B72DFD" w:rsidP="00B72DFD" w:rsidRDefault="00B72DFD">
      <w:pPr>
        <w:pStyle w:val="ListParagraph"/>
        <w:ind w:left="0" w:firstLine="0"/>
        <w:rPr>
          <w:szCs w:val="24"/>
        </w:rPr>
      </w:pPr>
      <w:r w:rsidRPr="00B72DFD">
        <w:rPr>
          <w:szCs w:val="24"/>
        </w:rPr>
        <w:t xml:space="preserve">NOAA will develop tabulations and cross-tabulations of the information as needed. NOAA will collect the data over the 2-3 months following approval. NOAA currently does not intend to publish the outcomes of this research as a stand-alone, external publication, but may present on the outcomes at agency meetings, public conferences, and other venues, and will use the results to inform the development of follow-on products and services that incorporate outcomes of this research. </w:t>
      </w:r>
    </w:p>
    <w:p w:rsidRPr="004E4785" w:rsidR="001C3806" w:rsidP="001C3806" w:rsidRDefault="001C3806">
      <w:pPr>
        <w:pStyle w:val="ListParagraph"/>
        <w:tabs>
          <w:tab w:val="left" w:pos="360"/>
        </w:tabs>
        <w:spacing w:before="80"/>
        <w:ind w:left="0" w:firstLine="0"/>
        <w:rPr>
          <w:rFonts w:cs="Times New Roman"/>
          <w:szCs w:val="24"/>
        </w:rPr>
      </w:pPr>
    </w:p>
    <w:p w:rsidRPr="004E4785" w:rsidR="008E61C9" w:rsidP="00BD7237" w:rsidRDefault="001477A3">
      <w:pPr>
        <w:pStyle w:val="ListParagraph"/>
        <w:numPr>
          <w:ilvl w:val="0"/>
          <w:numId w:val="7"/>
        </w:numPr>
        <w:tabs>
          <w:tab w:val="left" w:pos="360"/>
        </w:tabs>
        <w:spacing w:before="80"/>
        <w:ind w:left="0" w:firstLine="0"/>
        <w:rPr>
          <w:rFonts w:cs="Times New Roman"/>
          <w:b/>
          <w:szCs w:val="24"/>
        </w:rPr>
      </w:pPr>
      <w:r w:rsidRPr="004E4785">
        <w:rPr>
          <w:rFonts w:cs="Times New Roman"/>
          <w:b/>
          <w:szCs w:val="24"/>
        </w:rPr>
        <w:t xml:space="preserve">If seeking approval </w:t>
      </w:r>
      <w:proofErr w:type="gramStart"/>
      <w:r w:rsidRPr="004E4785">
        <w:rPr>
          <w:rFonts w:cs="Times New Roman"/>
          <w:b/>
          <w:szCs w:val="24"/>
        </w:rPr>
        <w:t>to not display</w:t>
      </w:r>
      <w:proofErr w:type="gramEnd"/>
      <w:r w:rsidRPr="004E4785">
        <w:rPr>
          <w:rFonts w:cs="Times New Roman"/>
          <w:b/>
          <w:szCs w:val="24"/>
        </w:rPr>
        <w:t xml:space="preserve"> the expiration date for OMB approval of the information collection, explain the reasons that display would be inappropriate.</w:t>
      </w:r>
    </w:p>
    <w:p w:rsidRPr="004E4785" w:rsidR="00F60F98" w:rsidP="00BD7237" w:rsidRDefault="001477A3">
      <w:pPr>
        <w:spacing w:before="161"/>
        <w:rPr>
          <w:rFonts w:cs="Times New Roman"/>
          <w:szCs w:val="24"/>
        </w:rPr>
      </w:pPr>
      <w:r w:rsidRPr="004E4785">
        <w:rPr>
          <w:rFonts w:cs="Times New Roman"/>
          <w:szCs w:val="24"/>
        </w:rPr>
        <w:t>The agency plans to display the expiration date for OMB approval of the information</w:t>
      </w:r>
      <w:r w:rsidRPr="004E4785" w:rsidR="001C3806">
        <w:rPr>
          <w:rFonts w:cs="Times New Roman"/>
          <w:szCs w:val="24"/>
        </w:rPr>
        <w:t xml:space="preserve"> collection on all instruments.</w:t>
      </w:r>
    </w:p>
    <w:p w:rsidRPr="004E4785" w:rsidR="008E61C9" w:rsidP="00BD7237" w:rsidRDefault="008E61C9">
      <w:pPr>
        <w:spacing w:before="161"/>
        <w:rPr>
          <w:rFonts w:cs="Times New Roman"/>
          <w:szCs w:val="24"/>
        </w:rPr>
      </w:pPr>
    </w:p>
    <w:p w:rsidRPr="004E4785" w:rsidR="008E61C9" w:rsidP="00BD7237" w:rsidRDefault="001477A3">
      <w:pPr>
        <w:pStyle w:val="ListParagraph"/>
        <w:numPr>
          <w:ilvl w:val="0"/>
          <w:numId w:val="7"/>
        </w:numPr>
        <w:tabs>
          <w:tab w:val="left" w:pos="360"/>
        </w:tabs>
        <w:spacing w:before="80"/>
        <w:ind w:left="0" w:firstLine="0"/>
        <w:rPr>
          <w:rFonts w:cs="Times New Roman"/>
          <w:b/>
          <w:szCs w:val="24"/>
        </w:rPr>
      </w:pPr>
      <w:r w:rsidRPr="004E4785">
        <w:rPr>
          <w:rFonts w:cs="Times New Roman"/>
          <w:b/>
          <w:szCs w:val="24"/>
        </w:rPr>
        <w:t>Explain each exception to the certification statement identified in “Certification for Paperwork Reduction Act Submissions."</w:t>
      </w:r>
    </w:p>
    <w:p w:rsidRPr="004E4785" w:rsidR="008E61C9" w:rsidP="004C4050" w:rsidRDefault="001477A3">
      <w:pPr>
        <w:spacing w:before="221" w:line="259" w:lineRule="auto"/>
        <w:jc w:val="both"/>
        <w:rPr>
          <w:rFonts w:cs="Times New Roman"/>
          <w:szCs w:val="24"/>
        </w:rPr>
      </w:pPr>
      <w:r w:rsidRPr="004E4785">
        <w:rPr>
          <w:rFonts w:cs="Times New Roman"/>
          <w:szCs w:val="24"/>
        </w:rPr>
        <w:t xml:space="preserve">The agency certifies compliance with </w:t>
      </w:r>
      <w:hyperlink r:id="rId9">
        <w:r w:rsidRPr="004E4785">
          <w:rPr>
            <w:rFonts w:cs="Times New Roman"/>
            <w:color w:val="0563C1"/>
            <w:szCs w:val="24"/>
            <w:u w:val="thick" w:color="0563C1"/>
          </w:rPr>
          <w:t>5 CFR 1320.9</w:t>
        </w:r>
        <w:r w:rsidRPr="004E4785">
          <w:rPr>
            <w:rFonts w:cs="Times New Roman"/>
            <w:color w:val="0563C1"/>
            <w:szCs w:val="24"/>
          </w:rPr>
          <w:t xml:space="preserve"> </w:t>
        </w:r>
      </w:hyperlink>
      <w:r w:rsidRPr="004E4785">
        <w:rPr>
          <w:rFonts w:cs="Times New Roman"/>
          <w:szCs w:val="24"/>
        </w:rPr>
        <w:t xml:space="preserve">and the related provisions of </w:t>
      </w:r>
      <w:hyperlink r:id="rId10">
        <w:r w:rsidRPr="004E4785">
          <w:rPr>
            <w:rFonts w:cs="Times New Roman"/>
            <w:color w:val="0563C1"/>
            <w:szCs w:val="24"/>
            <w:u w:val="thick" w:color="0563C1"/>
          </w:rPr>
          <w:t>5</w:t>
        </w:r>
        <w:r w:rsidRPr="004E4785">
          <w:rPr>
            <w:rFonts w:cs="Times New Roman"/>
            <w:color w:val="0563C1"/>
            <w:spacing w:val="-42"/>
            <w:szCs w:val="24"/>
            <w:u w:val="thick" w:color="0563C1"/>
          </w:rPr>
          <w:t xml:space="preserve"> </w:t>
        </w:r>
        <w:r w:rsidRPr="004E4785">
          <w:rPr>
            <w:rFonts w:cs="Times New Roman"/>
            <w:color w:val="0563C1"/>
            <w:szCs w:val="24"/>
            <w:u w:val="thick" w:color="0563C1"/>
          </w:rPr>
          <w:t>CFR</w:t>
        </w:r>
      </w:hyperlink>
      <w:r w:rsidRPr="004E4785">
        <w:rPr>
          <w:rFonts w:cs="Times New Roman"/>
          <w:color w:val="0563C1"/>
          <w:szCs w:val="24"/>
        </w:rPr>
        <w:t xml:space="preserve"> </w:t>
      </w:r>
      <w:hyperlink r:id="rId11">
        <w:r w:rsidRPr="004E4785">
          <w:rPr>
            <w:rFonts w:cs="Times New Roman"/>
            <w:color w:val="0563C1"/>
            <w:szCs w:val="24"/>
            <w:u w:val="thick" w:color="0563C1"/>
          </w:rPr>
          <w:t>1320.8(b</w:t>
        </w:r>
        <w:proofErr w:type="gramStart"/>
        <w:r w:rsidRPr="004E4785">
          <w:rPr>
            <w:rFonts w:cs="Times New Roman"/>
            <w:color w:val="0563C1"/>
            <w:szCs w:val="24"/>
            <w:u w:val="thick" w:color="0563C1"/>
          </w:rPr>
          <w:t>)(</w:t>
        </w:r>
        <w:proofErr w:type="gramEnd"/>
        <w:r w:rsidRPr="004E4785">
          <w:rPr>
            <w:rFonts w:cs="Times New Roman"/>
            <w:color w:val="0563C1"/>
            <w:szCs w:val="24"/>
            <w:u w:val="thick" w:color="0563C1"/>
          </w:rPr>
          <w:t>3)</w:t>
        </w:r>
      </w:hyperlink>
      <w:r w:rsidRPr="004E4785" w:rsidR="00F60F98">
        <w:rPr>
          <w:rFonts w:cs="Times New Roman"/>
          <w:szCs w:val="24"/>
        </w:rPr>
        <w:t>.</w:t>
      </w:r>
    </w:p>
    <w:sectPr w:rsidRPr="004E4785" w:rsidR="008E61C9" w:rsidSect="00BD7237">
      <w:pgSz w:w="12240" w:h="15840"/>
      <w:pgMar w:top="640" w:right="1080" w:bottom="1200" w:left="1080" w:header="0" w:footer="10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499A" w:rsidRDefault="0036499A">
      <w:r>
        <w:separator/>
      </w:r>
    </w:p>
  </w:endnote>
  <w:endnote w:type="continuationSeparator" w:id="0">
    <w:p w:rsidR="0036499A" w:rsidRDefault="00364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77A3" w:rsidRDefault="001477A3">
    <w:pPr>
      <w:pStyle w:val="BodyText"/>
      <w:spacing w:before="0" w:line="14" w:lineRule="auto"/>
      <w:ind w:left="0"/>
      <w:rPr>
        <w:sz w:val="20"/>
      </w:rPr>
    </w:pPr>
    <w:r>
      <w:rPr>
        <w:noProof/>
      </w:rPr>
      <mc:AlternateContent>
        <mc:Choice Requires="wps">
          <w:drawing>
            <wp:anchor distT="0" distB="0" distL="114300" distR="114300" simplePos="0" relativeHeight="250567680" behindDoc="1" locked="0" layoutInCell="1" allowOverlap="1">
              <wp:simplePos x="0" y="0"/>
              <wp:positionH relativeFrom="page">
                <wp:posOffset>444500</wp:posOffset>
              </wp:positionH>
              <wp:positionV relativeFrom="page">
                <wp:posOffset>9274810</wp:posOffset>
              </wp:positionV>
              <wp:extent cx="604520" cy="16573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5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77A3" w:rsidRDefault="001477A3">
                          <w:pPr>
                            <w:spacing w:line="245" w:lineRule="exact"/>
                            <w:ind w:left="20"/>
                            <w:rPr>
                              <w:rFonts w:ascii="Calibri"/>
                              <w:b/>
                            </w:rPr>
                          </w:pPr>
                          <w:r>
                            <w:rPr>
                              <w:rFonts w:ascii="Calibri"/>
                              <w:b/>
                            </w:rPr>
                            <w:t xml:space="preserve">Page | </w:t>
                          </w:r>
                          <w:r>
                            <w:fldChar w:fldCharType="begin"/>
                          </w:r>
                          <w:r>
                            <w:rPr>
                              <w:rFonts w:ascii="Calibri"/>
                              <w:b/>
                            </w:rPr>
                            <w:instrText xml:space="preserve"> PAGE </w:instrText>
                          </w:r>
                          <w:r>
                            <w:fldChar w:fldCharType="separate"/>
                          </w:r>
                          <w:r w:rsidR="00F662B3">
                            <w:rPr>
                              <w:rFonts w:ascii="Calibri"/>
                              <w:b/>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5pt;margin-top:730.3pt;width:47.6pt;height:13.05pt;z-index:-252748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" filled="f" stroked="f">
              <v:textbox inset="0,0,0,0">
                <w:txbxContent>
                  <w:p w:rsidR="001477A3" w:rsidRDefault="001477A3">
                    <w:pPr>
                      <w:spacing w:line="245" w:lineRule="exact"/>
                      <w:ind w:left="20"/>
                      <w:rPr>
                        <w:rFonts w:ascii="Calibri"/>
                        <w:b/>
                      </w:rPr>
                    </w:pPr>
                    <w:r>
                      <w:rPr>
                        <w:rFonts w:ascii="Calibri"/>
                        <w:b/>
                      </w:rPr>
                      <w:t xml:space="preserve">Page | </w:t>
                    </w:r>
                    <w:r>
                      <w:fldChar w:fldCharType="begin"/>
                    </w:r>
                    <w:r>
                      <w:rPr>
                        <w:rFonts w:ascii="Calibri"/>
                        <w:b/>
                      </w:rPr>
                      <w:instrText xml:space="preserve"> PAGE </w:instrText>
                    </w:r>
                    <w:r>
                      <w:fldChar w:fldCharType="separate"/>
                    </w:r>
                    <w:r w:rsidR="00F662B3">
                      <w:rPr>
                        <w:rFonts w:ascii="Calibri"/>
                        <w:b/>
                        <w:noProof/>
                      </w:rPr>
                      <w:t>7</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499A" w:rsidRDefault="0036499A">
      <w:r>
        <w:separator/>
      </w:r>
    </w:p>
  </w:footnote>
  <w:footnote w:type="continuationSeparator" w:id="0">
    <w:p w:rsidR="0036499A" w:rsidRDefault="003649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E4FA6"/>
    <w:multiLevelType w:val="hybridMultilevel"/>
    <w:tmpl w:val="B27CC73A"/>
    <w:lvl w:ilvl="0" w:tplc="04090001">
      <w:start w:val="1"/>
      <w:numFmt w:val="bullet"/>
      <w:lvlText w:val=""/>
      <w:lvlJc w:val="left"/>
      <w:pPr>
        <w:ind w:left="1120" w:hanging="360"/>
      </w:pPr>
      <w:rPr>
        <w:rFonts w:ascii="Symbol" w:hAnsi="Symbol" w:hint="default"/>
        <w:color w:val="2F5496"/>
        <w:w w:val="99"/>
        <w:sz w:val="20"/>
        <w:szCs w:val="20"/>
        <w:lang w:val="en-US" w:eastAsia="en-US" w:bidi="en-US"/>
      </w:rPr>
    </w:lvl>
    <w:lvl w:ilvl="1" w:tplc="0B4E04F6">
      <w:numFmt w:val="bullet"/>
      <w:lvlText w:val="•"/>
      <w:lvlJc w:val="left"/>
      <w:pPr>
        <w:ind w:left="2158" w:hanging="360"/>
      </w:pPr>
      <w:rPr>
        <w:rFonts w:hint="default"/>
        <w:lang w:val="en-US" w:eastAsia="en-US" w:bidi="en-US"/>
      </w:rPr>
    </w:lvl>
    <w:lvl w:ilvl="2" w:tplc="BE0AF4D0">
      <w:numFmt w:val="bullet"/>
      <w:lvlText w:val="•"/>
      <w:lvlJc w:val="left"/>
      <w:pPr>
        <w:ind w:left="3196" w:hanging="360"/>
      </w:pPr>
      <w:rPr>
        <w:rFonts w:hint="default"/>
        <w:lang w:val="en-US" w:eastAsia="en-US" w:bidi="en-US"/>
      </w:rPr>
    </w:lvl>
    <w:lvl w:ilvl="3" w:tplc="82709A86">
      <w:numFmt w:val="bullet"/>
      <w:lvlText w:val="•"/>
      <w:lvlJc w:val="left"/>
      <w:pPr>
        <w:ind w:left="4234" w:hanging="360"/>
      </w:pPr>
      <w:rPr>
        <w:rFonts w:hint="default"/>
        <w:lang w:val="en-US" w:eastAsia="en-US" w:bidi="en-US"/>
      </w:rPr>
    </w:lvl>
    <w:lvl w:ilvl="4" w:tplc="9FFE770C">
      <w:numFmt w:val="bullet"/>
      <w:lvlText w:val="•"/>
      <w:lvlJc w:val="left"/>
      <w:pPr>
        <w:ind w:left="5272" w:hanging="360"/>
      </w:pPr>
      <w:rPr>
        <w:rFonts w:hint="default"/>
        <w:lang w:val="en-US" w:eastAsia="en-US" w:bidi="en-US"/>
      </w:rPr>
    </w:lvl>
    <w:lvl w:ilvl="5" w:tplc="6BF6429A">
      <w:numFmt w:val="bullet"/>
      <w:lvlText w:val="•"/>
      <w:lvlJc w:val="left"/>
      <w:pPr>
        <w:ind w:left="6310" w:hanging="360"/>
      </w:pPr>
      <w:rPr>
        <w:rFonts w:hint="default"/>
        <w:lang w:val="en-US" w:eastAsia="en-US" w:bidi="en-US"/>
      </w:rPr>
    </w:lvl>
    <w:lvl w:ilvl="6" w:tplc="5BE86C82">
      <w:numFmt w:val="bullet"/>
      <w:lvlText w:val="•"/>
      <w:lvlJc w:val="left"/>
      <w:pPr>
        <w:ind w:left="7348" w:hanging="360"/>
      </w:pPr>
      <w:rPr>
        <w:rFonts w:hint="default"/>
        <w:lang w:val="en-US" w:eastAsia="en-US" w:bidi="en-US"/>
      </w:rPr>
    </w:lvl>
    <w:lvl w:ilvl="7" w:tplc="18EC81CE">
      <w:numFmt w:val="bullet"/>
      <w:lvlText w:val="•"/>
      <w:lvlJc w:val="left"/>
      <w:pPr>
        <w:ind w:left="8386" w:hanging="360"/>
      </w:pPr>
      <w:rPr>
        <w:rFonts w:hint="default"/>
        <w:lang w:val="en-US" w:eastAsia="en-US" w:bidi="en-US"/>
      </w:rPr>
    </w:lvl>
    <w:lvl w:ilvl="8" w:tplc="62B2D508">
      <w:numFmt w:val="bullet"/>
      <w:lvlText w:val="•"/>
      <w:lvlJc w:val="left"/>
      <w:pPr>
        <w:ind w:left="9424" w:hanging="360"/>
      </w:pPr>
      <w:rPr>
        <w:rFonts w:hint="default"/>
        <w:lang w:val="en-US" w:eastAsia="en-US" w:bidi="en-US"/>
      </w:rPr>
    </w:lvl>
  </w:abstractNum>
  <w:abstractNum w:abstractNumId="1" w15:restartNumberingAfterBreak="0">
    <w:nsid w:val="128411D9"/>
    <w:multiLevelType w:val="hybridMultilevel"/>
    <w:tmpl w:val="DC80C57E"/>
    <w:lvl w:ilvl="0" w:tplc="04090001">
      <w:start w:val="1"/>
      <w:numFmt w:val="bullet"/>
      <w:lvlText w:val=""/>
      <w:lvlJc w:val="left"/>
      <w:pPr>
        <w:ind w:left="760" w:hanging="360"/>
      </w:pPr>
      <w:rPr>
        <w:rFonts w:ascii="Symbol" w:hAnsi="Symbol" w:hint="default"/>
        <w:w w:val="99"/>
        <w:lang w:val="en-US" w:eastAsia="en-US" w:bidi="en-US"/>
      </w:rPr>
    </w:lvl>
    <w:lvl w:ilvl="1" w:tplc="1ADA7AA2">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0FA0B80E">
      <w:numFmt w:val="bullet"/>
      <w:lvlText w:val="•"/>
      <w:lvlJc w:val="left"/>
      <w:pPr>
        <w:ind w:left="2273" w:hanging="360"/>
      </w:pPr>
      <w:rPr>
        <w:rFonts w:hint="default"/>
        <w:lang w:val="en-US" w:eastAsia="en-US" w:bidi="en-US"/>
      </w:rPr>
    </w:lvl>
    <w:lvl w:ilvl="3" w:tplc="98BA8B70">
      <w:numFmt w:val="bullet"/>
      <w:lvlText w:val="•"/>
      <w:lvlJc w:val="left"/>
      <w:pPr>
        <w:ind w:left="3426" w:hanging="360"/>
      </w:pPr>
      <w:rPr>
        <w:rFonts w:hint="default"/>
        <w:lang w:val="en-US" w:eastAsia="en-US" w:bidi="en-US"/>
      </w:rPr>
    </w:lvl>
    <w:lvl w:ilvl="4" w:tplc="DA7C87E4">
      <w:numFmt w:val="bullet"/>
      <w:lvlText w:val="•"/>
      <w:lvlJc w:val="left"/>
      <w:pPr>
        <w:ind w:left="4580" w:hanging="360"/>
      </w:pPr>
      <w:rPr>
        <w:rFonts w:hint="default"/>
        <w:lang w:val="en-US" w:eastAsia="en-US" w:bidi="en-US"/>
      </w:rPr>
    </w:lvl>
    <w:lvl w:ilvl="5" w:tplc="C6A0877A">
      <w:numFmt w:val="bullet"/>
      <w:lvlText w:val="•"/>
      <w:lvlJc w:val="left"/>
      <w:pPr>
        <w:ind w:left="5733" w:hanging="360"/>
      </w:pPr>
      <w:rPr>
        <w:rFonts w:hint="default"/>
        <w:lang w:val="en-US" w:eastAsia="en-US" w:bidi="en-US"/>
      </w:rPr>
    </w:lvl>
    <w:lvl w:ilvl="6" w:tplc="F6024F02">
      <w:numFmt w:val="bullet"/>
      <w:lvlText w:val="•"/>
      <w:lvlJc w:val="left"/>
      <w:pPr>
        <w:ind w:left="6886" w:hanging="360"/>
      </w:pPr>
      <w:rPr>
        <w:rFonts w:hint="default"/>
        <w:lang w:val="en-US" w:eastAsia="en-US" w:bidi="en-US"/>
      </w:rPr>
    </w:lvl>
    <w:lvl w:ilvl="7" w:tplc="5E22A3FE">
      <w:numFmt w:val="bullet"/>
      <w:lvlText w:val="•"/>
      <w:lvlJc w:val="left"/>
      <w:pPr>
        <w:ind w:left="8040" w:hanging="360"/>
      </w:pPr>
      <w:rPr>
        <w:rFonts w:hint="default"/>
        <w:lang w:val="en-US" w:eastAsia="en-US" w:bidi="en-US"/>
      </w:rPr>
    </w:lvl>
    <w:lvl w:ilvl="8" w:tplc="FAB0C6F4">
      <w:numFmt w:val="bullet"/>
      <w:lvlText w:val="•"/>
      <w:lvlJc w:val="left"/>
      <w:pPr>
        <w:ind w:left="9193" w:hanging="360"/>
      </w:pPr>
      <w:rPr>
        <w:rFonts w:hint="default"/>
        <w:lang w:val="en-US" w:eastAsia="en-US" w:bidi="en-US"/>
      </w:rPr>
    </w:lvl>
  </w:abstractNum>
  <w:abstractNum w:abstractNumId="2" w15:restartNumberingAfterBreak="0">
    <w:nsid w:val="12C12666"/>
    <w:multiLevelType w:val="hybridMultilevel"/>
    <w:tmpl w:val="8CF2943A"/>
    <w:lvl w:ilvl="0" w:tplc="DB04E978">
      <w:start w:val="1"/>
      <w:numFmt w:val="lowerLetter"/>
      <w:lvlText w:val="(%1)"/>
      <w:lvlJc w:val="left"/>
      <w:pPr>
        <w:ind w:left="1839" w:hanging="720"/>
      </w:pPr>
      <w:rPr>
        <w:rFonts w:ascii="Arial" w:eastAsia="Arial" w:hAnsi="Arial" w:cs="Arial" w:hint="default"/>
        <w:color w:val="2F5496"/>
        <w:spacing w:val="-1"/>
        <w:w w:val="100"/>
        <w:sz w:val="22"/>
        <w:szCs w:val="22"/>
        <w:lang w:val="en-US" w:eastAsia="en-US" w:bidi="en-US"/>
      </w:rPr>
    </w:lvl>
    <w:lvl w:ilvl="1" w:tplc="22D6F672">
      <w:numFmt w:val="bullet"/>
      <w:lvlText w:val="•"/>
      <w:lvlJc w:val="left"/>
      <w:pPr>
        <w:ind w:left="2806" w:hanging="720"/>
      </w:pPr>
      <w:rPr>
        <w:rFonts w:hint="default"/>
        <w:lang w:val="en-US" w:eastAsia="en-US" w:bidi="en-US"/>
      </w:rPr>
    </w:lvl>
    <w:lvl w:ilvl="2" w:tplc="027A5012">
      <w:numFmt w:val="bullet"/>
      <w:lvlText w:val="•"/>
      <w:lvlJc w:val="left"/>
      <w:pPr>
        <w:ind w:left="3772" w:hanging="720"/>
      </w:pPr>
      <w:rPr>
        <w:rFonts w:hint="default"/>
        <w:lang w:val="en-US" w:eastAsia="en-US" w:bidi="en-US"/>
      </w:rPr>
    </w:lvl>
    <w:lvl w:ilvl="3" w:tplc="5C325C86">
      <w:numFmt w:val="bullet"/>
      <w:lvlText w:val="•"/>
      <w:lvlJc w:val="left"/>
      <w:pPr>
        <w:ind w:left="4738" w:hanging="720"/>
      </w:pPr>
      <w:rPr>
        <w:rFonts w:hint="default"/>
        <w:lang w:val="en-US" w:eastAsia="en-US" w:bidi="en-US"/>
      </w:rPr>
    </w:lvl>
    <w:lvl w:ilvl="4" w:tplc="E26CD314">
      <w:numFmt w:val="bullet"/>
      <w:lvlText w:val="•"/>
      <w:lvlJc w:val="left"/>
      <w:pPr>
        <w:ind w:left="5704" w:hanging="720"/>
      </w:pPr>
      <w:rPr>
        <w:rFonts w:hint="default"/>
        <w:lang w:val="en-US" w:eastAsia="en-US" w:bidi="en-US"/>
      </w:rPr>
    </w:lvl>
    <w:lvl w:ilvl="5" w:tplc="632041A6">
      <w:numFmt w:val="bullet"/>
      <w:lvlText w:val="•"/>
      <w:lvlJc w:val="left"/>
      <w:pPr>
        <w:ind w:left="6670" w:hanging="720"/>
      </w:pPr>
      <w:rPr>
        <w:rFonts w:hint="default"/>
        <w:lang w:val="en-US" w:eastAsia="en-US" w:bidi="en-US"/>
      </w:rPr>
    </w:lvl>
    <w:lvl w:ilvl="6" w:tplc="C8D2BB54">
      <w:numFmt w:val="bullet"/>
      <w:lvlText w:val="•"/>
      <w:lvlJc w:val="left"/>
      <w:pPr>
        <w:ind w:left="7636" w:hanging="720"/>
      </w:pPr>
      <w:rPr>
        <w:rFonts w:hint="default"/>
        <w:lang w:val="en-US" w:eastAsia="en-US" w:bidi="en-US"/>
      </w:rPr>
    </w:lvl>
    <w:lvl w:ilvl="7" w:tplc="13002994">
      <w:numFmt w:val="bullet"/>
      <w:lvlText w:val="•"/>
      <w:lvlJc w:val="left"/>
      <w:pPr>
        <w:ind w:left="8602" w:hanging="720"/>
      </w:pPr>
      <w:rPr>
        <w:rFonts w:hint="default"/>
        <w:lang w:val="en-US" w:eastAsia="en-US" w:bidi="en-US"/>
      </w:rPr>
    </w:lvl>
    <w:lvl w:ilvl="8" w:tplc="74F0B776">
      <w:numFmt w:val="bullet"/>
      <w:lvlText w:val="•"/>
      <w:lvlJc w:val="left"/>
      <w:pPr>
        <w:ind w:left="9568" w:hanging="720"/>
      </w:pPr>
      <w:rPr>
        <w:rFonts w:hint="default"/>
        <w:lang w:val="en-US" w:eastAsia="en-US" w:bidi="en-US"/>
      </w:rPr>
    </w:lvl>
  </w:abstractNum>
  <w:abstractNum w:abstractNumId="3" w15:restartNumberingAfterBreak="0">
    <w:nsid w:val="137D4624"/>
    <w:multiLevelType w:val="hybridMultilevel"/>
    <w:tmpl w:val="4F90AC02"/>
    <w:lvl w:ilvl="0" w:tplc="499C4962">
      <w:numFmt w:val="bullet"/>
      <w:lvlText w:val=""/>
      <w:lvlJc w:val="left"/>
      <w:pPr>
        <w:ind w:left="469" w:hanging="360"/>
      </w:pPr>
      <w:rPr>
        <w:rFonts w:ascii="Symbol" w:eastAsia="Symbol" w:hAnsi="Symbol" w:cs="Symbol" w:hint="default"/>
        <w:color w:val="2F5496"/>
        <w:w w:val="99"/>
        <w:sz w:val="20"/>
        <w:szCs w:val="20"/>
        <w:lang w:val="en-US" w:eastAsia="en-US" w:bidi="en-US"/>
      </w:rPr>
    </w:lvl>
    <w:lvl w:ilvl="1" w:tplc="8FE23A48">
      <w:numFmt w:val="bullet"/>
      <w:lvlText w:val="•"/>
      <w:lvlJc w:val="left"/>
      <w:pPr>
        <w:ind w:left="713" w:hanging="360"/>
      </w:pPr>
      <w:rPr>
        <w:rFonts w:hint="default"/>
        <w:lang w:val="en-US" w:eastAsia="en-US" w:bidi="en-US"/>
      </w:rPr>
    </w:lvl>
    <w:lvl w:ilvl="2" w:tplc="2B5A7776">
      <w:numFmt w:val="bullet"/>
      <w:lvlText w:val="•"/>
      <w:lvlJc w:val="left"/>
      <w:pPr>
        <w:ind w:left="966" w:hanging="360"/>
      </w:pPr>
      <w:rPr>
        <w:rFonts w:hint="default"/>
        <w:lang w:val="en-US" w:eastAsia="en-US" w:bidi="en-US"/>
      </w:rPr>
    </w:lvl>
    <w:lvl w:ilvl="3" w:tplc="45D67E3E">
      <w:numFmt w:val="bullet"/>
      <w:lvlText w:val="•"/>
      <w:lvlJc w:val="left"/>
      <w:pPr>
        <w:ind w:left="1219" w:hanging="360"/>
      </w:pPr>
      <w:rPr>
        <w:rFonts w:hint="default"/>
        <w:lang w:val="en-US" w:eastAsia="en-US" w:bidi="en-US"/>
      </w:rPr>
    </w:lvl>
    <w:lvl w:ilvl="4" w:tplc="A64C6412">
      <w:numFmt w:val="bullet"/>
      <w:lvlText w:val="•"/>
      <w:lvlJc w:val="left"/>
      <w:pPr>
        <w:ind w:left="1472" w:hanging="360"/>
      </w:pPr>
      <w:rPr>
        <w:rFonts w:hint="default"/>
        <w:lang w:val="en-US" w:eastAsia="en-US" w:bidi="en-US"/>
      </w:rPr>
    </w:lvl>
    <w:lvl w:ilvl="5" w:tplc="5B74E2C8">
      <w:numFmt w:val="bullet"/>
      <w:lvlText w:val="•"/>
      <w:lvlJc w:val="left"/>
      <w:pPr>
        <w:ind w:left="1725" w:hanging="360"/>
      </w:pPr>
      <w:rPr>
        <w:rFonts w:hint="default"/>
        <w:lang w:val="en-US" w:eastAsia="en-US" w:bidi="en-US"/>
      </w:rPr>
    </w:lvl>
    <w:lvl w:ilvl="6" w:tplc="D498806C">
      <w:numFmt w:val="bullet"/>
      <w:lvlText w:val="•"/>
      <w:lvlJc w:val="left"/>
      <w:pPr>
        <w:ind w:left="1978" w:hanging="360"/>
      </w:pPr>
      <w:rPr>
        <w:rFonts w:hint="default"/>
        <w:lang w:val="en-US" w:eastAsia="en-US" w:bidi="en-US"/>
      </w:rPr>
    </w:lvl>
    <w:lvl w:ilvl="7" w:tplc="21DEA0AA">
      <w:numFmt w:val="bullet"/>
      <w:lvlText w:val="•"/>
      <w:lvlJc w:val="left"/>
      <w:pPr>
        <w:ind w:left="2231" w:hanging="360"/>
      </w:pPr>
      <w:rPr>
        <w:rFonts w:hint="default"/>
        <w:lang w:val="en-US" w:eastAsia="en-US" w:bidi="en-US"/>
      </w:rPr>
    </w:lvl>
    <w:lvl w:ilvl="8" w:tplc="0DACD6F0">
      <w:numFmt w:val="bullet"/>
      <w:lvlText w:val="•"/>
      <w:lvlJc w:val="left"/>
      <w:pPr>
        <w:ind w:left="2484" w:hanging="360"/>
      </w:pPr>
      <w:rPr>
        <w:rFonts w:hint="default"/>
        <w:lang w:val="en-US" w:eastAsia="en-US" w:bidi="en-US"/>
      </w:rPr>
    </w:lvl>
  </w:abstractNum>
  <w:abstractNum w:abstractNumId="4" w15:restartNumberingAfterBreak="0">
    <w:nsid w:val="1DFD1A90"/>
    <w:multiLevelType w:val="hybridMultilevel"/>
    <w:tmpl w:val="9492419E"/>
    <w:lvl w:ilvl="0" w:tplc="A934C166">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1882A656">
      <w:numFmt w:val="bullet"/>
      <w:lvlText w:val=""/>
      <w:lvlJc w:val="left"/>
      <w:pPr>
        <w:ind w:left="1120" w:hanging="360"/>
      </w:pPr>
      <w:rPr>
        <w:rFonts w:hint="default"/>
        <w:w w:val="99"/>
        <w:lang w:val="en-US" w:eastAsia="en-US" w:bidi="en-US"/>
      </w:rPr>
    </w:lvl>
    <w:lvl w:ilvl="2" w:tplc="A67A0782">
      <w:numFmt w:val="bullet"/>
      <w:lvlText w:val="•"/>
      <w:lvlJc w:val="left"/>
      <w:pPr>
        <w:ind w:left="1220" w:hanging="360"/>
      </w:pPr>
      <w:rPr>
        <w:rFonts w:hint="default"/>
        <w:lang w:val="en-US" w:eastAsia="en-US" w:bidi="en-US"/>
      </w:rPr>
    </w:lvl>
    <w:lvl w:ilvl="3" w:tplc="63E0F000">
      <w:numFmt w:val="bullet"/>
      <w:lvlText w:val="•"/>
      <w:lvlJc w:val="left"/>
      <w:pPr>
        <w:ind w:left="2505" w:hanging="360"/>
      </w:pPr>
      <w:rPr>
        <w:rFonts w:hint="default"/>
        <w:lang w:val="en-US" w:eastAsia="en-US" w:bidi="en-US"/>
      </w:rPr>
    </w:lvl>
    <w:lvl w:ilvl="4" w:tplc="C6CAEE14">
      <w:numFmt w:val="bullet"/>
      <w:lvlText w:val="•"/>
      <w:lvlJc w:val="left"/>
      <w:pPr>
        <w:ind w:left="3790" w:hanging="360"/>
      </w:pPr>
      <w:rPr>
        <w:rFonts w:hint="default"/>
        <w:lang w:val="en-US" w:eastAsia="en-US" w:bidi="en-US"/>
      </w:rPr>
    </w:lvl>
    <w:lvl w:ilvl="5" w:tplc="085E7B74">
      <w:numFmt w:val="bullet"/>
      <w:lvlText w:val="•"/>
      <w:lvlJc w:val="left"/>
      <w:pPr>
        <w:ind w:left="5075" w:hanging="360"/>
      </w:pPr>
      <w:rPr>
        <w:rFonts w:hint="default"/>
        <w:lang w:val="en-US" w:eastAsia="en-US" w:bidi="en-US"/>
      </w:rPr>
    </w:lvl>
    <w:lvl w:ilvl="6" w:tplc="B1C09538">
      <w:numFmt w:val="bullet"/>
      <w:lvlText w:val="•"/>
      <w:lvlJc w:val="left"/>
      <w:pPr>
        <w:ind w:left="6360" w:hanging="360"/>
      </w:pPr>
      <w:rPr>
        <w:rFonts w:hint="default"/>
        <w:lang w:val="en-US" w:eastAsia="en-US" w:bidi="en-US"/>
      </w:rPr>
    </w:lvl>
    <w:lvl w:ilvl="7" w:tplc="307EB7DC">
      <w:numFmt w:val="bullet"/>
      <w:lvlText w:val="•"/>
      <w:lvlJc w:val="left"/>
      <w:pPr>
        <w:ind w:left="7645" w:hanging="360"/>
      </w:pPr>
      <w:rPr>
        <w:rFonts w:hint="default"/>
        <w:lang w:val="en-US" w:eastAsia="en-US" w:bidi="en-US"/>
      </w:rPr>
    </w:lvl>
    <w:lvl w:ilvl="8" w:tplc="1FAA366C">
      <w:numFmt w:val="bullet"/>
      <w:lvlText w:val="•"/>
      <w:lvlJc w:val="left"/>
      <w:pPr>
        <w:ind w:left="8930" w:hanging="360"/>
      </w:pPr>
      <w:rPr>
        <w:rFonts w:hint="default"/>
        <w:lang w:val="en-US" w:eastAsia="en-US" w:bidi="en-US"/>
      </w:rPr>
    </w:lvl>
  </w:abstractNum>
  <w:abstractNum w:abstractNumId="5" w15:restartNumberingAfterBreak="0">
    <w:nsid w:val="293513C8"/>
    <w:multiLevelType w:val="hybridMultilevel"/>
    <w:tmpl w:val="0B946AE4"/>
    <w:lvl w:ilvl="0" w:tplc="04090001">
      <w:start w:val="1"/>
      <w:numFmt w:val="bullet"/>
      <w:lvlText w:val=""/>
      <w:lvlJc w:val="left"/>
      <w:pPr>
        <w:ind w:left="760" w:hanging="360"/>
      </w:pPr>
      <w:rPr>
        <w:rFonts w:ascii="Symbol" w:hAnsi="Symbol" w:hint="default"/>
        <w:w w:val="99"/>
        <w:lang w:val="en-US" w:eastAsia="en-US" w:bidi="en-US"/>
      </w:rPr>
    </w:lvl>
    <w:lvl w:ilvl="1" w:tplc="1ADA7AA2">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0FA0B80E">
      <w:numFmt w:val="bullet"/>
      <w:lvlText w:val="•"/>
      <w:lvlJc w:val="left"/>
      <w:pPr>
        <w:ind w:left="2273" w:hanging="360"/>
      </w:pPr>
      <w:rPr>
        <w:rFonts w:hint="default"/>
        <w:lang w:val="en-US" w:eastAsia="en-US" w:bidi="en-US"/>
      </w:rPr>
    </w:lvl>
    <w:lvl w:ilvl="3" w:tplc="98BA8B70">
      <w:numFmt w:val="bullet"/>
      <w:lvlText w:val="•"/>
      <w:lvlJc w:val="left"/>
      <w:pPr>
        <w:ind w:left="3426" w:hanging="360"/>
      </w:pPr>
      <w:rPr>
        <w:rFonts w:hint="default"/>
        <w:lang w:val="en-US" w:eastAsia="en-US" w:bidi="en-US"/>
      </w:rPr>
    </w:lvl>
    <w:lvl w:ilvl="4" w:tplc="DA7C87E4">
      <w:numFmt w:val="bullet"/>
      <w:lvlText w:val="•"/>
      <w:lvlJc w:val="left"/>
      <w:pPr>
        <w:ind w:left="4580" w:hanging="360"/>
      </w:pPr>
      <w:rPr>
        <w:rFonts w:hint="default"/>
        <w:lang w:val="en-US" w:eastAsia="en-US" w:bidi="en-US"/>
      </w:rPr>
    </w:lvl>
    <w:lvl w:ilvl="5" w:tplc="C6A0877A">
      <w:numFmt w:val="bullet"/>
      <w:lvlText w:val="•"/>
      <w:lvlJc w:val="left"/>
      <w:pPr>
        <w:ind w:left="5733" w:hanging="360"/>
      </w:pPr>
      <w:rPr>
        <w:rFonts w:hint="default"/>
        <w:lang w:val="en-US" w:eastAsia="en-US" w:bidi="en-US"/>
      </w:rPr>
    </w:lvl>
    <w:lvl w:ilvl="6" w:tplc="F6024F02">
      <w:numFmt w:val="bullet"/>
      <w:lvlText w:val="•"/>
      <w:lvlJc w:val="left"/>
      <w:pPr>
        <w:ind w:left="6886" w:hanging="360"/>
      </w:pPr>
      <w:rPr>
        <w:rFonts w:hint="default"/>
        <w:lang w:val="en-US" w:eastAsia="en-US" w:bidi="en-US"/>
      </w:rPr>
    </w:lvl>
    <w:lvl w:ilvl="7" w:tplc="5E22A3FE">
      <w:numFmt w:val="bullet"/>
      <w:lvlText w:val="•"/>
      <w:lvlJc w:val="left"/>
      <w:pPr>
        <w:ind w:left="8040" w:hanging="360"/>
      </w:pPr>
      <w:rPr>
        <w:rFonts w:hint="default"/>
        <w:lang w:val="en-US" w:eastAsia="en-US" w:bidi="en-US"/>
      </w:rPr>
    </w:lvl>
    <w:lvl w:ilvl="8" w:tplc="FAB0C6F4">
      <w:numFmt w:val="bullet"/>
      <w:lvlText w:val="•"/>
      <w:lvlJc w:val="left"/>
      <w:pPr>
        <w:ind w:left="9193" w:hanging="360"/>
      </w:pPr>
      <w:rPr>
        <w:rFonts w:hint="default"/>
        <w:lang w:val="en-US" w:eastAsia="en-US" w:bidi="en-US"/>
      </w:rPr>
    </w:lvl>
  </w:abstractNum>
  <w:abstractNum w:abstractNumId="6" w15:restartNumberingAfterBreak="0">
    <w:nsid w:val="356B76EE"/>
    <w:multiLevelType w:val="hybridMultilevel"/>
    <w:tmpl w:val="D34EE340"/>
    <w:lvl w:ilvl="0" w:tplc="D1344348">
      <w:numFmt w:val="bullet"/>
      <w:lvlText w:val=""/>
      <w:lvlJc w:val="left"/>
      <w:pPr>
        <w:ind w:left="469" w:hanging="360"/>
      </w:pPr>
      <w:rPr>
        <w:rFonts w:ascii="Symbol" w:eastAsia="Symbol" w:hAnsi="Symbol" w:cs="Symbol" w:hint="default"/>
        <w:color w:val="2F5496"/>
        <w:w w:val="99"/>
        <w:sz w:val="20"/>
        <w:szCs w:val="20"/>
        <w:lang w:val="en-US" w:eastAsia="en-US" w:bidi="en-US"/>
      </w:rPr>
    </w:lvl>
    <w:lvl w:ilvl="1" w:tplc="7220AA70">
      <w:numFmt w:val="bullet"/>
      <w:lvlText w:val="•"/>
      <w:lvlJc w:val="left"/>
      <w:pPr>
        <w:ind w:left="713" w:hanging="360"/>
      </w:pPr>
      <w:rPr>
        <w:rFonts w:hint="default"/>
        <w:lang w:val="en-US" w:eastAsia="en-US" w:bidi="en-US"/>
      </w:rPr>
    </w:lvl>
    <w:lvl w:ilvl="2" w:tplc="3DC63060">
      <w:numFmt w:val="bullet"/>
      <w:lvlText w:val="•"/>
      <w:lvlJc w:val="left"/>
      <w:pPr>
        <w:ind w:left="966" w:hanging="360"/>
      </w:pPr>
      <w:rPr>
        <w:rFonts w:hint="default"/>
        <w:lang w:val="en-US" w:eastAsia="en-US" w:bidi="en-US"/>
      </w:rPr>
    </w:lvl>
    <w:lvl w:ilvl="3" w:tplc="6316DEFA">
      <w:numFmt w:val="bullet"/>
      <w:lvlText w:val="•"/>
      <w:lvlJc w:val="left"/>
      <w:pPr>
        <w:ind w:left="1219" w:hanging="360"/>
      </w:pPr>
      <w:rPr>
        <w:rFonts w:hint="default"/>
        <w:lang w:val="en-US" w:eastAsia="en-US" w:bidi="en-US"/>
      </w:rPr>
    </w:lvl>
    <w:lvl w:ilvl="4" w:tplc="B7DE6028">
      <w:numFmt w:val="bullet"/>
      <w:lvlText w:val="•"/>
      <w:lvlJc w:val="left"/>
      <w:pPr>
        <w:ind w:left="1472" w:hanging="360"/>
      </w:pPr>
      <w:rPr>
        <w:rFonts w:hint="default"/>
        <w:lang w:val="en-US" w:eastAsia="en-US" w:bidi="en-US"/>
      </w:rPr>
    </w:lvl>
    <w:lvl w:ilvl="5" w:tplc="620281C8">
      <w:numFmt w:val="bullet"/>
      <w:lvlText w:val="•"/>
      <w:lvlJc w:val="left"/>
      <w:pPr>
        <w:ind w:left="1725" w:hanging="360"/>
      </w:pPr>
      <w:rPr>
        <w:rFonts w:hint="default"/>
        <w:lang w:val="en-US" w:eastAsia="en-US" w:bidi="en-US"/>
      </w:rPr>
    </w:lvl>
    <w:lvl w:ilvl="6" w:tplc="6886366C">
      <w:numFmt w:val="bullet"/>
      <w:lvlText w:val="•"/>
      <w:lvlJc w:val="left"/>
      <w:pPr>
        <w:ind w:left="1978" w:hanging="360"/>
      </w:pPr>
      <w:rPr>
        <w:rFonts w:hint="default"/>
        <w:lang w:val="en-US" w:eastAsia="en-US" w:bidi="en-US"/>
      </w:rPr>
    </w:lvl>
    <w:lvl w:ilvl="7" w:tplc="140A0CA4">
      <w:numFmt w:val="bullet"/>
      <w:lvlText w:val="•"/>
      <w:lvlJc w:val="left"/>
      <w:pPr>
        <w:ind w:left="2231" w:hanging="360"/>
      </w:pPr>
      <w:rPr>
        <w:rFonts w:hint="default"/>
        <w:lang w:val="en-US" w:eastAsia="en-US" w:bidi="en-US"/>
      </w:rPr>
    </w:lvl>
    <w:lvl w:ilvl="8" w:tplc="565C5912">
      <w:numFmt w:val="bullet"/>
      <w:lvlText w:val="•"/>
      <w:lvlJc w:val="left"/>
      <w:pPr>
        <w:ind w:left="2484" w:hanging="360"/>
      </w:pPr>
      <w:rPr>
        <w:rFonts w:hint="default"/>
        <w:lang w:val="en-US" w:eastAsia="en-US" w:bidi="en-US"/>
      </w:rPr>
    </w:lvl>
  </w:abstractNum>
  <w:abstractNum w:abstractNumId="7" w15:restartNumberingAfterBreak="0">
    <w:nsid w:val="39565BF7"/>
    <w:multiLevelType w:val="hybridMultilevel"/>
    <w:tmpl w:val="9CE6BFAA"/>
    <w:lvl w:ilvl="0" w:tplc="94D42816">
      <w:numFmt w:val="bullet"/>
      <w:lvlText w:val=""/>
      <w:lvlJc w:val="left"/>
      <w:pPr>
        <w:ind w:left="760" w:hanging="360"/>
      </w:pPr>
      <w:rPr>
        <w:rFonts w:hint="default"/>
        <w:w w:val="99"/>
        <w:lang w:val="en-US" w:eastAsia="en-US" w:bidi="en-US"/>
      </w:rPr>
    </w:lvl>
    <w:lvl w:ilvl="1" w:tplc="1ADA7AA2">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0FA0B80E">
      <w:numFmt w:val="bullet"/>
      <w:lvlText w:val="•"/>
      <w:lvlJc w:val="left"/>
      <w:pPr>
        <w:ind w:left="2273" w:hanging="360"/>
      </w:pPr>
      <w:rPr>
        <w:rFonts w:hint="default"/>
        <w:lang w:val="en-US" w:eastAsia="en-US" w:bidi="en-US"/>
      </w:rPr>
    </w:lvl>
    <w:lvl w:ilvl="3" w:tplc="98BA8B70">
      <w:numFmt w:val="bullet"/>
      <w:lvlText w:val="•"/>
      <w:lvlJc w:val="left"/>
      <w:pPr>
        <w:ind w:left="3426" w:hanging="360"/>
      </w:pPr>
      <w:rPr>
        <w:rFonts w:hint="default"/>
        <w:lang w:val="en-US" w:eastAsia="en-US" w:bidi="en-US"/>
      </w:rPr>
    </w:lvl>
    <w:lvl w:ilvl="4" w:tplc="DA7C87E4">
      <w:numFmt w:val="bullet"/>
      <w:lvlText w:val="•"/>
      <w:lvlJc w:val="left"/>
      <w:pPr>
        <w:ind w:left="4580" w:hanging="360"/>
      </w:pPr>
      <w:rPr>
        <w:rFonts w:hint="default"/>
        <w:lang w:val="en-US" w:eastAsia="en-US" w:bidi="en-US"/>
      </w:rPr>
    </w:lvl>
    <w:lvl w:ilvl="5" w:tplc="C6A0877A">
      <w:numFmt w:val="bullet"/>
      <w:lvlText w:val="•"/>
      <w:lvlJc w:val="left"/>
      <w:pPr>
        <w:ind w:left="5733" w:hanging="360"/>
      </w:pPr>
      <w:rPr>
        <w:rFonts w:hint="default"/>
        <w:lang w:val="en-US" w:eastAsia="en-US" w:bidi="en-US"/>
      </w:rPr>
    </w:lvl>
    <w:lvl w:ilvl="6" w:tplc="F6024F02">
      <w:numFmt w:val="bullet"/>
      <w:lvlText w:val="•"/>
      <w:lvlJc w:val="left"/>
      <w:pPr>
        <w:ind w:left="6886" w:hanging="360"/>
      </w:pPr>
      <w:rPr>
        <w:rFonts w:hint="default"/>
        <w:lang w:val="en-US" w:eastAsia="en-US" w:bidi="en-US"/>
      </w:rPr>
    </w:lvl>
    <w:lvl w:ilvl="7" w:tplc="5E22A3FE">
      <w:numFmt w:val="bullet"/>
      <w:lvlText w:val="•"/>
      <w:lvlJc w:val="left"/>
      <w:pPr>
        <w:ind w:left="8040" w:hanging="360"/>
      </w:pPr>
      <w:rPr>
        <w:rFonts w:hint="default"/>
        <w:lang w:val="en-US" w:eastAsia="en-US" w:bidi="en-US"/>
      </w:rPr>
    </w:lvl>
    <w:lvl w:ilvl="8" w:tplc="FAB0C6F4">
      <w:numFmt w:val="bullet"/>
      <w:lvlText w:val="•"/>
      <w:lvlJc w:val="left"/>
      <w:pPr>
        <w:ind w:left="9193" w:hanging="360"/>
      </w:pPr>
      <w:rPr>
        <w:rFonts w:hint="default"/>
        <w:lang w:val="en-US" w:eastAsia="en-US" w:bidi="en-US"/>
      </w:rPr>
    </w:lvl>
  </w:abstractNum>
  <w:abstractNum w:abstractNumId="8" w15:restartNumberingAfterBreak="0">
    <w:nsid w:val="4969184F"/>
    <w:multiLevelType w:val="hybridMultilevel"/>
    <w:tmpl w:val="AC70F8FE"/>
    <w:lvl w:ilvl="0" w:tplc="04090001">
      <w:start w:val="1"/>
      <w:numFmt w:val="bullet"/>
      <w:lvlText w:val=""/>
      <w:lvlJc w:val="left"/>
      <w:pPr>
        <w:ind w:left="40" w:hanging="360"/>
      </w:pPr>
      <w:rPr>
        <w:rFonts w:ascii="Symbol" w:hAnsi="Symbol" w:hint="default"/>
        <w:w w:val="99"/>
        <w:lang w:val="en-US" w:eastAsia="en-US" w:bidi="en-US"/>
      </w:rPr>
    </w:lvl>
    <w:lvl w:ilvl="1" w:tplc="1ADA7AA2">
      <w:numFmt w:val="bullet"/>
      <w:lvlText w:val=""/>
      <w:lvlJc w:val="left"/>
      <w:pPr>
        <w:ind w:left="400" w:hanging="360"/>
      </w:pPr>
      <w:rPr>
        <w:rFonts w:ascii="Symbol" w:eastAsia="Symbol" w:hAnsi="Symbol" w:cs="Symbol" w:hint="default"/>
        <w:color w:val="2F5496"/>
        <w:w w:val="99"/>
        <w:sz w:val="20"/>
        <w:szCs w:val="20"/>
        <w:lang w:val="en-US" w:eastAsia="en-US" w:bidi="en-US"/>
      </w:rPr>
    </w:lvl>
    <w:lvl w:ilvl="2" w:tplc="0FA0B80E">
      <w:numFmt w:val="bullet"/>
      <w:lvlText w:val="•"/>
      <w:lvlJc w:val="left"/>
      <w:pPr>
        <w:ind w:left="1553" w:hanging="360"/>
      </w:pPr>
      <w:rPr>
        <w:rFonts w:hint="default"/>
        <w:lang w:val="en-US" w:eastAsia="en-US" w:bidi="en-US"/>
      </w:rPr>
    </w:lvl>
    <w:lvl w:ilvl="3" w:tplc="98BA8B70">
      <w:numFmt w:val="bullet"/>
      <w:lvlText w:val="•"/>
      <w:lvlJc w:val="left"/>
      <w:pPr>
        <w:ind w:left="2706" w:hanging="360"/>
      </w:pPr>
      <w:rPr>
        <w:rFonts w:hint="default"/>
        <w:lang w:val="en-US" w:eastAsia="en-US" w:bidi="en-US"/>
      </w:rPr>
    </w:lvl>
    <w:lvl w:ilvl="4" w:tplc="DA7C87E4">
      <w:numFmt w:val="bullet"/>
      <w:lvlText w:val="•"/>
      <w:lvlJc w:val="left"/>
      <w:pPr>
        <w:ind w:left="3860" w:hanging="360"/>
      </w:pPr>
      <w:rPr>
        <w:rFonts w:hint="default"/>
        <w:lang w:val="en-US" w:eastAsia="en-US" w:bidi="en-US"/>
      </w:rPr>
    </w:lvl>
    <w:lvl w:ilvl="5" w:tplc="C6A0877A">
      <w:numFmt w:val="bullet"/>
      <w:lvlText w:val="•"/>
      <w:lvlJc w:val="left"/>
      <w:pPr>
        <w:ind w:left="5013" w:hanging="360"/>
      </w:pPr>
      <w:rPr>
        <w:rFonts w:hint="default"/>
        <w:lang w:val="en-US" w:eastAsia="en-US" w:bidi="en-US"/>
      </w:rPr>
    </w:lvl>
    <w:lvl w:ilvl="6" w:tplc="F6024F02">
      <w:numFmt w:val="bullet"/>
      <w:lvlText w:val="•"/>
      <w:lvlJc w:val="left"/>
      <w:pPr>
        <w:ind w:left="6166" w:hanging="360"/>
      </w:pPr>
      <w:rPr>
        <w:rFonts w:hint="default"/>
        <w:lang w:val="en-US" w:eastAsia="en-US" w:bidi="en-US"/>
      </w:rPr>
    </w:lvl>
    <w:lvl w:ilvl="7" w:tplc="5E22A3FE">
      <w:numFmt w:val="bullet"/>
      <w:lvlText w:val="•"/>
      <w:lvlJc w:val="left"/>
      <w:pPr>
        <w:ind w:left="7320" w:hanging="360"/>
      </w:pPr>
      <w:rPr>
        <w:rFonts w:hint="default"/>
        <w:lang w:val="en-US" w:eastAsia="en-US" w:bidi="en-US"/>
      </w:rPr>
    </w:lvl>
    <w:lvl w:ilvl="8" w:tplc="FAB0C6F4">
      <w:numFmt w:val="bullet"/>
      <w:lvlText w:val="•"/>
      <w:lvlJc w:val="left"/>
      <w:pPr>
        <w:ind w:left="8473" w:hanging="360"/>
      </w:pPr>
      <w:rPr>
        <w:rFonts w:hint="default"/>
        <w:lang w:val="en-US" w:eastAsia="en-US" w:bidi="en-US"/>
      </w:rPr>
    </w:lvl>
  </w:abstractNum>
  <w:abstractNum w:abstractNumId="9" w15:restartNumberingAfterBreak="0">
    <w:nsid w:val="5C3D4A50"/>
    <w:multiLevelType w:val="hybridMultilevel"/>
    <w:tmpl w:val="32B00988"/>
    <w:lvl w:ilvl="0" w:tplc="1FCAE7A0">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87D43C14">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54DCDB0E">
      <w:numFmt w:val="bullet"/>
      <w:lvlText w:val="•"/>
      <w:lvlJc w:val="left"/>
      <w:pPr>
        <w:ind w:left="2273" w:hanging="360"/>
      </w:pPr>
      <w:rPr>
        <w:rFonts w:hint="default"/>
        <w:lang w:val="en-US" w:eastAsia="en-US" w:bidi="en-US"/>
      </w:rPr>
    </w:lvl>
    <w:lvl w:ilvl="3" w:tplc="6C542E0C">
      <w:numFmt w:val="bullet"/>
      <w:lvlText w:val="•"/>
      <w:lvlJc w:val="left"/>
      <w:pPr>
        <w:ind w:left="3426" w:hanging="360"/>
      </w:pPr>
      <w:rPr>
        <w:rFonts w:hint="default"/>
        <w:lang w:val="en-US" w:eastAsia="en-US" w:bidi="en-US"/>
      </w:rPr>
    </w:lvl>
    <w:lvl w:ilvl="4" w:tplc="E95E78F6">
      <w:numFmt w:val="bullet"/>
      <w:lvlText w:val="•"/>
      <w:lvlJc w:val="left"/>
      <w:pPr>
        <w:ind w:left="4580" w:hanging="360"/>
      </w:pPr>
      <w:rPr>
        <w:rFonts w:hint="default"/>
        <w:lang w:val="en-US" w:eastAsia="en-US" w:bidi="en-US"/>
      </w:rPr>
    </w:lvl>
    <w:lvl w:ilvl="5" w:tplc="F4AAE998">
      <w:numFmt w:val="bullet"/>
      <w:lvlText w:val="•"/>
      <w:lvlJc w:val="left"/>
      <w:pPr>
        <w:ind w:left="5733" w:hanging="360"/>
      </w:pPr>
      <w:rPr>
        <w:rFonts w:hint="default"/>
        <w:lang w:val="en-US" w:eastAsia="en-US" w:bidi="en-US"/>
      </w:rPr>
    </w:lvl>
    <w:lvl w:ilvl="6" w:tplc="FA1A6748">
      <w:numFmt w:val="bullet"/>
      <w:lvlText w:val="•"/>
      <w:lvlJc w:val="left"/>
      <w:pPr>
        <w:ind w:left="6886" w:hanging="360"/>
      </w:pPr>
      <w:rPr>
        <w:rFonts w:hint="default"/>
        <w:lang w:val="en-US" w:eastAsia="en-US" w:bidi="en-US"/>
      </w:rPr>
    </w:lvl>
    <w:lvl w:ilvl="7" w:tplc="BEF8C7B2">
      <w:numFmt w:val="bullet"/>
      <w:lvlText w:val="•"/>
      <w:lvlJc w:val="left"/>
      <w:pPr>
        <w:ind w:left="8040" w:hanging="360"/>
      </w:pPr>
      <w:rPr>
        <w:rFonts w:hint="default"/>
        <w:lang w:val="en-US" w:eastAsia="en-US" w:bidi="en-US"/>
      </w:rPr>
    </w:lvl>
    <w:lvl w:ilvl="8" w:tplc="71401796">
      <w:numFmt w:val="bullet"/>
      <w:lvlText w:val="•"/>
      <w:lvlJc w:val="left"/>
      <w:pPr>
        <w:ind w:left="9193" w:hanging="360"/>
      </w:pPr>
      <w:rPr>
        <w:rFonts w:hint="default"/>
        <w:lang w:val="en-US" w:eastAsia="en-US" w:bidi="en-US"/>
      </w:rPr>
    </w:lvl>
  </w:abstractNum>
  <w:abstractNum w:abstractNumId="10" w15:restartNumberingAfterBreak="0">
    <w:nsid w:val="5EC56B4C"/>
    <w:multiLevelType w:val="hybridMultilevel"/>
    <w:tmpl w:val="1528DEE8"/>
    <w:lvl w:ilvl="0" w:tplc="A934C166">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04090001">
      <w:start w:val="1"/>
      <w:numFmt w:val="bullet"/>
      <w:lvlText w:val=""/>
      <w:lvlJc w:val="left"/>
      <w:pPr>
        <w:ind w:left="1120" w:hanging="360"/>
      </w:pPr>
      <w:rPr>
        <w:rFonts w:ascii="Symbol" w:hAnsi="Symbol" w:hint="default"/>
        <w:w w:val="99"/>
        <w:lang w:val="en-US" w:eastAsia="en-US" w:bidi="en-US"/>
      </w:rPr>
    </w:lvl>
    <w:lvl w:ilvl="2" w:tplc="A67A0782">
      <w:numFmt w:val="bullet"/>
      <w:lvlText w:val="•"/>
      <w:lvlJc w:val="left"/>
      <w:pPr>
        <w:ind w:left="1220" w:hanging="360"/>
      </w:pPr>
      <w:rPr>
        <w:rFonts w:hint="default"/>
        <w:lang w:val="en-US" w:eastAsia="en-US" w:bidi="en-US"/>
      </w:rPr>
    </w:lvl>
    <w:lvl w:ilvl="3" w:tplc="63E0F000">
      <w:numFmt w:val="bullet"/>
      <w:lvlText w:val="•"/>
      <w:lvlJc w:val="left"/>
      <w:pPr>
        <w:ind w:left="2505" w:hanging="360"/>
      </w:pPr>
      <w:rPr>
        <w:rFonts w:hint="default"/>
        <w:lang w:val="en-US" w:eastAsia="en-US" w:bidi="en-US"/>
      </w:rPr>
    </w:lvl>
    <w:lvl w:ilvl="4" w:tplc="C6CAEE14">
      <w:numFmt w:val="bullet"/>
      <w:lvlText w:val="•"/>
      <w:lvlJc w:val="left"/>
      <w:pPr>
        <w:ind w:left="3790" w:hanging="360"/>
      </w:pPr>
      <w:rPr>
        <w:rFonts w:hint="default"/>
        <w:lang w:val="en-US" w:eastAsia="en-US" w:bidi="en-US"/>
      </w:rPr>
    </w:lvl>
    <w:lvl w:ilvl="5" w:tplc="085E7B74">
      <w:numFmt w:val="bullet"/>
      <w:lvlText w:val="•"/>
      <w:lvlJc w:val="left"/>
      <w:pPr>
        <w:ind w:left="5075" w:hanging="360"/>
      </w:pPr>
      <w:rPr>
        <w:rFonts w:hint="default"/>
        <w:lang w:val="en-US" w:eastAsia="en-US" w:bidi="en-US"/>
      </w:rPr>
    </w:lvl>
    <w:lvl w:ilvl="6" w:tplc="B1C09538">
      <w:numFmt w:val="bullet"/>
      <w:lvlText w:val="•"/>
      <w:lvlJc w:val="left"/>
      <w:pPr>
        <w:ind w:left="6360" w:hanging="360"/>
      </w:pPr>
      <w:rPr>
        <w:rFonts w:hint="default"/>
        <w:lang w:val="en-US" w:eastAsia="en-US" w:bidi="en-US"/>
      </w:rPr>
    </w:lvl>
    <w:lvl w:ilvl="7" w:tplc="307EB7DC">
      <w:numFmt w:val="bullet"/>
      <w:lvlText w:val="•"/>
      <w:lvlJc w:val="left"/>
      <w:pPr>
        <w:ind w:left="7645" w:hanging="360"/>
      </w:pPr>
      <w:rPr>
        <w:rFonts w:hint="default"/>
        <w:lang w:val="en-US" w:eastAsia="en-US" w:bidi="en-US"/>
      </w:rPr>
    </w:lvl>
    <w:lvl w:ilvl="8" w:tplc="1FAA366C">
      <w:numFmt w:val="bullet"/>
      <w:lvlText w:val="•"/>
      <w:lvlJc w:val="left"/>
      <w:pPr>
        <w:ind w:left="8930" w:hanging="360"/>
      </w:pPr>
      <w:rPr>
        <w:rFonts w:hint="default"/>
        <w:lang w:val="en-US" w:eastAsia="en-US" w:bidi="en-US"/>
      </w:rPr>
    </w:lvl>
  </w:abstractNum>
  <w:abstractNum w:abstractNumId="11" w15:restartNumberingAfterBreak="0">
    <w:nsid w:val="5EF763BF"/>
    <w:multiLevelType w:val="hybridMultilevel"/>
    <w:tmpl w:val="E34A2E2C"/>
    <w:lvl w:ilvl="0" w:tplc="C09EE85E">
      <w:numFmt w:val="bullet"/>
      <w:lvlText w:val=""/>
      <w:lvlJc w:val="left"/>
      <w:pPr>
        <w:ind w:left="1120" w:hanging="360"/>
      </w:pPr>
      <w:rPr>
        <w:rFonts w:ascii="Symbol" w:eastAsia="Symbol" w:hAnsi="Symbol" w:cs="Symbol" w:hint="default"/>
        <w:color w:val="2F5496"/>
        <w:w w:val="99"/>
        <w:sz w:val="20"/>
        <w:szCs w:val="20"/>
        <w:lang w:val="en-US" w:eastAsia="en-US" w:bidi="en-US"/>
      </w:rPr>
    </w:lvl>
    <w:lvl w:ilvl="1" w:tplc="0B4E04F6">
      <w:numFmt w:val="bullet"/>
      <w:lvlText w:val="•"/>
      <w:lvlJc w:val="left"/>
      <w:pPr>
        <w:ind w:left="2158" w:hanging="360"/>
      </w:pPr>
      <w:rPr>
        <w:rFonts w:hint="default"/>
        <w:lang w:val="en-US" w:eastAsia="en-US" w:bidi="en-US"/>
      </w:rPr>
    </w:lvl>
    <w:lvl w:ilvl="2" w:tplc="BE0AF4D0">
      <w:numFmt w:val="bullet"/>
      <w:lvlText w:val="•"/>
      <w:lvlJc w:val="left"/>
      <w:pPr>
        <w:ind w:left="3196" w:hanging="360"/>
      </w:pPr>
      <w:rPr>
        <w:rFonts w:hint="default"/>
        <w:lang w:val="en-US" w:eastAsia="en-US" w:bidi="en-US"/>
      </w:rPr>
    </w:lvl>
    <w:lvl w:ilvl="3" w:tplc="82709A86">
      <w:numFmt w:val="bullet"/>
      <w:lvlText w:val="•"/>
      <w:lvlJc w:val="left"/>
      <w:pPr>
        <w:ind w:left="4234" w:hanging="360"/>
      </w:pPr>
      <w:rPr>
        <w:rFonts w:hint="default"/>
        <w:lang w:val="en-US" w:eastAsia="en-US" w:bidi="en-US"/>
      </w:rPr>
    </w:lvl>
    <w:lvl w:ilvl="4" w:tplc="9FFE770C">
      <w:numFmt w:val="bullet"/>
      <w:lvlText w:val="•"/>
      <w:lvlJc w:val="left"/>
      <w:pPr>
        <w:ind w:left="5272" w:hanging="360"/>
      </w:pPr>
      <w:rPr>
        <w:rFonts w:hint="default"/>
        <w:lang w:val="en-US" w:eastAsia="en-US" w:bidi="en-US"/>
      </w:rPr>
    </w:lvl>
    <w:lvl w:ilvl="5" w:tplc="6BF6429A">
      <w:numFmt w:val="bullet"/>
      <w:lvlText w:val="•"/>
      <w:lvlJc w:val="left"/>
      <w:pPr>
        <w:ind w:left="6310" w:hanging="360"/>
      </w:pPr>
      <w:rPr>
        <w:rFonts w:hint="default"/>
        <w:lang w:val="en-US" w:eastAsia="en-US" w:bidi="en-US"/>
      </w:rPr>
    </w:lvl>
    <w:lvl w:ilvl="6" w:tplc="5BE86C82">
      <w:numFmt w:val="bullet"/>
      <w:lvlText w:val="•"/>
      <w:lvlJc w:val="left"/>
      <w:pPr>
        <w:ind w:left="7348" w:hanging="360"/>
      </w:pPr>
      <w:rPr>
        <w:rFonts w:hint="default"/>
        <w:lang w:val="en-US" w:eastAsia="en-US" w:bidi="en-US"/>
      </w:rPr>
    </w:lvl>
    <w:lvl w:ilvl="7" w:tplc="18EC81CE">
      <w:numFmt w:val="bullet"/>
      <w:lvlText w:val="•"/>
      <w:lvlJc w:val="left"/>
      <w:pPr>
        <w:ind w:left="8386" w:hanging="360"/>
      </w:pPr>
      <w:rPr>
        <w:rFonts w:hint="default"/>
        <w:lang w:val="en-US" w:eastAsia="en-US" w:bidi="en-US"/>
      </w:rPr>
    </w:lvl>
    <w:lvl w:ilvl="8" w:tplc="62B2D508">
      <w:numFmt w:val="bullet"/>
      <w:lvlText w:val="•"/>
      <w:lvlJc w:val="left"/>
      <w:pPr>
        <w:ind w:left="9424" w:hanging="360"/>
      </w:pPr>
      <w:rPr>
        <w:rFonts w:hint="default"/>
        <w:lang w:val="en-US" w:eastAsia="en-US" w:bidi="en-US"/>
      </w:rPr>
    </w:lvl>
  </w:abstractNum>
  <w:abstractNum w:abstractNumId="12" w15:restartNumberingAfterBreak="0">
    <w:nsid w:val="5F837D32"/>
    <w:multiLevelType w:val="multilevel"/>
    <w:tmpl w:val="61E6263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3" w15:restartNumberingAfterBreak="0">
    <w:nsid w:val="75725DCB"/>
    <w:multiLevelType w:val="hybridMultilevel"/>
    <w:tmpl w:val="FC981D16"/>
    <w:lvl w:ilvl="0" w:tplc="04090001">
      <w:start w:val="1"/>
      <w:numFmt w:val="bullet"/>
      <w:lvlText w:val=""/>
      <w:lvlJc w:val="left"/>
      <w:pPr>
        <w:ind w:left="760" w:hanging="360"/>
      </w:pPr>
      <w:rPr>
        <w:rFonts w:ascii="Symbol" w:hAnsi="Symbol" w:hint="default"/>
        <w:w w:val="99"/>
        <w:lang w:val="en-US" w:eastAsia="en-US" w:bidi="en-US"/>
      </w:rPr>
    </w:lvl>
    <w:lvl w:ilvl="1" w:tplc="1ADA7AA2">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0FA0B80E">
      <w:numFmt w:val="bullet"/>
      <w:lvlText w:val="•"/>
      <w:lvlJc w:val="left"/>
      <w:pPr>
        <w:ind w:left="2273" w:hanging="360"/>
      </w:pPr>
      <w:rPr>
        <w:rFonts w:hint="default"/>
        <w:lang w:val="en-US" w:eastAsia="en-US" w:bidi="en-US"/>
      </w:rPr>
    </w:lvl>
    <w:lvl w:ilvl="3" w:tplc="98BA8B70">
      <w:numFmt w:val="bullet"/>
      <w:lvlText w:val="•"/>
      <w:lvlJc w:val="left"/>
      <w:pPr>
        <w:ind w:left="3426" w:hanging="360"/>
      </w:pPr>
      <w:rPr>
        <w:rFonts w:hint="default"/>
        <w:lang w:val="en-US" w:eastAsia="en-US" w:bidi="en-US"/>
      </w:rPr>
    </w:lvl>
    <w:lvl w:ilvl="4" w:tplc="DA7C87E4">
      <w:numFmt w:val="bullet"/>
      <w:lvlText w:val="•"/>
      <w:lvlJc w:val="left"/>
      <w:pPr>
        <w:ind w:left="4580" w:hanging="360"/>
      </w:pPr>
      <w:rPr>
        <w:rFonts w:hint="default"/>
        <w:lang w:val="en-US" w:eastAsia="en-US" w:bidi="en-US"/>
      </w:rPr>
    </w:lvl>
    <w:lvl w:ilvl="5" w:tplc="C6A0877A">
      <w:numFmt w:val="bullet"/>
      <w:lvlText w:val="•"/>
      <w:lvlJc w:val="left"/>
      <w:pPr>
        <w:ind w:left="5733" w:hanging="360"/>
      </w:pPr>
      <w:rPr>
        <w:rFonts w:hint="default"/>
        <w:lang w:val="en-US" w:eastAsia="en-US" w:bidi="en-US"/>
      </w:rPr>
    </w:lvl>
    <w:lvl w:ilvl="6" w:tplc="F6024F02">
      <w:numFmt w:val="bullet"/>
      <w:lvlText w:val="•"/>
      <w:lvlJc w:val="left"/>
      <w:pPr>
        <w:ind w:left="6886" w:hanging="360"/>
      </w:pPr>
      <w:rPr>
        <w:rFonts w:hint="default"/>
        <w:lang w:val="en-US" w:eastAsia="en-US" w:bidi="en-US"/>
      </w:rPr>
    </w:lvl>
    <w:lvl w:ilvl="7" w:tplc="5E22A3FE">
      <w:numFmt w:val="bullet"/>
      <w:lvlText w:val="•"/>
      <w:lvlJc w:val="left"/>
      <w:pPr>
        <w:ind w:left="8040" w:hanging="360"/>
      </w:pPr>
      <w:rPr>
        <w:rFonts w:hint="default"/>
        <w:lang w:val="en-US" w:eastAsia="en-US" w:bidi="en-US"/>
      </w:rPr>
    </w:lvl>
    <w:lvl w:ilvl="8" w:tplc="FAB0C6F4">
      <w:numFmt w:val="bullet"/>
      <w:lvlText w:val="•"/>
      <w:lvlJc w:val="left"/>
      <w:pPr>
        <w:ind w:left="9193" w:hanging="360"/>
      </w:pPr>
      <w:rPr>
        <w:rFonts w:hint="default"/>
        <w:lang w:val="en-US" w:eastAsia="en-US" w:bidi="en-US"/>
      </w:rPr>
    </w:lvl>
  </w:abstractNum>
  <w:abstractNum w:abstractNumId="14" w15:restartNumberingAfterBreak="0">
    <w:nsid w:val="7F274247"/>
    <w:multiLevelType w:val="hybridMultilevel"/>
    <w:tmpl w:val="B41298D8"/>
    <w:lvl w:ilvl="0" w:tplc="A934C166">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04090001">
      <w:start w:val="1"/>
      <w:numFmt w:val="bullet"/>
      <w:lvlText w:val=""/>
      <w:lvlJc w:val="left"/>
      <w:pPr>
        <w:ind w:left="1120" w:hanging="360"/>
      </w:pPr>
      <w:rPr>
        <w:rFonts w:ascii="Symbol" w:hAnsi="Symbol" w:hint="default"/>
        <w:w w:val="99"/>
        <w:lang w:val="en-US" w:eastAsia="en-US" w:bidi="en-US"/>
      </w:rPr>
    </w:lvl>
    <w:lvl w:ilvl="2" w:tplc="A67A0782">
      <w:numFmt w:val="bullet"/>
      <w:lvlText w:val="•"/>
      <w:lvlJc w:val="left"/>
      <w:pPr>
        <w:ind w:left="1220" w:hanging="360"/>
      </w:pPr>
      <w:rPr>
        <w:rFonts w:hint="default"/>
        <w:lang w:val="en-US" w:eastAsia="en-US" w:bidi="en-US"/>
      </w:rPr>
    </w:lvl>
    <w:lvl w:ilvl="3" w:tplc="63E0F000">
      <w:numFmt w:val="bullet"/>
      <w:lvlText w:val="•"/>
      <w:lvlJc w:val="left"/>
      <w:pPr>
        <w:ind w:left="2505" w:hanging="360"/>
      </w:pPr>
      <w:rPr>
        <w:rFonts w:hint="default"/>
        <w:lang w:val="en-US" w:eastAsia="en-US" w:bidi="en-US"/>
      </w:rPr>
    </w:lvl>
    <w:lvl w:ilvl="4" w:tplc="C6CAEE14">
      <w:numFmt w:val="bullet"/>
      <w:lvlText w:val="•"/>
      <w:lvlJc w:val="left"/>
      <w:pPr>
        <w:ind w:left="3790" w:hanging="360"/>
      </w:pPr>
      <w:rPr>
        <w:rFonts w:hint="default"/>
        <w:lang w:val="en-US" w:eastAsia="en-US" w:bidi="en-US"/>
      </w:rPr>
    </w:lvl>
    <w:lvl w:ilvl="5" w:tplc="085E7B74">
      <w:numFmt w:val="bullet"/>
      <w:lvlText w:val="•"/>
      <w:lvlJc w:val="left"/>
      <w:pPr>
        <w:ind w:left="5075" w:hanging="360"/>
      </w:pPr>
      <w:rPr>
        <w:rFonts w:hint="default"/>
        <w:lang w:val="en-US" w:eastAsia="en-US" w:bidi="en-US"/>
      </w:rPr>
    </w:lvl>
    <w:lvl w:ilvl="6" w:tplc="B1C09538">
      <w:numFmt w:val="bullet"/>
      <w:lvlText w:val="•"/>
      <w:lvlJc w:val="left"/>
      <w:pPr>
        <w:ind w:left="6360" w:hanging="360"/>
      </w:pPr>
      <w:rPr>
        <w:rFonts w:hint="default"/>
        <w:lang w:val="en-US" w:eastAsia="en-US" w:bidi="en-US"/>
      </w:rPr>
    </w:lvl>
    <w:lvl w:ilvl="7" w:tplc="307EB7DC">
      <w:numFmt w:val="bullet"/>
      <w:lvlText w:val="•"/>
      <w:lvlJc w:val="left"/>
      <w:pPr>
        <w:ind w:left="7645" w:hanging="360"/>
      </w:pPr>
      <w:rPr>
        <w:rFonts w:hint="default"/>
        <w:lang w:val="en-US" w:eastAsia="en-US" w:bidi="en-US"/>
      </w:rPr>
    </w:lvl>
    <w:lvl w:ilvl="8" w:tplc="1FAA366C">
      <w:numFmt w:val="bullet"/>
      <w:lvlText w:val="•"/>
      <w:lvlJc w:val="left"/>
      <w:pPr>
        <w:ind w:left="8930" w:hanging="360"/>
      </w:pPr>
      <w:rPr>
        <w:rFonts w:hint="default"/>
        <w:lang w:val="en-US" w:eastAsia="en-US" w:bidi="en-US"/>
      </w:rPr>
    </w:lvl>
  </w:abstractNum>
  <w:num w:numId="1">
    <w:abstractNumId w:val="9"/>
  </w:num>
  <w:num w:numId="2">
    <w:abstractNumId w:val="2"/>
  </w:num>
  <w:num w:numId="3">
    <w:abstractNumId w:val="11"/>
  </w:num>
  <w:num w:numId="4">
    <w:abstractNumId w:val="3"/>
  </w:num>
  <w:num w:numId="5">
    <w:abstractNumId w:val="6"/>
  </w:num>
  <w:num w:numId="6">
    <w:abstractNumId w:val="7"/>
  </w:num>
  <w:num w:numId="7">
    <w:abstractNumId w:val="4"/>
  </w:num>
  <w:num w:numId="8">
    <w:abstractNumId w:val="1"/>
  </w:num>
  <w:num w:numId="9">
    <w:abstractNumId w:val="8"/>
  </w:num>
  <w:num w:numId="10">
    <w:abstractNumId w:val="13"/>
  </w:num>
  <w:num w:numId="11">
    <w:abstractNumId w:val="5"/>
  </w:num>
  <w:num w:numId="12">
    <w:abstractNumId w:val="10"/>
  </w:num>
  <w:num w:numId="13">
    <w:abstractNumId w:val="0"/>
  </w:num>
  <w:num w:numId="14">
    <w:abstractNumId w:val="1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1C9"/>
    <w:rsid w:val="00092CB1"/>
    <w:rsid w:val="000F0BFB"/>
    <w:rsid w:val="00115034"/>
    <w:rsid w:val="00140D68"/>
    <w:rsid w:val="001477A3"/>
    <w:rsid w:val="00175974"/>
    <w:rsid w:val="0019212B"/>
    <w:rsid w:val="001C3806"/>
    <w:rsid w:val="00210CE6"/>
    <w:rsid w:val="0036499A"/>
    <w:rsid w:val="004C2269"/>
    <w:rsid w:val="004C4050"/>
    <w:rsid w:val="004E4785"/>
    <w:rsid w:val="004F32E9"/>
    <w:rsid w:val="0050663C"/>
    <w:rsid w:val="00696453"/>
    <w:rsid w:val="0082262E"/>
    <w:rsid w:val="00853EE7"/>
    <w:rsid w:val="008720A2"/>
    <w:rsid w:val="008E61C9"/>
    <w:rsid w:val="009B116F"/>
    <w:rsid w:val="009C713E"/>
    <w:rsid w:val="00AD1431"/>
    <w:rsid w:val="00AD441D"/>
    <w:rsid w:val="00B72DFD"/>
    <w:rsid w:val="00BD7237"/>
    <w:rsid w:val="00CC3B4D"/>
    <w:rsid w:val="00D64DF9"/>
    <w:rsid w:val="00DF0CE3"/>
    <w:rsid w:val="00EA79E9"/>
    <w:rsid w:val="00F00EC3"/>
    <w:rsid w:val="00F60F98"/>
    <w:rsid w:val="00F662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B8400B3"/>
  <w15:docId w15:val="{854A1C21-3D1D-48A5-97F1-42207AA02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spacing w:before="80"/>
      <w:ind w:left="400"/>
      <w:outlineLvl w:val="0"/>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61"/>
      <w:ind w:left="400"/>
    </w:pPr>
    <w:rPr>
      <w:szCs w:val="24"/>
    </w:rPr>
  </w:style>
  <w:style w:type="paragraph" w:styleId="ListParagraph">
    <w:name w:val="List Paragraph"/>
    <w:basedOn w:val="Normal"/>
    <w:uiPriority w:val="1"/>
    <w:qFormat/>
    <w:pPr>
      <w:spacing w:before="161"/>
      <w:ind w:left="112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AD1431"/>
    <w:rPr>
      <w:sz w:val="16"/>
      <w:szCs w:val="16"/>
    </w:rPr>
  </w:style>
  <w:style w:type="paragraph" w:styleId="CommentText">
    <w:name w:val="annotation text"/>
    <w:basedOn w:val="Normal"/>
    <w:link w:val="CommentTextChar"/>
    <w:uiPriority w:val="99"/>
    <w:semiHidden/>
    <w:unhideWhenUsed/>
    <w:rsid w:val="00AD1431"/>
    <w:pPr>
      <w:widowControl/>
      <w:autoSpaceDE/>
      <w:autoSpaceDN/>
      <w:spacing w:after="149"/>
      <w:ind w:left="426" w:hanging="10"/>
    </w:pPr>
    <w:rPr>
      <w:color w:val="2E5395"/>
      <w:sz w:val="20"/>
      <w:szCs w:val="20"/>
    </w:rPr>
  </w:style>
  <w:style w:type="character" w:customStyle="1" w:styleId="CommentTextChar">
    <w:name w:val="Comment Text Char"/>
    <w:basedOn w:val="DefaultParagraphFont"/>
    <w:link w:val="CommentText"/>
    <w:uiPriority w:val="99"/>
    <w:semiHidden/>
    <w:rsid w:val="00AD1431"/>
    <w:rPr>
      <w:rFonts w:ascii="Arial" w:eastAsia="Arial" w:hAnsi="Arial" w:cs="Arial"/>
      <w:color w:val="2E5395"/>
      <w:sz w:val="20"/>
      <w:szCs w:val="20"/>
    </w:rPr>
  </w:style>
  <w:style w:type="paragraph" w:styleId="BalloonText">
    <w:name w:val="Balloon Text"/>
    <w:basedOn w:val="Normal"/>
    <w:link w:val="BalloonTextChar"/>
    <w:uiPriority w:val="99"/>
    <w:semiHidden/>
    <w:unhideWhenUsed/>
    <w:rsid w:val="00AD14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1431"/>
    <w:rPr>
      <w:rFonts w:ascii="Segoe UI" w:eastAsia="Arial" w:hAnsi="Segoe UI" w:cs="Segoe UI"/>
      <w:sz w:val="18"/>
      <w:szCs w:val="18"/>
      <w:lang w:bidi="en-US"/>
    </w:rPr>
  </w:style>
  <w:style w:type="paragraph" w:styleId="Subtitle">
    <w:name w:val="Subtitle"/>
    <w:basedOn w:val="Normal"/>
    <w:next w:val="Normal"/>
    <w:link w:val="SubtitleChar"/>
    <w:rsid w:val="00696453"/>
    <w:pPr>
      <w:keepNext/>
      <w:keepLines/>
      <w:autoSpaceDE/>
      <w:autoSpaceDN/>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696453"/>
    <w:rPr>
      <w:rFonts w:ascii="Georgia" w:eastAsia="Georgia" w:hAnsi="Georgia" w:cs="Georgia"/>
      <w:i/>
      <w:color w:val="666666"/>
      <w:sz w:val="48"/>
      <w:szCs w:val="48"/>
    </w:rPr>
  </w:style>
  <w:style w:type="paragraph" w:styleId="Header">
    <w:name w:val="header"/>
    <w:basedOn w:val="Normal"/>
    <w:link w:val="HeaderChar"/>
    <w:uiPriority w:val="99"/>
    <w:unhideWhenUsed/>
    <w:rsid w:val="00F00EC3"/>
    <w:pPr>
      <w:tabs>
        <w:tab w:val="center" w:pos="4680"/>
        <w:tab w:val="right" w:pos="9360"/>
      </w:tabs>
    </w:pPr>
  </w:style>
  <w:style w:type="character" w:customStyle="1" w:styleId="HeaderChar">
    <w:name w:val="Header Char"/>
    <w:basedOn w:val="DefaultParagraphFont"/>
    <w:link w:val="Header"/>
    <w:uiPriority w:val="99"/>
    <w:rsid w:val="00F00EC3"/>
  </w:style>
  <w:style w:type="paragraph" w:styleId="Footer">
    <w:name w:val="footer"/>
    <w:basedOn w:val="Normal"/>
    <w:link w:val="FooterChar"/>
    <w:uiPriority w:val="99"/>
    <w:unhideWhenUsed/>
    <w:rsid w:val="00F00EC3"/>
    <w:pPr>
      <w:tabs>
        <w:tab w:val="center" w:pos="4680"/>
        <w:tab w:val="right" w:pos="9360"/>
      </w:tabs>
    </w:pPr>
  </w:style>
  <w:style w:type="character" w:customStyle="1" w:styleId="FooterChar">
    <w:name w:val="Footer Char"/>
    <w:basedOn w:val="DefaultParagraphFont"/>
    <w:link w:val="Footer"/>
    <w:uiPriority w:val="99"/>
    <w:rsid w:val="00F00E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4356057">
      <w:bodyDiv w:val="1"/>
      <w:marLeft w:val="0"/>
      <w:marRight w:val="0"/>
      <w:marTop w:val="0"/>
      <w:marBottom w:val="0"/>
      <w:divBdr>
        <w:top w:val="none" w:sz="0" w:space="0" w:color="auto"/>
        <w:left w:val="none" w:sz="0" w:space="0" w:color="auto"/>
        <w:bottom w:val="none" w:sz="0" w:space="0" w:color="auto"/>
        <w:right w:val="none" w:sz="0" w:space="0" w:color="auto"/>
      </w:divBdr>
    </w:div>
    <w:div w:id="815610042">
      <w:bodyDiv w:val="1"/>
      <w:marLeft w:val="0"/>
      <w:marRight w:val="0"/>
      <w:marTop w:val="0"/>
      <w:marBottom w:val="0"/>
      <w:divBdr>
        <w:top w:val="none" w:sz="0" w:space="0" w:color="auto"/>
        <w:left w:val="none" w:sz="0" w:space="0" w:color="auto"/>
        <w:bottom w:val="none" w:sz="0" w:space="0" w:color="auto"/>
        <w:right w:val="none" w:sz="0" w:space="0" w:color="auto"/>
      </w:divBdr>
    </w:div>
    <w:div w:id="1332755115">
      <w:bodyDiv w:val="1"/>
      <w:marLeft w:val="0"/>
      <w:marRight w:val="0"/>
      <w:marTop w:val="0"/>
      <w:marBottom w:val="0"/>
      <w:divBdr>
        <w:top w:val="none" w:sz="0" w:space="0" w:color="auto"/>
        <w:left w:val="none" w:sz="0" w:space="0" w:color="auto"/>
        <w:bottom w:val="none" w:sz="0" w:space="0" w:color="auto"/>
        <w:right w:val="none" w:sz="0" w:space="0" w:color="auto"/>
      </w:divBdr>
    </w:div>
    <w:div w:id="1670788048">
      <w:bodyDiv w:val="1"/>
      <w:marLeft w:val="0"/>
      <w:marRight w:val="0"/>
      <w:marTop w:val="0"/>
      <w:marBottom w:val="0"/>
      <w:divBdr>
        <w:top w:val="none" w:sz="0" w:space="0" w:color="auto"/>
        <w:left w:val="none" w:sz="0" w:space="0" w:color="auto"/>
        <w:bottom w:val="none" w:sz="0" w:space="0" w:color="auto"/>
        <w:right w:val="none" w:sz="0" w:space="0" w:color="auto"/>
      </w:divBdr>
    </w:div>
    <w:div w:id="19392877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current/oes110000.ht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po.gov/fdsys/pkg/CFR-2014-title5-vol3/pdf/CFR-2014-title5-vol3-sec1320-8.pdf" TargetMode="External"/><Relationship Id="rId5" Type="http://schemas.openxmlformats.org/officeDocument/2006/relationships/footnotes" Target="footnotes.xml"/><Relationship Id="rId10" Type="http://schemas.openxmlformats.org/officeDocument/2006/relationships/hyperlink" Target="http://www.gpo.gov/fdsys/pkg/CFR-2014-title5-vol3/pdf/CFR-2014-title5-vol3-sec1320-8.pdf" TargetMode="External"/><Relationship Id="rId4" Type="http://schemas.openxmlformats.org/officeDocument/2006/relationships/webSettings" Target="webSettings.xml"/><Relationship Id="rId9" Type="http://schemas.openxmlformats.org/officeDocument/2006/relationships/hyperlink" Target="http://www.gpo.gov/fdsys/pkg/CFR-2014-title5-vol3/pdf/CFR-2014-title5-vol3-sec1320-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7</Pages>
  <Words>3146</Words>
  <Characters>17937</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DOC PRA TOOLS 2020</vt:lpstr>
    </vt:vector>
  </TitlesOfParts>
  <Company/>
  <LinksUpToDate>false</LinksUpToDate>
  <CharactersWithSpaces>21041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 PRA TOOLS 2020</dc:title>
  <dc:subject>2020</dc:subject>
  <dc:creator>Dumas, Sheleen (Federal)</dc:creator>
  <cp:lastModifiedBy>Adrienne.Thomas</cp:lastModifiedBy>
  <cp:revision>7</cp:revision>
  <dcterms:created xsi:type="dcterms:W3CDTF">2021-04-12T18:45:00Z</dcterms:created>
  <dcterms:modified xsi:type="dcterms:W3CDTF">2021-04-19T16:07:00Z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2020-05-06T00:00:00Z</vt:filetime>
  </property>
  <property fmtid="{D5CDD505-2E9C-101B-9397-08002B2CF9AE}" pid="3" name="Creator">
    <vt:lpwstr>Acrobat PDFMaker 17 for Word</vt:lpwstr>
  </property>
  <property fmtid="{D5CDD505-2E9C-101B-9397-08002B2CF9AE}" pid="4" name="LastSaved">
    <vt:filetime>2020-05-07T00:00:00Z</vt:filetime>
  </property>
</Properties>
</file>