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C63" w:rsidP="00D11910" w:rsidRDefault="00C10C63" w14:paraId="6E024DED" w14:textId="77777777">
      <w:pPr>
        <w:jc w:val="center"/>
        <w:rPr>
          <w:b/>
          <w:bCs/>
        </w:rPr>
      </w:pPr>
      <w:bookmarkStart w:name="_GoBack" w:id="0"/>
      <w:bookmarkEnd w:id="0"/>
    </w:p>
    <w:p w:rsidR="00C10C63" w:rsidP="00D11910" w:rsidRDefault="00C10C63" w14:paraId="3348981F" w14:textId="77777777">
      <w:pPr>
        <w:jc w:val="center"/>
        <w:rPr>
          <w:b/>
          <w:bCs/>
        </w:rPr>
      </w:pPr>
    </w:p>
    <w:p w:rsidR="00C10C63" w:rsidP="00D11910" w:rsidRDefault="00C10C63" w14:paraId="495E4194" w14:textId="77777777">
      <w:pPr>
        <w:jc w:val="center"/>
        <w:rPr>
          <w:b/>
          <w:bCs/>
        </w:rPr>
      </w:pPr>
    </w:p>
    <w:p w:rsidRPr="008E354F" w:rsidR="008E354F" w:rsidP="00D11910" w:rsidRDefault="008E354F" w14:paraId="57A34880" w14:textId="35E86713">
      <w:pPr>
        <w:jc w:val="center"/>
      </w:pPr>
      <w:r>
        <w:t>UNITED STATES FOOD &amp; DRUG ADMINISTRATION</w:t>
      </w:r>
    </w:p>
    <w:p w:rsidRPr="008E354F" w:rsidR="008E354F" w:rsidP="00D11910" w:rsidRDefault="008E354F" w14:paraId="4C8171AC" w14:textId="77777777">
      <w:pPr>
        <w:jc w:val="center"/>
      </w:pPr>
    </w:p>
    <w:p w:rsidRPr="008E354F" w:rsidR="00D11910" w:rsidP="00D11910" w:rsidRDefault="00D11910" w14:paraId="288C9DAB" w14:textId="2E213F2D">
      <w:pPr>
        <w:jc w:val="center"/>
      </w:pPr>
      <w:r w:rsidRPr="008E354F">
        <w:t xml:space="preserve">Study of </w:t>
      </w:r>
      <w:r w:rsidRPr="008E354F" w:rsidR="005A3B4E">
        <w:t>Oncology Indications in Direct-to-Consumer Television Advertising</w:t>
      </w:r>
    </w:p>
    <w:p w:rsidRPr="008E354F" w:rsidR="00A21DAB" w:rsidP="00E023FF" w:rsidRDefault="00A21DAB" w14:paraId="46A83F7E" w14:textId="77777777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Pr="008E354F" w:rsidR="00E023FF" w:rsidP="00E023FF" w:rsidRDefault="00E023FF" w14:paraId="6D0678E7" w14:textId="599ABEA1">
      <w:pPr>
        <w:autoSpaceDE w:val="0"/>
        <w:autoSpaceDN w:val="0"/>
        <w:adjustRightInd w:val="0"/>
        <w:jc w:val="center"/>
        <w:rPr>
          <w:rFonts w:eastAsiaTheme="minorHAnsi"/>
        </w:rPr>
      </w:pPr>
      <w:r w:rsidRPr="008E354F">
        <w:rPr>
          <w:rFonts w:eastAsiaTheme="minorHAnsi"/>
        </w:rPr>
        <w:t>OMB C</w:t>
      </w:r>
      <w:r w:rsidR="008E354F">
        <w:rPr>
          <w:rFonts w:eastAsiaTheme="minorHAnsi"/>
        </w:rPr>
        <w:t xml:space="preserve">ontrol </w:t>
      </w:r>
      <w:r w:rsidRPr="008E354F">
        <w:rPr>
          <w:rFonts w:eastAsiaTheme="minorHAnsi"/>
        </w:rPr>
        <w:t>N</w:t>
      </w:r>
      <w:r w:rsidR="008E354F">
        <w:rPr>
          <w:rFonts w:eastAsiaTheme="minorHAnsi"/>
        </w:rPr>
        <w:t>umber</w:t>
      </w:r>
      <w:r w:rsidRPr="008E354F">
        <w:rPr>
          <w:rFonts w:eastAsiaTheme="minorHAnsi"/>
        </w:rPr>
        <w:t>: 0910-0</w:t>
      </w:r>
      <w:r w:rsidRPr="008E354F" w:rsidR="005A3B4E">
        <w:rPr>
          <w:rFonts w:eastAsiaTheme="minorHAnsi"/>
        </w:rPr>
        <w:t>885</w:t>
      </w:r>
    </w:p>
    <w:p w:rsidRPr="00CA3DAE" w:rsidR="00E023FF" w:rsidP="00E023FF" w:rsidRDefault="00E023FF" w14:paraId="2C591D78" w14:textId="2E69F8DF">
      <w:pPr>
        <w:jc w:val="center"/>
        <w:rPr>
          <w:rFonts w:eastAsiaTheme="minorHAnsi"/>
        </w:rPr>
      </w:pPr>
    </w:p>
    <w:p w:rsidRPr="00CA3DAE" w:rsidR="00A21DAB" w:rsidP="00E023FF" w:rsidRDefault="00A21DAB" w14:paraId="3FDF4E5D" w14:textId="77777777"/>
    <w:p w:rsidRPr="00CA3DAE" w:rsidR="00E023FF" w:rsidP="00E023FF" w:rsidRDefault="008E354F" w14:paraId="4877D82F" w14:textId="2955E2AE">
      <w:pPr>
        <w:rPr>
          <w:b/>
        </w:rPr>
      </w:pPr>
      <w:r>
        <w:rPr>
          <w:b/>
        </w:rPr>
        <w:t xml:space="preserve">Non-substantive </w:t>
      </w:r>
      <w:r w:rsidRPr="00CA3DAE" w:rsidR="00E023FF">
        <w:rPr>
          <w:b/>
        </w:rPr>
        <w:t>Change Request</w:t>
      </w:r>
      <w:r>
        <w:rPr>
          <w:b/>
        </w:rPr>
        <w:t>:</w:t>
      </w:r>
    </w:p>
    <w:p w:rsidR="00A21DAB" w:rsidP="00E023FF" w:rsidRDefault="00A21DAB" w14:paraId="24383C6F" w14:textId="77777777">
      <w:pPr>
        <w:tabs>
          <w:tab w:val="left" w:pos="3255"/>
        </w:tabs>
        <w:rPr>
          <w:b/>
        </w:rPr>
      </w:pPr>
    </w:p>
    <w:p w:rsidR="004A43E6" w:rsidP="00E023FF" w:rsidRDefault="00E023FF" w14:paraId="0D2D9B9D" w14:textId="0E1CFE4A">
      <w:pPr>
        <w:widowControl w:val="0"/>
        <w:autoSpaceDE w:val="0"/>
        <w:autoSpaceDN w:val="0"/>
        <w:adjustRightInd w:val="0"/>
      </w:pPr>
      <w:r w:rsidRPr="00CA3DAE">
        <w:t xml:space="preserve">Based on </w:t>
      </w:r>
      <w:r w:rsidR="00AE31B6">
        <w:t>cognitive interviews and</w:t>
      </w:r>
      <w:r w:rsidRPr="00CA3DAE">
        <w:t xml:space="preserve"> </w:t>
      </w:r>
      <w:r w:rsidR="00080FC9">
        <w:t>pretesting, we</w:t>
      </w:r>
      <w:r w:rsidR="001213C0">
        <w:t xml:space="preserve"> made several revisions to the study materials. </w:t>
      </w:r>
    </w:p>
    <w:p w:rsidR="004A43E6" w:rsidP="00E023FF" w:rsidRDefault="004A43E6" w14:paraId="095410BD" w14:textId="77777777">
      <w:pPr>
        <w:widowControl w:val="0"/>
        <w:autoSpaceDE w:val="0"/>
        <w:autoSpaceDN w:val="0"/>
        <w:adjustRightInd w:val="0"/>
      </w:pPr>
    </w:p>
    <w:p w:rsidR="004A43E6" w:rsidP="004A43E6" w:rsidRDefault="004A43E6" w14:paraId="58BFED9A" w14:textId="44ACD0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W</w:t>
      </w:r>
      <w:r w:rsidR="001213C0">
        <w:t>e revised the screener to include a “prefer not to answer” option for</w:t>
      </w:r>
      <w:r w:rsidR="00323C2E">
        <w:t xml:space="preserve"> the</w:t>
      </w:r>
      <w:r w:rsidR="001213C0">
        <w:t xml:space="preserve"> </w:t>
      </w:r>
      <w:r w:rsidRPr="004A43E6">
        <w:t xml:space="preserve">questions </w:t>
      </w:r>
      <w:r>
        <w:t xml:space="preserve">about </w:t>
      </w:r>
      <w:r w:rsidR="00323C2E">
        <w:t>sex</w:t>
      </w:r>
      <w:r w:rsidR="001213C0">
        <w:t xml:space="preserve">, ethnicity, race, and education (see revised Appendix G). </w:t>
      </w:r>
    </w:p>
    <w:p w:rsidR="004A43E6" w:rsidP="004A43E6" w:rsidRDefault="004A43E6" w14:paraId="34C89586" w14:textId="77777777">
      <w:pPr>
        <w:pStyle w:val="ListParagraph"/>
        <w:widowControl w:val="0"/>
        <w:autoSpaceDE w:val="0"/>
        <w:autoSpaceDN w:val="0"/>
        <w:adjustRightInd w:val="0"/>
      </w:pPr>
    </w:p>
    <w:p w:rsidR="004A43E6" w:rsidP="004A43E6" w:rsidRDefault="004A43E6" w14:paraId="60ED628F" w14:textId="15F911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W</w:t>
      </w:r>
      <w:r w:rsidR="001213C0">
        <w:t xml:space="preserve">e </w:t>
      </w:r>
      <w:r w:rsidR="00080FC9">
        <w:t xml:space="preserve">revised the </w:t>
      </w:r>
      <w:r w:rsidR="001213C0">
        <w:t xml:space="preserve">Study 1 </w:t>
      </w:r>
      <w:r w:rsidR="00080FC9">
        <w:t>questionnair</w:t>
      </w:r>
      <w:r w:rsidR="001213C0">
        <w:t xml:space="preserve">e: </w:t>
      </w:r>
      <w:r w:rsidR="00052EA1">
        <w:t xml:space="preserve">we revised the wording for </w:t>
      </w:r>
      <w:r w:rsidR="00FF4094">
        <w:t xml:space="preserve">the instructions and </w:t>
      </w:r>
      <w:r w:rsidR="00AE31B6">
        <w:t>several items (</w:t>
      </w:r>
      <w:r w:rsidR="00DC0DF3">
        <w:t xml:space="preserve">Q2, Q3_E, Q5, </w:t>
      </w:r>
      <w:r w:rsidR="00AE31B6">
        <w:t>Q7</w:t>
      </w:r>
      <w:r w:rsidR="00B93993">
        <w:t>-</w:t>
      </w:r>
      <w:r w:rsidR="00052EA1">
        <w:t xml:space="preserve">Q10a, Q11, </w:t>
      </w:r>
      <w:r w:rsidR="00B93993">
        <w:t xml:space="preserve">Q11b, </w:t>
      </w:r>
      <w:r w:rsidR="00052EA1">
        <w:t>Q20</w:t>
      </w:r>
      <w:r w:rsidR="00B93993">
        <w:t>, and Q23</w:t>
      </w:r>
      <w:r w:rsidR="00AE31B6">
        <w:t>)</w:t>
      </w:r>
      <w:r w:rsidR="001213C0">
        <w:t xml:space="preserve"> and</w:t>
      </w:r>
      <w:r w:rsidR="00052EA1">
        <w:t xml:space="preserve"> deleted </w:t>
      </w:r>
      <w:r w:rsidR="00815BEE">
        <w:t>several others (</w:t>
      </w:r>
      <w:r w:rsidR="00B93993">
        <w:t xml:space="preserve">Q10b, </w:t>
      </w:r>
      <w:r w:rsidR="00052EA1">
        <w:t>Q19, Q2</w:t>
      </w:r>
      <w:r w:rsidR="00B93993">
        <w:t>1</w:t>
      </w:r>
      <w:r w:rsidR="00052EA1">
        <w:t>, and Q2</w:t>
      </w:r>
      <w:r w:rsidR="00B93993">
        <w:t>2</w:t>
      </w:r>
      <w:r w:rsidR="00815BEE">
        <w:t xml:space="preserve">; </w:t>
      </w:r>
      <w:r w:rsidR="001213C0">
        <w:t>see revised Appendix C).</w:t>
      </w:r>
      <w:r w:rsidR="00052EA1">
        <w:t xml:space="preserve"> </w:t>
      </w:r>
    </w:p>
    <w:p w:rsidR="004A43E6" w:rsidP="004A43E6" w:rsidRDefault="004A43E6" w14:paraId="0DEAFE90" w14:textId="77777777">
      <w:pPr>
        <w:pStyle w:val="ListParagraph"/>
      </w:pPr>
    </w:p>
    <w:p w:rsidR="004A43E6" w:rsidP="004A43E6" w:rsidRDefault="004A43E6" w14:paraId="2BDD7FA8" w14:textId="741736F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W</w:t>
      </w:r>
      <w:r w:rsidR="001213C0">
        <w:t xml:space="preserve">e revised the Study 2 questionnaire: </w:t>
      </w:r>
      <w:r w:rsidR="00052EA1">
        <w:t xml:space="preserve">we revised the wording for </w:t>
      </w:r>
      <w:r w:rsidR="00FF4094">
        <w:t xml:space="preserve">the instructions and </w:t>
      </w:r>
      <w:r w:rsidR="00AE31B6">
        <w:t>several items (</w:t>
      </w:r>
      <w:r w:rsidR="00052EA1">
        <w:t>Q2</w:t>
      </w:r>
      <w:r w:rsidR="00815BEE">
        <w:t>b-</w:t>
      </w:r>
      <w:r w:rsidR="00052EA1">
        <w:t xml:space="preserve">Q4, </w:t>
      </w:r>
      <w:r w:rsidR="00815BEE">
        <w:t>Q10, Q11,</w:t>
      </w:r>
      <w:r w:rsidR="00052EA1">
        <w:t xml:space="preserve"> Q13</w:t>
      </w:r>
      <w:r w:rsidR="00815BEE">
        <w:t>, and Q22a</w:t>
      </w:r>
      <w:r w:rsidR="00AE31B6">
        <w:t>)</w:t>
      </w:r>
      <w:r w:rsidR="001213C0">
        <w:t xml:space="preserve"> and</w:t>
      </w:r>
      <w:r w:rsidR="00052EA1">
        <w:t xml:space="preserve"> deleted </w:t>
      </w:r>
      <w:r w:rsidR="00815BEE">
        <w:t xml:space="preserve">several others (Q2, Q5-Q8, Q12b, </w:t>
      </w:r>
      <w:r w:rsidR="00052EA1">
        <w:t>Q101a</w:t>
      </w:r>
      <w:r w:rsidR="00815BEE">
        <w:t>, Q101b, Q19,</w:t>
      </w:r>
      <w:r w:rsidR="00052EA1">
        <w:t xml:space="preserve"> and Q22c</w:t>
      </w:r>
      <w:r w:rsidR="00815BEE">
        <w:t xml:space="preserve">; </w:t>
      </w:r>
      <w:r w:rsidR="001213C0">
        <w:t>see revised Appendix D)</w:t>
      </w:r>
      <w:r w:rsidR="00052EA1">
        <w:t>.</w:t>
      </w:r>
      <w:r w:rsidR="001213C0">
        <w:t xml:space="preserve"> </w:t>
      </w:r>
    </w:p>
    <w:p w:rsidR="004A43E6" w:rsidP="004A43E6" w:rsidRDefault="004A43E6" w14:paraId="6B771C88" w14:textId="77777777">
      <w:pPr>
        <w:pStyle w:val="ListParagraph"/>
      </w:pPr>
    </w:p>
    <w:p w:rsidRPr="00052EA1" w:rsidR="00E023FF" w:rsidP="004A43E6" w:rsidRDefault="004A43E6" w14:paraId="0C57D77D" w14:textId="643B430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W</w:t>
      </w:r>
      <w:r w:rsidR="001213C0">
        <w:t>e revised the consent form to reflect the change from an estimated 20-minute survey to an estimated 15-minute survey (see revised Appendix A</w:t>
      </w:r>
      <w:r w:rsidR="00662487">
        <w:t xml:space="preserve"> and revised burden chart below</w:t>
      </w:r>
      <w:r w:rsidR="001213C0">
        <w:t>).</w:t>
      </w:r>
    </w:p>
    <w:p w:rsidR="00E023FF" w:rsidP="00E023FF" w:rsidRDefault="00E023FF" w14:paraId="20F28E89" w14:textId="763C7619"/>
    <w:p w:rsidR="005A3B4E" w:rsidP="00E023FF" w:rsidRDefault="001213C0" w14:paraId="088B8AA2" w14:textId="4148B4CE">
      <w:r>
        <w:t>In addition</w:t>
      </w:r>
      <w:r w:rsidR="004A43E6">
        <w:t xml:space="preserve"> to these revisions</w:t>
      </w:r>
      <w:r>
        <w:t>, w</w:t>
      </w:r>
      <w:r w:rsidR="005A3B4E">
        <w:t>e</w:t>
      </w:r>
      <w:r w:rsidRPr="005A3B4E" w:rsidR="005A3B4E">
        <w:t xml:space="preserve"> updated the burden chart to reflect the actual pretest burden and the revised estimated burden for the main studies</w:t>
      </w:r>
      <w:r w:rsidR="001B44A7">
        <w:t>. We revised the main study estimates</w:t>
      </w:r>
      <w:r w:rsidRPr="005A3B4E" w:rsidR="005A3B4E">
        <w:t xml:space="preserve"> based on (1) shorter survey time seen in the pretest (an average burden of 15 minutes per person)</w:t>
      </w:r>
      <w:r w:rsidR="00A21DAB">
        <w:t>;</w:t>
      </w:r>
      <w:r w:rsidRPr="005A3B4E" w:rsidR="005A3B4E">
        <w:t xml:space="preserve"> and (2) </w:t>
      </w:r>
      <w:r w:rsidR="005A3B4E">
        <w:t xml:space="preserve">an anticipated increase in the number of respondents to be screened and </w:t>
      </w:r>
      <w:r w:rsidR="004F1046">
        <w:t xml:space="preserve">to </w:t>
      </w:r>
      <w:r w:rsidR="005A3B4E">
        <w:t>complete the main studies.</w:t>
      </w:r>
      <w:r w:rsidR="001B44A7">
        <w:t xml:space="preserve"> Together, the revisions add 15</w:t>
      </w:r>
      <w:r w:rsidR="00625FC5">
        <w:t>.</w:t>
      </w:r>
      <w:r w:rsidR="00A96EE6">
        <w:t>4</w:t>
      </w:r>
      <w:r w:rsidR="001B44A7">
        <w:t xml:space="preserve"> hours to the total estimated burden time</w:t>
      </w:r>
      <w:r w:rsidR="00A96EE6">
        <w:t xml:space="preserve"> (see Tables 1 and 2)</w:t>
      </w:r>
      <w:r w:rsidR="001B44A7">
        <w:t>.</w:t>
      </w:r>
    </w:p>
    <w:p w:rsidR="00A96EE6" w:rsidP="00E023FF" w:rsidRDefault="00A96EE6" w14:paraId="697ADF77" w14:textId="29DBD0B8"/>
    <w:p w:rsidR="00A96EE6" w:rsidP="00E023FF" w:rsidRDefault="00A96EE6" w14:paraId="70E2F051" w14:textId="4D2A4C96"/>
    <w:p w:rsidR="00A96EE6" w:rsidP="00E023FF" w:rsidRDefault="00A96EE6" w14:paraId="6AC8E564" w14:textId="3815116F"/>
    <w:p w:rsidR="00A96EE6" w:rsidP="00E023FF" w:rsidRDefault="00A96EE6" w14:paraId="1B4A9C94" w14:textId="186597A9"/>
    <w:p w:rsidR="00A96EE6" w:rsidP="00E023FF" w:rsidRDefault="00A96EE6" w14:paraId="0C77E339" w14:textId="6E54B75A"/>
    <w:p w:rsidR="00A96EE6" w:rsidP="00E023FF" w:rsidRDefault="00A96EE6" w14:paraId="430AF9FF" w14:textId="172580AF"/>
    <w:p w:rsidR="00A96EE6" w:rsidP="00E023FF" w:rsidRDefault="00A96EE6" w14:paraId="14C67346" w14:textId="1C40F2AA"/>
    <w:p w:rsidR="00A96EE6" w:rsidP="00E023FF" w:rsidRDefault="00A96EE6" w14:paraId="02AA1A03" w14:textId="52B485AF"/>
    <w:p w:rsidR="00A96EE6" w:rsidP="00E023FF" w:rsidRDefault="00A96EE6" w14:paraId="727964F0" w14:textId="36223E47"/>
    <w:p w:rsidR="00A96EE6" w:rsidP="00E023FF" w:rsidRDefault="00A96EE6" w14:paraId="5ABC03A1" w14:textId="79E42F85"/>
    <w:p w:rsidR="00A96EE6" w:rsidP="00E023FF" w:rsidRDefault="00A96EE6" w14:paraId="42000112" w14:textId="1535DDD8"/>
    <w:p w:rsidR="00A96EE6" w:rsidP="00E023FF" w:rsidRDefault="00A96EE6" w14:paraId="4E8C53D3" w14:textId="7878B3DE"/>
    <w:p w:rsidR="00A96EE6" w:rsidP="00E023FF" w:rsidRDefault="00A96EE6" w14:paraId="49995345" w14:textId="1A1C4F37"/>
    <w:p w:rsidR="00A96EE6" w:rsidP="00E023FF" w:rsidRDefault="00A96EE6" w14:paraId="4B17BFF4" w14:textId="692BDEB6"/>
    <w:p w:rsidR="00A96EE6" w:rsidP="00E023FF" w:rsidRDefault="00A96EE6" w14:paraId="530BDB9C" w14:textId="08F4D44E"/>
    <w:p w:rsidR="00A96EE6" w:rsidP="00E023FF" w:rsidRDefault="00A96EE6" w14:paraId="338165A4" w14:textId="77777777"/>
    <w:p w:rsidR="001B44A7" w:rsidP="00E023FF" w:rsidRDefault="001B44A7" w14:paraId="7C7AAC2A" w14:textId="092BB6E8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1445"/>
        <w:gridCol w:w="1865"/>
        <w:gridCol w:w="1232"/>
        <w:gridCol w:w="2011"/>
        <w:gridCol w:w="1129"/>
      </w:tblGrid>
      <w:tr w:rsidRPr="00094CDC" w:rsidR="001B44A7" w:rsidTr="003E5258" w14:paraId="29C9E807" w14:textId="77777777">
        <w:tc>
          <w:tcPr>
            <w:tcW w:w="5000" w:type="pct"/>
            <w:gridSpan w:val="6"/>
            <w:tcBorders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0133E" w:rsidR="001B44A7" w:rsidP="003E5258" w:rsidRDefault="001B44A7" w14:paraId="47BC9C6D" w14:textId="77777777">
            <w:pPr>
              <w:jc w:val="center"/>
            </w:pPr>
            <w:r w:rsidRPr="00331E7A">
              <w:t xml:space="preserve">Table </w:t>
            </w:r>
            <w:r>
              <w:t>1</w:t>
            </w:r>
            <w:r w:rsidRPr="00331E7A">
              <w:t>.--Estimated Annual Reporting Burden</w:t>
            </w:r>
            <w:r w:rsidRPr="00331E7A">
              <w:rPr>
                <w:vertAlign w:val="superscript"/>
              </w:rPr>
              <w:t>1</w:t>
            </w:r>
          </w:p>
        </w:tc>
      </w:tr>
      <w:tr w:rsidRPr="00094CDC" w:rsidR="001B44A7" w:rsidTr="003E5258" w14:paraId="7C85F86A" w14:textId="77777777">
        <w:tc>
          <w:tcPr>
            <w:tcW w:w="8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94CDC" w:rsidR="001B44A7" w:rsidP="003E5258" w:rsidRDefault="001B44A7" w14:paraId="41D713A2" w14:textId="77777777">
            <w:pPr>
              <w:jc w:val="center"/>
            </w:pPr>
            <w:r w:rsidRPr="00094CDC">
              <w:t>Activity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94CDC" w:rsidR="001B44A7" w:rsidP="003E5258" w:rsidRDefault="001B44A7" w14:paraId="73190571" w14:textId="77777777">
            <w:pPr>
              <w:jc w:val="center"/>
            </w:pPr>
            <w:r w:rsidRPr="00094CDC">
              <w:t>No. of</w:t>
            </w:r>
            <w:r>
              <w:t xml:space="preserve"> </w:t>
            </w:r>
            <w:r w:rsidRPr="00094CDC">
              <w:t>Respondents</w:t>
            </w:r>
          </w:p>
        </w:tc>
        <w:tc>
          <w:tcPr>
            <w:tcW w:w="9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94CDC" w:rsidR="001B44A7" w:rsidP="003E5258" w:rsidRDefault="001B44A7" w14:paraId="21F2A6DB" w14:textId="77777777">
            <w:pPr>
              <w:jc w:val="center"/>
            </w:pPr>
            <w:r w:rsidRPr="00094CDC">
              <w:t>No. of Responses per Respondent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94CDC" w:rsidR="001B44A7" w:rsidP="003E5258" w:rsidRDefault="001B44A7" w14:paraId="74F7DB20" w14:textId="77777777">
            <w:pPr>
              <w:jc w:val="center"/>
            </w:pPr>
            <w:r w:rsidRPr="00094CDC">
              <w:t>Total Annual</w:t>
            </w:r>
            <w:r>
              <w:t xml:space="preserve"> </w:t>
            </w:r>
            <w:r w:rsidRPr="00094CDC">
              <w:t>Responses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94CDC" w:rsidR="001B44A7" w:rsidP="003E5258" w:rsidRDefault="001B44A7" w14:paraId="639E43F9" w14:textId="77777777">
            <w:pPr>
              <w:jc w:val="center"/>
            </w:pPr>
            <w:r w:rsidRPr="00094CDC">
              <w:t>Average Burden per Response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94CDC" w:rsidR="001B44A7" w:rsidP="003E5258" w:rsidRDefault="001B44A7" w14:paraId="49A29048" w14:textId="77777777">
            <w:pPr>
              <w:jc w:val="center"/>
            </w:pPr>
            <w:r w:rsidRPr="00094CDC">
              <w:t>Total</w:t>
            </w:r>
            <w:r>
              <w:t xml:space="preserve"> </w:t>
            </w:r>
            <w:r w:rsidRPr="00094CDC">
              <w:t>Hours</w:t>
            </w:r>
          </w:p>
        </w:tc>
      </w:tr>
      <w:tr w:rsidRPr="00094CDC" w:rsidR="001B44A7" w:rsidTr="003E5258" w14:paraId="114D1606" w14:textId="77777777">
        <w:tc>
          <w:tcPr>
            <w:tcW w:w="8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94CDC" w:rsidR="001B44A7" w:rsidP="003E5258" w:rsidRDefault="001B44A7" w14:paraId="3A97E7AE" w14:textId="77777777">
            <w:r w:rsidRPr="00094CDC">
              <w:t xml:space="preserve">Cognitive Interview screener 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709FCAB6" w14:textId="77777777">
            <w:pPr>
              <w:jc w:val="center"/>
            </w:pPr>
            <w:r w:rsidRPr="008853A2">
              <w:t>30</w:t>
            </w:r>
          </w:p>
        </w:tc>
        <w:tc>
          <w:tcPr>
            <w:tcW w:w="9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3D30936A" w14:textId="77777777">
            <w:pPr>
              <w:jc w:val="center"/>
            </w:pPr>
            <w:r w:rsidRPr="008853A2"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0B94278C" w14:textId="77777777">
            <w:pPr>
              <w:jc w:val="center"/>
            </w:pPr>
            <w:r>
              <w:t>30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4DBDD7C3" w14:textId="77777777">
            <w:pPr>
              <w:jc w:val="center"/>
            </w:pPr>
            <w:r>
              <w:t>0</w:t>
            </w:r>
            <w:r w:rsidRPr="008853A2">
              <w:t>.08</w:t>
            </w:r>
          </w:p>
          <w:p w:rsidRPr="008853A2" w:rsidR="001B44A7" w:rsidP="003E5258" w:rsidRDefault="001B44A7" w14:paraId="070B2CA2" w14:textId="77777777">
            <w:pPr>
              <w:jc w:val="center"/>
            </w:pPr>
            <w:r w:rsidRPr="008853A2">
              <w:t xml:space="preserve">(5 </w:t>
            </w:r>
            <w:r>
              <w:t>minutes</w:t>
            </w:r>
            <w:r w:rsidRPr="008853A2">
              <w:t>)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52BBFFB1" w14:textId="77777777">
            <w:pPr>
              <w:jc w:val="center"/>
            </w:pPr>
            <w:r w:rsidRPr="008853A2">
              <w:t>2.4</w:t>
            </w:r>
          </w:p>
        </w:tc>
      </w:tr>
      <w:tr w:rsidRPr="00094CDC" w:rsidR="001B44A7" w:rsidTr="003E5258" w14:paraId="391932FD" w14:textId="77777777">
        <w:tc>
          <w:tcPr>
            <w:tcW w:w="8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94CDC" w:rsidR="001B44A7" w:rsidP="003E5258" w:rsidRDefault="001B44A7" w14:paraId="5552AD29" w14:textId="77777777">
            <w:r w:rsidRPr="00094CDC">
              <w:t>Cognitive Interviews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5FC9D496" w14:textId="77777777">
            <w:pPr>
              <w:jc w:val="center"/>
            </w:pPr>
            <w:r w:rsidRPr="008853A2">
              <w:t>18</w:t>
            </w:r>
          </w:p>
        </w:tc>
        <w:tc>
          <w:tcPr>
            <w:tcW w:w="9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5CED5E66" w14:textId="77777777">
            <w:pPr>
              <w:jc w:val="center"/>
            </w:pPr>
            <w:r w:rsidRPr="008853A2"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194B5C14" w14:textId="77777777">
            <w:pPr>
              <w:jc w:val="center"/>
            </w:pPr>
            <w:r>
              <w:t>18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7B1829C1" w14:textId="77777777">
            <w:pPr>
              <w:jc w:val="center"/>
            </w:pPr>
            <w:r w:rsidRPr="008853A2">
              <w:t>1</w:t>
            </w:r>
          </w:p>
          <w:p w:rsidRPr="008853A2" w:rsidR="001B44A7" w:rsidP="003E5258" w:rsidRDefault="001B44A7" w14:paraId="6906BDAF" w14:textId="77777777">
            <w:pPr>
              <w:jc w:val="center"/>
            </w:pPr>
            <w:r w:rsidRPr="008853A2">
              <w:t xml:space="preserve">(60 </w:t>
            </w:r>
            <w:r>
              <w:t>minutes</w:t>
            </w:r>
            <w:r w:rsidRPr="008853A2">
              <w:t>)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42A7C40E" w14:textId="77777777">
            <w:pPr>
              <w:jc w:val="center"/>
            </w:pPr>
            <w:r w:rsidRPr="008853A2">
              <w:t>18</w:t>
            </w:r>
          </w:p>
        </w:tc>
      </w:tr>
      <w:tr w:rsidRPr="00094CDC" w:rsidR="001B44A7" w:rsidTr="003E5258" w14:paraId="1D85BCEE" w14:textId="77777777">
        <w:tc>
          <w:tcPr>
            <w:tcW w:w="8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94CDC" w:rsidR="001B44A7" w:rsidP="003E5258" w:rsidRDefault="001B44A7" w14:paraId="16C5EEF3" w14:textId="77777777">
            <w:r w:rsidRPr="00094CDC">
              <w:t>Pretests 1 and 2 screener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F4D22" w:rsidR="001B44A7" w:rsidP="003E5258" w:rsidRDefault="001B44A7" w14:paraId="426CAE5A" w14:textId="77777777">
            <w:pPr>
              <w:jc w:val="center"/>
            </w:pPr>
            <w:r>
              <w:t>298</w:t>
            </w:r>
          </w:p>
        </w:tc>
        <w:tc>
          <w:tcPr>
            <w:tcW w:w="9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5E6996DF" w14:textId="77777777">
            <w:pPr>
              <w:jc w:val="center"/>
            </w:pPr>
            <w:r w:rsidRPr="008853A2"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13CDE399" w14:textId="77777777">
            <w:pPr>
              <w:jc w:val="center"/>
            </w:pPr>
            <w:r>
              <w:t>298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5CA11E5A" w14:textId="77777777">
            <w:pPr>
              <w:jc w:val="center"/>
            </w:pPr>
            <w:r>
              <w:t>0</w:t>
            </w:r>
            <w:r w:rsidRPr="008853A2">
              <w:t>.08</w:t>
            </w:r>
          </w:p>
          <w:p w:rsidRPr="008853A2" w:rsidR="001B44A7" w:rsidP="003E5258" w:rsidRDefault="001B44A7" w14:paraId="2C163E42" w14:textId="77777777">
            <w:pPr>
              <w:jc w:val="center"/>
            </w:pPr>
            <w:r w:rsidRPr="008853A2">
              <w:t xml:space="preserve">(5 </w:t>
            </w:r>
            <w:r>
              <w:t>minutes</w:t>
            </w:r>
            <w:r w:rsidRPr="008853A2">
              <w:t>)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6C5F4277" w14:textId="77777777">
            <w:pPr>
              <w:jc w:val="center"/>
            </w:pPr>
            <w:r>
              <w:t>23.84</w:t>
            </w:r>
          </w:p>
        </w:tc>
      </w:tr>
      <w:tr w:rsidRPr="00094CDC" w:rsidR="001B44A7" w:rsidTr="003E5258" w14:paraId="732D292B" w14:textId="77777777">
        <w:tc>
          <w:tcPr>
            <w:tcW w:w="8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94CDC" w:rsidR="001B44A7" w:rsidP="003E5258" w:rsidRDefault="001B44A7" w14:paraId="2EADA6F1" w14:textId="77777777">
            <w:r w:rsidRPr="00094CDC">
              <w:t>Pretests 1 and 2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F4D22" w:rsidR="001B44A7" w:rsidP="003E5258" w:rsidRDefault="001B44A7" w14:paraId="56EA3308" w14:textId="77777777">
            <w:pPr>
              <w:jc w:val="center"/>
            </w:pPr>
            <w:r>
              <w:t>149</w:t>
            </w:r>
          </w:p>
        </w:tc>
        <w:tc>
          <w:tcPr>
            <w:tcW w:w="9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71B49EAF" w14:textId="77777777">
            <w:pPr>
              <w:jc w:val="center"/>
            </w:pPr>
            <w:r w:rsidRPr="008853A2"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3938852D" w14:textId="77777777">
            <w:pPr>
              <w:jc w:val="center"/>
            </w:pPr>
            <w:r>
              <w:t>149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4859F4E0" w14:textId="77777777">
            <w:pPr>
              <w:jc w:val="center"/>
            </w:pPr>
            <w:r>
              <w:t>0</w:t>
            </w:r>
            <w:r w:rsidRPr="008853A2">
              <w:t>.</w:t>
            </w:r>
            <w:r>
              <w:t>25</w:t>
            </w:r>
          </w:p>
          <w:p w:rsidRPr="008853A2" w:rsidR="001B44A7" w:rsidP="003E5258" w:rsidRDefault="001B44A7" w14:paraId="3E1413EF" w14:textId="77777777">
            <w:pPr>
              <w:jc w:val="center"/>
            </w:pPr>
            <w:r w:rsidRPr="008853A2">
              <w:t>(</w:t>
            </w:r>
            <w:r>
              <w:t>15</w:t>
            </w:r>
            <w:r w:rsidRPr="008853A2">
              <w:t xml:space="preserve"> </w:t>
            </w:r>
            <w:r>
              <w:t>minutes</w:t>
            </w:r>
            <w:r w:rsidRPr="008853A2">
              <w:t>)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234D9A82" w14:textId="77777777">
            <w:pPr>
              <w:jc w:val="center"/>
            </w:pPr>
            <w:r>
              <w:t>37.25</w:t>
            </w:r>
          </w:p>
        </w:tc>
      </w:tr>
      <w:tr w:rsidRPr="00094CDC" w:rsidR="001B44A7" w:rsidTr="003E5258" w14:paraId="57AE64EF" w14:textId="77777777">
        <w:tc>
          <w:tcPr>
            <w:tcW w:w="8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94CDC" w:rsidR="001B44A7" w:rsidP="003E5258" w:rsidRDefault="001B44A7" w14:paraId="26913C73" w14:textId="77777777">
            <w:r w:rsidRPr="00094CDC">
              <w:t>Study 1 screener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72F4D" w:rsidR="001B44A7" w:rsidP="001B44A7" w:rsidRDefault="001B44A7" w14:paraId="2CC8DBEC" w14:textId="77777777">
            <w:pPr>
              <w:pStyle w:val="NoSpacing"/>
              <w:jc w:val="center"/>
            </w:pPr>
            <w:r>
              <w:t>1,610</w:t>
            </w:r>
          </w:p>
        </w:tc>
        <w:tc>
          <w:tcPr>
            <w:tcW w:w="9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30A9C5E6" w14:textId="77777777">
            <w:pPr>
              <w:jc w:val="center"/>
            </w:pPr>
            <w:r w:rsidRPr="008853A2"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7C19E83C" w14:textId="77777777">
            <w:pPr>
              <w:jc w:val="center"/>
            </w:pPr>
            <w:r>
              <w:t>1,610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08EF4448" w14:textId="77777777">
            <w:pPr>
              <w:jc w:val="center"/>
            </w:pPr>
            <w:r>
              <w:t>0</w:t>
            </w:r>
            <w:r w:rsidRPr="008853A2">
              <w:t>.08</w:t>
            </w:r>
          </w:p>
          <w:p w:rsidRPr="008853A2" w:rsidR="001B44A7" w:rsidP="003E5258" w:rsidRDefault="001B44A7" w14:paraId="5E1B22A5" w14:textId="77777777">
            <w:pPr>
              <w:jc w:val="center"/>
            </w:pPr>
            <w:r w:rsidRPr="008853A2">
              <w:t xml:space="preserve">(5 </w:t>
            </w:r>
            <w:r>
              <w:t>minutes</w:t>
            </w:r>
            <w:r w:rsidRPr="008853A2">
              <w:t>)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520CFF63" w14:textId="77777777">
            <w:pPr>
              <w:jc w:val="center"/>
            </w:pPr>
            <w:r>
              <w:t>128.8</w:t>
            </w:r>
          </w:p>
        </w:tc>
      </w:tr>
      <w:tr w:rsidRPr="00094CDC" w:rsidR="001B44A7" w:rsidTr="003E5258" w14:paraId="793B91CA" w14:textId="77777777">
        <w:tc>
          <w:tcPr>
            <w:tcW w:w="8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94CDC" w:rsidR="001B44A7" w:rsidP="003E5258" w:rsidRDefault="001B44A7" w14:paraId="58631B36" w14:textId="77777777">
            <w:r w:rsidRPr="00094CDC">
              <w:t>Study 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F4D22" w:rsidR="001B44A7" w:rsidP="001B44A7" w:rsidRDefault="001B44A7" w14:paraId="6D17C027" w14:textId="77777777">
            <w:pPr>
              <w:jc w:val="center"/>
            </w:pPr>
            <w:r>
              <w:t>805</w:t>
            </w:r>
          </w:p>
        </w:tc>
        <w:tc>
          <w:tcPr>
            <w:tcW w:w="9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43339AB1" w14:textId="77777777">
            <w:pPr>
              <w:jc w:val="center"/>
            </w:pPr>
            <w:r w:rsidRPr="008853A2"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2DC26253" w14:textId="77777777">
            <w:pPr>
              <w:jc w:val="center"/>
            </w:pPr>
            <w:r>
              <w:t>805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1542E4D2" w14:textId="77777777">
            <w:pPr>
              <w:jc w:val="center"/>
            </w:pPr>
            <w:r>
              <w:t>0</w:t>
            </w:r>
            <w:r w:rsidRPr="008853A2">
              <w:t>.</w:t>
            </w:r>
            <w:r>
              <w:t>25</w:t>
            </w:r>
          </w:p>
          <w:p w:rsidRPr="008853A2" w:rsidR="001B44A7" w:rsidP="003E5258" w:rsidRDefault="001B44A7" w14:paraId="4250F786" w14:textId="77777777">
            <w:pPr>
              <w:jc w:val="center"/>
            </w:pPr>
            <w:r w:rsidRPr="008853A2">
              <w:t>(</w:t>
            </w:r>
            <w:r>
              <w:t>15</w:t>
            </w:r>
            <w:r w:rsidRPr="008853A2">
              <w:t xml:space="preserve"> </w:t>
            </w:r>
            <w:r>
              <w:t>minutes</w:t>
            </w:r>
            <w:r w:rsidRPr="008853A2">
              <w:t>)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3734A21A" w14:textId="77777777">
            <w:pPr>
              <w:jc w:val="center"/>
            </w:pPr>
            <w:r>
              <w:t>201.25</w:t>
            </w:r>
          </w:p>
        </w:tc>
      </w:tr>
      <w:tr w:rsidRPr="00094CDC" w:rsidR="001B44A7" w:rsidTr="003E5258" w14:paraId="53968AD7" w14:textId="77777777">
        <w:tc>
          <w:tcPr>
            <w:tcW w:w="8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94CDC" w:rsidR="001B44A7" w:rsidP="003E5258" w:rsidRDefault="001B44A7" w14:paraId="7D54E41F" w14:textId="77777777">
            <w:r w:rsidRPr="00094CDC">
              <w:t>Study 2 screener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72F4D" w:rsidR="001B44A7" w:rsidP="001B44A7" w:rsidRDefault="001B44A7" w14:paraId="3CC06F46" w14:textId="77777777">
            <w:pPr>
              <w:pStyle w:val="NoSpacing"/>
              <w:jc w:val="center"/>
            </w:pPr>
            <w:r>
              <w:t>1,196</w:t>
            </w:r>
          </w:p>
        </w:tc>
        <w:tc>
          <w:tcPr>
            <w:tcW w:w="9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3D79AD91" w14:textId="77777777">
            <w:pPr>
              <w:jc w:val="center"/>
            </w:pPr>
            <w:r w:rsidRPr="008853A2"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0004650D" w14:textId="77777777">
            <w:pPr>
              <w:jc w:val="center"/>
            </w:pPr>
            <w:r>
              <w:t>1,196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43A5613D" w14:textId="77777777">
            <w:pPr>
              <w:jc w:val="center"/>
            </w:pPr>
            <w:r>
              <w:t>0</w:t>
            </w:r>
            <w:r w:rsidRPr="008853A2">
              <w:t>.08</w:t>
            </w:r>
          </w:p>
          <w:p w:rsidRPr="008853A2" w:rsidR="001B44A7" w:rsidP="003E5258" w:rsidRDefault="001B44A7" w14:paraId="3A903FDF" w14:textId="77777777">
            <w:pPr>
              <w:jc w:val="center"/>
            </w:pPr>
            <w:r w:rsidRPr="008853A2">
              <w:t xml:space="preserve">(5 </w:t>
            </w:r>
            <w:r>
              <w:t>minutes</w:t>
            </w:r>
            <w:r w:rsidRPr="008853A2">
              <w:t>)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4AEF2621" w14:textId="77777777">
            <w:pPr>
              <w:jc w:val="center"/>
            </w:pPr>
            <w:r>
              <w:t>95.68</w:t>
            </w:r>
          </w:p>
        </w:tc>
      </w:tr>
      <w:tr w:rsidRPr="00094CDC" w:rsidR="001B44A7" w:rsidTr="003E5258" w14:paraId="2FACDB30" w14:textId="77777777">
        <w:tc>
          <w:tcPr>
            <w:tcW w:w="8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94CDC" w:rsidR="001B44A7" w:rsidP="003E5258" w:rsidRDefault="001B44A7" w14:paraId="5159458D" w14:textId="77777777">
            <w:r w:rsidRPr="00094CDC">
              <w:t>Study 2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68CE1E31" w14:textId="77777777">
            <w:pPr>
              <w:jc w:val="center"/>
            </w:pPr>
            <w:r>
              <w:t>598</w:t>
            </w:r>
          </w:p>
        </w:tc>
        <w:tc>
          <w:tcPr>
            <w:tcW w:w="9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46693430" w14:textId="77777777">
            <w:pPr>
              <w:jc w:val="center"/>
            </w:pPr>
            <w:r w:rsidRPr="008853A2"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4D03EEFA" w14:textId="77777777">
            <w:pPr>
              <w:jc w:val="center"/>
            </w:pPr>
            <w:r>
              <w:t>598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2AF3C8FC" w14:textId="77777777">
            <w:pPr>
              <w:jc w:val="center"/>
            </w:pPr>
            <w:r>
              <w:t>0</w:t>
            </w:r>
            <w:r w:rsidRPr="008853A2">
              <w:t>.</w:t>
            </w:r>
            <w:r>
              <w:t>25</w:t>
            </w:r>
          </w:p>
          <w:p w:rsidRPr="008853A2" w:rsidR="001B44A7" w:rsidP="003E5258" w:rsidRDefault="001B44A7" w14:paraId="65722F0E" w14:textId="77777777">
            <w:pPr>
              <w:jc w:val="center"/>
            </w:pPr>
            <w:r w:rsidRPr="008853A2">
              <w:t>(</w:t>
            </w:r>
            <w:r>
              <w:t>15</w:t>
            </w:r>
            <w:r w:rsidRPr="008853A2">
              <w:t xml:space="preserve"> </w:t>
            </w:r>
            <w:r>
              <w:t>minutes</w:t>
            </w:r>
            <w:r w:rsidRPr="008853A2">
              <w:t>)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68841F2C" w14:textId="77777777">
            <w:pPr>
              <w:jc w:val="center"/>
            </w:pPr>
            <w:r>
              <w:t>149.5</w:t>
            </w:r>
          </w:p>
        </w:tc>
      </w:tr>
      <w:tr w:rsidRPr="00094CDC" w:rsidR="001B44A7" w:rsidTr="003E5258" w14:paraId="62C1F857" w14:textId="77777777">
        <w:tc>
          <w:tcPr>
            <w:tcW w:w="8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94CDC" w:rsidR="001B44A7" w:rsidP="003E5258" w:rsidRDefault="001B44A7" w14:paraId="1561921D" w14:textId="77777777">
            <w:r w:rsidRPr="00094CDC">
              <w:t>Total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5B2F158F" w14:textId="77777777">
            <w:pPr>
              <w:jc w:val="center"/>
            </w:pPr>
          </w:p>
        </w:tc>
        <w:tc>
          <w:tcPr>
            <w:tcW w:w="9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385B038A" w14:textId="77777777">
            <w:pPr>
              <w:jc w:val="center"/>
            </w:pP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16A390E3" w14:textId="77777777">
            <w:pPr>
              <w:jc w:val="center"/>
            </w:pPr>
          </w:p>
        </w:tc>
        <w:tc>
          <w:tcPr>
            <w:tcW w:w="10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1BFA2072" w14:textId="77777777">
            <w:pPr>
              <w:jc w:val="center"/>
            </w:pPr>
          </w:p>
        </w:tc>
        <w:tc>
          <w:tcPr>
            <w:tcW w:w="6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53A2" w:rsidR="001B44A7" w:rsidP="003E5258" w:rsidRDefault="001B44A7" w14:paraId="65BB6FEE" w14:textId="77777777">
            <w:pPr>
              <w:jc w:val="center"/>
            </w:pPr>
            <w:r>
              <w:t>656.72</w:t>
            </w:r>
          </w:p>
        </w:tc>
      </w:tr>
    </w:tbl>
    <w:p w:rsidR="001B44A7" w:rsidP="00E023FF" w:rsidRDefault="001B44A7" w14:paraId="6D148844" w14:textId="5F79093E"/>
    <w:p w:rsidR="00625FC5" w:rsidP="00E023FF" w:rsidRDefault="00625FC5" w14:paraId="416481CA" w14:textId="47D3FC4C"/>
    <w:tbl>
      <w:tblPr>
        <w:tblW w:w="0" w:type="auto"/>
        <w:tblInd w:w="-8" w:type="dxa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1728"/>
        <w:gridCol w:w="2367"/>
        <w:gridCol w:w="5273"/>
      </w:tblGrid>
      <w:tr w:rsidR="00625FC5" w:rsidTr="0058321C" w14:paraId="6CA500EA" w14:textId="77777777">
        <w:tc>
          <w:tcPr>
            <w:tcW w:w="9442" w:type="dxa"/>
            <w:gridSpan w:val="3"/>
            <w:tcBorders>
              <w:bottom w:val="nil"/>
            </w:tcBorders>
            <w:hideMark/>
          </w:tcPr>
          <w:p w:rsidRPr="006C7E73" w:rsidR="00625FC5" w:rsidP="009C4F85" w:rsidRDefault="00625FC5" w14:paraId="76491484" w14:textId="77777777">
            <w:pPr>
              <w:jc w:val="center"/>
            </w:pPr>
            <w:r>
              <w:t>Table 2</w:t>
            </w:r>
            <w:r w:rsidRPr="006C7E73">
              <w:t>.</w:t>
            </w:r>
            <w:r>
              <w:t>—Adjustments to Total Hours</w:t>
            </w:r>
          </w:p>
        </w:tc>
      </w:tr>
      <w:tr w:rsidR="00625FC5" w:rsidTr="00625FC5" w14:paraId="304789A5" w14:textId="77777777"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625FC5" w:rsidP="009C4F85" w:rsidRDefault="00625FC5" w14:paraId="1120FFAE" w14:textId="77777777"/>
          <w:p w:rsidR="00625FC5" w:rsidP="009C4F85" w:rsidRDefault="00625FC5" w14:paraId="39FD74A0" w14:textId="77777777">
            <w:r>
              <w:t>Activity</w:t>
            </w:r>
          </w:p>
        </w:tc>
        <w:tc>
          <w:tcPr>
            <w:tcW w:w="285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hideMark/>
          </w:tcPr>
          <w:p w:rsidR="00625FC5" w:rsidP="009C4F85" w:rsidRDefault="00625FC5" w14:paraId="4B7003BA" w14:textId="77777777">
            <w:pPr>
              <w:jc w:val="center"/>
            </w:pPr>
            <w:r>
              <w:t>Adjustment to Total Hours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hideMark/>
          </w:tcPr>
          <w:p w:rsidR="00625FC5" w:rsidP="009C4F85" w:rsidRDefault="00625FC5" w14:paraId="234BDC1A" w14:textId="77777777">
            <w:pPr>
              <w:jc w:val="center"/>
            </w:pPr>
            <w:r>
              <w:t>Notes</w:t>
            </w:r>
          </w:p>
        </w:tc>
      </w:tr>
      <w:tr w:rsidR="00625FC5" w:rsidTr="00625FC5" w14:paraId="2647C7B1" w14:textId="77777777"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:rsidRPr="00BC329A" w:rsidR="00625FC5" w:rsidP="00625FC5" w:rsidRDefault="00625FC5" w14:paraId="43783B42" w14:textId="5B4232F8">
            <w:r w:rsidRPr="00094CDC">
              <w:t>Pretests 1 and 2 screener</w:t>
            </w:r>
          </w:p>
        </w:tc>
        <w:tc>
          <w:tcPr>
            <w:tcW w:w="285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625FC5" w:rsidP="00625FC5" w:rsidRDefault="00625FC5" w14:paraId="76863548" w14:textId="7DC69A3E">
            <w:r>
              <w:t>7.84 additional hours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625FC5" w:rsidP="00625FC5" w:rsidRDefault="00625FC5" w14:paraId="15B6F0FD" w14:textId="5F8659CF">
            <w:r>
              <w:t>Based on screen</w:t>
            </w:r>
            <w:r w:rsidR="00A96EE6">
              <w:t>ing</w:t>
            </w:r>
            <w:r>
              <w:t xml:space="preserve"> more participants than expected</w:t>
            </w:r>
          </w:p>
        </w:tc>
      </w:tr>
      <w:tr w:rsidR="00625FC5" w:rsidTr="00625FC5" w14:paraId="72B5E17A" w14:textId="77777777"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:rsidRPr="00BC329A" w:rsidR="00625FC5" w:rsidP="00625FC5" w:rsidRDefault="00625FC5" w14:paraId="2AC4AA78" w14:textId="3FA4F97C">
            <w:r w:rsidRPr="00094CDC">
              <w:t>Pretests 1 and 2</w:t>
            </w:r>
          </w:p>
        </w:tc>
        <w:tc>
          <w:tcPr>
            <w:tcW w:w="285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625FC5" w:rsidP="00625FC5" w:rsidRDefault="00625FC5" w14:paraId="55CC76EA" w14:textId="52EB9AF2">
            <w:r>
              <w:t>2.35 fewer hours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625FC5" w:rsidP="00625FC5" w:rsidRDefault="00625FC5" w14:paraId="1FFAC720" w14:textId="7A8540E1">
            <w:r>
              <w:t>Based on more participants but shorter survey length than expected</w:t>
            </w:r>
          </w:p>
        </w:tc>
      </w:tr>
      <w:tr w:rsidR="00625FC5" w:rsidTr="00625FC5" w14:paraId="1BE212D6" w14:textId="77777777"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  <w:hideMark/>
          </w:tcPr>
          <w:p w:rsidR="00625FC5" w:rsidP="00625FC5" w:rsidRDefault="00625FC5" w14:paraId="4697F0C4" w14:textId="41B84EA7">
            <w:r w:rsidRPr="00094CDC">
              <w:t>Study 1 screener</w:t>
            </w:r>
          </w:p>
        </w:tc>
        <w:tc>
          <w:tcPr>
            <w:tcW w:w="285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BC329A" w:rsidR="00625FC5" w:rsidP="00625FC5" w:rsidRDefault="00625FC5" w14:paraId="4DFC7B53" w14:textId="42E668FF">
            <w:r>
              <w:t>35.</w:t>
            </w:r>
            <w:r w:rsidR="00A96EE6">
              <w:t>4</w:t>
            </w:r>
            <w:r>
              <w:t>4 additional hours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625FC5" w:rsidP="00625FC5" w:rsidRDefault="00625FC5" w14:paraId="6A13FD1C" w14:textId="2934CBEA">
            <w:r>
              <w:t>Adjustment based on application of pretests 1 and 2 screener experience</w:t>
            </w:r>
          </w:p>
        </w:tc>
      </w:tr>
      <w:tr w:rsidR="00625FC5" w:rsidTr="00625FC5" w14:paraId="05506003" w14:textId="77777777"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:rsidR="00625FC5" w:rsidP="00625FC5" w:rsidRDefault="00625FC5" w14:paraId="4AF9524A" w14:textId="7473AAA3">
            <w:r w:rsidRPr="00094CDC">
              <w:t>Study 1</w:t>
            </w:r>
          </w:p>
        </w:tc>
        <w:tc>
          <w:tcPr>
            <w:tcW w:w="285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BC329A" w:rsidR="00625FC5" w:rsidP="00625FC5" w:rsidRDefault="00625FC5" w14:paraId="59D6C3B6" w14:textId="5B005772">
            <w:r>
              <w:t>29.75 fewer hours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625FC5" w:rsidP="00625FC5" w:rsidRDefault="00625FC5" w14:paraId="1F1F0D5D" w14:textId="5C8F208E">
            <w:r w:rsidRPr="00625FC5">
              <w:t>Adjustment based on application of pretests 1 and 2 experience</w:t>
            </w:r>
          </w:p>
        </w:tc>
      </w:tr>
      <w:tr w:rsidR="00625FC5" w:rsidTr="00625FC5" w14:paraId="35672BA5" w14:textId="77777777"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:rsidRPr="00094CDC" w:rsidR="00625FC5" w:rsidP="00625FC5" w:rsidRDefault="00625FC5" w14:paraId="3EAEC67D" w14:textId="7216CE6A">
            <w:r w:rsidRPr="00094CDC">
              <w:t>Study 2 screener</w:t>
            </w:r>
          </w:p>
        </w:tc>
        <w:tc>
          <w:tcPr>
            <w:tcW w:w="285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625FC5" w:rsidP="00625FC5" w:rsidRDefault="00625FC5" w14:paraId="52016F05" w14:textId="295D94B7">
            <w:r>
              <w:t>26.32 additional hours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625FC5" w:rsidP="00625FC5" w:rsidRDefault="00625FC5" w14:paraId="1C0CE2D8" w14:textId="476A788A">
            <w:r w:rsidRPr="00625FC5">
              <w:t>Adjustment based on application of pretests 1 and 2 screener experience</w:t>
            </w:r>
          </w:p>
        </w:tc>
      </w:tr>
      <w:tr w:rsidR="00625FC5" w:rsidTr="00625FC5" w14:paraId="19EACAB0" w14:textId="77777777"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:rsidRPr="00094CDC" w:rsidR="00625FC5" w:rsidP="00625FC5" w:rsidRDefault="00625FC5" w14:paraId="1A1AD310" w14:textId="6FF99F62">
            <w:r w:rsidRPr="00094CDC">
              <w:t>Study 2</w:t>
            </w:r>
          </w:p>
        </w:tc>
        <w:tc>
          <w:tcPr>
            <w:tcW w:w="285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625FC5" w:rsidP="00625FC5" w:rsidRDefault="00625FC5" w14:paraId="121FCB75" w14:textId="651E195E">
            <w:r>
              <w:t>22.1 fewer hours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625FC5" w:rsidP="00625FC5" w:rsidRDefault="00625FC5" w14:paraId="68CCF548" w14:textId="64E23691">
            <w:r w:rsidRPr="00625FC5">
              <w:t>Adjustment based on application of pretests 1 and 2 experience</w:t>
            </w:r>
          </w:p>
        </w:tc>
      </w:tr>
      <w:tr w:rsidR="00625FC5" w:rsidTr="00625FC5" w14:paraId="095B86B9" w14:textId="77777777"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hideMark/>
          </w:tcPr>
          <w:p w:rsidR="00625FC5" w:rsidP="00625FC5" w:rsidRDefault="00625FC5" w14:paraId="7780018B" w14:textId="77777777">
            <w:r>
              <w:t>Total</w:t>
            </w:r>
          </w:p>
        </w:tc>
        <w:tc>
          <w:tcPr>
            <w:tcW w:w="2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BC329A" w:rsidR="00625FC5" w:rsidP="00625FC5" w:rsidRDefault="00625FC5" w14:paraId="04C82304" w14:textId="14EFB16E">
            <w:r>
              <w:t>15.</w:t>
            </w:r>
            <w:r w:rsidR="00A96EE6">
              <w:t>40</w:t>
            </w:r>
            <w:r>
              <w:t xml:space="preserve"> additional hours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25FC5" w:rsidP="00625FC5" w:rsidRDefault="00625FC5" w14:paraId="0CF40B20" w14:textId="77777777"/>
        </w:tc>
      </w:tr>
    </w:tbl>
    <w:p w:rsidRPr="00CA3DAE" w:rsidR="00625FC5" w:rsidP="00E023FF" w:rsidRDefault="00625FC5" w14:paraId="2A82C840" w14:textId="77777777"/>
    <w:p w:rsidRPr="000D1D8B" w:rsidR="00A12D5B" w:rsidP="000D1D8B" w:rsidRDefault="00A12D5B" w14:paraId="0E75CE01" w14:textId="77777777">
      <w:pPr>
        <w:rPr>
          <w:vanish/>
        </w:rPr>
      </w:pPr>
    </w:p>
    <w:sectPr w:rsidRPr="000D1D8B" w:rsidR="00A12D5B" w:rsidSect="00A81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93744" w14:textId="77777777" w:rsidR="00E9246B" w:rsidRDefault="00E9246B" w:rsidP="0049106D">
      <w:r>
        <w:separator/>
      </w:r>
    </w:p>
  </w:endnote>
  <w:endnote w:type="continuationSeparator" w:id="0">
    <w:p w14:paraId="48356ED6" w14:textId="77777777" w:rsidR="00E9246B" w:rsidRDefault="00E9246B" w:rsidP="0049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A6812" w14:textId="77777777" w:rsidR="00E9246B" w:rsidRDefault="00E9246B" w:rsidP="0049106D">
      <w:r>
        <w:separator/>
      </w:r>
    </w:p>
  </w:footnote>
  <w:footnote w:type="continuationSeparator" w:id="0">
    <w:p w14:paraId="12AD4056" w14:textId="77777777" w:rsidR="00E9246B" w:rsidRDefault="00E9246B" w:rsidP="00491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A6D79"/>
    <w:multiLevelType w:val="hybridMultilevel"/>
    <w:tmpl w:val="76088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89"/>
    <w:rsid w:val="0000318D"/>
    <w:rsid w:val="00041AE2"/>
    <w:rsid w:val="00052EA1"/>
    <w:rsid w:val="00080FC9"/>
    <w:rsid w:val="000A6794"/>
    <w:rsid w:val="000D1D8B"/>
    <w:rsid w:val="000F6BF2"/>
    <w:rsid w:val="001164B4"/>
    <w:rsid w:val="001213C0"/>
    <w:rsid w:val="00124DD5"/>
    <w:rsid w:val="00155D70"/>
    <w:rsid w:val="001577CD"/>
    <w:rsid w:val="001B44A7"/>
    <w:rsid w:val="001B4C11"/>
    <w:rsid w:val="002336D1"/>
    <w:rsid w:val="002446BA"/>
    <w:rsid w:val="002523B1"/>
    <w:rsid w:val="00271628"/>
    <w:rsid w:val="00282A06"/>
    <w:rsid w:val="002B6122"/>
    <w:rsid w:val="002D2909"/>
    <w:rsid w:val="00301253"/>
    <w:rsid w:val="00320019"/>
    <w:rsid w:val="00323C2E"/>
    <w:rsid w:val="003A5A83"/>
    <w:rsid w:val="003C31A0"/>
    <w:rsid w:val="003F70A7"/>
    <w:rsid w:val="0049106D"/>
    <w:rsid w:val="004A43E6"/>
    <w:rsid w:val="004C21C8"/>
    <w:rsid w:val="004F1046"/>
    <w:rsid w:val="00501B8F"/>
    <w:rsid w:val="0058321C"/>
    <w:rsid w:val="00584AFF"/>
    <w:rsid w:val="005A3B4E"/>
    <w:rsid w:val="005F47FA"/>
    <w:rsid w:val="00604B9D"/>
    <w:rsid w:val="00625FC5"/>
    <w:rsid w:val="006540E2"/>
    <w:rsid w:val="00662487"/>
    <w:rsid w:val="00677E03"/>
    <w:rsid w:val="00695D09"/>
    <w:rsid w:val="006A73C1"/>
    <w:rsid w:val="006B278E"/>
    <w:rsid w:val="006C6B3D"/>
    <w:rsid w:val="006F0DA9"/>
    <w:rsid w:val="007B3E66"/>
    <w:rsid w:val="007E0AF5"/>
    <w:rsid w:val="008024C3"/>
    <w:rsid w:val="00815BEE"/>
    <w:rsid w:val="00826E89"/>
    <w:rsid w:val="00837CBA"/>
    <w:rsid w:val="00841186"/>
    <w:rsid w:val="008B56FE"/>
    <w:rsid w:val="008D2288"/>
    <w:rsid w:val="008E354F"/>
    <w:rsid w:val="00924CB1"/>
    <w:rsid w:val="009832CE"/>
    <w:rsid w:val="009B1E2B"/>
    <w:rsid w:val="009C7F15"/>
    <w:rsid w:val="00A12D5B"/>
    <w:rsid w:val="00A21DAB"/>
    <w:rsid w:val="00A605F8"/>
    <w:rsid w:val="00A70D9F"/>
    <w:rsid w:val="00A811C0"/>
    <w:rsid w:val="00A90737"/>
    <w:rsid w:val="00A96EE6"/>
    <w:rsid w:val="00AB4021"/>
    <w:rsid w:val="00AC7AB1"/>
    <w:rsid w:val="00AE31B6"/>
    <w:rsid w:val="00B35E82"/>
    <w:rsid w:val="00B5569B"/>
    <w:rsid w:val="00B721D2"/>
    <w:rsid w:val="00B93993"/>
    <w:rsid w:val="00B95AC1"/>
    <w:rsid w:val="00BA07E1"/>
    <w:rsid w:val="00BC09E9"/>
    <w:rsid w:val="00BF2557"/>
    <w:rsid w:val="00C10C63"/>
    <w:rsid w:val="00C314B5"/>
    <w:rsid w:val="00C46F94"/>
    <w:rsid w:val="00C65B6C"/>
    <w:rsid w:val="00CA3DAE"/>
    <w:rsid w:val="00CD6334"/>
    <w:rsid w:val="00D007BC"/>
    <w:rsid w:val="00D10BA1"/>
    <w:rsid w:val="00D11910"/>
    <w:rsid w:val="00D847D4"/>
    <w:rsid w:val="00DC0DF3"/>
    <w:rsid w:val="00E023FF"/>
    <w:rsid w:val="00E478C7"/>
    <w:rsid w:val="00E54805"/>
    <w:rsid w:val="00E9246B"/>
    <w:rsid w:val="00ED1530"/>
    <w:rsid w:val="00F01766"/>
    <w:rsid w:val="00F6317E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5733"/>
  <w15:docId w15:val="{9C2B761F-BF82-4BBC-BFE5-1FFAA51B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02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4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0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0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B44A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4A43E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F0D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F0DA9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F0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Stein</dc:creator>
  <cp:lastModifiedBy>Mizrachi, Ila</cp:lastModifiedBy>
  <cp:revision>4</cp:revision>
  <dcterms:created xsi:type="dcterms:W3CDTF">2021-04-01T22:12:00Z</dcterms:created>
  <dcterms:modified xsi:type="dcterms:W3CDTF">2021-04-01T22:31:00Z</dcterms:modified>
</cp:coreProperties>
</file>