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5F6B" w:rsidP="00325A45" w:rsidRDefault="00BE5F6B" w14:paraId="32B1F77F" w14:textId="77777777">
      <w:pPr>
        <w:pStyle w:val="Title"/>
        <w:spacing w:before="0"/>
        <w:rPr>
          <w:rFonts w:ascii="Times New Roman" w:hAnsi="Times New Roman" w:cs="Times New Roman"/>
          <w:b w:val="0"/>
          <w:sz w:val="24"/>
          <w:szCs w:val="24"/>
        </w:rPr>
      </w:pPr>
    </w:p>
    <w:p w:rsidR="00BE5F6B" w:rsidP="00325A45" w:rsidRDefault="00BE5F6B" w14:paraId="2BCFCE28" w14:textId="77777777">
      <w:pPr>
        <w:pStyle w:val="Title"/>
        <w:spacing w:before="0"/>
        <w:rPr>
          <w:rFonts w:ascii="Times New Roman" w:hAnsi="Times New Roman" w:cs="Times New Roman"/>
          <w:b w:val="0"/>
          <w:sz w:val="24"/>
          <w:szCs w:val="24"/>
        </w:rPr>
      </w:pPr>
    </w:p>
    <w:p w:rsidRPr="00652938" w:rsidR="000446F8" w:rsidP="00325A45" w:rsidRDefault="000446F8" w14:paraId="1D2F1F5E" w14:textId="7070A0A5">
      <w:pPr>
        <w:pStyle w:val="Title"/>
        <w:spacing w:before="0"/>
        <w:rPr>
          <w:rFonts w:ascii="Times New Roman" w:hAnsi="Times New Roman" w:cs="Times New Roman"/>
          <w:b w:val="0"/>
          <w:sz w:val="24"/>
          <w:szCs w:val="24"/>
        </w:rPr>
      </w:pPr>
      <w:r>
        <w:rPr>
          <w:rFonts w:ascii="Times New Roman" w:hAnsi="Times New Roman" w:cs="Times New Roman"/>
          <w:b w:val="0"/>
          <w:sz w:val="24"/>
          <w:szCs w:val="24"/>
        </w:rPr>
        <w:t>UNITED STATES FOOD AND DRUG ADMINISTRATION</w:t>
      </w:r>
    </w:p>
    <w:p w:rsidR="0064259F" w:rsidP="00325A45" w:rsidRDefault="006232C6" w14:paraId="4323E845" w14:textId="1908B27F">
      <w:pPr>
        <w:pStyle w:val="Title"/>
        <w:rPr>
          <w:rFonts w:ascii="Times New Roman" w:hAnsi="Times New Roman" w:cs="Times New Roman"/>
          <w:b w:val="0"/>
          <w:sz w:val="24"/>
          <w:szCs w:val="24"/>
        </w:rPr>
      </w:pPr>
      <w:r w:rsidRPr="00652938">
        <w:rPr>
          <w:rFonts w:ascii="Times New Roman" w:hAnsi="Times New Roman" w:cs="Times New Roman"/>
          <w:b w:val="0"/>
          <w:sz w:val="24"/>
          <w:szCs w:val="24"/>
        </w:rPr>
        <w:t xml:space="preserve">Survey of </w:t>
      </w:r>
      <w:r w:rsidRPr="00652938" w:rsidR="00DE3B86">
        <w:rPr>
          <w:rFonts w:ascii="Times New Roman" w:hAnsi="Times New Roman" w:cs="Times New Roman"/>
          <w:b w:val="0"/>
          <w:sz w:val="24"/>
          <w:szCs w:val="24"/>
        </w:rPr>
        <w:t xml:space="preserve">Drug </w:t>
      </w:r>
      <w:r w:rsidRPr="00652938" w:rsidR="00A97D29">
        <w:rPr>
          <w:rFonts w:ascii="Times New Roman" w:hAnsi="Times New Roman" w:cs="Times New Roman"/>
          <w:b w:val="0"/>
          <w:sz w:val="24"/>
          <w:szCs w:val="24"/>
        </w:rPr>
        <w:t xml:space="preserve">Product </w:t>
      </w:r>
      <w:r w:rsidRPr="00652938" w:rsidR="00FE3621">
        <w:rPr>
          <w:rFonts w:ascii="Times New Roman" w:hAnsi="Times New Roman" w:cs="Times New Roman"/>
          <w:b w:val="0"/>
          <w:sz w:val="24"/>
          <w:szCs w:val="24"/>
        </w:rPr>
        <w:t>Manufacturing</w:t>
      </w:r>
      <w:r w:rsidRPr="00652938" w:rsidR="00ED4584">
        <w:rPr>
          <w:rFonts w:ascii="Times New Roman" w:hAnsi="Times New Roman" w:cs="Times New Roman"/>
          <w:b w:val="0"/>
          <w:sz w:val="24"/>
          <w:szCs w:val="24"/>
        </w:rPr>
        <w:t>, Processing</w:t>
      </w:r>
      <w:r w:rsidRPr="00652938" w:rsidR="00A455AB">
        <w:rPr>
          <w:rFonts w:ascii="Times New Roman" w:hAnsi="Times New Roman" w:cs="Times New Roman"/>
          <w:b w:val="0"/>
          <w:sz w:val="24"/>
          <w:szCs w:val="24"/>
        </w:rPr>
        <w:t>,</w:t>
      </w:r>
      <w:r w:rsidRPr="00652938" w:rsidR="00ED4584">
        <w:rPr>
          <w:rFonts w:ascii="Times New Roman" w:hAnsi="Times New Roman" w:cs="Times New Roman"/>
          <w:b w:val="0"/>
          <w:sz w:val="24"/>
          <w:szCs w:val="24"/>
        </w:rPr>
        <w:t xml:space="preserve"> and Packing</w:t>
      </w:r>
      <w:r w:rsidRPr="00652938" w:rsidR="00FE3621">
        <w:rPr>
          <w:rFonts w:ascii="Times New Roman" w:hAnsi="Times New Roman" w:cs="Times New Roman"/>
          <w:b w:val="0"/>
          <w:sz w:val="24"/>
          <w:szCs w:val="24"/>
        </w:rPr>
        <w:t xml:space="preserve"> </w:t>
      </w:r>
      <w:r w:rsidRPr="00652938" w:rsidR="00DE3B86">
        <w:rPr>
          <w:rFonts w:ascii="Times New Roman" w:hAnsi="Times New Roman" w:cs="Times New Roman"/>
          <w:b w:val="0"/>
          <w:sz w:val="24"/>
          <w:szCs w:val="24"/>
        </w:rPr>
        <w:t>Facilit</w:t>
      </w:r>
      <w:r w:rsidRPr="00652938" w:rsidR="00A97D29">
        <w:rPr>
          <w:rFonts w:ascii="Times New Roman" w:hAnsi="Times New Roman" w:cs="Times New Roman"/>
          <w:b w:val="0"/>
          <w:sz w:val="24"/>
          <w:szCs w:val="24"/>
        </w:rPr>
        <w:t>ies</w:t>
      </w:r>
    </w:p>
    <w:p w:rsidR="000446F8" w:rsidP="00325A45" w:rsidRDefault="000446F8" w14:paraId="7DB45EF1" w14:textId="2F8FABCC">
      <w:pPr>
        <w:pStyle w:val="Title"/>
        <w:rPr>
          <w:rFonts w:ascii="Times New Roman" w:hAnsi="Times New Roman" w:cs="Times New Roman"/>
          <w:b w:val="0"/>
          <w:sz w:val="24"/>
          <w:szCs w:val="24"/>
        </w:rPr>
      </w:pPr>
      <w:r>
        <w:rPr>
          <w:rFonts w:ascii="Times New Roman" w:hAnsi="Times New Roman" w:cs="Times New Roman"/>
          <w:b w:val="0"/>
          <w:sz w:val="24"/>
          <w:szCs w:val="24"/>
        </w:rPr>
        <w:t>OMB Control No. 0910-NEW</w:t>
      </w:r>
    </w:p>
    <w:p w:rsidR="00817829" w:rsidP="00325A45" w:rsidRDefault="00817829" w14:paraId="35BE7692" w14:textId="200D268E">
      <w:pPr>
        <w:pStyle w:val="Title"/>
        <w:rPr>
          <w:rFonts w:ascii="Times New Roman" w:hAnsi="Times New Roman" w:cs="Times New Roman"/>
          <w:b w:val="0"/>
          <w:sz w:val="24"/>
          <w:szCs w:val="24"/>
        </w:rPr>
      </w:pPr>
      <w:r>
        <w:rPr>
          <w:rFonts w:ascii="Times New Roman" w:hAnsi="Times New Roman" w:cs="Times New Roman"/>
          <w:b w:val="0"/>
          <w:sz w:val="24"/>
          <w:szCs w:val="24"/>
        </w:rPr>
        <w:t>SUPPORTING STATEMENT</w:t>
      </w:r>
      <w:r w:rsidR="00781CD3">
        <w:rPr>
          <w:rFonts w:ascii="Times New Roman" w:hAnsi="Times New Roman" w:cs="Times New Roman"/>
          <w:b w:val="0"/>
          <w:sz w:val="24"/>
          <w:szCs w:val="24"/>
        </w:rPr>
        <w:t xml:space="preserve"> </w:t>
      </w:r>
    </w:p>
    <w:p w:rsidRPr="009C60C5" w:rsidR="008A7B4A" w:rsidP="00652938" w:rsidRDefault="000446F8" w14:paraId="60DD7AF7" w14:textId="1699EDD4">
      <w:pPr>
        <w:pStyle w:val="Title"/>
        <w:jc w:val="left"/>
        <w:rPr>
          <w:rFonts w:ascii="Times New Roman" w:hAnsi="Times New Roman" w:cs="Times New Roman"/>
          <w:sz w:val="24"/>
          <w:szCs w:val="24"/>
        </w:rPr>
      </w:pPr>
      <w:r w:rsidRPr="009C60C5">
        <w:rPr>
          <w:rFonts w:ascii="Times New Roman" w:hAnsi="Times New Roman" w:cs="Times New Roman"/>
          <w:sz w:val="24"/>
          <w:szCs w:val="24"/>
        </w:rPr>
        <w:t>Part</w:t>
      </w:r>
      <w:r w:rsidRPr="009C60C5">
        <w:rPr>
          <w:sz w:val="24"/>
        </w:rPr>
        <w:t xml:space="preserve"> A: Justification</w:t>
      </w:r>
    </w:p>
    <w:p w:rsidRPr="00652938" w:rsidR="00817829" w:rsidP="008C718D" w:rsidRDefault="00817829" w14:paraId="68633B37" w14:textId="33E20F3E">
      <w:pPr>
        <w:pStyle w:val="BodyTextFirstIndent"/>
        <w:spacing w:after="160"/>
        <w:ind w:firstLine="0"/>
        <w:rPr>
          <w:sz w:val="24"/>
          <w:szCs w:val="24"/>
          <w:u w:val="single"/>
        </w:rPr>
      </w:pPr>
      <w:r>
        <w:rPr>
          <w:sz w:val="24"/>
          <w:szCs w:val="24"/>
        </w:rPr>
        <w:t>1,</w:t>
      </w:r>
      <w:r>
        <w:rPr>
          <w:sz w:val="24"/>
          <w:szCs w:val="24"/>
        </w:rPr>
        <w:tab/>
      </w:r>
      <w:r>
        <w:rPr>
          <w:sz w:val="24"/>
          <w:szCs w:val="24"/>
          <w:u w:val="single"/>
        </w:rPr>
        <w:t>Circumstances Making the Collection of Information Necessary</w:t>
      </w:r>
    </w:p>
    <w:p w:rsidRPr="00652938" w:rsidR="00817829" w:rsidP="008C718D" w:rsidRDefault="00817829" w14:paraId="65E24441" w14:textId="3B027585">
      <w:pPr>
        <w:pStyle w:val="BodyTextFirstIndent"/>
        <w:spacing w:after="160"/>
        <w:ind w:firstLine="0"/>
        <w:rPr>
          <w:sz w:val="24"/>
          <w:szCs w:val="24"/>
        </w:rPr>
      </w:pPr>
      <w:r w:rsidRPr="00652938">
        <w:rPr>
          <w:sz w:val="24"/>
          <w:szCs w:val="24"/>
        </w:rPr>
        <w:t>Background</w:t>
      </w:r>
    </w:p>
    <w:p w:rsidRPr="00652938" w:rsidR="00FB021D" w:rsidP="00652938" w:rsidRDefault="00FB021D" w14:paraId="37B3513E" w14:textId="1E48B206">
      <w:pPr>
        <w:pStyle w:val="BodyTextFirstIndent"/>
        <w:spacing w:after="160"/>
        <w:ind w:firstLine="0"/>
        <w:rPr>
          <w:sz w:val="24"/>
          <w:szCs w:val="24"/>
        </w:rPr>
      </w:pPr>
      <w:r w:rsidRPr="00652938">
        <w:rPr>
          <w:sz w:val="24"/>
          <w:szCs w:val="24"/>
        </w:rPr>
        <w:t xml:space="preserve">This section provides background on </w:t>
      </w:r>
      <w:r w:rsidRPr="00652938" w:rsidR="00A16A81">
        <w:rPr>
          <w:sz w:val="24"/>
          <w:szCs w:val="24"/>
        </w:rPr>
        <w:t>the Current G</w:t>
      </w:r>
      <w:r w:rsidRPr="00652938" w:rsidR="006232C6">
        <w:rPr>
          <w:sz w:val="24"/>
          <w:szCs w:val="24"/>
        </w:rPr>
        <w:t xml:space="preserve">ood </w:t>
      </w:r>
      <w:r w:rsidRPr="00652938" w:rsidR="00A16A81">
        <w:rPr>
          <w:sz w:val="24"/>
          <w:szCs w:val="24"/>
        </w:rPr>
        <w:t xml:space="preserve">Manufacturing Practices </w:t>
      </w:r>
      <w:r w:rsidRPr="00652938" w:rsidR="006232C6">
        <w:rPr>
          <w:sz w:val="24"/>
          <w:szCs w:val="24"/>
        </w:rPr>
        <w:t>(</w:t>
      </w:r>
      <w:r w:rsidRPr="00652938" w:rsidR="00A16A81">
        <w:rPr>
          <w:sz w:val="24"/>
          <w:szCs w:val="24"/>
        </w:rPr>
        <w:t>C</w:t>
      </w:r>
      <w:r w:rsidRPr="00652938" w:rsidR="006232C6">
        <w:rPr>
          <w:sz w:val="24"/>
          <w:szCs w:val="24"/>
        </w:rPr>
        <w:t>GMP)</w:t>
      </w:r>
      <w:r w:rsidRPr="00652938">
        <w:rPr>
          <w:sz w:val="24"/>
          <w:szCs w:val="24"/>
        </w:rPr>
        <w:t xml:space="preserve"> legislation</w:t>
      </w:r>
      <w:r w:rsidRPr="00652938" w:rsidR="00A16A81">
        <w:rPr>
          <w:sz w:val="24"/>
          <w:szCs w:val="24"/>
        </w:rPr>
        <w:t xml:space="preserve"> for drug </w:t>
      </w:r>
      <w:r w:rsidRPr="00652938" w:rsidR="0055463B">
        <w:rPr>
          <w:sz w:val="24"/>
          <w:szCs w:val="24"/>
        </w:rPr>
        <w:t xml:space="preserve">product </w:t>
      </w:r>
      <w:r w:rsidRPr="00652938" w:rsidR="00FE3621">
        <w:rPr>
          <w:sz w:val="24"/>
          <w:szCs w:val="24"/>
        </w:rPr>
        <w:t>manufacturing</w:t>
      </w:r>
      <w:r w:rsidRPr="00652938" w:rsidR="00821871">
        <w:rPr>
          <w:sz w:val="24"/>
          <w:szCs w:val="24"/>
        </w:rPr>
        <w:t>, processing and packing</w:t>
      </w:r>
      <w:r w:rsidRPr="00652938" w:rsidR="00A16A81">
        <w:rPr>
          <w:sz w:val="24"/>
          <w:szCs w:val="24"/>
        </w:rPr>
        <w:t xml:space="preserve"> facilities (21 CFR </w:t>
      </w:r>
      <w:r w:rsidRPr="00652938" w:rsidR="00817CAB">
        <w:rPr>
          <w:sz w:val="24"/>
          <w:szCs w:val="24"/>
        </w:rPr>
        <w:t>Part 210 and 211)</w:t>
      </w:r>
      <w:r w:rsidRPr="00652938">
        <w:rPr>
          <w:sz w:val="24"/>
          <w:szCs w:val="24"/>
        </w:rPr>
        <w:t>, the objectives of th</w:t>
      </w:r>
      <w:r w:rsidRPr="00652938" w:rsidR="00715B20">
        <w:rPr>
          <w:sz w:val="24"/>
          <w:szCs w:val="24"/>
        </w:rPr>
        <w:t>is</w:t>
      </w:r>
      <w:r w:rsidRPr="00652938" w:rsidR="00764A5A">
        <w:rPr>
          <w:sz w:val="24"/>
          <w:szCs w:val="24"/>
        </w:rPr>
        <w:t xml:space="preserve"> </w:t>
      </w:r>
      <w:r w:rsidRPr="00652938" w:rsidR="006232C6">
        <w:rPr>
          <w:sz w:val="24"/>
          <w:szCs w:val="24"/>
        </w:rPr>
        <w:t>survey</w:t>
      </w:r>
      <w:r w:rsidRPr="00652938">
        <w:rPr>
          <w:sz w:val="24"/>
          <w:szCs w:val="24"/>
        </w:rPr>
        <w:t xml:space="preserve">, and </w:t>
      </w:r>
      <w:r w:rsidRPr="00652938" w:rsidR="00555CAA">
        <w:rPr>
          <w:sz w:val="24"/>
          <w:szCs w:val="24"/>
        </w:rPr>
        <w:t xml:space="preserve">an overview of </w:t>
      </w:r>
      <w:r w:rsidRPr="00652938">
        <w:rPr>
          <w:sz w:val="24"/>
          <w:szCs w:val="24"/>
        </w:rPr>
        <w:t>data collection methods.</w:t>
      </w:r>
    </w:p>
    <w:p w:rsidRPr="00652938" w:rsidR="00C90CCB" w:rsidP="00652938" w:rsidRDefault="0045108E" w14:paraId="754096C1" w14:textId="35CA12A0">
      <w:pPr>
        <w:pStyle w:val="BodyTextFirstIndent"/>
        <w:spacing w:after="160"/>
        <w:ind w:firstLine="0"/>
        <w:rPr>
          <w:sz w:val="24"/>
          <w:szCs w:val="24"/>
        </w:rPr>
      </w:pPr>
      <w:r w:rsidRPr="00652938">
        <w:rPr>
          <w:sz w:val="24"/>
          <w:szCs w:val="24"/>
        </w:rPr>
        <w:t>This is a one-time information collection</w:t>
      </w:r>
      <w:r w:rsidRPr="00652938" w:rsidR="006737D6">
        <w:rPr>
          <w:sz w:val="24"/>
          <w:szCs w:val="24"/>
        </w:rPr>
        <w:t>,</w:t>
      </w:r>
      <w:r w:rsidRPr="00652938">
        <w:rPr>
          <w:sz w:val="24"/>
          <w:szCs w:val="24"/>
        </w:rPr>
        <w:t xml:space="preserve"> t</w:t>
      </w:r>
      <w:r w:rsidRPr="00652938" w:rsidR="00C90CCB">
        <w:rPr>
          <w:sz w:val="24"/>
          <w:szCs w:val="24"/>
        </w:rPr>
        <w:t xml:space="preserve">he primary purpose of </w:t>
      </w:r>
      <w:r w:rsidRPr="00652938">
        <w:rPr>
          <w:sz w:val="24"/>
          <w:szCs w:val="24"/>
        </w:rPr>
        <w:t>which</w:t>
      </w:r>
      <w:r w:rsidRPr="00652938" w:rsidR="00C90CCB">
        <w:rPr>
          <w:sz w:val="24"/>
          <w:szCs w:val="24"/>
        </w:rPr>
        <w:t xml:space="preserve"> is to collect </w:t>
      </w:r>
      <w:r w:rsidRPr="00652938" w:rsidR="006737D6">
        <w:rPr>
          <w:sz w:val="24"/>
          <w:szCs w:val="24"/>
        </w:rPr>
        <w:t xml:space="preserve">industry-wide data on how facilities that </w:t>
      </w:r>
      <w:r w:rsidRPr="00652938" w:rsidR="00535C5F">
        <w:rPr>
          <w:sz w:val="24"/>
          <w:szCs w:val="24"/>
        </w:rPr>
        <w:t>manufacture</w:t>
      </w:r>
      <w:r w:rsidRPr="00652938" w:rsidR="00ED4584">
        <w:rPr>
          <w:sz w:val="24"/>
          <w:szCs w:val="24"/>
        </w:rPr>
        <w:t>, process and pack</w:t>
      </w:r>
      <w:r w:rsidRPr="00652938" w:rsidR="00F26B04">
        <w:rPr>
          <w:sz w:val="24"/>
          <w:szCs w:val="24"/>
        </w:rPr>
        <w:t xml:space="preserve"> </w:t>
      </w:r>
      <w:r w:rsidRPr="00652938" w:rsidR="006737D6">
        <w:rPr>
          <w:sz w:val="24"/>
          <w:szCs w:val="24"/>
        </w:rPr>
        <w:t xml:space="preserve">drug products </w:t>
      </w:r>
      <w:r w:rsidRPr="00652938" w:rsidR="0058510E">
        <w:rPr>
          <w:sz w:val="24"/>
          <w:szCs w:val="24"/>
        </w:rPr>
        <w:t xml:space="preserve">for use </w:t>
      </w:r>
      <w:r w:rsidRPr="00652938" w:rsidR="00560099">
        <w:rPr>
          <w:sz w:val="24"/>
          <w:szCs w:val="24"/>
        </w:rPr>
        <w:t>in</w:t>
      </w:r>
      <w:r w:rsidRPr="00652938" w:rsidR="0058510E">
        <w:rPr>
          <w:sz w:val="24"/>
          <w:szCs w:val="24"/>
        </w:rPr>
        <w:t xml:space="preserve"> humans and</w:t>
      </w:r>
      <w:r w:rsidRPr="00652938" w:rsidR="00B942C5">
        <w:rPr>
          <w:sz w:val="24"/>
          <w:szCs w:val="24"/>
        </w:rPr>
        <w:t>/or</w:t>
      </w:r>
      <w:r w:rsidRPr="00652938" w:rsidR="0058510E">
        <w:rPr>
          <w:sz w:val="24"/>
          <w:szCs w:val="24"/>
        </w:rPr>
        <w:t xml:space="preserve"> animals </w:t>
      </w:r>
      <w:r w:rsidRPr="00652938" w:rsidR="006737D6">
        <w:rPr>
          <w:sz w:val="24"/>
          <w:szCs w:val="24"/>
        </w:rPr>
        <w:t xml:space="preserve">ensure the quality of their operations, including </w:t>
      </w:r>
      <w:r w:rsidRPr="00652938" w:rsidR="00A214C1">
        <w:rPr>
          <w:sz w:val="24"/>
          <w:szCs w:val="24"/>
        </w:rPr>
        <w:t xml:space="preserve">their </w:t>
      </w:r>
      <w:r w:rsidRPr="00652938" w:rsidR="006737D6">
        <w:rPr>
          <w:sz w:val="24"/>
          <w:szCs w:val="24"/>
        </w:rPr>
        <w:t xml:space="preserve">current risk management approaches and practices for ensuring the quality and suitability of </w:t>
      </w:r>
      <w:r w:rsidRPr="00652938" w:rsidR="008419FF">
        <w:rPr>
          <w:sz w:val="24"/>
          <w:szCs w:val="24"/>
        </w:rPr>
        <w:t xml:space="preserve">the </w:t>
      </w:r>
      <w:r w:rsidRPr="00652938" w:rsidR="006737D6">
        <w:rPr>
          <w:sz w:val="24"/>
          <w:szCs w:val="24"/>
        </w:rPr>
        <w:t xml:space="preserve">drug components, containers, and closures </w:t>
      </w:r>
      <w:r w:rsidRPr="00652938" w:rsidR="008419FF">
        <w:rPr>
          <w:sz w:val="24"/>
          <w:szCs w:val="24"/>
        </w:rPr>
        <w:t xml:space="preserve">that they </w:t>
      </w:r>
      <w:r w:rsidRPr="00652938" w:rsidR="006737D6">
        <w:rPr>
          <w:sz w:val="24"/>
          <w:szCs w:val="24"/>
        </w:rPr>
        <w:t xml:space="preserve">use. </w:t>
      </w:r>
      <w:r w:rsidRPr="00652938">
        <w:rPr>
          <w:sz w:val="24"/>
          <w:szCs w:val="24"/>
        </w:rPr>
        <w:t xml:space="preserve">The data collection </w:t>
      </w:r>
      <w:r w:rsidRPr="00652938" w:rsidR="006737D6">
        <w:rPr>
          <w:sz w:val="24"/>
          <w:szCs w:val="24"/>
        </w:rPr>
        <w:t xml:space="preserve">will involve administering </w:t>
      </w:r>
      <w:r w:rsidRPr="00652938">
        <w:rPr>
          <w:sz w:val="24"/>
          <w:szCs w:val="24"/>
        </w:rPr>
        <w:t xml:space="preserve">a </w:t>
      </w:r>
      <w:r w:rsidRPr="00652938" w:rsidR="006737D6">
        <w:rPr>
          <w:sz w:val="24"/>
          <w:szCs w:val="24"/>
        </w:rPr>
        <w:t xml:space="preserve">multi-mode </w:t>
      </w:r>
      <w:r w:rsidRPr="00652938">
        <w:rPr>
          <w:sz w:val="24"/>
          <w:szCs w:val="24"/>
        </w:rPr>
        <w:t xml:space="preserve">survey </w:t>
      </w:r>
      <w:r w:rsidRPr="00652938" w:rsidR="00A214C1">
        <w:rPr>
          <w:sz w:val="24"/>
          <w:szCs w:val="24"/>
        </w:rPr>
        <w:t>to</w:t>
      </w:r>
      <w:r w:rsidRPr="00652938">
        <w:rPr>
          <w:sz w:val="24"/>
          <w:szCs w:val="24"/>
        </w:rPr>
        <w:t xml:space="preserve"> a randomly selected, representative sample of facilities involved in the manufacture, packing</w:t>
      </w:r>
      <w:r w:rsidRPr="00652938" w:rsidR="006737D6">
        <w:rPr>
          <w:sz w:val="24"/>
          <w:szCs w:val="24"/>
        </w:rPr>
        <w:t>,</w:t>
      </w:r>
      <w:r w:rsidRPr="00652938">
        <w:rPr>
          <w:sz w:val="24"/>
          <w:szCs w:val="24"/>
        </w:rPr>
        <w:t xml:space="preserve"> repacking, labeling</w:t>
      </w:r>
      <w:r w:rsidRPr="00652938" w:rsidR="006737D6">
        <w:rPr>
          <w:sz w:val="24"/>
          <w:szCs w:val="24"/>
        </w:rPr>
        <w:t>,</w:t>
      </w:r>
      <w:r w:rsidRPr="00652938">
        <w:rPr>
          <w:sz w:val="24"/>
          <w:szCs w:val="24"/>
        </w:rPr>
        <w:t xml:space="preserve"> relabeling, sterilizing, or testing of prescription or over-the-counter </w:t>
      </w:r>
      <w:r w:rsidRPr="00652938" w:rsidR="00560099">
        <w:rPr>
          <w:sz w:val="24"/>
          <w:szCs w:val="24"/>
        </w:rPr>
        <w:t>domestically</w:t>
      </w:r>
      <w:r w:rsidRPr="00652938" w:rsidR="00715B20">
        <w:rPr>
          <w:sz w:val="24"/>
          <w:szCs w:val="24"/>
        </w:rPr>
        <w:t>-</w:t>
      </w:r>
      <w:r w:rsidRPr="00652938" w:rsidR="00560099">
        <w:rPr>
          <w:sz w:val="24"/>
          <w:szCs w:val="24"/>
        </w:rPr>
        <w:t xml:space="preserve"> or foreign</w:t>
      </w:r>
      <w:r w:rsidRPr="00652938" w:rsidR="00715B20">
        <w:rPr>
          <w:sz w:val="24"/>
          <w:szCs w:val="24"/>
        </w:rPr>
        <w:t>-</w:t>
      </w:r>
      <w:r w:rsidRPr="00652938" w:rsidR="00560099">
        <w:rPr>
          <w:sz w:val="24"/>
          <w:szCs w:val="24"/>
        </w:rPr>
        <w:t>produced drug products that are sold in the United States for use in humans or animals</w:t>
      </w:r>
      <w:r w:rsidRPr="00652938">
        <w:rPr>
          <w:sz w:val="24"/>
          <w:szCs w:val="24"/>
        </w:rPr>
        <w:t xml:space="preserve">. The survey will assess </w:t>
      </w:r>
      <w:r w:rsidRPr="00652938" w:rsidR="00C90CCB">
        <w:rPr>
          <w:sz w:val="24"/>
          <w:szCs w:val="24"/>
        </w:rPr>
        <w:t xml:space="preserve">current risk management approaches and practices </w:t>
      </w:r>
      <w:r w:rsidRPr="00652938" w:rsidR="006737D6">
        <w:rPr>
          <w:sz w:val="24"/>
          <w:szCs w:val="24"/>
        </w:rPr>
        <w:t xml:space="preserve">in use </w:t>
      </w:r>
      <w:r w:rsidRPr="00652938" w:rsidR="00C90CCB">
        <w:rPr>
          <w:sz w:val="24"/>
          <w:szCs w:val="24"/>
        </w:rPr>
        <w:t xml:space="preserve">for ensuring quality and suitability of </w:t>
      </w:r>
      <w:r w:rsidRPr="00652938">
        <w:rPr>
          <w:sz w:val="24"/>
          <w:szCs w:val="24"/>
        </w:rPr>
        <w:t xml:space="preserve">drug product </w:t>
      </w:r>
      <w:r w:rsidRPr="00652938" w:rsidR="00C90CCB">
        <w:rPr>
          <w:sz w:val="24"/>
          <w:szCs w:val="24"/>
        </w:rPr>
        <w:t>components</w:t>
      </w:r>
      <w:r w:rsidRPr="00652938">
        <w:rPr>
          <w:sz w:val="24"/>
          <w:szCs w:val="24"/>
        </w:rPr>
        <w:t xml:space="preserve"> and drug product </w:t>
      </w:r>
      <w:r w:rsidRPr="00652938" w:rsidR="00C90CCB">
        <w:rPr>
          <w:sz w:val="24"/>
          <w:szCs w:val="24"/>
        </w:rPr>
        <w:t>containers and closures</w:t>
      </w:r>
      <w:r w:rsidRPr="00652938">
        <w:rPr>
          <w:sz w:val="24"/>
          <w:szCs w:val="24"/>
        </w:rPr>
        <w:t>.</w:t>
      </w:r>
      <w:r w:rsidRPr="00652938" w:rsidR="00C90CCB">
        <w:rPr>
          <w:sz w:val="24"/>
          <w:szCs w:val="24"/>
        </w:rPr>
        <w:t xml:space="preserve"> </w:t>
      </w:r>
    </w:p>
    <w:p w:rsidRPr="00652938" w:rsidR="00C90CCB" w:rsidP="00652938" w:rsidRDefault="00C90CCB" w14:paraId="49E46525" w14:textId="60D7D646">
      <w:pPr>
        <w:pStyle w:val="BodyTextFirstIndent"/>
        <w:spacing w:before="0" w:after="160"/>
        <w:ind w:firstLine="0"/>
        <w:rPr>
          <w:sz w:val="24"/>
          <w:szCs w:val="24"/>
        </w:rPr>
      </w:pPr>
      <w:r w:rsidRPr="00652938">
        <w:rPr>
          <w:sz w:val="24"/>
          <w:szCs w:val="24"/>
        </w:rPr>
        <w:t xml:space="preserve">FDA intends to use this information to inform its economic analyses of </w:t>
      </w:r>
      <w:r w:rsidRPr="00652938" w:rsidR="00322C14">
        <w:rPr>
          <w:sz w:val="24"/>
          <w:szCs w:val="24"/>
        </w:rPr>
        <w:t xml:space="preserve">potential updates to CGMPs </w:t>
      </w:r>
      <w:r w:rsidRPr="00652938" w:rsidR="00552D18">
        <w:rPr>
          <w:sz w:val="24"/>
          <w:szCs w:val="24"/>
        </w:rPr>
        <w:t xml:space="preserve">for </w:t>
      </w:r>
      <w:r w:rsidRPr="00652938">
        <w:rPr>
          <w:sz w:val="24"/>
          <w:szCs w:val="24"/>
        </w:rPr>
        <w:t xml:space="preserve">human and animal drug </w:t>
      </w:r>
      <w:r w:rsidRPr="00652938" w:rsidR="00322C14">
        <w:rPr>
          <w:sz w:val="24"/>
          <w:szCs w:val="24"/>
        </w:rPr>
        <w:t xml:space="preserve">product </w:t>
      </w:r>
      <w:r w:rsidRPr="00652938" w:rsidR="00FE3621">
        <w:rPr>
          <w:sz w:val="24"/>
          <w:szCs w:val="24"/>
        </w:rPr>
        <w:t>manufacturin</w:t>
      </w:r>
      <w:r w:rsidRPr="00652938" w:rsidR="00ED4584">
        <w:rPr>
          <w:sz w:val="24"/>
          <w:szCs w:val="24"/>
        </w:rPr>
        <w:t>g, processing and packing facilities</w:t>
      </w:r>
      <w:r w:rsidRPr="00652938" w:rsidR="00182367">
        <w:rPr>
          <w:sz w:val="24"/>
          <w:szCs w:val="24"/>
        </w:rPr>
        <w:t xml:space="preserve"> under 21 CFR Parts 210 and 211</w:t>
      </w:r>
      <w:r w:rsidRPr="00652938">
        <w:rPr>
          <w:sz w:val="24"/>
          <w:szCs w:val="24"/>
        </w:rPr>
        <w:t>.</w:t>
      </w:r>
    </w:p>
    <w:p w:rsidRPr="00652938" w:rsidR="0064259F" w:rsidP="00652938" w:rsidRDefault="0064259F" w14:paraId="2B2408C2" w14:textId="77777777">
      <w:pPr>
        <w:pStyle w:val="Heading2"/>
        <w:spacing w:before="0"/>
        <w:ind w:left="0" w:firstLine="0"/>
        <w:rPr>
          <w:rFonts w:ascii="Times New Roman" w:hAnsi="Times New Roman"/>
          <w:b w:val="0"/>
          <w:szCs w:val="24"/>
        </w:rPr>
      </w:pPr>
      <w:bookmarkStart w:name="_Toc410331575" w:id="0"/>
      <w:bookmarkStart w:name="_Toc410331681" w:id="1"/>
      <w:bookmarkStart w:name="_Toc429570369" w:id="2"/>
      <w:bookmarkStart w:name="_Toc431546776" w:id="3"/>
      <w:bookmarkStart w:name="NeedsAndLegalBasis" w:id="4"/>
      <w:r w:rsidRPr="00652938">
        <w:rPr>
          <w:rFonts w:ascii="Times New Roman" w:hAnsi="Times New Roman"/>
          <w:b w:val="0"/>
          <w:szCs w:val="24"/>
        </w:rPr>
        <w:t>Need and Legal Basis</w:t>
      </w:r>
      <w:bookmarkEnd w:id="0"/>
      <w:bookmarkEnd w:id="1"/>
      <w:bookmarkEnd w:id="2"/>
      <w:bookmarkEnd w:id="3"/>
    </w:p>
    <w:bookmarkEnd w:id="4"/>
    <w:p w:rsidRPr="00652938" w:rsidR="00583044" w:rsidP="00652938" w:rsidRDefault="00583044" w14:paraId="1B038E8B" w14:textId="53564EEF">
      <w:pPr>
        <w:pStyle w:val="BodyTextFirstIndent"/>
        <w:ind w:firstLine="0"/>
        <w:rPr>
          <w:sz w:val="24"/>
          <w:szCs w:val="24"/>
        </w:rPr>
      </w:pPr>
      <w:r w:rsidRPr="00652938">
        <w:rPr>
          <w:sz w:val="24"/>
          <w:szCs w:val="24"/>
        </w:rPr>
        <w:t xml:space="preserve">The following regulations enable a common understanding of the regulatory process by describing the requirements to be followed by drug </w:t>
      </w:r>
      <w:r w:rsidRPr="00652938" w:rsidR="00F26B04">
        <w:rPr>
          <w:sz w:val="24"/>
          <w:szCs w:val="24"/>
        </w:rPr>
        <w:t xml:space="preserve">product </w:t>
      </w:r>
      <w:r w:rsidRPr="00652938" w:rsidR="00FE3621">
        <w:rPr>
          <w:sz w:val="24"/>
          <w:szCs w:val="24"/>
        </w:rPr>
        <w:t>manufacturing</w:t>
      </w:r>
      <w:r w:rsidRPr="00652938" w:rsidR="007C18D7">
        <w:rPr>
          <w:sz w:val="24"/>
          <w:szCs w:val="24"/>
        </w:rPr>
        <w:t xml:space="preserve">, processing and packing </w:t>
      </w:r>
      <w:r w:rsidRPr="00652938" w:rsidR="00FE3621">
        <w:rPr>
          <w:sz w:val="24"/>
          <w:szCs w:val="24"/>
        </w:rPr>
        <w:t xml:space="preserve"> </w:t>
      </w:r>
      <w:r w:rsidRPr="00652938" w:rsidR="00005D45">
        <w:rPr>
          <w:sz w:val="24"/>
          <w:szCs w:val="24"/>
        </w:rPr>
        <w:t xml:space="preserve">facilities </w:t>
      </w:r>
      <w:r w:rsidRPr="00652938">
        <w:rPr>
          <w:sz w:val="24"/>
          <w:szCs w:val="24"/>
        </w:rPr>
        <w:t>and FDA:</w:t>
      </w:r>
    </w:p>
    <w:p w:rsidRPr="003736E6" w:rsidR="00583044" w:rsidP="003736E6" w:rsidRDefault="00583044" w14:paraId="72801F8B" w14:textId="39879577">
      <w:pPr>
        <w:pStyle w:val="ListBullet"/>
      </w:pPr>
      <w:r w:rsidRPr="00652938">
        <w:rPr>
          <w:b/>
        </w:rPr>
        <w:lastRenderedPageBreak/>
        <w:t>21 CFR Part 210</w:t>
      </w:r>
      <w:r w:rsidR="00817829">
        <w:t xml:space="preserve"> -</w:t>
      </w:r>
      <w:r w:rsidRPr="003736E6">
        <w:t xml:space="preserve"> Current Good Manufacturing Practice in Manufacturing</w:t>
      </w:r>
      <w:r w:rsidRPr="003736E6" w:rsidR="00F26B04">
        <w:t>,</w:t>
      </w:r>
      <w:r w:rsidRPr="003736E6">
        <w:t xml:space="preserve"> Processing, </w:t>
      </w:r>
      <w:r w:rsidRPr="003736E6" w:rsidR="00A214C1">
        <w:t>P</w:t>
      </w:r>
      <w:r w:rsidRPr="003736E6">
        <w:t>acking, or Holding of Drugs</w:t>
      </w:r>
      <w:r w:rsidRPr="003736E6" w:rsidR="00A214C1">
        <w:t>, General.</w:t>
      </w:r>
      <w:r w:rsidRPr="003736E6">
        <w:t xml:space="preserve"> </w:t>
      </w:r>
    </w:p>
    <w:p w:rsidRPr="003736E6" w:rsidR="00583044" w:rsidP="003736E6" w:rsidRDefault="00583044" w14:paraId="3847086A" w14:textId="217DCFB2">
      <w:pPr>
        <w:pStyle w:val="ListBullet"/>
      </w:pPr>
      <w:r w:rsidRPr="00652938">
        <w:rPr>
          <w:b/>
        </w:rPr>
        <w:t>21 CFR Part 211</w:t>
      </w:r>
      <w:r w:rsidR="00817829">
        <w:t xml:space="preserve"> -</w:t>
      </w:r>
      <w:r w:rsidRPr="003736E6">
        <w:t xml:space="preserve"> Current Good Manufacturing Practice for Finished Pharmaceuticals.</w:t>
      </w:r>
    </w:p>
    <w:p w:rsidRPr="00652938" w:rsidR="00AE7FE5" w:rsidP="00652938" w:rsidRDefault="00AE7FE5" w14:paraId="2070CCFA" w14:textId="480623B3">
      <w:pPr>
        <w:pStyle w:val="BodyTextFirstIndent"/>
        <w:spacing w:after="160"/>
        <w:ind w:firstLine="0"/>
        <w:rPr>
          <w:sz w:val="24"/>
          <w:szCs w:val="24"/>
        </w:rPr>
      </w:pPr>
      <w:r w:rsidRPr="00652938">
        <w:rPr>
          <w:sz w:val="24"/>
          <w:szCs w:val="24"/>
        </w:rPr>
        <w:t xml:space="preserve">FDA has </w:t>
      </w:r>
      <w:r w:rsidRPr="00652938" w:rsidR="00560099">
        <w:rPr>
          <w:sz w:val="24"/>
          <w:szCs w:val="24"/>
        </w:rPr>
        <w:t xml:space="preserve">the </w:t>
      </w:r>
      <w:r w:rsidRPr="00652938">
        <w:rPr>
          <w:sz w:val="24"/>
          <w:szCs w:val="24"/>
        </w:rPr>
        <w:t>responsibility to regulate the safety, as well as the efficacy and quality, of drugs in the United States. Under the FDA Safety and Innovation Act of 2012 (FDASIA), the term CGMP includes the implementation of oversight and controls over the</w:t>
      </w:r>
      <w:r w:rsidRPr="00652938" w:rsidR="00E4078F">
        <w:rPr>
          <w:sz w:val="24"/>
          <w:szCs w:val="24"/>
        </w:rPr>
        <w:t xml:space="preserve"> </w:t>
      </w:r>
      <w:r w:rsidRPr="00652938" w:rsidR="007C18D7">
        <w:rPr>
          <w:sz w:val="24"/>
          <w:szCs w:val="24"/>
        </w:rPr>
        <w:t xml:space="preserve">manufacturing, processing and packing </w:t>
      </w:r>
      <w:r w:rsidRPr="00652938">
        <w:rPr>
          <w:sz w:val="24"/>
          <w:szCs w:val="24"/>
        </w:rPr>
        <w:t>of drugs to ensure quality, including managing the risk of</w:t>
      </w:r>
      <w:r w:rsidRPr="00652938" w:rsidR="00E4078F">
        <w:rPr>
          <w:sz w:val="24"/>
          <w:szCs w:val="24"/>
        </w:rPr>
        <w:t>,</w:t>
      </w:r>
      <w:r w:rsidRPr="00652938">
        <w:rPr>
          <w:sz w:val="24"/>
          <w:szCs w:val="24"/>
        </w:rPr>
        <w:t xml:space="preserve"> and establishing the safety of</w:t>
      </w:r>
      <w:r w:rsidRPr="00652938" w:rsidR="002A0A4D">
        <w:rPr>
          <w:sz w:val="24"/>
          <w:szCs w:val="24"/>
        </w:rPr>
        <w:t>,</w:t>
      </w:r>
      <w:r w:rsidRPr="00652938">
        <w:rPr>
          <w:sz w:val="24"/>
          <w:szCs w:val="24"/>
        </w:rPr>
        <w:t xml:space="preserve"> raw materials</w:t>
      </w:r>
      <w:r w:rsidRPr="00652938" w:rsidR="00E4078F">
        <w:rPr>
          <w:sz w:val="24"/>
          <w:szCs w:val="24"/>
        </w:rPr>
        <w:t xml:space="preserve"> </w:t>
      </w:r>
      <w:r w:rsidRPr="00652938">
        <w:rPr>
          <w:sz w:val="24"/>
          <w:szCs w:val="24"/>
        </w:rPr>
        <w:t xml:space="preserve">used in the </w:t>
      </w:r>
      <w:r w:rsidRPr="00652938" w:rsidR="00FE3621">
        <w:rPr>
          <w:sz w:val="24"/>
          <w:szCs w:val="24"/>
        </w:rPr>
        <w:t xml:space="preserve">manufacture </w:t>
      </w:r>
      <w:r w:rsidRPr="00652938">
        <w:rPr>
          <w:sz w:val="24"/>
          <w:szCs w:val="24"/>
        </w:rPr>
        <w:t>of drugs.</w:t>
      </w:r>
      <w:r w:rsidRPr="00652938" w:rsidR="00535C5F">
        <w:rPr>
          <w:rStyle w:val="FootnoteReference"/>
          <w:sz w:val="24"/>
          <w:szCs w:val="24"/>
        </w:rPr>
        <w:t xml:space="preserve"> </w:t>
      </w:r>
      <w:r w:rsidRPr="00652938">
        <w:rPr>
          <w:sz w:val="24"/>
          <w:szCs w:val="24"/>
        </w:rPr>
        <w:t xml:space="preserve">The safety and availability of </w:t>
      </w:r>
      <w:r w:rsidRPr="00652938" w:rsidR="00E13E6B">
        <w:rPr>
          <w:sz w:val="24"/>
          <w:szCs w:val="24"/>
        </w:rPr>
        <w:t>drug</w:t>
      </w:r>
      <w:r w:rsidRPr="00652938">
        <w:rPr>
          <w:sz w:val="24"/>
          <w:szCs w:val="24"/>
        </w:rPr>
        <w:t xml:space="preserve">s can be affected by raw material suppliers, the material supply chain, and the </w:t>
      </w:r>
      <w:r w:rsidRPr="00652938" w:rsidR="00C6640A">
        <w:rPr>
          <w:sz w:val="24"/>
          <w:szCs w:val="24"/>
        </w:rPr>
        <w:t>facility’s</w:t>
      </w:r>
      <w:r w:rsidRPr="00652938">
        <w:rPr>
          <w:sz w:val="24"/>
          <w:szCs w:val="24"/>
        </w:rPr>
        <w:t xml:space="preserve"> controls over raw material quality</w:t>
      </w:r>
      <w:r w:rsidRPr="00652938" w:rsidR="008C0EC1">
        <w:rPr>
          <w:sz w:val="24"/>
          <w:szCs w:val="24"/>
        </w:rPr>
        <w:t xml:space="preserve">. </w:t>
      </w:r>
      <w:r w:rsidRPr="00652938">
        <w:rPr>
          <w:sz w:val="24"/>
          <w:szCs w:val="24"/>
        </w:rPr>
        <w:t>Risk management enables manufacturers to make proper choices and ensure the continued suitability of these materials and supply chain</w:t>
      </w:r>
      <w:r w:rsidRPr="00652938" w:rsidR="00A214C1">
        <w:rPr>
          <w:sz w:val="24"/>
          <w:szCs w:val="24"/>
        </w:rPr>
        <w:t>s</w:t>
      </w:r>
      <w:r w:rsidRPr="00652938" w:rsidR="008C0EC1">
        <w:rPr>
          <w:sz w:val="24"/>
          <w:szCs w:val="24"/>
        </w:rPr>
        <w:t xml:space="preserve">. </w:t>
      </w:r>
      <w:r w:rsidRPr="00652938">
        <w:rPr>
          <w:sz w:val="24"/>
          <w:szCs w:val="24"/>
        </w:rPr>
        <w:t xml:space="preserve">Thus, the Agency would like to better understand how </w:t>
      </w:r>
      <w:r w:rsidRPr="00652938" w:rsidR="007C18D7">
        <w:rPr>
          <w:sz w:val="24"/>
          <w:szCs w:val="24"/>
        </w:rPr>
        <w:t>manufacturers, processors</w:t>
      </w:r>
      <w:r w:rsidRPr="00652938" w:rsidR="00A455AB">
        <w:rPr>
          <w:sz w:val="24"/>
          <w:szCs w:val="24"/>
        </w:rPr>
        <w:t>,</w:t>
      </w:r>
      <w:r w:rsidRPr="00652938" w:rsidR="007C18D7">
        <w:rPr>
          <w:sz w:val="24"/>
          <w:szCs w:val="24"/>
        </w:rPr>
        <w:t xml:space="preserve"> and packers</w:t>
      </w:r>
      <w:r w:rsidRPr="00652938">
        <w:rPr>
          <w:sz w:val="24"/>
          <w:szCs w:val="24"/>
        </w:rPr>
        <w:t xml:space="preserve"> of drug</w:t>
      </w:r>
      <w:r w:rsidRPr="00652938" w:rsidR="00CC3A58">
        <w:rPr>
          <w:sz w:val="24"/>
          <w:szCs w:val="24"/>
        </w:rPr>
        <w:t xml:space="preserve"> products</w:t>
      </w:r>
      <w:r w:rsidRPr="00652938">
        <w:rPr>
          <w:sz w:val="24"/>
          <w:szCs w:val="24"/>
        </w:rPr>
        <w:t xml:space="preserve"> approach managing risks related to components, containers</w:t>
      </w:r>
      <w:r w:rsidRPr="00652938" w:rsidR="00715B20">
        <w:rPr>
          <w:sz w:val="24"/>
          <w:szCs w:val="24"/>
        </w:rPr>
        <w:t>,</w:t>
      </w:r>
      <w:r w:rsidRPr="00652938">
        <w:rPr>
          <w:sz w:val="24"/>
          <w:szCs w:val="24"/>
        </w:rPr>
        <w:t xml:space="preserve"> and closures</w:t>
      </w:r>
      <w:r w:rsidRPr="00652938" w:rsidR="00A455AB">
        <w:rPr>
          <w:sz w:val="24"/>
          <w:szCs w:val="24"/>
        </w:rPr>
        <w:t xml:space="preserve"> as well as </w:t>
      </w:r>
      <w:r w:rsidRPr="00652938">
        <w:rPr>
          <w:sz w:val="24"/>
          <w:szCs w:val="24"/>
        </w:rPr>
        <w:t xml:space="preserve">the supply and distribution chains between the producers of raw materials and </w:t>
      </w:r>
      <w:r w:rsidRPr="00652938" w:rsidR="00E13E6B">
        <w:rPr>
          <w:sz w:val="24"/>
          <w:szCs w:val="24"/>
        </w:rPr>
        <w:t xml:space="preserve">drug </w:t>
      </w:r>
      <w:r w:rsidRPr="00652938" w:rsidR="00CC3A58">
        <w:rPr>
          <w:sz w:val="24"/>
          <w:szCs w:val="24"/>
        </w:rPr>
        <w:t xml:space="preserve">product </w:t>
      </w:r>
      <w:r w:rsidRPr="00652938">
        <w:rPr>
          <w:sz w:val="24"/>
          <w:szCs w:val="24"/>
        </w:rPr>
        <w:t>manufacturers</w:t>
      </w:r>
      <w:r w:rsidRPr="00652938" w:rsidR="0021355D">
        <w:rPr>
          <w:sz w:val="24"/>
          <w:szCs w:val="24"/>
        </w:rPr>
        <w:t>, processors, and packers</w:t>
      </w:r>
      <w:r w:rsidRPr="00652938" w:rsidR="008C0EC1">
        <w:rPr>
          <w:sz w:val="24"/>
          <w:szCs w:val="24"/>
        </w:rPr>
        <w:t xml:space="preserve">. </w:t>
      </w:r>
      <w:r w:rsidRPr="00652938" w:rsidR="00E13E6B">
        <w:rPr>
          <w:sz w:val="24"/>
          <w:szCs w:val="24"/>
        </w:rPr>
        <w:t xml:space="preserve">Such information will allow </w:t>
      </w:r>
      <w:r w:rsidRPr="00652938" w:rsidR="00552D18">
        <w:rPr>
          <w:sz w:val="24"/>
          <w:szCs w:val="24"/>
        </w:rPr>
        <w:t>FDA</w:t>
      </w:r>
      <w:r w:rsidRPr="00652938">
        <w:rPr>
          <w:sz w:val="24"/>
          <w:szCs w:val="24"/>
        </w:rPr>
        <w:t xml:space="preserve"> </w:t>
      </w:r>
      <w:r w:rsidRPr="00652938" w:rsidR="00E13E6B">
        <w:rPr>
          <w:sz w:val="24"/>
          <w:szCs w:val="24"/>
        </w:rPr>
        <w:t xml:space="preserve">to examine the potential economic impact of changes to </w:t>
      </w:r>
      <w:r w:rsidRPr="00652938">
        <w:rPr>
          <w:sz w:val="24"/>
          <w:szCs w:val="24"/>
        </w:rPr>
        <w:t xml:space="preserve">regulations </w:t>
      </w:r>
      <w:r w:rsidRPr="00652938" w:rsidR="00E13E6B">
        <w:rPr>
          <w:sz w:val="24"/>
          <w:szCs w:val="24"/>
        </w:rPr>
        <w:t xml:space="preserve">that govern </w:t>
      </w:r>
      <w:r w:rsidRPr="00652938">
        <w:rPr>
          <w:sz w:val="24"/>
          <w:szCs w:val="24"/>
        </w:rPr>
        <w:t>the manufacturing, processing</w:t>
      </w:r>
      <w:r w:rsidRPr="00652938" w:rsidR="00A455AB">
        <w:rPr>
          <w:sz w:val="24"/>
          <w:szCs w:val="24"/>
        </w:rPr>
        <w:t>,</w:t>
      </w:r>
      <w:r w:rsidRPr="00652938" w:rsidR="007C18D7">
        <w:rPr>
          <w:sz w:val="24"/>
          <w:szCs w:val="24"/>
        </w:rPr>
        <w:t xml:space="preserve"> and </w:t>
      </w:r>
      <w:r w:rsidRPr="00652938">
        <w:rPr>
          <w:sz w:val="24"/>
          <w:szCs w:val="24"/>
        </w:rPr>
        <w:t>packing of drugs</w:t>
      </w:r>
      <w:r w:rsidRPr="00652938" w:rsidR="008C0EC1">
        <w:rPr>
          <w:sz w:val="24"/>
          <w:szCs w:val="24"/>
        </w:rPr>
        <w:t xml:space="preserve">. </w:t>
      </w:r>
    </w:p>
    <w:p w:rsidRPr="00652938" w:rsidR="001D1D07" w:rsidP="00652938" w:rsidRDefault="00817829" w14:paraId="42EBC9AA" w14:textId="623DC1C0">
      <w:pPr>
        <w:pStyle w:val="Heading2"/>
        <w:ind w:left="0" w:firstLine="0"/>
        <w:rPr>
          <w:rFonts w:ascii="Times New Roman" w:hAnsi="Times New Roman"/>
          <w:b w:val="0"/>
          <w:szCs w:val="24"/>
        </w:rPr>
      </w:pPr>
      <w:bookmarkStart w:name="_Toc410331576" w:id="5"/>
      <w:bookmarkStart w:name="_Toc410331682" w:id="6"/>
      <w:bookmarkStart w:name="_Toc429570370" w:id="7"/>
      <w:bookmarkStart w:name="_Toc431546777" w:id="8"/>
      <w:bookmarkStart w:name="PurposeandUseofInformationCollection" w:id="9"/>
      <w:r>
        <w:rPr>
          <w:rFonts w:ascii="Times New Roman" w:hAnsi="Times New Roman"/>
          <w:b w:val="0"/>
          <w:szCs w:val="24"/>
        </w:rPr>
        <w:t>2.</w:t>
      </w:r>
      <w:r>
        <w:rPr>
          <w:rFonts w:ascii="Times New Roman" w:hAnsi="Times New Roman"/>
          <w:b w:val="0"/>
          <w:szCs w:val="24"/>
        </w:rPr>
        <w:tab/>
      </w:r>
      <w:r w:rsidRPr="00652938" w:rsidR="00E07F82">
        <w:rPr>
          <w:rFonts w:ascii="Times New Roman" w:hAnsi="Times New Roman"/>
          <w:b w:val="0"/>
          <w:szCs w:val="24"/>
          <w:u w:val="single"/>
        </w:rPr>
        <w:t>Purpose and Use of the Information Collection</w:t>
      </w:r>
      <w:r w:rsidRPr="00652938" w:rsidR="00E07F82">
        <w:rPr>
          <w:rFonts w:ascii="Times New Roman" w:hAnsi="Times New Roman"/>
          <w:b w:val="0"/>
          <w:szCs w:val="24"/>
        </w:rPr>
        <w:t xml:space="preserve"> </w:t>
      </w:r>
    </w:p>
    <w:bookmarkEnd w:id="5"/>
    <w:bookmarkEnd w:id="6"/>
    <w:bookmarkEnd w:id="7"/>
    <w:bookmarkEnd w:id="8"/>
    <w:bookmarkEnd w:id="9"/>
    <w:p w:rsidRPr="00652938" w:rsidR="00C133C4" w:rsidP="00652938" w:rsidRDefault="008C0EC1" w14:paraId="6AA46329" w14:textId="02B04AF1">
      <w:pPr>
        <w:pStyle w:val="BodyTextFirstIndent"/>
        <w:ind w:firstLine="0"/>
        <w:rPr>
          <w:sz w:val="24"/>
          <w:szCs w:val="24"/>
        </w:rPr>
      </w:pPr>
      <w:r w:rsidRPr="00652938">
        <w:rPr>
          <w:sz w:val="24"/>
          <w:szCs w:val="24"/>
        </w:rPr>
        <w:t>The objectives of this information collection are to</w:t>
      </w:r>
      <w:r w:rsidR="00817829">
        <w:rPr>
          <w:sz w:val="24"/>
          <w:szCs w:val="24"/>
        </w:rPr>
        <w:t>:</w:t>
      </w:r>
      <w:r w:rsidRPr="00652938">
        <w:rPr>
          <w:sz w:val="24"/>
          <w:szCs w:val="24"/>
        </w:rPr>
        <w:t xml:space="preserve"> (1) collect data establishing the </w:t>
      </w:r>
      <w:r w:rsidRPr="00652938" w:rsidR="00707457">
        <w:rPr>
          <w:sz w:val="24"/>
          <w:szCs w:val="24"/>
        </w:rPr>
        <w:t xml:space="preserve">current </w:t>
      </w:r>
      <w:r w:rsidRPr="00652938">
        <w:rPr>
          <w:sz w:val="24"/>
          <w:szCs w:val="24"/>
        </w:rPr>
        <w:t>baseline</w:t>
      </w:r>
      <w:r w:rsidRPr="00652938" w:rsidR="00707457">
        <w:rPr>
          <w:sz w:val="24"/>
          <w:szCs w:val="24"/>
        </w:rPr>
        <w:t xml:space="preserve"> </w:t>
      </w:r>
      <w:r w:rsidRPr="00652938">
        <w:rPr>
          <w:sz w:val="24"/>
          <w:szCs w:val="24"/>
        </w:rPr>
        <w:t xml:space="preserve">risk management approaches and practices for qualification and oversight of suppliers of </w:t>
      </w:r>
      <w:r w:rsidRPr="00652938" w:rsidR="00D83714">
        <w:rPr>
          <w:sz w:val="24"/>
          <w:szCs w:val="24"/>
        </w:rPr>
        <w:t xml:space="preserve">drug product </w:t>
      </w:r>
      <w:r w:rsidRPr="00652938">
        <w:rPr>
          <w:sz w:val="24"/>
          <w:szCs w:val="24"/>
        </w:rPr>
        <w:t>components, containers, and closures used in the manufacturing</w:t>
      </w:r>
      <w:r w:rsidRPr="00652938" w:rsidR="00A455AB">
        <w:rPr>
          <w:sz w:val="24"/>
          <w:szCs w:val="24"/>
        </w:rPr>
        <w:t xml:space="preserve">, </w:t>
      </w:r>
      <w:r w:rsidRPr="00652938" w:rsidR="00305F47">
        <w:rPr>
          <w:sz w:val="24"/>
          <w:szCs w:val="24"/>
        </w:rPr>
        <w:t>processing</w:t>
      </w:r>
      <w:r w:rsidRPr="00652938" w:rsidR="00A455AB">
        <w:rPr>
          <w:sz w:val="24"/>
          <w:szCs w:val="24"/>
        </w:rPr>
        <w:t>, and packing</w:t>
      </w:r>
      <w:r w:rsidRPr="00652938" w:rsidR="00305F47">
        <w:rPr>
          <w:sz w:val="24"/>
          <w:szCs w:val="24"/>
        </w:rPr>
        <w:t xml:space="preserve"> </w:t>
      </w:r>
      <w:r w:rsidRPr="00652938">
        <w:rPr>
          <w:sz w:val="24"/>
          <w:szCs w:val="24"/>
        </w:rPr>
        <w:t xml:space="preserve">of </w:t>
      </w:r>
      <w:r w:rsidRPr="00652938" w:rsidR="0021355D">
        <w:rPr>
          <w:sz w:val="24"/>
          <w:szCs w:val="24"/>
        </w:rPr>
        <w:t>drug</w:t>
      </w:r>
      <w:r w:rsidRPr="00652938">
        <w:rPr>
          <w:sz w:val="24"/>
          <w:szCs w:val="24"/>
        </w:rPr>
        <w:t xml:space="preserve"> products for the </w:t>
      </w:r>
      <w:r w:rsidRPr="00652938" w:rsidR="00055373">
        <w:rPr>
          <w:sz w:val="24"/>
          <w:szCs w:val="24"/>
        </w:rPr>
        <w:t>United States</w:t>
      </w:r>
      <w:r w:rsidRPr="00652938">
        <w:rPr>
          <w:sz w:val="24"/>
          <w:szCs w:val="24"/>
        </w:rPr>
        <w:t xml:space="preserve"> </w:t>
      </w:r>
      <w:r w:rsidRPr="00652938" w:rsidR="00560099">
        <w:rPr>
          <w:sz w:val="24"/>
          <w:szCs w:val="24"/>
        </w:rPr>
        <w:t>market (including those that produce and ship into the U</w:t>
      </w:r>
      <w:r w:rsidRPr="00652938" w:rsidR="00715B20">
        <w:rPr>
          <w:sz w:val="24"/>
          <w:szCs w:val="24"/>
        </w:rPr>
        <w:t>.</w:t>
      </w:r>
      <w:r w:rsidRPr="00652938" w:rsidR="00560099">
        <w:rPr>
          <w:sz w:val="24"/>
          <w:szCs w:val="24"/>
        </w:rPr>
        <w:t>S</w:t>
      </w:r>
      <w:r w:rsidRPr="00652938" w:rsidR="00715B20">
        <w:rPr>
          <w:sz w:val="24"/>
          <w:szCs w:val="24"/>
        </w:rPr>
        <w:t>.</w:t>
      </w:r>
      <w:r w:rsidRPr="00652938" w:rsidR="00560099">
        <w:rPr>
          <w:sz w:val="24"/>
          <w:szCs w:val="24"/>
        </w:rPr>
        <w:t xml:space="preserve"> market from foreign countries)</w:t>
      </w:r>
      <w:r w:rsidRPr="00652938" w:rsidR="00707457">
        <w:rPr>
          <w:sz w:val="24"/>
          <w:szCs w:val="24"/>
        </w:rPr>
        <w:t>; (</w:t>
      </w:r>
      <w:r w:rsidRPr="00652938">
        <w:rPr>
          <w:sz w:val="24"/>
          <w:szCs w:val="24"/>
        </w:rPr>
        <w:t xml:space="preserve">2) </w:t>
      </w:r>
      <w:r w:rsidRPr="00652938" w:rsidR="00322C14">
        <w:rPr>
          <w:sz w:val="24"/>
          <w:szCs w:val="24"/>
        </w:rPr>
        <w:t xml:space="preserve">acquire baseline data </w:t>
      </w:r>
      <w:r w:rsidRPr="00652938" w:rsidR="00A455AB">
        <w:rPr>
          <w:sz w:val="24"/>
          <w:szCs w:val="24"/>
        </w:rPr>
        <w:t xml:space="preserve">on </w:t>
      </w:r>
      <w:r w:rsidRPr="00652938" w:rsidR="00322C14">
        <w:rPr>
          <w:sz w:val="24"/>
          <w:szCs w:val="24"/>
        </w:rPr>
        <w:t xml:space="preserve">current practices to facilitate </w:t>
      </w:r>
      <w:r w:rsidRPr="00652938" w:rsidR="00C65480">
        <w:rPr>
          <w:sz w:val="24"/>
          <w:szCs w:val="24"/>
        </w:rPr>
        <w:t xml:space="preserve">comparisons with updated </w:t>
      </w:r>
      <w:r w:rsidRPr="00652938">
        <w:rPr>
          <w:sz w:val="24"/>
          <w:szCs w:val="24"/>
        </w:rPr>
        <w:t>current good manufacturing practice</w:t>
      </w:r>
      <w:r w:rsidRPr="00652938" w:rsidR="00707457">
        <w:rPr>
          <w:sz w:val="24"/>
          <w:szCs w:val="24"/>
        </w:rPr>
        <w:t>s</w:t>
      </w:r>
      <w:r w:rsidRPr="00652938">
        <w:rPr>
          <w:sz w:val="24"/>
          <w:szCs w:val="24"/>
        </w:rPr>
        <w:t xml:space="preserve"> concerning supply chain risk management procedures</w:t>
      </w:r>
      <w:r w:rsidRPr="00652938" w:rsidR="00707457">
        <w:rPr>
          <w:sz w:val="24"/>
          <w:szCs w:val="24"/>
        </w:rPr>
        <w:t>,</w:t>
      </w:r>
      <w:r w:rsidRPr="00652938">
        <w:rPr>
          <w:sz w:val="24"/>
          <w:szCs w:val="24"/>
        </w:rPr>
        <w:t xml:space="preserve"> including component risk evaluations, the number and frequency of supplier audits, and sampling and testing of </w:t>
      </w:r>
      <w:r w:rsidRPr="00652938" w:rsidR="00B77A16">
        <w:rPr>
          <w:sz w:val="24"/>
          <w:szCs w:val="24"/>
        </w:rPr>
        <w:t>components, containers, and closures</w:t>
      </w:r>
      <w:r w:rsidRPr="00652938" w:rsidR="00707457">
        <w:rPr>
          <w:sz w:val="24"/>
          <w:szCs w:val="24"/>
        </w:rPr>
        <w:t>;</w:t>
      </w:r>
      <w:r w:rsidRPr="00652938">
        <w:rPr>
          <w:sz w:val="24"/>
          <w:szCs w:val="24"/>
        </w:rPr>
        <w:t xml:space="preserve"> </w:t>
      </w:r>
      <w:r w:rsidRPr="00652938" w:rsidR="00707457">
        <w:rPr>
          <w:sz w:val="24"/>
          <w:szCs w:val="24"/>
        </w:rPr>
        <w:t>(</w:t>
      </w:r>
      <w:r w:rsidRPr="00652938">
        <w:rPr>
          <w:sz w:val="24"/>
          <w:szCs w:val="24"/>
        </w:rPr>
        <w:t>3) collect</w:t>
      </w:r>
      <w:r w:rsidRPr="00652938" w:rsidR="00707457">
        <w:rPr>
          <w:sz w:val="24"/>
          <w:szCs w:val="24"/>
        </w:rPr>
        <w:t xml:space="preserve"> baseline data </w:t>
      </w:r>
      <w:r w:rsidRPr="00652938">
        <w:rPr>
          <w:sz w:val="24"/>
          <w:szCs w:val="24"/>
        </w:rPr>
        <w:t>on quality management practices</w:t>
      </w:r>
      <w:r w:rsidRPr="00652938" w:rsidR="00715B20">
        <w:rPr>
          <w:sz w:val="24"/>
          <w:szCs w:val="24"/>
        </w:rPr>
        <w:t>,</w:t>
      </w:r>
      <w:r w:rsidRPr="00652938">
        <w:rPr>
          <w:sz w:val="24"/>
          <w:szCs w:val="24"/>
        </w:rPr>
        <w:t xml:space="preserve"> </w:t>
      </w:r>
      <w:r w:rsidRPr="00652938" w:rsidR="00707457">
        <w:rPr>
          <w:sz w:val="24"/>
          <w:szCs w:val="24"/>
        </w:rPr>
        <w:t xml:space="preserve">such as </w:t>
      </w:r>
      <w:r w:rsidRPr="00652938">
        <w:rPr>
          <w:sz w:val="24"/>
          <w:szCs w:val="24"/>
        </w:rPr>
        <w:t xml:space="preserve">stability testing and expiration dating; and, </w:t>
      </w:r>
      <w:r w:rsidRPr="00652938" w:rsidR="00C133C4">
        <w:rPr>
          <w:sz w:val="24"/>
          <w:szCs w:val="24"/>
        </w:rPr>
        <w:t>(</w:t>
      </w:r>
      <w:r w:rsidRPr="00652938">
        <w:rPr>
          <w:sz w:val="24"/>
          <w:szCs w:val="24"/>
        </w:rPr>
        <w:t>4) collect information on the type</w:t>
      </w:r>
      <w:r w:rsidRPr="00652938" w:rsidR="00707457">
        <w:rPr>
          <w:sz w:val="24"/>
          <w:szCs w:val="24"/>
        </w:rPr>
        <w:t>s</w:t>
      </w:r>
      <w:r w:rsidRPr="00652938">
        <w:rPr>
          <w:sz w:val="24"/>
          <w:szCs w:val="24"/>
        </w:rPr>
        <w:t xml:space="preserve"> of water used by drug </w:t>
      </w:r>
      <w:r w:rsidRPr="00652938" w:rsidR="0055463B">
        <w:rPr>
          <w:sz w:val="24"/>
          <w:szCs w:val="24"/>
        </w:rPr>
        <w:t xml:space="preserve">product </w:t>
      </w:r>
      <w:r w:rsidRPr="00652938">
        <w:rPr>
          <w:sz w:val="24"/>
          <w:szCs w:val="24"/>
        </w:rPr>
        <w:t>manufacturers</w:t>
      </w:r>
      <w:r w:rsidRPr="00652938" w:rsidR="0021355D">
        <w:rPr>
          <w:sz w:val="24"/>
          <w:szCs w:val="24"/>
        </w:rPr>
        <w:t>, processors, and packers</w:t>
      </w:r>
      <w:r w:rsidRPr="00652938">
        <w:rPr>
          <w:sz w:val="24"/>
          <w:szCs w:val="24"/>
        </w:rPr>
        <w:t xml:space="preserve"> </w:t>
      </w:r>
      <w:r w:rsidRPr="00652938" w:rsidR="00707457">
        <w:rPr>
          <w:sz w:val="24"/>
          <w:szCs w:val="24"/>
        </w:rPr>
        <w:t xml:space="preserve">during their processes. </w:t>
      </w:r>
    </w:p>
    <w:p w:rsidRPr="00652938" w:rsidR="00560099" w:rsidP="00652938" w:rsidRDefault="00560099" w14:paraId="53C7B4E8" w14:textId="281A9DE4">
      <w:pPr>
        <w:pStyle w:val="BodyTextFirstIndent"/>
        <w:ind w:firstLine="0"/>
        <w:rPr>
          <w:sz w:val="24"/>
          <w:szCs w:val="24"/>
        </w:rPr>
      </w:pPr>
      <w:r w:rsidRPr="00652938">
        <w:rPr>
          <w:sz w:val="24"/>
          <w:szCs w:val="24"/>
        </w:rPr>
        <w:t xml:space="preserve">The results of this information collection will (1) enhance FDA’s CGMP compliance </w:t>
      </w:r>
      <w:r w:rsidRPr="00652938" w:rsidR="00764A5A">
        <w:rPr>
          <w:sz w:val="24"/>
          <w:szCs w:val="24"/>
        </w:rPr>
        <w:t>assistance to</w:t>
      </w:r>
      <w:r w:rsidRPr="00652938" w:rsidR="00B942C5">
        <w:rPr>
          <w:sz w:val="24"/>
          <w:szCs w:val="24"/>
        </w:rPr>
        <w:t xml:space="preserve"> </w:t>
      </w:r>
      <w:r w:rsidRPr="00652938" w:rsidR="007C18D7">
        <w:rPr>
          <w:sz w:val="24"/>
          <w:szCs w:val="24"/>
        </w:rPr>
        <w:t>drug</w:t>
      </w:r>
      <w:r w:rsidRPr="00652938">
        <w:rPr>
          <w:sz w:val="24"/>
          <w:szCs w:val="24"/>
        </w:rPr>
        <w:t xml:space="preserve"> </w:t>
      </w:r>
      <w:r w:rsidRPr="00652938" w:rsidR="0055463B">
        <w:rPr>
          <w:sz w:val="24"/>
          <w:szCs w:val="24"/>
        </w:rPr>
        <w:t xml:space="preserve">product </w:t>
      </w:r>
      <w:r w:rsidRPr="00652938" w:rsidR="007C18D7">
        <w:rPr>
          <w:sz w:val="24"/>
          <w:szCs w:val="24"/>
        </w:rPr>
        <w:t>manufacturers, processors and packers</w:t>
      </w:r>
      <w:r w:rsidRPr="00652938">
        <w:rPr>
          <w:sz w:val="24"/>
          <w:szCs w:val="24"/>
        </w:rPr>
        <w:t xml:space="preserve">; and (2) </w:t>
      </w:r>
      <w:r w:rsidRPr="00652938" w:rsidR="00B942C5">
        <w:rPr>
          <w:sz w:val="24"/>
          <w:szCs w:val="24"/>
        </w:rPr>
        <w:t xml:space="preserve">determine what </w:t>
      </w:r>
      <w:r w:rsidRPr="00652938">
        <w:rPr>
          <w:sz w:val="24"/>
          <w:szCs w:val="24"/>
        </w:rPr>
        <w:t xml:space="preserve">current practices </w:t>
      </w:r>
      <w:r w:rsidRPr="00652938" w:rsidR="00B942C5">
        <w:rPr>
          <w:sz w:val="24"/>
          <w:szCs w:val="24"/>
        </w:rPr>
        <w:t xml:space="preserve">are </w:t>
      </w:r>
      <w:r w:rsidRPr="00652938">
        <w:rPr>
          <w:sz w:val="24"/>
          <w:szCs w:val="24"/>
        </w:rPr>
        <w:t xml:space="preserve">throughout this industry that can be used as a </w:t>
      </w:r>
      <w:r w:rsidRPr="00652938" w:rsidR="00B942C5">
        <w:rPr>
          <w:sz w:val="24"/>
          <w:szCs w:val="24"/>
        </w:rPr>
        <w:t xml:space="preserve">baseline </w:t>
      </w:r>
      <w:r w:rsidRPr="00652938">
        <w:rPr>
          <w:sz w:val="24"/>
          <w:szCs w:val="24"/>
        </w:rPr>
        <w:t>for FDA’s economic analyses when considering any potential proposed updates to CGMP standards.</w:t>
      </w:r>
    </w:p>
    <w:p w:rsidRPr="00652938" w:rsidR="0064259F" w:rsidP="00652938" w:rsidRDefault="00C01EA0" w14:paraId="3A366496" w14:textId="44FA0828">
      <w:pPr>
        <w:pStyle w:val="Heading2"/>
        <w:ind w:left="0" w:firstLine="0"/>
        <w:rPr>
          <w:rFonts w:ascii="Times New Roman" w:hAnsi="Times New Roman"/>
          <w:b w:val="0"/>
          <w:szCs w:val="24"/>
        </w:rPr>
      </w:pPr>
      <w:bookmarkStart w:name="_Toc410331577" w:id="10"/>
      <w:bookmarkStart w:name="_Toc410331683" w:id="11"/>
      <w:bookmarkStart w:name="_Toc429570371" w:id="12"/>
      <w:bookmarkStart w:name="_Toc431546778" w:id="13"/>
      <w:bookmarkStart w:name="UseofInformationTechnologyandBurdenReduc" w:id="14"/>
      <w:r>
        <w:rPr>
          <w:rFonts w:ascii="Times New Roman" w:hAnsi="Times New Roman"/>
          <w:b w:val="0"/>
          <w:szCs w:val="24"/>
        </w:rPr>
        <w:lastRenderedPageBreak/>
        <w:t>3.</w:t>
      </w:r>
      <w:r>
        <w:rPr>
          <w:rFonts w:ascii="Times New Roman" w:hAnsi="Times New Roman"/>
          <w:b w:val="0"/>
          <w:szCs w:val="24"/>
        </w:rPr>
        <w:tab/>
      </w:r>
      <w:r w:rsidRPr="00652938" w:rsidR="0064259F">
        <w:rPr>
          <w:rFonts w:ascii="Times New Roman" w:hAnsi="Times New Roman"/>
          <w:b w:val="0"/>
          <w:szCs w:val="24"/>
          <w:u w:val="single"/>
        </w:rPr>
        <w:t>Use of Information Technology</w:t>
      </w:r>
      <w:bookmarkEnd w:id="10"/>
      <w:bookmarkEnd w:id="11"/>
      <w:bookmarkEnd w:id="12"/>
      <w:bookmarkEnd w:id="13"/>
      <w:r w:rsidRPr="00652938" w:rsidR="00D05333">
        <w:rPr>
          <w:rFonts w:ascii="Times New Roman" w:hAnsi="Times New Roman"/>
          <w:b w:val="0"/>
          <w:szCs w:val="24"/>
          <w:u w:val="single"/>
        </w:rPr>
        <w:t xml:space="preserve"> and Burden Reduction</w:t>
      </w:r>
    </w:p>
    <w:bookmarkEnd w:id="14"/>
    <w:p w:rsidRPr="00652938" w:rsidR="00055373" w:rsidP="00652938" w:rsidRDefault="00C92548" w14:paraId="13EBBDCD" w14:textId="490A82BC">
      <w:pPr>
        <w:pStyle w:val="BodyTextFirstIndent"/>
        <w:ind w:firstLine="0"/>
        <w:rPr>
          <w:sz w:val="24"/>
          <w:szCs w:val="24"/>
        </w:rPr>
      </w:pPr>
      <w:r w:rsidRPr="00652938">
        <w:rPr>
          <w:sz w:val="24"/>
          <w:szCs w:val="24"/>
        </w:rPr>
        <w:t xml:space="preserve">Respondents will be encouraged to submit the survey </w:t>
      </w:r>
      <w:r w:rsidRPr="00652938" w:rsidR="00D83714">
        <w:rPr>
          <w:sz w:val="24"/>
          <w:szCs w:val="24"/>
        </w:rPr>
        <w:t>online</w:t>
      </w:r>
      <w:r w:rsidRPr="00652938">
        <w:rPr>
          <w:sz w:val="24"/>
          <w:szCs w:val="24"/>
        </w:rPr>
        <w:t>, although a paper version will also be made available to respondents.</w:t>
      </w:r>
      <w:r w:rsidRPr="00652938" w:rsidR="00D83714">
        <w:rPr>
          <w:sz w:val="24"/>
          <w:szCs w:val="24"/>
        </w:rPr>
        <w:t xml:space="preserve"> </w:t>
      </w:r>
      <w:r w:rsidRPr="00652938" w:rsidR="00640182">
        <w:rPr>
          <w:sz w:val="24"/>
          <w:szCs w:val="24"/>
        </w:rPr>
        <w:fldChar w:fldCharType="begin"/>
      </w:r>
      <w:r w:rsidRPr="00652938" w:rsidR="00640182">
        <w:rPr>
          <w:sz w:val="24"/>
          <w:szCs w:val="24"/>
        </w:rPr>
        <w:instrText xml:space="preserve"> REF _Ref13484442 \h </w:instrText>
      </w:r>
      <w:r w:rsidRPr="00652938" w:rsidR="00817829">
        <w:rPr>
          <w:sz w:val="24"/>
          <w:szCs w:val="24"/>
        </w:rPr>
        <w:instrText xml:space="preserve"> \* MERGEFORMAT </w:instrText>
      </w:r>
      <w:r w:rsidRPr="00652938" w:rsidR="00640182">
        <w:rPr>
          <w:sz w:val="24"/>
          <w:szCs w:val="24"/>
        </w:rPr>
      </w:r>
      <w:r w:rsidRPr="00652938" w:rsidR="00640182">
        <w:rPr>
          <w:sz w:val="24"/>
          <w:szCs w:val="24"/>
        </w:rPr>
        <w:fldChar w:fldCharType="separate"/>
      </w:r>
      <w:r w:rsidRPr="00652938" w:rsidR="00444D72">
        <w:rPr>
          <w:sz w:val="24"/>
          <w:szCs w:val="24"/>
        </w:rPr>
        <w:t xml:space="preserve">Table </w:t>
      </w:r>
      <w:r w:rsidRPr="00652938" w:rsidR="00444D72">
        <w:rPr>
          <w:noProof/>
          <w:sz w:val="24"/>
          <w:szCs w:val="24"/>
        </w:rPr>
        <w:t>1</w:t>
      </w:r>
      <w:r w:rsidRPr="00652938" w:rsidR="00640182">
        <w:rPr>
          <w:sz w:val="24"/>
          <w:szCs w:val="24"/>
        </w:rPr>
        <w:fldChar w:fldCharType="end"/>
      </w:r>
      <w:r w:rsidRPr="00652938" w:rsidR="00055373">
        <w:rPr>
          <w:sz w:val="24"/>
          <w:szCs w:val="24"/>
        </w:rPr>
        <w:t xml:space="preserve"> presents how </w:t>
      </w:r>
      <w:r w:rsidRPr="00652938" w:rsidR="00993927">
        <w:rPr>
          <w:sz w:val="24"/>
          <w:szCs w:val="24"/>
        </w:rPr>
        <w:t xml:space="preserve">FDA </w:t>
      </w:r>
      <w:r w:rsidRPr="00652938" w:rsidR="00055373">
        <w:rPr>
          <w:sz w:val="24"/>
          <w:szCs w:val="24"/>
        </w:rPr>
        <w:t>plan</w:t>
      </w:r>
      <w:r w:rsidRPr="00652938" w:rsidR="00993927">
        <w:rPr>
          <w:sz w:val="24"/>
          <w:szCs w:val="24"/>
        </w:rPr>
        <w:t>s</w:t>
      </w:r>
      <w:r w:rsidRPr="00652938" w:rsidR="00055373">
        <w:rPr>
          <w:sz w:val="24"/>
          <w:szCs w:val="24"/>
        </w:rPr>
        <w:t xml:space="preserve"> to administer the survey.</w:t>
      </w:r>
    </w:p>
    <w:p w:rsidR="009E470D" w:rsidP="00640182" w:rsidRDefault="009E470D" w14:paraId="3917FC31" w14:textId="77777777">
      <w:pPr>
        <w:pStyle w:val="Caption"/>
        <w:keepNext/>
        <w:rPr>
          <w:sz w:val="24"/>
          <w:szCs w:val="24"/>
        </w:rPr>
      </w:pPr>
      <w:bookmarkStart w:name="_Ref13484442" w:id="15"/>
    </w:p>
    <w:p w:rsidRPr="00652938" w:rsidR="00640182" w:rsidP="00640182" w:rsidRDefault="00640182" w14:paraId="1A8867E6" w14:textId="045E84C4">
      <w:pPr>
        <w:pStyle w:val="Caption"/>
        <w:keepNext/>
        <w:rPr>
          <w:sz w:val="24"/>
          <w:szCs w:val="24"/>
        </w:rPr>
      </w:pPr>
      <w:r w:rsidRPr="00652938">
        <w:rPr>
          <w:sz w:val="24"/>
          <w:szCs w:val="24"/>
        </w:rPr>
        <w:t xml:space="preserve">Table </w:t>
      </w:r>
      <w:r w:rsidRPr="00652938" w:rsidR="007E42BB">
        <w:rPr>
          <w:noProof/>
          <w:sz w:val="24"/>
          <w:szCs w:val="24"/>
        </w:rPr>
        <w:fldChar w:fldCharType="begin"/>
      </w:r>
      <w:r w:rsidRPr="00652938" w:rsidR="007E42BB">
        <w:rPr>
          <w:noProof/>
          <w:sz w:val="24"/>
          <w:szCs w:val="24"/>
        </w:rPr>
        <w:instrText xml:space="preserve"> SEQ Table \* ARABIC </w:instrText>
      </w:r>
      <w:r w:rsidRPr="00652938" w:rsidR="007E42BB">
        <w:rPr>
          <w:noProof/>
          <w:sz w:val="24"/>
          <w:szCs w:val="24"/>
        </w:rPr>
        <w:fldChar w:fldCharType="separate"/>
      </w:r>
      <w:r w:rsidRPr="00652938" w:rsidR="00444D72">
        <w:rPr>
          <w:noProof/>
          <w:sz w:val="24"/>
          <w:szCs w:val="24"/>
        </w:rPr>
        <w:t>1</w:t>
      </w:r>
      <w:r w:rsidRPr="00652938" w:rsidR="007E42BB">
        <w:rPr>
          <w:noProof/>
          <w:sz w:val="24"/>
          <w:szCs w:val="24"/>
        </w:rPr>
        <w:fldChar w:fldCharType="end"/>
      </w:r>
      <w:bookmarkEnd w:id="15"/>
      <w:r w:rsidRPr="00652938">
        <w:rPr>
          <w:sz w:val="24"/>
          <w:szCs w:val="24"/>
        </w:rPr>
        <w:t>. Mixed</w:t>
      </w:r>
      <w:r w:rsidRPr="00652938" w:rsidR="00552D18">
        <w:rPr>
          <w:sz w:val="24"/>
          <w:szCs w:val="24"/>
        </w:rPr>
        <w:t>-m</w:t>
      </w:r>
      <w:r w:rsidRPr="00652938">
        <w:rPr>
          <w:sz w:val="24"/>
          <w:szCs w:val="24"/>
        </w:rPr>
        <w:t xml:space="preserve">ode Survey Protocol </w:t>
      </w:r>
      <w:r w:rsidRPr="00652938" w:rsidR="00A214C1">
        <w:rPr>
          <w:sz w:val="24"/>
          <w:szCs w:val="24"/>
        </w:rPr>
        <w:t>with</w:t>
      </w:r>
      <w:r w:rsidRPr="00652938">
        <w:rPr>
          <w:sz w:val="24"/>
          <w:szCs w:val="24"/>
        </w:rPr>
        <w:t xml:space="preserve"> Multiple Contacts</w:t>
      </w:r>
    </w:p>
    <w:tbl>
      <w:tblPr>
        <w:tblStyle w:val="TableGrid"/>
        <w:tblW w:w="9360" w:type="dxa"/>
        <w:jc w:val="center"/>
        <w:tblBorders>
          <w:top w:val="single" w:color="auto" w:sz="12" w:space="0"/>
          <w:left w:val="single" w:color="auto" w:sz="12" w:space="0"/>
          <w:bottom w:val="single" w:color="auto" w:sz="12" w:space="0"/>
          <w:right w:val="single" w:color="auto" w:sz="12" w:space="0"/>
        </w:tblBorders>
        <w:tblLook w:val="04A0" w:firstRow="1" w:lastRow="0" w:firstColumn="1" w:lastColumn="0" w:noHBand="0" w:noVBand="1"/>
      </w:tblPr>
      <w:tblGrid>
        <w:gridCol w:w="2056"/>
        <w:gridCol w:w="2379"/>
        <w:gridCol w:w="4925"/>
      </w:tblGrid>
      <w:tr w:rsidRPr="008C718D" w:rsidR="00640182" w:rsidTr="00552D18" w14:paraId="73F8C9E2" w14:textId="77777777">
        <w:trPr>
          <w:tblHeader/>
          <w:jc w:val="center"/>
        </w:trPr>
        <w:tc>
          <w:tcPr>
            <w:tcW w:w="2056" w:type="dxa"/>
            <w:tcBorders>
              <w:top w:val="single" w:color="auto" w:sz="12" w:space="0"/>
              <w:bottom w:val="single" w:color="auto" w:sz="4" w:space="0"/>
            </w:tcBorders>
            <w:shd w:val="clear" w:color="auto" w:fill="D9D9D9" w:themeFill="background1" w:themeFillShade="D9"/>
          </w:tcPr>
          <w:p w:rsidRPr="00652938" w:rsidR="00640182" w:rsidP="00640182" w:rsidRDefault="00640182" w14:paraId="314CD849" w14:textId="77777777">
            <w:pPr>
              <w:rPr>
                <w:b/>
                <w:sz w:val="24"/>
              </w:rPr>
            </w:pPr>
            <w:r w:rsidRPr="00652938">
              <w:rPr>
                <w:b/>
                <w:sz w:val="24"/>
              </w:rPr>
              <w:t>Contact</w:t>
            </w:r>
          </w:p>
        </w:tc>
        <w:tc>
          <w:tcPr>
            <w:tcW w:w="2379" w:type="dxa"/>
            <w:tcBorders>
              <w:top w:val="single" w:color="auto" w:sz="12" w:space="0"/>
              <w:bottom w:val="single" w:color="auto" w:sz="4" w:space="0"/>
            </w:tcBorders>
            <w:shd w:val="clear" w:color="auto" w:fill="D9D9D9" w:themeFill="background1" w:themeFillShade="D9"/>
          </w:tcPr>
          <w:p w:rsidRPr="00652938" w:rsidR="00640182" w:rsidP="005861B4" w:rsidRDefault="00640182" w14:paraId="6C123F22" w14:textId="77777777">
            <w:pPr>
              <w:jc w:val="center"/>
              <w:rPr>
                <w:b/>
                <w:sz w:val="24"/>
              </w:rPr>
            </w:pPr>
            <w:r w:rsidRPr="00652938">
              <w:rPr>
                <w:b/>
                <w:sz w:val="24"/>
              </w:rPr>
              <w:t>Contact Type</w:t>
            </w:r>
          </w:p>
        </w:tc>
        <w:tc>
          <w:tcPr>
            <w:tcW w:w="4925" w:type="dxa"/>
            <w:tcBorders>
              <w:top w:val="single" w:color="auto" w:sz="12" w:space="0"/>
              <w:bottom w:val="single" w:color="auto" w:sz="4" w:space="0"/>
            </w:tcBorders>
            <w:shd w:val="clear" w:color="auto" w:fill="D9D9D9" w:themeFill="background1" w:themeFillShade="D9"/>
          </w:tcPr>
          <w:p w:rsidRPr="00652938" w:rsidR="00640182" w:rsidP="005861B4" w:rsidRDefault="00640182" w14:paraId="130CFAA8" w14:textId="77777777">
            <w:pPr>
              <w:rPr>
                <w:b/>
                <w:sz w:val="24"/>
              </w:rPr>
            </w:pPr>
            <w:r w:rsidRPr="00652938">
              <w:rPr>
                <w:b/>
                <w:sz w:val="24"/>
              </w:rPr>
              <w:t>Content</w:t>
            </w:r>
          </w:p>
        </w:tc>
      </w:tr>
      <w:tr w:rsidRPr="008C718D" w:rsidR="00640182" w:rsidTr="00BE4E14" w14:paraId="7746DA91" w14:textId="77777777">
        <w:trPr>
          <w:jc w:val="center"/>
        </w:trPr>
        <w:tc>
          <w:tcPr>
            <w:tcW w:w="2056" w:type="dxa"/>
            <w:tcBorders>
              <w:top w:val="single" w:color="auto" w:sz="4" w:space="0"/>
            </w:tcBorders>
            <w:shd w:val="clear" w:color="auto" w:fill="auto"/>
          </w:tcPr>
          <w:p w:rsidRPr="00652938" w:rsidR="00640182" w:rsidP="005861B4" w:rsidRDefault="00640182" w14:paraId="1EB1BCFC" w14:textId="77777777">
            <w:pPr>
              <w:rPr>
                <w:sz w:val="24"/>
              </w:rPr>
            </w:pPr>
            <w:r w:rsidRPr="00652938">
              <w:rPr>
                <w:sz w:val="24"/>
              </w:rPr>
              <w:t>Initial Contact</w:t>
            </w:r>
          </w:p>
        </w:tc>
        <w:tc>
          <w:tcPr>
            <w:tcW w:w="2379" w:type="dxa"/>
            <w:tcBorders>
              <w:top w:val="single" w:color="auto" w:sz="4" w:space="0"/>
            </w:tcBorders>
            <w:shd w:val="clear" w:color="auto" w:fill="auto"/>
          </w:tcPr>
          <w:p w:rsidRPr="00652938" w:rsidR="00640182" w:rsidP="005861B4" w:rsidRDefault="00BE4E14" w14:paraId="23ABC725" w14:textId="5C49B3C0">
            <w:pPr>
              <w:rPr>
                <w:sz w:val="24"/>
              </w:rPr>
            </w:pPr>
            <w:r w:rsidRPr="00652938">
              <w:rPr>
                <w:sz w:val="24"/>
              </w:rPr>
              <w:t xml:space="preserve">Email </w:t>
            </w:r>
          </w:p>
        </w:tc>
        <w:tc>
          <w:tcPr>
            <w:tcW w:w="4925" w:type="dxa"/>
            <w:tcBorders>
              <w:top w:val="single" w:color="auto" w:sz="4" w:space="0"/>
            </w:tcBorders>
            <w:shd w:val="clear" w:color="auto" w:fill="auto"/>
          </w:tcPr>
          <w:p w:rsidRPr="00652938" w:rsidR="00640182" w:rsidP="005861B4" w:rsidRDefault="00640182" w14:paraId="1003A7BE" w14:textId="77777777">
            <w:pPr>
              <w:rPr>
                <w:sz w:val="24"/>
              </w:rPr>
            </w:pPr>
            <w:r w:rsidRPr="00652938">
              <w:rPr>
                <w:sz w:val="24"/>
              </w:rPr>
              <w:t>Survey Pre-notification/Survey Link</w:t>
            </w:r>
          </w:p>
        </w:tc>
      </w:tr>
      <w:tr w:rsidRPr="008C718D" w:rsidR="00640182" w:rsidTr="00640182" w14:paraId="5326E7C3" w14:textId="77777777">
        <w:trPr>
          <w:jc w:val="center"/>
        </w:trPr>
        <w:tc>
          <w:tcPr>
            <w:tcW w:w="2056" w:type="dxa"/>
            <w:shd w:val="clear" w:color="auto" w:fill="auto"/>
          </w:tcPr>
          <w:p w:rsidRPr="00652938" w:rsidR="00640182" w:rsidP="005861B4" w:rsidRDefault="00640182" w14:paraId="3B5435F7" w14:textId="77777777">
            <w:pPr>
              <w:rPr>
                <w:sz w:val="24"/>
              </w:rPr>
            </w:pPr>
            <w:r w:rsidRPr="00652938">
              <w:rPr>
                <w:sz w:val="24"/>
              </w:rPr>
              <w:t>First Reminder</w:t>
            </w:r>
          </w:p>
        </w:tc>
        <w:tc>
          <w:tcPr>
            <w:tcW w:w="2379" w:type="dxa"/>
            <w:shd w:val="clear" w:color="auto" w:fill="auto"/>
          </w:tcPr>
          <w:p w:rsidRPr="00652938" w:rsidR="00640182" w:rsidP="005861B4" w:rsidRDefault="00640182" w14:paraId="28A7295C" w14:textId="769FAE14">
            <w:pPr>
              <w:rPr>
                <w:sz w:val="24"/>
              </w:rPr>
            </w:pPr>
            <w:r w:rsidRPr="00652938">
              <w:rPr>
                <w:sz w:val="24"/>
              </w:rPr>
              <w:t>Email</w:t>
            </w:r>
            <w:r w:rsidRPr="00652938" w:rsidR="00030A2D">
              <w:rPr>
                <w:sz w:val="24"/>
              </w:rPr>
              <w:t xml:space="preserve"> </w:t>
            </w:r>
            <w:r w:rsidRPr="00652938">
              <w:rPr>
                <w:sz w:val="24"/>
              </w:rPr>
              <w:t>and Mail</w:t>
            </w:r>
          </w:p>
        </w:tc>
        <w:tc>
          <w:tcPr>
            <w:tcW w:w="4925" w:type="dxa"/>
            <w:shd w:val="clear" w:color="auto" w:fill="auto"/>
          </w:tcPr>
          <w:p w:rsidRPr="00652938" w:rsidR="00640182" w:rsidP="005861B4" w:rsidRDefault="00640182" w14:paraId="2FEA8617" w14:textId="77777777">
            <w:pPr>
              <w:rPr>
                <w:sz w:val="24"/>
              </w:rPr>
            </w:pPr>
            <w:r w:rsidRPr="00652938">
              <w:rPr>
                <w:sz w:val="24"/>
              </w:rPr>
              <w:t>Survey Reminder with Survey Link/Survey Reminder Cover Letter with Hardcopy Survey (2 weeks after initial contact)</w:t>
            </w:r>
          </w:p>
        </w:tc>
      </w:tr>
      <w:tr w:rsidRPr="008C718D" w:rsidR="00640182" w:rsidTr="00640182" w14:paraId="25E60250" w14:textId="77777777">
        <w:trPr>
          <w:jc w:val="center"/>
        </w:trPr>
        <w:tc>
          <w:tcPr>
            <w:tcW w:w="2056" w:type="dxa"/>
            <w:shd w:val="clear" w:color="auto" w:fill="auto"/>
          </w:tcPr>
          <w:p w:rsidRPr="00652938" w:rsidR="00640182" w:rsidP="005861B4" w:rsidRDefault="00640182" w14:paraId="13CA2708" w14:textId="77777777">
            <w:pPr>
              <w:rPr>
                <w:sz w:val="24"/>
              </w:rPr>
            </w:pPr>
            <w:r w:rsidRPr="00652938">
              <w:rPr>
                <w:sz w:val="24"/>
              </w:rPr>
              <w:t>Second Reminder</w:t>
            </w:r>
          </w:p>
        </w:tc>
        <w:tc>
          <w:tcPr>
            <w:tcW w:w="2379" w:type="dxa"/>
            <w:shd w:val="clear" w:color="auto" w:fill="auto"/>
          </w:tcPr>
          <w:p w:rsidRPr="00652938" w:rsidR="00640182" w:rsidP="005861B4" w:rsidRDefault="00640182" w14:paraId="4D481CB2" w14:textId="77777777">
            <w:pPr>
              <w:rPr>
                <w:sz w:val="24"/>
              </w:rPr>
            </w:pPr>
            <w:r w:rsidRPr="00652938">
              <w:rPr>
                <w:sz w:val="24"/>
              </w:rPr>
              <w:t>Email and Mail</w:t>
            </w:r>
          </w:p>
        </w:tc>
        <w:tc>
          <w:tcPr>
            <w:tcW w:w="4925" w:type="dxa"/>
            <w:shd w:val="clear" w:color="auto" w:fill="auto"/>
          </w:tcPr>
          <w:p w:rsidRPr="00652938" w:rsidR="00640182" w:rsidP="005861B4" w:rsidRDefault="00640182" w14:paraId="6281BABE" w14:textId="77777777">
            <w:pPr>
              <w:rPr>
                <w:sz w:val="24"/>
              </w:rPr>
            </w:pPr>
            <w:r w:rsidRPr="00652938">
              <w:rPr>
                <w:sz w:val="24"/>
              </w:rPr>
              <w:t>Survey Reminder with Survey Link and Reminder Postcard (2 weeks after first reminder)</w:t>
            </w:r>
          </w:p>
        </w:tc>
      </w:tr>
      <w:tr w:rsidRPr="008C718D" w:rsidR="00640182" w:rsidTr="00640182" w14:paraId="1775D7D6" w14:textId="77777777">
        <w:trPr>
          <w:jc w:val="center"/>
        </w:trPr>
        <w:tc>
          <w:tcPr>
            <w:tcW w:w="2056" w:type="dxa"/>
            <w:shd w:val="clear" w:color="auto" w:fill="auto"/>
          </w:tcPr>
          <w:p w:rsidRPr="00652938" w:rsidR="00640182" w:rsidP="005861B4" w:rsidRDefault="00640182" w14:paraId="2D47F66D" w14:textId="77777777">
            <w:pPr>
              <w:rPr>
                <w:sz w:val="24"/>
              </w:rPr>
            </w:pPr>
            <w:r w:rsidRPr="00652938">
              <w:rPr>
                <w:sz w:val="24"/>
              </w:rPr>
              <w:t>Third Reminder</w:t>
            </w:r>
          </w:p>
        </w:tc>
        <w:tc>
          <w:tcPr>
            <w:tcW w:w="2379" w:type="dxa"/>
            <w:shd w:val="clear" w:color="auto" w:fill="auto"/>
          </w:tcPr>
          <w:p w:rsidRPr="00652938" w:rsidR="00640182" w:rsidP="005861B4" w:rsidRDefault="00640182" w14:paraId="3CC57B9B" w14:textId="77777777">
            <w:pPr>
              <w:rPr>
                <w:sz w:val="24"/>
              </w:rPr>
            </w:pPr>
            <w:r w:rsidRPr="00652938">
              <w:rPr>
                <w:sz w:val="24"/>
              </w:rPr>
              <w:t>Email and Mail</w:t>
            </w:r>
          </w:p>
        </w:tc>
        <w:tc>
          <w:tcPr>
            <w:tcW w:w="4925" w:type="dxa"/>
            <w:shd w:val="clear" w:color="auto" w:fill="auto"/>
          </w:tcPr>
          <w:p w:rsidRPr="00652938" w:rsidR="00640182" w:rsidP="005861B4" w:rsidRDefault="00640182" w14:paraId="7F23B223" w14:textId="77777777">
            <w:pPr>
              <w:rPr>
                <w:sz w:val="24"/>
              </w:rPr>
            </w:pPr>
            <w:r w:rsidRPr="00652938">
              <w:rPr>
                <w:sz w:val="24"/>
              </w:rPr>
              <w:t>Survey Reminder with Survey Link/Survey Reminder Cover Letter with Hardcopy Survey (1 week after second reminder)</w:t>
            </w:r>
          </w:p>
        </w:tc>
      </w:tr>
      <w:tr w:rsidRPr="008C718D" w:rsidR="00640182" w:rsidTr="00640182" w14:paraId="32DB4B23" w14:textId="77777777">
        <w:trPr>
          <w:jc w:val="center"/>
        </w:trPr>
        <w:tc>
          <w:tcPr>
            <w:tcW w:w="2056" w:type="dxa"/>
            <w:shd w:val="clear" w:color="auto" w:fill="auto"/>
          </w:tcPr>
          <w:p w:rsidRPr="00652938" w:rsidR="00640182" w:rsidP="005861B4" w:rsidRDefault="00640182" w14:paraId="75FF7D2F" w14:textId="77777777">
            <w:pPr>
              <w:rPr>
                <w:sz w:val="24"/>
              </w:rPr>
            </w:pPr>
            <w:r w:rsidRPr="00652938">
              <w:rPr>
                <w:sz w:val="24"/>
              </w:rPr>
              <w:t>Fourth Reminder</w:t>
            </w:r>
          </w:p>
        </w:tc>
        <w:tc>
          <w:tcPr>
            <w:tcW w:w="2379" w:type="dxa"/>
            <w:shd w:val="clear" w:color="auto" w:fill="auto"/>
          </w:tcPr>
          <w:p w:rsidRPr="00652938" w:rsidR="00640182" w:rsidP="005861B4" w:rsidRDefault="00640182" w14:paraId="65725BD9" w14:textId="77777777">
            <w:pPr>
              <w:rPr>
                <w:sz w:val="24"/>
              </w:rPr>
            </w:pPr>
            <w:r w:rsidRPr="00652938">
              <w:rPr>
                <w:sz w:val="24"/>
              </w:rPr>
              <w:t>Telephone</w:t>
            </w:r>
          </w:p>
        </w:tc>
        <w:tc>
          <w:tcPr>
            <w:tcW w:w="4925" w:type="dxa"/>
            <w:shd w:val="clear" w:color="auto" w:fill="auto"/>
          </w:tcPr>
          <w:p w:rsidRPr="00652938" w:rsidR="00640182" w:rsidP="005861B4" w:rsidRDefault="00640182" w14:paraId="6F3A83B3" w14:textId="77777777">
            <w:pPr>
              <w:rPr>
                <w:sz w:val="24"/>
              </w:rPr>
            </w:pPr>
            <w:r w:rsidRPr="00652938">
              <w:rPr>
                <w:sz w:val="24"/>
              </w:rPr>
              <w:t>Survey Reminder/Caller Offers to Issue Survey by Phone (1 week after second reminder)</w:t>
            </w:r>
          </w:p>
        </w:tc>
      </w:tr>
    </w:tbl>
    <w:p w:rsidRPr="00652938" w:rsidR="00583044" w:rsidP="00652938" w:rsidRDefault="00D83714" w14:paraId="17B88344" w14:textId="0D0A5806">
      <w:pPr>
        <w:pStyle w:val="BodyTextFirstIndent"/>
        <w:ind w:firstLine="0"/>
        <w:rPr>
          <w:sz w:val="24"/>
          <w:szCs w:val="24"/>
        </w:rPr>
      </w:pPr>
      <w:r w:rsidRPr="00652938">
        <w:rPr>
          <w:sz w:val="24"/>
          <w:szCs w:val="24"/>
        </w:rPr>
        <w:t xml:space="preserve">All respondent facilities in the survey sample will be </w:t>
      </w:r>
      <w:r w:rsidRPr="00652938" w:rsidR="00E96822">
        <w:rPr>
          <w:sz w:val="24"/>
          <w:szCs w:val="24"/>
        </w:rPr>
        <w:t>e-</w:t>
      </w:r>
      <w:r w:rsidRPr="00652938" w:rsidR="00552D18">
        <w:rPr>
          <w:sz w:val="24"/>
          <w:szCs w:val="24"/>
        </w:rPr>
        <w:t xml:space="preserve">mailed </w:t>
      </w:r>
      <w:r w:rsidRPr="00652938">
        <w:rPr>
          <w:sz w:val="24"/>
          <w:szCs w:val="24"/>
        </w:rPr>
        <w:t xml:space="preserve">a brief </w:t>
      </w:r>
      <w:r w:rsidRPr="00652938" w:rsidR="00552D18">
        <w:rPr>
          <w:sz w:val="24"/>
          <w:szCs w:val="24"/>
        </w:rPr>
        <w:t xml:space="preserve">pre-notification </w:t>
      </w:r>
      <w:r w:rsidRPr="00652938">
        <w:rPr>
          <w:sz w:val="24"/>
          <w:szCs w:val="24"/>
        </w:rPr>
        <w:t xml:space="preserve">letter from FDA explaining the nature and purpose of the survey and providing them with </w:t>
      </w:r>
      <w:r w:rsidRPr="00652938" w:rsidR="00A610D3">
        <w:rPr>
          <w:sz w:val="24"/>
          <w:szCs w:val="24"/>
        </w:rPr>
        <w:t>the</w:t>
      </w:r>
      <w:r w:rsidRPr="00652938" w:rsidR="006C3A84">
        <w:rPr>
          <w:sz w:val="24"/>
          <w:szCs w:val="24"/>
        </w:rPr>
        <w:t xml:space="preserve">ir </w:t>
      </w:r>
      <w:r w:rsidRPr="00652938">
        <w:rPr>
          <w:sz w:val="24"/>
          <w:szCs w:val="24"/>
        </w:rPr>
        <w:t xml:space="preserve">unique password and the survey </w:t>
      </w:r>
      <w:r w:rsidRPr="00652938" w:rsidR="00305F47">
        <w:rPr>
          <w:sz w:val="24"/>
          <w:szCs w:val="24"/>
        </w:rPr>
        <w:t>URL</w:t>
      </w:r>
      <w:r w:rsidRPr="00652938" w:rsidR="006C3A84">
        <w:rPr>
          <w:sz w:val="24"/>
          <w:szCs w:val="24"/>
        </w:rPr>
        <w:t xml:space="preserve"> (Initial Contact). After two weeks, non-responders will receive a reminder email</w:t>
      </w:r>
      <w:r w:rsidRPr="00652938" w:rsidR="00030A2D">
        <w:rPr>
          <w:sz w:val="24"/>
          <w:szCs w:val="24"/>
        </w:rPr>
        <w:t xml:space="preserve"> with </w:t>
      </w:r>
      <w:r w:rsidRPr="00652938" w:rsidR="00423F43">
        <w:rPr>
          <w:sz w:val="24"/>
          <w:szCs w:val="24"/>
        </w:rPr>
        <w:t xml:space="preserve">their unique password and the survey URL </w:t>
      </w:r>
      <w:r w:rsidRPr="00652938" w:rsidR="00BE4E14">
        <w:rPr>
          <w:sz w:val="24"/>
          <w:szCs w:val="24"/>
        </w:rPr>
        <w:t>and</w:t>
      </w:r>
      <w:r w:rsidRPr="00652938" w:rsidR="00423F43">
        <w:rPr>
          <w:sz w:val="24"/>
          <w:szCs w:val="24"/>
        </w:rPr>
        <w:t xml:space="preserve"> a reminder via USPS that includes </w:t>
      </w:r>
      <w:r w:rsidRPr="00652938" w:rsidR="006C3A84">
        <w:rPr>
          <w:sz w:val="24"/>
          <w:szCs w:val="24"/>
        </w:rPr>
        <w:t>a cover letter</w:t>
      </w:r>
      <w:r w:rsidRPr="00652938" w:rsidR="00423F43">
        <w:rPr>
          <w:sz w:val="24"/>
          <w:szCs w:val="24"/>
        </w:rPr>
        <w:t>,</w:t>
      </w:r>
      <w:r w:rsidRPr="00652938" w:rsidR="006C3A84">
        <w:rPr>
          <w:sz w:val="24"/>
          <w:szCs w:val="24"/>
        </w:rPr>
        <w:t xml:space="preserve"> a hard</w:t>
      </w:r>
      <w:r w:rsidRPr="00652938" w:rsidR="00423F43">
        <w:rPr>
          <w:sz w:val="24"/>
          <w:szCs w:val="24"/>
        </w:rPr>
        <w:t>-</w:t>
      </w:r>
      <w:r w:rsidRPr="00652938" w:rsidR="006C3A84">
        <w:rPr>
          <w:sz w:val="24"/>
          <w:szCs w:val="24"/>
        </w:rPr>
        <w:t>copy of the survey</w:t>
      </w:r>
      <w:r w:rsidRPr="00652938" w:rsidR="00423F43">
        <w:rPr>
          <w:sz w:val="24"/>
          <w:szCs w:val="24"/>
        </w:rPr>
        <w:t>, and a return envelope</w:t>
      </w:r>
      <w:r w:rsidRPr="00652938" w:rsidR="006C3A84">
        <w:rPr>
          <w:sz w:val="24"/>
          <w:szCs w:val="24"/>
        </w:rPr>
        <w:t xml:space="preserve"> (First Reminder). </w:t>
      </w:r>
      <w:r w:rsidRPr="00652938" w:rsidR="00423F43">
        <w:rPr>
          <w:sz w:val="24"/>
          <w:szCs w:val="24"/>
        </w:rPr>
        <w:t xml:space="preserve">The cover letter will urge them to </w:t>
      </w:r>
      <w:r w:rsidRPr="00652938" w:rsidR="006C3A84">
        <w:rPr>
          <w:sz w:val="24"/>
          <w:szCs w:val="24"/>
        </w:rPr>
        <w:t>log onto the online survey</w:t>
      </w:r>
      <w:r w:rsidRPr="00652938" w:rsidR="00423F43">
        <w:rPr>
          <w:sz w:val="24"/>
          <w:szCs w:val="24"/>
        </w:rPr>
        <w:t xml:space="preserve"> </w:t>
      </w:r>
      <w:r w:rsidRPr="00652938" w:rsidR="006C3A84">
        <w:rPr>
          <w:sz w:val="24"/>
          <w:szCs w:val="24"/>
        </w:rPr>
        <w:t xml:space="preserve">but </w:t>
      </w:r>
      <w:r w:rsidRPr="00652938" w:rsidR="00423F43">
        <w:rPr>
          <w:sz w:val="24"/>
          <w:szCs w:val="24"/>
        </w:rPr>
        <w:t xml:space="preserve">will note that they could mail </w:t>
      </w:r>
      <w:r w:rsidRPr="00652938" w:rsidR="006C3A84">
        <w:rPr>
          <w:sz w:val="24"/>
          <w:szCs w:val="24"/>
        </w:rPr>
        <w:t>the hard</w:t>
      </w:r>
      <w:r w:rsidRPr="00652938" w:rsidR="00423F43">
        <w:rPr>
          <w:sz w:val="24"/>
          <w:szCs w:val="24"/>
        </w:rPr>
        <w:t>-</w:t>
      </w:r>
      <w:r w:rsidRPr="00652938" w:rsidR="006C3A84">
        <w:rPr>
          <w:sz w:val="24"/>
          <w:szCs w:val="24"/>
        </w:rPr>
        <w:t xml:space="preserve">copy </w:t>
      </w:r>
      <w:r w:rsidRPr="00652938" w:rsidR="00423F43">
        <w:rPr>
          <w:sz w:val="24"/>
          <w:szCs w:val="24"/>
        </w:rPr>
        <w:t xml:space="preserve">survey via USPS in the return envelope provided </w:t>
      </w:r>
      <w:r w:rsidRPr="00652938" w:rsidR="006C3A84">
        <w:rPr>
          <w:sz w:val="24"/>
          <w:szCs w:val="24"/>
        </w:rPr>
        <w:t>if they so choose. After another two weeks, non</w:t>
      </w:r>
      <w:r w:rsidRPr="00652938" w:rsidR="00423F43">
        <w:rPr>
          <w:sz w:val="24"/>
          <w:szCs w:val="24"/>
        </w:rPr>
        <w:t>-</w:t>
      </w:r>
      <w:r w:rsidRPr="00652938" w:rsidR="006C3A84">
        <w:rPr>
          <w:sz w:val="24"/>
          <w:szCs w:val="24"/>
        </w:rPr>
        <w:t>responders will</w:t>
      </w:r>
      <w:r w:rsidRPr="00652938" w:rsidR="00583044">
        <w:rPr>
          <w:sz w:val="24"/>
          <w:szCs w:val="24"/>
        </w:rPr>
        <w:t xml:space="preserve"> </w:t>
      </w:r>
      <w:r w:rsidRPr="00652938" w:rsidR="006C3A84">
        <w:rPr>
          <w:sz w:val="24"/>
          <w:szCs w:val="24"/>
        </w:rPr>
        <w:t xml:space="preserve">receive another email </w:t>
      </w:r>
      <w:r w:rsidRPr="00652938" w:rsidR="00423F43">
        <w:rPr>
          <w:sz w:val="24"/>
          <w:szCs w:val="24"/>
        </w:rPr>
        <w:t xml:space="preserve">with their unique password and the survey URL </w:t>
      </w:r>
      <w:r w:rsidRPr="00652938" w:rsidR="00BE4E14">
        <w:rPr>
          <w:sz w:val="24"/>
          <w:szCs w:val="24"/>
        </w:rPr>
        <w:t>and</w:t>
      </w:r>
      <w:r w:rsidRPr="00652938" w:rsidR="00423F43">
        <w:rPr>
          <w:sz w:val="24"/>
          <w:szCs w:val="24"/>
        </w:rPr>
        <w:t xml:space="preserve"> </w:t>
      </w:r>
      <w:r w:rsidRPr="00652938" w:rsidR="006C3A84">
        <w:rPr>
          <w:sz w:val="24"/>
          <w:szCs w:val="24"/>
        </w:rPr>
        <w:t xml:space="preserve">a reminder postcard via USPS (Second Reminder). </w:t>
      </w:r>
      <w:r w:rsidRPr="00652938" w:rsidR="00583044">
        <w:rPr>
          <w:sz w:val="24"/>
          <w:szCs w:val="24"/>
        </w:rPr>
        <w:t>One week</w:t>
      </w:r>
      <w:r w:rsidRPr="00652938" w:rsidR="006C3A84">
        <w:rPr>
          <w:sz w:val="24"/>
          <w:szCs w:val="24"/>
        </w:rPr>
        <w:t xml:space="preserve"> after that</w:t>
      </w:r>
      <w:r w:rsidRPr="00652938" w:rsidR="00583044">
        <w:rPr>
          <w:sz w:val="24"/>
          <w:szCs w:val="24"/>
        </w:rPr>
        <w:t>,</w:t>
      </w:r>
      <w:r w:rsidRPr="00652938" w:rsidR="006C3A84">
        <w:rPr>
          <w:sz w:val="24"/>
          <w:szCs w:val="24"/>
        </w:rPr>
        <w:t xml:space="preserve"> </w:t>
      </w:r>
      <w:r w:rsidRPr="00652938" w:rsidR="00423F43">
        <w:rPr>
          <w:sz w:val="24"/>
          <w:szCs w:val="24"/>
        </w:rPr>
        <w:t xml:space="preserve">non-responders to date will receive </w:t>
      </w:r>
      <w:r w:rsidRPr="00652938" w:rsidR="006C3A84">
        <w:rPr>
          <w:sz w:val="24"/>
          <w:szCs w:val="24"/>
        </w:rPr>
        <w:t xml:space="preserve">another </w:t>
      </w:r>
      <w:r w:rsidRPr="00652938" w:rsidR="00423F43">
        <w:rPr>
          <w:sz w:val="24"/>
          <w:szCs w:val="24"/>
        </w:rPr>
        <w:t xml:space="preserve">reminder </w:t>
      </w:r>
      <w:r w:rsidRPr="00652938" w:rsidR="00583044">
        <w:rPr>
          <w:sz w:val="24"/>
          <w:szCs w:val="24"/>
        </w:rPr>
        <w:t xml:space="preserve">email </w:t>
      </w:r>
      <w:r w:rsidRPr="00652938" w:rsidR="00423F43">
        <w:rPr>
          <w:sz w:val="24"/>
          <w:szCs w:val="24"/>
        </w:rPr>
        <w:t xml:space="preserve">with their unique password and the survey URL </w:t>
      </w:r>
      <w:r w:rsidRPr="00652938" w:rsidR="00BE4E14">
        <w:rPr>
          <w:sz w:val="24"/>
          <w:szCs w:val="24"/>
        </w:rPr>
        <w:t>and</w:t>
      </w:r>
      <w:r w:rsidRPr="00652938" w:rsidR="00423F43">
        <w:rPr>
          <w:sz w:val="24"/>
          <w:szCs w:val="24"/>
        </w:rPr>
        <w:t xml:space="preserve"> a reminder mail</w:t>
      </w:r>
      <w:r w:rsidRPr="00652938" w:rsidR="00993927">
        <w:rPr>
          <w:sz w:val="24"/>
          <w:szCs w:val="24"/>
        </w:rPr>
        <w:t>ing</w:t>
      </w:r>
      <w:r w:rsidRPr="00652938" w:rsidR="00423F43">
        <w:rPr>
          <w:sz w:val="24"/>
          <w:szCs w:val="24"/>
        </w:rPr>
        <w:t xml:space="preserve"> via USPS that includes a cover letter, a hard-copy of the survey, and a return envelope </w:t>
      </w:r>
      <w:r w:rsidRPr="00652938" w:rsidR="00583044">
        <w:rPr>
          <w:sz w:val="24"/>
          <w:szCs w:val="24"/>
        </w:rPr>
        <w:t>(Third Reminder)</w:t>
      </w:r>
      <w:r w:rsidRPr="00652938" w:rsidR="00423F43">
        <w:rPr>
          <w:sz w:val="24"/>
          <w:szCs w:val="24"/>
        </w:rPr>
        <w:t>. Approximately</w:t>
      </w:r>
      <w:r w:rsidRPr="00652938" w:rsidR="00583044">
        <w:rPr>
          <w:sz w:val="24"/>
          <w:szCs w:val="24"/>
        </w:rPr>
        <w:t xml:space="preserve"> a week after the third reminder, </w:t>
      </w:r>
      <w:r w:rsidRPr="00652938" w:rsidR="00423F43">
        <w:rPr>
          <w:sz w:val="24"/>
          <w:szCs w:val="24"/>
        </w:rPr>
        <w:t xml:space="preserve">remaining </w:t>
      </w:r>
      <w:r w:rsidRPr="00652938" w:rsidR="00583044">
        <w:rPr>
          <w:sz w:val="24"/>
          <w:szCs w:val="24"/>
        </w:rPr>
        <w:t>non</w:t>
      </w:r>
      <w:r w:rsidRPr="00652938" w:rsidR="001D56A9">
        <w:rPr>
          <w:sz w:val="24"/>
          <w:szCs w:val="24"/>
        </w:rPr>
        <w:t>-</w:t>
      </w:r>
      <w:r w:rsidRPr="00652938" w:rsidR="00583044">
        <w:rPr>
          <w:sz w:val="24"/>
          <w:szCs w:val="24"/>
        </w:rPr>
        <w:t xml:space="preserve">responders will be </w:t>
      </w:r>
      <w:r w:rsidRPr="00652938" w:rsidR="00423F43">
        <w:rPr>
          <w:sz w:val="24"/>
          <w:szCs w:val="24"/>
        </w:rPr>
        <w:t xml:space="preserve">contacted by telephone and </w:t>
      </w:r>
      <w:r w:rsidRPr="00652938" w:rsidR="00583044">
        <w:rPr>
          <w:sz w:val="24"/>
          <w:szCs w:val="24"/>
        </w:rPr>
        <w:t>offered the opportunity to do the survey over the phone.</w:t>
      </w:r>
    </w:p>
    <w:p w:rsidRPr="00652938" w:rsidR="00CF1343" w:rsidP="00652938" w:rsidRDefault="00583044" w14:paraId="53BDAB2D" w14:textId="1064B43B">
      <w:pPr>
        <w:pStyle w:val="BodyTextFirstIndent"/>
        <w:ind w:firstLine="0"/>
        <w:rPr>
          <w:sz w:val="24"/>
          <w:szCs w:val="24"/>
        </w:rPr>
      </w:pPr>
      <w:r w:rsidRPr="00652938">
        <w:rPr>
          <w:sz w:val="24"/>
          <w:szCs w:val="24"/>
        </w:rPr>
        <w:t xml:space="preserve">Considering that the respondent population comprises technologically up-to-date businesses, FDA </w:t>
      </w:r>
      <w:r w:rsidRPr="00652938" w:rsidR="00560099">
        <w:rPr>
          <w:sz w:val="24"/>
          <w:szCs w:val="24"/>
        </w:rPr>
        <w:t>is hopeful for at</w:t>
      </w:r>
      <w:r w:rsidRPr="00652938">
        <w:rPr>
          <w:sz w:val="24"/>
          <w:szCs w:val="24"/>
        </w:rPr>
        <w:t xml:space="preserve"> least 80 percent of responses to be submitted electronically. </w:t>
      </w:r>
      <w:r w:rsidRPr="00652938" w:rsidR="00CF1343">
        <w:rPr>
          <w:sz w:val="24"/>
          <w:szCs w:val="24"/>
        </w:rPr>
        <w:t xml:space="preserve">The online survey software eliminates the </w:t>
      </w:r>
      <w:r w:rsidRPr="00652938" w:rsidR="009865D8">
        <w:rPr>
          <w:sz w:val="24"/>
          <w:szCs w:val="24"/>
        </w:rPr>
        <w:t xml:space="preserve">respondents’ </w:t>
      </w:r>
      <w:r w:rsidRPr="00652938" w:rsidR="00CF1343">
        <w:rPr>
          <w:sz w:val="24"/>
          <w:szCs w:val="24"/>
        </w:rPr>
        <w:t>burden of</w:t>
      </w:r>
      <w:r w:rsidRPr="00652938" w:rsidR="009865D8">
        <w:rPr>
          <w:sz w:val="24"/>
          <w:szCs w:val="24"/>
        </w:rPr>
        <w:t xml:space="preserve"> </w:t>
      </w:r>
      <w:r w:rsidRPr="00652938" w:rsidR="00CF1343">
        <w:rPr>
          <w:sz w:val="24"/>
          <w:szCs w:val="24"/>
        </w:rPr>
        <w:t xml:space="preserve">following the </w:t>
      </w:r>
      <w:r w:rsidRPr="00652938" w:rsidR="00A214C1">
        <w:rPr>
          <w:sz w:val="24"/>
          <w:szCs w:val="24"/>
        </w:rPr>
        <w:t xml:space="preserve">paper </w:t>
      </w:r>
      <w:r w:rsidRPr="00652938" w:rsidR="00CF1343">
        <w:rPr>
          <w:sz w:val="24"/>
          <w:szCs w:val="24"/>
        </w:rPr>
        <w:t xml:space="preserve">survey’s skip patterns, as </w:t>
      </w:r>
      <w:r w:rsidRPr="00652938" w:rsidR="009865D8">
        <w:rPr>
          <w:sz w:val="24"/>
          <w:szCs w:val="24"/>
        </w:rPr>
        <w:t xml:space="preserve">the software </w:t>
      </w:r>
      <w:r w:rsidRPr="00652938" w:rsidR="00CF1343">
        <w:rPr>
          <w:sz w:val="24"/>
          <w:szCs w:val="24"/>
        </w:rPr>
        <w:t>follows the skip patterns automatically</w:t>
      </w:r>
      <w:r w:rsidRPr="00652938" w:rsidR="00305F47">
        <w:rPr>
          <w:sz w:val="24"/>
          <w:szCs w:val="24"/>
        </w:rPr>
        <w:t>, thus eliminating a potential source of respondent error.</w:t>
      </w:r>
      <w:r w:rsidRPr="00652938" w:rsidR="00CF1343">
        <w:rPr>
          <w:sz w:val="24"/>
          <w:szCs w:val="24"/>
        </w:rPr>
        <w:t xml:space="preserve"> The online survey will also have explanatory mouse-over pop-up balloons that explain some terms identified as potential</w:t>
      </w:r>
      <w:r w:rsidRPr="00652938" w:rsidR="009706E6">
        <w:rPr>
          <w:sz w:val="24"/>
          <w:szCs w:val="24"/>
        </w:rPr>
        <w:t xml:space="preserve"> frequently asked questions (</w:t>
      </w:r>
      <w:r w:rsidRPr="00652938" w:rsidR="00CF1343">
        <w:rPr>
          <w:sz w:val="24"/>
          <w:szCs w:val="24"/>
        </w:rPr>
        <w:t>FAQs</w:t>
      </w:r>
      <w:r w:rsidRPr="00652938" w:rsidR="009706E6">
        <w:rPr>
          <w:sz w:val="24"/>
          <w:szCs w:val="24"/>
        </w:rPr>
        <w:t>)</w:t>
      </w:r>
      <w:r w:rsidRPr="00652938" w:rsidR="00CF1343">
        <w:rPr>
          <w:sz w:val="24"/>
          <w:szCs w:val="24"/>
        </w:rPr>
        <w:t xml:space="preserve">. This feature, while impractical to include fully in the paper survey, can reduce the need for calls to the survey </w:t>
      </w:r>
      <w:r w:rsidRPr="00652938" w:rsidR="00CF1343">
        <w:rPr>
          <w:sz w:val="24"/>
          <w:szCs w:val="24"/>
        </w:rPr>
        <w:lastRenderedPageBreak/>
        <w:t xml:space="preserve">helpline and thus reduce respondent burden. </w:t>
      </w:r>
      <w:r w:rsidRPr="00652938" w:rsidR="00305F47">
        <w:rPr>
          <w:sz w:val="24"/>
          <w:szCs w:val="24"/>
        </w:rPr>
        <w:t>It also saves respondents’ time by eliminating the need to refer back to a separate</w:t>
      </w:r>
      <w:r w:rsidRPr="00652938" w:rsidR="001D56A9">
        <w:rPr>
          <w:sz w:val="24"/>
          <w:szCs w:val="24"/>
        </w:rPr>
        <w:t xml:space="preserve"> Glossary section that is included with the </w:t>
      </w:r>
      <w:r w:rsidRPr="00652938" w:rsidR="00A214C1">
        <w:rPr>
          <w:sz w:val="24"/>
          <w:szCs w:val="24"/>
        </w:rPr>
        <w:t>paper</w:t>
      </w:r>
      <w:r w:rsidRPr="00652938" w:rsidR="001D56A9">
        <w:rPr>
          <w:sz w:val="24"/>
          <w:szCs w:val="24"/>
        </w:rPr>
        <w:t xml:space="preserve"> survey.</w:t>
      </w:r>
      <w:r w:rsidRPr="00652938" w:rsidR="00305F47">
        <w:rPr>
          <w:sz w:val="24"/>
          <w:szCs w:val="24"/>
        </w:rPr>
        <w:t xml:space="preserve"> </w:t>
      </w:r>
      <w:r w:rsidRPr="00652938" w:rsidR="00E07B4C">
        <w:rPr>
          <w:sz w:val="24"/>
          <w:szCs w:val="24"/>
        </w:rPr>
        <w:t xml:space="preserve">There </w:t>
      </w:r>
      <w:r w:rsidRPr="00652938" w:rsidR="00DC394E">
        <w:rPr>
          <w:sz w:val="24"/>
          <w:szCs w:val="24"/>
        </w:rPr>
        <w:t xml:space="preserve">will </w:t>
      </w:r>
      <w:r w:rsidRPr="00652938" w:rsidR="00E07B4C">
        <w:rPr>
          <w:sz w:val="24"/>
          <w:szCs w:val="24"/>
        </w:rPr>
        <w:t xml:space="preserve">also </w:t>
      </w:r>
      <w:r w:rsidRPr="00652938" w:rsidR="00DC394E">
        <w:rPr>
          <w:sz w:val="24"/>
          <w:szCs w:val="24"/>
        </w:rPr>
        <w:t xml:space="preserve">be </w:t>
      </w:r>
      <w:r w:rsidRPr="00652938" w:rsidR="00E07B4C">
        <w:rPr>
          <w:sz w:val="24"/>
          <w:szCs w:val="24"/>
        </w:rPr>
        <w:t xml:space="preserve">a dedicated email address </w:t>
      </w:r>
      <w:r w:rsidRPr="00652938" w:rsidR="00A214C1">
        <w:rPr>
          <w:sz w:val="24"/>
          <w:szCs w:val="24"/>
        </w:rPr>
        <w:t xml:space="preserve">to which </w:t>
      </w:r>
      <w:r w:rsidRPr="00652938" w:rsidR="00E07B4C">
        <w:rPr>
          <w:sz w:val="24"/>
          <w:szCs w:val="24"/>
        </w:rPr>
        <w:t xml:space="preserve">respondents </w:t>
      </w:r>
      <w:r w:rsidRPr="00652938" w:rsidR="00DC394E">
        <w:rPr>
          <w:sz w:val="24"/>
          <w:szCs w:val="24"/>
        </w:rPr>
        <w:t xml:space="preserve">will be able to </w:t>
      </w:r>
      <w:r w:rsidRPr="00652938" w:rsidR="00E07B4C">
        <w:rPr>
          <w:sz w:val="24"/>
          <w:szCs w:val="24"/>
        </w:rPr>
        <w:t xml:space="preserve">submit </w:t>
      </w:r>
      <w:r w:rsidRPr="00652938" w:rsidR="00DC394E">
        <w:rPr>
          <w:sz w:val="24"/>
          <w:szCs w:val="24"/>
        </w:rPr>
        <w:t xml:space="preserve">their </w:t>
      </w:r>
      <w:r w:rsidRPr="00652938" w:rsidR="00E07B4C">
        <w:rPr>
          <w:sz w:val="24"/>
          <w:szCs w:val="24"/>
        </w:rPr>
        <w:t>questions.</w:t>
      </w:r>
    </w:p>
    <w:p w:rsidRPr="00652938" w:rsidR="0064259F" w:rsidP="00652938" w:rsidRDefault="00C01EA0" w14:paraId="2E5CD1A3" w14:textId="2359F24B">
      <w:pPr>
        <w:pStyle w:val="Heading2"/>
        <w:ind w:left="0" w:firstLine="0"/>
        <w:rPr>
          <w:rFonts w:ascii="Times New Roman" w:hAnsi="Times New Roman"/>
          <w:szCs w:val="24"/>
        </w:rPr>
      </w:pPr>
      <w:bookmarkStart w:name="_Toc410331578" w:id="16"/>
      <w:bookmarkStart w:name="_Toc410331684" w:id="17"/>
      <w:bookmarkStart w:name="_Toc429570372" w:id="18"/>
      <w:bookmarkStart w:name="_Toc431546779" w:id="19"/>
      <w:bookmarkStart w:name="DuplicationofEfforts" w:id="20"/>
      <w:r>
        <w:rPr>
          <w:rFonts w:ascii="Times New Roman" w:hAnsi="Times New Roman"/>
          <w:b w:val="0"/>
          <w:szCs w:val="24"/>
        </w:rPr>
        <w:t>4.</w:t>
      </w:r>
      <w:r>
        <w:rPr>
          <w:rFonts w:ascii="Times New Roman" w:hAnsi="Times New Roman"/>
          <w:b w:val="0"/>
          <w:szCs w:val="24"/>
        </w:rPr>
        <w:tab/>
      </w:r>
      <w:r>
        <w:rPr>
          <w:rFonts w:ascii="Times New Roman" w:hAnsi="Times New Roman"/>
          <w:b w:val="0"/>
          <w:szCs w:val="24"/>
          <w:u w:val="single"/>
        </w:rPr>
        <w:t xml:space="preserve">Efforts to Identify </w:t>
      </w:r>
      <w:r w:rsidRPr="00652938" w:rsidR="0064259F">
        <w:rPr>
          <w:rFonts w:ascii="Times New Roman" w:hAnsi="Times New Roman"/>
          <w:b w:val="0"/>
          <w:szCs w:val="24"/>
        </w:rPr>
        <w:t xml:space="preserve">Duplication </w:t>
      </w:r>
      <w:r>
        <w:rPr>
          <w:rFonts w:ascii="Times New Roman" w:hAnsi="Times New Roman"/>
          <w:b w:val="0"/>
          <w:szCs w:val="24"/>
        </w:rPr>
        <w:t>and Use of Similar Information</w:t>
      </w:r>
      <w:bookmarkEnd w:id="16"/>
      <w:bookmarkEnd w:id="17"/>
      <w:bookmarkEnd w:id="18"/>
      <w:bookmarkEnd w:id="19"/>
    </w:p>
    <w:bookmarkEnd w:id="20"/>
    <w:p w:rsidRPr="00C01EA0" w:rsidR="0064259F" w:rsidP="00652938" w:rsidRDefault="0064259F" w14:paraId="39E33075" w14:textId="3FD744F1">
      <w:pPr>
        <w:pStyle w:val="BodyTextFirstIndent"/>
        <w:ind w:firstLine="0"/>
        <w:rPr>
          <w:szCs w:val="22"/>
        </w:rPr>
      </w:pPr>
      <w:r w:rsidRPr="00652938">
        <w:rPr>
          <w:sz w:val="24"/>
          <w:szCs w:val="24"/>
        </w:rPr>
        <w:t>This information collection does not duplicate any other effort</w:t>
      </w:r>
      <w:r w:rsidRPr="00652938" w:rsidR="00DC3F1E">
        <w:rPr>
          <w:sz w:val="24"/>
          <w:szCs w:val="24"/>
        </w:rPr>
        <w:t>.</w:t>
      </w:r>
      <w:r w:rsidRPr="00652938">
        <w:rPr>
          <w:sz w:val="24"/>
          <w:szCs w:val="24"/>
        </w:rPr>
        <w:t xml:space="preserve"> </w:t>
      </w:r>
      <w:r w:rsidRPr="00652938" w:rsidR="00C940EC">
        <w:rPr>
          <w:sz w:val="24"/>
          <w:szCs w:val="24"/>
        </w:rPr>
        <w:t xml:space="preserve">A </w:t>
      </w:r>
      <w:r w:rsidRPr="00652938" w:rsidR="005A6F15">
        <w:rPr>
          <w:sz w:val="24"/>
          <w:szCs w:val="24"/>
        </w:rPr>
        <w:t xml:space="preserve">comprehensive review of </w:t>
      </w:r>
      <w:r w:rsidRPr="00652938" w:rsidR="00C940EC">
        <w:rPr>
          <w:sz w:val="24"/>
          <w:szCs w:val="24"/>
        </w:rPr>
        <w:t xml:space="preserve">academic </w:t>
      </w:r>
      <w:r w:rsidRPr="00652938" w:rsidR="00E550E6">
        <w:rPr>
          <w:sz w:val="24"/>
          <w:szCs w:val="24"/>
        </w:rPr>
        <w:t xml:space="preserve">and trade </w:t>
      </w:r>
      <w:r w:rsidRPr="00652938" w:rsidR="005A6F15">
        <w:rPr>
          <w:sz w:val="24"/>
          <w:szCs w:val="24"/>
        </w:rPr>
        <w:t xml:space="preserve">literature did not identify any </w:t>
      </w:r>
      <w:r w:rsidRPr="00652938" w:rsidR="00E550E6">
        <w:rPr>
          <w:sz w:val="24"/>
          <w:szCs w:val="24"/>
        </w:rPr>
        <w:t xml:space="preserve">data collection </w:t>
      </w:r>
      <w:r w:rsidRPr="00652938" w:rsidR="005A6F15">
        <w:rPr>
          <w:sz w:val="24"/>
          <w:szCs w:val="24"/>
        </w:rPr>
        <w:t xml:space="preserve">on drug </w:t>
      </w:r>
      <w:r w:rsidRPr="00652938" w:rsidR="0055463B">
        <w:rPr>
          <w:sz w:val="24"/>
          <w:szCs w:val="24"/>
        </w:rPr>
        <w:t xml:space="preserve">product </w:t>
      </w:r>
      <w:r w:rsidRPr="00652938" w:rsidR="005A6F15">
        <w:rPr>
          <w:sz w:val="24"/>
          <w:szCs w:val="24"/>
        </w:rPr>
        <w:t>manufacturing</w:t>
      </w:r>
      <w:r w:rsidRPr="00652938" w:rsidR="00D81BF2">
        <w:rPr>
          <w:sz w:val="24"/>
          <w:szCs w:val="24"/>
        </w:rPr>
        <w:t xml:space="preserve">, processing and packing </w:t>
      </w:r>
      <w:r w:rsidRPr="00652938" w:rsidR="005A6F15">
        <w:rPr>
          <w:sz w:val="24"/>
          <w:szCs w:val="24"/>
        </w:rPr>
        <w:t xml:space="preserve">practices that can be used in economic analyses of potential updates to </w:t>
      </w:r>
      <w:r w:rsidRPr="00652938" w:rsidR="00E550E6">
        <w:rPr>
          <w:sz w:val="24"/>
          <w:szCs w:val="24"/>
        </w:rPr>
        <w:t>CGMP</w:t>
      </w:r>
      <w:r w:rsidRPr="00652938" w:rsidR="005A6F15">
        <w:rPr>
          <w:sz w:val="24"/>
          <w:szCs w:val="24"/>
        </w:rPr>
        <w:t xml:space="preserve"> regulations</w:t>
      </w:r>
      <w:r w:rsidRPr="00C01EA0" w:rsidR="005A6F15">
        <w:rPr>
          <w:szCs w:val="22"/>
        </w:rPr>
        <w:t>.</w:t>
      </w:r>
      <w:r w:rsidRPr="00C01EA0" w:rsidR="00E550E6">
        <w:rPr>
          <w:szCs w:val="22"/>
        </w:rPr>
        <w:t xml:space="preserve"> </w:t>
      </w:r>
    </w:p>
    <w:p w:rsidRPr="00652938" w:rsidR="0064259F" w:rsidP="00652938" w:rsidRDefault="008C718D" w14:paraId="5BC6D4F7" w14:textId="589A8797">
      <w:pPr>
        <w:pStyle w:val="Heading2"/>
        <w:ind w:left="0" w:firstLine="0"/>
        <w:rPr>
          <w:rFonts w:ascii="Times New Roman" w:hAnsi="Times New Roman"/>
          <w:b w:val="0"/>
          <w:szCs w:val="24"/>
        </w:rPr>
      </w:pPr>
      <w:bookmarkStart w:name="_Toc410331579" w:id="21"/>
      <w:bookmarkStart w:name="_Toc410331685" w:id="22"/>
      <w:bookmarkStart w:name="_Toc429570373" w:id="23"/>
      <w:bookmarkStart w:name="_Toc431546780" w:id="24"/>
      <w:bookmarkStart w:name="SmallBusinesses" w:id="25"/>
      <w:r w:rsidRPr="00921DF0">
        <w:rPr>
          <w:rFonts w:ascii="Times New Roman" w:hAnsi="Times New Roman"/>
          <w:b w:val="0"/>
          <w:szCs w:val="24"/>
        </w:rPr>
        <w:t>5.</w:t>
      </w:r>
      <w:r w:rsidRPr="00921DF0">
        <w:rPr>
          <w:rFonts w:ascii="Times New Roman" w:hAnsi="Times New Roman"/>
          <w:b w:val="0"/>
          <w:szCs w:val="24"/>
        </w:rPr>
        <w:tab/>
      </w:r>
      <w:r w:rsidR="00C01EA0">
        <w:rPr>
          <w:rFonts w:ascii="Times New Roman" w:hAnsi="Times New Roman"/>
          <w:b w:val="0"/>
          <w:szCs w:val="24"/>
          <w:u w:val="single"/>
        </w:rPr>
        <w:t xml:space="preserve">Impact of </w:t>
      </w:r>
      <w:r w:rsidRPr="00652938" w:rsidR="0064259F">
        <w:rPr>
          <w:rFonts w:ascii="Times New Roman" w:hAnsi="Times New Roman"/>
          <w:b w:val="0"/>
          <w:szCs w:val="24"/>
          <w:u w:val="single"/>
        </w:rPr>
        <w:t>Small Businesses</w:t>
      </w:r>
      <w:bookmarkEnd w:id="21"/>
      <w:bookmarkEnd w:id="22"/>
      <w:bookmarkEnd w:id="23"/>
      <w:bookmarkEnd w:id="24"/>
      <w:r w:rsidR="00C01EA0">
        <w:rPr>
          <w:rFonts w:ascii="Times New Roman" w:hAnsi="Times New Roman"/>
          <w:b w:val="0"/>
          <w:szCs w:val="24"/>
          <w:u w:val="single"/>
        </w:rPr>
        <w:t xml:space="preserve"> or Other Small Entities</w:t>
      </w:r>
    </w:p>
    <w:bookmarkEnd w:id="25"/>
    <w:p w:rsidRPr="00652938" w:rsidR="004840A0" w:rsidP="00652938" w:rsidRDefault="00E04702" w14:paraId="66CE6B99" w14:textId="51CCEC61">
      <w:pPr>
        <w:pStyle w:val="xmsobodytextfirstindent"/>
        <w:numPr>
          <w:ilvl w:val="0"/>
          <w:numId w:val="10"/>
        </w:numPr>
        <w:ind w:left="0" w:firstLine="0"/>
        <w:rPr>
          <w:sz w:val="24"/>
          <w:szCs w:val="24"/>
        </w:rPr>
      </w:pPr>
      <w:r w:rsidRPr="00652938">
        <w:rPr>
          <w:sz w:val="24"/>
          <w:szCs w:val="24"/>
        </w:rPr>
        <w:t>The survey sample will include small businesses, which, for “Pharmaceutical Preparation Manufacturing” (NAICS 325412) and “Biological Product (except Diagnostic) Manufacturing” (NAICS 325414), the Small Business Administration (SBA) defines as those firms with fewer than 1,250 employees (SBA, 2017). Their burden is minimized because the online survey, which we expect most targeted facilities to use, accommodates interruptions, i.e., respondents can close the survey web page and return to where they left off simply by logging on again. Further, the majority of survey questions are closed-end</w:t>
      </w:r>
      <w:r w:rsidRPr="00652938" w:rsidR="0055463B">
        <w:rPr>
          <w:sz w:val="24"/>
          <w:szCs w:val="24"/>
        </w:rPr>
        <w:t>ed questions</w:t>
      </w:r>
      <w:r w:rsidRPr="00652938">
        <w:rPr>
          <w:sz w:val="24"/>
          <w:szCs w:val="24"/>
        </w:rPr>
        <w:t xml:space="preserve">; only two questions ask the respondents for verbatim, open-ended answers. Also, there will be a toll-free helpline number to call if facilities have questions about their survey eligibility or any other aspect of the survey. In addition, some </w:t>
      </w:r>
      <w:r w:rsidRPr="00652938" w:rsidR="004840A0">
        <w:rPr>
          <w:sz w:val="24"/>
          <w:szCs w:val="24"/>
        </w:rPr>
        <w:t xml:space="preserve">small businesses </w:t>
      </w:r>
      <w:r w:rsidRPr="00652938" w:rsidR="004D3EBE">
        <w:rPr>
          <w:sz w:val="24"/>
          <w:szCs w:val="24"/>
        </w:rPr>
        <w:t xml:space="preserve">will </w:t>
      </w:r>
      <w:r w:rsidRPr="00652938" w:rsidR="004840A0">
        <w:rPr>
          <w:sz w:val="24"/>
          <w:szCs w:val="24"/>
        </w:rPr>
        <w:t xml:space="preserve">not be in-scope because they are not </w:t>
      </w:r>
      <w:r w:rsidRPr="00652938" w:rsidR="0055463B">
        <w:rPr>
          <w:sz w:val="24"/>
          <w:szCs w:val="24"/>
        </w:rPr>
        <w:t xml:space="preserve">drug product </w:t>
      </w:r>
      <w:r w:rsidRPr="00652938" w:rsidR="004840A0">
        <w:rPr>
          <w:sz w:val="24"/>
          <w:szCs w:val="24"/>
        </w:rPr>
        <w:t xml:space="preserve">manufacturers, processors or packers. These small businesses will </w:t>
      </w:r>
      <w:r w:rsidRPr="00652938" w:rsidR="004D3EBE">
        <w:rPr>
          <w:sz w:val="24"/>
          <w:szCs w:val="24"/>
        </w:rPr>
        <w:t xml:space="preserve">be screened out after answering just seven demographic questions about their facility size and main line of business. </w:t>
      </w:r>
    </w:p>
    <w:p w:rsidRPr="00652938" w:rsidR="0064259F" w:rsidP="00652938" w:rsidRDefault="00C01EA0" w14:paraId="69832623" w14:textId="4028C3BB">
      <w:pPr>
        <w:pStyle w:val="Heading2"/>
        <w:ind w:left="0" w:firstLine="0"/>
        <w:rPr>
          <w:rFonts w:ascii="Times New Roman" w:hAnsi="Times New Roman"/>
          <w:b w:val="0"/>
          <w:szCs w:val="24"/>
          <w:u w:val="single"/>
        </w:rPr>
      </w:pPr>
      <w:bookmarkStart w:name="_Toc410331580" w:id="26"/>
      <w:bookmarkStart w:name="_Toc410331686" w:id="27"/>
      <w:bookmarkStart w:name="_Toc429570374" w:id="28"/>
      <w:bookmarkStart w:name="_Toc431546781" w:id="29"/>
      <w:r>
        <w:rPr>
          <w:rFonts w:ascii="Times New Roman" w:hAnsi="Times New Roman"/>
          <w:b w:val="0"/>
          <w:szCs w:val="24"/>
        </w:rPr>
        <w:t>6.</w:t>
      </w:r>
      <w:r>
        <w:rPr>
          <w:rFonts w:ascii="Times New Roman" w:hAnsi="Times New Roman"/>
          <w:b w:val="0"/>
          <w:szCs w:val="24"/>
        </w:rPr>
        <w:tab/>
      </w:r>
      <w:r w:rsidRPr="00652938" w:rsidR="00C17FEE">
        <w:rPr>
          <w:rFonts w:ascii="Times New Roman" w:hAnsi="Times New Roman"/>
          <w:b w:val="0"/>
          <w:szCs w:val="24"/>
          <w:u w:val="single"/>
        </w:rPr>
        <w:t>Consequences of Not Collecting the Information</w:t>
      </w:r>
      <w:bookmarkEnd w:id="26"/>
      <w:bookmarkEnd w:id="27"/>
      <w:bookmarkEnd w:id="28"/>
      <w:bookmarkEnd w:id="29"/>
      <w:r>
        <w:rPr>
          <w:rFonts w:ascii="Times New Roman" w:hAnsi="Times New Roman"/>
          <w:b w:val="0"/>
          <w:szCs w:val="24"/>
          <w:u w:val="single"/>
        </w:rPr>
        <w:t xml:space="preserve"> Less Frequently</w:t>
      </w:r>
    </w:p>
    <w:p w:rsidRPr="00652938" w:rsidR="00C17FEE" w:rsidP="00652938" w:rsidRDefault="00C17FEE" w14:paraId="675B0E6A" w14:textId="0B50108E">
      <w:pPr>
        <w:pStyle w:val="BodyTextFirstIndent"/>
        <w:ind w:firstLine="0"/>
        <w:rPr>
          <w:sz w:val="24"/>
          <w:szCs w:val="24"/>
        </w:rPr>
      </w:pPr>
      <w:bookmarkStart w:name="LessFrequentCollection" w:id="30"/>
      <w:r w:rsidRPr="00652938">
        <w:rPr>
          <w:sz w:val="24"/>
          <w:szCs w:val="24"/>
        </w:rPr>
        <w:t xml:space="preserve">Failure to obtain the data </w:t>
      </w:r>
      <w:r w:rsidRPr="00652938" w:rsidR="006A5D4E">
        <w:rPr>
          <w:sz w:val="24"/>
          <w:szCs w:val="24"/>
        </w:rPr>
        <w:t>provided by</w:t>
      </w:r>
      <w:r w:rsidRPr="00652938">
        <w:rPr>
          <w:sz w:val="24"/>
          <w:szCs w:val="24"/>
        </w:rPr>
        <w:t xml:space="preserve"> this collection will </w:t>
      </w:r>
      <w:r w:rsidRPr="00652938" w:rsidR="00934852">
        <w:rPr>
          <w:sz w:val="24"/>
          <w:szCs w:val="24"/>
        </w:rPr>
        <w:t xml:space="preserve">adversely impact FDA’s ability to conduct a </w:t>
      </w:r>
      <w:r w:rsidRPr="00652938" w:rsidR="00560099">
        <w:rPr>
          <w:sz w:val="24"/>
          <w:szCs w:val="24"/>
        </w:rPr>
        <w:t xml:space="preserve">thorough </w:t>
      </w:r>
      <w:r w:rsidRPr="00652938" w:rsidR="00934852">
        <w:rPr>
          <w:sz w:val="24"/>
          <w:szCs w:val="24"/>
        </w:rPr>
        <w:t xml:space="preserve">analysis </w:t>
      </w:r>
      <w:r w:rsidRPr="00652938">
        <w:rPr>
          <w:sz w:val="24"/>
          <w:szCs w:val="24"/>
        </w:rPr>
        <w:t xml:space="preserve">of the </w:t>
      </w:r>
      <w:r w:rsidRPr="00652938" w:rsidR="00934852">
        <w:rPr>
          <w:sz w:val="24"/>
          <w:szCs w:val="24"/>
        </w:rPr>
        <w:t xml:space="preserve">economic </w:t>
      </w:r>
      <w:r w:rsidRPr="00652938">
        <w:rPr>
          <w:sz w:val="24"/>
          <w:szCs w:val="24"/>
        </w:rPr>
        <w:t>impacts of potential updates to CGMP standards</w:t>
      </w:r>
      <w:r w:rsidRPr="00652938" w:rsidR="00934852">
        <w:rPr>
          <w:sz w:val="24"/>
          <w:szCs w:val="24"/>
        </w:rPr>
        <w:t xml:space="preserve"> </w:t>
      </w:r>
      <w:r w:rsidRPr="00652938" w:rsidR="003B1B39">
        <w:rPr>
          <w:sz w:val="24"/>
          <w:szCs w:val="24"/>
        </w:rPr>
        <w:t>i</w:t>
      </w:r>
      <w:r w:rsidRPr="00652938" w:rsidR="00934852">
        <w:rPr>
          <w:sz w:val="24"/>
          <w:szCs w:val="24"/>
        </w:rPr>
        <w:t xml:space="preserve">n the drug </w:t>
      </w:r>
      <w:r w:rsidRPr="00652938" w:rsidR="0055463B">
        <w:rPr>
          <w:sz w:val="24"/>
          <w:szCs w:val="24"/>
        </w:rPr>
        <w:t xml:space="preserve">product </w:t>
      </w:r>
      <w:r w:rsidRPr="00652938" w:rsidR="00934852">
        <w:rPr>
          <w:sz w:val="24"/>
          <w:szCs w:val="24"/>
        </w:rPr>
        <w:t>manufacturing</w:t>
      </w:r>
      <w:r w:rsidRPr="00652938" w:rsidR="00025A0A">
        <w:rPr>
          <w:sz w:val="24"/>
          <w:szCs w:val="24"/>
        </w:rPr>
        <w:t xml:space="preserve">, processing and packing </w:t>
      </w:r>
      <w:r w:rsidRPr="00652938" w:rsidR="00934852">
        <w:rPr>
          <w:sz w:val="24"/>
          <w:szCs w:val="24"/>
        </w:rPr>
        <w:t>industry</w:t>
      </w:r>
      <w:r w:rsidRPr="00652938">
        <w:rPr>
          <w:sz w:val="24"/>
          <w:szCs w:val="24"/>
        </w:rPr>
        <w:t xml:space="preserve">. </w:t>
      </w:r>
      <w:bookmarkStart w:name="_Hlk23425999" w:id="31"/>
      <w:r w:rsidRPr="00652938" w:rsidR="00764A5A">
        <w:rPr>
          <w:sz w:val="24"/>
          <w:szCs w:val="24"/>
          <w:shd w:val="clear" w:color="auto" w:fill="FFFFFF" w:themeFill="background1"/>
        </w:rPr>
        <w:t>Failure to collect this information may also impede FDA’s efforts to demonstrate current drug industry practices and develop and issue documents, including regulations, that would most benefit facilities with their CGMP practices.</w:t>
      </w:r>
      <w:bookmarkEnd w:id="31"/>
    </w:p>
    <w:p w:rsidRPr="00652938" w:rsidR="0064259F" w:rsidP="00652938" w:rsidRDefault="00961C08" w14:paraId="2B44E275" w14:textId="07CB805B">
      <w:pPr>
        <w:pStyle w:val="Heading2"/>
        <w:ind w:left="0" w:firstLine="0"/>
        <w:rPr>
          <w:rFonts w:ascii="Times New Roman" w:hAnsi="Times New Roman"/>
          <w:b w:val="0"/>
          <w:szCs w:val="24"/>
          <w:u w:val="single"/>
        </w:rPr>
      </w:pPr>
      <w:bookmarkStart w:name="_Toc410331581" w:id="32"/>
      <w:bookmarkStart w:name="_Toc410331687" w:id="33"/>
      <w:bookmarkStart w:name="_Toc429570375" w:id="34"/>
      <w:bookmarkStart w:name="_Toc431546782" w:id="35"/>
      <w:bookmarkStart w:name="SpecialCircumstances" w:id="36"/>
      <w:bookmarkEnd w:id="30"/>
      <w:r>
        <w:rPr>
          <w:rFonts w:ascii="Times New Roman" w:hAnsi="Times New Roman"/>
          <w:b w:val="0"/>
          <w:szCs w:val="24"/>
        </w:rPr>
        <w:t>7.</w:t>
      </w:r>
      <w:r>
        <w:rPr>
          <w:rFonts w:ascii="Times New Roman" w:hAnsi="Times New Roman"/>
          <w:b w:val="0"/>
          <w:szCs w:val="24"/>
        </w:rPr>
        <w:tab/>
      </w:r>
      <w:r w:rsidRPr="00652938" w:rsidR="0064259F">
        <w:rPr>
          <w:rFonts w:ascii="Times New Roman" w:hAnsi="Times New Roman"/>
          <w:b w:val="0"/>
          <w:szCs w:val="24"/>
          <w:u w:val="single"/>
        </w:rPr>
        <w:t>Special Circumstances</w:t>
      </w:r>
      <w:bookmarkEnd w:id="32"/>
      <w:bookmarkEnd w:id="33"/>
      <w:bookmarkEnd w:id="34"/>
      <w:bookmarkEnd w:id="35"/>
      <w:r>
        <w:rPr>
          <w:rFonts w:ascii="Times New Roman" w:hAnsi="Times New Roman"/>
          <w:b w:val="0"/>
          <w:szCs w:val="24"/>
          <w:u w:val="single"/>
        </w:rPr>
        <w:t xml:space="preserve"> Relating to the Guidelines of 5 CFR 1320.5</w:t>
      </w:r>
    </w:p>
    <w:bookmarkEnd w:id="36"/>
    <w:p w:rsidRPr="00652938" w:rsidR="0064259F" w:rsidP="00921DF0" w:rsidRDefault="0064259F" w14:paraId="0CB07634" w14:textId="1C7AC41C">
      <w:pPr>
        <w:pStyle w:val="BodyTextFirstIndent"/>
        <w:ind w:firstLine="0"/>
        <w:rPr>
          <w:sz w:val="24"/>
          <w:szCs w:val="24"/>
        </w:rPr>
      </w:pPr>
      <w:r w:rsidRPr="00652938">
        <w:rPr>
          <w:sz w:val="24"/>
          <w:szCs w:val="24"/>
        </w:rPr>
        <w:t>There are no special circumstances</w:t>
      </w:r>
      <w:r w:rsidRPr="00652938" w:rsidR="00C249D1">
        <w:rPr>
          <w:sz w:val="24"/>
          <w:szCs w:val="24"/>
        </w:rPr>
        <w:t xml:space="preserve"> </w:t>
      </w:r>
      <w:r w:rsidR="00961C08">
        <w:rPr>
          <w:sz w:val="24"/>
          <w:szCs w:val="24"/>
        </w:rPr>
        <w:t xml:space="preserve">associated with this </w:t>
      </w:r>
      <w:r w:rsidRPr="00652938" w:rsidR="00C249D1">
        <w:rPr>
          <w:sz w:val="24"/>
          <w:szCs w:val="24"/>
        </w:rPr>
        <w:t xml:space="preserve">collection </w:t>
      </w:r>
      <w:r w:rsidR="00961C08">
        <w:rPr>
          <w:sz w:val="24"/>
          <w:szCs w:val="24"/>
        </w:rPr>
        <w:t>of information</w:t>
      </w:r>
      <w:r w:rsidRPr="00652938">
        <w:rPr>
          <w:sz w:val="24"/>
          <w:szCs w:val="24"/>
        </w:rPr>
        <w:t>.</w:t>
      </w:r>
    </w:p>
    <w:p w:rsidRPr="00652938" w:rsidR="0064259F" w:rsidP="00652938" w:rsidRDefault="00961C08" w14:paraId="68B3583E" w14:textId="2F922DA1">
      <w:pPr>
        <w:pStyle w:val="Heading2"/>
        <w:ind w:left="0" w:firstLine="0"/>
        <w:rPr>
          <w:rFonts w:ascii="Times New Roman" w:hAnsi="Times New Roman"/>
          <w:b w:val="0"/>
          <w:szCs w:val="24"/>
          <w:u w:val="single"/>
        </w:rPr>
      </w:pPr>
      <w:bookmarkStart w:name="_Toc403563680" w:id="37"/>
      <w:bookmarkStart w:name="_Toc403563696" w:id="38"/>
      <w:bookmarkStart w:name="_Toc403563712" w:id="39"/>
      <w:bookmarkStart w:name="_Toc410331582" w:id="40"/>
      <w:bookmarkStart w:name="_Toc410331688" w:id="41"/>
      <w:bookmarkStart w:name="_Toc429570376" w:id="42"/>
      <w:bookmarkStart w:name="_Toc431546783" w:id="43"/>
      <w:bookmarkStart w:name="FederalRegister_OutsideConsultation" w:id="44"/>
      <w:bookmarkEnd w:id="37"/>
      <w:bookmarkEnd w:id="38"/>
      <w:bookmarkEnd w:id="39"/>
      <w:r>
        <w:rPr>
          <w:rFonts w:ascii="Times New Roman" w:hAnsi="Times New Roman"/>
          <w:b w:val="0"/>
          <w:szCs w:val="24"/>
        </w:rPr>
        <w:lastRenderedPageBreak/>
        <w:t>8.</w:t>
      </w:r>
      <w:r>
        <w:rPr>
          <w:rFonts w:ascii="Times New Roman" w:hAnsi="Times New Roman"/>
          <w:b w:val="0"/>
          <w:szCs w:val="24"/>
        </w:rPr>
        <w:tab/>
      </w:r>
      <w:r>
        <w:rPr>
          <w:rFonts w:ascii="Times New Roman" w:hAnsi="Times New Roman"/>
          <w:b w:val="0"/>
          <w:szCs w:val="24"/>
          <w:u w:val="single"/>
        </w:rPr>
        <w:t>Comments in Response t</w:t>
      </w:r>
      <w:bookmarkStart w:name="_GoBack" w:id="45"/>
      <w:bookmarkEnd w:id="45"/>
      <w:r>
        <w:rPr>
          <w:rFonts w:ascii="Times New Roman" w:hAnsi="Times New Roman"/>
          <w:b w:val="0"/>
          <w:szCs w:val="24"/>
          <w:u w:val="single"/>
        </w:rPr>
        <w:t xml:space="preserve">o the </w:t>
      </w:r>
      <w:r w:rsidRPr="00652938" w:rsidR="0064259F">
        <w:rPr>
          <w:rFonts w:ascii="Times New Roman" w:hAnsi="Times New Roman"/>
          <w:b w:val="0"/>
          <w:szCs w:val="24"/>
          <w:u w:val="single"/>
        </w:rPr>
        <w:t>Federal Register</w:t>
      </w:r>
      <w:r>
        <w:rPr>
          <w:rFonts w:ascii="Times New Roman" w:hAnsi="Times New Roman"/>
          <w:b w:val="0"/>
          <w:szCs w:val="24"/>
          <w:u w:val="single"/>
        </w:rPr>
        <w:t xml:space="preserve"> Notice and Efforts to Consult </w:t>
      </w:r>
      <w:r w:rsidRPr="00652938" w:rsidR="0064259F">
        <w:rPr>
          <w:rFonts w:ascii="Times New Roman" w:hAnsi="Times New Roman"/>
          <w:b w:val="0"/>
          <w:szCs w:val="24"/>
          <w:u w:val="single"/>
        </w:rPr>
        <w:t xml:space="preserve">Outside </w:t>
      </w:r>
      <w:r>
        <w:rPr>
          <w:rFonts w:ascii="Times New Roman" w:hAnsi="Times New Roman"/>
          <w:b w:val="0"/>
          <w:szCs w:val="24"/>
          <w:u w:val="single"/>
        </w:rPr>
        <w:t>the Agency</w:t>
      </w:r>
      <w:bookmarkEnd w:id="40"/>
      <w:bookmarkEnd w:id="41"/>
      <w:bookmarkEnd w:id="42"/>
      <w:bookmarkEnd w:id="43"/>
    </w:p>
    <w:bookmarkEnd w:id="44"/>
    <w:p w:rsidRPr="00652938" w:rsidR="00934852" w:rsidP="00652938" w:rsidRDefault="00961C08" w14:paraId="6EEEBEBE" w14:textId="3ADBB5F3">
      <w:pPr>
        <w:pStyle w:val="BodyTextFirstIndent"/>
        <w:ind w:firstLine="0"/>
        <w:rPr>
          <w:sz w:val="24"/>
          <w:szCs w:val="24"/>
        </w:rPr>
      </w:pPr>
      <w:r>
        <w:rPr>
          <w:sz w:val="24"/>
          <w:szCs w:val="24"/>
        </w:rPr>
        <w:t xml:space="preserve">FDA published a </w:t>
      </w:r>
      <w:r w:rsidRPr="00652938" w:rsidR="00934852">
        <w:rPr>
          <w:sz w:val="24"/>
          <w:szCs w:val="24"/>
        </w:rPr>
        <w:t>60-day notice</w:t>
      </w:r>
      <w:r>
        <w:rPr>
          <w:sz w:val="24"/>
          <w:szCs w:val="24"/>
        </w:rPr>
        <w:t xml:space="preserve"> for public comment in the </w:t>
      </w:r>
      <w:r>
        <w:rPr>
          <w:i/>
          <w:sz w:val="24"/>
          <w:szCs w:val="24"/>
        </w:rPr>
        <w:t xml:space="preserve">Federal Register </w:t>
      </w:r>
      <w:r>
        <w:rPr>
          <w:sz w:val="24"/>
          <w:szCs w:val="24"/>
        </w:rPr>
        <w:t xml:space="preserve">of September 18, 2020 (85 FR 58370).  Although one comment was received, it was not responsive to the four collection of information topics solicited and therefore will not be discussed in this document.  </w:t>
      </w:r>
    </w:p>
    <w:p w:rsidRPr="00652938" w:rsidR="0064259F" w:rsidP="00652938" w:rsidRDefault="00961C08" w14:paraId="04DAB8B2" w14:textId="15F0752F">
      <w:pPr>
        <w:pStyle w:val="Heading2"/>
        <w:ind w:left="0" w:firstLine="0"/>
        <w:rPr>
          <w:rFonts w:ascii="Times New Roman" w:hAnsi="Times New Roman"/>
          <w:szCs w:val="24"/>
        </w:rPr>
      </w:pPr>
      <w:bookmarkStart w:name="_Toc410331583" w:id="46"/>
      <w:bookmarkStart w:name="_Toc410331689" w:id="47"/>
      <w:bookmarkStart w:name="_Toc429570377" w:id="48"/>
      <w:bookmarkStart w:name="_Toc431546784" w:id="49"/>
      <w:bookmarkStart w:name="Payments_GiftstoRespondents" w:id="50"/>
      <w:r>
        <w:rPr>
          <w:rFonts w:ascii="Times New Roman" w:hAnsi="Times New Roman"/>
          <w:b w:val="0"/>
          <w:szCs w:val="24"/>
        </w:rPr>
        <w:t>9.</w:t>
      </w:r>
      <w:r>
        <w:rPr>
          <w:rFonts w:ascii="Times New Roman" w:hAnsi="Times New Roman"/>
          <w:b w:val="0"/>
          <w:szCs w:val="24"/>
        </w:rPr>
        <w:tab/>
      </w:r>
      <w:r w:rsidR="008C718D">
        <w:rPr>
          <w:rFonts w:ascii="Times New Roman" w:hAnsi="Times New Roman"/>
          <w:b w:val="0"/>
          <w:szCs w:val="24"/>
          <w:u w:val="single"/>
        </w:rPr>
        <w:t xml:space="preserve">Explanation of Any </w:t>
      </w:r>
      <w:r w:rsidRPr="00652938" w:rsidR="0064259F">
        <w:rPr>
          <w:rFonts w:ascii="Times New Roman" w:hAnsi="Times New Roman"/>
          <w:b w:val="0"/>
          <w:szCs w:val="24"/>
          <w:u w:val="single"/>
        </w:rPr>
        <w:t>Payment</w:t>
      </w:r>
      <w:r w:rsidR="008C718D">
        <w:rPr>
          <w:rFonts w:ascii="Times New Roman" w:hAnsi="Times New Roman"/>
          <w:b w:val="0"/>
          <w:szCs w:val="24"/>
          <w:u w:val="single"/>
        </w:rPr>
        <w:t xml:space="preserve"> or </w:t>
      </w:r>
      <w:r w:rsidRPr="00652938" w:rsidR="0064259F">
        <w:rPr>
          <w:rFonts w:ascii="Times New Roman" w:hAnsi="Times New Roman"/>
          <w:b w:val="0"/>
          <w:szCs w:val="24"/>
          <w:u w:val="single"/>
        </w:rPr>
        <w:t>Gift to Respondents</w:t>
      </w:r>
      <w:bookmarkEnd w:id="46"/>
      <w:bookmarkEnd w:id="47"/>
      <w:bookmarkEnd w:id="48"/>
      <w:bookmarkEnd w:id="49"/>
    </w:p>
    <w:bookmarkEnd w:id="50"/>
    <w:p w:rsidRPr="00652938" w:rsidR="00AE7252" w:rsidP="00921DF0" w:rsidRDefault="00B90EF0" w14:paraId="55EC3E48" w14:textId="77777777">
      <w:pPr>
        <w:pStyle w:val="BodyTextFirstIndent"/>
        <w:ind w:firstLine="0"/>
        <w:rPr>
          <w:sz w:val="24"/>
          <w:szCs w:val="24"/>
        </w:rPr>
      </w:pPr>
      <w:r w:rsidRPr="00652938">
        <w:rPr>
          <w:sz w:val="24"/>
          <w:szCs w:val="24"/>
        </w:rPr>
        <w:t>T</w:t>
      </w:r>
      <w:r w:rsidRPr="00652938" w:rsidR="00A271DE">
        <w:rPr>
          <w:sz w:val="24"/>
          <w:szCs w:val="24"/>
        </w:rPr>
        <w:t>here will be no payments or gifts to respond</w:t>
      </w:r>
      <w:r w:rsidRPr="00652938" w:rsidR="00D576A6">
        <w:rPr>
          <w:sz w:val="24"/>
          <w:szCs w:val="24"/>
        </w:rPr>
        <w:t>e</w:t>
      </w:r>
      <w:r w:rsidRPr="00652938" w:rsidR="00A271DE">
        <w:rPr>
          <w:sz w:val="24"/>
          <w:szCs w:val="24"/>
        </w:rPr>
        <w:t>nts.</w:t>
      </w:r>
    </w:p>
    <w:p w:rsidRPr="00652938" w:rsidR="0064259F" w:rsidP="00652938" w:rsidRDefault="008C718D" w14:paraId="631E4425" w14:textId="35E30DB2">
      <w:pPr>
        <w:pStyle w:val="Heading2"/>
        <w:ind w:left="0" w:firstLine="0"/>
        <w:rPr>
          <w:rFonts w:ascii="Times New Roman" w:hAnsi="Times New Roman"/>
          <w:b w:val="0"/>
          <w:szCs w:val="24"/>
          <w:u w:val="single"/>
        </w:rPr>
      </w:pPr>
      <w:bookmarkStart w:name="_Ref406140261" w:id="51"/>
      <w:bookmarkStart w:name="_Toc410331584" w:id="52"/>
      <w:bookmarkStart w:name="_Toc410331690" w:id="53"/>
      <w:bookmarkStart w:name="_Toc429570378" w:id="54"/>
      <w:bookmarkStart w:name="_Toc431546785" w:id="55"/>
      <w:bookmarkStart w:name="Confidentiality" w:id="56"/>
      <w:r>
        <w:rPr>
          <w:rFonts w:ascii="Times New Roman" w:hAnsi="Times New Roman"/>
          <w:b w:val="0"/>
          <w:szCs w:val="24"/>
        </w:rPr>
        <w:t>10.</w:t>
      </w:r>
      <w:r>
        <w:rPr>
          <w:rFonts w:ascii="Times New Roman" w:hAnsi="Times New Roman"/>
          <w:b w:val="0"/>
          <w:szCs w:val="24"/>
        </w:rPr>
        <w:tab/>
      </w:r>
      <w:r w:rsidRPr="009C60C5">
        <w:rPr>
          <w:rFonts w:ascii="Times New Roman" w:hAnsi="Times New Roman"/>
          <w:b w:val="0"/>
          <w:szCs w:val="24"/>
          <w:u w:val="single"/>
        </w:rPr>
        <w:t>Assurance of</w:t>
      </w:r>
      <w:r>
        <w:rPr>
          <w:rFonts w:ascii="Times New Roman" w:hAnsi="Times New Roman"/>
          <w:b w:val="0"/>
          <w:szCs w:val="24"/>
        </w:rPr>
        <w:t xml:space="preserve"> </w:t>
      </w:r>
      <w:r w:rsidRPr="00652938" w:rsidR="0064259F">
        <w:rPr>
          <w:rFonts w:ascii="Times New Roman" w:hAnsi="Times New Roman"/>
          <w:b w:val="0"/>
          <w:szCs w:val="24"/>
          <w:u w:val="single"/>
        </w:rPr>
        <w:t>Confidentiality</w:t>
      </w:r>
      <w:bookmarkEnd w:id="51"/>
      <w:bookmarkEnd w:id="52"/>
      <w:bookmarkEnd w:id="53"/>
      <w:bookmarkEnd w:id="54"/>
      <w:bookmarkEnd w:id="55"/>
      <w:bookmarkEnd w:id="56"/>
      <w:r>
        <w:rPr>
          <w:rFonts w:ascii="Times New Roman" w:hAnsi="Times New Roman"/>
          <w:b w:val="0"/>
          <w:szCs w:val="24"/>
          <w:u w:val="single"/>
        </w:rPr>
        <w:t xml:space="preserve"> Provided to Respondents</w:t>
      </w:r>
    </w:p>
    <w:p w:rsidRPr="00652938" w:rsidR="000F532F" w:rsidP="00652938" w:rsidRDefault="000F532F" w14:paraId="66C99C58" w14:textId="11D03FD6">
      <w:pPr>
        <w:pStyle w:val="BodyTextFirstIndent"/>
        <w:ind w:firstLine="0"/>
        <w:rPr>
          <w:sz w:val="24"/>
          <w:szCs w:val="24"/>
        </w:rPr>
      </w:pPr>
      <w:r w:rsidRPr="00652938">
        <w:rPr>
          <w:sz w:val="24"/>
          <w:szCs w:val="24"/>
        </w:rPr>
        <w:t xml:space="preserve">Survey respondents will be de-identified through the use of randomly-assigned respondent ID numbers, which will also be their usernames for the online survey. No one outside </w:t>
      </w:r>
      <w:r w:rsidRPr="00652938" w:rsidR="00D576A6">
        <w:rPr>
          <w:sz w:val="24"/>
          <w:szCs w:val="24"/>
        </w:rPr>
        <w:t xml:space="preserve">the </w:t>
      </w:r>
      <w:r w:rsidRPr="00652938" w:rsidR="00A271DE">
        <w:rPr>
          <w:sz w:val="24"/>
          <w:szCs w:val="24"/>
        </w:rPr>
        <w:t>FDA</w:t>
      </w:r>
      <w:r w:rsidRPr="00652938" w:rsidR="00D576A6">
        <w:rPr>
          <w:sz w:val="24"/>
          <w:szCs w:val="24"/>
        </w:rPr>
        <w:t xml:space="preserve"> contractor’s</w:t>
      </w:r>
      <w:r w:rsidRPr="00652938" w:rsidR="00A271DE">
        <w:rPr>
          <w:sz w:val="24"/>
          <w:szCs w:val="24"/>
        </w:rPr>
        <w:t xml:space="preserve"> survey </w:t>
      </w:r>
      <w:r w:rsidRPr="00652938">
        <w:rPr>
          <w:sz w:val="24"/>
          <w:szCs w:val="24"/>
        </w:rPr>
        <w:t>team will have access to the individual survey responses, nor will</w:t>
      </w:r>
      <w:r w:rsidRPr="00652938" w:rsidR="00D576A6">
        <w:rPr>
          <w:sz w:val="24"/>
          <w:szCs w:val="24"/>
        </w:rPr>
        <w:t xml:space="preserve"> the contractor’s survey team provide to FDA or to </w:t>
      </w:r>
      <w:r w:rsidRPr="00652938">
        <w:rPr>
          <w:sz w:val="24"/>
          <w:szCs w:val="24"/>
        </w:rPr>
        <w:t xml:space="preserve">anyone </w:t>
      </w:r>
      <w:r w:rsidRPr="00652938" w:rsidR="00D576A6">
        <w:rPr>
          <w:sz w:val="24"/>
          <w:szCs w:val="24"/>
        </w:rPr>
        <w:t xml:space="preserve">else </w:t>
      </w:r>
      <w:r w:rsidRPr="00652938">
        <w:rPr>
          <w:sz w:val="24"/>
          <w:szCs w:val="24"/>
        </w:rPr>
        <w:t xml:space="preserve">outside the </w:t>
      </w:r>
      <w:r w:rsidRPr="00652938" w:rsidR="00D576A6">
        <w:rPr>
          <w:sz w:val="24"/>
          <w:szCs w:val="24"/>
        </w:rPr>
        <w:t xml:space="preserve">survey team any information that enables identification of </w:t>
      </w:r>
      <w:r w:rsidRPr="00652938">
        <w:rPr>
          <w:sz w:val="24"/>
          <w:szCs w:val="24"/>
        </w:rPr>
        <w:t xml:space="preserve">any individual </w:t>
      </w:r>
      <w:r w:rsidRPr="00652938" w:rsidR="00A271DE">
        <w:rPr>
          <w:sz w:val="24"/>
          <w:szCs w:val="24"/>
        </w:rPr>
        <w:t>facility or company</w:t>
      </w:r>
      <w:r w:rsidRPr="00652938">
        <w:rPr>
          <w:sz w:val="24"/>
          <w:szCs w:val="24"/>
        </w:rPr>
        <w:t xml:space="preserve"> with their responses. </w:t>
      </w:r>
      <w:r w:rsidR="00933701">
        <w:rPr>
          <w:sz w:val="24"/>
          <w:szCs w:val="24"/>
        </w:rPr>
        <w:t xml:space="preserve">We will not collect any personal identifiable information with this survey. </w:t>
      </w:r>
      <w:r w:rsidRPr="00652938">
        <w:rPr>
          <w:sz w:val="24"/>
          <w:szCs w:val="24"/>
        </w:rPr>
        <w:t xml:space="preserve">All covered information </w:t>
      </w:r>
      <w:r w:rsidRPr="00652938" w:rsidR="003E3273">
        <w:rPr>
          <w:sz w:val="24"/>
          <w:szCs w:val="24"/>
        </w:rPr>
        <w:t xml:space="preserve">will be </w:t>
      </w:r>
      <w:r w:rsidRPr="00652938">
        <w:rPr>
          <w:sz w:val="24"/>
          <w:szCs w:val="24"/>
        </w:rPr>
        <w:t xml:space="preserve">maintained in password-secured files on </w:t>
      </w:r>
      <w:r w:rsidRPr="00652938" w:rsidR="00A271DE">
        <w:rPr>
          <w:sz w:val="24"/>
          <w:szCs w:val="24"/>
        </w:rPr>
        <w:t>the contractor’s</w:t>
      </w:r>
      <w:r w:rsidRPr="00652938">
        <w:rPr>
          <w:sz w:val="24"/>
          <w:szCs w:val="24"/>
        </w:rPr>
        <w:t xml:space="preserve"> internal server (i.e., only members of the </w:t>
      </w:r>
      <w:r w:rsidRPr="00652938" w:rsidR="0003024D">
        <w:rPr>
          <w:sz w:val="24"/>
          <w:szCs w:val="24"/>
        </w:rPr>
        <w:t xml:space="preserve">contractor’s survey </w:t>
      </w:r>
      <w:r w:rsidRPr="00652938">
        <w:rPr>
          <w:sz w:val="24"/>
          <w:szCs w:val="24"/>
        </w:rPr>
        <w:t xml:space="preserve">team </w:t>
      </w:r>
      <w:r w:rsidRPr="00652938" w:rsidR="003E3273">
        <w:rPr>
          <w:sz w:val="24"/>
          <w:szCs w:val="24"/>
        </w:rPr>
        <w:t xml:space="preserve">will have </w:t>
      </w:r>
      <w:r w:rsidRPr="00652938">
        <w:rPr>
          <w:sz w:val="24"/>
          <w:szCs w:val="24"/>
        </w:rPr>
        <w:t xml:space="preserve">access </w:t>
      </w:r>
      <w:r w:rsidRPr="00652938" w:rsidR="003E3273">
        <w:rPr>
          <w:sz w:val="24"/>
          <w:szCs w:val="24"/>
        </w:rPr>
        <w:t xml:space="preserve">to </w:t>
      </w:r>
      <w:r w:rsidRPr="00652938">
        <w:rPr>
          <w:sz w:val="24"/>
          <w:szCs w:val="24"/>
        </w:rPr>
        <w:t>the files).</w:t>
      </w:r>
      <w:r w:rsidRPr="00652938" w:rsidR="0088609D">
        <w:rPr>
          <w:sz w:val="24"/>
          <w:szCs w:val="24"/>
        </w:rPr>
        <w:t xml:space="preserve"> The contractor’s internal servers are protected by Sonic firewall, and the servers are housed in a locked room accessible only to IT staff. </w:t>
      </w:r>
    </w:p>
    <w:p w:rsidRPr="00652938" w:rsidR="000F532F" w:rsidP="00652938" w:rsidRDefault="000F532F" w14:paraId="5F7FCCA9" w14:textId="7E1B178D">
      <w:pPr>
        <w:pStyle w:val="BodyTextFirstIndent"/>
        <w:ind w:firstLine="0"/>
        <w:rPr>
          <w:sz w:val="24"/>
          <w:szCs w:val="24"/>
        </w:rPr>
      </w:pPr>
      <w:r w:rsidRPr="00652938">
        <w:rPr>
          <w:sz w:val="24"/>
          <w:szCs w:val="24"/>
        </w:rPr>
        <w:t>The printing and mailing tasks associated with the survey (</w:t>
      </w:r>
      <w:r w:rsidRPr="00652938" w:rsidR="00A271DE">
        <w:rPr>
          <w:sz w:val="24"/>
          <w:szCs w:val="24"/>
        </w:rPr>
        <w:t xml:space="preserve">i.e., notification letters, reminder letters, </w:t>
      </w:r>
      <w:r w:rsidRPr="00652938">
        <w:rPr>
          <w:sz w:val="24"/>
          <w:szCs w:val="24"/>
        </w:rPr>
        <w:t>and envelopes) will</w:t>
      </w:r>
      <w:r w:rsidRPr="00652938" w:rsidR="00A271DE">
        <w:rPr>
          <w:sz w:val="24"/>
          <w:szCs w:val="24"/>
        </w:rPr>
        <w:t xml:space="preserve"> be performed by the </w:t>
      </w:r>
      <w:r w:rsidRPr="00652938" w:rsidR="00F26124">
        <w:rPr>
          <w:sz w:val="24"/>
          <w:szCs w:val="24"/>
        </w:rPr>
        <w:t xml:space="preserve">FDA contractor’s </w:t>
      </w:r>
      <w:r w:rsidRPr="00652938" w:rsidR="00A271DE">
        <w:rPr>
          <w:sz w:val="24"/>
          <w:szCs w:val="24"/>
        </w:rPr>
        <w:t xml:space="preserve">survey team. </w:t>
      </w:r>
    </w:p>
    <w:p w:rsidRPr="00652938" w:rsidR="000F532F" w:rsidP="00652938" w:rsidRDefault="00A271DE" w14:paraId="44DB506D" w14:textId="77777777">
      <w:pPr>
        <w:pStyle w:val="BodyTextFirstIndent"/>
        <w:ind w:firstLine="0"/>
        <w:rPr>
          <w:sz w:val="24"/>
          <w:szCs w:val="24"/>
        </w:rPr>
      </w:pPr>
      <w:r w:rsidRPr="00652938">
        <w:rPr>
          <w:sz w:val="24"/>
          <w:szCs w:val="24"/>
        </w:rPr>
        <w:t xml:space="preserve">The on-line surveys will be hosted by Qualtrics. Their software </w:t>
      </w:r>
      <w:r w:rsidRPr="00652938" w:rsidR="000F532F">
        <w:rPr>
          <w:sz w:val="24"/>
          <w:szCs w:val="24"/>
        </w:rPr>
        <w:t xml:space="preserve">uses Transport Layer Security (TLS) encryption (also known as HTTPS) for all transmitted data. Qualtrics will also protect surveys with passwords (provided by the </w:t>
      </w:r>
      <w:r w:rsidRPr="00652938" w:rsidR="001B774F">
        <w:rPr>
          <w:sz w:val="24"/>
          <w:szCs w:val="24"/>
        </w:rPr>
        <w:t xml:space="preserve">survey </w:t>
      </w:r>
      <w:r w:rsidRPr="00652938" w:rsidR="000F532F">
        <w:rPr>
          <w:sz w:val="24"/>
          <w:szCs w:val="24"/>
        </w:rPr>
        <w:t>team) and HTTP referrer checking. Qualtrics services are hosted by trusted data centers, which are independently audited using the industry standard SSAE-16 method, to ensure the highest protection</w:t>
      </w:r>
      <w:r w:rsidRPr="00652938" w:rsidR="001B774F">
        <w:rPr>
          <w:sz w:val="24"/>
          <w:szCs w:val="24"/>
        </w:rPr>
        <w:t xml:space="preserve">, </w:t>
      </w:r>
      <w:r w:rsidRPr="00652938" w:rsidR="000F532F">
        <w:rPr>
          <w:sz w:val="24"/>
          <w:szCs w:val="24"/>
        </w:rPr>
        <w:t xml:space="preserve">per HITECH requirements. Qualtrics deploys the general requirements set forth by several federal Acts, including the FISMA Act of 2002, and meets or exceeds the minimum requirements as outlined in FIPS Publication 200. </w:t>
      </w:r>
    </w:p>
    <w:p w:rsidRPr="00652938" w:rsidR="000F532F" w:rsidP="00652938" w:rsidRDefault="000F532F" w14:paraId="2CA9480E" w14:textId="0C440495">
      <w:pPr>
        <w:pStyle w:val="BodyTextFirstIndent"/>
        <w:ind w:firstLine="0"/>
        <w:rPr>
          <w:sz w:val="24"/>
          <w:szCs w:val="24"/>
        </w:rPr>
      </w:pPr>
      <w:r w:rsidRPr="00652938">
        <w:rPr>
          <w:sz w:val="24"/>
          <w:szCs w:val="24"/>
        </w:rPr>
        <w:t>Undeliverable survey</w:t>
      </w:r>
      <w:r w:rsidRPr="00652938" w:rsidR="001B774F">
        <w:rPr>
          <w:sz w:val="24"/>
          <w:szCs w:val="24"/>
        </w:rPr>
        <w:t xml:space="preserve">-related letters </w:t>
      </w:r>
      <w:r w:rsidRPr="00652938">
        <w:rPr>
          <w:sz w:val="24"/>
          <w:szCs w:val="24"/>
        </w:rPr>
        <w:t xml:space="preserve">will be returned directly to </w:t>
      </w:r>
      <w:r w:rsidRPr="00652938" w:rsidR="003E3273">
        <w:rPr>
          <w:sz w:val="24"/>
          <w:szCs w:val="24"/>
        </w:rPr>
        <w:t xml:space="preserve">the </w:t>
      </w:r>
      <w:r w:rsidRPr="00652938" w:rsidR="007D4FD0">
        <w:rPr>
          <w:sz w:val="24"/>
          <w:szCs w:val="24"/>
        </w:rPr>
        <w:t xml:space="preserve">FDA </w:t>
      </w:r>
      <w:r w:rsidRPr="00652938">
        <w:rPr>
          <w:sz w:val="24"/>
          <w:szCs w:val="24"/>
        </w:rPr>
        <w:t xml:space="preserve">by the U.S. </w:t>
      </w:r>
      <w:r w:rsidRPr="00652938" w:rsidR="00D576A6">
        <w:rPr>
          <w:sz w:val="24"/>
          <w:szCs w:val="24"/>
        </w:rPr>
        <w:t>P</w:t>
      </w:r>
      <w:r w:rsidRPr="00652938">
        <w:rPr>
          <w:sz w:val="24"/>
          <w:szCs w:val="24"/>
        </w:rPr>
        <w:t xml:space="preserve">ostal </w:t>
      </w:r>
      <w:r w:rsidRPr="00652938" w:rsidR="00D576A6">
        <w:rPr>
          <w:sz w:val="24"/>
          <w:szCs w:val="24"/>
        </w:rPr>
        <w:t>S</w:t>
      </w:r>
      <w:r w:rsidRPr="00652938">
        <w:rPr>
          <w:sz w:val="24"/>
          <w:szCs w:val="24"/>
        </w:rPr>
        <w:t>ervice.</w:t>
      </w:r>
      <w:r w:rsidRPr="00652938" w:rsidR="0017270A">
        <w:rPr>
          <w:sz w:val="24"/>
          <w:szCs w:val="24"/>
        </w:rPr>
        <w:t xml:space="preserve"> FDA will then forward all </w:t>
      </w:r>
      <w:r w:rsidRPr="00652938" w:rsidR="00B942C5">
        <w:rPr>
          <w:sz w:val="24"/>
          <w:szCs w:val="24"/>
        </w:rPr>
        <w:t xml:space="preserve">unopened </w:t>
      </w:r>
      <w:r w:rsidRPr="00652938" w:rsidR="0017270A">
        <w:rPr>
          <w:sz w:val="24"/>
          <w:szCs w:val="24"/>
        </w:rPr>
        <w:t xml:space="preserve">undeliverable mailings to its </w:t>
      </w:r>
      <w:r w:rsidRPr="00652938" w:rsidR="006A5D4E">
        <w:rPr>
          <w:sz w:val="24"/>
          <w:szCs w:val="24"/>
        </w:rPr>
        <w:t xml:space="preserve">survey </w:t>
      </w:r>
      <w:r w:rsidRPr="00652938" w:rsidR="0017270A">
        <w:rPr>
          <w:sz w:val="24"/>
          <w:szCs w:val="24"/>
        </w:rPr>
        <w:t>contractor.</w:t>
      </w:r>
    </w:p>
    <w:p w:rsidRPr="00652938" w:rsidR="000668F3" w:rsidP="00652938" w:rsidRDefault="003B1B39" w14:paraId="753E0E7C" w14:textId="298939D0">
      <w:pPr>
        <w:pStyle w:val="BodyTextFirstIndent"/>
        <w:ind w:firstLine="0"/>
        <w:rPr>
          <w:rFonts w:eastAsia="Calibri"/>
          <w:sz w:val="24"/>
          <w:szCs w:val="24"/>
        </w:rPr>
      </w:pPr>
      <w:r w:rsidRPr="00652938">
        <w:rPr>
          <w:sz w:val="24"/>
          <w:szCs w:val="24"/>
        </w:rPr>
        <w:t>For surveys</w:t>
      </w:r>
      <w:r w:rsidRPr="00652938" w:rsidR="001B774F">
        <w:rPr>
          <w:sz w:val="24"/>
          <w:szCs w:val="24"/>
        </w:rPr>
        <w:t xml:space="preserve"> </w:t>
      </w:r>
      <w:r w:rsidRPr="00652938" w:rsidR="000F532F">
        <w:rPr>
          <w:sz w:val="24"/>
          <w:szCs w:val="24"/>
        </w:rPr>
        <w:t>submitted by mail</w:t>
      </w:r>
      <w:r w:rsidRPr="00652938" w:rsidR="001B774F">
        <w:rPr>
          <w:sz w:val="24"/>
          <w:szCs w:val="24"/>
        </w:rPr>
        <w:t xml:space="preserve">, members of the </w:t>
      </w:r>
      <w:r w:rsidRPr="00652938" w:rsidR="00F26124">
        <w:rPr>
          <w:sz w:val="24"/>
          <w:szCs w:val="24"/>
        </w:rPr>
        <w:t xml:space="preserve">FDA contractor’s </w:t>
      </w:r>
      <w:r w:rsidRPr="00652938" w:rsidR="001B774F">
        <w:rPr>
          <w:sz w:val="24"/>
          <w:szCs w:val="24"/>
        </w:rPr>
        <w:t xml:space="preserve">survey team </w:t>
      </w:r>
      <w:r w:rsidRPr="00652938" w:rsidR="000F532F">
        <w:rPr>
          <w:sz w:val="24"/>
          <w:szCs w:val="24"/>
        </w:rPr>
        <w:t xml:space="preserve">will </w:t>
      </w:r>
      <w:r w:rsidRPr="00652938" w:rsidR="001B774F">
        <w:rPr>
          <w:sz w:val="24"/>
          <w:szCs w:val="24"/>
        </w:rPr>
        <w:t xml:space="preserve">open them and enter the data into Qualtrics. </w:t>
      </w:r>
      <w:r w:rsidRPr="00652938" w:rsidR="000F532F">
        <w:rPr>
          <w:sz w:val="24"/>
          <w:szCs w:val="24"/>
        </w:rPr>
        <w:t xml:space="preserve">Only </w:t>
      </w:r>
      <w:r w:rsidRPr="00652938" w:rsidR="00102CF6">
        <w:rPr>
          <w:sz w:val="24"/>
          <w:szCs w:val="24"/>
        </w:rPr>
        <w:t xml:space="preserve">assigned </w:t>
      </w:r>
      <w:r w:rsidRPr="00652938" w:rsidR="000F532F">
        <w:rPr>
          <w:sz w:val="24"/>
          <w:szCs w:val="24"/>
        </w:rPr>
        <w:t>team members will be able</w:t>
      </w:r>
      <w:r w:rsidRPr="00652938" w:rsidR="00414A31">
        <w:rPr>
          <w:sz w:val="24"/>
          <w:szCs w:val="24"/>
        </w:rPr>
        <w:t xml:space="preserve"> to</w:t>
      </w:r>
      <w:r w:rsidRPr="00652938" w:rsidR="000F532F">
        <w:rPr>
          <w:sz w:val="24"/>
          <w:szCs w:val="24"/>
        </w:rPr>
        <w:t xml:space="preserve"> crosswalk respondents’ names with their usernames. All </w:t>
      </w:r>
      <w:r w:rsidRPr="00652938" w:rsidR="00102CF6">
        <w:rPr>
          <w:sz w:val="24"/>
          <w:szCs w:val="24"/>
        </w:rPr>
        <w:t xml:space="preserve">assigned </w:t>
      </w:r>
      <w:r w:rsidRPr="00652938" w:rsidR="000F532F">
        <w:rPr>
          <w:sz w:val="24"/>
          <w:szCs w:val="24"/>
        </w:rPr>
        <w:t xml:space="preserve">team members </w:t>
      </w:r>
      <w:r w:rsidRPr="00652938" w:rsidR="0055463B">
        <w:rPr>
          <w:sz w:val="24"/>
          <w:szCs w:val="24"/>
        </w:rPr>
        <w:t xml:space="preserve">will </w:t>
      </w:r>
      <w:r w:rsidRPr="00652938" w:rsidR="000F532F">
        <w:rPr>
          <w:sz w:val="24"/>
          <w:szCs w:val="24"/>
        </w:rPr>
        <w:t>have acknowledged and signed the</w:t>
      </w:r>
      <w:r w:rsidRPr="00652938" w:rsidR="00102CF6">
        <w:rPr>
          <w:sz w:val="24"/>
          <w:szCs w:val="24"/>
        </w:rPr>
        <w:t xml:space="preserve"> required</w:t>
      </w:r>
      <w:r w:rsidRPr="00652938" w:rsidR="000F532F">
        <w:rPr>
          <w:sz w:val="24"/>
          <w:szCs w:val="24"/>
        </w:rPr>
        <w:t xml:space="preserve"> Code of Business Conduct and Ethics, which (among other things) </w:t>
      </w:r>
      <w:r w:rsidRPr="00652938" w:rsidR="00D576A6">
        <w:rPr>
          <w:sz w:val="24"/>
          <w:szCs w:val="24"/>
        </w:rPr>
        <w:lastRenderedPageBreak/>
        <w:t>requires them</w:t>
      </w:r>
      <w:r w:rsidRPr="00652938" w:rsidR="00102CF6">
        <w:rPr>
          <w:sz w:val="24"/>
          <w:szCs w:val="24"/>
        </w:rPr>
        <w:t xml:space="preserve"> </w:t>
      </w:r>
      <w:r w:rsidRPr="00652938" w:rsidR="000F532F">
        <w:rPr>
          <w:sz w:val="24"/>
          <w:szCs w:val="24"/>
        </w:rPr>
        <w:t>to maintain the integrity, confidentiality, and accuracy of all data and information obtain</w:t>
      </w:r>
      <w:r w:rsidRPr="00652938" w:rsidR="00102CF6">
        <w:rPr>
          <w:sz w:val="24"/>
          <w:szCs w:val="24"/>
        </w:rPr>
        <w:t>ed</w:t>
      </w:r>
      <w:r w:rsidRPr="00652938" w:rsidR="000F532F">
        <w:rPr>
          <w:sz w:val="24"/>
          <w:szCs w:val="24"/>
        </w:rPr>
        <w:t xml:space="preserve"> during the course of th</w:t>
      </w:r>
      <w:r w:rsidRPr="00652938" w:rsidR="003E3273">
        <w:rPr>
          <w:sz w:val="24"/>
          <w:szCs w:val="24"/>
        </w:rPr>
        <w:t>is data collection effort</w:t>
      </w:r>
      <w:r w:rsidRPr="00652938" w:rsidR="00DB761D">
        <w:rPr>
          <w:sz w:val="24"/>
          <w:szCs w:val="24"/>
        </w:rPr>
        <w:t xml:space="preserve">. </w:t>
      </w:r>
      <w:r w:rsidRPr="00652938" w:rsidR="000668F3">
        <w:rPr>
          <w:rFonts w:eastAsia="Calibri"/>
          <w:sz w:val="24"/>
          <w:szCs w:val="24"/>
        </w:rPr>
        <w:t xml:space="preserve">At the end of the </w:t>
      </w:r>
      <w:r w:rsidRPr="00652938" w:rsidR="00D576A6">
        <w:rPr>
          <w:rFonts w:eastAsia="Calibri"/>
          <w:sz w:val="24"/>
          <w:szCs w:val="24"/>
        </w:rPr>
        <w:t>survey</w:t>
      </w:r>
      <w:r w:rsidRPr="00652938" w:rsidR="000668F3">
        <w:rPr>
          <w:rFonts w:eastAsia="Calibri"/>
          <w:sz w:val="24"/>
          <w:szCs w:val="24"/>
        </w:rPr>
        <w:t>,</w:t>
      </w:r>
      <w:r w:rsidRPr="00652938" w:rsidR="003E3273">
        <w:rPr>
          <w:sz w:val="24"/>
          <w:szCs w:val="24"/>
        </w:rPr>
        <w:t xml:space="preserve"> </w:t>
      </w:r>
      <w:r w:rsidRPr="00652938" w:rsidR="000B42FA">
        <w:rPr>
          <w:sz w:val="24"/>
          <w:szCs w:val="24"/>
        </w:rPr>
        <w:t xml:space="preserve">the </w:t>
      </w:r>
      <w:r w:rsidRPr="00652938" w:rsidR="00D576A6">
        <w:rPr>
          <w:sz w:val="24"/>
          <w:szCs w:val="24"/>
        </w:rPr>
        <w:t>contractor</w:t>
      </w:r>
      <w:r w:rsidRPr="00652938" w:rsidR="00DB761D">
        <w:rPr>
          <w:rFonts w:eastAsia="Calibri"/>
          <w:sz w:val="24"/>
          <w:szCs w:val="24"/>
        </w:rPr>
        <w:t xml:space="preserve"> </w:t>
      </w:r>
      <w:r w:rsidRPr="00652938" w:rsidR="00102CF6">
        <w:rPr>
          <w:rFonts w:eastAsia="Calibri"/>
          <w:sz w:val="24"/>
          <w:szCs w:val="24"/>
        </w:rPr>
        <w:t xml:space="preserve">team </w:t>
      </w:r>
      <w:r w:rsidRPr="00652938" w:rsidR="000668F3">
        <w:rPr>
          <w:rFonts w:eastAsia="Calibri"/>
          <w:sz w:val="24"/>
          <w:szCs w:val="24"/>
        </w:rPr>
        <w:t xml:space="preserve">will </w:t>
      </w:r>
      <w:r w:rsidRPr="00652938" w:rsidR="003E3273">
        <w:rPr>
          <w:rFonts w:eastAsia="Calibri"/>
          <w:sz w:val="24"/>
          <w:szCs w:val="24"/>
        </w:rPr>
        <w:t xml:space="preserve">ensure </w:t>
      </w:r>
      <w:r w:rsidRPr="00652938" w:rsidR="000668F3">
        <w:rPr>
          <w:rFonts w:eastAsia="Calibri"/>
          <w:sz w:val="24"/>
          <w:szCs w:val="24"/>
        </w:rPr>
        <w:t>the proper storage and</w:t>
      </w:r>
      <w:r w:rsidRPr="00652938" w:rsidR="00D576A6">
        <w:rPr>
          <w:rFonts w:eastAsia="Calibri"/>
          <w:sz w:val="24"/>
          <w:szCs w:val="24"/>
        </w:rPr>
        <w:t>/or</w:t>
      </w:r>
      <w:r w:rsidRPr="00652938" w:rsidR="000668F3">
        <w:rPr>
          <w:rFonts w:eastAsia="Calibri"/>
          <w:sz w:val="24"/>
          <w:szCs w:val="24"/>
        </w:rPr>
        <w:t xml:space="preserve"> destruction of all data in compliance with all relevant government regulations and policies. </w:t>
      </w:r>
    </w:p>
    <w:p w:rsidRPr="00652938" w:rsidR="0064259F" w:rsidP="00652938" w:rsidRDefault="00BB5DA3" w14:paraId="68BE9D3C" w14:textId="13A7BFBF">
      <w:pPr>
        <w:pStyle w:val="Heading2"/>
        <w:ind w:left="0" w:firstLine="0"/>
        <w:rPr>
          <w:rFonts w:ascii="Times New Roman" w:hAnsi="Times New Roman"/>
          <w:b w:val="0"/>
          <w:szCs w:val="24"/>
        </w:rPr>
      </w:pPr>
      <w:bookmarkStart w:name="_Toc410331585" w:id="57"/>
      <w:bookmarkStart w:name="_Toc410331691" w:id="58"/>
      <w:bookmarkStart w:name="_Toc429570379" w:id="59"/>
      <w:bookmarkStart w:name="_Toc431546786" w:id="60"/>
      <w:r w:rsidRPr="00652938">
        <w:rPr>
          <w:rFonts w:ascii="Times New Roman" w:hAnsi="Times New Roman"/>
          <w:b w:val="0"/>
          <w:szCs w:val="24"/>
        </w:rPr>
        <w:t>11</w:t>
      </w:r>
      <w:r>
        <w:rPr>
          <w:rFonts w:ascii="Times New Roman" w:hAnsi="Times New Roman"/>
          <w:b w:val="0"/>
          <w:szCs w:val="24"/>
        </w:rPr>
        <w:t>.</w:t>
      </w:r>
      <w:r>
        <w:rPr>
          <w:rFonts w:ascii="Times New Roman" w:hAnsi="Times New Roman"/>
          <w:b w:val="0"/>
          <w:szCs w:val="24"/>
        </w:rPr>
        <w:tab/>
      </w:r>
      <w:r w:rsidR="006C4089">
        <w:rPr>
          <w:rFonts w:ascii="Times New Roman" w:hAnsi="Times New Roman"/>
          <w:b w:val="0"/>
          <w:szCs w:val="24"/>
          <w:u w:val="single"/>
        </w:rPr>
        <w:t xml:space="preserve">Justification for </w:t>
      </w:r>
      <w:r w:rsidRPr="00652938" w:rsidR="0064259F">
        <w:rPr>
          <w:rFonts w:ascii="Times New Roman" w:hAnsi="Times New Roman"/>
          <w:b w:val="0"/>
          <w:szCs w:val="24"/>
          <w:u w:val="single"/>
        </w:rPr>
        <w:t>Sensitive Questions</w:t>
      </w:r>
      <w:bookmarkEnd w:id="57"/>
      <w:bookmarkEnd w:id="58"/>
      <w:bookmarkEnd w:id="59"/>
      <w:bookmarkEnd w:id="60"/>
    </w:p>
    <w:p w:rsidRPr="00652938" w:rsidR="00D33C99" w:rsidP="00652938" w:rsidRDefault="00764A5A" w14:paraId="7CDF9EC9" w14:textId="4C577C16">
      <w:pPr>
        <w:pStyle w:val="BodyTextFirstIndent"/>
        <w:ind w:firstLine="0"/>
        <w:rPr>
          <w:sz w:val="24"/>
          <w:szCs w:val="24"/>
        </w:rPr>
      </w:pPr>
      <w:r w:rsidRPr="00652938">
        <w:rPr>
          <w:sz w:val="24"/>
          <w:szCs w:val="24"/>
        </w:rPr>
        <w:t xml:space="preserve">No questions of the type commonly considered to be “sensitive” are asked by this survey. However, </w:t>
      </w:r>
      <w:r w:rsidRPr="00652938" w:rsidR="00D33C99">
        <w:rPr>
          <w:sz w:val="24"/>
          <w:szCs w:val="24"/>
        </w:rPr>
        <w:t xml:space="preserve">FDA acknowledges that </w:t>
      </w:r>
      <w:r w:rsidRPr="00652938" w:rsidR="00B942C5">
        <w:rPr>
          <w:sz w:val="24"/>
          <w:szCs w:val="24"/>
        </w:rPr>
        <w:t xml:space="preserve">some </w:t>
      </w:r>
      <w:r w:rsidRPr="00652938" w:rsidR="00D33C99">
        <w:rPr>
          <w:sz w:val="24"/>
          <w:szCs w:val="24"/>
        </w:rPr>
        <w:t>r</w:t>
      </w:r>
      <w:r w:rsidRPr="00652938" w:rsidR="00560099">
        <w:rPr>
          <w:sz w:val="24"/>
          <w:szCs w:val="24"/>
        </w:rPr>
        <w:t xml:space="preserve">espondents may consider questions regarding facility size and revenue </w:t>
      </w:r>
      <w:r w:rsidRPr="00652938" w:rsidR="00F974B3">
        <w:rPr>
          <w:sz w:val="24"/>
          <w:szCs w:val="24"/>
        </w:rPr>
        <w:t>s</w:t>
      </w:r>
      <w:r w:rsidRPr="00652938" w:rsidR="00560099">
        <w:rPr>
          <w:sz w:val="24"/>
          <w:szCs w:val="24"/>
        </w:rPr>
        <w:t>ensitive.</w:t>
      </w:r>
      <w:r w:rsidRPr="00652938" w:rsidR="00BF68F4">
        <w:rPr>
          <w:sz w:val="24"/>
          <w:szCs w:val="24"/>
        </w:rPr>
        <w:t xml:space="preserve"> The survey asks respondents to </w:t>
      </w:r>
      <w:r w:rsidRPr="00652938" w:rsidR="00D33C99">
        <w:rPr>
          <w:sz w:val="24"/>
          <w:szCs w:val="24"/>
        </w:rPr>
        <w:t>answer the following questions:</w:t>
      </w:r>
    </w:p>
    <w:p w:rsidRPr="003736E6" w:rsidR="00D33C99" w:rsidP="003736E6" w:rsidRDefault="00D33C99" w14:paraId="52561CA7" w14:textId="3826E723">
      <w:pPr>
        <w:pStyle w:val="ListBullet"/>
      </w:pPr>
      <w:r w:rsidRPr="003736E6">
        <w:t>The number of employees that work at the facility (one of four ranges can be selected)</w:t>
      </w:r>
      <w:r w:rsidRPr="003736E6" w:rsidR="00221E11">
        <w:t>,</w:t>
      </w:r>
    </w:p>
    <w:p w:rsidRPr="003736E6" w:rsidR="00D33C99" w:rsidP="003736E6" w:rsidRDefault="00D33C99" w14:paraId="10DE8B02" w14:textId="1868C431">
      <w:pPr>
        <w:pStyle w:val="ListBullet"/>
      </w:pPr>
      <w:r w:rsidRPr="003736E6">
        <w:t xml:space="preserve">The number of employees at the parent company (one of two ranges can be selected), and </w:t>
      </w:r>
    </w:p>
    <w:p w:rsidRPr="003736E6" w:rsidR="00D33C99" w:rsidP="003736E6" w:rsidRDefault="00D33C99" w14:paraId="1AB5C417" w14:textId="0A5B0800">
      <w:pPr>
        <w:pStyle w:val="ListBullet"/>
      </w:pPr>
      <w:r w:rsidRPr="003736E6">
        <w:t xml:space="preserve">The parent company’s gross revenue </w:t>
      </w:r>
      <w:r w:rsidRPr="003736E6" w:rsidR="00221E11">
        <w:t xml:space="preserve">in the last fiscal year </w:t>
      </w:r>
      <w:r w:rsidRPr="003736E6">
        <w:t>(one of seven ranges can be selected)</w:t>
      </w:r>
      <w:r w:rsidRPr="003736E6" w:rsidR="00BF68F4">
        <w:t xml:space="preserve">. </w:t>
      </w:r>
    </w:p>
    <w:p w:rsidRPr="00652938" w:rsidR="00414A31" w:rsidP="00221E11" w:rsidRDefault="006156F7" w14:paraId="73A3001A" w14:textId="60D5E655">
      <w:pPr>
        <w:pStyle w:val="BodyTextFirstIndent"/>
        <w:ind w:firstLine="0"/>
        <w:rPr>
          <w:sz w:val="24"/>
          <w:szCs w:val="24"/>
        </w:rPr>
      </w:pPr>
      <w:r w:rsidRPr="00652938">
        <w:rPr>
          <w:sz w:val="24"/>
          <w:szCs w:val="24"/>
        </w:rPr>
        <w:t xml:space="preserve">Facility and firm size and revenue data are readily available from other information sources, such as the DUNS database, but it is best </w:t>
      </w:r>
      <w:r w:rsidRPr="00652938" w:rsidR="006A5D4E">
        <w:rPr>
          <w:sz w:val="24"/>
          <w:szCs w:val="24"/>
        </w:rPr>
        <w:t xml:space="preserve">survey practice </w:t>
      </w:r>
      <w:r w:rsidRPr="00652938">
        <w:rPr>
          <w:sz w:val="24"/>
          <w:szCs w:val="24"/>
        </w:rPr>
        <w:t xml:space="preserve">to </w:t>
      </w:r>
      <w:r w:rsidRPr="00652938" w:rsidR="006A5D4E">
        <w:rPr>
          <w:sz w:val="24"/>
          <w:szCs w:val="24"/>
        </w:rPr>
        <w:t xml:space="preserve">request </w:t>
      </w:r>
      <w:r w:rsidRPr="00652938">
        <w:rPr>
          <w:sz w:val="24"/>
          <w:szCs w:val="24"/>
        </w:rPr>
        <w:t>th</w:t>
      </w:r>
      <w:r w:rsidRPr="00652938" w:rsidR="006A5D4E">
        <w:rPr>
          <w:sz w:val="24"/>
          <w:szCs w:val="24"/>
        </w:rPr>
        <w:t>ese</w:t>
      </w:r>
      <w:r w:rsidRPr="00652938">
        <w:rPr>
          <w:sz w:val="24"/>
          <w:szCs w:val="24"/>
        </w:rPr>
        <w:t xml:space="preserve"> data as the survey is administered to ensure up to date information. To mitigate any potential sensitivity,</w:t>
      </w:r>
      <w:r w:rsidRPr="00652938" w:rsidR="00221E11">
        <w:rPr>
          <w:sz w:val="24"/>
          <w:szCs w:val="24"/>
        </w:rPr>
        <w:t xml:space="preserve"> FDA</w:t>
      </w:r>
      <w:r w:rsidRPr="00652938" w:rsidR="006A5D4E">
        <w:rPr>
          <w:sz w:val="24"/>
          <w:szCs w:val="24"/>
        </w:rPr>
        <w:t xml:space="preserve">’s contractor maintains the privacy </w:t>
      </w:r>
      <w:r w:rsidRPr="00652938" w:rsidR="005F0D35">
        <w:rPr>
          <w:sz w:val="24"/>
          <w:szCs w:val="24"/>
        </w:rPr>
        <w:t>of all respondents’ survey responses, as described in B.10.</w:t>
      </w:r>
      <w:r w:rsidRPr="00652938" w:rsidR="00221E11">
        <w:rPr>
          <w:sz w:val="24"/>
          <w:szCs w:val="24"/>
        </w:rPr>
        <w:t xml:space="preserve"> </w:t>
      </w:r>
    </w:p>
    <w:p w:rsidRPr="00652938" w:rsidR="0064259F" w:rsidP="00652938" w:rsidRDefault="006C4089" w14:paraId="4F47E892" w14:textId="164948D3">
      <w:pPr>
        <w:pStyle w:val="Heading2"/>
        <w:ind w:left="0" w:firstLine="0"/>
        <w:rPr>
          <w:rFonts w:ascii="Times New Roman" w:hAnsi="Times New Roman"/>
          <w:b w:val="0"/>
          <w:szCs w:val="24"/>
          <w:u w:val="single"/>
        </w:rPr>
      </w:pPr>
      <w:bookmarkStart w:name="_Toc410331586" w:id="61"/>
      <w:bookmarkStart w:name="_Toc410331692" w:id="62"/>
      <w:bookmarkStart w:name="_Toc429570380" w:id="63"/>
      <w:bookmarkStart w:name="_Toc431546787" w:id="64"/>
      <w:bookmarkStart w:name="SensitiveQuestions" w:id="65"/>
      <w:bookmarkStart w:name="BurdenEstimates_HoursandWages" w:id="66"/>
      <w:r>
        <w:rPr>
          <w:rFonts w:ascii="Times New Roman" w:hAnsi="Times New Roman"/>
          <w:b w:val="0"/>
          <w:szCs w:val="24"/>
        </w:rPr>
        <w:t>12.</w:t>
      </w:r>
      <w:r>
        <w:rPr>
          <w:rFonts w:ascii="Times New Roman" w:hAnsi="Times New Roman"/>
          <w:b w:val="0"/>
          <w:szCs w:val="24"/>
        </w:rPr>
        <w:tab/>
      </w:r>
      <w:r w:rsidRPr="00652938" w:rsidR="0064259F">
        <w:rPr>
          <w:rFonts w:ascii="Times New Roman" w:hAnsi="Times New Roman"/>
          <w:b w:val="0"/>
          <w:szCs w:val="24"/>
          <w:u w:val="single"/>
        </w:rPr>
        <w:t>Estimates</w:t>
      </w:r>
      <w:r>
        <w:rPr>
          <w:rFonts w:ascii="Times New Roman" w:hAnsi="Times New Roman"/>
          <w:b w:val="0"/>
          <w:szCs w:val="24"/>
          <w:u w:val="single"/>
        </w:rPr>
        <w:t xml:space="preserve"> of Annualized Burden Hours and Cost</w:t>
      </w:r>
      <w:bookmarkEnd w:id="61"/>
      <w:bookmarkEnd w:id="62"/>
      <w:bookmarkEnd w:id="63"/>
      <w:bookmarkEnd w:id="64"/>
    </w:p>
    <w:bookmarkEnd w:id="65"/>
    <w:bookmarkEnd w:id="66"/>
    <w:p w:rsidR="006C4089" w:rsidP="00E04850" w:rsidRDefault="006C4089" w14:paraId="14E043F9" w14:textId="4FBD8C00">
      <w:pPr>
        <w:pStyle w:val="BodyTextFirstIndent"/>
        <w:ind w:firstLine="0"/>
        <w:rPr>
          <w:sz w:val="24"/>
          <w:szCs w:val="24"/>
        </w:rPr>
      </w:pPr>
      <w:r>
        <w:rPr>
          <w:sz w:val="24"/>
          <w:szCs w:val="24"/>
        </w:rPr>
        <w:tab/>
        <w:t>12a.</w:t>
      </w:r>
      <w:r>
        <w:rPr>
          <w:sz w:val="24"/>
          <w:szCs w:val="24"/>
        </w:rPr>
        <w:tab/>
        <w:t>Annualized Hour Burden Estimates</w:t>
      </w:r>
    </w:p>
    <w:p w:rsidRPr="00652938" w:rsidR="0064259F" w:rsidP="00652938" w:rsidRDefault="0064259F" w14:paraId="14B1FE16" w14:textId="39D3FEBC">
      <w:pPr>
        <w:pStyle w:val="BodyTextFirstIndent"/>
        <w:ind w:firstLine="0"/>
        <w:rPr>
          <w:sz w:val="24"/>
          <w:szCs w:val="24"/>
        </w:rPr>
      </w:pPr>
      <w:r w:rsidRPr="00652938">
        <w:rPr>
          <w:sz w:val="24"/>
          <w:szCs w:val="24"/>
        </w:rPr>
        <w:t xml:space="preserve">For the survey, the estimated number of respondents reflects the planned sample of </w:t>
      </w:r>
      <w:r w:rsidRPr="00652938" w:rsidR="00221E11">
        <w:rPr>
          <w:sz w:val="24"/>
          <w:szCs w:val="24"/>
        </w:rPr>
        <w:t>1,396</w:t>
      </w:r>
      <w:r w:rsidRPr="00652938">
        <w:rPr>
          <w:sz w:val="24"/>
          <w:szCs w:val="24"/>
        </w:rPr>
        <w:t xml:space="preserve"> </w:t>
      </w:r>
      <w:r w:rsidRPr="00652938" w:rsidR="004B3EB0">
        <w:rPr>
          <w:sz w:val="24"/>
          <w:szCs w:val="24"/>
        </w:rPr>
        <w:t>facilities that</w:t>
      </w:r>
      <w:r w:rsidRPr="00652938" w:rsidR="00F54DE6">
        <w:rPr>
          <w:sz w:val="24"/>
          <w:szCs w:val="24"/>
        </w:rPr>
        <w:t xml:space="preserve"> could potentially </w:t>
      </w:r>
      <w:r w:rsidRPr="00652938">
        <w:rPr>
          <w:sz w:val="24"/>
          <w:szCs w:val="24"/>
        </w:rPr>
        <w:t xml:space="preserve">choose to take the survey (and thus incur a response burden). </w:t>
      </w:r>
      <w:r w:rsidRPr="00652938" w:rsidR="007A4F93">
        <w:rPr>
          <w:sz w:val="24"/>
          <w:szCs w:val="24"/>
        </w:rPr>
        <w:t>Calculation of the number of survey completions</w:t>
      </w:r>
      <w:r w:rsidRPr="00652938" w:rsidR="00FC6D63">
        <w:rPr>
          <w:sz w:val="24"/>
          <w:szCs w:val="24"/>
        </w:rPr>
        <w:t>—</w:t>
      </w:r>
      <w:r w:rsidRPr="00652938" w:rsidR="00221E11">
        <w:rPr>
          <w:sz w:val="24"/>
          <w:szCs w:val="24"/>
        </w:rPr>
        <w:t>754</w:t>
      </w:r>
      <w:r w:rsidRPr="00652938" w:rsidR="00FC6D63">
        <w:rPr>
          <w:sz w:val="24"/>
          <w:szCs w:val="24"/>
        </w:rPr>
        <w:t>—</w:t>
      </w:r>
      <w:r w:rsidRPr="00652938" w:rsidR="007A4F93">
        <w:rPr>
          <w:sz w:val="24"/>
          <w:szCs w:val="24"/>
        </w:rPr>
        <w:t>is based on a response rate of 60 percent and an estimate of 10 percent</w:t>
      </w:r>
      <w:r w:rsidRPr="00652938" w:rsidR="00221E11">
        <w:rPr>
          <w:sz w:val="24"/>
          <w:szCs w:val="24"/>
        </w:rPr>
        <w:t xml:space="preserve"> </w:t>
      </w:r>
      <w:r w:rsidRPr="00652938" w:rsidR="005F1410">
        <w:rPr>
          <w:sz w:val="24"/>
          <w:szCs w:val="24"/>
        </w:rPr>
        <w:t>sa</w:t>
      </w:r>
      <w:r w:rsidRPr="00652938" w:rsidR="00764A5A">
        <w:rPr>
          <w:sz w:val="24"/>
          <w:szCs w:val="24"/>
        </w:rPr>
        <w:t>m</w:t>
      </w:r>
      <w:r w:rsidRPr="00652938" w:rsidR="005F1410">
        <w:rPr>
          <w:sz w:val="24"/>
          <w:szCs w:val="24"/>
        </w:rPr>
        <w:t xml:space="preserve">pling frame deficiency </w:t>
      </w:r>
      <w:r w:rsidRPr="00652938" w:rsidR="00221E11">
        <w:rPr>
          <w:sz w:val="24"/>
          <w:szCs w:val="24"/>
        </w:rPr>
        <w:t>(i.e., (1,396 * .60)*</w:t>
      </w:r>
      <w:r w:rsidRPr="00652938" w:rsidR="00D24F7D">
        <w:rPr>
          <w:sz w:val="24"/>
          <w:szCs w:val="24"/>
        </w:rPr>
        <w:t>(1-</w:t>
      </w:r>
      <w:r w:rsidRPr="00652938" w:rsidR="00221E11">
        <w:rPr>
          <w:sz w:val="24"/>
          <w:szCs w:val="24"/>
        </w:rPr>
        <w:t>.10) = 754)</w:t>
      </w:r>
      <w:r w:rsidRPr="00652938" w:rsidR="004B3EB0">
        <w:rPr>
          <w:sz w:val="24"/>
          <w:szCs w:val="24"/>
        </w:rPr>
        <w:t xml:space="preserve">, as described in </w:t>
      </w:r>
      <w:r w:rsidRPr="00652938" w:rsidR="007A4F93">
        <w:rPr>
          <w:sz w:val="24"/>
          <w:szCs w:val="24"/>
        </w:rPr>
        <w:t>Statement B</w:t>
      </w:r>
      <w:r w:rsidRPr="00652938" w:rsidR="00FC6D63">
        <w:rPr>
          <w:sz w:val="24"/>
          <w:szCs w:val="24"/>
        </w:rPr>
        <w:t xml:space="preserve">. </w:t>
      </w:r>
      <w:r w:rsidRPr="00652938" w:rsidR="001D56A9">
        <w:rPr>
          <w:sz w:val="24"/>
          <w:szCs w:val="24"/>
        </w:rPr>
        <w:t>However</w:t>
      </w:r>
      <w:r w:rsidRPr="00652938" w:rsidR="00FC6D63">
        <w:rPr>
          <w:sz w:val="24"/>
          <w:szCs w:val="24"/>
        </w:rPr>
        <w:t xml:space="preserve">, </w:t>
      </w:r>
      <w:r w:rsidRPr="00652938" w:rsidR="004E179E">
        <w:rPr>
          <w:sz w:val="24"/>
          <w:szCs w:val="24"/>
        </w:rPr>
        <w:t>th</w:t>
      </w:r>
      <w:r w:rsidRPr="00652938" w:rsidR="00EC6E64">
        <w:rPr>
          <w:sz w:val="24"/>
          <w:szCs w:val="24"/>
        </w:rPr>
        <w:t>e</w:t>
      </w:r>
      <w:r w:rsidRPr="00652938" w:rsidR="004E179E">
        <w:rPr>
          <w:sz w:val="24"/>
          <w:szCs w:val="24"/>
        </w:rPr>
        <w:t xml:space="preserve"> </w:t>
      </w:r>
      <w:r w:rsidRPr="00652938" w:rsidR="00FC6D63">
        <w:rPr>
          <w:sz w:val="24"/>
          <w:szCs w:val="24"/>
        </w:rPr>
        <w:t xml:space="preserve">calculation of the burden </w:t>
      </w:r>
      <w:r w:rsidRPr="00652938" w:rsidR="00EC6E64">
        <w:rPr>
          <w:sz w:val="24"/>
          <w:szCs w:val="24"/>
        </w:rPr>
        <w:t xml:space="preserve">presented below </w:t>
      </w:r>
      <w:r w:rsidRPr="00652938" w:rsidR="00FC6D63">
        <w:rPr>
          <w:sz w:val="24"/>
          <w:szCs w:val="24"/>
        </w:rPr>
        <w:t xml:space="preserve">is based on </w:t>
      </w:r>
      <w:r w:rsidRPr="00652938" w:rsidR="004E179E">
        <w:rPr>
          <w:sz w:val="24"/>
          <w:szCs w:val="24"/>
        </w:rPr>
        <w:t>the highly conservative, extreme-case assumption that all 1,</w:t>
      </w:r>
      <w:r w:rsidRPr="00652938" w:rsidR="00D24F7D">
        <w:rPr>
          <w:sz w:val="24"/>
          <w:szCs w:val="24"/>
        </w:rPr>
        <w:t>396</w:t>
      </w:r>
      <w:r w:rsidRPr="00652938" w:rsidR="000963FE">
        <w:rPr>
          <w:sz w:val="24"/>
          <w:szCs w:val="24"/>
        </w:rPr>
        <w:t xml:space="preserve"> </w:t>
      </w:r>
      <w:r w:rsidRPr="00652938" w:rsidR="005F1410">
        <w:rPr>
          <w:sz w:val="24"/>
          <w:szCs w:val="24"/>
        </w:rPr>
        <w:t xml:space="preserve">targeted </w:t>
      </w:r>
      <w:r w:rsidRPr="00652938" w:rsidR="00FC6D63">
        <w:rPr>
          <w:sz w:val="24"/>
          <w:szCs w:val="24"/>
        </w:rPr>
        <w:t xml:space="preserve">facilities </w:t>
      </w:r>
      <w:r w:rsidRPr="00652938" w:rsidR="004E179E">
        <w:rPr>
          <w:sz w:val="24"/>
          <w:szCs w:val="24"/>
        </w:rPr>
        <w:t>in the sample will complete the survey</w:t>
      </w:r>
      <w:r w:rsidRPr="00652938" w:rsidR="005F1410">
        <w:rPr>
          <w:sz w:val="24"/>
          <w:szCs w:val="24"/>
        </w:rPr>
        <w:t xml:space="preserve"> instead of the 754 we expect to respond</w:t>
      </w:r>
      <w:r w:rsidRPr="00652938" w:rsidR="004E179E">
        <w:rPr>
          <w:sz w:val="24"/>
          <w:szCs w:val="24"/>
        </w:rPr>
        <w:t xml:space="preserve">. </w:t>
      </w:r>
    </w:p>
    <w:p w:rsidRPr="00652938" w:rsidR="0064259F" w:rsidP="00652938" w:rsidRDefault="0064259F" w14:paraId="0B6D4BB1" w14:textId="4EE75097">
      <w:pPr>
        <w:pStyle w:val="BodyTextFirstIndent"/>
        <w:ind w:firstLine="0"/>
        <w:rPr>
          <w:sz w:val="24"/>
          <w:szCs w:val="24"/>
        </w:rPr>
      </w:pPr>
      <w:r w:rsidRPr="00652938">
        <w:rPr>
          <w:sz w:val="24"/>
          <w:szCs w:val="24"/>
        </w:rPr>
        <w:t xml:space="preserve">The burden hour estimate </w:t>
      </w:r>
      <w:r w:rsidRPr="00652938" w:rsidR="00FC6D63">
        <w:rPr>
          <w:sz w:val="24"/>
          <w:szCs w:val="24"/>
        </w:rPr>
        <w:t xml:space="preserve">for an average facility to complete </w:t>
      </w:r>
      <w:r w:rsidRPr="00652938">
        <w:rPr>
          <w:sz w:val="24"/>
          <w:szCs w:val="24"/>
        </w:rPr>
        <w:t xml:space="preserve">the survey </w:t>
      </w:r>
      <w:r w:rsidRPr="00652938" w:rsidR="00FC6D63">
        <w:rPr>
          <w:sz w:val="24"/>
          <w:szCs w:val="24"/>
        </w:rPr>
        <w:t>is</w:t>
      </w:r>
      <w:r w:rsidRPr="00652938">
        <w:rPr>
          <w:sz w:val="24"/>
          <w:szCs w:val="24"/>
        </w:rPr>
        <w:t xml:space="preserve"> based on tests of the length of time each type of respondent is likely to need to read the survey invitation</w:t>
      </w:r>
      <w:r w:rsidRPr="00652938" w:rsidR="004B3EB0">
        <w:rPr>
          <w:sz w:val="24"/>
          <w:szCs w:val="24"/>
        </w:rPr>
        <w:t xml:space="preserve"> and instructions</w:t>
      </w:r>
      <w:r w:rsidRPr="00652938">
        <w:rPr>
          <w:sz w:val="24"/>
          <w:szCs w:val="24"/>
        </w:rPr>
        <w:t xml:space="preserve"> and </w:t>
      </w:r>
      <w:r w:rsidRPr="00652938" w:rsidR="00E9131D">
        <w:rPr>
          <w:sz w:val="24"/>
          <w:szCs w:val="24"/>
        </w:rPr>
        <w:t>complete t</w:t>
      </w:r>
      <w:r w:rsidRPr="00652938">
        <w:rPr>
          <w:sz w:val="24"/>
          <w:szCs w:val="24"/>
        </w:rPr>
        <w:t>he survey questions</w:t>
      </w:r>
      <w:r w:rsidRPr="00652938" w:rsidR="004E179E">
        <w:rPr>
          <w:sz w:val="24"/>
          <w:szCs w:val="24"/>
        </w:rPr>
        <w:t xml:space="preserve">. </w:t>
      </w:r>
      <w:r w:rsidRPr="00652938" w:rsidR="00EC6E64">
        <w:rPr>
          <w:sz w:val="24"/>
          <w:szCs w:val="24"/>
        </w:rPr>
        <w:t xml:space="preserve">For </w:t>
      </w:r>
      <w:r w:rsidRPr="00652938" w:rsidR="00C6640A">
        <w:rPr>
          <w:sz w:val="24"/>
          <w:szCs w:val="24"/>
        </w:rPr>
        <w:t xml:space="preserve">facilities engaged in drug </w:t>
      </w:r>
      <w:r w:rsidRPr="00652938" w:rsidR="0055463B">
        <w:rPr>
          <w:sz w:val="24"/>
          <w:szCs w:val="24"/>
        </w:rPr>
        <w:t xml:space="preserve">product </w:t>
      </w:r>
      <w:r w:rsidRPr="00652938" w:rsidR="00C6640A">
        <w:rPr>
          <w:sz w:val="24"/>
          <w:szCs w:val="24"/>
        </w:rPr>
        <w:t xml:space="preserve">manufacturing </w:t>
      </w:r>
      <w:r w:rsidRPr="00652938" w:rsidR="00025A0A">
        <w:rPr>
          <w:sz w:val="24"/>
          <w:szCs w:val="24"/>
        </w:rPr>
        <w:t xml:space="preserve">(in addition to other possible activities) </w:t>
      </w:r>
      <w:r w:rsidRPr="00652938" w:rsidR="00C6640A">
        <w:rPr>
          <w:sz w:val="24"/>
          <w:szCs w:val="24"/>
        </w:rPr>
        <w:t>in the U.S.</w:t>
      </w:r>
      <w:r w:rsidRPr="00652938" w:rsidR="00EC6E64">
        <w:rPr>
          <w:sz w:val="24"/>
          <w:szCs w:val="24"/>
        </w:rPr>
        <w:t>, this burden was estimated as 6 minutes to read instructions and 60 minutes to answer questions.</w:t>
      </w:r>
      <w:r w:rsidRPr="00652938" w:rsidR="00C6640A">
        <w:rPr>
          <w:sz w:val="24"/>
          <w:szCs w:val="24"/>
        </w:rPr>
        <w:t xml:space="preserve"> </w:t>
      </w:r>
      <w:r w:rsidRPr="00652938" w:rsidR="00EC6E64">
        <w:rPr>
          <w:sz w:val="24"/>
          <w:szCs w:val="24"/>
        </w:rPr>
        <w:t xml:space="preserve">The burden in hours for </w:t>
      </w:r>
      <w:r w:rsidRPr="00652938" w:rsidR="00DC7CA2">
        <w:rPr>
          <w:sz w:val="24"/>
          <w:szCs w:val="24"/>
        </w:rPr>
        <w:t>facilities engaged in other forms of drug processing</w:t>
      </w:r>
      <w:r w:rsidRPr="00652938" w:rsidR="00A455AB">
        <w:rPr>
          <w:sz w:val="24"/>
          <w:szCs w:val="24"/>
        </w:rPr>
        <w:t xml:space="preserve"> or packing</w:t>
      </w:r>
      <w:r w:rsidRPr="00652938" w:rsidR="00DC7CA2">
        <w:rPr>
          <w:sz w:val="24"/>
          <w:szCs w:val="24"/>
        </w:rPr>
        <w:t xml:space="preserve"> (non-manufacturers)</w:t>
      </w:r>
      <w:r w:rsidRPr="00652938" w:rsidDel="00DC7CA2" w:rsidR="00DC7CA2">
        <w:rPr>
          <w:sz w:val="24"/>
          <w:szCs w:val="24"/>
        </w:rPr>
        <w:t xml:space="preserve"> </w:t>
      </w:r>
      <w:r w:rsidRPr="00652938" w:rsidR="00EC6E64">
        <w:rPr>
          <w:sz w:val="24"/>
          <w:szCs w:val="24"/>
        </w:rPr>
        <w:t xml:space="preserve">was estimated at about 70 percent of the burden to </w:t>
      </w:r>
      <w:r w:rsidRPr="00652938" w:rsidR="00CC3A58">
        <w:rPr>
          <w:sz w:val="24"/>
          <w:szCs w:val="24"/>
        </w:rPr>
        <w:t xml:space="preserve">drug product </w:t>
      </w:r>
      <w:r w:rsidRPr="00652938" w:rsidR="00EC6E64">
        <w:rPr>
          <w:sz w:val="24"/>
          <w:szCs w:val="24"/>
        </w:rPr>
        <w:t>manufacturers</w:t>
      </w:r>
      <w:r w:rsidRPr="00652938" w:rsidR="006212C4">
        <w:rPr>
          <w:sz w:val="24"/>
          <w:szCs w:val="24"/>
        </w:rPr>
        <w:t>.</w:t>
      </w:r>
      <w:r w:rsidRPr="00652938" w:rsidR="00C6640A">
        <w:rPr>
          <w:rStyle w:val="FootnoteReference"/>
          <w:sz w:val="24"/>
          <w:szCs w:val="24"/>
        </w:rPr>
        <w:footnoteReference w:id="1"/>
      </w:r>
      <w:r w:rsidRPr="00652938" w:rsidR="006212C4">
        <w:rPr>
          <w:sz w:val="24"/>
          <w:szCs w:val="24"/>
        </w:rPr>
        <w:t xml:space="preserve"> </w:t>
      </w:r>
      <w:r w:rsidRPr="00652938" w:rsidR="00B77A16">
        <w:rPr>
          <w:sz w:val="24"/>
          <w:szCs w:val="24"/>
        </w:rPr>
        <w:t>M</w:t>
      </w:r>
      <w:r w:rsidRPr="00652938" w:rsidR="00EC6E64">
        <w:rPr>
          <w:sz w:val="24"/>
          <w:szCs w:val="24"/>
        </w:rPr>
        <w:t xml:space="preserve">any of these </w:t>
      </w:r>
      <w:r w:rsidRPr="00652938" w:rsidR="00EC6E64">
        <w:rPr>
          <w:sz w:val="24"/>
          <w:szCs w:val="24"/>
        </w:rPr>
        <w:lastRenderedPageBreak/>
        <w:t xml:space="preserve">facilities will </w:t>
      </w:r>
      <w:r w:rsidRPr="00652938" w:rsidR="00B77A16">
        <w:rPr>
          <w:sz w:val="24"/>
          <w:szCs w:val="24"/>
        </w:rPr>
        <w:t>skip</w:t>
      </w:r>
      <w:r w:rsidRPr="00652938" w:rsidR="00EC6E64">
        <w:rPr>
          <w:sz w:val="24"/>
          <w:szCs w:val="24"/>
        </w:rPr>
        <w:t xml:space="preserve"> past sections of the survey directed only toward facilities that manufacture drug products. </w:t>
      </w:r>
      <w:r w:rsidRPr="00652938" w:rsidR="00B77A16">
        <w:rPr>
          <w:sz w:val="24"/>
          <w:szCs w:val="24"/>
        </w:rPr>
        <w:t>Given the language barrier,</w:t>
      </w:r>
      <w:r w:rsidRPr="00652938" w:rsidR="006212C4">
        <w:rPr>
          <w:sz w:val="24"/>
          <w:szCs w:val="24"/>
        </w:rPr>
        <w:t xml:space="preserve"> the burden for facilities outside of the U.S. was estimated at double that of domestic facilities.  </w:t>
      </w:r>
    </w:p>
    <w:p w:rsidRPr="00652938" w:rsidR="005140A0" w:rsidP="00652938" w:rsidRDefault="00CF0598" w14:paraId="7AFD7387" w14:textId="58A7BE2A">
      <w:pPr>
        <w:pStyle w:val="BodyTextFirstIndent"/>
        <w:ind w:firstLine="0"/>
        <w:rPr>
          <w:sz w:val="24"/>
          <w:szCs w:val="24"/>
        </w:rPr>
      </w:pPr>
      <w:r w:rsidRPr="00652938">
        <w:rPr>
          <w:sz w:val="24"/>
          <w:szCs w:val="24"/>
        </w:rPr>
        <w:t>The</w:t>
      </w:r>
      <w:r w:rsidRPr="00652938" w:rsidR="00D9563F">
        <w:rPr>
          <w:sz w:val="24"/>
          <w:szCs w:val="24"/>
        </w:rPr>
        <w:t xml:space="preserve"> current collection</w:t>
      </w:r>
      <w:r w:rsidRPr="00652938">
        <w:rPr>
          <w:sz w:val="24"/>
          <w:szCs w:val="24"/>
        </w:rPr>
        <w:t xml:space="preserve"> activities are expected to be </w:t>
      </w:r>
      <w:r w:rsidRPr="00652938" w:rsidR="002D4EFC">
        <w:rPr>
          <w:sz w:val="24"/>
          <w:szCs w:val="24"/>
        </w:rPr>
        <w:t>initiated and completed</w:t>
      </w:r>
      <w:r w:rsidRPr="00652938">
        <w:rPr>
          <w:sz w:val="24"/>
          <w:szCs w:val="24"/>
        </w:rPr>
        <w:t xml:space="preserve"> within one calendar year; therefore</w:t>
      </w:r>
      <w:r w:rsidRPr="00652938" w:rsidR="00851A18">
        <w:rPr>
          <w:sz w:val="24"/>
          <w:szCs w:val="24"/>
        </w:rPr>
        <w:t>,</w:t>
      </w:r>
      <w:r w:rsidRPr="00652938">
        <w:rPr>
          <w:sz w:val="24"/>
          <w:szCs w:val="24"/>
        </w:rPr>
        <w:t xml:space="preserve"> </w:t>
      </w:r>
      <w:r w:rsidRPr="00652938" w:rsidR="00E43699">
        <w:rPr>
          <w:sz w:val="24"/>
          <w:szCs w:val="24"/>
        </w:rPr>
        <w:fldChar w:fldCharType="begin"/>
      </w:r>
      <w:r w:rsidRPr="00652938" w:rsidR="00E43699">
        <w:rPr>
          <w:sz w:val="24"/>
          <w:szCs w:val="24"/>
        </w:rPr>
        <w:instrText xml:space="preserve"> REF _Ref13490682 \h </w:instrText>
      </w:r>
      <w:r w:rsidRPr="00652938" w:rsidR="00817829">
        <w:rPr>
          <w:sz w:val="24"/>
          <w:szCs w:val="24"/>
        </w:rPr>
        <w:instrText xml:space="preserve"> \* MERGEFORMAT </w:instrText>
      </w:r>
      <w:r w:rsidRPr="00652938" w:rsidR="00E43699">
        <w:rPr>
          <w:sz w:val="24"/>
          <w:szCs w:val="24"/>
        </w:rPr>
      </w:r>
      <w:r w:rsidRPr="00652938" w:rsidR="00E43699">
        <w:rPr>
          <w:sz w:val="24"/>
          <w:szCs w:val="24"/>
        </w:rPr>
        <w:fldChar w:fldCharType="separate"/>
      </w:r>
      <w:r w:rsidRPr="00652938" w:rsidR="00444D72">
        <w:rPr>
          <w:sz w:val="24"/>
          <w:szCs w:val="24"/>
        </w:rPr>
        <w:t xml:space="preserve">Table </w:t>
      </w:r>
      <w:r w:rsidRPr="00652938" w:rsidR="00444D72">
        <w:rPr>
          <w:noProof/>
          <w:sz w:val="24"/>
          <w:szCs w:val="24"/>
        </w:rPr>
        <w:t>2</w:t>
      </w:r>
      <w:r w:rsidRPr="00652938" w:rsidR="00E43699">
        <w:rPr>
          <w:sz w:val="24"/>
          <w:szCs w:val="24"/>
        </w:rPr>
        <w:fldChar w:fldCharType="end"/>
      </w:r>
      <w:r w:rsidRPr="00652938">
        <w:rPr>
          <w:sz w:val="24"/>
          <w:szCs w:val="24"/>
        </w:rPr>
        <w:t xml:space="preserve"> can be considered an “annual” burden estimate</w:t>
      </w:r>
      <w:r w:rsidRPr="00652938" w:rsidR="00C86253">
        <w:rPr>
          <w:sz w:val="24"/>
          <w:szCs w:val="24"/>
        </w:rPr>
        <w:t xml:space="preserve"> for the one calendar year in which burden would be realized</w:t>
      </w:r>
      <w:r w:rsidRPr="00652938">
        <w:rPr>
          <w:sz w:val="24"/>
          <w:szCs w:val="24"/>
        </w:rPr>
        <w:t>.</w:t>
      </w:r>
    </w:p>
    <w:p w:rsidRPr="00652938" w:rsidR="00E43699" w:rsidP="005A0C37" w:rsidRDefault="00E43699" w14:paraId="63F36660" w14:textId="30FD04F4">
      <w:pPr>
        <w:pStyle w:val="Caption"/>
        <w:keepNext/>
        <w:rPr>
          <w:b w:val="0"/>
          <w:sz w:val="24"/>
          <w:szCs w:val="24"/>
        </w:rPr>
      </w:pPr>
      <w:bookmarkStart w:name="_Ref13490682" w:id="67"/>
      <w:r w:rsidRPr="00652938">
        <w:rPr>
          <w:b w:val="0"/>
          <w:sz w:val="24"/>
          <w:szCs w:val="24"/>
        </w:rPr>
        <w:t xml:space="preserve">Table </w:t>
      </w:r>
      <w:r w:rsidRPr="00652938" w:rsidR="003A7F36">
        <w:rPr>
          <w:b w:val="0"/>
          <w:sz w:val="24"/>
          <w:szCs w:val="24"/>
        </w:rPr>
        <w:fldChar w:fldCharType="begin"/>
      </w:r>
      <w:r w:rsidRPr="00652938" w:rsidR="003A7F36">
        <w:rPr>
          <w:b w:val="0"/>
          <w:sz w:val="24"/>
          <w:szCs w:val="24"/>
        </w:rPr>
        <w:instrText xml:space="preserve"> SEQ Table \* ARABIC </w:instrText>
      </w:r>
      <w:r w:rsidRPr="00652938" w:rsidR="003A7F36">
        <w:rPr>
          <w:b w:val="0"/>
          <w:sz w:val="24"/>
          <w:szCs w:val="24"/>
        </w:rPr>
        <w:fldChar w:fldCharType="separate"/>
      </w:r>
      <w:r w:rsidRPr="00652938" w:rsidR="00444D72">
        <w:rPr>
          <w:b w:val="0"/>
          <w:noProof/>
          <w:sz w:val="24"/>
          <w:szCs w:val="24"/>
        </w:rPr>
        <w:t>2</w:t>
      </w:r>
      <w:r w:rsidRPr="00652938" w:rsidR="003A7F36">
        <w:rPr>
          <w:b w:val="0"/>
          <w:noProof/>
          <w:sz w:val="24"/>
          <w:szCs w:val="24"/>
        </w:rPr>
        <w:fldChar w:fldCharType="end"/>
      </w:r>
      <w:bookmarkEnd w:id="67"/>
      <w:r w:rsidRPr="00652938">
        <w:rPr>
          <w:b w:val="0"/>
          <w:sz w:val="24"/>
          <w:szCs w:val="24"/>
        </w:rPr>
        <w:t xml:space="preserve">. </w:t>
      </w:r>
      <w:r w:rsidR="006C4089">
        <w:rPr>
          <w:b w:val="0"/>
          <w:sz w:val="24"/>
          <w:szCs w:val="24"/>
        </w:rPr>
        <w:t xml:space="preserve">Estimated Annual Reporting </w:t>
      </w:r>
      <w:r w:rsidRPr="00652938">
        <w:rPr>
          <w:b w:val="0"/>
          <w:sz w:val="24"/>
          <w:szCs w:val="24"/>
        </w:rPr>
        <w:t>Burden</w:t>
      </w:r>
      <w:r w:rsidRPr="00652938" w:rsidR="006C4089">
        <w:rPr>
          <w:b w:val="0"/>
          <w:sz w:val="24"/>
          <w:szCs w:val="24"/>
          <w:vertAlign w:val="superscript"/>
        </w:rPr>
        <w:t>1</w:t>
      </w:r>
    </w:p>
    <w:tbl>
      <w:tblPr>
        <w:tblW w:w="1060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ook w:val="04A0" w:firstRow="1" w:lastRow="0" w:firstColumn="1" w:lastColumn="0" w:noHBand="0" w:noVBand="1"/>
      </w:tblPr>
      <w:tblGrid>
        <w:gridCol w:w="1238"/>
        <w:gridCol w:w="1972"/>
        <w:gridCol w:w="1618"/>
        <w:gridCol w:w="1617"/>
        <w:gridCol w:w="1270"/>
        <w:gridCol w:w="1239"/>
        <w:gridCol w:w="1647"/>
      </w:tblGrid>
      <w:tr w:rsidRPr="008C718D" w:rsidR="009E3FFB" w:rsidTr="009E3FFB" w14:paraId="6537361C" w14:textId="77777777">
        <w:trPr>
          <w:tblHeader/>
          <w:jc w:val="center"/>
        </w:trPr>
        <w:tc>
          <w:tcPr>
            <w:tcW w:w="3225" w:type="dxa"/>
            <w:gridSpan w:val="2"/>
            <w:shd w:val="clear" w:color="auto" w:fill="D9D9D9" w:themeFill="background1" w:themeFillShade="D9"/>
            <w:tcMar>
              <w:left w:w="29" w:type="dxa"/>
              <w:right w:w="29" w:type="dxa"/>
            </w:tcMar>
            <w:vAlign w:val="center"/>
            <w:hideMark/>
          </w:tcPr>
          <w:p w:rsidRPr="00652938" w:rsidR="009E3FFB" w:rsidP="005A0C37" w:rsidRDefault="009E3FFB" w14:paraId="613B57C6" w14:textId="5D94A2D3">
            <w:pPr>
              <w:widowControl/>
              <w:autoSpaceDE/>
              <w:autoSpaceDN/>
              <w:adjustRightInd/>
              <w:spacing w:line="276" w:lineRule="auto"/>
              <w:jc w:val="center"/>
              <w:rPr>
                <w:b/>
                <w:bCs/>
                <w:color w:val="000000"/>
                <w:sz w:val="24"/>
              </w:rPr>
            </w:pPr>
            <w:r w:rsidRPr="00652938">
              <w:rPr>
                <w:b/>
                <w:bCs/>
                <w:color w:val="000000"/>
                <w:sz w:val="24"/>
              </w:rPr>
              <w:t>Type of Facility</w:t>
            </w:r>
          </w:p>
        </w:tc>
        <w:tc>
          <w:tcPr>
            <w:tcW w:w="1620" w:type="dxa"/>
            <w:shd w:val="clear" w:color="auto" w:fill="D9D9D9" w:themeFill="background1" w:themeFillShade="D9"/>
            <w:tcMar>
              <w:left w:w="29" w:type="dxa"/>
              <w:right w:w="29" w:type="dxa"/>
            </w:tcMar>
            <w:vAlign w:val="center"/>
            <w:hideMark/>
          </w:tcPr>
          <w:p w:rsidRPr="00652938" w:rsidR="009E3FFB" w:rsidP="00325A45" w:rsidRDefault="009E3FFB" w14:paraId="3CA3214B" w14:textId="5D146528">
            <w:pPr>
              <w:widowControl/>
              <w:autoSpaceDE/>
              <w:autoSpaceDN/>
              <w:adjustRightInd/>
              <w:spacing w:line="276" w:lineRule="auto"/>
              <w:jc w:val="center"/>
              <w:rPr>
                <w:b/>
                <w:bCs/>
                <w:color w:val="000000"/>
                <w:sz w:val="24"/>
              </w:rPr>
            </w:pPr>
            <w:r w:rsidRPr="00652938">
              <w:rPr>
                <w:b/>
                <w:bCs/>
                <w:color w:val="000000"/>
                <w:sz w:val="24"/>
              </w:rPr>
              <w:t>Number of Total Respon</w:t>
            </w:r>
            <w:r>
              <w:rPr>
                <w:b/>
                <w:bCs/>
                <w:color w:val="000000"/>
                <w:sz w:val="24"/>
              </w:rPr>
              <w:t>d</w:t>
            </w:r>
            <w:r w:rsidRPr="00652938">
              <w:rPr>
                <w:b/>
                <w:bCs/>
                <w:color w:val="000000"/>
                <w:sz w:val="24"/>
              </w:rPr>
              <w:t>e</w:t>
            </w:r>
            <w:r>
              <w:rPr>
                <w:b/>
                <w:bCs/>
                <w:color w:val="000000"/>
                <w:sz w:val="24"/>
              </w:rPr>
              <w:t>nt</w:t>
            </w:r>
            <w:r w:rsidRPr="00652938">
              <w:rPr>
                <w:b/>
                <w:bCs/>
                <w:color w:val="000000"/>
                <w:sz w:val="24"/>
              </w:rPr>
              <w:t>s</w:t>
            </w:r>
          </w:p>
        </w:tc>
        <w:tc>
          <w:tcPr>
            <w:tcW w:w="1620" w:type="dxa"/>
            <w:shd w:val="clear" w:color="auto" w:fill="D9D9D9" w:themeFill="background1" w:themeFillShade="D9"/>
            <w:tcMar>
              <w:left w:w="29" w:type="dxa"/>
              <w:right w:w="29" w:type="dxa"/>
            </w:tcMar>
            <w:vAlign w:val="center"/>
            <w:hideMark/>
          </w:tcPr>
          <w:p w:rsidRPr="00652938" w:rsidR="009E3FFB" w:rsidP="00325A45" w:rsidRDefault="009E3FFB" w14:paraId="59411655" w14:textId="7279AA09">
            <w:pPr>
              <w:widowControl/>
              <w:autoSpaceDE/>
              <w:autoSpaceDN/>
              <w:adjustRightInd/>
              <w:spacing w:line="276" w:lineRule="auto"/>
              <w:jc w:val="center"/>
              <w:rPr>
                <w:b/>
                <w:bCs/>
                <w:color w:val="000000"/>
                <w:sz w:val="24"/>
              </w:rPr>
            </w:pPr>
            <w:r w:rsidRPr="00652938">
              <w:rPr>
                <w:b/>
                <w:bCs/>
                <w:color w:val="000000"/>
                <w:sz w:val="24"/>
              </w:rPr>
              <w:t>Number of Responses per Respondent</w:t>
            </w:r>
          </w:p>
        </w:tc>
        <w:tc>
          <w:tcPr>
            <w:tcW w:w="1241" w:type="dxa"/>
            <w:shd w:val="clear" w:color="auto" w:fill="D9D9D9" w:themeFill="background1" w:themeFillShade="D9"/>
          </w:tcPr>
          <w:p w:rsidRPr="00652938" w:rsidR="009E3FFB" w:rsidP="00325A45" w:rsidRDefault="009E3FFB" w14:paraId="1BAA412C" w14:textId="6AB1C4A4">
            <w:pPr>
              <w:widowControl/>
              <w:autoSpaceDE/>
              <w:autoSpaceDN/>
              <w:adjustRightInd/>
              <w:spacing w:line="276" w:lineRule="auto"/>
              <w:jc w:val="center"/>
              <w:rPr>
                <w:b/>
                <w:bCs/>
                <w:color w:val="000000"/>
                <w:sz w:val="24"/>
              </w:rPr>
            </w:pPr>
            <w:r>
              <w:rPr>
                <w:b/>
                <w:bCs/>
                <w:color w:val="000000"/>
                <w:sz w:val="24"/>
              </w:rPr>
              <w:t>Total Annual Responses</w:t>
            </w:r>
          </w:p>
        </w:tc>
        <w:tc>
          <w:tcPr>
            <w:tcW w:w="1241" w:type="dxa"/>
            <w:shd w:val="clear" w:color="auto" w:fill="D9D9D9" w:themeFill="background1" w:themeFillShade="D9"/>
            <w:tcMar>
              <w:left w:w="29" w:type="dxa"/>
              <w:right w:w="29" w:type="dxa"/>
            </w:tcMar>
            <w:vAlign w:val="center"/>
            <w:hideMark/>
          </w:tcPr>
          <w:p w:rsidRPr="00652938" w:rsidR="009E3FFB" w:rsidP="00325A45" w:rsidRDefault="009E3FFB" w14:paraId="31029DC9" w14:textId="30C89FE1">
            <w:pPr>
              <w:widowControl/>
              <w:autoSpaceDE/>
              <w:autoSpaceDN/>
              <w:adjustRightInd/>
              <w:spacing w:line="276" w:lineRule="auto"/>
              <w:jc w:val="center"/>
              <w:rPr>
                <w:b/>
                <w:bCs/>
                <w:color w:val="000000"/>
                <w:sz w:val="24"/>
              </w:rPr>
            </w:pPr>
            <w:r w:rsidRPr="00652938">
              <w:rPr>
                <w:b/>
                <w:bCs/>
                <w:color w:val="000000"/>
                <w:sz w:val="24"/>
              </w:rPr>
              <w:t xml:space="preserve">Average Burden per Response </w:t>
            </w:r>
          </w:p>
        </w:tc>
        <w:tc>
          <w:tcPr>
            <w:tcW w:w="1654" w:type="dxa"/>
            <w:shd w:val="clear" w:color="auto" w:fill="D9D9D9" w:themeFill="background1" w:themeFillShade="D9"/>
            <w:tcMar>
              <w:left w:w="29" w:type="dxa"/>
              <w:right w:w="29" w:type="dxa"/>
            </w:tcMar>
            <w:vAlign w:val="center"/>
            <w:hideMark/>
          </w:tcPr>
          <w:p w:rsidRPr="00652938" w:rsidR="009E3FFB" w:rsidP="00325A45" w:rsidRDefault="009E3FFB" w14:paraId="417ABF9E" w14:textId="6D719033">
            <w:pPr>
              <w:widowControl/>
              <w:autoSpaceDE/>
              <w:autoSpaceDN/>
              <w:adjustRightInd/>
              <w:spacing w:line="276" w:lineRule="auto"/>
              <w:jc w:val="center"/>
              <w:rPr>
                <w:b/>
                <w:bCs/>
                <w:color w:val="000000"/>
                <w:sz w:val="24"/>
              </w:rPr>
            </w:pPr>
            <w:r w:rsidRPr="00652938">
              <w:rPr>
                <w:b/>
                <w:bCs/>
                <w:color w:val="000000"/>
                <w:sz w:val="24"/>
              </w:rPr>
              <w:t xml:space="preserve">Total Burden </w:t>
            </w:r>
          </w:p>
          <w:p w:rsidRPr="00652938" w:rsidR="009E3FFB" w:rsidP="00325A45" w:rsidRDefault="009E3FFB" w14:paraId="4C6BF8DE" w14:textId="512A7A9A">
            <w:pPr>
              <w:widowControl/>
              <w:autoSpaceDE/>
              <w:autoSpaceDN/>
              <w:adjustRightInd/>
              <w:spacing w:line="276" w:lineRule="auto"/>
              <w:jc w:val="center"/>
              <w:rPr>
                <w:b/>
                <w:bCs/>
                <w:color w:val="000000"/>
                <w:sz w:val="24"/>
              </w:rPr>
            </w:pPr>
          </w:p>
        </w:tc>
      </w:tr>
      <w:tr w:rsidRPr="008C718D" w:rsidR="009E3FFB" w:rsidTr="009E3FFB" w14:paraId="4E64C756" w14:textId="77777777">
        <w:trPr>
          <w:jc w:val="center"/>
        </w:trPr>
        <w:tc>
          <w:tcPr>
            <w:tcW w:w="3225" w:type="dxa"/>
            <w:gridSpan w:val="2"/>
            <w:shd w:val="clear" w:color="auto" w:fill="auto"/>
            <w:tcMar>
              <w:left w:w="29" w:type="dxa"/>
              <w:right w:w="29" w:type="dxa"/>
            </w:tcMar>
            <w:vAlign w:val="center"/>
          </w:tcPr>
          <w:p w:rsidRPr="00652938" w:rsidR="009E3FFB" w:rsidP="00325A45" w:rsidRDefault="009E3FFB" w14:paraId="0FAE40C1" w14:textId="518751F6">
            <w:pPr>
              <w:widowControl/>
              <w:autoSpaceDE/>
              <w:autoSpaceDN/>
              <w:adjustRightInd/>
              <w:spacing w:line="276" w:lineRule="auto"/>
              <w:rPr>
                <w:color w:val="000000"/>
                <w:sz w:val="24"/>
              </w:rPr>
            </w:pPr>
            <w:r w:rsidRPr="00652938">
              <w:rPr>
                <w:b/>
                <w:bCs/>
                <w:sz w:val="24"/>
              </w:rPr>
              <w:t>Group 1:</w:t>
            </w:r>
            <w:r w:rsidRPr="00652938">
              <w:rPr>
                <w:sz w:val="24"/>
              </w:rPr>
              <w:t xml:space="preserve"> Facilities </w:t>
            </w:r>
            <w:r w:rsidRPr="00652938">
              <w:rPr>
                <w:b/>
                <w:bCs/>
                <w:sz w:val="24"/>
              </w:rPr>
              <w:t>in U.S. engaged</w:t>
            </w:r>
            <w:r w:rsidRPr="00652938">
              <w:rPr>
                <w:sz w:val="24"/>
              </w:rPr>
              <w:t xml:space="preserve"> in drug product manufacturing (in addition to other possible </w:t>
            </w:r>
            <w:bookmarkStart w:name="_Hlk34743373" w:id="68"/>
            <w:r w:rsidRPr="00652938">
              <w:rPr>
                <w:sz w:val="24"/>
              </w:rPr>
              <w:t>activities</w:t>
            </w:r>
            <w:bookmarkEnd w:id="68"/>
            <w:r w:rsidRPr="00652938">
              <w:rPr>
                <w:sz w:val="24"/>
              </w:rPr>
              <w:t>)</w:t>
            </w:r>
          </w:p>
        </w:tc>
        <w:tc>
          <w:tcPr>
            <w:tcW w:w="1620" w:type="dxa"/>
            <w:shd w:val="clear" w:color="auto" w:fill="auto"/>
            <w:tcMar>
              <w:left w:w="29" w:type="dxa"/>
              <w:right w:w="29" w:type="dxa"/>
            </w:tcMar>
            <w:vAlign w:val="center"/>
          </w:tcPr>
          <w:p w:rsidRPr="00652938" w:rsidR="009E3FFB" w:rsidP="00325A45" w:rsidRDefault="009E3FFB" w14:paraId="2AF6EC41" w14:textId="3A83BCF1">
            <w:pPr>
              <w:widowControl/>
              <w:autoSpaceDE/>
              <w:autoSpaceDN/>
              <w:adjustRightInd/>
              <w:spacing w:line="276" w:lineRule="auto"/>
              <w:jc w:val="center"/>
              <w:rPr>
                <w:color w:val="000000"/>
                <w:sz w:val="24"/>
              </w:rPr>
            </w:pPr>
            <w:r w:rsidRPr="00652938">
              <w:rPr>
                <w:sz w:val="24"/>
              </w:rPr>
              <w:t>394</w:t>
            </w:r>
          </w:p>
        </w:tc>
        <w:tc>
          <w:tcPr>
            <w:tcW w:w="1620" w:type="dxa"/>
            <w:shd w:val="clear" w:color="auto" w:fill="auto"/>
            <w:tcMar>
              <w:left w:w="29" w:type="dxa"/>
              <w:right w:w="29" w:type="dxa"/>
            </w:tcMar>
            <w:vAlign w:val="center"/>
          </w:tcPr>
          <w:p w:rsidRPr="00652938" w:rsidR="009E3FFB" w:rsidP="00325A45" w:rsidRDefault="009E3FFB" w14:paraId="5DD23FAB" w14:textId="1CC248E3">
            <w:pPr>
              <w:widowControl/>
              <w:autoSpaceDE/>
              <w:autoSpaceDN/>
              <w:adjustRightInd/>
              <w:spacing w:line="276" w:lineRule="auto"/>
              <w:jc w:val="center"/>
              <w:rPr>
                <w:color w:val="000000"/>
                <w:sz w:val="24"/>
              </w:rPr>
            </w:pPr>
            <w:r w:rsidRPr="00652938">
              <w:rPr>
                <w:color w:val="000000"/>
                <w:sz w:val="24"/>
              </w:rPr>
              <w:t>1</w:t>
            </w:r>
          </w:p>
        </w:tc>
        <w:tc>
          <w:tcPr>
            <w:tcW w:w="1241" w:type="dxa"/>
          </w:tcPr>
          <w:p w:rsidR="009E3FFB" w:rsidP="00325A45" w:rsidRDefault="009E3FFB" w14:paraId="466694C8" w14:textId="77777777">
            <w:pPr>
              <w:widowControl/>
              <w:autoSpaceDE/>
              <w:autoSpaceDN/>
              <w:adjustRightInd/>
              <w:spacing w:line="276" w:lineRule="auto"/>
              <w:jc w:val="center"/>
              <w:rPr>
                <w:color w:val="000000"/>
                <w:sz w:val="24"/>
              </w:rPr>
            </w:pPr>
          </w:p>
          <w:p w:rsidRPr="00652938" w:rsidR="009E3FFB" w:rsidP="00325A45" w:rsidRDefault="009E3FFB" w14:paraId="3C311765" w14:textId="397060B3">
            <w:pPr>
              <w:widowControl/>
              <w:autoSpaceDE/>
              <w:autoSpaceDN/>
              <w:adjustRightInd/>
              <w:spacing w:line="276" w:lineRule="auto"/>
              <w:jc w:val="center"/>
              <w:rPr>
                <w:color w:val="000000"/>
                <w:sz w:val="24"/>
              </w:rPr>
            </w:pPr>
            <w:r>
              <w:rPr>
                <w:color w:val="000000"/>
                <w:sz w:val="24"/>
              </w:rPr>
              <w:t>394</w:t>
            </w:r>
          </w:p>
        </w:tc>
        <w:tc>
          <w:tcPr>
            <w:tcW w:w="1241" w:type="dxa"/>
            <w:shd w:val="clear" w:color="auto" w:fill="auto"/>
            <w:tcMar>
              <w:left w:w="29" w:type="dxa"/>
              <w:right w:w="29" w:type="dxa"/>
            </w:tcMar>
            <w:vAlign w:val="center"/>
          </w:tcPr>
          <w:p w:rsidRPr="00652938" w:rsidR="009E3FFB" w:rsidP="00325A45" w:rsidRDefault="009E3FFB" w14:paraId="65E17CF4" w14:textId="6D9304EE">
            <w:pPr>
              <w:widowControl/>
              <w:autoSpaceDE/>
              <w:autoSpaceDN/>
              <w:adjustRightInd/>
              <w:spacing w:line="276" w:lineRule="auto"/>
              <w:jc w:val="center"/>
              <w:rPr>
                <w:color w:val="000000"/>
                <w:sz w:val="24"/>
              </w:rPr>
            </w:pPr>
            <w:r w:rsidRPr="00652938">
              <w:rPr>
                <w:color w:val="000000"/>
                <w:sz w:val="24"/>
              </w:rPr>
              <w:t>1.10</w:t>
            </w:r>
          </w:p>
        </w:tc>
        <w:tc>
          <w:tcPr>
            <w:tcW w:w="1654" w:type="dxa"/>
            <w:shd w:val="clear" w:color="auto" w:fill="auto"/>
            <w:tcMar>
              <w:left w:w="29" w:type="dxa"/>
              <w:right w:w="29" w:type="dxa"/>
            </w:tcMar>
            <w:vAlign w:val="center"/>
          </w:tcPr>
          <w:p w:rsidRPr="00652938" w:rsidR="009E3FFB" w:rsidP="00325A45" w:rsidRDefault="009E3FFB" w14:paraId="168383D2" w14:textId="6AF43B4C">
            <w:pPr>
              <w:widowControl/>
              <w:autoSpaceDE/>
              <w:autoSpaceDN/>
              <w:adjustRightInd/>
              <w:spacing w:line="276" w:lineRule="auto"/>
              <w:jc w:val="center"/>
              <w:rPr>
                <w:color w:val="000000"/>
                <w:sz w:val="24"/>
              </w:rPr>
            </w:pPr>
            <w:r w:rsidRPr="00652938">
              <w:rPr>
                <w:color w:val="000000"/>
                <w:sz w:val="24"/>
              </w:rPr>
              <w:t>433</w:t>
            </w:r>
          </w:p>
        </w:tc>
      </w:tr>
      <w:tr w:rsidRPr="008C718D" w:rsidR="009E3FFB" w:rsidTr="009E3FFB" w14:paraId="7178A1F9" w14:textId="77777777">
        <w:trPr>
          <w:jc w:val="center"/>
        </w:trPr>
        <w:tc>
          <w:tcPr>
            <w:tcW w:w="3225" w:type="dxa"/>
            <w:gridSpan w:val="2"/>
            <w:shd w:val="clear" w:color="auto" w:fill="auto"/>
            <w:tcMar>
              <w:left w:w="29" w:type="dxa"/>
              <w:right w:w="29" w:type="dxa"/>
            </w:tcMar>
            <w:vAlign w:val="center"/>
            <w:hideMark/>
          </w:tcPr>
          <w:p w:rsidRPr="00652938" w:rsidR="009E3FFB" w:rsidP="0030300C" w:rsidRDefault="009E3FFB" w14:paraId="4530FF14" w14:textId="66BB6F9D">
            <w:pPr>
              <w:contextualSpacing/>
              <w:rPr>
                <w:sz w:val="24"/>
              </w:rPr>
            </w:pPr>
            <w:bookmarkStart w:name="_Hlk34748265" w:id="69"/>
            <w:r w:rsidRPr="00652938">
              <w:rPr>
                <w:b/>
                <w:bCs/>
                <w:sz w:val="24"/>
              </w:rPr>
              <w:t>Group 2:</w:t>
            </w:r>
            <w:r w:rsidRPr="00652938">
              <w:rPr>
                <w:sz w:val="24"/>
              </w:rPr>
              <w:t xml:space="preserve"> Facilities </w:t>
            </w:r>
            <w:r w:rsidRPr="00652938">
              <w:rPr>
                <w:b/>
                <w:bCs/>
                <w:sz w:val="24"/>
              </w:rPr>
              <w:t xml:space="preserve">in U.S. </w:t>
            </w:r>
            <w:r w:rsidRPr="00652938">
              <w:rPr>
                <w:b/>
                <w:bCs/>
                <w:i/>
                <w:iCs/>
                <w:sz w:val="24"/>
              </w:rPr>
              <w:t>not</w:t>
            </w:r>
            <w:r w:rsidRPr="00652938">
              <w:rPr>
                <w:b/>
                <w:bCs/>
                <w:sz w:val="24"/>
              </w:rPr>
              <w:t xml:space="preserve"> engaged</w:t>
            </w:r>
            <w:r w:rsidRPr="00652938">
              <w:rPr>
                <w:sz w:val="24"/>
              </w:rPr>
              <w:t xml:space="preserve"> in manufacturing but engaged in other forms of drug processing or packing (e.g., labeling, repacking, etc.) </w:t>
            </w:r>
          </w:p>
          <w:bookmarkEnd w:id="69"/>
          <w:p w:rsidRPr="00652938" w:rsidR="009E3FFB" w:rsidP="00325A45" w:rsidRDefault="009E3FFB" w14:paraId="1223CBBB" w14:textId="0344F455">
            <w:pPr>
              <w:widowControl/>
              <w:autoSpaceDE/>
              <w:autoSpaceDN/>
              <w:adjustRightInd/>
              <w:spacing w:line="276" w:lineRule="auto"/>
              <w:rPr>
                <w:color w:val="000000"/>
                <w:sz w:val="24"/>
              </w:rPr>
            </w:pPr>
          </w:p>
        </w:tc>
        <w:tc>
          <w:tcPr>
            <w:tcW w:w="1620" w:type="dxa"/>
            <w:shd w:val="clear" w:color="auto" w:fill="auto"/>
            <w:tcMar>
              <w:left w:w="29" w:type="dxa"/>
              <w:right w:w="29" w:type="dxa"/>
            </w:tcMar>
            <w:vAlign w:val="center"/>
          </w:tcPr>
          <w:p w:rsidRPr="00652938" w:rsidR="009E3FFB" w:rsidP="00325A45" w:rsidRDefault="009E3FFB" w14:paraId="024B8C92" w14:textId="408769FD">
            <w:pPr>
              <w:widowControl/>
              <w:autoSpaceDE/>
              <w:autoSpaceDN/>
              <w:adjustRightInd/>
              <w:spacing w:line="276" w:lineRule="auto"/>
              <w:jc w:val="center"/>
              <w:rPr>
                <w:color w:val="000000"/>
                <w:sz w:val="24"/>
              </w:rPr>
            </w:pPr>
            <w:r w:rsidRPr="00652938">
              <w:rPr>
                <w:color w:val="000000"/>
                <w:sz w:val="24"/>
              </w:rPr>
              <w:t>333</w:t>
            </w:r>
          </w:p>
        </w:tc>
        <w:tc>
          <w:tcPr>
            <w:tcW w:w="1620" w:type="dxa"/>
            <w:shd w:val="clear" w:color="auto" w:fill="auto"/>
            <w:tcMar>
              <w:left w:w="29" w:type="dxa"/>
              <w:right w:w="29" w:type="dxa"/>
            </w:tcMar>
            <w:vAlign w:val="center"/>
          </w:tcPr>
          <w:p w:rsidRPr="00652938" w:rsidR="009E3FFB" w:rsidP="00325A45" w:rsidRDefault="009E3FFB" w14:paraId="275C6308" w14:textId="77777777">
            <w:pPr>
              <w:widowControl/>
              <w:autoSpaceDE/>
              <w:autoSpaceDN/>
              <w:adjustRightInd/>
              <w:spacing w:line="276" w:lineRule="auto"/>
              <w:jc w:val="center"/>
              <w:rPr>
                <w:color w:val="000000"/>
                <w:sz w:val="24"/>
              </w:rPr>
            </w:pPr>
            <w:r w:rsidRPr="00652938">
              <w:rPr>
                <w:color w:val="000000"/>
                <w:sz w:val="24"/>
              </w:rPr>
              <w:t>1</w:t>
            </w:r>
          </w:p>
        </w:tc>
        <w:tc>
          <w:tcPr>
            <w:tcW w:w="1241" w:type="dxa"/>
          </w:tcPr>
          <w:p w:rsidR="009E3FFB" w:rsidP="00325A45" w:rsidRDefault="009E3FFB" w14:paraId="1C12495F" w14:textId="77777777">
            <w:pPr>
              <w:widowControl/>
              <w:autoSpaceDE/>
              <w:autoSpaceDN/>
              <w:adjustRightInd/>
              <w:spacing w:line="276" w:lineRule="auto"/>
              <w:jc w:val="center"/>
              <w:rPr>
                <w:color w:val="000000"/>
                <w:sz w:val="24"/>
              </w:rPr>
            </w:pPr>
          </w:p>
          <w:p w:rsidR="009E3FFB" w:rsidP="00325A45" w:rsidRDefault="009E3FFB" w14:paraId="798FA7B6" w14:textId="77777777">
            <w:pPr>
              <w:widowControl/>
              <w:autoSpaceDE/>
              <w:autoSpaceDN/>
              <w:adjustRightInd/>
              <w:spacing w:line="276" w:lineRule="auto"/>
              <w:jc w:val="center"/>
              <w:rPr>
                <w:color w:val="000000"/>
                <w:sz w:val="24"/>
              </w:rPr>
            </w:pPr>
          </w:p>
          <w:p w:rsidRPr="00652938" w:rsidR="009E3FFB" w:rsidP="00325A45" w:rsidRDefault="009E3FFB" w14:paraId="4636C2B3" w14:textId="05F8EB87">
            <w:pPr>
              <w:widowControl/>
              <w:autoSpaceDE/>
              <w:autoSpaceDN/>
              <w:adjustRightInd/>
              <w:spacing w:line="276" w:lineRule="auto"/>
              <w:jc w:val="center"/>
              <w:rPr>
                <w:color w:val="000000"/>
                <w:sz w:val="24"/>
              </w:rPr>
            </w:pPr>
            <w:r>
              <w:rPr>
                <w:color w:val="000000"/>
                <w:sz w:val="24"/>
              </w:rPr>
              <w:t>333</w:t>
            </w:r>
          </w:p>
        </w:tc>
        <w:tc>
          <w:tcPr>
            <w:tcW w:w="1241" w:type="dxa"/>
            <w:shd w:val="clear" w:color="auto" w:fill="auto"/>
            <w:tcMar>
              <w:left w:w="29" w:type="dxa"/>
              <w:right w:w="29" w:type="dxa"/>
            </w:tcMar>
            <w:vAlign w:val="center"/>
          </w:tcPr>
          <w:p w:rsidR="009E3FFB" w:rsidP="00325A45" w:rsidRDefault="009E3FFB" w14:paraId="79098E74" w14:textId="77777777">
            <w:pPr>
              <w:widowControl/>
              <w:autoSpaceDE/>
              <w:autoSpaceDN/>
              <w:adjustRightInd/>
              <w:spacing w:line="276" w:lineRule="auto"/>
              <w:jc w:val="center"/>
              <w:rPr>
                <w:color w:val="000000"/>
                <w:sz w:val="24"/>
              </w:rPr>
            </w:pPr>
            <w:r w:rsidRPr="00652938">
              <w:rPr>
                <w:color w:val="000000"/>
                <w:sz w:val="24"/>
              </w:rPr>
              <w:t xml:space="preserve">0.75 </w:t>
            </w:r>
          </w:p>
          <w:p w:rsidRPr="00652938" w:rsidR="009E3FFB" w:rsidP="00325A45" w:rsidRDefault="009E3FFB" w14:paraId="1E4FE0E9" w14:textId="33334FE7">
            <w:pPr>
              <w:widowControl/>
              <w:autoSpaceDE/>
              <w:autoSpaceDN/>
              <w:adjustRightInd/>
              <w:spacing w:line="276" w:lineRule="auto"/>
              <w:jc w:val="center"/>
              <w:rPr>
                <w:color w:val="000000"/>
                <w:sz w:val="24"/>
              </w:rPr>
            </w:pPr>
            <w:r>
              <w:rPr>
                <w:color w:val="000000"/>
                <w:sz w:val="24"/>
              </w:rPr>
              <w:t>(45 min.)</w:t>
            </w:r>
          </w:p>
        </w:tc>
        <w:tc>
          <w:tcPr>
            <w:tcW w:w="1654" w:type="dxa"/>
            <w:shd w:val="clear" w:color="auto" w:fill="auto"/>
            <w:tcMar>
              <w:left w:w="29" w:type="dxa"/>
              <w:right w:w="29" w:type="dxa"/>
            </w:tcMar>
            <w:vAlign w:val="center"/>
          </w:tcPr>
          <w:p w:rsidRPr="00652938" w:rsidR="009E3FFB" w:rsidP="00325A45" w:rsidRDefault="009E3FFB" w14:paraId="7973FB32" w14:textId="25F9F5DB">
            <w:pPr>
              <w:widowControl/>
              <w:autoSpaceDE/>
              <w:autoSpaceDN/>
              <w:adjustRightInd/>
              <w:spacing w:line="276" w:lineRule="auto"/>
              <w:jc w:val="center"/>
              <w:rPr>
                <w:color w:val="000000"/>
                <w:sz w:val="24"/>
              </w:rPr>
            </w:pPr>
            <w:r w:rsidRPr="00652938">
              <w:rPr>
                <w:color w:val="000000"/>
                <w:sz w:val="24"/>
              </w:rPr>
              <w:t>250</w:t>
            </w:r>
          </w:p>
        </w:tc>
      </w:tr>
      <w:tr w:rsidRPr="008C718D" w:rsidR="009E3FFB" w:rsidTr="009E3FFB" w14:paraId="55B05037" w14:textId="77777777">
        <w:trPr>
          <w:jc w:val="center"/>
        </w:trPr>
        <w:tc>
          <w:tcPr>
            <w:tcW w:w="3225" w:type="dxa"/>
            <w:gridSpan w:val="2"/>
            <w:shd w:val="clear" w:color="auto" w:fill="auto"/>
            <w:tcMar>
              <w:left w:w="29" w:type="dxa"/>
              <w:right w:w="29" w:type="dxa"/>
            </w:tcMar>
            <w:vAlign w:val="center"/>
          </w:tcPr>
          <w:p w:rsidRPr="00652938" w:rsidR="009E3FFB" w:rsidP="0030300C" w:rsidRDefault="009E3FFB" w14:paraId="16551D57" w14:textId="3D60BE4D">
            <w:pPr>
              <w:contextualSpacing/>
              <w:rPr>
                <w:sz w:val="24"/>
              </w:rPr>
            </w:pPr>
            <w:r w:rsidRPr="00652938">
              <w:rPr>
                <w:b/>
                <w:bCs/>
                <w:sz w:val="24"/>
              </w:rPr>
              <w:t>Group 3:</w:t>
            </w:r>
            <w:r w:rsidRPr="00652938">
              <w:rPr>
                <w:sz w:val="24"/>
              </w:rPr>
              <w:t xml:space="preserve"> Facilities </w:t>
            </w:r>
            <w:r w:rsidRPr="00652938">
              <w:rPr>
                <w:b/>
                <w:bCs/>
                <w:sz w:val="24"/>
              </w:rPr>
              <w:t>outside U.S. engaged</w:t>
            </w:r>
            <w:r w:rsidRPr="00652938">
              <w:rPr>
                <w:sz w:val="24"/>
              </w:rPr>
              <w:t xml:space="preserve"> in drug product manufacturing (in addition to other possible activities)</w:t>
            </w:r>
          </w:p>
        </w:tc>
        <w:tc>
          <w:tcPr>
            <w:tcW w:w="1620" w:type="dxa"/>
            <w:shd w:val="clear" w:color="auto" w:fill="auto"/>
            <w:tcMar>
              <w:left w:w="29" w:type="dxa"/>
              <w:right w:w="29" w:type="dxa"/>
            </w:tcMar>
            <w:vAlign w:val="center"/>
          </w:tcPr>
          <w:p w:rsidRPr="00652938" w:rsidR="009E3FFB" w:rsidP="00325A45" w:rsidRDefault="009E3FFB" w14:paraId="5A534F73" w14:textId="58FF7224">
            <w:pPr>
              <w:widowControl/>
              <w:autoSpaceDE/>
              <w:autoSpaceDN/>
              <w:adjustRightInd/>
              <w:spacing w:line="276" w:lineRule="auto"/>
              <w:jc w:val="center"/>
              <w:rPr>
                <w:color w:val="000000"/>
                <w:sz w:val="24"/>
              </w:rPr>
            </w:pPr>
            <w:r w:rsidRPr="00652938">
              <w:rPr>
                <w:color w:val="000000"/>
                <w:sz w:val="24"/>
              </w:rPr>
              <w:t>407</w:t>
            </w:r>
          </w:p>
        </w:tc>
        <w:tc>
          <w:tcPr>
            <w:tcW w:w="1620" w:type="dxa"/>
            <w:shd w:val="clear" w:color="auto" w:fill="auto"/>
            <w:tcMar>
              <w:left w:w="29" w:type="dxa"/>
              <w:right w:w="29" w:type="dxa"/>
            </w:tcMar>
            <w:vAlign w:val="center"/>
          </w:tcPr>
          <w:p w:rsidRPr="00652938" w:rsidR="009E3FFB" w:rsidP="00325A45" w:rsidRDefault="009E3FFB" w14:paraId="491BCC23" w14:textId="665172E1">
            <w:pPr>
              <w:widowControl/>
              <w:autoSpaceDE/>
              <w:autoSpaceDN/>
              <w:adjustRightInd/>
              <w:spacing w:line="276" w:lineRule="auto"/>
              <w:jc w:val="center"/>
              <w:rPr>
                <w:color w:val="000000"/>
                <w:sz w:val="24"/>
              </w:rPr>
            </w:pPr>
            <w:r w:rsidRPr="00652938">
              <w:rPr>
                <w:color w:val="000000"/>
                <w:sz w:val="24"/>
              </w:rPr>
              <w:t>1</w:t>
            </w:r>
          </w:p>
        </w:tc>
        <w:tc>
          <w:tcPr>
            <w:tcW w:w="1241" w:type="dxa"/>
          </w:tcPr>
          <w:p w:rsidR="009E3FFB" w:rsidP="00325A45" w:rsidRDefault="009E3FFB" w14:paraId="1EDDDB1C" w14:textId="77777777">
            <w:pPr>
              <w:widowControl/>
              <w:autoSpaceDE/>
              <w:autoSpaceDN/>
              <w:adjustRightInd/>
              <w:spacing w:line="276" w:lineRule="auto"/>
              <w:jc w:val="center"/>
              <w:rPr>
                <w:color w:val="000000"/>
                <w:sz w:val="24"/>
              </w:rPr>
            </w:pPr>
          </w:p>
          <w:p w:rsidRPr="00652938" w:rsidR="009E3FFB" w:rsidP="00325A45" w:rsidRDefault="009E3FFB" w14:paraId="25ABC31A" w14:textId="5D9FD1C6">
            <w:pPr>
              <w:widowControl/>
              <w:autoSpaceDE/>
              <w:autoSpaceDN/>
              <w:adjustRightInd/>
              <w:spacing w:line="276" w:lineRule="auto"/>
              <w:jc w:val="center"/>
              <w:rPr>
                <w:color w:val="000000"/>
                <w:sz w:val="24"/>
              </w:rPr>
            </w:pPr>
            <w:r>
              <w:rPr>
                <w:color w:val="000000"/>
                <w:sz w:val="24"/>
              </w:rPr>
              <w:t>407</w:t>
            </w:r>
          </w:p>
        </w:tc>
        <w:tc>
          <w:tcPr>
            <w:tcW w:w="1241" w:type="dxa"/>
            <w:shd w:val="clear" w:color="auto" w:fill="auto"/>
            <w:tcMar>
              <w:left w:w="29" w:type="dxa"/>
              <w:right w:w="29" w:type="dxa"/>
            </w:tcMar>
            <w:vAlign w:val="center"/>
          </w:tcPr>
          <w:p w:rsidRPr="00652938" w:rsidR="009E3FFB" w:rsidP="00325A45" w:rsidRDefault="009E3FFB" w14:paraId="4A7340FE" w14:textId="3DD81509">
            <w:pPr>
              <w:widowControl/>
              <w:autoSpaceDE/>
              <w:autoSpaceDN/>
              <w:adjustRightInd/>
              <w:spacing w:line="276" w:lineRule="auto"/>
              <w:jc w:val="center"/>
              <w:rPr>
                <w:color w:val="000000"/>
                <w:sz w:val="24"/>
              </w:rPr>
            </w:pPr>
            <w:r w:rsidRPr="00652938">
              <w:rPr>
                <w:color w:val="000000"/>
                <w:sz w:val="24"/>
              </w:rPr>
              <w:t>2.20</w:t>
            </w:r>
          </w:p>
        </w:tc>
        <w:tc>
          <w:tcPr>
            <w:tcW w:w="1654" w:type="dxa"/>
            <w:shd w:val="clear" w:color="auto" w:fill="auto"/>
            <w:tcMar>
              <w:left w:w="29" w:type="dxa"/>
              <w:right w:w="29" w:type="dxa"/>
            </w:tcMar>
            <w:vAlign w:val="center"/>
          </w:tcPr>
          <w:p w:rsidRPr="00652938" w:rsidR="009E3FFB" w:rsidP="00325A45" w:rsidRDefault="009E3FFB" w14:paraId="429127CA" w14:textId="4230A471">
            <w:pPr>
              <w:widowControl/>
              <w:autoSpaceDE/>
              <w:autoSpaceDN/>
              <w:adjustRightInd/>
              <w:spacing w:line="276" w:lineRule="auto"/>
              <w:jc w:val="center"/>
              <w:rPr>
                <w:color w:val="000000"/>
                <w:sz w:val="24"/>
              </w:rPr>
            </w:pPr>
            <w:r w:rsidRPr="00652938">
              <w:rPr>
                <w:color w:val="000000"/>
                <w:sz w:val="24"/>
              </w:rPr>
              <w:t>895</w:t>
            </w:r>
          </w:p>
        </w:tc>
      </w:tr>
      <w:tr w:rsidRPr="008C718D" w:rsidR="009E3FFB" w:rsidTr="009E3FFB" w14:paraId="37FA0C03" w14:textId="77777777">
        <w:trPr>
          <w:jc w:val="center"/>
        </w:trPr>
        <w:tc>
          <w:tcPr>
            <w:tcW w:w="3225" w:type="dxa"/>
            <w:gridSpan w:val="2"/>
            <w:shd w:val="clear" w:color="auto" w:fill="auto"/>
            <w:tcMar>
              <w:left w:w="29" w:type="dxa"/>
              <w:right w:w="29" w:type="dxa"/>
            </w:tcMar>
            <w:vAlign w:val="center"/>
          </w:tcPr>
          <w:p w:rsidRPr="00652938" w:rsidR="009E3FFB" w:rsidP="0030300C" w:rsidRDefault="009E3FFB" w14:paraId="3871A42B" w14:textId="2F1294E0">
            <w:pPr>
              <w:contextualSpacing/>
              <w:rPr>
                <w:sz w:val="24"/>
              </w:rPr>
            </w:pPr>
            <w:r w:rsidRPr="00652938">
              <w:rPr>
                <w:b/>
                <w:bCs/>
                <w:sz w:val="24"/>
              </w:rPr>
              <w:t>Group 4:</w:t>
            </w:r>
            <w:r w:rsidRPr="00652938">
              <w:rPr>
                <w:sz w:val="24"/>
              </w:rPr>
              <w:t xml:space="preserve"> Facilities </w:t>
            </w:r>
            <w:r w:rsidRPr="00652938">
              <w:rPr>
                <w:b/>
                <w:bCs/>
                <w:sz w:val="24"/>
              </w:rPr>
              <w:t xml:space="preserve">outside U.S. </w:t>
            </w:r>
            <w:r w:rsidRPr="00652938">
              <w:rPr>
                <w:b/>
                <w:bCs/>
                <w:i/>
                <w:iCs/>
                <w:sz w:val="24"/>
              </w:rPr>
              <w:t>not</w:t>
            </w:r>
            <w:r w:rsidRPr="00652938">
              <w:rPr>
                <w:b/>
                <w:bCs/>
                <w:sz w:val="24"/>
              </w:rPr>
              <w:t xml:space="preserve"> engaged</w:t>
            </w:r>
            <w:r w:rsidRPr="00652938">
              <w:rPr>
                <w:sz w:val="24"/>
              </w:rPr>
              <w:t xml:space="preserve"> in manufacturing but engaged in other forms of drug processing or packing (e.g., labeling, repacking, etc.)</w:t>
            </w:r>
          </w:p>
        </w:tc>
        <w:tc>
          <w:tcPr>
            <w:tcW w:w="1620" w:type="dxa"/>
            <w:shd w:val="clear" w:color="auto" w:fill="auto"/>
            <w:tcMar>
              <w:left w:w="29" w:type="dxa"/>
              <w:right w:w="29" w:type="dxa"/>
            </w:tcMar>
            <w:vAlign w:val="center"/>
          </w:tcPr>
          <w:p w:rsidRPr="00652938" w:rsidR="009E3FFB" w:rsidP="00325A45" w:rsidRDefault="009E3FFB" w14:paraId="7AB3E4ED" w14:textId="0CC1150E">
            <w:pPr>
              <w:widowControl/>
              <w:autoSpaceDE/>
              <w:autoSpaceDN/>
              <w:adjustRightInd/>
              <w:spacing w:line="276" w:lineRule="auto"/>
              <w:jc w:val="center"/>
              <w:rPr>
                <w:color w:val="000000"/>
                <w:sz w:val="24"/>
              </w:rPr>
            </w:pPr>
            <w:r w:rsidRPr="00652938">
              <w:rPr>
                <w:color w:val="000000"/>
                <w:sz w:val="24"/>
              </w:rPr>
              <w:t>261</w:t>
            </w:r>
          </w:p>
        </w:tc>
        <w:tc>
          <w:tcPr>
            <w:tcW w:w="1620" w:type="dxa"/>
            <w:shd w:val="clear" w:color="auto" w:fill="auto"/>
            <w:tcMar>
              <w:left w:w="29" w:type="dxa"/>
              <w:right w:w="29" w:type="dxa"/>
            </w:tcMar>
            <w:vAlign w:val="center"/>
          </w:tcPr>
          <w:p w:rsidRPr="00652938" w:rsidR="009E3FFB" w:rsidP="00325A45" w:rsidRDefault="009E3FFB" w14:paraId="62625A19" w14:textId="5DB115CD">
            <w:pPr>
              <w:widowControl/>
              <w:autoSpaceDE/>
              <w:autoSpaceDN/>
              <w:adjustRightInd/>
              <w:spacing w:line="276" w:lineRule="auto"/>
              <w:jc w:val="center"/>
              <w:rPr>
                <w:color w:val="000000"/>
                <w:sz w:val="24"/>
              </w:rPr>
            </w:pPr>
            <w:r w:rsidRPr="00652938">
              <w:rPr>
                <w:color w:val="000000"/>
                <w:sz w:val="24"/>
              </w:rPr>
              <w:t>1</w:t>
            </w:r>
          </w:p>
        </w:tc>
        <w:tc>
          <w:tcPr>
            <w:tcW w:w="1241" w:type="dxa"/>
          </w:tcPr>
          <w:p w:rsidR="009E3FFB" w:rsidP="00325A45" w:rsidRDefault="009E3FFB" w14:paraId="3A368950" w14:textId="77777777">
            <w:pPr>
              <w:widowControl/>
              <w:autoSpaceDE/>
              <w:autoSpaceDN/>
              <w:adjustRightInd/>
              <w:spacing w:line="276" w:lineRule="auto"/>
              <w:jc w:val="center"/>
              <w:rPr>
                <w:color w:val="000000"/>
                <w:sz w:val="24"/>
              </w:rPr>
            </w:pPr>
          </w:p>
          <w:p w:rsidR="009E3FFB" w:rsidP="00325A45" w:rsidRDefault="009E3FFB" w14:paraId="529956F5" w14:textId="77777777">
            <w:pPr>
              <w:widowControl/>
              <w:autoSpaceDE/>
              <w:autoSpaceDN/>
              <w:adjustRightInd/>
              <w:spacing w:line="276" w:lineRule="auto"/>
              <w:jc w:val="center"/>
              <w:rPr>
                <w:color w:val="000000"/>
                <w:sz w:val="24"/>
              </w:rPr>
            </w:pPr>
          </w:p>
          <w:p w:rsidRPr="00652938" w:rsidR="009E3FFB" w:rsidP="00325A45" w:rsidRDefault="009E3FFB" w14:paraId="49CADDAD" w14:textId="4C9D2A0F">
            <w:pPr>
              <w:widowControl/>
              <w:autoSpaceDE/>
              <w:autoSpaceDN/>
              <w:adjustRightInd/>
              <w:spacing w:line="276" w:lineRule="auto"/>
              <w:jc w:val="center"/>
              <w:rPr>
                <w:color w:val="000000"/>
                <w:sz w:val="24"/>
              </w:rPr>
            </w:pPr>
            <w:r>
              <w:rPr>
                <w:color w:val="000000"/>
                <w:sz w:val="24"/>
              </w:rPr>
              <w:t>261</w:t>
            </w:r>
          </w:p>
        </w:tc>
        <w:tc>
          <w:tcPr>
            <w:tcW w:w="1241" w:type="dxa"/>
            <w:shd w:val="clear" w:color="auto" w:fill="auto"/>
            <w:tcMar>
              <w:left w:w="29" w:type="dxa"/>
              <w:right w:w="29" w:type="dxa"/>
            </w:tcMar>
            <w:vAlign w:val="center"/>
          </w:tcPr>
          <w:p w:rsidRPr="00652938" w:rsidR="009E3FFB" w:rsidP="00325A45" w:rsidRDefault="009E3FFB" w14:paraId="7227509D" w14:textId="49688533">
            <w:pPr>
              <w:widowControl/>
              <w:autoSpaceDE/>
              <w:autoSpaceDN/>
              <w:adjustRightInd/>
              <w:spacing w:line="276" w:lineRule="auto"/>
              <w:jc w:val="center"/>
              <w:rPr>
                <w:color w:val="000000"/>
                <w:sz w:val="24"/>
              </w:rPr>
            </w:pPr>
            <w:r w:rsidRPr="00652938">
              <w:rPr>
                <w:color w:val="000000"/>
                <w:sz w:val="24"/>
              </w:rPr>
              <w:t>1.50</w:t>
            </w:r>
          </w:p>
        </w:tc>
        <w:tc>
          <w:tcPr>
            <w:tcW w:w="1654" w:type="dxa"/>
            <w:shd w:val="clear" w:color="auto" w:fill="auto"/>
            <w:tcMar>
              <w:left w:w="29" w:type="dxa"/>
              <w:right w:w="29" w:type="dxa"/>
            </w:tcMar>
            <w:vAlign w:val="center"/>
          </w:tcPr>
          <w:p w:rsidRPr="00652938" w:rsidR="009E3FFB" w:rsidP="00325A45" w:rsidRDefault="009E3FFB" w14:paraId="694C8793" w14:textId="7AE6D941">
            <w:pPr>
              <w:widowControl/>
              <w:autoSpaceDE/>
              <w:autoSpaceDN/>
              <w:adjustRightInd/>
              <w:spacing w:line="276" w:lineRule="auto"/>
              <w:jc w:val="center"/>
              <w:rPr>
                <w:color w:val="000000"/>
                <w:sz w:val="24"/>
              </w:rPr>
            </w:pPr>
            <w:r w:rsidRPr="00652938">
              <w:rPr>
                <w:color w:val="000000"/>
                <w:sz w:val="24"/>
              </w:rPr>
              <w:t>392</w:t>
            </w:r>
          </w:p>
        </w:tc>
      </w:tr>
      <w:tr w:rsidRPr="008C718D" w:rsidR="009E3FFB" w:rsidTr="009E3FFB" w14:paraId="0203593A" w14:textId="77777777">
        <w:trPr>
          <w:jc w:val="center"/>
        </w:trPr>
        <w:tc>
          <w:tcPr>
            <w:tcW w:w="3225" w:type="dxa"/>
            <w:gridSpan w:val="2"/>
            <w:tcBorders>
              <w:bottom w:val="single" w:color="auto" w:sz="12" w:space="0"/>
            </w:tcBorders>
            <w:shd w:val="clear" w:color="auto" w:fill="auto"/>
            <w:tcMar>
              <w:left w:w="29" w:type="dxa"/>
              <w:right w:w="29" w:type="dxa"/>
            </w:tcMar>
            <w:vAlign w:val="center"/>
            <w:hideMark/>
          </w:tcPr>
          <w:p w:rsidRPr="00652938" w:rsidR="009E3FFB" w:rsidP="00325A45" w:rsidRDefault="009E3FFB" w14:paraId="3BEAD48E" w14:textId="08937216">
            <w:pPr>
              <w:widowControl/>
              <w:autoSpaceDE/>
              <w:autoSpaceDN/>
              <w:adjustRightInd/>
              <w:spacing w:line="276" w:lineRule="auto"/>
              <w:rPr>
                <w:b/>
                <w:bCs/>
                <w:color w:val="000000"/>
                <w:sz w:val="24"/>
              </w:rPr>
            </w:pPr>
            <w:r w:rsidRPr="00652938">
              <w:rPr>
                <w:b/>
                <w:bCs/>
                <w:color w:val="000000"/>
                <w:sz w:val="24"/>
              </w:rPr>
              <w:t xml:space="preserve">Total </w:t>
            </w:r>
          </w:p>
        </w:tc>
        <w:tc>
          <w:tcPr>
            <w:tcW w:w="1620" w:type="dxa"/>
            <w:tcBorders>
              <w:bottom w:val="single" w:color="auto" w:sz="12" w:space="0"/>
            </w:tcBorders>
            <w:shd w:val="clear" w:color="auto" w:fill="auto"/>
            <w:tcMar>
              <w:left w:w="29" w:type="dxa"/>
              <w:right w:w="29" w:type="dxa"/>
            </w:tcMar>
            <w:vAlign w:val="center"/>
          </w:tcPr>
          <w:p w:rsidRPr="00652938" w:rsidR="009E3FFB" w:rsidP="00325A45" w:rsidRDefault="009E3FFB" w14:paraId="3AE9123E" w14:textId="166E44ED">
            <w:pPr>
              <w:widowControl/>
              <w:autoSpaceDE/>
              <w:autoSpaceDN/>
              <w:adjustRightInd/>
              <w:spacing w:line="276" w:lineRule="auto"/>
              <w:jc w:val="center"/>
              <w:rPr>
                <w:bCs/>
                <w:color w:val="000000"/>
                <w:sz w:val="24"/>
              </w:rPr>
            </w:pPr>
            <w:r w:rsidRPr="00652938">
              <w:rPr>
                <w:bCs/>
                <w:color w:val="000000"/>
                <w:sz w:val="24"/>
              </w:rPr>
              <w:t>1,396</w:t>
            </w:r>
          </w:p>
        </w:tc>
        <w:tc>
          <w:tcPr>
            <w:tcW w:w="1620" w:type="dxa"/>
            <w:tcBorders>
              <w:bottom w:val="single" w:color="auto" w:sz="12" w:space="0"/>
            </w:tcBorders>
            <w:shd w:val="clear" w:color="auto" w:fill="auto"/>
            <w:tcMar>
              <w:left w:w="29" w:type="dxa"/>
              <w:right w:w="29" w:type="dxa"/>
            </w:tcMar>
            <w:vAlign w:val="center"/>
          </w:tcPr>
          <w:p w:rsidRPr="00652938" w:rsidR="009E3FFB" w:rsidP="00325A45" w:rsidRDefault="009E3FFB" w14:paraId="1A6DB961" w14:textId="77777777">
            <w:pPr>
              <w:widowControl/>
              <w:autoSpaceDE/>
              <w:autoSpaceDN/>
              <w:adjustRightInd/>
              <w:spacing w:line="276" w:lineRule="auto"/>
              <w:jc w:val="center"/>
              <w:rPr>
                <w:bCs/>
                <w:color w:val="000000"/>
                <w:sz w:val="24"/>
              </w:rPr>
            </w:pPr>
            <w:r w:rsidRPr="00652938">
              <w:rPr>
                <w:bCs/>
                <w:color w:val="000000"/>
                <w:sz w:val="24"/>
              </w:rPr>
              <w:t>1</w:t>
            </w:r>
          </w:p>
        </w:tc>
        <w:tc>
          <w:tcPr>
            <w:tcW w:w="1241" w:type="dxa"/>
            <w:tcBorders>
              <w:bottom w:val="single" w:color="auto" w:sz="12" w:space="0"/>
            </w:tcBorders>
          </w:tcPr>
          <w:p w:rsidRPr="00652938" w:rsidR="009E3FFB" w:rsidP="00325A45" w:rsidRDefault="009E3FFB" w14:paraId="54D4C4CB" w14:textId="4116BC85">
            <w:pPr>
              <w:widowControl/>
              <w:autoSpaceDE/>
              <w:autoSpaceDN/>
              <w:adjustRightInd/>
              <w:spacing w:line="276" w:lineRule="auto"/>
              <w:jc w:val="center"/>
              <w:rPr>
                <w:bCs/>
                <w:color w:val="000000"/>
                <w:sz w:val="24"/>
              </w:rPr>
            </w:pPr>
            <w:r>
              <w:rPr>
                <w:bCs/>
                <w:color w:val="000000"/>
                <w:sz w:val="24"/>
              </w:rPr>
              <w:t>1,395</w:t>
            </w:r>
          </w:p>
        </w:tc>
        <w:tc>
          <w:tcPr>
            <w:tcW w:w="1241" w:type="dxa"/>
            <w:tcBorders>
              <w:bottom w:val="single" w:color="auto" w:sz="12" w:space="0"/>
            </w:tcBorders>
            <w:shd w:val="clear" w:color="auto" w:fill="auto"/>
            <w:tcMar>
              <w:left w:w="29" w:type="dxa"/>
              <w:right w:w="29" w:type="dxa"/>
            </w:tcMar>
            <w:vAlign w:val="center"/>
          </w:tcPr>
          <w:p w:rsidRPr="00652938" w:rsidR="009E3FFB" w:rsidP="00325A45" w:rsidRDefault="009E3FFB" w14:paraId="7E6D8471" w14:textId="06A7221F">
            <w:pPr>
              <w:widowControl/>
              <w:autoSpaceDE/>
              <w:autoSpaceDN/>
              <w:adjustRightInd/>
              <w:spacing w:line="276" w:lineRule="auto"/>
              <w:jc w:val="center"/>
              <w:rPr>
                <w:bCs/>
                <w:color w:val="000000"/>
                <w:sz w:val="24"/>
              </w:rPr>
            </w:pPr>
            <w:r w:rsidRPr="00652938">
              <w:rPr>
                <w:bCs/>
                <w:color w:val="000000"/>
                <w:sz w:val="24"/>
              </w:rPr>
              <w:t>1.41</w:t>
            </w:r>
          </w:p>
        </w:tc>
        <w:tc>
          <w:tcPr>
            <w:tcW w:w="1654" w:type="dxa"/>
            <w:tcBorders>
              <w:bottom w:val="single" w:color="auto" w:sz="12" w:space="0"/>
            </w:tcBorders>
            <w:shd w:val="clear" w:color="auto" w:fill="auto"/>
            <w:tcMar>
              <w:left w:w="29" w:type="dxa"/>
              <w:right w:w="29" w:type="dxa"/>
            </w:tcMar>
            <w:vAlign w:val="center"/>
          </w:tcPr>
          <w:p w:rsidRPr="00652938" w:rsidR="009E3FFB" w:rsidP="00325A45" w:rsidRDefault="009E3FFB" w14:paraId="4A7EEAD2" w14:textId="01598CC8">
            <w:pPr>
              <w:widowControl/>
              <w:autoSpaceDE/>
              <w:autoSpaceDN/>
              <w:adjustRightInd/>
              <w:spacing w:line="276" w:lineRule="auto"/>
              <w:jc w:val="center"/>
              <w:rPr>
                <w:bCs/>
                <w:color w:val="000000"/>
                <w:sz w:val="24"/>
              </w:rPr>
            </w:pPr>
            <w:r w:rsidRPr="00652938">
              <w:rPr>
                <w:bCs/>
                <w:color w:val="000000"/>
                <w:sz w:val="24"/>
              </w:rPr>
              <w:t>1,970</w:t>
            </w:r>
          </w:p>
        </w:tc>
      </w:tr>
      <w:tr w:rsidRPr="008C718D" w:rsidR="009E3FFB" w:rsidTr="009E3FFB" w14:paraId="53688B42" w14:textId="77777777">
        <w:trPr>
          <w:trHeight w:val="411"/>
          <w:jc w:val="center"/>
        </w:trPr>
        <w:tc>
          <w:tcPr>
            <w:tcW w:w="1241" w:type="dxa"/>
            <w:tcBorders>
              <w:top w:val="single" w:color="auto" w:sz="12" w:space="0"/>
              <w:left w:val="nil"/>
              <w:bottom w:val="nil"/>
              <w:right w:val="nil"/>
            </w:tcBorders>
          </w:tcPr>
          <w:p w:rsidRPr="00652938" w:rsidR="009E3FFB" w:rsidP="00921DF0" w:rsidRDefault="009E3FFB" w14:paraId="55171BEB" w14:textId="77777777">
            <w:pPr>
              <w:widowControl/>
              <w:autoSpaceDE/>
              <w:autoSpaceDN/>
              <w:adjustRightInd/>
              <w:rPr>
                <w:bCs/>
                <w:color w:val="000000"/>
                <w:sz w:val="24"/>
                <w:vertAlign w:val="superscript"/>
              </w:rPr>
            </w:pPr>
          </w:p>
        </w:tc>
        <w:tc>
          <w:tcPr>
            <w:tcW w:w="9360" w:type="dxa"/>
            <w:gridSpan w:val="6"/>
            <w:tcBorders>
              <w:top w:val="single" w:color="auto" w:sz="12" w:space="0"/>
              <w:left w:val="nil"/>
              <w:bottom w:val="nil"/>
              <w:right w:val="nil"/>
            </w:tcBorders>
            <w:shd w:val="clear" w:color="auto" w:fill="auto"/>
            <w:tcMar>
              <w:left w:w="29" w:type="dxa"/>
              <w:right w:w="29" w:type="dxa"/>
            </w:tcMar>
            <w:vAlign w:val="center"/>
          </w:tcPr>
          <w:p w:rsidRPr="00652938" w:rsidR="009E3FFB" w:rsidDel="00E43699" w:rsidP="00921DF0" w:rsidRDefault="009E3FFB" w14:paraId="1A1FDCDB" w14:textId="018E8F2B">
            <w:pPr>
              <w:widowControl/>
              <w:autoSpaceDE/>
              <w:autoSpaceDN/>
              <w:adjustRightInd/>
              <w:rPr>
                <w:b/>
                <w:bCs/>
                <w:color w:val="000000"/>
                <w:sz w:val="24"/>
              </w:rPr>
            </w:pPr>
            <w:r w:rsidRPr="00652938">
              <w:rPr>
                <w:bCs/>
                <w:color w:val="000000"/>
                <w:sz w:val="24"/>
                <w:vertAlign w:val="superscript"/>
              </w:rPr>
              <w:t>1</w:t>
            </w:r>
            <w:r>
              <w:rPr>
                <w:bCs/>
                <w:color w:val="000000"/>
                <w:sz w:val="24"/>
              </w:rPr>
              <w:t xml:space="preserve">There are no capital costs or operating and maintenance costs associated with this collection of information.  </w:t>
            </w:r>
          </w:p>
        </w:tc>
      </w:tr>
    </w:tbl>
    <w:p w:rsidR="006C4089" w:rsidP="00E04850" w:rsidRDefault="006C4089" w14:paraId="5FF843D1" w14:textId="36736915">
      <w:pPr>
        <w:pStyle w:val="BodyTextFirstIndent"/>
        <w:ind w:firstLine="0"/>
        <w:rPr>
          <w:sz w:val="24"/>
          <w:szCs w:val="24"/>
        </w:rPr>
      </w:pPr>
      <w:r>
        <w:rPr>
          <w:sz w:val="24"/>
          <w:szCs w:val="24"/>
        </w:rPr>
        <w:t>12b.</w:t>
      </w:r>
      <w:r>
        <w:rPr>
          <w:sz w:val="24"/>
          <w:szCs w:val="24"/>
        </w:rPr>
        <w:tab/>
      </w:r>
      <w:r w:rsidRPr="00921DF0">
        <w:rPr>
          <w:sz w:val="24"/>
          <w:szCs w:val="24"/>
          <w:u w:val="single"/>
        </w:rPr>
        <w:t>Annualized Cost Burden Estimate</w:t>
      </w:r>
    </w:p>
    <w:p w:rsidRPr="00652938" w:rsidR="00EC6E64" w:rsidP="00652938" w:rsidRDefault="00EC6E64" w14:paraId="18A1A398" w14:textId="25AC59A8">
      <w:pPr>
        <w:pStyle w:val="BodyTextFirstIndent"/>
        <w:ind w:firstLine="0"/>
        <w:rPr>
          <w:sz w:val="24"/>
          <w:szCs w:val="24"/>
        </w:rPr>
      </w:pPr>
      <w:r w:rsidRPr="00652938">
        <w:rPr>
          <w:sz w:val="24"/>
          <w:szCs w:val="24"/>
        </w:rPr>
        <w:t xml:space="preserve">The wages used for survey respondents reflect the median hourly wage for top executives and managers in the pharmaceutical manufacturing industry in the United States (BLS, 2018a). The survey respondents are likely to be managers of the regulatory affairs, quality control, </w:t>
      </w:r>
      <w:r w:rsidRPr="00652938" w:rsidR="0003024D">
        <w:rPr>
          <w:sz w:val="24"/>
          <w:szCs w:val="24"/>
        </w:rPr>
        <w:t>or</w:t>
      </w:r>
      <w:r w:rsidRPr="00652938">
        <w:rPr>
          <w:sz w:val="24"/>
          <w:szCs w:val="24"/>
        </w:rPr>
        <w:t xml:space="preserve"> production departments at surveyed facilities, or higher-level executives of small- to medium-</w:t>
      </w:r>
      <w:r w:rsidRPr="00652938">
        <w:rPr>
          <w:sz w:val="24"/>
          <w:szCs w:val="24"/>
        </w:rPr>
        <w:lastRenderedPageBreak/>
        <w:t>sized companies. We calculated an hourly labor cost to employers based on the ratio of total benefits to wages and salaries for the 90</w:t>
      </w:r>
      <w:r w:rsidRPr="00652938">
        <w:rPr>
          <w:sz w:val="24"/>
          <w:szCs w:val="24"/>
          <w:vertAlign w:val="superscript"/>
        </w:rPr>
        <w:t>th</w:t>
      </w:r>
      <w:r w:rsidRPr="00652938">
        <w:rPr>
          <w:sz w:val="24"/>
          <w:szCs w:val="24"/>
        </w:rPr>
        <w:t xml:space="preserve"> wage percentile in private industry (see Table A,</w:t>
      </w:r>
      <w:r w:rsidRPr="00652938">
        <w:rPr>
          <w:i/>
          <w:sz w:val="24"/>
          <w:szCs w:val="24"/>
        </w:rPr>
        <w:t xml:space="preserve"> Employer Costs for Employee Compensation by Wage Percentile, March 2019,</w:t>
      </w:r>
      <w:r w:rsidRPr="00652938">
        <w:rPr>
          <w:sz w:val="24"/>
          <w:szCs w:val="24"/>
        </w:rPr>
        <w:t xml:space="preserve"> in BLS, 2019). BLS reported that total benefits were $21.96 for a wage of $46.64 per hour, which is the 90</w:t>
      </w:r>
      <w:r w:rsidRPr="00652938">
        <w:rPr>
          <w:sz w:val="24"/>
          <w:szCs w:val="24"/>
          <w:vertAlign w:val="superscript"/>
        </w:rPr>
        <w:t>th</w:t>
      </w:r>
      <w:r w:rsidRPr="00652938">
        <w:rPr>
          <w:sz w:val="24"/>
          <w:szCs w:val="24"/>
        </w:rPr>
        <w:t xml:space="preserve"> wage percentile in private industry. Benefits thus amounted to approximately 47 percent of the 90</w:t>
      </w:r>
      <w:r w:rsidRPr="00652938">
        <w:rPr>
          <w:sz w:val="24"/>
          <w:szCs w:val="24"/>
          <w:vertAlign w:val="superscript"/>
        </w:rPr>
        <w:t>th</w:t>
      </w:r>
      <w:r w:rsidRPr="00652938">
        <w:rPr>
          <w:sz w:val="24"/>
          <w:szCs w:val="24"/>
        </w:rPr>
        <w:t xml:space="preserve"> percentile wage. Therefore, the actual hourly wages for potential respondents, as reported by BLS (2018a), was multiplied by 1.47 to reach the “wages plus benefits” figures used to compute the overall burden in dollars.</w:t>
      </w:r>
      <w:r w:rsidRPr="00652938" w:rsidR="005A0C37">
        <w:rPr>
          <w:sz w:val="24"/>
          <w:szCs w:val="24"/>
        </w:rPr>
        <w:t xml:space="preserve"> We did not adjust the wage estimate for foreign </w:t>
      </w:r>
      <w:r w:rsidRPr="00652938" w:rsidR="00CC3A58">
        <w:rPr>
          <w:sz w:val="24"/>
          <w:szCs w:val="24"/>
        </w:rPr>
        <w:t>survey respondents</w:t>
      </w:r>
      <w:r w:rsidRPr="00652938" w:rsidR="005861B4">
        <w:rPr>
          <w:sz w:val="24"/>
          <w:szCs w:val="24"/>
        </w:rPr>
        <w:t>. While the U.S.-based wage estimate may be appropriate for those targeted respondents in highly developed countries, such as Germany, Japan, and the U.K., it may overestimate those in developing nations, such as India and Pakistan.</w:t>
      </w:r>
    </w:p>
    <w:p w:rsidRPr="00652938" w:rsidR="000E757B" w:rsidP="00652938" w:rsidRDefault="00B57D19" w14:paraId="5582BEDD" w14:textId="4C2E178A">
      <w:pPr>
        <w:pStyle w:val="BodyTextFirstIndent"/>
        <w:ind w:firstLine="0"/>
        <w:rPr>
          <w:sz w:val="24"/>
          <w:szCs w:val="24"/>
        </w:rPr>
      </w:pPr>
      <w:r w:rsidRPr="00652938">
        <w:rPr>
          <w:sz w:val="24"/>
          <w:szCs w:val="24"/>
        </w:rPr>
        <w:t>T</w:t>
      </w:r>
      <w:r w:rsidRPr="00652938" w:rsidR="00370267">
        <w:rPr>
          <w:sz w:val="24"/>
          <w:szCs w:val="24"/>
        </w:rPr>
        <w:t xml:space="preserve">he total </w:t>
      </w:r>
      <w:r w:rsidRPr="00652938" w:rsidR="00A1163D">
        <w:rPr>
          <w:sz w:val="24"/>
          <w:szCs w:val="24"/>
        </w:rPr>
        <w:t xml:space="preserve">annual </w:t>
      </w:r>
      <w:r w:rsidRPr="00652938" w:rsidR="008F0C1E">
        <w:rPr>
          <w:sz w:val="24"/>
          <w:szCs w:val="24"/>
        </w:rPr>
        <w:t xml:space="preserve">burden </w:t>
      </w:r>
      <w:r w:rsidRPr="00652938" w:rsidR="00370267">
        <w:rPr>
          <w:sz w:val="24"/>
          <w:szCs w:val="24"/>
        </w:rPr>
        <w:t xml:space="preserve">cost is calculated </w:t>
      </w:r>
      <w:r w:rsidRPr="00652938" w:rsidR="00851A18">
        <w:rPr>
          <w:sz w:val="24"/>
          <w:szCs w:val="24"/>
        </w:rPr>
        <w:t xml:space="preserve">by </w:t>
      </w:r>
      <w:r w:rsidRPr="00652938" w:rsidR="00370267">
        <w:rPr>
          <w:sz w:val="24"/>
          <w:szCs w:val="24"/>
        </w:rPr>
        <w:t xml:space="preserve">the </w:t>
      </w:r>
      <w:r w:rsidRPr="00652938" w:rsidR="00A1163D">
        <w:rPr>
          <w:sz w:val="24"/>
          <w:szCs w:val="24"/>
        </w:rPr>
        <w:t xml:space="preserve">estimated annual burden hours </w:t>
      </w:r>
      <w:r w:rsidRPr="00652938" w:rsidR="00857AB6">
        <w:rPr>
          <w:sz w:val="24"/>
          <w:szCs w:val="24"/>
        </w:rPr>
        <w:t>times 1.47 times t</w:t>
      </w:r>
      <w:r w:rsidRPr="00652938" w:rsidR="00370267">
        <w:rPr>
          <w:sz w:val="24"/>
          <w:szCs w:val="24"/>
        </w:rPr>
        <w:t xml:space="preserve">he </w:t>
      </w:r>
      <w:r w:rsidRPr="00652938" w:rsidR="0084550C">
        <w:rPr>
          <w:sz w:val="24"/>
          <w:szCs w:val="24"/>
        </w:rPr>
        <w:t xml:space="preserve">median </w:t>
      </w:r>
      <w:r w:rsidRPr="00652938" w:rsidR="00370267">
        <w:rPr>
          <w:sz w:val="24"/>
          <w:szCs w:val="24"/>
        </w:rPr>
        <w:t>hourly wage</w:t>
      </w:r>
      <w:r w:rsidRPr="00652938" w:rsidR="00A1163D">
        <w:rPr>
          <w:sz w:val="24"/>
          <w:szCs w:val="24"/>
        </w:rPr>
        <w:t xml:space="preserve"> r</w:t>
      </w:r>
      <w:r w:rsidRPr="00652938" w:rsidR="00E91B7A">
        <w:rPr>
          <w:sz w:val="24"/>
          <w:szCs w:val="24"/>
        </w:rPr>
        <w:t>ate</w:t>
      </w:r>
      <w:r w:rsidRPr="00652938" w:rsidR="00851A18">
        <w:rPr>
          <w:sz w:val="24"/>
          <w:szCs w:val="24"/>
        </w:rPr>
        <w:t xml:space="preserve"> for the pharmaceutical company executives and managers considered likely to be the people filling out the survey</w:t>
      </w:r>
      <w:r w:rsidRPr="00652938" w:rsidR="00857AB6">
        <w:rPr>
          <w:sz w:val="24"/>
          <w:szCs w:val="24"/>
        </w:rPr>
        <w:t xml:space="preserve"> </w:t>
      </w:r>
      <w:r w:rsidRPr="00652938" w:rsidR="008F0C1E">
        <w:rPr>
          <w:sz w:val="24"/>
          <w:szCs w:val="24"/>
        </w:rPr>
        <w:t>(</w:t>
      </w:r>
      <w:r w:rsidRPr="00652938" w:rsidR="00857AB6">
        <w:rPr>
          <w:sz w:val="24"/>
          <w:szCs w:val="24"/>
        </w:rPr>
        <w:t xml:space="preserve">see </w:t>
      </w:r>
      <w:r w:rsidRPr="00652938" w:rsidR="00E43699">
        <w:rPr>
          <w:sz w:val="24"/>
          <w:szCs w:val="24"/>
        </w:rPr>
        <w:fldChar w:fldCharType="begin"/>
      </w:r>
      <w:r w:rsidRPr="00652938" w:rsidR="00E43699">
        <w:rPr>
          <w:sz w:val="24"/>
          <w:szCs w:val="24"/>
        </w:rPr>
        <w:instrText xml:space="preserve"> REF _Ref13490714 \h </w:instrText>
      </w:r>
      <w:r w:rsidRPr="00652938" w:rsidR="00B27F33">
        <w:rPr>
          <w:sz w:val="24"/>
          <w:szCs w:val="24"/>
        </w:rPr>
        <w:instrText xml:space="preserve"> \* MERGEFORMAT </w:instrText>
      </w:r>
      <w:r w:rsidRPr="00652938" w:rsidR="00E43699">
        <w:rPr>
          <w:sz w:val="24"/>
          <w:szCs w:val="24"/>
        </w:rPr>
      </w:r>
      <w:r w:rsidRPr="00652938" w:rsidR="00E43699">
        <w:rPr>
          <w:sz w:val="24"/>
          <w:szCs w:val="24"/>
        </w:rPr>
        <w:fldChar w:fldCharType="separate"/>
      </w:r>
      <w:r w:rsidRPr="00652938" w:rsidR="00444D72">
        <w:rPr>
          <w:sz w:val="24"/>
          <w:szCs w:val="24"/>
        </w:rPr>
        <w:t xml:space="preserve">Table </w:t>
      </w:r>
      <w:r w:rsidRPr="00652938" w:rsidR="00444D72">
        <w:rPr>
          <w:noProof/>
          <w:sz w:val="24"/>
          <w:szCs w:val="24"/>
        </w:rPr>
        <w:t>3</w:t>
      </w:r>
      <w:r w:rsidRPr="00652938" w:rsidR="00E43699">
        <w:rPr>
          <w:sz w:val="24"/>
          <w:szCs w:val="24"/>
        </w:rPr>
        <w:fldChar w:fldCharType="end"/>
      </w:r>
      <w:r w:rsidRPr="00652938" w:rsidR="008F0C1E">
        <w:rPr>
          <w:sz w:val="24"/>
          <w:szCs w:val="24"/>
        </w:rPr>
        <w:t>)</w:t>
      </w:r>
      <w:r w:rsidRPr="00652938" w:rsidR="00370267">
        <w:rPr>
          <w:sz w:val="24"/>
          <w:szCs w:val="24"/>
        </w:rPr>
        <w:t xml:space="preserve">. </w:t>
      </w:r>
      <w:r w:rsidRPr="00652938" w:rsidR="00857AB6">
        <w:rPr>
          <w:sz w:val="24"/>
          <w:szCs w:val="24"/>
        </w:rPr>
        <w:t>For this estimate, it is assumed that half the survey completions will be by managers and half by top executives.</w:t>
      </w:r>
    </w:p>
    <w:p w:rsidRPr="00652938" w:rsidR="00E43699" w:rsidP="00CC3724" w:rsidRDefault="00E43699" w14:paraId="47BDE80B" w14:textId="373DDA19">
      <w:pPr>
        <w:pStyle w:val="Caption"/>
        <w:keepNext/>
        <w:rPr>
          <w:sz w:val="24"/>
          <w:szCs w:val="24"/>
        </w:rPr>
      </w:pPr>
      <w:bookmarkStart w:name="_Ref13490714" w:id="70"/>
      <w:r w:rsidRPr="00652938">
        <w:rPr>
          <w:sz w:val="24"/>
          <w:szCs w:val="24"/>
        </w:rPr>
        <w:t xml:space="preserve">Table </w:t>
      </w:r>
      <w:r w:rsidRPr="00652938" w:rsidR="003A7F36">
        <w:rPr>
          <w:sz w:val="24"/>
          <w:szCs w:val="24"/>
        </w:rPr>
        <w:fldChar w:fldCharType="begin"/>
      </w:r>
      <w:r w:rsidRPr="00652938" w:rsidR="003A7F36">
        <w:rPr>
          <w:sz w:val="24"/>
          <w:szCs w:val="24"/>
        </w:rPr>
        <w:instrText xml:space="preserve"> SEQ Table \* ARABIC </w:instrText>
      </w:r>
      <w:r w:rsidRPr="00652938" w:rsidR="003A7F36">
        <w:rPr>
          <w:sz w:val="24"/>
          <w:szCs w:val="24"/>
        </w:rPr>
        <w:fldChar w:fldCharType="separate"/>
      </w:r>
      <w:r w:rsidRPr="00652938" w:rsidR="00444D72">
        <w:rPr>
          <w:noProof/>
          <w:sz w:val="24"/>
          <w:szCs w:val="24"/>
        </w:rPr>
        <w:t>3</w:t>
      </w:r>
      <w:r w:rsidRPr="00652938" w:rsidR="003A7F36">
        <w:rPr>
          <w:noProof/>
          <w:sz w:val="24"/>
          <w:szCs w:val="24"/>
        </w:rPr>
        <w:fldChar w:fldCharType="end"/>
      </w:r>
      <w:bookmarkEnd w:id="70"/>
      <w:r w:rsidRPr="00652938">
        <w:rPr>
          <w:sz w:val="24"/>
          <w:szCs w:val="24"/>
        </w:rPr>
        <w:t>. Estimated Respondent Burden Cost</w:t>
      </w:r>
      <w:r w:rsidRPr="00652938" w:rsidR="00650847">
        <w:rPr>
          <w:sz w:val="24"/>
          <w:szCs w:val="24"/>
        </w:rPr>
        <w:t xml:space="preserve"> [a]</w:t>
      </w:r>
    </w:p>
    <w:tbl>
      <w:tblPr>
        <w:tblW w:w="970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left w:w="144" w:type="dxa"/>
          <w:right w:w="86" w:type="dxa"/>
        </w:tblCellMar>
        <w:tblLook w:val="04A0" w:firstRow="1" w:lastRow="0" w:firstColumn="1" w:lastColumn="0" w:noHBand="0" w:noVBand="1"/>
      </w:tblPr>
      <w:tblGrid>
        <w:gridCol w:w="2955"/>
        <w:gridCol w:w="964"/>
        <w:gridCol w:w="7"/>
        <w:gridCol w:w="17"/>
        <w:gridCol w:w="1172"/>
        <w:gridCol w:w="1170"/>
        <w:gridCol w:w="1080"/>
        <w:gridCol w:w="1080"/>
        <w:gridCol w:w="1260"/>
      </w:tblGrid>
      <w:tr w:rsidRPr="008C718D" w:rsidR="00D64586" w:rsidTr="00652938" w14:paraId="50E4232E" w14:textId="77777777">
        <w:trPr>
          <w:tblHeader/>
          <w:jc w:val="center"/>
        </w:trPr>
        <w:tc>
          <w:tcPr>
            <w:tcW w:w="2955" w:type="dxa"/>
            <w:tcBorders>
              <w:top w:val="single" w:color="auto" w:sz="12" w:space="0"/>
              <w:bottom w:val="single" w:color="auto" w:sz="4" w:space="0"/>
            </w:tcBorders>
            <w:shd w:val="clear" w:color="auto" w:fill="D9D9D9" w:themeFill="background1" w:themeFillShade="D9"/>
            <w:tcMar>
              <w:left w:w="29" w:type="dxa"/>
              <w:right w:w="29" w:type="dxa"/>
            </w:tcMar>
            <w:vAlign w:val="center"/>
            <w:hideMark/>
          </w:tcPr>
          <w:p w:rsidRPr="00652938" w:rsidR="005534A0" w:rsidP="005534A0" w:rsidRDefault="005534A0" w14:paraId="3D700D09" w14:textId="200BAFAA">
            <w:pPr>
              <w:widowControl/>
              <w:autoSpaceDE/>
              <w:autoSpaceDN/>
              <w:adjustRightInd/>
              <w:spacing w:line="276" w:lineRule="auto"/>
              <w:ind w:firstLine="75"/>
              <w:jc w:val="center"/>
              <w:rPr>
                <w:b/>
                <w:bCs/>
                <w:color w:val="000000"/>
                <w:sz w:val="24"/>
              </w:rPr>
            </w:pPr>
            <w:r w:rsidRPr="00652938">
              <w:rPr>
                <w:b/>
                <w:bCs/>
                <w:color w:val="000000"/>
                <w:sz w:val="24"/>
              </w:rPr>
              <w:t>Type of Respondent</w:t>
            </w:r>
            <w:r w:rsidRPr="00652938" w:rsidR="005861B4">
              <w:rPr>
                <w:b/>
                <w:bCs/>
                <w:color w:val="000000"/>
                <w:sz w:val="24"/>
              </w:rPr>
              <w:t xml:space="preserve"> </w:t>
            </w:r>
          </w:p>
        </w:tc>
        <w:tc>
          <w:tcPr>
            <w:tcW w:w="971" w:type="dxa"/>
            <w:gridSpan w:val="2"/>
            <w:tcBorders>
              <w:top w:val="single" w:color="auto" w:sz="12" w:space="0"/>
              <w:bottom w:val="single" w:color="auto" w:sz="4" w:space="0"/>
            </w:tcBorders>
            <w:shd w:val="clear" w:color="auto" w:fill="D9D9D9" w:themeFill="background1" w:themeFillShade="D9"/>
            <w:tcMar>
              <w:left w:w="29" w:type="dxa"/>
              <w:right w:w="29" w:type="dxa"/>
            </w:tcMar>
            <w:vAlign w:val="center"/>
            <w:hideMark/>
          </w:tcPr>
          <w:p w:rsidRPr="00652938" w:rsidR="005534A0" w:rsidP="005534A0" w:rsidRDefault="005534A0" w14:paraId="0EB0F208" w14:textId="77777777">
            <w:pPr>
              <w:widowControl/>
              <w:autoSpaceDE/>
              <w:autoSpaceDN/>
              <w:adjustRightInd/>
              <w:spacing w:line="276" w:lineRule="auto"/>
              <w:jc w:val="center"/>
              <w:rPr>
                <w:b/>
                <w:bCs/>
                <w:color w:val="000000"/>
                <w:sz w:val="24"/>
              </w:rPr>
            </w:pPr>
            <w:r w:rsidRPr="00652938">
              <w:rPr>
                <w:b/>
                <w:bCs/>
                <w:color w:val="000000"/>
                <w:sz w:val="24"/>
              </w:rPr>
              <w:t xml:space="preserve">Median Hourly Wage Rate </w:t>
            </w:r>
          </w:p>
        </w:tc>
        <w:tc>
          <w:tcPr>
            <w:tcW w:w="1189" w:type="dxa"/>
            <w:gridSpan w:val="2"/>
            <w:tcBorders>
              <w:top w:val="single" w:color="auto" w:sz="12" w:space="0"/>
              <w:bottom w:val="single" w:color="auto" w:sz="4" w:space="0"/>
            </w:tcBorders>
            <w:shd w:val="clear" w:color="auto" w:fill="D9D9D9" w:themeFill="background1" w:themeFillShade="D9"/>
            <w:tcMar>
              <w:left w:w="29" w:type="dxa"/>
              <w:right w:w="29" w:type="dxa"/>
            </w:tcMar>
          </w:tcPr>
          <w:p w:rsidRPr="00652938" w:rsidR="005534A0" w:rsidP="005534A0" w:rsidRDefault="005534A0" w14:paraId="3541D5A1" w14:textId="694C1091">
            <w:pPr>
              <w:spacing w:line="276" w:lineRule="auto"/>
              <w:jc w:val="center"/>
              <w:rPr>
                <w:b/>
                <w:bCs/>
                <w:color w:val="000000"/>
                <w:sz w:val="24"/>
              </w:rPr>
            </w:pPr>
            <w:r w:rsidRPr="00652938">
              <w:rPr>
                <w:b/>
                <w:bCs/>
                <w:color w:val="000000"/>
                <w:sz w:val="24"/>
              </w:rPr>
              <w:t>Average Benefits (47</w:t>
            </w:r>
            <w:r w:rsidRPr="00652938" w:rsidR="00022DA2">
              <w:rPr>
                <w:b/>
                <w:bCs/>
                <w:color w:val="000000"/>
                <w:sz w:val="24"/>
              </w:rPr>
              <w:t>%</w:t>
            </w:r>
            <w:r w:rsidRPr="00652938">
              <w:rPr>
                <w:b/>
                <w:bCs/>
                <w:color w:val="000000"/>
                <w:sz w:val="24"/>
              </w:rPr>
              <w:t xml:space="preserve"> of Median Hourly Wage)</w:t>
            </w:r>
          </w:p>
        </w:tc>
        <w:tc>
          <w:tcPr>
            <w:tcW w:w="1170" w:type="dxa"/>
            <w:tcBorders>
              <w:top w:val="single" w:color="auto" w:sz="12" w:space="0"/>
              <w:bottom w:val="single" w:color="auto" w:sz="4" w:space="0"/>
            </w:tcBorders>
            <w:shd w:val="clear" w:color="auto" w:fill="D9D9D9" w:themeFill="background1" w:themeFillShade="D9"/>
            <w:tcMar>
              <w:left w:w="29" w:type="dxa"/>
              <w:right w:w="29" w:type="dxa"/>
            </w:tcMar>
            <w:vAlign w:val="center"/>
          </w:tcPr>
          <w:p w:rsidRPr="00652938" w:rsidR="005534A0" w:rsidP="000F2FC6" w:rsidRDefault="005534A0" w14:paraId="39AD4839" w14:textId="77777777">
            <w:pPr>
              <w:spacing w:line="276" w:lineRule="auto"/>
              <w:jc w:val="center"/>
              <w:rPr>
                <w:b/>
                <w:bCs/>
                <w:color w:val="000000"/>
                <w:sz w:val="24"/>
              </w:rPr>
            </w:pPr>
            <w:r w:rsidRPr="00652938">
              <w:rPr>
                <w:b/>
                <w:bCs/>
                <w:color w:val="000000"/>
                <w:sz w:val="24"/>
              </w:rPr>
              <w:t>Median Hourly Wage Rate Including Benefits</w:t>
            </w:r>
          </w:p>
        </w:tc>
        <w:tc>
          <w:tcPr>
            <w:tcW w:w="1080" w:type="dxa"/>
            <w:tcBorders>
              <w:top w:val="single" w:color="auto" w:sz="12" w:space="0"/>
              <w:bottom w:val="single" w:color="auto" w:sz="4" w:space="0"/>
            </w:tcBorders>
            <w:shd w:val="clear" w:color="auto" w:fill="D9D9D9" w:themeFill="background1" w:themeFillShade="D9"/>
            <w:tcMar>
              <w:left w:w="29" w:type="dxa"/>
              <w:right w:w="29" w:type="dxa"/>
            </w:tcMar>
            <w:vAlign w:val="center"/>
            <w:hideMark/>
          </w:tcPr>
          <w:p w:rsidRPr="00652938" w:rsidR="005534A0" w:rsidP="005534A0" w:rsidRDefault="005534A0" w14:paraId="47B8782A" w14:textId="77777777">
            <w:pPr>
              <w:widowControl/>
              <w:autoSpaceDE/>
              <w:autoSpaceDN/>
              <w:adjustRightInd/>
              <w:spacing w:line="276" w:lineRule="auto"/>
              <w:jc w:val="center"/>
              <w:rPr>
                <w:b/>
                <w:bCs/>
                <w:color w:val="000000"/>
                <w:sz w:val="24"/>
              </w:rPr>
            </w:pPr>
            <w:r w:rsidRPr="00652938">
              <w:rPr>
                <w:b/>
                <w:bCs/>
                <w:color w:val="000000"/>
                <w:sz w:val="24"/>
              </w:rPr>
              <w:t>Average Burden per Response (in hours)</w:t>
            </w:r>
          </w:p>
        </w:tc>
        <w:tc>
          <w:tcPr>
            <w:tcW w:w="1080" w:type="dxa"/>
            <w:tcBorders>
              <w:top w:val="single" w:color="auto" w:sz="12" w:space="0"/>
              <w:bottom w:val="single" w:color="auto" w:sz="4" w:space="0"/>
            </w:tcBorders>
            <w:shd w:val="clear" w:color="auto" w:fill="D9D9D9" w:themeFill="background1" w:themeFillShade="D9"/>
            <w:tcMar>
              <w:left w:w="29" w:type="dxa"/>
              <w:right w:w="29" w:type="dxa"/>
            </w:tcMar>
            <w:vAlign w:val="center"/>
            <w:hideMark/>
          </w:tcPr>
          <w:p w:rsidRPr="00652938" w:rsidR="005534A0" w:rsidP="005534A0" w:rsidRDefault="005534A0" w14:paraId="0AE6CBB6" w14:textId="77777777">
            <w:pPr>
              <w:widowControl/>
              <w:autoSpaceDE/>
              <w:autoSpaceDN/>
              <w:adjustRightInd/>
              <w:spacing w:line="276" w:lineRule="auto"/>
              <w:jc w:val="center"/>
              <w:rPr>
                <w:b/>
                <w:bCs/>
                <w:color w:val="000000"/>
                <w:sz w:val="24"/>
              </w:rPr>
            </w:pPr>
            <w:r w:rsidRPr="00652938">
              <w:rPr>
                <w:b/>
                <w:bCs/>
                <w:color w:val="000000"/>
                <w:sz w:val="24"/>
              </w:rPr>
              <w:t>Average Cost per Response</w:t>
            </w:r>
          </w:p>
        </w:tc>
        <w:tc>
          <w:tcPr>
            <w:tcW w:w="1260" w:type="dxa"/>
            <w:tcBorders>
              <w:top w:val="single" w:color="auto" w:sz="12" w:space="0"/>
              <w:bottom w:val="single" w:color="auto" w:sz="4" w:space="0"/>
            </w:tcBorders>
            <w:shd w:val="clear" w:color="auto" w:fill="D9D9D9" w:themeFill="background1" w:themeFillShade="D9"/>
            <w:tcMar>
              <w:left w:w="29" w:type="dxa"/>
              <w:right w:w="29" w:type="dxa"/>
            </w:tcMar>
            <w:vAlign w:val="center"/>
            <w:hideMark/>
          </w:tcPr>
          <w:p w:rsidRPr="00652938" w:rsidR="005534A0" w:rsidP="005534A0" w:rsidRDefault="005534A0" w14:paraId="5321C089" w14:textId="77777777">
            <w:pPr>
              <w:widowControl/>
              <w:autoSpaceDE/>
              <w:autoSpaceDN/>
              <w:adjustRightInd/>
              <w:spacing w:line="276" w:lineRule="auto"/>
              <w:jc w:val="center"/>
              <w:rPr>
                <w:b/>
                <w:bCs/>
                <w:color w:val="000000"/>
                <w:sz w:val="24"/>
              </w:rPr>
            </w:pPr>
            <w:r w:rsidRPr="00652938">
              <w:rPr>
                <w:b/>
                <w:bCs/>
                <w:color w:val="000000"/>
                <w:sz w:val="24"/>
              </w:rPr>
              <w:t xml:space="preserve">Estimated Total Burden Cost </w:t>
            </w:r>
          </w:p>
        </w:tc>
      </w:tr>
      <w:tr w:rsidRPr="008C718D" w:rsidR="00B474E1" w:rsidTr="00444D72" w14:paraId="3BE75D69" w14:textId="77777777">
        <w:trPr>
          <w:jc w:val="center"/>
        </w:trPr>
        <w:tc>
          <w:tcPr>
            <w:tcW w:w="9705" w:type="dxa"/>
            <w:gridSpan w:val="9"/>
            <w:tcBorders>
              <w:top w:val="single" w:color="auto" w:sz="4" w:space="0"/>
              <w:bottom w:val="single" w:color="auto" w:sz="4" w:space="0"/>
            </w:tcBorders>
            <w:shd w:val="clear" w:color="auto" w:fill="DDD9C3" w:themeFill="background2" w:themeFillShade="E6"/>
            <w:tcMar>
              <w:left w:w="29" w:type="dxa"/>
              <w:right w:w="29" w:type="dxa"/>
            </w:tcMar>
            <w:vAlign w:val="center"/>
          </w:tcPr>
          <w:p w:rsidRPr="00652938" w:rsidR="00B474E1" w:rsidP="00444D72" w:rsidRDefault="00DC7CA2" w14:paraId="65139927" w14:textId="7DD51F76">
            <w:pPr>
              <w:widowControl/>
              <w:autoSpaceDE/>
              <w:autoSpaceDN/>
              <w:adjustRightInd/>
              <w:spacing w:line="276" w:lineRule="auto"/>
              <w:jc w:val="both"/>
              <w:rPr>
                <w:b/>
                <w:color w:val="000000"/>
                <w:sz w:val="24"/>
              </w:rPr>
            </w:pPr>
            <w:r w:rsidRPr="00652938">
              <w:rPr>
                <w:b/>
                <w:bCs/>
                <w:sz w:val="24"/>
              </w:rPr>
              <w:t>Group 1:</w:t>
            </w:r>
            <w:r w:rsidRPr="00652938">
              <w:rPr>
                <w:sz w:val="24"/>
              </w:rPr>
              <w:t xml:space="preserve"> Facilities </w:t>
            </w:r>
            <w:r w:rsidRPr="00652938">
              <w:rPr>
                <w:b/>
                <w:bCs/>
                <w:sz w:val="24"/>
              </w:rPr>
              <w:t>in U.S. engaged</w:t>
            </w:r>
            <w:r w:rsidRPr="00652938">
              <w:rPr>
                <w:sz w:val="24"/>
              </w:rPr>
              <w:t xml:space="preserve"> in drug </w:t>
            </w:r>
            <w:r w:rsidRPr="00652938" w:rsidR="00CC3A58">
              <w:rPr>
                <w:sz w:val="24"/>
              </w:rPr>
              <w:t xml:space="preserve">product </w:t>
            </w:r>
            <w:r w:rsidRPr="00652938">
              <w:rPr>
                <w:sz w:val="24"/>
              </w:rPr>
              <w:t>manufacturing (in addition to other possible operations)</w:t>
            </w:r>
          </w:p>
        </w:tc>
      </w:tr>
      <w:tr w:rsidRPr="008C718D" w:rsidR="005534A0" w:rsidTr="00652938" w14:paraId="66A788DC" w14:textId="77777777">
        <w:trPr>
          <w:jc w:val="center"/>
        </w:trPr>
        <w:tc>
          <w:tcPr>
            <w:tcW w:w="2955" w:type="dxa"/>
            <w:tcBorders>
              <w:top w:val="single" w:color="auto" w:sz="4" w:space="0"/>
            </w:tcBorders>
            <w:shd w:val="clear" w:color="auto" w:fill="auto"/>
            <w:tcMar>
              <w:left w:w="29" w:type="dxa"/>
              <w:right w:w="29" w:type="dxa"/>
            </w:tcMar>
            <w:vAlign w:val="center"/>
          </w:tcPr>
          <w:p w:rsidRPr="00652938" w:rsidR="005534A0" w:rsidP="00AF7AC0" w:rsidRDefault="005534A0" w14:paraId="5B268CA0" w14:textId="11079FA0">
            <w:pPr>
              <w:widowControl/>
              <w:autoSpaceDE/>
              <w:autoSpaceDN/>
              <w:adjustRightInd/>
              <w:spacing w:line="276" w:lineRule="auto"/>
              <w:rPr>
                <w:color w:val="000000"/>
                <w:sz w:val="24"/>
              </w:rPr>
            </w:pPr>
            <w:r w:rsidRPr="00652938">
              <w:rPr>
                <w:color w:val="000000"/>
                <w:sz w:val="24"/>
              </w:rPr>
              <w:t>General &amp; Operations Managers</w:t>
            </w:r>
          </w:p>
        </w:tc>
        <w:tc>
          <w:tcPr>
            <w:tcW w:w="971" w:type="dxa"/>
            <w:gridSpan w:val="2"/>
            <w:tcBorders>
              <w:top w:val="single" w:color="auto" w:sz="4" w:space="0"/>
            </w:tcBorders>
            <w:shd w:val="clear" w:color="auto" w:fill="auto"/>
            <w:noWrap/>
            <w:tcMar>
              <w:left w:w="29" w:type="dxa"/>
              <w:right w:w="29" w:type="dxa"/>
            </w:tcMar>
            <w:vAlign w:val="center"/>
          </w:tcPr>
          <w:p w:rsidRPr="00652938" w:rsidR="005534A0" w:rsidP="005534A0" w:rsidRDefault="005534A0" w14:paraId="70EDCC0F" w14:textId="77777777">
            <w:pPr>
              <w:widowControl/>
              <w:autoSpaceDE/>
              <w:autoSpaceDN/>
              <w:adjustRightInd/>
              <w:spacing w:line="276" w:lineRule="auto"/>
              <w:jc w:val="center"/>
              <w:rPr>
                <w:color w:val="000000"/>
                <w:sz w:val="24"/>
              </w:rPr>
            </w:pPr>
            <w:r w:rsidRPr="00652938">
              <w:rPr>
                <w:color w:val="000000"/>
                <w:sz w:val="24"/>
              </w:rPr>
              <w:t>$68.05</w:t>
            </w:r>
          </w:p>
        </w:tc>
        <w:tc>
          <w:tcPr>
            <w:tcW w:w="1189" w:type="dxa"/>
            <w:gridSpan w:val="2"/>
            <w:tcBorders>
              <w:top w:val="single" w:color="auto" w:sz="4" w:space="0"/>
            </w:tcBorders>
            <w:shd w:val="clear" w:color="auto" w:fill="auto"/>
            <w:tcMar>
              <w:left w:w="29" w:type="dxa"/>
              <w:right w:w="29" w:type="dxa"/>
            </w:tcMar>
            <w:vAlign w:val="center"/>
          </w:tcPr>
          <w:p w:rsidRPr="00652938" w:rsidR="005534A0" w:rsidP="005534A0" w:rsidRDefault="00B474E1" w14:paraId="6DBA57E7" w14:textId="5368D969">
            <w:pPr>
              <w:widowControl/>
              <w:autoSpaceDE/>
              <w:autoSpaceDN/>
              <w:adjustRightInd/>
              <w:spacing w:line="276" w:lineRule="auto"/>
              <w:jc w:val="center"/>
              <w:rPr>
                <w:color w:val="000000"/>
                <w:sz w:val="24"/>
              </w:rPr>
            </w:pPr>
            <w:r w:rsidRPr="00652938">
              <w:rPr>
                <w:color w:val="000000"/>
                <w:sz w:val="24"/>
              </w:rPr>
              <w:t>$31.98</w:t>
            </w:r>
          </w:p>
        </w:tc>
        <w:tc>
          <w:tcPr>
            <w:tcW w:w="1170" w:type="dxa"/>
            <w:tcBorders>
              <w:top w:val="single" w:color="auto" w:sz="4" w:space="0"/>
            </w:tcBorders>
            <w:shd w:val="clear" w:color="auto" w:fill="auto"/>
            <w:tcMar>
              <w:left w:w="29" w:type="dxa"/>
              <w:right w:w="29" w:type="dxa"/>
            </w:tcMar>
            <w:vAlign w:val="center"/>
          </w:tcPr>
          <w:p w:rsidRPr="00652938" w:rsidR="005534A0" w:rsidP="005534A0" w:rsidRDefault="005534A0" w14:paraId="20CB2DE2" w14:textId="77777777">
            <w:pPr>
              <w:widowControl/>
              <w:autoSpaceDE/>
              <w:autoSpaceDN/>
              <w:adjustRightInd/>
              <w:spacing w:line="276" w:lineRule="auto"/>
              <w:jc w:val="center"/>
              <w:rPr>
                <w:color w:val="000000"/>
                <w:sz w:val="24"/>
              </w:rPr>
            </w:pPr>
            <w:r w:rsidRPr="00652938">
              <w:rPr>
                <w:color w:val="000000"/>
                <w:sz w:val="24"/>
              </w:rPr>
              <w:t>$100.03</w:t>
            </w:r>
          </w:p>
        </w:tc>
        <w:tc>
          <w:tcPr>
            <w:tcW w:w="1080" w:type="dxa"/>
            <w:tcBorders>
              <w:top w:val="single" w:color="auto" w:sz="4" w:space="0"/>
            </w:tcBorders>
            <w:shd w:val="clear" w:color="auto" w:fill="auto"/>
            <w:tcMar>
              <w:left w:w="29" w:type="dxa"/>
              <w:right w:w="29" w:type="dxa"/>
            </w:tcMar>
            <w:vAlign w:val="center"/>
          </w:tcPr>
          <w:p w:rsidRPr="00652938" w:rsidR="005534A0" w:rsidP="005534A0" w:rsidRDefault="005534A0" w14:paraId="2DABFF69" w14:textId="77777777">
            <w:pPr>
              <w:widowControl/>
              <w:autoSpaceDE/>
              <w:autoSpaceDN/>
              <w:adjustRightInd/>
              <w:spacing w:line="276" w:lineRule="auto"/>
              <w:jc w:val="center"/>
              <w:rPr>
                <w:color w:val="000000"/>
                <w:sz w:val="24"/>
              </w:rPr>
            </w:pPr>
            <w:r w:rsidRPr="00652938">
              <w:rPr>
                <w:color w:val="000000"/>
                <w:sz w:val="24"/>
              </w:rPr>
              <w:t>1.10</w:t>
            </w:r>
          </w:p>
        </w:tc>
        <w:tc>
          <w:tcPr>
            <w:tcW w:w="1080" w:type="dxa"/>
            <w:tcBorders>
              <w:top w:val="single" w:color="auto" w:sz="4" w:space="0"/>
            </w:tcBorders>
            <w:shd w:val="clear" w:color="auto" w:fill="auto"/>
            <w:noWrap/>
            <w:tcMar>
              <w:left w:w="29" w:type="dxa"/>
              <w:right w:w="29" w:type="dxa"/>
            </w:tcMar>
            <w:vAlign w:val="center"/>
          </w:tcPr>
          <w:p w:rsidRPr="00652938" w:rsidR="005534A0" w:rsidP="005534A0" w:rsidRDefault="005534A0" w14:paraId="3A721D7C" w14:textId="77777777">
            <w:pPr>
              <w:widowControl/>
              <w:autoSpaceDE/>
              <w:autoSpaceDN/>
              <w:adjustRightInd/>
              <w:spacing w:line="276" w:lineRule="auto"/>
              <w:jc w:val="center"/>
              <w:rPr>
                <w:color w:val="000000"/>
                <w:sz w:val="24"/>
              </w:rPr>
            </w:pPr>
            <w:r w:rsidRPr="00652938">
              <w:rPr>
                <w:color w:val="000000"/>
                <w:sz w:val="24"/>
              </w:rPr>
              <w:t>$110.03</w:t>
            </w:r>
          </w:p>
        </w:tc>
        <w:tc>
          <w:tcPr>
            <w:tcW w:w="1260" w:type="dxa"/>
            <w:tcBorders>
              <w:top w:val="single" w:color="auto" w:sz="4" w:space="0"/>
            </w:tcBorders>
            <w:shd w:val="clear" w:color="auto" w:fill="auto"/>
            <w:tcMar>
              <w:left w:w="29" w:type="dxa"/>
              <w:right w:w="29" w:type="dxa"/>
            </w:tcMar>
            <w:vAlign w:val="center"/>
          </w:tcPr>
          <w:p w:rsidRPr="00652938" w:rsidR="005534A0" w:rsidP="00444D72" w:rsidRDefault="00022DA2" w14:paraId="46E1FCAE" w14:textId="194EE0A1">
            <w:pPr>
              <w:widowControl/>
              <w:autoSpaceDE/>
              <w:autoSpaceDN/>
              <w:adjustRightInd/>
              <w:spacing w:line="276" w:lineRule="auto"/>
              <w:jc w:val="center"/>
              <w:rPr>
                <w:color w:val="000000"/>
                <w:sz w:val="24"/>
              </w:rPr>
            </w:pPr>
            <w:r w:rsidRPr="00652938">
              <w:rPr>
                <w:color w:val="000000"/>
                <w:sz w:val="24"/>
              </w:rPr>
              <w:t>$</w:t>
            </w:r>
            <w:r w:rsidRPr="00652938" w:rsidR="004F33A2">
              <w:rPr>
                <w:color w:val="000000"/>
                <w:sz w:val="24"/>
              </w:rPr>
              <w:t>21,67</w:t>
            </w:r>
            <w:r w:rsidRPr="00652938" w:rsidR="00821871">
              <w:rPr>
                <w:color w:val="000000"/>
                <w:sz w:val="24"/>
              </w:rPr>
              <w:t>6</w:t>
            </w:r>
            <w:r w:rsidRPr="00652938" w:rsidR="00D64586">
              <w:rPr>
                <w:color w:val="000000"/>
                <w:sz w:val="24"/>
                <w:vertAlign w:val="superscript"/>
              </w:rPr>
              <w:t>[b]</w:t>
            </w:r>
          </w:p>
        </w:tc>
      </w:tr>
      <w:tr w:rsidRPr="008C718D" w:rsidR="005534A0" w:rsidTr="00652938" w14:paraId="08974505" w14:textId="77777777">
        <w:trPr>
          <w:jc w:val="center"/>
        </w:trPr>
        <w:tc>
          <w:tcPr>
            <w:tcW w:w="2955" w:type="dxa"/>
            <w:tcBorders>
              <w:bottom w:val="single" w:color="auto" w:sz="4" w:space="0"/>
            </w:tcBorders>
            <w:shd w:val="clear" w:color="auto" w:fill="auto"/>
            <w:tcMar>
              <w:left w:w="29" w:type="dxa"/>
              <w:right w:w="29" w:type="dxa"/>
            </w:tcMar>
            <w:vAlign w:val="center"/>
          </w:tcPr>
          <w:p w:rsidRPr="00652938" w:rsidR="005534A0" w:rsidP="00AF7AC0" w:rsidRDefault="005534A0" w14:paraId="443A3E1B" w14:textId="6C838700">
            <w:pPr>
              <w:widowControl/>
              <w:autoSpaceDE/>
              <w:autoSpaceDN/>
              <w:adjustRightInd/>
              <w:spacing w:line="276" w:lineRule="auto"/>
              <w:rPr>
                <w:color w:val="000000"/>
                <w:sz w:val="24"/>
              </w:rPr>
            </w:pPr>
            <w:r w:rsidRPr="00652938">
              <w:rPr>
                <w:color w:val="000000"/>
                <w:sz w:val="24"/>
              </w:rPr>
              <w:t>Senior executives</w:t>
            </w:r>
          </w:p>
        </w:tc>
        <w:tc>
          <w:tcPr>
            <w:tcW w:w="971" w:type="dxa"/>
            <w:gridSpan w:val="2"/>
            <w:tcBorders>
              <w:bottom w:val="single" w:color="auto" w:sz="4" w:space="0"/>
            </w:tcBorders>
            <w:shd w:val="clear" w:color="auto" w:fill="auto"/>
            <w:noWrap/>
            <w:tcMar>
              <w:left w:w="29" w:type="dxa"/>
              <w:right w:w="29" w:type="dxa"/>
            </w:tcMar>
            <w:vAlign w:val="center"/>
          </w:tcPr>
          <w:p w:rsidRPr="00652938" w:rsidR="005534A0" w:rsidP="005534A0" w:rsidRDefault="005534A0" w14:paraId="096D7804" w14:textId="77777777">
            <w:pPr>
              <w:widowControl/>
              <w:autoSpaceDE/>
              <w:autoSpaceDN/>
              <w:adjustRightInd/>
              <w:spacing w:line="276" w:lineRule="auto"/>
              <w:jc w:val="center"/>
              <w:rPr>
                <w:color w:val="000000"/>
                <w:sz w:val="24"/>
              </w:rPr>
            </w:pPr>
            <w:r w:rsidRPr="00652938">
              <w:rPr>
                <w:color w:val="000000"/>
                <w:sz w:val="24"/>
              </w:rPr>
              <w:t>$71.17</w:t>
            </w:r>
          </w:p>
        </w:tc>
        <w:tc>
          <w:tcPr>
            <w:tcW w:w="1189" w:type="dxa"/>
            <w:gridSpan w:val="2"/>
            <w:tcBorders>
              <w:bottom w:val="single" w:color="auto" w:sz="4" w:space="0"/>
            </w:tcBorders>
            <w:shd w:val="clear" w:color="auto" w:fill="auto"/>
            <w:tcMar>
              <w:left w:w="29" w:type="dxa"/>
              <w:right w:w="29" w:type="dxa"/>
            </w:tcMar>
          </w:tcPr>
          <w:p w:rsidRPr="00652938" w:rsidR="005534A0" w:rsidP="005534A0" w:rsidRDefault="00B474E1" w14:paraId="47A1DBA3" w14:textId="7E06E9A7">
            <w:pPr>
              <w:widowControl/>
              <w:autoSpaceDE/>
              <w:autoSpaceDN/>
              <w:adjustRightInd/>
              <w:spacing w:line="276" w:lineRule="auto"/>
              <w:jc w:val="center"/>
              <w:rPr>
                <w:color w:val="000000"/>
                <w:sz w:val="24"/>
              </w:rPr>
            </w:pPr>
            <w:r w:rsidRPr="00652938">
              <w:rPr>
                <w:color w:val="000000"/>
                <w:sz w:val="24"/>
              </w:rPr>
              <w:t>$33.45</w:t>
            </w:r>
          </w:p>
        </w:tc>
        <w:tc>
          <w:tcPr>
            <w:tcW w:w="1170" w:type="dxa"/>
            <w:tcBorders>
              <w:bottom w:val="single" w:color="auto" w:sz="4" w:space="0"/>
            </w:tcBorders>
            <w:shd w:val="clear" w:color="auto" w:fill="auto"/>
            <w:tcMar>
              <w:left w:w="29" w:type="dxa"/>
              <w:right w:w="29" w:type="dxa"/>
            </w:tcMar>
          </w:tcPr>
          <w:p w:rsidRPr="00652938" w:rsidR="005534A0" w:rsidP="005534A0" w:rsidRDefault="005534A0" w14:paraId="2773E02C" w14:textId="77777777">
            <w:pPr>
              <w:widowControl/>
              <w:autoSpaceDE/>
              <w:autoSpaceDN/>
              <w:adjustRightInd/>
              <w:spacing w:line="276" w:lineRule="auto"/>
              <w:jc w:val="center"/>
              <w:rPr>
                <w:color w:val="000000"/>
                <w:sz w:val="24"/>
              </w:rPr>
            </w:pPr>
            <w:r w:rsidRPr="00652938">
              <w:rPr>
                <w:color w:val="000000"/>
                <w:sz w:val="24"/>
              </w:rPr>
              <w:t>$104.62</w:t>
            </w:r>
          </w:p>
        </w:tc>
        <w:tc>
          <w:tcPr>
            <w:tcW w:w="1080" w:type="dxa"/>
            <w:tcBorders>
              <w:bottom w:val="single" w:color="auto" w:sz="4" w:space="0"/>
            </w:tcBorders>
            <w:shd w:val="clear" w:color="auto" w:fill="auto"/>
            <w:tcMar>
              <w:left w:w="29" w:type="dxa"/>
              <w:right w:w="29" w:type="dxa"/>
            </w:tcMar>
            <w:vAlign w:val="center"/>
          </w:tcPr>
          <w:p w:rsidRPr="00652938" w:rsidR="005534A0" w:rsidP="005534A0" w:rsidRDefault="005534A0" w14:paraId="236BB74D" w14:textId="77777777">
            <w:pPr>
              <w:widowControl/>
              <w:autoSpaceDE/>
              <w:autoSpaceDN/>
              <w:adjustRightInd/>
              <w:spacing w:line="276" w:lineRule="auto"/>
              <w:jc w:val="center"/>
              <w:rPr>
                <w:color w:val="000000"/>
                <w:sz w:val="24"/>
              </w:rPr>
            </w:pPr>
            <w:r w:rsidRPr="00652938">
              <w:rPr>
                <w:color w:val="000000"/>
                <w:sz w:val="24"/>
              </w:rPr>
              <w:t>1.10</w:t>
            </w:r>
          </w:p>
        </w:tc>
        <w:tc>
          <w:tcPr>
            <w:tcW w:w="1080" w:type="dxa"/>
            <w:tcBorders>
              <w:bottom w:val="single" w:color="auto" w:sz="4" w:space="0"/>
            </w:tcBorders>
            <w:shd w:val="clear" w:color="auto" w:fill="auto"/>
            <w:noWrap/>
            <w:tcMar>
              <w:left w:w="29" w:type="dxa"/>
              <w:right w:w="29" w:type="dxa"/>
            </w:tcMar>
            <w:vAlign w:val="center"/>
          </w:tcPr>
          <w:p w:rsidRPr="00652938" w:rsidR="005534A0" w:rsidP="005534A0" w:rsidRDefault="005534A0" w14:paraId="7663CB1A" w14:textId="77777777">
            <w:pPr>
              <w:widowControl/>
              <w:autoSpaceDE/>
              <w:autoSpaceDN/>
              <w:adjustRightInd/>
              <w:spacing w:line="276" w:lineRule="auto"/>
              <w:jc w:val="center"/>
              <w:rPr>
                <w:color w:val="000000"/>
                <w:sz w:val="24"/>
              </w:rPr>
            </w:pPr>
            <w:r w:rsidRPr="00652938">
              <w:rPr>
                <w:color w:val="000000"/>
                <w:sz w:val="24"/>
              </w:rPr>
              <w:t>$115.09</w:t>
            </w:r>
          </w:p>
        </w:tc>
        <w:tc>
          <w:tcPr>
            <w:tcW w:w="1260" w:type="dxa"/>
            <w:tcBorders>
              <w:bottom w:val="single" w:color="auto" w:sz="4" w:space="0"/>
            </w:tcBorders>
            <w:shd w:val="clear" w:color="auto" w:fill="auto"/>
            <w:tcMar>
              <w:left w:w="29" w:type="dxa"/>
              <w:right w:w="29" w:type="dxa"/>
            </w:tcMar>
            <w:vAlign w:val="center"/>
          </w:tcPr>
          <w:p w:rsidRPr="00652938" w:rsidR="005534A0" w:rsidP="00444D72" w:rsidRDefault="00022DA2" w14:paraId="6D73A53F" w14:textId="020C322B">
            <w:pPr>
              <w:widowControl/>
              <w:autoSpaceDE/>
              <w:autoSpaceDN/>
              <w:adjustRightInd/>
              <w:spacing w:line="276" w:lineRule="auto"/>
              <w:jc w:val="center"/>
              <w:rPr>
                <w:color w:val="000000"/>
                <w:sz w:val="24"/>
              </w:rPr>
            </w:pPr>
            <w:r w:rsidRPr="00652938">
              <w:rPr>
                <w:color w:val="000000"/>
                <w:sz w:val="24"/>
              </w:rPr>
              <w:t>$</w:t>
            </w:r>
            <w:r w:rsidRPr="00652938" w:rsidR="004F33A2">
              <w:rPr>
                <w:color w:val="000000"/>
                <w:sz w:val="24"/>
              </w:rPr>
              <w:t>22,673</w:t>
            </w:r>
            <w:r w:rsidRPr="00652938" w:rsidR="00367517">
              <w:rPr>
                <w:color w:val="000000"/>
                <w:sz w:val="24"/>
                <w:vertAlign w:val="superscript"/>
              </w:rPr>
              <w:t>[b]</w:t>
            </w:r>
          </w:p>
        </w:tc>
      </w:tr>
      <w:tr w:rsidRPr="008C718D" w:rsidR="00DE08C2" w:rsidTr="00444D72" w14:paraId="114BCC7E" w14:textId="77777777">
        <w:trPr>
          <w:jc w:val="center"/>
        </w:trPr>
        <w:tc>
          <w:tcPr>
            <w:tcW w:w="9705" w:type="dxa"/>
            <w:gridSpan w:val="9"/>
            <w:tcBorders>
              <w:top w:val="single" w:color="auto" w:sz="4" w:space="0"/>
              <w:bottom w:val="single" w:color="auto" w:sz="4" w:space="0"/>
            </w:tcBorders>
            <w:shd w:val="clear" w:color="auto" w:fill="DDD9C3" w:themeFill="background2" w:themeFillShade="E6"/>
            <w:tcMar>
              <w:left w:w="29" w:type="dxa"/>
              <w:right w:w="29" w:type="dxa"/>
            </w:tcMar>
            <w:vAlign w:val="center"/>
          </w:tcPr>
          <w:p w:rsidRPr="00652938" w:rsidR="00DE08C2" w:rsidP="00444D72" w:rsidRDefault="00DC7CA2" w14:paraId="1D20E05B" w14:textId="5786081D">
            <w:pPr>
              <w:contextualSpacing/>
              <w:rPr>
                <w:b/>
                <w:color w:val="000000"/>
                <w:sz w:val="24"/>
              </w:rPr>
            </w:pPr>
            <w:r w:rsidRPr="00652938">
              <w:rPr>
                <w:b/>
                <w:bCs/>
                <w:sz w:val="24"/>
              </w:rPr>
              <w:t>Group 2:</w:t>
            </w:r>
            <w:r w:rsidRPr="00652938">
              <w:rPr>
                <w:sz w:val="24"/>
              </w:rPr>
              <w:t xml:space="preserve"> Facilities </w:t>
            </w:r>
            <w:r w:rsidRPr="00652938">
              <w:rPr>
                <w:b/>
                <w:bCs/>
                <w:sz w:val="24"/>
              </w:rPr>
              <w:t xml:space="preserve">in U.S. </w:t>
            </w:r>
            <w:r w:rsidRPr="00652938">
              <w:rPr>
                <w:b/>
                <w:bCs/>
                <w:i/>
                <w:iCs/>
                <w:sz w:val="24"/>
              </w:rPr>
              <w:t>not</w:t>
            </w:r>
            <w:r w:rsidRPr="00652938">
              <w:rPr>
                <w:b/>
                <w:bCs/>
                <w:sz w:val="24"/>
              </w:rPr>
              <w:t xml:space="preserve"> engaged</w:t>
            </w:r>
            <w:r w:rsidRPr="00652938">
              <w:rPr>
                <w:sz w:val="24"/>
              </w:rPr>
              <w:t xml:space="preserve"> in manufacturing but engaged in other forms of drug processing</w:t>
            </w:r>
            <w:r w:rsidRPr="00652938" w:rsidR="0021355D">
              <w:rPr>
                <w:sz w:val="24"/>
              </w:rPr>
              <w:t xml:space="preserve"> or packing</w:t>
            </w:r>
            <w:r w:rsidRPr="00652938" w:rsidR="00D81BF2">
              <w:rPr>
                <w:sz w:val="24"/>
              </w:rPr>
              <w:t xml:space="preserve"> (e.g., labeling, repacking, etc.)</w:t>
            </w:r>
          </w:p>
        </w:tc>
      </w:tr>
      <w:tr w:rsidRPr="008C718D" w:rsidR="004F33A2" w:rsidTr="00652938" w14:paraId="63D83567" w14:textId="77777777">
        <w:trPr>
          <w:jc w:val="center"/>
        </w:trPr>
        <w:tc>
          <w:tcPr>
            <w:tcW w:w="2955" w:type="dxa"/>
            <w:tcBorders>
              <w:top w:val="single" w:color="auto" w:sz="4" w:space="0"/>
              <w:bottom w:val="single" w:color="auto" w:sz="4" w:space="0"/>
            </w:tcBorders>
            <w:shd w:val="clear" w:color="auto" w:fill="auto"/>
            <w:tcMar>
              <w:left w:w="29" w:type="dxa"/>
              <w:right w:w="29" w:type="dxa"/>
            </w:tcMar>
            <w:vAlign w:val="center"/>
          </w:tcPr>
          <w:p w:rsidRPr="00652938" w:rsidR="004F33A2" w:rsidP="0011400E" w:rsidRDefault="004F33A2" w14:paraId="681B55D0" w14:textId="5BD9FA64">
            <w:pPr>
              <w:widowControl/>
              <w:autoSpaceDE/>
              <w:autoSpaceDN/>
              <w:adjustRightInd/>
              <w:spacing w:line="276" w:lineRule="auto"/>
              <w:rPr>
                <w:b/>
                <w:color w:val="000000"/>
                <w:sz w:val="24"/>
              </w:rPr>
            </w:pPr>
            <w:r w:rsidRPr="00652938">
              <w:rPr>
                <w:color w:val="000000"/>
                <w:sz w:val="24"/>
              </w:rPr>
              <w:t>General &amp; Operations Managers</w:t>
            </w:r>
          </w:p>
        </w:tc>
        <w:tc>
          <w:tcPr>
            <w:tcW w:w="988" w:type="dxa"/>
            <w:gridSpan w:val="3"/>
            <w:tcBorders>
              <w:top w:val="single" w:color="auto" w:sz="4" w:space="0"/>
              <w:bottom w:val="single" w:color="auto" w:sz="4" w:space="0"/>
            </w:tcBorders>
            <w:shd w:val="clear" w:color="auto" w:fill="auto"/>
            <w:vAlign w:val="center"/>
          </w:tcPr>
          <w:p w:rsidRPr="00652938" w:rsidR="004F33A2" w:rsidP="0011400E" w:rsidRDefault="004F33A2" w14:paraId="7BB7F83B" w14:textId="10BEFFBD">
            <w:pPr>
              <w:widowControl/>
              <w:autoSpaceDE/>
              <w:autoSpaceDN/>
              <w:adjustRightInd/>
              <w:spacing w:line="276" w:lineRule="auto"/>
              <w:rPr>
                <w:b/>
                <w:color w:val="000000"/>
                <w:sz w:val="24"/>
              </w:rPr>
            </w:pPr>
            <w:r w:rsidRPr="00652938">
              <w:rPr>
                <w:color w:val="000000"/>
                <w:sz w:val="24"/>
              </w:rPr>
              <w:t>$68.05</w:t>
            </w:r>
          </w:p>
        </w:tc>
        <w:tc>
          <w:tcPr>
            <w:tcW w:w="1172" w:type="dxa"/>
            <w:tcBorders>
              <w:top w:val="single" w:color="auto" w:sz="4" w:space="0"/>
              <w:bottom w:val="single" w:color="auto" w:sz="4" w:space="0"/>
            </w:tcBorders>
            <w:shd w:val="clear" w:color="auto" w:fill="auto"/>
            <w:vAlign w:val="center"/>
          </w:tcPr>
          <w:p w:rsidRPr="00652938" w:rsidR="004F33A2" w:rsidP="0011400E" w:rsidRDefault="004F33A2" w14:paraId="5BBAF04F" w14:textId="0A65B3B4">
            <w:pPr>
              <w:widowControl/>
              <w:autoSpaceDE/>
              <w:autoSpaceDN/>
              <w:adjustRightInd/>
              <w:spacing w:line="276" w:lineRule="auto"/>
              <w:rPr>
                <w:b/>
                <w:color w:val="000000"/>
                <w:sz w:val="24"/>
              </w:rPr>
            </w:pPr>
            <w:r w:rsidRPr="00652938">
              <w:rPr>
                <w:color w:val="000000"/>
                <w:sz w:val="24"/>
              </w:rPr>
              <w:t>$31.98</w:t>
            </w:r>
          </w:p>
        </w:tc>
        <w:tc>
          <w:tcPr>
            <w:tcW w:w="1170" w:type="dxa"/>
            <w:tcBorders>
              <w:top w:val="single" w:color="auto" w:sz="4" w:space="0"/>
              <w:bottom w:val="single" w:color="auto" w:sz="4" w:space="0"/>
            </w:tcBorders>
            <w:shd w:val="clear" w:color="auto" w:fill="auto"/>
            <w:vAlign w:val="center"/>
          </w:tcPr>
          <w:p w:rsidRPr="00652938" w:rsidR="004F33A2" w:rsidP="0011400E" w:rsidRDefault="004F33A2" w14:paraId="2DA1F0B9" w14:textId="7AABC326">
            <w:pPr>
              <w:widowControl/>
              <w:autoSpaceDE/>
              <w:autoSpaceDN/>
              <w:adjustRightInd/>
              <w:spacing w:line="276" w:lineRule="auto"/>
              <w:rPr>
                <w:b/>
                <w:color w:val="000000"/>
                <w:sz w:val="24"/>
              </w:rPr>
            </w:pPr>
            <w:r w:rsidRPr="00652938">
              <w:rPr>
                <w:color w:val="000000"/>
                <w:sz w:val="24"/>
              </w:rPr>
              <w:t>$100.03</w:t>
            </w:r>
          </w:p>
        </w:tc>
        <w:tc>
          <w:tcPr>
            <w:tcW w:w="1080" w:type="dxa"/>
            <w:tcBorders>
              <w:top w:val="single" w:color="auto" w:sz="4" w:space="0"/>
              <w:bottom w:val="single" w:color="auto" w:sz="4" w:space="0"/>
            </w:tcBorders>
            <w:shd w:val="clear" w:color="auto" w:fill="auto"/>
            <w:vAlign w:val="center"/>
          </w:tcPr>
          <w:p w:rsidRPr="00652938" w:rsidR="004F33A2" w:rsidP="004F33A2" w:rsidRDefault="004F33A2" w14:paraId="389CC3DF" w14:textId="45A8548C">
            <w:pPr>
              <w:widowControl/>
              <w:autoSpaceDE/>
              <w:autoSpaceDN/>
              <w:adjustRightInd/>
              <w:spacing w:line="276" w:lineRule="auto"/>
              <w:jc w:val="center"/>
              <w:rPr>
                <w:b/>
                <w:color w:val="000000"/>
                <w:sz w:val="24"/>
              </w:rPr>
            </w:pPr>
            <w:r w:rsidRPr="00652938">
              <w:rPr>
                <w:color w:val="000000"/>
                <w:sz w:val="24"/>
              </w:rPr>
              <w:t>0.75</w:t>
            </w:r>
          </w:p>
        </w:tc>
        <w:tc>
          <w:tcPr>
            <w:tcW w:w="1080" w:type="dxa"/>
            <w:tcBorders>
              <w:top w:val="single" w:color="auto" w:sz="4" w:space="0"/>
              <w:bottom w:val="single" w:color="auto" w:sz="4" w:space="0"/>
            </w:tcBorders>
            <w:shd w:val="clear" w:color="auto" w:fill="auto"/>
            <w:vAlign w:val="center"/>
          </w:tcPr>
          <w:p w:rsidRPr="00652938" w:rsidR="004F33A2" w:rsidP="004F33A2" w:rsidRDefault="004F33A2" w14:paraId="7113139B" w14:textId="4A1DBC1C">
            <w:pPr>
              <w:widowControl/>
              <w:autoSpaceDE/>
              <w:autoSpaceDN/>
              <w:adjustRightInd/>
              <w:spacing w:line="276" w:lineRule="auto"/>
              <w:jc w:val="center"/>
              <w:rPr>
                <w:b/>
                <w:color w:val="000000"/>
                <w:sz w:val="24"/>
              </w:rPr>
            </w:pPr>
            <w:r w:rsidRPr="00652938">
              <w:rPr>
                <w:color w:val="000000"/>
                <w:sz w:val="24"/>
              </w:rPr>
              <w:t>$75.02</w:t>
            </w:r>
          </w:p>
        </w:tc>
        <w:tc>
          <w:tcPr>
            <w:tcW w:w="1260" w:type="dxa"/>
            <w:tcBorders>
              <w:top w:val="single" w:color="auto" w:sz="4" w:space="0"/>
              <w:bottom w:val="single" w:color="auto" w:sz="4" w:space="0"/>
            </w:tcBorders>
            <w:shd w:val="clear" w:color="auto" w:fill="auto"/>
            <w:vAlign w:val="center"/>
          </w:tcPr>
          <w:p w:rsidRPr="00652938" w:rsidR="004F33A2" w:rsidP="00444D72" w:rsidRDefault="004F33A2" w14:paraId="23F0B18D" w14:textId="28ED5F82">
            <w:pPr>
              <w:widowControl/>
              <w:autoSpaceDE/>
              <w:autoSpaceDN/>
              <w:adjustRightInd/>
              <w:spacing w:line="276" w:lineRule="auto"/>
              <w:jc w:val="center"/>
              <w:rPr>
                <w:b/>
                <w:color w:val="000000"/>
                <w:sz w:val="24"/>
              </w:rPr>
            </w:pPr>
            <w:r w:rsidRPr="00652938">
              <w:rPr>
                <w:color w:val="000000"/>
                <w:sz w:val="24"/>
              </w:rPr>
              <w:t>$12,453</w:t>
            </w:r>
            <w:r w:rsidRPr="00652938">
              <w:rPr>
                <w:color w:val="000000"/>
                <w:sz w:val="24"/>
                <w:vertAlign w:val="superscript"/>
              </w:rPr>
              <w:t>[</w:t>
            </w:r>
            <w:r w:rsidRPr="00652938" w:rsidR="00444D72">
              <w:rPr>
                <w:color w:val="000000"/>
                <w:sz w:val="24"/>
                <w:vertAlign w:val="superscript"/>
              </w:rPr>
              <w:t>c</w:t>
            </w:r>
            <w:r w:rsidRPr="00652938">
              <w:rPr>
                <w:color w:val="000000"/>
                <w:sz w:val="24"/>
                <w:vertAlign w:val="superscript"/>
              </w:rPr>
              <w:t>]</w:t>
            </w:r>
          </w:p>
        </w:tc>
      </w:tr>
      <w:tr w:rsidRPr="008C718D" w:rsidR="004F33A2" w:rsidTr="00652938" w14:paraId="394BF2A9" w14:textId="77777777">
        <w:trPr>
          <w:jc w:val="center"/>
        </w:trPr>
        <w:tc>
          <w:tcPr>
            <w:tcW w:w="2955" w:type="dxa"/>
            <w:tcBorders>
              <w:top w:val="single" w:color="auto" w:sz="4" w:space="0"/>
              <w:bottom w:val="single" w:color="auto" w:sz="4" w:space="0"/>
            </w:tcBorders>
            <w:shd w:val="clear" w:color="auto" w:fill="auto"/>
            <w:tcMar>
              <w:left w:w="29" w:type="dxa"/>
              <w:right w:w="29" w:type="dxa"/>
            </w:tcMar>
            <w:vAlign w:val="center"/>
          </w:tcPr>
          <w:p w:rsidRPr="00652938" w:rsidR="004F33A2" w:rsidP="0011400E" w:rsidRDefault="004F33A2" w14:paraId="0AA94F8C" w14:textId="5467BC8C">
            <w:pPr>
              <w:widowControl/>
              <w:autoSpaceDE/>
              <w:autoSpaceDN/>
              <w:adjustRightInd/>
              <w:spacing w:line="276" w:lineRule="auto"/>
              <w:rPr>
                <w:b/>
                <w:color w:val="000000"/>
                <w:sz w:val="24"/>
              </w:rPr>
            </w:pPr>
            <w:r w:rsidRPr="00652938">
              <w:rPr>
                <w:color w:val="000000"/>
                <w:sz w:val="24"/>
              </w:rPr>
              <w:t>Senior executives</w:t>
            </w:r>
          </w:p>
        </w:tc>
        <w:tc>
          <w:tcPr>
            <w:tcW w:w="988" w:type="dxa"/>
            <w:gridSpan w:val="3"/>
            <w:tcBorders>
              <w:top w:val="single" w:color="auto" w:sz="4" w:space="0"/>
              <w:bottom w:val="single" w:color="auto" w:sz="4" w:space="0"/>
            </w:tcBorders>
            <w:shd w:val="clear" w:color="auto" w:fill="auto"/>
            <w:vAlign w:val="center"/>
          </w:tcPr>
          <w:p w:rsidRPr="00652938" w:rsidR="004F33A2" w:rsidP="0011400E" w:rsidRDefault="004F33A2" w14:paraId="1C5D6EC0" w14:textId="2A6A82F1">
            <w:pPr>
              <w:widowControl/>
              <w:autoSpaceDE/>
              <w:autoSpaceDN/>
              <w:adjustRightInd/>
              <w:spacing w:line="276" w:lineRule="auto"/>
              <w:rPr>
                <w:b/>
                <w:color w:val="000000"/>
                <w:sz w:val="24"/>
              </w:rPr>
            </w:pPr>
            <w:r w:rsidRPr="00652938">
              <w:rPr>
                <w:color w:val="000000"/>
                <w:sz w:val="24"/>
              </w:rPr>
              <w:t>$71.17</w:t>
            </w:r>
          </w:p>
        </w:tc>
        <w:tc>
          <w:tcPr>
            <w:tcW w:w="1172" w:type="dxa"/>
            <w:tcBorders>
              <w:top w:val="single" w:color="auto" w:sz="4" w:space="0"/>
              <w:bottom w:val="single" w:color="auto" w:sz="4" w:space="0"/>
            </w:tcBorders>
            <w:shd w:val="clear" w:color="auto" w:fill="auto"/>
          </w:tcPr>
          <w:p w:rsidR="004F33A2" w:rsidP="0011400E" w:rsidRDefault="004F33A2" w14:paraId="159909DD" w14:textId="77777777">
            <w:pPr>
              <w:widowControl/>
              <w:autoSpaceDE/>
              <w:autoSpaceDN/>
              <w:adjustRightInd/>
              <w:spacing w:line="276" w:lineRule="auto"/>
              <w:rPr>
                <w:color w:val="000000"/>
                <w:sz w:val="24"/>
              </w:rPr>
            </w:pPr>
            <w:r w:rsidRPr="00652938">
              <w:rPr>
                <w:color w:val="000000"/>
                <w:sz w:val="24"/>
              </w:rPr>
              <w:t>$33.45</w:t>
            </w:r>
          </w:p>
          <w:p w:rsidRPr="00652938" w:rsidR="00C9092B" w:rsidP="0011400E" w:rsidRDefault="00C9092B" w14:paraId="476E7AC4" w14:textId="3F901597">
            <w:pPr>
              <w:widowControl/>
              <w:autoSpaceDE/>
              <w:autoSpaceDN/>
              <w:adjustRightInd/>
              <w:spacing w:line="276" w:lineRule="auto"/>
              <w:rPr>
                <w:b/>
                <w:color w:val="000000"/>
                <w:sz w:val="24"/>
              </w:rPr>
            </w:pPr>
          </w:p>
        </w:tc>
        <w:tc>
          <w:tcPr>
            <w:tcW w:w="1170" w:type="dxa"/>
            <w:tcBorders>
              <w:top w:val="single" w:color="auto" w:sz="4" w:space="0"/>
              <w:bottom w:val="single" w:color="auto" w:sz="4" w:space="0"/>
            </w:tcBorders>
            <w:shd w:val="clear" w:color="auto" w:fill="auto"/>
          </w:tcPr>
          <w:p w:rsidRPr="00652938" w:rsidR="004F33A2" w:rsidP="0011400E" w:rsidRDefault="004F33A2" w14:paraId="746881D3" w14:textId="28DCD80B">
            <w:pPr>
              <w:widowControl/>
              <w:autoSpaceDE/>
              <w:autoSpaceDN/>
              <w:adjustRightInd/>
              <w:spacing w:line="276" w:lineRule="auto"/>
              <w:rPr>
                <w:b/>
                <w:color w:val="000000"/>
                <w:sz w:val="24"/>
              </w:rPr>
            </w:pPr>
            <w:r w:rsidRPr="00652938">
              <w:rPr>
                <w:color w:val="000000"/>
                <w:sz w:val="24"/>
              </w:rPr>
              <w:t>$104.62</w:t>
            </w:r>
          </w:p>
        </w:tc>
        <w:tc>
          <w:tcPr>
            <w:tcW w:w="1080" w:type="dxa"/>
            <w:tcBorders>
              <w:top w:val="single" w:color="auto" w:sz="4" w:space="0"/>
              <w:bottom w:val="single" w:color="auto" w:sz="4" w:space="0"/>
            </w:tcBorders>
            <w:shd w:val="clear" w:color="auto" w:fill="auto"/>
          </w:tcPr>
          <w:p w:rsidRPr="00652938" w:rsidR="004F33A2" w:rsidP="004F33A2" w:rsidRDefault="004F33A2" w14:paraId="68496693" w14:textId="1D4031E9">
            <w:pPr>
              <w:widowControl/>
              <w:autoSpaceDE/>
              <w:autoSpaceDN/>
              <w:adjustRightInd/>
              <w:spacing w:line="276" w:lineRule="auto"/>
              <w:jc w:val="center"/>
              <w:rPr>
                <w:b/>
                <w:color w:val="000000"/>
                <w:sz w:val="24"/>
              </w:rPr>
            </w:pPr>
            <w:r w:rsidRPr="00652938">
              <w:rPr>
                <w:color w:val="000000"/>
                <w:sz w:val="24"/>
              </w:rPr>
              <w:t>0.75</w:t>
            </w:r>
          </w:p>
        </w:tc>
        <w:tc>
          <w:tcPr>
            <w:tcW w:w="1080" w:type="dxa"/>
            <w:tcBorders>
              <w:top w:val="single" w:color="auto" w:sz="4" w:space="0"/>
              <w:bottom w:val="single" w:color="auto" w:sz="4" w:space="0"/>
            </w:tcBorders>
            <w:shd w:val="clear" w:color="auto" w:fill="auto"/>
          </w:tcPr>
          <w:p w:rsidRPr="00652938" w:rsidR="004F33A2" w:rsidP="004F33A2" w:rsidRDefault="004F33A2" w14:paraId="62F0F708" w14:textId="71C667D1">
            <w:pPr>
              <w:widowControl/>
              <w:autoSpaceDE/>
              <w:autoSpaceDN/>
              <w:adjustRightInd/>
              <w:spacing w:line="276" w:lineRule="auto"/>
              <w:jc w:val="center"/>
              <w:rPr>
                <w:b/>
                <w:color w:val="000000"/>
                <w:sz w:val="24"/>
              </w:rPr>
            </w:pPr>
            <w:r w:rsidRPr="00652938">
              <w:rPr>
                <w:color w:val="000000"/>
                <w:sz w:val="24"/>
              </w:rPr>
              <w:t>$78.47</w:t>
            </w:r>
          </w:p>
        </w:tc>
        <w:tc>
          <w:tcPr>
            <w:tcW w:w="1260" w:type="dxa"/>
            <w:tcBorders>
              <w:top w:val="single" w:color="auto" w:sz="4" w:space="0"/>
              <w:bottom w:val="single" w:color="auto" w:sz="4" w:space="0"/>
            </w:tcBorders>
            <w:shd w:val="clear" w:color="auto" w:fill="auto"/>
            <w:vAlign w:val="center"/>
          </w:tcPr>
          <w:p w:rsidRPr="00652938" w:rsidR="004F33A2" w:rsidP="00444D72" w:rsidRDefault="004F33A2" w14:paraId="78859FAF" w14:textId="3575C76F">
            <w:pPr>
              <w:widowControl/>
              <w:autoSpaceDE/>
              <w:autoSpaceDN/>
              <w:adjustRightInd/>
              <w:spacing w:line="276" w:lineRule="auto"/>
              <w:jc w:val="center"/>
              <w:rPr>
                <w:b/>
                <w:color w:val="000000"/>
                <w:sz w:val="24"/>
              </w:rPr>
            </w:pPr>
            <w:r w:rsidRPr="00652938">
              <w:rPr>
                <w:color w:val="000000"/>
                <w:sz w:val="24"/>
              </w:rPr>
              <w:t>$13,104</w:t>
            </w:r>
            <w:r w:rsidRPr="00652938">
              <w:rPr>
                <w:color w:val="000000"/>
                <w:sz w:val="24"/>
                <w:vertAlign w:val="superscript"/>
              </w:rPr>
              <w:t>[</w:t>
            </w:r>
            <w:r w:rsidRPr="00652938" w:rsidR="00444D72">
              <w:rPr>
                <w:color w:val="000000"/>
                <w:sz w:val="24"/>
                <w:vertAlign w:val="superscript"/>
              </w:rPr>
              <w:t>c</w:t>
            </w:r>
            <w:r w:rsidRPr="00652938">
              <w:rPr>
                <w:color w:val="000000"/>
                <w:sz w:val="24"/>
                <w:vertAlign w:val="superscript"/>
              </w:rPr>
              <w:t>]</w:t>
            </w:r>
          </w:p>
        </w:tc>
      </w:tr>
      <w:tr w:rsidRPr="008C718D" w:rsidR="004F33A2" w:rsidTr="00444D72" w14:paraId="2A15BB16" w14:textId="77777777">
        <w:trPr>
          <w:jc w:val="center"/>
        </w:trPr>
        <w:tc>
          <w:tcPr>
            <w:tcW w:w="9705" w:type="dxa"/>
            <w:gridSpan w:val="9"/>
            <w:tcBorders>
              <w:top w:val="single" w:color="auto" w:sz="4" w:space="0"/>
              <w:bottom w:val="single" w:color="auto" w:sz="4" w:space="0"/>
            </w:tcBorders>
            <w:shd w:val="clear" w:color="auto" w:fill="DDD9C3" w:themeFill="background2" w:themeFillShade="E6"/>
            <w:tcMar>
              <w:left w:w="29" w:type="dxa"/>
              <w:right w:w="29" w:type="dxa"/>
            </w:tcMar>
            <w:vAlign w:val="center"/>
          </w:tcPr>
          <w:p w:rsidRPr="00652938" w:rsidR="004F33A2" w:rsidP="00444D72" w:rsidRDefault="004F33A2" w14:paraId="3B2F8BDF" w14:textId="4BF22EC1">
            <w:pPr>
              <w:widowControl/>
              <w:autoSpaceDE/>
              <w:autoSpaceDN/>
              <w:adjustRightInd/>
              <w:spacing w:line="276" w:lineRule="auto"/>
              <w:rPr>
                <w:b/>
                <w:color w:val="000000"/>
                <w:sz w:val="24"/>
              </w:rPr>
            </w:pPr>
            <w:r w:rsidRPr="00652938">
              <w:rPr>
                <w:b/>
                <w:bCs/>
                <w:sz w:val="24"/>
              </w:rPr>
              <w:t>Group 3:</w:t>
            </w:r>
            <w:r w:rsidRPr="00652938">
              <w:rPr>
                <w:sz w:val="24"/>
              </w:rPr>
              <w:t xml:space="preserve"> Facilities </w:t>
            </w:r>
            <w:r w:rsidRPr="00652938">
              <w:rPr>
                <w:b/>
                <w:bCs/>
                <w:sz w:val="24"/>
              </w:rPr>
              <w:t>outside U.S. engaged</w:t>
            </w:r>
            <w:r w:rsidRPr="00652938">
              <w:rPr>
                <w:sz w:val="24"/>
              </w:rPr>
              <w:t xml:space="preserve"> in drug</w:t>
            </w:r>
            <w:r w:rsidRPr="00652938" w:rsidR="00CC3A58">
              <w:rPr>
                <w:sz w:val="24"/>
              </w:rPr>
              <w:t xml:space="preserve"> product</w:t>
            </w:r>
            <w:r w:rsidRPr="00652938">
              <w:rPr>
                <w:sz w:val="24"/>
              </w:rPr>
              <w:t xml:space="preserve"> manufacturing (in addition to other possible operations)</w:t>
            </w:r>
          </w:p>
        </w:tc>
      </w:tr>
      <w:tr w:rsidRPr="008C718D" w:rsidR="004F33A2" w:rsidTr="00652938" w14:paraId="6DFADFD4" w14:textId="77777777">
        <w:trPr>
          <w:jc w:val="center"/>
        </w:trPr>
        <w:tc>
          <w:tcPr>
            <w:tcW w:w="2955" w:type="dxa"/>
            <w:tcBorders>
              <w:top w:val="single" w:color="auto" w:sz="4" w:space="0"/>
              <w:bottom w:val="single" w:color="auto" w:sz="4" w:space="0"/>
            </w:tcBorders>
            <w:shd w:val="clear" w:color="auto" w:fill="auto"/>
            <w:tcMar>
              <w:left w:w="29" w:type="dxa"/>
              <w:right w:w="29" w:type="dxa"/>
            </w:tcMar>
            <w:vAlign w:val="center"/>
          </w:tcPr>
          <w:p w:rsidRPr="00652938" w:rsidR="004F33A2" w:rsidP="0011400E" w:rsidRDefault="004F33A2" w14:paraId="2535AF0F" w14:textId="45B34F5D">
            <w:pPr>
              <w:widowControl/>
              <w:autoSpaceDE/>
              <w:autoSpaceDN/>
              <w:adjustRightInd/>
              <w:spacing w:line="276" w:lineRule="auto"/>
              <w:rPr>
                <w:b/>
                <w:color w:val="000000"/>
                <w:sz w:val="24"/>
              </w:rPr>
            </w:pPr>
            <w:r w:rsidRPr="00652938">
              <w:rPr>
                <w:color w:val="000000"/>
                <w:sz w:val="24"/>
              </w:rPr>
              <w:t>General &amp; Operations Managers</w:t>
            </w:r>
          </w:p>
        </w:tc>
        <w:tc>
          <w:tcPr>
            <w:tcW w:w="988" w:type="dxa"/>
            <w:gridSpan w:val="3"/>
            <w:tcBorders>
              <w:top w:val="single" w:color="auto" w:sz="4" w:space="0"/>
              <w:bottom w:val="single" w:color="auto" w:sz="4" w:space="0"/>
            </w:tcBorders>
            <w:shd w:val="clear" w:color="auto" w:fill="auto"/>
            <w:vAlign w:val="center"/>
          </w:tcPr>
          <w:p w:rsidRPr="00652938" w:rsidR="004F33A2" w:rsidP="0011400E" w:rsidRDefault="004F33A2" w14:paraId="1789AA45" w14:textId="3E28D21C">
            <w:pPr>
              <w:widowControl/>
              <w:autoSpaceDE/>
              <w:autoSpaceDN/>
              <w:adjustRightInd/>
              <w:spacing w:line="276" w:lineRule="auto"/>
              <w:rPr>
                <w:b/>
                <w:color w:val="000000"/>
                <w:sz w:val="24"/>
              </w:rPr>
            </w:pPr>
            <w:r w:rsidRPr="00652938">
              <w:rPr>
                <w:color w:val="000000"/>
                <w:sz w:val="24"/>
              </w:rPr>
              <w:t>$68.05</w:t>
            </w:r>
          </w:p>
        </w:tc>
        <w:tc>
          <w:tcPr>
            <w:tcW w:w="1172" w:type="dxa"/>
            <w:tcBorders>
              <w:top w:val="single" w:color="auto" w:sz="4" w:space="0"/>
              <w:bottom w:val="single" w:color="auto" w:sz="4" w:space="0"/>
            </w:tcBorders>
            <w:shd w:val="clear" w:color="auto" w:fill="auto"/>
            <w:vAlign w:val="center"/>
          </w:tcPr>
          <w:p w:rsidRPr="00652938" w:rsidR="004F33A2" w:rsidP="0011400E" w:rsidRDefault="004F33A2" w14:paraId="1755C80D" w14:textId="3F1142E8">
            <w:pPr>
              <w:widowControl/>
              <w:autoSpaceDE/>
              <w:autoSpaceDN/>
              <w:adjustRightInd/>
              <w:spacing w:line="276" w:lineRule="auto"/>
              <w:rPr>
                <w:b/>
                <w:color w:val="000000"/>
                <w:sz w:val="24"/>
              </w:rPr>
            </w:pPr>
            <w:r w:rsidRPr="00652938">
              <w:rPr>
                <w:color w:val="000000"/>
                <w:sz w:val="24"/>
              </w:rPr>
              <w:t>$31.98</w:t>
            </w:r>
          </w:p>
        </w:tc>
        <w:tc>
          <w:tcPr>
            <w:tcW w:w="1170" w:type="dxa"/>
            <w:tcBorders>
              <w:top w:val="single" w:color="auto" w:sz="4" w:space="0"/>
              <w:bottom w:val="single" w:color="auto" w:sz="4" w:space="0"/>
            </w:tcBorders>
            <w:shd w:val="clear" w:color="auto" w:fill="auto"/>
            <w:vAlign w:val="center"/>
          </w:tcPr>
          <w:p w:rsidRPr="00652938" w:rsidR="004F33A2" w:rsidP="0011400E" w:rsidRDefault="004F33A2" w14:paraId="50E849ED" w14:textId="144083BE">
            <w:pPr>
              <w:widowControl/>
              <w:autoSpaceDE/>
              <w:autoSpaceDN/>
              <w:adjustRightInd/>
              <w:spacing w:line="276" w:lineRule="auto"/>
              <w:rPr>
                <w:b/>
                <w:color w:val="000000"/>
                <w:sz w:val="24"/>
              </w:rPr>
            </w:pPr>
            <w:r w:rsidRPr="00652938">
              <w:rPr>
                <w:color w:val="000000"/>
                <w:sz w:val="24"/>
              </w:rPr>
              <w:t>$100.03</w:t>
            </w:r>
          </w:p>
        </w:tc>
        <w:tc>
          <w:tcPr>
            <w:tcW w:w="1080" w:type="dxa"/>
            <w:tcBorders>
              <w:top w:val="single" w:color="auto" w:sz="4" w:space="0"/>
              <w:bottom w:val="single" w:color="auto" w:sz="4" w:space="0"/>
            </w:tcBorders>
            <w:shd w:val="clear" w:color="auto" w:fill="auto"/>
            <w:vAlign w:val="center"/>
          </w:tcPr>
          <w:p w:rsidRPr="00652938" w:rsidR="004F33A2" w:rsidP="004F33A2" w:rsidRDefault="004F33A2" w14:paraId="7A68F391" w14:textId="5FF0411B">
            <w:pPr>
              <w:widowControl/>
              <w:autoSpaceDE/>
              <w:autoSpaceDN/>
              <w:adjustRightInd/>
              <w:spacing w:line="276" w:lineRule="auto"/>
              <w:jc w:val="center"/>
              <w:rPr>
                <w:b/>
                <w:color w:val="000000"/>
                <w:sz w:val="24"/>
              </w:rPr>
            </w:pPr>
            <w:r w:rsidRPr="00652938">
              <w:rPr>
                <w:color w:val="000000"/>
                <w:sz w:val="24"/>
              </w:rPr>
              <w:t>2.20</w:t>
            </w:r>
          </w:p>
        </w:tc>
        <w:tc>
          <w:tcPr>
            <w:tcW w:w="1080" w:type="dxa"/>
            <w:tcBorders>
              <w:top w:val="single" w:color="auto" w:sz="4" w:space="0"/>
              <w:bottom w:val="single" w:color="auto" w:sz="4" w:space="0"/>
            </w:tcBorders>
            <w:shd w:val="clear" w:color="auto" w:fill="auto"/>
            <w:vAlign w:val="center"/>
          </w:tcPr>
          <w:p w:rsidRPr="00652938" w:rsidR="004F33A2" w:rsidP="004F33A2" w:rsidRDefault="004F33A2" w14:paraId="27550627" w14:textId="0735DC14">
            <w:pPr>
              <w:widowControl/>
              <w:autoSpaceDE/>
              <w:autoSpaceDN/>
              <w:adjustRightInd/>
              <w:spacing w:line="276" w:lineRule="auto"/>
              <w:jc w:val="center"/>
              <w:rPr>
                <w:bCs/>
                <w:color w:val="000000"/>
                <w:sz w:val="24"/>
              </w:rPr>
            </w:pPr>
            <w:r w:rsidRPr="00652938">
              <w:rPr>
                <w:bCs/>
                <w:color w:val="000000"/>
                <w:sz w:val="24"/>
              </w:rPr>
              <w:t>$220.07</w:t>
            </w:r>
          </w:p>
        </w:tc>
        <w:tc>
          <w:tcPr>
            <w:tcW w:w="1260" w:type="dxa"/>
            <w:tcBorders>
              <w:top w:val="single" w:color="auto" w:sz="4" w:space="0"/>
              <w:bottom w:val="single" w:color="auto" w:sz="4" w:space="0"/>
            </w:tcBorders>
            <w:shd w:val="clear" w:color="auto" w:fill="auto"/>
            <w:vAlign w:val="center"/>
          </w:tcPr>
          <w:p w:rsidRPr="00652938" w:rsidR="004F33A2" w:rsidP="00444D72" w:rsidRDefault="004F33A2" w14:paraId="1EB70300" w14:textId="0270C991">
            <w:pPr>
              <w:widowControl/>
              <w:autoSpaceDE/>
              <w:autoSpaceDN/>
              <w:adjustRightInd/>
              <w:spacing w:line="276" w:lineRule="auto"/>
              <w:jc w:val="center"/>
              <w:rPr>
                <w:b/>
                <w:color w:val="000000"/>
                <w:sz w:val="24"/>
              </w:rPr>
            </w:pPr>
            <w:r w:rsidRPr="00652938">
              <w:rPr>
                <w:color w:val="000000"/>
                <w:sz w:val="24"/>
              </w:rPr>
              <w:t>$44,</w:t>
            </w:r>
            <w:r w:rsidRPr="00652938" w:rsidR="00821871">
              <w:rPr>
                <w:color w:val="000000"/>
                <w:sz w:val="24"/>
              </w:rPr>
              <w:t>674</w:t>
            </w:r>
            <w:r w:rsidRPr="00652938">
              <w:rPr>
                <w:color w:val="000000"/>
                <w:sz w:val="24"/>
                <w:vertAlign w:val="superscript"/>
              </w:rPr>
              <w:t>[</w:t>
            </w:r>
            <w:r w:rsidRPr="00652938" w:rsidR="00444D72">
              <w:rPr>
                <w:color w:val="000000"/>
                <w:sz w:val="24"/>
                <w:vertAlign w:val="superscript"/>
              </w:rPr>
              <w:t>d</w:t>
            </w:r>
            <w:r w:rsidRPr="00652938">
              <w:rPr>
                <w:color w:val="000000"/>
                <w:sz w:val="24"/>
                <w:vertAlign w:val="superscript"/>
              </w:rPr>
              <w:t>]</w:t>
            </w:r>
          </w:p>
        </w:tc>
      </w:tr>
      <w:tr w:rsidRPr="008C718D" w:rsidR="004F33A2" w:rsidTr="00652938" w14:paraId="0EA37B95" w14:textId="77777777">
        <w:trPr>
          <w:jc w:val="center"/>
        </w:trPr>
        <w:tc>
          <w:tcPr>
            <w:tcW w:w="2955" w:type="dxa"/>
            <w:tcBorders>
              <w:top w:val="single" w:color="auto" w:sz="4" w:space="0"/>
              <w:bottom w:val="single" w:color="auto" w:sz="4" w:space="0"/>
            </w:tcBorders>
            <w:shd w:val="clear" w:color="auto" w:fill="auto"/>
            <w:tcMar>
              <w:left w:w="29" w:type="dxa"/>
              <w:right w:w="29" w:type="dxa"/>
            </w:tcMar>
            <w:vAlign w:val="center"/>
          </w:tcPr>
          <w:p w:rsidRPr="00652938" w:rsidR="004F33A2" w:rsidP="0011400E" w:rsidRDefault="004F33A2" w14:paraId="422AD006" w14:textId="0AF88E9C">
            <w:pPr>
              <w:widowControl/>
              <w:autoSpaceDE/>
              <w:autoSpaceDN/>
              <w:adjustRightInd/>
              <w:spacing w:line="276" w:lineRule="auto"/>
              <w:rPr>
                <w:b/>
                <w:color w:val="000000"/>
                <w:sz w:val="24"/>
              </w:rPr>
            </w:pPr>
            <w:r w:rsidRPr="00652938">
              <w:rPr>
                <w:color w:val="000000"/>
                <w:sz w:val="24"/>
              </w:rPr>
              <w:t>Senior executives</w:t>
            </w:r>
          </w:p>
        </w:tc>
        <w:tc>
          <w:tcPr>
            <w:tcW w:w="988" w:type="dxa"/>
            <w:gridSpan w:val="3"/>
            <w:tcBorders>
              <w:top w:val="single" w:color="auto" w:sz="4" w:space="0"/>
              <w:bottom w:val="single" w:color="auto" w:sz="4" w:space="0"/>
            </w:tcBorders>
            <w:shd w:val="clear" w:color="auto" w:fill="auto"/>
            <w:vAlign w:val="center"/>
          </w:tcPr>
          <w:p w:rsidRPr="00652938" w:rsidR="004F33A2" w:rsidP="0011400E" w:rsidRDefault="004F33A2" w14:paraId="7F7B447A" w14:textId="0A0AD21D">
            <w:pPr>
              <w:widowControl/>
              <w:autoSpaceDE/>
              <w:autoSpaceDN/>
              <w:adjustRightInd/>
              <w:spacing w:line="276" w:lineRule="auto"/>
              <w:rPr>
                <w:b/>
                <w:color w:val="000000"/>
                <w:sz w:val="24"/>
              </w:rPr>
            </w:pPr>
            <w:r w:rsidRPr="00652938">
              <w:rPr>
                <w:color w:val="000000"/>
                <w:sz w:val="24"/>
              </w:rPr>
              <w:t>$71.17</w:t>
            </w:r>
          </w:p>
        </w:tc>
        <w:tc>
          <w:tcPr>
            <w:tcW w:w="1172" w:type="dxa"/>
            <w:tcBorders>
              <w:top w:val="single" w:color="auto" w:sz="4" w:space="0"/>
              <w:bottom w:val="single" w:color="auto" w:sz="4" w:space="0"/>
            </w:tcBorders>
            <w:shd w:val="clear" w:color="auto" w:fill="auto"/>
          </w:tcPr>
          <w:p w:rsidRPr="00652938" w:rsidR="004F33A2" w:rsidP="0011400E" w:rsidRDefault="004F33A2" w14:paraId="36FEF568" w14:textId="5C2B5DF4">
            <w:pPr>
              <w:widowControl/>
              <w:autoSpaceDE/>
              <w:autoSpaceDN/>
              <w:adjustRightInd/>
              <w:spacing w:line="276" w:lineRule="auto"/>
              <w:rPr>
                <w:b/>
                <w:color w:val="000000"/>
                <w:sz w:val="24"/>
              </w:rPr>
            </w:pPr>
            <w:r w:rsidRPr="00652938">
              <w:rPr>
                <w:color w:val="000000"/>
                <w:sz w:val="24"/>
              </w:rPr>
              <w:t>$33.45</w:t>
            </w:r>
          </w:p>
        </w:tc>
        <w:tc>
          <w:tcPr>
            <w:tcW w:w="1170" w:type="dxa"/>
            <w:tcBorders>
              <w:top w:val="single" w:color="auto" w:sz="4" w:space="0"/>
              <w:bottom w:val="single" w:color="auto" w:sz="4" w:space="0"/>
            </w:tcBorders>
            <w:shd w:val="clear" w:color="auto" w:fill="auto"/>
          </w:tcPr>
          <w:p w:rsidRPr="00652938" w:rsidR="004F33A2" w:rsidP="0011400E" w:rsidRDefault="004F33A2" w14:paraId="6E195EA3" w14:textId="06C0350F">
            <w:pPr>
              <w:widowControl/>
              <w:autoSpaceDE/>
              <w:autoSpaceDN/>
              <w:adjustRightInd/>
              <w:spacing w:line="276" w:lineRule="auto"/>
              <w:rPr>
                <w:b/>
                <w:color w:val="000000"/>
                <w:sz w:val="24"/>
              </w:rPr>
            </w:pPr>
            <w:r w:rsidRPr="00652938">
              <w:rPr>
                <w:color w:val="000000"/>
                <w:sz w:val="24"/>
              </w:rPr>
              <w:t>$104.62</w:t>
            </w:r>
          </w:p>
        </w:tc>
        <w:tc>
          <w:tcPr>
            <w:tcW w:w="1080" w:type="dxa"/>
            <w:tcBorders>
              <w:top w:val="single" w:color="auto" w:sz="4" w:space="0"/>
              <w:bottom w:val="single" w:color="auto" w:sz="4" w:space="0"/>
            </w:tcBorders>
            <w:shd w:val="clear" w:color="auto" w:fill="auto"/>
          </w:tcPr>
          <w:p w:rsidRPr="00652938" w:rsidR="004F33A2" w:rsidP="004F33A2" w:rsidRDefault="004F33A2" w14:paraId="5E507478" w14:textId="66B8B9FF">
            <w:pPr>
              <w:widowControl/>
              <w:autoSpaceDE/>
              <w:autoSpaceDN/>
              <w:adjustRightInd/>
              <w:spacing w:line="276" w:lineRule="auto"/>
              <w:jc w:val="center"/>
              <w:rPr>
                <w:b/>
                <w:color w:val="000000"/>
                <w:sz w:val="24"/>
              </w:rPr>
            </w:pPr>
            <w:r w:rsidRPr="00652938">
              <w:rPr>
                <w:color w:val="000000"/>
                <w:sz w:val="24"/>
              </w:rPr>
              <w:t>2.20</w:t>
            </w:r>
          </w:p>
        </w:tc>
        <w:tc>
          <w:tcPr>
            <w:tcW w:w="1080" w:type="dxa"/>
            <w:tcBorders>
              <w:top w:val="single" w:color="auto" w:sz="4" w:space="0"/>
              <w:bottom w:val="single" w:color="auto" w:sz="4" w:space="0"/>
            </w:tcBorders>
            <w:shd w:val="clear" w:color="auto" w:fill="auto"/>
            <w:vAlign w:val="center"/>
          </w:tcPr>
          <w:p w:rsidRPr="00652938" w:rsidR="004F33A2" w:rsidP="004F33A2" w:rsidRDefault="004F33A2" w14:paraId="4F91171B" w14:textId="42B9F47F">
            <w:pPr>
              <w:widowControl/>
              <w:autoSpaceDE/>
              <w:autoSpaceDN/>
              <w:adjustRightInd/>
              <w:spacing w:line="276" w:lineRule="auto"/>
              <w:jc w:val="center"/>
              <w:rPr>
                <w:b/>
                <w:color w:val="000000"/>
                <w:sz w:val="24"/>
              </w:rPr>
            </w:pPr>
            <w:r w:rsidRPr="00652938">
              <w:rPr>
                <w:bCs/>
                <w:color w:val="000000"/>
                <w:sz w:val="24"/>
              </w:rPr>
              <w:t>$230.16</w:t>
            </w:r>
          </w:p>
        </w:tc>
        <w:tc>
          <w:tcPr>
            <w:tcW w:w="1260" w:type="dxa"/>
            <w:tcBorders>
              <w:top w:val="single" w:color="auto" w:sz="4" w:space="0"/>
              <w:bottom w:val="single" w:color="auto" w:sz="4" w:space="0"/>
            </w:tcBorders>
            <w:shd w:val="clear" w:color="auto" w:fill="auto"/>
            <w:vAlign w:val="center"/>
          </w:tcPr>
          <w:p w:rsidRPr="00652938" w:rsidR="004F33A2" w:rsidP="00444D72" w:rsidRDefault="004F33A2" w14:paraId="4C69B722" w14:textId="3BF163CB">
            <w:pPr>
              <w:widowControl/>
              <w:autoSpaceDE/>
              <w:autoSpaceDN/>
              <w:adjustRightInd/>
              <w:spacing w:line="276" w:lineRule="auto"/>
              <w:jc w:val="center"/>
              <w:rPr>
                <w:b/>
                <w:color w:val="000000"/>
                <w:sz w:val="24"/>
              </w:rPr>
            </w:pPr>
            <w:r w:rsidRPr="00652938">
              <w:rPr>
                <w:color w:val="000000"/>
                <w:sz w:val="24"/>
              </w:rPr>
              <w:t>$</w:t>
            </w:r>
            <w:r w:rsidRPr="00652938" w:rsidR="00821871">
              <w:rPr>
                <w:color w:val="000000"/>
                <w:sz w:val="24"/>
              </w:rPr>
              <w:t>46,953</w:t>
            </w:r>
            <w:r w:rsidRPr="00652938">
              <w:rPr>
                <w:color w:val="000000"/>
                <w:sz w:val="24"/>
                <w:vertAlign w:val="superscript"/>
              </w:rPr>
              <w:t>[</w:t>
            </w:r>
            <w:r w:rsidRPr="00652938" w:rsidR="00444D72">
              <w:rPr>
                <w:color w:val="000000"/>
                <w:sz w:val="24"/>
                <w:vertAlign w:val="superscript"/>
              </w:rPr>
              <w:t>d</w:t>
            </w:r>
            <w:r w:rsidRPr="00652938">
              <w:rPr>
                <w:color w:val="000000"/>
                <w:sz w:val="24"/>
                <w:vertAlign w:val="superscript"/>
              </w:rPr>
              <w:t>]</w:t>
            </w:r>
          </w:p>
        </w:tc>
      </w:tr>
      <w:tr w:rsidRPr="008C718D" w:rsidR="004F33A2" w:rsidTr="00444D72" w14:paraId="112E5347" w14:textId="77777777">
        <w:trPr>
          <w:jc w:val="center"/>
        </w:trPr>
        <w:tc>
          <w:tcPr>
            <w:tcW w:w="9705" w:type="dxa"/>
            <w:gridSpan w:val="9"/>
            <w:tcBorders>
              <w:top w:val="single" w:color="auto" w:sz="4" w:space="0"/>
              <w:bottom w:val="single" w:color="auto" w:sz="4" w:space="0"/>
            </w:tcBorders>
            <w:shd w:val="clear" w:color="auto" w:fill="DDD9C3" w:themeFill="background2" w:themeFillShade="E6"/>
            <w:tcMar>
              <w:left w:w="29" w:type="dxa"/>
              <w:right w:w="29" w:type="dxa"/>
            </w:tcMar>
            <w:vAlign w:val="center"/>
          </w:tcPr>
          <w:p w:rsidRPr="00652938" w:rsidR="004F33A2" w:rsidP="00444D72" w:rsidRDefault="004F33A2" w14:paraId="26FE9F34" w14:textId="24F8835F">
            <w:pPr>
              <w:widowControl/>
              <w:autoSpaceDE/>
              <w:autoSpaceDN/>
              <w:adjustRightInd/>
              <w:spacing w:line="276" w:lineRule="auto"/>
              <w:rPr>
                <w:b/>
                <w:color w:val="000000"/>
                <w:sz w:val="24"/>
              </w:rPr>
            </w:pPr>
            <w:r w:rsidRPr="00652938">
              <w:rPr>
                <w:b/>
                <w:bCs/>
                <w:sz w:val="24"/>
              </w:rPr>
              <w:lastRenderedPageBreak/>
              <w:t>Group 4:</w:t>
            </w:r>
            <w:r w:rsidRPr="00652938">
              <w:rPr>
                <w:sz w:val="24"/>
              </w:rPr>
              <w:t xml:space="preserve"> Facilities </w:t>
            </w:r>
            <w:r w:rsidRPr="00652938">
              <w:rPr>
                <w:b/>
                <w:bCs/>
                <w:sz w:val="24"/>
              </w:rPr>
              <w:t xml:space="preserve">outside U.S. </w:t>
            </w:r>
            <w:r w:rsidRPr="00652938">
              <w:rPr>
                <w:b/>
                <w:bCs/>
                <w:i/>
                <w:iCs/>
                <w:sz w:val="24"/>
              </w:rPr>
              <w:t>not</w:t>
            </w:r>
            <w:r w:rsidRPr="00652938">
              <w:rPr>
                <w:b/>
                <w:bCs/>
                <w:sz w:val="24"/>
              </w:rPr>
              <w:t xml:space="preserve"> engaged</w:t>
            </w:r>
            <w:r w:rsidRPr="00652938">
              <w:rPr>
                <w:sz w:val="24"/>
              </w:rPr>
              <w:t xml:space="preserve"> in manufacturing but engaged in other forms of drug processing </w:t>
            </w:r>
            <w:r w:rsidRPr="00652938" w:rsidR="0021355D">
              <w:rPr>
                <w:sz w:val="24"/>
              </w:rPr>
              <w:t>or packing</w:t>
            </w:r>
            <w:r w:rsidRPr="00652938" w:rsidR="00D81BF2">
              <w:rPr>
                <w:sz w:val="24"/>
              </w:rPr>
              <w:t xml:space="preserve"> (e.g., labeling, repacking, etc.)</w:t>
            </w:r>
          </w:p>
        </w:tc>
      </w:tr>
      <w:tr w:rsidRPr="008C718D" w:rsidR="004F33A2" w:rsidTr="00652938" w14:paraId="1E91D48A" w14:textId="77777777">
        <w:trPr>
          <w:jc w:val="center"/>
        </w:trPr>
        <w:tc>
          <w:tcPr>
            <w:tcW w:w="2955" w:type="dxa"/>
            <w:tcBorders>
              <w:top w:val="single" w:color="auto" w:sz="4" w:space="0"/>
            </w:tcBorders>
            <w:shd w:val="clear" w:color="auto" w:fill="auto"/>
            <w:tcMar>
              <w:left w:w="29" w:type="dxa"/>
              <w:right w:w="29" w:type="dxa"/>
            </w:tcMar>
            <w:vAlign w:val="bottom"/>
          </w:tcPr>
          <w:p w:rsidRPr="00652938" w:rsidR="004F33A2" w:rsidP="004F33A2" w:rsidRDefault="004F33A2" w14:paraId="41321379" w14:textId="0CDF0EF4">
            <w:pPr>
              <w:widowControl/>
              <w:autoSpaceDE/>
              <w:autoSpaceDN/>
              <w:adjustRightInd/>
              <w:spacing w:line="276" w:lineRule="auto"/>
              <w:rPr>
                <w:b/>
                <w:color w:val="000000"/>
                <w:sz w:val="24"/>
              </w:rPr>
            </w:pPr>
            <w:r w:rsidRPr="00652938">
              <w:rPr>
                <w:color w:val="000000"/>
                <w:sz w:val="24"/>
              </w:rPr>
              <w:t>General &amp; Operations Managers</w:t>
            </w:r>
          </w:p>
        </w:tc>
        <w:tc>
          <w:tcPr>
            <w:tcW w:w="964" w:type="dxa"/>
            <w:tcBorders>
              <w:top w:val="single" w:color="auto" w:sz="4" w:space="0"/>
            </w:tcBorders>
            <w:shd w:val="clear" w:color="auto" w:fill="auto"/>
            <w:vAlign w:val="center"/>
          </w:tcPr>
          <w:p w:rsidRPr="00652938" w:rsidR="004F33A2" w:rsidP="004F33A2" w:rsidRDefault="004F33A2" w14:paraId="3921D070" w14:textId="33E7EEE2">
            <w:pPr>
              <w:widowControl/>
              <w:autoSpaceDE/>
              <w:autoSpaceDN/>
              <w:adjustRightInd/>
              <w:spacing w:line="276" w:lineRule="auto"/>
              <w:jc w:val="center"/>
              <w:rPr>
                <w:b/>
                <w:color w:val="000000"/>
                <w:sz w:val="24"/>
              </w:rPr>
            </w:pPr>
            <w:r w:rsidRPr="00652938">
              <w:rPr>
                <w:color w:val="000000"/>
                <w:sz w:val="24"/>
              </w:rPr>
              <w:t>$68.05</w:t>
            </w:r>
          </w:p>
        </w:tc>
        <w:tc>
          <w:tcPr>
            <w:tcW w:w="1196" w:type="dxa"/>
            <w:gridSpan w:val="3"/>
            <w:tcBorders>
              <w:top w:val="single" w:color="auto" w:sz="4" w:space="0"/>
            </w:tcBorders>
            <w:shd w:val="clear" w:color="auto" w:fill="auto"/>
            <w:vAlign w:val="center"/>
          </w:tcPr>
          <w:p w:rsidRPr="00652938" w:rsidR="004F33A2" w:rsidP="004F33A2" w:rsidRDefault="004F33A2" w14:paraId="61463D77" w14:textId="63C413A4">
            <w:pPr>
              <w:widowControl/>
              <w:autoSpaceDE/>
              <w:autoSpaceDN/>
              <w:adjustRightInd/>
              <w:spacing w:line="276" w:lineRule="auto"/>
              <w:jc w:val="center"/>
              <w:rPr>
                <w:b/>
                <w:color w:val="000000"/>
                <w:sz w:val="24"/>
              </w:rPr>
            </w:pPr>
            <w:r w:rsidRPr="00652938">
              <w:rPr>
                <w:color w:val="000000"/>
                <w:sz w:val="24"/>
              </w:rPr>
              <w:t>$31.98</w:t>
            </w:r>
          </w:p>
        </w:tc>
        <w:tc>
          <w:tcPr>
            <w:tcW w:w="1170" w:type="dxa"/>
            <w:tcBorders>
              <w:top w:val="single" w:color="auto" w:sz="4" w:space="0"/>
            </w:tcBorders>
            <w:shd w:val="clear" w:color="auto" w:fill="auto"/>
            <w:vAlign w:val="center"/>
          </w:tcPr>
          <w:p w:rsidRPr="00652938" w:rsidR="004F33A2" w:rsidP="004F33A2" w:rsidRDefault="004F33A2" w14:paraId="5EB0E3D5" w14:textId="7432559D">
            <w:pPr>
              <w:widowControl/>
              <w:autoSpaceDE/>
              <w:autoSpaceDN/>
              <w:adjustRightInd/>
              <w:spacing w:line="276" w:lineRule="auto"/>
              <w:jc w:val="center"/>
              <w:rPr>
                <w:b/>
                <w:color w:val="000000"/>
                <w:sz w:val="24"/>
              </w:rPr>
            </w:pPr>
            <w:r w:rsidRPr="00652938">
              <w:rPr>
                <w:color w:val="000000"/>
                <w:sz w:val="24"/>
              </w:rPr>
              <w:t>$100.03</w:t>
            </w:r>
          </w:p>
        </w:tc>
        <w:tc>
          <w:tcPr>
            <w:tcW w:w="1080" w:type="dxa"/>
            <w:tcBorders>
              <w:top w:val="single" w:color="auto" w:sz="4" w:space="0"/>
            </w:tcBorders>
            <w:shd w:val="clear" w:color="auto" w:fill="auto"/>
            <w:vAlign w:val="center"/>
          </w:tcPr>
          <w:p w:rsidRPr="00652938" w:rsidR="004F33A2" w:rsidP="004F33A2" w:rsidRDefault="004F33A2" w14:paraId="432147E8" w14:textId="0109810F">
            <w:pPr>
              <w:widowControl/>
              <w:autoSpaceDE/>
              <w:autoSpaceDN/>
              <w:adjustRightInd/>
              <w:spacing w:line="276" w:lineRule="auto"/>
              <w:jc w:val="center"/>
              <w:rPr>
                <w:color w:val="000000"/>
                <w:sz w:val="24"/>
              </w:rPr>
            </w:pPr>
            <w:r w:rsidRPr="00652938">
              <w:rPr>
                <w:color w:val="000000"/>
                <w:sz w:val="24"/>
              </w:rPr>
              <w:t>1.50</w:t>
            </w:r>
          </w:p>
        </w:tc>
        <w:tc>
          <w:tcPr>
            <w:tcW w:w="1080" w:type="dxa"/>
            <w:tcBorders>
              <w:top w:val="single" w:color="auto" w:sz="4" w:space="0"/>
            </w:tcBorders>
            <w:shd w:val="clear" w:color="auto" w:fill="auto"/>
            <w:vAlign w:val="center"/>
          </w:tcPr>
          <w:p w:rsidRPr="00652938" w:rsidR="004F33A2" w:rsidP="004F33A2" w:rsidRDefault="004F33A2" w14:paraId="6ED06DD7" w14:textId="72E591F6">
            <w:pPr>
              <w:widowControl/>
              <w:autoSpaceDE/>
              <w:autoSpaceDN/>
              <w:adjustRightInd/>
              <w:spacing w:line="276" w:lineRule="auto"/>
              <w:jc w:val="center"/>
              <w:rPr>
                <w:color w:val="000000"/>
                <w:sz w:val="24"/>
              </w:rPr>
            </w:pPr>
            <w:r w:rsidRPr="00652938">
              <w:rPr>
                <w:color w:val="000000"/>
                <w:sz w:val="24"/>
              </w:rPr>
              <w:t>$150.05</w:t>
            </w:r>
          </w:p>
        </w:tc>
        <w:tc>
          <w:tcPr>
            <w:tcW w:w="1260" w:type="dxa"/>
            <w:tcBorders>
              <w:top w:val="single" w:color="auto" w:sz="4" w:space="0"/>
            </w:tcBorders>
            <w:shd w:val="clear" w:color="auto" w:fill="auto"/>
            <w:vAlign w:val="center"/>
          </w:tcPr>
          <w:p w:rsidRPr="00652938" w:rsidR="004F33A2" w:rsidP="00444D72" w:rsidRDefault="004F33A2" w14:paraId="1AED5991" w14:textId="368E2B5B">
            <w:pPr>
              <w:widowControl/>
              <w:autoSpaceDE/>
              <w:autoSpaceDN/>
              <w:adjustRightInd/>
              <w:spacing w:line="276" w:lineRule="auto"/>
              <w:jc w:val="center"/>
              <w:rPr>
                <w:color w:val="000000"/>
                <w:sz w:val="24"/>
              </w:rPr>
            </w:pPr>
            <w:r w:rsidRPr="00652938">
              <w:rPr>
                <w:color w:val="000000"/>
                <w:sz w:val="24"/>
              </w:rPr>
              <w:t>$</w:t>
            </w:r>
            <w:r w:rsidRPr="00652938" w:rsidR="00821871">
              <w:rPr>
                <w:color w:val="000000"/>
                <w:sz w:val="24"/>
              </w:rPr>
              <w:t>19,507</w:t>
            </w:r>
            <w:r w:rsidRPr="00652938">
              <w:rPr>
                <w:color w:val="000000"/>
                <w:sz w:val="24"/>
                <w:vertAlign w:val="superscript"/>
              </w:rPr>
              <w:t>[</w:t>
            </w:r>
            <w:r w:rsidRPr="00652938" w:rsidR="00444D72">
              <w:rPr>
                <w:color w:val="000000"/>
                <w:sz w:val="24"/>
                <w:vertAlign w:val="superscript"/>
              </w:rPr>
              <w:t>e</w:t>
            </w:r>
            <w:r w:rsidRPr="00652938">
              <w:rPr>
                <w:color w:val="000000"/>
                <w:sz w:val="24"/>
                <w:vertAlign w:val="superscript"/>
              </w:rPr>
              <w:t>]</w:t>
            </w:r>
          </w:p>
        </w:tc>
      </w:tr>
      <w:tr w:rsidRPr="008C718D" w:rsidR="004F33A2" w:rsidTr="00652938" w14:paraId="1E1958A8" w14:textId="77777777">
        <w:trPr>
          <w:jc w:val="center"/>
        </w:trPr>
        <w:tc>
          <w:tcPr>
            <w:tcW w:w="2955" w:type="dxa"/>
            <w:shd w:val="clear" w:color="auto" w:fill="auto"/>
            <w:tcMar>
              <w:left w:w="29" w:type="dxa"/>
              <w:right w:w="29" w:type="dxa"/>
            </w:tcMar>
            <w:vAlign w:val="bottom"/>
          </w:tcPr>
          <w:p w:rsidRPr="00652938" w:rsidR="004F33A2" w:rsidP="004F33A2" w:rsidRDefault="004F33A2" w14:paraId="756D9D5F" w14:textId="644D552B">
            <w:pPr>
              <w:widowControl/>
              <w:autoSpaceDE/>
              <w:autoSpaceDN/>
              <w:adjustRightInd/>
              <w:spacing w:line="276" w:lineRule="auto"/>
              <w:rPr>
                <w:b/>
                <w:color w:val="000000"/>
                <w:sz w:val="24"/>
              </w:rPr>
            </w:pPr>
            <w:r w:rsidRPr="00652938">
              <w:rPr>
                <w:color w:val="000000"/>
                <w:sz w:val="24"/>
              </w:rPr>
              <w:t>Senior executives</w:t>
            </w:r>
          </w:p>
        </w:tc>
        <w:tc>
          <w:tcPr>
            <w:tcW w:w="964" w:type="dxa"/>
            <w:shd w:val="clear" w:color="auto" w:fill="auto"/>
            <w:vAlign w:val="center"/>
          </w:tcPr>
          <w:p w:rsidRPr="00652938" w:rsidR="004F33A2" w:rsidP="004F33A2" w:rsidRDefault="004F33A2" w14:paraId="093B2F04" w14:textId="4C991074">
            <w:pPr>
              <w:widowControl/>
              <w:autoSpaceDE/>
              <w:autoSpaceDN/>
              <w:adjustRightInd/>
              <w:spacing w:line="276" w:lineRule="auto"/>
              <w:jc w:val="center"/>
              <w:rPr>
                <w:b/>
                <w:color w:val="000000"/>
                <w:sz w:val="24"/>
              </w:rPr>
            </w:pPr>
            <w:r w:rsidRPr="00652938">
              <w:rPr>
                <w:color w:val="000000"/>
                <w:sz w:val="24"/>
              </w:rPr>
              <w:t>$71.17</w:t>
            </w:r>
          </w:p>
        </w:tc>
        <w:tc>
          <w:tcPr>
            <w:tcW w:w="1196" w:type="dxa"/>
            <w:gridSpan w:val="3"/>
            <w:shd w:val="clear" w:color="auto" w:fill="auto"/>
          </w:tcPr>
          <w:p w:rsidRPr="00652938" w:rsidR="004F33A2" w:rsidP="004F33A2" w:rsidRDefault="004F33A2" w14:paraId="3E875657" w14:textId="271922D6">
            <w:pPr>
              <w:widowControl/>
              <w:autoSpaceDE/>
              <w:autoSpaceDN/>
              <w:adjustRightInd/>
              <w:spacing w:line="276" w:lineRule="auto"/>
              <w:jc w:val="center"/>
              <w:rPr>
                <w:b/>
                <w:color w:val="000000"/>
                <w:sz w:val="24"/>
              </w:rPr>
            </w:pPr>
            <w:r w:rsidRPr="00652938">
              <w:rPr>
                <w:color w:val="000000"/>
                <w:sz w:val="24"/>
              </w:rPr>
              <w:t>$33.45</w:t>
            </w:r>
          </w:p>
        </w:tc>
        <w:tc>
          <w:tcPr>
            <w:tcW w:w="1170" w:type="dxa"/>
            <w:shd w:val="clear" w:color="auto" w:fill="auto"/>
          </w:tcPr>
          <w:p w:rsidRPr="00652938" w:rsidR="004F33A2" w:rsidP="004F33A2" w:rsidRDefault="004F33A2" w14:paraId="69080FAF" w14:textId="0A5A266A">
            <w:pPr>
              <w:widowControl/>
              <w:autoSpaceDE/>
              <w:autoSpaceDN/>
              <w:adjustRightInd/>
              <w:spacing w:line="276" w:lineRule="auto"/>
              <w:jc w:val="center"/>
              <w:rPr>
                <w:b/>
                <w:color w:val="000000"/>
                <w:sz w:val="24"/>
              </w:rPr>
            </w:pPr>
            <w:r w:rsidRPr="00652938">
              <w:rPr>
                <w:color w:val="000000"/>
                <w:sz w:val="24"/>
              </w:rPr>
              <w:t>$104.62</w:t>
            </w:r>
          </w:p>
        </w:tc>
        <w:tc>
          <w:tcPr>
            <w:tcW w:w="1080" w:type="dxa"/>
            <w:shd w:val="clear" w:color="auto" w:fill="auto"/>
          </w:tcPr>
          <w:p w:rsidRPr="00652938" w:rsidR="004F33A2" w:rsidP="004F33A2" w:rsidRDefault="004F33A2" w14:paraId="754EA2BC" w14:textId="64A8BCAB">
            <w:pPr>
              <w:widowControl/>
              <w:autoSpaceDE/>
              <w:autoSpaceDN/>
              <w:adjustRightInd/>
              <w:spacing w:line="276" w:lineRule="auto"/>
              <w:jc w:val="center"/>
              <w:rPr>
                <w:color w:val="000000"/>
                <w:sz w:val="24"/>
              </w:rPr>
            </w:pPr>
            <w:r w:rsidRPr="00652938">
              <w:rPr>
                <w:color w:val="000000"/>
                <w:sz w:val="24"/>
              </w:rPr>
              <w:t>1.50</w:t>
            </w:r>
          </w:p>
        </w:tc>
        <w:tc>
          <w:tcPr>
            <w:tcW w:w="1080" w:type="dxa"/>
            <w:shd w:val="clear" w:color="auto" w:fill="auto"/>
          </w:tcPr>
          <w:p w:rsidRPr="00652938" w:rsidR="004F33A2" w:rsidP="004F33A2" w:rsidRDefault="004F33A2" w14:paraId="64C5F14B" w14:textId="6C1D84CC">
            <w:pPr>
              <w:widowControl/>
              <w:autoSpaceDE/>
              <w:autoSpaceDN/>
              <w:adjustRightInd/>
              <w:spacing w:line="276" w:lineRule="auto"/>
              <w:jc w:val="center"/>
              <w:rPr>
                <w:color w:val="000000"/>
                <w:sz w:val="24"/>
              </w:rPr>
            </w:pPr>
            <w:r w:rsidRPr="00652938">
              <w:rPr>
                <w:color w:val="000000"/>
                <w:sz w:val="24"/>
              </w:rPr>
              <w:t>$156.93</w:t>
            </w:r>
          </w:p>
        </w:tc>
        <w:tc>
          <w:tcPr>
            <w:tcW w:w="1260" w:type="dxa"/>
            <w:shd w:val="clear" w:color="auto" w:fill="auto"/>
            <w:vAlign w:val="center"/>
          </w:tcPr>
          <w:p w:rsidRPr="00652938" w:rsidR="004F33A2" w:rsidP="00444D72" w:rsidRDefault="004F33A2" w14:paraId="18B2CAC3" w14:textId="07220CEA">
            <w:pPr>
              <w:widowControl/>
              <w:autoSpaceDE/>
              <w:autoSpaceDN/>
              <w:adjustRightInd/>
              <w:spacing w:line="276" w:lineRule="auto"/>
              <w:jc w:val="center"/>
              <w:rPr>
                <w:color w:val="000000"/>
                <w:sz w:val="24"/>
              </w:rPr>
            </w:pPr>
            <w:r w:rsidRPr="00652938">
              <w:rPr>
                <w:color w:val="000000"/>
                <w:sz w:val="24"/>
              </w:rPr>
              <w:t>$</w:t>
            </w:r>
            <w:r w:rsidRPr="00652938" w:rsidR="00821871">
              <w:rPr>
                <w:color w:val="000000"/>
                <w:sz w:val="24"/>
              </w:rPr>
              <w:t>20,558</w:t>
            </w:r>
            <w:r w:rsidRPr="00652938">
              <w:rPr>
                <w:color w:val="000000"/>
                <w:sz w:val="24"/>
                <w:vertAlign w:val="superscript"/>
              </w:rPr>
              <w:t>[</w:t>
            </w:r>
            <w:r w:rsidRPr="00652938" w:rsidR="00444D72">
              <w:rPr>
                <w:color w:val="000000"/>
                <w:sz w:val="24"/>
                <w:vertAlign w:val="superscript"/>
              </w:rPr>
              <w:t>e</w:t>
            </w:r>
            <w:r w:rsidRPr="00652938">
              <w:rPr>
                <w:color w:val="000000"/>
                <w:sz w:val="24"/>
                <w:vertAlign w:val="superscript"/>
              </w:rPr>
              <w:t>]</w:t>
            </w:r>
          </w:p>
        </w:tc>
      </w:tr>
      <w:tr w:rsidRPr="008C718D" w:rsidR="004F33A2" w:rsidTr="00652938" w14:paraId="2155F945" w14:textId="77777777">
        <w:trPr>
          <w:jc w:val="center"/>
        </w:trPr>
        <w:tc>
          <w:tcPr>
            <w:tcW w:w="8445" w:type="dxa"/>
            <w:gridSpan w:val="8"/>
            <w:shd w:val="clear" w:color="auto" w:fill="auto"/>
            <w:tcMar>
              <w:left w:w="29" w:type="dxa"/>
              <w:right w:w="29" w:type="dxa"/>
            </w:tcMar>
            <w:vAlign w:val="center"/>
          </w:tcPr>
          <w:p w:rsidRPr="00652938" w:rsidR="004F33A2" w:rsidP="004F33A2" w:rsidRDefault="004F33A2" w14:paraId="2E3F9048" w14:textId="40563218">
            <w:pPr>
              <w:widowControl/>
              <w:autoSpaceDE/>
              <w:autoSpaceDN/>
              <w:adjustRightInd/>
              <w:spacing w:line="276" w:lineRule="auto"/>
              <w:rPr>
                <w:b/>
                <w:color w:val="000000"/>
                <w:sz w:val="24"/>
              </w:rPr>
            </w:pPr>
            <w:r w:rsidRPr="00652938">
              <w:rPr>
                <w:b/>
                <w:color w:val="000000"/>
                <w:sz w:val="24"/>
              </w:rPr>
              <w:t>Total</w:t>
            </w:r>
          </w:p>
        </w:tc>
        <w:tc>
          <w:tcPr>
            <w:tcW w:w="1260" w:type="dxa"/>
            <w:shd w:val="clear" w:color="auto" w:fill="auto"/>
            <w:tcMar>
              <w:left w:w="29" w:type="dxa"/>
              <w:right w:w="29" w:type="dxa"/>
            </w:tcMar>
          </w:tcPr>
          <w:p w:rsidRPr="00652938" w:rsidR="004F33A2" w:rsidP="00444D72" w:rsidRDefault="004F33A2" w14:paraId="578EEE3A" w14:textId="6F0C3097">
            <w:pPr>
              <w:widowControl/>
              <w:autoSpaceDE/>
              <w:autoSpaceDN/>
              <w:adjustRightInd/>
              <w:spacing w:line="276" w:lineRule="auto"/>
              <w:jc w:val="center"/>
              <w:rPr>
                <w:b/>
                <w:color w:val="000000"/>
                <w:sz w:val="24"/>
              </w:rPr>
            </w:pPr>
            <w:r w:rsidRPr="00652938">
              <w:rPr>
                <w:b/>
                <w:sz w:val="24"/>
              </w:rPr>
              <w:t>$</w:t>
            </w:r>
            <w:r w:rsidRPr="00652938" w:rsidR="00821871">
              <w:rPr>
                <w:b/>
                <w:sz w:val="24"/>
              </w:rPr>
              <w:t>201,598</w:t>
            </w:r>
          </w:p>
        </w:tc>
      </w:tr>
      <w:tr w:rsidRPr="008C718D" w:rsidR="004F33A2" w:rsidTr="00444D72" w14:paraId="0934538C" w14:textId="77777777">
        <w:trPr>
          <w:trHeight w:val="915"/>
          <w:jc w:val="center"/>
        </w:trPr>
        <w:tc>
          <w:tcPr>
            <w:tcW w:w="9705" w:type="dxa"/>
            <w:gridSpan w:val="9"/>
            <w:tcBorders>
              <w:top w:val="single" w:color="auto" w:sz="12" w:space="0"/>
              <w:left w:val="nil"/>
              <w:bottom w:val="nil"/>
              <w:right w:val="nil"/>
            </w:tcBorders>
            <w:shd w:val="clear" w:color="auto" w:fill="auto"/>
            <w:tcMar>
              <w:left w:w="29" w:type="dxa"/>
              <w:right w:w="29" w:type="dxa"/>
            </w:tcMar>
            <w:vAlign w:val="center"/>
          </w:tcPr>
          <w:p w:rsidRPr="00652938" w:rsidR="004F33A2" w:rsidP="004F33A2" w:rsidRDefault="004F33A2" w14:paraId="7A488981" w14:textId="77777777">
            <w:pPr>
              <w:widowControl/>
              <w:autoSpaceDE/>
              <w:autoSpaceDN/>
              <w:adjustRightInd/>
              <w:spacing w:line="276" w:lineRule="auto"/>
              <w:rPr>
                <w:sz w:val="24"/>
              </w:rPr>
            </w:pPr>
            <w:r w:rsidRPr="00652938">
              <w:rPr>
                <w:sz w:val="24"/>
              </w:rPr>
              <w:t>Sources: BLS 2018a; BLS, 2019</w:t>
            </w:r>
          </w:p>
          <w:p w:rsidRPr="00652938" w:rsidR="004F33A2" w:rsidP="004F33A2" w:rsidRDefault="004F33A2" w14:paraId="6B6DF28E" w14:textId="43D6CC4B">
            <w:pPr>
              <w:widowControl/>
              <w:autoSpaceDE/>
              <w:autoSpaceDN/>
              <w:adjustRightInd/>
              <w:spacing w:line="276" w:lineRule="auto"/>
              <w:rPr>
                <w:bCs/>
                <w:color w:val="000000"/>
                <w:sz w:val="24"/>
              </w:rPr>
            </w:pPr>
            <w:r w:rsidRPr="00652938">
              <w:rPr>
                <w:bCs/>
                <w:color w:val="000000"/>
                <w:sz w:val="24"/>
                <w:vertAlign w:val="superscript"/>
              </w:rPr>
              <w:t>[a]</w:t>
            </w:r>
            <w:r w:rsidRPr="00652938">
              <w:rPr>
                <w:bCs/>
                <w:color w:val="000000"/>
                <w:sz w:val="24"/>
              </w:rPr>
              <w:t xml:space="preserve"> Totals may not sum and calculations may produce different results due to rounding and truncated inputs.</w:t>
            </w:r>
          </w:p>
          <w:p w:rsidRPr="00652938" w:rsidR="004F33A2" w:rsidP="004F33A2" w:rsidRDefault="004F33A2" w14:paraId="49781DF1" w14:textId="237D1E27">
            <w:pPr>
              <w:widowControl/>
              <w:autoSpaceDE/>
              <w:autoSpaceDN/>
              <w:adjustRightInd/>
              <w:spacing w:line="276" w:lineRule="auto"/>
              <w:rPr>
                <w:sz w:val="24"/>
              </w:rPr>
            </w:pPr>
            <w:r w:rsidRPr="00652938">
              <w:rPr>
                <w:sz w:val="24"/>
                <w:vertAlign w:val="superscript"/>
              </w:rPr>
              <w:t>[b]</w:t>
            </w:r>
            <w:r w:rsidRPr="00652938">
              <w:rPr>
                <w:sz w:val="24"/>
              </w:rPr>
              <w:t xml:space="preserve"> Assumes 197 Managers and 197 Executives responding for a total of </w:t>
            </w:r>
            <w:r w:rsidRPr="00652938" w:rsidR="00194DB3">
              <w:rPr>
                <w:sz w:val="24"/>
              </w:rPr>
              <w:t>394</w:t>
            </w:r>
            <w:r w:rsidRPr="00652938">
              <w:rPr>
                <w:sz w:val="24"/>
              </w:rPr>
              <w:t xml:space="preserve"> targeted drug product manufacturer respondents.</w:t>
            </w:r>
          </w:p>
          <w:p w:rsidRPr="00652938" w:rsidR="004F33A2" w:rsidP="004F33A2" w:rsidRDefault="004F33A2" w14:paraId="23298564" w14:textId="3E718921">
            <w:pPr>
              <w:widowControl/>
              <w:autoSpaceDE/>
              <w:autoSpaceDN/>
              <w:adjustRightInd/>
              <w:spacing w:line="276" w:lineRule="auto"/>
              <w:rPr>
                <w:sz w:val="24"/>
              </w:rPr>
            </w:pPr>
            <w:r w:rsidRPr="00652938">
              <w:rPr>
                <w:sz w:val="24"/>
                <w:vertAlign w:val="superscript"/>
              </w:rPr>
              <w:t>[c]</w:t>
            </w:r>
            <w:r w:rsidRPr="00652938">
              <w:rPr>
                <w:sz w:val="24"/>
              </w:rPr>
              <w:t xml:space="preserve"> Assumes 166 Managers and 167 Executives responding for a total of 333 targeted other drug product processors.</w:t>
            </w:r>
          </w:p>
          <w:p w:rsidRPr="00652938" w:rsidR="004F33A2" w:rsidP="004F33A2" w:rsidRDefault="004F33A2" w14:paraId="40DEFC0B" w14:textId="41277B5A">
            <w:pPr>
              <w:widowControl/>
              <w:autoSpaceDE/>
              <w:autoSpaceDN/>
              <w:adjustRightInd/>
              <w:spacing w:line="276" w:lineRule="auto"/>
              <w:rPr>
                <w:sz w:val="24"/>
              </w:rPr>
            </w:pPr>
            <w:r w:rsidRPr="00652938">
              <w:rPr>
                <w:sz w:val="24"/>
                <w:vertAlign w:val="superscript"/>
              </w:rPr>
              <w:t>[d]</w:t>
            </w:r>
            <w:r w:rsidRPr="00652938">
              <w:rPr>
                <w:sz w:val="24"/>
              </w:rPr>
              <w:t xml:space="preserve"> Assumes 20</w:t>
            </w:r>
            <w:r w:rsidRPr="00652938" w:rsidR="00821871">
              <w:rPr>
                <w:sz w:val="24"/>
              </w:rPr>
              <w:t>3</w:t>
            </w:r>
            <w:r w:rsidRPr="00652938">
              <w:rPr>
                <w:sz w:val="24"/>
              </w:rPr>
              <w:t xml:space="preserve"> Managers and 20</w:t>
            </w:r>
            <w:r w:rsidRPr="00652938" w:rsidR="00821871">
              <w:rPr>
                <w:sz w:val="24"/>
              </w:rPr>
              <w:t>4</w:t>
            </w:r>
            <w:r w:rsidRPr="00652938">
              <w:rPr>
                <w:sz w:val="24"/>
              </w:rPr>
              <w:t xml:space="preserve"> Executives responding for a total of 407 targeted drug product manufacturer respondents.</w:t>
            </w:r>
          </w:p>
          <w:p w:rsidRPr="00652938" w:rsidR="004F33A2" w:rsidP="004F33A2" w:rsidRDefault="004F33A2" w14:paraId="45781547" w14:textId="30EF35F5">
            <w:pPr>
              <w:widowControl/>
              <w:autoSpaceDE/>
              <w:autoSpaceDN/>
              <w:adjustRightInd/>
              <w:spacing w:line="276" w:lineRule="auto"/>
              <w:rPr>
                <w:sz w:val="24"/>
              </w:rPr>
            </w:pPr>
            <w:r w:rsidRPr="00652938">
              <w:rPr>
                <w:sz w:val="24"/>
                <w:vertAlign w:val="superscript"/>
              </w:rPr>
              <w:t>[e]</w:t>
            </w:r>
            <w:r w:rsidRPr="00652938">
              <w:rPr>
                <w:sz w:val="24"/>
              </w:rPr>
              <w:t xml:space="preserve"> Assumes 130 Managers and 131 Executives responding for a total of 261 targeted other drug product processors.</w:t>
            </w:r>
          </w:p>
          <w:p w:rsidRPr="00652938" w:rsidR="004F33A2" w:rsidP="004F33A2" w:rsidRDefault="004F33A2" w14:paraId="4BD017F8" w14:textId="174FCCBB">
            <w:pPr>
              <w:widowControl/>
              <w:autoSpaceDE/>
              <w:autoSpaceDN/>
              <w:adjustRightInd/>
              <w:spacing w:line="276" w:lineRule="auto"/>
              <w:rPr>
                <w:b/>
                <w:bCs/>
                <w:color w:val="000000"/>
                <w:sz w:val="24"/>
              </w:rPr>
            </w:pPr>
          </w:p>
        </w:tc>
      </w:tr>
    </w:tbl>
    <w:p w:rsidRPr="00652938" w:rsidR="0064259F" w:rsidP="00652938" w:rsidRDefault="003736E6" w14:paraId="3775DC28" w14:textId="4F1B7263">
      <w:pPr>
        <w:pStyle w:val="Heading2"/>
        <w:ind w:left="0" w:firstLine="0"/>
        <w:rPr>
          <w:rFonts w:ascii="Times New Roman" w:hAnsi="Times New Roman"/>
          <w:b w:val="0"/>
          <w:szCs w:val="24"/>
          <w:u w:val="single"/>
        </w:rPr>
      </w:pPr>
      <w:bookmarkStart w:name="_Toc410331587" w:id="71"/>
      <w:bookmarkStart w:name="_Toc410331693" w:id="72"/>
      <w:bookmarkStart w:name="_Toc429570381" w:id="73"/>
      <w:bookmarkStart w:name="_Toc431546788" w:id="74"/>
      <w:bookmarkStart w:name="CapitalCosts" w:id="75"/>
      <w:r>
        <w:rPr>
          <w:rFonts w:ascii="Times New Roman" w:hAnsi="Times New Roman"/>
          <w:b w:val="0"/>
          <w:szCs w:val="24"/>
        </w:rPr>
        <w:t>13.</w:t>
      </w:r>
      <w:r>
        <w:rPr>
          <w:rFonts w:ascii="Times New Roman" w:hAnsi="Times New Roman"/>
          <w:b w:val="0"/>
          <w:szCs w:val="24"/>
        </w:rPr>
        <w:tab/>
      </w:r>
      <w:r>
        <w:rPr>
          <w:rFonts w:ascii="Times New Roman" w:hAnsi="Times New Roman"/>
          <w:b w:val="0"/>
          <w:szCs w:val="24"/>
          <w:u w:val="single"/>
        </w:rPr>
        <w:t xml:space="preserve">Estimates of Other Total Annual Costs to Respondents/Recordkeepers or </w:t>
      </w:r>
      <w:r w:rsidRPr="00652938" w:rsidR="0064259F">
        <w:rPr>
          <w:rFonts w:ascii="Times New Roman" w:hAnsi="Times New Roman"/>
          <w:b w:val="0"/>
          <w:szCs w:val="24"/>
          <w:u w:val="single"/>
        </w:rPr>
        <w:t>Capital Costs</w:t>
      </w:r>
      <w:bookmarkEnd w:id="71"/>
      <w:bookmarkEnd w:id="72"/>
      <w:bookmarkEnd w:id="73"/>
      <w:bookmarkEnd w:id="74"/>
    </w:p>
    <w:bookmarkEnd w:id="75"/>
    <w:p w:rsidRPr="00652938" w:rsidR="0064259F" w:rsidP="00F26611" w:rsidRDefault="00C64B37" w14:paraId="3F8BAA25" w14:textId="606B41DD">
      <w:pPr>
        <w:pStyle w:val="BodyTextFirstIndent"/>
        <w:ind w:firstLine="0"/>
        <w:rPr>
          <w:sz w:val="24"/>
          <w:szCs w:val="24"/>
        </w:rPr>
      </w:pPr>
      <w:r w:rsidRPr="00652938">
        <w:rPr>
          <w:sz w:val="24"/>
          <w:szCs w:val="24"/>
        </w:rPr>
        <w:t xml:space="preserve">There </w:t>
      </w:r>
      <w:r w:rsidRPr="00652938" w:rsidR="00414A31">
        <w:rPr>
          <w:sz w:val="24"/>
          <w:szCs w:val="24"/>
        </w:rPr>
        <w:t>are no</w:t>
      </w:r>
      <w:r w:rsidRPr="00652938" w:rsidR="000F5F4B">
        <w:rPr>
          <w:sz w:val="24"/>
          <w:szCs w:val="24"/>
        </w:rPr>
        <w:t xml:space="preserve"> </w:t>
      </w:r>
      <w:r w:rsidRPr="00652938">
        <w:rPr>
          <w:sz w:val="24"/>
          <w:szCs w:val="24"/>
        </w:rPr>
        <w:t>capital</w:t>
      </w:r>
      <w:r w:rsidR="003736E6">
        <w:rPr>
          <w:sz w:val="24"/>
          <w:szCs w:val="24"/>
        </w:rPr>
        <w:t>, start-up, operating or maintenance costs associated with this information collection.</w:t>
      </w:r>
    </w:p>
    <w:p w:rsidRPr="00652938" w:rsidR="0064259F" w:rsidP="00652938" w:rsidRDefault="003736E6" w14:paraId="6C0B2F72" w14:textId="457B459F">
      <w:pPr>
        <w:pStyle w:val="Heading2"/>
        <w:ind w:left="0" w:firstLine="0"/>
        <w:rPr>
          <w:rFonts w:ascii="Times New Roman" w:hAnsi="Times New Roman"/>
          <w:b w:val="0"/>
          <w:szCs w:val="24"/>
          <w:u w:val="single"/>
        </w:rPr>
      </w:pPr>
      <w:bookmarkStart w:name="_Toc410331588" w:id="76"/>
      <w:bookmarkStart w:name="_Toc410331694" w:id="77"/>
      <w:bookmarkStart w:name="_Toc429570382" w:id="78"/>
      <w:bookmarkStart w:name="_Toc431546789" w:id="79"/>
      <w:bookmarkStart w:name="CostToFederalGovernment" w:id="80"/>
      <w:r>
        <w:rPr>
          <w:rFonts w:ascii="Times New Roman" w:hAnsi="Times New Roman"/>
          <w:b w:val="0"/>
          <w:szCs w:val="24"/>
        </w:rPr>
        <w:t>14.</w:t>
      </w:r>
      <w:r>
        <w:rPr>
          <w:rFonts w:ascii="Times New Roman" w:hAnsi="Times New Roman"/>
          <w:b w:val="0"/>
          <w:szCs w:val="24"/>
        </w:rPr>
        <w:tab/>
      </w:r>
      <w:r w:rsidR="00C9092B">
        <w:rPr>
          <w:rFonts w:ascii="Times New Roman" w:hAnsi="Times New Roman"/>
          <w:b w:val="0"/>
          <w:szCs w:val="24"/>
          <w:u w:val="single"/>
        </w:rPr>
        <w:t xml:space="preserve">Annualized </w:t>
      </w:r>
      <w:r w:rsidRPr="00652938" w:rsidR="0064259F">
        <w:rPr>
          <w:rFonts w:ascii="Times New Roman" w:hAnsi="Times New Roman"/>
          <w:b w:val="0"/>
          <w:szCs w:val="24"/>
          <w:u w:val="single"/>
        </w:rPr>
        <w:t>Cost to</w:t>
      </w:r>
      <w:r w:rsidR="00C9092B">
        <w:rPr>
          <w:rFonts w:ascii="Times New Roman" w:hAnsi="Times New Roman"/>
          <w:b w:val="0"/>
          <w:szCs w:val="24"/>
          <w:u w:val="single"/>
        </w:rPr>
        <w:t xml:space="preserve"> the</w:t>
      </w:r>
      <w:r w:rsidRPr="00652938" w:rsidR="0064259F">
        <w:rPr>
          <w:rFonts w:ascii="Times New Roman" w:hAnsi="Times New Roman"/>
          <w:b w:val="0"/>
          <w:szCs w:val="24"/>
          <w:u w:val="single"/>
        </w:rPr>
        <w:t xml:space="preserve"> Federal Government</w:t>
      </w:r>
      <w:bookmarkEnd w:id="76"/>
      <w:bookmarkEnd w:id="77"/>
      <w:bookmarkEnd w:id="78"/>
      <w:bookmarkEnd w:id="79"/>
    </w:p>
    <w:bookmarkEnd w:id="80"/>
    <w:p w:rsidRPr="00652938" w:rsidR="00C86253" w:rsidP="00652938" w:rsidRDefault="0064259F" w14:paraId="042818BC" w14:textId="0614736B">
      <w:pPr>
        <w:pStyle w:val="BodyTextFirstIndent"/>
        <w:ind w:firstLine="0"/>
        <w:rPr>
          <w:b/>
          <w:bCs/>
          <w:sz w:val="24"/>
          <w:szCs w:val="24"/>
        </w:rPr>
      </w:pPr>
      <w:r w:rsidRPr="00652938">
        <w:rPr>
          <w:sz w:val="24"/>
          <w:szCs w:val="24"/>
        </w:rPr>
        <w:t xml:space="preserve">The cost of this information collection effort to the Federal government </w:t>
      </w:r>
      <w:r w:rsidRPr="00652938" w:rsidR="008C7179">
        <w:rPr>
          <w:sz w:val="24"/>
          <w:szCs w:val="24"/>
        </w:rPr>
        <w:t xml:space="preserve">is provided in </w:t>
      </w:r>
      <w:r w:rsidRPr="00652938" w:rsidR="00444D72">
        <w:rPr>
          <w:sz w:val="24"/>
          <w:szCs w:val="24"/>
        </w:rPr>
        <w:fldChar w:fldCharType="begin"/>
      </w:r>
      <w:r w:rsidRPr="00652938" w:rsidR="00444D72">
        <w:rPr>
          <w:sz w:val="24"/>
          <w:szCs w:val="24"/>
        </w:rPr>
        <w:instrText xml:space="preserve"> REF _Ref36031284 \h </w:instrText>
      </w:r>
      <w:r w:rsidRPr="00652938" w:rsidR="00817829">
        <w:rPr>
          <w:sz w:val="24"/>
          <w:szCs w:val="24"/>
        </w:rPr>
        <w:instrText xml:space="preserve"> \* MERGEFORMAT </w:instrText>
      </w:r>
      <w:r w:rsidRPr="00652938" w:rsidR="00444D72">
        <w:rPr>
          <w:sz w:val="24"/>
          <w:szCs w:val="24"/>
        </w:rPr>
      </w:r>
      <w:r w:rsidRPr="00652938" w:rsidR="00444D72">
        <w:rPr>
          <w:sz w:val="24"/>
          <w:szCs w:val="24"/>
        </w:rPr>
        <w:fldChar w:fldCharType="separate"/>
      </w:r>
      <w:r w:rsidRPr="00652938" w:rsidR="00444D72">
        <w:rPr>
          <w:sz w:val="24"/>
          <w:szCs w:val="24"/>
        </w:rPr>
        <w:t xml:space="preserve">Table </w:t>
      </w:r>
      <w:r w:rsidRPr="00652938" w:rsidR="00444D72">
        <w:rPr>
          <w:noProof/>
          <w:sz w:val="24"/>
          <w:szCs w:val="24"/>
        </w:rPr>
        <w:t>4</w:t>
      </w:r>
      <w:r w:rsidRPr="00652938" w:rsidR="00444D72">
        <w:rPr>
          <w:sz w:val="24"/>
          <w:szCs w:val="24"/>
        </w:rPr>
        <w:fldChar w:fldCharType="end"/>
      </w:r>
      <w:r w:rsidRPr="00652938" w:rsidR="008C7179">
        <w:rPr>
          <w:sz w:val="24"/>
          <w:szCs w:val="24"/>
        </w:rPr>
        <w:t xml:space="preserve">. </w:t>
      </w:r>
      <w:r w:rsidRPr="00652938" w:rsidR="007A4F93">
        <w:rPr>
          <w:sz w:val="24"/>
          <w:szCs w:val="24"/>
        </w:rPr>
        <w:t>Subject to OMB approval, the survey is expected to be fielded in late 202</w:t>
      </w:r>
      <w:r w:rsidR="006C16D6">
        <w:rPr>
          <w:sz w:val="24"/>
          <w:szCs w:val="24"/>
        </w:rPr>
        <w:t>1</w:t>
      </w:r>
      <w:r w:rsidRPr="00652938" w:rsidR="007A4F93">
        <w:rPr>
          <w:sz w:val="24"/>
          <w:szCs w:val="24"/>
        </w:rPr>
        <w:t>. P</w:t>
      </w:r>
      <w:r w:rsidRPr="00652938" w:rsidR="00014653">
        <w:rPr>
          <w:sz w:val="24"/>
          <w:szCs w:val="24"/>
        </w:rPr>
        <w:t xml:space="preserve">reparations </w:t>
      </w:r>
      <w:r w:rsidRPr="00652938" w:rsidR="007A4F93">
        <w:rPr>
          <w:sz w:val="24"/>
          <w:szCs w:val="24"/>
        </w:rPr>
        <w:t xml:space="preserve">have been underway since late 2017, including survey </w:t>
      </w:r>
      <w:r w:rsidRPr="00652938" w:rsidR="0033058F">
        <w:rPr>
          <w:sz w:val="24"/>
          <w:szCs w:val="24"/>
        </w:rPr>
        <w:t xml:space="preserve">design and </w:t>
      </w:r>
      <w:r w:rsidRPr="00652938" w:rsidR="007A4F93">
        <w:rPr>
          <w:sz w:val="24"/>
          <w:szCs w:val="24"/>
        </w:rPr>
        <w:t xml:space="preserve">writing, obtaining data on facilities in the survey universe, </w:t>
      </w:r>
      <w:r w:rsidRPr="00652938" w:rsidR="005F1410">
        <w:rPr>
          <w:sz w:val="24"/>
          <w:szCs w:val="24"/>
        </w:rPr>
        <w:t xml:space="preserve">survey </w:t>
      </w:r>
      <w:r w:rsidRPr="00652938" w:rsidR="007A4F93">
        <w:rPr>
          <w:sz w:val="24"/>
          <w:szCs w:val="24"/>
        </w:rPr>
        <w:t>website design, and preparation of outreach materials.</w:t>
      </w:r>
    </w:p>
    <w:p w:rsidRPr="00652938" w:rsidR="00F470A8" w:rsidP="005861B4" w:rsidRDefault="00453E8A" w14:paraId="343615F2" w14:textId="640111B1">
      <w:pPr>
        <w:pStyle w:val="Caption"/>
        <w:keepNext/>
        <w:rPr>
          <w:sz w:val="24"/>
          <w:szCs w:val="24"/>
        </w:rPr>
      </w:pPr>
      <w:bookmarkStart w:name="_Ref36031284" w:id="81"/>
      <w:r w:rsidRPr="00652938">
        <w:rPr>
          <w:sz w:val="24"/>
          <w:szCs w:val="24"/>
        </w:rPr>
        <w:t xml:space="preserve">Table </w:t>
      </w:r>
      <w:r w:rsidRPr="00652938" w:rsidR="003A7F36">
        <w:rPr>
          <w:sz w:val="24"/>
          <w:szCs w:val="24"/>
        </w:rPr>
        <w:fldChar w:fldCharType="begin"/>
      </w:r>
      <w:r w:rsidRPr="00652938" w:rsidR="003A7F36">
        <w:rPr>
          <w:sz w:val="24"/>
          <w:szCs w:val="24"/>
        </w:rPr>
        <w:instrText xml:space="preserve"> SEQ Table \* ARABIC </w:instrText>
      </w:r>
      <w:r w:rsidRPr="00652938" w:rsidR="003A7F36">
        <w:rPr>
          <w:sz w:val="24"/>
          <w:szCs w:val="24"/>
        </w:rPr>
        <w:fldChar w:fldCharType="separate"/>
      </w:r>
      <w:r w:rsidRPr="00652938" w:rsidR="00444D72">
        <w:rPr>
          <w:noProof/>
          <w:sz w:val="24"/>
          <w:szCs w:val="24"/>
        </w:rPr>
        <w:t>4</w:t>
      </w:r>
      <w:r w:rsidRPr="00652938" w:rsidR="003A7F36">
        <w:rPr>
          <w:noProof/>
          <w:sz w:val="24"/>
          <w:szCs w:val="24"/>
        </w:rPr>
        <w:fldChar w:fldCharType="end"/>
      </w:r>
      <w:bookmarkEnd w:id="81"/>
      <w:r w:rsidRPr="00652938">
        <w:rPr>
          <w:sz w:val="24"/>
          <w:szCs w:val="24"/>
        </w:rPr>
        <w:t>. Cost to the Federal Government [a]</w:t>
      </w:r>
    </w:p>
    <w:tbl>
      <w:tblPr>
        <w:tblW w:w="925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20"/>
        <w:gridCol w:w="2415"/>
        <w:gridCol w:w="1172"/>
        <w:gridCol w:w="1082"/>
        <w:gridCol w:w="1173"/>
        <w:gridCol w:w="1083"/>
        <w:gridCol w:w="993"/>
        <w:gridCol w:w="1317"/>
      </w:tblGrid>
      <w:tr w:rsidRPr="008C718D" w:rsidR="00203336" w:rsidTr="00B77A16" w14:paraId="6E965488" w14:textId="77777777">
        <w:trPr>
          <w:trHeight w:val="769"/>
          <w:tblHeader/>
          <w:jc w:val="center"/>
        </w:trPr>
        <w:tc>
          <w:tcPr>
            <w:tcW w:w="2435" w:type="dxa"/>
            <w:gridSpan w:val="2"/>
            <w:shd w:val="clear" w:color="auto" w:fill="D9D9D9" w:themeFill="background1" w:themeFillShade="D9"/>
            <w:tcMar>
              <w:left w:w="72" w:type="dxa"/>
              <w:right w:w="72" w:type="dxa"/>
            </w:tcMar>
            <w:vAlign w:val="center"/>
          </w:tcPr>
          <w:p w:rsidRPr="00652938" w:rsidR="00203336" w:rsidP="00203336" w:rsidRDefault="00203336" w14:paraId="35ACBA74" w14:textId="1C2F9B69">
            <w:pPr>
              <w:kinsoku w:val="0"/>
              <w:overflowPunct w:val="0"/>
              <w:ind w:left="90"/>
              <w:rPr>
                <w:b/>
                <w:spacing w:val="-2"/>
                <w:sz w:val="24"/>
              </w:rPr>
            </w:pPr>
            <w:r w:rsidRPr="00652938">
              <w:rPr>
                <w:b/>
                <w:spacing w:val="-2"/>
                <w:sz w:val="24"/>
              </w:rPr>
              <w:t>Activity</w:t>
            </w:r>
          </w:p>
        </w:tc>
        <w:tc>
          <w:tcPr>
            <w:tcW w:w="1172" w:type="dxa"/>
            <w:shd w:val="clear" w:color="auto" w:fill="D9D9D9" w:themeFill="background1" w:themeFillShade="D9"/>
            <w:tcMar>
              <w:left w:w="72" w:type="dxa"/>
              <w:right w:w="72" w:type="dxa"/>
            </w:tcMar>
            <w:vAlign w:val="center"/>
          </w:tcPr>
          <w:p w:rsidRPr="00652938" w:rsidR="00203336" w:rsidP="00203336" w:rsidRDefault="00203336" w14:paraId="3E79CEA8" w14:textId="74FF629E">
            <w:pPr>
              <w:kinsoku w:val="0"/>
              <w:overflowPunct w:val="0"/>
              <w:ind w:right="97"/>
              <w:jc w:val="center"/>
              <w:rPr>
                <w:b/>
                <w:sz w:val="24"/>
              </w:rPr>
            </w:pPr>
            <w:r w:rsidRPr="00652938">
              <w:rPr>
                <w:b/>
                <w:color w:val="000000"/>
                <w:sz w:val="24"/>
              </w:rPr>
              <w:t>Year 1 (</w:t>
            </w:r>
            <w:r w:rsidRPr="00652938">
              <w:rPr>
                <w:b/>
                <w:sz w:val="24"/>
              </w:rPr>
              <w:t>2017</w:t>
            </w:r>
            <w:r w:rsidRPr="00652938">
              <w:rPr>
                <w:b/>
                <w:color w:val="000000"/>
                <w:sz w:val="24"/>
              </w:rPr>
              <w:t>)</w:t>
            </w:r>
          </w:p>
        </w:tc>
        <w:tc>
          <w:tcPr>
            <w:tcW w:w="1082" w:type="dxa"/>
            <w:shd w:val="clear" w:color="auto" w:fill="D9D9D9" w:themeFill="background1" w:themeFillShade="D9"/>
            <w:tcMar>
              <w:left w:w="72" w:type="dxa"/>
              <w:right w:w="72" w:type="dxa"/>
            </w:tcMar>
            <w:vAlign w:val="center"/>
          </w:tcPr>
          <w:p w:rsidRPr="00652938" w:rsidR="00203336" w:rsidP="00203336" w:rsidRDefault="00203336" w14:paraId="61F9C6B1" w14:textId="0477321A">
            <w:pPr>
              <w:kinsoku w:val="0"/>
              <w:overflowPunct w:val="0"/>
              <w:ind w:right="97"/>
              <w:jc w:val="center"/>
              <w:rPr>
                <w:sz w:val="24"/>
              </w:rPr>
            </w:pPr>
            <w:r w:rsidRPr="00652938">
              <w:rPr>
                <w:b/>
                <w:bCs/>
                <w:color w:val="000000"/>
                <w:sz w:val="24"/>
              </w:rPr>
              <w:t>Year 2 (2018)</w:t>
            </w:r>
          </w:p>
        </w:tc>
        <w:tc>
          <w:tcPr>
            <w:tcW w:w="1173" w:type="dxa"/>
            <w:shd w:val="clear" w:color="auto" w:fill="D9D9D9" w:themeFill="background1" w:themeFillShade="D9"/>
            <w:tcMar>
              <w:left w:w="72" w:type="dxa"/>
              <w:right w:w="72" w:type="dxa"/>
            </w:tcMar>
            <w:vAlign w:val="center"/>
          </w:tcPr>
          <w:p w:rsidRPr="00652938" w:rsidR="00203336" w:rsidP="00203336" w:rsidRDefault="00203336" w14:paraId="46484EF7" w14:textId="6BC9B5BB">
            <w:pPr>
              <w:kinsoku w:val="0"/>
              <w:overflowPunct w:val="0"/>
              <w:ind w:right="97"/>
              <w:jc w:val="center"/>
              <w:rPr>
                <w:sz w:val="24"/>
              </w:rPr>
            </w:pPr>
            <w:r w:rsidRPr="00652938">
              <w:rPr>
                <w:b/>
                <w:bCs/>
                <w:color w:val="000000"/>
                <w:sz w:val="24"/>
              </w:rPr>
              <w:t>Year 3 (2019)</w:t>
            </w:r>
          </w:p>
        </w:tc>
        <w:tc>
          <w:tcPr>
            <w:tcW w:w="1083" w:type="dxa"/>
            <w:shd w:val="clear" w:color="auto" w:fill="D9D9D9" w:themeFill="background1" w:themeFillShade="D9"/>
            <w:tcMar>
              <w:left w:w="72" w:type="dxa"/>
              <w:right w:w="72" w:type="dxa"/>
            </w:tcMar>
            <w:vAlign w:val="center"/>
          </w:tcPr>
          <w:p w:rsidRPr="00652938" w:rsidR="00203336" w:rsidP="00203336" w:rsidRDefault="00203336" w14:paraId="5F0A2B53" w14:textId="5A56F28F">
            <w:pPr>
              <w:kinsoku w:val="0"/>
              <w:overflowPunct w:val="0"/>
              <w:ind w:right="60"/>
              <w:jc w:val="center"/>
              <w:rPr>
                <w:sz w:val="24"/>
              </w:rPr>
            </w:pPr>
            <w:r w:rsidRPr="00652938">
              <w:rPr>
                <w:b/>
                <w:bCs/>
                <w:color w:val="000000"/>
                <w:sz w:val="24"/>
              </w:rPr>
              <w:t xml:space="preserve">Year 4 (2020) </w:t>
            </w:r>
          </w:p>
        </w:tc>
        <w:tc>
          <w:tcPr>
            <w:tcW w:w="993" w:type="dxa"/>
            <w:shd w:val="clear" w:color="auto" w:fill="D9D9D9" w:themeFill="background1" w:themeFillShade="D9"/>
            <w:vAlign w:val="center"/>
          </w:tcPr>
          <w:p w:rsidRPr="00652938" w:rsidR="00203336" w:rsidP="00203336" w:rsidRDefault="00203336" w14:paraId="2BD80BB8" w14:textId="1CB87B50">
            <w:pPr>
              <w:kinsoku w:val="0"/>
              <w:overflowPunct w:val="0"/>
              <w:jc w:val="center"/>
              <w:rPr>
                <w:b/>
                <w:spacing w:val="-2"/>
                <w:sz w:val="24"/>
              </w:rPr>
            </w:pPr>
            <w:r w:rsidRPr="00652938">
              <w:rPr>
                <w:b/>
                <w:bCs/>
                <w:color w:val="000000"/>
                <w:sz w:val="24"/>
              </w:rPr>
              <w:t>Year 5 (2021)</w:t>
            </w:r>
            <w:r w:rsidRPr="00652938">
              <w:rPr>
                <w:b/>
                <w:bCs/>
                <w:color w:val="000000"/>
                <w:sz w:val="24"/>
                <w:vertAlign w:val="superscript"/>
              </w:rPr>
              <w:t>[b]</w:t>
            </w:r>
          </w:p>
        </w:tc>
        <w:tc>
          <w:tcPr>
            <w:tcW w:w="1317" w:type="dxa"/>
            <w:shd w:val="clear" w:color="auto" w:fill="D9D9D9" w:themeFill="background1" w:themeFillShade="D9"/>
            <w:tcMar>
              <w:left w:w="72" w:type="dxa"/>
              <w:right w:w="72" w:type="dxa"/>
            </w:tcMar>
            <w:vAlign w:val="center"/>
          </w:tcPr>
          <w:p w:rsidRPr="00652938" w:rsidR="00203336" w:rsidP="00203336" w:rsidRDefault="00203336" w14:paraId="47504F8E" w14:textId="5A41DD6A">
            <w:pPr>
              <w:kinsoku w:val="0"/>
              <w:overflowPunct w:val="0"/>
              <w:jc w:val="center"/>
              <w:rPr>
                <w:b/>
                <w:spacing w:val="-2"/>
                <w:sz w:val="24"/>
              </w:rPr>
            </w:pPr>
            <w:r w:rsidRPr="00652938">
              <w:rPr>
                <w:b/>
                <w:spacing w:val="-2"/>
                <w:sz w:val="24"/>
              </w:rPr>
              <w:t>Total</w:t>
            </w:r>
          </w:p>
          <w:p w:rsidRPr="00652938" w:rsidR="00203336" w:rsidP="00203336" w:rsidRDefault="00203336" w14:paraId="242D07F0" w14:textId="54A436E2">
            <w:pPr>
              <w:kinsoku w:val="0"/>
              <w:overflowPunct w:val="0"/>
              <w:jc w:val="center"/>
              <w:rPr>
                <w:b/>
                <w:spacing w:val="-2"/>
                <w:sz w:val="24"/>
              </w:rPr>
            </w:pPr>
            <w:r w:rsidRPr="00652938">
              <w:rPr>
                <w:b/>
                <w:spacing w:val="-2"/>
                <w:sz w:val="24"/>
              </w:rPr>
              <w:t>(2017-2021)</w:t>
            </w:r>
          </w:p>
        </w:tc>
      </w:tr>
      <w:tr w:rsidRPr="008C718D" w:rsidR="00203336" w:rsidTr="00B77A16" w14:paraId="24AF47AB" w14:textId="77777777">
        <w:trPr>
          <w:trHeight w:val="241"/>
          <w:jc w:val="center"/>
        </w:trPr>
        <w:tc>
          <w:tcPr>
            <w:tcW w:w="9255" w:type="dxa"/>
            <w:gridSpan w:val="8"/>
            <w:tcBorders>
              <w:top w:val="single" w:color="auto" w:sz="4" w:space="0"/>
              <w:bottom w:val="single" w:color="auto" w:sz="4" w:space="0"/>
            </w:tcBorders>
            <w:shd w:val="clear" w:color="auto" w:fill="DDD9C3" w:themeFill="background2" w:themeFillShade="E6"/>
          </w:tcPr>
          <w:p w:rsidRPr="00652938" w:rsidR="00203336" w:rsidP="00203336" w:rsidRDefault="00203336" w14:paraId="6FE44EC8" w14:textId="1A464E04">
            <w:pPr>
              <w:widowControl/>
              <w:autoSpaceDE/>
              <w:autoSpaceDN/>
              <w:adjustRightInd/>
              <w:jc w:val="center"/>
              <w:rPr>
                <w:b/>
                <w:bCs/>
                <w:color w:val="000000"/>
                <w:sz w:val="24"/>
              </w:rPr>
            </w:pPr>
            <w:r w:rsidRPr="00652938">
              <w:rPr>
                <w:b/>
                <w:bCs/>
                <w:color w:val="000000"/>
                <w:sz w:val="24"/>
              </w:rPr>
              <w:t>Government Activity [c]</w:t>
            </w:r>
          </w:p>
        </w:tc>
      </w:tr>
      <w:tr w:rsidRPr="008C718D" w:rsidR="00203336" w:rsidTr="00B77A16" w14:paraId="4DEC60B5" w14:textId="77777777">
        <w:trPr>
          <w:trHeight w:val="1010"/>
          <w:jc w:val="center"/>
        </w:trPr>
        <w:tc>
          <w:tcPr>
            <w:tcW w:w="2435" w:type="dxa"/>
            <w:gridSpan w:val="2"/>
            <w:shd w:val="clear" w:color="auto" w:fill="FFFFFF" w:themeFill="background1"/>
            <w:tcMar>
              <w:left w:w="72" w:type="dxa"/>
              <w:right w:w="72" w:type="dxa"/>
            </w:tcMar>
            <w:vAlign w:val="center"/>
          </w:tcPr>
          <w:p w:rsidRPr="00652938" w:rsidR="00203336" w:rsidP="00203336" w:rsidRDefault="00203336" w14:paraId="56CC1201" w14:textId="24BB2952">
            <w:pPr>
              <w:kinsoku w:val="0"/>
              <w:overflowPunct w:val="0"/>
              <w:rPr>
                <w:b/>
                <w:bCs/>
                <w:color w:val="000000"/>
                <w:sz w:val="24"/>
              </w:rPr>
            </w:pPr>
            <w:r w:rsidRPr="00652938">
              <w:rPr>
                <w:spacing w:val="-1"/>
                <w:sz w:val="24"/>
              </w:rPr>
              <w:lastRenderedPageBreak/>
              <w:t>Reviewing and providing guidance on instruments, OMB clearance, and data collection approach</w:t>
            </w:r>
          </w:p>
        </w:tc>
        <w:tc>
          <w:tcPr>
            <w:tcW w:w="1172" w:type="dxa"/>
            <w:shd w:val="clear" w:color="auto" w:fill="FFFFFF" w:themeFill="background1"/>
            <w:tcMar>
              <w:left w:w="72" w:type="dxa"/>
              <w:right w:w="72" w:type="dxa"/>
            </w:tcMar>
            <w:vAlign w:val="center"/>
          </w:tcPr>
          <w:p w:rsidRPr="00652938" w:rsidR="00203336" w:rsidP="00203336" w:rsidRDefault="00203336" w14:paraId="6DDBA4F3" w14:textId="1F891EFD">
            <w:pPr>
              <w:widowControl/>
              <w:autoSpaceDE/>
              <w:autoSpaceDN/>
              <w:adjustRightInd/>
              <w:jc w:val="center"/>
              <w:rPr>
                <w:b/>
                <w:bCs/>
                <w:color w:val="000000"/>
                <w:sz w:val="24"/>
              </w:rPr>
            </w:pPr>
            <w:r w:rsidRPr="00652938">
              <w:rPr>
                <w:b/>
                <w:bCs/>
                <w:color w:val="000000"/>
                <w:sz w:val="24"/>
              </w:rPr>
              <w:t>$14,973</w:t>
            </w:r>
          </w:p>
        </w:tc>
        <w:tc>
          <w:tcPr>
            <w:tcW w:w="1082" w:type="dxa"/>
            <w:shd w:val="clear" w:color="auto" w:fill="FFFFFF" w:themeFill="background1"/>
            <w:tcMar>
              <w:left w:w="72" w:type="dxa"/>
              <w:right w:w="72" w:type="dxa"/>
            </w:tcMar>
            <w:vAlign w:val="center"/>
          </w:tcPr>
          <w:p w:rsidRPr="00652938" w:rsidR="00203336" w:rsidP="00203336" w:rsidRDefault="00203336" w14:paraId="1E53F065" w14:textId="6A769C8F">
            <w:pPr>
              <w:widowControl/>
              <w:autoSpaceDE/>
              <w:autoSpaceDN/>
              <w:adjustRightInd/>
              <w:jc w:val="center"/>
              <w:rPr>
                <w:b/>
                <w:bCs/>
                <w:color w:val="000000"/>
                <w:sz w:val="24"/>
              </w:rPr>
            </w:pPr>
            <w:r w:rsidRPr="00652938">
              <w:rPr>
                <w:b/>
                <w:bCs/>
                <w:color w:val="000000"/>
                <w:sz w:val="24"/>
              </w:rPr>
              <w:t>$48,661</w:t>
            </w:r>
          </w:p>
        </w:tc>
        <w:tc>
          <w:tcPr>
            <w:tcW w:w="1173" w:type="dxa"/>
            <w:shd w:val="clear" w:color="auto" w:fill="FFFFFF" w:themeFill="background1"/>
            <w:tcMar>
              <w:left w:w="72" w:type="dxa"/>
              <w:right w:w="72" w:type="dxa"/>
            </w:tcMar>
            <w:vAlign w:val="center"/>
          </w:tcPr>
          <w:p w:rsidRPr="00652938" w:rsidR="00203336" w:rsidP="00203336" w:rsidRDefault="00203336" w14:paraId="153A1EBF" w14:textId="6361132E">
            <w:pPr>
              <w:widowControl/>
              <w:autoSpaceDE/>
              <w:autoSpaceDN/>
              <w:adjustRightInd/>
              <w:jc w:val="center"/>
              <w:rPr>
                <w:b/>
                <w:bCs/>
                <w:color w:val="000000"/>
                <w:sz w:val="24"/>
              </w:rPr>
            </w:pPr>
            <w:r w:rsidRPr="00652938">
              <w:rPr>
                <w:b/>
                <w:bCs/>
                <w:color w:val="000000"/>
                <w:sz w:val="24"/>
              </w:rPr>
              <w:t>$51,094</w:t>
            </w:r>
          </w:p>
        </w:tc>
        <w:tc>
          <w:tcPr>
            <w:tcW w:w="1083" w:type="dxa"/>
            <w:shd w:val="clear" w:color="auto" w:fill="FFFFFF" w:themeFill="background1"/>
            <w:tcMar>
              <w:left w:w="72" w:type="dxa"/>
              <w:right w:w="72" w:type="dxa"/>
            </w:tcMar>
            <w:vAlign w:val="center"/>
          </w:tcPr>
          <w:p w:rsidRPr="00652938" w:rsidR="00203336" w:rsidP="00203336" w:rsidRDefault="00203336" w14:paraId="71BA46DF" w14:textId="1E29C7DF">
            <w:pPr>
              <w:widowControl/>
              <w:autoSpaceDE/>
              <w:autoSpaceDN/>
              <w:adjustRightInd/>
              <w:jc w:val="center"/>
              <w:rPr>
                <w:b/>
                <w:bCs/>
                <w:color w:val="000000"/>
                <w:sz w:val="24"/>
              </w:rPr>
            </w:pPr>
            <w:r w:rsidRPr="00652938">
              <w:rPr>
                <w:b/>
                <w:bCs/>
                <w:color w:val="000000"/>
                <w:sz w:val="24"/>
              </w:rPr>
              <w:t>$53,649</w:t>
            </w:r>
          </w:p>
        </w:tc>
        <w:tc>
          <w:tcPr>
            <w:tcW w:w="993" w:type="dxa"/>
            <w:shd w:val="clear" w:color="auto" w:fill="FFFFFF" w:themeFill="background1"/>
            <w:vAlign w:val="center"/>
          </w:tcPr>
          <w:p w:rsidRPr="00652938" w:rsidR="00203336" w:rsidP="00B77A16" w:rsidRDefault="00AA4791" w14:paraId="38DEFDB9" w14:textId="749D07A1">
            <w:pPr>
              <w:widowControl/>
              <w:autoSpaceDE/>
              <w:autoSpaceDN/>
              <w:adjustRightInd/>
              <w:rPr>
                <w:b/>
                <w:bCs/>
                <w:color w:val="000000"/>
                <w:sz w:val="24"/>
              </w:rPr>
            </w:pPr>
            <w:r w:rsidRPr="00652938">
              <w:rPr>
                <w:b/>
                <w:bCs/>
                <w:color w:val="000000"/>
                <w:sz w:val="24"/>
              </w:rPr>
              <w:t xml:space="preserve">  $5</w:t>
            </w:r>
            <w:r w:rsidRPr="00652938" w:rsidR="00720C74">
              <w:rPr>
                <w:b/>
                <w:bCs/>
                <w:color w:val="000000"/>
                <w:sz w:val="24"/>
              </w:rPr>
              <w:t>4,165</w:t>
            </w:r>
          </w:p>
        </w:tc>
        <w:tc>
          <w:tcPr>
            <w:tcW w:w="1317" w:type="dxa"/>
            <w:shd w:val="clear" w:color="auto" w:fill="FFFFFF" w:themeFill="background1"/>
            <w:tcMar>
              <w:left w:w="72" w:type="dxa"/>
              <w:right w:w="72" w:type="dxa"/>
            </w:tcMar>
            <w:vAlign w:val="center"/>
          </w:tcPr>
          <w:p w:rsidRPr="00652938" w:rsidR="00B77A16" w:rsidP="00203336" w:rsidRDefault="00B77A16" w14:paraId="6E8DA36F" w14:textId="77777777">
            <w:pPr>
              <w:widowControl/>
              <w:autoSpaceDE/>
              <w:autoSpaceDN/>
              <w:adjustRightInd/>
              <w:jc w:val="center"/>
              <w:rPr>
                <w:b/>
                <w:bCs/>
                <w:color w:val="000000"/>
                <w:sz w:val="24"/>
              </w:rPr>
            </w:pPr>
          </w:p>
          <w:p w:rsidRPr="00652938" w:rsidR="00AA4791" w:rsidP="00203336" w:rsidRDefault="00203336" w14:paraId="189A356F" w14:textId="20DD8D97">
            <w:pPr>
              <w:widowControl/>
              <w:autoSpaceDE/>
              <w:autoSpaceDN/>
              <w:adjustRightInd/>
              <w:jc w:val="center"/>
              <w:rPr>
                <w:b/>
                <w:bCs/>
                <w:color w:val="000000"/>
                <w:sz w:val="24"/>
              </w:rPr>
            </w:pPr>
            <w:r w:rsidRPr="00652938">
              <w:rPr>
                <w:b/>
                <w:bCs/>
                <w:color w:val="000000"/>
                <w:sz w:val="24"/>
              </w:rPr>
              <w:t>$</w:t>
            </w:r>
            <w:r w:rsidRPr="00652938" w:rsidR="00AA4791">
              <w:rPr>
                <w:b/>
                <w:bCs/>
                <w:color w:val="000000"/>
                <w:sz w:val="24"/>
              </w:rPr>
              <w:t>22</w:t>
            </w:r>
            <w:r w:rsidRPr="00652938" w:rsidR="00720C74">
              <w:rPr>
                <w:b/>
                <w:bCs/>
                <w:color w:val="000000"/>
                <w:sz w:val="24"/>
              </w:rPr>
              <w:t>2,542</w:t>
            </w:r>
          </w:p>
          <w:p w:rsidRPr="00652938" w:rsidR="00203336" w:rsidP="00203336" w:rsidRDefault="00203336" w14:paraId="3B5F3120" w14:textId="2F63C7DC">
            <w:pPr>
              <w:widowControl/>
              <w:autoSpaceDE/>
              <w:autoSpaceDN/>
              <w:adjustRightInd/>
              <w:jc w:val="center"/>
              <w:rPr>
                <w:b/>
                <w:bCs/>
                <w:color w:val="000000"/>
                <w:sz w:val="24"/>
              </w:rPr>
            </w:pPr>
          </w:p>
        </w:tc>
      </w:tr>
      <w:tr w:rsidRPr="008C718D" w:rsidR="00203336" w:rsidTr="00B77A16" w14:paraId="63F77E9B" w14:textId="77777777">
        <w:trPr>
          <w:trHeight w:val="256"/>
          <w:jc w:val="center"/>
        </w:trPr>
        <w:tc>
          <w:tcPr>
            <w:tcW w:w="9255" w:type="dxa"/>
            <w:gridSpan w:val="8"/>
            <w:tcBorders>
              <w:top w:val="single" w:color="auto" w:sz="4" w:space="0"/>
              <w:bottom w:val="single" w:color="auto" w:sz="4" w:space="0"/>
            </w:tcBorders>
            <w:shd w:val="clear" w:color="auto" w:fill="DDD9C3" w:themeFill="background2" w:themeFillShade="E6"/>
          </w:tcPr>
          <w:p w:rsidRPr="00652938" w:rsidR="00203336" w:rsidP="00203336" w:rsidRDefault="00203336" w14:paraId="7411A518" w14:textId="6C5F7FE8">
            <w:pPr>
              <w:widowControl/>
              <w:autoSpaceDE/>
              <w:autoSpaceDN/>
              <w:adjustRightInd/>
              <w:jc w:val="center"/>
              <w:rPr>
                <w:b/>
                <w:bCs/>
                <w:color w:val="000000"/>
                <w:sz w:val="24"/>
              </w:rPr>
            </w:pPr>
            <w:r w:rsidRPr="00652938">
              <w:rPr>
                <w:b/>
                <w:bCs/>
                <w:color w:val="000000"/>
                <w:sz w:val="24"/>
              </w:rPr>
              <w:t>Contractor Activity</w:t>
            </w:r>
            <w:r w:rsidRPr="00652938">
              <w:rPr>
                <w:b/>
                <w:bCs/>
                <w:color w:val="000000"/>
                <w:sz w:val="24"/>
                <w:vertAlign w:val="superscript"/>
              </w:rPr>
              <w:t>[d]</w:t>
            </w:r>
          </w:p>
        </w:tc>
      </w:tr>
      <w:tr w:rsidRPr="008C718D" w:rsidR="00203336" w:rsidTr="00B77A16" w14:paraId="2F023494" w14:textId="77777777">
        <w:trPr>
          <w:trHeight w:val="754"/>
          <w:jc w:val="center"/>
        </w:trPr>
        <w:tc>
          <w:tcPr>
            <w:tcW w:w="2435" w:type="dxa"/>
            <w:gridSpan w:val="2"/>
            <w:tcMar>
              <w:left w:w="72" w:type="dxa"/>
              <w:right w:w="72" w:type="dxa"/>
            </w:tcMar>
            <w:vAlign w:val="center"/>
          </w:tcPr>
          <w:p w:rsidRPr="00652938" w:rsidR="00203336" w:rsidP="00203336" w:rsidRDefault="00203336" w14:paraId="501DFD82" w14:textId="1398609E">
            <w:pPr>
              <w:kinsoku w:val="0"/>
              <w:overflowPunct w:val="0"/>
              <w:rPr>
                <w:spacing w:val="-1"/>
                <w:sz w:val="24"/>
              </w:rPr>
            </w:pPr>
            <w:r w:rsidRPr="00652938">
              <w:rPr>
                <w:spacing w:val="-1"/>
                <w:sz w:val="24"/>
              </w:rPr>
              <w:t>Survey Instrument Development and Sampling Design</w:t>
            </w:r>
          </w:p>
        </w:tc>
        <w:tc>
          <w:tcPr>
            <w:tcW w:w="1172" w:type="dxa"/>
            <w:tcMar>
              <w:left w:w="72" w:type="dxa"/>
              <w:right w:w="72" w:type="dxa"/>
            </w:tcMar>
            <w:vAlign w:val="center"/>
          </w:tcPr>
          <w:p w:rsidRPr="00652938" w:rsidR="00203336" w:rsidP="00203336" w:rsidRDefault="00203336" w14:paraId="70260096" w14:textId="4E7E9969">
            <w:pPr>
              <w:kinsoku w:val="0"/>
              <w:overflowPunct w:val="0"/>
              <w:ind w:right="97"/>
              <w:jc w:val="center"/>
              <w:rPr>
                <w:sz w:val="24"/>
              </w:rPr>
            </w:pPr>
            <w:r w:rsidRPr="00652938">
              <w:rPr>
                <w:color w:val="000000"/>
                <w:sz w:val="24"/>
              </w:rPr>
              <w:t>$7,466</w:t>
            </w:r>
          </w:p>
        </w:tc>
        <w:tc>
          <w:tcPr>
            <w:tcW w:w="1082" w:type="dxa"/>
            <w:tcMar>
              <w:left w:w="72" w:type="dxa"/>
              <w:right w:w="72" w:type="dxa"/>
            </w:tcMar>
            <w:vAlign w:val="center"/>
          </w:tcPr>
          <w:p w:rsidRPr="00652938" w:rsidR="00203336" w:rsidP="00203336" w:rsidRDefault="00203336" w14:paraId="7CF17B5E" w14:textId="69D02A02">
            <w:pPr>
              <w:kinsoku w:val="0"/>
              <w:overflowPunct w:val="0"/>
              <w:ind w:right="97"/>
              <w:jc w:val="center"/>
              <w:rPr>
                <w:sz w:val="24"/>
              </w:rPr>
            </w:pPr>
            <w:r w:rsidRPr="00652938">
              <w:rPr>
                <w:color w:val="000000"/>
                <w:sz w:val="24"/>
              </w:rPr>
              <w:t>$22,359</w:t>
            </w:r>
          </w:p>
        </w:tc>
        <w:tc>
          <w:tcPr>
            <w:tcW w:w="1173" w:type="dxa"/>
            <w:tcMar>
              <w:left w:w="72" w:type="dxa"/>
              <w:right w:w="72" w:type="dxa"/>
            </w:tcMar>
            <w:vAlign w:val="center"/>
          </w:tcPr>
          <w:p w:rsidRPr="00652938" w:rsidR="00203336" w:rsidP="00203336" w:rsidRDefault="00203336" w14:paraId="5716AF2C" w14:textId="5349BA58">
            <w:pPr>
              <w:kinsoku w:val="0"/>
              <w:overflowPunct w:val="0"/>
              <w:ind w:right="97"/>
              <w:jc w:val="center"/>
              <w:rPr>
                <w:sz w:val="24"/>
              </w:rPr>
            </w:pPr>
            <w:r w:rsidRPr="00652938">
              <w:rPr>
                <w:color w:val="000000"/>
                <w:sz w:val="24"/>
              </w:rPr>
              <w:t>$35,568</w:t>
            </w:r>
          </w:p>
        </w:tc>
        <w:tc>
          <w:tcPr>
            <w:tcW w:w="1083" w:type="dxa"/>
            <w:tcMar>
              <w:left w:w="72" w:type="dxa"/>
              <w:right w:w="72" w:type="dxa"/>
            </w:tcMar>
            <w:vAlign w:val="center"/>
          </w:tcPr>
          <w:p w:rsidRPr="00652938" w:rsidR="00203336" w:rsidP="00203336" w:rsidRDefault="00203336" w14:paraId="299351B3" w14:textId="74E6BF67">
            <w:pPr>
              <w:kinsoku w:val="0"/>
              <w:overflowPunct w:val="0"/>
              <w:ind w:right="97"/>
              <w:jc w:val="center"/>
              <w:rPr>
                <w:sz w:val="24"/>
              </w:rPr>
            </w:pPr>
            <w:r w:rsidRPr="00652938">
              <w:rPr>
                <w:color w:val="000000"/>
                <w:sz w:val="24"/>
              </w:rPr>
              <w:t>$0</w:t>
            </w:r>
          </w:p>
        </w:tc>
        <w:tc>
          <w:tcPr>
            <w:tcW w:w="993" w:type="dxa"/>
          </w:tcPr>
          <w:p w:rsidRPr="00652938" w:rsidR="00203336" w:rsidP="00203336" w:rsidRDefault="00203336" w14:paraId="7F328635" w14:textId="77777777">
            <w:pPr>
              <w:kinsoku w:val="0"/>
              <w:overflowPunct w:val="0"/>
              <w:jc w:val="center"/>
              <w:rPr>
                <w:color w:val="000000"/>
                <w:sz w:val="24"/>
              </w:rPr>
            </w:pPr>
          </w:p>
        </w:tc>
        <w:tc>
          <w:tcPr>
            <w:tcW w:w="1317" w:type="dxa"/>
            <w:tcMar>
              <w:left w:w="72" w:type="dxa"/>
              <w:right w:w="72" w:type="dxa"/>
            </w:tcMar>
            <w:vAlign w:val="center"/>
          </w:tcPr>
          <w:p w:rsidRPr="00652938" w:rsidR="00203336" w:rsidP="00203336" w:rsidRDefault="00203336" w14:paraId="13B201F8" w14:textId="76037F2B">
            <w:pPr>
              <w:kinsoku w:val="0"/>
              <w:overflowPunct w:val="0"/>
              <w:jc w:val="center"/>
              <w:rPr>
                <w:sz w:val="24"/>
              </w:rPr>
            </w:pPr>
            <w:r w:rsidRPr="00652938">
              <w:rPr>
                <w:color w:val="000000"/>
                <w:sz w:val="24"/>
              </w:rPr>
              <w:t>$65,393</w:t>
            </w:r>
          </w:p>
        </w:tc>
      </w:tr>
      <w:tr w:rsidRPr="008C718D" w:rsidR="00203336" w:rsidTr="00B77A16" w14:paraId="471A1812" w14:textId="77777777">
        <w:trPr>
          <w:trHeight w:val="497"/>
          <w:jc w:val="center"/>
        </w:trPr>
        <w:tc>
          <w:tcPr>
            <w:tcW w:w="2435" w:type="dxa"/>
            <w:gridSpan w:val="2"/>
            <w:tcMar>
              <w:left w:w="72" w:type="dxa"/>
              <w:right w:w="72" w:type="dxa"/>
            </w:tcMar>
            <w:vAlign w:val="center"/>
          </w:tcPr>
          <w:p w:rsidRPr="00652938" w:rsidR="00203336" w:rsidP="00203336" w:rsidRDefault="00203336" w14:paraId="4A2BD5D2" w14:textId="0850EF51">
            <w:pPr>
              <w:kinsoku w:val="0"/>
              <w:overflowPunct w:val="0"/>
              <w:rPr>
                <w:spacing w:val="-1"/>
                <w:sz w:val="24"/>
              </w:rPr>
            </w:pPr>
            <w:r w:rsidRPr="00652938">
              <w:rPr>
                <w:spacing w:val="-1"/>
                <w:sz w:val="24"/>
              </w:rPr>
              <w:t>Information Collection Request for OMB</w:t>
            </w:r>
          </w:p>
        </w:tc>
        <w:tc>
          <w:tcPr>
            <w:tcW w:w="1172" w:type="dxa"/>
            <w:tcMar>
              <w:left w:w="72" w:type="dxa"/>
              <w:right w:w="72" w:type="dxa"/>
            </w:tcMar>
            <w:vAlign w:val="center"/>
          </w:tcPr>
          <w:p w:rsidRPr="00652938" w:rsidR="00203336" w:rsidP="00203336" w:rsidRDefault="00203336" w14:paraId="1A6E287E" w14:textId="52CDC005">
            <w:pPr>
              <w:kinsoku w:val="0"/>
              <w:overflowPunct w:val="0"/>
              <w:ind w:right="97"/>
              <w:jc w:val="center"/>
              <w:rPr>
                <w:sz w:val="24"/>
              </w:rPr>
            </w:pPr>
          </w:p>
        </w:tc>
        <w:tc>
          <w:tcPr>
            <w:tcW w:w="1082" w:type="dxa"/>
            <w:tcMar>
              <w:left w:w="72" w:type="dxa"/>
              <w:right w:w="72" w:type="dxa"/>
            </w:tcMar>
            <w:vAlign w:val="center"/>
          </w:tcPr>
          <w:p w:rsidRPr="00652938" w:rsidR="00203336" w:rsidP="00203336" w:rsidRDefault="00203336" w14:paraId="0F143C7F" w14:textId="3A4C6CD6">
            <w:pPr>
              <w:kinsoku w:val="0"/>
              <w:overflowPunct w:val="0"/>
              <w:ind w:right="97"/>
              <w:jc w:val="center"/>
              <w:rPr>
                <w:sz w:val="24"/>
              </w:rPr>
            </w:pPr>
          </w:p>
        </w:tc>
        <w:tc>
          <w:tcPr>
            <w:tcW w:w="1173" w:type="dxa"/>
            <w:tcMar>
              <w:left w:w="72" w:type="dxa"/>
              <w:right w:w="72" w:type="dxa"/>
            </w:tcMar>
            <w:vAlign w:val="center"/>
          </w:tcPr>
          <w:p w:rsidRPr="00652938" w:rsidR="00203336" w:rsidP="00203336" w:rsidRDefault="00203336" w14:paraId="16619BFF" w14:textId="5AA256E2">
            <w:pPr>
              <w:kinsoku w:val="0"/>
              <w:overflowPunct w:val="0"/>
              <w:ind w:right="97"/>
              <w:jc w:val="center"/>
              <w:rPr>
                <w:sz w:val="24"/>
              </w:rPr>
            </w:pPr>
            <w:r w:rsidRPr="00652938">
              <w:rPr>
                <w:spacing w:val="-2"/>
                <w:sz w:val="24"/>
              </w:rPr>
              <w:t>$16,450</w:t>
            </w:r>
          </w:p>
        </w:tc>
        <w:tc>
          <w:tcPr>
            <w:tcW w:w="1083" w:type="dxa"/>
            <w:tcMar>
              <w:left w:w="72" w:type="dxa"/>
              <w:right w:w="72" w:type="dxa"/>
            </w:tcMar>
            <w:vAlign w:val="center"/>
          </w:tcPr>
          <w:p w:rsidRPr="00652938" w:rsidR="00203336" w:rsidP="00203336" w:rsidRDefault="00203336" w14:paraId="0EB6BA79" w14:textId="20F83299">
            <w:pPr>
              <w:kinsoku w:val="0"/>
              <w:overflowPunct w:val="0"/>
              <w:ind w:right="97"/>
              <w:jc w:val="center"/>
              <w:rPr>
                <w:sz w:val="24"/>
              </w:rPr>
            </w:pPr>
          </w:p>
        </w:tc>
        <w:tc>
          <w:tcPr>
            <w:tcW w:w="993" w:type="dxa"/>
          </w:tcPr>
          <w:p w:rsidRPr="00652938" w:rsidR="00203336" w:rsidP="00203336" w:rsidRDefault="00203336" w14:paraId="353584F0" w14:textId="77777777">
            <w:pPr>
              <w:kinsoku w:val="0"/>
              <w:overflowPunct w:val="0"/>
              <w:jc w:val="center"/>
              <w:rPr>
                <w:spacing w:val="-2"/>
                <w:sz w:val="24"/>
              </w:rPr>
            </w:pPr>
          </w:p>
        </w:tc>
        <w:tc>
          <w:tcPr>
            <w:tcW w:w="1317" w:type="dxa"/>
            <w:tcMar>
              <w:left w:w="72" w:type="dxa"/>
              <w:right w:w="72" w:type="dxa"/>
            </w:tcMar>
            <w:vAlign w:val="center"/>
          </w:tcPr>
          <w:p w:rsidRPr="00652938" w:rsidR="00203336" w:rsidP="00203336" w:rsidRDefault="00203336" w14:paraId="131C7DFD" w14:textId="5053AD8B">
            <w:pPr>
              <w:kinsoku w:val="0"/>
              <w:overflowPunct w:val="0"/>
              <w:jc w:val="center"/>
              <w:rPr>
                <w:sz w:val="24"/>
              </w:rPr>
            </w:pPr>
            <w:r w:rsidRPr="00652938">
              <w:rPr>
                <w:spacing w:val="-2"/>
                <w:sz w:val="24"/>
              </w:rPr>
              <w:t>$16,450</w:t>
            </w:r>
          </w:p>
        </w:tc>
      </w:tr>
      <w:tr w:rsidRPr="008C718D" w:rsidR="00203336" w:rsidTr="00B77A16" w14:paraId="074BE59C" w14:textId="77777777">
        <w:trPr>
          <w:trHeight w:val="256"/>
          <w:jc w:val="center"/>
        </w:trPr>
        <w:tc>
          <w:tcPr>
            <w:tcW w:w="2435" w:type="dxa"/>
            <w:gridSpan w:val="2"/>
            <w:tcMar>
              <w:left w:w="72" w:type="dxa"/>
              <w:right w:w="72" w:type="dxa"/>
            </w:tcMar>
            <w:vAlign w:val="center"/>
          </w:tcPr>
          <w:p w:rsidRPr="00652938" w:rsidR="00203336" w:rsidP="00203336" w:rsidRDefault="00203336" w14:paraId="4F1A371D" w14:textId="33235B5B">
            <w:pPr>
              <w:kinsoku w:val="0"/>
              <w:overflowPunct w:val="0"/>
              <w:rPr>
                <w:spacing w:val="-1"/>
                <w:sz w:val="24"/>
              </w:rPr>
            </w:pPr>
            <w:r w:rsidRPr="00652938">
              <w:rPr>
                <w:spacing w:val="-1"/>
                <w:sz w:val="24"/>
              </w:rPr>
              <w:t>Survey Administration</w:t>
            </w:r>
          </w:p>
        </w:tc>
        <w:tc>
          <w:tcPr>
            <w:tcW w:w="1172" w:type="dxa"/>
            <w:tcMar>
              <w:left w:w="72" w:type="dxa"/>
              <w:right w:w="72" w:type="dxa"/>
            </w:tcMar>
            <w:vAlign w:val="center"/>
          </w:tcPr>
          <w:p w:rsidRPr="00652938" w:rsidR="00203336" w:rsidP="00203336" w:rsidRDefault="00203336" w14:paraId="0A6A8021" w14:textId="6CB9DDCA">
            <w:pPr>
              <w:kinsoku w:val="0"/>
              <w:overflowPunct w:val="0"/>
              <w:ind w:right="97"/>
              <w:jc w:val="center"/>
              <w:rPr>
                <w:sz w:val="24"/>
              </w:rPr>
            </w:pPr>
          </w:p>
        </w:tc>
        <w:tc>
          <w:tcPr>
            <w:tcW w:w="1082" w:type="dxa"/>
            <w:tcMar>
              <w:left w:w="72" w:type="dxa"/>
              <w:right w:w="72" w:type="dxa"/>
            </w:tcMar>
            <w:vAlign w:val="center"/>
          </w:tcPr>
          <w:p w:rsidRPr="00652938" w:rsidR="00203336" w:rsidP="00203336" w:rsidRDefault="00203336" w14:paraId="32C234D3" w14:textId="317E6FCA">
            <w:pPr>
              <w:kinsoku w:val="0"/>
              <w:overflowPunct w:val="0"/>
              <w:ind w:right="97"/>
              <w:jc w:val="center"/>
              <w:rPr>
                <w:sz w:val="24"/>
              </w:rPr>
            </w:pPr>
          </w:p>
        </w:tc>
        <w:tc>
          <w:tcPr>
            <w:tcW w:w="1173" w:type="dxa"/>
            <w:tcMar>
              <w:left w:w="72" w:type="dxa"/>
              <w:right w:w="72" w:type="dxa"/>
            </w:tcMar>
            <w:vAlign w:val="center"/>
          </w:tcPr>
          <w:p w:rsidRPr="00652938" w:rsidR="00203336" w:rsidP="00203336" w:rsidRDefault="00203336" w14:paraId="5F715D64" w14:textId="5A937751">
            <w:pPr>
              <w:kinsoku w:val="0"/>
              <w:overflowPunct w:val="0"/>
              <w:ind w:right="97"/>
              <w:jc w:val="center"/>
              <w:rPr>
                <w:sz w:val="24"/>
                <w:highlight w:val="yellow"/>
              </w:rPr>
            </w:pPr>
          </w:p>
        </w:tc>
        <w:tc>
          <w:tcPr>
            <w:tcW w:w="1083" w:type="dxa"/>
            <w:tcMar>
              <w:left w:w="72" w:type="dxa"/>
              <w:right w:w="72" w:type="dxa"/>
            </w:tcMar>
            <w:vAlign w:val="center"/>
          </w:tcPr>
          <w:p w:rsidRPr="00652938" w:rsidR="00203336" w:rsidP="00203336" w:rsidRDefault="00203336" w14:paraId="3BC145CD" w14:textId="171CF6C2">
            <w:pPr>
              <w:kinsoku w:val="0"/>
              <w:overflowPunct w:val="0"/>
              <w:ind w:right="97"/>
              <w:jc w:val="center"/>
              <w:rPr>
                <w:sz w:val="24"/>
                <w:highlight w:val="yellow"/>
              </w:rPr>
            </w:pPr>
            <w:r w:rsidRPr="00652938">
              <w:rPr>
                <w:spacing w:val="-2"/>
                <w:sz w:val="24"/>
              </w:rPr>
              <w:t>$97,129</w:t>
            </w:r>
          </w:p>
        </w:tc>
        <w:tc>
          <w:tcPr>
            <w:tcW w:w="993" w:type="dxa"/>
          </w:tcPr>
          <w:p w:rsidRPr="00652938" w:rsidR="00203336" w:rsidP="00203336" w:rsidRDefault="00203336" w14:paraId="002310E6" w14:textId="77777777">
            <w:pPr>
              <w:kinsoku w:val="0"/>
              <w:overflowPunct w:val="0"/>
              <w:jc w:val="center"/>
              <w:rPr>
                <w:spacing w:val="-2"/>
                <w:sz w:val="24"/>
              </w:rPr>
            </w:pPr>
          </w:p>
        </w:tc>
        <w:tc>
          <w:tcPr>
            <w:tcW w:w="1317" w:type="dxa"/>
            <w:tcMar>
              <w:left w:w="72" w:type="dxa"/>
              <w:right w:w="72" w:type="dxa"/>
            </w:tcMar>
            <w:vAlign w:val="center"/>
          </w:tcPr>
          <w:p w:rsidRPr="00652938" w:rsidR="00203336" w:rsidP="00203336" w:rsidRDefault="00203336" w14:paraId="009FA364" w14:textId="6139C40D">
            <w:pPr>
              <w:kinsoku w:val="0"/>
              <w:overflowPunct w:val="0"/>
              <w:jc w:val="center"/>
              <w:rPr>
                <w:sz w:val="24"/>
              </w:rPr>
            </w:pPr>
            <w:r w:rsidRPr="00652938">
              <w:rPr>
                <w:spacing w:val="-2"/>
                <w:sz w:val="24"/>
              </w:rPr>
              <w:t>$97,129</w:t>
            </w:r>
          </w:p>
        </w:tc>
      </w:tr>
      <w:tr w:rsidRPr="008C718D" w:rsidR="00203336" w:rsidTr="00B77A16" w14:paraId="6513A73A" w14:textId="77777777">
        <w:trPr>
          <w:trHeight w:val="497"/>
          <w:jc w:val="center"/>
        </w:trPr>
        <w:tc>
          <w:tcPr>
            <w:tcW w:w="2435" w:type="dxa"/>
            <w:gridSpan w:val="2"/>
            <w:tcMar>
              <w:left w:w="72" w:type="dxa"/>
              <w:right w:w="72" w:type="dxa"/>
            </w:tcMar>
            <w:vAlign w:val="center"/>
          </w:tcPr>
          <w:p w:rsidRPr="00652938" w:rsidR="00203336" w:rsidP="00203336" w:rsidRDefault="00203336" w14:paraId="05B44095" w14:textId="7A1F647F">
            <w:pPr>
              <w:kinsoku w:val="0"/>
              <w:overflowPunct w:val="0"/>
              <w:rPr>
                <w:spacing w:val="-1"/>
                <w:sz w:val="24"/>
              </w:rPr>
            </w:pPr>
            <w:r w:rsidRPr="00652938">
              <w:rPr>
                <w:spacing w:val="-1"/>
                <w:sz w:val="24"/>
              </w:rPr>
              <w:t>Survey Data Analysis and Reporting</w:t>
            </w:r>
          </w:p>
        </w:tc>
        <w:tc>
          <w:tcPr>
            <w:tcW w:w="1172" w:type="dxa"/>
            <w:tcMar>
              <w:left w:w="72" w:type="dxa"/>
              <w:right w:w="72" w:type="dxa"/>
            </w:tcMar>
            <w:vAlign w:val="center"/>
          </w:tcPr>
          <w:p w:rsidRPr="00652938" w:rsidR="00203336" w:rsidP="00203336" w:rsidRDefault="00203336" w14:paraId="20EF79B6" w14:textId="215F51C7">
            <w:pPr>
              <w:kinsoku w:val="0"/>
              <w:overflowPunct w:val="0"/>
              <w:ind w:right="97"/>
              <w:jc w:val="center"/>
              <w:rPr>
                <w:sz w:val="24"/>
              </w:rPr>
            </w:pPr>
          </w:p>
        </w:tc>
        <w:tc>
          <w:tcPr>
            <w:tcW w:w="1082" w:type="dxa"/>
            <w:tcMar>
              <w:left w:w="72" w:type="dxa"/>
              <w:right w:w="72" w:type="dxa"/>
            </w:tcMar>
            <w:vAlign w:val="center"/>
          </w:tcPr>
          <w:p w:rsidRPr="00652938" w:rsidR="00203336" w:rsidP="00203336" w:rsidRDefault="00203336" w14:paraId="1E1CF2DE" w14:textId="66553D95">
            <w:pPr>
              <w:kinsoku w:val="0"/>
              <w:overflowPunct w:val="0"/>
              <w:ind w:right="97"/>
              <w:jc w:val="center"/>
              <w:rPr>
                <w:sz w:val="24"/>
              </w:rPr>
            </w:pPr>
          </w:p>
        </w:tc>
        <w:tc>
          <w:tcPr>
            <w:tcW w:w="1173" w:type="dxa"/>
            <w:tcMar>
              <w:left w:w="72" w:type="dxa"/>
              <w:right w:w="72" w:type="dxa"/>
            </w:tcMar>
            <w:vAlign w:val="center"/>
          </w:tcPr>
          <w:p w:rsidRPr="00652938" w:rsidR="00203336" w:rsidP="00203336" w:rsidRDefault="00203336" w14:paraId="579DE785" w14:textId="6F287131">
            <w:pPr>
              <w:kinsoku w:val="0"/>
              <w:overflowPunct w:val="0"/>
              <w:ind w:right="97"/>
              <w:jc w:val="center"/>
              <w:rPr>
                <w:sz w:val="24"/>
                <w:highlight w:val="yellow"/>
              </w:rPr>
            </w:pPr>
          </w:p>
        </w:tc>
        <w:tc>
          <w:tcPr>
            <w:tcW w:w="1083" w:type="dxa"/>
            <w:tcMar>
              <w:left w:w="72" w:type="dxa"/>
              <w:right w:w="72" w:type="dxa"/>
            </w:tcMar>
            <w:vAlign w:val="center"/>
          </w:tcPr>
          <w:p w:rsidRPr="00652938" w:rsidR="00203336" w:rsidP="00203336" w:rsidRDefault="00203336" w14:paraId="6F1E47DD" w14:textId="658E29F9">
            <w:pPr>
              <w:kinsoku w:val="0"/>
              <w:overflowPunct w:val="0"/>
              <w:ind w:right="97"/>
              <w:jc w:val="center"/>
              <w:rPr>
                <w:sz w:val="24"/>
                <w:highlight w:val="yellow"/>
              </w:rPr>
            </w:pPr>
          </w:p>
        </w:tc>
        <w:tc>
          <w:tcPr>
            <w:tcW w:w="993" w:type="dxa"/>
            <w:vAlign w:val="center"/>
          </w:tcPr>
          <w:p w:rsidRPr="00652938" w:rsidR="00203336" w:rsidP="00203336" w:rsidRDefault="00203336" w14:paraId="6C207A1A" w14:textId="3138124D">
            <w:pPr>
              <w:kinsoku w:val="0"/>
              <w:overflowPunct w:val="0"/>
              <w:jc w:val="center"/>
              <w:rPr>
                <w:spacing w:val="-2"/>
                <w:sz w:val="24"/>
              </w:rPr>
            </w:pPr>
            <w:r w:rsidRPr="00652938">
              <w:rPr>
                <w:spacing w:val="-2"/>
                <w:sz w:val="24"/>
              </w:rPr>
              <w:t>$64,917</w:t>
            </w:r>
          </w:p>
        </w:tc>
        <w:tc>
          <w:tcPr>
            <w:tcW w:w="1317" w:type="dxa"/>
            <w:tcMar>
              <w:left w:w="72" w:type="dxa"/>
              <w:right w:w="72" w:type="dxa"/>
            </w:tcMar>
            <w:vAlign w:val="center"/>
          </w:tcPr>
          <w:p w:rsidRPr="00652938" w:rsidR="00203336" w:rsidP="00203336" w:rsidRDefault="00203336" w14:paraId="77B7E686" w14:textId="19ED196A">
            <w:pPr>
              <w:kinsoku w:val="0"/>
              <w:overflowPunct w:val="0"/>
              <w:jc w:val="center"/>
              <w:rPr>
                <w:sz w:val="24"/>
              </w:rPr>
            </w:pPr>
            <w:r w:rsidRPr="00652938">
              <w:rPr>
                <w:spacing w:val="-2"/>
                <w:sz w:val="24"/>
              </w:rPr>
              <w:t>$64,917</w:t>
            </w:r>
          </w:p>
        </w:tc>
      </w:tr>
      <w:tr w:rsidRPr="008C718D" w:rsidR="00203336" w:rsidTr="00B77A16" w14:paraId="5F80A1C1" w14:textId="77777777">
        <w:trPr>
          <w:trHeight w:val="256"/>
          <w:jc w:val="center"/>
        </w:trPr>
        <w:tc>
          <w:tcPr>
            <w:tcW w:w="2435" w:type="dxa"/>
            <w:gridSpan w:val="2"/>
            <w:tcBorders>
              <w:bottom w:val="single" w:color="auto" w:sz="12" w:space="0"/>
            </w:tcBorders>
            <w:tcMar>
              <w:left w:w="72" w:type="dxa"/>
              <w:right w:w="72" w:type="dxa"/>
            </w:tcMar>
            <w:vAlign w:val="center"/>
          </w:tcPr>
          <w:p w:rsidRPr="00652938" w:rsidR="00203336" w:rsidP="00203336" w:rsidRDefault="00203336" w14:paraId="618FB82C" w14:textId="77777777">
            <w:pPr>
              <w:kinsoku w:val="0"/>
              <w:overflowPunct w:val="0"/>
              <w:rPr>
                <w:b/>
                <w:sz w:val="24"/>
              </w:rPr>
            </w:pPr>
            <w:r w:rsidRPr="00652938">
              <w:rPr>
                <w:b/>
                <w:bCs/>
                <w:spacing w:val="-1"/>
                <w:sz w:val="24"/>
              </w:rPr>
              <w:t>Total</w:t>
            </w:r>
          </w:p>
        </w:tc>
        <w:tc>
          <w:tcPr>
            <w:tcW w:w="1172" w:type="dxa"/>
            <w:tcBorders>
              <w:bottom w:val="single" w:color="auto" w:sz="12" w:space="0"/>
            </w:tcBorders>
            <w:tcMar>
              <w:left w:w="72" w:type="dxa"/>
              <w:right w:w="72" w:type="dxa"/>
            </w:tcMar>
            <w:vAlign w:val="center"/>
          </w:tcPr>
          <w:p w:rsidRPr="00652938" w:rsidR="00203336" w:rsidP="00203336" w:rsidRDefault="00203336" w14:paraId="7D32E7EC" w14:textId="1BA6DFE3">
            <w:pPr>
              <w:kinsoku w:val="0"/>
              <w:overflowPunct w:val="0"/>
              <w:ind w:right="97"/>
              <w:jc w:val="center"/>
              <w:rPr>
                <w:sz w:val="24"/>
                <w:highlight w:val="yellow"/>
              </w:rPr>
            </w:pPr>
            <w:r w:rsidRPr="00652938">
              <w:rPr>
                <w:color w:val="000000"/>
                <w:sz w:val="24"/>
              </w:rPr>
              <w:t>$7,466</w:t>
            </w:r>
          </w:p>
        </w:tc>
        <w:tc>
          <w:tcPr>
            <w:tcW w:w="1082" w:type="dxa"/>
            <w:tcBorders>
              <w:bottom w:val="single" w:color="auto" w:sz="12" w:space="0"/>
            </w:tcBorders>
            <w:tcMar>
              <w:left w:w="72" w:type="dxa"/>
              <w:right w:w="72" w:type="dxa"/>
            </w:tcMar>
            <w:vAlign w:val="center"/>
          </w:tcPr>
          <w:p w:rsidRPr="00652938" w:rsidR="00203336" w:rsidP="00203336" w:rsidRDefault="00203336" w14:paraId="24F8456B" w14:textId="7E72F827">
            <w:pPr>
              <w:kinsoku w:val="0"/>
              <w:overflowPunct w:val="0"/>
              <w:ind w:right="97"/>
              <w:jc w:val="center"/>
              <w:rPr>
                <w:sz w:val="24"/>
                <w:highlight w:val="yellow"/>
              </w:rPr>
            </w:pPr>
            <w:r w:rsidRPr="00652938">
              <w:rPr>
                <w:color w:val="000000"/>
                <w:sz w:val="24"/>
              </w:rPr>
              <w:t>$22,359</w:t>
            </w:r>
          </w:p>
        </w:tc>
        <w:tc>
          <w:tcPr>
            <w:tcW w:w="1173" w:type="dxa"/>
            <w:tcBorders>
              <w:bottom w:val="single" w:color="auto" w:sz="12" w:space="0"/>
            </w:tcBorders>
            <w:tcMar>
              <w:left w:w="72" w:type="dxa"/>
              <w:right w:w="72" w:type="dxa"/>
            </w:tcMar>
            <w:vAlign w:val="center"/>
          </w:tcPr>
          <w:p w:rsidRPr="00652938" w:rsidR="00203336" w:rsidP="00203336" w:rsidRDefault="00203336" w14:paraId="638BD6F0" w14:textId="71E878E6">
            <w:pPr>
              <w:kinsoku w:val="0"/>
              <w:overflowPunct w:val="0"/>
              <w:ind w:right="97"/>
              <w:jc w:val="center"/>
              <w:rPr>
                <w:sz w:val="24"/>
                <w:highlight w:val="yellow"/>
              </w:rPr>
            </w:pPr>
            <w:r w:rsidRPr="00652938">
              <w:rPr>
                <w:color w:val="000000"/>
                <w:sz w:val="24"/>
              </w:rPr>
              <w:t>$52,018</w:t>
            </w:r>
          </w:p>
        </w:tc>
        <w:tc>
          <w:tcPr>
            <w:tcW w:w="1083" w:type="dxa"/>
            <w:tcBorders>
              <w:bottom w:val="single" w:color="auto" w:sz="12" w:space="0"/>
            </w:tcBorders>
            <w:tcMar>
              <w:left w:w="72" w:type="dxa"/>
              <w:right w:w="72" w:type="dxa"/>
            </w:tcMar>
            <w:vAlign w:val="center"/>
          </w:tcPr>
          <w:p w:rsidRPr="00652938" w:rsidR="00203336" w:rsidP="00203336" w:rsidRDefault="00203336" w14:paraId="61995C2E" w14:textId="37F4B6D3">
            <w:pPr>
              <w:kinsoku w:val="0"/>
              <w:overflowPunct w:val="0"/>
              <w:ind w:right="97"/>
              <w:jc w:val="center"/>
              <w:rPr>
                <w:sz w:val="24"/>
                <w:highlight w:val="yellow"/>
              </w:rPr>
            </w:pPr>
            <w:r w:rsidRPr="00652938">
              <w:rPr>
                <w:color w:val="000000"/>
                <w:sz w:val="24"/>
              </w:rPr>
              <w:t>$97,129</w:t>
            </w:r>
          </w:p>
        </w:tc>
        <w:tc>
          <w:tcPr>
            <w:tcW w:w="993" w:type="dxa"/>
            <w:tcBorders>
              <w:bottom w:val="single" w:color="auto" w:sz="12" w:space="0"/>
            </w:tcBorders>
          </w:tcPr>
          <w:p w:rsidRPr="00652938" w:rsidR="00203336" w:rsidP="00203336" w:rsidRDefault="00203336" w14:paraId="53410205" w14:textId="3953D531">
            <w:pPr>
              <w:kinsoku w:val="0"/>
              <w:overflowPunct w:val="0"/>
              <w:jc w:val="center"/>
              <w:rPr>
                <w:color w:val="000000"/>
                <w:sz w:val="24"/>
              </w:rPr>
            </w:pPr>
            <w:r w:rsidRPr="00652938">
              <w:rPr>
                <w:color w:val="000000"/>
                <w:sz w:val="24"/>
              </w:rPr>
              <w:t>$64,917</w:t>
            </w:r>
          </w:p>
        </w:tc>
        <w:tc>
          <w:tcPr>
            <w:tcW w:w="1317" w:type="dxa"/>
            <w:tcBorders>
              <w:bottom w:val="single" w:color="auto" w:sz="12" w:space="0"/>
            </w:tcBorders>
            <w:tcMar>
              <w:left w:w="72" w:type="dxa"/>
              <w:right w:w="72" w:type="dxa"/>
            </w:tcMar>
            <w:vAlign w:val="center"/>
          </w:tcPr>
          <w:p w:rsidRPr="00652938" w:rsidR="00203336" w:rsidP="00203336" w:rsidRDefault="00203336" w14:paraId="537235A3" w14:textId="34F91901">
            <w:pPr>
              <w:kinsoku w:val="0"/>
              <w:overflowPunct w:val="0"/>
              <w:jc w:val="center"/>
              <w:rPr>
                <w:sz w:val="24"/>
                <w:highlight w:val="yellow"/>
              </w:rPr>
            </w:pPr>
            <w:r w:rsidRPr="00652938">
              <w:rPr>
                <w:color w:val="000000"/>
                <w:sz w:val="24"/>
              </w:rPr>
              <w:t>$243,889</w:t>
            </w:r>
          </w:p>
        </w:tc>
      </w:tr>
      <w:tr w:rsidRPr="008C718D" w:rsidR="00203336" w:rsidTr="00B77A16" w14:paraId="74747C7C" w14:textId="77777777">
        <w:trPr>
          <w:trHeight w:val="2549"/>
          <w:jc w:val="center"/>
        </w:trPr>
        <w:tc>
          <w:tcPr>
            <w:tcW w:w="20" w:type="dxa"/>
            <w:tcBorders>
              <w:top w:val="single" w:color="auto" w:sz="12" w:space="0"/>
              <w:left w:val="nil"/>
              <w:bottom w:val="nil"/>
              <w:right w:val="nil"/>
            </w:tcBorders>
          </w:tcPr>
          <w:p w:rsidRPr="00652938" w:rsidR="00203336" w:rsidP="00203336" w:rsidRDefault="00203336" w14:paraId="4FF7B2B1" w14:textId="77777777">
            <w:pPr>
              <w:kinsoku w:val="0"/>
              <w:overflowPunct w:val="0"/>
              <w:rPr>
                <w:bCs/>
                <w:color w:val="000000"/>
                <w:sz w:val="24"/>
              </w:rPr>
            </w:pPr>
          </w:p>
        </w:tc>
        <w:tc>
          <w:tcPr>
            <w:tcW w:w="9235" w:type="dxa"/>
            <w:gridSpan w:val="7"/>
            <w:tcBorders>
              <w:top w:val="single" w:color="auto" w:sz="12" w:space="0"/>
              <w:left w:val="nil"/>
              <w:bottom w:val="nil"/>
              <w:right w:val="nil"/>
            </w:tcBorders>
            <w:tcMar>
              <w:left w:w="72" w:type="dxa"/>
              <w:right w:w="72" w:type="dxa"/>
            </w:tcMar>
            <w:vAlign w:val="center"/>
          </w:tcPr>
          <w:p w:rsidRPr="00652938" w:rsidR="00203336" w:rsidP="00203336" w:rsidRDefault="00203336" w14:paraId="69FA0FA5" w14:textId="7E2704BC">
            <w:pPr>
              <w:kinsoku w:val="0"/>
              <w:overflowPunct w:val="0"/>
              <w:rPr>
                <w:bCs/>
                <w:color w:val="000000"/>
                <w:sz w:val="24"/>
              </w:rPr>
            </w:pPr>
            <w:r w:rsidRPr="00652938">
              <w:rPr>
                <w:bCs/>
                <w:color w:val="000000"/>
                <w:sz w:val="24"/>
                <w:vertAlign w:val="superscript"/>
              </w:rPr>
              <w:t>[a]</w:t>
            </w:r>
            <w:r w:rsidRPr="00652938">
              <w:rPr>
                <w:bCs/>
                <w:color w:val="000000"/>
                <w:sz w:val="24"/>
              </w:rPr>
              <w:t xml:space="preserve"> Totals may not </w:t>
            </w:r>
            <w:r w:rsidRPr="00652938" w:rsidR="00FC67A7">
              <w:rPr>
                <w:bCs/>
                <w:color w:val="000000"/>
                <w:sz w:val="24"/>
              </w:rPr>
              <w:t>sum,</w:t>
            </w:r>
            <w:r w:rsidRPr="00652938">
              <w:rPr>
                <w:bCs/>
                <w:color w:val="000000"/>
                <w:sz w:val="24"/>
              </w:rPr>
              <w:t xml:space="preserve"> and calculations may produce different results due to rounding and truncated inputs.</w:t>
            </w:r>
          </w:p>
          <w:p w:rsidRPr="00652938" w:rsidR="00203336" w:rsidP="00203336" w:rsidRDefault="00203336" w14:paraId="537A40C3" w14:textId="137D0268">
            <w:pPr>
              <w:kinsoku w:val="0"/>
              <w:overflowPunct w:val="0"/>
              <w:rPr>
                <w:bCs/>
                <w:color w:val="000000"/>
                <w:sz w:val="24"/>
              </w:rPr>
            </w:pPr>
            <w:r w:rsidRPr="00652938">
              <w:rPr>
                <w:bCs/>
                <w:color w:val="000000"/>
                <w:sz w:val="24"/>
                <w:vertAlign w:val="superscript"/>
              </w:rPr>
              <w:t>[b]</w:t>
            </w:r>
            <w:r w:rsidRPr="00652938">
              <w:rPr>
                <w:bCs/>
                <w:color w:val="000000"/>
                <w:sz w:val="24"/>
              </w:rPr>
              <w:t xml:space="preserve"> Current period of performance ends December 17</w:t>
            </w:r>
            <w:r w:rsidRPr="00652938" w:rsidR="00AE3275">
              <w:rPr>
                <w:bCs/>
                <w:color w:val="000000"/>
                <w:sz w:val="24"/>
              </w:rPr>
              <w:t>, 2021</w:t>
            </w:r>
            <w:r w:rsidRPr="00652938">
              <w:rPr>
                <w:bCs/>
                <w:color w:val="000000"/>
                <w:sz w:val="24"/>
              </w:rPr>
              <w:t>.</w:t>
            </w:r>
          </w:p>
          <w:p w:rsidRPr="00652938" w:rsidR="00203336" w:rsidP="00203336" w:rsidRDefault="00203336" w14:paraId="1C4CCF90" w14:textId="109D2429">
            <w:pPr>
              <w:kinsoku w:val="0"/>
              <w:overflowPunct w:val="0"/>
              <w:rPr>
                <w:bCs/>
                <w:color w:val="000000"/>
                <w:sz w:val="24"/>
              </w:rPr>
            </w:pPr>
            <w:r w:rsidRPr="00652938">
              <w:rPr>
                <w:bCs/>
                <w:color w:val="000000"/>
                <w:sz w:val="24"/>
                <w:vertAlign w:val="superscript"/>
              </w:rPr>
              <w:t>[c]</w:t>
            </w:r>
            <w:r w:rsidRPr="00652938">
              <w:rPr>
                <w:bCs/>
                <w:color w:val="000000"/>
                <w:sz w:val="24"/>
              </w:rPr>
              <w:t xml:space="preserve"> Assumes a single GS-14 staff. According to national industry-specific occupational employment and wage estimates (BLS, 2018b), social scientist and related workers in “Management, Scientific, and Technical Consulting Services” (NAICS 541600) on average earned $47.25 in 2018, which is approximately $66.15 including benefits ($47.25 * 1.47). </w:t>
            </w:r>
            <w:hyperlink w:history="1" w:anchor="19-0000" r:id="rId8">
              <w:r w:rsidRPr="00652938">
                <w:rPr>
                  <w:rStyle w:val="Hyperlink"/>
                  <w:bCs/>
                  <w:sz w:val="24"/>
                </w:rPr>
                <w:t>https://www.bls.gov/oes/current/naics4_541600.htm#19-0000</w:t>
              </w:r>
            </w:hyperlink>
          </w:p>
          <w:p w:rsidRPr="00652938" w:rsidR="00203336" w:rsidP="00203336" w:rsidRDefault="00203336" w14:paraId="0FD834F6" w14:textId="08B48C5C">
            <w:pPr>
              <w:kinsoku w:val="0"/>
              <w:overflowPunct w:val="0"/>
              <w:rPr>
                <w:color w:val="000000"/>
                <w:sz w:val="24"/>
              </w:rPr>
            </w:pPr>
            <w:r w:rsidRPr="00652938">
              <w:rPr>
                <w:bCs/>
                <w:color w:val="000000"/>
                <w:sz w:val="24"/>
                <w:vertAlign w:val="superscript"/>
              </w:rPr>
              <w:t>[d]</w:t>
            </w:r>
            <w:r w:rsidRPr="00652938">
              <w:rPr>
                <w:bCs/>
                <w:color w:val="000000"/>
                <w:sz w:val="24"/>
              </w:rPr>
              <w:t xml:space="preserve"> Consists of contractor costs estimated at $103.34 per hour on average, including labor and overhead charges.</w:t>
            </w:r>
          </w:p>
        </w:tc>
      </w:tr>
    </w:tbl>
    <w:p w:rsidRPr="00652938" w:rsidR="0064259F" w:rsidP="00652938" w:rsidRDefault="00C9092B" w14:paraId="22A4DB2F" w14:textId="26BACAF0">
      <w:pPr>
        <w:pStyle w:val="Heading2"/>
        <w:ind w:left="0" w:firstLine="0"/>
        <w:rPr>
          <w:rFonts w:ascii="Times New Roman" w:hAnsi="Times New Roman"/>
          <w:b w:val="0"/>
          <w:szCs w:val="24"/>
          <w:u w:val="single"/>
        </w:rPr>
      </w:pPr>
      <w:bookmarkStart w:name="_Toc410331589" w:id="82"/>
      <w:bookmarkStart w:name="_Toc410331695" w:id="83"/>
      <w:bookmarkStart w:name="_Toc429570383" w:id="84"/>
      <w:bookmarkStart w:name="_Toc431546790" w:id="85"/>
      <w:bookmarkStart w:name="ChangestoBurden" w:id="86"/>
      <w:r w:rsidRPr="00F26611">
        <w:rPr>
          <w:rFonts w:ascii="Times New Roman" w:hAnsi="Times New Roman"/>
          <w:b w:val="0"/>
          <w:szCs w:val="24"/>
        </w:rPr>
        <w:t>15.</w:t>
      </w:r>
      <w:r w:rsidRPr="00F26611">
        <w:rPr>
          <w:rFonts w:ascii="Times New Roman" w:hAnsi="Times New Roman"/>
          <w:b w:val="0"/>
          <w:szCs w:val="24"/>
        </w:rPr>
        <w:tab/>
      </w:r>
      <w:r>
        <w:rPr>
          <w:rFonts w:ascii="Times New Roman" w:hAnsi="Times New Roman"/>
          <w:b w:val="0"/>
          <w:szCs w:val="24"/>
          <w:u w:val="single"/>
        </w:rPr>
        <w:t>Explanation for Program Changes or Adjustments</w:t>
      </w:r>
      <w:bookmarkEnd w:id="82"/>
      <w:bookmarkEnd w:id="83"/>
      <w:bookmarkEnd w:id="84"/>
      <w:bookmarkEnd w:id="85"/>
    </w:p>
    <w:bookmarkEnd w:id="86"/>
    <w:p w:rsidRPr="00652938" w:rsidR="0064259F" w:rsidP="00652938" w:rsidRDefault="00C9092B" w14:paraId="2979666E" w14:textId="6047166D">
      <w:pPr>
        <w:pStyle w:val="BodyTextFirstIndent"/>
        <w:ind w:firstLine="0"/>
        <w:rPr>
          <w:sz w:val="24"/>
          <w:szCs w:val="24"/>
        </w:rPr>
      </w:pPr>
      <w:r>
        <w:rPr>
          <w:sz w:val="24"/>
          <w:szCs w:val="24"/>
        </w:rPr>
        <w:t>T</w:t>
      </w:r>
      <w:r w:rsidRPr="00652938" w:rsidR="0064259F">
        <w:rPr>
          <w:sz w:val="24"/>
          <w:szCs w:val="24"/>
        </w:rPr>
        <w:t>his is a new</w:t>
      </w:r>
      <w:r>
        <w:rPr>
          <w:sz w:val="24"/>
          <w:szCs w:val="24"/>
        </w:rPr>
        <w:t xml:space="preserve"> </w:t>
      </w:r>
      <w:r w:rsidRPr="00652938" w:rsidR="0064259F">
        <w:rPr>
          <w:sz w:val="24"/>
          <w:szCs w:val="24"/>
        </w:rPr>
        <w:t>information collection.</w:t>
      </w:r>
    </w:p>
    <w:p w:rsidRPr="00652938" w:rsidR="0064259F" w:rsidP="00652938" w:rsidRDefault="00C9092B" w14:paraId="315B40F6" w14:textId="4AFBA29A">
      <w:pPr>
        <w:pStyle w:val="Heading2"/>
        <w:ind w:left="0" w:firstLine="0"/>
        <w:rPr>
          <w:rFonts w:ascii="Times New Roman" w:hAnsi="Times New Roman"/>
          <w:b w:val="0"/>
          <w:szCs w:val="24"/>
          <w:u w:val="single"/>
        </w:rPr>
      </w:pPr>
      <w:bookmarkStart w:name="_Toc410331590" w:id="87"/>
      <w:bookmarkStart w:name="_Toc410331696" w:id="88"/>
      <w:bookmarkStart w:name="_Toc429570384" w:id="89"/>
      <w:bookmarkStart w:name="_Toc431546791" w:id="90"/>
      <w:bookmarkStart w:name="Publication_TabulationDates" w:id="91"/>
      <w:r w:rsidRPr="00F26611">
        <w:rPr>
          <w:rFonts w:ascii="Times New Roman" w:hAnsi="Times New Roman"/>
          <w:b w:val="0"/>
          <w:szCs w:val="24"/>
        </w:rPr>
        <w:t>16.</w:t>
      </w:r>
      <w:r w:rsidRPr="00F26611">
        <w:rPr>
          <w:rFonts w:ascii="Times New Roman" w:hAnsi="Times New Roman"/>
          <w:b w:val="0"/>
          <w:szCs w:val="24"/>
        </w:rPr>
        <w:tab/>
      </w:r>
      <w:r>
        <w:rPr>
          <w:rFonts w:ascii="Times New Roman" w:hAnsi="Times New Roman"/>
          <w:b w:val="0"/>
          <w:szCs w:val="24"/>
          <w:u w:val="single"/>
        </w:rPr>
        <w:t xml:space="preserve">Plans for </w:t>
      </w:r>
      <w:r w:rsidRPr="00652938" w:rsidR="0064259F">
        <w:rPr>
          <w:rFonts w:ascii="Times New Roman" w:hAnsi="Times New Roman"/>
          <w:b w:val="0"/>
          <w:szCs w:val="24"/>
          <w:u w:val="single"/>
        </w:rPr>
        <w:t>Tabulation</w:t>
      </w:r>
      <w:r>
        <w:rPr>
          <w:rFonts w:ascii="Times New Roman" w:hAnsi="Times New Roman"/>
          <w:b w:val="0"/>
          <w:szCs w:val="24"/>
          <w:u w:val="single"/>
        </w:rPr>
        <w:t xml:space="preserve"> and Publication and Project Time Schedule</w:t>
      </w:r>
      <w:bookmarkEnd w:id="87"/>
      <w:bookmarkEnd w:id="88"/>
      <w:bookmarkEnd w:id="89"/>
      <w:bookmarkEnd w:id="90"/>
    </w:p>
    <w:bookmarkEnd w:id="91"/>
    <w:p w:rsidRPr="00652938" w:rsidR="0064259F" w:rsidP="00652938" w:rsidRDefault="00C86253" w14:paraId="14D7DD49" w14:textId="77777777">
      <w:pPr>
        <w:pStyle w:val="BodyTextFirstIndent"/>
        <w:ind w:firstLine="0"/>
        <w:rPr>
          <w:sz w:val="24"/>
          <w:szCs w:val="24"/>
        </w:rPr>
      </w:pPr>
      <w:r w:rsidRPr="00652938">
        <w:rPr>
          <w:sz w:val="24"/>
          <w:szCs w:val="24"/>
        </w:rPr>
        <w:t xml:space="preserve">Planning for the </w:t>
      </w:r>
      <w:r w:rsidRPr="00652938" w:rsidR="00BA1CCA">
        <w:rPr>
          <w:sz w:val="24"/>
          <w:szCs w:val="24"/>
        </w:rPr>
        <w:t>survey</w:t>
      </w:r>
      <w:r w:rsidRPr="00652938" w:rsidR="0064259F">
        <w:rPr>
          <w:sz w:val="24"/>
          <w:szCs w:val="24"/>
        </w:rPr>
        <w:t xml:space="preserve"> </w:t>
      </w:r>
      <w:r w:rsidRPr="00652938">
        <w:rPr>
          <w:sz w:val="24"/>
          <w:szCs w:val="24"/>
        </w:rPr>
        <w:t xml:space="preserve">started in </w:t>
      </w:r>
      <w:r w:rsidRPr="00652938" w:rsidR="00BA1CCA">
        <w:rPr>
          <w:sz w:val="24"/>
          <w:szCs w:val="24"/>
        </w:rPr>
        <w:t>November</w:t>
      </w:r>
      <w:r w:rsidRPr="00652938" w:rsidR="0064259F">
        <w:rPr>
          <w:sz w:val="24"/>
          <w:szCs w:val="24"/>
        </w:rPr>
        <w:t xml:space="preserve"> </w:t>
      </w:r>
      <w:r w:rsidRPr="00652938" w:rsidR="00BA1CCA">
        <w:rPr>
          <w:sz w:val="24"/>
          <w:szCs w:val="24"/>
        </w:rPr>
        <w:t>2017.</w:t>
      </w:r>
      <w:r w:rsidRPr="00652938">
        <w:rPr>
          <w:sz w:val="24"/>
          <w:szCs w:val="24"/>
        </w:rPr>
        <w:t xml:space="preserve"> All </w:t>
      </w:r>
      <w:r w:rsidRPr="00652938" w:rsidR="00D576A6">
        <w:rPr>
          <w:sz w:val="24"/>
          <w:szCs w:val="24"/>
        </w:rPr>
        <w:t xml:space="preserve">survey-related </w:t>
      </w:r>
      <w:r w:rsidRPr="00652938">
        <w:rPr>
          <w:sz w:val="24"/>
          <w:szCs w:val="24"/>
        </w:rPr>
        <w:t xml:space="preserve">activities will be completed </w:t>
      </w:r>
      <w:r w:rsidRPr="00652938" w:rsidR="00D576A6">
        <w:rPr>
          <w:sz w:val="24"/>
          <w:szCs w:val="24"/>
        </w:rPr>
        <w:t xml:space="preserve">within one year of OMB approval. The anonymized, aggregated results of the survey will be made available by the contractor to FDA. </w:t>
      </w:r>
      <w:r w:rsidRPr="00652938" w:rsidR="0064259F">
        <w:rPr>
          <w:sz w:val="24"/>
          <w:szCs w:val="24"/>
        </w:rPr>
        <w:t xml:space="preserve">The findings from </w:t>
      </w:r>
      <w:r w:rsidRPr="00652938" w:rsidR="00BA1CCA">
        <w:rPr>
          <w:sz w:val="24"/>
          <w:szCs w:val="24"/>
        </w:rPr>
        <w:t>the survey</w:t>
      </w:r>
      <w:r w:rsidRPr="00652938" w:rsidR="0064259F">
        <w:rPr>
          <w:sz w:val="24"/>
          <w:szCs w:val="24"/>
        </w:rPr>
        <w:t xml:space="preserve"> will be summarized </w:t>
      </w:r>
      <w:r w:rsidRPr="00652938" w:rsidR="00D576A6">
        <w:rPr>
          <w:sz w:val="24"/>
          <w:szCs w:val="24"/>
        </w:rPr>
        <w:t xml:space="preserve">and analyzed </w:t>
      </w:r>
      <w:r w:rsidRPr="00652938" w:rsidR="0064259F">
        <w:rPr>
          <w:sz w:val="24"/>
          <w:szCs w:val="24"/>
        </w:rPr>
        <w:t xml:space="preserve">in </w:t>
      </w:r>
      <w:r w:rsidRPr="00652938" w:rsidR="00D576A6">
        <w:rPr>
          <w:sz w:val="24"/>
          <w:szCs w:val="24"/>
        </w:rPr>
        <w:t>a report from the contractor to FDA.</w:t>
      </w:r>
    </w:p>
    <w:p w:rsidRPr="00652938" w:rsidR="0064259F" w:rsidP="00652938" w:rsidRDefault="00C9092B" w14:paraId="3850EAAC" w14:textId="27FEE44C">
      <w:pPr>
        <w:pStyle w:val="Heading2"/>
        <w:ind w:left="0" w:firstLine="0"/>
        <w:rPr>
          <w:rFonts w:ascii="Times New Roman" w:hAnsi="Times New Roman"/>
          <w:b w:val="0"/>
          <w:szCs w:val="24"/>
        </w:rPr>
      </w:pPr>
      <w:bookmarkStart w:name="_Toc410331593" w:id="92"/>
      <w:bookmarkStart w:name="_Toc410331699" w:id="93"/>
      <w:bookmarkStart w:name="_Toc429570388" w:id="94"/>
      <w:bookmarkStart w:name="_Toc431546794" w:id="95"/>
      <w:bookmarkStart w:name="ExpirationDate" w:id="96"/>
      <w:r w:rsidRPr="00652938">
        <w:rPr>
          <w:rFonts w:ascii="Times New Roman" w:hAnsi="Times New Roman"/>
          <w:b w:val="0"/>
          <w:szCs w:val="24"/>
        </w:rPr>
        <w:t>17.</w:t>
      </w:r>
      <w:r>
        <w:rPr>
          <w:rFonts w:ascii="Times New Roman" w:hAnsi="Times New Roman"/>
          <w:b w:val="0"/>
          <w:szCs w:val="24"/>
        </w:rPr>
        <w:tab/>
      </w:r>
      <w:r w:rsidRPr="00F26611">
        <w:rPr>
          <w:rFonts w:ascii="Times New Roman" w:hAnsi="Times New Roman"/>
          <w:b w:val="0"/>
          <w:szCs w:val="24"/>
          <w:u w:val="single"/>
        </w:rPr>
        <w:t xml:space="preserve">Reason(s) Display of OMB </w:t>
      </w:r>
      <w:r w:rsidRPr="00652938" w:rsidR="0064259F">
        <w:rPr>
          <w:rFonts w:ascii="Times New Roman" w:hAnsi="Times New Roman"/>
          <w:b w:val="0"/>
          <w:szCs w:val="24"/>
          <w:u w:val="single"/>
        </w:rPr>
        <w:t>Expiration Date</w:t>
      </w:r>
      <w:bookmarkEnd w:id="92"/>
      <w:bookmarkEnd w:id="93"/>
      <w:bookmarkEnd w:id="94"/>
      <w:bookmarkEnd w:id="95"/>
      <w:r>
        <w:rPr>
          <w:rFonts w:ascii="Times New Roman" w:hAnsi="Times New Roman"/>
          <w:b w:val="0"/>
          <w:szCs w:val="24"/>
          <w:u w:val="single"/>
        </w:rPr>
        <w:t xml:space="preserve"> is Inappropriate</w:t>
      </w:r>
    </w:p>
    <w:bookmarkEnd w:id="96"/>
    <w:p w:rsidRPr="00652938" w:rsidR="009776AD" w:rsidP="00652938" w:rsidRDefault="00031B65" w14:paraId="1347A852" w14:textId="77777777">
      <w:pPr>
        <w:pStyle w:val="BodyTextFirstIndent"/>
        <w:ind w:firstLine="0"/>
        <w:rPr>
          <w:sz w:val="24"/>
          <w:szCs w:val="24"/>
        </w:rPr>
      </w:pPr>
      <w:r w:rsidRPr="00652938">
        <w:rPr>
          <w:sz w:val="24"/>
          <w:szCs w:val="24"/>
        </w:rPr>
        <w:t xml:space="preserve">The </w:t>
      </w:r>
      <w:r w:rsidRPr="00652938" w:rsidR="0064259F">
        <w:rPr>
          <w:sz w:val="24"/>
          <w:szCs w:val="24"/>
        </w:rPr>
        <w:t xml:space="preserve">expiration date </w:t>
      </w:r>
      <w:r w:rsidRPr="00652938" w:rsidR="00D576A6">
        <w:rPr>
          <w:sz w:val="24"/>
          <w:szCs w:val="24"/>
        </w:rPr>
        <w:t xml:space="preserve">will be displayed </w:t>
      </w:r>
      <w:r w:rsidRPr="00652938" w:rsidR="0064259F">
        <w:rPr>
          <w:sz w:val="24"/>
          <w:szCs w:val="24"/>
        </w:rPr>
        <w:t xml:space="preserve">on </w:t>
      </w:r>
      <w:r w:rsidRPr="00652938" w:rsidR="00D576A6">
        <w:rPr>
          <w:sz w:val="24"/>
          <w:szCs w:val="24"/>
        </w:rPr>
        <w:t>all letters to the respondents and on each web page of the survey.</w:t>
      </w:r>
    </w:p>
    <w:p w:rsidRPr="00652938" w:rsidR="003A3542" w:rsidP="00652938" w:rsidRDefault="00C9092B" w14:paraId="3F11117A" w14:textId="5930C9FB">
      <w:pPr>
        <w:pStyle w:val="Heading2"/>
        <w:ind w:left="0" w:firstLine="0"/>
        <w:rPr>
          <w:rFonts w:ascii="Times New Roman" w:hAnsi="Times New Roman"/>
          <w:b w:val="0"/>
          <w:szCs w:val="24"/>
        </w:rPr>
      </w:pPr>
      <w:bookmarkStart w:name="CertificationStatement" w:id="97"/>
      <w:r w:rsidRPr="00652938">
        <w:rPr>
          <w:rFonts w:ascii="Times New Roman" w:hAnsi="Times New Roman"/>
          <w:b w:val="0"/>
          <w:szCs w:val="24"/>
        </w:rPr>
        <w:lastRenderedPageBreak/>
        <w:t>18.</w:t>
      </w:r>
      <w:r w:rsidRPr="00652938">
        <w:rPr>
          <w:rFonts w:ascii="Times New Roman" w:hAnsi="Times New Roman"/>
          <w:b w:val="0"/>
          <w:szCs w:val="24"/>
        </w:rPr>
        <w:tab/>
      </w:r>
      <w:r w:rsidR="00E04850">
        <w:rPr>
          <w:rFonts w:ascii="Times New Roman" w:hAnsi="Times New Roman"/>
          <w:b w:val="0"/>
          <w:szCs w:val="24"/>
          <w:u w:val="single"/>
        </w:rPr>
        <w:t xml:space="preserve">Exceptions to </w:t>
      </w:r>
      <w:r w:rsidRPr="00652938" w:rsidR="003A3542">
        <w:rPr>
          <w:rFonts w:ascii="Times New Roman" w:hAnsi="Times New Roman"/>
          <w:b w:val="0"/>
          <w:szCs w:val="24"/>
          <w:u w:val="single"/>
        </w:rPr>
        <w:t>Certification</w:t>
      </w:r>
      <w:r w:rsidR="00E04850">
        <w:rPr>
          <w:rFonts w:ascii="Times New Roman" w:hAnsi="Times New Roman"/>
          <w:b w:val="0"/>
          <w:szCs w:val="24"/>
          <w:u w:val="single"/>
        </w:rPr>
        <w:t xml:space="preserve"> for Paperwork Reduction Act Submissions</w:t>
      </w:r>
    </w:p>
    <w:bookmarkEnd w:id="97"/>
    <w:p w:rsidRPr="00652938" w:rsidR="003A3542" w:rsidP="00652938" w:rsidRDefault="00E04850" w14:paraId="0CD85E4C" w14:textId="5DC40DFE">
      <w:pPr>
        <w:pStyle w:val="BodyTextFirstIndent"/>
        <w:ind w:firstLine="0"/>
        <w:rPr>
          <w:sz w:val="24"/>
          <w:szCs w:val="24"/>
        </w:rPr>
      </w:pPr>
      <w:r>
        <w:rPr>
          <w:sz w:val="24"/>
          <w:szCs w:val="24"/>
        </w:rPr>
        <w:t>There are n</w:t>
      </w:r>
      <w:r w:rsidRPr="00652938" w:rsidR="003A3542">
        <w:rPr>
          <w:sz w:val="24"/>
          <w:szCs w:val="24"/>
        </w:rPr>
        <w:t xml:space="preserve">o exceptions </w:t>
      </w:r>
      <w:r>
        <w:rPr>
          <w:sz w:val="24"/>
          <w:szCs w:val="24"/>
        </w:rPr>
        <w:t>to the certification.</w:t>
      </w:r>
    </w:p>
    <w:p w:rsidR="00F26611" w:rsidP="00325A45" w:rsidRDefault="00F26611" w14:paraId="50D90169" w14:textId="77777777">
      <w:pPr>
        <w:pStyle w:val="Heading2"/>
        <w:ind w:left="360" w:hanging="360"/>
        <w:rPr>
          <w:rFonts w:ascii="Times New Roman" w:hAnsi="Times New Roman"/>
          <w:szCs w:val="24"/>
        </w:rPr>
      </w:pPr>
      <w:bookmarkStart w:name="References" w:id="98"/>
    </w:p>
    <w:p w:rsidR="00F26611" w:rsidP="00325A45" w:rsidRDefault="00F26611" w14:paraId="242A4431" w14:textId="77777777">
      <w:pPr>
        <w:pStyle w:val="Heading2"/>
        <w:ind w:left="360" w:hanging="360"/>
        <w:rPr>
          <w:rFonts w:ascii="Times New Roman" w:hAnsi="Times New Roman"/>
          <w:szCs w:val="24"/>
        </w:rPr>
      </w:pPr>
    </w:p>
    <w:p w:rsidR="00F26611" w:rsidP="00325A45" w:rsidRDefault="00F26611" w14:paraId="38BD97C0" w14:textId="77777777">
      <w:pPr>
        <w:pStyle w:val="Heading2"/>
        <w:ind w:left="360" w:hanging="360"/>
        <w:rPr>
          <w:rFonts w:ascii="Times New Roman" w:hAnsi="Times New Roman"/>
          <w:szCs w:val="24"/>
        </w:rPr>
      </w:pPr>
    </w:p>
    <w:p w:rsidRPr="00652938" w:rsidR="00A17FA3" w:rsidP="00325A45" w:rsidRDefault="009634E7" w14:paraId="63A64F71" w14:textId="6D74E68D">
      <w:pPr>
        <w:pStyle w:val="Heading2"/>
        <w:ind w:left="360" w:hanging="360"/>
        <w:rPr>
          <w:rFonts w:ascii="Times New Roman" w:hAnsi="Times New Roman"/>
          <w:szCs w:val="24"/>
        </w:rPr>
      </w:pPr>
      <w:r w:rsidRPr="00652938">
        <w:rPr>
          <w:rFonts w:ascii="Times New Roman" w:hAnsi="Times New Roman"/>
          <w:szCs w:val="24"/>
        </w:rPr>
        <w:t>References</w:t>
      </w:r>
    </w:p>
    <w:bookmarkEnd w:id="98"/>
    <w:p w:rsidRPr="00652938" w:rsidR="00B95A4C" w:rsidP="005140A0" w:rsidRDefault="00B95A4C" w14:paraId="7E4286FA" w14:textId="77777777">
      <w:pPr>
        <w:pStyle w:val="BodyTextIndent"/>
        <w:rPr>
          <w:sz w:val="24"/>
        </w:rPr>
      </w:pPr>
      <w:r w:rsidRPr="00652938">
        <w:rPr>
          <w:sz w:val="24"/>
        </w:rPr>
        <w:t xml:space="preserve">Bureau of Labor Statistics (BLS). </w:t>
      </w:r>
      <w:r w:rsidRPr="00652938" w:rsidR="004461F4">
        <w:rPr>
          <w:sz w:val="24"/>
        </w:rPr>
        <w:t>(</w:t>
      </w:r>
      <w:r w:rsidRPr="00652938">
        <w:rPr>
          <w:sz w:val="24"/>
        </w:rPr>
        <w:t>201</w:t>
      </w:r>
      <w:r w:rsidRPr="00652938" w:rsidR="007B7279">
        <w:rPr>
          <w:sz w:val="24"/>
        </w:rPr>
        <w:t>8</w:t>
      </w:r>
      <w:r w:rsidRPr="00652938" w:rsidR="006446CD">
        <w:rPr>
          <w:sz w:val="24"/>
        </w:rPr>
        <w:t>a</w:t>
      </w:r>
      <w:r w:rsidRPr="00652938" w:rsidR="004461F4">
        <w:rPr>
          <w:sz w:val="24"/>
        </w:rPr>
        <w:t>)</w:t>
      </w:r>
      <w:r w:rsidRPr="00652938">
        <w:rPr>
          <w:sz w:val="24"/>
        </w:rPr>
        <w:t>. May 201</w:t>
      </w:r>
      <w:r w:rsidRPr="00652938" w:rsidR="007B7279">
        <w:rPr>
          <w:sz w:val="24"/>
        </w:rPr>
        <w:t>8</w:t>
      </w:r>
      <w:r w:rsidRPr="00652938">
        <w:rPr>
          <w:sz w:val="24"/>
        </w:rPr>
        <w:t xml:space="preserve"> National Occupational Employment and Wage Estimates. </w:t>
      </w:r>
      <w:r w:rsidRPr="00652938" w:rsidR="007B7279">
        <w:rPr>
          <w:sz w:val="24"/>
        </w:rPr>
        <w:t xml:space="preserve">NAICS 325400 - Pharmaceutical and Medicine Manufacturing. </w:t>
      </w:r>
      <w:r w:rsidRPr="00652938">
        <w:rPr>
          <w:sz w:val="24"/>
        </w:rPr>
        <w:t xml:space="preserve">Available at </w:t>
      </w:r>
      <w:hyperlink w:history="1" w:anchor="11-0000" r:id="rId9">
        <w:r w:rsidRPr="00652938" w:rsidR="006446CD">
          <w:rPr>
            <w:rStyle w:val="Hyperlink"/>
            <w:sz w:val="24"/>
          </w:rPr>
          <w:t>https://www.bls.gov/oes/current/naics4_325400.htm#11-0000</w:t>
        </w:r>
      </w:hyperlink>
      <w:r w:rsidRPr="00652938">
        <w:rPr>
          <w:sz w:val="24"/>
        </w:rPr>
        <w:t>.</w:t>
      </w:r>
    </w:p>
    <w:p w:rsidRPr="00652938" w:rsidR="006446CD" w:rsidP="005140A0" w:rsidRDefault="006446CD" w14:paraId="5941185C" w14:textId="77777777">
      <w:pPr>
        <w:pStyle w:val="BodyTextIndent"/>
        <w:rPr>
          <w:sz w:val="24"/>
        </w:rPr>
      </w:pPr>
      <w:r w:rsidRPr="00652938">
        <w:rPr>
          <w:sz w:val="24"/>
        </w:rPr>
        <w:t xml:space="preserve">Bureau of Labor Statistics (BLS). (2018b). May 2018 National Occupational Employment and Wage Estimates. NAICS 541600 - Management, Scientific, and Technical Consulting Services. Available at </w:t>
      </w:r>
      <w:hyperlink w:history="1" w:anchor="19-0000" r:id="rId10">
        <w:r w:rsidRPr="00652938">
          <w:rPr>
            <w:rStyle w:val="Hyperlink"/>
            <w:sz w:val="24"/>
          </w:rPr>
          <w:t>https://www.bls.gov/oes/current/naics4_541600.htm#19-0000</w:t>
        </w:r>
      </w:hyperlink>
    </w:p>
    <w:p w:rsidRPr="00652938" w:rsidR="00B95A4C" w:rsidP="005140A0" w:rsidRDefault="006446CD" w14:paraId="31505EDC" w14:textId="77777777">
      <w:pPr>
        <w:pStyle w:val="BodyTextIndent"/>
        <w:rPr>
          <w:sz w:val="24"/>
        </w:rPr>
      </w:pPr>
      <w:r w:rsidRPr="00652938">
        <w:rPr>
          <w:sz w:val="24"/>
        </w:rPr>
        <w:t>B</w:t>
      </w:r>
      <w:r w:rsidRPr="00652938" w:rsidR="00B95A4C">
        <w:rPr>
          <w:sz w:val="24"/>
        </w:rPr>
        <w:t xml:space="preserve">ureau of Labor Statistics (BLS). </w:t>
      </w:r>
      <w:r w:rsidRPr="00652938" w:rsidR="004461F4">
        <w:rPr>
          <w:sz w:val="24"/>
        </w:rPr>
        <w:t>(</w:t>
      </w:r>
      <w:r w:rsidRPr="00652938" w:rsidR="00B95A4C">
        <w:rPr>
          <w:sz w:val="24"/>
        </w:rPr>
        <w:t>201</w:t>
      </w:r>
      <w:r w:rsidRPr="00652938" w:rsidR="006B6F9E">
        <w:rPr>
          <w:sz w:val="24"/>
        </w:rPr>
        <w:t>9</w:t>
      </w:r>
      <w:r w:rsidRPr="00652938" w:rsidR="004461F4">
        <w:rPr>
          <w:sz w:val="24"/>
        </w:rPr>
        <w:t>)</w:t>
      </w:r>
      <w:r w:rsidRPr="00652938" w:rsidR="00B95A4C">
        <w:rPr>
          <w:sz w:val="24"/>
        </w:rPr>
        <w:t>. Employer Costs for Employee Compensation</w:t>
      </w:r>
      <w:r w:rsidRPr="00652938" w:rsidR="006B6F9E">
        <w:rPr>
          <w:sz w:val="24"/>
        </w:rPr>
        <w:t>.</w:t>
      </w:r>
      <w:r w:rsidRPr="00652938" w:rsidR="00B95A4C">
        <w:rPr>
          <w:sz w:val="24"/>
        </w:rPr>
        <w:t xml:space="preserve"> </w:t>
      </w:r>
      <w:r w:rsidRPr="00652938" w:rsidR="00B56463">
        <w:rPr>
          <w:sz w:val="24"/>
        </w:rPr>
        <w:t>March 2019.</w:t>
      </w:r>
      <w:r w:rsidRPr="00652938" w:rsidR="006B6F9E">
        <w:rPr>
          <w:sz w:val="24"/>
        </w:rPr>
        <w:t xml:space="preserve"> </w:t>
      </w:r>
      <w:r w:rsidRPr="00652938" w:rsidR="00B95A4C">
        <w:rPr>
          <w:sz w:val="24"/>
        </w:rPr>
        <w:t xml:space="preserve">Available at </w:t>
      </w:r>
      <w:hyperlink w:history="1" r:id="rId11">
        <w:r w:rsidRPr="00652938" w:rsidR="006B6F9E">
          <w:rPr>
            <w:rStyle w:val="Hyperlink"/>
            <w:sz w:val="24"/>
          </w:rPr>
          <w:t>https://www.bls.gov/news.release/pdf/ecec.pdf</w:t>
        </w:r>
      </w:hyperlink>
    </w:p>
    <w:p w:rsidRPr="00652938" w:rsidR="00B95A4C" w:rsidP="005140A0" w:rsidRDefault="00B95A4C" w14:paraId="7353E4CD" w14:textId="77777777">
      <w:pPr>
        <w:pStyle w:val="BodyTextIndent"/>
        <w:rPr>
          <w:sz w:val="24"/>
        </w:rPr>
      </w:pPr>
      <w:r w:rsidRPr="00652938">
        <w:rPr>
          <w:sz w:val="24"/>
        </w:rPr>
        <w:t>Small Business Administration (SBA)</w:t>
      </w:r>
      <w:r w:rsidRPr="00652938" w:rsidR="007B7279">
        <w:rPr>
          <w:sz w:val="24"/>
        </w:rPr>
        <w:t>.</w:t>
      </w:r>
      <w:r w:rsidRPr="00652938">
        <w:rPr>
          <w:sz w:val="24"/>
        </w:rPr>
        <w:t xml:space="preserve"> </w:t>
      </w:r>
      <w:r w:rsidRPr="00652938" w:rsidR="004461F4">
        <w:rPr>
          <w:sz w:val="24"/>
        </w:rPr>
        <w:t>(</w:t>
      </w:r>
      <w:r w:rsidRPr="00652938">
        <w:rPr>
          <w:sz w:val="24"/>
        </w:rPr>
        <w:t>201</w:t>
      </w:r>
      <w:r w:rsidRPr="00652938" w:rsidR="00F76BB1">
        <w:rPr>
          <w:sz w:val="24"/>
        </w:rPr>
        <w:t>7</w:t>
      </w:r>
      <w:r w:rsidRPr="00652938" w:rsidR="004461F4">
        <w:rPr>
          <w:sz w:val="24"/>
        </w:rPr>
        <w:t>)</w:t>
      </w:r>
      <w:r w:rsidRPr="00652938">
        <w:rPr>
          <w:sz w:val="24"/>
        </w:rPr>
        <w:t>. Table of Size Standards</w:t>
      </w:r>
      <w:r w:rsidRPr="00652938" w:rsidR="00F76BB1">
        <w:rPr>
          <w:sz w:val="24"/>
        </w:rPr>
        <w:t xml:space="preserve">. </w:t>
      </w:r>
      <w:r w:rsidRPr="00652938">
        <w:rPr>
          <w:sz w:val="24"/>
        </w:rPr>
        <w:t xml:space="preserve">Available at </w:t>
      </w:r>
      <w:hyperlink w:history="1" r:id="rId12">
        <w:r w:rsidRPr="00652938" w:rsidR="00F76BB1">
          <w:rPr>
            <w:rStyle w:val="Hyperlink"/>
            <w:sz w:val="24"/>
          </w:rPr>
          <w:t>https://www.sba.gov/document/support--table-size-standards</w:t>
        </w:r>
      </w:hyperlink>
      <w:r w:rsidRPr="00652938">
        <w:rPr>
          <w:sz w:val="24"/>
        </w:rPr>
        <w:t>.</w:t>
      </w:r>
    </w:p>
    <w:sectPr w:rsidRPr="00652938" w:rsidR="00B95A4C" w:rsidSect="00B57D19">
      <w:footerReference w:type="default" r:id="rId13"/>
      <w:type w:val="continuous"/>
      <w:pgSz w:w="12240" w:h="15840" w:code="1"/>
      <w:pgMar w:top="1440" w:right="1440" w:bottom="1440" w:left="1440" w:header="720" w:footer="720" w:gutter="0"/>
      <w:pgNumType w:chapStyle="7"/>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9D9B04" w14:textId="77777777" w:rsidR="00DF7FF2" w:rsidRDefault="00DF7FF2">
      <w:r>
        <w:separator/>
      </w:r>
    </w:p>
    <w:p w14:paraId="4F50A033" w14:textId="77777777" w:rsidR="00DF7FF2" w:rsidRDefault="00DF7FF2"/>
  </w:endnote>
  <w:endnote w:type="continuationSeparator" w:id="0">
    <w:p w14:paraId="297D4483" w14:textId="77777777" w:rsidR="00DF7FF2" w:rsidRDefault="00DF7FF2">
      <w:r>
        <w:continuationSeparator/>
      </w:r>
    </w:p>
    <w:p w14:paraId="45BA12CE" w14:textId="77777777" w:rsidR="00DF7FF2" w:rsidRDefault="00DF7F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Shruti">
    <w:panose1 w:val="02000500000000000000"/>
    <w:charset w:val="00"/>
    <w:family w:val="swiss"/>
    <w:pitch w:val="variable"/>
    <w:sig w:usb0="0004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45B11B" w14:textId="2EF87102" w:rsidR="00821871" w:rsidRDefault="00821871" w:rsidP="00254BD4">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6B5B39" w14:textId="77777777" w:rsidR="00DF7FF2" w:rsidRDefault="00DF7FF2">
      <w:r>
        <w:separator/>
      </w:r>
    </w:p>
  </w:footnote>
  <w:footnote w:type="continuationSeparator" w:id="0">
    <w:p w14:paraId="359743C1" w14:textId="77777777" w:rsidR="00DF7FF2" w:rsidRDefault="00DF7FF2">
      <w:r>
        <w:continuationSeparator/>
      </w:r>
    </w:p>
    <w:p w14:paraId="070F1876" w14:textId="77777777" w:rsidR="00DF7FF2" w:rsidRDefault="00DF7FF2"/>
  </w:footnote>
  <w:footnote w:id="1">
    <w:p w14:paraId="7C4C54E7" w14:textId="0C143358" w:rsidR="00821871" w:rsidRDefault="00821871" w:rsidP="00C6640A">
      <w:pPr>
        <w:pStyle w:val="FootnoteText"/>
        <w:ind w:left="0" w:firstLine="0"/>
      </w:pPr>
      <w:r>
        <w:rPr>
          <w:rStyle w:val="FootnoteReference"/>
        </w:rPr>
        <w:footnoteRef/>
      </w:r>
      <w:r>
        <w:t xml:space="preserve">For the purposes of the survey to distinguish operations that manufacture drugs from other operations, we collectively refer to the following activities as </w:t>
      </w:r>
      <w:r>
        <w:rPr>
          <w:i/>
          <w:iCs/>
        </w:rPr>
        <w:t>drug processing</w:t>
      </w:r>
      <w:r w:rsidR="00025A0A">
        <w:rPr>
          <w:i/>
          <w:iCs/>
        </w:rPr>
        <w:t xml:space="preserve"> and packing</w:t>
      </w:r>
      <w:r>
        <w:rPr>
          <w:i/>
          <w:iCs/>
        </w:rPr>
        <w:t>:</w:t>
      </w:r>
      <w:r>
        <w:t xml:space="preserve"> analysis, analytical testing, labeling, packing, relabeling, and repacking and sterilizing.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B00C5D88"/>
    <w:lvl w:ilvl="0">
      <w:start w:val="1"/>
      <w:numFmt w:val="bullet"/>
      <w:pStyle w:val="ListBullet2"/>
      <w:lvlText w:val="-"/>
      <w:lvlJc w:val="left"/>
      <w:pPr>
        <w:tabs>
          <w:tab w:val="num" w:pos="1440"/>
        </w:tabs>
        <w:ind w:left="1440" w:hanging="360"/>
      </w:pPr>
      <w:rPr>
        <w:rFonts w:ascii="Times New Roman" w:hAnsi="Times New Roman" w:cs="Times New Roman" w:hint="default"/>
      </w:rPr>
    </w:lvl>
  </w:abstractNum>
  <w:abstractNum w:abstractNumId="1" w15:restartNumberingAfterBreak="0">
    <w:nsid w:val="FFFFFF88"/>
    <w:multiLevelType w:val="singleLevel"/>
    <w:tmpl w:val="6114CC66"/>
    <w:lvl w:ilvl="0">
      <w:start w:val="1"/>
      <w:numFmt w:val="decimal"/>
      <w:pStyle w:val="ListNumber"/>
      <w:lvlText w:val="%1."/>
      <w:lvlJc w:val="left"/>
      <w:pPr>
        <w:tabs>
          <w:tab w:val="num" w:pos="-270"/>
        </w:tabs>
        <w:ind w:left="450" w:hanging="360"/>
      </w:pPr>
      <w:rPr>
        <w:rFonts w:ascii="Times New Roman" w:hAnsi="Times New Roman" w:hint="default"/>
        <w:b w:val="0"/>
        <w:i w:val="0"/>
        <w:sz w:val="22"/>
        <w:szCs w:val="24"/>
      </w:rPr>
    </w:lvl>
  </w:abstractNum>
  <w:abstractNum w:abstractNumId="2" w15:restartNumberingAfterBreak="0">
    <w:nsid w:val="09FF2D21"/>
    <w:multiLevelType w:val="hybridMultilevel"/>
    <w:tmpl w:val="B9AEE5A6"/>
    <w:lvl w:ilvl="0" w:tplc="BB68131A">
      <w:start w:val="1"/>
      <w:numFmt w:val="lowerLetter"/>
      <w:pStyle w:val="WorksheetLettered113"/>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1495B4A"/>
    <w:multiLevelType w:val="hybridMultilevel"/>
    <w:tmpl w:val="0A325F62"/>
    <w:lvl w:ilvl="0" w:tplc="9AC633EA">
      <w:start w:val="1"/>
      <w:numFmt w:val="decimal"/>
      <w:pStyle w:val="WorksheetNumbere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8C34F4"/>
    <w:multiLevelType w:val="hybridMultilevel"/>
    <w:tmpl w:val="D3AADAB0"/>
    <w:lvl w:ilvl="0" w:tplc="854C25C6">
      <w:start w:val="1"/>
      <w:numFmt w:val="lowerLetter"/>
      <w:pStyle w:val="ListNumber2"/>
      <w:lvlText w:val="%1."/>
      <w:lvlJc w:val="left"/>
      <w:pPr>
        <w:ind w:left="1080" w:hanging="360"/>
      </w:pPr>
    </w:lvl>
    <w:lvl w:ilvl="1" w:tplc="6840BAA0">
      <w:start w:val="1"/>
      <w:numFmt w:val="lowerLetter"/>
      <w:lvlText w:val="%2."/>
      <w:lvlJc w:val="left"/>
      <w:pPr>
        <w:ind w:left="1800" w:hanging="360"/>
      </w:pPr>
    </w:lvl>
    <w:lvl w:ilvl="2" w:tplc="0CB86544">
      <w:start w:val="1"/>
      <w:numFmt w:val="lowerRoman"/>
      <w:lvlText w:val="%3."/>
      <w:lvlJc w:val="right"/>
      <w:pPr>
        <w:ind w:left="2520" w:hanging="180"/>
      </w:pPr>
    </w:lvl>
    <w:lvl w:ilvl="3" w:tplc="420AF62C" w:tentative="1">
      <w:start w:val="1"/>
      <w:numFmt w:val="decimal"/>
      <w:lvlText w:val="%4."/>
      <w:lvlJc w:val="left"/>
      <w:pPr>
        <w:ind w:left="3240" w:hanging="360"/>
      </w:pPr>
    </w:lvl>
    <w:lvl w:ilvl="4" w:tplc="B5FC0C1E" w:tentative="1">
      <w:start w:val="1"/>
      <w:numFmt w:val="lowerLetter"/>
      <w:lvlText w:val="%5."/>
      <w:lvlJc w:val="left"/>
      <w:pPr>
        <w:ind w:left="3960" w:hanging="360"/>
      </w:pPr>
    </w:lvl>
    <w:lvl w:ilvl="5" w:tplc="365E2AEC" w:tentative="1">
      <w:start w:val="1"/>
      <w:numFmt w:val="lowerRoman"/>
      <w:lvlText w:val="%6."/>
      <w:lvlJc w:val="right"/>
      <w:pPr>
        <w:ind w:left="4680" w:hanging="180"/>
      </w:pPr>
    </w:lvl>
    <w:lvl w:ilvl="6" w:tplc="2A067F40" w:tentative="1">
      <w:start w:val="1"/>
      <w:numFmt w:val="decimal"/>
      <w:lvlText w:val="%7."/>
      <w:lvlJc w:val="left"/>
      <w:pPr>
        <w:ind w:left="5400" w:hanging="360"/>
      </w:pPr>
    </w:lvl>
    <w:lvl w:ilvl="7" w:tplc="23CCCC54" w:tentative="1">
      <w:start w:val="1"/>
      <w:numFmt w:val="lowerLetter"/>
      <w:lvlText w:val="%8."/>
      <w:lvlJc w:val="left"/>
      <w:pPr>
        <w:ind w:left="6120" w:hanging="360"/>
      </w:pPr>
    </w:lvl>
    <w:lvl w:ilvl="8" w:tplc="3B00C860" w:tentative="1">
      <w:start w:val="1"/>
      <w:numFmt w:val="lowerRoman"/>
      <w:lvlText w:val="%9."/>
      <w:lvlJc w:val="right"/>
      <w:pPr>
        <w:ind w:left="6840" w:hanging="180"/>
      </w:pPr>
    </w:lvl>
  </w:abstractNum>
  <w:abstractNum w:abstractNumId="5" w15:restartNumberingAfterBreak="0">
    <w:nsid w:val="15355486"/>
    <w:multiLevelType w:val="multilevel"/>
    <w:tmpl w:val="1E10B4A0"/>
    <w:lvl w:ilvl="0">
      <w:start w:val="1"/>
      <w:numFmt w:val="decimal"/>
      <w:lvlText w:val="%1."/>
      <w:lvlJc w:val="left"/>
      <w:pPr>
        <w:ind w:left="360" w:hanging="360"/>
      </w:pPr>
      <w:rPr>
        <w:rFonts w:hint="default"/>
        <w:u w:val="words"/>
      </w:rPr>
    </w:lvl>
    <w:lvl w:ilvl="1">
      <w:start w:val="1"/>
      <w:numFmt w:val="decimal"/>
      <w:pStyle w:val="Interview1"/>
      <w:lvlText w:val="%2."/>
      <w:lvlJc w:val="left"/>
      <w:pPr>
        <w:ind w:left="630" w:hanging="360"/>
      </w:pPr>
      <w:rPr>
        <w:rFonts w:hint="default"/>
        <w:u w:val="none"/>
      </w:rPr>
    </w:lvl>
    <w:lvl w:ilvl="2">
      <w:start w:val="1"/>
      <w:numFmt w:val="decimal"/>
      <w:lvlText w:val="%2.%3."/>
      <w:lvlJc w:val="left"/>
      <w:pPr>
        <w:ind w:left="1620" w:hanging="360"/>
      </w:pPr>
      <w:rPr>
        <w:rFonts w:hint="default"/>
        <w:u w:val="none"/>
      </w:rPr>
    </w:lvl>
    <w:lvl w:ilvl="3">
      <w:start w:val="1"/>
      <w:numFmt w:val="decimal"/>
      <w:lvlText w:val="%1.%2.%3.%4."/>
      <w:lvlJc w:val="left"/>
      <w:pPr>
        <w:ind w:left="1440" w:hanging="360"/>
      </w:pPr>
      <w:rPr>
        <w:rFonts w:hint="default"/>
      </w:rPr>
    </w:lvl>
    <w:lvl w:ilvl="4">
      <w:start w:val="18"/>
      <w:numFmt w:val="upperLetter"/>
      <w:lvlRestart w:val="0"/>
      <w:suff w:val="space"/>
      <w:lvlText w:val="%5EFERENCES"/>
      <w:lvlJc w:val="center"/>
      <w:pPr>
        <w:ind w:left="0" w:firstLine="288"/>
      </w:pPr>
      <w:rPr>
        <w:rFonts w:hint="default"/>
      </w:rPr>
    </w:lvl>
    <w:lvl w:ilvl="5">
      <w:start w:val="1"/>
      <w:numFmt w:val="upperLetter"/>
      <w:lvlRestart w:val="0"/>
      <w:suff w:val="space"/>
      <w:lvlText w:val="APPENDIX %6."/>
      <w:lvlJc w:val="center"/>
      <w:pPr>
        <w:ind w:left="0" w:firstLine="288"/>
      </w:pPr>
      <w:rPr>
        <w:rFonts w:hint="default"/>
      </w:rPr>
    </w:lvl>
    <w:lvl w:ilvl="6">
      <w:start w:val="1"/>
      <w:numFmt w:val="decimal"/>
      <w:lvlText w:val="%6.%7."/>
      <w:lvlJc w:val="left"/>
      <w:pPr>
        <w:ind w:left="720" w:hanging="360"/>
      </w:pPr>
      <w:rPr>
        <w:rFonts w:hint="default"/>
      </w:rPr>
    </w:lvl>
    <w:lvl w:ilvl="7">
      <w:start w:val="5"/>
      <w:numFmt w:val="upperLetter"/>
      <w:lvlRestart w:val="0"/>
      <w:suff w:val="space"/>
      <w:lvlText w:val="%8XECUTIVE SUMMARY"/>
      <w:lvlJc w:val="center"/>
      <w:pPr>
        <w:ind w:left="0" w:firstLine="0"/>
      </w:pPr>
      <w:rPr>
        <w:rFonts w:hint="default"/>
      </w:rPr>
    </w:lvl>
    <w:lvl w:ilvl="8">
      <w:start w:val="1"/>
      <w:numFmt w:val="decimal"/>
      <w:lvlText w:val="%8.%9."/>
      <w:lvlJc w:val="left"/>
      <w:pPr>
        <w:ind w:left="720" w:hanging="360"/>
      </w:pPr>
      <w:rPr>
        <w:rFonts w:hint="default"/>
      </w:rPr>
    </w:lvl>
  </w:abstractNum>
  <w:abstractNum w:abstractNumId="6" w15:restartNumberingAfterBreak="0">
    <w:nsid w:val="1A9F7B78"/>
    <w:multiLevelType w:val="multilevel"/>
    <w:tmpl w:val="55A89078"/>
    <w:lvl w:ilvl="0">
      <w:start w:val="1"/>
      <w:numFmt w:val="lowerLetter"/>
      <w:lvlText w:val="(%1)"/>
      <w:lvlJc w:val="left"/>
      <w:pPr>
        <w:ind w:left="720" w:hanging="360"/>
      </w:pPr>
      <w:rPr>
        <w:rFonts w:hint="default"/>
      </w:rPr>
    </w:lvl>
    <w:lvl w:ilvl="1">
      <w:start w:val="1"/>
      <w:numFmt w:val="lowerRoman"/>
      <w:pStyle w:val="ListLetter2"/>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7" w15:restartNumberingAfterBreak="0">
    <w:nsid w:val="333118CB"/>
    <w:multiLevelType w:val="multilevel"/>
    <w:tmpl w:val="55A89078"/>
    <w:lvl w:ilvl="0">
      <w:start w:val="1"/>
      <w:numFmt w:val="lowerLetter"/>
      <w:pStyle w:val="ListLetter"/>
      <w:lvlText w:val="(%1)"/>
      <w:lvlJc w:val="left"/>
      <w:pPr>
        <w:ind w:left="720" w:hanging="360"/>
      </w:pPr>
      <w:rPr>
        <w:rFonts w:hint="default"/>
      </w:rPr>
    </w:lvl>
    <w:lvl w:ilvl="1">
      <w:start w:val="1"/>
      <w:numFmt w:val="lowerRoman"/>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8" w15:restartNumberingAfterBreak="0">
    <w:nsid w:val="4A752F69"/>
    <w:multiLevelType w:val="hybridMultilevel"/>
    <w:tmpl w:val="51021018"/>
    <w:lvl w:ilvl="0" w:tplc="B614CE68">
      <w:start w:val="1"/>
      <w:numFmt w:val="lowerRoman"/>
      <w:pStyle w:val="ListNumber3"/>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CC3DD9"/>
    <w:multiLevelType w:val="hybridMultilevel"/>
    <w:tmpl w:val="7338C0EC"/>
    <w:lvl w:ilvl="0" w:tplc="1EF4C3FE">
      <w:start w:val="1"/>
      <w:numFmt w:val="bullet"/>
      <w:pStyle w:val="RoundBullet"/>
      <w:lvlText w:val=""/>
      <w:lvlJc w:val="left"/>
      <w:pPr>
        <w:ind w:left="720" w:hanging="360"/>
      </w:pPr>
      <w:rPr>
        <w:rFonts w:ascii="Wingdings" w:hAnsi="Wingdings" w:hint="default"/>
        <w:color w:val="auto"/>
        <w:sz w:val="3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557FCB"/>
    <w:multiLevelType w:val="hybridMultilevel"/>
    <w:tmpl w:val="132278F4"/>
    <w:lvl w:ilvl="0" w:tplc="AD82C334">
      <w:start w:val="1"/>
      <w:numFmt w:val="upperLetter"/>
      <w:pStyle w:val="Heading1"/>
      <w:lvlText w:val="%1."/>
      <w:lvlJc w:val="left"/>
      <w:pPr>
        <w:ind w:left="720" w:hanging="360"/>
      </w:pPr>
      <w:rPr>
        <w:rFonts w:hint="default"/>
      </w:rPr>
    </w:lvl>
    <w:lvl w:ilvl="1" w:tplc="7EB0CBA0">
      <w:numFmt w:val="bullet"/>
      <w:lvlText w:val="•"/>
      <w:lvlJc w:val="left"/>
      <w:pPr>
        <w:ind w:left="1440" w:hanging="360"/>
      </w:pPr>
      <w:rPr>
        <w:rFonts w:ascii="Times New Roman" w:eastAsia="Calibr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C130DA1"/>
    <w:multiLevelType w:val="hybridMultilevel"/>
    <w:tmpl w:val="F4227F58"/>
    <w:lvl w:ilvl="0" w:tplc="FAF654D2">
      <w:start w:val="1"/>
      <w:numFmt w:val="bullet"/>
      <w:pStyle w:val="ListBullet"/>
      <w:lvlText w:val=""/>
      <w:lvlJc w:val="left"/>
      <w:pPr>
        <w:ind w:left="1080" w:hanging="360"/>
      </w:pPr>
      <w:rPr>
        <w:rFonts w:ascii="Wingdings" w:hAnsi="Wingdings" w:hint="default"/>
        <w:color w:val="auto"/>
        <w:sz w:val="22"/>
      </w:rPr>
    </w:lvl>
    <w:lvl w:ilvl="1" w:tplc="29DA04A2" w:tentative="1">
      <w:start w:val="1"/>
      <w:numFmt w:val="bullet"/>
      <w:lvlText w:val="o"/>
      <w:lvlJc w:val="left"/>
      <w:pPr>
        <w:ind w:left="1800" w:hanging="360"/>
      </w:pPr>
      <w:rPr>
        <w:rFonts w:ascii="Courier New" w:hAnsi="Courier New" w:cs="Courier New" w:hint="default"/>
      </w:rPr>
    </w:lvl>
    <w:lvl w:ilvl="2" w:tplc="28DAB710" w:tentative="1">
      <w:start w:val="1"/>
      <w:numFmt w:val="bullet"/>
      <w:lvlText w:val=""/>
      <w:lvlJc w:val="left"/>
      <w:pPr>
        <w:ind w:left="2520" w:hanging="360"/>
      </w:pPr>
      <w:rPr>
        <w:rFonts w:ascii="Wingdings" w:hAnsi="Wingdings" w:hint="default"/>
      </w:rPr>
    </w:lvl>
    <w:lvl w:ilvl="3" w:tplc="596CF5B8" w:tentative="1">
      <w:start w:val="1"/>
      <w:numFmt w:val="bullet"/>
      <w:lvlText w:val=""/>
      <w:lvlJc w:val="left"/>
      <w:pPr>
        <w:ind w:left="3240" w:hanging="360"/>
      </w:pPr>
      <w:rPr>
        <w:rFonts w:ascii="Symbol" w:hAnsi="Symbol" w:hint="default"/>
      </w:rPr>
    </w:lvl>
    <w:lvl w:ilvl="4" w:tplc="507C3E90" w:tentative="1">
      <w:start w:val="1"/>
      <w:numFmt w:val="bullet"/>
      <w:lvlText w:val="o"/>
      <w:lvlJc w:val="left"/>
      <w:pPr>
        <w:ind w:left="3960" w:hanging="360"/>
      </w:pPr>
      <w:rPr>
        <w:rFonts w:ascii="Courier New" w:hAnsi="Courier New" w:cs="Courier New" w:hint="default"/>
      </w:rPr>
    </w:lvl>
    <w:lvl w:ilvl="5" w:tplc="81422E98" w:tentative="1">
      <w:start w:val="1"/>
      <w:numFmt w:val="bullet"/>
      <w:lvlText w:val=""/>
      <w:lvlJc w:val="left"/>
      <w:pPr>
        <w:ind w:left="4680" w:hanging="360"/>
      </w:pPr>
      <w:rPr>
        <w:rFonts w:ascii="Wingdings" w:hAnsi="Wingdings" w:hint="default"/>
      </w:rPr>
    </w:lvl>
    <w:lvl w:ilvl="6" w:tplc="DEC23874" w:tentative="1">
      <w:start w:val="1"/>
      <w:numFmt w:val="bullet"/>
      <w:lvlText w:val=""/>
      <w:lvlJc w:val="left"/>
      <w:pPr>
        <w:ind w:left="5400" w:hanging="360"/>
      </w:pPr>
      <w:rPr>
        <w:rFonts w:ascii="Symbol" w:hAnsi="Symbol" w:hint="default"/>
      </w:rPr>
    </w:lvl>
    <w:lvl w:ilvl="7" w:tplc="06A64BE0" w:tentative="1">
      <w:start w:val="1"/>
      <w:numFmt w:val="bullet"/>
      <w:lvlText w:val="o"/>
      <w:lvlJc w:val="left"/>
      <w:pPr>
        <w:ind w:left="6120" w:hanging="360"/>
      </w:pPr>
      <w:rPr>
        <w:rFonts w:ascii="Courier New" w:hAnsi="Courier New" w:cs="Courier New" w:hint="default"/>
      </w:rPr>
    </w:lvl>
    <w:lvl w:ilvl="8" w:tplc="431A8B4A" w:tentative="1">
      <w:start w:val="1"/>
      <w:numFmt w:val="bullet"/>
      <w:lvlText w:val=""/>
      <w:lvlJc w:val="left"/>
      <w:pPr>
        <w:ind w:left="6840" w:hanging="360"/>
      </w:pPr>
      <w:rPr>
        <w:rFonts w:ascii="Wingdings" w:hAnsi="Wingdings" w:hint="default"/>
      </w:rPr>
    </w:lvl>
  </w:abstractNum>
  <w:abstractNum w:abstractNumId="12" w15:restartNumberingAfterBreak="0">
    <w:nsid w:val="63C70656"/>
    <w:multiLevelType w:val="hybridMultilevel"/>
    <w:tmpl w:val="813C644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1A81947"/>
    <w:multiLevelType w:val="multilevel"/>
    <w:tmpl w:val="893C6A6C"/>
    <w:lvl w:ilvl="0">
      <w:start w:val="1"/>
      <w:numFmt w:val="none"/>
      <w:suff w:val="nothing"/>
      <w:lvlText w:val=""/>
      <w:lvlJc w:val="center"/>
      <w:pPr>
        <w:ind w:left="360" w:hanging="72"/>
      </w:pPr>
      <w:rPr>
        <w:rFonts w:hint="default"/>
      </w:rPr>
    </w:lvl>
    <w:lvl w:ilvl="1">
      <w:start w:val="1"/>
      <w:numFmt w:val="none"/>
      <w:suff w:val="nothing"/>
      <w:lvlText w:val=""/>
      <w:lvlJc w:val="center"/>
      <w:pPr>
        <w:ind w:left="720" w:hanging="360"/>
      </w:pPr>
      <w:rPr>
        <w:rFonts w:hint="default"/>
      </w:rPr>
    </w:lvl>
    <w:lvl w:ilvl="2">
      <w:start w:val="1"/>
      <w:numFmt w:val="upperLetter"/>
      <w:suff w:val="nothing"/>
      <w:lvlText w:val="Supporting Statement %3"/>
      <w:lvlJc w:val="center"/>
      <w:pPr>
        <w:ind w:left="0" w:firstLine="1440"/>
      </w:pPr>
      <w:rPr>
        <w:rFonts w:ascii="Arial" w:hAnsi="Arial" w:hint="default"/>
        <w:b/>
        <w:i w:val="0"/>
        <w:sz w:val="26"/>
      </w:rPr>
    </w:lvl>
    <w:lvl w:ilvl="3">
      <w:start w:val="1"/>
      <w:numFmt w:val="decimal"/>
      <w:lvlText w:val="B.%4."/>
      <w:lvlJc w:val="left"/>
      <w:pPr>
        <w:ind w:left="360" w:hanging="360"/>
      </w:pPr>
      <w:rPr>
        <w:rFonts w:hint="default"/>
      </w:rPr>
    </w:lvl>
    <w:lvl w:ilvl="4">
      <w:start w:val="1"/>
      <w:numFmt w:val="lowerLetter"/>
      <w:pStyle w:val="Heading5"/>
      <w:lvlText w:val="%5."/>
      <w:lvlJc w:val="left"/>
      <w:pPr>
        <w:ind w:left="1080" w:hanging="360"/>
      </w:pPr>
      <w:rPr>
        <w:rFonts w:hint="default"/>
      </w:rPr>
    </w:lvl>
    <w:lvl w:ilvl="5">
      <w:start w:val="1"/>
      <w:numFmt w:val="decimal"/>
      <w:pStyle w:val="Heading6"/>
      <w:lvlText w:val="%5.%6."/>
      <w:lvlJc w:val="left"/>
      <w:pPr>
        <w:ind w:left="1440" w:hanging="360"/>
      </w:pPr>
      <w:rPr>
        <w:rFonts w:hint="default"/>
      </w:rPr>
    </w:lvl>
    <w:lvl w:ilvl="6">
      <w:start w:val="1"/>
      <w:numFmt w:val="upperLetter"/>
      <w:pStyle w:val="Heading7"/>
      <w:suff w:val="nothing"/>
      <w:lvlText w:val="Appendix %7."/>
      <w:lvlJc w:val="center"/>
      <w:pPr>
        <w:ind w:left="2520" w:hanging="360"/>
      </w:pPr>
      <w:rPr>
        <w:rFonts w:hint="default"/>
      </w:rPr>
    </w:lvl>
    <w:lvl w:ilvl="7">
      <w:start w:val="1"/>
      <w:numFmt w:val="decimal"/>
      <w:pStyle w:val="Heading8"/>
      <w:suff w:val="space"/>
      <w:lvlText w:val="%7.%8."/>
      <w:lvlJc w:val="left"/>
      <w:pPr>
        <w:ind w:left="720" w:hanging="360"/>
      </w:pPr>
      <w:rPr>
        <w:rFonts w:hint="default"/>
      </w:rPr>
    </w:lvl>
    <w:lvl w:ilvl="8">
      <w:start w:val="1"/>
      <w:numFmt w:val="lowerLetter"/>
      <w:pStyle w:val="Heading9"/>
      <w:lvlText w:val="%7.%8.%9."/>
      <w:lvlJc w:val="left"/>
      <w:pPr>
        <w:ind w:left="1080" w:hanging="360"/>
      </w:pPr>
      <w:rPr>
        <w:rFonts w:hint="default"/>
      </w:rPr>
    </w:lvl>
  </w:abstractNum>
  <w:abstractNum w:abstractNumId="14" w15:restartNumberingAfterBreak="0">
    <w:nsid w:val="74484D5A"/>
    <w:multiLevelType w:val="hybridMultilevel"/>
    <w:tmpl w:val="53B6C48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F621FA8"/>
    <w:multiLevelType w:val="hybridMultilevel"/>
    <w:tmpl w:val="776A8914"/>
    <w:lvl w:ilvl="0" w:tplc="2E0E3DD0">
      <w:start w:val="1"/>
      <w:numFmt w:val="decimal"/>
      <w:pStyle w:val="ListNumberSurvey"/>
      <w:lvlText w:val="%1."/>
      <w:lvlJc w:val="left"/>
      <w:pPr>
        <w:ind w:left="720" w:hanging="360"/>
      </w:pPr>
      <w:rPr>
        <w:rFonts w:ascii="Times New Roman" w:hAnsi="Times New Roman"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1"/>
  </w:num>
  <w:num w:numId="3">
    <w:abstractNumId w:val="0"/>
  </w:num>
  <w:num w:numId="4">
    <w:abstractNumId w:val="7"/>
  </w:num>
  <w:num w:numId="5">
    <w:abstractNumId w:val="6"/>
  </w:num>
  <w:num w:numId="6">
    <w:abstractNumId w:val="4"/>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8"/>
    </w:lvlOverride>
    <w:lvlOverride w:ilvl="5">
      <w:startOverride w:val="1"/>
    </w:lvlOverride>
    <w:lvlOverride w:ilvl="6">
      <w:startOverride w:val="1"/>
    </w:lvlOverride>
    <w:lvlOverride w:ilvl="7">
      <w:startOverride w:val="5"/>
    </w:lvlOverride>
    <w:lvlOverride w:ilvl="8">
      <w:startOverride w:val="1"/>
    </w:lvlOverride>
  </w:num>
  <w:num w:numId="8">
    <w:abstractNumId w:val="2"/>
  </w:num>
  <w:num w:numId="9">
    <w:abstractNumId w:val="9"/>
  </w:num>
  <w:num w:numId="10">
    <w:abstractNumId w:val="13"/>
  </w:num>
  <w:num w:numId="11">
    <w:abstractNumId w:val="3"/>
  </w:num>
  <w:num w:numId="12">
    <w:abstractNumId w:val="10"/>
  </w:num>
  <w:num w:numId="13">
    <w:abstractNumId w:val="15"/>
  </w:num>
  <w:num w:numId="14">
    <w:abstractNumId w:val="8"/>
  </w:num>
  <w:num w:numId="15">
    <w:abstractNumId w:val="14"/>
  </w:num>
  <w:num w:numId="16">
    <w:abstractNumId w:val="11"/>
  </w:num>
  <w:num w:numId="17">
    <w:abstractNumId w:val="12"/>
  </w:num>
  <w:num w:numId="18">
    <w:abstractNumId w:val="13"/>
    <w:lvlOverride w:ilvl="0">
      <w:startOverride w:val="3"/>
    </w:lvlOverride>
    <w:lvlOverride w:ilvl="1">
      <w:startOverride w:val="1"/>
    </w:lvlOverride>
    <w:lvlOverride w:ilvl="2">
      <w:startOverride w:val="1"/>
    </w:lvlOverride>
    <w:lvlOverride w:ilvl="3">
      <w:startOverride w:val="6"/>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NotDisplayPageBoundaries/>
  <w:proofState w:spelling="clean" w:grammar="clean"/>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drawingGridHorizontalSpacing w:val="110"/>
  <w:displayHorizontalDrawingGridEvery w:val="2"/>
  <w:noPunctuationKerning/>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1A4"/>
    <w:rsid w:val="00000379"/>
    <w:rsid w:val="000003C1"/>
    <w:rsid w:val="00000406"/>
    <w:rsid w:val="0000345E"/>
    <w:rsid w:val="00005D45"/>
    <w:rsid w:val="00005EFC"/>
    <w:rsid w:val="000100A1"/>
    <w:rsid w:val="000111F7"/>
    <w:rsid w:val="00012034"/>
    <w:rsid w:val="000122AE"/>
    <w:rsid w:val="00012DC6"/>
    <w:rsid w:val="00014653"/>
    <w:rsid w:val="00016CD9"/>
    <w:rsid w:val="00017744"/>
    <w:rsid w:val="00017941"/>
    <w:rsid w:val="00017B66"/>
    <w:rsid w:val="00022DA2"/>
    <w:rsid w:val="00023FEA"/>
    <w:rsid w:val="000255C5"/>
    <w:rsid w:val="00025A0A"/>
    <w:rsid w:val="00025B29"/>
    <w:rsid w:val="00026689"/>
    <w:rsid w:val="0003024D"/>
    <w:rsid w:val="00030A2D"/>
    <w:rsid w:val="000319DC"/>
    <w:rsid w:val="00031B65"/>
    <w:rsid w:val="000321C9"/>
    <w:rsid w:val="00034DFB"/>
    <w:rsid w:val="0003559B"/>
    <w:rsid w:val="00035D9C"/>
    <w:rsid w:val="00036254"/>
    <w:rsid w:val="0003695F"/>
    <w:rsid w:val="00037348"/>
    <w:rsid w:val="00037543"/>
    <w:rsid w:val="000412CD"/>
    <w:rsid w:val="0004200D"/>
    <w:rsid w:val="00043901"/>
    <w:rsid w:val="00044175"/>
    <w:rsid w:val="000446F8"/>
    <w:rsid w:val="00046CC3"/>
    <w:rsid w:val="00047FBC"/>
    <w:rsid w:val="0005073A"/>
    <w:rsid w:val="00051563"/>
    <w:rsid w:val="000522D5"/>
    <w:rsid w:val="00053A29"/>
    <w:rsid w:val="00053F43"/>
    <w:rsid w:val="00055373"/>
    <w:rsid w:val="00056BF2"/>
    <w:rsid w:val="00057298"/>
    <w:rsid w:val="00060362"/>
    <w:rsid w:val="00060BF4"/>
    <w:rsid w:val="0006268B"/>
    <w:rsid w:val="00065945"/>
    <w:rsid w:val="00065D32"/>
    <w:rsid w:val="00065D49"/>
    <w:rsid w:val="000665F9"/>
    <w:rsid w:val="000668F3"/>
    <w:rsid w:val="000702BE"/>
    <w:rsid w:val="00072448"/>
    <w:rsid w:val="0007437A"/>
    <w:rsid w:val="00076D32"/>
    <w:rsid w:val="00077767"/>
    <w:rsid w:val="00077E7F"/>
    <w:rsid w:val="00081863"/>
    <w:rsid w:val="00083DEE"/>
    <w:rsid w:val="00084296"/>
    <w:rsid w:val="00084C79"/>
    <w:rsid w:val="0008571A"/>
    <w:rsid w:val="00085724"/>
    <w:rsid w:val="000859AD"/>
    <w:rsid w:val="000908A7"/>
    <w:rsid w:val="000926E3"/>
    <w:rsid w:val="000956B3"/>
    <w:rsid w:val="000963FE"/>
    <w:rsid w:val="00096F99"/>
    <w:rsid w:val="000A2565"/>
    <w:rsid w:val="000A2982"/>
    <w:rsid w:val="000A2E41"/>
    <w:rsid w:val="000A4F63"/>
    <w:rsid w:val="000A54B8"/>
    <w:rsid w:val="000B0552"/>
    <w:rsid w:val="000B1B6D"/>
    <w:rsid w:val="000B262A"/>
    <w:rsid w:val="000B37A2"/>
    <w:rsid w:val="000B3905"/>
    <w:rsid w:val="000B42FA"/>
    <w:rsid w:val="000B434D"/>
    <w:rsid w:val="000B55FB"/>
    <w:rsid w:val="000B7697"/>
    <w:rsid w:val="000C010B"/>
    <w:rsid w:val="000C1B97"/>
    <w:rsid w:val="000C2457"/>
    <w:rsid w:val="000C449F"/>
    <w:rsid w:val="000C674B"/>
    <w:rsid w:val="000C7D67"/>
    <w:rsid w:val="000D1D22"/>
    <w:rsid w:val="000D3E1E"/>
    <w:rsid w:val="000D4817"/>
    <w:rsid w:val="000D4C05"/>
    <w:rsid w:val="000D6A0A"/>
    <w:rsid w:val="000E05BC"/>
    <w:rsid w:val="000E0E21"/>
    <w:rsid w:val="000E0F42"/>
    <w:rsid w:val="000E4CED"/>
    <w:rsid w:val="000E515D"/>
    <w:rsid w:val="000E757B"/>
    <w:rsid w:val="000F0193"/>
    <w:rsid w:val="000F2FC6"/>
    <w:rsid w:val="000F532F"/>
    <w:rsid w:val="000F5F4B"/>
    <w:rsid w:val="000F6415"/>
    <w:rsid w:val="000F734C"/>
    <w:rsid w:val="000F79BB"/>
    <w:rsid w:val="00100982"/>
    <w:rsid w:val="00101351"/>
    <w:rsid w:val="00102407"/>
    <w:rsid w:val="00102CF6"/>
    <w:rsid w:val="001057AD"/>
    <w:rsid w:val="00110E98"/>
    <w:rsid w:val="0011183D"/>
    <w:rsid w:val="00112324"/>
    <w:rsid w:val="00113E8C"/>
    <w:rsid w:val="0011400E"/>
    <w:rsid w:val="0011483D"/>
    <w:rsid w:val="00117415"/>
    <w:rsid w:val="00117593"/>
    <w:rsid w:val="001210D5"/>
    <w:rsid w:val="00121DED"/>
    <w:rsid w:val="00124D5A"/>
    <w:rsid w:val="00126052"/>
    <w:rsid w:val="001272AF"/>
    <w:rsid w:val="001279A3"/>
    <w:rsid w:val="0013042C"/>
    <w:rsid w:val="00130C21"/>
    <w:rsid w:val="00133FB3"/>
    <w:rsid w:val="001340E0"/>
    <w:rsid w:val="00134848"/>
    <w:rsid w:val="001362CE"/>
    <w:rsid w:val="00136DD1"/>
    <w:rsid w:val="0014124C"/>
    <w:rsid w:val="00143041"/>
    <w:rsid w:val="001457A2"/>
    <w:rsid w:val="0014596E"/>
    <w:rsid w:val="001471F0"/>
    <w:rsid w:val="001522AD"/>
    <w:rsid w:val="00154430"/>
    <w:rsid w:val="001550D3"/>
    <w:rsid w:val="00155703"/>
    <w:rsid w:val="00155E71"/>
    <w:rsid w:val="0016177B"/>
    <w:rsid w:val="00161E17"/>
    <w:rsid w:val="00162D89"/>
    <w:rsid w:val="00164D7B"/>
    <w:rsid w:val="00165D98"/>
    <w:rsid w:val="00166BFB"/>
    <w:rsid w:val="001678CF"/>
    <w:rsid w:val="00170D19"/>
    <w:rsid w:val="00171F21"/>
    <w:rsid w:val="0017270A"/>
    <w:rsid w:val="00172825"/>
    <w:rsid w:val="0017295D"/>
    <w:rsid w:val="00174ECE"/>
    <w:rsid w:val="0017546D"/>
    <w:rsid w:val="00181475"/>
    <w:rsid w:val="0018154E"/>
    <w:rsid w:val="00181CB8"/>
    <w:rsid w:val="00182367"/>
    <w:rsid w:val="0018298D"/>
    <w:rsid w:val="00184973"/>
    <w:rsid w:val="001869E3"/>
    <w:rsid w:val="00186EAE"/>
    <w:rsid w:val="00192DCD"/>
    <w:rsid w:val="00193DA9"/>
    <w:rsid w:val="00194DB3"/>
    <w:rsid w:val="00195A5F"/>
    <w:rsid w:val="001977CA"/>
    <w:rsid w:val="00197854"/>
    <w:rsid w:val="001A06D0"/>
    <w:rsid w:val="001A1819"/>
    <w:rsid w:val="001A28E5"/>
    <w:rsid w:val="001A4694"/>
    <w:rsid w:val="001A7A5E"/>
    <w:rsid w:val="001B1CC2"/>
    <w:rsid w:val="001B1FD0"/>
    <w:rsid w:val="001B265C"/>
    <w:rsid w:val="001B2D27"/>
    <w:rsid w:val="001B40D9"/>
    <w:rsid w:val="001B490C"/>
    <w:rsid w:val="001B59BD"/>
    <w:rsid w:val="001B6E6E"/>
    <w:rsid w:val="001B774F"/>
    <w:rsid w:val="001B7DA8"/>
    <w:rsid w:val="001C12E7"/>
    <w:rsid w:val="001C18FC"/>
    <w:rsid w:val="001C496E"/>
    <w:rsid w:val="001C5AA5"/>
    <w:rsid w:val="001C5D6E"/>
    <w:rsid w:val="001D1D07"/>
    <w:rsid w:val="001D3735"/>
    <w:rsid w:val="001D3DB1"/>
    <w:rsid w:val="001D56A9"/>
    <w:rsid w:val="001D5EE8"/>
    <w:rsid w:val="001E12C2"/>
    <w:rsid w:val="001E3A1D"/>
    <w:rsid w:val="001E3E6F"/>
    <w:rsid w:val="001E4007"/>
    <w:rsid w:val="001E69C9"/>
    <w:rsid w:val="001E7612"/>
    <w:rsid w:val="001F1BDA"/>
    <w:rsid w:val="001F3EC7"/>
    <w:rsid w:val="002016F6"/>
    <w:rsid w:val="002028B4"/>
    <w:rsid w:val="00203336"/>
    <w:rsid w:val="002041B7"/>
    <w:rsid w:val="00204896"/>
    <w:rsid w:val="00207328"/>
    <w:rsid w:val="00207F68"/>
    <w:rsid w:val="00210267"/>
    <w:rsid w:val="00210E03"/>
    <w:rsid w:val="0021228C"/>
    <w:rsid w:val="0021355D"/>
    <w:rsid w:val="0021637A"/>
    <w:rsid w:val="002165F8"/>
    <w:rsid w:val="00217A00"/>
    <w:rsid w:val="00217E0F"/>
    <w:rsid w:val="00220FAD"/>
    <w:rsid w:val="00221E11"/>
    <w:rsid w:val="002278CF"/>
    <w:rsid w:val="002278D9"/>
    <w:rsid w:val="00227D1E"/>
    <w:rsid w:val="002329AF"/>
    <w:rsid w:val="00237563"/>
    <w:rsid w:val="00241DCA"/>
    <w:rsid w:val="0024245F"/>
    <w:rsid w:val="00244017"/>
    <w:rsid w:val="002467D3"/>
    <w:rsid w:val="00251BAB"/>
    <w:rsid w:val="00252461"/>
    <w:rsid w:val="0025325A"/>
    <w:rsid w:val="00253EA1"/>
    <w:rsid w:val="00254BD4"/>
    <w:rsid w:val="00261459"/>
    <w:rsid w:val="00262375"/>
    <w:rsid w:val="00262C32"/>
    <w:rsid w:val="00265520"/>
    <w:rsid w:val="00267241"/>
    <w:rsid w:val="002704B4"/>
    <w:rsid w:val="00273CD1"/>
    <w:rsid w:val="00274EFD"/>
    <w:rsid w:val="00281DA5"/>
    <w:rsid w:val="00281F8E"/>
    <w:rsid w:val="002824AF"/>
    <w:rsid w:val="0028343D"/>
    <w:rsid w:val="00284148"/>
    <w:rsid w:val="00285B56"/>
    <w:rsid w:val="00290D81"/>
    <w:rsid w:val="002943F1"/>
    <w:rsid w:val="002945CE"/>
    <w:rsid w:val="002959B8"/>
    <w:rsid w:val="00297876"/>
    <w:rsid w:val="002A0233"/>
    <w:rsid w:val="002A0A4D"/>
    <w:rsid w:val="002A42DE"/>
    <w:rsid w:val="002A4518"/>
    <w:rsid w:val="002A669A"/>
    <w:rsid w:val="002A7397"/>
    <w:rsid w:val="002A77E1"/>
    <w:rsid w:val="002B005E"/>
    <w:rsid w:val="002B024E"/>
    <w:rsid w:val="002B07A1"/>
    <w:rsid w:val="002B2140"/>
    <w:rsid w:val="002B51C6"/>
    <w:rsid w:val="002B719F"/>
    <w:rsid w:val="002C0490"/>
    <w:rsid w:val="002C0F98"/>
    <w:rsid w:val="002C2882"/>
    <w:rsid w:val="002C3566"/>
    <w:rsid w:val="002C3F22"/>
    <w:rsid w:val="002C5289"/>
    <w:rsid w:val="002C59CF"/>
    <w:rsid w:val="002C5E2F"/>
    <w:rsid w:val="002C67E0"/>
    <w:rsid w:val="002D0851"/>
    <w:rsid w:val="002D1018"/>
    <w:rsid w:val="002D2730"/>
    <w:rsid w:val="002D2A8F"/>
    <w:rsid w:val="002D4EFC"/>
    <w:rsid w:val="002E0498"/>
    <w:rsid w:val="002E073B"/>
    <w:rsid w:val="002E2012"/>
    <w:rsid w:val="002E27D9"/>
    <w:rsid w:val="002E33E0"/>
    <w:rsid w:val="002E4BB7"/>
    <w:rsid w:val="002F0AE2"/>
    <w:rsid w:val="002F3E88"/>
    <w:rsid w:val="002F7E11"/>
    <w:rsid w:val="00300890"/>
    <w:rsid w:val="0030300C"/>
    <w:rsid w:val="00305F47"/>
    <w:rsid w:val="00307638"/>
    <w:rsid w:val="003138A3"/>
    <w:rsid w:val="003158E5"/>
    <w:rsid w:val="003160DF"/>
    <w:rsid w:val="003165DB"/>
    <w:rsid w:val="00320B6A"/>
    <w:rsid w:val="00322C14"/>
    <w:rsid w:val="003232DE"/>
    <w:rsid w:val="0032341A"/>
    <w:rsid w:val="00325A45"/>
    <w:rsid w:val="00325CE2"/>
    <w:rsid w:val="00326DE5"/>
    <w:rsid w:val="00327FC8"/>
    <w:rsid w:val="0033058F"/>
    <w:rsid w:val="00330957"/>
    <w:rsid w:val="00331C3B"/>
    <w:rsid w:val="00332851"/>
    <w:rsid w:val="00333102"/>
    <w:rsid w:val="00334F3E"/>
    <w:rsid w:val="00336514"/>
    <w:rsid w:val="003402DB"/>
    <w:rsid w:val="003408CB"/>
    <w:rsid w:val="00344418"/>
    <w:rsid w:val="003450E3"/>
    <w:rsid w:val="00350605"/>
    <w:rsid w:val="003513EF"/>
    <w:rsid w:val="00353597"/>
    <w:rsid w:val="00355285"/>
    <w:rsid w:val="003566AE"/>
    <w:rsid w:val="00357196"/>
    <w:rsid w:val="0035733C"/>
    <w:rsid w:val="00357D22"/>
    <w:rsid w:val="0036033B"/>
    <w:rsid w:val="0036084F"/>
    <w:rsid w:val="00360887"/>
    <w:rsid w:val="00361468"/>
    <w:rsid w:val="0036481E"/>
    <w:rsid w:val="003649C3"/>
    <w:rsid w:val="003657A3"/>
    <w:rsid w:val="00367517"/>
    <w:rsid w:val="00367B69"/>
    <w:rsid w:val="0037021B"/>
    <w:rsid w:val="00370267"/>
    <w:rsid w:val="003704F2"/>
    <w:rsid w:val="00372BD7"/>
    <w:rsid w:val="003736E6"/>
    <w:rsid w:val="00373BB4"/>
    <w:rsid w:val="003766F4"/>
    <w:rsid w:val="0038268F"/>
    <w:rsid w:val="00383299"/>
    <w:rsid w:val="0038597D"/>
    <w:rsid w:val="00387254"/>
    <w:rsid w:val="00390166"/>
    <w:rsid w:val="00390743"/>
    <w:rsid w:val="003937AF"/>
    <w:rsid w:val="00395736"/>
    <w:rsid w:val="0039687B"/>
    <w:rsid w:val="00397031"/>
    <w:rsid w:val="00397772"/>
    <w:rsid w:val="003A1571"/>
    <w:rsid w:val="003A317F"/>
    <w:rsid w:val="003A3542"/>
    <w:rsid w:val="003A56D8"/>
    <w:rsid w:val="003A7F36"/>
    <w:rsid w:val="003B1B39"/>
    <w:rsid w:val="003B1E29"/>
    <w:rsid w:val="003B3356"/>
    <w:rsid w:val="003B37A8"/>
    <w:rsid w:val="003B6092"/>
    <w:rsid w:val="003B6FCA"/>
    <w:rsid w:val="003B7571"/>
    <w:rsid w:val="003B7885"/>
    <w:rsid w:val="003B7CE1"/>
    <w:rsid w:val="003B7D6D"/>
    <w:rsid w:val="003C139A"/>
    <w:rsid w:val="003C15D0"/>
    <w:rsid w:val="003C26DD"/>
    <w:rsid w:val="003C4228"/>
    <w:rsid w:val="003C4ABD"/>
    <w:rsid w:val="003C6C5E"/>
    <w:rsid w:val="003C7D22"/>
    <w:rsid w:val="003D3527"/>
    <w:rsid w:val="003D3A71"/>
    <w:rsid w:val="003D415A"/>
    <w:rsid w:val="003D4535"/>
    <w:rsid w:val="003D4906"/>
    <w:rsid w:val="003D63C8"/>
    <w:rsid w:val="003E0984"/>
    <w:rsid w:val="003E1E9A"/>
    <w:rsid w:val="003E3273"/>
    <w:rsid w:val="003E38B4"/>
    <w:rsid w:val="003E3C93"/>
    <w:rsid w:val="003F0F37"/>
    <w:rsid w:val="003F1F22"/>
    <w:rsid w:val="003F2015"/>
    <w:rsid w:val="003F3138"/>
    <w:rsid w:val="003F3233"/>
    <w:rsid w:val="003F398E"/>
    <w:rsid w:val="003F553E"/>
    <w:rsid w:val="003F58A9"/>
    <w:rsid w:val="003F6165"/>
    <w:rsid w:val="003F618C"/>
    <w:rsid w:val="00401262"/>
    <w:rsid w:val="00403065"/>
    <w:rsid w:val="0040733F"/>
    <w:rsid w:val="00407AED"/>
    <w:rsid w:val="0041045C"/>
    <w:rsid w:val="00414A31"/>
    <w:rsid w:val="00415EB5"/>
    <w:rsid w:val="00416764"/>
    <w:rsid w:val="0041716D"/>
    <w:rsid w:val="0041767A"/>
    <w:rsid w:val="00420D60"/>
    <w:rsid w:val="00420FEC"/>
    <w:rsid w:val="00421A41"/>
    <w:rsid w:val="00422CBA"/>
    <w:rsid w:val="00422F5B"/>
    <w:rsid w:val="00423F43"/>
    <w:rsid w:val="004240C2"/>
    <w:rsid w:val="00425423"/>
    <w:rsid w:val="0042552E"/>
    <w:rsid w:val="00425656"/>
    <w:rsid w:val="00427567"/>
    <w:rsid w:val="0043025D"/>
    <w:rsid w:val="00431296"/>
    <w:rsid w:val="00432C5E"/>
    <w:rsid w:val="00434951"/>
    <w:rsid w:val="00436DF9"/>
    <w:rsid w:val="00441634"/>
    <w:rsid w:val="0044276E"/>
    <w:rsid w:val="00443646"/>
    <w:rsid w:val="00444D72"/>
    <w:rsid w:val="00445291"/>
    <w:rsid w:val="004461F4"/>
    <w:rsid w:val="004469EB"/>
    <w:rsid w:val="00447DDF"/>
    <w:rsid w:val="0045108E"/>
    <w:rsid w:val="004525B3"/>
    <w:rsid w:val="00452BB4"/>
    <w:rsid w:val="00453961"/>
    <w:rsid w:val="00453E8A"/>
    <w:rsid w:val="004559ED"/>
    <w:rsid w:val="00456B49"/>
    <w:rsid w:val="004603F5"/>
    <w:rsid w:val="00462BBC"/>
    <w:rsid w:val="00465079"/>
    <w:rsid w:val="004650F0"/>
    <w:rsid w:val="00465B37"/>
    <w:rsid w:val="00465D0D"/>
    <w:rsid w:val="00467DDF"/>
    <w:rsid w:val="00470666"/>
    <w:rsid w:val="00472B96"/>
    <w:rsid w:val="00474208"/>
    <w:rsid w:val="004816DC"/>
    <w:rsid w:val="004827EA"/>
    <w:rsid w:val="00483A82"/>
    <w:rsid w:val="004840A0"/>
    <w:rsid w:val="004853D1"/>
    <w:rsid w:val="00487CC8"/>
    <w:rsid w:val="0049087D"/>
    <w:rsid w:val="004914AF"/>
    <w:rsid w:val="00491BD7"/>
    <w:rsid w:val="004920A6"/>
    <w:rsid w:val="004A13E0"/>
    <w:rsid w:val="004A5D4B"/>
    <w:rsid w:val="004A737C"/>
    <w:rsid w:val="004A7E8B"/>
    <w:rsid w:val="004B3EB0"/>
    <w:rsid w:val="004B4EBA"/>
    <w:rsid w:val="004B56B1"/>
    <w:rsid w:val="004B5A14"/>
    <w:rsid w:val="004C0AB0"/>
    <w:rsid w:val="004D3EBE"/>
    <w:rsid w:val="004D3FAA"/>
    <w:rsid w:val="004D5232"/>
    <w:rsid w:val="004D5966"/>
    <w:rsid w:val="004D6CF5"/>
    <w:rsid w:val="004E0C9A"/>
    <w:rsid w:val="004E12CB"/>
    <w:rsid w:val="004E179E"/>
    <w:rsid w:val="004E5FBF"/>
    <w:rsid w:val="004E6B84"/>
    <w:rsid w:val="004E7648"/>
    <w:rsid w:val="004E7850"/>
    <w:rsid w:val="004E7AFE"/>
    <w:rsid w:val="004F0B3A"/>
    <w:rsid w:val="004F0FA1"/>
    <w:rsid w:val="004F2841"/>
    <w:rsid w:val="004F33A2"/>
    <w:rsid w:val="004F356B"/>
    <w:rsid w:val="004F499D"/>
    <w:rsid w:val="004F4DB7"/>
    <w:rsid w:val="004F54B8"/>
    <w:rsid w:val="004F589B"/>
    <w:rsid w:val="004F7238"/>
    <w:rsid w:val="00500161"/>
    <w:rsid w:val="0050322D"/>
    <w:rsid w:val="005075F0"/>
    <w:rsid w:val="00507761"/>
    <w:rsid w:val="00507A0C"/>
    <w:rsid w:val="00511547"/>
    <w:rsid w:val="00513466"/>
    <w:rsid w:val="005140A0"/>
    <w:rsid w:val="00514B2E"/>
    <w:rsid w:val="0051524A"/>
    <w:rsid w:val="00517F8F"/>
    <w:rsid w:val="00520D24"/>
    <w:rsid w:val="0052682F"/>
    <w:rsid w:val="00530A8E"/>
    <w:rsid w:val="00533845"/>
    <w:rsid w:val="005342BC"/>
    <w:rsid w:val="00535910"/>
    <w:rsid w:val="00535C5F"/>
    <w:rsid w:val="00535F02"/>
    <w:rsid w:val="005366F6"/>
    <w:rsid w:val="00537915"/>
    <w:rsid w:val="00542CFE"/>
    <w:rsid w:val="00543AAB"/>
    <w:rsid w:val="005443C6"/>
    <w:rsid w:val="00544D47"/>
    <w:rsid w:val="00545410"/>
    <w:rsid w:val="0054542A"/>
    <w:rsid w:val="00545CCB"/>
    <w:rsid w:val="00546916"/>
    <w:rsid w:val="00547138"/>
    <w:rsid w:val="005472C8"/>
    <w:rsid w:val="00547701"/>
    <w:rsid w:val="005516B0"/>
    <w:rsid w:val="005518ED"/>
    <w:rsid w:val="00552D18"/>
    <w:rsid w:val="005534A0"/>
    <w:rsid w:val="005537A5"/>
    <w:rsid w:val="0055463B"/>
    <w:rsid w:val="00555CAA"/>
    <w:rsid w:val="00556408"/>
    <w:rsid w:val="00560099"/>
    <w:rsid w:val="005620AE"/>
    <w:rsid w:val="00567B3E"/>
    <w:rsid w:val="005704D0"/>
    <w:rsid w:val="00570B28"/>
    <w:rsid w:val="00571391"/>
    <w:rsid w:val="0057158C"/>
    <w:rsid w:val="00571A01"/>
    <w:rsid w:val="00571C2C"/>
    <w:rsid w:val="00572F59"/>
    <w:rsid w:val="005750F3"/>
    <w:rsid w:val="005751D1"/>
    <w:rsid w:val="005752A3"/>
    <w:rsid w:val="00576716"/>
    <w:rsid w:val="0058134F"/>
    <w:rsid w:val="00583044"/>
    <w:rsid w:val="0058510E"/>
    <w:rsid w:val="005861B4"/>
    <w:rsid w:val="00586DAB"/>
    <w:rsid w:val="005871F0"/>
    <w:rsid w:val="00594144"/>
    <w:rsid w:val="0059461E"/>
    <w:rsid w:val="00594832"/>
    <w:rsid w:val="0059731E"/>
    <w:rsid w:val="005A0C37"/>
    <w:rsid w:val="005A131F"/>
    <w:rsid w:val="005A1C9B"/>
    <w:rsid w:val="005A4D50"/>
    <w:rsid w:val="005A6F15"/>
    <w:rsid w:val="005B53BD"/>
    <w:rsid w:val="005B5FA4"/>
    <w:rsid w:val="005B6A03"/>
    <w:rsid w:val="005C092C"/>
    <w:rsid w:val="005C36EE"/>
    <w:rsid w:val="005C385B"/>
    <w:rsid w:val="005C60CE"/>
    <w:rsid w:val="005C7420"/>
    <w:rsid w:val="005D277A"/>
    <w:rsid w:val="005D27FF"/>
    <w:rsid w:val="005D4B70"/>
    <w:rsid w:val="005D5BD7"/>
    <w:rsid w:val="005E1C38"/>
    <w:rsid w:val="005E2AC0"/>
    <w:rsid w:val="005E62FD"/>
    <w:rsid w:val="005F0D35"/>
    <w:rsid w:val="005F1410"/>
    <w:rsid w:val="005F2298"/>
    <w:rsid w:val="005F309C"/>
    <w:rsid w:val="005F41B0"/>
    <w:rsid w:val="005F4324"/>
    <w:rsid w:val="005F5A55"/>
    <w:rsid w:val="005F7F3A"/>
    <w:rsid w:val="006017F8"/>
    <w:rsid w:val="00602139"/>
    <w:rsid w:val="00602E80"/>
    <w:rsid w:val="00604364"/>
    <w:rsid w:val="00606A7A"/>
    <w:rsid w:val="00607401"/>
    <w:rsid w:val="00610027"/>
    <w:rsid w:val="006108FD"/>
    <w:rsid w:val="0061121D"/>
    <w:rsid w:val="00611EC5"/>
    <w:rsid w:val="006123D8"/>
    <w:rsid w:val="00614509"/>
    <w:rsid w:val="006156F7"/>
    <w:rsid w:val="006212C4"/>
    <w:rsid w:val="0062161A"/>
    <w:rsid w:val="006217C9"/>
    <w:rsid w:val="00622531"/>
    <w:rsid w:val="006232C6"/>
    <w:rsid w:val="00623A36"/>
    <w:rsid w:val="006240AB"/>
    <w:rsid w:val="006305DE"/>
    <w:rsid w:val="0063446C"/>
    <w:rsid w:val="00634AE6"/>
    <w:rsid w:val="00634FBC"/>
    <w:rsid w:val="00636DD8"/>
    <w:rsid w:val="006370C5"/>
    <w:rsid w:val="00640169"/>
    <w:rsid w:val="00640182"/>
    <w:rsid w:val="00640E90"/>
    <w:rsid w:val="0064259F"/>
    <w:rsid w:val="00642F78"/>
    <w:rsid w:val="0064438C"/>
    <w:rsid w:val="006446CD"/>
    <w:rsid w:val="006460C5"/>
    <w:rsid w:val="00646677"/>
    <w:rsid w:val="006475D0"/>
    <w:rsid w:val="00647F6A"/>
    <w:rsid w:val="00650847"/>
    <w:rsid w:val="0065181E"/>
    <w:rsid w:val="0065220C"/>
    <w:rsid w:val="00652938"/>
    <w:rsid w:val="006540E2"/>
    <w:rsid w:val="00654FC0"/>
    <w:rsid w:val="006557EB"/>
    <w:rsid w:val="00655FDC"/>
    <w:rsid w:val="00657ECB"/>
    <w:rsid w:val="006601A4"/>
    <w:rsid w:val="00662533"/>
    <w:rsid w:val="00663573"/>
    <w:rsid w:val="00663C94"/>
    <w:rsid w:val="006653E2"/>
    <w:rsid w:val="00665BEE"/>
    <w:rsid w:val="006717C7"/>
    <w:rsid w:val="006737D6"/>
    <w:rsid w:val="00673B18"/>
    <w:rsid w:val="0067512D"/>
    <w:rsid w:val="00675815"/>
    <w:rsid w:val="00675FAA"/>
    <w:rsid w:val="006767B2"/>
    <w:rsid w:val="00676E2E"/>
    <w:rsid w:val="0068171C"/>
    <w:rsid w:val="00686921"/>
    <w:rsid w:val="00690070"/>
    <w:rsid w:val="00690CE7"/>
    <w:rsid w:val="00692E2E"/>
    <w:rsid w:val="00693538"/>
    <w:rsid w:val="00694CD9"/>
    <w:rsid w:val="006966D0"/>
    <w:rsid w:val="00697BB6"/>
    <w:rsid w:val="006A2208"/>
    <w:rsid w:val="006A2ADE"/>
    <w:rsid w:val="006A4FDF"/>
    <w:rsid w:val="006A5635"/>
    <w:rsid w:val="006A5821"/>
    <w:rsid w:val="006A5D4E"/>
    <w:rsid w:val="006A6D5A"/>
    <w:rsid w:val="006A7FEA"/>
    <w:rsid w:val="006B0AED"/>
    <w:rsid w:val="006B0C1D"/>
    <w:rsid w:val="006B357B"/>
    <w:rsid w:val="006B43A9"/>
    <w:rsid w:val="006B462D"/>
    <w:rsid w:val="006B6F9E"/>
    <w:rsid w:val="006B7820"/>
    <w:rsid w:val="006C16D6"/>
    <w:rsid w:val="006C24B7"/>
    <w:rsid w:val="006C3928"/>
    <w:rsid w:val="006C3A84"/>
    <w:rsid w:val="006C4089"/>
    <w:rsid w:val="006C48E3"/>
    <w:rsid w:val="006C4F27"/>
    <w:rsid w:val="006C4F44"/>
    <w:rsid w:val="006C5182"/>
    <w:rsid w:val="006C58D8"/>
    <w:rsid w:val="006C627A"/>
    <w:rsid w:val="006C6672"/>
    <w:rsid w:val="006C671C"/>
    <w:rsid w:val="006C6C29"/>
    <w:rsid w:val="006D09CF"/>
    <w:rsid w:val="006D1A58"/>
    <w:rsid w:val="006D3378"/>
    <w:rsid w:val="006E0ABD"/>
    <w:rsid w:val="006E1355"/>
    <w:rsid w:val="006E207F"/>
    <w:rsid w:val="006E2A48"/>
    <w:rsid w:val="006E4F94"/>
    <w:rsid w:val="006E6D30"/>
    <w:rsid w:val="006E7A4A"/>
    <w:rsid w:val="006F1405"/>
    <w:rsid w:val="006F2141"/>
    <w:rsid w:val="006F4A4B"/>
    <w:rsid w:val="006F5088"/>
    <w:rsid w:val="006F57C7"/>
    <w:rsid w:val="006F6E5D"/>
    <w:rsid w:val="00700138"/>
    <w:rsid w:val="007001F2"/>
    <w:rsid w:val="00701FBB"/>
    <w:rsid w:val="007023AE"/>
    <w:rsid w:val="00703702"/>
    <w:rsid w:val="007051BA"/>
    <w:rsid w:val="00705574"/>
    <w:rsid w:val="0070722F"/>
    <w:rsid w:val="00707457"/>
    <w:rsid w:val="00713361"/>
    <w:rsid w:val="00715B20"/>
    <w:rsid w:val="0071631F"/>
    <w:rsid w:val="007167A4"/>
    <w:rsid w:val="0072065F"/>
    <w:rsid w:val="00720C74"/>
    <w:rsid w:val="00721812"/>
    <w:rsid w:val="00724372"/>
    <w:rsid w:val="00724D70"/>
    <w:rsid w:val="00727B69"/>
    <w:rsid w:val="00727FF9"/>
    <w:rsid w:val="007318BE"/>
    <w:rsid w:val="00731B5C"/>
    <w:rsid w:val="00734235"/>
    <w:rsid w:val="0073520F"/>
    <w:rsid w:val="00736475"/>
    <w:rsid w:val="007366D3"/>
    <w:rsid w:val="007369FE"/>
    <w:rsid w:val="00737B58"/>
    <w:rsid w:val="00742C2B"/>
    <w:rsid w:val="007440B2"/>
    <w:rsid w:val="0074453A"/>
    <w:rsid w:val="00744854"/>
    <w:rsid w:val="007464B8"/>
    <w:rsid w:val="0074730C"/>
    <w:rsid w:val="00747A1D"/>
    <w:rsid w:val="00751B5E"/>
    <w:rsid w:val="007521E1"/>
    <w:rsid w:val="007532FB"/>
    <w:rsid w:val="0075370E"/>
    <w:rsid w:val="007537D6"/>
    <w:rsid w:val="00755B58"/>
    <w:rsid w:val="007609F9"/>
    <w:rsid w:val="00760EA7"/>
    <w:rsid w:val="00761936"/>
    <w:rsid w:val="00761E58"/>
    <w:rsid w:val="00762C4E"/>
    <w:rsid w:val="00764A5A"/>
    <w:rsid w:val="0077035A"/>
    <w:rsid w:val="00771038"/>
    <w:rsid w:val="0077323F"/>
    <w:rsid w:val="007736CF"/>
    <w:rsid w:val="00773B78"/>
    <w:rsid w:val="00773DA7"/>
    <w:rsid w:val="0077422B"/>
    <w:rsid w:val="00774F01"/>
    <w:rsid w:val="00775C90"/>
    <w:rsid w:val="00777B52"/>
    <w:rsid w:val="00781CD3"/>
    <w:rsid w:val="007913BF"/>
    <w:rsid w:val="00794601"/>
    <w:rsid w:val="00794796"/>
    <w:rsid w:val="00796476"/>
    <w:rsid w:val="007A01DC"/>
    <w:rsid w:val="007A0319"/>
    <w:rsid w:val="007A0B9D"/>
    <w:rsid w:val="007A39C4"/>
    <w:rsid w:val="007A4217"/>
    <w:rsid w:val="007A47AB"/>
    <w:rsid w:val="007A4F93"/>
    <w:rsid w:val="007A4FC9"/>
    <w:rsid w:val="007B0AA0"/>
    <w:rsid w:val="007B12E0"/>
    <w:rsid w:val="007B1E98"/>
    <w:rsid w:val="007B3DFA"/>
    <w:rsid w:val="007B402A"/>
    <w:rsid w:val="007B421F"/>
    <w:rsid w:val="007B715F"/>
    <w:rsid w:val="007B7279"/>
    <w:rsid w:val="007C009D"/>
    <w:rsid w:val="007C18D7"/>
    <w:rsid w:val="007C2EDD"/>
    <w:rsid w:val="007C6DF4"/>
    <w:rsid w:val="007D034F"/>
    <w:rsid w:val="007D4672"/>
    <w:rsid w:val="007D4776"/>
    <w:rsid w:val="007D4FD0"/>
    <w:rsid w:val="007E03B5"/>
    <w:rsid w:val="007E05C4"/>
    <w:rsid w:val="007E08C9"/>
    <w:rsid w:val="007E1557"/>
    <w:rsid w:val="007E2149"/>
    <w:rsid w:val="007E42BB"/>
    <w:rsid w:val="007E5075"/>
    <w:rsid w:val="007E5E2A"/>
    <w:rsid w:val="007E691B"/>
    <w:rsid w:val="007F0032"/>
    <w:rsid w:val="007F18F7"/>
    <w:rsid w:val="007F286E"/>
    <w:rsid w:val="007F2EA4"/>
    <w:rsid w:val="007F405D"/>
    <w:rsid w:val="007F4AC8"/>
    <w:rsid w:val="007F4F74"/>
    <w:rsid w:val="007F5F4F"/>
    <w:rsid w:val="007F7313"/>
    <w:rsid w:val="00800F0F"/>
    <w:rsid w:val="00810019"/>
    <w:rsid w:val="008111D2"/>
    <w:rsid w:val="00812532"/>
    <w:rsid w:val="00812AE7"/>
    <w:rsid w:val="00817829"/>
    <w:rsid w:val="00817CAB"/>
    <w:rsid w:val="00820454"/>
    <w:rsid w:val="008204A9"/>
    <w:rsid w:val="00821061"/>
    <w:rsid w:val="00821254"/>
    <w:rsid w:val="00821871"/>
    <w:rsid w:val="008228BA"/>
    <w:rsid w:val="00822AB3"/>
    <w:rsid w:val="00822C1D"/>
    <w:rsid w:val="00823136"/>
    <w:rsid w:val="00823297"/>
    <w:rsid w:val="00824932"/>
    <w:rsid w:val="0082566F"/>
    <w:rsid w:val="008264D5"/>
    <w:rsid w:val="00826B49"/>
    <w:rsid w:val="0083047F"/>
    <w:rsid w:val="00832866"/>
    <w:rsid w:val="0083287C"/>
    <w:rsid w:val="00832B4C"/>
    <w:rsid w:val="00833653"/>
    <w:rsid w:val="0083453E"/>
    <w:rsid w:val="00834B96"/>
    <w:rsid w:val="0084003A"/>
    <w:rsid w:val="00841560"/>
    <w:rsid w:val="008419FF"/>
    <w:rsid w:val="00841D51"/>
    <w:rsid w:val="00845128"/>
    <w:rsid w:val="0084550C"/>
    <w:rsid w:val="00847423"/>
    <w:rsid w:val="00847638"/>
    <w:rsid w:val="00851858"/>
    <w:rsid w:val="00851A18"/>
    <w:rsid w:val="00851CBE"/>
    <w:rsid w:val="0085278C"/>
    <w:rsid w:val="008527EC"/>
    <w:rsid w:val="00852B35"/>
    <w:rsid w:val="00852E56"/>
    <w:rsid w:val="00856E9E"/>
    <w:rsid w:val="00857694"/>
    <w:rsid w:val="00857AB6"/>
    <w:rsid w:val="00857CE3"/>
    <w:rsid w:val="008654E9"/>
    <w:rsid w:val="00866FBC"/>
    <w:rsid w:val="008670BE"/>
    <w:rsid w:val="00870D1B"/>
    <w:rsid w:val="00872EA6"/>
    <w:rsid w:val="008730BA"/>
    <w:rsid w:val="00873158"/>
    <w:rsid w:val="00874937"/>
    <w:rsid w:val="008768BF"/>
    <w:rsid w:val="00876970"/>
    <w:rsid w:val="00876BBE"/>
    <w:rsid w:val="00881709"/>
    <w:rsid w:val="00881E3D"/>
    <w:rsid w:val="008835D9"/>
    <w:rsid w:val="008838F6"/>
    <w:rsid w:val="00883F19"/>
    <w:rsid w:val="00884006"/>
    <w:rsid w:val="00884DE1"/>
    <w:rsid w:val="00885F6D"/>
    <w:rsid w:val="0088609D"/>
    <w:rsid w:val="008865A5"/>
    <w:rsid w:val="00887A4A"/>
    <w:rsid w:val="00894113"/>
    <w:rsid w:val="00894B9F"/>
    <w:rsid w:val="00897EA5"/>
    <w:rsid w:val="008A1116"/>
    <w:rsid w:val="008A165D"/>
    <w:rsid w:val="008A1D29"/>
    <w:rsid w:val="008A1D8C"/>
    <w:rsid w:val="008A3625"/>
    <w:rsid w:val="008A3BB1"/>
    <w:rsid w:val="008A3CEA"/>
    <w:rsid w:val="008A4388"/>
    <w:rsid w:val="008A56FE"/>
    <w:rsid w:val="008A58D1"/>
    <w:rsid w:val="008A7B4A"/>
    <w:rsid w:val="008B2812"/>
    <w:rsid w:val="008B3EA0"/>
    <w:rsid w:val="008B5785"/>
    <w:rsid w:val="008B7703"/>
    <w:rsid w:val="008B7959"/>
    <w:rsid w:val="008C05FB"/>
    <w:rsid w:val="008C0EC1"/>
    <w:rsid w:val="008C4D15"/>
    <w:rsid w:val="008C60D2"/>
    <w:rsid w:val="008C66BB"/>
    <w:rsid w:val="008C707C"/>
    <w:rsid w:val="008C7179"/>
    <w:rsid w:val="008C718D"/>
    <w:rsid w:val="008C731E"/>
    <w:rsid w:val="008C764D"/>
    <w:rsid w:val="008D19E2"/>
    <w:rsid w:val="008D2A14"/>
    <w:rsid w:val="008D451F"/>
    <w:rsid w:val="008D4B0E"/>
    <w:rsid w:val="008E05B0"/>
    <w:rsid w:val="008E0A4D"/>
    <w:rsid w:val="008E4444"/>
    <w:rsid w:val="008E5094"/>
    <w:rsid w:val="008E5570"/>
    <w:rsid w:val="008E5CE0"/>
    <w:rsid w:val="008F0C1E"/>
    <w:rsid w:val="008F3858"/>
    <w:rsid w:val="008F38D8"/>
    <w:rsid w:val="008F47B9"/>
    <w:rsid w:val="008F57F9"/>
    <w:rsid w:val="008F7F86"/>
    <w:rsid w:val="00904FD1"/>
    <w:rsid w:val="00905085"/>
    <w:rsid w:val="00905CDA"/>
    <w:rsid w:val="00910AA1"/>
    <w:rsid w:val="009115E7"/>
    <w:rsid w:val="0091227F"/>
    <w:rsid w:val="00913E9E"/>
    <w:rsid w:val="009143F9"/>
    <w:rsid w:val="00920B22"/>
    <w:rsid w:val="009213CA"/>
    <w:rsid w:val="00921D2B"/>
    <w:rsid w:val="00921DF0"/>
    <w:rsid w:val="00924D01"/>
    <w:rsid w:val="00927706"/>
    <w:rsid w:val="00930B24"/>
    <w:rsid w:val="00933622"/>
    <w:rsid w:val="00933701"/>
    <w:rsid w:val="00934852"/>
    <w:rsid w:val="00934F0D"/>
    <w:rsid w:val="009366CB"/>
    <w:rsid w:val="00937133"/>
    <w:rsid w:val="009408F0"/>
    <w:rsid w:val="009413F9"/>
    <w:rsid w:val="00941BA3"/>
    <w:rsid w:val="00942873"/>
    <w:rsid w:val="00942BB1"/>
    <w:rsid w:val="00942E34"/>
    <w:rsid w:val="00951A9B"/>
    <w:rsid w:val="00952E0F"/>
    <w:rsid w:val="0095489F"/>
    <w:rsid w:val="0095560A"/>
    <w:rsid w:val="00956C5A"/>
    <w:rsid w:val="00957BAA"/>
    <w:rsid w:val="0096023D"/>
    <w:rsid w:val="00961C08"/>
    <w:rsid w:val="009634E7"/>
    <w:rsid w:val="0096462E"/>
    <w:rsid w:val="00967496"/>
    <w:rsid w:val="0096784A"/>
    <w:rsid w:val="009706E6"/>
    <w:rsid w:val="00971CFC"/>
    <w:rsid w:val="00971DA0"/>
    <w:rsid w:val="009730AA"/>
    <w:rsid w:val="00973D4E"/>
    <w:rsid w:val="00975755"/>
    <w:rsid w:val="00975C0D"/>
    <w:rsid w:val="009776AD"/>
    <w:rsid w:val="00980652"/>
    <w:rsid w:val="00981106"/>
    <w:rsid w:val="00985170"/>
    <w:rsid w:val="00985F9B"/>
    <w:rsid w:val="009865D8"/>
    <w:rsid w:val="00987C96"/>
    <w:rsid w:val="009906DF"/>
    <w:rsid w:val="00991855"/>
    <w:rsid w:val="009919FE"/>
    <w:rsid w:val="00993927"/>
    <w:rsid w:val="0099519B"/>
    <w:rsid w:val="00995BCA"/>
    <w:rsid w:val="00996EE7"/>
    <w:rsid w:val="009A1895"/>
    <w:rsid w:val="009A2342"/>
    <w:rsid w:val="009A56BE"/>
    <w:rsid w:val="009A6005"/>
    <w:rsid w:val="009B3697"/>
    <w:rsid w:val="009B5674"/>
    <w:rsid w:val="009B6927"/>
    <w:rsid w:val="009C0B90"/>
    <w:rsid w:val="009C1CBC"/>
    <w:rsid w:val="009C211B"/>
    <w:rsid w:val="009C4A3A"/>
    <w:rsid w:val="009C5C68"/>
    <w:rsid w:val="009C5C99"/>
    <w:rsid w:val="009C60C5"/>
    <w:rsid w:val="009D1653"/>
    <w:rsid w:val="009D3987"/>
    <w:rsid w:val="009D3D22"/>
    <w:rsid w:val="009D6BFC"/>
    <w:rsid w:val="009E118E"/>
    <w:rsid w:val="009E14E9"/>
    <w:rsid w:val="009E3FFB"/>
    <w:rsid w:val="009E42A2"/>
    <w:rsid w:val="009E470D"/>
    <w:rsid w:val="009E53B8"/>
    <w:rsid w:val="009E566D"/>
    <w:rsid w:val="009E7272"/>
    <w:rsid w:val="009E747D"/>
    <w:rsid w:val="009F0239"/>
    <w:rsid w:val="009F05DC"/>
    <w:rsid w:val="009F0ED0"/>
    <w:rsid w:val="009F1A6A"/>
    <w:rsid w:val="009F249C"/>
    <w:rsid w:val="009F3FF9"/>
    <w:rsid w:val="009F42A1"/>
    <w:rsid w:val="009F4ADC"/>
    <w:rsid w:val="009F4D58"/>
    <w:rsid w:val="009F7AFD"/>
    <w:rsid w:val="00A01EE5"/>
    <w:rsid w:val="00A0350D"/>
    <w:rsid w:val="00A03738"/>
    <w:rsid w:val="00A037D9"/>
    <w:rsid w:val="00A0395D"/>
    <w:rsid w:val="00A06DB1"/>
    <w:rsid w:val="00A1163D"/>
    <w:rsid w:val="00A138A1"/>
    <w:rsid w:val="00A13E38"/>
    <w:rsid w:val="00A151EF"/>
    <w:rsid w:val="00A15864"/>
    <w:rsid w:val="00A15FAF"/>
    <w:rsid w:val="00A16A81"/>
    <w:rsid w:val="00A17FA3"/>
    <w:rsid w:val="00A206E1"/>
    <w:rsid w:val="00A20D0E"/>
    <w:rsid w:val="00A214C1"/>
    <w:rsid w:val="00A21E23"/>
    <w:rsid w:val="00A22B38"/>
    <w:rsid w:val="00A241DF"/>
    <w:rsid w:val="00A2514F"/>
    <w:rsid w:val="00A25FE6"/>
    <w:rsid w:val="00A271DE"/>
    <w:rsid w:val="00A3052E"/>
    <w:rsid w:val="00A30FDE"/>
    <w:rsid w:val="00A32CEF"/>
    <w:rsid w:val="00A33013"/>
    <w:rsid w:val="00A330AD"/>
    <w:rsid w:val="00A33F0E"/>
    <w:rsid w:val="00A344B3"/>
    <w:rsid w:val="00A3537F"/>
    <w:rsid w:val="00A35ACD"/>
    <w:rsid w:val="00A363A1"/>
    <w:rsid w:val="00A436EA"/>
    <w:rsid w:val="00A455AB"/>
    <w:rsid w:val="00A45BC1"/>
    <w:rsid w:val="00A4657D"/>
    <w:rsid w:val="00A46720"/>
    <w:rsid w:val="00A50059"/>
    <w:rsid w:val="00A51EE2"/>
    <w:rsid w:val="00A52BF4"/>
    <w:rsid w:val="00A52F73"/>
    <w:rsid w:val="00A546D5"/>
    <w:rsid w:val="00A54898"/>
    <w:rsid w:val="00A5658E"/>
    <w:rsid w:val="00A56787"/>
    <w:rsid w:val="00A57DBF"/>
    <w:rsid w:val="00A60EBB"/>
    <w:rsid w:val="00A610D3"/>
    <w:rsid w:val="00A6499E"/>
    <w:rsid w:val="00A6720E"/>
    <w:rsid w:val="00A70938"/>
    <w:rsid w:val="00A7417A"/>
    <w:rsid w:val="00A76FC9"/>
    <w:rsid w:val="00A771F7"/>
    <w:rsid w:val="00A77276"/>
    <w:rsid w:val="00A80522"/>
    <w:rsid w:val="00A80B1E"/>
    <w:rsid w:val="00A81D48"/>
    <w:rsid w:val="00A8247B"/>
    <w:rsid w:val="00A82F31"/>
    <w:rsid w:val="00A90B3C"/>
    <w:rsid w:val="00A90EB6"/>
    <w:rsid w:val="00A9320A"/>
    <w:rsid w:val="00A9344F"/>
    <w:rsid w:val="00A95538"/>
    <w:rsid w:val="00A9557A"/>
    <w:rsid w:val="00A962B9"/>
    <w:rsid w:val="00A97D29"/>
    <w:rsid w:val="00AA01B6"/>
    <w:rsid w:val="00AA067C"/>
    <w:rsid w:val="00AA1280"/>
    <w:rsid w:val="00AA1476"/>
    <w:rsid w:val="00AA1CB2"/>
    <w:rsid w:val="00AA3F2A"/>
    <w:rsid w:val="00AA4791"/>
    <w:rsid w:val="00AA6395"/>
    <w:rsid w:val="00AA7E25"/>
    <w:rsid w:val="00AA7F37"/>
    <w:rsid w:val="00AB09F3"/>
    <w:rsid w:val="00AB1F3D"/>
    <w:rsid w:val="00AB21DD"/>
    <w:rsid w:val="00AB4661"/>
    <w:rsid w:val="00AC128F"/>
    <w:rsid w:val="00AC2717"/>
    <w:rsid w:val="00AC6626"/>
    <w:rsid w:val="00AD51C0"/>
    <w:rsid w:val="00AD5C75"/>
    <w:rsid w:val="00AD6307"/>
    <w:rsid w:val="00AD7BE4"/>
    <w:rsid w:val="00AE00BA"/>
    <w:rsid w:val="00AE1450"/>
    <w:rsid w:val="00AE269B"/>
    <w:rsid w:val="00AE3275"/>
    <w:rsid w:val="00AE7252"/>
    <w:rsid w:val="00AE7FE5"/>
    <w:rsid w:val="00AF633F"/>
    <w:rsid w:val="00AF7AC0"/>
    <w:rsid w:val="00B01517"/>
    <w:rsid w:val="00B019F1"/>
    <w:rsid w:val="00B022B0"/>
    <w:rsid w:val="00B028CB"/>
    <w:rsid w:val="00B0532F"/>
    <w:rsid w:val="00B065F0"/>
    <w:rsid w:val="00B0712A"/>
    <w:rsid w:val="00B071FA"/>
    <w:rsid w:val="00B10E38"/>
    <w:rsid w:val="00B10E97"/>
    <w:rsid w:val="00B11B44"/>
    <w:rsid w:val="00B11B74"/>
    <w:rsid w:val="00B12191"/>
    <w:rsid w:val="00B1353F"/>
    <w:rsid w:val="00B16711"/>
    <w:rsid w:val="00B20F5E"/>
    <w:rsid w:val="00B22248"/>
    <w:rsid w:val="00B228F4"/>
    <w:rsid w:val="00B22A3E"/>
    <w:rsid w:val="00B22F9C"/>
    <w:rsid w:val="00B24BEE"/>
    <w:rsid w:val="00B265BC"/>
    <w:rsid w:val="00B27B59"/>
    <w:rsid w:val="00B27B85"/>
    <w:rsid w:val="00B27F33"/>
    <w:rsid w:val="00B33BD8"/>
    <w:rsid w:val="00B346E2"/>
    <w:rsid w:val="00B34A3B"/>
    <w:rsid w:val="00B353F4"/>
    <w:rsid w:val="00B41D0E"/>
    <w:rsid w:val="00B43214"/>
    <w:rsid w:val="00B432DE"/>
    <w:rsid w:val="00B44B3F"/>
    <w:rsid w:val="00B44B6A"/>
    <w:rsid w:val="00B46A58"/>
    <w:rsid w:val="00B474E1"/>
    <w:rsid w:val="00B53763"/>
    <w:rsid w:val="00B53A0D"/>
    <w:rsid w:val="00B53DE9"/>
    <w:rsid w:val="00B56463"/>
    <w:rsid w:val="00B56AD8"/>
    <w:rsid w:val="00B57629"/>
    <w:rsid w:val="00B57D19"/>
    <w:rsid w:val="00B57F59"/>
    <w:rsid w:val="00B620CE"/>
    <w:rsid w:val="00B64682"/>
    <w:rsid w:val="00B65208"/>
    <w:rsid w:val="00B711EC"/>
    <w:rsid w:val="00B71374"/>
    <w:rsid w:val="00B740C5"/>
    <w:rsid w:val="00B74B98"/>
    <w:rsid w:val="00B75EDC"/>
    <w:rsid w:val="00B77A16"/>
    <w:rsid w:val="00B81872"/>
    <w:rsid w:val="00B81AB9"/>
    <w:rsid w:val="00B83534"/>
    <w:rsid w:val="00B84800"/>
    <w:rsid w:val="00B84945"/>
    <w:rsid w:val="00B850C5"/>
    <w:rsid w:val="00B86192"/>
    <w:rsid w:val="00B87B1C"/>
    <w:rsid w:val="00B90B26"/>
    <w:rsid w:val="00B90EF0"/>
    <w:rsid w:val="00B91430"/>
    <w:rsid w:val="00B91886"/>
    <w:rsid w:val="00B9366E"/>
    <w:rsid w:val="00B942C5"/>
    <w:rsid w:val="00B9523C"/>
    <w:rsid w:val="00B954B9"/>
    <w:rsid w:val="00B95A4C"/>
    <w:rsid w:val="00B95F4E"/>
    <w:rsid w:val="00B96454"/>
    <w:rsid w:val="00B9745B"/>
    <w:rsid w:val="00BA0059"/>
    <w:rsid w:val="00BA0385"/>
    <w:rsid w:val="00BA046F"/>
    <w:rsid w:val="00BA1CCA"/>
    <w:rsid w:val="00BA3110"/>
    <w:rsid w:val="00BA6064"/>
    <w:rsid w:val="00BA761F"/>
    <w:rsid w:val="00BA7D77"/>
    <w:rsid w:val="00BB00E8"/>
    <w:rsid w:val="00BB1AF8"/>
    <w:rsid w:val="00BB3301"/>
    <w:rsid w:val="00BB5DA3"/>
    <w:rsid w:val="00BB703E"/>
    <w:rsid w:val="00BB745B"/>
    <w:rsid w:val="00BB780F"/>
    <w:rsid w:val="00BC08DD"/>
    <w:rsid w:val="00BC1B7F"/>
    <w:rsid w:val="00BC496C"/>
    <w:rsid w:val="00BC4EF5"/>
    <w:rsid w:val="00BC6F95"/>
    <w:rsid w:val="00BD0AF3"/>
    <w:rsid w:val="00BD146A"/>
    <w:rsid w:val="00BD1A7C"/>
    <w:rsid w:val="00BD26CE"/>
    <w:rsid w:val="00BD2B03"/>
    <w:rsid w:val="00BD2CC1"/>
    <w:rsid w:val="00BD3C79"/>
    <w:rsid w:val="00BD5483"/>
    <w:rsid w:val="00BE2981"/>
    <w:rsid w:val="00BE46CC"/>
    <w:rsid w:val="00BE4E14"/>
    <w:rsid w:val="00BE5F6B"/>
    <w:rsid w:val="00BE78E2"/>
    <w:rsid w:val="00BF1584"/>
    <w:rsid w:val="00BF1FD4"/>
    <w:rsid w:val="00BF2B9B"/>
    <w:rsid w:val="00BF5067"/>
    <w:rsid w:val="00BF5EA6"/>
    <w:rsid w:val="00BF64B4"/>
    <w:rsid w:val="00BF68F4"/>
    <w:rsid w:val="00BF6AD9"/>
    <w:rsid w:val="00BF757B"/>
    <w:rsid w:val="00BF763E"/>
    <w:rsid w:val="00C00891"/>
    <w:rsid w:val="00C015EC"/>
    <w:rsid w:val="00C01A3B"/>
    <w:rsid w:val="00C01E10"/>
    <w:rsid w:val="00C01EA0"/>
    <w:rsid w:val="00C039DA"/>
    <w:rsid w:val="00C0439A"/>
    <w:rsid w:val="00C0441D"/>
    <w:rsid w:val="00C04D72"/>
    <w:rsid w:val="00C05B58"/>
    <w:rsid w:val="00C0621A"/>
    <w:rsid w:val="00C06283"/>
    <w:rsid w:val="00C06410"/>
    <w:rsid w:val="00C100B9"/>
    <w:rsid w:val="00C133C4"/>
    <w:rsid w:val="00C1371D"/>
    <w:rsid w:val="00C15371"/>
    <w:rsid w:val="00C1605B"/>
    <w:rsid w:val="00C16D35"/>
    <w:rsid w:val="00C17FEE"/>
    <w:rsid w:val="00C22CEA"/>
    <w:rsid w:val="00C249D1"/>
    <w:rsid w:val="00C25547"/>
    <w:rsid w:val="00C3193A"/>
    <w:rsid w:val="00C31D29"/>
    <w:rsid w:val="00C32F33"/>
    <w:rsid w:val="00C33856"/>
    <w:rsid w:val="00C340F7"/>
    <w:rsid w:val="00C35858"/>
    <w:rsid w:val="00C35C0B"/>
    <w:rsid w:val="00C36CB9"/>
    <w:rsid w:val="00C36CFA"/>
    <w:rsid w:val="00C373B3"/>
    <w:rsid w:val="00C37D61"/>
    <w:rsid w:val="00C40325"/>
    <w:rsid w:val="00C40877"/>
    <w:rsid w:val="00C40AF8"/>
    <w:rsid w:val="00C40FBC"/>
    <w:rsid w:val="00C41A0A"/>
    <w:rsid w:val="00C4238F"/>
    <w:rsid w:val="00C4316C"/>
    <w:rsid w:val="00C43D61"/>
    <w:rsid w:val="00C4538A"/>
    <w:rsid w:val="00C4578C"/>
    <w:rsid w:val="00C528AF"/>
    <w:rsid w:val="00C53132"/>
    <w:rsid w:val="00C55719"/>
    <w:rsid w:val="00C557F3"/>
    <w:rsid w:val="00C55922"/>
    <w:rsid w:val="00C55F14"/>
    <w:rsid w:val="00C57FD2"/>
    <w:rsid w:val="00C60A04"/>
    <w:rsid w:val="00C613D3"/>
    <w:rsid w:val="00C623B9"/>
    <w:rsid w:val="00C64B37"/>
    <w:rsid w:val="00C64F89"/>
    <w:rsid w:val="00C65480"/>
    <w:rsid w:val="00C6640A"/>
    <w:rsid w:val="00C67F1D"/>
    <w:rsid w:val="00C73AFC"/>
    <w:rsid w:val="00C73DE1"/>
    <w:rsid w:val="00C73E0A"/>
    <w:rsid w:val="00C73ECB"/>
    <w:rsid w:val="00C77020"/>
    <w:rsid w:val="00C77290"/>
    <w:rsid w:val="00C80A0B"/>
    <w:rsid w:val="00C80E3D"/>
    <w:rsid w:val="00C849A4"/>
    <w:rsid w:val="00C85124"/>
    <w:rsid w:val="00C851BA"/>
    <w:rsid w:val="00C86253"/>
    <w:rsid w:val="00C9092B"/>
    <w:rsid w:val="00C90BEC"/>
    <w:rsid w:val="00C90CCB"/>
    <w:rsid w:val="00C9170F"/>
    <w:rsid w:val="00C918A9"/>
    <w:rsid w:val="00C92548"/>
    <w:rsid w:val="00C925CC"/>
    <w:rsid w:val="00C927C3"/>
    <w:rsid w:val="00C940EC"/>
    <w:rsid w:val="00C95280"/>
    <w:rsid w:val="00C95F41"/>
    <w:rsid w:val="00C963EF"/>
    <w:rsid w:val="00C968FF"/>
    <w:rsid w:val="00C97147"/>
    <w:rsid w:val="00C97808"/>
    <w:rsid w:val="00CA1084"/>
    <w:rsid w:val="00CA2BDE"/>
    <w:rsid w:val="00CA315A"/>
    <w:rsid w:val="00CA35CC"/>
    <w:rsid w:val="00CA4C7A"/>
    <w:rsid w:val="00CA7DDA"/>
    <w:rsid w:val="00CB4103"/>
    <w:rsid w:val="00CB46DF"/>
    <w:rsid w:val="00CB5DA8"/>
    <w:rsid w:val="00CB6A28"/>
    <w:rsid w:val="00CC0B32"/>
    <w:rsid w:val="00CC31D6"/>
    <w:rsid w:val="00CC3724"/>
    <w:rsid w:val="00CC3A58"/>
    <w:rsid w:val="00CD0820"/>
    <w:rsid w:val="00CD32C2"/>
    <w:rsid w:val="00CD4CDF"/>
    <w:rsid w:val="00CD6180"/>
    <w:rsid w:val="00CD699A"/>
    <w:rsid w:val="00CD7839"/>
    <w:rsid w:val="00CE14D0"/>
    <w:rsid w:val="00CE1B50"/>
    <w:rsid w:val="00CE2BF1"/>
    <w:rsid w:val="00CE30D7"/>
    <w:rsid w:val="00CE457F"/>
    <w:rsid w:val="00CE60A8"/>
    <w:rsid w:val="00CF0598"/>
    <w:rsid w:val="00CF086B"/>
    <w:rsid w:val="00CF12AE"/>
    <w:rsid w:val="00CF1343"/>
    <w:rsid w:val="00CF19B4"/>
    <w:rsid w:val="00CF3B7A"/>
    <w:rsid w:val="00CF4375"/>
    <w:rsid w:val="00CF5E74"/>
    <w:rsid w:val="00CF76C9"/>
    <w:rsid w:val="00D0147B"/>
    <w:rsid w:val="00D022A7"/>
    <w:rsid w:val="00D022FF"/>
    <w:rsid w:val="00D0285C"/>
    <w:rsid w:val="00D03F1C"/>
    <w:rsid w:val="00D05333"/>
    <w:rsid w:val="00D07949"/>
    <w:rsid w:val="00D10E05"/>
    <w:rsid w:val="00D11227"/>
    <w:rsid w:val="00D11D0E"/>
    <w:rsid w:val="00D13F64"/>
    <w:rsid w:val="00D17EA4"/>
    <w:rsid w:val="00D21DED"/>
    <w:rsid w:val="00D22B75"/>
    <w:rsid w:val="00D23026"/>
    <w:rsid w:val="00D23B96"/>
    <w:rsid w:val="00D23C07"/>
    <w:rsid w:val="00D24F7D"/>
    <w:rsid w:val="00D27B5E"/>
    <w:rsid w:val="00D31388"/>
    <w:rsid w:val="00D32C8F"/>
    <w:rsid w:val="00D33C99"/>
    <w:rsid w:val="00D343AC"/>
    <w:rsid w:val="00D3457A"/>
    <w:rsid w:val="00D34F83"/>
    <w:rsid w:val="00D36ACB"/>
    <w:rsid w:val="00D36E0E"/>
    <w:rsid w:val="00D41562"/>
    <w:rsid w:val="00D43291"/>
    <w:rsid w:val="00D45D53"/>
    <w:rsid w:val="00D46CA9"/>
    <w:rsid w:val="00D531F2"/>
    <w:rsid w:val="00D53406"/>
    <w:rsid w:val="00D56AB7"/>
    <w:rsid w:val="00D576A6"/>
    <w:rsid w:val="00D579EF"/>
    <w:rsid w:val="00D57FE3"/>
    <w:rsid w:val="00D61AF3"/>
    <w:rsid w:val="00D62B4A"/>
    <w:rsid w:val="00D6324C"/>
    <w:rsid w:val="00D64586"/>
    <w:rsid w:val="00D67B68"/>
    <w:rsid w:val="00D758BC"/>
    <w:rsid w:val="00D766D2"/>
    <w:rsid w:val="00D77077"/>
    <w:rsid w:val="00D81BF2"/>
    <w:rsid w:val="00D8252C"/>
    <w:rsid w:val="00D83714"/>
    <w:rsid w:val="00D85B61"/>
    <w:rsid w:val="00D9137D"/>
    <w:rsid w:val="00D9563F"/>
    <w:rsid w:val="00D95B64"/>
    <w:rsid w:val="00D95CF4"/>
    <w:rsid w:val="00D961C9"/>
    <w:rsid w:val="00D97589"/>
    <w:rsid w:val="00D97E45"/>
    <w:rsid w:val="00DA2C0F"/>
    <w:rsid w:val="00DA4C40"/>
    <w:rsid w:val="00DA67C8"/>
    <w:rsid w:val="00DB0DBA"/>
    <w:rsid w:val="00DB1C35"/>
    <w:rsid w:val="00DB1CFA"/>
    <w:rsid w:val="00DB268C"/>
    <w:rsid w:val="00DB3830"/>
    <w:rsid w:val="00DB3E73"/>
    <w:rsid w:val="00DB5B8E"/>
    <w:rsid w:val="00DB60F3"/>
    <w:rsid w:val="00DB761D"/>
    <w:rsid w:val="00DC24C7"/>
    <w:rsid w:val="00DC2D60"/>
    <w:rsid w:val="00DC316C"/>
    <w:rsid w:val="00DC3897"/>
    <w:rsid w:val="00DC394E"/>
    <w:rsid w:val="00DC3F1E"/>
    <w:rsid w:val="00DC40EA"/>
    <w:rsid w:val="00DC7881"/>
    <w:rsid w:val="00DC7C2F"/>
    <w:rsid w:val="00DC7CA2"/>
    <w:rsid w:val="00DD13D8"/>
    <w:rsid w:val="00DD187E"/>
    <w:rsid w:val="00DD6004"/>
    <w:rsid w:val="00DD67DB"/>
    <w:rsid w:val="00DD7145"/>
    <w:rsid w:val="00DE040C"/>
    <w:rsid w:val="00DE0442"/>
    <w:rsid w:val="00DE05D2"/>
    <w:rsid w:val="00DE08C2"/>
    <w:rsid w:val="00DE0AE5"/>
    <w:rsid w:val="00DE20E5"/>
    <w:rsid w:val="00DE3B86"/>
    <w:rsid w:val="00DE4014"/>
    <w:rsid w:val="00DE452C"/>
    <w:rsid w:val="00DE54C8"/>
    <w:rsid w:val="00DE5B13"/>
    <w:rsid w:val="00DE5C12"/>
    <w:rsid w:val="00DF28AC"/>
    <w:rsid w:val="00DF51BB"/>
    <w:rsid w:val="00DF7FF2"/>
    <w:rsid w:val="00E01535"/>
    <w:rsid w:val="00E015BF"/>
    <w:rsid w:val="00E02AC9"/>
    <w:rsid w:val="00E03DD7"/>
    <w:rsid w:val="00E04431"/>
    <w:rsid w:val="00E04702"/>
    <w:rsid w:val="00E04850"/>
    <w:rsid w:val="00E05DA8"/>
    <w:rsid w:val="00E06057"/>
    <w:rsid w:val="00E06373"/>
    <w:rsid w:val="00E06583"/>
    <w:rsid w:val="00E06A65"/>
    <w:rsid w:val="00E06C5C"/>
    <w:rsid w:val="00E07B4C"/>
    <w:rsid w:val="00E07F82"/>
    <w:rsid w:val="00E13173"/>
    <w:rsid w:val="00E13A4B"/>
    <w:rsid w:val="00E13E6B"/>
    <w:rsid w:val="00E14D8F"/>
    <w:rsid w:val="00E1605C"/>
    <w:rsid w:val="00E22241"/>
    <w:rsid w:val="00E225A0"/>
    <w:rsid w:val="00E22FA7"/>
    <w:rsid w:val="00E234F0"/>
    <w:rsid w:val="00E264B4"/>
    <w:rsid w:val="00E30303"/>
    <w:rsid w:val="00E3133A"/>
    <w:rsid w:val="00E3502F"/>
    <w:rsid w:val="00E35413"/>
    <w:rsid w:val="00E3609D"/>
    <w:rsid w:val="00E378D7"/>
    <w:rsid w:val="00E37CF7"/>
    <w:rsid w:val="00E4078F"/>
    <w:rsid w:val="00E41386"/>
    <w:rsid w:val="00E420CA"/>
    <w:rsid w:val="00E4292E"/>
    <w:rsid w:val="00E43699"/>
    <w:rsid w:val="00E51686"/>
    <w:rsid w:val="00E535D8"/>
    <w:rsid w:val="00E550E6"/>
    <w:rsid w:val="00E55517"/>
    <w:rsid w:val="00E601B7"/>
    <w:rsid w:val="00E603C3"/>
    <w:rsid w:val="00E654E9"/>
    <w:rsid w:val="00E65B48"/>
    <w:rsid w:val="00E67A1B"/>
    <w:rsid w:val="00E67A30"/>
    <w:rsid w:val="00E70287"/>
    <w:rsid w:val="00E70F04"/>
    <w:rsid w:val="00E732C9"/>
    <w:rsid w:val="00E73731"/>
    <w:rsid w:val="00E73A49"/>
    <w:rsid w:val="00E73FA7"/>
    <w:rsid w:val="00E74F8D"/>
    <w:rsid w:val="00E756B3"/>
    <w:rsid w:val="00E75D22"/>
    <w:rsid w:val="00E75FF2"/>
    <w:rsid w:val="00E77C76"/>
    <w:rsid w:val="00E77F21"/>
    <w:rsid w:val="00E77F70"/>
    <w:rsid w:val="00E8040C"/>
    <w:rsid w:val="00E81260"/>
    <w:rsid w:val="00E822C0"/>
    <w:rsid w:val="00E83BAD"/>
    <w:rsid w:val="00E856C6"/>
    <w:rsid w:val="00E90342"/>
    <w:rsid w:val="00E9131D"/>
    <w:rsid w:val="00E9164B"/>
    <w:rsid w:val="00E91B7A"/>
    <w:rsid w:val="00E96822"/>
    <w:rsid w:val="00E970E7"/>
    <w:rsid w:val="00EA0289"/>
    <w:rsid w:val="00EA198A"/>
    <w:rsid w:val="00EA341D"/>
    <w:rsid w:val="00EA58F1"/>
    <w:rsid w:val="00EB03B0"/>
    <w:rsid w:val="00EB5FD1"/>
    <w:rsid w:val="00EB620D"/>
    <w:rsid w:val="00EB77B3"/>
    <w:rsid w:val="00EC031C"/>
    <w:rsid w:val="00EC0A27"/>
    <w:rsid w:val="00EC57C9"/>
    <w:rsid w:val="00EC656C"/>
    <w:rsid w:val="00EC6E64"/>
    <w:rsid w:val="00EC6FC3"/>
    <w:rsid w:val="00EC6FC5"/>
    <w:rsid w:val="00ED0B8D"/>
    <w:rsid w:val="00ED2796"/>
    <w:rsid w:val="00ED377B"/>
    <w:rsid w:val="00ED3B3B"/>
    <w:rsid w:val="00ED4584"/>
    <w:rsid w:val="00ED4A6B"/>
    <w:rsid w:val="00ED5577"/>
    <w:rsid w:val="00ED5D48"/>
    <w:rsid w:val="00ED5E7E"/>
    <w:rsid w:val="00ED71D0"/>
    <w:rsid w:val="00ED730F"/>
    <w:rsid w:val="00ED7DBD"/>
    <w:rsid w:val="00EE097F"/>
    <w:rsid w:val="00EE2AD7"/>
    <w:rsid w:val="00EE3125"/>
    <w:rsid w:val="00EE31A1"/>
    <w:rsid w:val="00EE70A2"/>
    <w:rsid w:val="00EF11D4"/>
    <w:rsid w:val="00EF3F46"/>
    <w:rsid w:val="00EF4165"/>
    <w:rsid w:val="00EF4825"/>
    <w:rsid w:val="00EF4A2C"/>
    <w:rsid w:val="00EF6FCD"/>
    <w:rsid w:val="00F0045C"/>
    <w:rsid w:val="00F00A0C"/>
    <w:rsid w:val="00F01C41"/>
    <w:rsid w:val="00F01EF3"/>
    <w:rsid w:val="00F02519"/>
    <w:rsid w:val="00F04F89"/>
    <w:rsid w:val="00F0662B"/>
    <w:rsid w:val="00F103E9"/>
    <w:rsid w:val="00F1127C"/>
    <w:rsid w:val="00F122B5"/>
    <w:rsid w:val="00F1276B"/>
    <w:rsid w:val="00F12D8F"/>
    <w:rsid w:val="00F15F9B"/>
    <w:rsid w:val="00F16EC1"/>
    <w:rsid w:val="00F201DE"/>
    <w:rsid w:val="00F2358E"/>
    <w:rsid w:val="00F23C9D"/>
    <w:rsid w:val="00F25256"/>
    <w:rsid w:val="00F25576"/>
    <w:rsid w:val="00F26124"/>
    <w:rsid w:val="00F26611"/>
    <w:rsid w:val="00F268BA"/>
    <w:rsid w:val="00F26B04"/>
    <w:rsid w:val="00F27882"/>
    <w:rsid w:val="00F27FF4"/>
    <w:rsid w:val="00F30A54"/>
    <w:rsid w:val="00F312B9"/>
    <w:rsid w:val="00F314D3"/>
    <w:rsid w:val="00F31849"/>
    <w:rsid w:val="00F31C57"/>
    <w:rsid w:val="00F3204F"/>
    <w:rsid w:val="00F34683"/>
    <w:rsid w:val="00F34C25"/>
    <w:rsid w:val="00F35A90"/>
    <w:rsid w:val="00F35BBA"/>
    <w:rsid w:val="00F362F0"/>
    <w:rsid w:val="00F36F67"/>
    <w:rsid w:val="00F37977"/>
    <w:rsid w:val="00F37BFD"/>
    <w:rsid w:val="00F41AD3"/>
    <w:rsid w:val="00F41BDA"/>
    <w:rsid w:val="00F41FE6"/>
    <w:rsid w:val="00F447CE"/>
    <w:rsid w:val="00F470A8"/>
    <w:rsid w:val="00F4722D"/>
    <w:rsid w:val="00F47F83"/>
    <w:rsid w:val="00F502AD"/>
    <w:rsid w:val="00F50568"/>
    <w:rsid w:val="00F52110"/>
    <w:rsid w:val="00F543B0"/>
    <w:rsid w:val="00F54D72"/>
    <w:rsid w:val="00F54DE6"/>
    <w:rsid w:val="00F56553"/>
    <w:rsid w:val="00F566B8"/>
    <w:rsid w:val="00F5765A"/>
    <w:rsid w:val="00F57CAA"/>
    <w:rsid w:val="00F60629"/>
    <w:rsid w:val="00F60674"/>
    <w:rsid w:val="00F60F06"/>
    <w:rsid w:val="00F613FC"/>
    <w:rsid w:val="00F61D24"/>
    <w:rsid w:val="00F61FE1"/>
    <w:rsid w:val="00F661DA"/>
    <w:rsid w:val="00F66FB6"/>
    <w:rsid w:val="00F70110"/>
    <w:rsid w:val="00F720E0"/>
    <w:rsid w:val="00F7233C"/>
    <w:rsid w:val="00F724A2"/>
    <w:rsid w:val="00F72A55"/>
    <w:rsid w:val="00F72C4D"/>
    <w:rsid w:val="00F72D22"/>
    <w:rsid w:val="00F72FDA"/>
    <w:rsid w:val="00F738A6"/>
    <w:rsid w:val="00F739EC"/>
    <w:rsid w:val="00F76298"/>
    <w:rsid w:val="00F7694C"/>
    <w:rsid w:val="00F76BB1"/>
    <w:rsid w:val="00F80C70"/>
    <w:rsid w:val="00F80D5D"/>
    <w:rsid w:val="00F83D4F"/>
    <w:rsid w:val="00F8651B"/>
    <w:rsid w:val="00F87DF9"/>
    <w:rsid w:val="00F93292"/>
    <w:rsid w:val="00F934B2"/>
    <w:rsid w:val="00F95A0F"/>
    <w:rsid w:val="00F9673B"/>
    <w:rsid w:val="00F974B3"/>
    <w:rsid w:val="00F97F0D"/>
    <w:rsid w:val="00FA10FA"/>
    <w:rsid w:val="00FA3DC2"/>
    <w:rsid w:val="00FA460F"/>
    <w:rsid w:val="00FA5D52"/>
    <w:rsid w:val="00FA6A0E"/>
    <w:rsid w:val="00FA790F"/>
    <w:rsid w:val="00FA7F92"/>
    <w:rsid w:val="00FB021D"/>
    <w:rsid w:val="00FB172D"/>
    <w:rsid w:val="00FB1E25"/>
    <w:rsid w:val="00FB41EA"/>
    <w:rsid w:val="00FB521C"/>
    <w:rsid w:val="00FB5396"/>
    <w:rsid w:val="00FB59E5"/>
    <w:rsid w:val="00FB6146"/>
    <w:rsid w:val="00FB723B"/>
    <w:rsid w:val="00FC13B2"/>
    <w:rsid w:val="00FC67A7"/>
    <w:rsid w:val="00FC686B"/>
    <w:rsid w:val="00FC6D63"/>
    <w:rsid w:val="00FD2BF5"/>
    <w:rsid w:val="00FD4611"/>
    <w:rsid w:val="00FD47FB"/>
    <w:rsid w:val="00FD55BA"/>
    <w:rsid w:val="00FD740C"/>
    <w:rsid w:val="00FE15B4"/>
    <w:rsid w:val="00FE2D05"/>
    <w:rsid w:val="00FE3621"/>
    <w:rsid w:val="00FE4606"/>
    <w:rsid w:val="00FE4CB8"/>
    <w:rsid w:val="00FE6C32"/>
    <w:rsid w:val="00FE6E50"/>
    <w:rsid w:val="00FE749B"/>
    <w:rsid w:val="00FF199A"/>
    <w:rsid w:val="00FF3220"/>
    <w:rsid w:val="00FF74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46E66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uiPriority="99"/>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2324"/>
    <w:pPr>
      <w:widowControl w:val="0"/>
      <w:autoSpaceDE w:val="0"/>
      <w:autoSpaceDN w:val="0"/>
      <w:adjustRightInd w:val="0"/>
    </w:pPr>
    <w:rPr>
      <w:sz w:val="22"/>
      <w:szCs w:val="24"/>
      <w:lang w:eastAsia="en-US"/>
    </w:rPr>
  </w:style>
  <w:style w:type="paragraph" w:styleId="Heading1">
    <w:name w:val="heading 1"/>
    <w:basedOn w:val="MockHeading1"/>
    <w:next w:val="BodyTextFirstIndent"/>
    <w:link w:val="Heading1Char"/>
    <w:autoRedefine/>
    <w:qFormat/>
    <w:rsid w:val="000446F8"/>
    <w:pPr>
      <w:numPr>
        <w:numId w:val="12"/>
      </w:numPr>
      <w:spacing w:line="276" w:lineRule="auto"/>
      <w:ind w:hanging="720"/>
      <w:jc w:val="left"/>
      <w:outlineLvl w:val="0"/>
    </w:pPr>
  </w:style>
  <w:style w:type="paragraph" w:styleId="Heading2">
    <w:name w:val="heading 2"/>
    <w:basedOn w:val="Heading4"/>
    <w:next w:val="BodyTextFirstIndent"/>
    <w:link w:val="Heading2Char"/>
    <w:qFormat/>
    <w:rsid w:val="00112324"/>
    <w:pPr>
      <w:spacing w:line="276" w:lineRule="auto"/>
      <w:ind w:left="720" w:hanging="720"/>
      <w:outlineLvl w:val="1"/>
    </w:pPr>
    <w:rPr>
      <w:rFonts w:ascii="Arial" w:hAnsi="Arial" w:cs="Times New Roman"/>
      <w:b/>
      <w:sz w:val="24"/>
      <w:szCs w:val="22"/>
      <w:u w:val="none"/>
    </w:rPr>
  </w:style>
  <w:style w:type="paragraph" w:styleId="Heading3">
    <w:name w:val="heading 3"/>
    <w:basedOn w:val="BodyTextFirstIndent"/>
    <w:next w:val="BodyTextFirstIndent"/>
    <w:link w:val="Heading3Char"/>
    <w:qFormat/>
    <w:rsid w:val="00072448"/>
    <w:pPr>
      <w:outlineLvl w:val="2"/>
    </w:pPr>
    <w:rPr>
      <w:szCs w:val="22"/>
      <w:u w:val="single"/>
    </w:rPr>
  </w:style>
  <w:style w:type="paragraph" w:styleId="Heading4">
    <w:name w:val="heading 4"/>
    <w:basedOn w:val="Normal"/>
    <w:next w:val="BodyTextFirstIndent"/>
    <w:link w:val="Heading4Char"/>
    <w:qFormat/>
    <w:rsid w:val="001E69C9"/>
    <w:pPr>
      <w:keepNext/>
      <w:widowControl/>
      <w:autoSpaceDE/>
      <w:autoSpaceDN/>
      <w:adjustRightInd/>
      <w:spacing w:before="240" w:after="240"/>
      <w:outlineLvl w:val="3"/>
    </w:pPr>
    <w:rPr>
      <w:rFonts w:cs="Arial"/>
      <w:szCs w:val="32"/>
      <w:u w:val="single"/>
    </w:rPr>
  </w:style>
  <w:style w:type="paragraph" w:styleId="Heading5">
    <w:name w:val="heading 5"/>
    <w:basedOn w:val="Normal"/>
    <w:next w:val="Normal"/>
    <w:link w:val="Heading5Char"/>
    <w:qFormat/>
    <w:rsid w:val="00C40FBC"/>
    <w:pPr>
      <w:widowControl/>
      <w:numPr>
        <w:ilvl w:val="4"/>
        <w:numId w:val="10"/>
      </w:numPr>
      <w:autoSpaceDE/>
      <w:autoSpaceDN/>
      <w:adjustRightInd/>
      <w:spacing w:before="240" w:after="240"/>
      <w:outlineLvl w:val="4"/>
    </w:pPr>
    <w:rPr>
      <w:u w:val="single"/>
    </w:rPr>
  </w:style>
  <w:style w:type="paragraph" w:styleId="Heading6">
    <w:name w:val="heading 6"/>
    <w:basedOn w:val="Normal"/>
    <w:next w:val="Normal"/>
    <w:link w:val="Heading6Char"/>
    <w:autoRedefine/>
    <w:qFormat/>
    <w:rsid w:val="00812AE7"/>
    <w:pPr>
      <w:widowControl/>
      <w:numPr>
        <w:ilvl w:val="5"/>
        <w:numId w:val="10"/>
      </w:numPr>
      <w:autoSpaceDE/>
      <w:autoSpaceDN/>
      <w:adjustRightInd/>
      <w:spacing w:before="240" w:after="240"/>
      <w:outlineLvl w:val="5"/>
    </w:pPr>
    <w:rPr>
      <w:bCs/>
      <w:szCs w:val="28"/>
      <w:u w:val="single"/>
    </w:rPr>
  </w:style>
  <w:style w:type="paragraph" w:styleId="Heading7">
    <w:name w:val="heading 7"/>
    <w:basedOn w:val="Normal"/>
    <w:next w:val="Normal"/>
    <w:link w:val="Heading7Char"/>
    <w:qFormat/>
    <w:rsid w:val="00452BB4"/>
    <w:pPr>
      <w:keepNext/>
      <w:widowControl/>
      <w:numPr>
        <w:ilvl w:val="6"/>
        <w:numId w:val="10"/>
      </w:numPr>
      <w:autoSpaceDE/>
      <w:autoSpaceDN/>
      <w:adjustRightInd/>
      <w:spacing w:before="240" w:after="240"/>
      <w:jc w:val="center"/>
      <w:outlineLvl w:val="6"/>
    </w:pPr>
    <w:rPr>
      <w:rFonts w:ascii="Arial" w:hAnsi="Arial" w:cs="Arial"/>
      <w:b/>
      <w:bCs/>
      <w:sz w:val="26"/>
    </w:rPr>
  </w:style>
  <w:style w:type="paragraph" w:styleId="Heading8">
    <w:name w:val="heading 8"/>
    <w:basedOn w:val="Normal"/>
    <w:next w:val="Normal"/>
    <w:link w:val="Heading8Char"/>
    <w:qFormat/>
    <w:rsid w:val="00693538"/>
    <w:pPr>
      <w:widowControl/>
      <w:numPr>
        <w:ilvl w:val="7"/>
        <w:numId w:val="10"/>
      </w:numPr>
      <w:autoSpaceDE/>
      <w:autoSpaceDN/>
      <w:adjustRightInd/>
      <w:spacing w:before="240" w:after="240"/>
      <w:outlineLvl w:val="7"/>
    </w:pPr>
    <w:rPr>
      <w:rFonts w:ascii="Arial" w:hAnsi="Arial"/>
      <w:b/>
      <w:sz w:val="26"/>
    </w:rPr>
  </w:style>
  <w:style w:type="paragraph" w:styleId="Heading9">
    <w:name w:val="heading 9"/>
    <w:basedOn w:val="Normal"/>
    <w:next w:val="Normal"/>
    <w:link w:val="Heading9Char"/>
    <w:qFormat/>
    <w:rsid w:val="00FC686B"/>
    <w:pPr>
      <w:widowControl/>
      <w:numPr>
        <w:ilvl w:val="8"/>
        <w:numId w:val="10"/>
      </w:numPr>
      <w:autoSpaceDE/>
      <w:autoSpaceDN/>
      <w:adjustRightInd/>
      <w:spacing w:before="240" w:after="240"/>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autoRedefine/>
    <w:qFormat/>
    <w:rsid w:val="003736E6"/>
    <w:pPr>
      <w:numPr>
        <w:numId w:val="2"/>
      </w:numPr>
      <w:spacing w:before="240" w:after="240" w:line="276" w:lineRule="auto"/>
    </w:pPr>
    <w:rPr>
      <w:sz w:val="22"/>
      <w:szCs w:val="18"/>
      <w:lang w:eastAsia="en-US"/>
    </w:rPr>
  </w:style>
  <w:style w:type="paragraph" w:styleId="BodyTextFirstIndent">
    <w:name w:val="Body Text First Indent"/>
    <w:basedOn w:val="BodyText"/>
    <w:link w:val="BodyTextFirstIndentChar"/>
    <w:qFormat/>
    <w:rsid w:val="00112324"/>
    <w:pPr>
      <w:widowControl/>
      <w:autoSpaceDE/>
      <w:autoSpaceDN/>
      <w:adjustRightInd/>
      <w:spacing w:before="240" w:beforeAutospacing="0" w:after="240" w:afterAutospacing="0" w:line="276" w:lineRule="auto"/>
      <w:ind w:firstLine="720"/>
    </w:pPr>
  </w:style>
  <w:style w:type="paragraph" w:styleId="BodyText">
    <w:name w:val="Body Text"/>
    <w:basedOn w:val="Normal"/>
    <w:link w:val="BodyTextChar"/>
    <w:autoRedefine/>
    <w:rsid w:val="00D022A7"/>
    <w:pPr>
      <w:spacing w:before="100" w:beforeAutospacing="1" w:after="100" w:afterAutospacing="1"/>
    </w:pPr>
    <w:rPr>
      <w:szCs w:val="18"/>
    </w:rPr>
  </w:style>
  <w:style w:type="character" w:styleId="Hyperlink">
    <w:name w:val="Hyperlink"/>
    <w:basedOn w:val="DefaultParagraphFont"/>
    <w:uiPriority w:val="99"/>
    <w:rsid w:val="00991855"/>
    <w:rPr>
      <w:color w:val="0000FF"/>
      <w:u w:val="single"/>
    </w:rPr>
  </w:style>
  <w:style w:type="paragraph" w:styleId="TOC1">
    <w:name w:val="toc 1"/>
    <w:basedOn w:val="Normal"/>
    <w:next w:val="Normal"/>
    <w:autoRedefine/>
    <w:uiPriority w:val="39"/>
    <w:rsid w:val="00452BB4"/>
    <w:pPr>
      <w:tabs>
        <w:tab w:val="right" w:leader="dot" w:pos="9350"/>
      </w:tabs>
      <w:spacing w:before="120" w:after="120"/>
    </w:pPr>
    <w:rPr>
      <w:b/>
      <w:bCs/>
      <w:caps/>
      <w:noProof/>
      <w:sz w:val="28"/>
    </w:rPr>
  </w:style>
  <w:style w:type="paragraph" w:styleId="TOC2">
    <w:name w:val="toc 2"/>
    <w:basedOn w:val="Normal"/>
    <w:next w:val="Normal"/>
    <w:autoRedefine/>
    <w:uiPriority w:val="39"/>
    <w:rsid w:val="005F309C"/>
    <w:pPr>
      <w:tabs>
        <w:tab w:val="left" w:pos="960"/>
        <w:tab w:val="right" w:leader="dot" w:pos="9350"/>
      </w:tabs>
      <w:ind w:left="990" w:right="1440" w:hanging="540"/>
    </w:pPr>
    <w:rPr>
      <w:rFonts w:cs="Arial"/>
      <w:smallCaps/>
      <w:noProof/>
    </w:rPr>
  </w:style>
  <w:style w:type="paragraph" w:styleId="TOC3">
    <w:name w:val="toc 3"/>
    <w:basedOn w:val="Normal"/>
    <w:next w:val="Normal"/>
    <w:autoRedefine/>
    <w:uiPriority w:val="39"/>
    <w:rsid w:val="00991855"/>
    <w:pPr>
      <w:ind w:left="480"/>
    </w:pPr>
    <w:rPr>
      <w:i/>
      <w:iCs/>
    </w:rPr>
  </w:style>
  <w:style w:type="paragraph" w:styleId="Caption">
    <w:name w:val="caption"/>
    <w:next w:val="Normal"/>
    <w:uiPriority w:val="35"/>
    <w:unhideWhenUsed/>
    <w:qFormat/>
    <w:rsid w:val="005534A0"/>
    <w:pPr>
      <w:spacing w:before="240" w:line="276" w:lineRule="auto"/>
      <w:jc w:val="center"/>
    </w:pPr>
    <w:rPr>
      <w:b/>
      <w:bCs/>
      <w:sz w:val="22"/>
      <w:szCs w:val="18"/>
      <w:lang w:eastAsia="en-US"/>
    </w:rPr>
  </w:style>
  <w:style w:type="paragraph" w:styleId="FootnoteText">
    <w:name w:val="footnote text"/>
    <w:basedOn w:val="Normal"/>
    <w:link w:val="FootnoteTextChar"/>
    <w:uiPriority w:val="99"/>
    <w:rsid w:val="00991855"/>
    <w:pPr>
      <w:ind w:left="360" w:hanging="360"/>
    </w:pPr>
    <w:rPr>
      <w:sz w:val="20"/>
      <w:szCs w:val="20"/>
    </w:rPr>
  </w:style>
  <w:style w:type="character" w:styleId="PageNumber">
    <w:name w:val="page number"/>
    <w:basedOn w:val="DefaultParagraphFont"/>
    <w:rsid w:val="00991855"/>
    <w:rPr>
      <w:rFonts w:ascii="Times New Roman" w:hAnsi="Times New Roman"/>
      <w:sz w:val="22"/>
    </w:rPr>
  </w:style>
  <w:style w:type="paragraph" w:styleId="Footer">
    <w:name w:val="footer"/>
    <w:basedOn w:val="Normal"/>
    <w:link w:val="FooterChar"/>
    <w:uiPriority w:val="99"/>
    <w:rsid w:val="00991855"/>
    <w:pPr>
      <w:tabs>
        <w:tab w:val="center" w:pos="4320"/>
        <w:tab w:val="right" w:pos="8640"/>
      </w:tabs>
    </w:pPr>
    <w:rPr>
      <w:rFonts w:ascii="Arial" w:hAnsi="Arial"/>
      <w:sz w:val="20"/>
    </w:rPr>
  </w:style>
  <w:style w:type="paragraph" w:styleId="Header">
    <w:name w:val="header"/>
    <w:basedOn w:val="Normal"/>
    <w:link w:val="HeaderChar"/>
    <w:uiPriority w:val="99"/>
    <w:rsid w:val="00991855"/>
    <w:pPr>
      <w:jc w:val="right"/>
    </w:pPr>
    <w:rPr>
      <w:rFonts w:ascii="Arial" w:hAnsi="Arial"/>
      <w:smallCaps/>
      <w:sz w:val="20"/>
      <w:szCs w:val="20"/>
    </w:rPr>
  </w:style>
  <w:style w:type="paragraph" w:styleId="CommentText">
    <w:name w:val="annotation text"/>
    <w:basedOn w:val="Normal"/>
    <w:link w:val="CommentTextChar"/>
    <w:uiPriority w:val="99"/>
    <w:rsid w:val="00991855"/>
    <w:rPr>
      <w:sz w:val="20"/>
      <w:szCs w:val="20"/>
    </w:rPr>
  </w:style>
  <w:style w:type="paragraph" w:customStyle="1" w:styleId="TableText">
    <w:name w:val="Table Text"/>
    <w:basedOn w:val="FootnoteText"/>
    <w:rsid w:val="00991855"/>
    <w:pPr>
      <w:ind w:left="0" w:firstLine="0"/>
    </w:pPr>
  </w:style>
  <w:style w:type="paragraph" w:styleId="TOC4">
    <w:name w:val="toc 4"/>
    <w:basedOn w:val="Normal"/>
    <w:next w:val="Normal"/>
    <w:autoRedefine/>
    <w:uiPriority w:val="39"/>
    <w:rsid w:val="00AB09F3"/>
    <w:pPr>
      <w:ind w:left="720"/>
    </w:pPr>
    <w:rPr>
      <w:i/>
      <w:szCs w:val="21"/>
    </w:rPr>
  </w:style>
  <w:style w:type="paragraph" w:styleId="Title">
    <w:name w:val="Title"/>
    <w:basedOn w:val="MockHeading1"/>
    <w:link w:val="TitleChar"/>
    <w:qFormat/>
    <w:rsid w:val="007F18F7"/>
    <w:pPr>
      <w:spacing w:line="276" w:lineRule="auto"/>
    </w:pPr>
  </w:style>
  <w:style w:type="paragraph" w:styleId="TOC5">
    <w:name w:val="toc 5"/>
    <w:basedOn w:val="Normal"/>
    <w:next w:val="Normal"/>
    <w:autoRedefine/>
    <w:uiPriority w:val="39"/>
    <w:rsid w:val="00991855"/>
    <w:pPr>
      <w:ind w:left="960"/>
    </w:pPr>
    <w:rPr>
      <w:szCs w:val="21"/>
    </w:rPr>
  </w:style>
  <w:style w:type="paragraph" w:styleId="TOC6">
    <w:name w:val="toc 6"/>
    <w:basedOn w:val="Normal"/>
    <w:next w:val="Normal"/>
    <w:autoRedefine/>
    <w:uiPriority w:val="39"/>
    <w:rsid w:val="00991855"/>
    <w:pPr>
      <w:ind w:left="1200"/>
    </w:pPr>
    <w:rPr>
      <w:szCs w:val="21"/>
    </w:rPr>
  </w:style>
  <w:style w:type="paragraph" w:styleId="TOC7">
    <w:name w:val="toc 7"/>
    <w:basedOn w:val="Normal"/>
    <w:next w:val="Normal"/>
    <w:autoRedefine/>
    <w:uiPriority w:val="39"/>
    <w:rsid w:val="00991855"/>
    <w:pPr>
      <w:ind w:left="1440"/>
    </w:pPr>
    <w:rPr>
      <w:szCs w:val="21"/>
    </w:rPr>
  </w:style>
  <w:style w:type="paragraph" w:styleId="TOC8">
    <w:name w:val="toc 8"/>
    <w:basedOn w:val="Normal"/>
    <w:next w:val="Normal"/>
    <w:autoRedefine/>
    <w:uiPriority w:val="39"/>
    <w:rsid w:val="00991855"/>
    <w:pPr>
      <w:ind w:left="1680"/>
    </w:pPr>
    <w:rPr>
      <w:szCs w:val="21"/>
    </w:rPr>
  </w:style>
  <w:style w:type="paragraph" w:styleId="TOC9">
    <w:name w:val="toc 9"/>
    <w:basedOn w:val="Normal"/>
    <w:next w:val="Normal"/>
    <w:autoRedefine/>
    <w:uiPriority w:val="39"/>
    <w:rsid w:val="00991855"/>
    <w:pPr>
      <w:ind w:left="1920"/>
    </w:pPr>
    <w:rPr>
      <w:szCs w:val="21"/>
    </w:rPr>
  </w:style>
  <w:style w:type="paragraph" w:customStyle="1" w:styleId="CP">
    <w:name w:val="CP"/>
    <w:rsid w:val="00991855"/>
    <w:pPr>
      <w:jc w:val="right"/>
    </w:pPr>
    <w:rPr>
      <w:rFonts w:ascii="Arial" w:hAnsi="Arial"/>
      <w:b/>
      <w:smallCaps/>
      <w:sz w:val="24"/>
    </w:rPr>
  </w:style>
  <w:style w:type="paragraph" w:styleId="TableofFigures">
    <w:name w:val="table of figures"/>
    <w:basedOn w:val="Normal"/>
    <w:next w:val="Normal"/>
    <w:semiHidden/>
    <w:rsid w:val="00991855"/>
    <w:pPr>
      <w:ind w:left="480" w:hanging="480"/>
    </w:pPr>
    <w:rPr>
      <w:b/>
      <w:bCs/>
    </w:rPr>
  </w:style>
  <w:style w:type="paragraph" w:styleId="BalloonText">
    <w:name w:val="Balloon Text"/>
    <w:basedOn w:val="Normal"/>
    <w:link w:val="BalloonTextChar"/>
    <w:rsid w:val="00991855"/>
    <w:rPr>
      <w:rFonts w:ascii="Tahoma" w:hAnsi="Tahoma" w:cs="Tahoma"/>
      <w:sz w:val="16"/>
      <w:szCs w:val="16"/>
    </w:rPr>
  </w:style>
  <w:style w:type="character" w:styleId="CommentReference">
    <w:name w:val="annotation reference"/>
    <w:basedOn w:val="DefaultParagraphFont"/>
    <w:rsid w:val="00991855"/>
    <w:rPr>
      <w:sz w:val="16"/>
      <w:szCs w:val="16"/>
    </w:rPr>
  </w:style>
  <w:style w:type="paragraph" w:styleId="CommentSubject">
    <w:name w:val="annotation subject"/>
    <w:basedOn w:val="CommentText"/>
    <w:next w:val="CommentText"/>
    <w:link w:val="CommentSubjectChar"/>
    <w:semiHidden/>
    <w:rsid w:val="00991855"/>
    <w:pPr>
      <w:autoSpaceDE/>
      <w:autoSpaceDN/>
      <w:adjustRightInd/>
    </w:pPr>
    <w:rPr>
      <w:b/>
      <w:bCs/>
    </w:rPr>
  </w:style>
  <w:style w:type="character" w:styleId="FootnoteReference">
    <w:name w:val="footnote reference"/>
    <w:basedOn w:val="DefaultParagraphFont"/>
    <w:uiPriority w:val="99"/>
    <w:rsid w:val="00991855"/>
    <w:rPr>
      <w:vertAlign w:val="superscript"/>
    </w:rPr>
  </w:style>
  <w:style w:type="paragraph" w:styleId="BodyTextIndent2">
    <w:name w:val="Body Text Indent 2"/>
    <w:basedOn w:val="Normal"/>
    <w:rsid w:val="00547138"/>
    <w:pPr>
      <w:spacing w:after="120" w:line="480" w:lineRule="auto"/>
      <w:ind w:left="360"/>
    </w:pPr>
  </w:style>
  <w:style w:type="paragraph" w:styleId="ListBullet2">
    <w:name w:val="List Bullet 2"/>
    <w:basedOn w:val="Normal"/>
    <w:qFormat/>
    <w:rsid w:val="006601A4"/>
    <w:pPr>
      <w:widowControl/>
      <w:numPr>
        <w:numId w:val="3"/>
      </w:numPr>
      <w:autoSpaceDE/>
      <w:autoSpaceDN/>
      <w:adjustRightInd/>
      <w:spacing w:after="120"/>
    </w:pPr>
  </w:style>
  <w:style w:type="paragraph" w:styleId="ListNumber">
    <w:name w:val="List Number"/>
    <w:basedOn w:val="Normal"/>
    <w:uiPriority w:val="99"/>
    <w:rsid w:val="00BC08DD"/>
    <w:pPr>
      <w:numPr>
        <w:numId w:val="1"/>
      </w:numPr>
      <w:spacing w:after="240"/>
    </w:pPr>
  </w:style>
  <w:style w:type="paragraph" w:styleId="ListContinue">
    <w:name w:val="List Continue"/>
    <w:basedOn w:val="Normal"/>
    <w:rsid w:val="00991855"/>
    <w:pPr>
      <w:spacing w:before="100" w:beforeAutospacing="1" w:after="100" w:afterAutospacing="1"/>
      <w:ind w:left="1080"/>
    </w:pPr>
  </w:style>
  <w:style w:type="paragraph" w:styleId="BodyText2">
    <w:name w:val="Body Text 2"/>
    <w:basedOn w:val="Normal"/>
    <w:autoRedefine/>
    <w:rsid w:val="00445291"/>
    <w:pPr>
      <w:spacing w:after="240"/>
      <w:ind w:left="720" w:hanging="720"/>
    </w:pPr>
  </w:style>
  <w:style w:type="character" w:customStyle="1" w:styleId="Heading2Char">
    <w:name w:val="Heading 2 Char"/>
    <w:basedOn w:val="DefaultParagraphFont"/>
    <w:link w:val="Heading2"/>
    <w:rsid w:val="00112324"/>
    <w:rPr>
      <w:rFonts w:ascii="Arial" w:hAnsi="Arial"/>
      <w:b/>
      <w:sz w:val="24"/>
      <w:szCs w:val="22"/>
      <w:lang w:eastAsia="en-US"/>
    </w:rPr>
  </w:style>
  <w:style w:type="table" w:styleId="TableGrid">
    <w:name w:val="Table Grid"/>
    <w:basedOn w:val="TableNormal"/>
    <w:uiPriority w:val="39"/>
    <w:rsid w:val="006112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urceCaption">
    <w:name w:val="Source Caption"/>
    <w:rsid w:val="00155703"/>
    <w:rPr>
      <w:szCs w:val="22"/>
    </w:rPr>
  </w:style>
  <w:style w:type="character" w:customStyle="1" w:styleId="BodyTextChar">
    <w:name w:val="Body Text Char"/>
    <w:basedOn w:val="DefaultParagraphFont"/>
    <w:link w:val="BodyText"/>
    <w:rsid w:val="00D022A7"/>
    <w:rPr>
      <w:sz w:val="22"/>
      <w:szCs w:val="18"/>
      <w:lang w:val="en-US" w:eastAsia="en-US" w:bidi="ar-SA"/>
    </w:rPr>
  </w:style>
  <w:style w:type="character" w:customStyle="1" w:styleId="BodyTextFirstIndentChar">
    <w:name w:val="Body Text First Indent Char"/>
    <w:link w:val="BodyTextFirstIndent"/>
    <w:rsid w:val="00112324"/>
    <w:rPr>
      <w:sz w:val="22"/>
      <w:szCs w:val="18"/>
      <w:lang w:eastAsia="en-US"/>
    </w:rPr>
  </w:style>
  <w:style w:type="character" w:styleId="FollowedHyperlink">
    <w:name w:val="FollowedHyperlink"/>
    <w:basedOn w:val="DefaultParagraphFont"/>
    <w:rsid w:val="0064438C"/>
    <w:rPr>
      <w:color w:val="800080"/>
      <w:u w:val="single"/>
    </w:rPr>
  </w:style>
  <w:style w:type="paragraph" w:customStyle="1" w:styleId="Sources">
    <w:name w:val="Sources"/>
    <w:basedOn w:val="Normal"/>
    <w:rsid w:val="00AB4661"/>
    <w:pPr>
      <w:spacing w:after="240"/>
      <w:ind w:left="720" w:hanging="720"/>
    </w:pPr>
  </w:style>
  <w:style w:type="character" w:customStyle="1" w:styleId="Heading1Char">
    <w:name w:val="Heading 1 Char"/>
    <w:basedOn w:val="DefaultParagraphFont"/>
    <w:link w:val="Heading1"/>
    <w:rsid w:val="000446F8"/>
    <w:rPr>
      <w:rFonts w:ascii="Arial" w:hAnsi="Arial" w:cs="Arial"/>
      <w:b/>
      <w:sz w:val="26"/>
      <w:szCs w:val="26"/>
      <w:lang w:eastAsia="en-US"/>
    </w:rPr>
  </w:style>
  <w:style w:type="character" w:customStyle="1" w:styleId="Heading3Char">
    <w:name w:val="Heading 3 Char"/>
    <w:basedOn w:val="DefaultParagraphFont"/>
    <w:link w:val="Heading3"/>
    <w:rsid w:val="00072448"/>
    <w:rPr>
      <w:sz w:val="22"/>
      <w:szCs w:val="22"/>
      <w:u w:val="single"/>
      <w:lang w:eastAsia="en-US"/>
    </w:rPr>
  </w:style>
  <w:style w:type="character" w:customStyle="1" w:styleId="Heading4Char">
    <w:name w:val="Heading 4 Char"/>
    <w:basedOn w:val="DefaultParagraphFont"/>
    <w:link w:val="Heading4"/>
    <w:rsid w:val="001E69C9"/>
    <w:rPr>
      <w:rFonts w:cs="Arial"/>
      <w:sz w:val="22"/>
      <w:szCs w:val="32"/>
      <w:u w:val="single"/>
      <w:lang w:eastAsia="en-US"/>
    </w:rPr>
  </w:style>
  <w:style w:type="character" w:customStyle="1" w:styleId="Heading5Char">
    <w:name w:val="Heading 5 Char"/>
    <w:basedOn w:val="DefaultParagraphFont"/>
    <w:link w:val="Heading5"/>
    <w:rsid w:val="00C40FBC"/>
    <w:rPr>
      <w:sz w:val="22"/>
      <w:szCs w:val="24"/>
      <w:u w:val="single"/>
      <w:lang w:eastAsia="en-US"/>
    </w:rPr>
  </w:style>
  <w:style w:type="character" w:customStyle="1" w:styleId="Heading6Char">
    <w:name w:val="Heading 6 Char"/>
    <w:basedOn w:val="DefaultParagraphFont"/>
    <w:link w:val="Heading6"/>
    <w:rsid w:val="00812AE7"/>
    <w:rPr>
      <w:bCs/>
      <w:sz w:val="22"/>
      <w:szCs w:val="28"/>
      <w:u w:val="single"/>
      <w:lang w:eastAsia="en-US"/>
    </w:rPr>
  </w:style>
  <w:style w:type="character" w:customStyle="1" w:styleId="Heading7Char">
    <w:name w:val="Heading 7 Char"/>
    <w:basedOn w:val="DefaultParagraphFont"/>
    <w:link w:val="Heading7"/>
    <w:rsid w:val="00452BB4"/>
    <w:rPr>
      <w:rFonts w:ascii="Arial" w:hAnsi="Arial" w:cs="Arial"/>
      <w:b/>
      <w:bCs/>
      <w:sz w:val="26"/>
      <w:szCs w:val="24"/>
      <w:lang w:eastAsia="en-US"/>
    </w:rPr>
  </w:style>
  <w:style w:type="character" w:customStyle="1" w:styleId="Heading8Char">
    <w:name w:val="Heading 8 Char"/>
    <w:basedOn w:val="DefaultParagraphFont"/>
    <w:link w:val="Heading8"/>
    <w:rsid w:val="00693538"/>
    <w:rPr>
      <w:rFonts w:ascii="Arial" w:hAnsi="Arial"/>
      <w:b/>
      <w:sz w:val="26"/>
      <w:szCs w:val="24"/>
      <w:lang w:eastAsia="en-US"/>
    </w:rPr>
  </w:style>
  <w:style w:type="character" w:customStyle="1" w:styleId="Heading9Char">
    <w:name w:val="Heading 9 Char"/>
    <w:basedOn w:val="DefaultParagraphFont"/>
    <w:link w:val="Heading9"/>
    <w:rsid w:val="00FC686B"/>
    <w:rPr>
      <w:rFonts w:ascii="Arial" w:hAnsi="Arial"/>
      <w:b/>
      <w:sz w:val="24"/>
      <w:szCs w:val="24"/>
      <w:lang w:eastAsia="en-US"/>
    </w:rPr>
  </w:style>
  <w:style w:type="paragraph" w:styleId="ListParagraph">
    <w:name w:val="List Paragraph"/>
    <w:aliases w:val="List Paragraph Survey"/>
    <w:link w:val="ListParagraphChar"/>
    <w:uiPriority w:val="34"/>
    <w:qFormat/>
    <w:rsid w:val="00154430"/>
    <w:pPr>
      <w:ind w:left="720"/>
    </w:pPr>
    <w:rPr>
      <w:sz w:val="22"/>
      <w:szCs w:val="24"/>
      <w:lang w:eastAsia="en-US"/>
    </w:rPr>
  </w:style>
  <w:style w:type="paragraph" w:customStyle="1" w:styleId="ListLetter">
    <w:name w:val="List Letter"/>
    <w:qFormat/>
    <w:rsid w:val="006601A4"/>
    <w:pPr>
      <w:numPr>
        <w:numId w:val="4"/>
      </w:numPr>
      <w:spacing w:after="240"/>
    </w:pPr>
    <w:rPr>
      <w:sz w:val="22"/>
      <w:szCs w:val="18"/>
      <w:lang w:eastAsia="en-US"/>
    </w:rPr>
  </w:style>
  <w:style w:type="paragraph" w:customStyle="1" w:styleId="ListLetter2">
    <w:name w:val="List Letter 2"/>
    <w:qFormat/>
    <w:rsid w:val="006601A4"/>
    <w:pPr>
      <w:numPr>
        <w:ilvl w:val="1"/>
        <w:numId w:val="5"/>
      </w:numPr>
      <w:spacing w:after="240"/>
    </w:pPr>
    <w:rPr>
      <w:sz w:val="22"/>
      <w:szCs w:val="18"/>
      <w:lang w:eastAsia="en-US"/>
    </w:rPr>
  </w:style>
  <w:style w:type="paragraph" w:customStyle="1" w:styleId="Default">
    <w:name w:val="Default"/>
    <w:rsid w:val="006601A4"/>
    <w:pPr>
      <w:autoSpaceDE w:val="0"/>
      <w:autoSpaceDN w:val="0"/>
      <w:adjustRightInd w:val="0"/>
    </w:pPr>
    <w:rPr>
      <w:color w:val="000000"/>
      <w:sz w:val="24"/>
      <w:szCs w:val="24"/>
    </w:rPr>
  </w:style>
  <w:style w:type="table" w:styleId="MediumGrid1-Accent5">
    <w:name w:val="Medium Grid 1 Accent 5"/>
    <w:basedOn w:val="TableNormal"/>
    <w:uiPriority w:val="67"/>
    <w:rsid w:val="006601A4"/>
    <w:rPr>
      <w:rFonts w:ascii="Calibri" w:eastAsia="Calibri" w:hAnsi="Calibri"/>
      <w:sz w:val="22"/>
      <w:szCs w:val="22"/>
      <w:lang w:eastAsia="en-U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paragraph" w:styleId="ListNumber2">
    <w:name w:val="List Number 2"/>
    <w:uiPriority w:val="99"/>
    <w:unhideWhenUsed/>
    <w:rsid w:val="00BC08DD"/>
    <w:pPr>
      <w:keepNext/>
      <w:numPr>
        <w:numId w:val="6"/>
      </w:numPr>
      <w:spacing w:after="240"/>
    </w:pPr>
    <w:rPr>
      <w:sz w:val="22"/>
      <w:szCs w:val="22"/>
      <w:lang w:eastAsia="en-US"/>
    </w:rPr>
  </w:style>
  <w:style w:type="paragraph" w:styleId="DocumentMap">
    <w:name w:val="Document Map"/>
    <w:basedOn w:val="Normal"/>
    <w:link w:val="DocumentMapChar"/>
    <w:rsid w:val="006601A4"/>
    <w:rPr>
      <w:rFonts w:ascii="Tahoma" w:hAnsi="Tahoma" w:cs="Tahoma"/>
      <w:sz w:val="16"/>
      <w:szCs w:val="16"/>
    </w:rPr>
  </w:style>
  <w:style w:type="character" w:customStyle="1" w:styleId="DocumentMapChar">
    <w:name w:val="Document Map Char"/>
    <w:basedOn w:val="DefaultParagraphFont"/>
    <w:link w:val="DocumentMap"/>
    <w:rsid w:val="006601A4"/>
    <w:rPr>
      <w:rFonts w:ascii="Tahoma" w:hAnsi="Tahoma" w:cs="Tahoma"/>
      <w:sz w:val="16"/>
      <w:szCs w:val="16"/>
      <w:lang w:eastAsia="en-US"/>
    </w:rPr>
  </w:style>
  <w:style w:type="character" w:customStyle="1" w:styleId="ListParagraphChar">
    <w:name w:val="List Paragraph Char"/>
    <w:aliases w:val="List Paragraph Survey Char"/>
    <w:basedOn w:val="DefaultParagraphFont"/>
    <w:link w:val="ListParagraph"/>
    <w:uiPriority w:val="99"/>
    <w:locked/>
    <w:rsid w:val="00154430"/>
    <w:rPr>
      <w:sz w:val="22"/>
      <w:szCs w:val="24"/>
      <w:lang w:eastAsia="en-US"/>
    </w:rPr>
  </w:style>
  <w:style w:type="character" w:customStyle="1" w:styleId="CommentTextChar">
    <w:name w:val="Comment Text Char"/>
    <w:basedOn w:val="DefaultParagraphFont"/>
    <w:link w:val="CommentText"/>
    <w:uiPriority w:val="99"/>
    <w:rsid w:val="00E03DD7"/>
    <w:rPr>
      <w:lang w:eastAsia="en-US"/>
    </w:rPr>
  </w:style>
  <w:style w:type="paragraph" w:styleId="Revision">
    <w:name w:val="Revision"/>
    <w:hidden/>
    <w:uiPriority w:val="99"/>
    <w:semiHidden/>
    <w:rsid w:val="00F34C25"/>
    <w:rPr>
      <w:sz w:val="22"/>
      <w:szCs w:val="24"/>
      <w:lang w:eastAsia="en-US"/>
    </w:rPr>
  </w:style>
  <w:style w:type="character" w:customStyle="1" w:styleId="HeaderChar">
    <w:name w:val="Header Char"/>
    <w:basedOn w:val="DefaultParagraphFont"/>
    <w:link w:val="Header"/>
    <w:uiPriority w:val="99"/>
    <w:rsid w:val="00841560"/>
    <w:rPr>
      <w:rFonts w:ascii="Arial" w:hAnsi="Arial"/>
      <w:smallCaps/>
      <w:lang w:eastAsia="en-US"/>
    </w:rPr>
  </w:style>
  <w:style w:type="paragraph" w:customStyle="1" w:styleId="coltext">
    <w:name w:val="col text"/>
    <w:aliases w:val="9 col text,ct"/>
    <w:basedOn w:val="Normal"/>
    <w:rsid w:val="00841560"/>
    <w:pPr>
      <w:widowControl/>
      <w:tabs>
        <w:tab w:val="left" w:pos="259"/>
      </w:tabs>
      <w:autoSpaceDE/>
      <w:autoSpaceDN/>
      <w:adjustRightInd/>
      <w:spacing w:before="80" w:after="80"/>
    </w:pPr>
    <w:rPr>
      <w:rFonts w:ascii="Book Antiqua" w:hAnsi="Book Antiqua"/>
      <w:sz w:val="24"/>
      <w:szCs w:val="20"/>
    </w:rPr>
  </w:style>
  <w:style w:type="character" w:customStyle="1" w:styleId="FooterChar">
    <w:name w:val="Footer Char"/>
    <w:basedOn w:val="DefaultParagraphFont"/>
    <w:link w:val="Footer"/>
    <w:uiPriority w:val="99"/>
    <w:rsid w:val="00EA198A"/>
    <w:rPr>
      <w:rFonts w:ascii="Arial" w:hAnsi="Arial"/>
      <w:szCs w:val="24"/>
      <w:lang w:eastAsia="en-US"/>
    </w:rPr>
  </w:style>
  <w:style w:type="character" w:customStyle="1" w:styleId="BalloonTextChar">
    <w:name w:val="Balloon Text Char"/>
    <w:basedOn w:val="DefaultParagraphFont"/>
    <w:link w:val="BalloonText"/>
    <w:rsid w:val="005F7F3A"/>
    <w:rPr>
      <w:rFonts w:ascii="Tahoma" w:hAnsi="Tahoma" w:cs="Tahoma"/>
      <w:sz w:val="16"/>
      <w:szCs w:val="16"/>
      <w:lang w:eastAsia="en-US"/>
    </w:rPr>
  </w:style>
  <w:style w:type="character" w:customStyle="1" w:styleId="CommentSubjectChar">
    <w:name w:val="Comment Subject Char"/>
    <w:basedOn w:val="CommentTextChar"/>
    <w:link w:val="CommentSubject"/>
    <w:semiHidden/>
    <w:rsid w:val="005F7F3A"/>
    <w:rPr>
      <w:b/>
      <w:bCs/>
      <w:lang w:eastAsia="en-US"/>
    </w:rPr>
  </w:style>
  <w:style w:type="character" w:customStyle="1" w:styleId="FootnoteTextChar">
    <w:name w:val="Footnote Text Char"/>
    <w:basedOn w:val="DefaultParagraphFont"/>
    <w:link w:val="FootnoteText"/>
    <w:uiPriority w:val="99"/>
    <w:rsid w:val="0064259F"/>
    <w:rPr>
      <w:lang w:eastAsia="en-US"/>
    </w:rPr>
  </w:style>
  <w:style w:type="character" w:customStyle="1" w:styleId="TitleChar">
    <w:name w:val="Title Char"/>
    <w:basedOn w:val="DefaultParagraphFont"/>
    <w:link w:val="Title"/>
    <w:rsid w:val="007F18F7"/>
    <w:rPr>
      <w:rFonts w:ascii="Arial" w:hAnsi="Arial" w:cs="Arial"/>
      <w:b/>
      <w:sz w:val="26"/>
      <w:szCs w:val="26"/>
      <w:lang w:eastAsia="en-US"/>
    </w:rPr>
  </w:style>
  <w:style w:type="paragraph" w:customStyle="1" w:styleId="RoundBullet">
    <w:name w:val="Round Bullet"/>
    <w:qFormat/>
    <w:rsid w:val="000956B3"/>
    <w:pPr>
      <w:numPr>
        <w:numId w:val="9"/>
      </w:numPr>
    </w:pPr>
    <w:rPr>
      <w:sz w:val="22"/>
      <w:szCs w:val="22"/>
      <w:lang w:eastAsia="en-US"/>
    </w:rPr>
  </w:style>
  <w:style w:type="paragraph" w:styleId="TOCHeading">
    <w:name w:val="TOC Heading"/>
    <w:basedOn w:val="Heading1"/>
    <w:next w:val="Normal"/>
    <w:uiPriority w:val="39"/>
    <w:unhideWhenUsed/>
    <w:qFormat/>
    <w:rsid w:val="00D57FE3"/>
    <w:pPr>
      <w:keepNext/>
      <w:keepLines/>
      <w:spacing w:after="0" w:line="259" w:lineRule="auto"/>
      <w:outlineLvl w:val="9"/>
    </w:pPr>
    <w:rPr>
      <w:rFonts w:asciiTheme="majorHAnsi" w:eastAsiaTheme="majorEastAsia" w:hAnsiTheme="majorHAnsi" w:cstheme="majorBidi"/>
      <w:b w:val="0"/>
      <w:bCs/>
      <w:color w:val="365F91" w:themeColor="accent1" w:themeShade="BF"/>
      <w:sz w:val="32"/>
      <w:szCs w:val="32"/>
    </w:rPr>
  </w:style>
  <w:style w:type="paragraph" w:customStyle="1" w:styleId="Sectiontitle-second">
    <w:name w:val="Section title-second"/>
    <w:basedOn w:val="Normal"/>
    <w:qFormat/>
    <w:rsid w:val="006F4A4B"/>
    <w:pPr>
      <w:widowControl/>
      <w:pBdr>
        <w:bottom w:val="single" w:sz="18" w:space="1" w:color="92D050"/>
      </w:pBdr>
      <w:autoSpaceDE/>
      <w:autoSpaceDN/>
      <w:adjustRightInd/>
      <w:spacing w:after="160" w:line="259" w:lineRule="auto"/>
      <w:ind w:right="-3125"/>
      <w:jc w:val="right"/>
    </w:pPr>
    <w:rPr>
      <w:rFonts w:ascii="Calibri" w:hAnsi="Calibri"/>
      <w:i/>
      <w:color w:val="000066"/>
      <w:sz w:val="48"/>
      <w:szCs w:val="48"/>
      <w:lang w:eastAsia="zh-TW"/>
    </w:rPr>
  </w:style>
  <w:style w:type="paragraph" w:customStyle="1" w:styleId="RecipientAddress">
    <w:name w:val="Recipient Address"/>
    <w:basedOn w:val="NoSpacing"/>
    <w:uiPriority w:val="3"/>
    <w:qFormat/>
    <w:rsid w:val="006F4A4B"/>
    <w:pPr>
      <w:widowControl/>
      <w:autoSpaceDE/>
      <w:autoSpaceDN/>
      <w:adjustRightInd/>
      <w:spacing w:after="480"/>
      <w:contextualSpacing/>
    </w:pPr>
    <w:rPr>
      <w:rFonts w:asciiTheme="minorHAnsi" w:eastAsiaTheme="minorHAnsi" w:hAnsiTheme="minorHAnsi" w:cstheme="minorHAnsi"/>
      <w:color w:val="000000" w:themeColor="text1"/>
      <w:sz w:val="20"/>
      <w:szCs w:val="20"/>
      <w:lang w:eastAsia="ja-JP" w:bidi="he-IL"/>
    </w:rPr>
  </w:style>
  <w:style w:type="paragraph" w:styleId="NoSpacing">
    <w:name w:val="No Spacing"/>
    <w:uiPriority w:val="1"/>
    <w:qFormat/>
    <w:rsid w:val="006F4A4B"/>
    <w:pPr>
      <w:widowControl w:val="0"/>
      <w:autoSpaceDE w:val="0"/>
      <w:autoSpaceDN w:val="0"/>
      <w:adjustRightInd w:val="0"/>
    </w:pPr>
    <w:rPr>
      <w:sz w:val="22"/>
      <w:szCs w:val="24"/>
      <w:lang w:eastAsia="en-US"/>
    </w:rPr>
  </w:style>
  <w:style w:type="paragraph" w:customStyle="1" w:styleId="SurveySection">
    <w:name w:val="Survey Section"/>
    <w:qFormat/>
    <w:rsid w:val="00760EA7"/>
    <w:pPr>
      <w:spacing w:before="240" w:after="240"/>
      <w:jc w:val="center"/>
    </w:pPr>
    <w:rPr>
      <w:b/>
      <w:sz w:val="22"/>
      <w:szCs w:val="24"/>
      <w:lang w:eastAsia="en-US"/>
    </w:rPr>
  </w:style>
  <w:style w:type="paragraph" w:customStyle="1" w:styleId="FormTitle">
    <w:name w:val="Form Title"/>
    <w:rsid w:val="002C0490"/>
    <w:pPr>
      <w:jc w:val="center"/>
    </w:pPr>
    <w:rPr>
      <w:rFonts w:ascii="Arial" w:hAnsi="Arial" w:cs="Arial"/>
      <w:b/>
      <w:sz w:val="26"/>
      <w:szCs w:val="26"/>
      <w:lang w:eastAsia="en-US"/>
    </w:rPr>
  </w:style>
  <w:style w:type="paragraph" w:customStyle="1" w:styleId="MockHeading1">
    <w:name w:val="Mock Heading 1"/>
    <w:qFormat/>
    <w:rsid w:val="00C40AF8"/>
    <w:pPr>
      <w:spacing w:before="240" w:after="240"/>
      <w:jc w:val="center"/>
    </w:pPr>
    <w:rPr>
      <w:rFonts w:ascii="Arial" w:hAnsi="Arial" w:cs="Arial"/>
      <w:b/>
      <w:sz w:val="26"/>
      <w:szCs w:val="26"/>
      <w:lang w:eastAsia="en-US"/>
    </w:rPr>
  </w:style>
  <w:style w:type="paragraph" w:customStyle="1" w:styleId="Interview1">
    <w:name w:val="Interview 1"/>
    <w:qFormat/>
    <w:rsid w:val="002E33E0"/>
    <w:pPr>
      <w:numPr>
        <w:ilvl w:val="1"/>
        <w:numId w:val="7"/>
      </w:numPr>
      <w:spacing w:after="240"/>
      <w:ind w:left="634"/>
    </w:pPr>
    <w:rPr>
      <w:bCs/>
      <w:sz w:val="22"/>
      <w:szCs w:val="24"/>
      <w:u w:val="single"/>
      <w:lang w:eastAsia="en-US"/>
    </w:rPr>
  </w:style>
  <w:style w:type="paragraph" w:customStyle="1" w:styleId="Worksheet">
    <w:name w:val="Worksheet"/>
    <w:qFormat/>
    <w:rsid w:val="008A1D29"/>
    <w:rPr>
      <w:rFonts w:ascii="Shruti" w:hAnsi="Shruti" w:cs="Arial"/>
      <w:bCs/>
      <w:sz w:val="16"/>
      <w:szCs w:val="26"/>
      <w:lang w:eastAsia="en-US"/>
    </w:rPr>
  </w:style>
  <w:style w:type="paragraph" w:customStyle="1" w:styleId="WorksheetNumbered">
    <w:name w:val="Worksheet Numbered"/>
    <w:qFormat/>
    <w:rsid w:val="00453961"/>
    <w:pPr>
      <w:numPr>
        <w:numId w:val="11"/>
      </w:numPr>
    </w:pPr>
    <w:rPr>
      <w:rFonts w:ascii="Shruti" w:hAnsi="Shruti" w:cs="Arial"/>
      <w:b/>
      <w:bCs/>
      <w:sz w:val="16"/>
      <w:szCs w:val="26"/>
      <w:lang w:eastAsia="en-US"/>
    </w:rPr>
  </w:style>
  <w:style w:type="paragraph" w:customStyle="1" w:styleId="WorksheetLettered113">
    <w:name w:val="Worksheet Lettered + 1.13"/>
    <w:qFormat/>
    <w:rsid w:val="00453961"/>
    <w:pPr>
      <w:numPr>
        <w:numId w:val="8"/>
      </w:num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contextualSpacing/>
    </w:pPr>
    <w:rPr>
      <w:rFonts w:ascii="Shruti" w:hAnsi="Shruti" w:cs="Shruti"/>
      <w:sz w:val="16"/>
      <w:szCs w:val="16"/>
      <w:lang w:eastAsia="en-US"/>
    </w:rPr>
  </w:style>
  <w:style w:type="paragraph" w:customStyle="1" w:styleId="Worksheet113">
    <w:name w:val="Worksheet + 1.13"/>
    <w:basedOn w:val="Normal"/>
    <w:qFormat/>
    <w:rsid w:val="0045396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pPr>
    <w:rPr>
      <w:rFonts w:ascii="Shruti" w:hAnsi="Shruti" w:cs="Shruti"/>
      <w:sz w:val="16"/>
      <w:szCs w:val="16"/>
    </w:rPr>
  </w:style>
  <w:style w:type="paragraph" w:customStyle="1" w:styleId="ListNumberSurvey">
    <w:name w:val="List Number Survey"/>
    <w:qFormat/>
    <w:rsid w:val="00ED0B8D"/>
    <w:pPr>
      <w:numPr>
        <w:numId w:val="13"/>
      </w:numPr>
      <w:spacing w:before="240" w:after="240"/>
    </w:pPr>
    <w:rPr>
      <w:sz w:val="22"/>
      <w:szCs w:val="24"/>
      <w:lang w:eastAsia="en-US"/>
    </w:rPr>
  </w:style>
  <w:style w:type="character" w:styleId="Strong">
    <w:name w:val="Strong"/>
    <w:basedOn w:val="DefaultParagraphFont"/>
    <w:uiPriority w:val="22"/>
    <w:qFormat/>
    <w:rsid w:val="00CF19B4"/>
    <w:rPr>
      <w:b/>
      <w:bCs/>
    </w:rPr>
  </w:style>
  <w:style w:type="paragraph" w:styleId="ListNumber3">
    <w:name w:val="List Number 3"/>
    <w:unhideWhenUsed/>
    <w:rsid w:val="00BC08DD"/>
    <w:pPr>
      <w:numPr>
        <w:numId w:val="14"/>
      </w:numPr>
      <w:spacing w:after="240"/>
      <w:ind w:left="1440"/>
    </w:pPr>
    <w:rPr>
      <w:sz w:val="22"/>
      <w:szCs w:val="24"/>
      <w:lang w:eastAsia="en-US"/>
    </w:rPr>
  </w:style>
  <w:style w:type="paragraph" w:customStyle="1" w:styleId="CaretakerXA">
    <w:name w:val="Caretaker XA"/>
    <w:qFormat/>
    <w:rsid w:val="005F4324"/>
    <w:pPr>
      <w:spacing w:after="240"/>
      <w:ind w:left="1080"/>
    </w:pPr>
    <w:rPr>
      <w:sz w:val="22"/>
      <w:szCs w:val="24"/>
      <w:lang w:eastAsia="en-US"/>
    </w:rPr>
  </w:style>
  <w:style w:type="paragraph" w:customStyle="1" w:styleId="Body">
    <w:name w:val="Body"/>
    <w:basedOn w:val="Normal"/>
    <w:uiPriority w:val="99"/>
    <w:rsid w:val="00DC316C"/>
    <w:pPr>
      <w:widowControl/>
      <w:autoSpaceDE/>
      <w:autoSpaceDN/>
      <w:adjustRightInd/>
      <w:spacing w:after="180"/>
    </w:pPr>
    <w:rPr>
      <w:rFonts w:ascii="Arial" w:hAnsi="Arial"/>
      <w:szCs w:val="22"/>
    </w:rPr>
  </w:style>
  <w:style w:type="character" w:customStyle="1" w:styleId="spelle">
    <w:name w:val="spelle"/>
    <w:basedOn w:val="DefaultParagraphFont"/>
    <w:rsid w:val="005518ED"/>
  </w:style>
  <w:style w:type="character" w:customStyle="1" w:styleId="grame">
    <w:name w:val="grame"/>
    <w:basedOn w:val="DefaultParagraphFont"/>
    <w:rsid w:val="005518ED"/>
  </w:style>
  <w:style w:type="paragraph" w:styleId="EndnoteText">
    <w:name w:val="endnote text"/>
    <w:basedOn w:val="Normal"/>
    <w:link w:val="EndnoteTextChar"/>
    <w:semiHidden/>
    <w:unhideWhenUsed/>
    <w:rsid w:val="00A363A1"/>
    <w:rPr>
      <w:sz w:val="20"/>
      <w:szCs w:val="20"/>
    </w:rPr>
  </w:style>
  <w:style w:type="character" w:customStyle="1" w:styleId="EndnoteTextChar">
    <w:name w:val="Endnote Text Char"/>
    <w:basedOn w:val="DefaultParagraphFont"/>
    <w:link w:val="EndnoteText"/>
    <w:semiHidden/>
    <w:rsid w:val="00A363A1"/>
    <w:rPr>
      <w:lang w:eastAsia="en-US"/>
    </w:rPr>
  </w:style>
  <w:style w:type="character" w:styleId="EndnoteReference">
    <w:name w:val="endnote reference"/>
    <w:basedOn w:val="DefaultParagraphFont"/>
    <w:semiHidden/>
    <w:unhideWhenUsed/>
    <w:rsid w:val="00A363A1"/>
    <w:rPr>
      <w:vertAlign w:val="superscript"/>
    </w:rPr>
  </w:style>
  <w:style w:type="paragraph" w:styleId="BodyTextIndent">
    <w:name w:val="Body Text Indent"/>
    <w:basedOn w:val="Normal"/>
    <w:link w:val="BodyTextIndentChar"/>
    <w:unhideWhenUsed/>
    <w:rsid w:val="005140A0"/>
    <w:pPr>
      <w:spacing w:before="240" w:after="240" w:line="276" w:lineRule="auto"/>
      <w:ind w:left="720" w:hanging="720"/>
    </w:pPr>
  </w:style>
  <w:style w:type="character" w:customStyle="1" w:styleId="BodyTextIndentChar">
    <w:name w:val="Body Text Indent Char"/>
    <w:basedOn w:val="DefaultParagraphFont"/>
    <w:link w:val="BodyTextIndent"/>
    <w:rsid w:val="005140A0"/>
    <w:rPr>
      <w:sz w:val="22"/>
      <w:szCs w:val="24"/>
      <w:lang w:eastAsia="en-US"/>
    </w:rPr>
  </w:style>
  <w:style w:type="character" w:styleId="UnresolvedMention">
    <w:name w:val="Unresolved Mention"/>
    <w:basedOn w:val="DefaultParagraphFont"/>
    <w:uiPriority w:val="99"/>
    <w:semiHidden/>
    <w:unhideWhenUsed/>
    <w:rsid w:val="00443646"/>
    <w:rPr>
      <w:color w:val="605E5C"/>
      <w:shd w:val="clear" w:color="auto" w:fill="E1DFDD"/>
    </w:rPr>
  </w:style>
  <w:style w:type="paragraph" w:customStyle="1" w:styleId="xmsobodytextfirstindent">
    <w:name w:val="x_msobodytextfirstindent"/>
    <w:basedOn w:val="Normal"/>
    <w:rsid w:val="00E04702"/>
    <w:pPr>
      <w:widowControl/>
      <w:autoSpaceDE/>
      <w:autoSpaceDN/>
      <w:adjustRightInd/>
      <w:spacing w:before="240" w:after="240" w:line="276" w:lineRule="auto"/>
      <w:ind w:firstLine="720"/>
    </w:pPr>
    <w:rPr>
      <w:rFonts w:eastAsiaTheme="minorHAns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039142">
      <w:bodyDiv w:val="1"/>
      <w:marLeft w:val="0"/>
      <w:marRight w:val="0"/>
      <w:marTop w:val="0"/>
      <w:marBottom w:val="0"/>
      <w:divBdr>
        <w:top w:val="none" w:sz="0" w:space="0" w:color="auto"/>
        <w:left w:val="none" w:sz="0" w:space="0" w:color="auto"/>
        <w:bottom w:val="none" w:sz="0" w:space="0" w:color="auto"/>
        <w:right w:val="none" w:sz="0" w:space="0" w:color="auto"/>
      </w:divBdr>
    </w:div>
    <w:div w:id="100491393">
      <w:bodyDiv w:val="1"/>
      <w:marLeft w:val="0"/>
      <w:marRight w:val="0"/>
      <w:marTop w:val="0"/>
      <w:marBottom w:val="0"/>
      <w:divBdr>
        <w:top w:val="none" w:sz="0" w:space="0" w:color="auto"/>
        <w:left w:val="none" w:sz="0" w:space="0" w:color="auto"/>
        <w:bottom w:val="none" w:sz="0" w:space="0" w:color="auto"/>
        <w:right w:val="none" w:sz="0" w:space="0" w:color="auto"/>
      </w:divBdr>
    </w:div>
    <w:div w:id="260770673">
      <w:bodyDiv w:val="1"/>
      <w:marLeft w:val="0"/>
      <w:marRight w:val="0"/>
      <w:marTop w:val="0"/>
      <w:marBottom w:val="0"/>
      <w:divBdr>
        <w:top w:val="none" w:sz="0" w:space="0" w:color="auto"/>
        <w:left w:val="none" w:sz="0" w:space="0" w:color="auto"/>
        <w:bottom w:val="none" w:sz="0" w:space="0" w:color="auto"/>
        <w:right w:val="none" w:sz="0" w:space="0" w:color="auto"/>
      </w:divBdr>
    </w:div>
    <w:div w:id="294214466">
      <w:bodyDiv w:val="1"/>
      <w:marLeft w:val="0"/>
      <w:marRight w:val="0"/>
      <w:marTop w:val="0"/>
      <w:marBottom w:val="0"/>
      <w:divBdr>
        <w:top w:val="none" w:sz="0" w:space="0" w:color="auto"/>
        <w:left w:val="none" w:sz="0" w:space="0" w:color="auto"/>
        <w:bottom w:val="none" w:sz="0" w:space="0" w:color="auto"/>
        <w:right w:val="none" w:sz="0" w:space="0" w:color="auto"/>
      </w:divBdr>
    </w:div>
    <w:div w:id="294214845">
      <w:bodyDiv w:val="1"/>
      <w:marLeft w:val="0"/>
      <w:marRight w:val="0"/>
      <w:marTop w:val="0"/>
      <w:marBottom w:val="0"/>
      <w:divBdr>
        <w:top w:val="none" w:sz="0" w:space="0" w:color="auto"/>
        <w:left w:val="none" w:sz="0" w:space="0" w:color="auto"/>
        <w:bottom w:val="none" w:sz="0" w:space="0" w:color="auto"/>
        <w:right w:val="none" w:sz="0" w:space="0" w:color="auto"/>
      </w:divBdr>
    </w:div>
    <w:div w:id="356661655">
      <w:bodyDiv w:val="1"/>
      <w:marLeft w:val="0"/>
      <w:marRight w:val="0"/>
      <w:marTop w:val="0"/>
      <w:marBottom w:val="0"/>
      <w:divBdr>
        <w:top w:val="none" w:sz="0" w:space="0" w:color="auto"/>
        <w:left w:val="none" w:sz="0" w:space="0" w:color="auto"/>
        <w:bottom w:val="none" w:sz="0" w:space="0" w:color="auto"/>
        <w:right w:val="none" w:sz="0" w:space="0" w:color="auto"/>
      </w:divBdr>
    </w:div>
    <w:div w:id="426076506">
      <w:bodyDiv w:val="1"/>
      <w:marLeft w:val="0"/>
      <w:marRight w:val="0"/>
      <w:marTop w:val="0"/>
      <w:marBottom w:val="0"/>
      <w:divBdr>
        <w:top w:val="none" w:sz="0" w:space="0" w:color="auto"/>
        <w:left w:val="none" w:sz="0" w:space="0" w:color="auto"/>
        <w:bottom w:val="none" w:sz="0" w:space="0" w:color="auto"/>
        <w:right w:val="none" w:sz="0" w:space="0" w:color="auto"/>
      </w:divBdr>
    </w:div>
    <w:div w:id="571505896">
      <w:bodyDiv w:val="1"/>
      <w:marLeft w:val="0"/>
      <w:marRight w:val="0"/>
      <w:marTop w:val="0"/>
      <w:marBottom w:val="0"/>
      <w:divBdr>
        <w:top w:val="none" w:sz="0" w:space="0" w:color="auto"/>
        <w:left w:val="none" w:sz="0" w:space="0" w:color="auto"/>
        <w:bottom w:val="none" w:sz="0" w:space="0" w:color="auto"/>
        <w:right w:val="none" w:sz="0" w:space="0" w:color="auto"/>
      </w:divBdr>
    </w:div>
    <w:div w:id="625114325">
      <w:bodyDiv w:val="1"/>
      <w:marLeft w:val="0"/>
      <w:marRight w:val="0"/>
      <w:marTop w:val="0"/>
      <w:marBottom w:val="0"/>
      <w:divBdr>
        <w:top w:val="none" w:sz="0" w:space="0" w:color="auto"/>
        <w:left w:val="none" w:sz="0" w:space="0" w:color="auto"/>
        <w:bottom w:val="none" w:sz="0" w:space="0" w:color="auto"/>
        <w:right w:val="none" w:sz="0" w:space="0" w:color="auto"/>
      </w:divBdr>
    </w:div>
    <w:div w:id="652757777">
      <w:bodyDiv w:val="1"/>
      <w:marLeft w:val="0"/>
      <w:marRight w:val="0"/>
      <w:marTop w:val="0"/>
      <w:marBottom w:val="0"/>
      <w:divBdr>
        <w:top w:val="none" w:sz="0" w:space="0" w:color="auto"/>
        <w:left w:val="none" w:sz="0" w:space="0" w:color="auto"/>
        <w:bottom w:val="none" w:sz="0" w:space="0" w:color="auto"/>
        <w:right w:val="none" w:sz="0" w:space="0" w:color="auto"/>
      </w:divBdr>
    </w:div>
    <w:div w:id="672993452">
      <w:bodyDiv w:val="1"/>
      <w:marLeft w:val="0"/>
      <w:marRight w:val="0"/>
      <w:marTop w:val="0"/>
      <w:marBottom w:val="0"/>
      <w:divBdr>
        <w:top w:val="none" w:sz="0" w:space="0" w:color="auto"/>
        <w:left w:val="none" w:sz="0" w:space="0" w:color="auto"/>
        <w:bottom w:val="none" w:sz="0" w:space="0" w:color="auto"/>
        <w:right w:val="none" w:sz="0" w:space="0" w:color="auto"/>
      </w:divBdr>
    </w:div>
    <w:div w:id="721170876">
      <w:bodyDiv w:val="1"/>
      <w:marLeft w:val="0"/>
      <w:marRight w:val="0"/>
      <w:marTop w:val="0"/>
      <w:marBottom w:val="0"/>
      <w:divBdr>
        <w:top w:val="none" w:sz="0" w:space="0" w:color="auto"/>
        <w:left w:val="none" w:sz="0" w:space="0" w:color="auto"/>
        <w:bottom w:val="none" w:sz="0" w:space="0" w:color="auto"/>
        <w:right w:val="none" w:sz="0" w:space="0" w:color="auto"/>
      </w:divBdr>
    </w:div>
    <w:div w:id="743138025">
      <w:bodyDiv w:val="1"/>
      <w:marLeft w:val="0"/>
      <w:marRight w:val="0"/>
      <w:marTop w:val="0"/>
      <w:marBottom w:val="0"/>
      <w:divBdr>
        <w:top w:val="none" w:sz="0" w:space="0" w:color="auto"/>
        <w:left w:val="none" w:sz="0" w:space="0" w:color="auto"/>
        <w:bottom w:val="none" w:sz="0" w:space="0" w:color="auto"/>
        <w:right w:val="none" w:sz="0" w:space="0" w:color="auto"/>
      </w:divBdr>
    </w:div>
    <w:div w:id="759371105">
      <w:bodyDiv w:val="1"/>
      <w:marLeft w:val="0"/>
      <w:marRight w:val="0"/>
      <w:marTop w:val="0"/>
      <w:marBottom w:val="0"/>
      <w:divBdr>
        <w:top w:val="none" w:sz="0" w:space="0" w:color="auto"/>
        <w:left w:val="none" w:sz="0" w:space="0" w:color="auto"/>
        <w:bottom w:val="none" w:sz="0" w:space="0" w:color="auto"/>
        <w:right w:val="none" w:sz="0" w:space="0" w:color="auto"/>
      </w:divBdr>
    </w:div>
    <w:div w:id="785662801">
      <w:bodyDiv w:val="1"/>
      <w:marLeft w:val="0"/>
      <w:marRight w:val="0"/>
      <w:marTop w:val="0"/>
      <w:marBottom w:val="0"/>
      <w:divBdr>
        <w:top w:val="none" w:sz="0" w:space="0" w:color="auto"/>
        <w:left w:val="none" w:sz="0" w:space="0" w:color="auto"/>
        <w:bottom w:val="none" w:sz="0" w:space="0" w:color="auto"/>
        <w:right w:val="none" w:sz="0" w:space="0" w:color="auto"/>
      </w:divBdr>
    </w:div>
    <w:div w:id="795414752">
      <w:bodyDiv w:val="1"/>
      <w:marLeft w:val="0"/>
      <w:marRight w:val="0"/>
      <w:marTop w:val="0"/>
      <w:marBottom w:val="0"/>
      <w:divBdr>
        <w:top w:val="none" w:sz="0" w:space="0" w:color="auto"/>
        <w:left w:val="none" w:sz="0" w:space="0" w:color="auto"/>
        <w:bottom w:val="none" w:sz="0" w:space="0" w:color="auto"/>
        <w:right w:val="none" w:sz="0" w:space="0" w:color="auto"/>
      </w:divBdr>
    </w:div>
    <w:div w:id="883099989">
      <w:bodyDiv w:val="1"/>
      <w:marLeft w:val="0"/>
      <w:marRight w:val="0"/>
      <w:marTop w:val="0"/>
      <w:marBottom w:val="0"/>
      <w:divBdr>
        <w:top w:val="none" w:sz="0" w:space="0" w:color="auto"/>
        <w:left w:val="none" w:sz="0" w:space="0" w:color="auto"/>
        <w:bottom w:val="none" w:sz="0" w:space="0" w:color="auto"/>
        <w:right w:val="none" w:sz="0" w:space="0" w:color="auto"/>
      </w:divBdr>
    </w:div>
    <w:div w:id="1016543810">
      <w:bodyDiv w:val="1"/>
      <w:marLeft w:val="0"/>
      <w:marRight w:val="0"/>
      <w:marTop w:val="0"/>
      <w:marBottom w:val="0"/>
      <w:divBdr>
        <w:top w:val="none" w:sz="0" w:space="0" w:color="auto"/>
        <w:left w:val="none" w:sz="0" w:space="0" w:color="auto"/>
        <w:bottom w:val="none" w:sz="0" w:space="0" w:color="auto"/>
        <w:right w:val="none" w:sz="0" w:space="0" w:color="auto"/>
      </w:divBdr>
    </w:div>
    <w:div w:id="1017318509">
      <w:bodyDiv w:val="1"/>
      <w:marLeft w:val="0"/>
      <w:marRight w:val="0"/>
      <w:marTop w:val="0"/>
      <w:marBottom w:val="0"/>
      <w:divBdr>
        <w:top w:val="none" w:sz="0" w:space="0" w:color="auto"/>
        <w:left w:val="none" w:sz="0" w:space="0" w:color="auto"/>
        <w:bottom w:val="none" w:sz="0" w:space="0" w:color="auto"/>
        <w:right w:val="none" w:sz="0" w:space="0" w:color="auto"/>
      </w:divBdr>
    </w:div>
    <w:div w:id="1119956134">
      <w:bodyDiv w:val="1"/>
      <w:marLeft w:val="0"/>
      <w:marRight w:val="0"/>
      <w:marTop w:val="0"/>
      <w:marBottom w:val="0"/>
      <w:divBdr>
        <w:top w:val="none" w:sz="0" w:space="0" w:color="auto"/>
        <w:left w:val="none" w:sz="0" w:space="0" w:color="auto"/>
        <w:bottom w:val="none" w:sz="0" w:space="0" w:color="auto"/>
        <w:right w:val="none" w:sz="0" w:space="0" w:color="auto"/>
      </w:divBdr>
    </w:div>
    <w:div w:id="1136265213">
      <w:bodyDiv w:val="1"/>
      <w:marLeft w:val="0"/>
      <w:marRight w:val="0"/>
      <w:marTop w:val="0"/>
      <w:marBottom w:val="0"/>
      <w:divBdr>
        <w:top w:val="none" w:sz="0" w:space="0" w:color="auto"/>
        <w:left w:val="none" w:sz="0" w:space="0" w:color="auto"/>
        <w:bottom w:val="none" w:sz="0" w:space="0" w:color="auto"/>
        <w:right w:val="none" w:sz="0" w:space="0" w:color="auto"/>
      </w:divBdr>
    </w:div>
    <w:div w:id="1233392506">
      <w:bodyDiv w:val="1"/>
      <w:marLeft w:val="0"/>
      <w:marRight w:val="0"/>
      <w:marTop w:val="0"/>
      <w:marBottom w:val="0"/>
      <w:divBdr>
        <w:top w:val="none" w:sz="0" w:space="0" w:color="auto"/>
        <w:left w:val="none" w:sz="0" w:space="0" w:color="auto"/>
        <w:bottom w:val="none" w:sz="0" w:space="0" w:color="auto"/>
        <w:right w:val="none" w:sz="0" w:space="0" w:color="auto"/>
      </w:divBdr>
    </w:div>
    <w:div w:id="1238782811">
      <w:bodyDiv w:val="1"/>
      <w:marLeft w:val="0"/>
      <w:marRight w:val="0"/>
      <w:marTop w:val="0"/>
      <w:marBottom w:val="0"/>
      <w:divBdr>
        <w:top w:val="none" w:sz="0" w:space="0" w:color="auto"/>
        <w:left w:val="none" w:sz="0" w:space="0" w:color="auto"/>
        <w:bottom w:val="none" w:sz="0" w:space="0" w:color="auto"/>
        <w:right w:val="none" w:sz="0" w:space="0" w:color="auto"/>
      </w:divBdr>
    </w:div>
    <w:div w:id="1245186255">
      <w:bodyDiv w:val="1"/>
      <w:marLeft w:val="0"/>
      <w:marRight w:val="0"/>
      <w:marTop w:val="0"/>
      <w:marBottom w:val="0"/>
      <w:divBdr>
        <w:top w:val="none" w:sz="0" w:space="0" w:color="auto"/>
        <w:left w:val="none" w:sz="0" w:space="0" w:color="auto"/>
        <w:bottom w:val="none" w:sz="0" w:space="0" w:color="auto"/>
        <w:right w:val="none" w:sz="0" w:space="0" w:color="auto"/>
      </w:divBdr>
    </w:div>
    <w:div w:id="1286085415">
      <w:bodyDiv w:val="1"/>
      <w:marLeft w:val="0"/>
      <w:marRight w:val="0"/>
      <w:marTop w:val="0"/>
      <w:marBottom w:val="0"/>
      <w:divBdr>
        <w:top w:val="none" w:sz="0" w:space="0" w:color="auto"/>
        <w:left w:val="none" w:sz="0" w:space="0" w:color="auto"/>
        <w:bottom w:val="none" w:sz="0" w:space="0" w:color="auto"/>
        <w:right w:val="none" w:sz="0" w:space="0" w:color="auto"/>
      </w:divBdr>
    </w:div>
    <w:div w:id="1312174547">
      <w:bodyDiv w:val="1"/>
      <w:marLeft w:val="0"/>
      <w:marRight w:val="0"/>
      <w:marTop w:val="0"/>
      <w:marBottom w:val="0"/>
      <w:divBdr>
        <w:top w:val="none" w:sz="0" w:space="0" w:color="auto"/>
        <w:left w:val="none" w:sz="0" w:space="0" w:color="auto"/>
        <w:bottom w:val="none" w:sz="0" w:space="0" w:color="auto"/>
        <w:right w:val="none" w:sz="0" w:space="0" w:color="auto"/>
      </w:divBdr>
    </w:div>
    <w:div w:id="1330981198">
      <w:bodyDiv w:val="1"/>
      <w:marLeft w:val="0"/>
      <w:marRight w:val="0"/>
      <w:marTop w:val="0"/>
      <w:marBottom w:val="0"/>
      <w:divBdr>
        <w:top w:val="none" w:sz="0" w:space="0" w:color="auto"/>
        <w:left w:val="none" w:sz="0" w:space="0" w:color="auto"/>
        <w:bottom w:val="none" w:sz="0" w:space="0" w:color="auto"/>
        <w:right w:val="none" w:sz="0" w:space="0" w:color="auto"/>
      </w:divBdr>
    </w:div>
    <w:div w:id="1345211448">
      <w:bodyDiv w:val="1"/>
      <w:marLeft w:val="0"/>
      <w:marRight w:val="0"/>
      <w:marTop w:val="0"/>
      <w:marBottom w:val="0"/>
      <w:divBdr>
        <w:top w:val="none" w:sz="0" w:space="0" w:color="auto"/>
        <w:left w:val="none" w:sz="0" w:space="0" w:color="auto"/>
        <w:bottom w:val="none" w:sz="0" w:space="0" w:color="auto"/>
        <w:right w:val="none" w:sz="0" w:space="0" w:color="auto"/>
      </w:divBdr>
    </w:div>
    <w:div w:id="1411391591">
      <w:bodyDiv w:val="1"/>
      <w:marLeft w:val="0"/>
      <w:marRight w:val="0"/>
      <w:marTop w:val="0"/>
      <w:marBottom w:val="0"/>
      <w:divBdr>
        <w:top w:val="none" w:sz="0" w:space="0" w:color="auto"/>
        <w:left w:val="none" w:sz="0" w:space="0" w:color="auto"/>
        <w:bottom w:val="none" w:sz="0" w:space="0" w:color="auto"/>
        <w:right w:val="none" w:sz="0" w:space="0" w:color="auto"/>
      </w:divBdr>
    </w:div>
    <w:div w:id="1427649223">
      <w:bodyDiv w:val="1"/>
      <w:marLeft w:val="0"/>
      <w:marRight w:val="0"/>
      <w:marTop w:val="0"/>
      <w:marBottom w:val="0"/>
      <w:divBdr>
        <w:top w:val="none" w:sz="0" w:space="0" w:color="auto"/>
        <w:left w:val="none" w:sz="0" w:space="0" w:color="auto"/>
        <w:bottom w:val="none" w:sz="0" w:space="0" w:color="auto"/>
        <w:right w:val="none" w:sz="0" w:space="0" w:color="auto"/>
      </w:divBdr>
    </w:div>
    <w:div w:id="1430352784">
      <w:bodyDiv w:val="1"/>
      <w:marLeft w:val="0"/>
      <w:marRight w:val="0"/>
      <w:marTop w:val="0"/>
      <w:marBottom w:val="0"/>
      <w:divBdr>
        <w:top w:val="none" w:sz="0" w:space="0" w:color="auto"/>
        <w:left w:val="none" w:sz="0" w:space="0" w:color="auto"/>
        <w:bottom w:val="none" w:sz="0" w:space="0" w:color="auto"/>
        <w:right w:val="none" w:sz="0" w:space="0" w:color="auto"/>
      </w:divBdr>
    </w:div>
    <w:div w:id="1443183256">
      <w:bodyDiv w:val="1"/>
      <w:marLeft w:val="0"/>
      <w:marRight w:val="0"/>
      <w:marTop w:val="0"/>
      <w:marBottom w:val="0"/>
      <w:divBdr>
        <w:top w:val="none" w:sz="0" w:space="0" w:color="auto"/>
        <w:left w:val="none" w:sz="0" w:space="0" w:color="auto"/>
        <w:bottom w:val="none" w:sz="0" w:space="0" w:color="auto"/>
        <w:right w:val="none" w:sz="0" w:space="0" w:color="auto"/>
      </w:divBdr>
    </w:div>
    <w:div w:id="1444961433">
      <w:bodyDiv w:val="1"/>
      <w:marLeft w:val="0"/>
      <w:marRight w:val="0"/>
      <w:marTop w:val="0"/>
      <w:marBottom w:val="0"/>
      <w:divBdr>
        <w:top w:val="none" w:sz="0" w:space="0" w:color="auto"/>
        <w:left w:val="none" w:sz="0" w:space="0" w:color="auto"/>
        <w:bottom w:val="none" w:sz="0" w:space="0" w:color="auto"/>
        <w:right w:val="none" w:sz="0" w:space="0" w:color="auto"/>
      </w:divBdr>
    </w:div>
    <w:div w:id="1470132329">
      <w:bodyDiv w:val="1"/>
      <w:marLeft w:val="0"/>
      <w:marRight w:val="0"/>
      <w:marTop w:val="0"/>
      <w:marBottom w:val="0"/>
      <w:divBdr>
        <w:top w:val="none" w:sz="0" w:space="0" w:color="auto"/>
        <w:left w:val="none" w:sz="0" w:space="0" w:color="auto"/>
        <w:bottom w:val="none" w:sz="0" w:space="0" w:color="auto"/>
        <w:right w:val="none" w:sz="0" w:space="0" w:color="auto"/>
      </w:divBdr>
    </w:div>
    <w:div w:id="1510867602">
      <w:bodyDiv w:val="1"/>
      <w:marLeft w:val="0"/>
      <w:marRight w:val="0"/>
      <w:marTop w:val="0"/>
      <w:marBottom w:val="0"/>
      <w:divBdr>
        <w:top w:val="none" w:sz="0" w:space="0" w:color="auto"/>
        <w:left w:val="none" w:sz="0" w:space="0" w:color="auto"/>
        <w:bottom w:val="none" w:sz="0" w:space="0" w:color="auto"/>
        <w:right w:val="none" w:sz="0" w:space="0" w:color="auto"/>
      </w:divBdr>
    </w:div>
    <w:div w:id="1555506044">
      <w:bodyDiv w:val="1"/>
      <w:marLeft w:val="0"/>
      <w:marRight w:val="0"/>
      <w:marTop w:val="0"/>
      <w:marBottom w:val="0"/>
      <w:divBdr>
        <w:top w:val="none" w:sz="0" w:space="0" w:color="auto"/>
        <w:left w:val="none" w:sz="0" w:space="0" w:color="auto"/>
        <w:bottom w:val="none" w:sz="0" w:space="0" w:color="auto"/>
        <w:right w:val="none" w:sz="0" w:space="0" w:color="auto"/>
      </w:divBdr>
    </w:div>
    <w:div w:id="1595934272">
      <w:bodyDiv w:val="1"/>
      <w:marLeft w:val="0"/>
      <w:marRight w:val="0"/>
      <w:marTop w:val="0"/>
      <w:marBottom w:val="0"/>
      <w:divBdr>
        <w:top w:val="none" w:sz="0" w:space="0" w:color="auto"/>
        <w:left w:val="none" w:sz="0" w:space="0" w:color="auto"/>
        <w:bottom w:val="none" w:sz="0" w:space="0" w:color="auto"/>
        <w:right w:val="none" w:sz="0" w:space="0" w:color="auto"/>
      </w:divBdr>
    </w:div>
    <w:div w:id="1637907405">
      <w:bodyDiv w:val="1"/>
      <w:marLeft w:val="0"/>
      <w:marRight w:val="0"/>
      <w:marTop w:val="0"/>
      <w:marBottom w:val="0"/>
      <w:divBdr>
        <w:top w:val="none" w:sz="0" w:space="0" w:color="auto"/>
        <w:left w:val="none" w:sz="0" w:space="0" w:color="auto"/>
        <w:bottom w:val="none" w:sz="0" w:space="0" w:color="auto"/>
        <w:right w:val="none" w:sz="0" w:space="0" w:color="auto"/>
      </w:divBdr>
    </w:div>
    <w:div w:id="1743945716">
      <w:bodyDiv w:val="1"/>
      <w:marLeft w:val="0"/>
      <w:marRight w:val="0"/>
      <w:marTop w:val="0"/>
      <w:marBottom w:val="0"/>
      <w:divBdr>
        <w:top w:val="none" w:sz="0" w:space="0" w:color="auto"/>
        <w:left w:val="none" w:sz="0" w:space="0" w:color="auto"/>
        <w:bottom w:val="none" w:sz="0" w:space="0" w:color="auto"/>
        <w:right w:val="none" w:sz="0" w:space="0" w:color="auto"/>
      </w:divBdr>
    </w:div>
    <w:div w:id="1790392578">
      <w:bodyDiv w:val="1"/>
      <w:marLeft w:val="0"/>
      <w:marRight w:val="0"/>
      <w:marTop w:val="0"/>
      <w:marBottom w:val="0"/>
      <w:divBdr>
        <w:top w:val="none" w:sz="0" w:space="0" w:color="auto"/>
        <w:left w:val="none" w:sz="0" w:space="0" w:color="auto"/>
        <w:bottom w:val="none" w:sz="0" w:space="0" w:color="auto"/>
        <w:right w:val="none" w:sz="0" w:space="0" w:color="auto"/>
      </w:divBdr>
    </w:div>
    <w:div w:id="1793742334">
      <w:bodyDiv w:val="1"/>
      <w:marLeft w:val="0"/>
      <w:marRight w:val="0"/>
      <w:marTop w:val="0"/>
      <w:marBottom w:val="0"/>
      <w:divBdr>
        <w:top w:val="none" w:sz="0" w:space="0" w:color="auto"/>
        <w:left w:val="none" w:sz="0" w:space="0" w:color="auto"/>
        <w:bottom w:val="none" w:sz="0" w:space="0" w:color="auto"/>
        <w:right w:val="none" w:sz="0" w:space="0" w:color="auto"/>
      </w:divBdr>
    </w:div>
    <w:div w:id="1869641654">
      <w:bodyDiv w:val="1"/>
      <w:marLeft w:val="0"/>
      <w:marRight w:val="0"/>
      <w:marTop w:val="0"/>
      <w:marBottom w:val="0"/>
      <w:divBdr>
        <w:top w:val="none" w:sz="0" w:space="0" w:color="auto"/>
        <w:left w:val="none" w:sz="0" w:space="0" w:color="auto"/>
        <w:bottom w:val="none" w:sz="0" w:space="0" w:color="auto"/>
        <w:right w:val="none" w:sz="0" w:space="0" w:color="auto"/>
      </w:divBdr>
    </w:div>
    <w:div w:id="1901403635">
      <w:bodyDiv w:val="1"/>
      <w:marLeft w:val="0"/>
      <w:marRight w:val="0"/>
      <w:marTop w:val="0"/>
      <w:marBottom w:val="0"/>
      <w:divBdr>
        <w:top w:val="none" w:sz="0" w:space="0" w:color="auto"/>
        <w:left w:val="none" w:sz="0" w:space="0" w:color="auto"/>
        <w:bottom w:val="none" w:sz="0" w:space="0" w:color="auto"/>
        <w:right w:val="none" w:sz="0" w:space="0" w:color="auto"/>
      </w:divBdr>
    </w:div>
    <w:div w:id="1958096780">
      <w:bodyDiv w:val="1"/>
      <w:marLeft w:val="0"/>
      <w:marRight w:val="0"/>
      <w:marTop w:val="0"/>
      <w:marBottom w:val="0"/>
      <w:divBdr>
        <w:top w:val="none" w:sz="0" w:space="0" w:color="auto"/>
        <w:left w:val="none" w:sz="0" w:space="0" w:color="auto"/>
        <w:bottom w:val="none" w:sz="0" w:space="0" w:color="auto"/>
        <w:right w:val="none" w:sz="0" w:space="0" w:color="auto"/>
      </w:divBdr>
    </w:div>
    <w:div w:id="1981956416">
      <w:bodyDiv w:val="1"/>
      <w:marLeft w:val="0"/>
      <w:marRight w:val="0"/>
      <w:marTop w:val="0"/>
      <w:marBottom w:val="0"/>
      <w:divBdr>
        <w:top w:val="none" w:sz="0" w:space="0" w:color="auto"/>
        <w:left w:val="none" w:sz="0" w:space="0" w:color="auto"/>
        <w:bottom w:val="none" w:sz="0" w:space="0" w:color="auto"/>
        <w:right w:val="none" w:sz="0" w:space="0" w:color="auto"/>
      </w:divBdr>
    </w:div>
    <w:div w:id="2002076434">
      <w:bodyDiv w:val="1"/>
      <w:marLeft w:val="0"/>
      <w:marRight w:val="0"/>
      <w:marTop w:val="0"/>
      <w:marBottom w:val="0"/>
      <w:divBdr>
        <w:top w:val="none" w:sz="0" w:space="0" w:color="auto"/>
        <w:left w:val="none" w:sz="0" w:space="0" w:color="auto"/>
        <w:bottom w:val="none" w:sz="0" w:space="0" w:color="auto"/>
        <w:right w:val="none" w:sz="0" w:space="0" w:color="auto"/>
      </w:divBdr>
    </w:div>
    <w:div w:id="2017610113">
      <w:bodyDiv w:val="1"/>
      <w:marLeft w:val="0"/>
      <w:marRight w:val="0"/>
      <w:marTop w:val="0"/>
      <w:marBottom w:val="0"/>
      <w:divBdr>
        <w:top w:val="none" w:sz="0" w:space="0" w:color="auto"/>
        <w:left w:val="none" w:sz="0" w:space="0" w:color="auto"/>
        <w:bottom w:val="none" w:sz="0" w:space="0" w:color="auto"/>
        <w:right w:val="none" w:sz="0" w:space="0" w:color="auto"/>
      </w:divBdr>
    </w:div>
    <w:div w:id="2122651764">
      <w:bodyDiv w:val="1"/>
      <w:marLeft w:val="0"/>
      <w:marRight w:val="0"/>
      <w:marTop w:val="0"/>
      <w:marBottom w:val="0"/>
      <w:divBdr>
        <w:top w:val="none" w:sz="0" w:space="0" w:color="auto"/>
        <w:left w:val="none" w:sz="0" w:space="0" w:color="auto"/>
        <w:bottom w:val="none" w:sz="0" w:space="0" w:color="auto"/>
        <w:right w:val="none" w:sz="0" w:space="0" w:color="auto"/>
      </w:divBdr>
    </w:div>
    <w:div w:id="21422614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current/naics4_541600.ht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ba.gov/document/support--table-size-standard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ls.gov/news.release/pdf/ecec.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bls.gov/oes/current/naics4_541600.htm" TargetMode="External"/><Relationship Id="rId4" Type="http://schemas.openxmlformats.org/officeDocument/2006/relationships/settings" Target="settings.xml"/><Relationship Id="rId9" Type="http://schemas.openxmlformats.org/officeDocument/2006/relationships/hyperlink" Target="https://www.bls.gov/oes/current/naics4_325400.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53741F-E40F-4AD5-9300-C4117AF86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3589</Words>
  <Characters>21274</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2021-03-31T21:15:00Z</dcterms:created>
  <dcterms:modified xsi:type="dcterms:W3CDTF">2021-04-02T20:45:00Z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