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163" w:rsidP="00F05163" w:rsidRDefault="00F05163">
      <w:pPr>
        <w:jc w:val="center"/>
        <w:rPr>
          <w:rFonts w:eastAsia="Calibri"/>
        </w:rPr>
      </w:pPr>
      <w:r w:rsidRPr="00357C8A">
        <w:rPr>
          <w:rFonts w:eastAsia="Calibri"/>
        </w:rPr>
        <w:t>United States Food and Drug Administration</w:t>
      </w:r>
    </w:p>
    <w:p w:rsidR="00F05163" w:rsidP="00F05163" w:rsidRDefault="00F05163">
      <w:pPr>
        <w:jc w:val="center"/>
        <w:rPr>
          <w:rFonts w:eastAsia="Calibri"/>
        </w:rPr>
      </w:pPr>
    </w:p>
    <w:p w:rsidRPr="009A1674" w:rsidR="002750A1" w:rsidP="002750A1" w:rsidRDefault="002750A1">
      <w:pPr>
        <w:jc w:val="center"/>
      </w:pPr>
      <w:r>
        <w:t>513(g) Request for Information</w:t>
      </w:r>
    </w:p>
    <w:p w:rsidR="00F05163" w:rsidP="00F05163" w:rsidRDefault="00F05163">
      <w:pPr>
        <w:jc w:val="center"/>
        <w:rPr>
          <w:rFonts w:eastAsia="Calibri"/>
        </w:rPr>
      </w:pPr>
    </w:p>
    <w:p w:rsidR="00F05163" w:rsidP="00F05163" w:rsidRDefault="00F05163">
      <w:pPr>
        <w:jc w:val="center"/>
        <w:rPr>
          <w:rFonts w:eastAsia="Calibri"/>
        </w:rPr>
      </w:pPr>
      <w:r w:rsidRPr="00357C8A">
        <w:rPr>
          <w:rFonts w:eastAsia="Calibri"/>
        </w:rPr>
        <w:t>OMB Control No. 0910-</w:t>
      </w:r>
      <w:r w:rsidR="002750A1">
        <w:rPr>
          <w:rFonts w:eastAsia="Calibri"/>
        </w:rPr>
        <w:t>0705</w:t>
      </w:r>
    </w:p>
    <w:p w:rsidR="00F05163" w:rsidP="00F05163" w:rsidRDefault="00F05163">
      <w:pPr>
        <w:jc w:val="center"/>
        <w:rPr>
          <w:rFonts w:eastAsia="Calibri"/>
        </w:rPr>
      </w:pPr>
    </w:p>
    <w:p w:rsidR="00F05163" w:rsidP="00F05163" w:rsidRDefault="00F05163">
      <w:pPr>
        <w:jc w:val="center"/>
        <w:rPr>
          <w:rFonts w:eastAsia="Calibri"/>
        </w:rPr>
      </w:pPr>
      <w:r w:rsidRPr="00357C8A">
        <w:rPr>
          <w:rFonts w:eastAsia="Calibri"/>
        </w:rPr>
        <w:t>SUPPORTING STATEMENT</w:t>
      </w:r>
    </w:p>
    <w:p w:rsidR="00A86455" w:rsidP="002750A1" w:rsidRDefault="00A86455"/>
    <w:p w:rsidR="00A86455" w:rsidP="00A86455" w:rsidRDefault="00A86455">
      <w:pPr>
        <w:autoSpaceDE w:val="0"/>
        <w:autoSpaceDN w:val="0"/>
        <w:adjustRightInd w:val="0"/>
      </w:pPr>
      <w:r w:rsidRPr="008E1BFE">
        <w:t>Terms of Clearance:</w:t>
      </w:r>
      <w:r>
        <w:rPr>
          <w:b/>
        </w:rPr>
        <w:t xml:space="preserve"> </w:t>
      </w:r>
      <w:r>
        <w:t>None.</w:t>
      </w:r>
    </w:p>
    <w:p w:rsidRPr="009A1674" w:rsidR="00EB7538" w:rsidP="002750A1" w:rsidRDefault="00EB7538"/>
    <w:p w:rsidRPr="008E1BFE" w:rsidR="00EB7538" w:rsidP="008E1BFE" w:rsidRDefault="00013668">
      <w:pPr>
        <w:rPr>
          <w:b/>
        </w:rPr>
      </w:pPr>
      <w:r>
        <w:rPr>
          <w:b/>
        </w:rPr>
        <w:t>Part A: Justification</w:t>
      </w:r>
      <w:bookmarkStart w:name="_GoBack" w:id="0"/>
      <w:bookmarkEnd w:id="0"/>
    </w:p>
    <w:p w:rsidR="00810FF1" w:rsidP="00B23769" w:rsidRDefault="00810FF1">
      <w:pPr>
        <w:jc w:val="center"/>
        <w:rPr>
          <w:b/>
        </w:rPr>
      </w:pPr>
    </w:p>
    <w:p w:rsidR="008B30AB" w:rsidP="008B30AB" w:rsidRDefault="00EB7538">
      <w:pPr>
        <w:numPr>
          <w:ilvl w:val="0"/>
          <w:numId w:val="1"/>
        </w:numPr>
        <w:spacing w:before="100" w:beforeAutospacing="1" w:after="100" w:afterAutospacing="1"/>
        <w:rPr>
          <w:u w:val="single"/>
        </w:rPr>
      </w:pPr>
      <w:r w:rsidRPr="002746DB">
        <w:rPr>
          <w:u w:val="single"/>
        </w:rPr>
        <w:t>Circumstances Making the Collection of Information Necessary</w:t>
      </w:r>
    </w:p>
    <w:p w:rsidR="00465B10" w:rsidP="00465B10" w:rsidRDefault="001F43A8">
      <w:pPr>
        <w:ind w:left="720"/>
      </w:pPr>
      <w:r>
        <w:t>This information collection supports Food and Drug Administration (FDA</w:t>
      </w:r>
      <w:r w:rsidR="008C72D7">
        <w:t xml:space="preserve"> or we</w:t>
      </w:r>
      <w:r>
        <w:t xml:space="preserve">) program and accompanying guidance. </w:t>
      </w:r>
      <w:r w:rsidR="00222729">
        <w:t xml:space="preserve"> </w:t>
      </w:r>
      <w:r w:rsidRPr="008E3E0D" w:rsidR="00465B10">
        <w:t>Section 513 of the Federal Food, Drug, and Cosmetic Act (FD&amp;C Act or the act) (21 U.S.C. 360c) provides for the classification of devices intended for human use.  Under section 513(a), devices are classified by the regulatory controls needed to provide reasonable assurance of their safety and effectiveness into class I (general controls), class II (special controls), or class III (premarket approval).  Section 513(g) provides a means of obtaining information from FDA regarding the classification and regulatory requirements that may be applicable to a</w:t>
      </w:r>
      <w:r w:rsidR="00836CE1">
        <w:t xml:space="preserve"> </w:t>
      </w:r>
      <w:r w:rsidRPr="008E3E0D" w:rsidR="00465B10">
        <w:t>particular device; specifically, that within 60 days of the receipt of a written request of any person for information respecting the class in which a device has been classified or the requirements applicable to a device under the act, the Secretary of Health and Human Services shall provide such person a written statement of the classification (if any) of such device and the requirements of this act applicable to the device.</w:t>
      </w:r>
    </w:p>
    <w:p w:rsidRPr="008E3E0D" w:rsidR="00465B10" w:rsidP="00465B10" w:rsidRDefault="00465B10">
      <w:pPr>
        <w:ind w:left="720"/>
      </w:pPr>
    </w:p>
    <w:p w:rsidR="00952078" w:rsidP="00465B10" w:rsidRDefault="008E1BFE">
      <w:pPr>
        <w:ind w:left="720"/>
      </w:pPr>
      <w:r>
        <w:t xml:space="preserve">To assist respondents with the information collections related to section 513 of the act, we issued a guidance document entitled “FDA and Industry Procedures for section 513(g) Requests for Information under the Federal Food, Drug, and Cosmetic Act,” on April 6, 2012.  The guidance is intended to assist individuals in preparing their requests for information </w:t>
      </w:r>
      <w:r w:rsidRPr="008E3E0D">
        <w:t>respecting the class in which a device has been classified or the requirements applicable to a device under the act</w:t>
      </w:r>
      <w:r>
        <w:t xml:space="preserve">.  The request should contain a cover letter, a description of the device, a description of what the device is to be used for, and any proposed labeling or promotional material of a similar, legally, marketed device, if available.  Information is submitted using Form FDA </w:t>
      </w:r>
      <w:r w:rsidRPr="008E3E0D">
        <w:t>3601, “Medical Device User Fee Cover Sheet”</w:t>
      </w:r>
      <w:r>
        <w:t xml:space="preserve"> (approved under OMB Control No. 0910-0511),</w:t>
      </w:r>
      <w:r w:rsidRPr="008E3E0D">
        <w:t xml:space="preserve"> </w:t>
      </w:r>
      <w:r>
        <w:t>to provide, among other things, the written statement of classification</w:t>
      </w:r>
      <w:r w:rsidRPr="008E3E0D">
        <w:t xml:space="preserve"> under 513(g)</w:t>
      </w:r>
      <w:r>
        <w:t>.</w:t>
      </w:r>
    </w:p>
    <w:p w:rsidR="00952078" w:rsidP="00465B10" w:rsidRDefault="00952078">
      <w:pPr>
        <w:ind w:left="720"/>
      </w:pPr>
    </w:p>
    <w:p w:rsidR="00952078" w:rsidP="00465B10" w:rsidRDefault="00952078">
      <w:pPr>
        <w:ind w:left="720"/>
      </w:pPr>
      <w:r w:rsidRPr="000B60D3">
        <w:t>We therefore request extension of OMB approval for the information collection provisions under 513(g) of the act, as well as recommendations in the accompanying</w:t>
      </w:r>
      <w:r>
        <w:t xml:space="preserve"> guidance document as referenced above.</w:t>
      </w:r>
    </w:p>
    <w:p w:rsidR="00DD5B0D" w:rsidP="00465B10" w:rsidRDefault="00DD5B0D">
      <w:pPr>
        <w:ind w:left="720"/>
      </w:pPr>
    </w:p>
    <w:p w:rsidRPr="002746DB" w:rsidR="008B30AB" w:rsidP="008B30AB" w:rsidRDefault="00EB7538">
      <w:pPr>
        <w:numPr>
          <w:ilvl w:val="0"/>
          <w:numId w:val="1"/>
        </w:numPr>
        <w:spacing w:before="100" w:beforeAutospacing="1" w:after="100" w:afterAutospacing="1"/>
        <w:rPr>
          <w:u w:val="single"/>
        </w:rPr>
      </w:pPr>
      <w:r w:rsidRPr="002746DB">
        <w:rPr>
          <w:u w:val="single"/>
        </w:rPr>
        <w:lastRenderedPageBreak/>
        <w:t xml:space="preserve">Purpose and Use of the Information Collection </w:t>
      </w:r>
    </w:p>
    <w:p w:rsidRPr="008E3E0D" w:rsidR="00465B10" w:rsidP="00465B10" w:rsidRDefault="00465B10">
      <w:pPr>
        <w:ind w:left="720"/>
      </w:pPr>
      <w:r w:rsidRPr="008E3E0D">
        <w:t>FDA’s Center for Devices and Radiological Health (CDRH) and Center for Biologics Evaluation and Research</w:t>
      </w:r>
      <w:r>
        <w:t xml:space="preserve"> (CBER)</w:t>
      </w:r>
      <w:r w:rsidRPr="008E3E0D">
        <w:t xml:space="preserve"> use</w:t>
      </w:r>
      <w:r w:rsidR="00F05EF9">
        <w:t>s</w:t>
      </w:r>
      <w:r w:rsidRPr="008E3E0D">
        <w:t xml:space="preserve"> information submitted in a 513(g) request to provide information regarding classification information and/or regulator</w:t>
      </w:r>
      <w:r w:rsidR="003B3C20">
        <w:t>y</w:t>
      </w:r>
      <w:r w:rsidRPr="008E3E0D">
        <w:t xml:space="preserve"> requirements for a single product.  </w:t>
      </w:r>
      <w:r w:rsidR="00153C39">
        <w:t>Any person</w:t>
      </w:r>
      <w:r w:rsidR="001857F2">
        <w:t xml:space="preserve"> </w:t>
      </w:r>
      <w:r w:rsidRPr="008E3E0D">
        <w:t>seeking information for multiple products must submit separate 513(g) requests for each product.</w:t>
      </w:r>
    </w:p>
    <w:p w:rsidRPr="008E3E0D" w:rsidR="00465B10" w:rsidP="00465B10" w:rsidRDefault="00465B10">
      <w:pPr>
        <w:ind w:left="720"/>
      </w:pPr>
    </w:p>
    <w:p w:rsidR="00CC2894" w:rsidP="00465B10" w:rsidRDefault="00F05EF9">
      <w:pPr>
        <w:ind w:left="720"/>
        <w:rPr>
          <w:i/>
        </w:rPr>
      </w:pPr>
      <w:r>
        <w:t xml:space="preserve">Respondents to the information collection include </w:t>
      </w:r>
      <w:r w:rsidRPr="008E3E0D" w:rsidR="00465B10">
        <w:t>private, for-profit businesses, however individuals, as well as state, local, and tribal governments may also submit 513(g) requests.</w:t>
      </w:r>
    </w:p>
    <w:p w:rsidRPr="004C6979" w:rsidR="002746DB" w:rsidP="00EB7538" w:rsidRDefault="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F90069" w:rsidP="003461C0" w:rsidRDefault="00F90069">
      <w:pPr>
        <w:tabs>
          <w:tab w:val="num" w:pos="360"/>
        </w:tabs>
        <w:autoSpaceDE w:val="0"/>
        <w:autoSpaceDN w:val="0"/>
        <w:adjustRightInd w:val="0"/>
        <w:ind w:left="720"/>
      </w:pPr>
      <w:r>
        <w:t xml:space="preserve">Section 745A(b) of the FD&amp;C Act, added by </w:t>
      </w:r>
      <w:r w:rsidRPr="00D550A9">
        <w:t>section 1136 of the Food and Drug Administration Safety and Innovation Act of 2012 (FDASI</w:t>
      </w:r>
      <w:r w:rsidRPr="008C72D7">
        <w:t>A), requires the submission of eCopies upon the issuance of final guidance.</w:t>
      </w:r>
      <w:r>
        <w:t xml:space="preserve">  The guidance entitled, “</w:t>
      </w:r>
      <w:r w:rsidRPr="008C658E">
        <w:rPr>
          <w:i/>
        </w:rPr>
        <w:t>eCopy Program for Medical Device Submissions; Guidance for Industry and FDA Staff</w:t>
      </w:r>
      <w:r>
        <w:t>,” provides, among other things, the standards for a valid eCopy under section 745A(b)(2)(A) of the act for different kinds of medical device submissions.  As explained in the guidance, the inclusion of an eCopy is expected to improve the efficiency of the review process by allowing for the immediate availability of an electronic version for review rather than relying solely on the paper version.</w:t>
      </w:r>
      <w:r w:rsidR="0085638D">
        <w:t xml:space="preserve">  </w:t>
      </w:r>
      <w:r w:rsidR="00F459C9">
        <w:t xml:space="preserve">The guidance describes how device companies should replace one paper copy of a device application with an eCopy.  </w:t>
      </w:r>
      <w:r w:rsidR="0085638D">
        <w:t>FDA expect</w:t>
      </w:r>
      <w:r w:rsidR="00F459C9">
        <w:t>s, therefore, 100% of respondents will submit the information in electronic and written form</w:t>
      </w:r>
      <w:r w:rsidR="00185F56">
        <w:t>; however, submission of an eCopy is voluntary for 513(g) requests.</w:t>
      </w:r>
    </w:p>
    <w:p w:rsidR="009B6827" w:rsidP="009B6827" w:rsidRDefault="009B6827">
      <w:pPr>
        <w:ind w:left="720"/>
      </w:pPr>
    </w:p>
    <w:p w:rsidR="0085638D" w:rsidP="0085638D" w:rsidRDefault="0085638D">
      <w:pPr>
        <w:ind w:left="720"/>
      </w:pPr>
      <w:r w:rsidRPr="008C72D7">
        <w:t>The agency requires that respondents submit two copies of each 513(g) request.</w:t>
      </w:r>
      <w:r>
        <w:t xml:space="preserve">  Because more than one agency component may have information responsive to a 513(g) request,</w:t>
      </w:r>
      <w:r w:rsidR="00836CE1">
        <w:t xml:space="preserve"> we </w:t>
      </w:r>
      <w:r>
        <w:t>believe submi</w:t>
      </w:r>
      <w:r w:rsidR="00836CE1">
        <w:t>tting</w:t>
      </w:r>
      <w:r>
        <w:t xml:space="preserve"> two copies will expedite </w:t>
      </w:r>
      <w:r w:rsidR="00836CE1">
        <w:t xml:space="preserve">our </w:t>
      </w:r>
      <w:r>
        <w:t>response.</w:t>
      </w:r>
    </w:p>
    <w:p w:rsidRPr="002746DB" w:rsidR="002746DB" w:rsidP="00EB7538" w:rsidRDefault="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2746DB" w:rsidP="00F207A4" w:rsidRDefault="00D82EE5">
      <w:pPr>
        <w:ind w:left="720"/>
      </w:pPr>
      <w:r>
        <w:t>We are unaware of duplicative information collection.</w:t>
      </w:r>
    </w:p>
    <w:p w:rsidRPr="004C6979" w:rsidR="002746DB" w:rsidP="00F619DF" w:rsidRDefault="00EB7538">
      <w:pPr>
        <w:keepNext/>
        <w:numPr>
          <w:ilvl w:val="0"/>
          <w:numId w:val="1"/>
        </w:numPr>
        <w:spacing w:before="100" w:beforeAutospacing="1" w:after="100" w:afterAutospacing="1"/>
        <w:rPr>
          <w:u w:val="single"/>
        </w:rPr>
      </w:pPr>
      <w:r w:rsidRPr="004C6979">
        <w:rPr>
          <w:u w:val="single"/>
        </w:rPr>
        <w:t>Impact on Small Businesses or Other Small Entities</w:t>
      </w:r>
    </w:p>
    <w:p w:rsidR="00CD77C3" w:rsidP="00836CE1" w:rsidRDefault="00836CE1">
      <w:pPr>
        <w:ind w:left="720"/>
      </w:pPr>
      <w:r>
        <w:t xml:space="preserve">The information collection poses no undue burden on small businesses or small entities. </w:t>
      </w:r>
      <w:r w:rsidR="000C763A">
        <w:t xml:space="preserve">To offset the need for a request under 513(g), FDA maintains information </w:t>
      </w:r>
      <w:r w:rsidR="001C3A6C">
        <w:t>publicly</w:t>
      </w:r>
      <w:r w:rsidR="000C763A">
        <w:t xml:space="preserve"> accessible on the </w:t>
      </w:r>
      <w:r w:rsidR="005F5BC6">
        <w:t>I</w:t>
      </w:r>
      <w:r w:rsidR="000C763A">
        <w:t xml:space="preserve">nternet, including a product classification database, a 510(k) database, a list of class I and class II devices exempt from 510(k) requirements, and access to CDRH’s Division </w:t>
      </w:r>
      <w:r w:rsidR="005F5BC6">
        <w:t>of</w:t>
      </w:r>
      <w:r w:rsidR="000C763A">
        <w:t xml:space="preserve"> </w:t>
      </w:r>
      <w:r w:rsidR="005F5BC6">
        <w:t>Industry and</w:t>
      </w:r>
      <w:r w:rsidR="000C763A">
        <w:t xml:space="preserve"> Consumer </w:t>
      </w:r>
      <w:r w:rsidR="005F5BC6">
        <w:t>Education</w:t>
      </w:r>
      <w:r w:rsidR="000C763A">
        <w:t>.  In addition, FDA’s website provides access to medical device guidance documents and information regarding particular types of devices regulated by CBER.</w:t>
      </w:r>
    </w:p>
    <w:p w:rsidRPr="004C6979" w:rsidR="00CD77C3" w:rsidP="00EB7538" w:rsidRDefault="00EB7538">
      <w:pPr>
        <w:numPr>
          <w:ilvl w:val="0"/>
          <w:numId w:val="1"/>
        </w:numPr>
        <w:spacing w:before="100" w:beforeAutospacing="1" w:after="100" w:afterAutospacing="1"/>
        <w:rPr>
          <w:u w:val="single"/>
        </w:rPr>
      </w:pPr>
      <w:r w:rsidRPr="004C6979">
        <w:rPr>
          <w:u w:val="single"/>
        </w:rPr>
        <w:t>Consequences of Collecting the Information Less Frequently</w:t>
      </w:r>
    </w:p>
    <w:p w:rsidR="00CD77C3" w:rsidP="00F207A4" w:rsidRDefault="00836CE1">
      <w:pPr>
        <w:ind w:left="720"/>
      </w:pPr>
      <w:r w:rsidRPr="00F42317">
        <w:lastRenderedPageBreak/>
        <w:t>The i</w:t>
      </w:r>
      <w:r w:rsidRPr="00F42317" w:rsidR="00D82EE5">
        <w:t xml:space="preserve">nformation collection </w:t>
      </w:r>
      <w:r w:rsidRPr="00F42317">
        <w:t xml:space="preserve">schedule is </w:t>
      </w:r>
      <w:r w:rsidRPr="00F42317" w:rsidR="00D82EE5">
        <w:t>consistent with statutory requirements of the act and applicable regulations</w:t>
      </w:r>
    </w:p>
    <w:p w:rsidRPr="004C6979" w:rsidR="00CD77C3" w:rsidP="00EB7538" w:rsidRDefault="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P="008108FA" w:rsidRDefault="008108FA">
      <w:pPr>
        <w:ind w:left="720"/>
      </w:pPr>
      <w:r>
        <w:t xml:space="preserve">There are no special circumstances for </w:t>
      </w:r>
      <w:r w:rsidR="000C763A">
        <w:t>this collection of information.</w:t>
      </w:r>
      <w:r w:rsidR="00D82EE5">
        <w:t xml:space="preserve">  </w:t>
      </w:r>
      <w:r w:rsidR="00F42317">
        <w:t>The guidance documents “FDA and Industry Procedures for section 513(g) Requests for Information under the Federal Food, Drug, and Cosmetic Act 513(g)” and “</w:t>
      </w:r>
      <w:r w:rsidRPr="00BB24C8" w:rsidR="00F42317">
        <w:t>eCopy Program for Medical Device Submissions; Guidance for Industry and FDA Staff</w:t>
      </w:r>
      <w:r w:rsidR="00F42317">
        <w:t>”, both state that two copies of 513(g) requests are required.  However, under “</w:t>
      </w:r>
      <w:r w:rsidRPr="00BB24C8" w:rsidR="00F42317">
        <w:t>eCopy Program for Medical Device Submissions; Guidance for Industry and FDA Staff</w:t>
      </w:r>
      <w:r w:rsidR="00F42317">
        <w:t>”, the requester may voluntarily choose to submit one eCopy.</w:t>
      </w:r>
    </w:p>
    <w:p w:rsidR="00CD77C3" w:rsidP="00EB7538" w:rsidRDefault="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892400" w:rsidP="000C763A" w:rsidRDefault="00705086">
      <w:pPr>
        <w:ind w:left="720"/>
      </w:pPr>
      <w:r w:rsidRPr="00DD09F5">
        <w:t>In accordance with 5 CFR 1320.8(d), FDA published a 60</w:t>
      </w:r>
      <w:r w:rsidR="00C5066E">
        <w:t>-</w:t>
      </w:r>
      <w:r w:rsidRPr="00DD09F5">
        <w:t xml:space="preserve">day notice for public comment in the </w:t>
      </w:r>
      <w:r w:rsidRPr="002750A1" w:rsidR="00D82EE5">
        <w:rPr>
          <w:i/>
        </w:rPr>
        <w:t>Federal Register</w:t>
      </w:r>
      <w:r w:rsidR="009F2268">
        <w:t xml:space="preserve"> </w:t>
      </w:r>
      <w:r w:rsidRPr="009F2268">
        <w:t>of</w:t>
      </w:r>
      <w:r w:rsidR="004A3D2F">
        <w:t xml:space="preserve"> </w:t>
      </w:r>
      <w:r w:rsidR="00C73CFD">
        <w:t>January</w:t>
      </w:r>
      <w:r w:rsidR="004A3D2F">
        <w:t xml:space="preserve"> </w:t>
      </w:r>
      <w:r w:rsidR="00C73CFD">
        <w:t>13, 2021</w:t>
      </w:r>
      <w:r w:rsidR="004A3D2F">
        <w:t xml:space="preserve"> (</w:t>
      </w:r>
      <w:r w:rsidRPr="00C73CFD" w:rsidR="00C73CFD">
        <w:t>86 FR 2674</w:t>
      </w:r>
      <w:r w:rsidR="00C73CFD">
        <w:t>)</w:t>
      </w:r>
      <w:r w:rsidRPr="00DD09F5">
        <w:t xml:space="preserve">.  </w:t>
      </w:r>
      <w:r w:rsidR="00C73CFD">
        <w:t>We received five comments</w:t>
      </w:r>
      <w:r w:rsidR="005244C0">
        <w:t>;</w:t>
      </w:r>
      <w:r w:rsidR="004A3D2F">
        <w:t xml:space="preserve"> however</w:t>
      </w:r>
      <w:r w:rsidR="005244C0">
        <w:t>,</w:t>
      </w:r>
      <w:r w:rsidR="004A3D2F">
        <w:t xml:space="preserve"> the comments were not responsive to the information collection.</w:t>
      </w:r>
    </w:p>
    <w:p w:rsidRPr="004C6979" w:rsidR="00CD77C3" w:rsidP="00E00EA0" w:rsidRDefault="00EB7538">
      <w:pPr>
        <w:numPr>
          <w:ilvl w:val="0"/>
          <w:numId w:val="1"/>
        </w:numPr>
        <w:spacing w:before="100" w:beforeAutospacing="1" w:after="100" w:afterAutospacing="1"/>
        <w:rPr>
          <w:u w:val="single"/>
        </w:rPr>
      </w:pPr>
      <w:r w:rsidRPr="004C6979">
        <w:rPr>
          <w:u w:val="single"/>
        </w:rPr>
        <w:t>Explanation of Any Payment or Gift to Respondents</w:t>
      </w:r>
    </w:p>
    <w:p w:rsidR="00CD77C3" w:rsidP="00DD09F5" w:rsidRDefault="000C763A">
      <w:pPr>
        <w:ind w:left="720"/>
      </w:pPr>
      <w:r>
        <w:t xml:space="preserve">No payment or gift </w:t>
      </w:r>
      <w:r w:rsidR="00D82EE5">
        <w:t xml:space="preserve">is </w:t>
      </w:r>
      <w:r>
        <w:t>provided to respondents.</w:t>
      </w:r>
    </w:p>
    <w:p w:rsidRPr="004C6979" w:rsidR="00CD77C3" w:rsidP="00EB7538" w:rsidRDefault="00EB7538">
      <w:pPr>
        <w:numPr>
          <w:ilvl w:val="0"/>
          <w:numId w:val="1"/>
        </w:numPr>
        <w:spacing w:before="100" w:beforeAutospacing="1" w:after="100" w:afterAutospacing="1"/>
        <w:rPr>
          <w:u w:val="single"/>
        </w:rPr>
      </w:pPr>
      <w:r w:rsidRPr="004C6979">
        <w:rPr>
          <w:u w:val="single"/>
        </w:rPr>
        <w:t>Assurance of Confidentiality Provided to Respondents</w:t>
      </w:r>
    </w:p>
    <w:p w:rsidR="008772DA" w:rsidP="008772DA" w:rsidRDefault="008772DA">
      <w:pPr>
        <w:ind w:left="720"/>
      </w:pPr>
      <w:r w:rsidRPr="00C33858">
        <w:t xml:space="preserve">In preparing this Supporting Statement, </w:t>
      </w:r>
      <w:r>
        <w:t xml:space="preserve">we </w:t>
      </w:r>
      <w:r w:rsidRPr="00C33858">
        <w:t xml:space="preserve">consulted </w:t>
      </w:r>
      <w:r>
        <w:t xml:space="preserve">our </w:t>
      </w:r>
      <w:r w:rsidRPr="00C33858">
        <w:t xml:space="preserve">Privacy Office to ensure appropriate </w:t>
      </w:r>
      <w:r>
        <w:t xml:space="preserve">identification and </w:t>
      </w:r>
      <w:r w:rsidRPr="00C33858">
        <w:t>handling of information collected.</w:t>
      </w:r>
    </w:p>
    <w:p w:rsidR="008772DA" w:rsidP="008772DA" w:rsidRDefault="008772DA">
      <w:pPr>
        <w:ind w:left="720"/>
      </w:pPr>
    </w:p>
    <w:p w:rsidR="008772DA" w:rsidP="008772DA" w:rsidRDefault="008772DA">
      <w:pPr>
        <w:ind w:left="720"/>
      </w:pPr>
      <w:r>
        <w:t xml:space="preserve">This ICR collects personally identifiable information (PII).  </w:t>
      </w:r>
      <w:r w:rsidRPr="00D66147">
        <w:t xml:space="preserve">PII is collected in the context of the subject individuals’ professional capacity and the FDA-related work they perform for their employer (e.g., point of contact at a regulated entity). </w:t>
      </w:r>
      <w:r>
        <w:t xml:space="preserve"> The PII submitted via Form FDA 3601 (Medical Device User Fee Cover Sheet) is employer identification number, payment identification number, name, email address, telephone number, and fax telephone number. Username and password are collected when creating an account in the User Fee System which is used to access the form. Information collected via Form 3601 is maintained in a Privacy Act system of records as described in HHS/FDA System of Records Notice (SORN) 09-10-0021 for FDA’s User Fee System. Individuals completing Form 3601 will complete it via the webpage where a notice is displayed.  Through appropriate form and webpage design, </w:t>
      </w:r>
      <w:r w:rsidRPr="00D66147">
        <w:t xml:space="preserve">FDA </w:t>
      </w:r>
      <w:r>
        <w:t xml:space="preserve">limited submission fields and </w:t>
      </w:r>
      <w:r w:rsidRPr="00D66147">
        <w:t>minimized the PII collected to protect the privacy of the individuals.</w:t>
      </w:r>
    </w:p>
    <w:p w:rsidR="008772DA" w:rsidP="008772DA" w:rsidRDefault="008772DA">
      <w:pPr>
        <w:ind w:left="720"/>
      </w:pPr>
    </w:p>
    <w:p w:rsidR="008772DA" w:rsidP="008772DA" w:rsidRDefault="008772DA">
      <w:pPr>
        <w:ind w:left="720"/>
      </w:pPr>
    </w:p>
    <w:p w:rsidR="008772DA" w:rsidP="008772DA" w:rsidRDefault="008772DA">
      <w:pPr>
        <w:ind w:left="720"/>
      </w:pPr>
      <w:r w:rsidRPr="00C61647">
        <w:t xml:space="preserve">Under the Freedom of Information Act (FOIA) (5 U.S.C. 552), the public has broad access to government documents. However, FOIA provides certain exemptions from mandatory public disclosure of government records (5 U.S.C. 552(b)(1-9)).  FDA will </w:t>
      </w:r>
      <w:r w:rsidRPr="00C61647">
        <w:lastRenderedPageBreak/>
        <w:t>make the fullest possible disclosure of records to the public, consistent with the rights of individuals to privacy, the property rights of persons in trade and confidential commercial or financial information</w:t>
      </w:r>
      <w:r>
        <w:t>.</w:t>
      </w:r>
    </w:p>
    <w:p w:rsidRPr="004C6979" w:rsidR="004C6979" w:rsidP="00EB7538" w:rsidRDefault="00EB7538">
      <w:pPr>
        <w:numPr>
          <w:ilvl w:val="0"/>
          <w:numId w:val="1"/>
        </w:numPr>
        <w:spacing w:before="100" w:beforeAutospacing="1" w:after="100" w:afterAutospacing="1"/>
        <w:rPr>
          <w:u w:val="single"/>
        </w:rPr>
      </w:pPr>
      <w:r w:rsidRPr="004C6979">
        <w:rPr>
          <w:u w:val="single"/>
        </w:rPr>
        <w:t>Justification for Sensitive Questions</w:t>
      </w:r>
    </w:p>
    <w:p w:rsidR="004C6979" w:rsidP="000C763A" w:rsidRDefault="000C763A">
      <w:pPr>
        <w:ind w:left="720"/>
      </w:pPr>
      <w:r>
        <w:t>This information collection does not include</w:t>
      </w:r>
      <w:r w:rsidR="004C6979">
        <w:t xml:space="preserve"> questions that are of a sensitive nature, such as, sexual behavior and attitudes, religious beliefs, and other matters that are commonly considered private.</w:t>
      </w:r>
    </w:p>
    <w:p w:rsidRPr="004C6979" w:rsidR="004C6979" w:rsidP="0037053C" w:rsidRDefault="00EB7538">
      <w:pPr>
        <w:keepNext/>
        <w:numPr>
          <w:ilvl w:val="0"/>
          <w:numId w:val="1"/>
        </w:numPr>
        <w:spacing w:before="100" w:beforeAutospacing="1" w:after="100" w:afterAutospacing="1"/>
        <w:rPr>
          <w:u w:val="single"/>
        </w:rPr>
      </w:pPr>
      <w:r w:rsidRPr="004C6979">
        <w:rPr>
          <w:u w:val="single"/>
        </w:rPr>
        <w:t>Estimates of Annualized Burden Hours and Costs</w:t>
      </w:r>
    </w:p>
    <w:p w:rsidR="004C6979" w:rsidP="0037053C" w:rsidRDefault="008B0E29">
      <w:pPr>
        <w:keepNext/>
        <w:ind w:left="720"/>
      </w:pPr>
      <w:r w:rsidRPr="003461C0">
        <w:t xml:space="preserve">12a. </w:t>
      </w:r>
      <w:r w:rsidR="00411D11">
        <w:rPr>
          <w:u w:val="single"/>
        </w:rPr>
        <w:t xml:space="preserve">Annualized </w:t>
      </w:r>
      <w:r w:rsidR="004C6979">
        <w:rPr>
          <w:u w:val="single"/>
        </w:rPr>
        <w:t>Hour Burden Estimate</w:t>
      </w:r>
    </w:p>
    <w:p w:rsidR="004C6979" w:rsidP="0037053C" w:rsidRDefault="004C6979">
      <w:pPr>
        <w:keepNext/>
      </w:pPr>
    </w:p>
    <w:p w:rsidR="00DC76C7" w:rsidP="000C763A" w:rsidRDefault="000C763A">
      <w:pPr>
        <w:ind w:left="720"/>
      </w:pPr>
      <w:r>
        <w:t xml:space="preserve">The estimated annual burden for this information collection is </w:t>
      </w:r>
      <w:r w:rsidR="00C91BDA">
        <w:t>1,416</w:t>
      </w:r>
      <w:r>
        <w:t xml:space="preserve"> hours.</w:t>
      </w:r>
      <w:r w:rsidR="00E00EA0">
        <w:b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4"/>
        <w:gridCol w:w="1410"/>
        <w:gridCol w:w="1320"/>
        <w:gridCol w:w="1767"/>
        <w:gridCol w:w="1760"/>
        <w:gridCol w:w="1689"/>
      </w:tblGrid>
      <w:tr w:rsidRPr="000C763A" w:rsidR="00E65A37" w:rsidTr="000C763A">
        <w:trPr>
          <w:cantSplit/>
          <w:trHeight w:val="20"/>
          <w:tblHeader/>
        </w:trPr>
        <w:tc>
          <w:tcPr>
            <w:tcW w:w="5000" w:type="pct"/>
            <w:gridSpan w:val="6"/>
            <w:tcBorders>
              <w:top w:val="nil"/>
              <w:left w:val="nil"/>
              <w:right w:val="nil"/>
            </w:tcBorders>
            <w:shd w:val="clear" w:color="auto" w:fill="auto"/>
          </w:tcPr>
          <w:p w:rsidRPr="000C763A" w:rsidR="00E65A37" w:rsidP="00973610" w:rsidRDefault="00E65A37">
            <w:pPr>
              <w:keepNext/>
              <w:jc w:val="center"/>
              <w:rPr>
                <w:sz w:val="20"/>
                <w:szCs w:val="20"/>
              </w:rPr>
            </w:pPr>
            <w:r w:rsidRPr="000C763A">
              <w:rPr>
                <w:sz w:val="20"/>
                <w:szCs w:val="20"/>
              </w:rPr>
              <w:t xml:space="preserve">Table </w:t>
            </w:r>
            <w:r w:rsidRPr="000C763A" w:rsidR="009F2268">
              <w:rPr>
                <w:sz w:val="20"/>
                <w:szCs w:val="20"/>
              </w:rPr>
              <w:t>1. --</w:t>
            </w:r>
            <w:r w:rsidRPr="000C763A">
              <w:rPr>
                <w:sz w:val="20"/>
                <w:szCs w:val="20"/>
              </w:rPr>
              <w:t>Estimated Annual Reporting Burden</w:t>
            </w:r>
          </w:p>
        </w:tc>
      </w:tr>
      <w:tr w:rsidRPr="000C763A" w:rsidR="00E65A37" w:rsidTr="00B86DFA">
        <w:trPr>
          <w:cantSplit/>
          <w:trHeight w:val="20"/>
          <w:tblHeader/>
        </w:trPr>
        <w:tc>
          <w:tcPr>
            <w:tcW w:w="756" w:type="pct"/>
            <w:shd w:val="clear" w:color="auto" w:fill="auto"/>
          </w:tcPr>
          <w:p w:rsidRPr="000C763A" w:rsidR="00E65A37" w:rsidP="00973610" w:rsidRDefault="00E65A37">
            <w:pPr>
              <w:keepNext/>
              <w:jc w:val="center"/>
              <w:rPr>
                <w:sz w:val="20"/>
                <w:szCs w:val="20"/>
              </w:rPr>
            </w:pPr>
            <w:r w:rsidRPr="000C763A">
              <w:rPr>
                <w:sz w:val="20"/>
                <w:szCs w:val="20"/>
              </w:rPr>
              <w:t>Activity</w:t>
            </w:r>
          </w:p>
        </w:tc>
        <w:tc>
          <w:tcPr>
            <w:tcW w:w="753" w:type="pct"/>
            <w:shd w:val="clear" w:color="auto" w:fill="auto"/>
          </w:tcPr>
          <w:p w:rsidRPr="000C763A" w:rsidR="00E65A37" w:rsidP="00973610" w:rsidRDefault="00E65A37">
            <w:pPr>
              <w:keepNext/>
              <w:jc w:val="center"/>
              <w:rPr>
                <w:sz w:val="20"/>
                <w:szCs w:val="20"/>
              </w:rPr>
            </w:pPr>
            <w:r w:rsidRPr="000C763A">
              <w:rPr>
                <w:sz w:val="20"/>
                <w:szCs w:val="20"/>
              </w:rPr>
              <w:t>No. of Respondents</w:t>
            </w:r>
          </w:p>
        </w:tc>
        <w:tc>
          <w:tcPr>
            <w:tcW w:w="705" w:type="pct"/>
            <w:shd w:val="clear" w:color="auto" w:fill="auto"/>
          </w:tcPr>
          <w:p w:rsidRPr="000C763A" w:rsidR="00E65A37" w:rsidP="00973610" w:rsidRDefault="00E65A37">
            <w:pPr>
              <w:keepNext/>
              <w:jc w:val="center"/>
              <w:rPr>
                <w:sz w:val="20"/>
                <w:szCs w:val="20"/>
              </w:rPr>
            </w:pPr>
            <w:r w:rsidRPr="000C763A">
              <w:rPr>
                <w:bCs/>
                <w:sz w:val="20"/>
                <w:szCs w:val="20"/>
              </w:rPr>
              <w:t>No. of Responses per Respondent</w:t>
            </w:r>
          </w:p>
        </w:tc>
        <w:tc>
          <w:tcPr>
            <w:tcW w:w="944" w:type="pct"/>
            <w:shd w:val="clear" w:color="auto" w:fill="auto"/>
          </w:tcPr>
          <w:p w:rsidRPr="000C763A" w:rsidR="00E65A37" w:rsidP="00973610" w:rsidRDefault="00E65A37">
            <w:pPr>
              <w:keepNext/>
              <w:jc w:val="center"/>
              <w:rPr>
                <w:sz w:val="20"/>
                <w:szCs w:val="20"/>
              </w:rPr>
            </w:pPr>
            <w:r w:rsidRPr="000C763A">
              <w:rPr>
                <w:sz w:val="20"/>
                <w:szCs w:val="20"/>
              </w:rPr>
              <w:t>Total Annual Responses</w:t>
            </w:r>
          </w:p>
        </w:tc>
        <w:tc>
          <w:tcPr>
            <w:tcW w:w="940" w:type="pct"/>
            <w:shd w:val="clear" w:color="auto" w:fill="auto"/>
          </w:tcPr>
          <w:p w:rsidRPr="000C763A" w:rsidR="00E65A37" w:rsidP="00973610" w:rsidRDefault="00E65A37">
            <w:pPr>
              <w:keepNext/>
              <w:jc w:val="center"/>
              <w:rPr>
                <w:sz w:val="20"/>
                <w:szCs w:val="20"/>
              </w:rPr>
            </w:pPr>
            <w:r w:rsidRPr="000C763A">
              <w:rPr>
                <w:bCs/>
                <w:sz w:val="20"/>
                <w:szCs w:val="20"/>
              </w:rPr>
              <w:t>Average Burden per Response</w:t>
            </w:r>
          </w:p>
        </w:tc>
        <w:tc>
          <w:tcPr>
            <w:tcW w:w="902" w:type="pct"/>
            <w:shd w:val="clear" w:color="auto" w:fill="auto"/>
          </w:tcPr>
          <w:p w:rsidRPr="000C763A" w:rsidR="00E65A37" w:rsidP="00973610" w:rsidRDefault="00E65A37">
            <w:pPr>
              <w:keepNext/>
              <w:jc w:val="center"/>
              <w:rPr>
                <w:sz w:val="20"/>
                <w:szCs w:val="20"/>
              </w:rPr>
            </w:pPr>
            <w:r w:rsidRPr="000C763A">
              <w:rPr>
                <w:sz w:val="20"/>
                <w:szCs w:val="20"/>
              </w:rPr>
              <w:t>Total Hours</w:t>
            </w:r>
          </w:p>
        </w:tc>
      </w:tr>
      <w:tr w:rsidRPr="000C763A" w:rsidR="00E65A37" w:rsidTr="00B86DFA">
        <w:trPr>
          <w:cantSplit/>
          <w:trHeight w:val="20"/>
        </w:trPr>
        <w:tc>
          <w:tcPr>
            <w:tcW w:w="756" w:type="pct"/>
            <w:shd w:val="clear" w:color="auto" w:fill="auto"/>
          </w:tcPr>
          <w:p w:rsidRPr="000C763A" w:rsidR="00E65A37" w:rsidP="00973610" w:rsidRDefault="000C763A">
            <w:pPr>
              <w:keepNext/>
              <w:rPr>
                <w:sz w:val="20"/>
                <w:szCs w:val="20"/>
              </w:rPr>
            </w:pPr>
            <w:r w:rsidRPr="000C763A">
              <w:rPr>
                <w:sz w:val="20"/>
                <w:szCs w:val="20"/>
              </w:rPr>
              <w:t>CDRH</w:t>
            </w:r>
            <w:r w:rsidR="00435E9B">
              <w:rPr>
                <w:sz w:val="20"/>
                <w:szCs w:val="20"/>
              </w:rPr>
              <w:t xml:space="preserve"> 513(g) requests</w:t>
            </w:r>
          </w:p>
        </w:tc>
        <w:tc>
          <w:tcPr>
            <w:tcW w:w="753" w:type="pct"/>
            <w:shd w:val="clear" w:color="auto" w:fill="auto"/>
          </w:tcPr>
          <w:p w:rsidRPr="000C763A" w:rsidR="00E65A37" w:rsidP="00973610" w:rsidRDefault="000C763A">
            <w:pPr>
              <w:keepNext/>
              <w:jc w:val="right"/>
              <w:rPr>
                <w:sz w:val="20"/>
                <w:szCs w:val="20"/>
              </w:rPr>
            </w:pPr>
            <w:r w:rsidRPr="000C763A">
              <w:rPr>
                <w:sz w:val="20"/>
                <w:szCs w:val="20"/>
              </w:rPr>
              <w:t>11</w:t>
            </w:r>
            <w:r w:rsidR="00DA3CAD">
              <w:rPr>
                <w:sz w:val="20"/>
                <w:szCs w:val="20"/>
              </w:rPr>
              <w:t>4</w:t>
            </w:r>
          </w:p>
        </w:tc>
        <w:tc>
          <w:tcPr>
            <w:tcW w:w="705" w:type="pct"/>
            <w:shd w:val="clear" w:color="auto" w:fill="auto"/>
          </w:tcPr>
          <w:p w:rsidRPr="000C763A" w:rsidR="00E65A37" w:rsidP="00973610" w:rsidRDefault="000C763A">
            <w:pPr>
              <w:keepNext/>
              <w:jc w:val="right"/>
              <w:rPr>
                <w:sz w:val="20"/>
                <w:szCs w:val="20"/>
              </w:rPr>
            </w:pPr>
            <w:r w:rsidRPr="000C763A">
              <w:rPr>
                <w:sz w:val="20"/>
                <w:szCs w:val="20"/>
              </w:rPr>
              <w:t>1</w:t>
            </w:r>
          </w:p>
        </w:tc>
        <w:tc>
          <w:tcPr>
            <w:tcW w:w="944" w:type="pct"/>
            <w:shd w:val="clear" w:color="auto" w:fill="auto"/>
          </w:tcPr>
          <w:p w:rsidRPr="000C763A" w:rsidR="00E65A37" w:rsidP="00973610" w:rsidRDefault="000C763A">
            <w:pPr>
              <w:keepNext/>
              <w:jc w:val="right"/>
              <w:rPr>
                <w:sz w:val="20"/>
                <w:szCs w:val="20"/>
              </w:rPr>
            </w:pPr>
            <w:r w:rsidRPr="000C763A">
              <w:rPr>
                <w:sz w:val="20"/>
                <w:szCs w:val="20"/>
              </w:rPr>
              <w:t>11</w:t>
            </w:r>
            <w:r w:rsidR="00DA3CAD">
              <w:rPr>
                <w:sz w:val="20"/>
                <w:szCs w:val="20"/>
              </w:rPr>
              <w:t>4</w:t>
            </w:r>
          </w:p>
        </w:tc>
        <w:tc>
          <w:tcPr>
            <w:tcW w:w="940" w:type="pct"/>
            <w:shd w:val="clear" w:color="auto" w:fill="auto"/>
          </w:tcPr>
          <w:p w:rsidRPr="000C763A" w:rsidR="00E65A37" w:rsidP="00973610" w:rsidRDefault="000C763A">
            <w:pPr>
              <w:keepNext/>
              <w:jc w:val="right"/>
              <w:rPr>
                <w:sz w:val="20"/>
                <w:szCs w:val="20"/>
              </w:rPr>
            </w:pPr>
            <w:r w:rsidRPr="000C763A">
              <w:rPr>
                <w:sz w:val="20"/>
                <w:szCs w:val="20"/>
              </w:rPr>
              <w:t>12</w:t>
            </w:r>
          </w:p>
        </w:tc>
        <w:tc>
          <w:tcPr>
            <w:tcW w:w="902" w:type="pct"/>
            <w:shd w:val="clear" w:color="auto" w:fill="auto"/>
          </w:tcPr>
          <w:p w:rsidRPr="000C763A" w:rsidR="00E65A37" w:rsidP="00973610" w:rsidRDefault="00DA3CAD">
            <w:pPr>
              <w:keepNext/>
              <w:jc w:val="right"/>
              <w:rPr>
                <w:sz w:val="20"/>
                <w:szCs w:val="20"/>
              </w:rPr>
            </w:pPr>
            <w:r>
              <w:rPr>
                <w:sz w:val="20"/>
                <w:szCs w:val="20"/>
              </w:rPr>
              <w:t>1,368</w:t>
            </w:r>
          </w:p>
        </w:tc>
      </w:tr>
      <w:tr w:rsidRPr="000C763A" w:rsidR="00E65A37" w:rsidTr="00B86DFA">
        <w:trPr>
          <w:cantSplit/>
          <w:trHeight w:val="20"/>
        </w:trPr>
        <w:tc>
          <w:tcPr>
            <w:tcW w:w="756" w:type="pct"/>
            <w:shd w:val="clear" w:color="auto" w:fill="auto"/>
          </w:tcPr>
          <w:p w:rsidRPr="000C763A" w:rsidR="00E65A37" w:rsidP="00973610" w:rsidRDefault="000C763A">
            <w:pPr>
              <w:keepNext/>
              <w:rPr>
                <w:sz w:val="20"/>
                <w:szCs w:val="20"/>
              </w:rPr>
            </w:pPr>
            <w:r w:rsidRPr="000C763A">
              <w:rPr>
                <w:sz w:val="20"/>
                <w:szCs w:val="20"/>
              </w:rPr>
              <w:t>CBER</w:t>
            </w:r>
            <w:r w:rsidR="00435E9B">
              <w:rPr>
                <w:sz w:val="20"/>
                <w:szCs w:val="20"/>
              </w:rPr>
              <w:t xml:space="preserve"> 513(g) requests</w:t>
            </w:r>
          </w:p>
        </w:tc>
        <w:tc>
          <w:tcPr>
            <w:tcW w:w="753" w:type="pct"/>
            <w:shd w:val="clear" w:color="auto" w:fill="auto"/>
          </w:tcPr>
          <w:p w:rsidRPr="000C763A" w:rsidR="00E65A37" w:rsidP="00973610" w:rsidRDefault="000C763A">
            <w:pPr>
              <w:keepNext/>
              <w:jc w:val="right"/>
              <w:rPr>
                <w:sz w:val="20"/>
                <w:szCs w:val="20"/>
              </w:rPr>
            </w:pPr>
            <w:r w:rsidRPr="000C763A">
              <w:rPr>
                <w:sz w:val="20"/>
                <w:szCs w:val="20"/>
              </w:rPr>
              <w:t>4</w:t>
            </w:r>
          </w:p>
        </w:tc>
        <w:tc>
          <w:tcPr>
            <w:tcW w:w="705" w:type="pct"/>
            <w:shd w:val="clear" w:color="auto" w:fill="auto"/>
          </w:tcPr>
          <w:p w:rsidRPr="000C763A" w:rsidR="00E65A37" w:rsidP="00973610" w:rsidRDefault="000C763A">
            <w:pPr>
              <w:keepNext/>
              <w:jc w:val="right"/>
              <w:rPr>
                <w:sz w:val="20"/>
                <w:szCs w:val="20"/>
              </w:rPr>
            </w:pPr>
            <w:r w:rsidRPr="000C763A">
              <w:rPr>
                <w:sz w:val="20"/>
                <w:szCs w:val="20"/>
              </w:rPr>
              <w:t>1</w:t>
            </w:r>
          </w:p>
        </w:tc>
        <w:tc>
          <w:tcPr>
            <w:tcW w:w="944" w:type="pct"/>
            <w:shd w:val="clear" w:color="auto" w:fill="auto"/>
          </w:tcPr>
          <w:p w:rsidRPr="000C763A" w:rsidR="00E65A37" w:rsidP="00973610" w:rsidRDefault="000C763A">
            <w:pPr>
              <w:keepNext/>
              <w:jc w:val="right"/>
              <w:rPr>
                <w:sz w:val="20"/>
                <w:szCs w:val="20"/>
              </w:rPr>
            </w:pPr>
            <w:r w:rsidRPr="000C763A">
              <w:rPr>
                <w:sz w:val="20"/>
                <w:szCs w:val="20"/>
              </w:rPr>
              <w:t>4</w:t>
            </w:r>
          </w:p>
        </w:tc>
        <w:tc>
          <w:tcPr>
            <w:tcW w:w="940" w:type="pct"/>
            <w:shd w:val="clear" w:color="auto" w:fill="auto"/>
          </w:tcPr>
          <w:p w:rsidRPr="000C763A" w:rsidR="00E65A37" w:rsidP="00973610" w:rsidRDefault="000C763A">
            <w:pPr>
              <w:keepNext/>
              <w:jc w:val="right"/>
              <w:rPr>
                <w:sz w:val="20"/>
                <w:szCs w:val="20"/>
              </w:rPr>
            </w:pPr>
            <w:r w:rsidRPr="000C763A">
              <w:rPr>
                <w:sz w:val="20"/>
                <w:szCs w:val="20"/>
              </w:rPr>
              <w:t>12</w:t>
            </w:r>
          </w:p>
        </w:tc>
        <w:tc>
          <w:tcPr>
            <w:tcW w:w="902" w:type="pct"/>
            <w:shd w:val="clear" w:color="auto" w:fill="auto"/>
          </w:tcPr>
          <w:p w:rsidRPr="000C763A" w:rsidR="00E65A37" w:rsidP="00973610" w:rsidRDefault="000C763A">
            <w:pPr>
              <w:keepNext/>
              <w:jc w:val="right"/>
              <w:rPr>
                <w:sz w:val="20"/>
                <w:szCs w:val="20"/>
              </w:rPr>
            </w:pPr>
            <w:r w:rsidRPr="000C763A">
              <w:rPr>
                <w:sz w:val="20"/>
                <w:szCs w:val="20"/>
              </w:rPr>
              <w:t>48</w:t>
            </w:r>
          </w:p>
        </w:tc>
      </w:tr>
      <w:tr w:rsidRPr="000C763A" w:rsidR="000C763A" w:rsidTr="000C763A">
        <w:trPr>
          <w:cantSplit/>
          <w:trHeight w:val="20"/>
        </w:trPr>
        <w:tc>
          <w:tcPr>
            <w:tcW w:w="4098" w:type="pct"/>
            <w:gridSpan w:val="5"/>
            <w:shd w:val="clear" w:color="auto" w:fill="auto"/>
          </w:tcPr>
          <w:p w:rsidRPr="000C763A" w:rsidR="000C763A" w:rsidP="00973610" w:rsidRDefault="000C763A">
            <w:pPr>
              <w:keepNext/>
              <w:rPr>
                <w:sz w:val="20"/>
                <w:szCs w:val="20"/>
              </w:rPr>
            </w:pPr>
            <w:r w:rsidRPr="000C763A">
              <w:rPr>
                <w:sz w:val="20"/>
                <w:szCs w:val="20"/>
              </w:rPr>
              <w:t>Total</w:t>
            </w:r>
          </w:p>
        </w:tc>
        <w:tc>
          <w:tcPr>
            <w:tcW w:w="902" w:type="pct"/>
            <w:shd w:val="clear" w:color="auto" w:fill="auto"/>
          </w:tcPr>
          <w:p w:rsidRPr="000C763A" w:rsidR="000C763A" w:rsidP="00973610" w:rsidRDefault="00DA3CAD">
            <w:pPr>
              <w:keepNext/>
              <w:jc w:val="right"/>
              <w:rPr>
                <w:sz w:val="20"/>
                <w:szCs w:val="20"/>
              </w:rPr>
            </w:pPr>
            <w:r>
              <w:rPr>
                <w:sz w:val="20"/>
                <w:szCs w:val="20"/>
              </w:rPr>
              <w:t>1,416</w:t>
            </w:r>
          </w:p>
        </w:tc>
      </w:tr>
    </w:tbl>
    <w:p w:rsidR="00E65A37" w:rsidP="00E65A37" w:rsidRDefault="00E65A37">
      <w:pPr>
        <w:jc w:val="center"/>
      </w:pPr>
    </w:p>
    <w:p w:rsidR="003740BC" w:rsidP="00AE34A5" w:rsidRDefault="000C763A">
      <w:pPr>
        <w:pStyle w:val="BodyText2"/>
        <w:ind w:left="720"/>
      </w:pPr>
      <w:r>
        <w:t xml:space="preserve">The total number of annual responses is based on the average number of 513(g) requests received each year by </w:t>
      </w:r>
      <w:r w:rsidR="009F2268">
        <w:t>CDRH and CBER respectively</w:t>
      </w:r>
      <w:r>
        <w:t>.</w:t>
      </w:r>
    </w:p>
    <w:p w:rsidR="00AE34A5" w:rsidP="00A93ED9" w:rsidRDefault="00AE34A5">
      <w:pPr>
        <w:pStyle w:val="BodyText2"/>
        <w:ind w:left="360"/>
      </w:pPr>
    </w:p>
    <w:p w:rsidR="00A93ED9" w:rsidP="003461C0" w:rsidRDefault="00A93ED9">
      <w:pPr>
        <w:pStyle w:val="BodyText2"/>
        <w:ind w:left="360" w:firstLine="360"/>
      </w:pPr>
      <w:r w:rsidRPr="00C75CBF">
        <w:t xml:space="preserve">12b. </w:t>
      </w:r>
      <w:r w:rsidRPr="00C75CBF" w:rsidR="00411D11">
        <w:rPr>
          <w:u w:val="single"/>
        </w:rPr>
        <w:t>Annualized Cost Burden Estimate</w:t>
      </w:r>
    </w:p>
    <w:p w:rsidR="00A93ED9" w:rsidP="001D495A" w:rsidRDefault="00A93ED9">
      <w:pPr>
        <w:pStyle w:val="BodyText2"/>
        <w:ind w:left="720"/>
      </w:pPr>
    </w:p>
    <w:p w:rsidR="00CF356C" w:rsidP="008F123B" w:rsidRDefault="008F123B">
      <w:pPr>
        <w:ind w:left="720"/>
      </w:pPr>
      <w:r w:rsidRPr="001A1F2E">
        <w:t xml:space="preserve">The </w:t>
      </w:r>
      <w:r>
        <w:t xml:space="preserve">estimated </w:t>
      </w:r>
      <w:r w:rsidRPr="001A1F2E">
        <w:t xml:space="preserve">annual reporting cost to respondents for </w:t>
      </w:r>
      <w:r>
        <w:t>513(g) requests</w:t>
      </w:r>
      <w:r w:rsidRPr="001A1F2E">
        <w:t xml:space="preserve"> </w:t>
      </w:r>
      <w:r>
        <w:t>is $167,088</w:t>
      </w:r>
      <w:r w:rsidR="009C0AFD">
        <w:t>.</w:t>
      </w:r>
      <w:r w:rsidR="00CF356C">
        <w:t xml:space="preserve"> We updated the annual cost burden estimate based on the wage rate for a Lawyer* ($118), multiplied by the total estimated burden hours (</w:t>
      </w:r>
      <w:r>
        <w:t>1,416</w:t>
      </w:r>
      <w:r w:rsidR="00CF356C">
        <w:t>).</w:t>
      </w:r>
    </w:p>
    <w:p w:rsidR="003740BC" w:rsidP="001D495A" w:rsidRDefault="003740BC">
      <w:pPr>
        <w:pStyle w:val="BodyText2"/>
        <w:ind w:left="720"/>
      </w:pPr>
    </w:p>
    <w:p w:rsidR="003740BC" w:rsidP="001D495A" w:rsidRDefault="003740BC">
      <w:pPr>
        <w:pStyle w:val="BodyText2"/>
        <w:ind w:left="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800"/>
        <w:gridCol w:w="2394"/>
        <w:gridCol w:w="1926"/>
      </w:tblGrid>
      <w:tr w:rsidR="003740BC" w:rsidTr="00B86DFA">
        <w:tc>
          <w:tcPr>
            <w:tcW w:w="2160" w:type="dxa"/>
            <w:shd w:val="clear" w:color="auto" w:fill="auto"/>
          </w:tcPr>
          <w:p w:rsidR="003740BC" w:rsidP="00754497" w:rsidRDefault="003740BC">
            <w:r>
              <w:t>Type of Respondent</w:t>
            </w:r>
          </w:p>
        </w:tc>
        <w:tc>
          <w:tcPr>
            <w:tcW w:w="1800" w:type="dxa"/>
            <w:shd w:val="clear" w:color="auto" w:fill="auto"/>
          </w:tcPr>
          <w:p w:rsidR="003740BC" w:rsidP="00754497" w:rsidRDefault="003740BC">
            <w:r>
              <w:t>Total Burden Hours</w:t>
            </w:r>
          </w:p>
        </w:tc>
        <w:tc>
          <w:tcPr>
            <w:tcW w:w="2394" w:type="dxa"/>
            <w:shd w:val="clear" w:color="auto" w:fill="auto"/>
          </w:tcPr>
          <w:p w:rsidR="003740BC" w:rsidP="00754497" w:rsidRDefault="003740BC">
            <w:r>
              <w:t>Hourly Wage Rate</w:t>
            </w:r>
          </w:p>
        </w:tc>
        <w:tc>
          <w:tcPr>
            <w:tcW w:w="1926" w:type="dxa"/>
            <w:shd w:val="clear" w:color="auto" w:fill="auto"/>
          </w:tcPr>
          <w:p w:rsidR="003740BC" w:rsidP="00754497" w:rsidRDefault="003740BC">
            <w:r>
              <w:t>Total Respondent Costs</w:t>
            </w:r>
          </w:p>
        </w:tc>
      </w:tr>
      <w:tr w:rsidR="003740BC" w:rsidTr="00B86DFA">
        <w:tc>
          <w:tcPr>
            <w:tcW w:w="2160" w:type="dxa"/>
            <w:shd w:val="clear" w:color="auto" w:fill="auto"/>
          </w:tcPr>
          <w:p w:rsidR="003740BC" w:rsidP="00754497" w:rsidRDefault="0048021E">
            <w:r>
              <w:t xml:space="preserve">Attorney </w:t>
            </w:r>
          </w:p>
        </w:tc>
        <w:tc>
          <w:tcPr>
            <w:tcW w:w="1800" w:type="dxa"/>
            <w:shd w:val="clear" w:color="auto" w:fill="auto"/>
          </w:tcPr>
          <w:p w:rsidR="003740BC" w:rsidP="00754497" w:rsidRDefault="00DA3CAD">
            <w:r>
              <w:t>1,416</w:t>
            </w:r>
          </w:p>
        </w:tc>
        <w:tc>
          <w:tcPr>
            <w:tcW w:w="2394" w:type="dxa"/>
            <w:shd w:val="clear" w:color="auto" w:fill="auto"/>
          </w:tcPr>
          <w:p w:rsidR="003740BC" w:rsidP="00754497" w:rsidRDefault="003740BC">
            <w:r>
              <w:t>$</w:t>
            </w:r>
            <w:r w:rsidR="008F123B">
              <w:t>118</w:t>
            </w:r>
            <w:r>
              <w:t>.00</w:t>
            </w:r>
          </w:p>
        </w:tc>
        <w:tc>
          <w:tcPr>
            <w:tcW w:w="1926" w:type="dxa"/>
            <w:shd w:val="clear" w:color="auto" w:fill="auto"/>
          </w:tcPr>
          <w:p w:rsidR="003740BC" w:rsidP="009C0AFD" w:rsidRDefault="003740BC">
            <w:r>
              <w:t>$</w:t>
            </w:r>
            <w:r w:rsidR="008F123B">
              <w:t>167,088</w:t>
            </w:r>
          </w:p>
        </w:tc>
      </w:tr>
    </w:tbl>
    <w:p w:rsidR="003740BC" w:rsidP="001D495A" w:rsidRDefault="003740BC">
      <w:pPr>
        <w:pStyle w:val="BodyText2"/>
        <w:ind w:left="720"/>
      </w:pPr>
    </w:p>
    <w:p w:rsidR="008F123B" w:rsidP="008F123B" w:rsidRDefault="008F123B">
      <w:pPr>
        <w:ind w:left="720"/>
        <w:rPr>
          <w:rFonts w:eastAsia="Calibri"/>
        </w:rPr>
      </w:pPr>
      <w:r>
        <w:t>*</w:t>
      </w:r>
      <w:r w:rsidRPr="00243358">
        <w:t xml:space="preserve"> The estimated wage rate for a Lawyer is based on The Bureau of Labor Statistics (BLS) hourly wage rate of $59 for a lawyer (https://www.bls.gov/ooh/legal/lawyers.htm, accessed </w:t>
      </w:r>
      <w:r>
        <w:t>3</w:t>
      </w:r>
      <w:r w:rsidRPr="00243358">
        <w:t>-1</w:t>
      </w:r>
      <w:r>
        <w:t>9</w:t>
      </w:r>
      <w:r w:rsidRPr="00243358">
        <w:t>-2</w:t>
      </w:r>
      <w:r>
        <w:t>1</w:t>
      </w:r>
      <w:r w:rsidRPr="00243358">
        <w:t>). The hourly wage rate of $118 assumes a 40-hour work week and is rounded to the nearest dollar and has been doubled to account for benefits and overhead.</w:t>
      </w:r>
      <w:r>
        <w:t xml:space="preserve"> </w:t>
      </w:r>
    </w:p>
    <w:p w:rsidRPr="004C6979" w:rsidR="004C6979" w:rsidP="00EB7538" w:rsidRDefault="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P="003E553E" w:rsidRDefault="00350523">
      <w:pPr>
        <w:ind w:left="720"/>
      </w:pPr>
      <w:r>
        <w:lastRenderedPageBreak/>
        <w:t>There are no capital, start-up, operating</w:t>
      </w:r>
      <w:r w:rsidR="001D71A1">
        <w:t>,</w:t>
      </w:r>
      <w:r>
        <w:t xml:space="preserve"> or maintenance costs associated with this information collection.</w:t>
      </w:r>
    </w:p>
    <w:p w:rsidRPr="004C6979" w:rsidR="004C6979" w:rsidP="00C16FED" w:rsidRDefault="00EB7538">
      <w:pPr>
        <w:keepNext/>
        <w:numPr>
          <w:ilvl w:val="0"/>
          <w:numId w:val="1"/>
        </w:numPr>
        <w:spacing w:before="100" w:beforeAutospacing="1" w:after="100" w:afterAutospacing="1"/>
        <w:rPr>
          <w:u w:val="single"/>
        </w:rPr>
      </w:pPr>
      <w:r w:rsidRPr="004C6979">
        <w:rPr>
          <w:u w:val="single"/>
        </w:rPr>
        <w:t>Annualized Cost to the Federal Government</w:t>
      </w:r>
    </w:p>
    <w:p w:rsidRPr="00EE3B89" w:rsidR="008F123B" w:rsidP="008F123B" w:rsidRDefault="008F123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80"/>
        </w:tabs>
        <w:ind w:left="720"/>
      </w:pPr>
      <w:r>
        <w:t xml:space="preserve">We estimate the annualized cost to the Federal government is $539,496. </w:t>
      </w:r>
      <w:r w:rsidRPr="00EE3B89">
        <w:t>A</w:t>
      </w:r>
      <w:r>
        <w:t xml:space="preserve"> full-time equivalent position</w:t>
      </w:r>
      <w:r w:rsidRPr="00EE3B89">
        <w:t xml:space="preserve"> </w:t>
      </w:r>
      <w:r>
        <w:t>(</w:t>
      </w:r>
      <w:r w:rsidRPr="00EE3B89">
        <w:t>FTE</w:t>
      </w:r>
      <w:r>
        <w:t>)</w:t>
      </w:r>
      <w:r w:rsidRPr="00EE3B89">
        <w:t xml:space="preserve"> is </w:t>
      </w:r>
      <w:r>
        <w:t>estimated to cost FDA/CDRH $263,326</w:t>
      </w:r>
      <w:r w:rsidRPr="00EE3B89">
        <w:t>*</w:t>
      </w:r>
      <w:r>
        <w:t xml:space="preserve"> annually,</w:t>
      </w:r>
      <w:r w:rsidRPr="00EE3B89">
        <w:t xml:space="preserve"> which consists of the employee’s salary and any overhead which accompanies that employee. </w:t>
      </w:r>
      <w:r>
        <w:t xml:space="preserve">Assuming a 40-hour work week, that equals approximately $127 per hour (rounded). FDA personnel spend approximately 36 hours reviewing 513(g) requests for approximately 118 responses annually </w:t>
      </w:r>
      <w:r w:rsidR="00766E0E">
        <w:t>(</w:t>
      </w:r>
      <w:r>
        <w:t xml:space="preserve">36 hours x 118 responses = </w:t>
      </w:r>
      <w:r w:rsidR="00766E0E">
        <w:t>4,248 burden hours</w:t>
      </w:r>
      <w:r>
        <w:t>).</w:t>
      </w:r>
      <w:r w:rsidR="00766E0E">
        <w:t xml:space="preserve"> </w:t>
      </w:r>
      <w:r w:rsidR="00A86B1A">
        <w:t xml:space="preserve">Therefore, $539,496 is the annualized cost to the Federal government </w:t>
      </w:r>
      <w:r w:rsidR="00766E0E">
        <w:t xml:space="preserve">(4,248 burden hours x $127=$539,496). </w:t>
      </w:r>
    </w:p>
    <w:p w:rsidR="009C0AFD" w:rsidP="008F123B" w:rsidRDefault="009C0AFD">
      <w:pPr>
        <w:pStyle w:val="BodyText2"/>
      </w:pPr>
    </w:p>
    <w:p w:rsidR="008F123B" w:rsidP="008F123B" w:rsidRDefault="008F123B">
      <w:pPr>
        <w:spacing w:after="200"/>
        <w:ind w:firstLine="720"/>
        <w:rPr>
          <w:rFonts w:eastAsia="Calibri"/>
        </w:rPr>
      </w:pPr>
      <w:r w:rsidRPr="00581B3D">
        <w:rPr>
          <w:sz w:val="20"/>
        </w:rPr>
        <w:t xml:space="preserve">*Based on the </w:t>
      </w:r>
      <w:hyperlink w:history="1" r:id="rId8">
        <w:r w:rsidRPr="00FF5A5D">
          <w:rPr>
            <w:rStyle w:val="Hyperlink"/>
            <w:sz w:val="20"/>
            <w:szCs w:val="20"/>
          </w:rPr>
          <w:t>FY 2020 FDA Budget Request – Executive Summary – All  Table</w:t>
        </w:r>
      </w:hyperlink>
      <w:r w:rsidRPr="00357C8A">
        <w:rPr>
          <w:rFonts w:eastAsia="Calibri"/>
        </w:rPr>
        <w:t xml:space="preserv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1890"/>
        <w:gridCol w:w="1944"/>
        <w:gridCol w:w="1926"/>
      </w:tblGrid>
      <w:tr w:rsidR="00766E0E" w:rsidTr="00A97517">
        <w:tc>
          <w:tcPr>
            <w:tcW w:w="2520" w:type="dxa"/>
            <w:shd w:val="clear" w:color="auto" w:fill="auto"/>
          </w:tcPr>
          <w:p w:rsidR="00766E0E" w:rsidP="00766E0E" w:rsidRDefault="00766E0E">
            <w:pPr>
              <w:jc w:val="center"/>
            </w:pPr>
            <w:r>
              <w:br/>
            </w:r>
            <w:r w:rsidRPr="00355B62">
              <w:t>Activit</w:t>
            </w:r>
            <w:r>
              <w:t>y</w:t>
            </w:r>
            <w:r>
              <w:br/>
            </w:r>
          </w:p>
        </w:tc>
        <w:tc>
          <w:tcPr>
            <w:tcW w:w="1890" w:type="dxa"/>
            <w:shd w:val="clear" w:color="auto" w:fill="auto"/>
          </w:tcPr>
          <w:p w:rsidR="00766E0E" w:rsidP="00A97517" w:rsidRDefault="00766E0E">
            <w:pPr>
              <w:jc w:val="center"/>
            </w:pPr>
            <w:r>
              <w:t>Total Burden Hours</w:t>
            </w:r>
          </w:p>
        </w:tc>
        <w:tc>
          <w:tcPr>
            <w:tcW w:w="1944" w:type="dxa"/>
            <w:shd w:val="clear" w:color="auto" w:fill="auto"/>
          </w:tcPr>
          <w:p w:rsidR="00766E0E" w:rsidP="00A97517" w:rsidRDefault="00766E0E">
            <w:pPr>
              <w:jc w:val="center"/>
            </w:pPr>
            <w:r>
              <w:t>Hourly Wage Rate</w:t>
            </w:r>
          </w:p>
        </w:tc>
        <w:tc>
          <w:tcPr>
            <w:tcW w:w="1926" w:type="dxa"/>
            <w:shd w:val="clear" w:color="auto" w:fill="auto"/>
          </w:tcPr>
          <w:p w:rsidR="00766E0E" w:rsidP="00A97517" w:rsidRDefault="00766E0E">
            <w:pPr>
              <w:jc w:val="center"/>
            </w:pPr>
            <w:r>
              <w:t>Total Respondent Costs</w:t>
            </w:r>
          </w:p>
        </w:tc>
      </w:tr>
      <w:tr w:rsidR="00766E0E" w:rsidTr="00A97517">
        <w:tc>
          <w:tcPr>
            <w:tcW w:w="2520" w:type="dxa"/>
            <w:shd w:val="clear" w:color="auto" w:fill="auto"/>
          </w:tcPr>
          <w:p w:rsidR="00766E0E" w:rsidP="00A97517" w:rsidRDefault="00766E0E">
            <w:r w:rsidRPr="009C0AFD">
              <w:rPr>
                <w:sz w:val="20"/>
                <w:szCs w:val="20"/>
              </w:rPr>
              <w:t>513(g) Request; Supplemental Information</w:t>
            </w:r>
            <w:r>
              <w:rPr>
                <w:sz w:val="20"/>
                <w:szCs w:val="20"/>
              </w:rPr>
              <w:t xml:space="preserve"> review</w:t>
            </w:r>
          </w:p>
        </w:tc>
        <w:tc>
          <w:tcPr>
            <w:tcW w:w="1890" w:type="dxa"/>
            <w:shd w:val="clear" w:color="auto" w:fill="auto"/>
          </w:tcPr>
          <w:p w:rsidR="00766E0E" w:rsidP="00766E0E" w:rsidRDefault="00766E0E">
            <w:pPr>
              <w:jc w:val="center"/>
            </w:pPr>
            <w:r>
              <w:t>4,248</w:t>
            </w:r>
          </w:p>
        </w:tc>
        <w:tc>
          <w:tcPr>
            <w:tcW w:w="1944" w:type="dxa"/>
            <w:shd w:val="clear" w:color="auto" w:fill="auto"/>
          </w:tcPr>
          <w:p w:rsidR="00766E0E" w:rsidP="00766E0E" w:rsidRDefault="00A86B1A">
            <w:pPr>
              <w:jc w:val="center"/>
            </w:pPr>
            <w:r>
              <w:t>$</w:t>
            </w:r>
            <w:r w:rsidR="00766E0E">
              <w:t>127</w:t>
            </w:r>
          </w:p>
        </w:tc>
        <w:tc>
          <w:tcPr>
            <w:tcW w:w="1926" w:type="dxa"/>
            <w:shd w:val="clear" w:color="auto" w:fill="auto"/>
          </w:tcPr>
          <w:p w:rsidR="00766E0E" w:rsidP="00766E0E" w:rsidRDefault="00766E0E">
            <w:pPr>
              <w:jc w:val="center"/>
            </w:pPr>
            <w:r>
              <w:t>$539,496</w:t>
            </w:r>
          </w:p>
        </w:tc>
      </w:tr>
    </w:tbl>
    <w:p w:rsidR="009C0AFD" w:rsidP="009C1CA2" w:rsidRDefault="009C0AFD">
      <w:pPr>
        <w:pStyle w:val="BodyText2"/>
      </w:pPr>
    </w:p>
    <w:p w:rsidRPr="004C6979" w:rsidR="004C6979" w:rsidP="00EB7538" w:rsidRDefault="00EB7538">
      <w:pPr>
        <w:numPr>
          <w:ilvl w:val="0"/>
          <w:numId w:val="1"/>
        </w:numPr>
        <w:spacing w:before="100" w:beforeAutospacing="1" w:after="100" w:afterAutospacing="1"/>
        <w:rPr>
          <w:u w:val="single"/>
        </w:rPr>
      </w:pPr>
      <w:r w:rsidRPr="004C6979">
        <w:rPr>
          <w:u w:val="single"/>
        </w:rPr>
        <w:t>Explanation for Program Changes or Adjustments</w:t>
      </w:r>
    </w:p>
    <w:p w:rsidR="009F66B5" w:rsidP="00AE34A5" w:rsidRDefault="009F2268">
      <w:pPr>
        <w:ind w:firstLine="720"/>
      </w:pPr>
      <w:r>
        <w:t>The information collection is unchanged from the currently approved burden.</w:t>
      </w:r>
      <w:r w:rsidR="006C44E9">
        <w:t xml:space="preserve"> </w:t>
      </w:r>
    </w:p>
    <w:p w:rsidRPr="004C6979" w:rsidR="004C6979" w:rsidP="00EB7538" w:rsidRDefault="00EB7538">
      <w:pPr>
        <w:numPr>
          <w:ilvl w:val="0"/>
          <w:numId w:val="1"/>
        </w:numPr>
        <w:spacing w:before="100" w:beforeAutospacing="1" w:after="100" w:afterAutospacing="1"/>
        <w:rPr>
          <w:u w:val="single"/>
        </w:rPr>
      </w:pPr>
      <w:r w:rsidRPr="004C6979">
        <w:rPr>
          <w:u w:val="single"/>
        </w:rPr>
        <w:t>Plans for Tabulation and Publication and Project Time Schedule</w:t>
      </w:r>
    </w:p>
    <w:p w:rsidR="003C4EBB" w:rsidP="009C0AFD" w:rsidRDefault="009C0AFD">
      <w:pPr>
        <w:ind w:left="720"/>
      </w:pPr>
      <w:r>
        <w:t>There are no tabulated results to publish for this information collection.</w:t>
      </w:r>
      <w:r w:rsidR="006A7D5D">
        <w:t xml:space="preserve"> </w:t>
      </w:r>
    </w:p>
    <w:p w:rsidRPr="004C6979" w:rsidR="004C6979" w:rsidP="00EB7538" w:rsidRDefault="00EB7538">
      <w:pPr>
        <w:numPr>
          <w:ilvl w:val="0"/>
          <w:numId w:val="1"/>
        </w:numPr>
        <w:spacing w:before="100" w:beforeAutospacing="1" w:after="100" w:afterAutospacing="1"/>
        <w:rPr>
          <w:u w:val="single"/>
        </w:rPr>
      </w:pPr>
      <w:r w:rsidRPr="004C6979">
        <w:rPr>
          <w:u w:val="single"/>
        </w:rPr>
        <w:t>Reason(s) Display of OMB Expiration Date is Inappropriate</w:t>
      </w:r>
    </w:p>
    <w:p w:rsidRPr="009F2268" w:rsidR="004C6979" w:rsidP="00D730BF" w:rsidRDefault="009F2268">
      <w:pPr>
        <w:ind w:left="720"/>
      </w:pPr>
      <w:r w:rsidRPr="009F2268">
        <w:t>FDA will display the OMB expiration date as required by 5 CFR 1320.5.</w:t>
      </w:r>
    </w:p>
    <w:p w:rsidR="00EB7538" w:rsidP="00EB7538" w:rsidRDefault="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P="00D730BF" w:rsidRDefault="009C0AFD">
      <w:pPr>
        <w:spacing w:before="100" w:beforeAutospacing="1" w:after="100" w:afterAutospacing="1"/>
        <w:ind w:left="720"/>
      </w:pPr>
      <w:r>
        <w:t>T</w:t>
      </w:r>
      <w:r w:rsidR="00754497">
        <w:t>here are no e</w:t>
      </w:r>
      <w:r>
        <w:t>xceptions to the certification.</w:t>
      </w:r>
    </w:p>
    <w:sectPr w:rsidR="00E00EA0"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817" w:rsidRDefault="00D02817">
      <w:r>
        <w:separator/>
      </w:r>
    </w:p>
  </w:endnote>
  <w:endnote w:type="continuationSeparator" w:id="0">
    <w:p w:rsidR="00D02817" w:rsidRDefault="00D0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CE1" w:rsidRDefault="00836CE1"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6CE1" w:rsidRDefault="00836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CE1" w:rsidRDefault="00836CE1"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5D94">
      <w:rPr>
        <w:rStyle w:val="PageNumber"/>
        <w:noProof/>
      </w:rPr>
      <w:t>1</w:t>
    </w:r>
    <w:r>
      <w:rPr>
        <w:rStyle w:val="PageNumber"/>
      </w:rPr>
      <w:fldChar w:fldCharType="end"/>
    </w:r>
  </w:p>
  <w:p w:rsidR="00836CE1" w:rsidRDefault="00836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817" w:rsidRDefault="00D02817">
      <w:r>
        <w:separator/>
      </w:r>
    </w:p>
  </w:footnote>
  <w:footnote w:type="continuationSeparator" w:id="0">
    <w:p w:rsidR="00D02817" w:rsidRDefault="00D02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DFB"/>
    <w:rsid w:val="00013668"/>
    <w:rsid w:val="00044E18"/>
    <w:rsid w:val="00050E83"/>
    <w:rsid w:val="0006570F"/>
    <w:rsid w:val="0007490E"/>
    <w:rsid w:val="00081B90"/>
    <w:rsid w:val="000B20F0"/>
    <w:rsid w:val="000B60D3"/>
    <w:rsid w:val="000C763A"/>
    <w:rsid w:val="000D48FD"/>
    <w:rsid w:val="000E1C64"/>
    <w:rsid w:val="00100739"/>
    <w:rsid w:val="00107885"/>
    <w:rsid w:val="00107E26"/>
    <w:rsid w:val="00114FC4"/>
    <w:rsid w:val="0012329C"/>
    <w:rsid w:val="00134FA7"/>
    <w:rsid w:val="00135354"/>
    <w:rsid w:val="00137950"/>
    <w:rsid w:val="001514FC"/>
    <w:rsid w:val="00152F29"/>
    <w:rsid w:val="00153C39"/>
    <w:rsid w:val="00160945"/>
    <w:rsid w:val="00163BFC"/>
    <w:rsid w:val="00166143"/>
    <w:rsid w:val="00172A9A"/>
    <w:rsid w:val="0018442A"/>
    <w:rsid w:val="00185270"/>
    <w:rsid w:val="001857F2"/>
    <w:rsid w:val="00185F56"/>
    <w:rsid w:val="001A3B5A"/>
    <w:rsid w:val="001B546E"/>
    <w:rsid w:val="001B7CE9"/>
    <w:rsid w:val="001C3A6C"/>
    <w:rsid w:val="001D495A"/>
    <w:rsid w:val="001D71A1"/>
    <w:rsid w:val="001F43A8"/>
    <w:rsid w:val="00222729"/>
    <w:rsid w:val="002259EF"/>
    <w:rsid w:val="00242ED1"/>
    <w:rsid w:val="00254069"/>
    <w:rsid w:val="002665E7"/>
    <w:rsid w:val="002734E5"/>
    <w:rsid w:val="0027450C"/>
    <w:rsid w:val="002746DB"/>
    <w:rsid w:val="002750A1"/>
    <w:rsid w:val="00280CAF"/>
    <w:rsid w:val="00282F09"/>
    <w:rsid w:val="002B26A0"/>
    <w:rsid w:val="002D14D8"/>
    <w:rsid w:val="002D4799"/>
    <w:rsid w:val="002E3FA4"/>
    <w:rsid w:val="003026AF"/>
    <w:rsid w:val="00305DBD"/>
    <w:rsid w:val="00313502"/>
    <w:rsid w:val="0032277F"/>
    <w:rsid w:val="00334221"/>
    <w:rsid w:val="003461C0"/>
    <w:rsid w:val="00350523"/>
    <w:rsid w:val="0035737F"/>
    <w:rsid w:val="0037053C"/>
    <w:rsid w:val="003740BC"/>
    <w:rsid w:val="003801A3"/>
    <w:rsid w:val="00383D90"/>
    <w:rsid w:val="003968C7"/>
    <w:rsid w:val="003A2688"/>
    <w:rsid w:val="003A47D5"/>
    <w:rsid w:val="003A7C79"/>
    <w:rsid w:val="003B12E5"/>
    <w:rsid w:val="003B3C20"/>
    <w:rsid w:val="003B42B3"/>
    <w:rsid w:val="003B6384"/>
    <w:rsid w:val="003C4EBB"/>
    <w:rsid w:val="003D1531"/>
    <w:rsid w:val="003D7271"/>
    <w:rsid w:val="003E0850"/>
    <w:rsid w:val="003E4EC6"/>
    <w:rsid w:val="003E527E"/>
    <w:rsid w:val="003E553E"/>
    <w:rsid w:val="003E7078"/>
    <w:rsid w:val="003F3DF5"/>
    <w:rsid w:val="003F6B58"/>
    <w:rsid w:val="00411D11"/>
    <w:rsid w:val="00412112"/>
    <w:rsid w:val="00413E3C"/>
    <w:rsid w:val="00415E23"/>
    <w:rsid w:val="00421569"/>
    <w:rsid w:val="00424061"/>
    <w:rsid w:val="0043449E"/>
    <w:rsid w:val="00435E9B"/>
    <w:rsid w:val="00443969"/>
    <w:rsid w:val="00447D74"/>
    <w:rsid w:val="00450A74"/>
    <w:rsid w:val="00465350"/>
    <w:rsid w:val="00465B10"/>
    <w:rsid w:val="0048021E"/>
    <w:rsid w:val="004846BF"/>
    <w:rsid w:val="004A1D45"/>
    <w:rsid w:val="004A3D2F"/>
    <w:rsid w:val="004A64DF"/>
    <w:rsid w:val="004C0420"/>
    <w:rsid w:val="004C6979"/>
    <w:rsid w:val="004D3E7A"/>
    <w:rsid w:val="004D7E48"/>
    <w:rsid w:val="0050751D"/>
    <w:rsid w:val="00522480"/>
    <w:rsid w:val="005244C0"/>
    <w:rsid w:val="005270E4"/>
    <w:rsid w:val="00533F11"/>
    <w:rsid w:val="00542D2D"/>
    <w:rsid w:val="00544138"/>
    <w:rsid w:val="00556384"/>
    <w:rsid w:val="00584583"/>
    <w:rsid w:val="00592540"/>
    <w:rsid w:val="005A4099"/>
    <w:rsid w:val="005C38B2"/>
    <w:rsid w:val="005C5029"/>
    <w:rsid w:val="005C55C2"/>
    <w:rsid w:val="005D4DF5"/>
    <w:rsid w:val="005F0753"/>
    <w:rsid w:val="005F415D"/>
    <w:rsid w:val="005F5A4C"/>
    <w:rsid w:val="005F5BC6"/>
    <w:rsid w:val="00611D6B"/>
    <w:rsid w:val="00683F1C"/>
    <w:rsid w:val="006A26C6"/>
    <w:rsid w:val="006A5D22"/>
    <w:rsid w:val="006A7D5D"/>
    <w:rsid w:val="006B60E6"/>
    <w:rsid w:val="006C44E9"/>
    <w:rsid w:val="006F0179"/>
    <w:rsid w:val="006F4D6D"/>
    <w:rsid w:val="00705086"/>
    <w:rsid w:val="00754497"/>
    <w:rsid w:val="00766E0E"/>
    <w:rsid w:val="007879F0"/>
    <w:rsid w:val="00787C39"/>
    <w:rsid w:val="00795DF3"/>
    <w:rsid w:val="007A373C"/>
    <w:rsid w:val="007A5832"/>
    <w:rsid w:val="007B225C"/>
    <w:rsid w:val="007B2D0A"/>
    <w:rsid w:val="007C1E08"/>
    <w:rsid w:val="007C69FC"/>
    <w:rsid w:val="007C75B1"/>
    <w:rsid w:val="007D2285"/>
    <w:rsid w:val="007D3DFC"/>
    <w:rsid w:val="007E09AC"/>
    <w:rsid w:val="00805372"/>
    <w:rsid w:val="00805E7D"/>
    <w:rsid w:val="0080776D"/>
    <w:rsid w:val="00810145"/>
    <w:rsid w:val="008108FA"/>
    <w:rsid w:val="00810FF1"/>
    <w:rsid w:val="00822336"/>
    <w:rsid w:val="00823DFA"/>
    <w:rsid w:val="00836CE1"/>
    <w:rsid w:val="00843752"/>
    <w:rsid w:val="0085638D"/>
    <w:rsid w:val="00864498"/>
    <w:rsid w:val="008772DA"/>
    <w:rsid w:val="00881E2C"/>
    <w:rsid w:val="00885B09"/>
    <w:rsid w:val="00892400"/>
    <w:rsid w:val="00894133"/>
    <w:rsid w:val="008A209D"/>
    <w:rsid w:val="008B0E29"/>
    <w:rsid w:val="008B0EFA"/>
    <w:rsid w:val="008B30AB"/>
    <w:rsid w:val="008B5EBD"/>
    <w:rsid w:val="008C72D7"/>
    <w:rsid w:val="008E1BFE"/>
    <w:rsid w:val="008E5CAC"/>
    <w:rsid w:val="008E79F6"/>
    <w:rsid w:val="008F123B"/>
    <w:rsid w:val="00905DEF"/>
    <w:rsid w:val="009072C3"/>
    <w:rsid w:val="00907894"/>
    <w:rsid w:val="00913B43"/>
    <w:rsid w:val="00915D94"/>
    <w:rsid w:val="00930203"/>
    <w:rsid w:val="009311D2"/>
    <w:rsid w:val="00931275"/>
    <w:rsid w:val="00936AC7"/>
    <w:rsid w:val="009404A2"/>
    <w:rsid w:val="00946AC1"/>
    <w:rsid w:val="00952078"/>
    <w:rsid w:val="00973610"/>
    <w:rsid w:val="009A1674"/>
    <w:rsid w:val="009A6C52"/>
    <w:rsid w:val="009B6827"/>
    <w:rsid w:val="009C0AFD"/>
    <w:rsid w:val="009C1CA2"/>
    <w:rsid w:val="009C684F"/>
    <w:rsid w:val="009D074C"/>
    <w:rsid w:val="009F2268"/>
    <w:rsid w:val="009F2B4F"/>
    <w:rsid w:val="009F66B5"/>
    <w:rsid w:val="00A07B22"/>
    <w:rsid w:val="00A20A7D"/>
    <w:rsid w:val="00A35D42"/>
    <w:rsid w:val="00A46CCF"/>
    <w:rsid w:val="00A70426"/>
    <w:rsid w:val="00A86455"/>
    <w:rsid w:val="00A86B1A"/>
    <w:rsid w:val="00A91E9A"/>
    <w:rsid w:val="00A93ED9"/>
    <w:rsid w:val="00A97517"/>
    <w:rsid w:val="00AA4D7D"/>
    <w:rsid w:val="00AB588C"/>
    <w:rsid w:val="00AC0589"/>
    <w:rsid w:val="00AC6A99"/>
    <w:rsid w:val="00AE34A5"/>
    <w:rsid w:val="00B03FB4"/>
    <w:rsid w:val="00B04745"/>
    <w:rsid w:val="00B055EF"/>
    <w:rsid w:val="00B23769"/>
    <w:rsid w:val="00B86DFA"/>
    <w:rsid w:val="00B936D0"/>
    <w:rsid w:val="00BB1F37"/>
    <w:rsid w:val="00BE3600"/>
    <w:rsid w:val="00BE49B2"/>
    <w:rsid w:val="00C01F6F"/>
    <w:rsid w:val="00C149AB"/>
    <w:rsid w:val="00C16FED"/>
    <w:rsid w:val="00C40694"/>
    <w:rsid w:val="00C446CD"/>
    <w:rsid w:val="00C5066E"/>
    <w:rsid w:val="00C521CC"/>
    <w:rsid w:val="00C65C0C"/>
    <w:rsid w:val="00C70542"/>
    <w:rsid w:val="00C73CFD"/>
    <w:rsid w:val="00C75CBF"/>
    <w:rsid w:val="00C91BDA"/>
    <w:rsid w:val="00CA588A"/>
    <w:rsid w:val="00CA77D6"/>
    <w:rsid w:val="00CC2894"/>
    <w:rsid w:val="00CD5ED6"/>
    <w:rsid w:val="00CD77C3"/>
    <w:rsid w:val="00CE112C"/>
    <w:rsid w:val="00CE31C5"/>
    <w:rsid w:val="00CF356C"/>
    <w:rsid w:val="00D02817"/>
    <w:rsid w:val="00D23389"/>
    <w:rsid w:val="00D608DA"/>
    <w:rsid w:val="00D60FB8"/>
    <w:rsid w:val="00D730BF"/>
    <w:rsid w:val="00D82EE5"/>
    <w:rsid w:val="00D84910"/>
    <w:rsid w:val="00DA3CAD"/>
    <w:rsid w:val="00DA414B"/>
    <w:rsid w:val="00DB1510"/>
    <w:rsid w:val="00DC76C7"/>
    <w:rsid w:val="00DD09F5"/>
    <w:rsid w:val="00DD4201"/>
    <w:rsid w:val="00DD5B0D"/>
    <w:rsid w:val="00DD5C47"/>
    <w:rsid w:val="00DE30AB"/>
    <w:rsid w:val="00DE5711"/>
    <w:rsid w:val="00DE70D7"/>
    <w:rsid w:val="00DF19E7"/>
    <w:rsid w:val="00DF419B"/>
    <w:rsid w:val="00DF4EE5"/>
    <w:rsid w:val="00E00EA0"/>
    <w:rsid w:val="00E05FF2"/>
    <w:rsid w:val="00E26758"/>
    <w:rsid w:val="00E4357B"/>
    <w:rsid w:val="00E554B1"/>
    <w:rsid w:val="00E63DE5"/>
    <w:rsid w:val="00E64642"/>
    <w:rsid w:val="00E65A37"/>
    <w:rsid w:val="00E77B48"/>
    <w:rsid w:val="00E815F6"/>
    <w:rsid w:val="00E91799"/>
    <w:rsid w:val="00EA34E3"/>
    <w:rsid w:val="00EB7538"/>
    <w:rsid w:val="00EF3DAF"/>
    <w:rsid w:val="00EF4E58"/>
    <w:rsid w:val="00F05163"/>
    <w:rsid w:val="00F05EF9"/>
    <w:rsid w:val="00F10FF3"/>
    <w:rsid w:val="00F1142E"/>
    <w:rsid w:val="00F207A4"/>
    <w:rsid w:val="00F355AC"/>
    <w:rsid w:val="00F42317"/>
    <w:rsid w:val="00F459C9"/>
    <w:rsid w:val="00F518E0"/>
    <w:rsid w:val="00F619DF"/>
    <w:rsid w:val="00F64544"/>
    <w:rsid w:val="00F65FCF"/>
    <w:rsid w:val="00F71A5A"/>
    <w:rsid w:val="00F75B7B"/>
    <w:rsid w:val="00F769E0"/>
    <w:rsid w:val="00F90069"/>
    <w:rsid w:val="00F957DE"/>
    <w:rsid w:val="00FA55AC"/>
    <w:rsid w:val="00FA5AB3"/>
    <w:rsid w:val="00FC6BDE"/>
    <w:rsid w:val="00FD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257A93E"/>
  <w15:chartTrackingRefBased/>
  <w15:docId w15:val="{88816408-8902-401A-8E3E-9D7D1517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5F0753"/>
    <w:rPr>
      <w:sz w:val="16"/>
      <w:szCs w:val="16"/>
    </w:rPr>
  </w:style>
  <w:style w:type="paragraph" w:styleId="CommentText">
    <w:name w:val="annotation text"/>
    <w:basedOn w:val="Normal"/>
    <w:link w:val="CommentTextChar"/>
    <w:rsid w:val="005F0753"/>
    <w:rPr>
      <w:sz w:val="20"/>
      <w:szCs w:val="20"/>
    </w:rPr>
  </w:style>
  <w:style w:type="character" w:customStyle="1" w:styleId="CommentTextChar">
    <w:name w:val="Comment Text Char"/>
    <w:basedOn w:val="DefaultParagraphFont"/>
    <w:link w:val="CommentText"/>
    <w:rsid w:val="005F0753"/>
  </w:style>
  <w:style w:type="paragraph" w:styleId="CommentSubject">
    <w:name w:val="annotation subject"/>
    <w:basedOn w:val="CommentText"/>
    <w:next w:val="CommentText"/>
    <w:link w:val="CommentSubjectChar"/>
    <w:rsid w:val="005F0753"/>
    <w:rPr>
      <w:b/>
      <w:bCs/>
    </w:rPr>
  </w:style>
  <w:style w:type="character" w:customStyle="1" w:styleId="CommentSubjectChar">
    <w:name w:val="Comment Subject Char"/>
    <w:link w:val="CommentSubject"/>
    <w:rsid w:val="005F0753"/>
    <w:rPr>
      <w:b/>
      <w:bCs/>
    </w:rPr>
  </w:style>
  <w:style w:type="character" w:customStyle="1" w:styleId="hvr">
    <w:name w:val="hvr"/>
    <w:rsid w:val="00DF19E7"/>
  </w:style>
  <w:style w:type="paragraph" w:styleId="Header">
    <w:name w:val="header"/>
    <w:basedOn w:val="Normal"/>
    <w:link w:val="HeaderChar"/>
    <w:rsid w:val="006A5D22"/>
    <w:pPr>
      <w:tabs>
        <w:tab w:val="center" w:pos="4680"/>
        <w:tab w:val="right" w:pos="9360"/>
      </w:tabs>
    </w:pPr>
  </w:style>
  <w:style w:type="character" w:customStyle="1" w:styleId="HeaderChar">
    <w:name w:val="Header Char"/>
    <w:link w:val="Header"/>
    <w:rsid w:val="006A5D22"/>
    <w:rPr>
      <w:sz w:val="24"/>
      <w:szCs w:val="24"/>
    </w:rPr>
  </w:style>
  <w:style w:type="character" w:customStyle="1" w:styleId="FooterChar">
    <w:name w:val="Footer Char"/>
    <w:link w:val="Footer"/>
    <w:uiPriority w:val="99"/>
    <w:rsid w:val="006A5D22"/>
    <w:rPr>
      <w:sz w:val="24"/>
      <w:szCs w:val="24"/>
    </w:rPr>
  </w:style>
  <w:style w:type="character" w:styleId="Hyperlink">
    <w:name w:val="Hyperlink"/>
    <w:rsid w:val="00D82EE5"/>
    <w:rPr>
      <w:color w:val="0000FF"/>
      <w:u w:val="single"/>
    </w:rPr>
  </w:style>
  <w:style w:type="paragraph" w:styleId="Revision">
    <w:name w:val="Revision"/>
    <w:hidden/>
    <w:uiPriority w:val="99"/>
    <w:semiHidden/>
    <w:rsid w:val="00DD5B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29559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a/121408/downlo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F49BE-B1E9-4434-B2C5-A71A1824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11072</CharactersWithSpaces>
  <SharedDoc>false</SharedDoc>
  <HLinks>
    <vt:vector size="6" baseType="variant">
      <vt:variant>
        <vt:i4>4259919</vt:i4>
      </vt:variant>
      <vt:variant>
        <vt:i4>0</vt:i4>
      </vt:variant>
      <vt:variant>
        <vt:i4>0</vt:i4>
      </vt:variant>
      <vt:variant>
        <vt:i4>5</vt:i4>
      </vt:variant>
      <vt:variant>
        <vt:lpwstr>https://www.fda.gov/media/121408/download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2</cp:revision>
  <cp:lastPrinted>2018-04-03T18:23:00Z</cp:lastPrinted>
  <dcterms:created xsi:type="dcterms:W3CDTF">2021-05-05T14:58:00Z</dcterms:created>
  <dcterms:modified xsi:type="dcterms:W3CDTF">2021-05-05T14:58:00Z</dcterms:modified>
</cp:coreProperties>
</file>