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795E00" w:rsidRDefault="00795E00" w14:paraId="17338AC5" w14:textId="763FA11A">
      <w:pPr>
        <w:jc w:val="center"/>
        <w:rPr>
          <w:rFonts w:eastAsia="Calibri"/>
        </w:rPr>
      </w:pPr>
      <w:r w:rsidRPr="00357C8A">
        <w:rPr>
          <w:rFonts w:eastAsia="Calibri"/>
        </w:rPr>
        <w:t xml:space="preserve">UNITED STATES FOOD </w:t>
      </w:r>
      <w:r>
        <w:rPr>
          <w:rFonts w:eastAsia="Calibri"/>
        </w:rPr>
        <w:t xml:space="preserve">&amp; DRUG </w:t>
      </w:r>
      <w:r w:rsidRPr="00357C8A">
        <w:rPr>
          <w:rFonts w:eastAsia="Calibri"/>
        </w:rPr>
        <w:t>ADMINISTRATION</w:t>
      </w:r>
    </w:p>
    <w:p w:rsidR="00357C8A" w:rsidP="00795E00" w:rsidRDefault="00357C8A" w14:paraId="2F5F5C8B" w14:textId="77777777">
      <w:pPr>
        <w:jc w:val="center"/>
        <w:rPr>
          <w:rFonts w:eastAsia="Calibri"/>
        </w:rPr>
      </w:pPr>
    </w:p>
    <w:p w:rsidRPr="00077E3F" w:rsidR="00077E3F" w:rsidP="00795E00" w:rsidRDefault="00077E3F" w14:paraId="786E0414" w14:textId="77777777">
      <w:pPr>
        <w:jc w:val="center"/>
        <w:rPr>
          <w:rFonts w:eastAsia="Calibri"/>
        </w:rPr>
      </w:pPr>
      <w:r w:rsidRPr="00077E3F">
        <w:rPr>
          <w:rFonts w:eastAsia="Calibri"/>
        </w:rPr>
        <w:t>Infant Formula Requirements Under the Federal Food,</w:t>
      </w:r>
    </w:p>
    <w:p w:rsidRPr="00077E3F" w:rsidR="00077E3F" w:rsidP="00795E00" w:rsidRDefault="00077E3F" w14:paraId="2F9F6D53" w14:textId="77777777">
      <w:pPr>
        <w:jc w:val="center"/>
        <w:rPr>
          <w:rFonts w:eastAsia="Calibri"/>
        </w:rPr>
      </w:pPr>
      <w:r w:rsidRPr="00077E3F">
        <w:rPr>
          <w:rFonts w:eastAsia="Calibri"/>
        </w:rPr>
        <w:t>Drug, and Cosmetic Act; and 21 CFR Parts 106 and 107</w:t>
      </w:r>
    </w:p>
    <w:p w:rsidRPr="00077E3F" w:rsidR="00077E3F" w:rsidP="00795E00" w:rsidRDefault="00077E3F" w14:paraId="1231DEF3" w14:textId="77777777">
      <w:pPr>
        <w:jc w:val="center"/>
        <w:rPr>
          <w:rFonts w:eastAsia="Calibri"/>
        </w:rPr>
      </w:pPr>
    </w:p>
    <w:p w:rsidRPr="00795E00" w:rsidR="00357C8A" w:rsidP="00795E00" w:rsidRDefault="00077E3F" w14:paraId="1E42C2EE" w14:textId="77777777">
      <w:pPr>
        <w:jc w:val="center"/>
        <w:rPr>
          <w:rFonts w:eastAsia="Calibri"/>
          <w:u w:val="single"/>
        </w:rPr>
      </w:pPr>
      <w:r w:rsidRPr="00795E00">
        <w:rPr>
          <w:rFonts w:eastAsia="Calibri"/>
          <w:u w:val="single"/>
        </w:rPr>
        <w:t>OMB Control No. 0910-0256</w:t>
      </w:r>
    </w:p>
    <w:p w:rsidR="00357C8A" w:rsidP="00795E00" w:rsidRDefault="00357C8A" w14:paraId="023CF636" w14:textId="77777777">
      <w:pPr>
        <w:jc w:val="center"/>
        <w:rPr>
          <w:rFonts w:eastAsia="Calibri"/>
        </w:rPr>
      </w:pPr>
    </w:p>
    <w:p w:rsidR="00357C8A" w:rsidP="00795E00" w:rsidRDefault="00357C8A" w14:paraId="77BE2F9C" w14:textId="77777777">
      <w:pPr>
        <w:jc w:val="center"/>
        <w:rPr>
          <w:rFonts w:eastAsia="Calibri"/>
        </w:rPr>
      </w:pPr>
      <w:r w:rsidRPr="00357C8A">
        <w:rPr>
          <w:rFonts w:eastAsia="Calibri"/>
        </w:rPr>
        <w:t>SUPPORTING STATEMENT</w:t>
      </w:r>
    </w:p>
    <w:p w:rsidR="009B4DF2" w:rsidP="00795E00" w:rsidRDefault="009B4DF2" w14:paraId="56356424" w14:textId="77777777">
      <w:pPr>
        <w:jc w:val="center"/>
        <w:rPr>
          <w:rFonts w:eastAsia="Calibri"/>
        </w:rPr>
      </w:pPr>
    </w:p>
    <w:p w:rsidR="00357C8A" w:rsidP="00795E00" w:rsidRDefault="009122AE" w14:paraId="594F9C35" w14:textId="2B3032B7">
      <w:pPr>
        <w:rPr>
          <w:rFonts w:eastAsia="Calibri"/>
        </w:rPr>
      </w:pPr>
      <w:r w:rsidRPr="00795E00">
        <w:rPr>
          <w:rFonts w:eastAsia="Calibri"/>
          <w:i/>
          <w:iCs/>
        </w:rPr>
        <w:t>Terms of Clearance</w:t>
      </w:r>
      <w:r>
        <w:rPr>
          <w:rFonts w:eastAsia="Calibri"/>
        </w:rPr>
        <w:t xml:space="preserve">: </w:t>
      </w:r>
      <w:r w:rsidRPr="002A352B" w:rsidR="002A352B">
        <w:rPr>
          <w:rFonts w:eastAsia="Calibri"/>
        </w:rPr>
        <w:t>Approved with the understanding that existing collecti</w:t>
      </w:r>
      <w:r w:rsidR="0035658D">
        <w:rPr>
          <w:rFonts w:eastAsia="Calibri"/>
        </w:rPr>
        <w:t>on</w:t>
      </w:r>
      <w:r w:rsidRPr="002A352B" w:rsidR="002A352B">
        <w:rPr>
          <w:rFonts w:eastAsia="Calibri"/>
        </w:rPr>
        <w:t xml:space="preserve"> 0910-0811 will be discontinued</w:t>
      </w:r>
      <w:r w:rsidR="002A352B">
        <w:rPr>
          <w:rFonts w:eastAsia="Calibri"/>
        </w:rPr>
        <w:t xml:space="preserve">.  OMB </w:t>
      </w:r>
      <w:r w:rsidR="00B06D3E">
        <w:rPr>
          <w:rFonts w:eastAsia="Calibri"/>
        </w:rPr>
        <w:t>control number</w:t>
      </w:r>
      <w:r w:rsidR="002A352B">
        <w:rPr>
          <w:rFonts w:eastAsia="Calibri"/>
        </w:rPr>
        <w:t xml:space="preserve"> 0910-0811 was discontinued on March 19, 2019.</w:t>
      </w:r>
    </w:p>
    <w:p w:rsidRPr="00357C8A" w:rsidR="002A352B" w:rsidP="00795E00" w:rsidRDefault="002A352B" w14:paraId="5E288301" w14:textId="77777777">
      <w:pPr>
        <w:rPr>
          <w:rFonts w:eastAsia="Calibri"/>
          <w:b/>
        </w:rPr>
      </w:pPr>
    </w:p>
    <w:p w:rsidR="00357C8A" w:rsidP="00795E00" w:rsidRDefault="00357C8A" w14:paraId="5336B0D4" w14:textId="77777777">
      <w:pPr>
        <w:rPr>
          <w:rFonts w:eastAsia="Calibri"/>
        </w:rPr>
      </w:pPr>
      <w:r w:rsidRPr="00357C8A">
        <w:rPr>
          <w:rFonts w:eastAsia="Calibri"/>
          <w:b/>
        </w:rPr>
        <w:t>Part A:  Justification</w:t>
      </w:r>
      <w:r w:rsidRPr="00357C8A">
        <w:rPr>
          <w:rFonts w:eastAsia="Calibri"/>
        </w:rPr>
        <w:t>:</w:t>
      </w:r>
    </w:p>
    <w:p w:rsidRPr="00357C8A" w:rsidR="000D79CC" w:rsidP="00795E00" w:rsidRDefault="000D79CC" w14:paraId="742A8B55" w14:textId="77777777">
      <w:pPr>
        <w:rPr>
          <w:rFonts w:eastAsia="Calibri"/>
        </w:rPr>
      </w:pPr>
    </w:p>
    <w:p w:rsidRPr="00357C8A" w:rsidR="00357C8A" w:rsidP="00795E00" w:rsidRDefault="00357C8A" w14:paraId="1F301F50"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D669CD" w:rsidP="00795E00" w:rsidRDefault="00F20027" w14:paraId="142DF50A" w14:textId="29D5D883">
      <w:pPr>
        <w:spacing w:before="100" w:beforeAutospacing="1" w:after="100" w:afterAutospacing="1"/>
      </w:pPr>
      <w:r w:rsidRPr="00F20027">
        <w:t>This information collection support</w:t>
      </w:r>
      <w:r w:rsidR="00B56493">
        <w:t>s</w:t>
      </w:r>
      <w:r w:rsidRPr="00F20027">
        <w:t xml:space="preserve"> Food and Drug Administration (FDA, us or we) regulations</w:t>
      </w:r>
      <w:r w:rsidR="0035658D">
        <w:t>,</w:t>
      </w:r>
      <w:r w:rsidR="00B56493">
        <w:t xml:space="preserve"> </w:t>
      </w:r>
      <w:r w:rsidR="00795E00">
        <w:t xml:space="preserve">and associated agency forms and </w:t>
      </w:r>
      <w:r w:rsidR="00B56493">
        <w:t>guidance</w:t>
      </w:r>
      <w:r w:rsidR="00795E00">
        <w:t xml:space="preserve">, pertaining to </w:t>
      </w:r>
      <w:r w:rsidR="00B56493">
        <w:t>infant formula requirements</w:t>
      </w:r>
      <w:r w:rsidRPr="00F20027">
        <w:t>.  Statutory provisions for infant formula under the Federal Food, Drug, and Cosmetic Act (the FD&amp;C Act) were enacted to protect the health of infants and include specific current good manufacturing practice (CGMP)</w:t>
      </w:r>
      <w:r w:rsidR="0029705C">
        <w:t>,</w:t>
      </w:r>
      <w:r w:rsidRPr="00F20027">
        <w:t xml:space="preserve"> labeling requirements</w:t>
      </w:r>
      <w:r w:rsidR="009A6834">
        <w:t xml:space="preserve"> and </w:t>
      </w:r>
      <w:r w:rsidR="005713CC">
        <w:t>a number of reporting and recordkeeping requirements</w:t>
      </w:r>
      <w:r w:rsidRPr="00F20027">
        <w:t xml:space="preserve">.  Section 412 of the FD&amp;C Act (21 U.S.C. 350a) requires manufacturers of infant formula to establish and adhere to quality control procedures, </w:t>
      </w:r>
      <w:r w:rsidR="00795E00">
        <w:t xml:space="preserve">notify FDA </w:t>
      </w:r>
      <w:r w:rsidRPr="00F20027">
        <w:t xml:space="preserve">when a batch of infant formula that has left </w:t>
      </w:r>
      <w:r w:rsidR="005713CC">
        <w:t>the manufactures’</w:t>
      </w:r>
      <w:r w:rsidRPr="00F20027" w:rsidR="005713CC">
        <w:t xml:space="preserve"> </w:t>
      </w:r>
      <w:r w:rsidRPr="00F20027">
        <w:t>control may be adulterated or misbranded, and keep records</w:t>
      </w:r>
      <w:r w:rsidR="005713CC">
        <w:t xml:space="preserve"> of </w:t>
      </w:r>
      <w:r w:rsidR="00795E00">
        <w:t xml:space="preserve">infant formula </w:t>
      </w:r>
      <w:r w:rsidR="005713CC">
        <w:t>distribution</w:t>
      </w:r>
      <w:r w:rsidRPr="00F20027">
        <w:t xml:space="preserve">.  Notification requirements are also included in the regulations regarding the quantitative formulation of the infant formula; a description of any reformulation or change in processing; assurances that the formula will not be marketed until regulatory requirements are met as demonstrated by specific testing; and assurances that manufacturing processes comply with the regulations.  The regulations are codified at 21 CFR </w:t>
      </w:r>
      <w:r w:rsidR="0035658D">
        <w:t>p</w:t>
      </w:r>
      <w:r w:rsidRPr="00F20027">
        <w:t xml:space="preserve">art 106:  </w:t>
      </w:r>
      <w:r w:rsidRPr="00F20027">
        <w:rPr>
          <w:i/>
        </w:rPr>
        <w:t>Infant Formula Requirements Pertaining to Current Good Manufacturing Practice, Quality Control Procedures, Quality Factors, Records and Reports, and Notifications</w:t>
      </w:r>
      <w:r w:rsidRPr="00F20027">
        <w:t xml:space="preserve">; and 21 CFR </w:t>
      </w:r>
      <w:r w:rsidR="0035658D">
        <w:t>p</w:t>
      </w:r>
      <w:r w:rsidRPr="00F20027">
        <w:t xml:space="preserve">art 107: </w:t>
      </w:r>
      <w:r w:rsidRPr="00F20027">
        <w:rPr>
          <w:i/>
        </w:rPr>
        <w:t>Infant Formula</w:t>
      </w:r>
      <w:r w:rsidRPr="00F20027">
        <w:t>.</w:t>
      </w:r>
      <w:r w:rsidR="005713CC">
        <w:t xml:space="preserve">  </w:t>
      </w:r>
    </w:p>
    <w:p w:rsidR="00F20027" w:rsidP="00795E00" w:rsidRDefault="00765098" w14:paraId="421E4438" w14:textId="0278D11C">
      <w:pPr>
        <w:spacing w:before="100" w:beforeAutospacing="1" w:after="100" w:afterAutospacing="1"/>
      </w:pPr>
      <w:r w:rsidRPr="00765098">
        <w:t xml:space="preserve">We have issued regulations to implement the FD&amp;C Act’s requirements for infant formula in parts 106 and 107 (21 CFR parts 106 and 107).  We also regulate the labeling of infant formula under the authority of section 403 of the </w:t>
      </w:r>
      <w:bookmarkStart w:name="_Hlk67298550" w:id="0"/>
      <w:r w:rsidRPr="00765098">
        <w:t>FD&amp;C</w:t>
      </w:r>
      <w:bookmarkEnd w:id="0"/>
      <w:r w:rsidRPr="00765098">
        <w:t xml:space="preserve"> Act (21 U.S.C. 343). </w:t>
      </w:r>
      <w:r w:rsidR="00DD7976">
        <w:t xml:space="preserve"> </w:t>
      </w:r>
      <w:r w:rsidRPr="00765098">
        <w:t xml:space="preserve">Under our labeling regulations for infant formula in part 107, the label of an infant formula must include nutrient information and directions for </w:t>
      </w:r>
      <w:r w:rsidRPr="00765098" w:rsidR="00F540EE">
        <w:t>use,</w:t>
      </w:r>
      <w:r w:rsidRPr="00765098">
        <w:t xml:space="preserve"> and it sets forth the labeling requirements applicable to infant formula under section 403 of the </w:t>
      </w:r>
      <w:r w:rsidRPr="002A2208" w:rsidR="002A2208">
        <w:t>FD&amp;C</w:t>
      </w:r>
      <w:r w:rsidR="007A2D39">
        <w:t xml:space="preserve"> Act</w:t>
      </w:r>
      <w:r w:rsidRPr="00765098">
        <w:t xml:space="preserve">.  Failure to comply with any of the applicable regulations will render an infant formula misbranded under section 403 of the </w:t>
      </w:r>
      <w:r w:rsidRPr="00CE6E35" w:rsidR="00CE6E35">
        <w:t>FD&amp;C</w:t>
      </w:r>
      <w:r w:rsidRPr="00765098">
        <w:t xml:space="preserve"> Act.  The purpose of these labeling requirements is to ensure that consumers have the information need</w:t>
      </w:r>
      <w:r w:rsidR="00795E00">
        <w:t>ed</w:t>
      </w:r>
      <w:r w:rsidRPr="00765098">
        <w:t xml:space="preserve"> to prepare and use infant formula appropriately.</w:t>
      </w:r>
    </w:p>
    <w:p w:rsidR="00F540EE" w:rsidP="00795E00" w:rsidRDefault="00F540EE" w14:paraId="1E2BEC0B" w14:textId="2E220D33">
      <w:pPr>
        <w:spacing w:before="100" w:beforeAutospacing="1" w:after="100" w:afterAutospacing="1"/>
      </w:pPr>
      <w:r>
        <w:t xml:space="preserve">While the infant formula regulations help ensure the consistent production of safe and nutritionally adequate infant formulas for healthy term infants, they apply with one narrow exception.  Section 412(h)(1) of the FD&amp;C Act exempts an infant formula represented and </w:t>
      </w:r>
      <w:r>
        <w:lastRenderedPageBreak/>
        <w:t xml:space="preserve">labeled for use by an infant with an inborn error of metabolism, low birth weight, or who otherwise has an unusual medical or dietary problem from the requirements of sections 412(a), (b), and (c) of the </w:t>
      </w:r>
      <w:bookmarkStart w:name="_Hlk67299742" w:id="1"/>
      <w:r>
        <w:t>FD&amp;C A</w:t>
      </w:r>
      <w:bookmarkEnd w:id="1"/>
      <w:r>
        <w:t>ct.  These formulas are customarily referred to as “</w:t>
      </w:r>
      <w:r w:rsidRPr="00795E00">
        <w:rPr>
          <w:i/>
          <w:iCs/>
        </w:rPr>
        <w:t>exempt infant formulas</w:t>
      </w:r>
      <w:r>
        <w:t>.”  Section 412(h)(2) of the FD&amp;C Act authorizes us to establish terms and conditions for the exemption of an infant formula from the requirements of sections 412(a), (b), and (c) of the FD&amp;C Act</w:t>
      </w:r>
      <w:bookmarkStart w:name="_Hlk61268591" w:id="2"/>
      <w:r>
        <w:t xml:space="preserve">.  </w:t>
      </w:r>
      <w:r w:rsidR="008F2EA6">
        <w:t xml:space="preserve">The terms and conditions </w:t>
      </w:r>
      <w:r w:rsidR="00EC6C83">
        <w:t xml:space="preserve">for exempt infant formulas </w:t>
      </w:r>
      <w:r w:rsidR="008F2EA6">
        <w:t>are in 21 CFR</w:t>
      </w:r>
      <w:r w:rsidR="00EC6C83">
        <w:t xml:space="preserve"> </w:t>
      </w:r>
      <w:r w:rsidR="001C4EB9">
        <w:t>p</w:t>
      </w:r>
      <w:r w:rsidR="00EC6C83">
        <w:t xml:space="preserve">art 107 </w:t>
      </w:r>
      <w:r w:rsidR="001C4EB9">
        <w:t>s</w:t>
      </w:r>
      <w:r w:rsidR="00EC6C83">
        <w:t>ubpart C.</w:t>
      </w:r>
    </w:p>
    <w:bookmarkEnd w:id="2"/>
    <w:p w:rsidRPr="00F20027" w:rsidR="00F540EE" w:rsidP="00795E00" w:rsidRDefault="002A2208" w14:paraId="160B115B" w14:textId="4FBDBCAA">
      <w:pPr>
        <w:spacing w:before="100" w:beforeAutospacing="1" w:after="100" w:afterAutospacing="1"/>
      </w:pPr>
      <w:r w:rsidRPr="002A2208">
        <w:t>In support of exempt infant formulas</w:t>
      </w:r>
      <w:r w:rsidR="00F540EE">
        <w:t>, we have issued the agency guidance document entitled, “</w:t>
      </w:r>
      <w:r w:rsidRPr="008761D4" w:rsidR="00F540EE">
        <w:rPr>
          <w:i/>
          <w:iCs/>
        </w:rPr>
        <w:t>Exempt Infant Formula Production: Current Good Manufacturing Practices (CGMPs), Quality Control Procedures, Conduct of Audits, and Records and Reports</w:t>
      </w:r>
      <w:r w:rsidR="00F540EE">
        <w:t>.”  The guidance document includes our recommendation that manufacturers of exempt infant formulas follow, to the extent practicable, subparts A, B, C, D, and F of 21 CFR part 106</w:t>
      </w:r>
      <w:r w:rsidR="000F42AB">
        <w:t xml:space="preserve"> and is located at </w:t>
      </w:r>
      <w:hyperlink w:history="1" r:id="rId7">
        <w:r w:rsidRPr="000F42AB" w:rsidR="000F42AB">
          <w:rPr>
            <w:rStyle w:val="Hyperlink"/>
          </w:rPr>
          <w:t>https://www.fda.gov/regulatory-information/search-fda-guidance-documents/guidance-industry-exempt-infant-formula-production</w:t>
        </w:r>
      </w:hyperlink>
      <w:r w:rsidRPr="000F42AB" w:rsidR="000F42AB">
        <w:t>.</w:t>
      </w:r>
    </w:p>
    <w:p w:rsidRPr="00F20027" w:rsidR="00F20027" w:rsidP="00795E00" w:rsidRDefault="00F20027" w14:paraId="41A57BBE" w14:textId="510C19C7">
      <w:pPr>
        <w:spacing w:before="100" w:beforeAutospacing="1" w:after="100" w:afterAutospacing="1"/>
      </w:pPr>
      <w:r w:rsidRPr="00F20027">
        <w:t>To assist respondents with the requisite reporting and notification requirements</w:t>
      </w:r>
      <w:r w:rsidR="002A2208">
        <w:t>,</w:t>
      </w:r>
      <w:r w:rsidRPr="00F20027">
        <w:t xml:space="preserve"> we </w:t>
      </w:r>
      <w:r w:rsidR="00F540EE">
        <w:t xml:space="preserve">have also </w:t>
      </w:r>
      <w:r w:rsidRPr="00F20027">
        <w:t>developed electronic Form FDA 3978, which serves as a reporting portal or Infant Formula Tracking System (</w:t>
      </w:r>
      <w:r w:rsidRPr="00F20027" w:rsidR="001F6035">
        <w:t>IFT</w:t>
      </w:r>
      <w:r w:rsidR="001F6035">
        <w:t>RACK</w:t>
      </w:r>
      <w:r w:rsidRPr="00F20027">
        <w:t xml:space="preserve">).  Manufacturers of infant formula </w:t>
      </w:r>
      <w:r w:rsidR="00F540EE">
        <w:t xml:space="preserve">may </w:t>
      </w:r>
      <w:r w:rsidRPr="00F20027">
        <w:t>use th</w:t>
      </w:r>
      <w:r w:rsidR="00F540EE">
        <w:t>is</w:t>
      </w:r>
      <w:r w:rsidRPr="00F20027">
        <w:t xml:space="preserve"> collection instrument to submit reports and notifications in a standardized format to FDA.  Manufacturers that prefer to submit paper submissions in a format of their own choosing still have the option to do so.  Form FDA 3978 </w:t>
      </w:r>
      <w:r w:rsidR="00F540EE">
        <w:t>prompts a</w:t>
      </w:r>
      <w:r w:rsidRPr="00F20027">
        <w:t xml:space="preserve"> respondent to organize </w:t>
      </w:r>
      <w:r w:rsidR="00F540EE">
        <w:t xml:space="preserve">their </w:t>
      </w:r>
      <w:r w:rsidRPr="00F20027">
        <w:t xml:space="preserve">submissions in a standardized format </w:t>
      </w:r>
      <w:r w:rsidR="00F540EE">
        <w:t xml:space="preserve">for </w:t>
      </w:r>
      <w:r w:rsidRPr="00F20027">
        <w:t xml:space="preserve">only that information needed for review.  Screenshots of draft Form FDA 3978 and instructions </w:t>
      </w:r>
      <w:r w:rsidR="00311053">
        <w:t>are</w:t>
      </w:r>
      <w:r w:rsidRPr="00F20027" w:rsidR="00311053">
        <w:t xml:space="preserve"> </w:t>
      </w:r>
      <w:r w:rsidRPr="00F20027">
        <w:t xml:space="preserve">available at </w:t>
      </w:r>
      <w:hyperlink w:history="1" r:id="rId8">
        <w:r w:rsidRPr="00F20027">
          <w:rPr>
            <w:color w:val="0000FF"/>
            <w:u w:val="single"/>
          </w:rPr>
          <w:t>http://www.fda.gov/Food/GuidanceRegulation/FoodFacilityRegistration/InfantFormula/default.htm.</w:t>
        </w:r>
      </w:hyperlink>
    </w:p>
    <w:p w:rsidRPr="00F20027" w:rsidR="00F20027" w:rsidP="00795E00" w:rsidRDefault="00F20027" w14:paraId="0488FDE5" w14:textId="24D3689A">
      <w:pPr>
        <w:spacing w:before="100" w:beforeAutospacing="1" w:after="100" w:afterAutospacing="1"/>
      </w:pPr>
      <w:r w:rsidRPr="00F20027">
        <w:t xml:space="preserve">We therefore request extension of OMB approval for the information collection provisions </w:t>
      </w:r>
      <w:r w:rsidR="00795E00">
        <w:t xml:space="preserve">set forth in </w:t>
      </w:r>
      <w:r w:rsidRPr="00F20027">
        <w:t xml:space="preserve">21 CFR </w:t>
      </w:r>
      <w:r w:rsidR="00311053">
        <w:t>p</w:t>
      </w:r>
      <w:r w:rsidRPr="00F20027">
        <w:t xml:space="preserve">arts 106 and 107, </w:t>
      </w:r>
      <w:r w:rsidR="00795E00">
        <w:t xml:space="preserve">and </w:t>
      </w:r>
      <w:r w:rsidR="00311053">
        <w:t xml:space="preserve">the </w:t>
      </w:r>
      <w:r w:rsidRPr="00F20027">
        <w:t xml:space="preserve">associated </w:t>
      </w:r>
      <w:r w:rsidR="00B56493">
        <w:t xml:space="preserve">guidance and </w:t>
      </w:r>
      <w:r w:rsidRPr="00F20027">
        <w:t>Form FDA 3978</w:t>
      </w:r>
      <w:r w:rsidR="00795E00">
        <w:t>, as discussed in this supporting statement</w:t>
      </w:r>
      <w:r w:rsidRPr="00F20027">
        <w:t>.</w:t>
      </w:r>
    </w:p>
    <w:p w:rsidRPr="00357C8A" w:rsidR="00357C8A" w:rsidP="00795E00" w:rsidRDefault="00357C8A" w14:paraId="1680F3D0"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37B18" w:rsidP="00795E00" w:rsidRDefault="00137B18" w14:paraId="6C164030" w14:textId="1B3E572C">
      <w:r>
        <w:t xml:space="preserve">We use the information collection to determine industry compliance with agency regulations.  The requirements implement public health protection provisions of the </w:t>
      </w:r>
      <w:r w:rsidRPr="00311053" w:rsidR="00311053">
        <w:t>FD&amp;C A</w:t>
      </w:r>
      <w:r>
        <w:t xml:space="preserve">ct applicable to infants and all infant formula.  Disclosures included in the </w:t>
      </w:r>
      <w:r w:rsidRPr="000A2407">
        <w:t xml:space="preserve">information </w:t>
      </w:r>
      <w:r>
        <w:t xml:space="preserve">collection are </w:t>
      </w:r>
      <w:r w:rsidRPr="000A2407">
        <w:t>used by consumers when purchasing, storing</w:t>
      </w:r>
      <w:r>
        <w:t>,</w:t>
      </w:r>
      <w:r w:rsidRPr="000A2407">
        <w:t xml:space="preserve"> and preparing infant formula</w:t>
      </w:r>
      <w:r>
        <w:t xml:space="preserve"> to help ensure its safe use.</w:t>
      </w:r>
      <w:r w:rsidR="00311053">
        <w:t xml:space="preserve"> </w:t>
      </w:r>
    </w:p>
    <w:p w:rsidR="00137B18" w:rsidP="00795E00" w:rsidRDefault="00137B18" w14:paraId="2CA9522C" w14:textId="77777777"/>
    <w:p w:rsidR="00357C8A" w:rsidP="00795E00" w:rsidRDefault="00137B18" w14:paraId="76C228A4" w14:textId="77777777">
      <w:r w:rsidRPr="000A2407">
        <w:rPr>
          <w:i/>
        </w:rPr>
        <w:t>Description of Respondents</w:t>
      </w:r>
      <w:r w:rsidRPr="008761D4">
        <w:rPr>
          <w:iCs/>
        </w:rPr>
        <w:t>:</w:t>
      </w:r>
      <w:r>
        <w:t xml:space="preserve">  Respondents to the</w:t>
      </w:r>
      <w:r w:rsidRPr="000A2407">
        <w:t xml:space="preserve"> information collection are manufacturers of infant formula.  Respondents are from the private sector (for-profit businesses).</w:t>
      </w:r>
    </w:p>
    <w:p w:rsidRPr="00F819DE" w:rsidR="005B26AA" w:rsidP="00795E00" w:rsidRDefault="005B26AA" w14:paraId="119E006F" w14:textId="77777777">
      <w:pPr>
        <w:rPr>
          <w:rFonts w:eastAsia="Calibri"/>
          <w:color w:val="000000"/>
        </w:rPr>
      </w:pPr>
    </w:p>
    <w:p w:rsidRPr="00357C8A" w:rsidR="00357C8A" w:rsidP="00795E00" w:rsidRDefault="00357C8A" w14:paraId="758368AE"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057EFF" w:rsidP="00795E00" w:rsidRDefault="00137B18" w14:paraId="7CE09102" w14:textId="2B3A8FA1">
      <w:r>
        <w:t xml:space="preserve">There are few respondents to the information collection, and we believe all will use </w:t>
      </w:r>
      <w:r w:rsidRPr="000A2407">
        <w:t xml:space="preserve">electronic means to fulfill the </w:t>
      </w:r>
      <w:r>
        <w:t xml:space="preserve">reporting requirements.  Paper-based submissions are still accepted; however, we think using Form FDA 3978 to satisfy the requirements will facilitate both respondents’ </w:t>
      </w:r>
      <w:r>
        <w:lastRenderedPageBreak/>
        <w:t xml:space="preserve">submissions and our review.  In addition to Form FDA 3978, we maintain links on the internet that provide infant formula guidance documents and regulatory information.  The website is available at: </w:t>
      </w:r>
      <w:hyperlink w:history="1" r:id="rId9">
        <w:r w:rsidRPr="00894EE7">
          <w:rPr>
            <w:rStyle w:val="Hyperlink"/>
          </w:rPr>
          <w:t>https://www.fda.gov/food/guidanceregulation/guidancedocumentsregulatoryinformation/infantformula/default.htm</w:t>
        </w:r>
      </w:hyperlink>
      <w:r w:rsidR="00A80644">
        <w:rPr>
          <w:rStyle w:val="Hyperlink"/>
        </w:rPr>
        <w:t>.</w:t>
      </w:r>
      <w:r>
        <w:t xml:space="preserve">  </w:t>
      </w:r>
    </w:p>
    <w:p w:rsidRPr="00F819DE" w:rsidR="00357C8A" w:rsidP="00795E00" w:rsidRDefault="00357C8A" w14:paraId="228E806E" w14:textId="77777777">
      <w:pPr>
        <w:rPr>
          <w:rFonts w:eastAsia="Calibri"/>
          <w:color w:val="000000"/>
        </w:rPr>
      </w:pPr>
    </w:p>
    <w:p w:rsidRPr="00357C8A" w:rsidR="00357C8A" w:rsidP="00795E00" w:rsidRDefault="00357C8A" w14:paraId="4FE1C37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F819DE" w:rsidR="000C1260" w:rsidP="00795E00" w:rsidRDefault="00137B18" w14:paraId="2313AAD5" w14:textId="5BE2E152">
      <w:pPr>
        <w:spacing w:after="200"/>
        <w:rPr>
          <w:rFonts w:eastAsia="Calibri"/>
          <w:color w:val="000000"/>
        </w:rPr>
      </w:pPr>
      <w:r w:rsidRPr="00137B18">
        <w:t xml:space="preserve">We have reviewed our active inventory and are unaware of duplicative information collection.  </w:t>
      </w:r>
      <w:r>
        <w:t>Other i</w:t>
      </w:r>
      <w:r w:rsidRPr="00137B18">
        <w:t xml:space="preserve">nformation collection provisions associated with infant formula recall regulations under 21 CFR </w:t>
      </w:r>
      <w:r w:rsidR="00057EFF">
        <w:t>p</w:t>
      </w:r>
      <w:r w:rsidRPr="00137B18">
        <w:t xml:space="preserve">art 107; </w:t>
      </w:r>
      <w:r w:rsidR="00057EFF">
        <w:t>s</w:t>
      </w:r>
      <w:r w:rsidRPr="00137B18">
        <w:t xml:space="preserve">ubpart E are approved under OMB </w:t>
      </w:r>
      <w:r w:rsidR="00057EFF">
        <w:t>c</w:t>
      </w:r>
      <w:r w:rsidRPr="00137B18">
        <w:t xml:space="preserve">ontrol </w:t>
      </w:r>
      <w:r w:rsidR="00057EFF">
        <w:t>n</w:t>
      </w:r>
      <w:r w:rsidRPr="00137B18">
        <w:t>o. 0910-0188.</w:t>
      </w:r>
    </w:p>
    <w:p w:rsidRPr="00357C8A" w:rsidR="00357C8A" w:rsidP="00795E00" w:rsidRDefault="00357C8A" w14:paraId="448D6C9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795E00" w:rsidRDefault="00137B18" w14:paraId="008CCEEE" w14:textId="5AFED970">
      <w:pPr>
        <w:spacing w:after="200"/>
        <w:rPr>
          <w:rFonts w:eastAsia="Calibri"/>
        </w:rPr>
      </w:pPr>
      <w:r w:rsidRPr="00137B18">
        <w:rPr>
          <w:rFonts w:eastAsia="Calibri"/>
        </w:rPr>
        <w:t xml:space="preserve">We believe no undue burden is imposed on small entities.  In addition to the resources referenced at </w:t>
      </w:r>
      <w:r w:rsidR="00305BA2">
        <w:rPr>
          <w:rFonts w:eastAsia="Calibri"/>
        </w:rPr>
        <w:t>Item</w:t>
      </w:r>
      <w:r w:rsidRPr="00137B18">
        <w:rPr>
          <w:rFonts w:eastAsia="Calibri"/>
        </w:rPr>
        <w:t xml:space="preserve"> 3</w:t>
      </w:r>
      <w:r w:rsidR="00305BA2">
        <w:rPr>
          <w:rFonts w:eastAsia="Calibri"/>
        </w:rPr>
        <w:t xml:space="preserve"> (above)</w:t>
      </w:r>
      <w:r w:rsidRPr="00137B18">
        <w:rPr>
          <w:rFonts w:eastAsia="Calibri"/>
        </w:rPr>
        <w:t xml:space="preserve">, we assist small businesses in complying with our regulations through small business representatives, and scientific and administrative staffs within the agency.  </w:t>
      </w:r>
      <w:r w:rsidRPr="00057EFF" w:rsidR="00057EFF">
        <w:rPr>
          <w:rFonts w:eastAsia="Calibri"/>
        </w:rPr>
        <w:t>A</w:t>
      </w:r>
      <w:r w:rsidR="00057EFF">
        <w:rPr>
          <w:rFonts w:eastAsia="Calibri"/>
        </w:rPr>
        <w:t>dditional a</w:t>
      </w:r>
      <w:r w:rsidRPr="00057EFF" w:rsidR="00057EFF">
        <w:rPr>
          <w:rFonts w:eastAsia="Calibri"/>
        </w:rPr>
        <w:t>ssistance is available for small businesses via</w:t>
      </w:r>
      <w:r w:rsidRPr="00305BA2" w:rsidR="00305BA2">
        <w:rPr>
          <w:rFonts w:eastAsia="Calibri"/>
        </w:rPr>
        <w:t xml:space="preserve"> the agency’s website at </w:t>
      </w:r>
      <w:hyperlink w:history="1" r:id="rId10">
        <w:r w:rsidRPr="00305BA2" w:rsidR="00305BA2">
          <w:rPr>
            <w:rStyle w:val="Hyperlink"/>
            <w:rFonts w:eastAsia="Calibri"/>
          </w:rPr>
          <w:t>https://www.fda.gov/industry/small-business-assistance</w:t>
        </w:r>
      </w:hyperlink>
      <w:r w:rsidRPr="00305BA2" w:rsidR="00305BA2">
        <w:rPr>
          <w:rFonts w:eastAsia="Calibri"/>
        </w:rPr>
        <w:t xml:space="preserve">.  </w:t>
      </w:r>
    </w:p>
    <w:p w:rsidRPr="00357C8A" w:rsidR="00357C8A" w:rsidP="00795E00" w:rsidRDefault="00357C8A" w14:paraId="34EB38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F819DE" w:rsidR="00357C8A" w:rsidP="00795E00" w:rsidRDefault="00305BA2" w14:paraId="3EE967B7" w14:textId="044A62D3">
      <w:pPr>
        <w:spacing w:after="200"/>
        <w:rPr>
          <w:rFonts w:eastAsia="Calibri"/>
          <w:color w:val="000000"/>
        </w:rPr>
      </w:pPr>
      <w:r w:rsidRPr="00305BA2">
        <w:rPr>
          <w:rFonts w:eastAsia="Calibri"/>
        </w:rPr>
        <w:t xml:space="preserve">The information collection schedule is consistent with statutory </w:t>
      </w:r>
      <w:r w:rsidR="00795E00">
        <w:rPr>
          <w:rFonts w:eastAsia="Calibri"/>
        </w:rPr>
        <w:t xml:space="preserve">and regulatory </w:t>
      </w:r>
      <w:r w:rsidRPr="00305BA2">
        <w:rPr>
          <w:rFonts w:eastAsia="Calibri"/>
        </w:rPr>
        <w:t>requirements and occurs on an occasional basis.</w:t>
      </w:r>
    </w:p>
    <w:p w:rsidRPr="00357C8A" w:rsidR="00357C8A" w:rsidP="00795E00" w:rsidRDefault="00357C8A" w14:paraId="1B3C9EE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795E00" w:rsidRDefault="00305BA2" w14:paraId="7FA9B82B" w14:textId="77777777">
      <w:pPr>
        <w:spacing w:after="200"/>
        <w:rPr>
          <w:rFonts w:eastAsia="Calibri"/>
        </w:rPr>
      </w:pPr>
      <w:r w:rsidRPr="00305BA2">
        <w:rPr>
          <w:rFonts w:eastAsia="Calibri"/>
        </w:rPr>
        <w:t>There are no special circumstances for this collection of information.</w:t>
      </w:r>
    </w:p>
    <w:p w:rsidRPr="00357C8A" w:rsidR="00357C8A" w:rsidP="00795E00" w:rsidRDefault="00357C8A" w14:paraId="2D0B542A"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F819DE" w:rsidR="00357C8A" w:rsidP="00795E00" w:rsidRDefault="00305BA2" w14:paraId="26A8A38E" w14:textId="246ED950">
      <w:pPr>
        <w:spacing w:after="200"/>
        <w:rPr>
          <w:rFonts w:eastAsia="Calibri"/>
          <w:color w:val="000000"/>
        </w:rPr>
      </w:pPr>
      <w:r w:rsidRPr="00305BA2">
        <w:rPr>
          <w:rFonts w:eastAsia="Calibri"/>
        </w:rPr>
        <w:t xml:space="preserve">In accordance with 5 CFR 1320.8(d), we published a notice in the </w:t>
      </w:r>
      <w:r w:rsidRPr="008761D4">
        <w:rPr>
          <w:rFonts w:eastAsia="Calibri"/>
          <w:i/>
          <w:iCs/>
        </w:rPr>
        <w:t>Federal Register</w:t>
      </w:r>
      <w:r w:rsidRPr="00305BA2">
        <w:rPr>
          <w:rFonts w:eastAsia="Calibri"/>
        </w:rPr>
        <w:t xml:space="preserve"> of </w:t>
      </w:r>
      <w:r w:rsidR="00970B11">
        <w:rPr>
          <w:rFonts w:eastAsia="Calibri"/>
        </w:rPr>
        <w:t>December 2</w:t>
      </w:r>
      <w:r w:rsidRPr="00305BA2">
        <w:rPr>
          <w:rFonts w:eastAsia="Calibri"/>
        </w:rPr>
        <w:t>, 20</w:t>
      </w:r>
      <w:r>
        <w:rPr>
          <w:rFonts w:eastAsia="Calibri"/>
        </w:rPr>
        <w:t>20</w:t>
      </w:r>
      <w:r w:rsidRPr="00305BA2">
        <w:rPr>
          <w:rFonts w:eastAsia="Calibri"/>
        </w:rPr>
        <w:t xml:space="preserve"> (8</w:t>
      </w:r>
      <w:r>
        <w:rPr>
          <w:rFonts w:eastAsia="Calibri"/>
        </w:rPr>
        <w:t>5</w:t>
      </w:r>
      <w:r w:rsidRPr="00305BA2">
        <w:rPr>
          <w:rFonts w:eastAsia="Calibri"/>
        </w:rPr>
        <w:t xml:space="preserve"> FR </w:t>
      </w:r>
      <w:r w:rsidR="005569D6">
        <w:rPr>
          <w:rFonts w:eastAsia="Calibri"/>
        </w:rPr>
        <w:t>77469</w:t>
      </w:r>
      <w:r w:rsidRPr="00305BA2">
        <w:rPr>
          <w:rFonts w:eastAsia="Calibri"/>
        </w:rPr>
        <w:t>), requesting public comment for the information collection.</w:t>
      </w:r>
      <w:r w:rsidR="00795E00">
        <w:rPr>
          <w:rFonts w:eastAsia="Calibri"/>
        </w:rPr>
        <w:t xml:space="preserve">  </w:t>
      </w:r>
      <w:r w:rsidRPr="00795E00" w:rsidR="00795E00">
        <w:rPr>
          <w:rFonts w:eastAsia="Calibri"/>
        </w:rPr>
        <w:t xml:space="preserve">Two comments were received providing general </w:t>
      </w:r>
      <w:r w:rsidR="0038625B">
        <w:rPr>
          <w:rFonts w:eastAsia="Calibri"/>
        </w:rPr>
        <w:t xml:space="preserve">support </w:t>
      </w:r>
      <w:r w:rsidRPr="00795E00" w:rsidR="00795E00">
        <w:rPr>
          <w:rFonts w:eastAsia="Calibri"/>
        </w:rPr>
        <w:t>for infant formula labeling; however, neither comment requested revision to the burden estimates</w:t>
      </w:r>
    </w:p>
    <w:p w:rsidRPr="00357C8A" w:rsidR="00357C8A" w:rsidP="00795E00" w:rsidRDefault="00357C8A" w14:paraId="2E973F53"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F819DE" w:rsidR="00357C8A" w:rsidP="00795E00" w:rsidRDefault="00072B1B" w14:paraId="7B652A97" w14:textId="77777777">
      <w:pPr>
        <w:spacing w:after="200"/>
        <w:rPr>
          <w:rFonts w:eastAsia="Calibri"/>
          <w:color w:val="000000"/>
        </w:rPr>
      </w:pPr>
      <w:r w:rsidRPr="00072B1B">
        <w:rPr>
          <w:rFonts w:eastAsia="Calibri"/>
        </w:rPr>
        <w:t>No payments or gifts are associated with this collection of information.</w:t>
      </w:r>
    </w:p>
    <w:p w:rsidRPr="00357C8A" w:rsidR="00357C8A" w:rsidP="00795E00" w:rsidRDefault="00357C8A" w14:paraId="731FE21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357C8A" w:rsidP="00795E00" w:rsidRDefault="00072B1B" w14:paraId="293129F4" w14:textId="7DE8811D">
      <w:pPr>
        <w:rPr>
          <w:rFonts w:eastAsia="Calibri"/>
        </w:rPr>
      </w:pPr>
      <w:r w:rsidRPr="00072B1B">
        <w:rPr>
          <w:rFonts w:eastAsia="Calibri"/>
        </w:rPr>
        <w:t xml:space="preserve">Information submitted to FDA under the infant formula regulations may contain trade secret and commercial confidential information.  Only information that is releasable under the agency’s regulations in 21 CFR part 20 would be released to the public.  This information is also safeguarded by </w:t>
      </w:r>
      <w:r w:rsidR="003C1A8A">
        <w:rPr>
          <w:rFonts w:eastAsia="Calibri"/>
        </w:rPr>
        <w:t>s</w:t>
      </w:r>
      <w:r w:rsidRPr="00072B1B">
        <w:rPr>
          <w:rFonts w:eastAsia="Calibri"/>
        </w:rPr>
        <w:t xml:space="preserve">ection 301(j) of the </w:t>
      </w:r>
      <w:bookmarkStart w:name="_Hlk67301032" w:id="3"/>
      <w:r w:rsidRPr="00072B1B">
        <w:rPr>
          <w:rFonts w:eastAsia="Calibri"/>
        </w:rPr>
        <w:t>FD&amp;C Act</w:t>
      </w:r>
      <w:bookmarkEnd w:id="3"/>
      <w:r w:rsidRPr="00072B1B">
        <w:rPr>
          <w:rFonts w:eastAsia="Calibri"/>
        </w:rPr>
        <w:t xml:space="preserve"> and would be protected from disclosure under the Freedom of Information Act (FOIA) under sections 552(a) and (b) (5 U.S.C. 552(a) and (b)).</w:t>
      </w:r>
    </w:p>
    <w:p w:rsidR="004D211C" w:rsidP="00795E00" w:rsidRDefault="004D211C" w14:paraId="25824844" w14:textId="1CCDA9CE">
      <w:pPr>
        <w:rPr>
          <w:rFonts w:eastAsia="Calibri"/>
          <w:color w:val="000000"/>
        </w:rPr>
      </w:pPr>
    </w:p>
    <w:p w:rsidRPr="008761D4" w:rsidR="004D211C" w:rsidP="00795E00" w:rsidRDefault="004D211C" w14:paraId="18F7F67D" w14:textId="5BCE1FF3">
      <w:pPr>
        <w:rPr>
          <w:rFonts w:eastAsia="Calibri"/>
          <w:i/>
          <w:iCs/>
          <w:color w:val="000000"/>
        </w:rPr>
      </w:pPr>
      <w:r w:rsidRPr="008761D4">
        <w:rPr>
          <w:rFonts w:eastAsia="Calibri"/>
          <w:i/>
          <w:iCs/>
          <w:color w:val="000000"/>
        </w:rPr>
        <w:t>Privacy Act</w:t>
      </w:r>
    </w:p>
    <w:p w:rsidR="004D211C" w:rsidP="00795E00" w:rsidRDefault="004D211C" w14:paraId="0DAC84F3" w14:textId="2E751653">
      <w:pPr>
        <w:rPr>
          <w:rFonts w:eastAsia="Calibri"/>
          <w:color w:val="000000"/>
        </w:rPr>
      </w:pPr>
    </w:p>
    <w:p w:rsidRPr="004D211C" w:rsidR="004D211C" w:rsidP="00795E00" w:rsidRDefault="004D211C" w14:paraId="2F5F900D" w14:textId="45870306">
      <w:pPr>
        <w:rPr>
          <w:rFonts w:eastAsia="Calibri"/>
          <w:color w:val="000000"/>
        </w:rPr>
      </w:pPr>
      <w:r w:rsidRPr="004D211C">
        <w:rPr>
          <w:rFonts w:eastAsia="Calibri"/>
          <w:color w:val="000000"/>
        </w:rPr>
        <w:t xml:space="preserve">In preparing this </w:t>
      </w:r>
      <w:r w:rsidR="003C1A8A">
        <w:rPr>
          <w:rFonts w:eastAsia="Calibri"/>
          <w:color w:val="000000"/>
        </w:rPr>
        <w:t>s</w:t>
      </w:r>
      <w:r w:rsidRPr="004D211C">
        <w:rPr>
          <w:rFonts w:eastAsia="Calibri"/>
          <w:color w:val="000000"/>
        </w:rPr>
        <w:t xml:space="preserve">upporting </w:t>
      </w:r>
      <w:r w:rsidR="003C1A8A">
        <w:rPr>
          <w:rFonts w:eastAsia="Calibri"/>
          <w:color w:val="000000"/>
        </w:rPr>
        <w:t>s</w:t>
      </w:r>
      <w:r w:rsidRPr="004D211C">
        <w:rPr>
          <w:rFonts w:eastAsia="Calibri"/>
          <w:color w:val="000000"/>
        </w:rPr>
        <w:t>tatement, we consulted our Privacy Office to ensure appropriate identification and handling of information collected.</w:t>
      </w:r>
    </w:p>
    <w:p w:rsidRPr="004D211C" w:rsidR="004D211C" w:rsidP="00795E00" w:rsidRDefault="004D211C" w14:paraId="00260B08" w14:textId="77777777">
      <w:pPr>
        <w:rPr>
          <w:rFonts w:eastAsia="Calibri"/>
          <w:color w:val="000000"/>
        </w:rPr>
      </w:pPr>
    </w:p>
    <w:p w:rsidRPr="004D211C" w:rsidR="004D211C" w:rsidP="00795E00" w:rsidRDefault="004D211C" w14:paraId="69EA7F85" w14:textId="7C8DB7EC">
      <w:pPr>
        <w:rPr>
          <w:rFonts w:eastAsia="Calibri"/>
          <w:color w:val="000000"/>
        </w:rPr>
      </w:pPr>
      <w:r w:rsidRPr="004D211C">
        <w:rPr>
          <w:rFonts w:eastAsia="Calibri"/>
          <w:color w:val="000000"/>
        </w:rPr>
        <w:t xml:space="preserve">This ICR collects personally identifiable information (PII) or other data of a personal nature. </w:t>
      </w:r>
      <w:r>
        <w:rPr>
          <w:rFonts w:eastAsia="Calibri"/>
          <w:color w:val="000000"/>
        </w:rPr>
        <w:t xml:space="preserve"> </w:t>
      </w:r>
      <w:r w:rsidRPr="004D211C">
        <w:rPr>
          <w:rFonts w:eastAsia="Calibri"/>
          <w:color w:val="000000"/>
        </w:rPr>
        <w:t xml:space="preserve">PII is collected in the context of the subject individuals’ professional capacity and the FDA-related work they perform for their employer (e.g., point of contact at a regulated entity).  The PII </w:t>
      </w:r>
      <w:r>
        <w:rPr>
          <w:rFonts w:eastAsia="Calibri"/>
          <w:color w:val="000000"/>
        </w:rPr>
        <w:t xml:space="preserve">is </w:t>
      </w:r>
      <w:r w:rsidRPr="004D211C">
        <w:rPr>
          <w:rFonts w:eastAsia="Calibri"/>
          <w:color w:val="000000"/>
        </w:rPr>
        <w:t xml:space="preserve">submitted via Form 3978, </w:t>
      </w:r>
      <w:r>
        <w:rPr>
          <w:rFonts w:eastAsia="Calibri"/>
          <w:color w:val="000000"/>
        </w:rPr>
        <w:t>“</w:t>
      </w:r>
      <w:r w:rsidRPr="00795E00">
        <w:rPr>
          <w:rFonts w:eastAsia="Calibri"/>
          <w:i/>
          <w:iCs/>
          <w:color w:val="000000"/>
        </w:rPr>
        <w:t>The New Infant Registration and Submission</w:t>
      </w:r>
      <w:r>
        <w:rPr>
          <w:rFonts w:eastAsia="Calibri"/>
          <w:color w:val="000000"/>
        </w:rPr>
        <w:t>”</w:t>
      </w:r>
      <w:r w:rsidRPr="004D211C">
        <w:rPr>
          <w:rFonts w:eastAsia="Calibri"/>
          <w:color w:val="000000"/>
        </w:rPr>
        <w:t xml:space="preserve"> is name, work email address, work telephone numbers, and work fax telephone number for the primary contact at a business.  The form also allows submission of potentially identifying work information including job title and credentials.</w:t>
      </w:r>
    </w:p>
    <w:p w:rsidRPr="001075D3" w:rsidR="00F32410" w:rsidP="00795E00" w:rsidRDefault="00F32410" w14:paraId="1738B566" w14:textId="77777777"/>
    <w:p w:rsidRPr="00357C8A" w:rsidR="00357C8A" w:rsidP="00795E00" w:rsidRDefault="00357C8A" w14:paraId="0A3D03EA" w14:textId="77777777">
      <w:pPr>
        <w:numPr>
          <w:ilvl w:val="0"/>
          <w:numId w:val="6"/>
        </w:numPr>
        <w:spacing w:after="200" w:line="276" w:lineRule="auto"/>
        <w:rPr>
          <w:rFonts w:eastAsia="Calibri"/>
        </w:rPr>
      </w:pPr>
      <w:r w:rsidRPr="00357C8A">
        <w:rPr>
          <w:rFonts w:eastAsia="Calibri"/>
          <w:u w:val="single"/>
        </w:rPr>
        <w:t>Justification for Sensitive Questions</w:t>
      </w:r>
    </w:p>
    <w:p w:rsidRPr="007865D2" w:rsidR="007865D2" w:rsidP="00795E00" w:rsidRDefault="00072B1B" w14:paraId="5F62BD18" w14:textId="3F296852">
      <w:pPr>
        <w:spacing w:after="200"/>
        <w:rPr>
          <w:rFonts w:eastAsia="Calibri"/>
        </w:rPr>
      </w:pPr>
      <w:r w:rsidRPr="00072B1B">
        <w:rPr>
          <w:rFonts w:eastAsia="Calibri"/>
        </w:rPr>
        <w:t>This collection of information does not involve sensitive questions.</w:t>
      </w:r>
    </w:p>
    <w:p w:rsidRPr="00357C8A" w:rsidR="00357C8A" w:rsidP="00795E00" w:rsidRDefault="00357C8A" w14:paraId="632EC70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D047F7" w:rsidR="00357C8A" w:rsidP="00795E00" w:rsidRDefault="00357C8A" w14:paraId="1496FFE3" w14:textId="77777777">
      <w:pPr>
        <w:spacing w:after="200"/>
        <w:ind w:left="360"/>
        <w:rPr>
          <w:rFonts w:eastAsia="Calibri"/>
          <w:i/>
          <w:iCs/>
        </w:rPr>
      </w:pPr>
      <w:r w:rsidRPr="00D047F7">
        <w:rPr>
          <w:rFonts w:eastAsia="Calibri"/>
          <w:i/>
          <w:iCs/>
        </w:rPr>
        <w:t>12a.  Annualized Hour Burden Estimate</w:t>
      </w:r>
    </w:p>
    <w:p w:rsidR="009531B5" w:rsidP="00795E00" w:rsidRDefault="009531B5" w14:paraId="4978C4B6" w14:textId="77777777">
      <w:pPr>
        <w:jc w:val="center"/>
        <w:rPr>
          <w:rFonts w:eastAsia="Calibri"/>
        </w:rPr>
      </w:pPr>
    </w:p>
    <w:tbl>
      <w:tblPr>
        <w:tblpPr w:leftFromText="180" w:rightFromText="180" w:vertAnchor="text" w:horzAnchor="margin" w:tblpXSpec="right" w:tblpY="239"/>
        <w:tblW w:w="9376" w:type="dxa"/>
        <w:tblLayout w:type="fixed"/>
        <w:tblCellMar>
          <w:left w:w="101" w:type="dxa"/>
          <w:right w:w="101" w:type="dxa"/>
        </w:tblCellMar>
        <w:tblLook w:val="04A0" w:firstRow="1" w:lastRow="0" w:firstColumn="1" w:lastColumn="0" w:noHBand="0" w:noVBand="1"/>
      </w:tblPr>
      <w:tblGrid>
        <w:gridCol w:w="3436"/>
        <w:gridCol w:w="1350"/>
        <w:gridCol w:w="1440"/>
        <w:gridCol w:w="1170"/>
        <w:gridCol w:w="1170"/>
        <w:gridCol w:w="810"/>
      </w:tblGrid>
      <w:tr w:rsidRPr="008B5BFB" w:rsidR="00B41C97" w:rsidTr="00D047F7" w14:paraId="7B05EC10" w14:textId="77777777">
        <w:trPr>
          <w:cantSplit/>
          <w:tblHeader/>
        </w:trPr>
        <w:tc>
          <w:tcPr>
            <w:tcW w:w="3436" w:type="dxa"/>
            <w:tcBorders>
              <w:top w:val="single" w:color="auto" w:sz="4" w:space="0"/>
              <w:left w:val="single" w:color="auto" w:sz="6" w:space="0"/>
              <w:bottom w:val="single" w:color="auto" w:sz="6" w:space="0"/>
              <w:right w:val="nil"/>
            </w:tcBorders>
            <w:shd w:val="clear" w:color="auto" w:fill="F2F2F2"/>
            <w:hideMark/>
          </w:tcPr>
          <w:p w:rsidRPr="008B5BFB" w:rsidR="00147661" w:rsidP="00795E00" w:rsidRDefault="00147661" w14:paraId="484F7949" w14:textId="55E7D51F">
            <w:pPr>
              <w:jc w:val="center"/>
              <w:rPr>
                <w:sz w:val="20"/>
                <w:szCs w:val="20"/>
              </w:rPr>
            </w:pPr>
            <w:r>
              <w:rPr>
                <w:sz w:val="20"/>
                <w:szCs w:val="20"/>
              </w:rPr>
              <w:t xml:space="preserve">Activity; </w:t>
            </w:r>
            <w:r w:rsidRPr="008B5BFB">
              <w:rPr>
                <w:sz w:val="20"/>
                <w:szCs w:val="20"/>
              </w:rPr>
              <w:t>FD&amp;C Act or</w:t>
            </w:r>
          </w:p>
          <w:p w:rsidRPr="008B5BFB" w:rsidR="00147661" w:rsidP="00795E00" w:rsidRDefault="00147661" w14:paraId="2BECC581" w14:textId="77777777">
            <w:pPr>
              <w:jc w:val="center"/>
              <w:rPr>
                <w:sz w:val="20"/>
                <w:szCs w:val="20"/>
              </w:rPr>
            </w:pPr>
            <w:r w:rsidRPr="008B5BFB">
              <w:rPr>
                <w:sz w:val="20"/>
                <w:szCs w:val="20"/>
              </w:rPr>
              <w:t>21 CFR Parts 106 and 107</w:t>
            </w:r>
          </w:p>
        </w:tc>
        <w:tc>
          <w:tcPr>
            <w:tcW w:w="1350" w:type="dxa"/>
            <w:tcBorders>
              <w:top w:val="single" w:color="auto" w:sz="4" w:space="0"/>
              <w:left w:val="single" w:color="auto" w:sz="6" w:space="0"/>
              <w:bottom w:val="single" w:color="auto" w:sz="6" w:space="0"/>
              <w:right w:val="nil"/>
            </w:tcBorders>
            <w:shd w:val="clear" w:color="auto" w:fill="F2F2F2"/>
            <w:hideMark/>
          </w:tcPr>
          <w:p w:rsidRPr="008B5BFB" w:rsidR="00147661" w:rsidP="00795E00" w:rsidRDefault="00147661" w14:paraId="3561B37D" w14:textId="77777777">
            <w:pPr>
              <w:jc w:val="center"/>
              <w:rPr>
                <w:sz w:val="20"/>
                <w:szCs w:val="20"/>
              </w:rPr>
            </w:pPr>
            <w:r w:rsidRPr="008B5BFB">
              <w:rPr>
                <w:sz w:val="20"/>
                <w:szCs w:val="20"/>
              </w:rPr>
              <w:t>No. of Respondents</w:t>
            </w:r>
          </w:p>
        </w:tc>
        <w:tc>
          <w:tcPr>
            <w:tcW w:w="1440" w:type="dxa"/>
            <w:tcBorders>
              <w:top w:val="single" w:color="auto" w:sz="4" w:space="0"/>
              <w:left w:val="single" w:color="auto" w:sz="6" w:space="0"/>
              <w:bottom w:val="single" w:color="auto" w:sz="6" w:space="0"/>
              <w:right w:val="nil"/>
            </w:tcBorders>
            <w:shd w:val="clear" w:color="auto" w:fill="F2F2F2"/>
            <w:hideMark/>
          </w:tcPr>
          <w:p w:rsidRPr="008B5BFB" w:rsidR="00147661" w:rsidP="00795E00" w:rsidRDefault="00147661" w14:paraId="002FA326" w14:textId="77777777">
            <w:pPr>
              <w:jc w:val="center"/>
              <w:rPr>
                <w:sz w:val="20"/>
                <w:szCs w:val="20"/>
              </w:rPr>
            </w:pPr>
            <w:r w:rsidRPr="008B5BFB">
              <w:rPr>
                <w:sz w:val="20"/>
                <w:szCs w:val="20"/>
              </w:rPr>
              <w:t>No. of Responses per Respondent</w:t>
            </w:r>
          </w:p>
        </w:tc>
        <w:tc>
          <w:tcPr>
            <w:tcW w:w="1170" w:type="dxa"/>
            <w:tcBorders>
              <w:top w:val="single" w:color="auto" w:sz="4" w:space="0"/>
              <w:left w:val="single" w:color="auto" w:sz="6" w:space="0"/>
              <w:bottom w:val="single" w:color="auto" w:sz="6" w:space="0"/>
              <w:right w:val="nil"/>
            </w:tcBorders>
            <w:shd w:val="clear" w:color="auto" w:fill="F2F2F2"/>
            <w:hideMark/>
          </w:tcPr>
          <w:p w:rsidRPr="008B5BFB" w:rsidR="00147661" w:rsidP="00795E00" w:rsidRDefault="00147661" w14:paraId="3E928906" w14:textId="77777777">
            <w:pPr>
              <w:jc w:val="center"/>
              <w:rPr>
                <w:sz w:val="20"/>
                <w:szCs w:val="20"/>
              </w:rPr>
            </w:pPr>
            <w:r w:rsidRPr="008B5BFB">
              <w:rPr>
                <w:sz w:val="20"/>
                <w:szCs w:val="20"/>
              </w:rPr>
              <w:t>Total Annual Responses</w:t>
            </w:r>
          </w:p>
        </w:tc>
        <w:tc>
          <w:tcPr>
            <w:tcW w:w="1170" w:type="dxa"/>
            <w:tcBorders>
              <w:top w:val="single" w:color="auto" w:sz="4" w:space="0"/>
              <w:left w:val="single" w:color="auto" w:sz="6" w:space="0"/>
              <w:bottom w:val="single" w:color="auto" w:sz="6" w:space="0"/>
              <w:right w:val="nil"/>
            </w:tcBorders>
            <w:shd w:val="clear" w:color="auto" w:fill="F2F2F2"/>
            <w:hideMark/>
          </w:tcPr>
          <w:p w:rsidRPr="008B5BFB" w:rsidR="00147661" w:rsidP="00795E00" w:rsidRDefault="00147661" w14:paraId="169F8912" w14:textId="77777777">
            <w:pPr>
              <w:jc w:val="center"/>
              <w:rPr>
                <w:sz w:val="20"/>
                <w:szCs w:val="20"/>
              </w:rPr>
            </w:pPr>
            <w:r w:rsidRPr="008B5BFB">
              <w:rPr>
                <w:sz w:val="20"/>
                <w:szCs w:val="20"/>
              </w:rPr>
              <w:t>Avg. Burden per Response</w:t>
            </w:r>
          </w:p>
        </w:tc>
        <w:tc>
          <w:tcPr>
            <w:tcW w:w="810" w:type="dxa"/>
            <w:tcBorders>
              <w:top w:val="single" w:color="auto" w:sz="4" w:space="0"/>
              <w:left w:val="single" w:color="auto" w:sz="6" w:space="0"/>
              <w:bottom w:val="single" w:color="auto" w:sz="6" w:space="0"/>
              <w:right w:val="single" w:color="auto" w:sz="6" w:space="0"/>
            </w:tcBorders>
            <w:shd w:val="clear" w:color="auto" w:fill="F2F2F2"/>
            <w:hideMark/>
          </w:tcPr>
          <w:p w:rsidRPr="008B5BFB" w:rsidR="00147661" w:rsidP="00795E00" w:rsidRDefault="00147661" w14:paraId="015A29E5" w14:textId="77777777">
            <w:pPr>
              <w:jc w:val="center"/>
              <w:rPr>
                <w:sz w:val="20"/>
                <w:szCs w:val="20"/>
              </w:rPr>
            </w:pPr>
            <w:r w:rsidRPr="008B5BFB">
              <w:rPr>
                <w:sz w:val="20"/>
                <w:szCs w:val="20"/>
              </w:rPr>
              <w:t>Total Hours</w:t>
            </w:r>
          </w:p>
        </w:tc>
      </w:tr>
      <w:tr w:rsidRPr="008B5BFB" w:rsidR="00147661" w:rsidTr="00D047F7" w14:paraId="6C81FA90" w14:textId="77777777">
        <w:tc>
          <w:tcPr>
            <w:tcW w:w="3436" w:type="dxa"/>
            <w:tcBorders>
              <w:top w:val="single" w:color="auto" w:sz="6" w:space="0"/>
              <w:left w:val="single" w:color="auto" w:sz="6" w:space="0"/>
              <w:bottom w:val="nil"/>
              <w:right w:val="nil"/>
            </w:tcBorders>
            <w:hideMark/>
          </w:tcPr>
          <w:p w:rsidRPr="008B5BFB" w:rsidR="00147661" w:rsidP="00795E00" w:rsidRDefault="00147661" w14:paraId="2D3E12A8" w14:textId="77777777">
            <w:pPr>
              <w:rPr>
                <w:sz w:val="20"/>
                <w:szCs w:val="20"/>
              </w:rPr>
            </w:pPr>
            <w:r w:rsidRPr="008B5BFB">
              <w:rPr>
                <w:sz w:val="20"/>
                <w:szCs w:val="20"/>
              </w:rPr>
              <w:t>Reports; Section 412(d) of the FD&amp;C Act</w:t>
            </w:r>
          </w:p>
        </w:tc>
        <w:tc>
          <w:tcPr>
            <w:tcW w:w="1350" w:type="dxa"/>
            <w:tcBorders>
              <w:top w:val="single" w:color="auto" w:sz="6" w:space="0"/>
              <w:left w:val="single" w:color="auto" w:sz="6" w:space="0"/>
              <w:bottom w:val="nil"/>
              <w:right w:val="nil"/>
            </w:tcBorders>
            <w:hideMark/>
          </w:tcPr>
          <w:p w:rsidRPr="008B5BFB" w:rsidR="00147661" w:rsidP="00795E00" w:rsidRDefault="00147661" w14:paraId="415E8B2D" w14:textId="77777777">
            <w:pPr>
              <w:jc w:val="right"/>
              <w:rPr>
                <w:sz w:val="20"/>
                <w:szCs w:val="20"/>
              </w:rPr>
            </w:pPr>
            <w:r w:rsidRPr="008B5BFB">
              <w:rPr>
                <w:sz w:val="20"/>
                <w:szCs w:val="20"/>
              </w:rPr>
              <w:t>5</w:t>
            </w:r>
          </w:p>
        </w:tc>
        <w:tc>
          <w:tcPr>
            <w:tcW w:w="1440" w:type="dxa"/>
            <w:tcBorders>
              <w:top w:val="single" w:color="auto" w:sz="6" w:space="0"/>
              <w:left w:val="single" w:color="auto" w:sz="6" w:space="0"/>
              <w:bottom w:val="nil"/>
              <w:right w:val="nil"/>
            </w:tcBorders>
            <w:hideMark/>
          </w:tcPr>
          <w:p w:rsidRPr="008B5BFB" w:rsidR="00147661" w:rsidP="00795E00" w:rsidRDefault="00147661" w14:paraId="630E1683" w14:textId="77777777">
            <w:pPr>
              <w:jc w:val="right"/>
              <w:rPr>
                <w:sz w:val="20"/>
                <w:szCs w:val="20"/>
              </w:rPr>
            </w:pPr>
            <w:r w:rsidRPr="008B5BFB">
              <w:rPr>
                <w:sz w:val="20"/>
                <w:szCs w:val="20"/>
              </w:rPr>
              <w:t>13</w:t>
            </w:r>
          </w:p>
        </w:tc>
        <w:tc>
          <w:tcPr>
            <w:tcW w:w="1170" w:type="dxa"/>
            <w:tcBorders>
              <w:top w:val="single" w:color="auto" w:sz="6" w:space="0"/>
              <w:left w:val="single" w:color="auto" w:sz="6" w:space="0"/>
              <w:bottom w:val="nil"/>
              <w:right w:val="nil"/>
            </w:tcBorders>
            <w:hideMark/>
          </w:tcPr>
          <w:p w:rsidRPr="008B5BFB" w:rsidR="00147661" w:rsidP="00795E00" w:rsidRDefault="00147661" w14:paraId="2E827F46" w14:textId="77777777">
            <w:pPr>
              <w:jc w:val="right"/>
              <w:rPr>
                <w:sz w:val="20"/>
                <w:szCs w:val="20"/>
              </w:rPr>
            </w:pPr>
            <w:r w:rsidRPr="008B5BFB">
              <w:rPr>
                <w:sz w:val="20"/>
                <w:szCs w:val="20"/>
              </w:rPr>
              <w:t>65</w:t>
            </w:r>
          </w:p>
        </w:tc>
        <w:tc>
          <w:tcPr>
            <w:tcW w:w="1170" w:type="dxa"/>
            <w:tcBorders>
              <w:top w:val="single" w:color="auto" w:sz="6" w:space="0"/>
              <w:left w:val="single" w:color="auto" w:sz="6" w:space="0"/>
              <w:bottom w:val="nil"/>
              <w:right w:val="nil"/>
            </w:tcBorders>
            <w:hideMark/>
          </w:tcPr>
          <w:p w:rsidRPr="008B5BFB" w:rsidR="00147661" w:rsidP="00795E00" w:rsidRDefault="00147661" w14:paraId="5F59788B" w14:textId="77777777">
            <w:pPr>
              <w:jc w:val="right"/>
              <w:rPr>
                <w:sz w:val="20"/>
                <w:szCs w:val="20"/>
              </w:rPr>
            </w:pPr>
            <w:r w:rsidRPr="008B5BFB">
              <w:rPr>
                <w:sz w:val="20"/>
                <w:szCs w:val="20"/>
              </w:rPr>
              <w:t>10</w:t>
            </w:r>
          </w:p>
        </w:tc>
        <w:tc>
          <w:tcPr>
            <w:tcW w:w="810" w:type="dxa"/>
            <w:tcBorders>
              <w:top w:val="single" w:color="auto" w:sz="6" w:space="0"/>
              <w:left w:val="single" w:color="auto" w:sz="6" w:space="0"/>
              <w:bottom w:val="nil"/>
              <w:right w:val="single" w:color="auto" w:sz="6" w:space="0"/>
            </w:tcBorders>
            <w:hideMark/>
          </w:tcPr>
          <w:p w:rsidRPr="008B5BFB" w:rsidR="00147661" w:rsidP="00795E00" w:rsidRDefault="00147661" w14:paraId="06725DB7" w14:textId="77777777">
            <w:pPr>
              <w:jc w:val="right"/>
              <w:rPr>
                <w:sz w:val="20"/>
                <w:szCs w:val="20"/>
              </w:rPr>
            </w:pPr>
            <w:r w:rsidRPr="008B5BFB">
              <w:rPr>
                <w:sz w:val="20"/>
                <w:szCs w:val="20"/>
              </w:rPr>
              <w:t>650</w:t>
            </w:r>
          </w:p>
        </w:tc>
      </w:tr>
      <w:tr w:rsidRPr="008B5BFB" w:rsidR="00147661" w:rsidTr="00D047F7" w14:paraId="2D0C4E3B" w14:textId="77777777">
        <w:tc>
          <w:tcPr>
            <w:tcW w:w="3436" w:type="dxa"/>
            <w:tcBorders>
              <w:top w:val="single" w:color="auto" w:sz="6" w:space="0"/>
              <w:left w:val="single" w:color="auto" w:sz="6" w:space="0"/>
              <w:bottom w:val="nil"/>
              <w:right w:val="nil"/>
            </w:tcBorders>
            <w:hideMark/>
          </w:tcPr>
          <w:p w:rsidRPr="008B5BFB" w:rsidR="00147661" w:rsidP="00795E00" w:rsidRDefault="00147661" w14:paraId="51765249" w14:textId="77777777">
            <w:pPr>
              <w:rPr>
                <w:sz w:val="20"/>
                <w:szCs w:val="20"/>
              </w:rPr>
            </w:pPr>
            <w:r w:rsidRPr="008B5BFB">
              <w:rPr>
                <w:sz w:val="20"/>
                <w:szCs w:val="20"/>
              </w:rPr>
              <w:t>Notifications; § 106.120(b)</w:t>
            </w:r>
          </w:p>
        </w:tc>
        <w:tc>
          <w:tcPr>
            <w:tcW w:w="1350" w:type="dxa"/>
            <w:tcBorders>
              <w:top w:val="single" w:color="auto" w:sz="6" w:space="0"/>
              <w:left w:val="single" w:color="auto" w:sz="6" w:space="0"/>
              <w:bottom w:val="nil"/>
              <w:right w:val="nil"/>
            </w:tcBorders>
            <w:hideMark/>
          </w:tcPr>
          <w:p w:rsidRPr="008B5BFB" w:rsidR="00147661" w:rsidP="00795E00" w:rsidRDefault="00147661" w14:paraId="433F8A9E" w14:textId="77777777">
            <w:pPr>
              <w:jc w:val="right"/>
              <w:rPr>
                <w:sz w:val="20"/>
                <w:szCs w:val="20"/>
              </w:rPr>
            </w:pPr>
            <w:r w:rsidRPr="008B5BFB">
              <w:rPr>
                <w:sz w:val="20"/>
                <w:szCs w:val="20"/>
              </w:rPr>
              <w:t>1</w:t>
            </w:r>
          </w:p>
        </w:tc>
        <w:tc>
          <w:tcPr>
            <w:tcW w:w="1440" w:type="dxa"/>
            <w:tcBorders>
              <w:top w:val="single" w:color="auto" w:sz="6" w:space="0"/>
              <w:left w:val="single" w:color="auto" w:sz="6" w:space="0"/>
              <w:bottom w:val="nil"/>
              <w:right w:val="nil"/>
            </w:tcBorders>
            <w:hideMark/>
          </w:tcPr>
          <w:p w:rsidRPr="008B5BFB" w:rsidR="00147661" w:rsidP="00795E00" w:rsidRDefault="00147661" w14:paraId="77B5AFE7" w14:textId="77777777">
            <w:pPr>
              <w:jc w:val="right"/>
              <w:rPr>
                <w:sz w:val="20"/>
                <w:szCs w:val="20"/>
              </w:rPr>
            </w:pPr>
            <w:r w:rsidRPr="008B5BFB">
              <w:rPr>
                <w:sz w:val="20"/>
                <w:szCs w:val="20"/>
              </w:rPr>
              <w:t>1</w:t>
            </w:r>
          </w:p>
        </w:tc>
        <w:tc>
          <w:tcPr>
            <w:tcW w:w="1170" w:type="dxa"/>
            <w:tcBorders>
              <w:top w:val="single" w:color="auto" w:sz="6" w:space="0"/>
              <w:left w:val="single" w:color="auto" w:sz="6" w:space="0"/>
              <w:bottom w:val="nil"/>
              <w:right w:val="nil"/>
            </w:tcBorders>
            <w:hideMark/>
          </w:tcPr>
          <w:p w:rsidRPr="008B5BFB" w:rsidR="00147661" w:rsidP="00795E00" w:rsidRDefault="00147661" w14:paraId="102A2F53" w14:textId="77777777">
            <w:pPr>
              <w:jc w:val="right"/>
              <w:rPr>
                <w:sz w:val="20"/>
                <w:szCs w:val="20"/>
              </w:rPr>
            </w:pPr>
            <w:r w:rsidRPr="008B5BFB">
              <w:rPr>
                <w:sz w:val="20"/>
                <w:szCs w:val="20"/>
              </w:rPr>
              <w:t>1</w:t>
            </w:r>
          </w:p>
        </w:tc>
        <w:tc>
          <w:tcPr>
            <w:tcW w:w="1170" w:type="dxa"/>
            <w:tcBorders>
              <w:top w:val="single" w:color="auto" w:sz="6" w:space="0"/>
              <w:left w:val="single" w:color="auto" w:sz="6" w:space="0"/>
              <w:bottom w:val="nil"/>
              <w:right w:val="nil"/>
            </w:tcBorders>
            <w:hideMark/>
          </w:tcPr>
          <w:p w:rsidRPr="008B5BFB" w:rsidR="00147661" w:rsidP="00795E00" w:rsidRDefault="00147661" w14:paraId="3D66471D" w14:textId="77777777">
            <w:pPr>
              <w:jc w:val="right"/>
              <w:rPr>
                <w:sz w:val="20"/>
                <w:szCs w:val="20"/>
              </w:rPr>
            </w:pPr>
            <w:r w:rsidRPr="008B5BFB">
              <w:rPr>
                <w:sz w:val="20"/>
                <w:szCs w:val="20"/>
              </w:rPr>
              <w:t>4</w:t>
            </w:r>
          </w:p>
        </w:tc>
        <w:tc>
          <w:tcPr>
            <w:tcW w:w="810" w:type="dxa"/>
            <w:tcBorders>
              <w:top w:val="single" w:color="auto" w:sz="6" w:space="0"/>
              <w:left w:val="single" w:color="auto" w:sz="6" w:space="0"/>
              <w:bottom w:val="nil"/>
              <w:right w:val="single" w:color="auto" w:sz="6" w:space="0"/>
            </w:tcBorders>
            <w:hideMark/>
          </w:tcPr>
          <w:p w:rsidRPr="008B5BFB" w:rsidR="00147661" w:rsidP="00795E00" w:rsidRDefault="00147661" w14:paraId="17C2F3B6" w14:textId="77777777">
            <w:pPr>
              <w:jc w:val="right"/>
              <w:rPr>
                <w:sz w:val="20"/>
                <w:szCs w:val="20"/>
              </w:rPr>
            </w:pPr>
            <w:r w:rsidRPr="008B5BFB">
              <w:rPr>
                <w:sz w:val="20"/>
                <w:szCs w:val="20"/>
              </w:rPr>
              <w:t>4</w:t>
            </w:r>
          </w:p>
        </w:tc>
      </w:tr>
      <w:tr w:rsidRPr="008B5BFB" w:rsidR="00147661" w:rsidTr="00D047F7" w14:paraId="434BBBC5" w14:textId="77777777">
        <w:tc>
          <w:tcPr>
            <w:tcW w:w="3436" w:type="dxa"/>
            <w:tcBorders>
              <w:top w:val="single" w:color="auto" w:sz="6" w:space="0"/>
              <w:left w:val="single" w:color="auto" w:sz="6" w:space="0"/>
              <w:bottom w:val="nil"/>
              <w:right w:val="nil"/>
            </w:tcBorders>
            <w:hideMark/>
          </w:tcPr>
          <w:p w:rsidRPr="008B5BFB" w:rsidR="00147661" w:rsidP="00795E00" w:rsidRDefault="00147661" w14:paraId="4C22015A" w14:textId="77777777">
            <w:pPr>
              <w:rPr>
                <w:sz w:val="20"/>
                <w:szCs w:val="20"/>
              </w:rPr>
            </w:pPr>
            <w:r w:rsidRPr="008B5BFB">
              <w:rPr>
                <w:sz w:val="20"/>
                <w:szCs w:val="20"/>
              </w:rPr>
              <w:t>Reports for exempt infant formula; § 107.50(b)(3) and (4)</w:t>
            </w:r>
          </w:p>
        </w:tc>
        <w:tc>
          <w:tcPr>
            <w:tcW w:w="1350" w:type="dxa"/>
            <w:tcBorders>
              <w:top w:val="single" w:color="auto" w:sz="6" w:space="0"/>
              <w:left w:val="single" w:color="auto" w:sz="6" w:space="0"/>
              <w:bottom w:val="nil"/>
              <w:right w:val="nil"/>
            </w:tcBorders>
            <w:hideMark/>
          </w:tcPr>
          <w:p w:rsidRPr="008B5BFB" w:rsidR="00147661" w:rsidP="00795E00" w:rsidRDefault="00147661" w14:paraId="4F9AC451" w14:textId="77777777">
            <w:pPr>
              <w:jc w:val="right"/>
              <w:rPr>
                <w:sz w:val="20"/>
                <w:szCs w:val="20"/>
              </w:rPr>
            </w:pPr>
            <w:r w:rsidRPr="008B5BFB">
              <w:rPr>
                <w:sz w:val="20"/>
                <w:szCs w:val="20"/>
              </w:rPr>
              <w:t>3</w:t>
            </w:r>
          </w:p>
        </w:tc>
        <w:tc>
          <w:tcPr>
            <w:tcW w:w="1440" w:type="dxa"/>
            <w:tcBorders>
              <w:top w:val="single" w:color="auto" w:sz="6" w:space="0"/>
              <w:left w:val="single" w:color="auto" w:sz="6" w:space="0"/>
              <w:bottom w:val="nil"/>
              <w:right w:val="nil"/>
            </w:tcBorders>
            <w:hideMark/>
          </w:tcPr>
          <w:p w:rsidRPr="008B5BFB" w:rsidR="00147661" w:rsidP="00795E00" w:rsidRDefault="00147661" w14:paraId="7F6A4378" w14:textId="77777777">
            <w:pPr>
              <w:jc w:val="right"/>
              <w:rPr>
                <w:sz w:val="20"/>
                <w:szCs w:val="20"/>
              </w:rPr>
            </w:pPr>
            <w:r w:rsidRPr="008B5BFB">
              <w:rPr>
                <w:sz w:val="20"/>
                <w:szCs w:val="20"/>
              </w:rPr>
              <w:t>2</w:t>
            </w:r>
          </w:p>
        </w:tc>
        <w:tc>
          <w:tcPr>
            <w:tcW w:w="1170" w:type="dxa"/>
            <w:tcBorders>
              <w:top w:val="single" w:color="auto" w:sz="6" w:space="0"/>
              <w:left w:val="single" w:color="auto" w:sz="6" w:space="0"/>
              <w:bottom w:val="nil"/>
              <w:right w:val="nil"/>
            </w:tcBorders>
            <w:hideMark/>
          </w:tcPr>
          <w:p w:rsidRPr="008B5BFB" w:rsidR="00147661" w:rsidP="00795E00" w:rsidRDefault="00147661" w14:paraId="2AAB4FF3" w14:textId="77777777">
            <w:pPr>
              <w:jc w:val="right"/>
              <w:rPr>
                <w:sz w:val="20"/>
                <w:szCs w:val="20"/>
              </w:rPr>
            </w:pPr>
            <w:r w:rsidRPr="008B5BFB">
              <w:rPr>
                <w:sz w:val="20"/>
                <w:szCs w:val="20"/>
              </w:rPr>
              <w:t>6</w:t>
            </w:r>
          </w:p>
        </w:tc>
        <w:tc>
          <w:tcPr>
            <w:tcW w:w="1170" w:type="dxa"/>
            <w:tcBorders>
              <w:top w:val="single" w:color="auto" w:sz="6" w:space="0"/>
              <w:left w:val="single" w:color="auto" w:sz="6" w:space="0"/>
              <w:bottom w:val="nil"/>
              <w:right w:val="nil"/>
            </w:tcBorders>
            <w:hideMark/>
          </w:tcPr>
          <w:p w:rsidRPr="008B5BFB" w:rsidR="00147661" w:rsidP="00795E00" w:rsidRDefault="00147661" w14:paraId="0926F2C6" w14:textId="77777777">
            <w:pPr>
              <w:jc w:val="right"/>
              <w:rPr>
                <w:sz w:val="20"/>
                <w:szCs w:val="20"/>
              </w:rPr>
            </w:pPr>
            <w:r w:rsidRPr="008B5BFB">
              <w:rPr>
                <w:sz w:val="20"/>
                <w:szCs w:val="20"/>
              </w:rPr>
              <w:t>4</w:t>
            </w:r>
          </w:p>
        </w:tc>
        <w:tc>
          <w:tcPr>
            <w:tcW w:w="810" w:type="dxa"/>
            <w:tcBorders>
              <w:top w:val="single" w:color="auto" w:sz="6" w:space="0"/>
              <w:left w:val="single" w:color="auto" w:sz="6" w:space="0"/>
              <w:bottom w:val="nil"/>
              <w:right w:val="single" w:color="auto" w:sz="6" w:space="0"/>
            </w:tcBorders>
            <w:hideMark/>
          </w:tcPr>
          <w:p w:rsidRPr="008B5BFB" w:rsidR="00147661" w:rsidP="00795E00" w:rsidRDefault="00147661" w14:paraId="363C5312" w14:textId="77777777">
            <w:pPr>
              <w:jc w:val="right"/>
              <w:rPr>
                <w:sz w:val="20"/>
                <w:szCs w:val="20"/>
              </w:rPr>
            </w:pPr>
            <w:r w:rsidRPr="008B5BFB">
              <w:rPr>
                <w:sz w:val="20"/>
                <w:szCs w:val="20"/>
              </w:rPr>
              <w:t>24</w:t>
            </w:r>
          </w:p>
        </w:tc>
      </w:tr>
      <w:tr w:rsidRPr="008B5BFB" w:rsidR="00147661" w:rsidTr="00D047F7" w14:paraId="4BDC7AD3" w14:textId="77777777">
        <w:tc>
          <w:tcPr>
            <w:tcW w:w="3436" w:type="dxa"/>
            <w:tcBorders>
              <w:top w:val="single" w:color="auto" w:sz="6" w:space="0"/>
              <w:left w:val="single" w:color="auto" w:sz="6" w:space="0"/>
              <w:bottom w:val="single" w:color="auto" w:sz="6" w:space="0"/>
              <w:right w:val="nil"/>
            </w:tcBorders>
            <w:hideMark/>
          </w:tcPr>
          <w:p w:rsidRPr="008B5BFB" w:rsidR="00147661" w:rsidP="00795E00" w:rsidRDefault="00147661" w14:paraId="4B6F536D" w14:textId="77777777">
            <w:pPr>
              <w:rPr>
                <w:sz w:val="20"/>
                <w:szCs w:val="20"/>
              </w:rPr>
            </w:pPr>
            <w:r w:rsidRPr="008B5BFB">
              <w:rPr>
                <w:sz w:val="20"/>
                <w:szCs w:val="20"/>
              </w:rPr>
              <w:t>Notifications for exempt infant formula; § 107.50(e)(2)</w:t>
            </w:r>
          </w:p>
        </w:tc>
        <w:tc>
          <w:tcPr>
            <w:tcW w:w="1350" w:type="dxa"/>
            <w:tcBorders>
              <w:top w:val="single" w:color="auto" w:sz="6" w:space="0"/>
              <w:left w:val="single" w:color="auto" w:sz="6" w:space="0"/>
              <w:bottom w:val="single" w:color="auto" w:sz="6" w:space="0"/>
              <w:right w:val="nil"/>
            </w:tcBorders>
            <w:hideMark/>
          </w:tcPr>
          <w:p w:rsidRPr="008B5BFB" w:rsidR="00147661" w:rsidP="00795E00" w:rsidRDefault="00147661" w14:paraId="08E054CB" w14:textId="77777777">
            <w:pPr>
              <w:jc w:val="right"/>
              <w:rPr>
                <w:sz w:val="20"/>
                <w:szCs w:val="20"/>
              </w:rPr>
            </w:pPr>
            <w:r w:rsidRPr="008B5BFB">
              <w:rPr>
                <w:sz w:val="20"/>
                <w:szCs w:val="20"/>
              </w:rPr>
              <w:t>1</w:t>
            </w:r>
          </w:p>
        </w:tc>
        <w:tc>
          <w:tcPr>
            <w:tcW w:w="1440" w:type="dxa"/>
            <w:tcBorders>
              <w:top w:val="single" w:color="auto" w:sz="6" w:space="0"/>
              <w:left w:val="single" w:color="auto" w:sz="6" w:space="0"/>
              <w:bottom w:val="single" w:color="auto" w:sz="6" w:space="0"/>
              <w:right w:val="nil"/>
            </w:tcBorders>
            <w:hideMark/>
          </w:tcPr>
          <w:p w:rsidRPr="008B5BFB" w:rsidR="00147661" w:rsidP="00795E00" w:rsidRDefault="00147661" w14:paraId="21219B35" w14:textId="77777777">
            <w:pPr>
              <w:jc w:val="right"/>
              <w:rPr>
                <w:sz w:val="20"/>
                <w:szCs w:val="20"/>
              </w:rPr>
            </w:pPr>
            <w:r w:rsidRPr="008B5BFB">
              <w:rPr>
                <w:sz w:val="20"/>
                <w:szCs w:val="20"/>
              </w:rPr>
              <w:t>1</w:t>
            </w:r>
          </w:p>
        </w:tc>
        <w:tc>
          <w:tcPr>
            <w:tcW w:w="1170" w:type="dxa"/>
            <w:tcBorders>
              <w:top w:val="single" w:color="auto" w:sz="6" w:space="0"/>
              <w:left w:val="single" w:color="auto" w:sz="6" w:space="0"/>
              <w:bottom w:val="single" w:color="auto" w:sz="6" w:space="0"/>
              <w:right w:val="nil"/>
            </w:tcBorders>
            <w:hideMark/>
          </w:tcPr>
          <w:p w:rsidRPr="008B5BFB" w:rsidR="00147661" w:rsidP="00795E00" w:rsidRDefault="00147661" w14:paraId="214C0138" w14:textId="77777777">
            <w:pPr>
              <w:jc w:val="right"/>
              <w:rPr>
                <w:sz w:val="20"/>
                <w:szCs w:val="20"/>
              </w:rPr>
            </w:pPr>
            <w:r w:rsidRPr="008B5BFB">
              <w:rPr>
                <w:sz w:val="20"/>
                <w:szCs w:val="20"/>
              </w:rPr>
              <w:t>1</w:t>
            </w:r>
          </w:p>
        </w:tc>
        <w:tc>
          <w:tcPr>
            <w:tcW w:w="1170" w:type="dxa"/>
            <w:tcBorders>
              <w:top w:val="single" w:color="auto" w:sz="6" w:space="0"/>
              <w:left w:val="single" w:color="auto" w:sz="6" w:space="0"/>
              <w:bottom w:val="single" w:color="auto" w:sz="6" w:space="0"/>
              <w:right w:val="nil"/>
            </w:tcBorders>
            <w:hideMark/>
          </w:tcPr>
          <w:p w:rsidRPr="008B5BFB" w:rsidR="00147661" w:rsidP="00795E00" w:rsidRDefault="00147661" w14:paraId="7BD78753" w14:textId="77777777">
            <w:pPr>
              <w:jc w:val="right"/>
              <w:rPr>
                <w:sz w:val="20"/>
                <w:szCs w:val="20"/>
              </w:rPr>
            </w:pPr>
            <w:r w:rsidRPr="008B5BFB">
              <w:rPr>
                <w:sz w:val="20"/>
                <w:szCs w:val="20"/>
              </w:rPr>
              <w:t>4</w:t>
            </w:r>
          </w:p>
        </w:tc>
        <w:tc>
          <w:tcPr>
            <w:tcW w:w="810" w:type="dxa"/>
            <w:tcBorders>
              <w:top w:val="single" w:color="auto" w:sz="6" w:space="0"/>
              <w:left w:val="single" w:color="auto" w:sz="6" w:space="0"/>
              <w:bottom w:val="single" w:color="auto" w:sz="6" w:space="0"/>
              <w:right w:val="single" w:color="auto" w:sz="6" w:space="0"/>
            </w:tcBorders>
            <w:hideMark/>
          </w:tcPr>
          <w:p w:rsidRPr="008B5BFB" w:rsidR="00147661" w:rsidP="00795E00" w:rsidRDefault="00147661" w14:paraId="166F6E05" w14:textId="77777777">
            <w:pPr>
              <w:jc w:val="right"/>
              <w:rPr>
                <w:sz w:val="20"/>
                <w:szCs w:val="20"/>
              </w:rPr>
            </w:pPr>
            <w:r w:rsidRPr="008B5BFB">
              <w:rPr>
                <w:sz w:val="20"/>
                <w:szCs w:val="20"/>
              </w:rPr>
              <w:t>4</w:t>
            </w:r>
          </w:p>
        </w:tc>
      </w:tr>
      <w:tr w:rsidRPr="008B5BFB" w:rsidR="00147661" w:rsidTr="00D047F7" w14:paraId="62EFA5F8" w14:textId="77777777">
        <w:tc>
          <w:tcPr>
            <w:tcW w:w="3436" w:type="dxa"/>
            <w:tcBorders>
              <w:top w:val="single" w:color="auto" w:sz="6" w:space="0"/>
              <w:left w:val="single" w:color="auto" w:sz="6" w:space="0"/>
              <w:bottom w:val="single" w:color="auto" w:sz="4" w:space="0"/>
              <w:right w:val="nil"/>
            </w:tcBorders>
            <w:hideMark/>
          </w:tcPr>
          <w:p w:rsidRPr="008B5BFB" w:rsidR="00147661" w:rsidP="00795E00" w:rsidRDefault="00147661" w14:paraId="6460D5A7" w14:textId="77777777">
            <w:pPr>
              <w:rPr>
                <w:sz w:val="20"/>
                <w:szCs w:val="20"/>
              </w:rPr>
            </w:pPr>
            <w:r w:rsidRPr="008B5BFB">
              <w:rPr>
                <w:sz w:val="20"/>
                <w:szCs w:val="20"/>
              </w:rPr>
              <w:t>Requirements for quality factors growth monitoring study exemption; § 106.96(c)</w:t>
            </w:r>
          </w:p>
        </w:tc>
        <w:tc>
          <w:tcPr>
            <w:tcW w:w="1350" w:type="dxa"/>
            <w:tcBorders>
              <w:top w:val="single" w:color="auto" w:sz="6" w:space="0"/>
              <w:left w:val="single" w:color="auto" w:sz="6" w:space="0"/>
              <w:bottom w:val="single" w:color="auto" w:sz="4" w:space="0"/>
              <w:right w:val="nil"/>
            </w:tcBorders>
            <w:hideMark/>
          </w:tcPr>
          <w:p w:rsidRPr="008B5BFB" w:rsidR="00147661" w:rsidP="00795E00" w:rsidRDefault="00147661" w14:paraId="71F1622C" w14:textId="77777777">
            <w:pPr>
              <w:jc w:val="right"/>
              <w:rPr>
                <w:sz w:val="20"/>
                <w:szCs w:val="20"/>
              </w:rPr>
            </w:pPr>
            <w:r w:rsidRPr="008B5BFB">
              <w:rPr>
                <w:sz w:val="20"/>
                <w:szCs w:val="20"/>
              </w:rPr>
              <w:t>4</w:t>
            </w:r>
          </w:p>
        </w:tc>
        <w:tc>
          <w:tcPr>
            <w:tcW w:w="1440" w:type="dxa"/>
            <w:tcBorders>
              <w:top w:val="single" w:color="auto" w:sz="6" w:space="0"/>
              <w:left w:val="single" w:color="auto" w:sz="6" w:space="0"/>
              <w:bottom w:val="single" w:color="auto" w:sz="4" w:space="0"/>
              <w:right w:val="nil"/>
            </w:tcBorders>
            <w:hideMark/>
          </w:tcPr>
          <w:p w:rsidRPr="008B5BFB" w:rsidR="00147661" w:rsidP="00795E00" w:rsidRDefault="00147661" w14:paraId="54503183" w14:textId="77777777">
            <w:pPr>
              <w:jc w:val="right"/>
              <w:rPr>
                <w:sz w:val="20"/>
                <w:szCs w:val="20"/>
              </w:rPr>
            </w:pPr>
            <w:r w:rsidRPr="008B5BFB">
              <w:rPr>
                <w:sz w:val="20"/>
                <w:szCs w:val="20"/>
              </w:rPr>
              <w:t>9</w:t>
            </w:r>
          </w:p>
        </w:tc>
        <w:tc>
          <w:tcPr>
            <w:tcW w:w="1170" w:type="dxa"/>
            <w:tcBorders>
              <w:top w:val="single" w:color="auto" w:sz="6" w:space="0"/>
              <w:left w:val="single" w:color="auto" w:sz="6" w:space="0"/>
              <w:bottom w:val="single" w:color="auto" w:sz="4" w:space="0"/>
              <w:right w:val="nil"/>
            </w:tcBorders>
            <w:hideMark/>
          </w:tcPr>
          <w:p w:rsidRPr="008B5BFB" w:rsidR="00147661" w:rsidP="00795E00" w:rsidRDefault="00147661" w14:paraId="23884E6D" w14:textId="77777777">
            <w:pPr>
              <w:jc w:val="right"/>
              <w:rPr>
                <w:sz w:val="20"/>
                <w:szCs w:val="20"/>
              </w:rPr>
            </w:pPr>
            <w:r w:rsidRPr="008B5BFB">
              <w:rPr>
                <w:sz w:val="20"/>
                <w:szCs w:val="20"/>
              </w:rPr>
              <w:t>36</w:t>
            </w:r>
          </w:p>
        </w:tc>
        <w:tc>
          <w:tcPr>
            <w:tcW w:w="1170" w:type="dxa"/>
            <w:tcBorders>
              <w:top w:val="single" w:color="auto" w:sz="6" w:space="0"/>
              <w:left w:val="single" w:color="auto" w:sz="6" w:space="0"/>
              <w:bottom w:val="single" w:color="auto" w:sz="4" w:space="0"/>
              <w:right w:val="nil"/>
            </w:tcBorders>
            <w:hideMark/>
          </w:tcPr>
          <w:p w:rsidRPr="008B5BFB" w:rsidR="00147661" w:rsidP="00795E00" w:rsidRDefault="00147661" w14:paraId="3F356B49" w14:textId="77777777">
            <w:pPr>
              <w:jc w:val="right"/>
              <w:rPr>
                <w:sz w:val="20"/>
                <w:szCs w:val="20"/>
              </w:rPr>
            </w:pPr>
            <w:r w:rsidRPr="008B5BFB">
              <w:rPr>
                <w:sz w:val="20"/>
                <w:szCs w:val="20"/>
              </w:rPr>
              <w:t>20</w:t>
            </w:r>
          </w:p>
        </w:tc>
        <w:tc>
          <w:tcPr>
            <w:tcW w:w="810" w:type="dxa"/>
            <w:tcBorders>
              <w:top w:val="single" w:color="auto" w:sz="6" w:space="0"/>
              <w:left w:val="single" w:color="auto" w:sz="6" w:space="0"/>
              <w:bottom w:val="single" w:color="auto" w:sz="4" w:space="0"/>
              <w:right w:val="single" w:color="auto" w:sz="6" w:space="0"/>
            </w:tcBorders>
            <w:hideMark/>
          </w:tcPr>
          <w:p w:rsidRPr="008B5BFB" w:rsidR="00147661" w:rsidP="00795E00" w:rsidRDefault="00147661" w14:paraId="7F61B87E" w14:textId="77777777">
            <w:pPr>
              <w:jc w:val="right"/>
              <w:rPr>
                <w:sz w:val="20"/>
                <w:szCs w:val="20"/>
              </w:rPr>
            </w:pPr>
            <w:r w:rsidRPr="008B5BFB">
              <w:rPr>
                <w:sz w:val="20"/>
                <w:szCs w:val="20"/>
              </w:rPr>
              <w:t>720</w:t>
            </w:r>
          </w:p>
        </w:tc>
      </w:tr>
      <w:tr w:rsidRPr="008B5BFB" w:rsidR="00147661" w:rsidTr="00D047F7" w14:paraId="2FA53A72" w14:textId="77777777">
        <w:tc>
          <w:tcPr>
            <w:tcW w:w="3436" w:type="dxa"/>
            <w:tcBorders>
              <w:top w:val="single" w:color="auto" w:sz="4" w:space="0"/>
              <w:left w:val="single" w:color="auto" w:sz="6" w:space="0"/>
              <w:bottom w:val="nil"/>
              <w:right w:val="nil"/>
            </w:tcBorders>
            <w:hideMark/>
          </w:tcPr>
          <w:p w:rsidRPr="008B5BFB" w:rsidR="00147661" w:rsidP="00795E00" w:rsidRDefault="00147661" w14:paraId="1EBF0006" w14:textId="77777777">
            <w:pPr>
              <w:rPr>
                <w:sz w:val="20"/>
                <w:szCs w:val="20"/>
              </w:rPr>
            </w:pPr>
            <w:r w:rsidRPr="008B5BFB">
              <w:rPr>
                <w:sz w:val="20"/>
                <w:szCs w:val="20"/>
              </w:rPr>
              <w:t>Requirements for quality factors--PER exemption; § 106.96(g)</w:t>
            </w:r>
          </w:p>
        </w:tc>
        <w:tc>
          <w:tcPr>
            <w:tcW w:w="1350" w:type="dxa"/>
            <w:tcBorders>
              <w:top w:val="single" w:color="auto" w:sz="4" w:space="0"/>
              <w:left w:val="single" w:color="auto" w:sz="6" w:space="0"/>
              <w:bottom w:val="nil"/>
              <w:right w:val="nil"/>
            </w:tcBorders>
            <w:hideMark/>
          </w:tcPr>
          <w:p w:rsidRPr="008B5BFB" w:rsidR="00147661" w:rsidP="00795E00" w:rsidRDefault="00147661" w14:paraId="2070B35C" w14:textId="77777777">
            <w:pPr>
              <w:jc w:val="right"/>
              <w:rPr>
                <w:sz w:val="20"/>
                <w:szCs w:val="20"/>
              </w:rPr>
            </w:pPr>
            <w:r w:rsidRPr="008B5BFB">
              <w:rPr>
                <w:sz w:val="20"/>
                <w:szCs w:val="20"/>
              </w:rPr>
              <w:t>1</w:t>
            </w:r>
          </w:p>
        </w:tc>
        <w:tc>
          <w:tcPr>
            <w:tcW w:w="1440" w:type="dxa"/>
            <w:tcBorders>
              <w:top w:val="single" w:color="auto" w:sz="4" w:space="0"/>
              <w:left w:val="single" w:color="auto" w:sz="6" w:space="0"/>
              <w:bottom w:val="nil"/>
              <w:right w:val="nil"/>
            </w:tcBorders>
            <w:hideMark/>
          </w:tcPr>
          <w:p w:rsidRPr="008B5BFB" w:rsidR="00147661" w:rsidP="00795E00" w:rsidRDefault="00147661" w14:paraId="1E9D8759" w14:textId="77777777">
            <w:pPr>
              <w:jc w:val="right"/>
              <w:rPr>
                <w:sz w:val="20"/>
                <w:szCs w:val="20"/>
              </w:rPr>
            </w:pPr>
            <w:r w:rsidRPr="008B5BFB">
              <w:rPr>
                <w:sz w:val="20"/>
                <w:szCs w:val="20"/>
              </w:rPr>
              <w:t>34</w:t>
            </w:r>
          </w:p>
        </w:tc>
        <w:tc>
          <w:tcPr>
            <w:tcW w:w="1170" w:type="dxa"/>
            <w:tcBorders>
              <w:top w:val="single" w:color="auto" w:sz="4" w:space="0"/>
              <w:left w:val="single" w:color="auto" w:sz="6" w:space="0"/>
              <w:bottom w:val="nil"/>
              <w:right w:val="nil"/>
            </w:tcBorders>
            <w:hideMark/>
          </w:tcPr>
          <w:p w:rsidRPr="008B5BFB" w:rsidR="00147661" w:rsidP="00795E00" w:rsidRDefault="00147661" w14:paraId="1C5E1A48" w14:textId="77777777">
            <w:pPr>
              <w:jc w:val="right"/>
              <w:rPr>
                <w:sz w:val="20"/>
                <w:szCs w:val="20"/>
              </w:rPr>
            </w:pPr>
            <w:r w:rsidRPr="008B5BFB">
              <w:rPr>
                <w:sz w:val="20"/>
                <w:szCs w:val="20"/>
              </w:rPr>
              <w:t>34</w:t>
            </w:r>
          </w:p>
        </w:tc>
        <w:tc>
          <w:tcPr>
            <w:tcW w:w="1170" w:type="dxa"/>
            <w:tcBorders>
              <w:top w:val="single" w:color="auto" w:sz="4" w:space="0"/>
              <w:left w:val="single" w:color="auto" w:sz="6" w:space="0"/>
              <w:bottom w:val="nil"/>
              <w:right w:val="nil"/>
            </w:tcBorders>
            <w:hideMark/>
          </w:tcPr>
          <w:p w:rsidRPr="008B5BFB" w:rsidR="00147661" w:rsidP="00795E00" w:rsidRDefault="00147661" w14:paraId="6122F16E" w14:textId="77777777">
            <w:pPr>
              <w:jc w:val="right"/>
              <w:rPr>
                <w:sz w:val="20"/>
                <w:szCs w:val="20"/>
              </w:rPr>
            </w:pPr>
            <w:r w:rsidRPr="008B5BFB">
              <w:rPr>
                <w:sz w:val="20"/>
                <w:szCs w:val="20"/>
              </w:rPr>
              <w:t>12</w:t>
            </w:r>
          </w:p>
        </w:tc>
        <w:tc>
          <w:tcPr>
            <w:tcW w:w="810" w:type="dxa"/>
            <w:tcBorders>
              <w:top w:val="single" w:color="auto" w:sz="4" w:space="0"/>
              <w:left w:val="single" w:color="auto" w:sz="6" w:space="0"/>
              <w:bottom w:val="nil"/>
              <w:right w:val="single" w:color="auto" w:sz="6" w:space="0"/>
            </w:tcBorders>
            <w:hideMark/>
          </w:tcPr>
          <w:p w:rsidRPr="008B5BFB" w:rsidR="00147661" w:rsidP="00795E00" w:rsidRDefault="00147661" w14:paraId="1494E86C" w14:textId="77777777">
            <w:pPr>
              <w:jc w:val="right"/>
              <w:rPr>
                <w:sz w:val="20"/>
                <w:szCs w:val="20"/>
              </w:rPr>
            </w:pPr>
            <w:r w:rsidRPr="008B5BFB">
              <w:rPr>
                <w:sz w:val="20"/>
                <w:szCs w:val="20"/>
              </w:rPr>
              <w:t>408</w:t>
            </w:r>
          </w:p>
        </w:tc>
      </w:tr>
      <w:tr w:rsidRPr="008B5BFB" w:rsidR="00147661" w:rsidTr="00D047F7" w14:paraId="68D4F555" w14:textId="77777777">
        <w:tc>
          <w:tcPr>
            <w:tcW w:w="3436" w:type="dxa"/>
            <w:tcBorders>
              <w:top w:val="single" w:color="auto" w:sz="6" w:space="0"/>
              <w:left w:val="single" w:color="auto" w:sz="6" w:space="0"/>
              <w:bottom w:val="nil"/>
              <w:right w:val="nil"/>
            </w:tcBorders>
            <w:hideMark/>
          </w:tcPr>
          <w:p w:rsidRPr="008B5BFB" w:rsidR="00147661" w:rsidP="00795E00" w:rsidRDefault="00147661" w14:paraId="70BFFEA1" w14:textId="77777777">
            <w:pPr>
              <w:rPr>
                <w:sz w:val="20"/>
                <w:szCs w:val="20"/>
              </w:rPr>
            </w:pPr>
            <w:r w:rsidRPr="008B5BFB">
              <w:rPr>
                <w:sz w:val="20"/>
                <w:szCs w:val="20"/>
              </w:rPr>
              <w:t>New infant formula registration; § 106.110</w:t>
            </w:r>
          </w:p>
        </w:tc>
        <w:tc>
          <w:tcPr>
            <w:tcW w:w="1350" w:type="dxa"/>
            <w:tcBorders>
              <w:top w:val="single" w:color="auto" w:sz="6" w:space="0"/>
              <w:left w:val="single" w:color="auto" w:sz="6" w:space="0"/>
              <w:bottom w:val="nil"/>
              <w:right w:val="nil"/>
            </w:tcBorders>
            <w:hideMark/>
          </w:tcPr>
          <w:p w:rsidRPr="008B5BFB" w:rsidR="00147661" w:rsidP="00795E00" w:rsidRDefault="00147661" w14:paraId="109850D1" w14:textId="77777777">
            <w:pPr>
              <w:jc w:val="right"/>
              <w:rPr>
                <w:sz w:val="20"/>
                <w:szCs w:val="20"/>
              </w:rPr>
            </w:pPr>
            <w:r w:rsidRPr="008B5BFB">
              <w:rPr>
                <w:sz w:val="20"/>
                <w:szCs w:val="20"/>
              </w:rPr>
              <w:t>4</w:t>
            </w:r>
          </w:p>
        </w:tc>
        <w:tc>
          <w:tcPr>
            <w:tcW w:w="1440" w:type="dxa"/>
            <w:tcBorders>
              <w:top w:val="single" w:color="auto" w:sz="6" w:space="0"/>
              <w:left w:val="single" w:color="auto" w:sz="6" w:space="0"/>
              <w:bottom w:val="nil"/>
              <w:right w:val="nil"/>
            </w:tcBorders>
            <w:hideMark/>
          </w:tcPr>
          <w:p w:rsidRPr="008B5BFB" w:rsidR="00147661" w:rsidP="00795E00" w:rsidRDefault="00147661" w14:paraId="3E610BD0" w14:textId="77777777">
            <w:pPr>
              <w:jc w:val="right"/>
              <w:rPr>
                <w:sz w:val="20"/>
                <w:szCs w:val="20"/>
              </w:rPr>
            </w:pPr>
            <w:r w:rsidRPr="008B5BFB">
              <w:rPr>
                <w:sz w:val="20"/>
                <w:szCs w:val="20"/>
              </w:rPr>
              <w:t>9</w:t>
            </w:r>
          </w:p>
        </w:tc>
        <w:tc>
          <w:tcPr>
            <w:tcW w:w="1170" w:type="dxa"/>
            <w:tcBorders>
              <w:top w:val="single" w:color="auto" w:sz="6" w:space="0"/>
              <w:left w:val="single" w:color="auto" w:sz="6" w:space="0"/>
              <w:bottom w:val="nil"/>
              <w:right w:val="nil"/>
            </w:tcBorders>
            <w:hideMark/>
          </w:tcPr>
          <w:p w:rsidRPr="008B5BFB" w:rsidR="00147661" w:rsidP="00795E00" w:rsidRDefault="00147661" w14:paraId="2C0EF2A5" w14:textId="77777777">
            <w:pPr>
              <w:jc w:val="right"/>
              <w:rPr>
                <w:sz w:val="20"/>
                <w:szCs w:val="20"/>
              </w:rPr>
            </w:pPr>
            <w:r w:rsidRPr="008B5BFB">
              <w:rPr>
                <w:sz w:val="20"/>
                <w:szCs w:val="20"/>
              </w:rPr>
              <w:t>36</w:t>
            </w:r>
          </w:p>
        </w:tc>
        <w:tc>
          <w:tcPr>
            <w:tcW w:w="1170" w:type="dxa"/>
            <w:tcBorders>
              <w:top w:val="single" w:color="auto" w:sz="6" w:space="0"/>
              <w:left w:val="single" w:color="auto" w:sz="6" w:space="0"/>
              <w:bottom w:val="nil"/>
              <w:right w:val="nil"/>
            </w:tcBorders>
            <w:hideMark/>
          </w:tcPr>
          <w:p w:rsidRPr="008B5BFB" w:rsidR="00147661" w:rsidP="00795E00" w:rsidRDefault="00147661" w14:paraId="547F73BD" w14:textId="77777777">
            <w:pPr>
              <w:jc w:val="right"/>
              <w:rPr>
                <w:sz w:val="20"/>
                <w:szCs w:val="20"/>
              </w:rPr>
            </w:pPr>
            <w:r w:rsidRPr="008B5BFB">
              <w:rPr>
                <w:sz w:val="20"/>
                <w:szCs w:val="20"/>
              </w:rPr>
              <w:t>0.50</w:t>
            </w:r>
          </w:p>
          <w:p w:rsidRPr="008B5BFB" w:rsidR="00147661" w:rsidP="00795E00" w:rsidRDefault="00147661" w14:paraId="388804A9" w14:textId="77777777">
            <w:pPr>
              <w:jc w:val="right"/>
              <w:rPr>
                <w:sz w:val="20"/>
                <w:szCs w:val="20"/>
              </w:rPr>
            </w:pPr>
            <w:r w:rsidRPr="008B5BFB">
              <w:rPr>
                <w:sz w:val="20"/>
                <w:szCs w:val="20"/>
              </w:rPr>
              <w:t>(30 mins.)</w:t>
            </w:r>
          </w:p>
        </w:tc>
        <w:tc>
          <w:tcPr>
            <w:tcW w:w="810" w:type="dxa"/>
            <w:tcBorders>
              <w:top w:val="single" w:color="auto" w:sz="6" w:space="0"/>
              <w:left w:val="single" w:color="auto" w:sz="6" w:space="0"/>
              <w:bottom w:val="nil"/>
              <w:right w:val="single" w:color="auto" w:sz="6" w:space="0"/>
            </w:tcBorders>
            <w:hideMark/>
          </w:tcPr>
          <w:p w:rsidRPr="008B5BFB" w:rsidR="00147661" w:rsidP="00795E00" w:rsidRDefault="00147661" w14:paraId="5527898E" w14:textId="77777777">
            <w:pPr>
              <w:jc w:val="right"/>
              <w:rPr>
                <w:sz w:val="20"/>
                <w:szCs w:val="20"/>
              </w:rPr>
            </w:pPr>
            <w:r w:rsidRPr="008B5BFB">
              <w:rPr>
                <w:sz w:val="20"/>
                <w:szCs w:val="20"/>
              </w:rPr>
              <w:t>18</w:t>
            </w:r>
          </w:p>
        </w:tc>
      </w:tr>
      <w:tr w:rsidRPr="008B5BFB" w:rsidR="00147661" w:rsidTr="00D047F7" w14:paraId="2B32230C" w14:textId="77777777">
        <w:tc>
          <w:tcPr>
            <w:tcW w:w="3436" w:type="dxa"/>
            <w:tcBorders>
              <w:top w:val="single" w:color="auto" w:sz="6" w:space="0"/>
              <w:left w:val="single" w:color="auto" w:sz="6" w:space="0"/>
              <w:bottom w:val="nil"/>
              <w:right w:val="nil"/>
            </w:tcBorders>
            <w:hideMark/>
          </w:tcPr>
          <w:p w:rsidRPr="008B5BFB" w:rsidR="00147661" w:rsidP="00795E00" w:rsidRDefault="00147661" w14:paraId="4CD4BB88" w14:textId="77777777">
            <w:pPr>
              <w:rPr>
                <w:sz w:val="20"/>
                <w:szCs w:val="20"/>
              </w:rPr>
            </w:pPr>
            <w:r w:rsidRPr="008B5BFB">
              <w:rPr>
                <w:sz w:val="20"/>
                <w:szCs w:val="20"/>
              </w:rPr>
              <w:t>New infant formula submission; § 106.120</w:t>
            </w:r>
          </w:p>
        </w:tc>
        <w:tc>
          <w:tcPr>
            <w:tcW w:w="1350" w:type="dxa"/>
            <w:tcBorders>
              <w:top w:val="single" w:color="auto" w:sz="6" w:space="0"/>
              <w:left w:val="single" w:color="auto" w:sz="6" w:space="0"/>
              <w:bottom w:val="nil"/>
              <w:right w:val="nil"/>
            </w:tcBorders>
            <w:hideMark/>
          </w:tcPr>
          <w:p w:rsidRPr="008B5BFB" w:rsidR="00147661" w:rsidP="00795E00" w:rsidRDefault="00147661" w14:paraId="182B41B3" w14:textId="77777777">
            <w:pPr>
              <w:jc w:val="right"/>
              <w:rPr>
                <w:sz w:val="20"/>
                <w:szCs w:val="20"/>
              </w:rPr>
            </w:pPr>
            <w:r w:rsidRPr="008B5BFB">
              <w:rPr>
                <w:sz w:val="20"/>
                <w:szCs w:val="20"/>
              </w:rPr>
              <w:t>4</w:t>
            </w:r>
          </w:p>
        </w:tc>
        <w:tc>
          <w:tcPr>
            <w:tcW w:w="1440" w:type="dxa"/>
            <w:tcBorders>
              <w:top w:val="single" w:color="auto" w:sz="6" w:space="0"/>
              <w:left w:val="single" w:color="auto" w:sz="6" w:space="0"/>
              <w:bottom w:val="nil"/>
              <w:right w:val="nil"/>
            </w:tcBorders>
            <w:hideMark/>
          </w:tcPr>
          <w:p w:rsidRPr="008B5BFB" w:rsidR="00147661" w:rsidP="00795E00" w:rsidRDefault="00147661" w14:paraId="4E843C14" w14:textId="77777777">
            <w:pPr>
              <w:jc w:val="right"/>
              <w:rPr>
                <w:sz w:val="20"/>
                <w:szCs w:val="20"/>
              </w:rPr>
            </w:pPr>
            <w:r w:rsidRPr="008B5BFB">
              <w:rPr>
                <w:sz w:val="20"/>
                <w:szCs w:val="20"/>
              </w:rPr>
              <w:t xml:space="preserve">9 </w:t>
            </w:r>
          </w:p>
        </w:tc>
        <w:tc>
          <w:tcPr>
            <w:tcW w:w="1170" w:type="dxa"/>
            <w:tcBorders>
              <w:top w:val="single" w:color="auto" w:sz="6" w:space="0"/>
              <w:left w:val="single" w:color="auto" w:sz="6" w:space="0"/>
              <w:bottom w:val="nil"/>
              <w:right w:val="nil"/>
            </w:tcBorders>
            <w:hideMark/>
          </w:tcPr>
          <w:p w:rsidRPr="008B5BFB" w:rsidR="00147661" w:rsidP="00795E00" w:rsidRDefault="00147661" w14:paraId="4201B31E" w14:textId="77777777">
            <w:pPr>
              <w:jc w:val="right"/>
              <w:rPr>
                <w:sz w:val="20"/>
                <w:szCs w:val="20"/>
              </w:rPr>
            </w:pPr>
            <w:r w:rsidRPr="008B5BFB">
              <w:rPr>
                <w:sz w:val="20"/>
                <w:szCs w:val="20"/>
              </w:rPr>
              <w:t>36</w:t>
            </w:r>
          </w:p>
        </w:tc>
        <w:tc>
          <w:tcPr>
            <w:tcW w:w="1170" w:type="dxa"/>
            <w:tcBorders>
              <w:top w:val="single" w:color="auto" w:sz="6" w:space="0"/>
              <w:left w:val="single" w:color="auto" w:sz="6" w:space="0"/>
              <w:bottom w:val="nil"/>
              <w:right w:val="nil"/>
            </w:tcBorders>
            <w:hideMark/>
          </w:tcPr>
          <w:p w:rsidRPr="008B5BFB" w:rsidR="00147661" w:rsidP="00795E00" w:rsidRDefault="00147661" w14:paraId="5641564C" w14:textId="77777777">
            <w:pPr>
              <w:jc w:val="right"/>
              <w:rPr>
                <w:sz w:val="20"/>
                <w:szCs w:val="20"/>
              </w:rPr>
            </w:pPr>
            <w:r w:rsidRPr="008B5BFB">
              <w:rPr>
                <w:sz w:val="20"/>
                <w:szCs w:val="20"/>
              </w:rPr>
              <w:t>10</w:t>
            </w:r>
          </w:p>
        </w:tc>
        <w:tc>
          <w:tcPr>
            <w:tcW w:w="810" w:type="dxa"/>
            <w:tcBorders>
              <w:top w:val="single" w:color="auto" w:sz="6" w:space="0"/>
              <w:left w:val="single" w:color="auto" w:sz="6" w:space="0"/>
              <w:bottom w:val="nil"/>
              <w:right w:val="single" w:color="auto" w:sz="6" w:space="0"/>
            </w:tcBorders>
            <w:hideMark/>
          </w:tcPr>
          <w:p w:rsidRPr="008B5BFB" w:rsidR="00147661" w:rsidP="00795E00" w:rsidRDefault="00147661" w14:paraId="239877A1" w14:textId="77777777">
            <w:pPr>
              <w:jc w:val="right"/>
              <w:rPr>
                <w:sz w:val="20"/>
                <w:szCs w:val="20"/>
              </w:rPr>
            </w:pPr>
            <w:r w:rsidRPr="008B5BFB">
              <w:rPr>
                <w:sz w:val="20"/>
                <w:szCs w:val="20"/>
              </w:rPr>
              <w:t>360</w:t>
            </w:r>
          </w:p>
        </w:tc>
      </w:tr>
      <w:tr w:rsidRPr="008B5BFB" w:rsidR="00147661" w:rsidTr="00D047F7" w14:paraId="275174C5" w14:textId="77777777">
        <w:tc>
          <w:tcPr>
            <w:tcW w:w="8566" w:type="dxa"/>
            <w:gridSpan w:val="5"/>
            <w:tcBorders>
              <w:top w:val="single" w:color="auto" w:sz="6" w:space="0"/>
              <w:left w:val="single" w:color="auto" w:sz="6" w:space="0"/>
              <w:bottom w:val="single" w:color="auto" w:sz="6" w:space="0"/>
              <w:right w:val="nil"/>
            </w:tcBorders>
            <w:hideMark/>
          </w:tcPr>
          <w:p w:rsidRPr="008B5BFB" w:rsidR="00147661" w:rsidP="00795E00" w:rsidRDefault="00147661" w14:paraId="3D7748BE" w14:textId="77777777">
            <w:pPr>
              <w:rPr>
                <w:sz w:val="20"/>
                <w:szCs w:val="20"/>
              </w:rPr>
            </w:pPr>
            <w:r w:rsidRPr="008B5BFB">
              <w:rPr>
                <w:sz w:val="20"/>
                <w:szCs w:val="20"/>
              </w:rPr>
              <w:t>Total</w:t>
            </w:r>
          </w:p>
        </w:tc>
        <w:tc>
          <w:tcPr>
            <w:tcW w:w="810" w:type="dxa"/>
            <w:tcBorders>
              <w:top w:val="single" w:color="auto" w:sz="6" w:space="0"/>
              <w:left w:val="single" w:color="auto" w:sz="6" w:space="0"/>
              <w:bottom w:val="single" w:color="auto" w:sz="6" w:space="0"/>
              <w:right w:val="single" w:color="auto" w:sz="6" w:space="0"/>
            </w:tcBorders>
            <w:hideMark/>
          </w:tcPr>
          <w:p w:rsidRPr="008B5BFB" w:rsidR="00147661" w:rsidP="00795E00" w:rsidRDefault="00147661" w14:paraId="242E8282" w14:textId="77777777">
            <w:pPr>
              <w:jc w:val="right"/>
              <w:rPr>
                <w:sz w:val="20"/>
                <w:szCs w:val="20"/>
              </w:rPr>
            </w:pPr>
            <w:r w:rsidRPr="008B5BFB">
              <w:rPr>
                <w:sz w:val="20"/>
                <w:szCs w:val="20"/>
              </w:rPr>
              <w:t>2,188</w:t>
            </w:r>
          </w:p>
        </w:tc>
      </w:tr>
    </w:tbl>
    <w:p w:rsidRPr="008761D4" w:rsidR="00FD6EC0" w:rsidP="00795E00" w:rsidRDefault="00FD6EC0" w14:paraId="5260A77C" w14:textId="2332EA26">
      <w:pPr>
        <w:jc w:val="center"/>
        <w:rPr>
          <w:sz w:val="20"/>
          <w:szCs w:val="20"/>
        </w:rPr>
      </w:pPr>
      <w:r w:rsidRPr="008761D4">
        <w:rPr>
          <w:sz w:val="20"/>
          <w:szCs w:val="20"/>
        </w:rPr>
        <w:t>Table 1</w:t>
      </w:r>
      <w:r w:rsidRPr="008761D4" w:rsidR="00147661">
        <w:rPr>
          <w:sz w:val="20"/>
          <w:szCs w:val="20"/>
        </w:rPr>
        <w:t>.--</w:t>
      </w:r>
      <w:r w:rsidRPr="008761D4">
        <w:rPr>
          <w:sz w:val="20"/>
          <w:szCs w:val="20"/>
        </w:rPr>
        <w:t>Estimated Annual Reporting Burden</w:t>
      </w:r>
      <w:r w:rsidRPr="008761D4">
        <w:rPr>
          <w:sz w:val="20"/>
          <w:szCs w:val="20"/>
          <w:vertAlign w:val="superscript"/>
        </w:rPr>
        <w:t>1</w:t>
      </w:r>
    </w:p>
    <w:p w:rsidRPr="00FD6EC0" w:rsidR="00FD6EC0" w:rsidP="00795E00" w:rsidRDefault="00B41C97" w14:paraId="0F2AB5C8" w14:textId="0528CD15">
      <w:r>
        <w:rPr>
          <w:sz w:val="20"/>
          <w:szCs w:val="20"/>
        </w:rPr>
        <w:tab/>
      </w:r>
      <w:r w:rsidRPr="00FD6EC0" w:rsidR="00FD6EC0">
        <w:rPr>
          <w:sz w:val="20"/>
          <w:szCs w:val="20"/>
          <w:vertAlign w:val="superscript"/>
        </w:rPr>
        <w:t>1</w:t>
      </w:r>
      <w:r w:rsidR="00BB26BE">
        <w:rPr>
          <w:sz w:val="20"/>
          <w:szCs w:val="20"/>
          <w:vertAlign w:val="superscript"/>
        </w:rPr>
        <w:t xml:space="preserve"> </w:t>
      </w:r>
      <w:r w:rsidRPr="00FD6EC0" w:rsidR="00FD6EC0">
        <w:rPr>
          <w:sz w:val="20"/>
          <w:szCs w:val="20"/>
        </w:rPr>
        <w:t>There are no capital or operating and maintenance costs associated with the information collection.</w:t>
      </w:r>
    </w:p>
    <w:p w:rsidRPr="00FD6EC0" w:rsidR="00FD6EC0" w:rsidP="00795E00" w:rsidRDefault="00FD6EC0" w14:paraId="67957EC0" w14:textId="77777777"/>
    <w:p w:rsidR="00795E00" w:rsidRDefault="00795E00" w14:paraId="5D08DA97" w14:textId="77777777">
      <w:pPr>
        <w:rPr>
          <w:sz w:val="20"/>
          <w:szCs w:val="20"/>
        </w:rPr>
      </w:pPr>
      <w:r>
        <w:rPr>
          <w:sz w:val="20"/>
          <w:szCs w:val="20"/>
        </w:rPr>
        <w:br w:type="page"/>
      </w:r>
    </w:p>
    <w:p w:rsidR="00795E00" w:rsidP="00795E00" w:rsidRDefault="00795E00" w14:paraId="1F6F6BAF" w14:textId="77777777">
      <w:pPr>
        <w:widowControl w:val="0"/>
        <w:spacing w:line="233" w:lineRule="exact"/>
      </w:pPr>
    </w:p>
    <w:tbl>
      <w:tblPr>
        <w:tblW w:w="9368" w:type="dxa"/>
        <w:tblInd w:w="-8" w:type="dxa"/>
        <w:tblLayout w:type="fixed"/>
        <w:tblCellMar>
          <w:left w:w="120" w:type="dxa"/>
          <w:right w:w="120" w:type="dxa"/>
        </w:tblCellMar>
        <w:tblLook w:val="04A0" w:firstRow="1" w:lastRow="0" w:firstColumn="1" w:lastColumn="0" w:noHBand="0" w:noVBand="1"/>
      </w:tblPr>
      <w:tblGrid>
        <w:gridCol w:w="3068"/>
        <w:gridCol w:w="1440"/>
        <w:gridCol w:w="1440"/>
        <w:gridCol w:w="990"/>
        <w:gridCol w:w="1530"/>
        <w:gridCol w:w="900"/>
      </w:tblGrid>
      <w:tr w:rsidRPr="00795E00" w:rsidR="00795E00" w:rsidTr="00D047F7" w14:paraId="280135FD" w14:textId="77777777">
        <w:tc>
          <w:tcPr>
            <w:tcW w:w="9368" w:type="dxa"/>
            <w:gridSpan w:val="6"/>
            <w:tcBorders>
              <w:bottom w:val="single" w:color="000000" w:sz="6" w:space="0"/>
            </w:tcBorders>
            <w:shd w:val="clear" w:color="auto" w:fill="auto"/>
          </w:tcPr>
          <w:p w:rsidRPr="00795E00" w:rsidR="00795E00" w:rsidP="00795E00" w:rsidRDefault="00795E00" w14:paraId="058DB263" w14:textId="77777777">
            <w:pPr>
              <w:keepNext/>
              <w:jc w:val="center"/>
              <w:rPr>
                <w:sz w:val="20"/>
                <w:szCs w:val="20"/>
              </w:rPr>
            </w:pPr>
            <w:r w:rsidRPr="00795E00">
              <w:rPr>
                <w:sz w:val="20"/>
                <w:szCs w:val="20"/>
              </w:rPr>
              <w:t>Table 2.--Estimated Annual Recordkeeping Burden</w:t>
            </w:r>
            <w:r w:rsidRPr="00795E00">
              <w:rPr>
                <w:sz w:val="20"/>
                <w:szCs w:val="20"/>
                <w:vertAlign w:val="superscript"/>
              </w:rPr>
              <w:t>1, 2</w:t>
            </w:r>
          </w:p>
        </w:tc>
      </w:tr>
      <w:tr w:rsidRPr="00795E00" w:rsidR="00795E00" w:rsidTr="00D047F7" w14:paraId="4A7E3C10" w14:textId="77777777">
        <w:tc>
          <w:tcPr>
            <w:tcW w:w="3068" w:type="dxa"/>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795E00" w:rsidR="00795E00" w:rsidP="00795E00" w:rsidRDefault="00795E00" w14:paraId="51810353" w14:textId="77777777">
            <w:pPr>
              <w:widowControl w:val="0"/>
              <w:snapToGrid w:val="0"/>
              <w:jc w:val="center"/>
              <w:rPr>
                <w:sz w:val="20"/>
                <w:szCs w:val="20"/>
              </w:rPr>
            </w:pPr>
            <w:r w:rsidRPr="00795E00">
              <w:rPr>
                <w:sz w:val="20"/>
                <w:szCs w:val="20"/>
              </w:rPr>
              <w:t>FD&amp;C Act or 21 CFR Part</w:t>
            </w:r>
          </w:p>
        </w:tc>
        <w:tc>
          <w:tcPr>
            <w:tcW w:w="1440" w:type="dxa"/>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795E00" w:rsidR="00795E00" w:rsidP="00795E00" w:rsidRDefault="00795E00" w14:paraId="5D696DE1" w14:textId="77777777">
            <w:pPr>
              <w:jc w:val="center"/>
              <w:rPr>
                <w:sz w:val="20"/>
                <w:szCs w:val="20"/>
              </w:rPr>
            </w:pPr>
            <w:r w:rsidRPr="00795E00">
              <w:rPr>
                <w:sz w:val="20"/>
                <w:szCs w:val="20"/>
              </w:rPr>
              <w:t>No. of Recordkeepers</w:t>
            </w:r>
          </w:p>
        </w:tc>
        <w:tc>
          <w:tcPr>
            <w:tcW w:w="1440" w:type="dxa"/>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795E00" w:rsidR="00795E00" w:rsidP="00795E00" w:rsidRDefault="00795E00" w14:paraId="30A92BB4" w14:textId="77777777">
            <w:pPr>
              <w:jc w:val="center"/>
              <w:rPr>
                <w:sz w:val="20"/>
                <w:szCs w:val="20"/>
              </w:rPr>
            </w:pPr>
            <w:r w:rsidRPr="00795E00">
              <w:rPr>
                <w:sz w:val="20"/>
                <w:szCs w:val="20"/>
              </w:rPr>
              <w:t>No. of Records Per Recordkeeper</w:t>
            </w:r>
          </w:p>
        </w:tc>
        <w:tc>
          <w:tcPr>
            <w:tcW w:w="990" w:type="dxa"/>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795E00" w:rsidR="00795E00" w:rsidP="00795E00" w:rsidRDefault="00795E00" w14:paraId="64FE5F7F" w14:textId="77777777">
            <w:pPr>
              <w:jc w:val="center"/>
              <w:rPr>
                <w:sz w:val="20"/>
                <w:szCs w:val="20"/>
              </w:rPr>
            </w:pPr>
            <w:r w:rsidRPr="00795E00">
              <w:rPr>
                <w:sz w:val="20"/>
                <w:szCs w:val="20"/>
              </w:rPr>
              <w:t>Total Annual Records</w:t>
            </w:r>
          </w:p>
        </w:tc>
        <w:tc>
          <w:tcPr>
            <w:tcW w:w="1530" w:type="dxa"/>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795E00" w:rsidR="00795E00" w:rsidP="00795E00" w:rsidRDefault="00795E00" w14:paraId="0DA27371" w14:textId="77777777">
            <w:pPr>
              <w:jc w:val="center"/>
              <w:rPr>
                <w:sz w:val="20"/>
                <w:szCs w:val="20"/>
              </w:rPr>
            </w:pPr>
            <w:r w:rsidRPr="00795E00">
              <w:rPr>
                <w:sz w:val="20"/>
                <w:szCs w:val="20"/>
              </w:rPr>
              <w:t>Average Burden Per Recordkeeping</w:t>
            </w:r>
          </w:p>
        </w:tc>
        <w:tc>
          <w:tcPr>
            <w:tcW w:w="900" w:type="dxa"/>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795E00" w:rsidR="00795E00" w:rsidP="00795E00" w:rsidRDefault="00795E00" w14:paraId="2C336389" w14:textId="77777777">
            <w:pPr>
              <w:widowControl w:val="0"/>
              <w:snapToGrid w:val="0"/>
              <w:jc w:val="center"/>
              <w:rPr>
                <w:sz w:val="20"/>
                <w:szCs w:val="20"/>
              </w:rPr>
            </w:pPr>
            <w:r w:rsidRPr="00795E00">
              <w:rPr>
                <w:sz w:val="20"/>
                <w:szCs w:val="20"/>
              </w:rPr>
              <w:t>Total Hours</w:t>
            </w:r>
          </w:p>
        </w:tc>
      </w:tr>
      <w:tr w:rsidRPr="00795E00" w:rsidR="00795E00" w:rsidTr="00D047F7" w14:paraId="471D27DB" w14:textId="77777777">
        <w:tc>
          <w:tcPr>
            <w:tcW w:w="3068"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67D2FB9D" w14:textId="77777777">
            <w:pPr>
              <w:widowControl w:val="0"/>
              <w:snapToGrid w:val="0"/>
              <w:rPr>
                <w:sz w:val="20"/>
                <w:szCs w:val="20"/>
              </w:rPr>
            </w:pPr>
            <w:r w:rsidRPr="00795E00">
              <w:rPr>
                <w:sz w:val="20"/>
                <w:szCs w:val="20"/>
              </w:rPr>
              <w:t>Part 106--subpart B:</w:t>
            </w:r>
          </w:p>
          <w:p w:rsidRPr="00795E00" w:rsidR="00795E00" w:rsidP="00795E00" w:rsidRDefault="00795E00" w14:paraId="240BB304" w14:textId="77777777">
            <w:pPr>
              <w:widowControl w:val="0"/>
              <w:snapToGrid w:val="0"/>
              <w:rPr>
                <w:sz w:val="20"/>
                <w:szCs w:val="20"/>
              </w:rPr>
            </w:pPr>
            <w:r w:rsidRPr="00795E00">
              <w:rPr>
                <w:sz w:val="20"/>
                <w:szCs w:val="20"/>
              </w:rPr>
              <w:t>CGMP Requirements</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6FDF7964" w14:textId="77777777">
            <w:pPr>
              <w:widowControl w:val="0"/>
              <w:snapToGrid w:val="0"/>
              <w:spacing w:after="58"/>
              <w:jc w:val="right"/>
              <w:rPr>
                <w:sz w:val="20"/>
                <w:szCs w:val="20"/>
              </w:rPr>
            </w:pPr>
            <w:r w:rsidRPr="00795E00">
              <w:rPr>
                <w:sz w:val="20"/>
                <w:szCs w:val="20"/>
              </w:rPr>
              <w:t>5</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6B40E278" w14:textId="77777777">
            <w:pPr>
              <w:widowControl w:val="0"/>
              <w:snapToGrid w:val="0"/>
              <w:spacing w:after="58"/>
              <w:jc w:val="right"/>
              <w:rPr>
                <w:sz w:val="20"/>
                <w:szCs w:val="20"/>
              </w:rPr>
            </w:pPr>
            <w:r w:rsidRPr="00795E00">
              <w:rPr>
                <w:sz w:val="20"/>
                <w:szCs w:val="20"/>
              </w:rPr>
              <w:t>429.8</w:t>
            </w:r>
          </w:p>
        </w:tc>
        <w:tc>
          <w:tcPr>
            <w:tcW w:w="99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333CFA39" w14:textId="77777777">
            <w:pPr>
              <w:widowControl w:val="0"/>
              <w:snapToGrid w:val="0"/>
              <w:spacing w:after="58"/>
              <w:jc w:val="right"/>
              <w:rPr>
                <w:sz w:val="20"/>
                <w:szCs w:val="20"/>
              </w:rPr>
            </w:pPr>
            <w:r w:rsidRPr="00795E00">
              <w:rPr>
                <w:sz w:val="20"/>
                <w:szCs w:val="20"/>
              </w:rPr>
              <w:t>2,149</w:t>
            </w:r>
          </w:p>
        </w:tc>
        <w:tc>
          <w:tcPr>
            <w:tcW w:w="153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45583473" w14:textId="77777777">
            <w:pPr>
              <w:widowControl w:val="0"/>
              <w:snapToGrid w:val="0"/>
              <w:spacing w:after="58"/>
              <w:jc w:val="right"/>
              <w:rPr>
                <w:sz w:val="20"/>
                <w:szCs w:val="20"/>
              </w:rPr>
            </w:pPr>
            <w:r w:rsidRPr="00795E00">
              <w:rPr>
                <w:sz w:val="20"/>
                <w:szCs w:val="20"/>
              </w:rPr>
              <w:t>4.4</w:t>
            </w:r>
          </w:p>
        </w:tc>
        <w:tc>
          <w:tcPr>
            <w:tcW w:w="90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63E0EE27" w14:textId="77777777">
            <w:pPr>
              <w:widowControl w:val="0"/>
              <w:snapToGrid w:val="0"/>
              <w:spacing w:after="58"/>
              <w:jc w:val="right"/>
              <w:rPr>
                <w:sz w:val="20"/>
                <w:szCs w:val="20"/>
              </w:rPr>
            </w:pPr>
            <w:r w:rsidRPr="00795E00">
              <w:rPr>
                <w:sz w:val="20"/>
                <w:szCs w:val="20"/>
              </w:rPr>
              <w:t>9,414</w:t>
            </w:r>
          </w:p>
        </w:tc>
      </w:tr>
      <w:tr w:rsidRPr="00795E00" w:rsidR="00795E00" w:rsidTr="00D047F7" w14:paraId="6B8DB9B9" w14:textId="77777777">
        <w:tc>
          <w:tcPr>
            <w:tcW w:w="3068"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448EE6A8" w14:textId="77777777">
            <w:pPr>
              <w:widowControl w:val="0"/>
              <w:snapToGrid w:val="0"/>
              <w:rPr>
                <w:sz w:val="20"/>
                <w:szCs w:val="20"/>
              </w:rPr>
            </w:pPr>
            <w:r w:rsidRPr="00795E00">
              <w:rPr>
                <w:sz w:val="20"/>
                <w:szCs w:val="20"/>
              </w:rPr>
              <w:t>Part 106--subparts C through G:  Quality control; audits; quality factors; records and reports</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39339CAA" w14:textId="77777777">
            <w:pPr>
              <w:widowControl w:val="0"/>
              <w:snapToGrid w:val="0"/>
              <w:spacing w:after="58"/>
              <w:jc w:val="right"/>
              <w:rPr>
                <w:sz w:val="20"/>
                <w:szCs w:val="20"/>
              </w:rPr>
            </w:pPr>
            <w:r w:rsidRPr="00795E00">
              <w:rPr>
                <w:sz w:val="20"/>
                <w:szCs w:val="20"/>
              </w:rPr>
              <w:t>5</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0C0DF33D" w14:textId="77777777">
            <w:pPr>
              <w:widowControl w:val="0"/>
              <w:snapToGrid w:val="0"/>
              <w:spacing w:after="58"/>
              <w:jc w:val="right"/>
              <w:rPr>
                <w:sz w:val="20"/>
                <w:szCs w:val="20"/>
              </w:rPr>
            </w:pPr>
            <w:r w:rsidRPr="00795E00">
              <w:rPr>
                <w:sz w:val="20"/>
                <w:szCs w:val="20"/>
              </w:rPr>
              <w:t>726.8</w:t>
            </w:r>
          </w:p>
        </w:tc>
        <w:tc>
          <w:tcPr>
            <w:tcW w:w="99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0E391799" w14:textId="77777777">
            <w:pPr>
              <w:widowControl w:val="0"/>
              <w:snapToGrid w:val="0"/>
              <w:spacing w:after="58"/>
              <w:jc w:val="right"/>
              <w:rPr>
                <w:sz w:val="20"/>
                <w:szCs w:val="20"/>
              </w:rPr>
            </w:pPr>
            <w:r w:rsidRPr="00795E00">
              <w:rPr>
                <w:sz w:val="20"/>
                <w:szCs w:val="20"/>
              </w:rPr>
              <w:t>3,634</w:t>
            </w:r>
          </w:p>
        </w:tc>
        <w:tc>
          <w:tcPr>
            <w:tcW w:w="153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3F4AF10B" w14:textId="77777777">
            <w:pPr>
              <w:widowControl w:val="0"/>
              <w:snapToGrid w:val="0"/>
              <w:spacing w:after="58"/>
              <w:jc w:val="right"/>
              <w:rPr>
                <w:sz w:val="20"/>
                <w:szCs w:val="20"/>
              </w:rPr>
            </w:pPr>
            <w:r w:rsidRPr="00795E00">
              <w:rPr>
                <w:sz w:val="20"/>
                <w:szCs w:val="20"/>
              </w:rPr>
              <w:t>6</w:t>
            </w:r>
          </w:p>
        </w:tc>
        <w:tc>
          <w:tcPr>
            <w:tcW w:w="90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390E1022" w14:textId="77777777">
            <w:pPr>
              <w:widowControl w:val="0"/>
              <w:snapToGrid w:val="0"/>
              <w:spacing w:after="58"/>
              <w:jc w:val="right"/>
              <w:rPr>
                <w:sz w:val="20"/>
                <w:szCs w:val="20"/>
              </w:rPr>
            </w:pPr>
            <w:r w:rsidRPr="00795E00">
              <w:rPr>
                <w:sz w:val="20"/>
                <w:szCs w:val="20"/>
              </w:rPr>
              <w:t>21,818</w:t>
            </w:r>
          </w:p>
        </w:tc>
      </w:tr>
      <w:tr w:rsidRPr="00795E00" w:rsidR="00795E00" w:rsidTr="00D047F7" w14:paraId="037EE8C4" w14:textId="77777777">
        <w:tc>
          <w:tcPr>
            <w:tcW w:w="3068"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371AD216" w14:textId="77777777">
            <w:pPr>
              <w:widowControl w:val="0"/>
              <w:snapToGrid w:val="0"/>
              <w:rPr>
                <w:sz w:val="20"/>
                <w:szCs w:val="20"/>
              </w:rPr>
            </w:pPr>
            <w:r w:rsidRPr="00795E00">
              <w:rPr>
                <w:sz w:val="20"/>
                <w:szCs w:val="20"/>
              </w:rPr>
              <w:t>Part 107--subpart C; Exempt infant formulas</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1AFA74C7" w14:textId="77777777">
            <w:pPr>
              <w:widowControl w:val="0"/>
              <w:snapToGrid w:val="0"/>
              <w:spacing w:after="58"/>
              <w:jc w:val="right"/>
              <w:rPr>
                <w:sz w:val="20"/>
                <w:szCs w:val="20"/>
              </w:rPr>
            </w:pPr>
            <w:r w:rsidRPr="00795E00">
              <w:rPr>
                <w:sz w:val="20"/>
                <w:szCs w:val="20"/>
              </w:rPr>
              <w:t>3</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155EC785" w14:textId="77777777">
            <w:pPr>
              <w:widowControl w:val="0"/>
              <w:snapToGrid w:val="0"/>
              <w:spacing w:after="58"/>
              <w:jc w:val="right"/>
              <w:rPr>
                <w:sz w:val="20"/>
                <w:szCs w:val="20"/>
              </w:rPr>
            </w:pPr>
            <w:r w:rsidRPr="00795E00">
              <w:rPr>
                <w:sz w:val="20"/>
                <w:szCs w:val="20"/>
              </w:rPr>
              <w:t>10</w:t>
            </w:r>
          </w:p>
        </w:tc>
        <w:tc>
          <w:tcPr>
            <w:tcW w:w="99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7018E8E5" w14:textId="77777777">
            <w:pPr>
              <w:widowControl w:val="0"/>
              <w:snapToGrid w:val="0"/>
              <w:spacing w:after="58"/>
              <w:jc w:val="right"/>
              <w:rPr>
                <w:sz w:val="20"/>
                <w:szCs w:val="20"/>
              </w:rPr>
            </w:pPr>
            <w:r w:rsidRPr="00795E00">
              <w:rPr>
                <w:sz w:val="20"/>
                <w:szCs w:val="20"/>
              </w:rPr>
              <w:t>30</w:t>
            </w:r>
          </w:p>
        </w:tc>
        <w:tc>
          <w:tcPr>
            <w:tcW w:w="153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06AB8026" w14:textId="77777777">
            <w:pPr>
              <w:widowControl w:val="0"/>
              <w:snapToGrid w:val="0"/>
              <w:spacing w:after="58"/>
              <w:jc w:val="right"/>
              <w:rPr>
                <w:sz w:val="20"/>
                <w:szCs w:val="20"/>
              </w:rPr>
            </w:pPr>
            <w:r w:rsidRPr="00795E00">
              <w:rPr>
                <w:sz w:val="20"/>
                <w:szCs w:val="20"/>
              </w:rPr>
              <w:t>300</w:t>
            </w:r>
          </w:p>
        </w:tc>
        <w:tc>
          <w:tcPr>
            <w:tcW w:w="90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7C5FD518" w14:textId="77777777">
            <w:pPr>
              <w:widowControl w:val="0"/>
              <w:snapToGrid w:val="0"/>
              <w:spacing w:after="58"/>
              <w:jc w:val="right"/>
              <w:rPr>
                <w:sz w:val="20"/>
                <w:szCs w:val="20"/>
              </w:rPr>
            </w:pPr>
            <w:r w:rsidRPr="00795E00">
              <w:rPr>
                <w:sz w:val="20"/>
                <w:szCs w:val="20"/>
              </w:rPr>
              <w:t>9,000</w:t>
            </w:r>
          </w:p>
        </w:tc>
      </w:tr>
      <w:tr w:rsidRPr="00795E00" w:rsidR="00795E00" w:rsidTr="00D047F7" w14:paraId="65A132A1" w14:textId="77777777">
        <w:tc>
          <w:tcPr>
            <w:tcW w:w="3068"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36B4622C" w14:textId="77777777">
            <w:pPr>
              <w:snapToGrid w:val="0"/>
              <w:rPr>
                <w:sz w:val="20"/>
                <w:szCs w:val="20"/>
              </w:rPr>
            </w:pPr>
            <w:bookmarkStart w:name="_Hlk38387396" w:id="4"/>
            <w:r w:rsidRPr="00795E00">
              <w:rPr>
                <w:sz w:val="20"/>
                <w:szCs w:val="20"/>
              </w:rPr>
              <w:t>Exempt infant formula production; GMP; audits, recordkeeping, and reports</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412709F3" w14:textId="77777777">
            <w:pPr>
              <w:snapToGrid w:val="0"/>
              <w:spacing w:after="58"/>
              <w:jc w:val="right"/>
              <w:rPr>
                <w:sz w:val="20"/>
                <w:szCs w:val="20"/>
              </w:rPr>
            </w:pPr>
            <w:r w:rsidRPr="00795E00">
              <w:rPr>
                <w:sz w:val="20"/>
                <w:szCs w:val="20"/>
              </w:rPr>
              <w:t>3</w:t>
            </w:r>
          </w:p>
        </w:tc>
        <w:tc>
          <w:tcPr>
            <w:tcW w:w="144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11B5928F" w14:textId="77777777">
            <w:pPr>
              <w:snapToGrid w:val="0"/>
              <w:spacing w:after="58"/>
              <w:jc w:val="right"/>
              <w:rPr>
                <w:sz w:val="20"/>
                <w:szCs w:val="20"/>
              </w:rPr>
            </w:pPr>
            <w:r w:rsidRPr="00795E00">
              <w:rPr>
                <w:sz w:val="20"/>
                <w:szCs w:val="20"/>
              </w:rPr>
              <w:t>634</w:t>
            </w:r>
          </w:p>
        </w:tc>
        <w:tc>
          <w:tcPr>
            <w:tcW w:w="99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7DC44546" w14:textId="77777777">
            <w:pPr>
              <w:snapToGrid w:val="0"/>
              <w:spacing w:after="58"/>
              <w:jc w:val="right"/>
              <w:rPr>
                <w:sz w:val="20"/>
                <w:szCs w:val="20"/>
              </w:rPr>
            </w:pPr>
            <w:r w:rsidRPr="00795E00">
              <w:rPr>
                <w:sz w:val="20"/>
                <w:szCs w:val="20"/>
              </w:rPr>
              <w:t>1,902</w:t>
            </w:r>
          </w:p>
        </w:tc>
        <w:tc>
          <w:tcPr>
            <w:tcW w:w="153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6DA279A6" w14:textId="77777777">
            <w:pPr>
              <w:snapToGrid w:val="0"/>
              <w:spacing w:after="58"/>
              <w:jc w:val="right"/>
              <w:rPr>
                <w:sz w:val="20"/>
                <w:szCs w:val="20"/>
              </w:rPr>
            </w:pPr>
            <w:r w:rsidRPr="00795E00">
              <w:rPr>
                <w:sz w:val="20"/>
                <w:szCs w:val="20"/>
              </w:rPr>
              <w:t>45</w:t>
            </w:r>
          </w:p>
        </w:tc>
        <w:tc>
          <w:tcPr>
            <w:tcW w:w="90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0D21D2D0" w14:textId="77777777">
            <w:pPr>
              <w:snapToGrid w:val="0"/>
              <w:spacing w:after="58"/>
              <w:jc w:val="right"/>
              <w:rPr>
                <w:sz w:val="20"/>
                <w:szCs w:val="20"/>
              </w:rPr>
            </w:pPr>
            <w:r w:rsidRPr="00795E00">
              <w:rPr>
                <w:sz w:val="20"/>
                <w:szCs w:val="20"/>
              </w:rPr>
              <w:t>85,590</w:t>
            </w:r>
          </w:p>
        </w:tc>
      </w:tr>
      <w:bookmarkEnd w:id="4"/>
      <w:tr w:rsidRPr="00795E00" w:rsidR="00795E00" w:rsidTr="00D047F7" w14:paraId="2BC8F2D3" w14:textId="77777777">
        <w:tc>
          <w:tcPr>
            <w:tcW w:w="8468" w:type="dxa"/>
            <w:gridSpan w:val="5"/>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742025C0" w14:textId="77777777">
            <w:pPr>
              <w:widowControl w:val="0"/>
              <w:snapToGrid w:val="0"/>
              <w:spacing w:after="58"/>
              <w:rPr>
                <w:sz w:val="20"/>
                <w:szCs w:val="20"/>
              </w:rPr>
            </w:pPr>
            <w:r w:rsidRPr="00795E00">
              <w:rPr>
                <w:sz w:val="20"/>
                <w:szCs w:val="20"/>
              </w:rPr>
              <w:t>Total</w:t>
            </w:r>
          </w:p>
        </w:tc>
        <w:tc>
          <w:tcPr>
            <w:tcW w:w="900" w:type="dxa"/>
            <w:tcBorders>
              <w:top w:val="single" w:color="000000" w:sz="6" w:space="0"/>
              <w:left w:val="single" w:color="000000" w:sz="6" w:space="0"/>
              <w:bottom w:val="single" w:color="000000" w:sz="6" w:space="0"/>
              <w:right w:val="single" w:color="000000" w:sz="6" w:space="0"/>
            </w:tcBorders>
          </w:tcPr>
          <w:p w:rsidRPr="00795E00" w:rsidR="00795E00" w:rsidP="00795E00" w:rsidRDefault="00795E00" w14:paraId="105519BC" w14:textId="77777777">
            <w:pPr>
              <w:widowControl w:val="0"/>
              <w:snapToGrid w:val="0"/>
              <w:spacing w:after="58"/>
              <w:jc w:val="right"/>
              <w:rPr>
                <w:sz w:val="20"/>
                <w:szCs w:val="20"/>
              </w:rPr>
            </w:pPr>
            <w:r w:rsidRPr="00795E00">
              <w:rPr>
                <w:sz w:val="20"/>
                <w:szCs w:val="20"/>
              </w:rPr>
              <w:t>125,822</w:t>
            </w:r>
          </w:p>
        </w:tc>
      </w:tr>
    </w:tbl>
    <w:p w:rsidRPr="00FD6EC0" w:rsidR="00FD6EC0" w:rsidP="00795E00" w:rsidRDefault="00FD6EC0" w14:paraId="4E72B431" w14:textId="033AB59C">
      <w:pPr>
        <w:widowControl w:val="0"/>
        <w:spacing w:line="233" w:lineRule="exact"/>
        <w:rPr>
          <w:sz w:val="20"/>
          <w:szCs w:val="20"/>
        </w:rPr>
      </w:pPr>
      <w:r w:rsidRPr="00FD6EC0">
        <w:t xml:space="preserve">  </w:t>
      </w:r>
      <w:r w:rsidRPr="008761D4" w:rsidR="00147661">
        <w:rPr>
          <w:sz w:val="20"/>
          <w:szCs w:val="20"/>
          <w:vertAlign w:val="superscript"/>
        </w:rPr>
        <w:t>1</w:t>
      </w:r>
      <w:r w:rsidR="00795E00">
        <w:rPr>
          <w:sz w:val="20"/>
          <w:szCs w:val="20"/>
          <w:vertAlign w:val="superscript"/>
        </w:rPr>
        <w:t xml:space="preserve"> </w:t>
      </w:r>
      <w:r w:rsidR="00B41C97">
        <w:rPr>
          <w:sz w:val="20"/>
          <w:szCs w:val="20"/>
        </w:rPr>
        <w:t>T</w:t>
      </w:r>
      <w:r w:rsidRPr="00FD6EC0">
        <w:rPr>
          <w:sz w:val="20"/>
          <w:szCs w:val="20"/>
        </w:rPr>
        <w:t>here are no capital costs or operating and maintenance costs associated with the information</w:t>
      </w:r>
      <w:r w:rsidR="00B41C97">
        <w:rPr>
          <w:sz w:val="20"/>
          <w:szCs w:val="20"/>
        </w:rPr>
        <w:t xml:space="preserve"> collection</w:t>
      </w:r>
      <w:r w:rsidRPr="00FD6EC0">
        <w:rPr>
          <w:sz w:val="20"/>
          <w:szCs w:val="20"/>
        </w:rPr>
        <w:t>.</w:t>
      </w:r>
    </w:p>
    <w:p w:rsidRPr="00FD6EC0" w:rsidR="00FD6EC0" w:rsidP="00795E00" w:rsidRDefault="00FD6EC0" w14:paraId="21779B56" w14:textId="2FF21D6D">
      <w:pPr>
        <w:widowControl w:val="0"/>
        <w:spacing w:line="233" w:lineRule="exact"/>
        <w:rPr>
          <w:position w:val="8"/>
          <w:sz w:val="20"/>
          <w:szCs w:val="20"/>
          <w:vertAlign w:val="superscript"/>
        </w:rPr>
      </w:pPr>
      <w:r w:rsidRPr="00FD6EC0">
        <w:rPr>
          <w:sz w:val="20"/>
          <w:szCs w:val="20"/>
        </w:rPr>
        <w:t xml:space="preserve"> </w:t>
      </w:r>
      <w:r w:rsidR="00795E00">
        <w:rPr>
          <w:sz w:val="20"/>
          <w:szCs w:val="20"/>
        </w:rPr>
        <w:t xml:space="preserve"> </w:t>
      </w:r>
      <w:r w:rsidR="00795E00">
        <w:rPr>
          <w:sz w:val="20"/>
          <w:szCs w:val="20"/>
          <w:vertAlign w:val="superscript"/>
        </w:rPr>
        <w:t>2 ,</w:t>
      </w:r>
      <w:r w:rsidR="00795E00">
        <w:rPr>
          <w:sz w:val="20"/>
          <w:szCs w:val="20"/>
        </w:rPr>
        <w:t>Figures</w:t>
      </w:r>
      <w:r w:rsidRPr="00FD6EC0">
        <w:rPr>
          <w:sz w:val="20"/>
          <w:szCs w:val="20"/>
        </w:rPr>
        <w:t xml:space="preserve"> have been rounded.</w:t>
      </w:r>
    </w:p>
    <w:p w:rsidRPr="00FD6EC0" w:rsidR="00FD6EC0" w:rsidP="00795E00" w:rsidRDefault="00FD6EC0" w14:paraId="6E6A65A1" w14:textId="1BF24368">
      <w:pPr>
        <w:rPr>
          <w:szCs w:val="20"/>
        </w:rPr>
      </w:pPr>
    </w:p>
    <w:p w:rsidRPr="00FD6EC0" w:rsidR="00FD6EC0" w:rsidP="00795E00" w:rsidRDefault="00FD6EC0" w14:paraId="1275D0F3" w14:textId="0109A448">
      <w:pPr>
        <w:ind w:left="720"/>
        <w:jc w:val="center"/>
        <w:rPr>
          <w:szCs w:val="20"/>
        </w:rPr>
      </w:pPr>
      <w:r w:rsidRPr="008761D4">
        <w:rPr>
          <w:sz w:val="20"/>
          <w:szCs w:val="20"/>
        </w:rPr>
        <w:t>Table 3</w:t>
      </w:r>
      <w:r w:rsidR="00B41C97">
        <w:rPr>
          <w:sz w:val="20"/>
          <w:szCs w:val="20"/>
        </w:rPr>
        <w:t>.--</w:t>
      </w:r>
      <w:r w:rsidRPr="008761D4">
        <w:rPr>
          <w:sz w:val="20"/>
          <w:szCs w:val="20"/>
        </w:rPr>
        <w:t>Estimated Annual Third-Party Disclosure Burden</w:t>
      </w:r>
      <w:r w:rsidRPr="008761D4">
        <w:rPr>
          <w:sz w:val="20"/>
          <w:szCs w:val="20"/>
          <w:vertAlign w:val="superscript"/>
        </w:rPr>
        <w:t>1</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65"/>
        <w:gridCol w:w="1239"/>
        <w:gridCol w:w="1246"/>
        <w:gridCol w:w="1157"/>
        <w:gridCol w:w="1159"/>
        <w:gridCol w:w="784"/>
      </w:tblGrid>
      <w:tr w:rsidRPr="00FD6EC0" w:rsidR="00A12127" w:rsidTr="00A12127" w14:paraId="2D09A0BF" w14:textId="77777777">
        <w:trPr>
          <w:cantSplit/>
          <w:trHeight w:val="782"/>
          <w:tblHeader/>
        </w:trPr>
        <w:tc>
          <w:tcPr>
            <w:tcW w:w="2021" w:type="pct"/>
            <w:shd w:val="clear" w:color="auto" w:fill="F2F2F2"/>
          </w:tcPr>
          <w:p w:rsidRPr="008761D4" w:rsidR="00FD6EC0" w:rsidP="00795E00" w:rsidRDefault="00B41C97" w14:paraId="4CDDAFC7" w14:textId="7BB5071A">
            <w:pPr>
              <w:jc w:val="center"/>
              <w:rPr>
                <w:sz w:val="20"/>
                <w:szCs w:val="20"/>
              </w:rPr>
            </w:pPr>
            <w:r>
              <w:rPr>
                <w:sz w:val="20"/>
                <w:szCs w:val="20"/>
              </w:rPr>
              <w:t xml:space="preserve">Activity; </w:t>
            </w:r>
            <w:r w:rsidRPr="008761D4" w:rsidR="00FD6EC0">
              <w:rPr>
                <w:sz w:val="20"/>
                <w:szCs w:val="20"/>
              </w:rPr>
              <w:t>21 CFR Section</w:t>
            </w:r>
          </w:p>
        </w:tc>
        <w:tc>
          <w:tcPr>
            <w:tcW w:w="626" w:type="pct"/>
            <w:shd w:val="clear" w:color="auto" w:fill="F2F2F2"/>
          </w:tcPr>
          <w:p w:rsidRPr="008761D4" w:rsidR="00FD6EC0" w:rsidP="00795E00" w:rsidRDefault="00FD6EC0" w14:paraId="6FAD4A4B" w14:textId="77777777">
            <w:pPr>
              <w:jc w:val="center"/>
              <w:rPr>
                <w:sz w:val="20"/>
                <w:szCs w:val="20"/>
              </w:rPr>
            </w:pPr>
            <w:r w:rsidRPr="008761D4">
              <w:rPr>
                <w:sz w:val="20"/>
                <w:szCs w:val="20"/>
              </w:rPr>
              <w:t>No. of Respondents</w:t>
            </w:r>
          </w:p>
        </w:tc>
        <w:tc>
          <w:tcPr>
            <w:tcW w:w="674" w:type="pct"/>
            <w:shd w:val="clear" w:color="auto" w:fill="F2F2F2"/>
          </w:tcPr>
          <w:p w:rsidRPr="008761D4" w:rsidR="00FD6EC0" w:rsidP="00795E00" w:rsidRDefault="00FD6EC0" w14:paraId="660819C0" w14:textId="77777777">
            <w:pPr>
              <w:jc w:val="center"/>
              <w:rPr>
                <w:sz w:val="20"/>
                <w:szCs w:val="20"/>
              </w:rPr>
            </w:pPr>
            <w:r w:rsidRPr="008761D4">
              <w:rPr>
                <w:bCs/>
                <w:sz w:val="20"/>
                <w:szCs w:val="20"/>
              </w:rPr>
              <w:t>No. of Disclosures per Respondent</w:t>
            </w:r>
          </w:p>
        </w:tc>
        <w:tc>
          <w:tcPr>
            <w:tcW w:w="626" w:type="pct"/>
            <w:shd w:val="clear" w:color="auto" w:fill="F2F2F2"/>
          </w:tcPr>
          <w:p w:rsidRPr="008761D4" w:rsidR="00FD6EC0" w:rsidP="00795E00" w:rsidRDefault="00FD6EC0" w14:paraId="5FD0DA5A" w14:textId="77777777">
            <w:pPr>
              <w:jc w:val="center"/>
              <w:rPr>
                <w:sz w:val="20"/>
                <w:szCs w:val="20"/>
              </w:rPr>
            </w:pPr>
            <w:r w:rsidRPr="008761D4">
              <w:rPr>
                <w:sz w:val="20"/>
                <w:szCs w:val="20"/>
              </w:rPr>
              <w:t>Total Annual Disclosures</w:t>
            </w:r>
          </w:p>
        </w:tc>
        <w:tc>
          <w:tcPr>
            <w:tcW w:w="627" w:type="pct"/>
            <w:shd w:val="clear" w:color="auto" w:fill="F2F2F2"/>
          </w:tcPr>
          <w:p w:rsidRPr="008761D4" w:rsidR="00FD6EC0" w:rsidP="00795E00" w:rsidRDefault="00FD6EC0" w14:paraId="6A559558" w14:textId="77777777">
            <w:pPr>
              <w:jc w:val="center"/>
              <w:rPr>
                <w:sz w:val="20"/>
                <w:szCs w:val="20"/>
              </w:rPr>
            </w:pPr>
            <w:r w:rsidRPr="008761D4">
              <w:rPr>
                <w:bCs/>
                <w:sz w:val="20"/>
                <w:szCs w:val="20"/>
              </w:rPr>
              <w:t xml:space="preserve">Avg. Burden per Disclosure </w:t>
            </w:r>
          </w:p>
        </w:tc>
        <w:tc>
          <w:tcPr>
            <w:tcW w:w="426" w:type="pct"/>
            <w:shd w:val="clear" w:color="auto" w:fill="F2F2F2"/>
          </w:tcPr>
          <w:p w:rsidRPr="008761D4" w:rsidR="00FD6EC0" w:rsidP="00795E00" w:rsidRDefault="00FD6EC0" w14:paraId="704F4B53" w14:textId="77777777">
            <w:pPr>
              <w:jc w:val="center"/>
              <w:rPr>
                <w:sz w:val="20"/>
                <w:szCs w:val="20"/>
              </w:rPr>
            </w:pPr>
            <w:r w:rsidRPr="008761D4">
              <w:rPr>
                <w:sz w:val="20"/>
                <w:szCs w:val="20"/>
              </w:rPr>
              <w:t>Total Hours</w:t>
            </w:r>
          </w:p>
        </w:tc>
      </w:tr>
      <w:tr w:rsidRPr="00FD6EC0" w:rsidR="00795E00" w:rsidTr="00A12127" w14:paraId="1FB43D12" w14:textId="77777777">
        <w:trPr>
          <w:cantSplit/>
          <w:trHeight w:val="278"/>
        </w:trPr>
        <w:tc>
          <w:tcPr>
            <w:tcW w:w="2021" w:type="pct"/>
          </w:tcPr>
          <w:p w:rsidRPr="008761D4" w:rsidR="00FD6EC0" w:rsidP="00795E00" w:rsidRDefault="00FD6EC0" w14:paraId="656880F2" w14:textId="6E4255A8">
            <w:pPr>
              <w:rPr>
                <w:sz w:val="20"/>
                <w:szCs w:val="20"/>
              </w:rPr>
            </w:pPr>
            <w:r w:rsidRPr="008761D4">
              <w:rPr>
                <w:sz w:val="20"/>
                <w:szCs w:val="20"/>
              </w:rPr>
              <w:t xml:space="preserve">Nutrient labeling; </w:t>
            </w:r>
            <w:r w:rsidR="00795E00">
              <w:rPr>
                <w:sz w:val="20"/>
                <w:szCs w:val="20"/>
              </w:rPr>
              <w:t xml:space="preserve"> </w:t>
            </w:r>
            <w:r w:rsidRPr="006239D2" w:rsidR="006239D2">
              <w:rPr>
                <w:sz w:val="20"/>
                <w:szCs w:val="20"/>
              </w:rPr>
              <w:t>§§</w:t>
            </w:r>
            <w:r w:rsidR="006239D2">
              <w:rPr>
                <w:sz w:val="20"/>
                <w:szCs w:val="20"/>
              </w:rPr>
              <w:t xml:space="preserve"> </w:t>
            </w:r>
            <w:r w:rsidRPr="008761D4">
              <w:rPr>
                <w:sz w:val="20"/>
                <w:szCs w:val="20"/>
              </w:rPr>
              <w:t>107.10(a) and 107.20</w:t>
            </w:r>
          </w:p>
        </w:tc>
        <w:tc>
          <w:tcPr>
            <w:tcW w:w="626" w:type="pct"/>
          </w:tcPr>
          <w:p w:rsidRPr="008761D4" w:rsidR="00FD6EC0" w:rsidP="00795E00" w:rsidRDefault="00FD6EC0" w14:paraId="7527C1A4" w14:textId="77777777">
            <w:pPr>
              <w:jc w:val="right"/>
              <w:rPr>
                <w:sz w:val="20"/>
                <w:szCs w:val="20"/>
              </w:rPr>
            </w:pPr>
            <w:r w:rsidRPr="008761D4">
              <w:rPr>
                <w:sz w:val="20"/>
                <w:szCs w:val="20"/>
              </w:rPr>
              <w:t>5</w:t>
            </w:r>
          </w:p>
        </w:tc>
        <w:tc>
          <w:tcPr>
            <w:tcW w:w="674" w:type="pct"/>
          </w:tcPr>
          <w:p w:rsidRPr="008761D4" w:rsidR="00FD6EC0" w:rsidP="00795E00" w:rsidRDefault="00FD6EC0" w14:paraId="113CA8D7" w14:textId="77777777">
            <w:pPr>
              <w:jc w:val="right"/>
              <w:rPr>
                <w:sz w:val="20"/>
                <w:szCs w:val="20"/>
              </w:rPr>
            </w:pPr>
            <w:r w:rsidRPr="008761D4">
              <w:rPr>
                <w:sz w:val="20"/>
                <w:szCs w:val="20"/>
              </w:rPr>
              <w:t>13</w:t>
            </w:r>
          </w:p>
        </w:tc>
        <w:tc>
          <w:tcPr>
            <w:tcW w:w="626" w:type="pct"/>
          </w:tcPr>
          <w:p w:rsidRPr="008761D4" w:rsidR="00FD6EC0" w:rsidP="00795E00" w:rsidRDefault="00FD6EC0" w14:paraId="5F26081C" w14:textId="77777777">
            <w:pPr>
              <w:jc w:val="right"/>
              <w:rPr>
                <w:sz w:val="20"/>
                <w:szCs w:val="20"/>
              </w:rPr>
            </w:pPr>
            <w:r w:rsidRPr="008761D4">
              <w:rPr>
                <w:sz w:val="20"/>
                <w:szCs w:val="20"/>
              </w:rPr>
              <w:t>65</w:t>
            </w:r>
          </w:p>
        </w:tc>
        <w:tc>
          <w:tcPr>
            <w:tcW w:w="627" w:type="pct"/>
          </w:tcPr>
          <w:p w:rsidRPr="008761D4" w:rsidR="00FD6EC0" w:rsidP="00795E00" w:rsidRDefault="00FD6EC0" w14:paraId="5112095D" w14:textId="77777777">
            <w:pPr>
              <w:jc w:val="center"/>
              <w:rPr>
                <w:sz w:val="20"/>
                <w:szCs w:val="20"/>
              </w:rPr>
            </w:pPr>
            <w:r w:rsidRPr="008761D4">
              <w:rPr>
                <w:sz w:val="20"/>
                <w:szCs w:val="20"/>
              </w:rPr>
              <w:t>8</w:t>
            </w:r>
          </w:p>
        </w:tc>
        <w:tc>
          <w:tcPr>
            <w:tcW w:w="426" w:type="pct"/>
          </w:tcPr>
          <w:p w:rsidRPr="008761D4" w:rsidR="00FD6EC0" w:rsidP="00795E00" w:rsidRDefault="00FD6EC0" w14:paraId="3BFE23E8" w14:textId="77777777">
            <w:pPr>
              <w:jc w:val="right"/>
              <w:rPr>
                <w:sz w:val="20"/>
                <w:szCs w:val="20"/>
              </w:rPr>
            </w:pPr>
            <w:r w:rsidRPr="008761D4">
              <w:rPr>
                <w:sz w:val="20"/>
                <w:szCs w:val="20"/>
              </w:rPr>
              <w:t>520</w:t>
            </w:r>
          </w:p>
        </w:tc>
      </w:tr>
    </w:tbl>
    <w:p w:rsidRPr="00FD6EC0" w:rsidR="00FD6EC0" w:rsidP="00795E00" w:rsidRDefault="00FD6EC0" w14:paraId="6097A172" w14:textId="50C1F9B7">
      <w:pPr>
        <w:ind w:left="720"/>
        <w:rPr>
          <w:szCs w:val="20"/>
        </w:rPr>
      </w:pPr>
      <w:r w:rsidRPr="008761D4">
        <w:rPr>
          <w:sz w:val="20"/>
          <w:szCs w:val="20"/>
          <w:vertAlign w:val="superscript"/>
        </w:rPr>
        <w:t xml:space="preserve">  1</w:t>
      </w:r>
      <w:r w:rsidR="0000231D">
        <w:rPr>
          <w:sz w:val="20"/>
          <w:szCs w:val="20"/>
          <w:vertAlign w:val="superscript"/>
        </w:rPr>
        <w:t xml:space="preserve"> </w:t>
      </w:r>
      <w:r w:rsidRPr="00FD6EC0">
        <w:rPr>
          <w:sz w:val="20"/>
          <w:szCs w:val="20"/>
        </w:rPr>
        <w:t>There are no capital costs or operating and maintenance costs associated with the information collection.</w:t>
      </w:r>
    </w:p>
    <w:p w:rsidRPr="00FD6EC0" w:rsidR="00FD6EC0" w:rsidP="00795E00" w:rsidRDefault="00FD6EC0" w14:paraId="34197E50" w14:textId="77777777">
      <w:pPr>
        <w:ind w:left="360"/>
        <w:rPr>
          <w:szCs w:val="20"/>
        </w:rPr>
      </w:pPr>
    </w:p>
    <w:p w:rsidRPr="00A45120" w:rsidR="00357C8A" w:rsidP="00795E00" w:rsidRDefault="00357C8A" w14:paraId="17A9A1BD" w14:textId="77777777">
      <w:pPr>
        <w:spacing w:after="200"/>
        <w:ind w:left="360"/>
        <w:rPr>
          <w:rFonts w:eastAsia="Calibri"/>
          <w:i/>
          <w:iCs/>
        </w:rPr>
      </w:pPr>
      <w:r w:rsidRPr="00A45120">
        <w:rPr>
          <w:rFonts w:eastAsia="Calibri"/>
          <w:i/>
          <w:iCs/>
        </w:rPr>
        <w:t>12b.  Annualized Cost Burden Estimate</w:t>
      </w:r>
    </w:p>
    <w:p w:rsidRPr="00FD6EC0" w:rsidR="00FD6EC0" w:rsidP="00795E00" w:rsidRDefault="00FD6EC0" w14:paraId="01D7E5A3" w14:textId="30303574">
      <w:pPr>
        <w:ind w:left="360"/>
        <w:rPr>
          <w:szCs w:val="20"/>
        </w:rPr>
      </w:pPr>
      <w:r w:rsidRPr="00FD6EC0">
        <w:rPr>
          <w:szCs w:val="20"/>
        </w:rPr>
        <w:t xml:space="preserve">We measure costs based on the best available information from government, industry, and academic sources.  We list some common conventions used throughout the cost analysis here.  All wage rates used come from the Bureau of Labor Statistics (BLS), Occupational Employment Statistics, May </w:t>
      </w:r>
      <w:r w:rsidR="00375166">
        <w:rPr>
          <w:szCs w:val="20"/>
        </w:rPr>
        <w:t>2019</w:t>
      </w:r>
      <w:r w:rsidRPr="00FD6EC0">
        <w:rPr>
          <w:szCs w:val="20"/>
        </w:rPr>
        <w:t xml:space="preserve">, National Industry-Specific Occupational Employment and Wage Estimates (available at: </w:t>
      </w:r>
      <w:hyperlink w:history="1" r:id="rId11">
        <w:r w:rsidRPr="002A03DA" w:rsidR="006239D2">
          <w:rPr>
            <w:rStyle w:val="Hyperlink"/>
            <w:szCs w:val="20"/>
          </w:rPr>
          <w:t>http://www.bls.gov/oes/current/oes191012.htm</w:t>
        </w:r>
      </w:hyperlink>
      <w:r w:rsidRPr="00FD6EC0">
        <w:rPr>
          <w:szCs w:val="20"/>
        </w:rPr>
        <w:t>).</w:t>
      </w:r>
    </w:p>
    <w:p w:rsidRPr="00FD6EC0" w:rsidR="00FD6EC0" w:rsidP="00795E00" w:rsidRDefault="00FD6EC0" w14:paraId="52914FD1" w14:textId="77777777">
      <w:pPr>
        <w:ind w:left="360"/>
        <w:rPr>
          <w:szCs w:val="20"/>
        </w:rPr>
      </w:pPr>
    </w:p>
    <w:p w:rsidRPr="00FD6EC0" w:rsidR="00FD6EC0" w:rsidP="00795E00" w:rsidRDefault="00FD6EC0" w14:paraId="2BAFE836" w14:textId="58C57677">
      <w:pPr>
        <w:ind w:left="360"/>
        <w:rPr>
          <w:szCs w:val="20"/>
        </w:rPr>
      </w:pPr>
      <w:r w:rsidRPr="00FD6EC0">
        <w:rPr>
          <w:szCs w:val="20"/>
        </w:rPr>
        <w:t>The BLS estimate of a mean hourly wage rate for a Food Scientist and Technologist is $</w:t>
      </w:r>
      <w:r w:rsidR="004D1E06">
        <w:rPr>
          <w:szCs w:val="20"/>
        </w:rPr>
        <w:t>42</w:t>
      </w:r>
      <w:r w:rsidRPr="00FD6EC0">
        <w:rPr>
          <w:szCs w:val="20"/>
        </w:rPr>
        <w:t>.</w:t>
      </w:r>
      <w:r w:rsidR="004D1E06">
        <w:rPr>
          <w:szCs w:val="20"/>
        </w:rPr>
        <w:t>05</w:t>
      </w:r>
      <w:r w:rsidRPr="00FD6EC0">
        <w:rPr>
          <w:szCs w:val="20"/>
        </w:rPr>
        <w:t>.  Wages are increased by 100 percent to account for overhead.  Therefore, our estimate for the mean hourly wage rate for a food scientist and technologist is $</w:t>
      </w:r>
      <w:r w:rsidR="004D1E06">
        <w:rPr>
          <w:szCs w:val="20"/>
        </w:rPr>
        <w:t>84</w:t>
      </w:r>
      <w:r w:rsidRPr="00FD6EC0">
        <w:rPr>
          <w:szCs w:val="20"/>
        </w:rPr>
        <w:t>.</w:t>
      </w:r>
      <w:r w:rsidR="004D1E06">
        <w:rPr>
          <w:szCs w:val="20"/>
        </w:rPr>
        <w:t>10</w:t>
      </w:r>
      <w:r w:rsidRPr="00FD6EC0">
        <w:rPr>
          <w:szCs w:val="20"/>
        </w:rPr>
        <w:t>, which includes fringe benefits and other overhead.  Our total estimate of the cost is $</w:t>
      </w:r>
      <w:r w:rsidR="008F5AF4">
        <w:rPr>
          <w:szCs w:val="20"/>
        </w:rPr>
        <w:t>10</w:t>
      </w:r>
      <w:r w:rsidRPr="00FD6EC0">
        <w:rPr>
          <w:szCs w:val="20"/>
        </w:rPr>
        <w:t>,</w:t>
      </w:r>
      <w:r w:rsidR="008F5AF4">
        <w:rPr>
          <w:szCs w:val="20"/>
        </w:rPr>
        <w:t>8</w:t>
      </w:r>
      <w:r w:rsidR="00DF05D6">
        <w:rPr>
          <w:szCs w:val="20"/>
        </w:rPr>
        <w:t>09</w:t>
      </w:r>
      <w:r w:rsidRPr="00FD6EC0">
        <w:rPr>
          <w:szCs w:val="20"/>
        </w:rPr>
        <w:t>,</w:t>
      </w:r>
      <w:r w:rsidR="00DF05D6">
        <w:rPr>
          <w:szCs w:val="20"/>
        </w:rPr>
        <w:t>37</w:t>
      </w:r>
      <w:r w:rsidR="008F5AF4">
        <w:rPr>
          <w:szCs w:val="20"/>
        </w:rPr>
        <w:t>3</w:t>
      </w:r>
      <w:r w:rsidRPr="00FD6EC0">
        <w:rPr>
          <w:szCs w:val="20"/>
        </w:rPr>
        <w:t>, as noted in Table 4.</w:t>
      </w:r>
    </w:p>
    <w:p w:rsidRPr="00FD6EC0" w:rsidR="00FD6EC0" w:rsidP="00795E00" w:rsidRDefault="00FD6EC0" w14:paraId="166C1D96" w14:textId="77777777">
      <w:pPr>
        <w:ind w:left="360"/>
        <w:rPr>
          <w:szCs w:val="20"/>
        </w:rPr>
      </w:pPr>
    </w:p>
    <w:tbl>
      <w:tblPr>
        <w:tblW w:w="954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0"/>
        <w:gridCol w:w="1530"/>
        <w:gridCol w:w="1440"/>
        <w:gridCol w:w="2070"/>
      </w:tblGrid>
      <w:tr w:rsidRPr="00FD6EC0" w:rsidR="00FD6EC0" w:rsidTr="00A05D94" w14:paraId="40322B69" w14:textId="77777777">
        <w:tc>
          <w:tcPr>
            <w:tcW w:w="9540" w:type="dxa"/>
            <w:gridSpan w:val="4"/>
            <w:shd w:val="clear" w:color="auto" w:fill="auto"/>
          </w:tcPr>
          <w:p w:rsidRPr="008761D4" w:rsidR="00FD6EC0" w:rsidP="00795E00" w:rsidRDefault="00FD6EC0" w14:paraId="4CB7BF49" w14:textId="37102EB4">
            <w:pPr>
              <w:ind w:left="360"/>
              <w:jc w:val="center"/>
              <w:rPr>
                <w:sz w:val="20"/>
                <w:szCs w:val="20"/>
              </w:rPr>
            </w:pPr>
            <w:r w:rsidRPr="008761D4">
              <w:rPr>
                <w:sz w:val="20"/>
                <w:szCs w:val="20"/>
              </w:rPr>
              <w:t>Table 4.</w:t>
            </w:r>
            <w:r w:rsidRPr="008761D4" w:rsidR="00B1283C">
              <w:rPr>
                <w:sz w:val="20"/>
                <w:szCs w:val="20"/>
              </w:rPr>
              <w:t xml:space="preserve">--Annual Cost Burden </w:t>
            </w:r>
            <w:r w:rsidRPr="008761D4">
              <w:rPr>
                <w:sz w:val="20"/>
                <w:szCs w:val="20"/>
              </w:rPr>
              <w:t>Estimate</w:t>
            </w:r>
          </w:p>
        </w:tc>
      </w:tr>
      <w:tr w:rsidRPr="00FD6EC0" w:rsidR="008F5AF4" w:rsidTr="00A05D94" w14:paraId="7B44B79B" w14:textId="77777777">
        <w:tc>
          <w:tcPr>
            <w:tcW w:w="4500" w:type="dxa"/>
            <w:shd w:val="clear" w:color="auto" w:fill="auto"/>
          </w:tcPr>
          <w:p w:rsidRPr="008761D4" w:rsidR="00FD6EC0" w:rsidP="00795E00" w:rsidRDefault="00FD6EC0" w14:paraId="5FB83774" w14:textId="77777777">
            <w:pPr>
              <w:ind w:left="70"/>
              <w:rPr>
                <w:sz w:val="20"/>
                <w:szCs w:val="20"/>
              </w:rPr>
            </w:pPr>
            <w:r w:rsidRPr="008761D4">
              <w:rPr>
                <w:sz w:val="20"/>
                <w:szCs w:val="20"/>
              </w:rPr>
              <w:t>Type of Respondent</w:t>
            </w:r>
          </w:p>
        </w:tc>
        <w:tc>
          <w:tcPr>
            <w:tcW w:w="1530" w:type="dxa"/>
            <w:shd w:val="clear" w:color="auto" w:fill="auto"/>
          </w:tcPr>
          <w:p w:rsidRPr="008761D4" w:rsidR="00FD6EC0" w:rsidP="00795E00" w:rsidRDefault="00FD6EC0" w14:paraId="393454F4" w14:textId="77777777">
            <w:pPr>
              <w:jc w:val="center"/>
              <w:rPr>
                <w:sz w:val="20"/>
                <w:szCs w:val="20"/>
              </w:rPr>
            </w:pPr>
            <w:r w:rsidRPr="008761D4">
              <w:rPr>
                <w:sz w:val="20"/>
                <w:szCs w:val="20"/>
              </w:rPr>
              <w:t>Total Burden Hours</w:t>
            </w:r>
          </w:p>
        </w:tc>
        <w:tc>
          <w:tcPr>
            <w:tcW w:w="1440" w:type="dxa"/>
            <w:shd w:val="clear" w:color="auto" w:fill="auto"/>
          </w:tcPr>
          <w:p w:rsidRPr="008761D4" w:rsidR="00FD6EC0" w:rsidP="00795E00" w:rsidRDefault="00FD6EC0" w14:paraId="27ABD920" w14:textId="77777777">
            <w:pPr>
              <w:jc w:val="center"/>
              <w:rPr>
                <w:sz w:val="20"/>
                <w:szCs w:val="20"/>
              </w:rPr>
            </w:pPr>
            <w:r w:rsidRPr="008761D4">
              <w:rPr>
                <w:sz w:val="20"/>
                <w:szCs w:val="20"/>
              </w:rPr>
              <w:t>Hourly Wage Rate</w:t>
            </w:r>
          </w:p>
        </w:tc>
        <w:tc>
          <w:tcPr>
            <w:tcW w:w="2070" w:type="dxa"/>
            <w:shd w:val="clear" w:color="auto" w:fill="auto"/>
          </w:tcPr>
          <w:p w:rsidRPr="008761D4" w:rsidR="00FD6EC0" w:rsidP="00795E00" w:rsidRDefault="00FD6EC0" w14:paraId="06B57B38" w14:textId="77777777">
            <w:pPr>
              <w:jc w:val="center"/>
              <w:rPr>
                <w:sz w:val="20"/>
                <w:szCs w:val="20"/>
              </w:rPr>
            </w:pPr>
            <w:r w:rsidRPr="008761D4">
              <w:rPr>
                <w:sz w:val="20"/>
                <w:szCs w:val="20"/>
              </w:rPr>
              <w:t>Total Respondent Costs</w:t>
            </w:r>
          </w:p>
        </w:tc>
      </w:tr>
      <w:tr w:rsidRPr="00FD6EC0" w:rsidR="008F5AF4" w:rsidTr="00A05D94" w14:paraId="0CFB7F9E" w14:textId="77777777">
        <w:tc>
          <w:tcPr>
            <w:tcW w:w="4500" w:type="dxa"/>
            <w:shd w:val="clear" w:color="auto" w:fill="auto"/>
          </w:tcPr>
          <w:p w:rsidRPr="008761D4" w:rsidR="00FD6EC0" w:rsidP="00795E00" w:rsidRDefault="00FD6EC0" w14:paraId="1644B238" w14:textId="77777777">
            <w:pPr>
              <w:ind w:left="70"/>
              <w:rPr>
                <w:sz w:val="20"/>
                <w:szCs w:val="20"/>
              </w:rPr>
            </w:pPr>
            <w:r w:rsidRPr="008761D4">
              <w:rPr>
                <w:sz w:val="20"/>
                <w:szCs w:val="20"/>
              </w:rPr>
              <w:t>Food Scientist and Technologist (Reporting)</w:t>
            </w:r>
          </w:p>
        </w:tc>
        <w:tc>
          <w:tcPr>
            <w:tcW w:w="1530" w:type="dxa"/>
            <w:shd w:val="clear" w:color="auto" w:fill="auto"/>
          </w:tcPr>
          <w:p w:rsidRPr="008761D4" w:rsidR="00FD6EC0" w:rsidP="00795E00" w:rsidRDefault="00FD6EC0" w14:paraId="6475BA06" w14:textId="77777777">
            <w:pPr>
              <w:ind w:left="360"/>
              <w:jc w:val="right"/>
              <w:rPr>
                <w:sz w:val="20"/>
                <w:szCs w:val="20"/>
              </w:rPr>
            </w:pPr>
            <w:r w:rsidRPr="008761D4">
              <w:rPr>
                <w:sz w:val="20"/>
                <w:szCs w:val="20"/>
              </w:rPr>
              <w:t>2,188</w:t>
            </w:r>
          </w:p>
        </w:tc>
        <w:tc>
          <w:tcPr>
            <w:tcW w:w="1440" w:type="dxa"/>
            <w:shd w:val="clear" w:color="auto" w:fill="auto"/>
          </w:tcPr>
          <w:p w:rsidRPr="008761D4" w:rsidR="00FD6EC0" w:rsidP="00795E00" w:rsidRDefault="00FD6EC0" w14:paraId="136E746A" w14:textId="0388B56A">
            <w:pPr>
              <w:ind w:left="360"/>
              <w:jc w:val="right"/>
              <w:rPr>
                <w:sz w:val="20"/>
                <w:szCs w:val="20"/>
              </w:rPr>
            </w:pPr>
            <w:r w:rsidRPr="008761D4">
              <w:rPr>
                <w:sz w:val="20"/>
                <w:szCs w:val="20"/>
              </w:rPr>
              <w:t>$</w:t>
            </w:r>
            <w:r w:rsidRPr="008761D4" w:rsidR="004D1E06">
              <w:rPr>
                <w:sz w:val="20"/>
                <w:szCs w:val="20"/>
              </w:rPr>
              <w:t>84.10</w:t>
            </w:r>
          </w:p>
        </w:tc>
        <w:tc>
          <w:tcPr>
            <w:tcW w:w="2070" w:type="dxa"/>
            <w:shd w:val="clear" w:color="auto" w:fill="auto"/>
          </w:tcPr>
          <w:p w:rsidRPr="008761D4" w:rsidR="00FD6EC0" w:rsidP="00795E00" w:rsidRDefault="00FD6EC0" w14:paraId="0F74C022" w14:textId="2EA459C2">
            <w:pPr>
              <w:ind w:left="360"/>
              <w:jc w:val="right"/>
              <w:rPr>
                <w:sz w:val="20"/>
                <w:szCs w:val="20"/>
              </w:rPr>
            </w:pPr>
            <w:r w:rsidRPr="008761D4">
              <w:rPr>
                <w:sz w:val="20"/>
                <w:szCs w:val="20"/>
              </w:rPr>
              <w:t>$</w:t>
            </w:r>
            <w:r w:rsidRPr="008761D4" w:rsidR="004D1E06">
              <w:rPr>
                <w:sz w:val="20"/>
                <w:szCs w:val="20"/>
              </w:rPr>
              <w:t>184,011</w:t>
            </w:r>
          </w:p>
        </w:tc>
      </w:tr>
      <w:tr w:rsidRPr="00FD6EC0" w:rsidR="008F5AF4" w:rsidTr="00A05D94" w14:paraId="61EA5E64" w14:textId="77777777">
        <w:tc>
          <w:tcPr>
            <w:tcW w:w="450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275B8AC5" w14:textId="77777777">
            <w:pPr>
              <w:ind w:left="70"/>
              <w:rPr>
                <w:sz w:val="20"/>
                <w:szCs w:val="20"/>
              </w:rPr>
            </w:pPr>
            <w:r w:rsidRPr="008761D4">
              <w:rPr>
                <w:sz w:val="20"/>
                <w:szCs w:val="20"/>
              </w:rPr>
              <w:t>Food Scientist and Technologist (Recordkeeping)</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4D1E06" w14:paraId="7DE76E25" w14:textId="2891E47C">
            <w:pPr>
              <w:ind w:left="360"/>
              <w:jc w:val="right"/>
              <w:rPr>
                <w:sz w:val="20"/>
                <w:szCs w:val="20"/>
              </w:rPr>
            </w:pPr>
            <w:r w:rsidRPr="008761D4">
              <w:rPr>
                <w:sz w:val="20"/>
                <w:szCs w:val="20"/>
              </w:rPr>
              <w:t>12</w:t>
            </w:r>
            <w:r w:rsidRPr="008761D4" w:rsidR="00DF05D6">
              <w:rPr>
                <w:sz w:val="20"/>
                <w:szCs w:val="20"/>
              </w:rPr>
              <w:t>5</w:t>
            </w:r>
            <w:r w:rsidRPr="008761D4">
              <w:rPr>
                <w:sz w:val="20"/>
                <w:szCs w:val="20"/>
              </w:rPr>
              <w:t>,</w:t>
            </w:r>
            <w:r w:rsidRPr="008761D4" w:rsidR="00DF05D6">
              <w:rPr>
                <w:sz w:val="20"/>
                <w:szCs w:val="20"/>
              </w:rPr>
              <w:t>8</w:t>
            </w:r>
            <w:r w:rsidRPr="008761D4">
              <w:rPr>
                <w:sz w:val="20"/>
                <w:szCs w:val="20"/>
              </w:rPr>
              <w:t>22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327985B1" w14:textId="0B4632B1">
            <w:pPr>
              <w:ind w:left="360"/>
              <w:jc w:val="right"/>
              <w:rPr>
                <w:sz w:val="20"/>
                <w:szCs w:val="20"/>
              </w:rPr>
            </w:pPr>
            <w:r w:rsidRPr="008761D4">
              <w:rPr>
                <w:sz w:val="20"/>
                <w:szCs w:val="20"/>
              </w:rPr>
              <w:t>$</w:t>
            </w:r>
            <w:r w:rsidRPr="008761D4" w:rsidR="004D1E06">
              <w:rPr>
                <w:sz w:val="20"/>
                <w:szCs w:val="20"/>
              </w:rPr>
              <w:t>84.10</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7B0AA1B4" w14:textId="58712FA9">
            <w:pPr>
              <w:ind w:left="360"/>
              <w:jc w:val="right"/>
              <w:rPr>
                <w:sz w:val="20"/>
                <w:szCs w:val="20"/>
              </w:rPr>
            </w:pPr>
            <w:r w:rsidRPr="008761D4">
              <w:rPr>
                <w:sz w:val="20"/>
                <w:szCs w:val="20"/>
              </w:rPr>
              <w:t>$</w:t>
            </w:r>
            <w:r w:rsidRPr="008761D4" w:rsidR="004D1E06">
              <w:rPr>
                <w:sz w:val="20"/>
                <w:szCs w:val="20"/>
              </w:rPr>
              <w:t>10,</w:t>
            </w:r>
            <w:r w:rsidRPr="008761D4" w:rsidR="00DF05D6">
              <w:rPr>
                <w:sz w:val="20"/>
                <w:szCs w:val="20"/>
              </w:rPr>
              <w:t>581</w:t>
            </w:r>
            <w:r w:rsidRPr="008761D4" w:rsidR="004D1E06">
              <w:rPr>
                <w:sz w:val="20"/>
                <w:szCs w:val="20"/>
              </w:rPr>
              <w:t>,</w:t>
            </w:r>
            <w:r w:rsidRPr="008761D4" w:rsidR="00DF05D6">
              <w:rPr>
                <w:sz w:val="20"/>
                <w:szCs w:val="20"/>
              </w:rPr>
              <w:t>630</w:t>
            </w:r>
          </w:p>
        </w:tc>
      </w:tr>
      <w:tr w:rsidRPr="00FD6EC0" w:rsidR="008F5AF4" w:rsidTr="00A05D94" w14:paraId="6959C8B9" w14:textId="77777777">
        <w:tc>
          <w:tcPr>
            <w:tcW w:w="450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773400A9" w14:textId="77777777">
            <w:pPr>
              <w:ind w:left="70"/>
              <w:rPr>
                <w:sz w:val="20"/>
                <w:szCs w:val="20"/>
              </w:rPr>
            </w:pPr>
            <w:r w:rsidRPr="008761D4">
              <w:rPr>
                <w:sz w:val="20"/>
                <w:szCs w:val="20"/>
              </w:rPr>
              <w:t>Food Scientist and Technologist (Third-party disclosure)</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210A4789" w14:textId="77777777">
            <w:pPr>
              <w:ind w:left="360"/>
              <w:jc w:val="right"/>
              <w:rPr>
                <w:sz w:val="20"/>
                <w:szCs w:val="20"/>
              </w:rPr>
            </w:pPr>
            <w:r w:rsidRPr="008761D4">
              <w:rPr>
                <w:sz w:val="20"/>
                <w:szCs w:val="20"/>
              </w:rPr>
              <w:t>520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22671B3A" w14:textId="464396D4">
            <w:pPr>
              <w:ind w:left="360"/>
              <w:jc w:val="right"/>
              <w:rPr>
                <w:sz w:val="20"/>
                <w:szCs w:val="20"/>
              </w:rPr>
            </w:pPr>
            <w:r w:rsidRPr="008761D4">
              <w:rPr>
                <w:sz w:val="20"/>
                <w:szCs w:val="20"/>
              </w:rPr>
              <w:t>$</w:t>
            </w:r>
            <w:r w:rsidRPr="008761D4" w:rsidR="004D1E06">
              <w:rPr>
                <w:sz w:val="20"/>
                <w:szCs w:val="20"/>
              </w:rPr>
              <w:t>84.10</w:t>
            </w:r>
          </w:p>
        </w:tc>
        <w:tc>
          <w:tcPr>
            <w:tcW w:w="2070" w:type="dxa"/>
            <w:tcBorders>
              <w:top w:val="single" w:color="auto" w:sz="4" w:space="0"/>
              <w:left w:val="single" w:color="auto" w:sz="4" w:space="0"/>
              <w:bottom w:val="single" w:color="auto" w:sz="4" w:space="0"/>
              <w:right w:val="single" w:color="auto" w:sz="4" w:space="0"/>
            </w:tcBorders>
            <w:shd w:val="clear" w:color="auto" w:fill="auto"/>
          </w:tcPr>
          <w:p w:rsidRPr="008761D4" w:rsidR="00FD6EC0" w:rsidP="00795E00" w:rsidRDefault="00FD6EC0" w14:paraId="688C4C58" w14:textId="29FE0B9F">
            <w:pPr>
              <w:ind w:left="360"/>
              <w:jc w:val="right"/>
              <w:rPr>
                <w:sz w:val="20"/>
                <w:szCs w:val="20"/>
              </w:rPr>
            </w:pPr>
            <w:r w:rsidRPr="008761D4">
              <w:rPr>
                <w:sz w:val="20"/>
                <w:szCs w:val="20"/>
              </w:rPr>
              <w:t>$</w:t>
            </w:r>
            <w:r w:rsidRPr="008761D4" w:rsidR="004D1E06">
              <w:rPr>
                <w:sz w:val="20"/>
                <w:szCs w:val="20"/>
              </w:rPr>
              <w:t>43,732</w:t>
            </w:r>
          </w:p>
        </w:tc>
      </w:tr>
      <w:tr w:rsidRPr="00FD6EC0" w:rsidR="00FD6EC0" w:rsidTr="00A05D94" w14:paraId="4CFE2F22" w14:textId="77777777">
        <w:tc>
          <w:tcPr>
            <w:tcW w:w="7470" w:type="dxa"/>
            <w:gridSpan w:val="3"/>
            <w:shd w:val="clear" w:color="auto" w:fill="auto"/>
          </w:tcPr>
          <w:p w:rsidRPr="008761D4" w:rsidR="00FD6EC0" w:rsidP="00795E00" w:rsidRDefault="00FD6EC0" w14:paraId="34764B9B" w14:textId="77777777">
            <w:pPr>
              <w:ind w:left="70"/>
              <w:rPr>
                <w:sz w:val="20"/>
                <w:szCs w:val="20"/>
              </w:rPr>
            </w:pPr>
            <w:r w:rsidRPr="008761D4">
              <w:rPr>
                <w:sz w:val="20"/>
                <w:szCs w:val="20"/>
              </w:rPr>
              <w:t>Total</w:t>
            </w:r>
          </w:p>
        </w:tc>
        <w:tc>
          <w:tcPr>
            <w:tcW w:w="2070" w:type="dxa"/>
            <w:shd w:val="clear" w:color="auto" w:fill="auto"/>
          </w:tcPr>
          <w:p w:rsidRPr="008761D4" w:rsidR="00FD6EC0" w:rsidP="00795E00" w:rsidRDefault="00FD6EC0" w14:paraId="393F5073" w14:textId="42C03851">
            <w:pPr>
              <w:ind w:left="360"/>
              <w:jc w:val="right"/>
              <w:rPr>
                <w:sz w:val="20"/>
                <w:szCs w:val="20"/>
              </w:rPr>
            </w:pPr>
            <w:r w:rsidRPr="008761D4">
              <w:rPr>
                <w:sz w:val="20"/>
                <w:szCs w:val="20"/>
              </w:rPr>
              <w:t>$</w:t>
            </w:r>
            <w:r w:rsidRPr="008761D4" w:rsidR="004D1E06">
              <w:rPr>
                <w:sz w:val="20"/>
                <w:szCs w:val="20"/>
              </w:rPr>
              <w:t>10,8</w:t>
            </w:r>
            <w:r w:rsidRPr="008761D4" w:rsidR="00DF05D6">
              <w:rPr>
                <w:sz w:val="20"/>
                <w:szCs w:val="20"/>
              </w:rPr>
              <w:t>09</w:t>
            </w:r>
            <w:r w:rsidR="00B1283C">
              <w:rPr>
                <w:sz w:val="20"/>
                <w:szCs w:val="20"/>
              </w:rPr>
              <w:t>,</w:t>
            </w:r>
            <w:r w:rsidRPr="008761D4" w:rsidR="00DF05D6">
              <w:rPr>
                <w:sz w:val="20"/>
                <w:szCs w:val="20"/>
              </w:rPr>
              <w:t>37</w:t>
            </w:r>
            <w:r w:rsidRPr="008761D4" w:rsidR="008F5AF4">
              <w:rPr>
                <w:sz w:val="20"/>
                <w:szCs w:val="20"/>
              </w:rPr>
              <w:t>3</w:t>
            </w:r>
          </w:p>
        </w:tc>
      </w:tr>
    </w:tbl>
    <w:p w:rsidRPr="00357C8A" w:rsidR="00357C8A" w:rsidP="00795E00" w:rsidRDefault="00357C8A" w14:paraId="4E62FFA5" w14:textId="77777777">
      <w:pPr>
        <w:rPr>
          <w:rFonts w:eastAsia="Calibri"/>
        </w:rPr>
      </w:pPr>
    </w:p>
    <w:p w:rsidR="00A12127" w:rsidRDefault="00A12127" w14:paraId="0458E255" w14:textId="77777777">
      <w:pPr>
        <w:rPr>
          <w:rFonts w:eastAsia="Calibri"/>
          <w:u w:val="single"/>
        </w:rPr>
      </w:pPr>
      <w:r>
        <w:rPr>
          <w:rFonts w:eastAsia="Calibri"/>
          <w:u w:val="single"/>
        </w:rPr>
        <w:br w:type="page"/>
      </w:r>
    </w:p>
    <w:p w:rsidRPr="00357C8A" w:rsidR="00357C8A" w:rsidP="00795E00" w:rsidRDefault="00357C8A" w14:paraId="46F6440B" w14:textId="2C02D958">
      <w:pPr>
        <w:numPr>
          <w:ilvl w:val="0"/>
          <w:numId w:val="6"/>
        </w:numPr>
        <w:spacing w:after="200" w:line="276" w:lineRule="auto"/>
        <w:rPr>
          <w:rFonts w:eastAsia="Calibri"/>
        </w:rPr>
      </w:pPr>
      <w:r w:rsidRPr="00357C8A">
        <w:rPr>
          <w:rFonts w:eastAsia="Calibri"/>
          <w:u w:val="single"/>
        </w:rPr>
        <w:lastRenderedPageBreak/>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795E00" w:rsidRDefault="00FD6EC0" w14:paraId="709D316F" w14:textId="77777777">
      <w:pPr>
        <w:spacing w:after="200" w:line="276" w:lineRule="auto"/>
        <w:rPr>
          <w:rFonts w:eastAsia="Calibri"/>
          <w:u w:val="single"/>
        </w:rPr>
      </w:pPr>
      <w:r w:rsidRPr="00FD6EC0">
        <w:rPr>
          <w:rFonts w:eastAsia="Calibri"/>
        </w:rPr>
        <w:t>There are no capital, start-up, operating or maintenance costs associated with this information collection.</w:t>
      </w:r>
    </w:p>
    <w:p w:rsidRPr="00357C8A" w:rsidR="00357C8A" w:rsidP="00795E00" w:rsidRDefault="00357C8A" w14:paraId="597E6E8D"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795E00" w:rsidRDefault="00FD6EC0" w14:paraId="6264018B" w14:textId="453EC062">
      <w:pPr>
        <w:spacing w:after="200"/>
        <w:rPr>
          <w:rFonts w:eastAsia="Calibri"/>
        </w:rPr>
      </w:pPr>
      <w:r w:rsidRPr="00FD6EC0">
        <w:rPr>
          <w:rFonts w:eastAsia="Calibri"/>
        </w:rPr>
        <w:t>The total cost to the Federal government is estimated to be $</w:t>
      </w:r>
      <w:r w:rsidR="004741C4">
        <w:rPr>
          <w:rFonts w:eastAsia="Calibri"/>
        </w:rPr>
        <w:t>1,0</w:t>
      </w:r>
      <w:r w:rsidR="00DD040B">
        <w:rPr>
          <w:rFonts w:eastAsia="Calibri"/>
        </w:rPr>
        <w:t>49</w:t>
      </w:r>
      <w:r w:rsidR="004741C4">
        <w:rPr>
          <w:rFonts w:eastAsia="Calibri"/>
        </w:rPr>
        <w:t>,</w:t>
      </w:r>
      <w:r w:rsidR="00DD040B">
        <w:rPr>
          <w:rFonts w:eastAsia="Calibri"/>
        </w:rPr>
        <w:t>187</w:t>
      </w:r>
      <w:r w:rsidRPr="00FD6EC0">
        <w:rPr>
          <w:rFonts w:eastAsia="Calibri"/>
        </w:rPr>
        <w:t xml:space="preserve">.  FDA investigators must inspect each manufacturing site annually and collect product labels for review.  We currently allocate resources consistent with the last approval period and </w:t>
      </w:r>
      <w:r w:rsidR="008940C6">
        <w:rPr>
          <w:rFonts w:eastAsia="Calibri"/>
        </w:rPr>
        <w:t>adjusts only to account for change in wages</w:t>
      </w:r>
      <w:r w:rsidRPr="00FD6EC0">
        <w:rPr>
          <w:rFonts w:eastAsia="Calibri"/>
        </w:rPr>
        <w:t xml:space="preserve">.  This figure assumes a wage rate for an FDA investigator corresponding to </w:t>
      </w:r>
      <w:r w:rsidR="00FB64CF">
        <w:rPr>
          <w:rFonts w:eastAsia="Calibri"/>
        </w:rPr>
        <w:t>202</w:t>
      </w:r>
      <w:r w:rsidR="004D211C">
        <w:rPr>
          <w:rFonts w:eastAsia="Calibri"/>
        </w:rPr>
        <w:t>1</w:t>
      </w:r>
      <w:r w:rsidRPr="00FD6EC0" w:rsidR="00FB64CF">
        <w:rPr>
          <w:rFonts w:eastAsia="Calibri"/>
        </w:rPr>
        <w:t xml:space="preserve"> </w:t>
      </w:r>
      <w:r w:rsidRPr="00FD6EC0">
        <w:rPr>
          <w:rFonts w:eastAsia="Calibri"/>
        </w:rPr>
        <w:t>OPM</w:t>
      </w:r>
      <w:bookmarkStart w:name="_GoBack" w:id="5"/>
      <w:bookmarkEnd w:id="5"/>
      <w:r w:rsidRPr="00FD6EC0">
        <w:rPr>
          <w:rFonts w:eastAsia="Calibri"/>
        </w:rPr>
        <w:t xml:space="preserve"> wage data for employees in the Washington-Metropolitan Area </w:t>
      </w:r>
      <w:r w:rsidR="004741C4">
        <w:rPr>
          <w:rFonts w:eastAsia="Calibri"/>
        </w:rPr>
        <w:t xml:space="preserve">at a GS-12/3 </w:t>
      </w:r>
      <w:r w:rsidRPr="00FD6EC0">
        <w:rPr>
          <w:rFonts w:eastAsia="Calibri"/>
        </w:rPr>
        <w:t>($</w:t>
      </w:r>
      <w:r w:rsidR="004741C4">
        <w:rPr>
          <w:rFonts w:eastAsia="Calibri"/>
        </w:rPr>
        <w:t>9</w:t>
      </w:r>
      <w:r w:rsidR="004D211C">
        <w:rPr>
          <w:rFonts w:eastAsia="Calibri"/>
        </w:rPr>
        <w:t>3</w:t>
      </w:r>
      <w:r w:rsidR="004741C4">
        <w:rPr>
          <w:rFonts w:eastAsia="Calibri"/>
        </w:rPr>
        <w:t>,</w:t>
      </w:r>
      <w:r w:rsidR="004D211C">
        <w:rPr>
          <w:rFonts w:eastAsia="Calibri"/>
        </w:rPr>
        <w:t>013</w:t>
      </w:r>
      <w:r w:rsidRPr="00FD6EC0">
        <w:rPr>
          <w:rFonts w:eastAsia="Calibri"/>
        </w:rPr>
        <w:t>) and is multiplied by an estimated number of hours FDA expends in compliance activities to ensure safe infant formula.</w:t>
      </w:r>
    </w:p>
    <w:p w:rsidR="00357C8A" w:rsidP="00795E00" w:rsidRDefault="00357C8A" w14:paraId="319C2809" w14:textId="13674F96">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F819DE" w:rsidR="00357C8A" w:rsidP="00795E00" w:rsidRDefault="004741C4" w14:paraId="4EB8A262" w14:textId="39B22E3A">
      <w:pPr>
        <w:spacing w:after="200"/>
        <w:rPr>
          <w:rFonts w:eastAsia="Calibri"/>
          <w:color w:val="000000"/>
        </w:rPr>
      </w:pPr>
      <w:bookmarkStart w:name="_Hlk68682031" w:id="6"/>
      <w:r w:rsidRPr="004741C4">
        <w:rPr>
          <w:rFonts w:eastAsia="Calibri"/>
        </w:rPr>
        <w:t>Based on a review of this information collection since our last request for OMB approval, we</w:t>
      </w:r>
      <w:r w:rsidR="00124469">
        <w:rPr>
          <w:rFonts w:eastAsia="Calibri"/>
        </w:rPr>
        <w:t xml:space="preserve"> have made no adjustments.  However, we </w:t>
      </w:r>
      <w:r w:rsidR="00A27740">
        <w:rPr>
          <w:rFonts w:eastAsia="Calibri"/>
        </w:rPr>
        <w:t xml:space="preserve">corrected a nominal calculation error which results in </w:t>
      </w:r>
      <w:r w:rsidR="00DF05D6">
        <w:rPr>
          <w:rFonts w:eastAsia="Calibri"/>
        </w:rPr>
        <w:t>a decrease of 2 responses</w:t>
      </w:r>
      <w:r w:rsidR="00587716">
        <w:rPr>
          <w:rFonts w:eastAsia="Calibri"/>
        </w:rPr>
        <w:t xml:space="preserve"> and 308</w:t>
      </w:r>
      <w:r w:rsidR="006777C5">
        <w:rPr>
          <w:rFonts w:eastAsia="Calibri"/>
        </w:rPr>
        <w:t xml:space="preserve"> </w:t>
      </w:r>
      <w:r w:rsidR="00DF05D6">
        <w:rPr>
          <w:rFonts w:eastAsia="Calibri"/>
        </w:rPr>
        <w:t>hours</w:t>
      </w:r>
      <w:r w:rsidR="006777C5">
        <w:rPr>
          <w:rFonts w:eastAsia="Calibri"/>
        </w:rPr>
        <w:t xml:space="preserve"> </w:t>
      </w:r>
      <w:r w:rsidR="00587716">
        <w:rPr>
          <w:rFonts w:eastAsia="Calibri"/>
        </w:rPr>
        <w:t xml:space="preserve">annually.  The correction is found in </w:t>
      </w:r>
      <w:r w:rsidR="00C22A40">
        <w:rPr>
          <w:rFonts w:eastAsia="Calibri"/>
        </w:rPr>
        <w:t xml:space="preserve">the </w:t>
      </w:r>
      <w:r w:rsidR="00587716">
        <w:rPr>
          <w:rFonts w:eastAsia="Calibri"/>
        </w:rPr>
        <w:t>IC element</w:t>
      </w:r>
      <w:r w:rsidR="003410B7">
        <w:rPr>
          <w:rFonts w:eastAsia="Calibri"/>
        </w:rPr>
        <w:t xml:space="preserve"> </w:t>
      </w:r>
      <w:r w:rsidR="00C22A40">
        <w:rPr>
          <w:rFonts w:eastAsia="Calibri"/>
        </w:rPr>
        <w:t xml:space="preserve">corresponding to </w:t>
      </w:r>
      <w:r w:rsidR="003410B7">
        <w:rPr>
          <w:rFonts w:eastAsia="Calibri"/>
        </w:rPr>
        <w:t>“</w:t>
      </w:r>
      <w:r w:rsidRPr="00C22A40" w:rsidR="003410B7">
        <w:rPr>
          <w:rFonts w:eastAsia="Calibri"/>
          <w:i/>
          <w:iCs/>
        </w:rPr>
        <w:t xml:space="preserve">Exempt </w:t>
      </w:r>
      <w:r w:rsidRPr="00C22A40" w:rsidR="00D3032A">
        <w:rPr>
          <w:rFonts w:eastAsia="Calibri"/>
          <w:i/>
          <w:iCs/>
        </w:rPr>
        <w:t>Infant Formula:  Notification Requirements</w:t>
      </w:r>
      <w:r w:rsidR="00D3032A">
        <w:rPr>
          <w:rFonts w:eastAsia="Calibri"/>
        </w:rPr>
        <w:t>.”</w:t>
      </w:r>
    </w:p>
    <w:bookmarkEnd w:id="6"/>
    <w:p w:rsidRPr="00357C8A" w:rsidR="00357C8A" w:rsidP="00795E00" w:rsidRDefault="00357C8A" w14:paraId="1C3A5D86"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F819DE" w:rsidR="00357C8A" w:rsidP="00795E00" w:rsidRDefault="00357C8A" w14:paraId="0622A1F1" w14:textId="4B26A382">
      <w:pPr>
        <w:spacing w:after="200"/>
        <w:rPr>
          <w:rFonts w:eastAsia="Calibri"/>
          <w:color w:val="000000"/>
        </w:rPr>
      </w:pPr>
      <w:r w:rsidRPr="005C71CA">
        <w:rPr>
          <w:rFonts w:eastAsia="Calibri"/>
        </w:rPr>
        <w:t>This information collected will not be published or tabulated.</w:t>
      </w:r>
    </w:p>
    <w:p w:rsidRPr="00357C8A" w:rsidR="00357C8A" w:rsidP="00795E00" w:rsidRDefault="00357C8A" w14:paraId="79AB603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F819DE" w:rsidR="00357C8A" w:rsidP="00795E00" w:rsidRDefault="005B26AA" w14:paraId="3E97B4CA" w14:textId="245B9715">
      <w:pPr>
        <w:spacing w:after="200"/>
        <w:rPr>
          <w:rFonts w:eastAsia="Calibri"/>
          <w:color w:val="000000"/>
        </w:rPr>
      </w:pPr>
      <w:r w:rsidRPr="005B26AA">
        <w:rPr>
          <w:rFonts w:eastAsia="Calibri"/>
        </w:rPr>
        <w:t xml:space="preserve">Display of the OMB Expiration </w:t>
      </w:r>
      <w:r w:rsidR="00F82986">
        <w:rPr>
          <w:rFonts w:eastAsia="Calibri"/>
        </w:rPr>
        <w:t>D</w:t>
      </w:r>
      <w:r w:rsidRPr="005B26AA">
        <w:rPr>
          <w:rFonts w:eastAsia="Calibri"/>
        </w:rPr>
        <w:t>ate is appropriate.</w:t>
      </w:r>
    </w:p>
    <w:p w:rsidRPr="00357C8A" w:rsidR="00357C8A" w:rsidP="00795E00" w:rsidRDefault="00357C8A" w14:paraId="5CFF7EE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795E00" w:rsidRDefault="005B26AA" w14:paraId="50B33AE1" w14:textId="77777777">
      <w:pPr>
        <w:spacing w:after="200"/>
        <w:rPr>
          <w:rFonts w:eastAsia="Calibri"/>
        </w:rPr>
      </w:pPr>
      <w:r w:rsidRPr="005B26AA">
        <w:rPr>
          <w:rFonts w:eastAsia="Calibri"/>
        </w:rPr>
        <w:t>There are no exceptions to the certification.</w:t>
      </w:r>
    </w:p>
    <w:sectPr w:rsidRPr="00C20690" w:rsidR="00544138" w:rsidSect="00795E00">
      <w:footerReference w:type="even" r:id="rId12"/>
      <w:footerReference w:type="default" r:id="rId13"/>
      <w:pgSz w:w="12240" w:h="15840" w:code="1"/>
      <w:pgMar w:top="1440" w:right="1296"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67A04" w14:textId="77777777" w:rsidR="00C26EDC" w:rsidRDefault="00C26EDC">
      <w:r>
        <w:separator/>
      </w:r>
    </w:p>
  </w:endnote>
  <w:endnote w:type="continuationSeparator" w:id="0">
    <w:p w14:paraId="28A32AC8" w14:textId="77777777" w:rsidR="00C26EDC" w:rsidRDefault="00C26EDC">
      <w:r>
        <w:continuationSeparator/>
      </w:r>
    </w:p>
  </w:endnote>
  <w:endnote w:type="continuationNotice" w:id="1">
    <w:p w14:paraId="09095D09" w14:textId="77777777" w:rsidR="00C26EDC" w:rsidRDefault="00C26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D46A"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0D074"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73652" w14:textId="77777777" w:rsidR="00E63DE5" w:rsidRDefault="00E63DE5" w:rsidP="00795E00">
    <w:pPr>
      <w:pStyle w:val="Footer"/>
      <w:framePr w:wrap="around" w:vAnchor="text" w:hAnchor="margin" w:xAlign="center" w:y="534"/>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597BC0CD" w14:textId="45E5C03C" w:rsidR="00E63DE5" w:rsidRDefault="00E63DE5">
    <w:pPr>
      <w:pStyle w:val="Footer"/>
    </w:pPr>
  </w:p>
  <w:p w14:paraId="1A0C905F" w14:textId="6F0B466E" w:rsidR="00795E00" w:rsidRDefault="00795E00">
    <w:pPr>
      <w:pStyle w:val="Footer"/>
    </w:pPr>
  </w:p>
  <w:p w14:paraId="1E99D376" w14:textId="77777777" w:rsidR="00795E00" w:rsidRDefault="00795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5CC11" w14:textId="77777777" w:rsidR="00C26EDC" w:rsidRDefault="00C26EDC">
      <w:r>
        <w:separator/>
      </w:r>
    </w:p>
  </w:footnote>
  <w:footnote w:type="continuationSeparator" w:id="0">
    <w:p w14:paraId="09D51306" w14:textId="77777777" w:rsidR="00C26EDC" w:rsidRDefault="00C26EDC">
      <w:r>
        <w:continuationSeparator/>
      </w:r>
    </w:p>
  </w:footnote>
  <w:footnote w:type="continuationNotice" w:id="1">
    <w:p w14:paraId="27DA81CF" w14:textId="77777777" w:rsidR="00C26EDC" w:rsidRDefault="00C26E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31D"/>
    <w:rsid w:val="00012385"/>
    <w:rsid w:val="00031A2C"/>
    <w:rsid w:val="00042B93"/>
    <w:rsid w:val="00043C7F"/>
    <w:rsid w:val="000467A8"/>
    <w:rsid w:val="00057EFF"/>
    <w:rsid w:val="0006570F"/>
    <w:rsid w:val="00072B1B"/>
    <w:rsid w:val="00075DE8"/>
    <w:rsid w:val="00077E3F"/>
    <w:rsid w:val="00080E58"/>
    <w:rsid w:val="000850BB"/>
    <w:rsid w:val="00087439"/>
    <w:rsid w:val="000C1260"/>
    <w:rsid w:val="000C560C"/>
    <w:rsid w:val="000D080B"/>
    <w:rsid w:val="000D48FD"/>
    <w:rsid w:val="000D79CC"/>
    <w:rsid w:val="000E1C64"/>
    <w:rsid w:val="000F42AB"/>
    <w:rsid w:val="000F7119"/>
    <w:rsid w:val="00100739"/>
    <w:rsid w:val="0010493E"/>
    <w:rsid w:val="001075D3"/>
    <w:rsid w:val="00107885"/>
    <w:rsid w:val="00114FC4"/>
    <w:rsid w:val="0012329C"/>
    <w:rsid w:val="00124469"/>
    <w:rsid w:val="00134FA7"/>
    <w:rsid w:val="00137950"/>
    <w:rsid w:val="00137B18"/>
    <w:rsid w:val="00147661"/>
    <w:rsid w:val="00152F29"/>
    <w:rsid w:val="00165A66"/>
    <w:rsid w:val="00174D54"/>
    <w:rsid w:val="0017702C"/>
    <w:rsid w:val="001829EC"/>
    <w:rsid w:val="00185270"/>
    <w:rsid w:val="00196E5C"/>
    <w:rsid w:val="001A3B5A"/>
    <w:rsid w:val="001B7CE9"/>
    <w:rsid w:val="001C0B82"/>
    <w:rsid w:val="001C4EB9"/>
    <w:rsid w:val="001D495A"/>
    <w:rsid w:val="001E244C"/>
    <w:rsid w:val="001F1437"/>
    <w:rsid w:val="001F6035"/>
    <w:rsid w:val="00206799"/>
    <w:rsid w:val="002074FE"/>
    <w:rsid w:val="002113E9"/>
    <w:rsid w:val="0022425B"/>
    <w:rsid w:val="002259EF"/>
    <w:rsid w:val="00242ED1"/>
    <w:rsid w:val="002444BB"/>
    <w:rsid w:val="00254069"/>
    <w:rsid w:val="00270748"/>
    <w:rsid w:val="002734E5"/>
    <w:rsid w:val="002746DB"/>
    <w:rsid w:val="00280CAF"/>
    <w:rsid w:val="00282F09"/>
    <w:rsid w:val="00291810"/>
    <w:rsid w:val="00294D62"/>
    <w:rsid w:val="0029705C"/>
    <w:rsid w:val="00297532"/>
    <w:rsid w:val="00297FFD"/>
    <w:rsid w:val="002A1210"/>
    <w:rsid w:val="002A2208"/>
    <w:rsid w:val="002A352B"/>
    <w:rsid w:val="002A47D2"/>
    <w:rsid w:val="002A5BEE"/>
    <w:rsid w:val="002A7FB5"/>
    <w:rsid w:val="002B2074"/>
    <w:rsid w:val="002D14D8"/>
    <w:rsid w:val="002D4799"/>
    <w:rsid w:val="002E3FA4"/>
    <w:rsid w:val="002E53A5"/>
    <w:rsid w:val="002E64B8"/>
    <w:rsid w:val="002E6834"/>
    <w:rsid w:val="00305BA2"/>
    <w:rsid w:val="00311053"/>
    <w:rsid w:val="003113FF"/>
    <w:rsid w:val="00312622"/>
    <w:rsid w:val="00312D59"/>
    <w:rsid w:val="0032277F"/>
    <w:rsid w:val="00336B69"/>
    <w:rsid w:val="003410B7"/>
    <w:rsid w:val="0034302B"/>
    <w:rsid w:val="00350523"/>
    <w:rsid w:val="0035189D"/>
    <w:rsid w:val="00355B62"/>
    <w:rsid w:val="0035658D"/>
    <w:rsid w:val="00357C8A"/>
    <w:rsid w:val="003740BC"/>
    <w:rsid w:val="0037456B"/>
    <w:rsid w:val="00375166"/>
    <w:rsid w:val="003801A3"/>
    <w:rsid w:val="00383D90"/>
    <w:rsid w:val="0038625B"/>
    <w:rsid w:val="003870AE"/>
    <w:rsid w:val="003A1A27"/>
    <w:rsid w:val="003A50CC"/>
    <w:rsid w:val="003B42B3"/>
    <w:rsid w:val="003B6384"/>
    <w:rsid w:val="003C0FE2"/>
    <w:rsid w:val="003C1A8A"/>
    <w:rsid w:val="003C4EBB"/>
    <w:rsid w:val="003D1531"/>
    <w:rsid w:val="003D345C"/>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41C4"/>
    <w:rsid w:val="00476B91"/>
    <w:rsid w:val="004846BF"/>
    <w:rsid w:val="00494912"/>
    <w:rsid w:val="004A5323"/>
    <w:rsid w:val="004A5A99"/>
    <w:rsid w:val="004C6979"/>
    <w:rsid w:val="004D13A2"/>
    <w:rsid w:val="004D1E06"/>
    <w:rsid w:val="004D211C"/>
    <w:rsid w:val="004D3E7A"/>
    <w:rsid w:val="004F594B"/>
    <w:rsid w:val="004F61E1"/>
    <w:rsid w:val="0053380B"/>
    <w:rsid w:val="00543194"/>
    <w:rsid w:val="00544138"/>
    <w:rsid w:val="00554E34"/>
    <w:rsid w:val="005569D6"/>
    <w:rsid w:val="00556BE3"/>
    <w:rsid w:val="005713CC"/>
    <w:rsid w:val="00584583"/>
    <w:rsid w:val="00584AAC"/>
    <w:rsid w:val="00587716"/>
    <w:rsid w:val="00590E90"/>
    <w:rsid w:val="00590EEB"/>
    <w:rsid w:val="005A4099"/>
    <w:rsid w:val="005B26AA"/>
    <w:rsid w:val="005C38B2"/>
    <w:rsid w:val="005C5029"/>
    <w:rsid w:val="005C55C2"/>
    <w:rsid w:val="005C71CA"/>
    <w:rsid w:val="005C745C"/>
    <w:rsid w:val="005D4DF5"/>
    <w:rsid w:val="005E42BA"/>
    <w:rsid w:val="00611D6B"/>
    <w:rsid w:val="006239D2"/>
    <w:rsid w:val="00631BCA"/>
    <w:rsid w:val="006326EC"/>
    <w:rsid w:val="00663A42"/>
    <w:rsid w:val="006641C7"/>
    <w:rsid w:val="006705EA"/>
    <w:rsid w:val="00670BE2"/>
    <w:rsid w:val="006777C5"/>
    <w:rsid w:val="006916D9"/>
    <w:rsid w:val="006A0E05"/>
    <w:rsid w:val="006A26C6"/>
    <w:rsid w:val="006A465A"/>
    <w:rsid w:val="006A7D5D"/>
    <w:rsid w:val="006D0C12"/>
    <w:rsid w:val="006D5D57"/>
    <w:rsid w:val="006E2538"/>
    <w:rsid w:val="006E302F"/>
    <w:rsid w:val="006F4D6D"/>
    <w:rsid w:val="00705086"/>
    <w:rsid w:val="007218DF"/>
    <w:rsid w:val="00722001"/>
    <w:rsid w:val="00751E66"/>
    <w:rsid w:val="00754497"/>
    <w:rsid w:val="007563A8"/>
    <w:rsid w:val="00764A2F"/>
    <w:rsid w:val="00765098"/>
    <w:rsid w:val="00770C64"/>
    <w:rsid w:val="007865D2"/>
    <w:rsid w:val="00787470"/>
    <w:rsid w:val="00787C39"/>
    <w:rsid w:val="00792947"/>
    <w:rsid w:val="00795DF3"/>
    <w:rsid w:val="00795E00"/>
    <w:rsid w:val="007A2D39"/>
    <w:rsid w:val="007A373C"/>
    <w:rsid w:val="007A6189"/>
    <w:rsid w:val="007B225C"/>
    <w:rsid w:val="007C75B1"/>
    <w:rsid w:val="007D3DFC"/>
    <w:rsid w:val="007E2F07"/>
    <w:rsid w:val="007E59A8"/>
    <w:rsid w:val="0080776D"/>
    <w:rsid w:val="00810145"/>
    <w:rsid w:val="008108FA"/>
    <w:rsid w:val="00810FF1"/>
    <w:rsid w:val="00822336"/>
    <w:rsid w:val="00823DFA"/>
    <w:rsid w:val="00842DB7"/>
    <w:rsid w:val="00843752"/>
    <w:rsid w:val="0084479F"/>
    <w:rsid w:val="00854D11"/>
    <w:rsid w:val="0085725E"/>
    <w:rsid w:val="00873D4F"/>
    <w:rsid w:val="0087509F"/>
    <w:rsid w:val="008761D4"/>
    <w:rsid w:val="00885B09"/>
    <w:rsid w:val="00891193"/>
    <w:rsid w:val="00892400"/>
    <w:rsid w:val="008940C6"/>
    <w:rsid w:val="008A1D9C"/>
    <w:rsid w:val="008A209D"/>
    <w:rsid w:val="008A22BB"/>
    <w:rsid w:val="008B035D"/>
    <w:rsid w:val="008B0E29"/>
    <w:rsid w:val="008B0EFA"/>
    <w:rsid w:val="008B30AB"/>
    <w:rsid w:val="008B5B77"/>
    <w:rsid w:val="008C3BB8"/>
    <w:rsid w:val="008C4B65"/>
    <w:rsid w:val="008E5F55"/>
    <w:rsid w:val="008F2EA6"/>
    <w:rsid w:val="008F5AF4"/>
    <w:rsid w:val="009009E7"/>
    <w:rsid w:val="00905DEF"/>
    <w:rsid w:val="00906056"/>
    <w:rsid w:val="009122AE"/>
    <w:rsid w:val="00913B43"/>
    <w:rsid w:val="00930203"/>
    <w:rsid w:val="009311D2"/>
    <w:rsid w:val="009311E6"/>
    <w:rsid w:val="00931275"/>
    <w:rsid w:val="00936AC7"/>
    <w:rsid w:val="009531B5"/>
    <w:rsid w:val="00953B64"/>
    <w:rsid w:val="009646A7"/>
    <w:rsid w:val="00970A88"/>
    <w:rsid w:val="00970B11"/>
    <w:rsid w:val="009818A1"/>
    <w:rsid w:val="009A1674"/>
    <w:rsid w:val="009A1DAD"/>
    <w:rsid w:val="009A6834"/>
    <w:rsid w:val="009B38BE"/>
    <w:rsid w:val="009B4DF2"/>
    <w:rsid w:val="009C684F"/>
    <w:rsid w:val="009D074C"/>
    <w:rsid w:val="009D6E73"/>
    <w:rsid w:val="009F1F1D"/>
    <w:rsid w:val="009F2B4F"/>
    <w:rsid w:val="009F3C63"/>
    <w:rsid w:val="009F66B5"/>
    <w:rsid w:val="00A02F10"/>
    <w:rsid w:val="00A05D94"/>
    <w:rsid w:val="00A12127"/>
    <w:rsid w:val="00A16221"/>
    <w:rsid w:val="00A176DA"/>
    <w:rsid w:val="00A20A7D"/>
    <w:rsid w:val="00A27740"/>
    <w:rsid w:val="00A35D42"/>
    <w:rsid w:val="00A43929"/>
    <w:rsid w:val="00A45120"/>
    <w:rsid w:val="00A46CCF"/>
    <w:rsid w:val="00A506DE"/>
    <w:rsid w:val="00A53451"/>
    <w:rsid w:val="00A63D1F"/>
    <w:rsid w:val="00A70426"/>
    <w:rsid w:val="00A707CC"/>
    <w:rsid w:val="00A713FF"/>
    <w:rsid w:val="00A71410"/>
    <w:rsid w:val="00A80644"/>
    <w:rsid w:val="00A901F2"/>
    <w:rsid w:val="00A91E9A"/>
    <w:rsid w:val="00A93ED9"/>
    <w:rsid w:val="00A96221"/>
    <w:rsid w:val="00AC2DBB"/>
    <w:rsid w:val="00AC6A99"/>
    <w:rsid w:val="00AD6048"/>
    <w:rsid w:val="00B055EF"/>
    <w:rsid w:val="00B0630F"/>
    <w:rsid w:val="00B06B5B"/>
    <w:rsid w:val="00B06D3E"/>
    <w:rsid w:val="00B1283C"/>
    <w:rsid w:val="00B23769"/>
    <w:rsid w:val="00B41789"/>
    <w:rsid w:val="00B41C97"/>
    <w:rsid w:val="00B56493"/>
    <w:rsid w:val="00B7766A"/>
    <w:rsid w:val="00B81808"/>
    <w:rsid w:val="00B86DFA"/>
    <w:rsid w:val="00B936D0"/>
    <w:rsid w:val="00BB15FB"/>
    <w:rsid w:val="00BB26BE"/>
    <w:rsid w:val="00BD3D5B"/>
    <w:rsid w:val="00BE2DA0"/>
    <w:rsid w:val="00BE3600"/>
    <w:rsid w:val="00C01F6F"/>
    <w:rsid w:val="00C041EA"/>
    <w:rsid w:val="00C13BBD"/>
    <w:rsid w:val="00C149AB"/>
    <w:rsid w:val="00C16929"/>
    <w:rsid w:val="00C20690"/>
    <w:rsid w:val="00C22A40"/>
    <w:rsid w:val="00C26EDC"/>
    <w:rsid w:val="00C36020"/>
    <w:rsid w:val="00C40694"/>
    <w:rsid w:val="00C45695"/>
    <w:rsid w:val="00C479BF"/>
    <w:rsid w:val="00C5124B"/>
    <w:rsid w:val="00C60EDD"/>
    <w:rsid w:val="00C70542"/>
    <w:rsid w:val="00C75CBF"/>
    <w:rsid w:val="00C939A2"/>
    <w:rsid w:val="00CC2894"/>
    <w:rsid w:val="00CD77C3"/>
    <w:rsid w:val="00CD7A5E"/>
    <w:rsid w:val="00CE112C"/>
    <w:rsid w:val="00CE6E35"/>
    <w:rsid w:val="00CF1CAB"/>
    <w:rsid w:val="00CF55D4"/>
    <w:rsid w:val="00D047F7"/>
    <w:rsid w:val="00D3032A"/>
    <w:rsid w:val="00D608DA"/>
    <w:rsid w:val="00D669CD"/>
    <w:rsid w:val="00D72BE0"/>
    <w:rsid w:val="00D730BF"/>
    <w:rsid w:val="00D852F4"/>
    <w:rsid w:val="00DB1110"/>
    <w:rsid w:val="00DB3730"/>
    <w:rsid w:val="00DC371B"/>
    <w:rsid w:val="00DC3788"/>
    <w:rsid w:val="00DC76C7"/>
    <w:rsid w:val="00DD040B"/>
    <w:rsid w:val="00DD09F5"/>
    <w:rsid w:val="00DD0E02"/>
    <w:rsid w:val="00DD4201"/>
    <w:rsid w:val="00DD5E9F"/>
    <w:rsid w:val="00DD7976"/>
    <w:rsid w:val="00DE5711"/>
    <w:rsid w:val="00DF05D6"/>
    <w:rsid w:val="00E00EA0"/>
    <w:rsid w:val="00E021CB"/>
    <w:rsid w:val="00E138F1"/>
    <w:rsid w:val="00E2309D"/>
    <w:rsid w:val="00E26758"/>
    <w:rsid w:val="00E4357B"/>
    <w:rsid w:val="00E43BA2"/>
    <w:rsid w:val="00E443A7"/>
    <w:rsid w:val="00E45904"/>
    <w:rsid w:val="00E63DE5"/>
    <w:rsid w:val="00E647AF"/>
    <w:rsid w:val="00E647C7"/>
    <w:rsid w:val="00E65A37"/>
    <w:rsid w:val="00E65EF7"/>
    <w:rsid w:val="00E77B48"/>
    <w:rsid w:val="00E857FB"/>
    <w:rsid w:val="00E91799"/>
    <w:rsid w:val="00E97DF8"/>
    <w:rsid w:val="00EA20A6"/>
    <w:rsid w:val="00EA21FE"/>
    <w:rsid w:val="00EA34E3"/>
    <w:rsid w:val="00EB7538"/>
    <w:rsid w:val="00EC1868"/>
    <w:rsid w:val="00EC3123"/>
    <w:rsid w:val="00EC4286"/>
    <w:rsid w:val="00EC6C83"/>
    <w:rsid w:val="00EE62C7"/>
    <w:rsid w:val="00EE6468"/>
    <w:rsid w:val="00F1299B"/>
    <w:rsid w:val="00F146D5"/>
    <w:rsid w:val="00F20027"/>
    <w:rsid w:val="00F207A4"/>
    <w:rsid w:val="00F25173"/>
    <w:rsid w:val="00F32410"/>
    <w:rsid w:val="00F355AC"/>
    <w:rsid w:val="00F40CF7"/>
    <w:rsid w:val="00F44194"/>
    <w:rsid w:val="00F540EE"/>
    <w:rsid w:val="00F71A5A"/>
    <w:rsid w:val="00F73A1A"/>
    <w:rsid w:val="00F769E0"/>
    <w:rsid w:val="00F819DE"/>
    <w:rsid w:val="00F82986"/>
    <w:rsid w:val="00FA4A46"/>
    <w:rsid w:val="00FA75FE"/>
    <w:rsid w:val="00FB1032"/>
    <w:rsid w:val="00FB2AA1"/>
    <w:rsid w:val="00FB39BC"/>
    <w:rsid w:val="00FB64CF"/>
    <w:rsid w:val="00FB6A53"/>
    <w:rsid w:val="00FC11CA"/>
    <w:rsid w:val="00FC6BDE"/>
    <w:rsid w:val="00FD6EC0"/>
    <w:rsid w:val="00FF6138"/>
    <w:rsid w:val="0E1AB09E"/>
    <w:rsid w:val="1C2310D4"/>
    <w:rsid w:val="1F1846BA"/>
    <w:rsid w:val="278B4174"/>
    <w:rsid w:val="49AB1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51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375166"/>
    <w:rPr>
      <w:sz w:val="16"/>
      <w:szCs w:val="16"/>
    </w:rPr>
  </w:style>
  <w:style w:type="paragraph" w:styleId="CommentText">
    <w:name w:val="annotation text"/>
    <w:basedOn w:val="Normal"/>
    <w:link w:val="CommentTextChar"/>
    <w:rsid w:val="00375166"/>
    <w:rPr>
      <w:sz w:val="20"/>
      <w:szCs w:val="20"/>
    </w:rPr>
  </w:style>
  <w:style w:type="character" w:customStyle="1" w:styleId="CommentTextChar">
    <w:name w:val="Comment Text Char"/>
    <w:basedOn w:val="DefaultParagraphFont"/>
    <w:link w:val="CommentText"/>
    <w:rsid w:val="00375166"/>
  </w:style>
  <w:style w:type="paragraph" w:styleId="CommentSubject">
    <w:name w:val="annotation subject"/>
    <w:basedOn w:val="CommentText"/>
    <w:next w:val="CommentText"/>
    <w:link w:val="CommentSubjectChar"/>
    <w:rsid w:val="0035658D"/>
    <w:rPr>
      <w:b/>
      <w:bCs/>
    </w:rPr>
  </w:style>
  <w:style w:type="character" w:customStyle="1" w:styleId="CommentSubjectChar">
    <w:name w:val="Comment Subject Char"/>
    <w:basedOn w:val="CommentTextChar"/>
    <w:link w:val="CommentSubject"/>
    <w:rsid w:val="00356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FoodFacilityRegistration/InfantFormula/default.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da.gov/regulatory-information/search-fda-guidance-documents/guidance-industry-exempt-infant-formula-produc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19101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da.gov/industry/small-business-assistance" TargetMode="External"/><Relationship Id="rId4" Type="http://schemas.openxmlformats.org/officeDocument/2006/relationships/webSettings" Target="webSettings.xml"/><Relationship Id="rId9" Type="http://schemas.openxmlformats.org/officeDocument/2006/relationships/hyperlink" Target="https://www.fda.gov/food/guidanceregulation/guidancedocumentsregulatoryinformation/infantformula/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2021-04-23T12:06:00Z</dcterms:created>
  <dcterms:modified xsi:type="dcterms:W3CDTF">2021-04-23T12:07:00Z</dcterms:modified>
</cp:coreProperties>
</file>