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769" w:rsidP="002A0C48" w:rsidRDefault="00F3386B" w14:paraId="1809C000" w14:textId="77777777">
      <w:pPr>
        <w:jc w:val="center"/>
      </w:pPr>
      <w:r>
        <w:t>UNITED STATES FOOD &amp; DRUG ADMINISTRATION</w:t>
      </w:r>
      <w:r>
        <w:tab/>
      </w:r>
    </w:p>
    <w:p w:rsidR="00F3386B" w:rsidP="002A0C48" w:rsidRDefault="00F3386B" w14:paraId="49177593" w14:textId="77777777">
      <w:pPr>
        <w:jc w:val="center"/>
      </w:pPr>
    </w:p>
    <w:p w:rsidRPr="00F551A0" w:rsidR="00F551A0" w:rsidP="002A0C48" w:rsidRDefault="00F551A0" w14:paraId="24067460" w14:textId="77777777">
      <w:pPr>
        <w:spacing w:line="480" w:lineRule="auto"/>
        <w:jc w:val="center"/>
        <w:rPr>
          <w:rFonts w:eastAsia="SimSun"/>
        </w:rPr>
      </w:pPr>
      <w:r w:rsidRPr="00F551A0">
        <w:rPr>
          <w:rFonts w:eastAsia="SimSun"/>
        </w:rPr>
        <w:t>Laboratory Accreditation for Analyses of Foods</w:t>
      </w:r>
    </w:p>
    <w:p w:rsidRPr="0022007D" w:rsidR="00F551A0" w:rsidP="002A0C48" w:rsidRDefault="00F551A0" w14:paraId="26AB56E6" w14:textId="77777777">
      <w:pPr>
        <w:jc w:val="center"/>
        <w:rPr>
          <w:u w:val="single"/>
        </w:rPr>
      </w:pPr>
      <w:r w:rsidRPr="0022007D">
        <w:rPr>
          <w:u w:val="single"/>
        </w:rPr>
        <w:t>OMB Control No. 0910-NEW</w:t>
      </w:r>
    </w:p>
    <w:p w:rsidR="0022007D" w:rsidP="002A0C48" w:rsidRDefault="0022007D" w14:paraId="16318F19" w14:textId="77777777">
      <w:pPr>
        <w:jc w:val="center"/>
      </w:pPr>
    </w:p>
    <w:p w:rsidRPr="009A1674" w:rsidR="00EB7538" w:rsidP="002A0C48" w:rsidRDefault="00F551A0" w14:paraId="064B67E2" w14:textId="77777777">
      <w:pPr>
        <w:jc w:val="center"/>
      </w:pPr>
      <w:r>
        <w:t xml:space="preserve">RIN:  </w:t>
      </w:r>
      <w:r w:rsidRPr="009A1674" w:rsidR="00EB7538">
        <w:t>0910-</w:t>
      </w:r>
      <w:r w:rsidR="00376625">
        <w:t>AH31</w:t>
      </w:r>
      <w:r w:rsidRPr="009A1674" w:rsidDel="00376625" w:rsidR="00376625">
        <w:t xml:space="preserve"> </w:t>
      </w:r>
      <w:r w:rsidRPr="009A1674" w:rsidR="00A35D42">
        <w:br/>
      </w:r>
    </w:p>
    <w:p w:rsidRPr="00F551A0" w:rsidR="00810FF1" w:rsidP="002A0C48" w:rsidRDefault="00EB7538" w14:paraId="15DD0C9D" w14:textId="77777777">
      <w:r w:rsidRPr="009A1674">
        <w:t>SUPPORTING STATEM</w:t>
      </w:r>
      <w:r w:rsidR="00F551A0">
        <w:t>ENT</w:t>
      </w:r>
      <w:r w:rsidR="0022007D">
        <w:t xml:space="preserve"> </w:t>
      </w:r>
      <w:r w:rsidRPr="0022007D" w:rsidR="0022007D">
        <w:rPr>
          <w:b/>
          <w:bCs/>
        </w:rPr>
        <w:t>Part A:  Justification</w:t>
      </w:r>
    </w:p>
    <w:p w:rsidRPr="00473390" w:rsidR="0097244E" w:rsidP="002A0C48" w:rsidRDefault="00EB7538" w14:paraId="5C39AFC3" w14:textId="77777777">
      <w:pPr>
        <w:numPr>
          <w:ilvl w:val="0"/>
          <w:numId w:val="1"/>
        </w:numPr>
        <w:tabs>
          <w:tab w:val="clear" w:pos="720"/>
        </w:tabs>
        <w:spacing w:before="100" w:beforeAutospacing="1" w:after="100" w:afterAutospacing="1"/>
        <w:rPr>
          <w:u w:val="single"/>
        </w:rPr>
      </w:pPr>
      <w:r w:rsidRPr="002746DB">
        <w:rPr>
          <w:u w:val="single"/>
        </w:rPr>
        <w:t>Circumstances Making the Collection of Information Necessary</w:t>
      </w:r>
    </w:p>
    <w:p w:rsidR="00B25085" w:rsidP="002A0C48" w:rsidRDefault="0022007D" w14:paraId="1C3C1EB4" w14:textId="2983919B">
      <w:pPr>
        <w:pStyle w:val="StyleNormalDoublespaceTimesNewRoman"/>
        <w:spacing w:line="240" w:lineRule="auto"/>
        <w:ind w:left="720"/>
        <w:rPr>
          <w:szCs w:val="24"/>
        </w:rPr>
      </w:pPr>
      <w:r>
        <w:rPr>
          <w:szCs w:val="24"/>
        </w:rPr>
        <w:t xml:space="preserve">This information collection supports agency rulemaking.  </w:t>
      </w:r>
      <w:r w:rsidR="0097244E">
        <w:rPr>
          <w:szCs w:val="24"/>
        </w:rPr>
        <w:t xml:space="preserve">The </w:t>
      </w:r>
      <w:r>
        <w:rPr>
          <w:rFonts w:cs="Futura Book"/>
          <w:color w:val="000000"/>
        </w:rPr>
        <w:t xml:space="preserve">FDA </w:t>
      </w:r>
      <w:r w:rsidR="0097244E">
        <w:rPr>
          <w:rFonts w:cs="Futura Book"/>
          <w:color w:val="000000"/>
        </w:rPr>
        <w:t xml:space="preserve">Food Safety Modernization Act (“FSMA”) (Public Law 111-353) section 202(a) added section 422 </w:t>
      </w:r>
      <w:r w:rsidR="00211320">
        <w:rPr>
          <w:rFonts w:cs="Futura Book"/>
          <w:color w:val="000000"/>
        </w:rPr>
        <w:t xml:space="preserve">(codified at 21 U.S.C. 350k) </w:t>
      </w:r>
      <w:r w:rsidR="0097244E">
        <w:rPr>
          <w:rFonts w:cs="Futura Book"/>
          <w:color w:val="000000"/>
        </w:rPr>
        <w:t>to the Federal Food</w:t>
      </w:r>
      <w:r w:rsidR="004A48C6">
        <w:rPr>
          <w:rFonts w:cs="Futura Book"/>
          <w:color w:val="000000"/>
        </w:rPr>
        <w:t>,</w:t>
      </w:r>
      <w:r w:rsidR="0097244E">
        <w:rPr>
          <w:rFonts w:cs="Futura Book"/>
          <w:color w:val="000000"/>
        </w:rPr>
        <w:t xml:space="preserve"> Drug</w:t>
      </w:r>
      <w:r w:rsidR="004A48C6">
        <w:rPr>
          <w:rFonts w:cs="Futura Book"/>
          <w:color w:val="000000"/>
        </w:rPr>
        <w:t>,</w:t>
      </w:r>
      <w:r w:rsidR="0097244E">
        <w:rPr>
          <w:rFonts w:cs="Futura Book"/>
          <w:color w:val="000000"/>
        </w:rPr>
        <w:t xml:space="preserve"> and Cosmetic Act (“FD&amp;C Act”</w:t>
      </w:r>
      <w:r>
        <w:rPr>
          <w:rFonts w:cs="Futura Book"/>
          <w:color w:val="000000"/>
        </w:rPr>
        <w:t xml:space="preserve">).  Section 422 </w:t>
      </w:r>
      <w:r w:rsidR="004A48C6">
        <w:rPr>
          <w:rFonts w:cs="Futura Book"/>
          <w:color w:val="000000"/>
        </w:rPr>
        <w:t>of the FD&amp;C Act</w:t>
      </w:r>
      <w:r>
        <w:rPr>
          <w:rFonts w:cs="Futura Book"/>
          <w:color w:val="000000"/>
        </w:rPr>
        <w:t xml:space="preserve"> </w:t>
      </w:r>
      <w:r w:rsidR="0097244E">
        <w:rPr>
          <w:rFonts w:cs="Futura Book"/>
          <w:color w:val="000000"/>
        </w:rPr>
        <w:t xml:space="preserve">requires </w:t>
      </w:r>
      <w:r>
        <w:rPr>
          <w:rFonts w:cs="Futura Book"/>
          <w:color w:val="000000"/>
        </w:rPr>
        <w:t xml:space="preserve">FDA </w:t>
      </w:r>
      <w:r w:rsidR="0097244E">
        <w:rPr>
          <w:rFonts w:cs="Futura Book"/>
          <w:color w:val="000000"/>
        </w:rPr>
        <w:t xml:space="preserve">to </w:t>
      </w:r>
      <w:r w:rsidR="0097244E">
        <w:rPr>
          <w:szCs w:val="24"/>
        </w:rPr>
        <w:t>establish a program for the testing of food by accredited laboratories</w:t>
      </w:r>
      <w:r w:rsidR="0038537C">
        <w:rPr>
          <w:szCs w:val="24"/>
        </w:rPr>
        <w:t>;</w:t>
      </w:r>
      <w:r w:rsidR="008B1A9C">
        <w:rPr>
          <w:szCs w:val="24"/>
        </w:rPr>
        <w:t xml:space="preserve"> to establish a publicly available registry of recognized </w:t>
      </w:r>
      <w:r w:rsidR="00E3032B">
        <w:rPr>
          <w:szCs w:val="24"/>
        </w:rPr>
        <w:t>accreditation bodies and laboratories recognized by</w:t>
      </w:r>
      <w:r w:rsidR="003D7291">
        <w:rPr>
          <w:szCs w:val="24"/>
        </w:rPr>
        <w:t xml:space="preserve"> an accreditation body; and to require reports to the Secretary </w:t>
      </w:r>
      <w:r w:rsidR="00E17944">
        <w:rPr>
          <w:szCs w:val="24"/>
        </w:rPr>
        <w:t xml:space="preserve">of any changes that would affect the recognition of such accreditation body or the accreditation of </w:t>
      </w:r>
      <w:r w:rsidR="00E92280">
        <w:rPr>
          <w:szCs w:val="24"/>
        </w:rPr>
        <w:t xml:space="preserve">such laboratory.  Accordingly, </w:t>
      </w:r>
      <w:r w:rsidR="000C4EEA">
        <w:rPr>
          <w:szCs w:val="24"/>
        </w:rPr>
        <w:t>w</w:t>
      </w:r>
      <w:r>
        <w:rPr>
          <w:szCs w:val="24"/>
        </w:rPr>
        <w:t xml:space="preserve">e are proposing regulations in </w:t>
      </w:r>
      <w:r w:rsidR="00A5523B">
        <w:rPr>
          <w:szCs w:val="24"/>
        </w:rPr>
        <w:t xml:space="preserve">21 CFR </w:t>
      </w:r>
      <w:r w:rsidR="00830CF9">
        <w:rPr>
          <w:szCs w:val="24"/>
        </w:rPr>
        <w:t xml:space="preserve">part </w:t>
      </w:r>
      <w:r w:rsidR="00A5523B">
        <w:rPr>
          <w:szCs w:val="24"/>
        </w:rPr>
        <w:t xml:space="preserve">1 </w:t>
      </w:r>
      <w:r w:rsidR="00830CF9">
        <w:rPr>
          <w:szCs w:val="24"/>
        </w:rPr>
        <w:t xml:space="preserve">subpart </w:t>
      </w:r>
      <w:r w:rsidR="00A5523B">
        <w:rPr>
          <w:szCs w:val="24"/>
        </w:rPr>
        <w:t>R</w:t>
      </w:r>
      <w:r w:rsidR="007A57C9">
        <w:rPr>
          <w:szCs w:val="24"/>
        </w:rPr>
        <w:t xml:space="preserve">:  </w:t>
      </w:r>
      <w:r w:rsidRPr="007A57C9" w:rsidR="0069481C">
        <w:rPr>
          <w:i/>
          <w:iCs/>
          <w:szCs w:val="24"/>
        </w:rPr>
        <w:t>Laboratory Accreditation for Analyses of Foods</w:t>
      </w:r>
      <w:r w:rsidR="007A57C9">
        <w:rPr>
          <w:szCs w:val="24"/>
        </w:rPr>
        <w:t>.</w:t>
      </w:r>
      <w:r w:rsidR="00AF4357">
        <w:rPr>
          <w:szCs w:val="24"/>
        </w:rPr>
        <w:t xml:space="preserve">  </w:t>
      </w:r>
      <w:r w:rsidR="00477F92">
        <w:rPr>
          <w:szCs w:val="24"/>
        </w:rPr>
        <w:t xml:space="preserve">Respondents to the information collection </w:t>
      </w:r>
      <w:r w:rsidR="00415DD5">
        <w:rPr>
          <w:szCs w:val="24"/>
        </w:rPr>
        <w:t xml:space="preserve">are </w:t>
      </w:r>
      <w:r w:rsidR="00636DA2">
        <w:rPr>
          <w:szCs w:val="24"/>
        </w:rPr>
        <w:t>accreditation bodies</w:t>
      </w:r>
      <w:r w:rsidR="0042285D">
        <w:rPr>
          <w:szCs w:val="24"/>
        </w:rPr>
        <w:t xml:space="preserve"> seeking recognition from FDA, recognized accreditation bodies, laboratories seeking accreditation from recognized accreditation bodies, and accredited laboratories</w:t>
      </w:r>
      <w:r w:rsidR="00532894">
        <w:rPr>
          <w:szCs w:val="24"/>
        </w:rPr>
        <w:t xml:space="preserve">.  </w:t>
      </w:r>
      <w:r w:rsidR="00926090">
        <w:rPr>
          <w:szCs w:val="24"/>
        </w:rPr>
        <w:t>P</w:t>
      </w:r>
      <w:r w:rsidR="00532894">
        <w:rPr>
          <w:szCs w:val="24"/>
        </w:rPr>
        <w:t xml:space="preserve">articipation in this </w:t>
      </w:r>
      <w:r w:rsidR="0048436E">
        <w:rPr>
          <w:szCs w:val="24"/>
        </w:rPr>
        <w:t>program is voluntary for laboratories</w:t>
      </w:r>
      <w:r w:rsidR="00B85000">
        <w:rPr>
          <w:szCs w:val="24"/>
        </w:rPr>
        <w:t xml:space="preserve"> and accreditation bodies</w:t>
      </w:r>
      <w:r w:rsidR="00C56E17">
        <w:rPr>
          <w:szCs w:val="24"/>
        </w:rPr>
        <w:t>;</w:t>
      </w:r>
      <w:r w:rsidR="0048436E">
        <w:rPr>
          <w:szCs w:val="24"/>
        </w:rPr>
        <w:t xml:space="preserve"> </w:t>
      </w:r>
      <w:r w:rsidR="00B25085">
        <w:rPr>
          <w:szCs w:val="24"/>
        </w:rPr>
        <w:t xml:space="preserve">however </w:t>
      </w:r>
      <w:r w:rsidR="00926090">
        <w:rPr>
          <w:szCs w:val="24"/>
        </w:rPr>
        <w:t xml:space="preserve">only </w:t>
      </w:r>
      <w:r w:rsidR="00CE1902">
        <w:rPr>
          <w:szCs w:val="24"/>
        </w:rPr>
        <w:t xml:space="preserve">recognized accreditation bodies </w:t>
      </w:r>
      <w:r w:rsidR="009321F9">
        <w:rPr>
          <w:szCs w:val="24"/>
        </w:rPr>
        <w:t xml:space="preserve">would be able to </w:t>
      </w:r>
      <w:r w:rsidR="00926090">
        <w:rPr>
          <w:szCs w:val="24"/>
        </w:rPr>
        <w:t xml:space="preserve">accredit </w:t>
      </w:r>
      <w:r w:rsidR="0048436E">
        <w:rPr>
          <w:szCs w:val="24"/>
        </w:rPr>
        <w:t>laboratories to conduct</w:t>
      </w:r>
      <w:r w:rsidR="00B71002">
        <w:rPr>
          <w:szCs w:val="24"/>
        </w:rPr>
        <w:t xml:space="preserve"> food testing as spe</w:t>
      </w:r>
      <w:r w:rsidR="00B25085">
        <w:rPr>
          <w:szCs w:val="24"/>
        </w:rPr>
        <w:t>cified in the regulations.</w:t>
      </w:r>
    </w:p>
    <w:p w:rsidR="00B25085" w:rsidP="002A0C48" w:rsidRDefault="00B25085" w14:paraId="4FE5AD5E" w14:textId="77777777">
      <w:pPr>
        <w:pStyle w:val="StyleNormalDoublespaceTimesNewRoman"/>
        <w:spacing w:line="240" w:lineRule="auto"/>
        <w:ind w:left="720"/>
        <w:rPr>
          <w:szCs w:val="24"/>
        </w:rPr>
      </w:pPr>
    </w:p>
    <w:p w:rsidRPr="00131AAA" w:rsidR="00A41713" w:rsidP="002A0C48" w:rsidRDefault="00B25085" w14:paraId="6E17CF05" w14:textId="3775ACFE">
      <w:pPr>
        <w:pStyle w:val="StyleNormalDoublespaceTimesNewRoman"/>
        <w:spacing w:line="240" w:lineRule="auto"/>
        <w:ind w:left="720"/>
        <w:rPr>
          <w:szCs w:val="24"/>
        </w:rPr>
      </w:pPr>
      <w:r>
        <w:rPr>
          <w:szCs w:val="24"/>
        </w:rPr>
        <w:t xml:space="preserve">We therefore request OMB approval for the information collection provisions </w:t>
      </w:r>
      <w:r w:rsidR="009917BB">
        <w:rPr>
          <w:szCs w:val="24"/>
        </w:rPr>
        <w:t xml:space="preserve">found in proposed 21 CFR part 1; subpart </w:t>
      </w:r>
      <w:r w:rsidR="00267351">
        <w:rPr>
          <w:szCs w:val="24"/>
        </w:rPr>
        <w:t>R</w:t>
      </w:r>
      <w:r w:rsidR="009917BB">
        <w:rPr>
          <w:szCs w:val="24"/>
        </w:rPr>
        <w:t>, as discussed in this supporting statement.</w:t>
      </w:r>
    </w:p>
    <w:p w:rsidRPr="002746DB" w:rsidR="008B30AB" w:rsidP="002A0C48" w:rsidRDefault="00EB7538" w14:paraId="2FDE9CB4" w14:textId="77777777">
      <w:pPr>
        <w:numPr>
          <w:ilvl w:val="0"/>
          <w:numId w:val="1"/>
        </w:numPr>
        <w:tabs>
          <w:tab w:val="clear" w:pos="720"/>
        </w:tabs>
        <w:spacing w:before="100" w:beforeAutospacing="1" w:after="100" w:afterAutospacing="1"/>
        <w:rPr>
          <w:u w:val="single"/>
        </w:rPr>
      </w:pPr>
      <w:r w:rsidRPr="002746DB">
        <w:rPr>
          <w:u w:val="single"/>
        </w:rPr>
        <w:t xml:space="preserve">Purpose and Use of the Information Collection </w:t>
      </w:r>
    </w:p>
    <w:p w:rsidR="00CF7451" w:rsidP="002A0C48" w:rsidRDefault="00025D1C" w14:paraId="4F5F17BB" w14:textId="4A3EFD1F">
      <w:pPr>
        <w:ind w:left="720"/>
      </w:pPr>
      <w:r>
        <w:t xml:space="preserve">Establishing </w:t>
      </w:r>
      <w:r w:rsidR="00BB4F87">
        <w:t>the</w:t>
      </w:r>
      <w:r w:rsidR="00FC039D">
        <w:t xml:space="preserve"> laboratory accreditation program </w:t>
      </w:r>
      <w:r w:rsidR="00D70670">
        <w:t xml:space="preserve">will </w:t>
      </w:r>
      <w:r w:rsidR="00BB4F87">
        <w:t xml:space="preserve">help fulfill </w:t>
      </w:r>
      <w:r>
        <w:t>FDA</w:t>
      </w:r>
      <w:r w:rsidR="00655BED">
        <w:t>’s</w:t>
      </w:r>
      <w:r>
        <w:t xml:space="preserve"> </w:t>
      </w:r>
      <w:r w:rsidR="00BB4F87">
        <w:t xml:space="preserve">mandate to </w:t>
      </w:r>
      <w:r>
        <w:t xml:space="preserve">ensure the safety of the U.S. food supply and protect U.S. consumers by </w:t>
      </w:r>
      <w:r w:rsidR="00777AC6">
        <w:t xml:space="preserve">administering </w:t>
      </w:r>
      <w:r>
        <w:t>appropriate oversight of certain food testing that is of importance to public health.</w:t>
      </w:r>
      <w:r w:rsidR="00284D22">
        <w:t xml:space="preserve">  </w:t>
      </w:r>
      <w:r>
        <w:t>It will also</w:t>
      </w:r>
      <w:r w:rsidR="00791716">
        <w:t xml:space="preserve"> help</w:t>
      </w:r>
      <w:r>
        <w:t xml:space="preserve"> ensure that the testing is done in accordance with appropriate model standards which will help produce consistently reliable and valid test results.</w:t>
      </w:r>
      <w:r w:rsidR="00E425E4">
        <w:t xml:space="preserve">  </w:t>
      </w:r>
    </w:p>
    <w:p w:rsidRPr="004C6979" w:rsidR="002746DB" w:rsidP="002A0C48" w:rsidRDefault="00EB7538" w14:paraId="4CE5A40B" w14:textId="77777777">
      <w:pPr>
        <w:numPr>
          <w:ilvl w:val="0"/>
          <w:numId w:val="1"/>
        </w:numPr>
        <w:tabs>
          <w:tab w:val="clear" w:pos="720"/>
        </w:tabs>
        <w:spacing w:before="100" w:beforeAutospacing="1" w:after="100" w:afterAutospacing="1"/>
        <w:ind w:right="-1440"/>
        <w:rPr>
          <w:u w:val="single"/>
        </w:rPr>
      </w:pPr>
      <w:r w:rsidRPr="004C6979">
        <w:rPr>
          <w:u w:val="single"/>
        </w:rPr>
        <w:t xml:space="preserve">Use of Improved Information Technology and Burden Reduction </w:t>
      </w:r>
    </w:p>
    <w:p w:rsidRPr="007A57C9" w:rsidR="00A96221" w:rsidP="002A0C48" w:rsidRDefault="00AD52A5" w14:paraId="20D30A65" w14:textId="77777777">
      <w:pPr>
        <w:ind w:left="720"/>
      </w:pPr>
      <w:r w:rsidRPr="00AD52A5">
        <w:t>The propos</w:t>
      </w:r>
      <w:r>
        <w:t>ed rule</w:t>
      </w:r>
      <w:r w:rsidR="007679C7">
        <w:t xml:space="preserve"> would</w:t>
      </w:r>
      <w:r>
        <w:t xml:space="preserve"> </w:t>
      </w:r>
      <w:r w:rsidR="00E76E21">
        <w:t>require</w:t>
      </w:r>
      <w:r w:rsidR="007679C7">
        <w:t xml:space="preserve"> </w:t>
      </w:r>
      <w:r w:rsidR="000364CB">
        <w:t xml:space="preserve">respondents </w:t>
      </w:r>
      <w:r w:rsidR="00E76E21">
        <w:t xml:space="preserve">to electronically maintain and submit </w:t>
      </w:r>
      <w:r w:rsidR="004D1808">
        <w:t>certain</w:t>
      </w:r>
      <w:r w:rsidR="00E76E21">
        <w:t xml:space="preserve"> test results, reports, notification</w:t>
      </w:r>
      <w:r w:rsidR="000364CB">
        <w:t>s</w:t>
      </w:r>
      <w:r w:rsidR="007679C7">
        <w:t>, and other records</w:t>
      </w:r>
      <w:r w:rsidR="00E76E21">
        <w:t xml:space="preserve"> to FDA.</w:t>
      </w:r>
      <w:r w:rsidR="000364CB">
        <w:t xml:space="preserve">  We are currently planning and developing </w:t>
      </w:r>
      <w:r w:rsidR="00D978F1">
        <w:t>information technology</w:t>
      </w:r>
      <w:r w:rsidR="00396795">
        <w:t xml:space="preserve"> </w:t>
      </w:r>
      <w:r w:rsidR="000364CB">
        <w:t xml:space="preserve">improvements </w:t>
      </w:r>
      <w:r w:rsidR="00D978F1">
        <w:t>to r</w:t>
      </w:r>
      <w:r w:rsidR="00B21BC1">
        <w:t>eceive, process, and review the</w:t>
      </w:r>
      <w:r w:rsidR="00D978F1">
        <w:t xml:space="preserve"> information</w:t>
      </w:r>
      <w:r w:rsidR="00B21BC1">
        <w:t xml:space="preserve"> </w:t>
      </w:r>
      <w:r w:rsidR="000364CB">
        <w:t>covered by the proposed regulations.</w:t>
      </w:r>
    </w:p>
    <w:p w:rsidR="00D03349" w:rsidRDefault="00D03349" w14:paraId="3A37115D" w14:textId="77777777">
      <w:pPr>
        <w:rPr>
          <w:u w:val="single"/>
        </w:rPr>
      </w:pPr>
      <w:r>
        <w:rPr>
          <w:u w:val="single"/>
        </w:rPr>
        <w:br w:type="page"/>
      </w:r>
    </w:p>
    <w:p w:rsidRPr="002746DB" w:rsidR="002746DB" w:rsidP="002A0C48" w:rsidRDefault="00EB7538" w14:paraId="5B429AB5" w14:textId="275D1D3A">
      <w:pPr>
        <w:numPr>
          <w:ilvl w:val="0"/>
          <w:numId w:val="1"/>
        </w:numPr>
        <w:tabs>
          <w:tab w:val="clear" w:pos="720"/>
        </w:tabs>
        <w:spacing w:before="100" w:beforeAutospacing="1" w:after="100" w:afterAutospacing="1"/>
        <w:rPr>
          <w:u w:val="single"/>
        </w:rPr>
      </w:pPr>
      <w:r w:rsidRPr="002746DB">
        <w:rPr>
          <w:u w:val="single"/>
        </w:rPr>
        <w:lastRenderedPageBreak/>
        <w:t xml:space="preserve">Efforts to Identify Duplication and Use of Similar Information </w:t>
      </w:r>
    </w:p>
    <w:p w:rsidRPr="007A57C9" w:rsidR="007A57C9" w:rsidP="002A0C48" w:rsidRDefault="007A57C9" w14:paraId="2535FFAD" w14:textId="77777777">
      <w:pPr>
        <w:spacing w:before="100" w:beforeAutospacing="1" w:after="100" w:afterAutospacing="1"/>
        <w:ind w:left="720"/>
      </w:pPr>
      <w:r>
        <w:t>We are unaware of duplicative information collection.</w:t>
      </w:r>
    </w:p>
    <w:p w:rsidRPr="007A57C9" w:rsidR="008B0EFA" w:rsidP="002A0C48" w:rsidRDefault="00EB7538" w14:paraId="239E553C" w14:textId="65A9BA3E">
      <w:pPr>
        <w:numPr>
          <w:ilvl w:val="0"/>
          <w:numId w:val="1"/>
        </w:numPr>
        <w:tabs>
          <w:tab w:val="clear" w:pos="720"/>
        </w:tabs>
        <w:spacing w:before="100" w:beforeAutospacing="1" w:after="100" w:afterAutospacing="1"/>
        <w:rPr>
          <w:u w:val="single"/>
        </w:rPr>
      </w:pPr>
      <w:r w:rsidRPr="004C6979">
        <w:rPr>
          <w:u w:val="single"/>
        </w:rPr>
        <w:t>Impact on Small Businesses or Other Small Entities</w:t>
      </w:r>
    </w:p>
    <w:p w:rsidR="00987C3F" w:rsidP="002A0C48" w:rsidRDefault="007035E6" w14:paraId="7093BDC8" w14:textId="18EAFA77">
      <w:pPr>
        <w:autoSpaceDE w:val="0"/>
        <w:autoSpaceDN w:val="0"/>
        <w:adjustRightInd w:val="0"/>
        <w:ind w:left="720"/>
        <w:rPr>
          <w:snapToGrid w:val="0"/>
          <w:szCs w:val="20"/>
        </w:rPr>
      </w:pPr>
      <w:r>
        <w:rPr>
          <w:snapToGrid w:val="0"/>
          <w:szCs w:val="20"/>
        </w:rPr>
        <w:t>Although</w:t>
      </w:r>
      <w:r w:rsidR="00607CA1">
        <w:rPr>
          <w:snapToGrid w:val="0"/>
          <w:szCs w:val="20"/>
        </w:rPr>
        <w:t xml:space="preserve"> we </w:t>
      </w:r>
      <w:r w:rsidR="00CA06EB">
        <w:rPr>
          <w:snapToGrid w:val="0"/>
          <w:szCs w:val="20"/>
        </w:rPr>
        <w:t>estimate that all respondents to the proposed information collection are small businesses</w:t>
      </w:r>
      <w:r w:rsidR="006D4459">
        <w:rPr>
          <w:snapToGrid w:val="0"/>
          <w:szCs w:val="20"/>
        </w:rPr>
        <w:t xml:space="preserve">, we do not believe </w:t>
      </w:r>
      <w:r w:rsidR="00A550A2">
        <w:rPr>
          <w:snapToGrid w:val="0"/>
          <w:szCs w:val="20"/>
        </w:rPr>
        <w:t>it poses undue burden on those entities.</w:t>
      </w:r>
      <w:r w:rsidR="00721576">
        <w:rPr>
          <w:snapToGrid w:val="0"/>
          <w:szCs w:val="20"/>
        </w:rPr>
        <w:t xml:space="preserve">  </w:t>
      </w:r>
      <w:r w:rsidR="003E209D">
        <w:rPr>
          <w:snapToGrid w:val="0"/>
          <w:szCs w:val="20"/>
        </w:rPr>
        <w:t xml:space="preserve">At the same time, </w:t>
      </w:r>
      <w:r w:rsidR="00721576">
        <w:rPr>
          <w:snapToGrid w:val="0"/>
          <w:szCs w:val="20"/>
        </w:rPr>
        <w:t xml:space="preserve">FDA offers </w:t>
      </w:r>
      <w:r w:rsidR="002A790F">
        <w:rPr>
          <w:snapToGrid w:val="0"/>
          <w:szCs w:val="20"/>
        </w:rPr>
        <w:t xml:space="preserve">small business assistance through resources on our website </w:t>
      </w:r>
      <w:r w:rsidR="00987C3F">
        <w:rPr>
          <w:snapToGrid w:val="0"/>
          <w:szCs w:val="20"/>
        </w:rPr>
        <w:t xml:space="preserve">at:  </w:t>
      </w:r>
      <w:hyperlink w:history="1" r:id="rId8">
        <w:r w:rsidRPr="007E0A0B" w:rsidR="00987C3F">
          <w:rPr>
            <w:rStyle w:val="Hyperlink"/>
            <w:snapToGrid w:val="0"/>
            <w:szCs w:val="20"/>
          </w:rPr>
          <w:t>www.fda.gov/industry/small-business-assistance</w:t>
        </w:r>
      </w:hyperlink>
      <w:r w:rsidR="00987C3F">
        <w:rPr>
          <w:snapToGrid w:val="0"/>
          <w:szCs w:val="20"/>
        </w:rPr>
        <w:t>.</w:t>
      </w:r>
    </w:p>
    <w:p w:rsidRPr="004C6979" w:rsidR="00CD77C3" w:rsidP="002A0C48" w:rsidRDefault="00EB7538" w14:paraId="7D36935A" w14:textId="77777777">
      <w:pPr>
        <w:numPr>
          <w:ilvl w:val="0"/>
          <w:numId w:val="1"/>
        </w:numPr>
        <w:tabs>
          <w:tab w:val="clear" w:pos="720"/>
        </w:tabs>
        <w:spacing w:before="100" w:beforeAutospacing="1" w:after="100" w:afterAutospacing="1"/>
        <w:rPr>
          <w:u w:val="single"/>
        </w:rPr>
      </w:pPr>
      <w:r w:rsidRPr="004C6979">
        <w:rPr>
          <w:u w:val="single"/>
        </w:rPr>
        <w:t>Consequences of Collecting the Information Less Frequently</w:t>
      </w:r>
    </w:p>
    <w:p w:rsidRPr="007A57C9" w:rsidR="007A57C9" w:rsidP="002A0C48" w:rsidRDefault="007A57C9" w14:paraId="31BFDA4F" w14:textId="1D80C4F0">
      <w:pPr>
        <w:spacing w:before="100" w:beforeAutospacing="1" w:after="100" w:afterAutospacing="1"/>
        <w:ind w:left="720"/>
      </w:pPr>
      <w:r>
        <w:t>The information collection schedule is consistent with current statutory and proposed regulatory requirements.</w:t>
      </w:r>
      <w:r w:rsidR="005C2115">
        <w:t xml:space="preserve">  </w:t>
      </w:r>
    </w:p>
    <w:p w:rsidR="00CD77C3" w:rsidP="002A0C48" w:rsidRDefault="00EB7538" w14:paraId="2826D0DB" w14:textId="77777777">
      <w:pPr>
        <w:numPr>
          <w:ilvl w:val="0"/>
          <w:numId w:val="1"/>
        </w:numPr>
        <w:tabs>
          <w:tab w:val="clear" w:pos="720"/>
        </w:tabs>
        <w:spacing w:before="100" w:beforeAutospacing="1" w:after="100" w:afterAutospacing="1"/>
        <w:rPr>
          <w:u w:val="single"/>
        </w:rPr>
      </w:pPr>
      <w:r w:rsidRPr="004C6979">
        <w:rPr>
          <w:u w:val="single"/>
        </w:rPr>
        <w:t>Special Circumstances Relating to the Guidelines of 5 CFR 1320.5</w:t>
      </w:r>
    </w:p>
    <w:p w:rsidRPr="000D7C89" w:rsidR="000D7C89" w:rsidP="002A0C48" w:rsidRDefault="00671D34" w14:paraId="74273853" w14:textId="09975F81">
      <w:pPr>
        <w:spacing w:before="100" w:beforeAutospacing="1" w:after="100" w:afterAutospacing="1"/>
        <w:ind w:left="720"/>
      </w:pPr>
      <w:r w:rsidRPr="00671D34">
        <w:t xml:space="preserve">Section 422(a)(7) </w:t>
      </w:r>
      <w:r w:rsidR="00557D2F">
        <w:t xml:space="preserve">of the FD&amp;C Act </w:t>
      </w:r>
      <w:r w:rsidRPr="00671D34">
        <w:t xml:space="preserve">provides that FDA shall reevaluate accreditation bodies recognized under the program no less than once every 5 years.  Accordingly, the proposed rule provides for </w:t>
      </w:r>
      <w:r w:rsidR="00024F26">
        <w:t xml:space="preserve">such a record retention schedule in </w:t>
      </w:r>
      <w:r w:rsidR="005B43DE">
        <w:t>21 CFR 1.11</w:t>
      </w:r>
      <w:r w:rsidR="00E86351">
        <w:t>24</w:t>
      </w:r>
      <w:r w:rsidR="00176FBD">
        <w:t>.</w:t>
      </w:r>
    </w:p>
    <w:p w:rsidR="00CD77C3" w:rsidP="002A0C48" w:rsidRDefault="00EB7538" w14:paraId="1FA8AF08" w14:textId="77777777">
      <w:pPr>
        <w:numPr>
          <w:ilvl w:val="0"/>
          <w:numId w:val="1"/>
        </w:numPr>
        <w:tabs>
          <w:tab w:val="clear" w:pos="720"/>
        </w:tabs>
        <w:spacing w:before="100" w:beforeAutospacing="1" w:after="100" w:afterAutospacing="1"/>
        <w:rPr>
          <w:u w:val="single"/>
        </w:rPr>
      </w:pPr>
      <w:r w:rsidRPr="004C6979">
        <w:rPr>
          <w:u w:val="single"/>
        </w:rPr>
        <w:t>Comments in Response to the Federal Register Notice and Efforts to Consult Outside the Agency</w:t>
      </w:r>
    </w:p>
    <w:p w:rsidR="00705086" w:rsidP="002A0C48" w:rsidRDefault="000262ED" w14:paraId="254F8885" w14:textId="6347DEFD">
      <w:pPr>
        <w:ind w:left="720"/>
      </w:pPr>
      <w:r>
        <w:t>In a</w:t>
      </w:r>
      <w:r w:rsidR="00916098">
        <w:t xml:space="preserve">ccordance with </w:t>
      </w:r>
      <w:r w:rsidR="005E3816">
        <w:t xml:space="preserve">44 U.S.C. </w:t>
      </w:r>
      <w:r w:rsidRPr="00591F34" w:rsidR="00705086">
        <w:t>350</w:t>
      </w:r>
      <w:r w:rsidR="00916098">
        <w:t>5</w:t>
      </w:r>
      <w:r w:rsidRPr="00591F34" w:rsidR="00705086">
        <w:t xml:space="preserve">(c)(2)(B), </w:t>
      </w:r>
      <w:r w:rsidR="005E3816">
        <w:t xml:space="preserve">we published </w:t>
      </w:r>
      <w:r w:rsidR="00D87CEE">
        <w:t xml:space="preserve">a </w:t>
      </w:r>
      <w:r w:rsidR="00146780">
        <w:t xml:space="preserve">notice of </w:t>
      </w:r>
      <w:r w:rsidR="00D87CEE">
        <w:t>proposed rule</w:t>
      </w:r>
      <w:r w:rsidR="00146780">
        <w:t>making</w:t>
      </w:r>
      <w:r w:rsidR="00D87CEE">
        <w:t xml:space="preserve"> in the </w:t>
      </w:r>
      <w:r w:rsidRPr="008B0A16" w:rsidR="00BB0D7D">
        <w:rPr>
          <w:u w:val="single"/>
        </w:rPr>
        <w:t>Federal Register</w:t>
      </w:r>
      <w:r w:rsidR="00BB0D7D">
        <w:t xml:space="preserve"> </w:t>
      </w:r>
      <w:r w:rsidR="00916098">
        <w:t xml:space="preserve">of </w:t>
      </w:r>
      <w:r w:rsidR="00197042">
        <w:t xml:space="preserve">November 4, </w:t>
      </w:r>
      <w:r w:rsidR="004A2137">
        <w:t xml:space="preserve">2019 (84 FR 59452) soliciting public comment on the information collection.  </w:t>
      </w:r>
      <w:r w:rsidR="00840F65">
        <w:t>In response to request</w:t>
      </w:r>
      <w:r w:rsidR="00A21DAC">
        <w:t>s</w:t>
      </w:r>
      <w:r w:rsidR="00840F65">
        <w:t xml:space="preserve"> from interested parties, </w:t>
      </w:r>
      <w:r w:rsidR="004A2137">
        <w:t xml:space="preserve">FDA </w:t>
      </w:r>
      <w:r w:rsidR="00916098">
        <w:t>extended the comment period to</w:t>
      </w:r>
      <w:r w:rsidR="008026DC">
        <w:t xml:space="preserve"> </w:t>
      </w:r>
      <w:r w:rsidR="00ED37CC">
        <w:t xml:space="preserve">July </w:t>
      </w:r>
      <w:r w:rsidR="00134F54">
        <w:t xml:space="preserve">6, 2020 </w:t>
      </w:r>
      <w:r w:rsidR="00DA6C83">
        <w:t>(</w:t>
      </w:r>
      <w:r w:rsidR="00076496">
        <w:t>see 85 FR 11</w:t>
      </w:r>
      <w:r w:rsidR="008C0671">
        <w:t xml:space="preserve">893 and </w:t>
      </w:r>
      <w:r w:rsidR="00DA6C83">
        <w:t>85 FR</w:t>
      </w:r>
      <w:r w:rsidR="0026016B">
        <w:t xml:space="preserve"> 19114</w:t>
      </w:r>
      <w:r w:rsidR="00165629">
        <w:t>)</w:t>
      </w:r>
      <w:r w:rsidR="00DA6C83">
        <w:t xml:space="preserve"> </w:t>
      </w:r>
      <w:r w:rsidR="00134F54">
        <w:t xml:space="preserve">to </w:t>
      </w:r>
      <w:r w:rsidR="008026DC">
        <w:t xml:space="preserve">provide additional </w:t>
      </w:r>
      <w:r w:rsidR="0026016B">
        <w:t xml:space="preserve">time </w:t>
      </w:r>
      <w:r w:rsidR="008026DC">
        <w:t xml:space="preserve">for public comment.  The agency is continuing to evaluate public </w:t>
      </w:r>
      <w:r w:rsidR="00A0783B">
        <w:t>comments</w:t>
      </w:r>
      <w:r w:rsidR="008026DC">
        <w:t xml:space="preserve"> received and any impact on the proposed information collection.</w:t>
      </w:r>
    </w:p>
    <w:p w:rsidR="003A3218" w:rsidP="002A0C48" w:rsidRDefault="003A3218" w14:paraId="7182F5F0" w14:textId="4821ED86">
      <w:pPr>
        <w:ind w:left="720"/>
      </w:pPr>
    </w:p>
    <w:p w:rsidR="003A3218" w:rsidP="002A0C48" w:rsidRDefault="003A3218" w14:paraId="58A218E7" w14:textId="5742761C">
      <w:pPr>
        <w:ind w:left="720"/>
      </w:pPr>
      <w:r>
        <w:t xml:space="preserve">On </w:t>
      </w:r>
      <w:r w:rsidR="002116D6">
        <w:t xml:space="preserve">our </w:t>
      </w:r>
      <w:r w:rsidR="002C16C3">
        <w:t xml:space="preserve">website </w:t>
      </w:r>
      <w:r w:rsidR="002116D6">
        <w:t xml:space="preserve">we </w:t>
      </w:r>
      <w:r w:rsidR="002C16C3">
        <w:t xml:space="preserve">communicate </w:t>
      </w:r>
      <w:r w:rsidR="002116D6">
        <w:t xml:space="preserve">with </w:t>
      </w:r>
      <w:r w:rsidR="002C16C3">
        <w:t>interested persons regard</w:t>
      </w:r>
      <w:r w:rsidR="000F1CFC">
        <w:t>ing</w:t>
      </w:r>
      <w:r w:rsidR="002C16C3">
        <w:t xml:space="preserve"> implementation of FSMA</w:t>
      </w:r>
      <w:r w:rsidR="00736EE3">
        <w:t xml:space="preserve"> including the Laboratory Accreditation </w:t>
      </w:r>
      <w:r w:rsidR="005D4A51">
        <w:t>for Ana</w:t>
      </w:r>
      <w:r w:rsidR="006C7ED8">
        <w:t xml:space="preserve">lyses </w:t>
      </w:r>
      <w:r w:rsidR="00736EE3">
        <w:t>of Foods</w:t>
      </w:r>
      <w:r w:rsidR="006C7ED8">
        <w:t xml:space="preserve"> program</w:t>
      </w:r>
      <w:r w:rsidR="000F1CFC">
        <w:t xml:space="preserve">.  We invite visitors to visit:  </w:t>
      </w:r>
      <w:hyperlink w:history="1" r:id="rId9">
        <w:r w:rsidRPr="007E0A0B" w:rsidR="000F1CFC">
          <w:rPr>
            <w:rStyle w:val="Hyperlink"/>
          </w:rPr>
          <w:t>www.fda.gov/food/guidance-regulation-food-and-dietary-supplements/food-safety-modernization-act-fsma</w:t>
        </w:r>
      </w:hyperlink>
      <w:r w:rsidR="000F1CFC">
        <w:t xml:space="preserve">. </w:t>
      </w:r>
    </w:p>
    <w:p w:rsidRPr="004C6979" w:rsidR="00CD77C3" w:rsidP="002A0C48" w:rsidRDefault="00EB7538" w14:paraId="77351C26" w14:textId="77777777">
      <w:pPr>
        <w:numPr>
          <w:ilvl w:val="0"/>
          <w:numId w:val="1"/>
        </w:numPr>
        <w:tabs>
          <w:tab w:val="clear" w:pos="720"/>
        </w:tabs>
        <w:spacing w:before="100" w:beforeAutospacing="1" w:after="100" w:afterAutospacing="1"/>
        <w:rPr>
          <w:u w:val="single"/>
        </w:rPr>
      </w:pPr>
      <w:r w:rsidRPr="004C6979">
        <w:rPr>
          <w:u w:val="single"/>
        </w:rPr>
        <w:t>Explanation of Any Payment or Gift to Respondents</w:t>
      </w:r>
    </w:p>
    <w:p w:rsidR="00CD77C3" w:rsidP="002A0C48" w:rsidRDefault="00D35E71" w14:paraId="4B85C2BC" w14:textId="77777777">
      <w:pPr>
        <w:ind w:left="720"/>
      </w:pPr>
      <w:r>
        <w:t xml:space="preserve">This information collection does </w:t>
      </w:r>
      <w:r w:rsidR="00D87CEE">
        <w:t xml:space="preserve">not </w:t>
      </w:r>
      <w:r>
        <w:t>provide for payments or gifts to respondents.</w:t>
      </w:r>
    </w:p>
    <w:p w:rsidR="00FA27A8" w:rsidRDefault="00FA27A8" w14:paraId="58E57A17" w14:textId="77777777">
      <w:pPr>
        <w:rPr>
          <w:u w:val="single"/>
        </w:rPr>
      </w:pPr>
      <w:r>
        <w:rPr>
          <w:u w:val="single"/>
        </w:rPr>
        <w:br w:type="page"/>
      </w:r>
    </w:p>
    <w:p w:rsidRPr="004C6979" w:rsidR="00CD77C3" w:rsidP="002A0C48" w:rsidRDefault="00EB7538" w14:paraId="658C738C" w14:textId="77783065">
      <w:pPr>
        <w:numPr>
          <w:ilvl w:val="0"/>
          <w:numId w:val="1"/>
        </w:numPr>
        <w:tabs>
          <w:tab w:val="clear" w:pos="720"/>
        </w:tabs>
        <w:spacing w:before="100" w:beforeAutospacing="1" w:after="100" w:afterAutospacing="1"/>
        <w:rPr>
          <w:u w:val="single"/>
        </w:rPr>
      </w:pPr>
      <w:r w:rsidRPr="004C6979">
        <w:rPr>
          <w:u w:val="single"/>
        </w:rPr>
        <w:lastRenderedPageBreak/>
        <w:t>Assurance of Confidentiality Provided to Respondents</w:t>
      </w:r>
    </w:p>
    <w:p w:rsidR="00B70750" w:rsidP="00B70750" w:rsidRDefault="00B70750" w14:paraId="7089D7B2" w14:textId="77777777">
      <w:pPr>
        <w:ind w:left="720"/>
      </w:pPr>
      <w:r>
        <w:t xml:space="preserve">Confidential commercial information is protected from disclosure under FOIA in accordance </w:t>
      </w:r>
    </w:p>
    <w:p w:rsidRPr="00D22657" w:rsidR="00FA27A8" w:rsidP="002A0C48" w:rsidRDefault="00B70750" w14:paraId="470AA742" w14:textId="4EC98401">
      <w:pPr>
        <w:ind w:left="720"/>
      </w:pPr>
      <w:r>
        <w:t>with sections 5 U.S.C. 552(a) and (b) and by 21 CFR part 20. To the extent that § 20.64 applies, we will honor the confidentiality of any data in investigation records compiled for law enforcement purposes.</w:t>
      </w:r>
    </w:p>
    <w:p w:rsidRPr="004C6979" w:rsidR="004C6979" w:rsidP="002A0C48" w:rsidRDefault="00EB7538" w14:paraId="36A681B9" w14:textId="77777777">
      <w:pPr>
        <w:numPr>
          <w:ilvl w:val="0"/>
          <w:numId w:val="1"/>
        </w:numPr>
        <w:tabs>
          <w:tab w:val="clear" w:pos="720"/>
        </w:tabs>
        <w:spacing w:before="100" w:beforeAutospacing="1" w:after="100" w:afterAutospacing="1"/>
        <w:rPr>
          <w:u w:val="single"/>
        </w:rPr>
      </w:pPr>
      <w:r w:rsidRPr="004C6979">
        <w:rPr>
          <w:u w:val="single"/>
        </w:rPr>
        <w:t>Justification for Sensitive Questions</w:t>
      </w:r>
    </w:p>
    <w:p w:rsidR="004C6979" w:rsidP="002A0C48" w:rsidRDefault="004166FD" w14:paraId="2CCB7238" w14:textId="22241EAF">
      <w:pPr>
        <w:pStyle w:val="BodyText2"/>
        <w:ind w:left="720"/>
      </w:pPr>
      <w:r>
        <w:t>This information collection does not contain questions of a sensitive nature.</w:t>
      </w:r>
    </w:p>
    <w:p w:rsidRPr="007A57C9" w:rsidR="004C6979" w:rsidP="002A0C48" w:rsidRDefault="00EB7538" w14:paraId="13E9AA49" w14:textId="77777777">
      <w:pPr>
        <w:numPr>
          <w:ilvl w:val="0"/>
          <w:numId w:val="1"/>
        </w:numPr>
        <w:tabs>
          <w:tab w:val="clear" w:pos="720"/>
        </w:tabs>
        <w:spacing w:before="100" w:beforeAutospacing="1" w:after="100" w:afterAutospacing="1"/>
        <w:rPr>
          <w:u w:val="single"/>
        </w:rPr>
      </w:pPr>
      <w:r w:rsidRPr="004C6979">
        <w:rPr>
          <w:u w:val="single"/>
        </w:rPr>
        <w:t>Estimates of Annualized Burden Hours and Costs</w:t>
      </w:r>
    </w:p>
    <w:p w:rsidRPr="00CF5486" w:rsidR="004C6979" w:rsidP="002A0C48" w:rsidRDefault="008B0E29" w14:paraId="06366121" w14:textId="6D7459A4">
      <w:pPr>
        <w:ind w:left="720"/>
        <w:rPr>
          <w:i/>
          <w:iCs/>
        </w:rPr>
      </w:pPr>
      <w:r w:rsidRPr="00CF5486">
        <w:rPr>
          <w:i/>
          <w:iCs/>
        </w:rPr>
        <w:t xml:space="preserve">12a. </w:t>
      </w:r>
      <w:r w:rsidRPr="00CF5486" w:rsidR="00411D11">
        <w:rPr>
          <w:i/>
          <w:iCs/>
        </w:rPr>
        <w:t xml:space="preserve">Annualized </w:t>
      </w:r>
      <w:r w:rsidRPr="00CF5486" w:rsidR="004C6979">
        <w:rPr>
          <w:i/>
          <w:iCs/>
        </w:rPr>
        <w:t>Hour Burden Estimate</w:t>
      </w:r>
    </w:p>
    <w:p w:rsidR="0085576E" w:rsidP="00D752A5" w:rsidRDefault="0085576E" w14:paraId="6A01904E" w14:textId="529D20D3">
      <w:pPr>
        <w:rPr>
          <w:i/>
        </w:rPr>
      </w:pPr>
    </w:p>
    <w:tbl>
      <w:tblPr>
        <w:tblW w:w="4815"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9"/>
        <w:gridCol w:w="1262"/>
        <w:gridCol w:w="1439"/>
        <w:gridCol w:w="1075"/>
        <w:gridCol w:w="1184"/>
        <w:gridCol w:w="1141"/>
      </w:tblGrid>
      <w:tr w:rsidRPr="00A01404" w:rsidR="00A01404" w:rsidTr="008B15EF" w14:paraId="1BE1919D" w14:textId="77777777">
        <w:trPr>
          <w:cantSplit/>
          <w:trHeight w:val="20"/>
          <w:tblHeader/>
        </w:trPr>
        <w:tc>
          <w:tcPr>
            <w:tcW w:w="5000" w:type="pct"/>
            <w:gridSpan w:val="6"/>
            <w:tcBorders>
              <w:top w:val="nil"/>
              <w:left w:val="nil"/>
              <w:bottom w:val="single" w:color="auto" w:sz="4" w:space="0"/>
              <w:right w:val="nil"/>
            </w:tcBorders>
            <w:hideMark/>
          </w:tcPr>
          <w:p w:rsidRPr="00A01404" w:rsidR="00A01404" w:rsidP="00A01404" w:rsidRDefault="00A01404" w14:paraId="0ADB5892" w14:textId="1AAE9496">
            <w:pPr>
              <w:keepNext/>
              <w:jc w:val="center"/>
              <w:rPr>
                <w:rFonts w:eastAsia="SimSun"/>
                <w:sz w:val="20"/>
                <w:szCs w:val="20"/>
              </w:rPr>
            </w:pPr>
            <w:r w:rsidRPr="00A01404">
              <w:rPr>
                <w:rFonts w:eastAsia="SimSun"/>
                <w:sz w:val="20"/>
                <w:szCs w:val="20"/>
              </w:rPr>
              <w:t xml:space="preserve">Table </w:t>
            </w:r>
            <w:r w:rsidR="006F5FEE">
              <w:rPr>
                <w:rFonts w:eastAsia="SimSun"/>
                <w:sz w:val="20"/>
                <w:szCs w:val="20"/>
              </w:rPr>
              <w:t>1</w:t>
            </w:r>
            <w:r w:rsidRPr="00A01404">
              <w:rPr>
                <w:rFonts w:eastAsia="SimSun"/>
                <w:sz w:val="20"/>
                <w:szCs w:val="20"/>
              </w:rPr>
              <w:t>--Estimated Annual Reporting Burden</w:t>
            </w:r>
          </w:p>
        </w:tc>
      </w:tr>
      <w:tr w:rsidRPr="00A01404" w:rsidR="009D6FFD" w:rsidTr="008B15EF" w14:paraId="023DC8E6" w14:textId="77777777">
        <w:trPr>
          <w:cantSplit/>
          <w:trHeight w:val="20"/>
          <w:tblHeader/>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379BECD5" w14:textId="77777777">
            <w:pPr>
              <w:keepNext/>
              <w:jc w:val="center"/>
              <w:rPr>
                <w:rFonts w:eastAsia="SimSun"/>
                <w:sz w:val="20"/>
                <w:szCs w:val="20"/>
              </w:rPr>
            </w:pPr>
            <w:r w:rsidRPr="00A01404">
              <w:rPr>
                <w:rFonts w:eastAsia="SimSun"/>
                <w:sz w:val="20"/>
                <w:szCs w:val="20"/>
              </w:rPr>
              <w:t>21 CFR Part 1, Subpart R citation; IC Activity</w:t>
            </w:r>
          </w:p>
        </w:tc>
        <w:tc>
          <w:tcPr>
            <w:tcW w:w="669"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73D97514" w14:textId="77777777">
            <w:pPr>
              <w:keepNext/>
              <w:jc w:val="center"/>
              <w:rPr>
                <w:rFonts w:eastAsia="SimSun"/>
                <w:sz w:val="20"/>
                <w:szCs w:val="20"/>
              </w:rPr>
            </w:pPr>
            <w:r w:rsidRPr="00A01404">
              <w:rPr>
                <w:rFonts w:eastAsia="SimSun"/>
                <w:sz w:val="20"/>
                <w:szCs w:val="20"/>
              </w:rPr>
              <w:t>No. of Respondents</w:t>
            </w:r>
          </w:p>
        </w:tc>
        <w:tc>
          <w:tcPr>
            <w:tcW w:w="763"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786D67F7" w14:textId="77777777">
            <w:pPr>
              <w:keepNext/>
              <w:jc w:val="center"/>
              <w:rPr>
                <w:rFonts w:eastAsia="SimSun"/>
                <w:sz w:val="20"/>
                <w:szCs w:val="20"/>
              </w:rPr>
            </w:pPr>
            <w:r w:rsidRPr="00A01404">
              <w:rPr>
                <w:rFonts w:eastAsia="SimSun"/>
                <w:bCs/>
                <w:sz w:val="20"/>
                <w:szCs w:val="20"/>
              </w:rPr>
              <w:t>No. of Responses per Respondent</w:t>
            </w:r>
          </w:p>
        </w:tc>
        <w:tc>
          <w:tcPr>
            <w:tcW w:w="570"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183A578F" w14:textId="77777777">
            <w:pPr>
              <w:keepNext/>
              <w:jc w:val="center"/>
              <w:rPr>
                <w:rFonts w:eastAsia="SimSun"/>
                <w:sz w:val="20"/>
                <w:szCs w:val="20"/>
              </w:rPr>
            </w:pPr>
            <w:r w:rsidRPr="00A01404">
              <w:rPr>
                <w:rFonts w:eastAsia="SimSun"/>
                <w:sz w:val="20"/>
                <w:szCs w:val="20"/>
              </w:rPr>
              <w:t>Total Annual Responses</w:t>
            </w:r>
          </w:p>
        </w:tc>
        <w:tc>
          <w:tcPr>
            <w:tcW w:w="628"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113DC0ED" w14:textId="4536260C">
            <w:pPr>
              <w:keepNext/>
              <w:jc w:val="center"/>
              <w:rPr>
                <w:rFonts w:eastAsia="SimSun"/>
                <w:sz w:val="20"/>
                <w:szCs w:val="20"/>
              </w:rPr>
            </w:pPr>
            <w:r w:rsidRPr="00A01404">
              <w:rPr>
                <w:rFonts w:eastAsia="SimSun"/>
                <w:bCs/>
                <w:sz w:val="20"/>
                <w:szCs w:val="20"/>
              </w:rPr>
              <w:t>Average Burden per Response</w:t>
            </w:r>
          </w:p>
        </w:tc>
        <w:tc>
          <w:tcPr>
            <w:tcW w:w="606"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091EEB83" w14:textId="77777777">
            <w:pPr>
              <w:keepNext/>
              <w:jc w:val="center"/>
              <w:rPr>
                <w:rFonts w:eastAsia="SimSun"/>
                <w:sz w:val="20"/>
                <w:szCs w:val="20"/>
              </w:rPr>
            </w:pPr>
            <w:r w:rsidRPr="00A01404">
              <w:rPr>
                <w:rFonts w:eastAsia="SimSun"/>
                <w:sz w:val="20"/>
                <w:szCs w:val="20"/>
              </w:rPr>
              <w:t>Total Hours</w:t>
            </w:r>
          </w:p>
        </w:tc>
      </w:tr>
      <w:tr w:rsidRPr="00A01404" w:rsidR="009D6FFD" w:rsidTr="008B15EF" w14:paraId="4AF940B4" w14:textId="77777777">
        <w:trPr>
          <w:cantSplit/>
          <w:trHeight w:val="20"/>
        </w:trPr>
        <w:tc>
          <w:tcPr>
            <w:tcW w:w="1765"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1750DDE6" w14:textId="77777777">
            <w:pPr>
              <w:keepNext/>
              <w:rPr>
                <w:rFonts w:eastAsia="SimSun"/>
                <w:sz w:val="20"/>
                <w:szCs w:val="20"/>
              </w:rPr>
            </w:pPr>
            <w:r w:rsidRPr="00A01404">
              <w:rPr>
                <w:rFonts w:eastAsia="SimSun"/>
                <w:sz w:val="20"/>
                <w:szCs w:val="20"/>
              </w:rPr>
              <w:t>§§ 1.1113/1.1128(a); Accreditation bodies (ABs) application for recognition (one-time submission)</w:t>
            </w:r>
          </w:p>
        </w:tc>
        <w:tc>
          <w:tcPr>
            <w:tcW w:w="669"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145D78D5" w14:textId="77777777">
            <w:pPr>
              <w:keepNext/>
              <w:jc w:val="right"/>
              <w:rPr>
                <w:rFonts w:eastAsia="SimSun"/>
                <w:sz w:val="20"/>
                <w:szCs w:val="20"/>
              </w:rPr>
            </w:pPr>
            <w:r w:rsidRPr="00A01404">
              <w:rPr>
                <w:rFonts w:eastAsia="SimSun"/>
                <w:sz w:val="20"/>
                <w:szCs w:val="20"/>
              </w:rPr>
              <w:t>18</w:t>
            </w:r>
          </w:p>
        </w:tc>
        <w:tc>
          <w:tcPr>
            <w:tcW w:w="763"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60F1374D" w14:textId="77777777">
            <w:pPr>
              <w:keepNext/>
              <w:jc w:val="right"/>
              <w:rPr>
                <w:rFonts w:eastAsia="SimSun"/>
                <w:sz w:val="20"/>
                <w:szCs w:val="20"/>
              </w:rPr>
            </w:pPr>
            <w:r w:rsidRPr="00A01404">
              <w:rPr>
                <w:rFonts w:eastAsia="SimSun"/>
                <w:sz w:val="20"/>
                <w:szCs w:val="20"/>
              </w:rPr>
              <w:t>1</w:t>
            </w:r>
          </w:p>
        </w:tc>
        <w:tc>
          <w:tcPr>
            <w:tcW w:w="570"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Del="007D6A46" w:rsidP="00A01404" w:rsidRDefault="00A01404" w14:paraId="20E38075" w14:textId="77777777">
            <w:pPr>
              <w:keepNext/>
              <w:jc w:val="right"/>
              <w:rPr>
                <w:rFonts w:eastAsia="SimSun"/>
                <w:sz w:val="20"/>
                <w:szCs w:val="20"/>
              </w:rPr>
            </w:pPr>
            <w:r w:rsidRPr="00A01404">
              <w:rPr>
                <w:rFonts w:eastAsia="SimSun"/>
                <w:sz w:val="20"/>
                <w:szCs w:val="20"/>
              </w:rPr>
              <w:t>18</w:t>
            </w:r>
          </w:p>
        </w:tc>
        <w:tc>
          <w:tcPr>
            <w:tcW w:w="628"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52C3C92B" w14:textId="77777777">
            <w:pPr>
              <w:keepNext/>
              <w:jc w:val="right"/>
              <w:rPr>
                <w:rFonts w:eastAsia="SimSun"/>
                <w:sz w:val="20"/>
                <w:szCs w:val="20"/>
              </w:rPr>
            </w:pPr>
            <w:r w:rsidRPr="00A01404">
              <w:rPr>
                <w:rFonts w:eastAsia="SimSun"/>
                <w:sz w:val="20"/>
                <w:szCs w:val="20"/>
              </w:rPr>
              <w:t>20</w:t>
            </w:r>
          </w:p>
        </w:tc>
        <w:tc>
          <w:tcPr>
            <w:tcW w:w="606"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Del="007D6A46" w:rsidP="00A01404" w:rsidRDefault="00A01404" w14:paraId="3C094718" w14:textId="77777777">
            <w:pPr>
              <w:keepNext/>
              <w:jc w:val="right"/>
              <w:rPr>
                <w:rFonts w:eastAsia="SimSun"/>
                <w:sz w:val="20"/>
                <w:szCs w:val="20"/>
              </w:rPr>
            </w:pPr>
            <w:r w:rsidRPr="00A01404">
              <w:rPr>
                <w:rFonts w:eastAsia="SimSun"/>
                <w:sz w:val="20"/>
                <w:szCs w:val="20"/>
              </w:rPr>
              <w:t>360</w:t>
            </w:r>
          </w:p>
        </w:tc>
      </w:tr>
      <w:tr w:rsidRPr="00A01404" w:rsidR="009D6FFD" w:rsidTr="008B15EF" w14:paraId="36E9C505" w14:textId="77777777">
        <w:trPr>
          <w:cantSplit/>
          <w:trHeight w:val="20"/>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57342330" w14:textId="77777777">
            <w:pPr>
              <w:keepNext/>
              <w:rPr>
                <w:rFonts w:eastAsia="SimSun"/>
                <w:sz w:val="20"/>
                <w:szCs w:val="20"/>
              </w:rPr>
            </w:pPr>
            <w:r w:rsidRPr="00A01404">
              <w:rPr>
                <w:rFonts w:eastAsia="SimSun"/>
                <w:sz w:val="20"/>
                <w:szCs w:val="20"/>
              </w:rPr>
              <w:t>§ 1.1123(b) and (c); ABs--general reporting requirements</w:t>
            </w:r>
          </w:p>
        </w:tc>
        <w:tc>
          <w:tcPr>
            <w:tcW w:w="669"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0636D490" w14:textId="77777777">
            <w:pPr>
              <w:keepNext/>
              <w:jc w:val="right"/>
              <w:rPr>
                <w:rFonts w:eastAsia="SimSun"/>
                <w:sz w:val="20"/>
                <w:szCs w:val="20"/>
              </w:rPr>
            </w:pPr>
            <w:r w:rsidRPr="00A01404">
              <w:rPr>
                <w:rFonts w:eastAsia="SimSun"/>
                <w:sz w:val="20"/>
                <w:szCs w:val="20"/>
              </w:rPr>
              <w:t>18</w:t>
            </w:r>
          </w:p>
        </w:tc>
        <w:tc>
          <w:tcPr>
            <w:tcW w:w="763"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00854FEA" w14:textId="77777777">
            <w:pPr>
              <w:keepNext/>
              <w:jc w:val="right"/>
              <w:rPr>
                <w:rFonts w:eastAsia="SimSun"/>
                <w:sz w:val="20"/>
                <w:szCs w:val="20"/>
              </w:rPr>
            </w:pPr>
            <w:r w:rsidRPr="00A01404">
              <w:rPr>
                <w:rFonts w:eastAsia="SimSun"/>
                <w:sz w:val="20"/>
                <w:szCs w:val="20"/>
              </w:rPr>
              <w:t>12</w:t>
            </w:r>
          </w:p>
        </w:tc>
        <w:tc>
          <w:tcPr>
            <w:tcW w:w="570"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15576EF2" w14:textId="77777777">
            <w:pPr>
              <w:keepNext/>
              <w:jc w:val="right"/>
              <w:rPr>
                <w:rFonts w:eastAsia="SimSun"/>
                <w:sz w:val="20"/>
                <w:szCs w:val="20"/>
              </w:rPr>
            </w:pPr>
            <w:r w:rsidRPr="00A01404">
              <w:rPr>
                <w:rFonts w:eastAsia="SimSun"/>
                <w:sz w:val="20"/>
                <w:szCs w:val="20"/>
              </w:rPr>
              <w:t>216</w:t>
            </w:r>
          </w:p>
        </w:tc>
        <w:tc>
          <w:tcPr>
            <w:tcW w:w="628"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5647F076" w14:textId="77777777">
            <w:pPr>
              <w:keepNext/>
              <w:jc w:val="right"/>
              <w:rPr>
                <w:rFonts w:eastAsia="SimSun"/>
                <w:sz w:val="20"/>
                <w:szCs w:val="20"/>
              </w:rPr>
            </w:pPr>
            <w:r w:rsidRPr="00A01404">
              <w:rPr>
                <w:rFonts w:eastAsia="SimSun"/>
                <w:sz w:val="20"/>
                <w:szCs w:val="20"/>
              </w:rPr>
              <w:t>.5</w:t>
            </w:r>
          </w:p>
          <w:p w:rsidRPr="00A01404" w:rsidR="00A01404" w:rsidP="00A01404" w:rsidRDefault="00A01404" w14:paraId="20E0CD34" w14:textId="77777777">
            <w:pPr>
              <w:keepNext/>
              <w:jc w:val="right"/>
              <w:rPr>
                <w:rFonts w:eastAsia="SimSun"/>
                <w:sz w:val="20"/>
                <w:szCs w:val="20"/>
              </w:rPr>
            </w:pPr>
            <w:r w:rsidRPr="00A01404">
              <w:rPr>
                <w:rFonts w:eastAsia="SimSun"/>
                <w:sz w:val="20"/>
                <w:szCs w:val="20"/>
              </w:rPr>
              <w:t>(30 mins.)</w:t>
            </w:r>
          </w:p>
        </w:tc>
        <w:tc>
          <w:tcPr>
            <w:tcW w:w="606"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6B2CF617" w14:textId="77777777">
            <w:pPr>
              <w:keepNext/>
              <w:jc w:val="right"/>
              <w:rPr>
                <w:rFonts w:eastAsia="SimSun"/>
                <w:sz w:val="20"/>
                <w:szCs w:val="20"/>
              </w:rPr>
            </w:pPr>
            <w:r w:rsidRPr="00A01404">
              <w:rPr>
                <w:rFonts w:eastAsia="SimSun"/>
                <w:sz w:val="20"/>
                <w:szCs w:val="20"/>
              </w:rPr>
              <w:t>108</w:t>
            </w:r>
          </w:p>
        </w:tc>
      </w:tr>
      <w:tr w:rsidRPr="00A01404" w:rsidR="009D6FFD" w:rsidTr="008B15EF" w14:paraId="04A12423" w14:textId="77777777">
        <w:trPr>
          <w:cantSplit/>
          <w:trHeight w:val="20"/>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4138239D" w14:textId="77777777">
            <w:pPr>
              <w:rPr>
                <w:rFonts w:eastAsia="SimSun"/>
                <w:sz w:val="20"/>
                <w:szCs w:val="20"/>
              </w:rPr>
            </w:pPr>
            <w:r w:rsidRPr="00A01404">
              <w:rPr>
                <w:rFonts w:eastAsia="SimSun"/>
                <w:sz w:val="20"/>
                <w:szCs w:val="20"/>
              </w:rPr>
              <w:t>§ 1.1128(b); ABs--application for renewal of recognition</w:t>
            </w:r>
          </w:p>
        </w:tc>
        <w:tc>
          <w:tcPr>
            <w:tcW w:w="669"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21BB0CDD" w14:textId="77777777">
            <w:pPr>
              <w:jc w:val="right"/>
              <w:rPr>
                <w:rFonts w:eastAsia="SimSun"/>
                <w:sz w:val="20"/>
                <w:szCs w:val="20"/>
              </w:rPr>
            </w:pPr>
            <w:r w:rsidRPr="00A01404">
              <w:rPr>
                <w:rFonts w:eastAsia="SimSun"/>
                <w:sz w:val="20"/>
                <w:szCs w:val="20"/>
              </w:rPr>
              <w:t>18</w:t>
            </w:r>
          </w:p>
        </w:tc>
        <w:tc>
          <w:tcPr>
            <w:tcW w:w="763"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1FE9310F" w14:textId="77777777">
            <w:pPr>
              <w:jc w:val="right"/>
              <w:rPr>
                <w:rFonts w:eastAsia="SimSun"/>
                <w:sz w:val="20"/>
                <w:szCs w:val="20"/>
              </w:rPr>
            </w:pPr>
            <w:r w:rsidRPr="00A01404">
              <w:rPr>
                <w:rFonts w:eastAsia="SimSun"/>
                <w:sz w:val="20"/>
                <w:szCs w:val="20"/>
              </w:rPr>
              <w:t>1</w:t>
            </w:r>
          </w:p>
        </w:tc>
        <w:tc>
          <w:tcPr>
            <w:tcW w:w="570"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500BDDD2" w14:textId="77777777">
            <w:pPr>
              <w:jc w:val="right"/>
              <w:rPr>
                <w:rFonts w:eastAsia="SimSun"/>
                <w:sz w:val="20"/>
                <w:szCs w:val="20"/>
              </w:rPr>
            </w:pPr>
            <w:r w:rsidRPr="00A01404">
              <w:rPr>
                <w:rFonts w:eastAsia="SimSun"/>
                <w:sz w:val="20"/>
                <w:szCs w:val="20"/>
              </w:rPr>
              <w:t>18</w:t>
            </w:r>
          </w:p>
        </w:tc>
        <w:tc>
          <w:tcPr>
            <w:tcW w:w="628"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7249A52A" w14:textId="77777777">
            <w:pPr>
              <w:jc w:val="right"/>
              <w:rPr>
                <w:rFonts w:eastAsia="SimSun"/>
                <w:sz w:val="20"/>
                <w:szCs w:val="20"/>
              </w:rPr>
            </w:pPr>
            <w:r w:rsidRPr="00A01404">
              <w:rPr>
                <w:rFonts w:eastAsia="SimSun"/>
                <w:sz w:val="20"/>
                <w:szCs w:val="20"/>
              </w:rPr>
              <w:t>3.6</w:t>
            </w:r>
          </w:p>
        </w:tc>
        <w:tc>
          <w:tcPr>
            <w:tcW w:w="606"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0E524155" w14:textId="77777777">
            <w:pPr>
              <w:jc w:val="right"/>
              <w:rPr>
                <w:rFonts w:eastAsia="SimSun"/>
                <w:sz w:val="20"/>
                <w:szCs w:val="20"/>
              </w:rPr>
            </w:pPr>
            <w:r w:rsidRPr="00A01404">
              <w:rPr>
                <w:rFonts w:eastAsia="SimSun"/>
                <w:sz w:val="20"/>
                <w:szCs w:val="20"/>
              </w:rPr>
              <w:t>64.8</w:t>
            </w:r>
          </w:p>
        </w:tc>
      </w:tr>
      <w:tr w:rsidRPr="00A01404" w:rsidR="009D6FFD" w:rsidTr="008B15EF" w14:paraId="3FABFD41" w14:textId="77777777">
        <w:trPr>
          <w:cantSplit/>
          <w:trHeight w:val="20"/>
        </w:trPr>
        <w:tc>
          <w:tcPr>
            <w:tcW w:w="1765"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34F4066B" w14:textId="77777777">
            <w:pPr>
              <w:rPr>
                <w:rFonts w:eastAsia="SimSun"/>
                <w:sz w:val="20"/>
                <w:szCs w:val="20"/>
              </w:rPr>
            </w:pPr>
            <w:r w:rsidRPr="00A01404">
              <w:rPr>
                <w:rFonts w:eastAsia="SimSun"/>
                <w:sz w:val="20"/>
                <w:szCs w:val="20"/>
              </w:rPr>
              <w:t>§§ 1.1138 and 1.1158; laboratories--submission of application for accreditation (one-time submission)</w:t>
            </w:r>
          </w:p>
        </w:tc>
        <w:tc>
          <w:tcPr>
            <w:tcW w:w="669"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10A6F716" w14:textId="77777777">
            <w:pPr>
              <w:jc w:val="right"/>
              <w:rPr>
                <w:rFonts w:eastAsia="SimSun"/>
                <w:sz w:val="20"/>
                <w:szCs w:val="20"/>
              </w:rPr>
            </w:pPr>
            <w:r w:rsidRPr="00A01404">
              <w:rPr>
                <w:rFonts w:eastAsia="SimSun"/>
                <w:sz w:val="20"/>
                <w:szCs w:val="20"/>
              </w:rPr>
              <w:t>48</w:t>
            </w:r>
          </w:p>
        </w:tc>
        <w:tc>
          <w:tcPr>
            <w:tcW w:w="763"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7061D404" w14:textId="77777777">
            <w:pPr>
              <w:jc w:val="right"/>
              <w:rPr>
                <w:rFonts w:eastAsia="SimSun"/>
                <w:sz w:val="20"/>
                <w:szCs w:val="20"/>
              </w:rPr>
            </w:pPr>
            <w:r w:rsidRPr="00A01404">
              <w:rPr>
                <w:rFonts w:eastAsia="SimSun"/>
                <w:sz w:val="20"/>
                <w:szCs w:val="20"/>
              </w:rPr>
              <w:t>1</w:t>
            </w:r>
          </w:p>
        </w:tc>
        <w:tc>
          <w:tcPr>
            <w:tcW w:w="570"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Del="002D5500" w:rsidP="00A01404" w:rsidRDefault="00A01404" w14:paraId="740F932A" w14:textId="77777777">
            <w:pPr>
              <w:jc w:val="right"/>
              <w:rPr>
                <w:rFonts w:eastAsia="SimSun"/>
                <w:sz w:val="20"/>
                <w:szCs w:val="20"/>
              </w:rPr>
            </w:pPr>
            <w:r w:rsidRPr="00A01404">
              <w:rPr>
                <w:rFonts w:eastAsia="SimSun"/>
                <w:sz w:val="20"/>
                <w:szCs w:val="20"/>
              </w:rPr>
              <w:t>48</w:t>
            </w:r>
          </w:p>
        </w:tc>
        <w:tc>
          <w:tcPr>
            <w:tcW w:w="628"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Del="002D5500" w:rsidP="00A01404" w:rsidRDefault="00A01404" w14:paraId="148D99E3" w14:textId="77777777">
            <w:pPr>
              <w:jc w:val="right"/>
              <w:rPr>
                <w:rFonts w:eastAsia="SimSun"/>
                <w:sz w:val="20"/>
                <w:szCs w:val="20"/>
              </w:rPr>
            </w:pPr>
            <w:r w:rsidRPr="00A01404">
              <w:rPr>
                <w:rFonts w:eastAsia="SimSun"/>
                <w:sz w:val="20"/>
                <w:szCs w:val="20"/>
              </w:rPr>
              <w:t>20</w:t>
            </w:r>
          </w:p>
        </w:tc>
        <w:tc>
          <w:tcPr>
            <w:tcW w:w="606"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17555509" w14:textId="77777777">
            <w:pPr>
              <w:jc w:val="right"/>
              <w:rPr>
                <w:rFonts w:eastAsia="SimSun"/>
                <w:sz w:val="20"/>
                <w:szCs w:val="20"/>
              </w:rPr>
            </w:pPr>
            <w:r w:rsidRPr="00A01404">
              <w:rPr>
                <w:rFonts w:eastAsia="SimSun"/>
                <w:sz w:val="20"/>
                <w:szCs w:val="20"/>
              </w:rPr>
              <w:t>960</w:t>
            </w:r>
          </w:p>
        </w:tc>
      </w:tr>
      <w:tr w:rsidRPr="00A01404" w:rsidR="009D6FFD" w:rsidTr="008B15EF" w14:paraId="262245F0" w14:textId="77777777">
        <w:trPr>
          <w:cantSplit/>
          <w:trHeight w:val="20"/>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441F8F4A" w14:textId="77777777">
            <w:pPr>
              <w:rPr>
                <w:rFonts w:eastAsia="SimSun"/>
                <w:sz w:val="20"/>
                <w:szCs w:val="20"/>
              </w:rPr>
            </w:pPr>
            <w:r w:rsidRPr="00A01404">
              <w:rPr>
                <w:rFonts w:eastAsia="SimSun"/>
                <w:sz w:val="20"/>
                <w:szCs w:val="20"/>
              </w:rPr>
              <w:t>§ 1.1152(c)(1) and (2); laboratories--Submission of sampling plan, sample collection report, and sampler qualifications</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9C8DA36" w14:textId="77777777">
            <w:pPr>
              <w:jc w:val="right"/>
              <w:rPr>
                <w:rFonts w:eastAsia="SimSun"/>
                <w:sz w:val="20"/>
                <w:szCs w:val="20"/>
              </w:rPr>
            </w:pPr>
            <w:r w:rsidRPr="00A01404">
              <w:rPr>
                <w:rFonts w:eastAsia="SimSun"/>
                <w:sz w:val="20"/>
                <w:szCs w:val="20"/>
              </w:rPr>
              <w:t>48</w:t>
            </w: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967F24D" w14:textId="77777777">
            <w:pPr>
              <w:jc w:val="right"/>
              <w:rPr>
                <w:rFonts w:eastAsia="SimSun"/>
                <w:sz w:val="20"/>
                <w:szCs w:val="20"/>
              </w:rPr>
            </w:pPr>
            <w:r w:rsidRPr="00A01404">
              <w:rPr>
                <w:rFonts w:eastAsia="SimSun"/>
                <w:sz w:val="20"/>
                <w:szCs w:val="20"/>
              </w:rPr>
              <w:t>88.48</w:t>
            </w: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23C76604" w14:textId="77777777">
            <w:pPr>
              <w:jc w:val="right"/>
              <w:rPr>
                <w:rFonts w:eastAsia="SimSun"/>
                <w:sz w:val="20"/>
                <w:szCs w:val="20"/>
              </w:rPr>
            </w:pPr>
            <w:r w:rsidRPr="00A01404">
              <w:rPr>
                <w:rFonts w:eastAsia="SimSun"/>
                <w:sz w:val="20"/>
                <w:szCs w:val="20"/>
              </w:rPr>
              <w:t>4,247</w:t>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3A16C9D" w14:textId="77777777">
            <w:pPr>
              <w:jc w:val="right"/>
              <w:rPr>
                <w:rFonts w:eastAsia="SimSun"/>
                <w:sz w:val="20"/>
                <w:szCs w:val="20"/>
              </w:rPr>
            </w:pPr>
            <w:r w:rsidRPr="00A01404">
              <w:rPr>
                <w:rFonts w:eastAsia="SimSun"/>
                <w:sz w:val="20"/>
                <w:szCs w:val="20"/>
              </w:rPr>
              <w:t>1.75</w:t>
            </w: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52D08F9C" w14:textId="77777777">
            <w:pPr>
              <w:jc w:val="right"/>
              <w:rPr>
                <w:rFonts w:eastAsia="SimSun"/>
                <w:sz w:val="20"/>
                <w:szCs w:val="20"/>
              </w:rPr>
            </w:pPr>
            <w:r w:rsidRPr="00A01404">
              <w:rPr>
                <w:rFonts w:eastAsia="SimSun"/>
                <w:sz w:val="20"/>
                <w:szCs w:val="20"/>
              </w:rPr>
              <w:t>7,432</w:t>
            </w:r>
          </w:p>
        </w:tc>
      </w:tr>
      <w:tr w:rsidRPr="00A01404" w:rsidR="009D6FFD" w:rsidTr="008B15EF" w14:paraId="5FD82B7D" w14:textId="77777777">
        <w:trPr>
          <w:cantSplit/>
          <w:trHeight w:val="20"/>
        </w:trPr>
        <w:tc>
          <w:tcPr>
            <w:tcW w:w="1765" w:type="pct"/>
            <w:tcBorders>
              <w:top w:val="single" w:color="auto" w:sz="4" w:space="0"/>
              <w:left w:val="single" w:color="auto" w:sz="4" w:space="0"/>
              <w:bottom w:val="single" w:color="auto" w:sz="4" w:space="0"/>
              <w:right w:val="single" w:color="auto" w:sz="4" w:space="0"/>
            </w:tcBorders>
            <w:shd w:val="clear" w:color="auto" w:fill="auto"/>
            <w:hideMark/>
          </w:tcPr>
          <w:p w:rsidRPr="00A01404" w:rsidR="00A01404" w:rsidP="00A01404" w:rsidRDefault="00A01404" w14:paraId="0BE1E21B" w14:textId="77777777">
            <w:pPr>
              <w:rPr>
                <w:rFonts w:eastAsia="SimSun"/>
                <w:sz w:val="20"/>
                <w:szCs w:val="20"/>
              </w:rPr>
            </w:pPr>
            <w:r w:rsidRPr="00A01404">
              <w:rPr>
                <w:rFonts w:eastAsia="SimSun"/>
                <w:sz w:val="20"/>
                <w:szCs w:val="20"/>
              </w:rPr>
              <w:t>§ 1.1152(d); laboratories--qualification to submit abridged analytical reports (one-time submission).</w:t>
            </w:r>
          </w:p>
        </w:tc>
        <w:tc>
          <w:tcPr>
            <w:tcW w:w="669"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73ABD815" w14:textId="77777777">
            <w:pPr>
              <w:jc w:val="right"/>
              <w:rPr>
                <w:rFonts w:eastAsia="SimSun"/>
                <w:sz w:val="20"/>
                <w:szCs w:val="20"/>
              </w:rPr>
            </w:pPr>
            <w:r w:rsidRPr="00A01404">
              <w:rPr>
                <w:rFonts w:eastAsia="SimSun"/>
                <w:sz w:val="20"/>
                <w:szCs w:val="20"/>
              </w:rPr>
              <w:t>48</w:t>
            </w:r>
          </w:p>
        </w:tc>
        <w:tc>
          <w:tcPr>
            <w:tcW w:w="763"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228D9943" w14:textId="77777777">
            <w:pPr>
              <w:jc w:val="right"/>
              <w:rPr>
                <w:rFonts w:eastAsia="SimSun"/>
                <w:sz w:val="20"/>
                <w:szCs w:val="20"/>
              </w:rPr>
            </w:pPr>
            <w:r w:rsidRPr="00A01404">
              <w:rPr>
                <w:rFonts w:eastAsia="SimSun"/>
                <w:sz w:val="20"/>
                <w:szCs w:val="20"/>
              </w:rPr>
              <w:t>10</w:t>
            </w:r>
          </w:p>
        </w:tc>
        <w:tc>
          <w:tcPr>
            <w:tcW w:w="570"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2D3D6E17" w14:textId="77777777">
            <w:pPr>
              <w:jc w:val="right"/>
              <w:rPr>
                <w:rFonts w:eastAsia="SimSun"/>
                <w:sz w:val="20"/>
                <w:szCs w:val="20"/>
              </w:rPr>
            </w:pPr>
            <w:r w:rsidRPr="00A01404">
              <w:rPr>
                <w:rFonts w:eastAsia="SimSun"/>
                <w:sz w:val="20"/>
                <w:szCs w:val="20"/>
              </w:rPr>
              <w:t>480</w:t>
            </w:r>
          </w:p>
        </w:tc>
        <w:tc>
          <w:tcPr>
            <w:tcW w:w="628"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28B53E86" w14:textId="77777777">
            <w:pPr>
              <w:jc w:val="right"/>
              <w:rPr>
                <w:rFonts w:eastAsia="SimSun"/>
                <w:sz w:val="20"/>
                <w:szCs w:val="20"/>
              </w:rPr>
            </w:pPr>
            <w:r w:rsidRPr="00A01404">
              <w:rPr>
                <w:rFonts w:eastAsia="SimSun"/>
                <w:sz w:val="20"/>
                <w:szCs w:val="20"/>
              </w:rPr>
              <w:t>2</w:t>
            </w:r>
          </w:p>
        </w:tc>
        <w:tc>
          <w:tcPr>
            <w:tcW w:w="606" w:type="pct"/>
            <w:tcBorders>
              <w:top w:val="single" w:color="auto" w:sz="4" w:space="0"/>
              <w:left w:val="single" w:color="auto" w:sz="4" w:space="0"/>
              <w:bottom w:val="single" w:color="auto" w:sz="4" w:space="0"/>
              <w:right w:val="single" w:color="auto" w:sz="4" w:space="0"/>
            </w:tcBorders>
            <w:shd w:val="clear" w:color="auto" w:fill="auto"/>
          </w:tcPr>
          <w:p w:rsidRPr="00A01404" w:rsidR="00A01404" w:rsidP="00A01404" w:rsidRDefault="00A01404" w14:paraId="4C2C702C" w14:textId="77777777">
            <w:pPr>
              <w:jc w:val="right"/>
              <w:rPr>
                <w:rFonts w:eastAsia="SimSun"/>
                <w:sz w:val="20"/>
                <w:szCs w:val="20"/>
              </w:rPr>
            </w:pPr>
            <w:r w:rsidRPr="00A01404">
              <w:rPr>
                <w:rFonts w:eastAsia="SimSun"/>
                <w:sz w:val="20"/>
                <w:szCs w:val="20"/>
              </w:rPr>
              <w:t>960</w:t>
            </w:r>
          </w:p>
        </w:tc>
      </w:tr>
      <w:tr w:rsidRPr="00A01404" w:rsidR="009D6FFD" w:rsidTr="008B15EF" w14:paraId="534BCBEF" w14:textId="77777777">
        <w:trPr>
          <w:cantSplit/>
          <w:trHeight w:val="20"/>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03093CA5" w14:textId="77777777">
            <w:pPr>
              <w:rPr>
                <w:rFonts w:eastAsia="SimSun"/>
                <w:sz w:val="20"/>
                <w:szCs w:val="20"/>
              </w:rPr>
            </w:pPr>
            <w:r w:rsidRPr="00A01404">
              <w:rPr>
                <w:rFonts w:eastAsia="SimSun"/>
                <w:sz w:val="20"/>
                <w:szCs w:val="20"/>
              </w:rPr>
              <w:t>§ 1. 1152(c)(3); laboratories--abridged analytical reports submissions</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14683E71" w14:textId="77777777">
            <w:pPr>
              <w:jc w:val="right"/>
              <w:rPr>
                <w:rFonts w:eastAsia="SimSun"/>
                <w:sz w:val="20"/>
                <w:szCs w:val="20"/>
              </w:rPr>
            </w:pPr>
            <w:r w:rsidRPr="00A01404">
              <w:rPr>
                <w:rFonts w:eastAsia="SimSun"/>
                <w:sz w:val="20"/>
                <w:szCs w:val="20"/>
              </w:rPr>
              <w:t>48</w:t>
            </w: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E3026E1" w14:textId="77777777">
            <w:pPr>
              <w:jc w:val="right"/>
              <w:rPr>
                <w:rFonts w:eastAsia="SimSun"/>
                <w:sz w:val="20"/>
                <w:szCs w:val="20"/>
              </w:rPr>
            </w:pPr>
            <w:r w:rsidRPr="00A01404">
              <w:rPr>
                <w:rFonts w:eastAsia="SimSun"/>
                <w:sz w:val="20"/>
                <w:szCs w:val="20"/>
              </w:rPr>
              <w:t>88.48</w:t>
            </w: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18506E91" w14:textId="77777777">
            <w:pPr>
              <w:jc w:val="right"/>
              <w:rPr>
                <w:rFonts w:eastAsia="SimSun"/>
                <w:sz w:val="20"/>
                <w:szCs w:val="20"/>
              </w:rPr>
            </w:pPr>
            <w:r w:rsidRPr="00A01404">
              <w:rPr>
                <w:rFonts w:eastAsia="SimSun"/>
                <w:sz w:val="20"/>
                <w:szCs w:val="20"/>
              </w:rPr>
              <w:t>4,247</w:t>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60AE68A5" w14:textId="77777777">
            <w:pPr>
              <w:jc w:val="right"/>
              <w:rPr>
                <w:rFonts w:eastAsia="SimSun"/>
                <w:sz w:val="20"/>
                <w:szCs w:val="20"/>
              </w:rPr>
            </w:pPr>
            <w:r w:rsidRPr="00A01404">
              <w:rPr>
                <w:rFonts w:eastAsia="SimSun"/>
                <w:sz w:val="20"/>
                <w:szCs w:val="20"/>
              </w:rPr>
              <w:t>1.16</w:t>
            </w: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1DF17615" w14:textId="77777777">
            <w:pPr>
              <w:jc w:val="right"/>
              <w:rPr>
                <w:rFonts w:eastAsia="SimSun"/>
                <w:sz w:val="20"/>
                <w:szCs w:val="20"/>
              </w:rPr>
            </w:pPr>
            <w:r w:rsidRPr="00A01404">
              <w:rPr>
                <w:rFonts w:eastAsia="SimSun"/>
                <w:sz w:val="20"/>
                <w:szCs w:val="20"/>
              </w:rPr>
              <w:t>4,927</w:t>
            </w:r>
          </w:p>
        </w:tc>
      </w:tr>
      <w:tr w:rsidRPr="00A01404" w:rsidR="009D6FFD" w:rsidTr="008B15EF" w14:paraId="156C5735" w14:textId="77777777">
        <w:trPr>
          <w:cantSplit/>
          <w:trHeight w:val="20"/>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1DDB7488" w14:textId="77777777">
            <w:pPr>
              <w:rPr>
                <w:rFonts w:eastAsia="SimSun"/>
                <w:sz w:val="20"/>
                <w:szCs w:val="20"/>
              </w:rPr>
            </w:pPr>
            <w:r w:rsidRPr="00A01404">
              <w:rPr>
                <w:rFonts w:eastAsia="SimSun"/>
                <w:sz w:val="20"/>
                <w:szCs w:val="20"/>
              </w:rPr>
              <w:t>§ 1.1152(c)(4) and (5); laboratories--validation and verification studies submissions</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7123DAE" w14:textId="77777777">
            <w:pPr>
              <w:jc w:val="right"/>
              <w:rPr>
                <w:rFonts w:eastAsia="SimSun"/>
                <w:sz w:val="20"/>
                <w:szCs w:val="20"/>
              </w:rPr>
            </w:pPr>
            <w:r w:rsidRPr="00A01404">
              <w:rPr>
                <w:rFonts w:eastAsia="SimSun"/>
                <w:sz w:val="20"/>
                <w:szCs w:val="20"/>
              </w:rPr>
              <w:t>9</w:t>
            </w: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61D4FF7F" w14:textId="77777777">
            <w:pPr>
              <w:jc w:val="right"/>
              <w:rPr>
                <w:rFonts w:eastAsia="SimSun"/>
                <w:sz w:val="20"/>
                <w:szCs w:val="20"/>
              </w:rPr>
            </w:pPr>
            <w:r w:rsidRPr="00A01404">
              <w:rPr>
                <w:rFonts w:eastAsia="SimSun"/>
                <w:sz w:val="20"/>
                <w:szCs w:val="20"/>
              </w:rPr>
              <w:t>1</w:t>
            </w: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435A8952" w14:textId="77777777">
            <w:pPr>
              <w:jc w:val="right"/>
              <w:rPr>
                <w:rFonts w:eastAsia="SimSun"/>
                <w:sz w:val="20"/>
                <w:szCs w:val="20"/>
              </w:rPr>
            </w:pPr>
            <w:r w:rsidRPr="00A01404">
              <w:rPr>
                <w:rFonts w:eastAsia="SimSun"/>
                <w:sz w:val="20"/>
                <w:szCs w:val="20"/>
              </w:rPr>
              <w:t>9</w:t>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352F4FF" w14:textId="77777777">
            <w:pPr>
              <w:jc w:val="right"/>
              <w:rPr>
                <w:rFonts w:eastAsia="SimSun"/>
                <w:sz w:val="20"/>
                <w:szCs w:val="20"/>
              </w:rPr>
            </w:pPr>
            <w:r w:rsidRPr="00A01404">
              <w:rPr>
                <w:rFonts w:eastAsia="SimSun"/>
                <w:sz w:val="20"/>
                <w:szCs w:val="20"/>
              </w:rPr>
              <w:t xml:space="preserve">.25 </w:t>
            </w:r>
          </w:p>
          <w:p w:rsidRPr="00A01404" w:rsidR="00A01404" w:rsidP="00A01404" w:rsidRDefault="00A01404" w14:paraId="208D84D3" w14:textId="77777777">
            <w:pPr>
              <w:jc w:val="right"/>
              <w:rPr>
                <w:rFonts w:eastAsia="SimSun"/>
                <w:sz w:val="20"/>
                <w:szCs w:val="20"/>
              </w:rPr>
            </w:pPr>
            <w:r w:rsidRPr="00A01404">
              <w:rPr>
                <w:rFonts w:eastAsia="SimSun"/>
                <w:sz w:val="20"/>
                <w:szCs w:val="20"/>
              </w:rPr>
              <w:t>(15 mins.)</w:t>
            </w: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02D503E" w14:textId="77777777">
            <w:pPr>
              <w:jc w:val="right"/>
              <w:rPr>
                <w:rFonts w:eastAsia="SimSun"/>
                <w:sz w:val="20"/>
                <w:szCs w:val="20"/>
              </w:rPr>
            </w:pPr>
            <w:r w:rsidRPr="00A01404">
              <w:rPr>
                <w:rFonts w:eastAsia="SimSun"/>
                <w:sz w:val="20"/>
                <w:szCs w:val="20"/>
              </w:rPr>
              <w:t>2.25</w:t>
            </w:r>
          </w:p>
        </w:tc>
      </w:tr>
      <w:tr w:rsidRPr="00A01404" w:rsidR="009D6FFD" w:rsidTr="008B15EF" w14:paraId="7833F403" w14:textId="77777777">
        <w:trPr>
          <w:cantSplit/>
          <w:trHeight w:val="20"/>
        </w:trPr>
        <w:tc>
          <w:tcPr>
            <w:tcW w:w="1765"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85A4951" w14:textId="77777777">
            <w:pPr>
              <w:rPr>
                <w:rFonts w:eastAsia="SimSun"/>
                <w:sz w:val="20"/>
                <w:szCs w:val="20"/>
              </w:rPr>
            </w:pPr>
            <w:r w:rsidRPr="00A01404">
              <w:rPr>
                <w:rFonts w:eastAsia="SimSun"/>
                <w:sz w:val="20"/>
                <w:szCs w:val="20"/>
              </w:rPr>
              <w:t>§ 1.1152(i); laboratories--advance notice of sampling submissions</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ABBAA0D" w14:textId="77777777">
            <w:pPr>
              <w:jc w:val="right"/>
              <w:rPr>
                <w:rFonts w:eastAsia="SimSun"/>
                <w:sz w:val="20"/>
                <w:szCs w:val="20"/>
              </w:rPr>
            </w:pPr>
            <w:r w:rsidRPr="00A01404">
              <w:rPr>
                <w:rFonts w:eastAsia="SimSun"/>
                <w:sz w:val="20"/>
                <w:szCs w:val="20"/>
              </w:rPr>
              <w:t>48</w:t>
            </w: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4C7797DA" w14:textId="77777777">
            <w:pPr>
              <w:jc w:val="right"/>
              <w:rPr>
                <w:rFonts w:eastAsia="SimSun"/>
                <w:sz w:val="20"/>
                <w:szCs w:val="20"/>
              </w:rPr>
            </w:pPr>
            <w:r w:rsidRPr="00A01404">
              <w:rPr>
                <w:rFonts w:eastAsia="SimSun"/>
                <w:sz w:val="20"/>
                <w:szCs w:val="20"/>
              </w:rPr>
              <w:t>3</w:t>
            </w: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23096BF3" w14:textId="77777777">
            <w:pPr>
              <w:jc w:val="right"/>
              <w:rPr>
                <w:rFonts w:eastAsia="SimSun"/>
                <w:sz w:val="20"/>
                <w:szCs w:val="20"/>
              </w:rPr>
            </w:pPr>
            <w:r w:rsidRPr="00A01404">
              <w:rPr>
                <w:rFonts w:eastAsia="SimSun"/>
                <w:sz w:val="20"/>
                <w:szCs w:val="20"/>
              </w:rPr>
              <w:t>144</w:t>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B7F1661" w14:textId="77777777">
            <w:pPr>
              <w:jc w:val="right"/>
              <w:rPr>
                <w:rFonts w:eastAsia="SimSun"/>
                <w:sz w:val="20"/>
                <w:szCs w:val="20"/>
              </w:rPr>
            </w:pPr>
            <w:r w:rsidRPr="00A01404">
              <w:rPr>
                <w:rFonts w:eastAsia="SimSun"/>
                <w:sz w:val="20"/>
                <w:szCs w:val="20"/>
              </w:rPr>
              <w:t>1.5</w:t>
            </w: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158A5D8F" w14:textId="77777777">
            <w:pPr>
              <w:jc w:val="right"/>
              <w:rPr>
                <w:rFonts w:eastAsia="SimSun"/>
                <w:sz w:val="20"/>
                <w:szCs w:val="20"/>
              </w:rPr>
            </w:pPr>
            <w:r w:rsidRPr="00A01404">
              <w:rPr>
                <w:rFonts w:eastAsia="SimSun"/>
                <w:sz w:val="20"/>
                <w:szCs w:val="20"/>
              </w:rPr>
              <w:t>216</w:t>
            </w:r>
          </w:p>
        </w:tc>
      </w:tr>
      <w:tr w:rsidRPr="00A01404" w:rsidR="009D6FFD" w:rsidTr="008B15EF" w14:paraId="064DDEB1" w14:textId="77777777">
        <w:trPr>
          <w:cantSplit/>
          <w:trHeight w:val="20"/>
        </w:trPr>
        <w:tc>
          <w:tcPr>
            <w:tcW w:w="1765"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C2518B6" w14:textId="77777777">
            <w:pPr>
              <w:rPr>
                <w:rFonts w:eastAsia="SimSun"/>
                <w:sz w:val="20"/>
                <w:szCs w:val="20"/>
              </w:rPr>
            </w:pPr>
            <w:r w:rsidRPr="00A01404">
              <w:rPr>
                <w:rFonts w:eastAsia="SimSun"/>
                <w:sz w:val="20"/>
                <w:szCs w:val="20"/>
              </w:rPr>
              <w:t xml:space="preserve">§ 1.1152(j); laboratories--immediate notification </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632079D" w14:textId="77777777">
            <w:pPr>
              <w:jc w:val="right"/>
              <w:rPr>
                <w:rFonts w:eastAsia="SimSun"/>
                <w:sz w:val="20"/>
                <w:szCs w:val="20"/>
              </w:rPr>
            </w:pPr>
            <w:r w:rsidRPr="00A01404">
              <w:rPr>
                <w:rFonts w:eastAsia="SimSun"/>
                <w:sz w:val="20"/>
                <w:szCs w:val="20"/>
              </w:rPr>
              <w:t>48</w:t>
            </w: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85AD180" w14:textId="77777777">
            <w:pPr>
              <w:jc w:val="right"/>
              <w:rPr>
                <w:rFonts w:eastAsia="SimSun"/>
                <w:sz w:val="20"/>
                <w:szCs w:val="20"/>
              </w:rPr>
            </w:pPr>
            <w:r w:rsidRPr="00A01404">
              <w:rPr>
                <w:rFonts w:eastAsia="SimSun"/>
                <w:sz w:val="20"/>
                <w:szCs w:val="20"/>
              </w:rPr>
              <w:t>1.5</w:t>
            </w: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F23EF93" w14:textId="77777777">
            <w:pPr>
              <w:jc w:val="right"/>
              <w:rPr>
                <w:rFonts w:eastAsia="SimSun"/>
                <w:sz w:val="20"/>
                <w:szCs w:val="20"/>
              </w:rPr>
            </w:pPr>
            <w:r w:rsidRPr="00A01404">
              <w:rPr>
                <w:rFonts w:eastAsia="SimSun"/>
                <w:sz w:val="20"/>
                <w:szCs w:val="20"/>
              </w:rPr>
              <w:t>72</w:t>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0AA863C" w14:textId="77777777">
            <w:pPr>
              <w:jc w:val="right"/>
              <w:rPr>
                <w:rFonts w:eastAsia="SimSun"/>
                <w:sz w:val="20"/>
                <w:szCs w:val="20"/>
              </w:rPr>
            </w:pPr>
            <w:r w:rsidRPr="00A01404">
              <w:rPr>
                <w:rFonts w:eastAsia="SimSun"/>
                <w:sz w:val="20"/>
                <w:szCs w:val="20"/>
              </w:rPr>
              <w:t>.25</w:t>
            </w: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58EC8F9A" w14:textId="77777777">
            <w:pPr>
              <w:jc w:val="right"/>
              <w:rPr>
                <w:rFonts w:eastAsia="SimSun"/>
                <w:sz w:val="20"/>
                <w:szCs w:val="20"/>
              </w:rPr>
            </w:pPr>
            <w:r w:rsidRPr="00A01404">
              <w:rPr>
                <w:rFonts w:eastAsia="SimSun"/>
                <w:sz w:val="20"/>
                <w:szCs w:val="20"/>
              </w:rPr>
              <w:t>18</w:t>
            </w:r>
          </w:p>
        </w:tc>
      </w:tr>
      <w:tr w:rsidRPr="00A01404" w:rsidR="009D6FFD" w:rsidTr="008B15EF" w14:paraId="4D1B926A" w14:textId="77777777">
        <w:trPr>
          <w:cantSplit/>
          <w:trHeight w:val="20"/>
        </w:trPr>
        <w:tc>
          <w:tcPr>
            <w:tcW w:w="1765"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7464D44F" w14:textId="77777777">
            <w:pPr>
              <w:rPr>
                <w:rFonts w:eastAsia="SimSun"/>
                <w:sz w:val="20"/>
                <w:szCs w:val="20"/>
              </w:rPr>
            </w:pPr>
            <w:r w:rsidRPr="00A01404">
              <w:rPr>
                <w:rFonts w:eastAsia="SimSun"/>
                <w:sz w:val="20"/>
                <w:szCs w:val="20"/>
              </w:rPr>
              <w:t>§§ 1.1165; 1.1171; 1.1173; and 1.1174; requests in response to FDA action</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5B31DAC0" w14:textId="77777777">
            <w:pPr>
              <w:jc w:val="right"/>
              <w:rPr>
                <w:rFonts w:eastAsia="SimSun"/>
                <w:sz w:val="20"/>
                <w:szCs w:val="20"/>
              </w:rPr>
            </w:pPr>
            <w:r w:rsidRPr="00A01404">
              <w:rPr>
                <w:rFonts w:eastAsia="SimSun"/>
                <w:sz w:val="20"/>
                <w:szCs w:val="20"/>
              </w:rPr>
              <w:t>1</w:t>
            </w: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22A1E1ED" w14:textId="77777777">
            <w:pPr>
              <w:jc w:val="right"/>
              <w:rPr>
                <w:rFonts w:eastAsia="SimSun"/>
                <w:sz w:val="20"/>
                <w:szCs w:val="20"/>
              </w:rPr>
            </w:pPr>
            <w:r w:rsidRPr="00A01404">
              <w:rPr>
                <w:rFonts w:eastAsia="SimSun"/>
                <w:sz w:val="20"/>
                <w:szCs w:val="20"/>
              </w:rPr>
              <w:t>1</w:t>
            </w: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7650356" w14:textId="77777777">
            <w:pPr>
              <w:jc w:val="right"/>
              <w:rPr>
                <w:rFonts w:eastAsia="SimSun"/>
                <w:sz w:val="20"/>
                <w:szCs w:val="20"/>
              </w:rPr>
            </w:pPr>
            <w:r w:rsidRPr="00A01404">
              <w:rPr>
                <w:rFonts w:eastAsia="SimSun"/>
                <w:sz w:val="20"/>
                <w:szCs w:val="20"/>
              </w:rPr>
              <w:t>1</w:t>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393DC399" w14:textId="77777777">
            <w:pPr>
              <w:jc w:val="right"/>
              <w:rPr>
                <w:rFonts w:eastAsia="SimSun"/>
                <w:sz w:val="20"/>
                <w:szCs w:val="20"/>
              </w:rPr>
            </w:pPr>
            <w:r w:rsidRPr="00A01404">
              <w:rPr>
                <w:rFonts w:eastAsia="SimSun"/>
                <w:sz w:val="20"/>
                <w:szCs w:val="20"/>
              </w:rPr>
              <w:t>1</w:t>
            </w: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118597C1" w14:textId="77777777">
            <w:pPr>
              <w:jc w:val="right"/>
              <w:rPr>
                <w:rFonts w:eastAsia="SimSun"/>
                <w:sz w:val="20"/>
                <w:szCs w:val="20"/>
              </w:rPr>
            </w:pPr>
            <w:r w:rsidRPr="00A01404">
              <w:rPr>
                <w:rFonts w:eastAsia="SimSun"/>
                <w:sz w:val="20"/>
                <w:szCs w:val="20"/>
              </w:rPr>
              <w:t>1</w:t>
            </w:r>
          </w:p>
        </w:tc>
      </w:tr>
      <w:tr w:rsidRPr="00A01404" w:rsidR="009D6FFD" w:rsidTr="008B15EF" w14:paraId="5FFEA256" w14:textId="77777777">
        <w:trPr>
          <w:cantSplit/>
          <w:trHeight w:val="20"/>
        </w:trPr>
        <w:tc>
          <w:tcPr>
            <w:tcW w:w="1765" w:type="pct"/>
            <w:tcBorders>
              <w:top w:val="single" w:color="auto" w:sz="4" w:space="0"/>
              <w:left w:val="single" w:color="auto" w:sz="4" w:space="0"/>
              <w:bottom w:val="single" w:color="auto" w:sz="4" w:space="0"/>
              <w:right w:val="single" w:color="auto" w:sz="4" w:space="0"/>
            </w:tcBorders>
            <w:hideMark/>
          </w:tcPr>
          <w:p w:rsidRPr="00A01404" w:rsidR="00A01404" w:rsidP="00A01404" w:rsidRDefault="00A01404" w14:paraId="35CCDB67" w14:textId="77777777">
            <w:pPr>
              <w:rPr>
                <w:rFonts w:eastAsia="SimSun"/>
                <w:sz w:val="20"/>
                <w:szCs w:val="20"/>
              </w:rPr>
            </w:pPr>
            <w:r w:rsidRPr="00A01404">
              <w:rPr>
                <w:rFonts w:eastAsia="SimSun"/>
                <w:sz w:val="20"/>
                <w:szCs w:val="20"/>
              </w:rPr>
              <w:t>Total</w:t>
            </w:r>
          </w:p>
        </w:tc>
        <w:tc>
          <w:tcPr>
            <w:tcW w:w="669"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F09D1AB" w14:textId="77777777">
            <w:pPr>
              <w:jc w:val="right"/>
              <w:rPr>
                <w:rFonts w:eastAsia="SimSun"/>
                <w:sz w:val="20"/>
                <w:szCs w:val="20"/>
              </w:rPr>
            </w:pPr>
          </w:p>
        </w:tc>
        <w:tc>
          <w:tcPr>
            <w:tcW w:w="763"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6BD3908" w14:textId="77777777">
            <w:pPr>
              <w:jc w:val="right"/>
              <w:rPr>
                <w:rFonts w:eastAsia="SimSun"/>
                <w:sz w:val="20"/>
                <w:szCs w:val="20"/>
              </w:rPr>
            </w:pPr>
          </w:p>
        </w:tc>
        <w:tc>
          <w:tcPr>
            <w:tcW w:w="570" w:type="pct"/>
            <w:tcBorders>
              <w:top w:val="single" w:color="auto" w:sz="4" w:space="0"/>
              <w:left w:val="single" w:color="auto" w:sz="4" w:space="0"/>
              <w:bottom w:val="single" w:color="auto" w:sz="4" w:space="0"/>
              <w:right w:val="single" w:color="auto" w:sz="4" w:space="0"/>
            </w:tcBorders>
          </w:tcPr>
          <w:p w:rsidRPr="00A01404" w:rsidR="00A01404" w:rsidP="00A01404" w:rsidRDefault="000434F1" w14:paraId="2441AC51" w14:textId="0A9D8F54">
            <w:pPr>
              <w:jc w:val="right"/>
              <w:rPr>
                <w:rFonts w:eastAsia="SimSun"/>
                <w:sz w:val="20"/>
                <w:szCs w:val="20"/>
              </w:rPr>
            </w:pPr>
            <w:r>
              <w:rPr>
                <w:rFonts w:eastAsia="SimSun"/>
                <w:sz w:val="20"/>
                <w:szCs w:val="20"/>
              </w:rPr>
              <w:fldChar w:fldCharType="begin"/>
            </w:r>
            <w:r>
              <w:rPr>
                <w:rFonts w:eastAsia="SimSun"/>
                <w:sz w:val="20"/>
                <w:szCs w:val="20"/>
              </w:rPr>
              <w:instrText xml:space="preserve"> =SUM(ABOVE) </w:instrText>
            </w:r>
            <w:r>
              <w:rPr>
                <w:rFonts w:eastAsia="SimSun"/>
                <w:sz w:val="20"/>
                <w:szCs w:val="20"/>
              </w:rPr>
              <w:fldChar w:fldCharType="separate"/>
            </w:r>
            <w:r>
              <w:rPr>
                <w:rFonts w:eastAsia="SimSun"/>
                <w:noProof/>
                <w:sz w:val="20"/>
                <w:szCs w:val="20"/>
              </w:rPr>
              <w:t>9,500</w:t>
            </w:r>
            <w:r>
              <w:rPr>
                <w:rFonts w:eastAsia="SimSun"/>
                <w:sz w:val="20"/>
                <w:szCs w:val="20"/>
              </w:rPr>
              <w:fldChar w:fldCharType="end"/>
            </w:r>
          </w:p>
        </w:tc>
        <w:tc>
          <w:tcPr>
            <w:tcW w:w="628"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067C730D" w14:textId="77777777">
            <w:pPr>
              <w:jc w:val="right"/>
              <w:rPr>
                <w:rFonts w:eastAsia="SimSun"/>
                <w:sz w:val="20"/>
                <w:szCs w:val="20"/>
              </w:rPr>
            </w:pPr>
          </w:p>
        </w:tc>
        <w:tc>
          <w:tcPr>
            <w:tcW w:w="606" w:type="pct"/>
            <w:tcBorders>
              <w:top w:val="single" w:color="auto" w:sz="4" w:space="0"/>
              <w:left w:val="single" w:color="auto" w:sz="4" w:space="0"/>
              <w:bottom w:val="single" w:color="auto" w:sz="4" w:space="0"/>
              <w:right w:val="single" w:color="auto" w:sz="4" w:space="0"/>
            </w:tcBorders>
          </w:tcPr>
          <w:p w:rsidRPr="00A01404" w:rsidR="00A01404" w:rsidP="00A01404" w:rsidRDefault="00A01404" w14:paraId="6F56621B" w14:textId="77777777">
            <w:pPr>
              <w:jc w:val="right"/>
              <w:rPr>
                <w:rFonts w:eastAsia="SimSun"/>
                <w:sz w:val="20"/>
                <w:szCs w:val="20"/>
              </w:rPr>
            </w:pPr>
            <w:r w:rsidRPr="00A01404">
              <w:rPr>
                <w:rFonts w:eastAsia="SimSun"/>
                <w:sz w:val="20"/>
                <w:szCs w:val="20"/>
              </w:rPr>
              <w:fldChar w:fldCharType="begin"/>
            </w:r>
            <w:r w:rsidRPr="00A01404">
              <w:rPr>
                <w:rFonts w:eastAsia="SimSun"/>
                <w:sz w:val="20"/>
                <w:szCs w:val="20"/>
              </w:rPr>
              <w:instrText xml:space="preserve"> =SUM(ABOVE) </w:instrText>
            </w:r>
            <w:r w:rsidRPr="00A01404">
              <w:rPr>
                <w:rFonts w:eastAsia="SimSun"/>
                <w:sz w:val="20"/>
                <w:szCs w:val="20"/>
              </w:rPr>
              <w:fldChar w:fldCharType="separate"/>
            </w:r>
            <w:r w:rsidRPr="00A01404">
              <w:rPr>
                <w:rFonts w:eastAsia="SimSun"/>
                <w:noProof/>
                <w:sz w:val="20"/>
                <w:szCs w:val="20"/>
              </w:rPr>
              <w:t>15,049.05</w:t>
            </w:r>
            <w:r w:rsidRPr="00A01404">
              <w:rPr>
                <w:rFonts w:eastAsia="SimSun"/>
                <w:sz w:val="20"/>
                <w:szCs w:val="20"/>
              </w:rPr>
              <w:fldChar w:fldCharType="end"/>
            </w:r>
          </w:p>
        </w:tc>
      </w:tr>
    </w:tbl>
    <w:p w:rsidRPr="00A01404" w:rsidR="00E46CC3" w:rsidP="00871BAF" w:rsidRDefault="00E46CC3" w14:paraId="6B3A340D" w14:textId="77777777">
      <w:pPr>
        <w:ind w:left="810"/>
        <w:rPr>
          <w:iCs/>
        </w:rPr>
      </w:pPr>
    </w:p>
    <w:p w:rsidR="008D7230" w:rsidP="002A0C48" w:rsidRDefault="008D7230" w14:paraId="382AA0AF" w14:textId="77777777">
      <w:pPr>
        <w:ind w:left="720"/>
      </w:pPr>
    </w:p>
    <w:p w:rsidR="00A24537" w:rsidP="00A24537" w:rsidRDefault="00A24537" w14:paraId="1FC4140C" w14:textId="704F94ED">
      <w:pPr>
        <w:tabs>
          <w:tab w:val="left" w:pos="720"/>
        </w:tabs>
        <w:ind w:left="720"/>
      </w:pPr>
      <w:r w:rsidRPr="00CE35F1">
        <w:rPr>
          <w:i/>
          <w:iCs/>
          <w:u w:val="single"/>
        </w:rPr>
        <w:lastRenderedPageBreak/>
        <w:t>Reporting</w:t>
      </w:r>
      <w:r w:rsidR="006F5FEE">
        <w:rPr>
          <w:i/>
          <w:iCs/>
          <w:u w:val="single"/>
        </w:rPr>
        <w:t xml:space="preserve"> Burden</w:t>
      </w:r>
      <w:r>
        <w:t>:  Consistent with figures discussed in our Preliminary Regulatory Impact Analysis (PRIA) (see Section II.D, Number of Entities), we estimate a total of 66 respondents.  We estimate that five to 80 accreditation bodies would apply for FDA recognition under the rule, with a mean distribution of 17.5 accreditation bodies.  For this analysis we round up to 18.  Similarly, we estimate of a mean of 48 laboratories will participate in the program, for a total of 66 respondents to the information collection.  The reporting burden includes a burden of 8,820 hours associated with one-time submissions.  In this analysis, we annualize the one-time submission burden using a 3-year period horizon and zero percent discount rate, for an annualized one-time reporting burden of 2,940 hours.  Cumulatively, this results in a total annual reporting burden of 15,049.05 hours.</w:t>
      </w:r>
    </w:p>
    <w:p w:rsidR="00871BAF" w:rsidP="00A24537" w:rsidRDefault="00871BAF" w14:paraId="2B9547AC" w14:textId="77777777">
      <w:pPr>
        <w:tabs>
          <w:tab w:val="left" w:pos="720"/>
        </w:tabs>
        <w:ind w:left="720"/>
      </w:pPr>
    </w:p>
    <w:p w:rsidR="00A24537" w:rsidP="00A24537" w:rsidRDefault="00A24537" w14:paraId="4041C15D" w14:textId="2F53594A">
      <w:pPr>
        <w:tabs>
          <w:tab w:val="left" w:pos="720"/>
        </w:tabs>
        <w:ind w:left="720"/>
      </w:pPr>
      <w:r>
        <w:t>Proposed § 1.1128(a) would require accreditation bodies that wish to be recognized to submit an application to FDA that demonstrates their qualifications (those qualifications are specified by proposed § 1.1113) to accredit laboratories under this rule.  We estimate this process would take one analyst between 40 and 80 hours to compile all the relevant information, prepare for an assessment, and complete initial application process, and submit the application.  For this analysis we assume a middle value of 60 hours.  Also for this analysis, we use a 3-year period horizon and zero percent discount rate to convert the one-time submission burden to an annualized figure (</w:t>
      </w:r>
      <w:r w:rsidRPr="006C41B1">
        <w:rPr>
          <w:i/>
          <w:iCs/>
        </w:rPr>
        <w:t>i.e.</w:t>
      </w:r>
      <w:r>
        <w:t>, 60 hours ÷ by 3 = 20 hours).  Annually this results in 360 hours of burden for initial applications submitted by 18 accreditation bodies (18 applications × 20 hours per application), as reflected in row 1.</w:t>
      </w:r>
    </w:p>
    <w:p w:rsidR="00871BAF" w:rsidP="00A24537" w:rsidRDefault="00871BAF" w14:paraId="17AFA14A" w14:textId="77777777">
      <w:pPr>
        <w:tabs>
          <w:tab w:val="left" w:pos="720"/>
        </w:tabs>
        <w:ind w:left="720"/>
      </w:pPr>
    </w:p>
    <w:p w:rsidR="00A24537" w:rsidP="00A24537" w:rsidRDefault="00A24537" w14:paraId="35A3DEAF" w14:textId="18EB5885">
      <w:pPr>
        <w:tabs>
          <w:tab w:val="left" w:pos="720"/>
        </w:tabs>
        <w:ind w:left="720"/>
      </w:pPr>
      <w:r>
        <w:t>Proposed § 1.1123 would require a recognized accreditation body to report information, including significant changes affecting its accreditation program or the accreditation status of laboratories it accredits, and ensure FDA has access to these and other records.  We estimate recognized accreditation bodies would incur a burden of 1 hour per month, or 12 hours per year, complying with both the reporting requirements of proposed § 1.1123 and the recordkeeping requirements of proposed § 1.1124.  For this analysis, we identify recordkeeping and reporting burdens separately and assume 6 of the 12 hours (</w:t>
      </w:r>
      <w:r w:rsidRPr="006C41B1">
        <w:rPr>
          <w:i/>
          <w:iCs/>
        </w:rPr>
        <w:t>i.e.</w:t>
      </w:r>
      <w:r>
        <w:t>, 30 minutes per month) would be spent meeting the reporting requirements of § 1.1123.  Annually, this results in 108 hours (18 recognized accreditation bodies × 6 hours per year), as reflected in row 2.</w:t>
      </w:r>
    </w:p>
    <w:p w:rsidR="00B33779" w:rsidP="00A24537" w:rsidRDefault="00B33779" w14:paraId="4ED4B513" w14:textId="77777777">
      <w:pPr>
        <w:tabs>
          <w:tab w:val="left" w:pos="720"/>
        </w:tabs>
        <w:ind w:left="720"/>
      </w:pPr>
    </w:p>
    <w:p w:rsidR="00A24537" w:rsidP="00A24537" w:rsidRDefault="00A24537" w14:paraId="6AA2A781" w14:textId="77777777">
      <w:pPr>
        <w:tabs>
          <w:tab w:val="left" w:pos="720"/>
        </w:tabs>
        <w:ind w:left="720"/>
      </w:pPr>
      <w:r>
        <w:t>Proposed § 1.1128(b) would require accreditation bodies to apply for renewal of recognition at least every 5 years.  We believe renewal would take less time than an initial application because much of the information will have already been compiled and therefore assume between 20 and 40 hours.  For this analysis we use a middle value and calculate that each recognized accreditation body will spend 30 hours every 5 years to complete and submit an application for renewal of its recognition.  This results in 6 hours per year (30 hours ÷ 5 years) for each accreditation body.  Because we use a 3-year period horizon and zero percent discount rate for this analysis, we annualize that figure to three-fifths or 3.6.  We multiply this figure by 18 accreditations bodies for a total of 64.8 hours annually for the submission of renewal of applications (18 applications × 3.6 hours per application), as reflected in row 3.</w:t>
      </w:r>
    </w:p>
    <w:p w:rsidR="00B33779" w:rsidP="00A24537" w:rsidRDefault="00B33779" w14:paraId="237AD130" w14:textId="77777777">
      <w:pPr>
        <w:tabs>
          <w:tab w:val="left" w:pos="720"/>
        </w:tabs>
        <w:ind w:left="720"/>
      </w:pPr>
    </w:p>
    <w:p w:rsidR="00A24537" w:rsidP="00A24537" w:rsidRDefault="00A24537" w14:paraId="7D00E816" w14:textId="3BBED840">
      <w:pPr>
        <w:tabs>
          <w:tab w:val="left" w:pos="720"/>
        </w:tabs>
        <w:ind w:left="720"/>
      </w:pPr>
      <w:r>
        <w:t xml:space="preserve">Proposed § 1.1158 would require a laboratory seeking accreditation to submit an application for accreditation to a recognized accreditation body, demonstrating that it meets the </w:t>
      </w:r>
      <w:r>
        <w:lastRenderedPageBreak/>
        <w:t>requirements for accreditation under the proposed rule (those requirements are specified by proposed § 1.1138).  We estimate 48 laboratories will apply and assume it would take one analyst an average of 60 hours to compile all the relevant information, however we regard the burden as a one-time burden and therefore have annualized it by 3 years (20 hours annually).  This results in an annual reporting burden for initial applications by 48 laboratories would be 960 hours (48 applications × 20 hours per application), as reflected in row 4.</w:t>
      </w:r>
    </w:p>
    <w:p w:rsidR="00B33779" w:rsidP="00A24537" w:rsidRDefault="00B33779" w14:paraId="60D697CF" w14:textId="77777777">
      <w:pPr>
        <w:tabs>
          <w:tab w:val="left" w:pos="720"/>
        </w:tabs>
        <w:ind w:left="720"/>
      </w:pPr>
    </w:p>
    <w:p w:rsidR="00A24537" w:rsidP="00A24537" w:rsidRDefault="00A24537" w14:paraId="26D4873C" w14:textId="73C3B454">
      <w:pPr>
        <w:tabs>
          <w:tab w:val="left" w:pos="720"/>
        </w:tabs>
        <w:ind w:left="720"/>
      </w:pPr>
      <w:r>
        <w:t xml:space="preserve">Proposed § 1.1152(a) through (i) would require accredited laboratories to submit testing results of testing conducted under the program and include supporting documentation.  However, only a percentage of </w:t>
      </w:r>
      <w:r w:rsidR="00565EAC">
        <w:t xml:space="preserve">the </w:t>
      </w:r>
      <w:r>
        <w:t xml:space="preserve">testing </w:t>
      </w:r>
      <w:r w:rsidR="00757D81">
        <w:t xml:space="preserve">identified in the PRIA </w:t>
      </w:r>
      <w:r>
        <w:t>would be defined as information collection under the PRA.  For this analysis we assume a mean figure of 4,197, as the basis for factoring a corresponding information collection burden.  This figure is derived using lower and upper bound estimates of submissions we expect under the rule.  To allow for adjustment and potential increase we have added a count of 50 submissions for a total of 4,247.</w:t>
      </w:r>
    </w:p>
    <w:p w:rsidR="00B33779" w:rsidP="00A24537" w:rsidRDefault="00B33779" w14:paraId="1F687CC5" w14:textId="77777777">
      <w:pPr>
        <w:tabs>
          <w:tab w:val="left" w:pos="720"/>
        </w:tabs>
        <w:ind w:left="720"/>
      </w:pPr>
    </w:p>
    <w:p w:rsidR="00A24537" w:rsidP="00A24537" w:rsidRDefault="00A24537" w14:paraId="4254CA5C" w14:textId="238AD05E">
      <w:pPr>
        <w:tabs>
          <w:tab w:val="left" w:pos="720"/>
        </w:tabs>
        <w:ind w:left="720"/>
      </w:pPr>
      <w:r>
        <w:t>Proposed § 1.1152(c)(1) would require accredited laboratories to obtain, or develop, and submit a sample collection plan and sample collection report (the contents of which would be prescribed by proposed § 1.1149) with each test result.  Under proposed § 1.1152(c)(2), laboratories would also be required to include documentation of the sampler’s qualifications the first time the sampler collects a sample, or when the sampler’s qualifications have significantly changed.  We assume that it would take 30 minutes to 1 hour to compile a sampling plan, 30 minutes to one hour to compile a sample collection report, and an average of 10 to 20 minutes to obtain the sampling plan, sample collection report, and sampler’s credentials.  Using a middle value of 1.5 hours to generate the sampling plan and the sample collection report, and a middle value of 15 minutes (.25 hours) to obtain those two documents and documentation of the sampler’s qualifications, we calculate a total of time per test results of 1.75 hours (1.5 + .25).  When multiplied together the total reporting burden for the submission of sampling plans, sample collection reports, and sampler credential requirements (48 accredited laboratories × 88.48 sampling plans and sample collection reports × 1.75 hours) is 7,432 hours, as reflected in row 5.</w:t>
      </w:r>
    </w:p>
    <w:p w:rsidR="00B33779" w:rsidP="00A24537" w:rsidRDefault="00B33779" w14:paraId="0E4E0A39" w14:textId="77777777">
      <w:pPr>
        <w:tabs>
          <w:tab w:val="left" w:pos="720"/>
        </w:tabs>
        <w:ind w:left="720"/>
      </w:pPr>
    </w:p>
    <w:p w:rsidR="00A24537" w:rsidP="00A24537" w:rsidRDefault="00A24537" w14:paraId="49E402CA" w14:textId="06874426">
      <w:pPr>
        <w:tabs>
          <w:tab w:val="left" w:pos="720"/>
        </w:tabs>
        <w:ind w:left="720"/>
      </w:pPr>
      <w:r>
        <w:t>Proposed § 1.1152(d) would allow accredited laboratories to qualify to submit abridged analytical reports in lieu of full analytical reports.  At this time we expect this would be a one-time burden, but we may revisit this assumption in the future based on actual disqualification rates if the proposed rule is finalized and implemented.  We assume that each accredited laboratory would submit 10 consecutive full analytical reports to qualify to submit abbreviated reports.  We also assume accredited laboratories spend 4 to 8 hours to compile and submit a full analytical report, and we use the middle value of 6 hours for this analysis.  For initial or one-time burdens we use a 3-year period horizon and zero percent discount rate to convert the one-time burden to an annualized figure (2 hours).  When multiplied together, this results in a total reporting burden for the accredited laboratories to qualify to submit abridged analytical reports of 960 hours (48 laboratories × 10 full analytical reports each × 2 hours per analytical report), as reflected in row 6.</w:t>
      </w:r>
    </w:p>
    <w:p w:rsidR="00B33779" w:rsidP="00A24537" w:rsidRDefault="00B33779" w14:paraId="693F6A61" w14:textId="77777777">
      <w:pPr>
        <w:tabs>
          <w:tab w:val="left" w:pos="720"/>
        </w:tabs>
        <w:ind w:left="720"/>
      </w:pPr>
    </w:p>
    <w:p w:rsidR="00A24537" w:rsidP="00A24537" w:rsidRDefault="00A24537" w14:paraId="4B4BD147" w14:textId="62EAEAD2">
      <w:pPr>
        <w:tabs>
          <w:tab w:val="left" w:pos="720"/>
        </w:tabs>
        <w:ind w:left="720"/>
      </w:pPr>
      <w:r>
        <w:lastRenderedPageBreak/>
        <w:t>After an accredited laboratory qualifies to submit abridged analytical reports, we assume it would submit abridged analytical reports to us thereafter.  We may revisit this assumption in the future based on actual disqualification rates if the proposed rule is finalized and implemented.  We estimate the burden to compile and submit an abridged analytical report to be between 25 percent and 33 percent of the burden of compiling and submitting a full analytical report, and we use a middle value of 29 percent here.  Thus, using these figures we calculate it would take an accredited laboratory 1.74 hours to compile and submit an abridged analytical report (29 percent × 6 hours).  This results in an annual total reporting burden for the 48 accredited laboratories to compile and submit abridged analytical reports of approximately 4,927 hours (48 laboratories × 88.48 abridged analytical reports × 1.16 hours per abridged analytical report), as reflected in row 7.</w:t>
      </w:r>
    </w:p>
    <w:p w:rsidR="00B33779" w:rsidP="00A24537" w:rsidRDefault="00B33779" w14:paraId="12F9D150" w14:textId="77777777">
      <w:pPr>
        <w:tabs>
          <w:tab w:val="left" w:pos="720"/>
        </w:tabs>
        <w:ind w:left="720"/>
      </w:pPr>
    </w:p>
    <w:p w:rsidR="00A24537" w:rsidP="00A24537" w:rsidRDefault="00A24537" w14:paraId="36A87F17" w14:textId="40E10140">
      <w:pPr>
        <w:tabs>
          <w:tab w:val="left" w:pos="720"/>
        </w:tabs>
        <w:ind w:left="720"/>
      </w:pPr>
      <w:r>
        <w:t>The proposed rule would also require the participating lab to submit verification and validation studies to FDA as part of an analytical report, or to an accreditation body as a prerequisite for participation in the labs program.  The ISO/IEC 17025 standard requires the use of validated and verified methods for testing foods.  However, the proposed rule, if finalized, would require additional verification studies over and above the requirements of ISO/IEC 17025.  Additional studies may include information to verify that a method previously validated for a specific food item is also valid for a different food item, in what is called a “matrix extension.”  We estimate that the additional time burden of requiring laboratories to submit verification studies such as matrix extensions under this proposed rule to be a middle value of approximately 3 percent of the time burden incurred by laboratories to maintain accreditation to ISO/IEC 17025 (the PRIA estimates a range of 1 percent to 5 percent).  In the PRIA we also note that internal FDA experts suggest that between 5 percent and 30 percent of import food testing results require verification studies such as matrix extensions.  We use a middle value of 17.5 percent for this analysis.</w:t>
      </w:r>
    </w:p>
    <w:p w:rsidR="00B33779" w:rsidP="00A24537" w:rsidRDefault="00B33779" w14:paraId="651B213B" w14:textId="77777777">
      <w:pPr>
        <w:tabs>
          <w:tab w:val="left" w:pos="720"/>
        </w:tabs>
        <w:ind w:left="720"/>
      </w:pPr>
    </w:p>
    <w:p w:rsidR="00A24537" w:rsidP="00A24537" w:rsidRDefault="00A24537" w14:paraId="79205737" w14:textId="14DFB478">
      <w:pPr>
        <w:tabs>
          <w:tab w:val="left" w:pos="720"/>
        </w:tabs>
        <w:ind w:left="720"/>
      </w:pPr>
      <w:r>
        <w:t>With regard to validation requirements, we assume that methods used to test shell eggs, sprouts, and bottled water are either already validated or the costs to doing so would be included in the costs to maintain accreditation to the ISO/IEC 17025 standard.  Consequently, we assume that shell eggs, sprouts, and bottled water producers would incur no burden from this requirement beyond the burden of the proposed rule’s requirements to meet the validation requirements of ISO/IEC 17025.</w:t>
      </w:r>
    </w:p>
    <w:p w:rsidR="00B33779" w:rsidP="00A24537" w:rsidRDefault="00B33779" w14:paraId="3394FD58" w14:textId="77777777">
      <w:pPr>
        <w:tabs>
          <w:tab w:val="left" w:pos="720"/>
        </w:tabs>
        <w:ind w:left="720"/>
      </w:pPr>
    </w:p>
    <w:p w:rsidR="00A24537" w:rsidP="00A24537" w:rsidRDefault="00A24537" w14:paraId="68BECC38" w14:textId="5CD6B2C4">
      <w:pPr>
        <w:tabs>
          <w:tab w:val="left" w:pos="720"/>
        </w:tabs>
        <w:ind w:left="720"/>
      </w:pPr>
      <w:r>
        <w:t xml:space="preserve">We estimate the time required to perform a matrix extension is a middle value of 34 hours (the PRIA estimates a range of 22 to 46 hours).  We do not distinguish between the burden of reporting the study and the burden of conducting the study.  We assume 25 percent of the 34 hours (8.5 hours) is attributable to the associated reporting burden.  Because we estimate that the additional time burden of requiring laboratories to submit verification studies such as matrix extensions under this proposed rule would be approximately 3 percent of the time burden incurred by laboratories to maintain accreditation to ISO 17025, we multiply 8.5 hours by 3 percent to get the additional reporting burden of .255 hours (15.3 minutes, which we round to 15 minutes, which is .25 hours) per study imposed by the verification study submission requirements of the proposed rule.  To estimate the number of test results that would require matrix extensions, we multiply the number of import testing results that would be submitted to us under this rule annually that are subject to PRA requirements (50) by the </w:t>
      </w:r>
      <w:r>
        <w:lastRenderedPageBreak/>
        <w:t>share of test results submitted to us for import food testing that require matrix extensions (17.5 percent), for a total of 8.75 matrix extensions per year.  This equates to an average of .17708 matrix extensions per accredited laboratory (8.5 ÷ 48).  Because the number of respondents and the annual responses per respondent in a PRA analysis must be whole numbers, we instead estimate that nine accredited laboratories (48 × .17708, rounded to 9 from 8.5) will submit one full verification study to FDA annually.  Therefore, the annual reporting burden of requiring the submission of validation and verification studies under this proposed rule is 2.25 hours (9 accredited laboratories × 1 verification studies × .25 hours per study), as reflected in row 8.</w:t>
      </w:r>
    </w:p>
    <w:p w:rsidR="00B33779" w:rsidP="00A24537" w:rsidRDefault="00B33779" w14:paraId="101A1F23" w14:textId="77777777">
      <w:pPr>
        <w:tabs>
          <w:tab w:val="left" w:pos="720"/>
        </w:tabs>
        <w:ind w:left="720"/>
      </w:pPr>
    </w:p>
    <w:p w:rsidR="00A24537" w:rsidP="00A24537" w:rsidRDefault="00A24537" w14:paraId="7AAD6844" w14:textId="75C7E146">
      <w:pPr>
        <w:tabs>
          <w:tab w:val="left" w:pos="720"/>
        </w:tabs>
        <w:ind w:left="720"/>
      </w:pPr>
      <w:r>
        <w:t>Proposed § 1.1152(i) would provide that, under certain circumstances, FDA may require one or more accredited laboratories to submit an advance notice of sampling to FDA before each of the next several occasions that the sampler will a collect a sample that the accredited laboratory will analyze under this program.  We assume that it would take a laboratory analyst between 1 and 2 hours to compile the required information and submit the information, and we assume that between one percent and five percent of all test results submitted annually under this program would be subject to the notice of sampling requirement.  For this analysis we assume middle values of 1.5 hours and three percent, respectively.  Thus, we estimate that 127.41 test results (4,247 × 3%) would require submission of advance notice of sampling under the proposed rule.  For this analysis we assume that each of the estimated 48 accredited laboratories would be required to submit three notices of advance sampling annually under the proposed rule (127.41 ÷ 48 = 2.65; rounded to 3).  Thus, the annual reporting burden on accredited laboratories due to the proposed advance notice of sampling requirement would be 216 hours (48 laboratories × 3 advance notices of sampling × 1.5 hours), as reflected in row 9.</w:t>
      </w:r>
    </w:p>
    <w:p w:rsidR="00B33779" w:rsidP="00A24537" w:rsidRDefault="00B33779" w14:paraId="29A26233" w14:textId="77777777">
      <w:pPr>
        <w:tabs>
          <w:tab w:val="left" w:pos="720"/>
        </w:tabs>
        <w:ind w:left="720"/>
      </w:pPr>
    </w:p>
    <w:p w:rsidR="00A24537" w:rsidP="00A24537" w:rsidRDefault="00A24537" w14:paraId="6985F66E" w14:textId="552939FC">
      <w:pPr>
        <w:tabs>
          <w:tab w:val="left" w:pos="720"/>
        </w:tabs>
        <w:ind w:left="720"/>
      </w:pPr>
      <w:r>
        <w:t>Proposed § 1.1152(j) would require accredited laboratories to notify FDA and the accreditation body of any changes that affect the laboratory’s accreditation.  Note, however, that under § 1.1123(c), recognized accreditation bodies also have a duty to immediately notify FDA of changes in an accredited laboratory’s status.  Thus, an accredited laboratory is not required to notify FDA of changes that fall under § 1.1123(c).  To be conservative we estimate that every lab that participates will have some change about which it must notify its accreditation body, and for half of those changes the accredited laboratory will also need to notify FDA.  We estimate it will take an accredited laboratory 15 minutes per notification.  Thus we estimate the burden associated with § 1.1152(j) would be 18 hours (48 accredited laboratories × 1.5 notifications × 0.25 hours per notification), as reflected in row 10.</w:t>
      </w:r>
    </w:p>
    <w:p w:rsidR="00B33779" w:rsidP="00A24537" w:rsidRDefault="00B33779" w14:paraId="28009A89" w14:textId="77777777">
      <w:pPr>
        <w:tabs>
          <w:tab w:val="left" w:pos="720"/>
        </w:tabs>
        <w:ind w:left="720"/>
      </w:pPr>
    </w:p>
    <w:p w:rsidR="003B4B60" w:rsidP="00A24537" w:rsidRDefault="00A24537" w14:paraId="0B51F456" w14:textId="6BB613EA">
      <w:pPr>
        <w:tabs>
          <w:tab w:val="left" w:pos="720"/>
        </w:tabs>
        <w:ind w:left="720"/>
      </w:pPr>
      <w:r>
        <w:t>Proposed §§ 1.1165, 1.1171, 1.1173, and 1.1174 provide for requests to FDA.  Specifically, § 1.1165 provides for requests for reinstatement of accreditation; § 1.1171 provides for requests for reconsideration of denials; and §§ 1.1173 and 1.1174 provide for requests for hearings.  Because this is a new collection, we are estimating a cumulative total of 1 respondent and 1 burden hour, as reflected in row 11, however we invite specific comment in this regard.  Upon implementation of any final rule, we will reevaluate our burden estimate in light of overall submissions to the Agency and public comments received.</w:t>
      </w:r>
    </w:p>
    <w:p w:rsidR="003B4B60" w:rsidP="00A24537" w:rsidRDefault="003B4B60" w14:paraId="30797EEA" w14:textId="77777777">
      <w:pPr>
        <w:tabs>
          <w:tab w:val="left" w:pos="720"/>
        </w:tabs>
        <w:ind w:left="720"/>
      </w:pPr>
    </w:p>
    <w:tbl>
      <w:tblPr>
        <w:tblW w:w="458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1"/>
        <w:gridCol w:w="1441"/>
        <w:gridCol w:w="1349"/>
        <w:gridCol w:w="1078"/>
        <w:gridCol w:w="1468"/>
        <w:gridCol w:w="1114"/>
      </w:tblGrid>
      <w:tr w:rsidRPr="00FF6F8C" w:rsidR="00FF6F8C" w:rsidTr="00CE35F1" w14:paraId="2C803F71" w14:textId="77777777">
        <w:trPr>
          <w:cantSplit/>
          <w:trHeight w:val="20"/>
          <w:tblHeader/>
        </w:trPr>
        <w:tc>
          <w:tcPr>
            <w:tcW w:w="5000" w:type="pct"/>
            <w:gridSpan w:val="6"/>
            <w:tcBorders>
              <w:top w:val="nil"/>
              <w:left w:val="nil"/>
              <w:bottom w:val="single" w:color="auto" w:sz="4" w:space="0"/>
              <w:right w:val="nil"/>
            </w:tcBorders>
            <w:hideMark/>
          </w:tcPr>
          <w:p w:rsidRPr="00FF6F8C" w:rsidR="00FF6F8C" w:rsidP="00FF6F8C" w:rsidRDefault="00FF6F8C" w14:paraId="462C4C84" w14:textId="2D5E03F4">
            <w:pPr>
              <w:jc w:val="center"/>
              <w:rPr>
                <w:rFonts w:eastAsia="SimSun"/>
                <w:sz w:val="20"/>
                <w:szCs w:val="20"/>
              </w:rPr>
            </w:pPr>
            <w:r w:rsidRPr="00FF6F8C">
              <w:rPr>
                <w:rFonts w:eastAsia="SimSun"/>
                <w:sz w:val="20"/>
                <w:szCs w:val="20"/>
              </w:rPr>
              <w:lastRenderedPageBreak/>
              <w:t xml:space="preserve">Table </w:t>
            </w:r>
            <w:r w:rsidR="00771478">
              <w:rPr>
                <w:rFonts w:eastAsia="SimSun"/>
                <w:sz w:val="20"/>
                <w:szCs w:val="20"/>
              </w:rPr>
              <w:t>2</w:t>
            </w:r>
            <w:r w:rsidRPr="00FF6F8C">
              <w:rPr>
                <w:rFonts w:eastAsia="SimSun"/>
                <w:sz w:val="20"/>
                <w:szCs w:val="20"/>
              </w:rPr>
              <w:t>--Estimated Annual Recordkeeping Burden</w:t>
            </w:r>
          </w:p>
        </w:tc>
      </w:tr>
      <w:tr w:rsidRPr="00FF6F8C" w:rsidR="0024706A" w:rsidTr="00CE35F1" w14:paraId="75F860C5" w14:textId="77777777">
        <w:trPr>
          <w:cantSplit/>
          <w:trHeight w:val="20"/>
          <w:tblHeader/>
        </w:trPr>
        <w:tc>
          <w:tcPr>
            <w:tcW w:w="1405"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F0EA392" w14:textId="77777777">
            <w:pPr>
              <w:jc w:val="center"/>
              <w:rPr>
                <w:rFonts w:eastAsia="SimSun"/>
                <w:sz w:val="20"/>
                <w:szCs w:val="20"/>
              </w:rPr>
            </w:pPr>
            <w:r w:rsidRPr="00FF6F8C">
              <w:rPr>
                <w:rFonts w:eastAsia="SimSun"/>
                <w:sz w:val="20"/>
                <w:szCs w:val="20"/>
              </w:rPr>
              <w:t>Proposed 21 CFR part 1, subpart R; IC Activity</w:t>
            </w:r>
          </w:p>
        </w:tc>
        <w:tc>
          <w:tcPr>
            <w:tcW w:w="803"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7FA609DA" w14:textId="77777777">
            <w:pPr>
              <w:jc w:val="center"/>
              <w:rPr>
                <w:rFonts w:eastAsia="SimSun"/>
                <w:sz w:val="20"/>
                <w:szCs w:val="20"/>
              </w:rPr>
            </w:pPr>
            <w:r w:rsidRPr="00FF6F8C">
              <w:rPr>
                <w:rFonts w:eastAsia="SimSun"/>
                <w:sz w:val="20"/>
                <w:szCs w:val="20"/>
              </w:rPr>
              <w:t>No. of Recordkeepers</w:t>
            </w:r>
          </w:p>
        </w:tc>
        <w:tc>
          <w:tcPr>
            <w:tcW w:w="75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1FD4ED07" w14:textId="77777777">
            <w:pPr>
              <w:jc w:val="center"/>
              <w:rPr>
                <w:rFonts w:eastAsia="SimSun"/>
                <w:sz w:val="20"/>
                <w:szCs w:val="20"/>
              </w:rPr>
            </w:pPr>
            <w:r w:rsidRPr="00FF6F8C">
              <w:rPr>
                <w:rFonts w:eastAsia="SimSun"/>
                <w:bCs/>
                <w:sz w:val="20"/>
                <w:szCs w:val="20"/>
              </w:rPr>
              <w:t>No. of Records per Recordkeeper</w:t>
            </w:r>
          </w:p>
        </w:tc>
        <w:tc>
          <w:tcPr>
            <w:tcW w:w="601"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695F0B2" w14:textId="77777777">
            <w:pPr>
              <w:jc w:val="center"/>
              <w:rPr>
                <w:rFonts w:eastAsia="SimSun"/>
                <w:sz w:val="20"/>
                <w:szCs w:val="20"/>
              </w:rPr>
            </w:pPr>
            <w:r w:rsidRPr="00FF6F8C">
              <w:rPr>
                <w:rFonts w:eastAsia="SimSun"/>
                <w:sz w:val="20"/>
                <w:szCs w:val="20"/>
              </w:rPr>
              <w:t>Total Annual Records</w:t>
            </w:r>
          </w:p>
        </w:tc>
        <w:tc>
          <w:tcPr>
            <w:tcW w:w="818"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013FBDA0" w14:textId="2134BF04">
            <w:pPr>
              <w:jc w:val="center"/>
              <w:rPr>
                <w:rFonts w:eastAsia="SimSun"/>
                <w:sz w:val="20"/>
                <w:szCs w:val="20"/>
              </w:rPr>
            </w:pPr>
            <w:r w:rsidRPr="00FF6F8C">
              <w:rPr>
                <w:rFonts w:eastAsia="SimSun"/>
                <w:bCs/>
                <w:sz w:val="20"/>
                <w:szCs w:val="20"/>
              </w:rPr>
              <w:t>Average Burden per Recordkeeping</w:t>
            </w:r>
          </w:p>
        </w:tc>
        <w:tc>
          <w:tcPr>
            <w:tcW w:w="62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055A5841" w14:textId="77777777">
            <w:pPr>
              <w:jc w:val="center"/>
              <w:rPr>
                <w:rFonts w:eastAsia="SimSun"/>
                <w:sz w:val="20"/>
                <w:szCs w:val="20"/>
              </w:rPr>
            </w:pPr>
            <w:r w:rsidRPr="00FF6F8C">
              <w:rPr>
                <w:rFonts w:eastAsia="SimSun"/>
                <w:sz w:val="20"/>
                <w:szCs w:val="20"/>
              </w:rPr>
              <w:t>Total Hours</w:t>
            </w:r>
          </w:p>
        </w:tc>
      </w:tr>
      <w:tr w:rsidRPr="00FF6F8C" w:rsidR="0024706A" w:rsidTr="00CE35F1" w14:paraId="72B90E57" w14:textId="77777777">
        <w:trPr>
          <w:cantSplit/>
          <w:trHeight w:val="20"/>
        </w:trPr>
        <w:tc>
          <w:tcPr>
            <w:tcW w:w="1405"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54A562E1" w14:textId="6FF2EDD2">
            <w:pPr>
              <w:rPr>
                <w:rFonts w:eastAsia="SimSun"/>
                <w:sz w:val="20"/>
                <w:szCs w:val="20"/>
              </w:rPr>
            </w:pPr>
            <w:r w:rsidRPr="00FF6F8C">
              <w:rPr>
                <w:rFonts w:eastAsia="SimSun"/>
                <w:sz w:val="20"/>
                <w:szCs w:val="20"/>
              </w:rPr>
              <w:t>§§ 1.</w:t>
            </w:r>
            <w:r w:rsidR="00771478">
              <w:rPr>
                <w:rFonts w:eastAsia="SimSun"/>
                <w:sz w:val="20"/>
                <w:szCs w:val="20"/>
              </w:rPr>
              <w:t>1</w:t>
            </w:r>
            <w:r w:rsidRPr="00FF6F8C">
              <w:rPr>
                <w:rFonts w:eastAsia="SimSun"/>
                <w:sz w:val="20"/>
                <w:szCs w:val="20"/>
              </w:rPr>
              <w:t xml:space="preserve">113 and 1.1118; recordkeeping associated with ISO/IEC 17011 </w:t>
            </w:r>
          </w:p>
        </w:tc>
        <w:tc>
          <w:tcPr>
            <w:tcW w:w="803"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67CF2F52" w14:textId="77777777">
            <w:pPr>
              <w:jc w:val="right"/>
              <w:rPr>
                <w:rFonts w:eastAsia="SimSun"/>
                <w:sz w:val="20"/>
                <w:szCs w:val="20"/>
              </w:rPr>
            </w:pPr>
            <w:r w:rsidRPr="00FF6F8C">
              <w:rPr>
                <w:rFonts w:eastAsia="SimSun"/>
                <w:sz w:val="20"/>
                <w:szCs w:val="20"/>
              </w:rPr>
              <w:t>18</w:t>
            </w:r>
          </w:p>
        </w:tc>
        <w:tc>
          <w:tcPr>
            <w:tcW w:w="752"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125757F9" w14:textId="77777777">
            <w:pPr>
              <w:jc w:val="right"/>
              <w:rPr>
                <w:rFonts w:eastAsia="SimSun"/>
                <w:sz w:val="20"/>
                <w:szCs w:val="20"/>
              </w:rPr>
            </w:pPr>
            <w:r w:rsidRPr="00FF6F8C">
              <w:rPr>
                <w:rFonts w:eastAsia="SimSun"/>
                <w:sz w:val="20"/>
                <w:szCs w:val="20"/>
              </w:rPr>
              <w:t>1</w:t>
            </w:r>
          </w:p>
        </w:tc>
        <w:tc>
          <w:tcPr>
            <w:tcW w:w="601"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3BD6B69C" w14:textId="77777777">
            <w:pPr>
              <w:jc w:val="right"/>
              <w:rPr>
                <w:rFonts w:eastAsia="SimSun"/>
                <w:sz w:val="20"/>
                <w:szCs w:val="20"/>
              </w:rPr>
            </w:pPr>
            <w:r w:rsidRPr="00FF6F8C">
              <w:rPr>
                <w:rFonts w:eastAsia="SimSun"/>
                <w:sz w:val="20"/>
                <w:szCs w:val="20"/>
              </w:rPr>
              <w:t>18</w:t>
            </w:r>
          </w:p>
        </w:tc>
        <w:tc>
          <w:tcPr>
            <w:tcW w:w="818"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37285FA1" w14:textId="77777777">
            <w:pPr>
              <w:jc w:val="right"/>
              <w:rPr>
                <w:rFonts w:eastAsia="SimSun"/>
                <w:sz w:val="20"/>
                <w:szCs w:val="20"/>
              </w:rPr>
            </w:pPr>
            <w:r w:rsidRPr="00FF6F8C">
              <w:rPr>
                <w:rFonts w:eastAsia="SimSun"/>
                <w:sz w:val="20"/>
                <w:szCs w:val="20"/>
              </w:rPr>
              <w:t>1</w:t>
            </w:r>
          </w:p>
        </w:tc>
        <w:tc>
          <w:tcPr>
            <w:tcW w:w="622"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22E97EFA" w14:textId="77777777">
            <w:pPr>
              <w:jc w:val="right"/>
              <w:rPr>
                <w:rFonts w:eastAsia="SimSun"/>
                <w:sz w:val="20"/>
                <w:szCs w:val="20"/>
              </w:rPr>
            </w:pPr>
            <w:r w:rsidRPr="00FF6F8C">
              <w:rPr>
                <w:rFonts w:eastAsia="SimSun"/>
                <w:sz w:val="20"/>
                <w:szCs w:val="20"/>
              </w:rPr>
              <w:t>18</w:t>
            </w:r>
          </w:p>
        </w:tc>
      </w:tr>
      <w:tr w:rsidRPr="00FF6F8C" w:rsidR="0024706A" w:rsidTr="00CE35F1" w14:paraId="09D01932" w14:textId="77777777">
        <w:trPr>
          <w:cantSplit/>
          <w:trHeight w:val="20"/>
        </w:trPr>
        <w:tc>
          <w:tcPr>
            <w:tcW w:w="1405"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068116C" w14:textId="77777777">
            <w:pPr>
              <w:rPr>
                <w:rFonts w:eastAsia="SimSun"/>
                <w:sz w:val="20"/>
                <w:szCs w:val="20"/>
              </w:rPr>
            </w:pPr>
            <w:r w:rsidRPr="00FF6F8C">
              <w:rPr>
                <w:rFonts w:eastAsia="SimSun"/>
                <w:sz w:val="20"/>
                <w:szCs w:val="20"/>
              </w:rPr>
              <w:t>§ 1.1124; ABs--additional recordkeeping requirements</w:t>
            </w:r>
          </w:p>
        </w:tc>
        <w:tc>
          <w:tcPr>
            <w:tcW w:w="803"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737132C6" w14:textId="77777777">
            <w:pPr>
              <w:jc w:val="right"/>
              <w:rPr>
                <w:rFonts w:eastAsia="SimSun"/>
                <w:sz w:val="20"/>
                <w:szCs w:val="20"/>
              </w:rPr>
            </w:pPr>
            <w:r w:rsidRPr="00FF6F8C">
              <w:rPr>
                <w:rFonts w:eastAsia="SimSun"/>
                <w:sz w:val="20"/>
                <w:szCs w:val="20"/>
              </w:rPr>
              <w:t>18</w:t>
            </w:r>
          </w:p>
        </w:tc>
        <w:tc>
          <w:tcPr>
            <w:tcW w:w="75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58B5CE43" w14:textId="77777777">
            <w:pPr>
              <w:jc w:val="right"/>
              <w:rPr>
                <w:rFonts w:eastAsia="SimSun"/>
                <w:sz w:val="20"/>
                <w:szCs w:val="20"/>
              </w:rPr>
            </w:pPr>
            <w:r w:rsidRPr="00FF6F8C">
              <w:rPr>
                <w:rFonts w:eastAsia="SimSun"/>
                <w:sz w:val="20"/>
                <w:szCs w:val="20"/>
              </w:rPr>
              <w:t>1</w:t>
            </w:r>
          </w:p>
        </w:tc>
        <w:tc>
          <w:tcPr>
            <w:tcW w:w="601"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51B6D5C0" w14:textId="77777777">
            <w:pPr>
              <w:jc w:val="right"/>
              <w:rPr>
                <w:rFonts w:eastAsia="SimSun"/>
                <w:sz w:val="20"/>
                <w:szCs w:val="20"/>
              </w:rPr>
            </w:pPr>
            <w:r w:rsidRPr="00FF6F8C">
              <w:rPr>
                <w:rFonts w:eastAsia="SimSun"/>
                <w:sz w:val="20"/>
                <w:szCs w:val="20"/>
              </w:rPr>
              <w:t>18</w:t>
            </w:r>
          </w:p>
        </w:tc>
        <w:tc>
          <w:tcPr>
            <w:tcW w:w="818"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6E3318CA" w14:textId="77777777">
            <w:pPr>
              <w:jc w:val="right"/>
              <w:rPr>
                <w:rFonts w:eastAsia="SimSun"/>
                <w:sz w:val="20"/>
                <w:szCs w:val="20"/>
              </w:rPr>
            </w:pPr>
            <w:r w:rsidRPr="00FF6F8C">
              <w:rPr>
                <w:rFonts w:eastAsia="SimSun"/>
                <w:sz w:val="20"/>
                <w:szCs w:val="20"/>
              </w:rPr>
              <w:t>6</w:t>
            </w:r>
          </w:p>
        </w:tc>
        <w:tc>
          <w:tcPr>
            <w:tcW w:w="62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394AE8C1" w14:textId="77777777">
            <w:pPr>
              <w:jc w:val="right"/>
              <w:rPr>
                <w:rFonts w:eastAsia="SimSun"/>
                <w:sz w:val="20"/>
                <w:szCs w:val="20"/>
              </w:rPr>
            </w:pPr>
            <w:r w:rsidRPr="00FF6F8C">
              <w:rPr>
                <w:rFonts w:eastAsia="SimSun"/>
                <w:sz w:val="20"/>
                <w:szCs w:val="20"/>
              </w:rPr>
              <w:t>108</w:t>
            </w:r>
          </w:p>
        </w:tc>
      </w:tr>
      <w:tr w:rsidRPr="00FF6F8C" w:rsidR="0024706A" w:rsidTr="00CE35F1" w14:paraId="5A5DFB2F" w14:textId="77777777">
        <w:trPr>
          <w:cantSplit/>
          <w:trHeight w:val="20"/>
        </w:trPr>
        <w:tc>
          <w:tcPr>
            <w:tcW w:w="1405"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0F6347EB" w14:textId="77777777">
            <w:pPr>
              <w:rPr>
                <w:rFonts w:eastAsia="SimSun"/>
                <w:sz w:val="20"/>
                <w:szCs w:val="20"/>
              </w:rPr>
            </w:pPr>
            <w:r w:rsidRPr="00FF6F8C">
              <w:rPr>
                <w:rFonts w:eastAsia="SimSun"/>
                <w:sz w:val="20"/>
                <w:szCs w:val="20"/>
              </w:rPr>
              <w:t>§ 1.1138; laboratories--becoming accredited to ISO/IEC 17025 (one-time)</w:t>
            </w:r>
          </w:p>
        </w:tc>
        <w:tc>
          <w:tcPr>
            <w:tcW w:w="803"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6ECAB10D" w14:textId="77777777">
            <w:pPr>
              <w:jc w:val="right"/>
              <w:rPr>
                <w:rFonts w:eastAsia="SimSun"/>
                <w:sz w:val="20"/>
                <w:szCs w:val="20"/>
              </w:rPr>
            </w:pPr>
            <w:r w:rsidRPr="00FF6F8C">
              <w:rPr>
                <w:rFonts w:eastAsia="SimSun"/>
                <w:sz w:val="20"/>
                <w:szCs w:val="20"/>
              </w:rPr>
              <w:t>5</w:t>
            </w:r>
          </w:p>
        </w:tc>
        <w:tc>
          <w:tcPr>
            <w:tcW w:w="75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70F71FC7" w14:textId="77777777">
            <w:pPr>
              <w:jc w:val="right"/>
              <w:rPr>
                <w:rFonts w:eastAsia="SimSun"/>
                <w:sz w:val="20"/>
                <w:szCs w:val="20"/>
              </w:rPr>
            </w:pPr>
            <w:r w:rsidRPr="00FF6F8C">
              <w:rPr>
                <w:rFonts w:eastAsia="SimSun"/>
                <w:sz w:val="20"/>
                <w:szCs w:val="20"/>
              </w:rPr>
              <w:t>1</w:t>
            </w:r>
          </w:p>
        </w:tc>
        <w:tc>
          <w:tcPr>
            <w:tcW w:w="601"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538B1066" w14:textId="77777777">
            <w:pPr>
              <w:jc w:val="right"/>
              <w:rPr>
                <w:rFonts w:eastAsia="SimSun"/>
                <w:sz w:val="20"/>
                <w:szCs w:val="20"/>
              </w:rPr>
            </w:pPr>
            <w:r w:rsidRPr="00FF6F8C">
              <w:rPr>
                <w:rFonts w:eastAsia="SimSun"/>
                <w:sz w:val="20"/>
                <w:szCs w:val="20"/>
              </w:rPr>
              <w:t>5</w:t>
            </w:r>
          </w:p>
        </w:tc>
        <w:tc>
          <w:tcPr>
            <w:tcW w:w="818"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190103AE" w14:textId="77777777">
            <w:pPr>
              <w:jc w:val="right"/>
              <w:rPr>
                <w:rFonts w:eastAsia="SimSun"/>
                <w:sz w:val="20"/>
                <w:szCs w:val="20"/>
              </w:rPr>
            </w:pPr>
            <w:r w:rsidRPr="00FF6F8C">
              <w:rPr>
                <w:rFonts w:eastAsia="SimSun"/>
                <w:sz w:val="20"/>
                <w:szCs w:val="20"/>
              </w:rPr>
              <w:t>91.06</w:t>
            </w:r>
          </w:p>
        </w:tc>
        <w:tc>
          <w:tcPr>
            <w:tcW w:w="62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56F6EFE5" w14:textId="77777777">
            <w:pPr>
              <w:jc w:val="right"/>
              <w:rPr>
                <w:rFonts w:eastAsia="SimSun"/>
                <w:sz w:val="20"/>
                <w:szCs w:val="20"/>
              </w:rPr>
            </w:pPr>
            <w:r w:rsidRPr="00FF6F8C">
              <w:rPr>
                <w:rFonts w:eastAsia="SimSun"/>
                <w:sz w:val="20"/>
                <w:szCs w:val="20"/>
              </w:rPr>
              <w:t>455.35</w:t>
            </w:r>
          </w:p>
        </w:tc>
      </w:tr>
      <w:tr w:rsidRPr="00FF6F8C" w:rsidR="0024706A" w:rsidTr="00CE35F1" w14:paraId="734F7176" w14:textId="77777777">
        <w:trPr>
          <w:cantSplit/>
          <w:trHeight w:val="20"/>
        </w:trPr>
        <w:tc>
          <w:tcPr>
            <w:tcW w:w="1405"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627A0F7E" w14:textId="77777777">
            <w:pPr>
              <w:rPr>
                <w:rFonts w:eastAsia="SimSun"/>
                <w:sz w:val="20"/>
                <w:szCs w:val="20"/>
              </w:rPr>
            </w:pPr>
            <w:r w:rsidRPr="00FF6F8C">
              <w:rPr>
                <w:rFonts w:eastAsia="SimSun"/>
                <w:sz w:val="20"/>
                <w:szCs w:val="20"/>
              </w:rPr>
              <w:t xml:space="preserve">§ 1.1146; laboratories--maintaining ISO/IEC 17025 accreditation </w:t>
            </w:r>
          </w:p>
        </w:tc>
        <w:tc>
          <w:tcPr>
            <w:tcW w:w="803"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7FB1314E" w14:textId="77777777">
            <w:pPr>
              <w:jc w:val="right"/>
              <w:rPr>
                <w:rFonts w:eastAsia="SimSun"/>
                <w:sz w:val="20"/>
                <w:szCs w:val="20"/>
              </w:rPr>
            </w:pPr>
            <w:r w:rsidRPr="00FF6F8C">
              <w:rPr>
                <w:rFonts w:eastAsia="SimSun"/>
                <w:sz w:val="20"/>
                <w:szCs w:val="20"/>
              </w:rPr>
              <w:t>48</w:t>
            </w:r>
          </w:p>
        </w:tc>
        <w:tc>
          <w:tcPr>
            <w:tcW w:w="75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BBD8A0D" w14:textId="77777777">
            <w:pPr>
              <w:jc w:val="right"/>
              <w:rPr>
                <w:rFonts w:eastAsia="SimSun"/>
                <w:sz w:val="20"/>
                <w:szCs w:val="20"/>
              </w:rPr>
            </w:pPr>
            <w:r w:rsidRPr="00FF6F8C">
              <w:rPr>
                <w:rFonts w:eastAsia="SimSun"/>
                <w:sz w:val="20"/>
                <w:szCs w:val="20"/>
              </w:rPr>
              <w:t>1</w:t>
            </w:r>
          </w:p>
        </w:tc>
        <w:tc>
          <w:tcPr>
            <w:tcW w:w="601"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165F35B" w14:textId="77777777">
            <w:pPr>
              <w:jc w:val="right"/>
              <w:rPr>
                <w:rFonts w:eastAsia="SimSun"/>
                <w:sz w:val="20"/>
                <w:szCs w:val="20"/>
              </w:rPr>
            </w:pPr>
            <w:r w:rsidRPr="00FF6F8C">
              <w:rPr>
                <w:rFonts w:eastAsia="SimSun"/>
                <w:sz w:val="20"/>
                <w:szCs w:val="20"/>
              </w:rPr>
              <w:t>48</w:t>
            </w:r>
          </w:p>
        </w:tc>
        <w:tc>
          <w:tcPr>
            <w:tcW w:w="818"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7F35D3B4" w14:textId="77777777">
            <w:pPr>
              <w:jc w:val="right"/>
              <w:rPr>
                <w:rFonts w:eastAsia="SimSun"/>
                <w:sz w:val="20"/>
                <w:szCs w:val="20"/>
              </w:rPr>
            </w:pPr>
            <w:r w:rsidRPr="00FF6F8C">
              <w:rPr>
                <w:rFonts w:eastAsia="SimSun"/>
                <w:sz w:val="20"/>
                <w:szCs w:val="20"/>
              </w:rPr>
              <w:t>889.53</w:t>
            </w:r>
          </w:p>
        </w:tc>
        <w:tc>
          <w:tcPr>
            <w:tcW w:w="622"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F07A4F0" w14:textId="77777777">
            <w:pPr>
              <w:jc w:val="right"/>
              <w:rPr>
                <w:rFonts w:eastAsia="SimSun"/>
                <w:sz w:val="20"/>
                <w:szCs w:val="20"/>
              </w:rPr>
            </w:pPr>
            <w:r w:rsidRPr="00FF6F8C">
              <w:rPr>
                <w:rFonts w:eastAsia="SimSun"/>
                <w:sz w:val="20"/>
                <w:szCs w:val="20"/>
              </w:rPr>
              <w:t>42,697.44</w:t>
            </w:r>
          </w:p>
        </w:tc>
      </w:tr>
      <w:tr w:rsidRPr="00FF6F8C" w:rsidR="0024706A" w:rsidTr="00CE35F1" w14:paraId="06600A7E" w14:textId="77777777">
        <w:trPr>
          <w:cantSplit/>
          <w:trHeight w:val="20"/>
        </w:trPr>
        <w:tc>
          <w:tcPr>
            <w:tcW w:w="1405" w:type="pct"/>
            <w:tcBorders>
              <w:top w:val="single" w:color="auto" w:sz="4" w:space="0"/>
              <w:left w:val="single" w:color="auto" w:sz="4" w:space="0"/>
              <w:bottom w:val="single" w:color="auto" w:sz="4" w:space="0"/>
              <w:right w:val="single" w:color="auto" w:sz="4" w:space="0"/>
            </w:tcBorders>
            <w:hideMark/>
          </w:tcPr>
          <w:p w:rsidRPr="00FF6F8C" w:rsidR="00FF6F8C" w:rsidP="00FF6F8C" w:rsidRDefault="00FF6F8C" w14:paraId="49C0B9BF" w14:textId="77777777">
            <w:pPr>
              <w:rPr>
                <w:rFonts w:eastAsia="SimSun"/>
                <w:sz w:val="20"/>
                <w:szCs w:val="20"/>
              </w:rPr>
            </w:pPr>
            <w:r w:rsidRPr="00FF6F8C">
              <w:rPr>
                <w:rFonts w:eastAsia="SimSun"/>
                <w:sz w:val="20"/>
                <w:szCs w:val="20"/>
              </w:rPr>
              <w:t>Total</w:t>
            </w:r>
          </w:p>
        </w:tc>
        <w:tc>
          <w:tcPr>
            <w:tcW w:w="803"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01A2B439" w14:textId="77777777">
            <w:pPr>
              <w:jc w:val="right"/>
              <w:rPr>
                <w:rFonts w:eastAsia="SimSun"/>
                <w:sz w:val="20"/>
                <w:szCs w:val="20"/>
              </w:rPr>
            </w:pPr>
          </w:p>
        </w:tc>
        <w:tc>
          <w:tcPr>
            <w:tcW w:w="752"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59E8AE65" w14:textId="77777777">
            <w:pPr>
              <w:jc w:val="right"/>
              <w:rPr>
                <w:rFonts w:eastAsia="SimSun"/>
                <w:sz w:val="20"/>
                <w:szCs w:val="20"/>
              </w:rPr>
            </w:pPr>
          </w:p>
        </w:tc>
        <w:tc>
          <w:tcPr>
            <w:tcW w:w="601" w:type="pct"/>
            <w:tcBorders>
              <w:top w:val="single" w:color="auto" w:sz="4" w:space="0"/>
              <w:left w:val="single" w:color="auto" w:sz="4" w:space="0"/>
              <w:bottom w:val="single" w:color="auto" w:sz="4" w:space="0"/>
              <w:right w:val="single" w:color="auto" w:sz="4" w:space="0"/>
            </w:tcBorders>
          </w:tcPr>
          <w:p w:rsidRPr="00FF6F8C" w:rsidR="00FF6F8C" w:rsidP="00FF6F8C" w:rsidRDefault="000434F1" w14:paraId="4E7741AB" w14:textId="47AC4C5E">
            <w:pPr>
              <w:jc w:val="right"/>
              <w:rPr>
                <w:rFonts w:eastAsia="SimSun"/>
                <w:sz w:val="20"/>
                <w:szCs w:val="20"/>
              </w:rPr>
            </w:pPr>
            <w:r>
              <w:rPr>
                <w:rFonts w:eastAsia="SimSun"/>
                <w:sz w:val="20"/>
                <w:szCs w:val="20"/>
              </w:rPr>
              <w:fldChar w:fldCharType="begin"/>
            </w:r>
            <w:r>
              <w:rPr>
                <w:rFonts w:eastAsia="SimSun"/>
                <w:sz w:val="20"/>
                <w:szCs w:val="20"/>
              </w:rPr>
              <w:instrText xml:space="preserve"> =SUM(ABOVE) </w:instrText>
            </w:r>
            <w:r>
              <w:rPr>
                <w:rFonts w:eastAsia="SimSun"/>
                <w:sz w:val="20"/>
                <w:szCs w:val="20"/>
              </w:rPr>
              <w:fldChar w:fldCharType="separate"/>
            </w:r>
            <w:r>
              <w:rPr>
                <w:rFonts w:eastAsia="SimSun"/>
                <w:noProof/>
                <w:sz w:val="20"/>
                <w:szCs w:val="20"/>
              </w:rPr>
              <w:t>89</w:t>
            </w:r>
            <w:r>
              <w:rPr>
                <w:rFonts w:eastAsia="SimSun"/>
                <w:sz w:val="20"/>
                <w:szCs w:val="20"/>
              </w:rPr>
              <w:fldChar w:fldCharType="end"/>
            </w:r>
          </w:p>
        </w:tc>
        <w:tc>
          <w:tcPr>
            <w:tcW w:w="818"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501F0E6B" w14:textId="77777777">
            <w:pPr>
              <w:jc w:val="right"/>
              <w:rPr>
                <w:rFonts w:eastAsia="SimSun"/>
                <w:sz w:val="20"/>
                <w:szCs w:val="20"/>
              </w:rPr>
            </w:pPr>
          </w:p>
        </w:tc>
        <w:tc>
          <w:tcPr>
            <w:tcW w:w="622" w:type="pct"/>
            <w:tcBorders>
              <w:top w:val="single" w:color="auto" w:sz="4" w:space="0"/>
              <w:left w:val="single" w:color="auto" w:sz="4" w:space="0"/>
              <w:bottom w:val="single" w:color="auto" w:sz="4" w:space="0"/>
              <w:right w:val="single" w:color="auto" w:sz="4" w:space="0"/>
            </w:tcBorders>
          </w:tcPr>
          <w:p w:rsidRPr="00FF6F8C" w:rsidR="00FF6F8C" w:rsidP="00FF6F8C" w:rsidRDefault="00FF6F8C" w14:paraId="5278FBC8" w14:textId="77777777">
            <w:pPr>
              <w:jc w:val="right"/>
              <w:rPr>
                <w:rFonts w:eastAsia="SimSun"/>
                <w:sz w:val="20"/>
                <w:szCs w:val="20"/>
              </w:rPr>
            </w:pPr>
            <w:r w:rsidRPr="00FF6F8C">
              <w:rPr>
                <w:rFonts w:eastAsia="SimSun"/>
                <w:sz w:val="20"/>
                <w:szCs w:val="20"/>
              </w:rPr>
              <w:t>43,278.79</w:t>
            </w:r>
          </w:p>
        </w:tc>
      </w:tr>
    </w:tbl>
    <w:p w:rsidR="00FF6F8C" w:rsidP="00A24537" w:rsidRDefault="00FF6F8C" w14:paraId="681494A9" w14:textId="77777777">
      <w:pPr>
        <w:tabs>
          <w:tab w:val="left" w:pos="720"/>
        </w:tabs>
        <w:ind w:left="720"/>
      </w:pPr>
    </w:p>
    <w:p w:rsidR="00C815B2" w:rsidP="00C815B2" w:rsidRDefault="00C815B2" w14:paraId="00839233" w14:textId="5E61106F">
      <w:pPr>
        <w:tabs>
          <w:tab w:val="left" w:pos="720"/>
        </w:tabs>
        <w:ind w:left="720"/>
      </w:pPr>
      <w:r w:rsidRPr="00CE35F1">
        <w:rPr>
          <w:i/>
          <w:iCs/>
          <w:u w:val="single"/>
        </w:rPr>
        <w:t>Recordkeeping</w:t>
      </w:r>
      <w:r w:rsidR="00E45D6E">
        <w:rPr>
          <w:i/>
          <w:iCs/>
          <w:u w:val="single"/>
        </w:rPr>
        <w:t xml:space="preserve"> Burden</w:t>
      </w:r>
      <w:r>
        <w:t>:  Recordkeeping requirements associated with the proposed rule include a one-time burden of 1,366.05 hours and annual burden of 41,912.74 hours.  In this analysis, we annualize the one-time recordkeeping burden using a 3-year period horizon and zero percent discount rate, for an annualized one-time recordkeeping burden of 455.35.  Cumulatively, we estimate an annual recordkeeping burden under this proposed rule of 43,278.79 hours.</w:t>
      </w:r>
    </w:p>
    <w:p w:rsidR="00E91CEB" w:rsidP="00C815B2" w:rsidRDefault="00E91CEB" w14:paraId="7304B965" w14:textId="77777777">
      <w:pPr>
        <w:tabs>
          <w:tab w:val="left" w:pos="720"/>
        </w:tabs>
        <w:ind w:left="720"/>
      </w:pPr>
    </w:p>
    <w:p w:rsidR="00C815B2" w:rsidP="00C815B2" w:rsidRDefault="00C815B2" w14:paraId="528C6B25" w14:textId="2346ED27">
      <w:pPr>
        <w:tabs>
          <w:tab w:val="left" w:pos="720"/>
        </w:tabs>
        <w:ind w:left="720"/>
      </w:pPr>
      <w:r>
        <w:t>Proposed § 1.1113 and § 1.1118 would require accreditation bodies to meet the requirements of ISO/IEC 17011 to be recognized.  While ISO/IEC 17011 includes recordkeeping requirements, as noted above we estimate that all of the 18 accreditation bodies that would become recognized under the proposed rule currently adhere to ISO/IEC 17011.  We therefore regard these activities as usual and customary, however we include a place holder of one response and one burden hour for each respondent, as reflected in row 1.</w:t>
      </w:r>
    </w:p>
    <w:p w:rsidR="00E91CEB" w:rsidP="00C815B2" w:rsidRDefault="00E91CEB" w14:paraId="74533736" w14:textId="77777777">
      <w:pPr>
        <w:tabs>
          <w:tab w:val="left" w:pos="720"/>
        </w:tabs>
        <w:ind w:left="720"/>
      </w:pPr>
    </w:p>
    <w:p w:rsidR="00C815B2" w:rsidP="00C815B2" w:rsidRDefault="00C815B2" w14:paraId="6FF74242" w14:textId="17495BCB">
      <w:pPr>
        <w:tabs>
          <w:tab w:val="left" w:pos="720"/>
        </w:tabs>
        <w:ind w:left="720"/>
      </w:pPr>
      <w:r>
        <w:t>Proposed § 1.1124, however, provides for the maintenance of certain records in addition to those required by ISO/IEC 17011.  We estimate recognized accreditation bodies would incur a burden of 12 hours per year to comply with both the recordkeeping requirements of proposed § 1.1124 and the reporting requirements of proposed § 1.1123.  For this analysis, we identify the recordkeeping and reporting burdens separately, assuming six of those 12 annual hours would be spent complying with the recordkeeping requirements of proposed § 1.1124.  Thus, the annual recordkeeping burden for the 18 recognized accreditation bodies to meet the additional recordkeeping requirements of proposed § 1.1124 would be 108 hours, as reflected in row 2.</w:t>
      </w:r>
    </w:p>
    <w:p w:rsidR="00E91CEB" w:rsidP="00C815B2" w:rsidRDefault="00E91CEB" w14:paraId="5ECC8FA8" w14:textId="77777777">
      <w:pPr>
        <w:tabs>
          <w:tab w:val="left" w:pos="720"/>
        </w:tabs>
        <w:ind w:left="720"/>
      </w:pPr>
    </w:p>
    <w:p w:rsidR="00C815B2" w:rsidP="00C815B2" w:rsidRDefault="00C815B2" w14:paraId="7BB5BEC8" w14:textId="377A02DC">
      <w:pPr>
        <w:tabs>
          <w:tab w:val="left" w:pos="720"/>
        </w:tabs>
        <w:ind w:left="720"/>
      </w:pPr>
      <w:r>
        <w:t>Proposed § 1.1138 would require laboratories to meet certain requirements of ISO/IEC 17025, including its recordkeeping requirements, to be accredited under the proposed rule.  We estimate that between two to eight laboratories not currently accredited to ISO/IEC 17025 would become accredited.  We use a middle estimate of five laboratories and also estimate that it would take a mean of 91.06 hours for the associated recordkeeping activities.  This results in an annualized burden of 455.35, as reflected in row 3.</w:t>
      </w:r>
    </w:p>
    <w:p w:rsidR="00E91CEB" w:rsidP="00C815B2" w:rsidRDefault="00E91CEB" w14:paraId="4367C24B" w14:textId="77777777">
      <w:pPr>
        <w:tabs>
          <w:tab w:val="left" w:pos="720"/>
        </w:tabs>
        <w:ind w:left="720"/>
      </w:pPr>
    </w:p>
    <w:p w:rsidR="0017459A" w:rsidP="00C815B2" w:rsidRDefault="00C815B2" w14:paraId="5B1C1FBE" w14:textId="68B002C9">
      <w:pPr>
        <w:tabs>
          <w:tab w:val="left" w:pos="720"/>
        </w:tabs>
        <w:ind w:left="720"/>
      </w:pPr>
      <w:r>
        <w:lastRenderedPageBreak/>
        <w:t>Proposed § 1.1146 would require laboratories to maintain conformance with ISO/IEC 17025, including its recordkeeping requirements.  Based on available data, and as discussed in our PRIA, we estimate a mean of 889.53 hours for this recordkeeping.  This results in an annual burden of 42,697.44 hours, as reflected in row 4.</w:t>
      </w:r>
    </w:p>
    <w:p w:rsidR="00560333" w:rsidP="002A0C48" w:rsidRDefault="00560333" w14:paraId="7765DDF9" w14:textId="77777777">
      <w:pPr>
        <w:rPr>
          <w:i/>
        </w:rPr>
      </w:pPr>
    </w:p>
    <w:p w:rsidRPr="004870F9" w:rsidR="00A93ED9" w:rsidP="00CC7253" w:rsidRDefault="00A93ED9" w14:paraId="1A018AE7" w14:textId="77777777">
      <w:pPr>
        <w:pStyle w:val="BodyText2"/>
        <w:ind w:left="720"/>
        <w:rPr>
          <w:i/>
          <w:iCs/>
        </w:rPr>
      </w:pPr>
      <w:r w:rsidRPr="004870F9">
        <w:rPr>
          <w:i/>
          <w:iCs/>
        </w:rPr>
        <w:t xml:space="preserve">12b. </w:t>
      </w:r>
      <w:r w:rsidRPr="004870F9" w:rsidR="00411D11">
        <w:rPr>
          <w:i/>
          <w:iCs/>
        </w:rPr>
        <w:t>Annualized Cost Burden Estimate</w:t>
      </w:r>
    </w:p>
    <w:p w:rsidR="00A93ED9" w:rsidP="002A0C48" w:rsidRDefault="00A93ED9" w14:paraId="483A73B1" w14:textId="77777777">
      <w:pPr>
        <w:pStyle w:val="BodyText2"/>
        <w:ind w:left="720"/>
      </w:pPr>
    </w:p>
    <w:p w:rsidRPr="00B144D4" w:rsidR="007039B0" w:rsidP="002A0C48" w:rsidRDefault="007039B0" w14:paraId="05753ADA" w14:textId="77777777">
      <w:pPr>
        <w:pStyle w:val="BodyText2"/>
        <w:ind w:left="720"/>
      </w:pPr>
      <w:r w:rsidRPr="00B144D4">
        <w:rPr>
          <w:szCs w:val="24"/>
        </w:rPr>
        <w:t xml:space="preserve">We estimate that the annualized reporting cost burden under the proposed rule would be </w:t>
      </w:r>
      <w:r w:rsidR="00FB5B63">
        <w:rPr>
          <w:szCs w:val="24"/>
        </w:rPr>
        <w:t>$</w:t>
      </w:r>
      <w:r w:rsidRPr="007244F5" w:rsidR="00BC02B0">
        <w:rPr>
          <w:szCs w:val="24"/>
        </w:rPr>
        <w:t>1,</w:t>
      </w:r>
      <w:r w:rsidR="00BC02B0">
        <w:rPr>
          <w:szCs w:val="24"/>
        </w:rPr>
        <w:t>916</w:t>
      </w:r>
      <w:r w:rsidRPr="007244F5" w:rsidR="00BC02B0">
        <w:rPr>
          <w:szCs w:val="24"/>
        </w:rPr>
        <w:t>,</w:t>
      </w:r>
      <w:r w:rsidR="00BC02B0">
        <w:rPr>
          <w:szCs w:val="24"/>
        </w:rPr>
        <w:t>962.09</w:t>
      </w:r>
      <w:r w:rsidRPr="007244F5">
        <w:rPr>
          <w:szCs w:val="24"/>
        </w:rPr>
        <w:t xml:space="preserve"> (see Table 3 below) and the </w:t>
      </w:r>
      <w:r w:rsidR="002454D1">
        <w:rPr>
          <w:szCs w:val="24"/>
        </w:rPr>
        <w:t>annual</w:t>
      </w:r>
      <w:r w:rsidR="00F46EBB">
        <w:rPr>
          <w:szCs w:val="24"/>
        </w:rPr>
        <w:t>ized</w:t>
      </w:r>
      <w:r w:rsidRPr="0014588F" w:rsidR="00611D3B">
        <w:rPr>
          <w:szCs w:val="24"/>
        </w:rPr>
        <w:t xml:space="preserve"> recordkeeping cost burden</w:t>
      </w:r>
      <w:r w:rsidRPr="002A4B4D" w:rsidR="00611D3B">
        <w:rPr>
          <w:szCs w:val="24"/>
        </w:rPr>
        <w:t xml:space="preserve"> under the proposed rule would be </w:t>
      </w:r>
      <w:r w:rsidRPr="007244F5" w:rsidR="00BC02B0">
        <w:rPr>
          <w:szCs w:val="24"/>
        </w:rPr>
        <w:t>$3</w:t>
      </w:r>
      <w:r w:rsidR="00BC02B0">
        <w:rPr>
          <w:szCs w:val="24"/>
        </w:rPr>
        <w:t>47,526.70</w:t>
      </w:r>
      <w:r w:rsidRPr="007244F5" w:rsidR="00611D3B">
        <w:rPr>
          <w:szCs w:val="24"/>
        </w:rPr>
        <w:t xml:space="preserve"> (see Table 4 below), for a total</w:t>
      </w:r>
      <w:r w:rsidR="005222D6">
        <w:rPr>
          <w:szCs w:val="24"/>
        </w:rPr>
        <w:t xml:space="preserve"> annualized</w:t>
      </w:r>
      <w:r w:rsidRPr="007244F5" w:rsidR="00611D3B">
        <w:rPr>
          <w:szCs w:val="24"/>
        </w:rPr>
        <w:t xml:space="preserve"> information collection burden</w:t>
      </w:r>
      <w:r w:rsidR="005222D6">
        <w:rPr>
          <w:szCs w:val="24"/>
        </w:rPr>
        <w:t xml:space="preserve"> cost estimate</w:t>
      </w:r>
      <w:r w:rsidRPr="007244F5" w:rsidR="00611D3B">
        <w:rPr>
          <w:szCs w:val="24"/>
        </w:rPr>
        <w:t xml:space="preserve"> of $</w:t>
      </w:r>
      <w:r w:rsidR="00BC02B0">
        <w:rPr>
          <w:szCs w:val="24"/>
        </w:rPr>
        <w:t>2,264,488.79</w:t>
      </w:r>
      <w:r w:rsidRPr="007244F5" w:rsidR="00611D3B">
        <w:rPr>
          <w:szCs w:val="24"/>
        </w:rPr>
        <w:t>.</w:t>
      </w:r>
    </w:p>
    <w:p w:rsidR="00C06B2D" w:rsidP="002A0C48" w:rsidRDefault="00C06B2D" w14:paraId="7D5F5FBC" w14:textId="77777777">
      <w:pPr>
        <w:pStyle w:val="BodyText2"/>
        <w:ind w:left="720"/>
      </w:pPr>
    </w:p>
    <w:p w:rsidR="00396F98" w:rsidP="002A0C48" w:rsidRDefault="00611D3B" w14:paraId="4EE8A562" w14:textId="77777777">
      <w:pPr>
        <w:pStyle w:val="BodyText2"/>
        <w:ind w:left="720"/>
      </w:pPr>
      <w:r>
        <w:t>We believe that recordkeeping and reporting requirements of the proposed rule are conducted by personnel with differing wage rates</w:t>
      </w:r>
      <w:r w:rsidR="00F44533">
        <w:t xml:space="preserve">, in accordance with the PRIA. </w:t>
      </w:r>
      <w:r w:rsidR="00396F98">
        <w:t>With respect to the reporting burden on accreditation bodies under the proposed rule:</w:t>
      </w:r>
    </w:p>
    <w:p w:rsidR="00396F98" w:rsidP="002A0C48" w:rsidRDefault="00396F98" w14:paraId="4E1D84A1" w14:textId="77777777">
      <w:pPr>
        <w:pStyle w:val="BodyText2"/>
        <w:ind w:left="720"/>
      </w:pPr>
    </w:p>
    <w:p w:rsidRPr="00B144D4" w:rsidR="00396F98" w:rsidP="002A0C48" w:rsidRDefault="00396F98" w14:paraId="5D760122" w14:textId="1568B2DE">
      <w:pPr>
        <w:pStyle w:val="BodyText2"/>
        <w:numPr>
          <w:ilvl w:val="0"/>
          <w:numId w:val="51"/>
        </w:numPr>
      </w:pPr>
      <w:r>
        <w:t xml:space="preserve">We expect the reporting burden </w:t>
      </w:r>
      <w:r w:rsidR="00334B29">
        <w:t xml:space="preserve">on accreditation bodies </w:t>
      </w:r>
      <w:r>
        <w:t xml:space="preserve">under proposed § 1.1128(a) (the application for recognition) and </w:t>
      </w:r>
      <w:r w:rsidR="00712597">
        <w:t xml:space="preserve">proposed § </w:t>
      </w:r>
      <w:r>
        <w:t>1.1128(b) (the application for renewal of recognition) to be conducted by personnel at the level of a Lawyer</w:t>
      </w:r>
      <w:r w:rsidR="00AD154D">
        <w:t xml:space="preserve"> (see PRIA at p. </w:t>
      </w:r>
      <w:r w:rsidR="000640E4">
        <w:t>73</w:t>
      </w:r>
      <w:r w:rsidR="00AD154D">
        <w:t>)</w:t>
      </w:r>
      <w:r>
        <w:t>, as</w:t>
      </w:r>
      <w:r w:rsidRPr="00DF6516">
        <w:rPr>
          <w:szCs w:val="24"/>
        </w:rPr>
        <w:t xml:space="preserve"> reported in the Bure</w:t>
      </w:r>
      <w:r>
        <w:rPr>
          <w:szCs w:val="24"/>
        </w:rPr>
        <w:t>au of Labor Statistics, May 2017</w:t>
      </w:r>
      <w:r w:rsidRPr="00DF6516">
        <w:rPr>
          <w:szCs w:val="24"/>
        </w:rPr>
        <w:t xml:space="preserve"> National Occupational Survey under occupation code </w:t>
      </w:r>
      <w:r>
        <w:rPr>
          <w:szCs w:val="24"/>
        </w:rPr>
        <w:t xml:space="preserve">23-1011. </w:t>
      </w:r>
      <w:r w:rsidRPr="00DF6516">
        <w:rPr>
          <w:szCs w:val="24"/>
        </w:rPr>
        <w:t>We multiply the wage by two to account for overhead to obtain a fully loaded hourly wage of $</w:t>
      </w:r>
      <w:r>
        <w:rPr>
          <w:szCs w:val="24"/>
        </w:rPr>
        <w:t>136.44</w:t>
      </w:r>
      <w:r w:rsidRPr="00DF6516">
        <w:rPr>
          <w:szCs w:val="24"/>
        </w:rPr>
        <w:t xml:space="preserve"> for a </w:t>
      </w:r>
      <w:r>
        <w:rPr>
          <w:szCs w:val="24"/>
        </w:rPr>
        <w:t>Lawyer</w:t>
      </w:r>
      <w:r w:rsidRPr="00DF6516">
        <w:rPr>
          <w:szCs w:val="24"/>
        </w:rPr>
        <w:t>.</w:t>
      </w:r>
      <w:r>
        <w:rPr>
          <w:szCs w:val="24"/>
        </w:rPr>
        <w:t xml:space="preserve">  </w:t>
      </w:r>
    </w:p>
    <w:p w:rsidRPr="0014588F" w:rsidR="00396F98" w:rsidP="002A0C48" w:rsidRDefault="00396F98" w14:paraId="13165DBB" w14:textId="77777777">
      <w:pPr>
        <w:pStyle w:val="BodyText2"/>
        <w:ind w:left="1440"/>
      </w:pPr>
    </w:p>
    <w:p w:rsidRPr="00B144D4" w:rsidR="00396F98" w:rsidP="002A0C48" w:rsidRDefault="00396F98" w14:paraId="5C168362" w14:textId="6CA2AE69">
      <w:pPr>
        <w:pStyle w:val="BodyText2"/>
        <w:numPr>
          <w:ilvl w:val="0"/>
          <w:numId w:val="51"/>
        </w:numPr>
      </w:pPr>
      <w:r>
        <w:rPr>
          <w:szCs w:val="24"/>
        </w:rPr>
        <w:t xml:space="preserve">We expect </w:t>
      </w:r>
      <w:r>
        <w:t>the reporting burden</w:t>
      </w:r>
      <w:r w:rsidR="005D089E">
        <w:t xml:space="preserve"> on accreditation bodies</w:t>
      </w:r>
      <w:r>
        <w:t xml:space="preserve"> under proposed § 1.1123(b) (the general reporting requirements) to be conducted by accreditation body personnel at the level of Microbiologist</w:t>
      </w:r>
      <w:r w:rsidR="00AD154D">
        <w:t xml:space="preserve"> (see PRIA at p. </w:t>
      </w:r>
      <w:r w:rsidR="00397E39">
        <w:t>77</w:t>
      </w:r>
      <w:r w:rsidR="00AD154D">
        <w:t>)</w:t>
      </w:r>
      <w:r>
        <w:t>, as</w:t>
      </w:r>
      <w:r w:rsidRPr="00DF6516">
        <w:rPr>
          <w:szCs w:val="24"/>
        </w:rPr>
        <w:t xml:space="preserve"> reported in the Bure</w:t>
      </w:r>
      <w:r>
        <w:rPr>
          <w:szCs w:val="24"/>
        </w:rPr>
        <w:t>au of Labor Statistics, May 2017</w:t>
      </w:r>
      <w:r w:rsidRPr="00DF6516">
        <w:rPr>
          <w:szCs w:val="24"/>
        </w:rPr>
        <w:t xml:space="preserve"> National Occupational Survey under occupation code 19-1022</w:t>
      </w:r>
      <w:r>
        <w:rPr>
          <w:szCs w:val="24"/>
        </w:rPr>
        <w:t xml:space="preserve">.  </w:t>
      </w:r>
      <w:r w:rsidRPr="00DF6516">
        <w:rPr>
          <w:szCs w:val="24"/>
        </w:rPr>
        <w:t>We multiply the wage by two to account for overhead to obtain a fully loaded hourly wage of $</w:t>
      </w:r>
      <w:r>
        <w:rPr>
          <w:szCs w:val="24"/>
        </w:rPr>
        <w:t>75.38</w:t>
      </w:r>
      <w:r w:rsidRPr="00DF6516">
        <w:rPr>
          <w:szCs w:val="24"/>
        </w:rPr>
        <w:t xml:space="preserve"> for a Microbiologist.</w:t>
      </w:r>
    </w:p>
    <w:p w:rsidR="00396F98" w:rsidP="002A0C48" w:rsidRDefault="00396F98" w14:paraId="66BB2622" w14:textId="77777777">
      <w:pPr>
        <w:pStyle w:val="BodyText2"/>
        <w:ind w:left="720"/>
        <w:rPr>
          <w:szCs w:val="24"/>
        </w:rPr>
      </w:pPr>
    </w:p>
    <w:p w:rsidRPr="005912AE" w:rsidR="00396F98" w:rsidP="002A0C48" w:rsidRDefault="00396F98" w14:paraId="34B2D6E5" w14:textId="77777777">
      <w:pPr>
        <w:pStyle w:val="BodyText2"/>
        <w:ind w:left="720"/>
      </w:pPr>
      <w:r w:rsidRPr="005912AE">
        <w:t>With respect to the reporting burden on laboratories under the proposed rule:</w:t>
      </w:r>
    </w:p>
    <w:p w:rsidRPr="005912AE" w:rsidR="00C47AF7" w:rsidP="002A0C48" w:rsidRDefault="00C47AF7" w14:paraId="4BEAE249" w14:textId="77777777">
      <w:pPr>
        <w:pStyle w:val="BodyText2"/>
        <w:ind w:left="720"/>
      </w:pPr>
    </w:p>
    <w:p w:rsidRPr="005912AE" w:rsidR="009B0825" w:rsidP="002A0C48" w:rsidRDefault="00712597" w14:paraId="0CF7F539" w14:textId="69287938">
      <w:pPr>
        <w:pStyle w:val="BodyText2"/>
        <w:numPr>
          <w:ilvl w:val="0"/>
          <w:numId w:val="52"/>
        </w:numPr>
      </w:pPr>
      <w:r w:rsidRPr="005912AE">
        <w:rPr>
          <w:szCs w:val="24"/>
        </w:rPr>
        <w:t>We expect the reporting burden</w:t>
      </w:r>
      <w:r w:rsidRPr="005912AE" w:rsidR="00C47AF7">
        <w:rPr>
          <w:szCs w:val="24"/>
        </w:rPr>
        <w:t xml:space="preserve"> on laboratories</w:t>
      </w:r>
      <w:r w:rsidRPr="005912AE">
        <w:rPr>
          <w:szCs w:val="24"/>
        </w:rPr>
        <w:t xml:space="preserve"> </w:t>
      </w:r>
      <w:r w:rsidRPr="005912AE">
        <w:t xml:space="preserve">under proposed § 1.1158 (the application for accreditation) to be conducted by laboratory personnel at the level of a </w:t>
      </w:r>
      <w:r w:rsidR="00A409DE">
        <w:t>Food Scientist</w:t>
      </w:r>
      <w:r w:rsidR="00F62F42">
        <w:t xml:space="preserve"> and Technologist</w:t>
      </w:r>
      <w:r w:rsidRPr="005912AE" w:rsidR="00A409DE">
        <w:t xml:space="preserve"> </w:t>
      </w:r>
      <w:r w:rsidRPr="005912AE" w:rsidR="00AD154D">
        <w:t xml:space="preserve">(see PRIA at p. </w:t>
      </w:r>
      <w:r w:rsidR="00F62F42">
        <w:t>80</w:t>
      </w:r>
      <w:r w:rsidRPr="005912AE" w:rsidR="00AD154D">
        <w:t>)</w:t>
      </w:r>
      <w:r w:rsidRPr="005912AE">
        <w:t>, as</w:t>
      </w:r>
      <w:r w:rsidRPr="005912AE">
        <w:rPr>
          <w:szCs w:val="24"/>
        </w:rPr>
        <w:t xml:space="preserve"> reported in the Bureau of Labor Statistics, May 2017 National Occupational Survey under occupation code </w:t>
      </w:r>
      <w:r w:rsidR="00F62F42">
        <w:rPr>
          <w:szCs w:val="24"/>
        </w:rPr>
        <w:t>11</w:t>
      </w:r>
      <w:r w:rsidR="0000629E">
        <w:rPr>
          <w:szCs w:val="24"/>
        </w:rPr>
        <w:t>-9121</w:t>
      </w:r>
      <w:r w:rsidR="000A4009">
        <w:rPr>
          <w:szCs w:val="24"/>
        </w:rPr>
        <w:t>, at the</w:t>
      </w:r>
      <w:r w:rsidRPr="005912AE">
        <w:rPr>
          <w:szCs w:val="24"/>
        </w:rPr>
        <w:t xml:space="preserve"> fully loaded hourly wage of $</w:t>
      </w:r>
      <w:r w:rsidR="0000629E">
        <w:rPr>
          <w:szCs w:val="24"/>
        </w:rPr>
        <w:t>69.22</w:t>
      </w:r>
      <w:r w:rsidRPr="005912AE">
        <w:rPr>
          <w:szCs w:val="24"/>
        </w:rPr>
        <w:t>.</w:t>
      </w:r>
    </w:p>
    <w:p w:rsidRPr="00823B09" w:rsidR="009B0825" w:rsidP="002A0C48" w:rsidRDefault="009B0825" w14:paraId="1F8731FF" w14:textId="77777777">
      <w:pPr>
        <w:pStyle w:val="BodyText2"/>
        <w:ind w:left="1440"/>
        <w:rPr>
          <w:highlight w:val="lightGray"/>
        </w:rPr>
      </w:pPr>
    </w:p>
    <w:p w:rsidRPr="005912AE" w:rsidR="009B0825" w:rsidP="002A0C48" w:rsidRDefault="009B0825" w14:paraId="2095D682" w14:textId="552C2070">
      <w:pPr>
        <w:pStyle w:val="BodyText2"/>
        <w:numPr>
          <w:ilvl w:val="0"/>
          <w:numId w:val="52"/>
        </w:numPr>
      </w:pPr>
      <w:r w:rsidRPr="005912AE">
        <w:rPr>
          <w:szCs w:val="24"/>
        </w:rPr>
        <w:t>We expect the reporting burden</w:t>
      </w:r>
      <w:r w:rsidRPr="005912AE" w:rsidR="00C47AF7">
        <w:rPr>
          <w:szCs w:val="24"/>
        </w:rPr>
        <w:t xml:space="preserve"> on laboratories</w:t>
      </w:r>
      <w:r w:rsidRPr="005912AE">
        <w:rPr>
          <w:szCs w:val="24"/>
        </w:rPr>
        <w:t xml:space="preserve"> under proposed §§ 1.1152(c), (d), and (i) (submission of sampling plans, sample collection reports, sampler qualifications, analytical reports (including qualifying to submit abridged analytical reports and submission of abridged analytical reports), validation studies, verification studies, and advance notices of sampling) </w:t>
      </w:r>
      <w:r w:rsidRPr="005912AE">
        <w:t>to be conducted by laboratory personnel at the level of a Food Scientist and Technologist</w:t>
      </w:r>
      <w:r w:rsidRPr="005912AE" w:rsidR="00AD154D">
        <w:t xml:space="preserve"> (see PRIA at p. </w:t>
      </w:r>
      <w:r w:rsidR="008A5BB4">
        <w:t>91</w:t>
      </w:r>
      <w:r w:rsidRPr="005912AE" w:rsidR="00AD154D">
        <w:t>)</w:t>
      </w:r>
      <w:r w:rsidRPr="005912AE">
        <w:t>, as</w:t>
      </w:r>
      <w:r w:rsidRPr="005912AE">
        <w:rPr>
          <w:szCs w:val="24"/>
        </w:rPr>
        <w:t xml:space="preserve"> reported in the Bureau of Labor Statistics, May 2017 National Occupational Survey under occupation code </w:t>
      </w:r>
      <w:r w:rsidR="009B18B9">
        <w:rPr>
          <w:szCs w:val="24"/>
        </w:rPr>
        <w:t>11-</w:t>
      </w:r>
      <w:r w:rsidR="009B18B9">
        <w:rPr>
          <w:szCs w:val="24"/>
        </w:rPr>
        <w:lastRenderedPageBreak/>
        <w:t>9121</w:t>
      </w:r>
      <w:r w:rsidRPr="005912AE" w:rsidR="0041212C">
        <w:rPr>
          <w:szCs w:val="24"/>
        </w:rPr>
        <w:t xml:space="preserve">. </w:t>
      </w:r>
      <w:r w:rsidRPr="005912AE">
        <w:rPr>
          <w:szCs w:val="24"/>
        </w:rPr>
        <w:t xml:space="preserve">We multiply the wage by two to account for overhead to obtain a fully loaded hourly wage of $69.22 for a </w:t>
      </w:r>
      <w:r w:rsidRPr="005912AE">
        <w:t>Food Scientist and Technologist</w:t>
      </w:r>
      <w:r w:rsidRPr="005912AE">
        <w:rPr>
          <w:szCs w:val="24"/>
        </w:rPr>
        <w:t>.</w:t>
      </w:r>
    </w:p>
    <w:p w:rsidR="00396F98" w:rsidP="002A0C48" w:rsidRDefault="00396F98" w14:paraId="2F530F05" w14:textId="77777777">
      <w:pPr>
        <w:pStyle w:val="BodyText2"/>
      </w:pPr>
    </w:p>
    <w:p w:rsidR="00396F98" w:rsidP="002A0C48" w:rsidRDefault="00396F98" w14:paraId="20740BD5" w14:textId="77777777">
      <w:pPr>
        <w:pStyle w:val="BodyText2"/>
        <w:ind w:left="720"/>
      </w:pPr>
      <w:r>
        <w:t>With respect to the recordkeeping burden on accreditation bodies under the proposed rule:</w:t>
      </w:r>
    </w:p>
    <w:p w:rsidR="00426B6F" w:rsidP="002A0C48" w:rsidRDefault="00426B6F" w14:paraId="1EF6BC21" w14:textId="77777777">
      <w:pPr>
        <w:pStyle w:val="BodyText2"/>
        <w:ind w:left="720"/>
      </w:pPr>
    </w:p>
    <w:p w:rsidR="00426B6F" w:rsidP="002A0C48" w:rsidRDefault="00426B6F" w14:paraId="7A9BF7FB" w14:textId="5AF2CFF6">
      <w:pPr>
        <w:pStyle w:val="BodyText2"/>
        <w:numPr>
          <w:ilvl w:val="0"/>
          <w:numId w:val="53"/>
        </w:numPr>
      </w:pPr>
      <w:r>
        <w:t>We expect the recordkeeping burden</w:t>
      </w:r>
      <w:r w:rsidR="00EF3637">
        <w:t xml:space="preserve"> on </w:t>
      </w:r>
      <w:r w:rsidR="00530CBA">
        <w:t>accreditation bodies</w:t>
      </w:r>
      <w:r>
        <w:t xml:space="preserve"> under proposed § 1.1124 (the recordkeeping requirements</w:t>
      </w:r>
      <w:r w:rsidR="00D55802">
        <w:t xml:space="preserve"> in addition to those of ISO/IEC 17011</w:t>
      </w:r>
      <w:r>
        <w:t>) to be conducted by accreditation body personnel at the level of Microbiologist</w:t>
      </w:r>
      <w:r w:rsidR="00D55802">
        <w:t xml:space="preserve"> (see PRIA at p. </w:t>
      </w:r>
      <w:r w:rsidR="00D31384">
        <w:t>77</w:t>
      </w:r>
      <w:r w:rsidR="00D55802">
        <w:t>)</w:t>
      </w:r>
      <w:r>
        <w:t>, as</w:t>
      </w:r>
      <w:r w:rsidRPr="00DF6516">
        <w:rPr>
          <w:szCs w:val="24"/>
        </w:rPr>
        <w:t xml:space="preserve"> reported in the Bure</w:t>
      </w:r>
      <w:r>
        <w:rPr>
          <w:szCs w:val="24"/>
        </w:rPr>
        <w:t>au of Labor Statistics, May 2017</w:t>
      </w:r>
      <w:r w:rsidRPr="00DF6516">
        <w:rPr>
          <w:szCs w:val="24"/>
        </w:rPr>
        <w:t xml:space="preserve"> National Occupational Survey under occupation code 19-1022</w:t>
      </w:r>
      <w:r w:rsidR="000A4009">
        <w:rPr>
          <w:szCs w:val="24"/>
        </w:rPr>
        <w:t>, at the</w:t>
      </w:r>
      <w:r w:rsidRPr="00DF6516">
        <w:rPr>
          <w:szCs w:val="24"/>
        </w:rPr>
        <w:t xml:space="preserve"> fully loaded hourly wage of $</w:t>
      </w:r>
      <w:r>
        <w:rPr>
          <w:szCs w:val="24"/>
        </w:rPr>
        <w:t>75.38</w:t>
      </w:r>
      <w:r w:rsidRPr="00DF6516">
        <w:rPr>
          <w:szCs w:val="24"/>
        </w:rPr>
        <w:t>.</w:t>
      </w:r>
    </w:p>
    <w:p w:rsidR="00396F98" w:rsidP="002A0C48" w:rsidRDefault="00396F98" w14:paraId="4C8548A7" w14:textId="77777777">
      <w:pPr>
        <w:pStyle w:val="BodyText2"/>
        <w:ind w:left="720"/>
      </w:pPr>
    </w:p>
    <w:p w:rsidR="00396F98" w:rsidP="002A0C48" w:rsidRDefault="00396F98" w14:paraId="3040FADF" w14:textId="77777777">
      <w:pPr>
        <w:pStyle w:val="BodyText2"/>
        <w:ind w:left="720"/>
      </w:pPr>
      <w:r>
        <w:t>With respect to the recordkeeping burden on laboratories under the proposed rule:</w:t>
      </w:r>
    </w:p>
    <w:p w:rsidR="00426B6F" w:rsidP="002A0C48" w:rsidRDefault="00426B6F" w14:paraId="47E50C70" w14:textId="77777777">
      <w:pPr>
        <w:pStyle w:val="BodyText2"/>
        <w:ind w:left="720"/>
      </w:pPr>
    </w:p>
    <w:p w:rsidR="00426B6F" w:rsidP="002A0C48" w:rsidRDefault="001C4E36" w14:paraId="391AECD8" w14:textId="15A04BAD">
      <w:pPr>
        <w:pStyle w:val="BodyText2"/>
        <w:numPr>
          <w:ilvl w:val="0"/>
          <w:numId w:val="53"/>
        </w:numPr>
      </w:pPr>
      <w:r>
        <w:t>W</w:t>
      </w:r>
      <w:r w:rsidR="00426B6F">
        <w:t xml:space="preserve">e expect the recordkeeping burden </w:t>
      </w:r>
      <w:r w:rsidR="00EF3637">
        <w:t xml:space="preserve">on laboratories </w:t>
      </w:r>
      <w:r w:rsidR="00426B6F">
        <w:t xml:space="preserve">under proposed § </w:t>
      </w:r>
      <w:r w:rsidR="00426B6F">
        <w:rPr>
          <w:szCs w:val="24"/>
        </w:rPr>
        <w:t xml:space="preserve">1.1138 (becoming accredited to ISO/IEC 17025) and § 1.1146 (maintaining accreditation to ISO/IEC 17025) </w:t>
      </w:r>
      <w:r w:rsidR="00426B6F">
        <w:t xml:space="preserve">to be conducted by laboratory personnel at the level of </w:t>
      </w:r>
      <w:r w:rsidR="00EF3637">
        <w:t>Food Scientist and Technologist</w:t>
      </w:r>
      <w:r w:rsidR="00973764">
        <w:t xml:space="preserve"> (</w:t>
      </w:r>
      <w:r>
        <w:t xml:space="preserve">in accordance with the PRIA’s assumptions about who would conduct analytical activities for accredited laboratories, </w:t>
      </w:r>
      <w:r w:rsidR="00973764">
        <w:t xml:space="preserve">see PRIA at p. </w:t>
      </w:r>
      <w:r w:rsidR="006D32E7">
        <w:t>87</w:t>
      </w:r>
      <w:r w:rsidR="00973764">
        <w:t xml:space="preserve">), </w:t>
      </w:r>
      <w:r w:rsidR="00EF3637">
        <w:t xml:space="preserve">as reported in the Bureau of Labor Statistics, May 2017 National Occupational Survey under occupation code </w:t>
      </w:r>
      <w:r w:rsidR="0054234B">
        <w:t>11-9121</w:t>
      </w:r>
      <w:r w:rsidR="000A4009">
        <w:t xml:space="preserve">, at the </w:t>
      </w:r>
      <w:r w:rsidR="00EF3637">
        <w:t>fully loaded hourly wage of $69.22</w:t>
      </w:r>
      <w:r w:rsidRPr="00DF6516" w:rsidR="00426B6F">
        <w:rPr>
          <w:szCs w:val="24"/>
        </w:rPr>
        <w:t>.</w:t>
      </w:r>
    </w:p>
    <w:p w:rsidR="003740BC" w:rsidP="002A0C48" w:rsidRDefault="003740BC" w14:paraId="58FCF13C"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7244F5" w:rsidR="005C699E" w:rsidTr="00041030" w14:paraId="1D78BC63" w14:textId="77777777">
        <w:tc>
          <w:tcPr>
            <w:tcW w:w="8280" w:type="dxa"/>
            <w:gridSpan w:val="4"/>
            <w:shd w:val="clear" w:color="auto" w:fill="auto"/>
          </w:tcPr>
          <w:p w:rsidRPr="007244F5" w:rsidR="005C699E" w:rsidP="002A0C48" w:rsidRDefault="005C699E" w14:paraId="7ABF71AC" w14:textId="4183F2A8">
            <w:pPr>
              <w:jc w:val="center"/>
              <w:rPr>
                <w:sz w:val="20"/>
                <w:szCs w:val="20"/>
              </w:rPr>
            </w:pPr>
            <w:r w:rsidRPr="00CB50DD">
              <w:rPr>
                <w:sz w:val="20"/>
                <w:szCs w:val="20"/>
              </w:rPr>
              <w:t>Table 3</w:t>
            </w:r>
            <w:r w:rsidR="006F401F">
              <w:rPr>
                <w:sz w:val="20"/>
                <w:szCs w:val="20"/>
              </w:rPr>
              <w:t>--</w:t>
            </w:r>
            <w:r w:rsidRPr="00CB50DD">
              <w:rPr>
                <w:sz w:val="20"/>
                <w:szCs w:val="20"/>
              </w:rPr>
              <w:t>Estimated Annual Reporting Burden Cost</w:t>
            </w:r>
          </w:p>
        </w:tc>
      </w:tr>
      <w:tr w:rsidRPr="007244F5" w:rsidR="00C06B2D" w:rsidTr="00B86DFA" w14:paraId="7F11E709" w14:textId="77777777">
        <w:tc>
          <w:tcPr>
            <w:tcW w:w="2160" w:type="dxa"/>
            <w:shd w:val="clear" w:color="auto" w:fill="auto"/>
          </w:tcPr>
          <w:p w:rsidRPr="007244F5" w:rsidR="00C06B2D" w:rsidP="002A0C48" w:rsidRDefault="00921FEC" w14:paraId="3BDFE0D5" w14:textId="77777777">
            <w:pPr>
              <w:rPr>
                <w:b/>
                <w:sz w:val="20"/>
                <w:szCs w:val="20"/>
              </w:rPr>
            </w:pPr>
            <w:r w:rsidRPr="007244F5">
              <w:rPr>
                <w:b/>
                <w:sz w:val="20"/>
                <w:szCs w:val="20"/>
              </w:rPr>
              <w:t>Type of Respondent</w:t>
            </w:r>
          </w:p>
        </w:tc>
        <w:tc>
          <w:tcPr>
            <w:tcW w:w="1800" w:type="dxa"/>
            <w:shd w:val="clear" w:color="auto" w:fill="auto"/>
          </w:tcPr>
          <w:p w:rsidRPr="007244F5" w:rsidR="00C06B2D" w:rsidP="002A0C48" w:rsidRDefault="00921FEC" w14:paraId="16C10E11" w14:textId="77777777">
            <w:pPr>
              <w:rPr>
                <w:b/>
                <w:sz w:val="20"/>
                <w:szCs w:val="20"/>
              </w:rPr>
            </w:pPr>
            <w:r w:rsidRPr="007244F5">
              <w:rPr>
                <w:b/>
                <w:sz w:val="20"/>
                <w:szCs w:val="20"/>
              </w:rPr>
              <w:t>Total Burden Hours</w:t>
            </w:r>
          </w:p>
        </w:tc>
        <w:tc>
          <w:tcPr>
            <w:tcW w:w="2394" w:type="dxa"/>
            <w:shd w:val="clear" w:color="auto" w:fill="auto"/>
          </w:tcPr>
          <w:p w:rsidRPr="007244F5" w:rsidR="00C06B2D" w:rsidP="002A0C48" w:rsidRDefault="0034557A" w14:paraId="07456EFB" w14:textId="77777777">
            <w:pPr>
              <w:rPr>
                <w:b/>
                <w:sz w:val="20"/>
                <w:szCs w:val="20"/>
              </w:rPr>
            </w:pPr>
            <w:r w:rsidRPr="00CB50DD">
              <w:rPr>
                <w:b/>
                <w:sz w:val="20"/>
                <w:szCs w:val="20"/>
              </w:rPr>
              <w:t xml:space="preserve">Fully Loaded </w:t>
            </w:r>
            <w:r w:rsidRPr="007244F5" w:rsidR="00921FEC">
              <w:rPr>
                <w:b/>
                <w:sz w:val="20"/>
                <w:szCs w:val="20"/>
              </w:rPr>
              <w:t>Hourly Wage</w:t>
            </w:r>
          </w:p>
        </w:tc>
        <w:tc>
          <w:tcPr>
            <w:tcW w:w="1926" w:type="dxa"/>
            <w:shd w:val="clear" w:color="auto" w:fill="auto"/>
          </w:tcPr>
          <w:p w:rsidRPr="007244F5" w:rsidR="00C06B2D" w:rsidP="002A0C48" w:rsidRDefault="00921FEC" w14:paraId="0DBF4DA2" w14:textId="77777777">
            <w:pPr>
              <w:rPr>
                <w:b/>
                <w:sz w:val="20"/>
                <w:szCs w:val="20"/>
              </w:rPr>
            </w:pPr>
            <w:r w:rsidRPr="007244F5">
              <w:rPr>
                <w:b/>
                <w:sz w:val="20"/>
                <w:szCs w:val="20"/>
              </w:rPr>
              <w:t>Total Respondent Costs</w:t>
            </w:r>
          </w:p>
        </w:tc>
      </w:tr>
      <w:tr w:rsidRPr="007244F5" w:rsidR="005C699E" w:rsidTr="00B86DFA" w14:paraId="7A201768" w14:textId="77777777">
        <w:tc>
          <w:tcPr>
            <w:tcW w:w="2160" w:type="dxa"/>
            <w:shd w:val="clear" w:color="auto" w:fill="auto"/>
          </w:tcPr>
          <w:p w:rsidRPr="007244F5" w:rsidR="005C699E" w:rsidP="002A0C48" w:rsidRDefault="005C699E" w14:paraId="6CD94465" w14:textId="77777777">
            <w:pPr>
              <w:rPr>
                <w:sz w:val="20"/>
                <w:szCs w:val="20"/>
              </w:rPr>
            </w:pPr>
            <w:r w:rsidRPr="007244F5">
              <w:rPr>
                <w:sz w:val="20"/>
                <w:szCs w:val="20"/>
              </w:rPr>
              <w:t>Lawyer</w:t>
            </w:r>
          </w:p>
        </w:tc>
        <w:tc>
          <w:tcPr>
            <w:tcW w:w="1800" w:type="dxa"/>
            <w:shd w:val="clear" w:color="auto" w:fill="auto"/>
          </w:tcPr>
          <w:p w:rsidRPr="007244F5" w:rsidR="005C699E" w:rsidP="002A0C48" w:rsidRDefault="00426B6F" w14:paraId="6621C7E8" w14:textId="77777777">
            <w:pPr>
              <w:rPr>
                <w:sz w:val="20"/>
                <w:szCs w:val="20"/>
              </w:rPr>
            </w:pPr>
            <w:r w:rsidRPr="00CB50DD">
              <w:rPr>
                <w:sz w:val="20"/>
                <w:szCs w:val="20"/>
              </w:rPr>
              <w:t>424.80</w:t>
            </w:r>
          </w:p>
        </w:tc>
        <w:tc>
          <w:tcPr>
            <w:tcW w:w="2394" w:type="dxa"/>
            <w:shd w:val="clear" w:color="auto" w:fill="auto"/>
          </w:tcPr>
          <w:p w:rsidRPr="007244F5" w:rsidR="005C699E" w:rsidP="002A0C48" w:rsidRDefault="0034557A" w14:paraId="38FEFACE" w14:textId="77777777">
            <w:pPr>
              <w:rPr>
                <w:sz w:val="20"/>
                <w:szCs w:val="20"/>
              </w:rPr>
            </w:pPr>
            <w:r w:rsidRPr="00CB50DD">
              <w:rPr>
                <w:sz w:val="20"/>
                <w:szCs w:val="20"/>
              </w:rPr>
              <w:t>$</w:t>
            </w:r>
            <w:r w:rsidRPr="007244F5" w:rsidR="005C699E">
              <w:rPr>
                <w:sz w:val="20"/>
                <w:szCs w:val="20"/>
              </w:rPr>
              <w:t>136.44</w:t>
            </w:r>
          </w:p>
        </w:tc>
        <w:tc>
          <w:tcPr>
            <w:tcW w:w="1926" w:type="dxa"/>
            <w:shd w:val="clear" w:color="auto" w:fill="auto"/>
          </w:tcPr>
          <w:p w:rsidRPr="007244F5" w:rsidR="005C699E" w:rsidP="002A0C48" w:rsidRDefault="00B956E3" w14:paraId="28E87D6A" w14:textId="77777777">
            <w:pPr>
              <w:jc w:val="right"/>
              <w:rPr>
                <w:sz w:val="20"/>
                <w:szCs w:val="20"/>
              </w:rPr>
            </w:pPr>
            <w:r w:rsidRPr="00CB50DD">
              <w:rPr>
                <w:sz w:val="20"/>
                <w:szCs w:val="20"/>
              </w:rPr>
              <w:t>$57,959.71</w:t>
            </w:r>
          </w:p>
        </w:tc>
      </w:tr>
      <w:tr w:rsidRPr="007244F5" w:rsidR="003D04F6" w:rsidTr="00B86DFA" w14:paraId="69C3078A" w14:textId="77777777">
        <w:tc>
          <w:tcPr>
            <w:tcW w:w="2160" w:type="dxa"/>
            <w:shd w:val="clear" w:color="auto" w:fill="auto"/>
          </w:tcPr>
          <w:p w:rsidRPr="007244F5" w:rsidR="003D04F6" w:rsidP="002A0C48" w:rsidRDefault="003D04F6" w14:paraId="3C2EF10F" w14:textId="77777777">
            <w:pPr>
              <w:rPr>
                <w:sz w:val="20"/>
                <w:szCs w:val="20"/>
              </w:rPr>
            </w:pPr>
            <w:r w:rsidRPr="007244F5">
              <w:rPr>
                <w:sz w:val="20"/>
                <w:szCs w:val="20"/>
              </w:rPr>
              <w:t>Microbiologist</w:t>
            </w:r>
          </w:p>
        </w:tc>
        <w:tc>
          <w:tcPr>
            <w:tcW w:w="1800" w:type="dxa"/>
            <w:shd w:val="clear" w:color="auto" w:fill="auto"/>
          </w:tcPr>
          <w:p w:rsidRPr="007244F5" w:rsidR="003D04F6" w:rsidP="002A0C48" w:rsidRDefault="002F4141" w14:paraId="6FE2A516" w14:textId="77777777">
            <w:pPr>
              <w:rPr>
                <w:sz w:val="20"/>
                <w:szCs w:val="20"/>
              </w:rPr>
            </w:pPr>
            <w:r w:rsidRPr="007244F5">
              <w:rPr>
                <w:sz w:val="20"/>
                <w:szCs w:val="20"/>
              </w:rPr>
              <w:t>928</w:t>
            </w:r>
          </w:p>
        </w:tc>
        <w:tc>
          <w:tcPr>
            <w:tcW w:w="2394" w:type="dxa"/>
            <w:shd w:val="clear" w:color="auto" w:fill="auto"/>
          </w:tcPr>
          <w:p w:rsidRPr="007244F5" w:rsidR="003D04F6" w:rsidP="002A0C48" w:rsidRDefault="001A499F" w14:paraId="64E4389F" w14:textId="77777777">
            <w:pPr>
              <w:rPr>
                <w:sz w:val="20"/>
                <w:szCs w:val="20"/>
              </w:rPr>
            </w:pPr>
            <w:r w:rsidRPr="007244F5">
              <w:rPr>
                <w:sz w:val="20"/>
                <w:szCs w:val="20"/>
              </w:rPr>
              <w:t>$</w:t>
            </w:r>
            <w:r w:rsidRPr="007244F5" w:rsidR="00216306">
              <w:rPr>
                <w:sz w:val="20"/>
                <w:szCs w:val="20"/>
              </w:rPr>
              <w:t>75.38</w:t>
            </w:r>
          </w:p>
        </w:tc>
        <w:tc>
          <w:tcPr>
            <w:tcW w:w="1926" w:type="dxa"/>
            <w:shd w:val="clear" w:color="auto" w:fill="auto"/>
          </w:tcPr>
          <w:p w:rsidRPr="007244F5" w:rsidR="003D04F6" w:rsidP="002A0C48" w:rsidRDefault="00DD1CF5" w14:paraId="225D20E0" w14:textId="77777777">
            <w:pPr>
              <w:jc w:val="right"/>
              <w:rPr>
                <w:sz w:val="20"/>
                <w:szCs w:val="20"/>
              </w:rPr>
            </w:pPr>
            <w:r w:rsidRPr="007244F5">
              <w:rPr>
                <w:sz w:val="20"/>
                <w:szCs w:val="20"/>
              </w:rPr>
              <w:t>$</w:t>
            </w:r>
            <w:r w:rsidRPr="007244F5" w:rsidR="002F4141">
              <w:rPr>
                <w:sz w:val="20"/>
                <w:szCs w:val="20"/>
              </w:rPr>
              <w:t>69,952.64</w:t>
            </w:r>
          </w:p>
        </w:tc>
      </w:tr>
      <w:tr w:rsidRPr="007244F5" w:rsidR="00235FDE" w:rsidTr="00B86DFA" w14:paraId="3DF8ECA8" w14:textId="77777777">
        <w:tc>
          <w:tcPr>
            <w:tcW w:w="2160" w:type="dxa"/>
            <w:shd w:val="clear" w:color="auto" w:fill="auto"/>
          </w:tcPr>
          <w:p w:rsidRPr="007244F5" w:rsidR="00235FDE" w:rsidP="002A0C48" w:rsidRDefault="00235FDE" w14:paraId="7A0534FC" w14:textId="77777777">
            <w:pPr>
              <w:rPr>
                <w:sz w:val="20"/>
                <w:szCs w:val="20"/>
              </w:rPr>
            </w:pPr>
            <w:r w:rsidRPr="007244F5">
              <w:rPr>
                <w:sz w:val="20"/>
                <w:szCs w:val="20"/>
              </w:rPr>
              <w:t>Food Scientists and Technologist</w:t>
            </w:r>
          </w:p>
        </w:tc>
        <w:tc>
          <w:tcPr>
            <w:tcW w:w="1800" w:type="dxa"/>
            <w:shd w:val="clear" w:color="auto" w:fill="auto"/>
          </w:tcPr>
          <w:p w:rsidRPr="007244F5" w:rsidR="00235FDE" w:rsidP="002A0C48" w:rsidRDefault="002F4141" w14:paraId="34CEB16A" w14:textId="77777777">
            <w:pPr>
              <w:rPr>
                <w:sz w:val="20"/>
                <w:szCs w:val="20"/>
              </w:rPr>
            </w:pPr>
            <w:r w:rsidRPr="007244F5">
              <w:rPr>
                <w:sz w:val="20"/>
                <w:szCs w:val="20"/>
              </w:rPr>
              <w:t>25,845.85</w:t>
            </w:r>
          </w:p>
        </w:tc>
        <w:tc>
          <w:tcPr>
            <w:tcW w:w="2394" w:type="dxa"/>
            <w:shd w:val="clear" w:color="auto" w:fill="auto"/>
          </w:tcPr>
          <w:p w:rsidRPr="007244F5" w:rsidR="00235FDE" w:rsidP="002A0C48" w:rsidRDefault="00DD1CF5" w14:paraId="787911BC" w14:textId="77777777">
            <w:pPr>
              <w:rPr>
                <w:sz w:val="20"/>
                <w:szCs w:val="20"/>
              </w:rPr>
            </w:pPr>
            <w:r w:rsidRPr="007244F5">
              <w:rPr>
                <w:sz w:val="20"/>
                <w:szCs w:val="20"/>
              </w:rPr>
              <w:t>$</w:t>
            </w:r>
            <w:r w:rsidRPr="007244F5" w:rsidR="00216306">
              <w:rPr>
                <w:sz w:val="20"/>
                <w:szCs w:val="20"/>
              </w:rPr>
              <w:t>69.22</w:t>
            </w:r>
          </w:p>
        </w:tc>
        <w:tc>
          <w:tcPr>
            <w:tcW w:w="1926" w:type="dxa"/>
            <w:shd w:val="clear" w:color="auto" w:fill="auto"/>
          </w:tcPr>
          <w:p w:rsidRPr="007244F5" w:rsidR="00235FDE" w:rsidP="002A0C48" w:rsidRDefault="00DD1CF5" w14:paraId="57AA5E85" w14:textId="77777777">
            <w:pPr>
              <w:jc w:val="right"/>
              <w:rPr>
                <w:sz w:val="20"/>
                <w:szCs w:val="20"/>
              </w:rPr>
            </w:pPr>
            <w:r w:rsidRPr="007244F5">
              <w:rPr>
                <w:sz w:val="20"/>
                <w:szCs w:val="20"/>
              </w:rPr>
              <w:t>$</w:t>
            </w:r>
            <w:r w:rsidRPr="00CB50DD" w:rsidR="00753410">
              <w:rPr>
                <w:sz w:val="20"/>
                <w:szCs w:val="20"/>
              </w:rPr>
              <w:t>1,</w:t>
            </w:r>
            <w:r w:rsidRPr="007244F5" w:rsidR="002F4141">
              <w:rPr>
                <w:sz w:val="20"/>
                <w:szCs w:val="20"/>
              </w:rPr>
              <w:t>789</w:t>
            </w:r>
            <w:r w:rsidRPr="00CB50DD" w:rsidR="00753410">
              <w:rPr>
                <w:sz w:val="20"/>
                <w:szCs w:val="20"/>
              </w:rPr>
              <w:t>,</w:t>
            </w:r>
            <w:r w:rsidRPr="007244F5" w:rsidR="002F4141">
              <w:rPr>
                <w:sz w:val="20"/>
                <w:szCs w:val="20"/>
              </w:rPr>
              <w:t>049.74</w:t>
            </w:r>
          </w:p>
        </w:tc>
      </w:tr>
      <w:tr w:rsidRPr="007244F5" w:rsidR="003740BC" w:rsidTr="00B86DFA" w14:paraId="6F1ADE53" w14:textId="77777777">
        <w:tc>
          <w:tcPr>
            <w:tcW w:w="6354" w:type="dxa"/>
            <w:gridSpan w:val="3"/>
            <w:shd w:val="clear" w:color="auto" w:fill="auto"/>
          </w:tcPr>
          <w:p w:rsidRPr="007244F5" w:rsidR="003740BC" w:rsidP="002A0C48" w:rsidRDefault="003740BC" w14:paraId="119BC8CB" w14:textId="77777777">
            <w:pPr>
              <w:rPr>
                <w:b/>
                <w:sz w:val="20"/>
                <w:szCs w:val="20"/>
              </w:rPr>
            </w:pPr>
            <w:r w:rsidRPr="007244F5">
              <w:rPr>
                <w:b/>
                <w:sz w:val="20"/>
                <w:szCs w:val="20"/>
              </w:rPr>
              <w:t>Total</w:t>
            </w:r>
          </w:p>
        </w:tc>
        <w:tc>
          <w:tcPr>
            <w:tcW w:w="1926" w:type="dxa"/>
            <w:shd w:val="clear" w:color="auto" w:fill="auto"/>
          </w:tcPr>
          <w:p w:rsidRPr="007244F5" w:rsidR="003740BC" w:rsidP="002A0C48" w:rsidRDefault="00C06B2D" w14:paraId="2072CC78" w14:textId="77777777">
            <w:pPr>
              <w:jc w:val="right"/>
              <w:rPr>
                <w:b/>
                <w:sz w:val="20"/>
                <w:szCs w:val="20"/>
              </w:rPr>
            </w:pPr>
            <w:r w:rsidRPr="007244F5">
              <w:rPr>
                <w:b/>
                <w:sz w:val="20"/>
                <w:szCs w:val="20"/>
              </w:rPr>
              <w:t>$</w:t>
            </w:r>
            <w:r w:rsidRPr="00CB50DD" w:rsidR="00753410">
              <w:rPr>
                <w:b/>
                <w:sz w:val="20"/>
                <w:szCs w:val="20"/>
              </w:rPr>
              <w:t>1,</w:t>
            </w:r>
            <w:r w:rsidRPr="007244F5" w:rsidR="002F4141">
              <w:rPr>
                <w:b/>
                <w:sz w:val="20"/>
                <w:szCs w:val="20"/>
              </w:rPr>
              <w:t>916,962.09</w:t>
            </w:r>
          </w:p>
        </w:tc>
      </w:tr>
    </w:tbl>
    <w:p w:rsidR="003740BC" w:rsidP="002A0C48" w:rsidRDefault="003740BC" w14:paraId="74D001F9"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1D4F89" w:rsidR="005C699E" w:rsidTr="00041030" w14:paraId="77CEA701" w14:textId="77777777">
        <w:tc>
          <w:tcPr>
            <w:tcW w:w="8280" w:type="dxa"/>
            <w:gridSpan w:val="4"/>
            <w:shd w:val="clear" w:color="auto" w:fill="auto"/>
          </w:tcPr>
          <w:p w:rsidRPr="001D4F89" w:rsidR="005C699E" w:rsidP="002A0C48" w:rsidRDefault="005C699E" w14:paraId="6AE895FB" w14:textId="7E00E374">
            <w:pPr>
              <w:jc w:val="center"/>
              <w:rPr>
                <w:sz w:val="20"/>
                <w:szCs w:val="20"/>
              </w:rPr>
            </w:pPr>
            <w:r>
              <w:rPr>
                <w:sz w:val="20"/>
                <w:szCs w:val="20"/>
              </w:rPr>
              <w:t>Table 4</w:t>
            </w:r>
            <w:r w:rsidR="006F401F">
              <w:rPr>
                <w:sz w:val="20"/>
                <w:szCs w:val="20"/>
              </w:rPr>
              <w:t>--</w:t>
            </w:r>
            <w:r>
              <w:rPr>
                <w:sz w:val="20"/>
                <w:szCs w:val="20"/>
              </w:rPr>
              <w:t>Estimated Annual Recordkeeping Burden Cost</w:t>
            </w:r>
          </w:p>
        </w:tc>
      </w:tr>
      <w:tr w:rsidRPr="001D4F89" w:rsidR="005C699E" w:rsidTr="00041030" w14:paraId="7328876B" w14:textId="77777777">
        <w:tc>
          <w:tcPr>
            <w:tcW w:w="2160" w:type="dxa"/>
            <w:shd w:val="clear" w:color="auto" w:fill="auto"/>
          </w:tcPr>
          <w:p w:rsidRPr="001D4F89" w:rsidR="005C699E" w:rsidP="002A0C48" w:rsidRDefault="005C699E" w14:paraId="4DE9D610" w14:textId="77777777">
            <w:pPr>
              <w:rPr>
                <w:b/>
                <w:sz w:val="20"/>
                <w:szCs w:val="20"/>
              </w:rPr>
            </w:pPr>
            <w:r w:rsidRPr="001D4F89">
              <w:rPr>
                <w:b/>
                <w:sz w:val="20"/>
                <w:szCs w:val="20"/>
              </w:rPr>
              <w:t>Type of Respondent</w:t>
            </w:r>
          </w:p>
        </w:tc>
        <w:tc>
          <w:tcPr>
            <w:tcW w:w="1800" w:type="dxa"/>
            <w:shd w:val="clear" w:color="auto" w:fill="auto"/>
          </w:tcPr>
          <w:p w:rsidRPr="001D4F89" w:rsidR="005C699E" w:rsidP="002A0C48" w:rsidRDefault="005C699E" w14:paraId="1EC5F1AA" w14:textId="77777777">
            <w:pPr>
              <w:rPr>
                <w:b/>
                <w:sz w:val="20"/>
                <w:szCs w:val="20"/>
              </w:rPr>
            </w:pPr>
            <w:r w:rsidRPr="001D4F89">
              <w:rPr>
                <w:b/>
                <w:sz w:val="20"/>
                <w:szCs w:val="20"/>
              </w:rPr>
              <w:t>Total Burden Hours</w:t>
            </w:r>
          </w:p>
        </w:tc>
        <w:tc>
          <w:tcPr>
            <w:tcW w:w="2394" w:type="dxa"/>
            <w:shd w:val="clear" w:color="auto" w:fill="auto"/>
          </w:tcPr>
          <w:p w:rsidRPr="001D4F89" w:rsidR="005C699E" w:rsidP="002A0C48" w:rsidRDefault="005C699E" w14:paraId="2AD4D609" w14:textId="77777777">
            <w:pPr>
              <w:rPr>
                <w:b/>
                <w:sz w:val="20"/>
                <w:szCs w:val="20"/>
              </w:rPr>
            </w:pPr>
            <w:r w:rsidRPr="001D4F89">
              <w:rPr>
                <w:b/>
                <w:sz w:val="20"/>
                <w:szCs w:val="20"/>
              </w:rPr>
              <w:t>Hourly Wage Rate</w:t>
            </w:r>
          </w:p>
        </w:tc>
        <w:tc>
          <w:tcPr>
            <w:tcW w:w="1926" w:type="dxa"/>
            <w:shd w:val="clear" w:color="auto" w:fill="auto"/>
          </w:tcPr>
          <w:p w:rsidRPr="001D4F89" w:rsidR="005C699E" w:rsidP="002A0C48" w:rsidRDefault="005C699E" w14:paraId="4223D17D" w14:textId="77777777">
            <w:pPr>
              <w:rPr>
                <w:b/>
                <w:sz w:val="20"/>
                <w:szCs w:val="20"/>
              </w:rPr>
            </w:pPr>
            <w:r w:rsidRPr="001D4F89">
              <w:rPr>
                <w:b/>
                <w:sz w:val="20"/>
                <w:szCs w:val="20"/>
              </w:rPr>
              <w:t>Total Respondent Costs</w:t>
            </w:r>
          </w:p>
        </w:tc>
      </w:tr>
      <w:tr w:rsidRPr="001D4F89" w:rsidR="005C699E" w:rsidTr="00041030" w14:paraId="76264D0A" w14:textId="77777777">
        <w:tc>
          <w:tcPr>
            <w:tcW w:w="2160" w:type="dxa"/>
            <w:shd w:val="clear" w:color="auto" w:fill="auto"/>
          </w:tcPr>
          <w:p w:rsidRPr="001D4F89" w:rsidR="005C699E" w:rsidP="002A0C48" w:rsidRDefault="005C699E" w14:paraId="74DFF9FF" w14:textId="77777777">
            <w:pPr>
              <w:rPr>
                <w:sz w:val="20"/>
                <w:szCs w:val="20"/>
              </w:rPr>
            </w:pPr>
            <w:r w:rsidRPr="001D4F89">
              <w:rPr>
                <w:sz w:val="20"/>
                <w:szCs w:val="20"/>
              </w:rPr>
              <w:t>Microbiologist</w:t>
            </w:r>
          </w:p>
        </w:tc>
        <w:tc>
          <w:tcPr>
            <w:tcW w:w="1800" w:type="dxa"/>
            <w:shd w:val="clear" w:color="auto" w:fill="auto"/>
          </w:tcPr>
          <w:p w:rsidRPr="001D4F89" w:rsidR="005C699E" w:rsidP="002A0C48" w:rsidRDefault="00E0667B" w14:paraId="4F869BA7" w14:textId="77777777">
            <w:pPr>
              <w:rPr>
                <w:sz w:val="20"/>
                <w:szCs w:val="20"/>
              </w:rPr>
            </w:pPr>
            <w:r>
              <w:rPr>
                <w:sz w:val="20"/>
                <w:szCs w:val="20"/>
              </w:rPr>
              <w:t>108</w:t>
            </w:r>
          </w:p>
        </w:tc>
        <w:tc>
          <w:tcPr>
            <w:tcW w:w="2394" w:type="dxa"/>
            <w:shd w:val="clear" w:color="auto" w:fill="auto"/>
          </w:tcPr>
          <w:p w:rsidRPr="001D4F89" w:rsidR="005C699E" w:rsidP="002A0C48" w:rsidRDefault="005C699E" w14:paraId="7A0E44C9" w14:textId="77777777">
            <w:pPr>
              <w:rPr>
                <w:sz w:val="20"/>
                <w:szCs w:val="20"/>
              </w:rPr>
            </w:pPr>
            <w:r w:rsidRPr="001D4F89">
              <w:rPr>
                <w:sz w:val="20"/>
                <w:szCs w:val="20"/>
              </w:rPr>
              <w:t>$75.38</w:t>
            </w:r>
          </w:p>
        </w:tc>
        <w:tc>
          <w:tcPr>
            <w:tcW w:w="1926" w:type="dxa"/>
            <w:shd w:val="clear" w:color="auto" w:fill="auto"/>
          </w:tcPr>
          <w:p w:rsidRPr="001D4F89" w:rsidR="005C699E" w:rsidP="002A0C48" w:rsidRDefault="005C699E" w14:paraId="1071BB2C" w14:textId="77777777">
            <w:pPr>
              <w:jc w:val="right"/>
              <w:rPr>
                <w:sz w:val="20"/>
                <w:szCs w:val="20"/>
              </w:rPr>
            </w:pPr>
            <w:r w:rsidRPr="001D4F89">
              <w:rPr>
                <w:sz w:val="20"/>
                <w:szCs w:val="20"/>
              </w:rPr>
              <w:t>$</w:t>
            </w:r>
            <w:r w:rsidR="00E0667B">
              <w:rPr>
                <w:sz w:val="20"/>
                <w:szCs w:val="20"/>
              </w:rPr>
              <w:t>8,141.04</w:t>
            </w:r>
          </w:p>
        </w:tc>
      </w:tr>
      <w:tr w:rsidRPr="001D4F89" w:rsidR="005C699E" w:rsidTr="00041030" w14:paraId="2D8C2D87" w14:textId="77777777">
        <w:tc>
          <w:tcPr>
            <w:tcW w:w="2160" w:type="dxa"/>
            <w:shd w:val="clear" w:color="auto" w:fill="auto"/>
          </w:tcPr>
          <w:p w:rsidRPr="001D4F89" w:rsidR="005C699E" w:rsidP="002A0C48" w:rsidRDefault="005C699E" w14:paraId="36667278" w14:textId="77777777">
            <w:pPr>
              <w:rPr>
                <w:sz w:val="20"/>
                <w:szCs w:val="20"/>
              </w:rPr>
            </w:pPr>
            <w:r w:rsidRPr="001D4F89">
              <w:rPr>
                <w:sz w:val="20"/>
                <w:szCs w:val="20"/>
              </w:rPr>
              <w:t>Food Scientists and Technologist</w:t>
            </w:r>
          </w:p>
        </w:tc>
        <w:tc>
          <w:tcPr>
            <w:tcW w:w="1800" w:type="dxa"/>
            <w:shd w:val="clear" w:color="auto" w:fill="auto"/>
          </w:tcPr>
          <w:p w:rsidRPr="001D4F89" w:rsidR="005C699E" w:rsidP="002A0C48" w:rsidRDefault="00E0667B" w14:paraId="1342268F" w14:textId="77777777">
            <w:pPr>
              <w:rPr>
                <w:sz w:val="20"/>
                <w:szCs w:val="20"/>
              </w:rPr>
            </w:pPr>
            <w:r>
              <w:rPr>
                <w:sz w:val="20"/>
                <w:szCs w:val="20"/>
              </w:rPr>
              <w:t>4,447.63</w:t>
            </w:r>
          </w:p>
        </w:tc>
        <w:tc>
          <w:tcPr>
            <w:tcW w:w="2394" w:type="dxa"/>
            <w:shd w:val="clear" w:color="auto" w:fill="auto"/>
          </w:tcPr>
          <w:p w:rsidRPr="001D4F89" w:rsidR="005C699E" w:rsidP="002A0C48" w:rsidRDefault="005C699E" w14:paraId="6BCE01EE" w14:textId="77777777">
            <w:pPr>
              <w:rPr>
                <w:sz w:val="20"/>
                <w:szCs w:val="20"/>
              </w:rPr>
            </w:pPr>
            <w:r w:rsidRPr="001D4F89">
              <w:rPr>
                <w:sz w:val="20"/>
                <w:szCs w:val="20"/>
              </w:rPr>
              <w:t>$69.22</w:t>
            </w:r>
          </w:p>
        </w:tc>
        <w:tc>
          <w:tcPr>
            <w:tcW w:w="1926" w:type="dxa"/>
            <w:shd w:val="clear" w:color="auto" w:fill="auto"/>
          </w:tcPr>
          <w:p w:rsidRPr="001D4F89" w:rsidR="005C699E" w:rsidP="002A0C48" w:rsidRDefault="005C699E" w14:paraId="592CFA53" w14:textId="77777777">
            <w:pPr>
              <w:jc w:val="right"/>
              <w:rPr>
                <w:sz w:val="20"/>
                <w:szCs w:val="20"/>
              </w:rPr>
            </w:pPr>
            <w:r w:rsidRPr="001D4F89">
              <w:rPr>
                <w:sz w:val="20"/>
                <w:szCs w:val="20"/>
              </w:rPr>
              <w:t>$</w:t>
            </w:r>
            <w:r w:rsidR="00E0667B">
              <w:rPr>
                <w:sz w:val="20"/>
                <w:szCs w:val="20"/>
              </w:rPr>
              <w:t>3</w:t>
            </w:r>
            <w:r w:rsidR="008D0780">
              <w:rPr>
                <w:sz w:val="20"/>
                <w:szCs w:val="20"/>
              </w:rPr>
              <w:t>39,385.66</w:t>
            </w:r>
          </w:p>
        </w:tc>
      </w:tr>
      <w:tr w:rsidRPr="001D4F89" w:rsidR="005C699E" w:rsidTr="00041030" w14:paraId="2DE38716" w14:textId="77777777">
        <w:tc>
          <w:tcPr>
            <w:tcW w:w="6354" w:type="dxa"/>
            <w:gridSpan w:val="3"/>
            <w:shd w:val="clear" w:color="auto" w:fill="auto"/>
          </w:tcPr>
          <w:p w:rsidRPr="001D4F89" w:rsidR="005C699E" w:rsidP="002A0C48" w:rsidRDefault="005C699E" w14:paraId="75BB52AE" w14:textId="77777777">
            <w:pPr>
              <w:rPr>
                <w:b/>
                <w:sz w:val="20"/>
                <w:szCs w:val="20"/>
              </w:rPr>
            </w:pPr>
            <w:r w:rsidRPr="001D4F89">
              <w:rPr>
                <w:b/>
                <w:sz w:val="20"/>
                <w:szCs w:val="20"/>
              </w:rPr>
              <w:t>Total</w:t>
            </w:r>
          </w:p>
        </w:tc>
        <w:tc>
          <w:tcPr>
            <w:tcW w:w="1926" w:type="dxa"/>
            <w:shd w:val="clear" w:color="auto" w:fill="auto"/>
          </w:tcPr>
          <w:p w:rsidRPr="001D4F89" w:rsidR="005C699E" w:rsidP="002A0C48" w:rsidRDefault="005C699E" w14:paraId="2E5FD7B8" w14:textId="77777777">
            <w:pPr>
              <w:jc w:val="right"/>
              <w:rPr>
                <w:b/>
                <w:sz w:val="20"/>
                <w:szCs w:val="20"/>
              </w:rPr>
            </w:pPr>
            <w:r w:rsidRPr="001D4F89">
              <w:rPr>
                <w:b/>
                <w:sz w:val="20"/>
                <w:szCs w:val="20"/>
              </w:rPr>
              <w:t>$</w:t>
            </w:r>
            <w:r w:rsidR="00E0667B">
              <w:rPr>
                <w:b/>
                <w:sz w:val="20"/>
                <w:szCs w:val="20"/>
              </w:rPr>
              <w:t>3</w:t>
            </w:r>
            <w:r w:rsidR="008D0780">
              <w:rPr>
                <w:b/>
                <w:sz w:val="20"/>
                <w:szCs w:val="20"/>
              </w:rPr>
              <w:t>47,526.70</w:t>
            </w:r>
          </w:p>
        </w:tc>
      </w:tr>
    </w:tbl>
    <w:p w:rsidRPr="004C6979" w:rsidR="004C6979" w:rsidP="002A0C48" w:rsidRDefault="00EB7538" w14:paraId="0CC21749" w14:textId="77777777">
      <w:pPr>
        <w:numPr>
          <w:ilvl w:val="0"/>
          <w:numId w:val="1"/>
        </w:numPr>
        <w:tabs>
          <w:tab w:val="clear" w:pos="720"/>
        </w:tabs>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P="002A0C48" w:rsidRDefault="00350523" w14:paraId="0D03F928" w14:textId="77777777">
      <w:pPr>
        <w:ind w:left="720"/>
      </w:pPr>
      <w:r>
        <w:t>There are no capital, start-up, operating or maintenance costs associated with this information collection.</w:t>
      </w:r>
    </w:p>
    <w:p w:rsidRPr="004C6979" w:rsidR="004C6979" w:rsidP="002A0C48" w:rsidRDefault="00EB7538" w14:paraId="6C7A1865" w14:textId="77777777">
      <w:pPr>
        <w:numPr>
          <w:ilvl w:val="0"/>
          <w:numId w:val="1"/>
        </w:numPr>
        <w:tabs>
          <w:tab w:val="clear" w:pos="720"/>
        </w:tabs>
        <w:spacing w:before="100" w:beforeAutospacing="1" w:after="100" w:afterAutospacing="1"/>
        <w:rPr>
          <w:u w:val="single"/>
        </w:rPr>
      </w:pPr>
      <w:r w:rsidRPr="004C6979">
        <w:rPr>
          <w:u w:val="single"/>
        </w:rPr>
        <w:t>Annualized Cost to the Federal Government</w:t>
      </w:r>
    </w:p>
    <w:p w:rsidR="00930E67" w:rsidP="002A0C48" w:rsidRDefault="00BD052B" w14:paraId="2306C29E" w14:textId="6C8B449C">
      <w:pPr>
        <w:ind w:left="720"/>
      </w:pPr>
      <w:r>
        <w:t xml:space="preserve">For estimating the costs </w:t>
      </w:r>
      <w:r w:rsidR="00743B14">
        <w:t xml:space="preserve">to FDA that would be imposed by the proposed rule </w:t>
      </w:r>
      <w:r>
        <w:t xml:space="preserve">we use </w:t>
      </w:r>
      <w:r w:rsidR="00A6621F">
        <w:t xml:space="preserve">a </w:t>
      </w:r>
      <w:r>
        <w:t>fully loaded hourly wage of $11</w:t>
      </w:r>
      <w:r w:rsidR="005F6163">
        <w:t>6</w:t>
      </w:r>
      <w:r>
        <w:t>.</w:t>
      </w:r>
      <w:r w:rsidR="005F6163">
        <w:t>75</w:t>
      </w:r>
      <w:r>
        <w:t>, which is derived from the 201</w:t>
      </w:r>
      <w:r w:rsidR="00DE0279">
        <w:t>8</w:t>
      </w:r>
      <w:r>
        <w:t xml:space="preserve"> annual fully loaded salary for </w:t>
      </w:r>
      <w:r w:rsidR="008936EF">
        <w:t xml:space="preserve">agency </w:t>
      </w:r>
      <w:r w:rsidRPr="008936EF">
        <w:t>personnel</w:t>
      </w:r>
      <w:r>
        <w:t xml:space="preserve"> of $2</w:t>
      </w:r>
      <w:r w:rsidR="005F6163">
        <w:t>42,838</w:t>
      </w:r>
      <w:r>
        <w:t xml:space="preserve"> used by FDA for budgeting purposes.</w:t>
      </w:r>
      <w:r w:rsidR="007637EB">
        <w:t xml:space="preserve"> </w:t>
      </w:r>
      <w:r w:rsidR="004B6EF3">
        <w:t xml:space="preserve"> </w:t>
      </w:r>
      <w:r w:rsidR="00DE0279">
        <w:t>We estimate t</w:t>
      </w:r>
      <w:r>
        <w:t xml:space="preserve">he mean </w:t>
      </w:r>
      <w:r>
        <w:lastRenderedPageBreak/>
        <w:t>annualized cost to FDA</w:t>
      </w:r>
      <w:r w:rsidR="00743B14">
        <w:t xml:space="preserve"> imposed by the proposed rule</w:t>
      </w:r>
      <w:r>
        <w:t>, annualized at seven percent</w:t>
      </w:r>
      <w:r w:rsidR="00811CFC">
        <w:t xml:space="preserve"> over 10 years</w:t>
      </w:r>
      <w:r>
        <w:t>, to be $</w:t>
      </w:r>
      <w:r w:rsidR="005F6163">
        <w:t>1,</w:t>
      </w:r>
      <w:r w:rsidR="00B446E0">
        <w:t>308</w:t>
      </w:r>
      <w:r w:rsidR="005F6163">
        <w:t>,</w:t>
      </w:r>
      <w:r w:rsidR="00B446E0">
        <w:t>178</w:t>
      </w:r>
      <w:r w:rsidR="005F6163">
        <w:t>.0</w:t>
      </w:r>
      <w:r w:rsidR="00353DE9">
        <w:t>0</w:t>
      </w:r>
      <w:r>
        <w:t xml:space="preserve">. </w:t>
      </w:r>
    </w:p>
    <w:p w:rsidR="004C6979" w:rsidP="002A0C48" w:rsidRDefault="00EB7538" w14:paraId="5564FED7" w14:textId="77777777">
      <w:pPr>
        <w:numPr>
          <w:ilvl w:val="0"/>
          <w:numId w:val="1"/>
        </w:numPr>
        <w:tabs>
          <w:tab w:val="clear" w:pos="720"/>
        </w:tabs>
        <w:spacing w:before="100" w:beforeAutospacing="1" w:after="100" w:afterAutospacing="1"/>
        <w:rPr>
          <w:u w:val="single"/>
        </w:rPr>
      </w:pPr>
      <w:r w:rsidRPr="004C6979">
        <w:rPr>
          <w:u w:val="single"/>
        </w:rPr>
        <w:t>Explanation for Program Changes or Adjustments</w:t>
      </w:r>
    </w:p>
    <w:p w:rsidRPr="004C6979" w:rsidR="00D61559" w:rsidP="002A0C48" w:rsidRDefault="00D61559" w14:paraId="1E9156F9" w14:textId="77777777">
      <w:pPr>
        <w:spacing w:before="100" w:beforeAutospacing="1" w:after="100" w:afterAutospacing="1"/>
        <w:ind w:left="720"/>
        <w:rPr>
          <w:u w:val="single"/>
        </w:rPr>
      </w:pPr>
      <w:r>
        <w:t xml:space="preserve">This is a new </w:t>
      </w:r>
      <w:r w:rsidR="001351F7">
        <w:t>information collection request.</w:t>
      </w:r>
    </w:p>
    <w:p w:rsidRPr="004C6979" w:rsidR="004C6979" w:rsidP="002A0C48" w:rsidRDefault="00D61559" w14:paraId="48C25244" w14:textId="77777777">
      <w:pPr>
        <w:numPr>
          <w:ilvl w:val="0"/>
          <w:numId w:val="1"/>
        </w:numPr>
        <w:tabs>
          <w:tab w:val="clear" w:pos="720"/>
        </w:tabs>
        <w:spacing w:before="100" w:beforeAutospacing="1" w:after="100" w:afterAutospacing="1"/>
        <w:rPr>
          <w:u w:val="single"/>
        </w:rPr>
      </w:pPr>
      <w:r w:rsidRPr="007244F5">
        <w:rPr>
          <w:u w:val="single"/>
        </w:rPr>
        <w:t>P</w:t>
      </w:r>
      <w:r w:rsidRPr="004C6979" w:rsidR="00EB7538">
        <w:rPr>
          <w:u w:val="single"/>
        </w:rPr>
        <w:t>lans for Tabulation and Publication and Project Time Schedule</w:t>
      </w:r>
    </w:p>
    <w:p w:rsidR="003E4AC6" w:rsidP="002A0C48" w:rsidRDefault="001C279C" w14:paraId="61DAE34D" w14:textId="2CCD9E2D">
      <w:pPr>
        <w:ind w:left="720"/>
      </w:pPr>
      <w:r>
        <w:t xml:space="preserve">Upon implementation of </w:t>
      </w:r>
      <w:r w:rsidR="000C4F4C">
        <w:t xml:space="preserve">a </w:t>
      </w:r>
      <w:r w:rsidR="001D2BB1">
        <w:t xml:space="preserve">final rule, </w:t>
      </w:r>
      <w:r w:rsidR="0068103C">
        <w:t>and c</w:t>
      </w:r>
      <w:r w:rsidR="00914C3D">
        <w:t xml:space="preserve">onsistent with requirements </w:t>
      </w:r>
      <w:r w:rsidR="00161062">
        <w:t xml:space="preserve">set forth </w:t>
      </w:r>
      <w:r w:rsidR="00914C3D">
        <w:t>in section 422</w:t>
      </w:r>
      <w:r w:rsidR="00FB7B4F">
        <w:t>(a)(1)(</w:t>
      </w:r>
      <w:r w:rsidR="00F463CA">
        <w:t>B</w:t>
      </w:r>
      <w:r w:rsidR="00161062">
        <w:t>)</w:t>
      </w:r>
      <w:r w:rsidR="001D2BB1">
        <w:t xml:space="preserve"> </w:t>
      </w:r>
      <w:r w:rsidR="00090D17">
        <w:t xml:space="preserve">of the FD&amp;C Act </w:t>
      </w:r>
      <w:r w:rsidR="000C4F4C">
        <w:t xml:space="preserve">and proposed </w:t>
      </w:r>
      <w:r w:rsidR="006843E2">
        <w:t xml:space="preserve">21 CFR </w:t>
      </w:r>
      <w:r w:rsidR="000C4F4C">
        <w:t>1.1109</w:t>
      </w:r>
      <w:r w:rsidR="00161062">
        <w:t xml:space="preserve">, </w:t>
      </w:r>
      <w:r w:rsidR="003E4AC6">
        <w:t>FDA will make available on its website a publicly available registry of recognized accreditation bodies and accredited laboratories.</w:t>
      </w:r>
    </w:p>
    <w:p w:rsidRPr="004B6DFD" w:rsidR="00EC34A6" w:rsidP="002A0C48" w:rsidRDefault="00EB7538" w14:paraId="7A479312" w14:textId="149B2C9A">
      <w:pPr>
        <w:numPr>
          <w:ilvl w:val="0"/>
          <w:numId w:val="1"/>
        </w:numPr>
        <w:tabs>
          <w:tab w:val="clear" w:pos="720"/>
        </w:tabs>
        <w:spacing w:before="100" w:beforeAutospacing="1" w:after="100" w:afterAutospacing="1"/>
        <w:rPr>
          <w:u w:val="single"/>
        </w:rPr>
      </w:pPr>
      <w:r w:rsidRPr="004C6979">
        <w:rPr>
          <w:u w:val="single"/>
        </w:rPr>
        <w:t>Reason(s) Display of OMB Expiration Date is Inappropriate</w:t>
      </w:r>
    </w:p>
    <w:p w:rsidR="00555AF1" w:rsidP="002A0C48" w:rsidRDefault="00555AF1" w14:paraId="7CC1AD41" w14:textId="62466102">
      <w:pPr>
        <w:ind w:left="720"/>
      </w:pPr>
      <w:r>
        <w:t>As described above</w:t>
      </w:r>
      <w:r w:rsidR="00390C77">
        <w:t xml:space="preserve"> in Question 3</w:t>
      </w:r>
      <w:r>
        <w:t xml:space="preserve">, upon implementation of a final rule, respondents will need to electronically maintain and submit certain test results, reports, notifications, and other records to FDA.  The OMB control number and expiration date will be displayed in connection with the information technology components </w:t>
      </w:r>
      <w:r w:rsidR="009C6548">
        <w:t xml:space="preserve">(e.g., submission forms, website) </w:t>
      </w:r>
      <w:r>
        <w:t>used to implement this program.</w:t>
      </w:r>
    </w:p>
    <w:p w:rsidR="00555AF1" w:rsidP="002A0C48" w:rsidRDefault="00555AF1" w14:paraId="0F3D069D" w14:textId="33337181">
      <w:pPr>
        <w:ind w:left="720"/>
      </w:pPr>
    </w:p>
    <w:p w:rsidR="00555AF1" w:rsidP="002A0C48" w:rsidRDefault="00555AF1" w14:paraId="57962BBE" w14:textId="24768E17">
      <w:pPr>
        <w:ind w:left="720"/>
      </w:pPr>
      <w:r>
        <w:t xml:space="preserve">However, the proposed regulations </w:t>
      </w:r>
      <w:r w:rsidR="009C6548">
        <w:t>also seek to incorporate</w:t>
      </w:r>
      <w:r>
        <w:t xml:space="preserve"> proprietary standards, and the OMB control number and expiration date would not appear on those </w:t>
      </w:r>
      <w:r w:rsidR="009C6548">
        <w:t>documents themselves</w:t>
      </w:r>
      <w:r>
        <w:t>.  We explain in further detail below which standards will be incorporated by reference, as well as FDA’s work to ensure public availability of these standards during the comment period.</w:t>
      </w:r>
    </w:p>
    <w:p w:rsidR="00555AF1" w:rsidP="002A0C48" w:rsidRDefault="00555AF1" w14:paraId="6A3CE2AA" w14:textId="77777777">
      <w:pPr>
        <w:ind w:left="720"/>
      </w:pPr>
    </w:p>
    <w:p w:rsidR="0067166E" w:rsidP="002A0C48" w:rsidRDefault="000F6EE0" w14:paraId="43309EFE" w14:textId="7BABDD1B">
      <w:pPr>
        <w:ind w:left="720"/>
      </w:pPr>
      <w:r>
        <w:t xml:space="preserve">If finalized, the </w:t>
      </w:r>
      <w:r w:rsidR="00DE665A">
        <w:t xml:space="preserve">regulations </w:t>
      </w:r>
      <w:r>
        <w:t xml:space="preserve">will </w:t>
      </w:r>
      <w:r w:rsidR="00DE665A">
        <w:t>incorporate by reference</w:t>
      </w:r>
      <w:r w:rsidR="009432C2">
        <w:t xml:space="preserve"> </w:t>
      </w:r>
      <w:r w:rsidR="004C0F73">
        <w:t xml:space="preserve">the following </w:t>
      </w:r>
      <w:r w:rsidR="00F061D9">
        <w:t>p</w:t>
      </w:r>
      <w:r w:rsidR="00334674">
        <w:t>ropriet</w:t>
      </w:r>
      <w:r w:rsidR="009E6A65">
        <w:t>a</w:t>
      </w:r>
      <w:r w:rsidR="00334674">
        <w:t>ry standard(s)</w:t>
      </w:r>
      <w:r w:rsidR="004C0F73">
        <w:t>:</w:t>
      </w:r>
      <w:r w:rsidR="009E6A65">
        <w:t xml:space="preserve"> </w:t>
      </w:r>
    </w:p>
    <w:p w:rsidR="0067166E" w:rsidP="002A0C48" w:rsidRDefault="0067166E" w14:paraId="126C023A" w14:textId="77777777">
      <w:pPr>
        <w:ind w:left="720"/>
      </w:pPr>
    </w:p>
    <w:p w:rsidR="0067166E" w:rsidP="002A0C48" w:rsidRDefault="0067166E" w14:paraId="6D703717" w14:textId="3CFB3FFB">
      <w:pPr>
        <w:numPr>
          <w:ilvl w:val="0"/>
          <w:numId w:val="57"/>
        </w:numPr>
        <w:tabs>
          <w:tab w:val="clear" w:pos="720"/>
        </w:tabs>
        <w:ind w:left="1080"/>
      </w:pPr>
      <w:r w:rsidRPr="0067166E">
        <w:t>ISO/ IEC 17011:2017, “</w:t>
      </w:r>
      <w:r w:rsidRPr="0067166E">
        <w:rPr>
          <w:i/>
          <w:iCs/>
        </w:rPr>
        <w:t>Conformity Assessment--Requirements for Accreditation Bodies Accrediting Conformity Assessment Bodies</w:t>
      </w:r>
      <w:r w:rsidRPr="0067166E">
        <w:t>,” Second edition, November 2017</w:t>
      </w:r>
      <w:r w:rsidR="004A00A2">
        <w:t>;</w:t>
      </w:r>
      <w:r w:rsidRPr="0067166E">
        <w:t xml:space="preserve"> and</w:t>
      </w:r>
    </w:p>
    <w:p w:rsidRPr="0067166E" w:rsidR="004A00A2" w:rsidP="002A0C48" w:rsidRDefault="004A00A2" w14:paraId="0DD25E12" w14:textId="77777777">
      <w:pPr>
        <w:ind w:left="1080"/>
      </w:pPr>
    </w:p>
    <w:p w:rsidRPr="0067166E" w:rsidR="0067166E" w:rsidP="002A0C48" w:rsidRDefault="0067166E" w14:paraId="04FE63AC" w14:textId="77777777">
      <w:pPr>
        <w:numPr>
          <w:ilvl w:val="0"/>
          <w:numId w:val="57"/>
        </w:numPr>
        <w:tabs>
          <w:tab w:val="clear" w:pos="720"/>
        </w:tabs>
        <w:ind w:left="1080"/>
      </w:pPr>
      <w:r w:rsidRPr="0067166E">
        <w:t>ISO/IEC 17025:2017, “</w:t>
      </w:r>
      <w:r w:rsidRPr="0067166E">
        <w:rPr>
          <w:i/>
          <w:iCs/>
        </w:rPr>
        <w:t>General Requirements for the Competence of Testing and Calibration Laboratories</w:t>
      </w:r>
      <w:r w:rsidRPr="0067166E">
        <w:t>,” Third edition, November 2017.</w:t>
      </w:r>
    </w:p>
    <w:p w:rsidR="0087481A" w:rsidP="002A0C48" w:rsidRDefault="0087481A" w14:paraId="4A9AD598" w14:textId="77777777">
      <w:pPr>
        <w:ind w:left="720"/>
      </w:pPr>
    </w:p>
    <w:p w:rsidR="00BE6ECF" w:rsidP="002A0C48" w:rsidRDefault="00BC730D" w14:paraId="1F438661" w14:textId="1BE01BA3">
      <w:pPr>
        <w:ind w:left="720"/>
      </w:pPr>
      <w:r>
        <w:t>During the comment period, we made these standards avai</w:t>
      </w:r>
      <w:r w:rsidR="00BE6ECF">
        <w:t>lable via the following</w:t>
      </w:r>
      <w:r w:rsidR="00260B75">
        <w:t xml:space="preserve"> sources</w:t>
      </w:r>
      <w:r w:rsidR="00BE6ECF">
        <w:t>:</w:t>
      </w:r>
    </w:p>
    <w:p w:rsidR="00BE6ECF" w:rsidP="002A0C48" w:rsidRDefault="00BE6ECF" w14:paraId="624B5918" w14:textId="77777777">
      <w:pPr>
        <w:ind w:left="720"/>
      </w:pPr>
    </w:p>
    <w:p w:rsidR="00260B75" w:rsidP="00197E0C" w:rsidRDefault="000C0438" w14:paraId="76706929" w14:textId="77777777">
      <w:pPr>
        <w:pStyle w:val="ListParagraph"/>
        <w:numPr>
          <w:ilvl w:val="0"/>
          <w:numId w:val="53"/>
        </w:numPr>
      </w:pPr>
      <w:r>
        <w:t xml:space="preserve">The American National Standards Institute (ANSI), a private non-profit organization that supports the U.S. voluntary standards and conformity assessment system has created a </w:t>
      </w:r>
      <w:r w:rsidR="003A21CE">
        <w:t xml:space="preserve">link </w:t>
      </w:r>
      <w:r>
        <w:t>where ISO/IEC 17011:2017 and ISO/IEC 17025:2017 are available to view free of charge during the comment period.</w:t>
      </w:r>
      <w:r w:rsidR="00CC3FB6">
        <w:t xml:space="preserve">  This link is available from our website at:  </w:t>
      </w:r>
      <w:hyperlink w:history="1" r:id="rId10">
        <w:r w:rsidRPr="007E0A0B" w:rsidR="00CC3FB6">
          <w:rPr>
            <w:rStyle w:val="Hyperlink"/>
          </w:rPr>
          <w:t>https://www.surveymonkey.com/r/KFJMZ67</w:t>
        </w:r>
      </w:hyperlink>
      <w:r w:rsidR="00CC3FB6">
        <w:t>.</w:t>
      </w:r>
      <w:r w:rsidR="002B1ADA">
        <w:t xml:space="preserve">  </w:t>
      </w:r>
      <w:r>
        <w:t>Users will need to register to view these documents</w:t>
      </w:r>
      <w:r w:rsidR="003F1428">
        <w:t>; and t</w:t>
      </w:r>
      <w:r>
        <w:t xml:space="preserve">o return to the documents users may access </w:t>
      </w:r>
      <w:r w:rsidR="00C5580F">
        <w:t xml:space="preserve">the ANSI website </w:t>
      </w:r>
      <w:r>
        <w:t>directly and use the log-in information developed during registration</w:t>
      </w:r>
      <w:r w:rsidR="007404F8">
        <w:t>.</w:t>
      </w:r>
      <w:r w:rsidR="00A31457">
        <w:t xml:space="preserve">  </w:t>
      </w:r>
    </w:p>
    <w:p w:rsidR="00260B75" w:rsidP="002A0C48" w:rsidRDefault="00260B75" w14:paraId="185394F9" w14:textId="77777777">
      <w:pPr>
        <w:ind w:left="720"/>
      </w:pPr>
      <w:bookmarkStart w:name="_GoBack" w:id="0"/>
      <w:bookmarkEnd w:id="0"/>
    </w:p>
    <w:p w:rsidR="00260B75" w:rsidP="00197E0C" w:rsidRDefault="000C0438" w14:paraId="25BBEA73" w14:textId="77777777">
      <w:pPr>
        <w:pStyle w:val="ListParagraph"/>
        <w:numPr>
          <w:ilvl w:val="0"/>
          <w:numId w:val="53"/>
        </w:numPr>
      </w:pPr>
      <w:r>
        <w:lastRenderedPageBreak/>
        <w:t xml:space="preserve">The standards can </w:t>
      </w:r>
      <w:r w:rsidR="00C5580F">
        <w:t xml:space="preserve">also </w:t>
      </w:r>
      <w:r>
        <w:t>be accessed at the National Archives and Records Administration (NARA) or at Dockets Management Staff at FDA.</w:t>
      </w:r>
      <w:r w:rsidR="00C5580F">
        <w:t xml:space="preserve">  </w:t>
      </w:r>
      <w:r>
        <w:t>For information on the availability of this material at NARA, call 202-741-6030 or visit at the NARA website</w:t>
      </w:r>
      <w:r w:rsidR="003F1428">
        <w:t xml:space="preserve"> at </w:t>
      </w:r>
      <w:hyperlink w:history="1" r:id="rId11">
        <w:r w:rsidRPr="007E0A0B" w:rsidR="00B91901">
          <w:rPr>
            <w:rStyle w:val="Hyperlink"/>
          </w:rPr>
          <w:t>www.archives.gov</w:t>
        </w:r>
      </w:hyperlink>
      <w:r w:rsidR="00B91901">
        <w:t>.</w:t>
      </w:r>
      <w:r w:rsidR="00A31457">
        <w:t xml:space="preserve">  </w:t>
      </w:r>
    </w:p>
    <w:p w:rsidR="00C50B2A" w:rsidP="002A0C48" w:rsidRDefault="00C50B2A" w14:paraId="40ABD161" w14:textId="77777777">
      <w:pPr>
        <w:ind w:left="720"/>
      </w:pPr>
    </w:p>
    <w:p w:rsidR="000C0438" w:rsidP="00197E0C" w:rsidRDefault="00A25E3E" w14:paraId="337F18E4" w14:textId="7FD244F1">
      <w:pPr>
        <w:pStyle w:val="ListParagraph"/>
        <w:numPr>
          <w:ilvl w:val="0"/>
          <w:numId w:val="53"/>
        </w:numPr>
      </w:pPr>
      <w:r>
        <w:t>Finally, c</w:t>
      </w:r>
      <w:r w:rsidR="000C0438">
        <w:t>opies of the standards may be purchased from ISO or from IEC</w:t>
      </w:r>
      <w:r>
        <w:t xml:space="preserve"> or </w:t>
      </w:r>
      <w:r w:rsidR="000C0438">
        <w:t>from any other source from which the user is assured that the copy to be received is an accurate and current version of the standard.</w:t>
      </w:r>
    </w:p>
    <w:p w:rsidR="00EB7538" w:rsidP="002A0C48" w:rsidRDefault="00EB7538" w14:paraId="71CAB242" w14:textId="77777777">
      <w:pPr>
        <w:numPr>
          <w:ilvl w:val="0"/>
          <w:numId w:val="1"/>
        </w:numPr>
        <w:tabs>
          <w:tab w:val="clear" w:pos="720"/>
        </w:tabs>
        <w:spacing w:before="100" w:beforeAutospacing="1" w:after="100" w:afterAutospacing="1"/>
        <w:rPr>
          <w:u w:val="single"/>
        </w:rPr>
      </w:pPr>
      <w:r w:rsidRPr="004C6979">
        <w:rPr>
          <w:u w:val="single"/>
        </w:rPr>
        <w:t>Exceptions to Certification for Paperwork Reduction Act Submissions</w:t>
      </w:r>
    </w:p>
    <w:p w:rsidRPr="004C6979" w:rsidR="002746DB" w:rsidP="002A0C48" w:rsidRDefault="00132A71" w14:paraId="08257CE0" w14:textId="77777777">
      <w:pPr>
        <w:spacing w:before="100" w:beforeAutospacing="1" w:after="100" w:afterAutospacing="1"/>
        <w:ind w:firstLine="720"/>
        <w:rPr>
          <w:b/>
        </w:rPr>
      </w:pPr>
      <w:r>
        <w:t>There are no exceptions to the certification.</w:t>
      </w:r>
    </w:p>
    <w:sectPr w:rsidRPr="004C6979" w:rsidR="002746DB" w:rsidSect="007F7E35">
      <w:footerReference w:type="even" r:id="rId12"/>
      <w:footerReference w:type="default" r:id="rId13"/>
      <w:pgSz w:w="12240" w:h="15840" w:code="1"/>
      <w:pgMar w:top="1440" w:right="1296"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475A" w14:textId="77777777" w:rsidR="005C1539" w:rsidRDefault="005C1539">
      <w:r>
        <w:separator/>
      </w:r>
    </w:p>
  </w:endnote>
  <w:endnote w:type="continuationSeparator" w:id="0">
    <w:p w14:paraId="2F90E257" w14:textId="77777777" w:rsidR="005C1539" w:rsidRDefault="005C1539">
      <w:r>
        <w:continuationSeparator/>
      </w:r>
    </w:p>
  </w:endnote>
  <w:endnote w:type="continuationNotice" w:id="1">
    <w:p w14:paraId="381AD85D" w14:textId="77777777" w:rsidR="005C1539" w:rsidRDefault="005C1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7C2D" w14:textId="77777777" w:rsidR="00512789" w:rsidRDefault="0051278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4F9534" w14:textId="77777777" w:rsidR="00512789" w:rsidRDefault="0051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2C6F" w14:textId="77777777" w:rsidR="00512789" w:rsidRDefault="00512789"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40F1">
      <w:rPr>
        <w:rStyle w:val="PageNumber"/>
        <w:noProof/>
      </w:rPr>
      <w:t>12</w:t>
    </w:r>
    <w:r>
      <w:rPr>
        <w:rStyle w:val="PageNumber"/>
      </w:rPr>
      <w:fldChar w:fldCharType="end"/>
    </w:r>
  </w:p>
  <w:p w14:paraId="7AF247FB" w14:textId="77777777" w:rsidR="00512789" w:rsidRDefault="0051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0B21C" w14:textId="77777777" w:rsidR="005C1539" w:rsidRDefault="005C1539">
      <w:r>
        <w:separator/>
      </w:r>
    </w:p>
  </w:footnote>
  <w:footnote w:type="continuationSeparator" w:id="0">
    <w:p w14:paraId="5FBB8936" w14:textId="77777777" w:rsidR="005C1539" w:rsidRDefault="005C1539">
      <w:r>
        <w:continuationSeparator/>
      </w:r>
    </w:p>
  </w:footnote>
  <w:footnote w:type="continuationNotice" w:id="1">
    <w:p w14:paraId="63F76BC2" w14:textId="77777777" w:rsidR="005C1539" w:rsidRDefault="005C1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4945206"/>
    <w:multiLevelType w:val="hybridMultilevel"/>
    <w:tmpl w:val="0CFED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20BFA"/>
    <w:multiLevelType w:val="hybridMultilevel"/>
    <w:tmpl w:val="3450492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ED6575"/>
    <w:multiLevelType w:val="hybridMultilevel"/>
    <w:tmpl w:val="1292BF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77157EF"/>
    <w:multiLevelType w:val="hybridMultilevel"/>
    <w:tmpl w:val="ABC400BA"/>
    <w:lvl w:ilvl="0" w:tplc="3A180F6A">
      <w:start w:val="1"/>
      <w:numFmt w:val="upperLetter"/>
      <w:pStyle w:val="Heading2"/>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4D4A06"/>
    <w:multiLevelType w:val="hybridMultilevel"/>
    <w:tmpl w:val="116E1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811088"/>
    <w:multiLevelType w:val="hybridMultilevel"/>
    <w:tmpl w:val="CADE4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935420"/>
    <w:multiLevelType w:val="multilevel"/>
    <w:tmpl w:val="3604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623B9A"/>
    <w:multiLevelType w:val="hybridMultilevel"/>
    <w:tmpl w:val="AB50C1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82E5952"/>
    <w:multiLevelType w:val="hybridMultilevel"/>
    <w:tmpl w:val="3EEAE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7E1B52"/>
    <w:multiLevelType w:val="hybridMultilevel"/>
    <w:tmpl w:val="9AA88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594495"/>
    <w:multiLevelType w:val="hybridMultilevel"/>
    <w:tmpl w:val="F306B620"/>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A01E43"/>
    <w:multiLevelType w:val="hybridMultilevel"/>
    <w:tmpl w:val="35182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45" w15:restartNumberingAfterBreak="0">
    <w:nsid w:val="70DC063A"/>
    <w:multiLevelType w:val="hybridMultilevel"/>
    <w:tmpl w:val="403C8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87168E8"/>
    <w:multiLevelType w:val="hybridMultilevel"/>
    <w:tmpl w:val="D0DA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D1010E7"/>
    <w:multiLevelType w:val="hybridMultilevel"/>
    <w:tmpl w:val="E59E9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35"/>
  </w:num>
  <w:num w:numId="5">
    <w:abstractNumId w:val="12"/>
  </w:num>
  <w:num w:numId="6">
    <w:abstractNumId w:val="39"/>
  </w:num>
  <w:num w:numId="7">
    <w:abstractNumId w:val="47"/>
  </w:num>
  <w:num w:numId="8">
    <w:abstractNumId w:val="8"/>
  </w:num>
  <w:num w:numId="9">
    <w:abstractNumId w:val="40"/>
  </w:num>
  <w:num w:numId="10">
    <w:abstractNumId w:val="34"/>
  </w:num>
  <w:num w:numId="11">
    <w:abstractNumId w:val="14"/>
  </w:num>
  <w:num w:numId="12">
    <w:abstractNumId w:val="51"/>
  </w:num>
  <w:num w:numId="13">
    <w:abstractNumId w:val="31"/>
  </w:num>
  <w:num w:numId="14">
    <w:abstractNumId w:val="13"/>
  </w:num>
  <w:num w:numId="15">
    <w:abstractNumId w:val="25"/>
  </w:num>
  <w:num w:numId="16">
    <w:abstractNumId w:val="23"/>
  </w:num>
  <w:num w:numId="17">
    <w:abstractNumId w:val="46"/>
  </w:num>
  <w:num w:numId="18">
    <w:abstractNumId w:val="50"/>
  </w:num>
  <w:num w:numId="19">
    <w:abstractNumId w:val="48"/>
  </w:num>
  <w:num w:numId="20">
    <w:abstractNumId w:val="30"/>
  </w:num>
  <w:num w:numId="21">
    <w:abstractNumId w:val="22"/>
  </w:num>
  <w:num w:numId="22">
    <w:abstractNumId w:val="7"/>
  </w:num>
  <w:num w:numId="23">
    <w:abstractNumId w:val="43"/>
  </w:num>
  <w:num w:numId="24">
    <w:abstractNumId w:val="36"/>
  </w:num>
  <w:num w:numId="25">
    <w:abstractNumId w:val="18"/>
  </w:num>
  <w:num w:numId="26">
    <w:abstractNumId w:val="11"/>
  </w:num>
  <w:num w:numId="27">
    <w:abstractNumId w:val="54"/>
  </w:num>
  <w:num w:numId="28">
    <w:abstractNumId w:val="44"/>
  </w:num>
  <w:num w:numId="29">
    <w:abstractNumId w:val="10"/>
  </w:num>
  <w:num w:numId="30">
    <w:abstractNumId w:val="29"/>
  </w:num>
  <w:num w:numId="31">
    <w:abstractNumId w:val="5"/>
  </w:num>
  <w:num w:numId="32">
    <w:abstractNumId w:val="1"/>
  </w:num>
  <w:num w:numId="33">
    <w:abstractNumId w:val="33"/>
  </w:num>
  <w:num w:numId="34">
    <w:abstractNumId w:val="49"/>
  </w:num>
  <w:num w:numId="35">
    <w:abstractNumId w:val="19"/>
  </w:num>
  <w:num w:numId="36">
    <w:abstractNumId w:val="41"/>
  </w:num>
  <w:num w:numId="37">
    <w:abstractNumId w:val="15"/>
  </w:num>
  <w:num w:numId="38">
    <w:abstractNumId w:val="37"/>
  </w:num>
  <w:num w:numId="39">
    <w:abstractNumId w:val="42"/>
  </w:num>
  <w:num w:numId="40">
    <w:abstractNumId w:val="4"/>
  </w:num>
  <w:num w:numId="41">
    <w:abstractNumId w:val="6"/>
  </w:num>
  <w:num w:numId="42">
    <w:abstractNumId w:val="53"/>
  </w:num>
  <w:num w:numId="43">
    <w:abstractNumId w:val="17"/>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32"/>
  </w:num>
  <w:num w:numId="46">
    <w:abstractNumId w:val="24"/>
  </w:num>
  <w:num w:numId="47">
    <w:abstractNumId w:val="45"/>
  </w:num>
  <w:num w:numId="48">
    <w:abstractNumId w:val="52"/>
  </w:num>
  <w:num w:numId="49">
    <w:abstractNumId w:val="26"/>
  </w:num>
  <w:num w:numId="50">
    <w:abstractNumId w:val="3"/>
  </w:num>
  <w:num w:numId="51">
    <w:abstractNumId w:val="27"/>
  </w:num>
  <w:num w:numId="52">
    <w:abstractNumId w:val="20"/>
  </w:num>
  <w:num w:numId="53">
    <w:abstractNumId w:val="38"/>
  </w:num>
  <w:num w:numId="54">
    <w:abstractNumId w:val="9"/>
  </w:num>
  <w:num w:numId="55">
    <w:abstractNumId w:val="9"/>
    <w:lvlOverride w:ilvl="0">
      <w:startOverride w:val="1"/>
    </w:lvlOverride>
  </w:num>
  <w:num w:numId="56">
    <w:abstractNumId w:val="2"/>
  </w:num>
  <w:num w:numId="57">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164A"/>
    <w:rsid w:val="00001B93"/>
    <w:rsid w:val="00001DA1"/>
    <w:rsid w:val="00004993"/>
    <w:rsid w:val="0000629E"/>
    <w:rsid w:val="00007C24"/>
    <w:rsid w:val="00010377"/>
    <w:rsid w:val="000115E7"/>
    <w:rsid w:val="00012760"/>
    <w:rsid w:val="0001345E"/>
    <w:rsid w:val="000139BB"/>
    <w:rsid w:val="000167E8"/>
    <w:rsid w:val="00017466"/>
    <w:rsid w:val="00017580"/>
    <w:rsid w:val="0001768C"/>
    <w:rsid w:val="00021D1D"/>
    <w:rsid w:val="00021DD5"/>
    <w:rsid w:val="00022BB1"/>
    <w:rsid w:val="00023CA8"/>
    <w:rsid w:val="00023D43"/>
    <w:rsid w:val="00024F26"/>
    <w:rsid w:val="0002594C"/>
    <w:rsid w:val="00025D1C"/>
    <w:rsid w:val="000262ED"/>
    <w:rsid w:val="00026CDB"/>
    <w:rsid w:val="00030445"/>
    <w:rsid w:val="00030E19"/>
    <w:rsid w:val="0003172D"/>
    <w:rsid w:val="00031A2C"/>
    <w:rsid w:val="00032EBA"/>
    <w:rsid w:val="00033340"/>
    <w:rsid w:val="000359AB"/>
    <w:rsid w:val="00035F90"/>
    <w:rsid w:val="000364CB"/>
    <w:rsid w:val="000409AD"/>
    <w:rsid w:val="00040B0B"/>
    <w:rsid w:val="00041030"/>
    <w:rsid w:val="00042002"/>
    <w:rsid w:val="000424B3"/>
    <w:rsid w:val="0004336F"/>
    <w:rsid w:val="000434F1"/>
    <w:rsid w:val="0004365A"/>
    <w:rsid w:val="0004374C"/>
    <w:rsid w:val="00043921"/>
    <w:rsid w:val="00043C7F"/>
    <w:rsid w:val="00043E99"/>
    <w:rsid w:val="00044F6A"/>
    <w:rsid w:val="00046C5F"/>
    <w:rsid w:val="00046DAB"/>
    <w:rsid w:val="00047457"/>
    <w:rsid w:val="000477AA"/>
    <w:rsid w:val="0005132B"/>
    <w:rsid w:val="00051C4B"/>
    <w:rsid w:val="000530C2"/>
    <w:rsid w:val="00054B3A"/>
    <w:rsid w:val="000557FC"/>
    <w:rsid w:val="00057474"/>
    <w:rsid w:val="00060E3C"/>
    <w:rsid w:val="00062681"/>
    <w:rsid w:val="00062E3F"/>
    <w:rsid w:val="00063323"/>
    <w:rsid w:val="0006349D"/>
    <w:rsid w:val="000640E4"/>
    <w:rsid w:val="000650B6"/>
    <w:rsid w:val="0006570F"/>
    <w:rsid w:val="00066C50"/>
    <w:rsid w:val="000701AB"/>
    <w:rsid w:val="00071D3F"/>
    <w:rsid w:val="0007375F"/>
    <w:rsid w:val="00073C17"/>
    <w:rsid w:val="0007484C"/>
    <w:rsid w:val="00075B27"/>
    <w:rsid w:val="00075DE8"/>
    <w:rsid w:val="00076496"/>
    <w:rsid w:val="00077793"/>
    <w:rsid w:val="00077933"/>
    <w:rsid w:val="00077E80"/>
    <w:rsid w:val="00080A1D"/>
    <w:rsid w:val="00080D16"/>
    <w:rsid w:val="00081F69"/>
    <w:rsid w:val="00082E1B"/>
    <w:rsid w:val="00085026"/>
    <w:rsid w:val="0008689E"/>
    <w:rsid w:val="00086D6C"/>
    <w:rsid w:val="000905C8"/>
    <w:rsid w:val="00090742"/>
    <w:rsid w:val="00090D17"/>
    <w:rsid w:val="00092AE8"/>
    <w:rsid w:val="0009307F"/>
    <w:rsid w:val="00093E66"/>
    <w:rsid w:val="0009564E"/>
    <w:rsid w:val="000957C9"/>
    <w:rsid w:val="000A07D7"/>
    <w:rsid w:val="000A1254"/>
    <w:rsid w:val="000A19BE"/>
    <w:rsid w:val="000A3060"/>
    <w:rsid w:val="000A30D4"/>
    <w:rsid w:val="000A3CC8"/>
    <w:rsid w:val="000A4009"/>
    <w:rsid w:val="000A4977"/>
    <w:rsid w:val="000A4FF9"/>
    <w:rsid w:val="000A5A0A"/>
    <w:rsid w:val="000A5CB5"/>
    <w:rsid w:val="000A5DC2"/>
    <w:rsid w:val="000A69C4"/>
    <w:rsid w:val="000A6A67"/>
    <w:rsid w:val="000A7B5C"/>
    <w:rsid w:val="000A7ECA"/>
    <w:rsid w:val="000B10AC"/>
    <w:rsid w:val="000B130C"/>
    <w:rsid w:val="000B332C"/>
    <w:rsid w:val="000B3E8D"/>
    <w:rsid w:val="000B4C9C"/>
    <w:rsid w:val="000B54BE"/>
    <w:rsid w:val="000B5DD7"/>
    <w:rsid w:val="000B5E38"/>
    <w:rsid w:val="000B60CA"/>
    <w:rsid w:val="000B6A25"/>
    <w:rsid w:val="000C0438"/>
    <w:rsid w:val="000C0A77"/>
    <w:rsid w:val="000C2945"/>
    <w:rsid w:val="000C2954"/>
    <w:rsid w:val="000C3A42"/>
    <w:rsid w:val="000C3CFD"/>
    <w:rsid w:val="000C4A2B"/>
    <w:rsid w:val="000C4EEA"/>
    <w:rsid w:val="000C4EF5"/>
    <w:rsid w:val="000C4F4C"/>
    <w:rsid w:val="000C503C"/>
    <w:rsid w:val="000C560C"/>
    <w:rsid w:val="000C5823"/>
    <w:rsid w:val="000C75E3"/>
    <w:rsid w:val="000C7698"/>
    <w:rsid w:val="000D01CB"/>
    <w:rsid w:val="000D1004"/>
    <w:rsid w:val="000D325F"/>
    <w:rsid w:val="000D48FD"/>
    <w:rsid w:val="000D51C9"/>
    <w:rsid w:val="000D5BF0"/>
    <w:rsid w:val="000D6A71"/>
    <w:rsid w:val="000D7268"/>
    <w:rsid w:val="000D77C7"/>
    <w:rsid w:val="000D7C89"/>
    <w:rsid w:val="000E1734"/>
    <w:rsid w:val="000E1C64"/>
    <w:rsid w:val="000E2754"/>
    <w:rsid w:val="000E2F76"/>
    <w:rsid w:val="000E3316"/>
    <w:rsid w:val="000E3321"/>
    <w:rsid w:val="000E4DA0"/>
    <w:rsid w:val="000E5259"/>
    <w:rsid w:val="000E6865"/>
    <w:rsid w:val="000F053F"/>
    <w:rsid w:val="000F0EE8"/>
    <w:rsid w:val="000F1CFC"/>
    <w:rsid w:val="000F26F3"/>
    <w:rsid w:val="000F3E9A"/>
    <w:rsid w:val="000F403C"/>
    <w:rsid w:val="000F561C"/>
    <w:rsid w:val="000F584A"/>
    <w:rsid w:val="000F6EE0"/>
    <w:rsid w:val="000F7119"/>
    <w:rsid w:val="00100739"/>
    <w:rsid w:val="00100E31"/>
    <w:rsid w:val="001015DD"/>
    <w:rsid w:val="00101B01"/>
    <w:rsid w:val="00102D7E"/>
    <w:rsid w:val="00103119"/>
    <w:rsid w:val="00103A20"/>
    <w:rsid w:val="00104678"/>
    <w:rsid w:val="00104693"/>
    <w:rsid w:val="00104F83"/>
    <w:rsid w:val="00106913"/>
    <w:rsid w:val="001073EC"/>
    <w:rsid w:val="00107885"/>
    <w:rsid w:val="001079B4"/>
    <w:rsid w:val="001120C2"/>
    <w:rsid w:val="00112D7A"/>
    <w:rsid w:val="00112FDD"/>
    <w:rsid w:val="00114FC4"/>
    <w:rsid w:val="00116EA5"/>
    <w:rsid w:val="001179DE"/>
    <w:rsid w:val="00117AB1"/>
    <w:rsid w:val="001204B5"/>
    <w:rsid w:val="0012098E"/>
    <w:rsid w:val="0012217F"/>
    <w:rsid w:val="0012329C"/>
    <w:rsid w:val="00123CA7"/>
    <w:rsid w:val="00124B26"/>
    <w:rsid w:val="00124C5D"/>
    <w:rsid w:val="00124D2D"/>
    <w:rsid w:val="0013052B"/>
    <w:rsid w:val="001306F3"/>
    <w:rsid w:val="00131AAA"/>
    <w:rsid w:val="00131CD9"/>
    <w:rsid w:val="00132A71"/>
    <w:rsid w:val="00133152"/>
    <w:rsid w:val="001343F5"/>
    <w:rsid w:val="00134F54"/>
    <w:rsid w:val="00134FA7"/>
    <w:rsid w:val="001351F7"/>
    <w:rsid w:val="00135271"/>
    <w:rsid w:val="00135281"/>
    <w:rsid w:val="00135C84"/>
    <w:rsid w:val="00137950"/>
    <w:rsid w:val="0014070F"/>
    <w:rsid w:val="001410C0"/>
    <w:rsid w:val="00142267"/>
    <w:rsid w:val="001423BD"/>
    <w:rsid w:val="00142DAE"/>
    <w:rsid w:val="00143062"/>
    <w:rsid w:val="001439C2"/>
    <w:rsid w:val="0014588F"/>
    <w:rsid w:val="00146360"/>
    <w:rsid w:val="00146719"/>
    <w:rsid w:val="00146780"/>
    <w:rsid w:val="00147C58"/>
    <w:rsid w:val="001501C8"/>
    <w:rsid w:val="001503BA"/>
    <w:rsid w:val="001505C7"/>
    <w:rsid w:val="0015158E"/>
    <w:rsid w:val="00152F29"/>
    <w:rsid w:val="00153119"/>
    <w:rsid w:val="00153CBA"/>
    <w:rsid w:val="00153F94"/>
    <w:rsid w:val="00154CBC"/>
    <w:rsid w:val="0015505C"/>
    <w:rsid w:val="00157A4C"/>
    <w:rsid w:val="00157ACF"/>
    <w:rsid w:val="00160389"/>
    <w:rsid w:val="00160DA5"/>
    <w:rsid w:val="00161062"/>
    <w:rsid w:val="001617CD"/>
    <w:rsid w:val="0016366B"/>
    <w:rsid w:val="00164465"/>
    <w:rsid w:val="00164524"/>
    <w:rsid w:val="00165629"/>
    <w:rsid w:val="00165686"/>
    <w:rsid w:val="001660AF"/>
    <w:rsid w:val="00167197"/>
    <w:rsid w:val="00170753"/>
    <w:rsid w:val="001710FC"/>
    <w:rsid w:val="00173975"/>
    <w:rsid w:val="00173A38"/>
    <w:rsid w:val="0017459A"/>
    <w:rsid w:val="001757C4"/>
    <w:rsid w:val="00176FBD"/>
    <w:rsid w:val="00180D05"/>
    <w:rsid w:val="001814B4"/>
    <w:rsid w:val="00181F35"/>
    <w:rsid w:val="001825DA"/>
    <w:rsid w:val="00185270"/>
    <w:rsid w:val="00186B8C"/>
    <w:rsid w:val="00192035"/>
    <w:rsid w:val="001928BB"/>
    <w:rsid w:val="00194D28"/>
    <w:rsid w:val="00194F25"/>
    <w:rsid w:val="00195BFB"/>
    <w:rsid w:val="00196EFC"/>
    <w:rsid w:val="00197042"/>
    <w:rsid w:val="001973BD"/>
    <w:rsid w:val="001975EC"/>
    <w:rsid w:val="00197E0C"/>
    <w:rsid w:val="001A268C"/>
    <w:rsid w:val="001A3B5A"/>
    <w:rsid w:val="001A411F"/>
    <w:rsid w:val="001A499F"/>
    <w:rsid w:val="001A5B2F"/>
    <w:rsid w:val="001A5D3B"/>
    <w:rsid w:val="001A685B"/>
    <w:rsid w:val="001A6AC6"/>
    <w:rsid w:val="001A7097"/>
    <w:rsid w:val="001B2E86"/>
    <w:rsid w:val="001B4619"/>
    <w:rsid w:val="001B5A45"/>
    <w:rsid w:val="001B5D7B"/>
    <w:rsid w:val="001B70DD"/>
    <w:rsid w:val="001B7CE9"/>
    <w:rsid w:val="001C074E"/>
    <w:rsid w:val="001C0ECB"/>
    <w:rsid w:val="001C279C"/>
    <w:rsid w:val="001C316E"/>
    <w:rsid w:val="001C3A24"/>
    <w:rsid w:val="001C452C"/>
    <w:rsid w:val="001C4E36"/>
    <w:rsid w:val="001C5F6C"/>
    <w:rsid w:val="001D2850"/>
    <w:rsid w:val="001D2BB1"/>
    <w:rsid w:val="001D495A"/>
    <w:rsid w:val="001D5DF4"/>
    <w:rsid w:val="001D65DA"/>
    <w:rsid w:val="001D6AC2"/>
    <w:rsid w:val="001E06C0"/>
    <w:rsid w:val="001E0D20"/>
    <w:rsid w:val="001E1A8D"/>
    <w:rsid w:val="001E1E87"/>
    <w:rsid w:val="001E242C"/>
    <w:rsid w:val="001E244C"/>
    <w:rsid w:val="001E34B0"/>
    <w:rsid w:val="001E3D1C"/>
    <w:rsid w:val="001E6B33"/>
    <w:rsid w:val="001E7424"/>
    <w:rsid w:val="001E7961"/>
    <w:rsid w:val="001F1437"/>
    <w:rsid w:val="001F3059"/>
    <w:rsid w:val="001F6F8B"/>
    <w:rsid w:val="001F7F5B"/>
    <w:rsid w:val="00200DF2"/>
    <w:rsid w:val="0020225E"/>
    <w:rsid w:val="0020239E"/>
    <w:rsid w:val="002040F1"/>
    <w:rsid w:val="00204CCF"/>
    <w:rsid w:val="0020547F"/>
    <w:rsid w:val="00205949"/>
    <w:rsid w:val="00205ADB"/>
    <w:rsid w:val="00210D5C"/>
    <w:rsid w:val="00211160"/>
    <w:rsid w:val="00211320"/>
    <w:rsid w:val="00211446"/>
    <w:rsid w:val="002116D6"/>
    <w:rsid w:val="0021200D"/>
    <w:rsid w:val="002126E6"/>
    <w:rsid w:val="00212F3E"/>
    <w:rsid w:val="002132F4"/>
    <w:rsid w:val="00213F6F"/>
    <w:rsid w:val="0021408A"/>
    <w:rsid w:val="00214370"/>
    <w:rsid w:val="002159F3"/>
    <w:rsid w:val="00215C61"/>
    <w:rsid w:val="00216306"/>
    <w:rsid w:val="0021649D"/>
    <w:rsid w:val="00217652"/>
    <w:rsid w:val="002179DC"/>
    <w:rsid w:val="00217FB8"/>
    <w:rsid w:val="0022007D"/>
    <w:rsid w:val="002211B3"/>
    <w:rsid w:val="00221C86"/>
    <w:rsid w:val="002232EA"/>
    <w:rsid w:val="00223406"/>
    <w:rsid w:val="00224D47"/>
    <w:rsid w:val="002252A7"/>
    <w:rsid w:val="00225575"/>
    <w:rsid w:val="0022564F"/>
    <w:rsid w:val="002259EF"/>
    <w:rsid w:val="00225BC6"/>
    <w:rsid w:val="00231CAF"/>
    <w:rsid w:val="002321CE"/>
    <w:rsid w:val="00232A61"/>
    <w:rsid w:val="00233D39"/>
    <w:rsid w:val="00233DC5"/>
    <w:rsid w:val="00233EE3"/>
    <w:rsid w:val="002349E1"/>
    <w:rsid w:val="00234A4B"/>
    <w:rsid w:val="00235FDE"/>
    <w:rsid w:val="002365B8"/>
    <w:rsid w:val="002367C4"/>
    <w:rsid w:val="00241E15"/>
    <w:rsid w:val="002427A5"/>
    <w:rsid w:val="00242ED1"/>
    <w:rsid w:val="002442D3"/>
    <w:rsid w:val="002444BB"/>
    <w:rsid w:val="00244B65"/>
    <w:rsid w:val="002454D1"/>
    <w:rsid w:val="00245586"/>
    <w:rsid w:val="0024588A"/>
    <w:rsid w:val="0024706A"/>
    <w:rsid w:val="002508F4"/>
    <w:rsid w:val="00250FC4"/>
    <w:rsid w:val="002528F1"/>
    <w:rsid w:val="0025301A"/>
    <w:rsid w:val="00253E6D"/>
    <w:rsid w:val="00254069"/>
    <w:rsid w:val="00254B90"/>
    <w:rsid w:val="002565C1"/>
    <w:rsid w:val="00257587"/>
    <w:rsid w:val="002600D1"/>
    <w:rsid w:val="0026016B"/>
    <w:rsid w:val="002609FC"/>
    <w:rsid w:val="00260B75"/>
    <w:rsid w:val="00261E6A"/>
    <w:rsid w:val="00263085"/>
    <w:rsid w:val="00263A61"/>
    <w:rsid w:val="002640E7"/>
    <w:rsid w:val="00267351"/>
    <w:rsid w:val="002677FB"/>
    <w:rsid w:val="00267DCC"/>
    <w:rsid w:val="00267E1D"/>
    <w:rsid w:val="00267E8B"/>
    <w:rsid w:val="00270748"/>
    <w:rsid w:val="00270EAE"/>
    <w:rsid w:val="002710A5"/>
    <w:rsid w:val="002713E9"/>
    <w:rsid w:val="0027142A"/>
    <w:rsid w:val="002720DA"/>
    <w:rsid w:val="00272165"/>
    <w:rsid w:val="002734E5"/>
    <w:rsid w:val="0027361F"/>
    <w:rsid w:val="00273A1A"/>
    <w:rsid w:val="00273BD0"/>
    <w:rsid w:val="002746DB"/>
    <w:rsid w:val="00274D96"/>
    <w:rsid w:val="002753AF"/>
    <w:rsid w:val="0027544E"/>
    <w:rsid w:val="00276034"/>
    <w:rsid w:val="0027688F"/>
    <w:rsid w:val="00277F0A"/>
    <w:rsid w:val="00280C55"/>
    <w:rsid w:val="00280CAF"/>
    <w:rsid w:val="00281AF3"/>
    <w:rsid w:val="002827DE"/>
    <w:rsid w:val="00282F09"/>
    <w:rsid w:val="00283827"/>
    <w:rsid w:val="00283DF4"/>
    <w:rsid w:val="002847B4"/>
    <w:rsid w:val="00284D22"/>
    <w:rsid w:val="0028557E"/>
    <w:rsid w:val="00285787"/>
    <w:rsid w:val="00286042"/>
    <w:rsid w:val="00286DB1"/>
    <w:rsid w:val="00290616"/>
    <w:rsid w:val="00291469"/>
    <w:rsid w:val="00291EE2"/>
    <w:rsid w:val="00291F62"/>
    <w:rsid w:val="002940A1"/>
    <w:rsid w:val="00295252"/>
    <w:rsid w:val="0029663A"/>
    <w:rsid w:val="0029675D"/>
    <w:rsid w:val="00297532"/>
    <w:rsid w:val="002A0C48"/>
    <w:rsid w:val="002A0F11"/>
    <w:rsid w:val="002A1210"/>
    <w:rsid w:val="002A1B9B"/>
    <w:rsid w:val="002A20C6"/>
    <w:rsid w:val="002A22D4"/>
    <w:rsid w:val="002A4118"/>
    <w:rsid w:val="002A443F"/>
    <w:rsid w:val="002A4539"/>
    <w:rsid w:val="002A4B4D"/>
    <w:rsid w:val="002A4C37"/>
    <w:rsid w:val="002A790F"/>
    <w:rsid w:val="002A793D"/>
    <w:rsid w:val="002B1ADA"/>
    <w:rsid w:val="002B1B56"/>
    <w:rsid w:val="002B20B5"/>
    <w:rsid w:val="002B4E72"/>
    <w:rsid w:val="002C08A1"/>
    <w:rsid w:val="002C15CC"/>
    <w:rsid w:val="002C16C3"/>
    <w:rsid w:val="002C188A"/>
    <w:rsid w:val="002C2D9D"/>
    <w:rsid w:val="002C54CF"/>
    <w:rsid w:val="002D04B1"/>
    <w:rsid w:val="002D14D8"/>
    <w:rsid w:val="002D224B"/>
    <w:rsid w:val="002D2782"/>
    <w:rsid w:val="002D46D8"/>
    <w:rsid w:val="002D4799"/>
    <w:rsid w:val="002D54B6"/>
    <w:rsid w:val="002D5500"/>
    <w:rsid w:val="002D5CD3"/>
    <w:rsid w:val="002D68C5"/>
    <w:rsid w:val="002D7095"/>
    <w:rsid w:val="002D7505"/>
    <w:rsid w:val="002D7576"/>
    <w:rsid w:val="002E012F"/>
    <w:rsid w:val="002E01A6"/>
    <w:rsid w:val="002E100E"/>
    <w:rsid w:val="002E1E59"/>
    <w:rsid w:val="002E2399"/>
    <w:rsid w:val="002E3FA4"/>
    <w:rsid w:val="002E4C8F"/>
    <w:rsid w:val="002E4F06"/>
    <w:rsid w:val="002E5A84"/>
    <w:rsid w:val="002E6B43"/>
    <w:rsid w:val="002E6FAF"/>
    <w:rsid w:val="002F0E84"/>
    <w:rsid w:val="002F0FBA"/>
    <w:rsid w:val="002F11BD"/>
    <w:rsid w:val="002F1BC1"/>
    <w:rsid w:val="002F34BC"/>
    <w:rsid w:val="002F4141"/>
    <w:rsid w:val="002F50AD"/>
    <w:rsid w:val="002F5983"/>
    <w:rsid w:val="002F6F6F"/>
    <w:rsid w:val="002F7BC2"/>
    <w:rsid w:val="003009C8"/>
    <w:rsid w:val="00300A18"/>
    <w:rsid w:val="003012EA"/>
    <w:rsid w:val="00302FF0"/>
    <w:rsid w:val="003058A8"/>
    <w:rsid w:val="00305D37"/>
    <w:rsid w:val="00305E13"/>
    <w:rsid w:val="00305E61"/>
    <w:rsid w:val="00306561"/>
    <w:rsid w:val="00306BFE"/>
    <w:rsid w:val="00306FBE"/>
    <w:rsid w:val="00307EF4"/>
    <w:rsid w:val="003109F7"/>
    <w:rsid w:val="003113FF"/>
    <w:rsid w:val="00311D92"/>
    <w:rsid w:val="00312042"/>
    <w:rsid w:val="00312B19"/>
    <w:rsid w:val="0031602A"/>
    <w:rsid w:val="00317846"/>
    <w:rsid w:val="003204A8"/>
    <w:rsid w:val="00320B38"/>
    <w:rsid w:val="0032220C"/>
    <w:rsid w:val="0032277F"/>
    <w:rsid w:val="003228F8"/>
    <w:rsid w:val="003234A7"/>
    <w:rsid w:val="00324CA5"/>
    <w:rsid w:val="003265A7"/>
    <w:rsid w:val="003276F9"/>
    <w:rsid w:val="00327A6D"/>
    <w:rsid w:val="00330110"/>
    <w:rsid w:val="003303FE"/>
    <w:rsid w:val="00331BC6"/>
    <w:rsid w:val="00331FFF"/>
    <w:rsid w:val="00332953"/>
    <w:rsid w:val="00334674"/>
    <w:rsid w:val="00334B29"/>
    <w:rsid w:val="003352B2"/>
    <w:rsid w:val="00335D77"/>
    <w:rsid w:val="00336A9B"/>
    <w:rsid w:val="003376B8"/>
    <w:rsid w:val="00340568"/>
    <w:rsid w:val="0034284B"/>
    <w:rsid w:val="00342BB9"/>
    <w:rsid w:val="00343F0A"/>
    <w:rsid w:val="0034557A"/>
    <w:rsid w:val="00350523"/>
    <w:rsid w:val="0035099F"/>
    <w:rsid w:val="0035189D"/>
    <w:rsid w:val="0035228A"/>
    <w:rsid w:val="003536A7"/>
    <w:rsid w:val="00353D99"/>
    <w:rsid w:val="00353DE9"/>
    <w:rsid w:val="00353FC1"/>
    <w:rsid w:val="003544E7"/>
    <w:rsid w:val="00356BEA"/>
    <w:rsid w:val="00357BE9"/>
    <w:rsid w:val="00361831"/>
    <w:rsid w:val="00361DC9"/>
    <w:rsid w:val="0036399A"/>
    <w:rsid w:val="00363E42"/>
    <w:rsid w:val="00364200"/>
    <w:rsid w:val="003666BC"/>
    <w:rsid w:val="00366ECE"/>
    <w:rsid w:val="00367246"/>
    <w:rsid w:val="00367ED8"/>
    <w:rsid w:val="0037073D"/>
    <w:rsid w:val="00372D5A"/>
    <w:rsid w:val="003740BC"/>
    <w:rsid w:val="00374AEC"/>
    <w:rsid w:val="00374F45"/>
    <w:rsid w:val="00375B03"/>
    <w:rsid w:val="00376053"/>
    <w:rsid w:val="00376625"/>
    <w:rsid w:val="00377310"/>
    <w:rsid w:val="00377E55"/>
    <w:rsid w:val="003801A3"/>
    <w:rsid w:val="00380AB0"/>
    <w:rsid w:val="00380E8A"/>
    <w:rsid w:val="00382882"/>
    <w:rsid w:val="00383909"/>
    <w:rsid w:val="00383A7D"/>
    <w:rsid w:val="00383D90"/>
    <w:rsid w:val="00384F4E"/>
    <w:rsid w:val="00385067"/>
    <w:rsid w:val="003851D7"/>
    <w:rsid w:val="0038537C"/>
    <w:rsid w:val="00385B5A"/>
    <w:rsid w:val="00385BBF"/>
    <w:rsid w:val="00385C57"/>
    <w:rsid w:val="00390C77"/>
    <w:rsid w:val="003911B5"/>
    <w:rsid w:val="003944C0"/>
    <w:rsid w:val="00395A6F"/>
    <w:rsid w:val="00395C3B"/>
    <w:rsid w:val="00396795"/>
    <w:rsid w:val="00396F98"/>
    <w:rsid w:val="00397804"/>
    <w:rsid w:val="00397E39"/>
    <w:rsid w:val="003A1A27"/>
    <w:rsid w:val="003A21CE"/>
    <w:rsid w:val="003A3218"/>
    <w:rsid w:val="003A4573"/>
    <w:rsid w:val="003A4923"/>
    <w:rsid w:val="003A4C15"/>
    <w:rsid w:val="003A4F9F"/>
    <w:rsid w:val="003A50CC"/>
    <w:rsid w:val="003A5F5E"/>
    <w:rsid w:val="003A6357"/>
    <w:rsid w:val="003A6674"/>
    <w:rsid w:val="003A69A7"/>
    <w:rsid w:val="003A6E73"/>
    <w:rsid w:val="003A6F97"/>
    <w:rsid w:val="003B42B3"/>
    <w:rsid w:val="003B4B60"/>
    <w:rsid w:val="003B6384"/>
    <w:rsid w:val="003B6FFB"/>
    <w:rsid w:val="003C095E"/>
    <w:rsid w:val="003C1A67"/>
    <w:rsid w:val="003C264B"/>
    <w:rsid w:val="003C31EF"/>
    <w:rsid w:val="003C49F0"/>
    <w:rsid w:val="003C4EBB"/>
    <w:rsid w:val="003C53ED"/>
    <w:rsid w:val="003C55A7"/>
    <w:rsid w:val="003C5C47"/>
    <w:rsid w:val="003C6229"/>
    <w:rsid w:val="003C6876"/>
    <w:rsid w:val="003C7460"/>
    <w:rsid w:val="003C7BF2"/>
    <w:rsid w:val="003D0267"/>
    <w:rsid w:val="003D04F6"/>
    <w:rsid w:val="003D114B"/>
    <w:rsid w:val="003D1531"/>
    <w:rsid w:val="003D235D"/>
    <w:rsid w:val="003D2713"/>
    <w:rsid w:val="003D3401"/>
    <w:rsid w:val="003D4242"/>
    <w:rsid w:val="003D444D"/>
    <w:rsid w:val="003D4F06"/>
    <w:rsid w:val="003D6713"/>
    <w:rsid w:val="003D6817"/>
    <w:rsid w:val="003D69EC"/>
    <w:rsid w:val="003D7291"/>
    <w:rsid w:val="003E07C8"/>
    <w:rsid w:val="003E13C4"/>
    <w:rsid w:val="003E209D"/>
    <w:rsid w:val="003E244C"/>
    <w:rsid w:val="003E4489"/>
    <w:rsid w:val="003E4AC6"/>
    <w:rsid w:val="003E4C82"/>
    <w:rsid w:val="003E4EC6"/>
    <w:rsid w:val="003E527E"/>
    <w:rsid w:val="003E553E"/>
    <w:rsid w:val="003E657A"/>
    <w:rsid w:val="003E670A"/>
    <w:rsid w:val="003E67F1"/>
    <w:rsid w:val="003E7078"/>
    <w:rsid w:val="003E7D71"/>
    <w:rsid w:val="003F1428"/>
    <w:rsid w:val="003F1826"/>
    <w:rsid w:val="003F2391"/>
    <w:rsid w:val="003F2CCF"/>
    <w:rsid w:val="003F2D40"/>
    <w:rsid w:val="003F3DF5"/>
    <w:rsid w:val="003F450A"/>
    <w:rsid w:val="003F55CB"/>
    <w:rsid w:val="003F5689"/>
    <w:rsid w:val="003F656D"/>
    <w:rsid w:val="003F7870"/>
    <w:rsid w:val="004007EB"/>
    <w:rsid w:val="00404A07"/>
    <w:rsid w:val="0040539C"/>
    <w:rsid w:val="0040774C"/>
    <w:rsid w:val="00410A19"/>
    <w:rsid w:val="00410B03"/>
    <w:rsid w:val="00411D11"/>
    <w:rsid w:val="0041212C"/>
    <w:rsid w:val="00412466"/>
    <w:rsid w:val="004128E0"/>
    <w:rsid w:val="0041485F"/>
    <w:rsid w:val="00415DD5"/>
    <w:rsid w:val="00415E23"/>
    <w:rsid w:val="00415FE1"/>
    <w:rsid w:val="00416107"/>
    <w:rsid w:val="004166FD"/>
    <w:rsid w:val="0041670D"/>
    <w:rsid w:val="00417B3C"/>
    <w:rsid w:val="004226EA"/>
    <w:rsid w:val="0042285D"/>
    <w:rsid w:val="00424061"/>
    <w:rsid w:val="004244BD"/>
    <w:rsid w:val="00425EC8"/>
    <w:rsid w:val="00426B6F"/>
    <w:rsid w:val="00430021"/>
    <w:rsid w:val="00431471"/>
    <w:rsid w:val="0043183F"/>
    <w:rsid w:val="00431E57"/>
    <w:rsid w:val="00432A17"/>
    <w:rsid w:val="00432DFB"/>
    <w:rsid w:val="004331BD"/>
    <w:rsid w:val="00433A14"/>
    <w:rsid w:val="00433CDA"/>
    <w:rsid w:val="00434DBA"/>
    <w:rsid w:val="004355FB"/>
    <w:rsid w:val="00435C22"/>
    <w:rsid w:val="0043624F"/>
    <w:rsid w:val="00437CF6"/>
    <w:rsid w:val="00437FD6"/>
    <w:rsid w:val="00440A0C"/>
    <w:rsid w:val="00442708"/>
    <w:rsid w:val="00442A3C"/>
    <w:rsid w:val="00442D16"/>
    <w:rsid w:val="00442E76"/>
    <w:rsid w:val="004433F7"/>
    <w:rsid w:val="0044351D"/>
    <w:rsid w:val="00443969"/>
    <w:rsid w:val="00443F50"/>
    <w:rsid w:val="004443F1"/>
    <w:rsid w:val="0044642F"/>
    <w:rsid w:val="004467CA"/>
    <w:rsid w:val="00447D3A"/>
    <w:rsid w:val="00447D74"/>
    <w:rsid w:val="00450948"/>
    <w:rsid w:val="00450A74"/>
    <w:rsid w:val="00451294"/>
    <w:rsid w:val="0045164E"/>
    <w:rsid w:val="004546BF"/>
    <w:rsid w:val="004550AF"/>
    <w:rsid w:val="004555E4"/>
    <w:rsid w:val="004579BC"/>
    <w:rsid w:val="004600E8"/>
    <w:rsid w:val="00460141"/>
    <w:rsid w:val="00460424"/>
    <w:rsid w:val="00463B6F"/>
    <w:rsid w:val="00464E03"/>
    <w:rsid w:val="0046511A"/>
    <w:rsid w:val="00465350"/>
    <w:rsid w:val="004653D8"/>
    <w:rsid w:val="00465DA4"/>
    <w:rsid w:val="00466489"/>
    <w:rsid w:val="0046657C"/>
    <w:rsid w:val="00466BD8"/>
    <w:rsid w:val="0046750C"/>
    <w:rsid w:val="00473390"/>
    <w:rsid w:val="00475845"/>
    <w:rsid w:val="00475A98"/>
    <w:rsid w:val="00475DBE"/>
    <w:rsid w:val="0047701B"/>
    <w:rsid w:val="00477568"/>
    <w:rsid w:val="00477BDB"/>
    <w:rsid w:val="00477F92"/>
    <w:rsid w:val="00480AE9"/>
    <w:rsid w:val="00480DC8"/>
    <w:rsid w:val="004810DD"/>
    <w:rsid w:val="00482A78"/>
    <w:rsid w:val="00482D21"/>
    <w:rsid w:val="00483A5E"/>
    <w:rsid w:val="0048436E"/>
    <w:rsid w:val="004846BF"/>
    <w:rsid w:val="00484BEF"/>
    <w:rsid w:val="00485CC1"/>
    <w:rsid w:val="004870F9"/>
    <w:rsid w:val="00487222"/>
    <w:rsid w:val="00487272"/>
    <w:rsid w:val="00487AF7"/>
    <w:rsid w:val="00491080"/>
    <w:rsid w:val="004913E3"/>
    <w:rsid w:val="00491A17"/>
    <w:rsid w:val="00491E85"/>
    <w:rsid w:val="00495642"/>
    <w:rsid w:val="0049583D"/>
    <w:rsid w:val="0049605A"/>
    <w:rsid w:val="004A00A2"/>
    <w:rsid w:val="004A2137"/>
    <w:rsid w:val="004A255D"/>
    <w:rsid w:val="004A36E5"/>
    <w:rsid w:val="004A430E"/>
    <w:rsid w:val="004A48C6"/>
    <w:rsid w:val="004A5892"/>
    <w:rsid w:val="004A5A8B"/>
    <w:rsid w:val="004A60D9"/>
    <w:rsid w:val="004A63D8"/>
    <w:rsid w:val="004B1782"/>
    <w:rsid w:val="004B2276"/>
    <w:rsid w:val="004B2CFC"/>
    <w:rsid w:val="004B3117"/>
    <w:rsid w:val="004B4465"/>
    <w:rsid w:val="004B4A8E"/>
    <w:rsid w:val="004B5197"/>
    <w:rsid w:val="004B5E1D"/>
    <w:rsid w:val="004B6DFD"/>
    <w:rsid w:val="004B6EF3"/>
    <w:rsid w:val="004B7946"/>
    <w:rsid w:val="004C01F7"/>
    <w:rsid w:val="004C0F73"/>
    <w:rsid w:val="004C14EA"/>
    <w:rsid w:val="004C1515"/>
    <w:rsid w:val="004C161E"/>
    <w:rsid w:val="004C262E"/>
    <w:rsid w:val="004C52FB"/>
    <w:rsid w:val="004C6979"/>
    <w:rsid w:val="004C6DD6"/>
    <w:rsid w:val="004C72B6"/>
    <w:rsid w:val="004C79C8"/>
    <w:rsid w:val="004D1344"/>
    <w:rsid w:val="004D166A"/>
    <w:rsid w:val="004D1808"/>
    <w:rsid w:val="004D19CE"/>
    <w:rsid w:val="004D3108"/>
    <w:rsid w:val="004D3E7A"/>
    <w:rsid w:val="004D42FE"/>
    <w:rsid w:val="004D5B13"/>
    <w:rsid w:val="004D62D5"/>
    <w:rsid w:val="004D6873"/>
    <w:rsid w:val="004D7456"/>
    <w:rsid w:val="004E09D5"/>
    <w:rsid w:val="004E0A53"/>
    <w:rsid w:val="004E2A0C"/>
    <w:rsid w:val="004E3EB9"/>
    <w:rsid w:val="004E408B"/>
    <w:rsid w:val="004E475D"/>
    <w:rsid w:val="004E5DC9"/>
    <w:rsid w:val="004E6BEF"/>
    <w:rsid w:val="004E6C2F"/>
    <w:rsid w:val="004E6C6B"/>
    <w:rsid w:val="004E7686"/>
    <w:rsid w:val="004E7D6B"/>
    <w:rsid w:val="004F0B14"/>
    <w:rsid w:val="004F1C67"/>
    <w:rsid w:val="004F594B"/>
    <w:rsid w:val="004F61E1"/>
    <w:rsid w:val="004F73A7"/>
    <w:rsid w:val="00500E42"/>
    <w:rsid w:val="00502118"/>
    <w:rsid w:val="0050213A"/>
    <w:rsid w:val="00502571"/>
    <w:rsid w:val="005026E8"/>
    <w:rsid w:val="0050275A"/>
    <w:rsid w:val="00502B3F"/>
    <w:rsid w:val="00502E6C"/>
    <w:rsid w:val="00504D5D"/>
    <w:rsid w:val="00507B0F"/>
    <w:rsid w:val="0051074A"/>
    <w:rsid w:val="00510B5B"/>
    <w:rsid w:val="00512789"/>
    <w:rsid w:val="00513194"/>
    <w:rsid w:val="00513789"/>
    <w:rsid w:val="005141C3"/>
    <w:rsid w:val="0051431A"/>
    <w:rsid w:val="005179B0"/>
    <w:rsid w:val="005212CF"/>
    <w:rsid w:val="005222D6"/>
    <w:rsid w:val="00523310"/>
    <w:rsid w:val="00523502"/>
    <w:rsid w:val="00523999"/>
    <w:rsid w:val="005246EA"/>
    <w:rsid w:val="00525879"/>
    <w:rsid w:val="00526694"/>
    <w:rsid w:val="00526A66"/>
    <w:rsid w:val="0052782C"/>
    <w:rsid w:val="005300C6"/>
    <w:rsid w:val="00530CBA"/>
    <w:rsid w:val="00530DD9"/>
    <w:rsid w:val="0053266B"/>
    <w:rsid w:val="00532894"/>
    <w:rsid w:val="005328B8"/>
    <w:rsid w:val="0053347E"/>
    <w:rsid w:val="005345FD"/>
    <w:rsid w:val="00535A53"/>
    <w:rsid w:val="0053669E"/>
    <w:rsid w:val="00536EEC"/>
    <w:rsid w:val="005402D9"/>
    <w:rsid w:val="0054039E"/>
    <w:rsid w:val="005420EF"/>
    <w:rsid w:val="0054234B"/>
    <w:rsid w:val="00544138"/>
    <w:rsid w:val="00544614"/>
    <w:rsid w:val="00545BE2"/>
    <w:rsid w:val="00546F1D"/>
    <w:rsid w:val="005470E1"/>
    <w:rsid w:val="00550755"/>
    <w:rsid w:val="00551725"/>
    <w:rsid w:val="0055256E"/>
    <w:rsid w:val="00552668"/>
    <w:rsid w:val="00552DE7"/>
    <w:rsid w:val="005534C4"/>
    <w:rsid w:val="005534EB"/>
    <w:rsid w:val="00554075"/>
    <w:rsid w:val="00555AF1"/>
    <w:rsid w:val="00557D2F"/>
    <w:rsid w:val="00560333"/>
    <w:rsid w:val="00560B6B"/>
    <w:rsid w:val="00561DAC"/>
    <w:rsid w:val="00563ACB"/>
    <w:rsid w:val="00564F32"/>
    <w:rsid w:val="00565EAC"/>
    <w:rsid w:val="0056629B"/>
    <w:rsid w:val="00566FBF"/>
    <w:rsid w:val="00567B3E"/>
    <w:rsid w:val="005700FE"/>
    <w:rsid w:val="005723D9"/>
    <w:rsid w:val="00573BA9"/>
    <w:rsid w:val="00573DC1"/>
    <w:rsid w:val="00575AE0"/>
    <w:rsid w:val="005763BD"/>
    <w:rsid w:val="00577407"/>
    <w:rsid w:val="00577F66"/>
    <w:rsid w:val="00580C57"/>
    <w:rsid w:val="00582194"/>
    <w:rsid w:val="00582234"/>
    <w:rsid w:val="00582246"/>
    <w:rsid w:val="005839EC"/>
    <w:rsid w:val="00584583"/>
    <w:rsid w:val="00585902"/>
    <w:rsid w:val="00586068"/>
    <w:rsid w:val="005873CE"/>
    <w:rsid w:val="005905FF"/>
    <w:rsid w:val="00590EEB"/>
    <w:rsid w:val="005912AE"/>
    <w:rsid w:val="00591F34"/>
    <w:rsid w:val="00592267"/>
    <w:rsid w:val="005925AA"/>
    <w:rsid w:val="00593A96"/>
    <w:rsid w:val="00595DC1"/>
    <w:rsid w:val="00596108"/>
    <w:rsid w:val="005971E0"/>
    <w:rsid w:val="005A08ED"/>
    <w:rsid w:val="005A200A"/>
    <w:rsid w:val="005A2117"/>
    <w:rsid w:val="005A241D"/>
    <w:rsid w:val="005A3892"/>
    <w:rsid w:val="005A3D18"/>
    <w:rsid w:val="005A4099"/>
    <w:rsid w:val="005A4467"/>
    <w:rsid w:val="005A6E3A"/>
    <w:rsid w:val="005A7216"/>
    <w:rsid w:val="005B0585"/>
    <w:rsid w:val="005B1CA8"/>
    <w:rsid w:val="005B2A05"/>
    <w:rsid w:val="005B2A8C"/>
    <w:rsid w:val="005B3203"/>
    <w:rsid w:val="005B43DE"/>
    <w:rsid w:val="005B4418"/>
    <w:rsid w:val="005B558C"/>
    <w:rsid w:val="005B58C5"/>
    <w:rsid w:val="005B5B99"/>
    <w:rsid w:val="005B671B"/>
    <w:rsid w:val="005B7157"/>
    <w:rsid w:val="005B7B6A"/>
    <w:rsid w:val="005C1539"/>
    <w:rsid w:val="005C17B7"/>
    <w:rsid w:val="005C2115"/>
    <w:rsid w:val="005C38B2"/>
    <w:rsid w:val="005C41B5"/>
    <w:rsid w:val="005C4D96"/>
    <w:rsid w:val="005C5029"/>
    <w:rsid w:val="005C55C2"/>
    <w:rsid w:val="005C5C3C"/>
    <w:rsid w:val="005C6218"/>
    <w:rsid w:val="005C699E"/>
    <w:rsid w:val="005C6A7A"/>
    <w:rsid w:val="005C745C"/>
    <w:rsid w:val="005C74A4"/>
    <w:rsid w:val="005C7CF6"/>
    <w:rsid w:val="005D089E"/>
    <w:rsid w:val="005D14FE"/>
    <w:rsid w:val="005D28AA"/>
    <w:rsid w:val="005D30AF"/>
    <w:rsid w:val="005D37FC"/>
    <w:rsid w:val="005D3FA2"/>
    <w:rsid w:val="005D407B"/>
    <w:rsid w:val="005D4A51"/>
    <w:rsid w:val="005D4DF5"/>
    <w:rsid w:val="005D59F5"/>
    <w:rsid w:val="005D7999"/>
    <w:rsid w:val="005D7A0B"/>
    <w:rsid w:val="005E03B7"/>
    <w:rsid w:val="005E0858"/>
    <w:rsid w:val="005E1961"/>
    <w:rsid w:val="005E2E65"/>
    <w:rsid w:val="005E3816"/>
    <w:rsid w:val="005E3C8F"/>
    <w:rsid w:val="005E426A"/>
    <w:rsid w:val="005E4F20"/>
    <w:rsid w:val="005E66C9"/>
    <w:rsid w:val="005E744E"/>
    <w:rsid w:val="005E7FCA"/>
    <w:rsid w:val="005F1ECF"/>
    <w:rsid w:val="005F2990"/>
    <w:rsid w:val="005F33A8"/>
    <w:rsid w:val="005F3F82"/>
    <w:rsid w:val="005F403B"/>
    <w:rsid w:val="005F47BF"/>
    <w:rsid w:val="005F6163"/>
    <w:rsid w:val="005F7575"/>
    <w:rsid w:val="00602344"/>
    <w:rsid w:val="00603B81"/>
    <w:rsid w:val="00603DAF"/>
    <w:rsid w:val="00603E6A"/>
    <w:rsid w:val="00604816"/>
    <w:rsid w:val="00605BE1"/>
    <w:rsid w:val="00606CFA"/>
    <w:rsid w:val="00607CA1"/>
    <w:rsid w:val="00607CBA"/>
    <w:rsid w:val="00607E03"/>
    <w:rsid w:val="006119A9"/>
    <w:rsid w:val="00611D3B"/>
    <w:rsid w:val="00611D6B"/>
    <w:rsid w:val="006124B5"/>
    <w:rsid w:val="00612EF9"/>
    <w:rsid w:val="00612F36"/>
    <w:rsid w:val="00613DE1"/>
    <w:rsid w:val="00615AF9"/>
    <w:rsid w:val="00615EB4"/>
    <w:rsid w:val="00616196"/>
    <w:rsid w:val="00616DCF"/>
    <w:rsid w:val="006205A2"/>
    <w:rsid w:val="006219C9"/>
    <w:rsid w:val="00622685"/>
    <w:rsid w:val="0062279C"/>
    <w:rsid w:val="006230BB"/>
    <w:rsid w:val="006233B7"/>
    <w:rsid w:val="00623587"/>
    <w:rsid w:val="00624BE6"/>
    <w:rsid w:val="006300BC"/>
    <w:rsid w:val="00630FA8"/>
    <w:rsid w:val="00631F28"/>
    <w:rsid w:val="00631F8C"/>
    <w:rsid w:val="006326EC"/>
    <w:rsid w:val="00632820"/>
    <w:rsid w:val="00635A58"/>
    <w:rsid w:val="00636119"/>
    <w:rsid w:val="00636DA2"/>
    <w:rsid w:val="00637B1A"/>
    <w:rsid w:val="00641CF8"/>
    <w:rsid w:val="00641DD5"/>
    <w:rsid w:val="00641E82"/>
    <w:rsid w:val="006443CE"/>
    <w:rsid w:val="006453E8"/>
    <w:rsid w:val="00646E07"/>
    <w:rsid w:val="00650775"/>
    <w:rsid w:val="00650ADC"/>
    <w:rsid w:val="0065298F"/>
    <w:rsid w:val="006530D7"/>
    <w:rsid w:val="00654121"/>
    <w:rsid w:val="00654163"/>
    <w:rsid w:val="006549C2"/>
    <w:rsid w:val="0065525A"/>
    <w:rsid w:val="00655684"/>
    <w:rsid w:val="00655BED"/>
    <w:rsid w:val="00661CFF"/>
    <w:rsid w:val="00662317"/>
    <w:rsid w:val="00662F92"/>
    <w:rsid w:val="00663A42"/>
    <w:rsid w:val="00663AA6"/>
    <w:rsid w:val="0066413C"/>
    <w:rsid w:val="006641C7"/>
    <w:rsid w:val="00665DFC"/>
    <w:rsid w:val="006676C4"/>
    <w:rsid w:val="006678F2"/>
    <w:rsid w:val="00670BE2"/>
    <w:rsid w:val="0067166E"/>
    <w:rsid w:val="00671D34"/>
    <w:rsid w:val="006728BD"/>
    <w:rsid w:val="00672E2A"/>
    <w:rsid w:val="00674A80"/>
    <w:rsid w:val="0067502A"/>
    <w:rsid w:val="006754F9"/>
    <w:rsid w:val="00676750"/>
    <w:rsid w:val="006770B8"/>
    <w:rsid w:val="00677991"/>
    <w:rsid w:val="00680FA2"/>
    <w:rsid w:val="0068103C"/>
    <w:rsid w:val="006822B4"/>
    <w:rsid w:val="00682878"/>
    <w:rsid w:val="00682C6C"/>
    <w:rsid w:val="006843E2"/>
    <w:rsid w:val="006846B7"/>
    <w:rsid w:val="00684D5A"/>
    <w:rsid w:val="006854FD"/>
    <w:rsid w:val="00686B41"/>
    <w:rsid w:val="00691368"/>
    <w:rsid w:val="00692130"/>
    <w:rsid w:val="0069436E"/>
    <w:rsid w:val="0069481C"/>
    <w:rsid w:val="006949D1"/>
    <w:rsid w:val="0069516E"/>
    <w:rsid w:val="00695893"/>
    <w:rsid w:val="006A11A4"/>
    <w:rsid w:val="006A14AD"/>
    <w:rsid w:val="006A1563"/>
    <w:rsid w:val="006A26C6"/>
    <w:rsid w:val="006A4528"/>
    <w:rsid w:val="006A4B82"/>
    <w:rsid w:val="006A4FC4"/>
    <w:rsid w:val="006A4FFE"/>
    <w:rsid w:val="006A5733"/>
    <w:rsid w:val="006A5DFD"/>
    <w:rsid w:val="006A67B5"/>
    <w:rsid w:val="006A7D5D"/>
    <w:rsid w:val="006B0535"/>
    <w:rsid w:val="006B1092"/>
    <w:rsid w:val="006B109B"/>
    <w:rsid w:val="006B27F6"/>
    <w:rsid w:val="006B49F9"/>
    <w:rsid w:val="006B4E51"/>
    <w:rsid w:val="006B4EEA"/>
    <w:rsid w:val="006B5F4B"/>
    <w:rsid w:val="006B6C68"/>
    <w:rsid w:val="006C04C4"/>
    <w:rsid w:val="006C1709"/>
    <w:rsid w:val="006C1E46"/>
    <w:rsid w:val="006C3C88"/>
    <w:rsid w:val="006C41B1"/>
    <w:rsid w:val="006C479A"/>
    <w:rsid w:val="006C4A7B"/>
    <w:rsid w:val="006C4F07"/>
    <w:rsid w:val="006C55B7"/>
    <w:rsid w:val="006C60B9"/>
    <w:rsid w:val="006C6932"/>
    <w:rsid w:val="006C7105"/>
    <w:rsid w:val="006C7603"/>
    <w:rsid w:val="006C76A2"/>
    <w:rsid w:val="006C79C7"/>
    <w:rsid w:val="006C7ED8"/>
    <w:rsid w:val="006D10D6"/>
    <w:rsid w:val="006D14B9"/>
    <w:rsid w:val="006D239F"/>
    <w:rsid w:val="006D32E7"/>
    <w:rsid w:val="006D405B"/>
    <w:rsid w:val="006D4459"/>
    <w:rsid w:val="006D47A6"/>
    <w:rsid w:val="006D48C4"/>
    <w:rsid w:val="006D5D57"/>
    <w:rsid w:val="006D676A"/>
    <w:rsid w:val="006D6D57"/>
    <w:rsid w:val="006D7CD1"/>
    <w:rsid w:val="006E37A3"/>
    <w:rsid w:val="006E43FB"/>
    <w:rsid w:val="006E4865"/>
    <w:rsid w:val="006E4DB1"/>
    <w:rsid w:val="006E546B"/>
    <w:rsid w:val="006E5E9D"/>
    <w:rsid w:val="006E5EC6"/>
    <w:rsid w:val="006E76B1"/>
    <w:rsid w:val="006F00CD"/>
    <w:rsid w:val="006F1CBA"/>
    <w:rsid w:val="006F2929"/>
    <w:rsid w:val="006F2B31"/>
    <w:rsid w:val="006F3F15"/>
    <w:rsid w:val="006F401F"/>
    <w:rsid w:val="006F4D6D"/>
    <w:rsid w:val="006F5FEE"/>
    <w:rsid w:val="006F69EE"/>
    <w:rsid w:val="006F6EAE"/>
    <w:rsid w:val="006F7008"/>
    <w:rsid w:val="007002E4"/>
    <w:rsid w:val="00701E92"/>
    <w:rsid w:val="00702532"/>
    <w:rsid w:val="00702924"/>
    <w:rsid w:val="007035E6"/>
    <w:rsid w:val="00703785"/>
    <w:rsid w:val="007039B0"/>
    <w:rsid w:val="00704930"/>
    <w:rsid w:val="00704DA1"/>
    <w:rsid w:val="00705086"/>
    <w:rsid w:val="0070526C"/>
    <w:rsid w:val="00705838"/>
    <w:rsid w:val="00706676"/>
    <w:rsid w:val="007071CB"/>
    <w:rsid w:val="00707C58"/>
    <w:rsid w:val="00707FB1"/>
    <w:rsid w:val="00710BE0"/>
    <w:rsid w:val="0071228D"/>
    <w:rsid w:val="007122E1"/>
    <w:rsid w:val="00712597"/>
    <w:rsid w:val="007130F1"/>
    <w:rsid w:val="00713204"/>
    <w:rsid w:val="00715021"/>
    <w:rsid w:val="007159D6"/>
    <w:rsid w:val="0071643C"/>
    <w:rsid w:val="007164A0"/>
    <w:rsid w:val="0071732F"/>
    <w:rsid w:val="00717ABA"/>
    <w:rsid w:val="00717AF4"/>
    <w:rsid w:val="007200BD"/>
    <w:rsid w:val="00721576"/>
    <w:rsid w:val="00721EED"/>
    <w:rsid w:val="00722394"/>
    <w:rsid w:val="007224FE"/>
    <w:rsid w:val="007226A0"/>
    <w:rsid w:val="007235D7"/>
    <w:rsid w:val="00723921"/>
    <w:rsid w:val="007244F5"/>
    <w:rsid w:val="00725158"/>
    <w:rsid w:val="007253E6"/>
    <w:rsid w:val="007257C9"/>
    <w:rsid w:val="00727DB4"/>
    <w:rsid w:val="0073021C"/>
    <w:rsid w:val="00731FCB"/>
    <w:rsid w:val="00732A5F"/>
    <w:rsid w:val="00736298"/>
    <w:rsid w:val="0073646C"/>
    <w:rsid w:val="00736D15"/>
    <w:rsid w:val="00736EE3"/>
    <w:rsid w:val="007404F8"/>
    <w:rsid w:val="00741D89"/>
    <w:rsid w:val="00741FDE"/>
    <w:rsid w:val="007435CB"/>
    <w:rsid w:val="00743B14"/>
    <w:rsid w:val="0074400E"/>
    <w:rsid w:val="00745683"/>
    <w:rsid w:val="00745A8F"/>
    <w:rsid w:val="00745C87"/>
    <w:rsid w:val="00745D32"/>
    <w:rsid w:val="007476AD"/>
    <w:rsid w:val="00750239"/>
    <w:rsid w:val="00750701"/>
    <w:rsid w:val="00751442"/>
    <w:rsid w:val="007515B7"/>
    <w:rsid w:val="00752BE1"/>
    <w:rsid w:val="00752E6C"/>
    <w:rsid w:val="00753410"/>
    <w:rsid w:val="00753443"/>
    <w:rsid w:val="00754497"/>
    <w:rsid w:val="00754BB0"/>
    <w:rsid w:val="00755326"/>
    <w:rsid w:val="00757D81"/>
    <w:rsid w:val="007611D9"/>
    <w:rsid w:val="0076359E"/>
    <w:rsid w:val="007637EB"/>
    <w:rsid w:val="00763BD2"/>
    <w:rsid w:val="007646FF"/>
    <w:rsid w:val="0076490F"/>
    <w:rsid w:val="00764A9F"/>
    <w:rsid w:val="00765B11"/>
    <w:rsid w:val="007679C7"/>
    <w:rsid w:val="00767D09"/>
    <w:rsid w:val="00770EC0"/>
    <w:rsid w:val="00771478"/>
    <w:rsid w:val="00772EE5"/>
    <w:rsid w:val="007737DF"/>
    <w:rsid w:val="00773967"/>
    <w:rsid w:val="00773C4C"/>
    <w:rsid w:val="00774B54"/>
    <w:rsid w:val="00775042"/>
    <w:rsid w:val="0077627D"/>
    <w:rsid w:val="00776429"/>
    <w:rsid w:val="00777AC6"/>
    <w:rsid w:val="00777B31"/>
    <w:rsid w:val="00781B1A"/>
    <w:rsid w:val="007832D4"/>
    <w:rsid w:val="00786B27"/>
    <w:rsid w:val="00786CD3"/>
    <w:rsid w:val="00786D83"/>
    <w:rsid w:val="007877F0"/>
    <w:rsid w:val="00787C39"/>
    <w:rsid w:val="007901BE"/>
    <w:rsid w:val="00791716"/>
    <w:rsid w:val="00792416"/>
    <w:rsid w:val="00792F09"/>
    <w:rsid w:val="00793985"/>
    <w:rsid w:val="00795D18"/>
    <w:rsid w:val="00795DF3"/>
    <w:rsid w:val="007A332A"/>
    <w:rsid w:val="007A373C"/>
    <w:rsid w:val="007A40F2"/>
    <w:rsid w:val="007A49FF"/>
    <w:rsid w:val="007A57C9"/>
    <w:rsid w:val="007A6008"/>
    <w:rsid w:val="007A64D2"/>
    <w:rsid w:val="007B0FB5"/>
    <w:rsid w:val="007B115F"/>
    <w:rsid w:val="007B219F"/>
    <w:rsid w:val="007B225C"/>
    <w:rsid w:val="007B26EE"/>
    <w:rsid w:val="007B489D"/>
    <w:rsid w:val="007B5068"/>
    <w:rsid w:val="007B5656"/>
    <w:rsid w:val="007B5BFB"/>
    <w:rsid w:val="007B7AAD"/>
    <w:rsid w:val="007C0B45"/>
    <w:rsid w:val="007C0DF3"/>
    <w:rsid w:val="007C2705"/>
    <w:rsid w:val="007C284C"/>
    <w:rsid w:val="007C2CC6"/>
    <w:rsid w:val="007C2E18"/>
    <w:rsid w:val="007C5B42"/>
    <w:rsid w:val="007C6ECB"/>
    <w:rsid w:val="007C71C3"/>
    <w:rsid w:val="007C75B1"/>
    <w:rsid w:val="007D0E87"/>
    <w:rsid w:val="007D1184"/>
    <w:rsid w:val="007D2A1C"/>
    <w:rsid w:val="007D2A61"/>
    <w:rsid w:val="007D3128"/>
    <w:rsid w:val="007D3D17"/>
    <w:rsid w:val="007D3DFC"/>
    <w:rsid w:val="007D3F06"/>
    <w:rsid w:val="007D6A46"/>
    <w:rsid w:val="007E0120"/>
    <w:rsid w:val="007E1AF1"/>
    <w:rsid w:val="007E2510"/>
    <w:rsid w:val="007E2F07"/>
    <w:rsid w:val="007E3374"/>
    <w:rsid w:val="007E47E6"/>
    <w:rsid w:val="007E4B41"/>
    <w:rsid w:val="007E53D8"/>
    <w:rsid w:val="007E5A57"/>
    <w:rsid w:val="007E7AD0"/>
    <w:rsid w:val="007E7CCC"/>
    <w:rsid w:val="007F02CA"/>
    <w:rsid w:val="007F137D"/>
    <w:rsid w:val="007F1761"/>
    <w:rsid w:val="007F1B67"/>
    <w:rsid w:val="007F321D"/>
    <w:rsid w:val="007F7E35"/>
    <w:rsid w:val="008011FC"/>
    <w:rsid w:val="008022B5"/>
    <w:rsid w:val="008026DC"/>
    <w:rsid w:val="00803A89"/>
    <w:rsid w:val="0080517E"/>
    <w:rsid w:val="00805EB5"/>
    <w:rsid w:val="0080776D"/>
    <w:rsid w:val="00807AF1"/>
    <w:rsid w:val="00807F5E"/>
    <w:rsid w:val="00810145"/>
    <w:rsid w:val="008108FA"/>
    <w:rsid w:val="00810BC0"/>
    <w:rsid w:val="00810FF1"/>
    <w:rsid w:val="00811479"/>
    <w:rsid w:val="0081156E"/>
    <w:rsid w:val="00811CFC"/>
    <w:rsid w:val="00813412"/>
    <w:rsid w:val="00815A65"/>
    <w:rsid w:val="00815D04"/>
    <w:rsid w:val="00816F4E"/>
    <w:rsid w:val="00817266"/>
    <w:rsid w:val="00820360"/>
    <w:rsid w:val="0082038A"/>
    <w:rsid w:val="0082147F"/>
    <w:rsid w:val="0082190F"/>
    <w:rsid w:val="00822336"/>
    <w:rsid w:val="00823587"/>
    <w:rsid w:val="00823B09"/>
    <w:rsid w:val="00823DF6"/>
    <w:rsid w:val="00823DFA"/>
    <w:rsid w:val="00824315"/>
    <w:rsid w:val="008268E2"/>
    <w:rsid w:val="00826A8E"/>
    <w:rsid w:val="00826C56"/>
    <w:rsid w:val="00827397"/>
    <w:rsid w:val="00830CF9"/>
    <w:rsid w:val="0083112D"/>
    <w:rsid w:val="008317CE"/>
    <w:rsid w:val="00831B15"/>
    <w:rsid w:val="00831E63"/>
    <w:rsid w:val="008321D9"/>
    <w:rsid w:val="008332DD"/>
    <w:rsid w:val="008342A3"/>
    <w:rsid w:val="00835A7E"/>
    <w:rsid w:val="00835C22"/>
    <w:rsid w:val="00840150"/>
    <w:rsid w:val="008402C3"/>
    <w:rsid w:val="00840E43"/>
    <w:rsid w:val="00840F65"/>
    <w:rsid w:val="0084198D"/>
    <w:rsid w:val="008426F0"/>
    <w:rsid w:val="00842D8D"/>
    <w:rsid w:val="00843752"/>
    <w:rsid w:val="0084479F"/>
    <w:rsid w:val="0084554D"/>
    <w:rsid w:val="0084764D"/>
    <w:rsid w:val="0084791A"/>
    <w:rsid w:val="00847DD5"/>
    <w:rsid w:val="008507AE"/>
    <w:rsid w:val="00850C09"/>
    <w:rsid w:val="0085118E"/>
    <w:rsid w:val="00852378"/>
    <w:rsid w:val="00853DE6"/>
    <w:rsid w:val="0085576E"/>
    <w:rsid w:val="00855975"/>
    <w:rsid w:val="00855F1E"/>
    <w:rsid w:val="0085725E"/>
    <w:rsid w:val="008601CF"/>
    <w:rsid w:val="0086207E"/>
    <w:rsid w:val="00862C02"/>
    <w:rsid w:val="00863020"/>
    <w:rsid w:val="00863248"/>
    <w:rsid w:val="008635FD"/>
    <w:rsid w:val="00866DD9"/>
    <w:rsid w:val="00867D0D"/>
    <w:rsid w:val="00870B5A"/>
    <w:rsid w:val="00870D58"/>
    <w:rsid w:val="00871BAF"/>
    <w:rsid w:val="00872798"/>
    <w:rsid w:val="00873599"/>
    <w:rsid w:val="00873DBB"/>
    <w:rsid w:val="0087481A"/>
    <w:rsid w:val="00874EE0"/>
    <w:rsid w:val="0087732D"/>
    <w:rsid w:val="008773FE"/>
    <w:rsid w:val="00881C84"/>
    <w:rsid w:val="008840FE"/>
    <w:rsid w:val="008841F0"/>
    <w:rsid w:val="00884DEB"/>
    <w:rsid w:val="008850C0"/>
    <w:rsid w:val="00885322"/>
    <w:rsid w:val="00885B09"/>
    <w:rsid w:val="00885CD1"/>
    <w:rsid w:val="008867E6"/>
    <w:rsid w:val="008870CD"/>
    <w:rsid w:val="00887636"/>
    <w:rsid w:val="008879EB"/>
    <w:rsid w:val="0089118C"/>
    <w:rsid w:val="008918ED"/>
    <w:rsid w:val="00891940"/>
    <w:rsid w:val="00892400"/>
    <w:rsid w:val="00892473"/>
    <w:rsid w:val="008929AF"/>
    <w:rsid w:val="008936EF"/>
    <w:rsid w:val="00893917"/>
    <w:rsid w:val="008942FF"/>
    <w:rsid w:val="00895375"/>
    <w:rsid w:val="00897AE4"/>
    <w:rsid w:val="00897D38"/>
    <w:rsid w:val="008A209D"/>
    <w:rsid w:val="008A22BB"/>
    <w:rsid w:val="008A4750"/>
    <w:rsid w:val="008A4D24"/>
    <w:rsid w:val="008A515F"/>
    <w:rsid w:val="008A57DC"/>
    <w:rsid w:val="008A5BB4"/>
    <w:rsid w:val="008A6A23"/>
    <w:rsid w:val="008B0A16"/>
    <w:rsid w:val="008B0E29"/>
    <w:rsid w:val="008B0EFA"/>
    <w:rsid w:val="008B10C7"/>
    <w:rsid w:val="008B1237"/>
    <w:rsid w:val="008B1362"/>
    <w:rsid w:val="008B15EF"/>
    <w:rsid w:val="008B1A9C"/>
    <w:rsid w:val="008B2311"/>
    <w:rsid w:val="008B30AB"/>
    <w:rsid w:val="008B310D"/>
    <w:rsid w:val="008B318C"/>
    <w:rsid w:val="008B3288"/>
    <w:rsid w:val="008B3D85"/>
    <w:rsid w:val="008B4219"/>
    <w:rsid w:val="008B48EA"/>
    <w:rsid w:val="008B4941"/>
    <w:rsid w:val="008B4D7C"/>
    <w:rsid w:val="008B54A8"/>
    <w:rsid w:val="008B5D1A"/>
    <w:rsid w:val="008B5D92"/>
    <w:rsid w:val="008C0671"/>
    <w:rsid w:val="008C0C49"/>
    <w:rsid w:val="008C11AE"/>
    <w:rsid w:val="008C4053"/>
    <w:rsid w:val="008C6A1C"/>
    <w:rsid w:val="008C6E42"/>
    <w:rsid w:val="008C7399"/>
    <w:rsid w:val="008C73CD"/>
    <w:rsid w:val="008C7692"/>
    <w:rsid w:val="008C7E7E"/>
    <w:rsid w:val="008D0780"/>
    <w:rsid w:val="008D1BB1"/>
    <w:rsid w:val="008D3EAE"/>
    <w:rsid w:val="008D3F32"/>
    <w:rsid w:val="008D43A7"/>
    <w:rsid w:val="008D5228"/>
    <w:rsid w:val="008D577B"/>
    <w:rsid w:val="008D7230"/>
    <w:rsid w:val="008D7FDE"/>
    <w:rsid w:val="008E069E"/>
    <w:rsid w:val="008E2A9F"/>
    <w:rsid w:val="008E2F63"/>
    <w:rsid w:val="008E527B"/>
    <w:rsid w:val="008E5F55"/>
    <w:rsid w:val="008E6193"/>
    <w:rsid w:val="008E6CE4"/>
    <w:rsid w:val="008E6D8B"/>
    <w:rsid w:val="008E6ED1"/>
    <w:rsid w:val="008F17B8"/>
    <w:rsid w:val="008F1DFE"/>
    <w:rsid w:val="008F5183"/>
    <w:rsid w:val="008F560A"/>
    <w:rsid w:val="008F7803"/>
    <w:rsid w:val="008F7BE9"/>
    <w:rsid w:val="009001A8"/>
    <w:rsid w:val="0090062B"/>
    <w:rsid w:val="00900CAA"/>
    <w:rsid w:val="009011FD"/>
    <w:rsid w:val="00902966"/>
    <w:rsid w:val="0090408C"/>
    <w:rsid w:val="00904E5B"/>
    <w:rsid w:val="00905838"/>
    <w:rsid w:val="00905DEF"/>
    <w:rsid w:val="00905E73"/>
    <w:rsid w:val="00906899"/>
    <w:rsid w:val="009115BD"/>
    <w:rsid w:val="00911648"/>
    <w:rsid w:val="00913462"/>
    <w:rsid w:val="009135BD"/>
    <w:rsid w:val="00913B43"/>
    <w:rsid w:val="00913BEA"/>
    <w:rsid w:val="00914652"/>
    <w:rsid w:val="0091481E"/>
    <w:rsid w:val="009148CC"/>
    <w:rsid w:val="00914C3D"/>
    <w:rsid w:val="009158A6"/>
    <w:rsid w:val="00915ACA"/>
    <w:rsid w:val="00915DAD"/>
    <w:rsid w:val="00915E7E"/>
    <w:rsid w:val="00916098"/>
    <w:rsid w:val="009202FF"/>
    <w:rsid w:val="00920DD0"/>
    <w:rsid w:val="00920DF9"/>
    <w:rsid w:val="009218BC"/>
    <w:rsid w:val="00921E1E"/>
    <w:rsid w:val="00921FEC"/>
    <w:rsid w:val="0092217C"/>
    <w:rsid w:val="0092291C"/>
    <w:rsid w:val="00922B42"/>
    <w:rsid w:val="00923781"/>
    <w:rsid w:val="00926090"/>
    <w:rsid w:val="0092612D"/>
    <w:rsid w:val="00927006"/>
    <w:rsid w:val="00927138"/>
    <w:rsid w:val="009271A2"/>
    <w:rsid w:val="00927787"/>
    <w:rsid w:val="009279C9"/>
    <w:rsid w:val="00930203"/>
    <w:rsid w:val="00930E67"/>
    <w:rsid w:val="009311D2"/>
    <w:rsid w:val="009311E6"/>
    <w:rsid w:val="00931275"/>
    <w:rsid w:val="009321F9"/>
    <w:rsid w:val="00934F83"/>
    <w:rsid w:val="009367B2"/>
    <w:rsid w:val="00936A28"/>
    <w:rsid w:val="00936AC7"/>
    <w:rsid w:val="00937742"/>
    <w:rsid w:val="00941176"/>
    <w:rsid w:val="0094120B"/>
    <w:rsid w:val="00941402"/>
    <w:rsid w:val="00941853"/>
    <w:rsid w:val="009432C2"/>
    <w:rsid w:val="00943DE2"/>
    <w:rsid w:val="009443E5"/>
    <w:rsid w:val="009443EE"/>
    <w:rsid w:val="0094451D"/>
    <w:rsid w:val="00944ED8"/>
    <w:rsid w:val="00945AFF"/>
    <w:rsid w:val="00945CB1"/>
    <w:rsid w:val="0094711B"/>
    <w:rsid w:val="00950352"/>
    <w:rsid w:val="009508F6"/>
    <w:rsid w:val="009517BF"/>
    <w:rsid w:val="00951BAF"/>
    <w:rsid w:val="0095215D"/>
    <w:rsid w:val="00952E65"/>
    <w:rsid w:val="00953983"/>
    <w:rsid w:val="00953B64"/>
    <w:rsid w:val="009546EF"/>
    <w:rsid w:val="00955570"/>
    <w:rsid w:val="009562B3"/>
    <w:rsid w:val="00956459"/>
    <w:rsid w:val="00956B64"/>
    <w:rsid w:val="00956FA9"/>
    <w:rsid w:val="00957AD0"/>
    <w:rsid w:val="00960027"/>
    <w:rsid w:val="00960482"/>
    <w:rsid w:val="00960E49"/>
    <w:rsid w:val="009612C5"/>
    <w:rsid w:val="00962405"/>
    <w:rsid w:val="0096307E"/>
    <w:rsid w:val="00963544"/>
    <w:rsid w:val="0096420E"/>
    <w:rsid w:val="00964781"/>
    <w:rsid w:val="009649CE"/>
    <w:rsid w:val="00964A69"/>
    <w:rsid w:val="0096582E"/>
    <w:rsid w:val="00965F7C"/>
    <w:rsid w:val="00966559"/>
    <w:rsid w:val="009709DD"/>
    <w:rsid w:val="00970DAF"/>
    <w:rsid w:val="0097244E"/>
    <w:rsid w:val="00973764"/>
    <w:rsid w:val="009746E1"/>
    <w:rsid w:val="00974D6E"/>
    <w:rsid w:val="00974DBF"/>
    <w:rsid w:val="009775B4"/>
    <w:rsid w:val="00977F8D"/>
    <w:rsid w:val="009827B9"/>
    <w:rsid w:val="00982F62"/>
    <w:rsid w:val="00983387"/>
    <w:rsid w:val="00983DB2"/>
    <w:rsid w:val="00986DC0"/>
    <w:rsid w:val="00987C3F"/>
    <w:rsid w:val="009917BB"/>
    <w:rsid w:val="0099190F"/>
    <w:rsid w:val="009922BB"/>
    <w:rsid w:val="00992A8F"/>
    <w:rsid w:val="00992B16"/>
    <w:rsid w:val="00993693"/>
    <w:rsid w:val="009936AF"/>
    <w:rsid w:val="00994E3D"/>
    <w:rsid w:val="00994E97"/>
    <w:rsid w:val="00995000"/>
    <w:rsid w:val="009966C6"/>
    <w:rsid w:val="0099777B"/>
    <w:rsid w:val="0099777F"/>
    <w:rsid w:val="00997E89"/>
    <w:rsid w:val="009A1674"/>
    <w:rsid w:val="009A16A3"/>
    <w:rsid w:val="009A2231"/>
    <w:rsid w:val="009A33CE"/>
    <w:rsid w:val="009A6FF1"/>
    <w:rsid w:val="009B07D1"/>
    <w:rsid w:val="009B0825"/>
    <w:rsid w:val="009B18A4"/>
    <w:rsid w:val="009B18B9"/>
    <w:rsid w:val="009B223C"/>
    <w:rsid w:val="009B376F"/>
    <w:rsid w:val="009B47FD"/>
    <w:rsid w:val="009B703E"/>
    <w:rsid w:val="009C081E"/>
    <w:rsid w:val="009C14D2"/>
    <w:rsid w:val="009C15D0"/>
    <w:rsid w:val="009C1722"/>
    <w:rsid w:val="009C180B"/>
    <w:rsid w:val="009C1F68"/>
    <w:rsid w:val="009C255B"/>
    <w:rsid w:val="009C25F6"/>
    <w:rsid w:val="009C29FA"/>
    <w:rsid w:val="009C2DBF"/>
    <w:rsid w:val="009C4DD2"/>
    <w:rsid w:val="009C5398"/>
    <w:rsid w:val="009C580C"/>
    <w:rsid w:val="009C6548"/>
    <w:rsid w:val="009C684F"/>
    <w:rsid w:val="009D074C"/>
    <w:rsid w:val="009D23DE"/>
    <w:rsid w:val="009D2AD5"/>
    <w:rsid w:val="009D3081"/>
    <w:rsid w:val="009D3B36"/>
    <w:rsid w:val="009D4661"/>
    <w:rsid w:val="009D5498"/>
    <w:rsid w:val="009D563D"/>
    <w:rsid w:val="009D5FC3"/>
    <w:rsid w:val="009D6BAA"/>
    <w:rsid w:val="009D6F9A"/>
    <w:rsid w:val="009D6FFD"/>
    <w:rsid w:val="009D701C"/>
    <w:rsid w:val="009D7CF5"/>
    <w:rsid w:val="009E162D"/>
    <w:rsid w:val="009E244C"/>
    <w:rsid w:val="009E6A65"/>
    <w:rsid w:val="009E6DA3"/>
    <w:rsid w:val="009E6FEA"/>
    <w:rsid w:val="009E7B0A"/>
    <w:rsid w:val="009F157F"/>
    <w:rsid w:val="009F1C3F"/>
    <w:rsid w:val="009F1E42"/>
    <w:rsid w:val="009F1F1D"/>
    <w:rsid w:val="009F2AD6"/>
    <w:rsid w:val="009F2B4F"/>
    <w:rsid w:val="009F35C2"/>
    <w:rsid w:val="009F5487"/>
    <w:rsid w:val="009F5583"/>
    <w:rsid w:val="009F5EA3"/>
    <w:rsid w:val="009F66B5"/>
    <w:rsid w:val="009F7574"/>
    <w:rsid w:val="00A00016"/>
    <w:rsid w:val="00A0054B"/>
    <w:rsid w:val="00A010E7"/>
    <w:rsid w:val="00A01404"/>
    <w:rsid w:val="00A017CD"/>
    <w:rsid w:val="00A026F6"/>
    <w:rsid w:val="00A02C32"/>
    <w:rsid w:val="00A02D6C"/>
    <w:rsid w:val="00A03926"/>
    <w:rsid w:val="00A0523A"/>
    <w:rsid w:val="00A0594F"/>
    <w:rsid w:val="00A05EC2"/>
    <w:rsid w:val="00A0783B"/>
    <w:rsid w:val="00A079D7"/>
    <w:rsid w:val="00A07B0C"/>
    <w:rsid w:val="00A11621"/>
    <w:rsid w:val="00A13517"/>
    <w:rsid w:val="00A13D58"/>
    <w:rsid w:val="00A14404"/>
    <w:rsid w:val="00A158A4"/>
    <w:rsid w:val="00A16221"/>
    <w:rsid w:val="00A203F1"/>
    <w:rsid w:val="00A20A7D"/>
    <w:rsid w:val="00A20B8F"/>
    <w:rsid w:val="00A2150C"/>
    <w:rsid w:val="00A21584"/>
    <w:rsid w:val="00A21DAC"/>
    <w:rsid w:val="00A21DF1"/>
    <w:rsid w:val="00A2311D"/>
    <w:rsid w:val="00A24537"/>
    <w:rsid w:val="00A2464A"/>
    <w:rsid w:val="00A252C6"/>
    <w:rsid w:val="00A25E3E"/>
    <w:rsid w:val="00A2659A"/>
    <w:rsid w:val="00A26B9D"/>
    <w:rsid w:val="00A3052E"/>
    <w:rsid w:val="00A30801"/>
    <w:rsid w:val="00A31457"/>
    <w:rsid w:val="00A3414F"/>
    <w:rsid w:val="00A34519"/>
    <w:rsid w:val="00A35D42"/>
    <w:rsid w:val="00A3636E"/>
    <w:rsid w:val="00A36456"/>
    <w:rsid w:val="00A36EC8"/>
    <w:rsid w:val="00A409DE"/>
    <w:rsid w:val="00A4100C"/>
    <w:rsid w:val="00A41538"/>
    <w:rsid w:val="00A41713"/>
    <w:rsid w:val="00A4184F"/>
    <w:rsid w:val="00A4192C"/>
    <w:rsid w:val="00A41A94"/>
    <w:rsid w:val="00A42AFC"/>
    <w:rsid w:val="00A43272"/>
    <w:rsid w:val="00A4338F"/>
    <w:rsid w:val="00A43BBF"/>
    <w:rsid w:val="00A43D1E"/>
    <w:rsid w:val="00A43E05"/>
    <w:rsid w:val="00A46CCF"/>
    <w:rsid w:val="00A47CBA"/>
    <w:rsid w:val="00A47E30"/>
    <w:rsid w:val="00A47F4D"/>
    <w:rsid w:val="00A50CDD"/>
    <w:rsid w:val="00A52136"/>
    <w:rsid w:val="00A53451"/>
    <w:rsid w:val="00A54C58"/>
    <w:rsid w:val="00A550A2"/>
    <w:rsid w:val="00A5523B"/>
    <w:rsid w:val="00A56A97"/>
    <w:rsid w:val="00A56FD0"/>
    <w:rsid w:val="00A57AAA"/>
    <w:rsid w:val="00A602DB"/>
    <w:rsid w:val="00A627F8"/>
    <w:rsid w:val="00A62DF9"/>
    <w:rsid w:val="00A630DE"/>
    <w:rsid w:val="00A64F5B"/>
    <w:rsid w:val="00A6621F"/>
    <w:rsid w:val="00A66357"/>
    <w:rsid w:val="00A66A53"/>
    <w:rsid w:val="00A679AD"/>
    <w:rsid w:val="00A67D14"/>
    <w:rsid w:val="00A700F1"/>
    <w:rsid w:val="00A70317"/>
    <w:rsid w:val="00A70426"/>
    <w:rsid w:val="00A70D50"/>
    <w:rsid w:val="00A71794"/>
    <w:rsid w:val="00A72637"/>
    <w:rsid w:val="00A750CC"/>
    <w:rsid w:val="00A763F7"/>
    <w:rsid w:val="00A77AF9"/>
    <w:rsid w:val="00A80E0E"/>
    <w:rsid w:val="00A82751"/>
    <w:rsid w:val="00A83218"/>
    <w:rsid w:val="00A84494"/>
    <w:rsid w:val="00A85A5F"/>
    <w:rsid w:val="00A86227"/>
    <w:rsid w:val="00A86C4F"/>
    <w:rsid w:val="00A90361"/>
    <w:rsid w:val="00A906EC"/>
    <w:rsid w:val="00A91E10"/>
    <w:rsid w:val="00A91E9A"/>
    <w:rsid w:val="00A92F35"/>
    <w:rsid w:val="00A93ED9"/>
    <w:rsid w:val="00A93F7D"/>
    <w:rsid w:val="00A94F6A"/>
    <w:rsid w:val="00A96221"/>
    <w:rsid w:val="00A970CF"/>
    <w:rsid w:val="00A97D33"/>
    <w:rsid w:val="00AA1223"/>
    <w:rsid w:val="00AA2C40"/>
    <w:rsid w:val="00AA657D"/>
    <w:rsid w:val="00AA66B7"/>
    <w:rsid w:val="00AA66DE"/>
    <w:rsid w:val="00AA7F22"/>
    <w:rsid w:val="00AB2BD1"/>
    <w:rsid w:val="00AB52AD"/>
    <w:rsid w:val="00AB5EEA"/>
    <w:rsid w:val="00AC00BE"/>
    <w:rsid w:val="00AC0A69"/>
    <w:rsid w:val="00AC0F06"/>
    <w:rsid w:val="00AC1AFE"/>
    <w:rsid w:val="00AC2668"/>
    <w:rsid w:val="00AC2F24"/>
    <w:rsid w:val="00AC2F69"/>
    <w:rsid w:val="00AC4334"/>
    <w:rsid w:val="00AC500C"/>
    <w:rsid w:val="00AC547E"/>
    <w:rsid w:val="00AC67C4"/>
    <w:rsid w:val="00AC6A99"/>
    <w:rsid w:val="00AC6AFE"/>
    <w:rsid w:val="00AD0F31"/>
    <w:rsid w:val="00AD154D"/>
    <w:rsid w:val="00AD27F3"/>
    <w:rsid w:val="00AD28AF"/>
    <w:rsid w:val="00AD3C10"/>
    <w:rsid w:val="00AD4D69"/>
    <w:rsid w:val="00AD4DFF"/>
    <w:rsid w:val="00AD52A5"/>
    <w:rsid w:val="00AD5A5D"/>
    <w:rsid w:val="00AD6834"/>
    <w:rsid w:val="00AD7477"/>
    <w:rsid w:val="00AD7FBE"/>
    <w:rsid w:val="00AE298D"/>
    <w:rsid w:val="00AE3D9D"/>
    <w:rsid w:val="00AE3F41"/>
    <w:rsid w:val="00AE6392"/>
    <w:rsid w:val="00AE6550"/>
    <w:rsid w:val="00AE68B1"/>
    <w:rsid w:val="00AE6A9D"/>
    <w:rsid w:val="00AE7343"/>
    <w:rsid w:val="00AE7CF8"/>
    <w:rsid w:val="00AF0B2A"/>
    <w:rsid w:val="00AF1449"/>
    <w:rsid w:val="00AF3060"/>
    <w:rsid w:val="00AF4357"/>
    <w:rsid w:val="00AF45BB"/>
    <w:rsid w:val="00AF4D03"/>
    <w:rsid w:val="00AF5A99"/>
    <w:rsid w:val="00AF6953"/>
    <w:rsid w:val="00AF78C9"/>
    <w:rsid w:val="00AF7C74"/>
    <w:rsid w:val="00AF7D77"/>
    <w:rsid w:val="00B018F5"/>
    <w:rsid w:val="00B02176"/>
    <w:rsid w:val="00B02B42"/>
    <w:rsid w:val="00B02E7B"/>
    <w:rsid w:val="00B055EF"/>
    <w:rsid w:val="00B1026C"/>
    <w:rsid w:val="00B12310"/>
    <w:rsid w:val="00B128C1"/>
    <w:rsid w:val="00B1290B"/>
    <w:rsid w:val="00B13430"/>
    <w:rsid w:val="00B13CA4"/>
    <w:rsid w:val="00B144D4"/>
    <w:rsid w:val="00B14CD2"/>
    <w:rsid w:val="00B150E1"/>
    <w:rsid w:val="00B15446"/>
    <w:rsid w:val="00B21BC1"/>
    <w:rsid w:val="00B223B9"/>
    <w:rsid w:val="00B23238"/>
    <w:rsid w:val="00B23769"/>
    <w:rsid w:val="00B2409B"/>
    <w:rsid w:val="00B25085"/>
    <w:rsid w:val="00B2558B"/>
    <w:rsid w:val="00B2664C"/>
    <w:rsid w:val="00B27224"/>
    <w:rsid w:val="00B2738C"/>
    <w:rsid w:val="00B27D9D"/>
    <w:rsid w:val="00B32CAA"/>
    <w:rsid w:val="00B33779"/>
    <w:rsid w:val="00B33C42"/>
    <w:rsid w:val="00B33C6B"/>
    <w:rsid w:val="00B34F04"/>
    <w:rsid w:val="00B40403"/>
    <w:rsid w:val="00B405DB"/>
    <w:rsid w:val="00B43A1B"/>
    <w:rsid w:val="00B446E0"/>
    <w:rsid w:val="00B45959"/>
    <w:rsid w:val="00B46823"/>
    <w:rsid w:val="00B46A62"/>
    <w:rsid w:val="00B474C4"/>
    <w:rsid w:val="00B50041"/>
    <w:rsid w:val="00B50470"/>
    <w:rsid w:val="00B50BD3"/>
    <w:rsid w:val="00B50F4A"/>
    <w:rsid w:val="00B51734"/>
    <w:rsid w:val="00B51B8E"/>
    <w:rsid w:val="00B52234"/>
    <w:rsid w:val="00B53302"/>
    <w:rsid w:val="00B53BFB"/>
    <w:rsid w:val="00B55603"/>
    <w:rsid w:val="00B559C9"/>
    <w:rsid w:val="00B55D42"/>
    <w:rsid w:val="00B56DFB"/>
    <w:rsid w:val="00B5702D"/>
    <w:rsid w:val="00B62D5E"/>
    <w:rsid w:val="00B63ABE"/>
    <w:rsid w:val="00B64471"/>
    <w:rsid w:val="00B65454"/>
    <w:rsid w:val="00B67BBE"/>
    <w:rsid w:val="00B70750"/>
    <w:rsid w:val="00B70899"/>
    <w:rsid w:val="00B71002"/>
    <w:rsid w:val="00B71061"/>
    <w:rsid w:val="00B7116E"/>
    <w:rsid w:val="00B757E4"/>
    <w:rsid w:val="00B7603E"/>
    <w:rsid w:val="00B763CB"/>
    <w:rsid w:val="00B76907"/>
    <w:rsid w:val="00B77614"/>
    <w:rsid w:val="00B77CA4"/>
    <w:rsid w:val="00B80907"/>
    <w:rsid w:val="00B80EB7"/>
    <w:rsid w:val="00B81075"/>
    <w:rsid w:val="00B81409"/>
    <w:rsid w:val="00B81808"/>
    <w:rsid w:val="00B85000"/>
    <w:rsid w:val="00B85F16"/>
    <w:rsid w:val="00B863E5"/>
    <w:rsid w:val="00B86414"/>
    <w:rsid w:val="00B86DFA"/>
    <w:rsid w:val="00B872E6"/>
    <w:rsid w:val="00B87B31"/>
    <w:rsid w:val="00B91901"/>
    <w:rsid w:val="00B91BB1"/>
    <w:rsid w:val="00B920E9"/>
    <w:rsid w:val="00B92406"/>
    <w:rsid w:val="00B92818"/>
    <w:rsid w:val="00B92EBE"/>
    <w:rsid w:val="00B93137"/>
    <w:rsid w:val="00B936D0"/>
    <w:rsid w:val="00B956E3"/>
    <w:rsid w:val="00B959FF"/>
    <w:rsid w:val="00B9636D"/>
    <w:rsid w:val="00B9653B"/>
    <w:rsid w:val="00B97142"/>
    <w:rsid w:val="00BA10CA"/>
    <w:rsid w:val="00BA1529"/>
    <w:rsid w:val="00BA2856"/>
    <w:rsid w:val="00BA2857"/>
    <w:rsid w:val="00BA34C5"/>
    <w:rsid w:val="00BA3648"/>
    <w:rsid w:val="00BA5BD3"/>
    <w:rsid w:val="00BA6411"/>
    <w:rsid w:val="00BA643B"/>
    <w:rsid w:val="00BA75BB"/>
    <w:rsid w:val="00BB0D7D"/>
    <w:rsid w:val="00BB20E5"/>
    <w:rsid w:val="00BB24F5"/>
    <w:rsid w:val="00BB2B89"/>
    <w:rsid w:val="00BB3B25"/>
    <w:rsid w:val="00BB4F64"/>
    <w:rsid w:val="00BB4F87"/>
    <w:rsid w:val="00BB56FE"/>
    <w:rsid w:val="00BB6333"/>
    <w:rsid w:val="00BC02B0"/>
    <w:rsid w:val="00BC32D3"/>
    <w:rsid w:val="00BC46B0"/>
    <w:rsid w:val="00BC57F4"/>
    <w:rsid w:val="00BC5992"/>
    <w:rsid w:val="00BC6155"/>
    <w:rsid w:val="00BC730D"/>
    <w:rsid w:val="00BD0304"/>
    <w:rsid w:val="00BD052B"/>
    <w:rsid w:val="00BD0947"/>
    <w:rsid w:val="00BD097A"/>
    <w:rsid w:val="00BD0C0D"/>
    <w:rsid w:val="00BD1038"/>
    <w:rsid w:val="00BD1AE5"/>
    <w:rsid w:val="00BD3D5B"/>
    <w:rsid w:val="00BD589D"/>
    <w:rsid w:val="00BD6002"/>
    <w:rsid w:val="00BD63CD"/>
    <w:rsid w:val="00BD78D6"/>
    <w:rsid w:val="00BE0316"/>
    <w:rsid w:val="00BE0BA5"/>
    <w:rsid w:val="00BE17AC"/>
    <w:rsid w:val="00BE17FA"/>
    <w:rsid w:val="00BE2D26"/>
    <w:rsid w:val="00BE3600"/>
    <w:rsid w:val="00BE584C"/>
    <w:rsid w:val="00BE5A51"/>
    <w:rsid w:val="00BE6E5B"/>
    <w:rsid w:val="00BE6ECF"/>
    <w:rsid w:val="00BE734F"/>
    <w:rsid w:val="00BF085B"/>
    <w:rsid w:val="00BF0970"/>
    <w:rsid w:val="00BF0974"/>
    <w:rsid w:val="00BF13D5"/>
    <w:rsid w:val="00BF1AA0"/>
    <w:rsid w:val="00BF250A"/>
    <w:rsid w:val="00BF4A53"/>
    <w:rsid w:val="00BF5296"/>
    <w:rsid w:val="00BF5396"/>
    <w:rsid w:val="00BF54BE"/>
    <w:rsid w:val="00BF59D1"/>
    <w:rsid w:val="00BF6312"/>
    <w:rsid w:val="00BF6642"/>
    <w:rsid w:val="00BF762C"/>
    <w:rsid w:val="00C006EC"/>
    <w:rsid w:val="00C0140C"/>
    <w:rsid w:val="00C01E1F"/>
    <w:rsid w:val="00C01F6F"/>
    <w:rsid w:val="00C034E0"/>
    <w:rsid w:val="00C046B9"/>
    <w:rsid w:val="00C04840"/>
    <w:rsid w:val="00C05BA6"/>
    <w:rsid w:val="00C05BD4"/>
    <w:rsid w:val="00C061FB"/>
    <w:rsid w:val="00C06B2D"/>
    <w:rsid w:val="00C1116B"/>
    <w:rsid w:val="00C11CB8"/>
    <w:rsid w:val="00C124C3"/>
    <w:rsid w:val="00C12E5B"/>
    <w:rsid w:val="00C13775"/>
    <w:rsid w:val="00C14420"/>
    <w:rsid w:val="00C149AB"/>
    <w:rsid w:val="00C153DF"/>
    <w:rsid w:val="00C15FF1"/>
    <w:rsid w:val="00C16C5E"/>
    <w:rsid w:val="00C16EFE"/>
    <w:rsid w:val="00C208AF"/>
    <w:rsid w:val="00C20F09"/>
    <w:rsid w:val="00C21140"/>
    <w:rsid w:val="00C24147"/>
    <w:rsid w:val="00C24D41"/>
    <w:rsid w:val="00C25AED"/>
    <w:rsid w:val="00C25C61"/>
    <w:rsid w:val="00C268D0"/>
    <w:rsid w:val="00C26D4B"/>
    <w:rsid w:val="00C2757D"/>
    <w:rsid w:val="00C27A37"/>
    <w:rsid w:val="00C27E26"/>
    <w:rsid w:val="00C3129A"/>
    <w:rsid w:val="00C31CC9"/>
    <w:rsid w:val="00C32411"/>
    <w:rsid w:val="00C3260B"/>
    <w:rsid w:val="00C339A8"/>
    <w:rsid w:val="00C34367"/>
    <w:rsid w:val="00C3444E"/>
    <w:rsid w:val="00C34F96"/>
    <w:rsid w:val="00C35E2A"/>
    <w:rsid w:val="00C36020"/>
    <w:rsid w:val="00C36E87"/>
    <w:rsid w:val="00C37163"/>
    <w:rsid w:val="00C40151"/>
    <w:rsid w:val="00C40694"/>
    <w:rsid w:val="00C410C7"/>
    <w:rsid w:val="00C410F5"/>
    <w:rsid w:val="00C41523"/>
    <w:rsid w:val="00C41912"/>
    <w:rsid w:val="00C41E6A"/>
    <w:rsid w:val="00C42FF7"/>
    <w:rsid w:val="00C437C7"/>
    <w:rsid w:val="00C43A40"/>
    <w:rsid w:val="00C43C04"/>
    <w:rsid w:val="00C47AF7"/>
    <w:rsid w:val="00C47F00"/>
    <w:rsid w:val="00C50B15"/>
    <w:rsid w:val="00C50B2A"/>
    <w:rsid w:val="00C514E1"/>
    <w:rsid w:val="00C5222D"/>
    <w:rsid w:val="00C5294D"/>
    <w:rsid w:val="00C546DD"/>
    <w:rsid w:val="00C547AA"/>
    <w:rsid w:val="00C5580F"/>
    <w:rsid w:val="00C56E17"/>
    <w:rsid w:val="00C576D6"/>
    <w:rsid w:val="00C616A0"/>
    <w:rsid w:val="00C6357A"/>
    <w:rsid w:val="00C645FB"/>
    <w:rsid w:val="00C649F7"/>
    <w:rsid w:val="00C66E18"/>
    <w:rsid w:val="00C70542"/>
    <w:rsid w:val="00C72480"/>
    <w:rsid w:val="00C74326"/>
    <w:rsid w:val="00C74540"/>
    <w:rsid w:val="00C75CBF"/>
    <w:rsid w:val="00C76FA0"/>
    <w:rsid w:val="00C76FD4"/>
    <w:rsid w:val="00C8034A"/>
    <w:rsid w:val="00C80B9F"/>
    <w:rsid w:val="00C815B2"/>
    <w:rsid w:val="00C8245C"/>
    <w:rsid w:val="00C82CC4"/>
    <w:rsid w:val="00C82E4F"/>
    <w:rsid w:val="00C83221"/>
    <w:rsid w:val="00C83836"/>
    <w:rsid w:val="00C84711"/>
    <w:rsid w:val="00C84A8B"/>
    <w:rsid w:val="00C850B6"/>
    <w:rsid w:val="00C86580"/>
    <w:rsid w:val="00C86602"/>
    <w:rsid w:val="00C86A45"/>
    <w:rsid w:val="00C875D6"/>
    <w:rsid w:val="00C87BA5"/>
    <w:rsid w:val="00C90643"/>
    <w:rsid w:val="00C92030"/>
    <w:rsid w:val="00C92C08"/>
    <w:rsid w:val="00C9332C"/>
    <w:rsid w:val="00C947DC"/>
    <w:rsid w:val="00C94A83"/>
    <w:rsid w:val="00C95D59"/>
    <w:rsid w:val="00C974DF"/>
    <w:rsid w:val="00C977E5"/>
    <w:rsid w:val="00C97C8B"/>
    <w:rsid w:val="00CA045D"/>
    <w:rsid w:val="00CA06EB"/>
    <w:rsid w:val="00CA16B1"/>
    <w:rsid w:val="00CA2EDD"/>
    <w:rsid w:val="00CA33C3"/>
    <w:rsid w:val="00CA3417"/>
    <w:rsid w:val="00CA4815"/>
    <w:rsid w:val="00CA4B3D"/>
    <w:rsid w:val="00CA5000"/>
    <w:rsid w:val="00CA6945"/>
    <w:rsid w:val="00CA6D9D"/>
    <w:rsid w:val="00CA7C78"/>
    <w:rsid w:val="00CA7D32"/>
    <w:rsid w:val="00CB037B"/>
    <w:rsid w:val="00CB0D97"/>
    <w:rsid w:val="00CB1080"/>
    <w:rsid w:val="00CB1B1C"/>
    <w:rsid w:val="00CB2CEB"/>
    <w:rsid w:val="00CB389F"/>
    <w:rsid w:val="00CB3908"/>
    <w:rsid w:val="00CB50DD"/>
    <w:rsid w:val="00CB5C62"/>
    <w:rsid w:val="00CB5D22"/>
    <w:rsid w:val="00CB6E59"/>
    <w:rsid w:val="00CC01C7"/>
    <w:rsid w:val="00CC0629"/>
    <w:rsid w:val="00CC2894"/>
    <w:rsid w:val="00CC3FB6"/>
    <w:rsid w:val="00CC64FC"/>
    <w:rsid w:val="00CC69C6"/>
    <w:rsid w:val="00CC6AB4"/>
    <w:rsid w:val="00CC6C8D"/>
    <w:rsid w:val="00CC6F22"/>
    <w:rsid w:val="00CC7253"/>
    <w:rsid w:val="00CD0BFC"/>
    <w:rsid w:val="00CD1136"/>
    <w:rsid w:val="00CD2A3A"/>
    <w:rsid w:val="00CD2C4E"/>
    <w:rsid w:val="00CD77C3"/>
    <w:rsid w:val="00CD7901"/>
    <w:rsid w:val="00CE0957"/>
    <w:rsid w:val="00CE0FDC"/>
    <w:rsid w:val="00CE112C"/>
    <w:rsid w:val="00CE1902"/>
    <w:rsid w:val="00CE1E4C"/>
    <w:rsid w:val="00CE254B"/>
    <w:rsid w:val="00CE35F1"/>
    <w:rsid w:val="00CE4DEF"/>
    <w:rsid w:val="00CE77BD"/>
    <w:rsid w:val="00CE7F07"/>
    <w:rsid w:val="00CF038E"/>
    <w:rsid w:val="00CF061B"/>
    <w:rsid w:val="00CF0BC7"/>
    <w:rsid w:val="00CF1F49"/>
    <w:rsid w:val="00CF3805"/>
    <w:rsid w:val="00CF46D7"/>
    <w:rsid w:val="00CF5486"/>
    <w:rsid w:val="00CF55D4"/>
    <w:rsid w:val="00CF6B87"/>
    <w:rsid w:val="00CF7451"/>
    <w:rsid w:val="00CF7528"/>
    <w:rsid w:val="00CF7876"/>
    <w:rsid w:val="00CF7C5E"/>
    <w:rsid w:val="00CF7F9E"/>
    <w:rsid w:val="00D006F4"/>
    <w:rsid w:val="00D007CD"/>
    <w:rsid w:val="00D0135D"/>
    <w:rsid w:val="00D01B44"/>
    <w:rsid w:val="00D02228"/>
    <w:rsid w:val="00D03181"/>
    <w:rsid w:val="00D03349"/>
    <w:rsid w:val="00D034CA"/>
    <w:rsid w:val="00D06B0A"/>
    <w:rsid w:val="00D07960"/>
    <w:rsid w:val="00D10CFB"/>
    <w:rsid w:val="00D1115F"/>
    <w:rsid w:val="00D12B98"/>
    <w:rsid w:val="00D13E05"/>
    <w:rsid w:val="00D14C18"/>
    <w:rsid w:val="00D15D49"/>
    <w:rsid w:val="00D16593"/>
    <w:rsid w:val="00D16FA5"/>
    <w:rsid w:val="00D209FC"/>
    <w:rsid w:val="00D215DF"/>
    <w:rsid w:val="00D22657"/>
    <w:rsid w:val="00D23203"/>
    <w:rsid w:val="00D23E12"/>
    <w:rsid w:val="00D25F19"/>
    <w:rsid w:val="00D267F5"/>
    <w:rsid w:val="00D26FA9"/>
    <w:rsid w:val="00D30CA2"/>
    <w:rsid w:val="00D31384"/>
    <w:rsid w:val="00D3345B"/>
    <w:rsid w:val="00D340F7"/>
    <w:rsid w:val="00D35E71"/>
    <w:rsid w:val="00D364C4"/>
    <w:rsid w:val="00D40342"/>
    <w:rsid w:val="00D404B1"/>
    <w:rsid w:val="00D408E0"/>
    <w:rsid w:val="00D415D4"/>
    <w:rsid w:val="00D423F3"/>
    <w:rsid w:val="00D42A5D"/>
    <w:rsid w:val="00D47406"/>
    <w:rsid w:val="00D4775D"/>
    <w:rsid w:val="00D47FD5"/>
    <w:rsid w:val="00D5086F"/>
    <w:rsid w:val="00D510C7"/>
    <w:rsid w:val="00D52C62"/>
    <w:rsid w:val="00D534B7"/>
    <w:rsid w:val="00D53B9F"/>
    <w:rsid w:val="00D53C2A"/>
    <w:rsid w:val="00D53E73"/>
    <w:rsid w:val="00D557D2"/>
    <w:rsid w:val="00D55802"/>
    <w:rsid w:val="00D6028E"/>
    <w:rsid w:val="00D6069D"/>
    <w:rsid w:val="00D6077B"/>
    <w:rsid w:val="00D607E5"/>
    <w:rsid w:val="00D608DA"/>
    <w:rsid w:val="00D61559"/>
    <w:rsid w:val="00D624BE"/>
    <w:rsid w:val="00D634B8"/>
    <w:rsid w:val="00D641B2"/>
    <w:rsid w:val="00D6460B"/>
    <w:rsid w:val="00D64843"/>
    <w:rsid w:val="00D6565A"/>
    <w:rsid w:val="00D65A2C"/>
    <w:rsid w:val="00D70670"/>
    <w:rsid w:val="00D714EE"/>
    <w:rsid w:val="00D71C95"/>
    <w:rsid w:val="00D72889"/>
    <w:rsid w:val="00D730BF"/>
    <w:rsid w:val="00D74D0A"/>
    <w:rsid w:val="00D752A5"/>
    <w:rsid w:val="00D752CA"/>
    <w:rsid w:val="00D7598B"/>
    <w:rsid w:val="00D75C20"/>
    <w:rsid w:val="00D761CB"/>
    <w:rsid w:val="00D7726C"/>
    <w:rsid w:val="00D80E33"/>
    <w:rsid w:val="00D810F6"/>
    <w:rsid w:val="00D81268"/>
    <w:rsid w:val="00D81931"/>
    <w:rsid w:val="00D82921"/>
    <w:rsid w:val="00D8385B"/>
    <w:rsid w:val="00D841CD"/>
    <w:rsid w:val="00D848F7"/>
    <w:rsid w:val="00D86B56"/>
    <w:rsid w:val="00D87CEE"/>
    <w:rsid w:val="00D9236B"/>
    <w:rsid w:val="00D92B1F"/>
    <w:rsid w:val="00D9340A"/>
    <w:rsid w:val="00D938EA"/>
    <w:rsid w:val="00D93FAA"/>
    <w:rsid w:val="00D954B4"/>
    <w:rsid w:val="00D95A98"/>
    <w:rsid w:val="00D96042"/>
    <w:rsid w:val="00D96FA6"/>
    <w:rsid w:val="00D978F1"/>
    <w:rsid w:val="00DA17C9"/>
    <w:rsid w:val="00DA185B"/>
    <w:rsid w:val="00DA1873"/>
    <w:rsid w:val="00DA3B6A"/>
    <w:rsid w:val="00DA51E1"/>
    <w:rsid w:val="00DA5218"/>
    <w:rsid w:val="00DA6C83"/>
    <w:rsid w:val="00DB0EE9"/>
    <w:rsid w:val="00DB11B4"/>
    <w:rsid w:val="00DB1787"/>
    <w:rsid w:val="00DB660F"/>
    <w:rsid w:val="00DB6713"/>
    <w:rsid w:val="00DC0B17"/>
    <w:rsid w:val="00DC1A9B"/>
    <w:rsid w:val="00DC20C3"/>
    <w:rsid w:val="00DC3788"/>
    <w:rsid w:val="00DC3E0C"/>
    <w:rsid w:val="00DC446B"/>
    <w:rsid w:val="00DC4F5B"/>
    <w:rsid w:val="00DC76C7"/>
    <w:rsid w:val="00DD09F5"/>
    <w:rsid w:val="00DD1CF5"/>
    <w:rsid w:val="00DD2C65"/>
    <w:rsid w:val="00DD4166"/>
    <w:rsid w:val="00DD4201"/>
    <w:rsid w:val="00DD523D"/>
    <w:rsid w:val="00DD54A2"/>
    <w:rsid w:val="00DD5507"/>
    <w:rsid w:val="00DD5E9F"/>
    <w:rsid w:val="00DD6E15"/>
    <w:rsid w:val="00DD7F4B"/>
    <w:rsid w:val="00DE0279"/>
    <w:rsid w:val="00DE13AD"/>
    <w:rsid w:val="00DE268A"/>
    <w:rsid w:val="00DE4129"/>
    <w:rsid w:val="00DE4931"/>
    <w:rsid w:val="00DE5711"/>
    <w:rsid w:val="00DE665A"/>
    <w:rsid w:val="00DE6EAB"/>
    <w:rsid w:val="00DE75E3"/>
    <w:rsid w:val="00DF0197"/>
    <w:rsid w:val="00DF1491"/>
    <w:rsid w:val="00DF1901"/>
    <w:rsid w:val="00DF25FC"/>
    <w:rsid w:val="00DF55D0"/>
    <w:rsid w:val="00DF6006"/>
    <w:rsid w:val="00DF6516"/>
    <w:rsid w:val="00DF6B7C"/>
    <w:rsid w:val="00E00EA0"/>
    <w:rsid w:val="00E0205A"/>
    <w:rsid w:val="00E02487"/>
    <w:rsid w:val="00E030F4"/>
    <w:rsid w:val="00E04563"/>
    <w:rsid w:val="00E0667B"/>
    <w:rsid w:val="00E069FD"/>
    <w:rsid w:val="00E0738F"/>
    <w:rsid w:val="00E10064"/>
    <w:rsid w:val="00E1047B"/>
    <w:rsid w:val="00E11032"/>
    <w:rsid w:val="00E1227B"/>
    <w:rsid w:val="00E12C7B"/>
    <w:rsid w:val="00E13633"/>
    <w:rsid w:val="00E138F1"/>
    <w:rsid w:val="00E14A3C"/>
    <w:rsid w:val="00E15254"/>
    <w:rsid w:val="00E16253"/>
    <w:rsid w:val="00E162EE"/>
    <w:rsid w:val="00E17944"/>
    <w:rsid w:val="00E20B97"/>
    <w:rsid w:val="00E21903"/>
    <w:rsid w:val="00E22855"/>
    <w:rsid w:val="00E2309D"/>
    <w:rsid w:val="00E2344D"/>
    <w:rsid w:val="00E234D7"/>
    <w:rsid w:val="00E2370B"/>
    <w:rsid w:val="00E26758"/>
    <w:rsid w:val="00E26F80"/>
    <w:rsid w:val="00E27112"/>
    <w:rsid w:val="00E271FA"/>
    <w:rsid w:val="00E27955"/>
    <w:rsid w:val="00E3032B"/>
    <w:rsid w:val="00E31059"/>
    <w:rsid w:val="00E31228"/>
    <w:rsid w:val="00E32724"/>
    <w:rsid w:val="00E330BF"/>
    <w:rsid w:val="00E33162"/>
    <w:rsid w:val="00E3341A"/>
    <w:rsid w:val="00E34F83"/>
    <w:rsid w:val="00E40B3F"/>
    <w:rsid w:val="00E42338"/>
    <w:rsid w:val="00E423FC"/>
    <w:rsid w:val="00E425E4"/>
    <w:rsid w:val="00E4357B"/>
    <w:rsid w:val="00E43BCD"/>
    <w:rsid w:val="00E4411F"/>
    <w:rsid w:val="00E45120"/>
    <w:rsid w:val="00E45940"/>
    <w:rsid w:val="00E45D6E"/>
    <w:rsid w:val="00E46962"/>
    <w:rsid w:val="00E46AAF"/>
    <w:rsid w:val="00E46CC3"/>
    <w:rsid w:val="00E47F83"/>
    <w:rsid w:val="00E507F6"/>
    <w:rsid w:val="00E539B2"/>
    <w:rsid w:val="00E53EBE"/>
    <w:rsid w:val="00E553FD"/>
    <w:rsid w:val="00E559C0"/>
    <w:rsid w:val="00E55A65"/>
    <w:rsid w:val="00E5617F"/>
    <w:rsid w:val="00E56418"/>
    <w:rsid w:val="00E607C9"/>
    <w:rsid w:val="00E63C13"/>
    <w:rsid w:val="00E63C84"/>
    <w:rsid w:val="00E63DE5"/>
    <w:rsid w:val="00E65A37"/>
    <w:rsid w:val="00E70872"/>
    <w:rsid w:val="00E70D31"/>
    <w:rsid w:val="00E713E6"/>
    <w:rsid w:val="00E719AE"/>
    <w:rsid w:val="00E75E35"/>
    <w:rsid w:val="00E76389"/>
    <w:rsid w:val="00E76E21"/>
    <w:rsid w:val="00E77B48"/>
    <w:rsid w:val="00E80004"/>
    <w:rsid w:val="00E80FC2"/>
    <w:rsid w:val="00E8441F"/>
    <w:rsid w:val="00E8450F"/>
    <w:rsid w:val="00E852AF"/>
    <w:rsid w:val="00E858B7"/>
    <w:rsid w:val="00E86351"/>
    <w:rsid w:val="00E86714"/>
    <w:rsid w:val="00E87216"/>
    <w:rsid w:val="00E9020B"/>
    <w:rsid w:val="00E90502"/>
    <w:rsid w:val="00E91799"/>
    <w:rsid w:val="00E91AC1"/>
    <w:rsid w:val="00E91CEB"/>
    <w:rsid w:val="00E92280"/>
    <w:rsid w:val="00E94A70"/>
    <w:rsid w:val="00E95C49"/>
    <w:rsid w:val="00E9718A"/>
    <w:rsid w:val="00EA0A60"/>
    <w:rsid w:val="00EA1342"/>
    <w:rsid w:val="00EA15E8"/>
    <w:rsid w:val="00EA1843"/>
    <w:rsid w:val="00EA1AD8"/>
    <w:rsid w:val="00EA1EB5"/>
    <w:rsid w:val="00EA21FE"/>
    <w:rsid w:val="00EA2EE5"/>
    <w:rsid w:val="00EA3127"/>
    <w:rsid w:val="00EA34E3"/>
    <w:rsid w:val="00EA4759"/>
    <w:rsid w:val="00EA5F27"/>
    <w:rsid w:val="00EA6ED9"/>
    <w:rsid w:val="00EA7AAD"/>
    <w:rsid w:val="00EB022E"/>
    <w:rsid w:val="00EB0732"/>
    <w:rsid w:val="00EB264A"/>
    <w:rsid w:val="00EB447E"/>
    <w:rsid w:val="00EB563C"/>
    <w:rsid w:val="00EB68FA"/>
    <w:rsid w:val="00EB7538"/>
    <w:rsid w:val="00EC34A6"/>
    <w:rsid w:val="00EC427D"/>
    <w:rsid w:val="00ED1425"/>
    <w:rsid w:val="00ED1945"/>
    <w:rsid w:val="00ED30A6"/>
    <w:rsid w:val="00ED3769"/>
    <w:rsid w:val="00ED37CC"/>
    <w:rsid w:val="00ED37F1"/>
    <w:rsid w:val="00ED527A"/>
    <w:rsid w:val="00ED6291"/>
    <w:rsid w:val="00ED74C7"/>
    <w:rsid w:val="00ED7B9B"/>
    <w:rsid w:val="00EE177B"/>
    <w:rsid w:val="00EE3B45"/>
    <w:rsid w:val="00EE5686"/>
    <w:rsid w:val="00EE58D5"/>
    <w:rsid w:val="00EE6468"/>
    <w:rsid w:val="00EE6550"/>
    <w:rsid w:val="00EE6DB8"/>
    <w:rsid w:val="00EE6FBC"/>
    <w:rsid w:val="00EF06B3"/>
    <w:rsid w:val="00EF0D21"/>
    <w:rsid w:val="00EF0E3A"/>
    <w:rsid w:val="00EF183E"/>
    <w:rsid w:val="00EF1A48"/>
    <w:rsid w:val="00EF2CB8"/>
    <w:rsid w:val="00EF3637"/>
    <w:rsid w:val="00EF393C"/>
    <w:rsid w:val="00EF3C3F"/>
    <w:rsid w:val="00EF458A"/>
    <w:rsid w:val="00EF47AB"/>
    <w:rsid w:val="00EF4B34"/>
    <w:rsid w:val="00EF5234"/>
    <w:rsid w:val="00EF731C"/>
    <w:rsid w:val="00EF75F0"/>
    <w:rsid w:val="00EF7A71"/>
    <w:rsid w:val="00F0024B"/>
    <w:rsid w:val="00F005CA"/>
    <w:rsid w:val="00F02297"/>
    <w:rsid w:val="00F022A0"/>
    <w:rsid w:val="00F02B32"/>
    <w:rsid w:val="00F03C32"/>
    <w:rsid w:val="00F05C83"/>
    <w:rsid w:val="00F061D9"/>
    <w:rsid w:val="00F0651A"/>
    <w:rsid w:val="00F0655B"/>
    <w:rsid w:val="00F06A41"/>
    <w:rsid w:val="00F06D31"/>
    <w:rsid w:val="00F07B4E"/>
    <w:rsid w:val="00F117F3"/>
    <w:rsid w:val="00F12027"/>
    <w:rsid w:val="00F1224F"/>
    <w:rsid w:val="00F12EEB"/>
    <w:rsid w:val="00F1379E"/>
    <w:rsid w:val="00F153A9"/>
    <w:rsid w:val="00F164EE"/>
    <w:rsid w:val="00F16CFB"/>
    <w:rsid w:val="00F17158"/>
    <w:rsid w:val="00F174E5"/>
    <w:rsid w:val="00F207A4"/>
    <w:rsid w:val="00F20C63"/>
    <w:rsid w:val="00F212B3"/>
    <w:rsid w:val="00F245E0"/>
    <w:rsid w:val="00F24EA8"/>
    <w:rsid w:val="00F25085"/>
    <w:rsid w:val="00F27E5F"/>
    <w:rsid w:val="00F3016D"/>
    <w:rsid w:val="00F30931"/>
    <w:rsid w:val="00F31197"/>
    <w:rsid w:val="00F315DF"/>
    <w:rsid w:val="00F3386B"/>
    <w:rsid w:val="00F338F8"/>
    <w:rsid w:val="00F34361"/>
    <w:rsid w:val="00F346F9"/>
    <w:rsid w:val="00F347C1"/>
    <w:rsid w:val="00F355AC"/>
    <w:rsid w:val="00F37287"/>
    <w:rsid w:val="00F37499"/>
    <w:rsid w:val="00F37F94"/>
    <w:rsid w:val="00F404DE"/>
    <w:rsid w:val="00F407EA"/>
    <w:rsid w:val="00F416C0"/>
    <w:rsid w:val="00F431E5"/>
    <w:rsid w:val="00F44533"/>
    <w:rsid w:val="00F45C1E"/>
    <w:rsid w:val="00F4608F"/>
    <w:rsid w:val="00F463CA"/>
    <w:rsid w:val="00F46EBB"/>
    <w:rsid w:val="00F477C4"/>
    <w:rsid w:val="00F50915"/>
    <w:rsid w:val="00F5252C"/>
    <w:rsid w:val="00F5265F"/>
    <w:rsid w:val="00F53B2C"/>
    <w:rsid w:val="00F551A0"/>
    <w:rsid w:val="00F55548"/>
    <w:rsid w:val="00F55AC4"/>
    <w:rsid w:val="00F56EC3"/>
    <w:rsid w:val="00F57DC4"/>
    <w:rsid w:val="00F60928"/>
    <w:rsid w:val="00F62561"/>
    <w:rsid w:val="00F62928"/>
    <w:rsid w:val="00F62B3F"/>
    <w:rsid w:val="00F62F42"/>
    <w:rsid w:val="00F64C44"/>
    <w:rsid w:val="00F64E46"/>
    <w:rsid w:val="00F66330"/>
    <w:rsid w:val="00F71A5A"/>
    <w:rsid w:val="00F724B6"/>
    <w:rsid w:val="00F72722"/>
    <w:rsid w:val="00F731F9"/>
    <w:rsid w:val="00F73510"/>
    <w:rsid w:val="00F743C7"/>
    <w:rsid w:val="00F74ED1"/>
    <w:rsid w:val="00F74F6E"/>
    <w:rsid w:val="00F75CF1"/>
    <w:rsid w:val="00F769E0"/>
    <w:rsid w:val="00F77D4B"/>
    <w:rsid w:val="00F80FE3"/>
    <w:rsid w:val="00F810E5"/>
    <w:rsid w:val="00F81C23"/>
    <w:rsid w:val="00F83B86"/>
    <w:rsid w:val="00F841CA"/>
    <w:rsid w:val="00F844B0"/>
    <w:rsid w:val="00F84D69"/>
    <w:rsid w:val="00F86211"/>
    <w:rsid w:val="00F86B3D"/>
    <w:rsid w:val="00F87B87"/>
    <w:rsid w:val="00F87D78"/>
    <w:rsid w:val="00F9159A"/>
    <w:rsid w:val="00F92B6C"/>
    <w:rsid w:val="00F9555A"/>
    <w:rsid w:val="00F958C4"/>
    <w:rsid w:val="00FA19C4"/>
    <w:rsid w:val="00FA1ED2"/>
    <w:rsid w:val="00FA1F88"/>
    <w:rsid w:val="00FA2102"/>
    <w:rsid w:val="00FA27A8"/>
    <w:rsid w:val="00FA43C8"/>
    <w:rsid w:val="00FA610F"/>
    <w:rsid w:val="00FA75FE"/>
    <w:rsid w:val="00FB0DAF"/>
    <w:rsid w:val="00FB1032"/>
    <w:rsid w:val="00FB17D3"/>
    <w:rsid w:val="00FB1CD6"/>
    <w:rsid w:val="00FB21A6"/>
    <w:rsid w:val="00FB2448"/>
    <w:rsid w:val="00FB2659"/>
    <w:rsid w:val="00FB28D9"/>
    <w:rsid w:val="00FB2D75"/>
    <w:rsid w:val="00FB3479"/>
    <w:rsid w:val="00FB47A9"/>
    <w:rsid w:val="00FB48CA"/>
    <w:rsid w:val="00FB4FE6"/>
    <w:rsid w:val="00FB5B63"/>
    <w:rsid w:val="00FB5C80"/>
    <w:rsid w:val="00FB6177"/>
    <w:rsid w:val="00FB74BA"/>
    <w:rsid w:val="00FB7B4F"/>
    <w:rsid w:val="00FB7E42"/>
    <w:rsid w:val="00FC039D"/>
    <w:rsid w:val="00FC0C22"/>
    <w:rsid w:val="00FC2C4F"/>
    <w:rsid w:val="00FC3440"/>
    <w:rsid w:val="00FC4203"/>
    <w:rsid w:val="00FC528C"/>
    <w:rsid w:val="00FC5C58"/>
    <w:rsid w:val="00FC652B"/>
    <w:rsid w:val="00FC6B2D"/>
    <w:rsid w:val="00FC6BDE"/>
    <w:rsid w:val="00FC6E48"/>
    <w:rsid w:val="00FD1332"/>
    <w:rsid w:val="00FD27EF"/>
    <w:rsid w:val="00FD48AD"/>
    <w:rsid w:val="00FD5052"/>
    <w:rsid w:val="00FD524B"/>
    <w:rsid w:val="00FD5624"/>
    <w:rsid w:val="00FE0698"/>
    <w:rsid w:val="00FE32D1"/>
    <w:rsid w:val="00FE36F5"/>
    <w:rsid w:val="00FE3746"/>
    <w:rsid w:val="00FE37AC"/>
    <w:rsid w:val="00FE528E"/>
    <w:rsid w:val="00FE5DFE"/>
    <w:rsid w:val="00FE5F87"/>
    <w:rsid w:val="00FE680E"/>
    <w:rsid w:val="00FE72D1"/>
    <w:rsid w:val="00FE7B56"/>
    <w:rsid w:val="00FF0CC0"/>
    <w:rsid w:val="00FF5BFE"/>
    <w:rsid w:val="00FF6276"/>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2BB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paragraph" w:styleId="Heading2">
    <w:name w:val="heading 2"/>
    <w:basedOn w:val="Normal"/>
    <w:next w:val="Normal"/>
    <w:link w:val="Heading2Char"/>
    <w:unhideWhenUsed/>
    <w:qFormat/>
    <w:rsid w:val="00D40342"/>
    <w:pPr>
      <w:keepNext/>
      <w:keepLines/>
      <w:numPr>
        <w:numId w:val="54"/>
      </w:numPr>
      <w:spacing w:before="200" w:after="120" w:line="276" w:lineRule="auto"/>
      <w:ind w:left="360"/>
      <w:outlineLvl w:val="1"/>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FootnoteText">
    <w:name w:val="footnote text"/>
    <w:basedOn w:val="Normal"/>
    <w:link w:val="FootnoteTextChar"/>
    <w:uiPriority w:val="99"/>
    <w:unhideWhenUsed/>
    <w:rsid w:val="0097244E"/>
    <w:rPr>
      <w:rFonts w:eastAsia="SimSun"/>
      <w:sz w:val="20"/>
      <w:szCs w:val="20"/>
    </w:rPr>
  </w:style>
  <w:style w:type="character" w:customStyle="1" w:styleId="FootnoteTextChar">
    <w:name w:val="Footnote Text Char"/>
    <w:link w:val="FootnoteText"/>
    <w:uiPriority w:val="99"/>
    <w:rsid w:val="0097244E"/>
    <w:rPr>
      <w:rFonts w:eastAsia="SimSun"/>
    </w:rPr>
  </w:style>
  <w:style w:type="character" w:customStyle="1" w:styleId="StyleNormalDoublespaceTimesNewRomanChar">
    <w:name w:val="Style Normal Double space + Times New Roman Char"/>
    <w:link w:val="StyleNormalDoublespaceTimesNewRoman"/>
    <w:locked/>
    <w:rsid w:val="0097244E"/>
    <w:rPr>
      <w:sz w:val="24"/>
    </w:rPr>
  </w:style>
  <w:style w:type="paragraph" w:customStyle="1" w:styleId="StyleNormalDoublespaceTimesNewRoman">
    <w:name w:val="Style Normal Double space + Times New Roman"/>
    <w:basedOn w:val="Normal"/>
    <w:link w:val="StyleNormalDoublespaceTimesNewRomanChar"/>
    <w:rsid w:val="0097244E"/>
    <w:pPr>
      <w:spacing w:line="480" w:lineRule="auto"/>
    </w:pPr>
    <w:rPr>
      <w:szCs w:val="20"/>
    </w:rPr>
  </w:style>
  <w:style w:type="character" w:styleId="FootnoteReference">
    <w:name w:val="footnote reference"/>
    <w:uiPriority w:val="99"/>
    <w:unhideWhenUsed/>
    <w:rsid w:val="0097244E"/>
    <w:rPr>
      <w:rFonts w:ascii="Times New Roman" w:hAnsi="Times New Roman" w:cs="Times New Roman" w:hint="default"/>
      <w:vertAlign w:val="superscript"/>
    </w:rPr>
  </w:style>
  <w:style w:type="character" w:styleId="CommentReference">
    <w:name w:val="annotation reference"/>
    <w:uiPriority w:val="99"/>
    <w:rsid w:val="00473390"/>
    <w:rPr>
      <w:sz w:val="16"/>
      <w:szCs w:val="16"/>
    </w:rPr>
  </w:style>
  <w:style w:type="paragraph" w:styleId="CommentText">
    <w:name w:val="annotation text"/>
    <w:basedOn w:val="Normal"/>
    <w:link w:val="CommentTextChar"/>
    <w:uiPriority w:val="99"/>
    <w:rsid w:val="00473390"/>
    <w:rPr>
      <w:sz w:val="20"/>
      <w:szCs w:val="20"/>
    </w:rPr>
  </w:style>
  <w:style w:type="character" w:customStyle="1" w:styleId="CommentTextChar">
    <w:name w:val="Comment Text Char"/>
    <w:basedOn w:val="DefaultParagraphFont"/>
    <w:link w:val="CommentText"/>
    <w:uiPriority w:val="99"/>
    <w:rsid w:val="00473390"/>
  </w:style>
  <w:style w:type="paragraph" w:styleId="CommentSubject">
    <w:name w:val="annotation subject"/>
    <w:basedOn w:val="CommentText"/>
    <w:next w:val="CommentText"/>
    <w:link w:val="CommentSubjectChar"/>
    <w:rsid w:val="00473390"/>
    <w:rPr>
      <w:b/>
      <w:bCs/>
    </w:rPr>
  </w:style>
  <w:style w:type="character" w:customStyle="1" w:styleId="CommentSubjectChar">
    <w:name w:val="Comment Subject Char"/>
    <w:link w:val="CommentSubject"/>
    <w:rsid w:val="00473390"/>
    <w:rPr>
      <w:b/>
      <w:bCs/>
    </w:rPr>
  </w:style>
  <w:style w:type="character" w:styleId="Hyperlink">
    <w:name w:val="Hyperlink"/>
    <w:uiPriority w:val="99"/>
    <w:unhideWhenUsed/>
    <w:rsid w:val="00CE7F07"/>
    <w:rPr>
      <w:color w:val="0000FF"/>
      <w:u w:val="single"/>
    </w:rPr>
  </w:style>
  <w:style w:type="paragraph" w:styleId="Revision">
    <w:name w:val="Revision"/>
    <w:hidden/>
    <w:uiPriority w:val="99"/>
    <w:semiHidden/>
    <w:rsid w:val="00A90361"/>
    <w:rPr>
      <w:sz w:val="24"/>
      <w:szCs w:val="24"/>
    </w:rPr>
  </w:style>
  <w:style w:type="paragraph" w:styleId="ListParagraph">
    <w:name w:val="List Paragraph"/>
    <w:basedOn w:val="Normal"/>
    <w:uiPriority w:val="34"/>
    <w:qFormat/>
    <w:rsid w:val="00E63C13"/>
    <w:pPr>
      <w:ind w:left="720"/>
    </w:pPr>
  </w:style>
  <w:style w:type="character" w:customStyle="1" w:styleId="p">
    <w:name w:val="p"/>
    <w:rsid w:val="000D7C89"/>
  </w:style>
  <w:style w:type="paragraph" w:styleId="NoSpacing">
    <w:name w:val="No Spacing"/>
    <w:uiPriority w:val="1"/>
    <w:qFormat/>
    <w:rsid w:val="00560333"/>
    <w:rPr>
      <w:rFonts w:ascii="Calibri" w:eastAsia="Calibri" w:hAnsi="Calibri"/>
      <w:sz w:val="22"/>
      <w:szCs w:val="22"/>
    </w:rPr>
  </w:style>
  <w:style w:type="character" w:customStyle="1" w:styleId="documentbody">
    <w:name w:val="documentbody"/>
    <w:rsid w:val="000409AD"/>
    <w:rPr>
      <w:rFonts w:ascii="Times New Roman" w:hAnsi="Times New Roman" w:cs="Times New Roman" w:hint="default"/>
    </w:rPr>
  </w:style>
  <w:style w:type="character" w:customStyle="1" w:styleId="Heading2Char">
    <w:name w:val="Heading 2 Char"/>
    <w:link w:val="Heading2"/>
    <w:rsid w:val="00D40342"/>
    <w:rPr>
      <w:b/>
      <w:bCs/>
      <w:sz w:val="24"/>
      <w:szCs w:val="26"/>
    </w:rPr>
  </w:style>
  <w:style w:type="character" w:customStyle="1" w:styleId="BalloonTextChar">
    <w:name w:val="Balloon Text Char"/>
    <w:link w:val="BalloonText"/>
    <w:uiPriority w:val="99"/>
    <w:semiHidden/>
    <w:locked/>
    <w:rsid w:val="00D40342"/>
    <w:rPr>
      <w:rFonts w:ascii="Tahoma" w:hAnsi="Tahoma" w:cs="Tahoma"/>
      <w:sz w:val="16"/>
      <w:szCs w:val="16"/>
    </w:rPr>
  </w:style>
  <w:style w:type="paragraph" w:styleId="Header">
    <w:name w:val="header"/>
    <w:basedOn w:val="Normal"/>
    <w:link w:val="HeaderChar"/>
    <w:rsid w:val="000C4EEA"/>
    <w:pPr>
      <w:tabs>
        <w:tab w:val="center" w:pos="4680"/>
        <w:tab w:val="right" w:pos="9360"/>
      </w:tabs>
    </w:pPr>
  </w:style>
  <w:style w:type="character" w:customStyle="1" w:styleId="HeaderChar">
    <w:name w:val="Header Char"/>
    <w:link w:val="Header"/>
    <w:rsid w:val="000C4EEA"/>
    <w:rPr>
      <w:sz w:val="24"/>
      <w:szCs w:val="24"/>
    </w:rPr>
  </w:style>
  <w:style w:type="character" w:styleId="UnresolvedMention">
    <w:name w:val="Unresolved Mention"/>
    <w:basedOn w:val="DefaultParagraphFont"/>
    <w:uiPriority w:val="99"/>
    <w:semiHidden/>
    <w:unhideWhenUsed/>
    <w:rsid w:val="00CC3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230843">
      <w:bodyDiv w:val="1"/>
      <w:marLeft w:val="0"/>
      <w:marRight w:val="0"/>
      <w:marTop w:val="0"/>
      <w:marBottom w:val="0"/>
      <w:divBdr>
        <w:top w:val="none" w:sz="0" w:space="0" w:color="auto"/>
        <w:left w:val="none" w:sz="0" w:space="0" w:color="auto"/>
        <w:bottom w:val="none" w:sz="0" w:space="0" w:color="auto"/>
        <w:right w:val="none" w:sz="0" w:space="0" w:color="auto"/>
      </w:divBdr>
    </w:div>
    <w:div w:id="763497220">
      <w:bodyDiv w:val="1"/>
      <w:marLeft w:val="0"/>
      <w:marRight w:val="0"/>
      <w:marTop w:val="0"/>
      <w:marBottom w:val="0"/>
      <w:divBdr>
        <w:top w:val="none" w:sz="0" w:space="0" w:color="auto"/>
        <w:left w:val="none" w:sz="0" w:space="0" w:color="auto"/>
        <w:bottom w:val="none" w:sz="0" w:space="0" w:color="auto"/>
        <w:right w:val="none" w:sz="0" w:space="0" w:color="auto"/>
      </w:divBdr>
    </w:div>
    <w:div w:id="875507355">
      <w:bodyDiv w:val="1"/>
      <w:marLeft w:val="0"/>
      <w:marRight w:val="0"/>
      <w:marTop w:val="0"/>
      <w:marBottom w:val="0"/>
      <w:divBdr>
        <w:top w:val="none" w:sz="0" w:space="0" w:color="auto"/>
        <w:left w:val="none" w:sz="0" w:space="0" w:color="auto"/>
        <w:bottom w:val="none" w:sz="0" w:space="0" w:color="auto"/>
        <w:right w:val="none" w:sz="0" w:space="0" w:color="auto"/>
      </w:divBdr>
    </w:div>
    <w:div w:id="1039940692">
      <w:bodyDiv w:val="1"/>
      <w:marLeft w:val="0"/>
      <w:marRight w:val="0"/>
      <w:marTop w:val="0"/>
      <w:marBottom w:val="0"/>
      <w:divBdr>
        <w:top w:val="none" w:sz="0" w:space="0" w:color="auto"/>
        <w:left w:val="none" w:sz="0" w:space="0" w:color="auto"/>
        <w:bottom w:val="none" w:sz="0" w:space="0" w:color="auto"/>
        <w:right w:val="none" w:sz="0" w:space="0" w:color="auto"/>
      </w:divBdr>
    </w:div>
    <w:div w:id="11885270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7754459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56050096">
      <w:bodyDiv w:val="1"/>
      <w:marLeft w:val="0"/>
      <w:marRight w:val="0"/>
      <w:marTop w:val="0"/>
      <w:marBottom w:val="0"/>
      <w:divBdr>
        <w:top w:val="none" w:sz="0" w:space="0" w:color="auto"/>
        <w:left w:val="none" w:sz="0" w:space="0" w:color="auto"/>
        <w:bottom w:val="none" w:sz="0" w:space="0" w:color="auto"/>
        <w:right w:val="none" w:sz="0" w:space="0" w:color="auto"/>
      </w:divBdr>
    </w:div>
    <w:div w:id="1762798139">
      <w:bodyDiv w:val="1"/>
      <w:marLeft w:val="0"/>
      <w:marRight w:val="0"/>
      <w:marTop w:val="0"/>
      <w:marBottom w:val="0"/>
      <w:divBdr>
        <w:top w:val="none" w:sz="0" w:space="0" w:color="auto"/>
        <w:left w:val="none" w:sz="0" w:space="0" w:color="auto"/>
        <w:bottom w:val="none" w:sz="0" w:space="0" w:color="auto"/>
        <w:right w:val="none" w:sz="0" w:space="0" w:color="auto"/>
      </w:divBdr>
    </w:div>
    <w:div w:id="1784300689">
      <w:bodyDiv w:val="1"/>
      <w:marLeft w:val="0"/>
      <w:marRight w:val="0"/>
      <w:marTop w:val="0"/>
      <w:marBottom w:val="0"/>
      <w:divBdr>
        <w:top w:val="none" w:sz="0" w:space="0" w:color="auto"/>
        <w:left w:val="none" w:sz="0" w:space="0" w:color="auto"/>
        <w:bottom w:val="none" w:sz="0" w:space="0" w:color="auto"/>
        <w:right w:val="none" w:sz="0" w:space="0" w:color="auto"/>
      </w:divBdr>
    </w:div>
    <w:div w:id="1880782107">
      <w:bodyDiv w:val="1"/>
      <w:marLeft w:val="0"/>
      <w:marRight w:val="0"/>
      <w:marTop w:val="0"/>
      <w:marBottom w:val="0"/>
      <w:divBdr>
        <w:top w:val="none" w:sz="0" w:space="0" w:color="auto"/>
        <w:left w:val="none" w:sz="0" w:space="0" w:color="auto"/>
        <w:bottom w:val="none" w:sz="0" w:space="0" w:color="auto"/>
        <w:right w:val="none" w:sz="0" w:space="0" w:color="auto"/>
      </w:divBdr>
    </w:div>
    <w:div w:id="200114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a.gov/industry/small-business-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urveymonkey.com/r/KFJMZ67" TargetMode="External"/><Relationship Id="rId4" Type="http://schemas.openxmlformats.org/officeDocument/2006/relationships/settings" Target="settings.xml"/><Relationship Id="rId9" Type="http://schemas.openxmlformats.org/officeDocument/2006/relationships/hyperlink" Target="http://www.fda.gov/food/guidance-regulation-food-and-dietary-supplements/food-safety-modernization-act-fs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66C93-AAC9-408F-BFF9-1FCE938B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4841</Words>
  <Characters>27598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2021-05-01T00:05:00Z</dcterms:created>
  <dcterms:modified xsi:type="dcterms:W3CDTF">2021-05-01T00:05:00Z</dcterms:modified>
</cp:coreProperties>
</file>