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188" w:rsidP="00260188" w:rsidRDefault="00260188">
      <w:pPr>
        <w:jc w:val="center"/>
        <w:rPr>
          <w:b/>
        </w:rPr>
      </w:pPr>
      <w:r>
        <w:rPr>
          <w:b/>
        </w:rPr>
        <w:t>Change Memo for</w:t>
      </w:r>
    </w:p>
    <w:p w:rsidR="00260188" w:rsidP="00260188" w:rsidRDefault="00260188">
      <w:pPr>
        <w:autoSpaceDE w:val="0"/>
        <w:autoSpaceDN w:val="0"/>
        <w:adjustRightInd w:val="0"/>
        <w:jc w:val="center"/>
        <w:rPr>
          <w:b/>
        </w:rPr>
      </w:pPr>
      <w:r>
        <w:rPr>
          <w:bCs/>
        </w:rPr>
        <w:t xml:space="preserve">“The </w:t>
      </w:r>
      <w:r>
        <w:rPr>
          <w:rFonts w:eastAsiaTheme="minorHAnsi"/>
          <w:bCs/>
        </w:rPr>
        <w:t>National Healthcare Safety Network (NHSN)</w:t>
      </w:r>
      <w:r>
        <w:rPr>
          <w:bCs/>
        </w:rPr>
        <w:t>”</w:t>
      </w:r>
    </w:p>
    <w:p w:rsidR="00260188" w:rsidP="00260188" w:rsidRDefault="00260188">
      <w:pPr>
        <w:jc w:val="center"/>
        <w:rPr>
          <w:b/>
        </w:rPr>
      </w:pPr>
      <w:r>
        <w:rPr>
          <w:b/>
        </w:rPr>
        <w:t>(OMB Control No. 0920-0666)</w:t>
      </w:r>
    </w:p>
    <w:p w:rsidR="00260188" w:rsidP="00260188" w:rsidRDefault="00260188">
      <w:pPr>
        <w:jc w:val="center"/>
        <w:rPr>
          <w:b/>
        </w:rPr>
      </w:pPr>
      <w:r>
        <w:rPr>
          <w:b/>
        </w:rPr>
        <w:t>Expiration Date: 12/31/2022</w:t>
      </w: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jc w:val="center"/>
        <w:rPr>
          <w:b/>
        </w:rPr>
      </w:pP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b/>
          <w:u w:val="single"/>
        </w:rPr>
      </w:pPr>
      <w:r>
        <w:rPr>
          <w:b/>
          <w:u w:val="single"/>
        </w:rPr>
        <w:t>Program Contact</w:t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260188" w:rsidP="00260188" w:rsidRDefault="00260188">
      <w:pPr>
        <w:rPr>
          <w:bCs/>
        </w:rPr>
      </w:pPr>
      <w:r>
        <w:rPr>
          <w:bCs/>
        </w:rPr>
        <w:t>Lauren Wattenmaker</w:t>
      </w:r>
    </w:p>
    <w:p w:rsidR="00260188" w:rsidP="00260188" w:rsidRDefault="00260188">
      <w:pPr>
        <w:rPr>
          <w:bCs/>
        </w:rPr>
      </w:pPr>
      <w:r>
        <w:rPr>
          <w:bCs/>
        </w:rPr>
        <w:t>Surveillance Branch</w:t>
      </w:r>
    </w:p>
    <w:p w:rsidR="00260188" w:rsidP="00260188" w:rsidRDefault="00260188">
      <w:pPr>
        <w:rPr>
          <w:bCs/>
        </w:rPr>
      </w:pPr>
      <w:r>
        <w:rPr>
          <w:bCs/>
        </w:rPr>
        <w:t>Division of Healthcare Quality Promotion</w:t>
      </w:r>
    </w:p>
    <w:p w:rsidR="00260188" w:rsidP="00260188" w:rsidRDefault="00260188">
      <w:pPr>
        <w:rPr>
          <w:bCs/>
        </w:rPr>
      </w:pPr>
      <w:r>
        <w:rPr>
          <w:bCs/>
        </w:rPr>
        <w:t>National Center for Emerging and Zoonotic Infectious Diseases</w:t>
      </w:r>
    </w:p>
    <w:p w:rsidR="00260188" w:rsidP="00260188" w:rsidRDefault="00260188">
      <w:pPr>
        <w:rPr>
          <w:bCs/>
        </w:rPr>
      </w:pPr>
      <w:r>
        <w:rPr>
          <w:bCs/>
        </w:rPr>
        <w:t>Centers for Disease Control and Prevention</w:t>
      </w:r>
    </w:p>
    <w:p w:rsidR="00260188" w:rsidP="00260188" w:rsidRDefault="00260188">
      <w:pPr>
        <w:rPr>
          <w:bCs/>
        </w:rPr>
      </w:pPr>
      <w:r>
        <w:rPr>
          <w:bCs/>
        </w:rPr>
        <w:t>Atlanta, Georgia 30333</w:t>
      </w:r>
    </w:p>
    <w:p w:rsidR="00260188" w:rsidP="00260188" w:rsidRDefault="00260188">
      <w:pPr>
        <w:rPr>
          <w:bCs/>
        </w:rPr>
      </w:pPr>
      <w:r>
        <w:rPr>
          <w:bCs/>
        </w:rPr>
        <w:t>Phone: 404-718-5842</w:t>
      </w:r>
    </w:p>
    <w:p w:rsidR="00260188" w:rsidP="00260188" w:rsidRDefault="00260188">
      <w:r>
        <w:rPr>
          <w:bCs/>
        </w:rPr>
        <w:t>Email: nlh3@cdc.gov</w:t>
      </w:r>
    </w:p>
    <w:p w:rsidR="00260188" w:rsidP="00260188" w:rsidRDefault="00260188">
      <w:pPr>
        <w:tabs>
          <w:tab w:val="center" w:pos="4680"/>
        </w:tabs>
        <w:autoSpaceDE w:val="0"/>
        <w:autoSpaceDN w:val="0"/>
        <w:adjustRightInd w:val="0"/>
        <w:rPr>
          <w:noProof/>
        </w:rPr>
      </w:pPr>
      <w:r>
        <w:rPr>
          <w:noProof/>
        </w:rPr>
        <w:tab/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u w:val="single"/>
        </w:rPr>
        <w:t xml:space="preserve"> </w:t>
      </w: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  <w:rPr>
          <w:u w:val="single"/>
        </w:rPr>
      </w:pPr>
    </w:p>
    <w:p w:rsidR="00260188" w:rsidP="00260188" w:rsidRDefault="00260188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  <w:r>
        <w:rPr>
          <w:b/>
        </w:rPr>
        <w:t>Submission Date:</w:t>
      </w:r>
      <w:r>
        <w:t xml:space="preserve"> June </w:t>
      </w:r>
      <w:r w:rsidR="005F179B">
        <w:t>2</w:t>
      </w:r>
      <w:r>
        <w:t>, 2020</w:t>
      </w:r>
    </w:p>
    <w:p w:rsidRPr="00281300" w:rsidR="005F179B" w:rsidP="005F179B" w:rsidRDefault="005F179B">
      <w:pPr>
        <w:rPr>
          <w:rFonts w:eastAsiaTheme="minorHAnsi" w:cstheme="minorBidi"/>
          <w:szCs w:val="22"/>
        </w:rPr>
      </w:pPr>
      <w:r w:rsidRPr="00281300">
        <w:rPr>
          <w:rFonts w:eastAsiaTheme="minorHAnsi" w:cstheme="minorBidi"/>
          <w:szCs w:val="22"/>
        </w:rPr>
        <w:lastRenderedPageBreak/>
        <w:t>The Centers for Disease Control and Prevention (CDC), Division of Healthcare Quality Promotion (DHQP) requests a nonmaterial/non-substantive of the currently approved Information Collection Request: “National Healthcare Safety Network (NHSN) (OMB Control No. 0920-</w:t>
      </w:r>
      <w:r>
        <w:rPr>
          <w:rFonts w:eastAsiaTheme="minorHAnsi" w:cstheme="minorBidi"/>
          <w:szCs w:val="22"/>
        </w:rPr>
        <w:t>0666</w:t>
      </w:r>
      <w:r w:rsidRPr="00281300">
        <w:rPr>
          <w:rFonts w:eastAsiaTheme="minorHAnsi" w:cstheme="minorBidi"/>
          <w:szCs w:val="22"/>
        </w:rPr>
        <w:t xml:space="preserve">).”  </w:t>
      </w:r>
    </w:p>
    <w:p w:rsidR="005F179B" w:rsidP="00260188" w:rsidRDefault="005F179B">
      <w:pPr>
        <w:tabs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</w:tabs>
      </w:pPr>
    </w:p>
    <w:p w:rsidR="005948E0" w:rsidP="005948E0" w:rsidRDefault="005948E0">
      <w:r>
        <w:t xml:space="preserve">The CDC seeks to update seven data collection instruments from the NHSN Patient Safety Component.  These forms </w:t>
      </w:r>
      <w:r w:rsidRPr="005948E0">
        <w:t xml:space="preserve">will be updated to include an optional field for the facility to indicate whether the patient has suspected or confirmed COVID-19.  </w:t>
      </w:r>
      <w:r>
        <w:t>NHSN is adding this field to help CDC determine potential association of healthcare-associated infections (HAIs) with COVID-19 and patient outcomes.  Many facilities are currently reporting this information as a comment and/or in a custom field for their own facility use.  Adding fields that specifically request information about COVID-19 presence will enable consistent data analysis in NHSN</w:t>
      </w:r>
      <w:r w:rsidR="00893E86">
        <w:t xml:space="preserve"> for facilities and for CDC’s use</w:t>
      </w:r>
      <w:r>
        <w:t xml:space="preserve">. Because facilities are already collecting information on COVID-19, we estimate the burden to be nominal and have therefore added one additional minute to each form.  </w:t>
      </w:r>
    </w:p>
    <w:p w:rsidR="00FC70C6" w:rsidRDefault="00FC70C6"/>
    <w:tbl>
      <w:tblPr>
        <w:tblStyle w:val="TableGrid"/>
        <w:tblpPr w:leftFromText="180" w:rightFromText="180" w:vertAnchor="page" w:horzAnchor="margin" w:tblpY="5893"/>
        <w:tblW w:w="10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75"/>
        <w:gridCol w:w="2161"/>
        <w:gridCol w:w="1531"/>
        <w:gridCol w:w="1441"/>
        <w:gridCol w:w="1171"/>
        <w:gridCol w:w="1166"/>
        <w:gridCol w:w="1350"/>
      </w:tblGrid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Type of Respondent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Form Name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No. of Respondents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No. Responses per Respondent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Avg. Burden per response (in hrs.)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Total Burden (in hrs.)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  <w:r>
              <w:rPr>
                <w:rFonts w:eastAsiaTheme="minorHAnsi"/>
                <w:b/>
                <w:bCs/>
              </w:rPr>
              <w:t>Change in Burden (in hrs.)</w:t>
            </w:r>
          </w:p>
          <w:p w:rsidR="00893E86" w:rsidP="00893E86" w:rsidRDefault="00893E86">
            <w:pPr>
              <w:spacing w:line="276" w:lineRule="auto"/>
              <w:rPr>
                <w:rFonts w:eastAsiaTheme="minorHAnsi"/>
                <w:b/>
                <w:bCs/>
              </w:rPr>
            </w:pP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r>
              <w:t>57.108 Primary Bloodstream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r>
              <w:t>5,775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893E86" w:rsidP="00893E86" w:rsidRDefault="00893E86">
            <w:r>
              <w:t>39/60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893E86" w:rsidR="00893E86" w:rsidP="00893E86" w:rsidRDefault="00893E86">
            <w:r w:rsidRPr="00893E86">
              <w:t xml:space="preserve">             18,769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18,288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57.111 Pneumonia (PNEU)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1,800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27,900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27,000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57.112 Ventilator Associated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5,500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29/60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13,292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12,833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57.113 Pediatric Ventilator Associated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334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120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20,708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20,040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57.114 Urinary Tract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5,500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5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21/60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  9,625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  9,167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57.115 Custom Event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600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91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36/60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32,760 </w:t>
            </w:r>
          </w:p>
        </w:tc>
        <w:tc>
          <w:tcPr>
            <w:tcW w:w="13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31,850 </w:t>
            </w:r>
          </w:p>
        </w:tc>
      </w:tr>
      <w:tr w:rsidR="00893E86" w:rsidTr="00893E86"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Microbiologist (IP)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pPr>
              <w:spacing w:after="160" w:line="252" w:lineRule="auto"/>
              <w:ind w:right="165"/>
            </w:pPr>
            <w:r>
              <w:t>57.120 Surgical Site Infection</w:t>
            </w:r>
          </w:p>
        </w:tc>
        <w:tc>
          <w:tcPr>
            <w:tcW w:w="1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4,500</w:t>
            </w: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11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93E86" w:rsidP="00893E86" w:rsidRDefault="00893E86">
            <w:r>
              <w:t>36/60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93E86" w:rsidR="00893E86" w:rsidP="00893E86" w:rsidRDefault="00893E86">
            <w:r w:rsidRPr="00893E86">
              <w:t xml:space="preserve">                   29,700 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</w:tcPr>
          <w:p w:rsidRPr="005948E0" w:rsidR="00893E86" w:rsidP="00893E86" w:rsidRDefault="00893E86">
            <w:r w:rsidRPr="005948E0">
              <w:t xml:space="preserve">                   28,875 </w:t>
            </w:r>
          </w:p>
          <w:p w:rsidR="00893E86" w:rsidP="00893E86" w:rsidRDefault="00893E86"/>
        </w:tc>
      </w:tr>
    </w:tbl>
    <w:p w:rsidR="005948E0" w:rsidRDefault="00A87F42">
      <w:r>
        <w:t xml:space="preserve">The overall burden for this package approved on December 2, 2020 was 3,113,631 hours.  </w:t>
      </w:r>
      <w:r w:rsidR="002D61F5">
        <w:t>These changes represent an overall burden increase of 4,701 hours for a new total of 3,118,332 hours for the package</w:t>
      </w:r>
      <w:bookmarkStart w:name="_GoBack" w:id="0"/>
      <w:bookmarkEnd w:id="0"/>
      <w:r w:rsidR="002D61F5">
        <w:t xml:space="preserve">.  </w:t>
      </w:r>
    </w:p>
    <w:sectPr w:rsidR="005948E0" w:rsidSect="0054783C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B2266"/>
    <w:multiLevelType w:val="hybridMultilevel"/>
    <w:tmpl w:val="CF84AE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188"/>
    <w:rsid w:val="00142C59"/>
    <w:rsid w:val="00260188"/>
    <w:rsid w:val="002D61F5"/>
    <w:rsid w:val="0054783C"/>
    <w:rsid w:val="005948E0"/>
    <w:rsid w:val="005F179B"/>
    <w:rsid w:val="00893E86"/>
    <w:rsid w:val="00A87F42"/>
    <w:rsid w:val="00C529F7"/>
    <w:rsid w:val="00C92E89"/>
    <w:rsid w:val="00D26908"/>
    <w:rsid w:val="00F639AF"/>
    <w:rsid w:val="00F96507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9CBB2"/>
  <w15:chartTrackingRefBased/>
  <w15:docId w15:val="{B74A13B3-27B0-4098-8238-5D6F3402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0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29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1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79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48E0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Wattenmaker, Lauren (CDC/DDID/NCEZID/DHQP)</dc:creator>
  <cp:keywords/>
  <dc:description/>
  <cp:lastModifiedBy>Wattenmaker, Lauren (CDC/DDID/NCEZID/DHQP)</cp:lastModifiedBy>
  <cp:revision>2</cp:revision>
  <dcterms:created xsi:type="dcterms:W3CDTF">2020-06-03T17:03:00Z</dcterms:created>
  <dcterms:modified xsi:type="dcterms:W3CDTF">2020-06-03T17:03:00Z</dcterms:modified>
</cp:coreProperties>
</file>