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C49DF3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603279" w:rsidR="00603279" w:rsidP="00434E33" w:rsidRDefault="001F6D7A" w14:paraId="2904B751" w14:textId="2D76374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ABDC689" wp14:anchorId="3C469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334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91F41">
        <w:t xml:space="preserve">2021 </w:t>
      </w:r>
      <w:r w:rsidR="00603279">
        <w:t xml:space="preserve">Survey to </w:t>
      </w:r>
      <w:r w:rsidR="003C01EB">
        <w:t>Assess</w:t>
      </w:r>
      <w:r w:rsidR="00603279">
        <w:t xml:space="preserve"> </w:t>
      </w:r>
      <w:r w:rsidR="00681279">
        <w:t xml:space="preserve">Meeting Format and Review </w:t>
      </w:r>
      <w:r w:rsidR="00603279">
        <w:t>Quality</w:t>
      </w:r>
      <w:r w:rsidR="0058230F">
        <w:t xml:space="preserve"> </w:t>
      </w:r>
      <w:r w:rsidR="00603279">
        <w:t xml:space="preserve">Among NIH </w:t>
      </w:r>
      <w:r w:rsidR="00013A41">
        <w:t xml:space="preserve">Grant </w:t>
      </w:r>
      <w:r w:rsidR="00603279">
        <w:t>Reviewers</w:t>
      </w:r>
    </w:p>
    <w:p w:rsidR="005E714A" w:rsidRDefault="005E714A" w14:paraId="34F967B5" w14:textId="77777777"/>
    <w:p w:rsidR="00672C64" w:rsidRDefault="00F15956" w14:paraId="5F0C56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672D2">
        <w:t>NIH depends on</w:t>
      </w:r>
      <w:r w:rsidR="00D636C0">
        <w:t xml:space="preserve"> an objective and </w:t>
      </w:r>
      <w:r w:rsidR="00837E7E">
        <w:t>robust</w:t>
      </w:r>
      <w:r w:rsidR="004672D2">
        <w:t xml:space="preserve"> peer review process to ensure that all NIH grant applications receive fair, independent, expert, and timely reviews that are free from inappropriate influences. </w:t>
      </w:r>
      <w:r w:rsidR="00672C64">
        <w:t xml:space="preserve">To </w:t>
      </w:r>
      <w:r w:rsidR="00923389">
        <w:t xml:space="preserve">help </w:t>
      </w:r>
      <w:r w:rsidR="003C01EB">
        <w:t>assess</w:t>
      </w:r>
      <w:r w:rsidR="00672C64">
        <w:t xml:space="preserve"> and maintain the quality and efficiency of peer review</w:t>
      </w:r>
      <w:r w:rsidR="00837E7E">
        <w:t>,</w:t>
      </w:r>
      <w:r w:rsidR="00672C64">
        <w:t xml:space="preserve"> </w:t>
      </w:r>
      <w:r w:rsidR="004672D2">
        <w:t>NIH has developed a new</w:t>
      </w:r>
      <w:r w:rsidR="000B4E3F">
        <w:t xml:space="preserve"> </w:t>
      </w:r>
      <w:r w:rsidR="004672D2">
        <w:t xml:space="preserve">process </w:t>
      </w:r>
      <w:r w:rsidR="00672C64">
        <w:t xml:space="preserve">that includes, among other measures, surveys to hear </w:t>
      </w:r>
      <w:r w:rsidR="000B4E3F">
        <w:t>reviewers’ opinions about the quality of the review in which they participated in.</w:t>
      </w:r>
      <w:r w:rsidR="00CC7AF3">
        <w:t xml:space="preserve"> </w:t>
      </w:r>
      <w:r w:rsidR="00411C79">
        <w:t>Because of</w:t>
      </w:r>
      <w:r w:rsidR="00E61C76">
        <w:t xml:space="preserve"> the COVID-19 pandemic </w:t>
      </w:r>
      <w:r w:rsidR="00837E7E">
        <w:t>NIH h</w:t>
      </w:r>
      <w:r w:rsidR="00E61C76">
        <w:t>ad to shift all their review meetings online</w:t>
      </w:r>
      <w:r w:rsidR="00837E7E">
        <w:t>. T</w:t>
      </w:r>
      <w:r w:rsidR="00E61C76">
        <w:t xml:space="preserve">he purpose of this data collection is to assess the quality of the review and determine whether there was any impact on the quality of the review due to the new </w:t>
      </w:r>
      <w:r w:rsidR="00013A41">
        <w:t>online</w:t>
      </w:r>
      <w:r w:rsidR="00E61C76">
        <w:t xml:space="preserve"> meeting format.</w:t>
      </w:r>
      <w:r w:rsidR="006155ED">
        <w:t xml:space="preserve"> </w:t>
      </w:r>
      <w:r w:rsidR="004C1145">
        <w:t>Moreover, the survey will help to assess whether there has been any significant change in the quality of online review</w:t>
      </w:r>
      <w:r w:rsidR="0081223D">
        <w:t xml:space="preserve"> meetings</w:t>
      </w:r>
      <w:r w:rsidR="004C1145">
        <w:t xml:space="preserve"> given that </w:t>
      </w:r>
      <w:r w:rsidR="0081223D">
        <w:t xml:space="preserve">many </w:t>
      </w:r>
      <w:r w:rsidR="004C1145">
        <w:t xml:space="preserve">reviewers are now more experienced and </w:t>
      </w:r>
      <w:r w:rsidR="0081223D">
        <w:t xml:space="preserve">more </w:t>
      </w:r>
      <w:r w:rsidR="004C1145">
        <w:t xml:space="preserve">comfortable with </w:t>
      </w:r>
      <w:r w:rsidR="0081223D">
        <w:t>online review meetings and virtual meetings in general</w:t>
      </w:r>
      <w:r w:rsidR="006A273D">
        <w:t xml:space="preserve"> (since </w:t>
      </w:r>
      <w:r w:rsidR="009C4B4F">
        <w:t xml:space="preserve">our </w:t>
      </w:r>
      <w:r w:rsidR="000A1AFC">
        <w:t>s</w:t>
      </w:r>
      <w:r w:rsidR="006A273D">
        <w:t>ummer 2020</w:t>
      </w:r>
      <w:r w:rsidR="009C4B4F">
        <w:t xml:space="preserve"> survey</w:t>
      </w:r>
      <w:r w:rsidR="006A273D">
        <w:t>)</w:t>
      </w:r>
      <w:r w:rsidR="0081223D">
        <w:t>.</w:t>
      </w:r>
      <w:r w:rsidR="004C1145">
        <w:t xml:space="preserve"> </w:t>
      </w:r>
      <w:r w:rsidR="000B4E3F">
        <w:t xml:space="preserve">Feedback from reviewers will help </w:t>
      </w:r>
      <w:r w:rsidR="00013A41">
        <w:t>NIH</w:t>
      </w:r>
      <w:r w:rsidR="000B4E3F">
        <w:t xml:space="preserve"> </w:t>
      </w:r>
      <w:r w:rsidR="00D8028D">
        <w:t xml:space="preserve">further </w:t>
      </w:r>
      <w:r w:rsidR="00E61C76">
        <w:t xml:space="preserve">understand </w:t>
      </w:r>
      <w:r w:rsidR="006155ED">
        <w:t>reviewers’</w:t>
      </w:r>
      <w:r w:rsidR="00E61C76">
        <w:t xml:space="preserve"> experiences with </w:t>
      </w:r>
      <w:r w:rsidR="00411C79">
        <w:t>virtual</w:t>
      </w:r>
      <w:r w:rsidR="00E61C76">
        <w:t xml:space="preserve"> review meetings and how</w:t>
      </w:r>
      <w:r w:rsidR="006155ED">
        <w:t xml:space="preserve"> </w:t>
      </w:r>
      <w:r w:rsidR="00411C79">
        <w:t>virtual</w:t>
      </w:r>
      <w:r w:rsidR="00E61C76">
        <w:t xml:space="preserve"> review meeting</w:t>
      </w:r>
      <w:r w:rsidR="006155ED">
        <w:t>s can be improved</w:t>
      </w:r>
      <w:r w:rsidR="00E61C76">
        <w:t xml:space="preserve"> to ensure high quality reviews</w:t>
      </w:r>
      <w:r w:rsidR="00D8028D">
        <w:t xml:space="preserve"> and reviewer satisfaction</w:t>
      </w:r>
      <w:r w:rsidR="00E61C76">
        <w:t>.</w:t>
      </w:r>
      <w:r w:rsidR="00405C12">
        <w:t xml:space="preserve"> </w:t>
      </w:r>
    </w:p>
    <w:p w:rsidR="00C8488C" w:rsidP="00434E33" w:rsidRDefault="00C8488C" w14:paraId="7770C46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3C2C781E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2B22F6">
        <w:t>5</w:t>
      </w:r>
      <w:r w:rsidR="00F933C8">
        <w:t>,</w:t>
      </w:r>
      <w:r w:rsidR="002B22F6">
        <w:t>00</w:t>
      </w:r>
      <w:r w:rsidR="00F933C8">
        <w:t>0</w:t>
      </w:r>
      <w:r w:rsidRPr="007E573D" w:rsidR="000E315F">
        <w:t xml:space="preserve"> NIH</w:t>
      </w:r>
      <w:r w:rsidR="004D052B">
        <w:t xml:space="preserve"> </w:t>
      </w:r>
      <w:r w:rsidRPr="007E573D" w:rsidR="000E315F">
        <w:t xml:space="preserve">grant reviewers serving on </w:t>
      </w:r>
      <w:r w:rsidR="008B63EF">
        <w:t>review meetings</w:t>
      </w:r>
      <w:r w:rsidRPr="007E573D" w:rsidR="000E315F">
        <w:t xml:space="preserve"> </w:t>
      </w:r>
      <w:r w:rsidR="00D636C0">
        <w:t>from January to April</w:t>
      </w:r>
      <w:r w:rsidR="002B22F6">
        <w:t xml:space="preserve"> of </w:t>
      </w:r>
      <w:r w:rsidR="00552410">
        <w:t>202</w:t>
      </w:r>
      <w:r w:rsidR="00D636C0">
        <w:t>1</w:t>
      </w:r>
      <w:r w:rsidR="002B22F6">
        <w:t>.</w:t>
      </w:r>
      <w:r w:rsidRPr="007E573D" w:rsidR="000E315F">
        <w:t xml:space="preserve">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1108EDBE" w14:textId="77777777">
      <w:pPr>
        <w:rPr>
          <w:b/>
        </w:rPr>
      </w:pPr>
    </w:p>
    <w:p w:rsidRPr="00F06866" w:rsidR="00F06866" w:rsidRDefault="00F06866" w14:paraId="1E95598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2978EA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B480F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67B3D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0E92B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C41F46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949A4E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9471713" w14:textId="77777777">
      <w:pPr>
        <w:rPr>
          <w:sz w:val="16"/>
          <w:szCs w:val="16"/>
        </w:rPr>
      </w:pPr>
    </w:p>
    <w:p w:rsidRPr="009C13B9" w:rsidR="008101A5" w:rsidP="008101A5" w:rsidRDefault="008101A5" w14:paraId="374D396D" w14:textId="77777777">
      <w:r>
        <w:t xml:space="preserve">I certify the following to be true: </w:t>
      </w:r>
    </w:p>
    <w:p w:rsidR="008101A5" w:rsidP="008101A5" w:rsidRDefault="008101A5" w14:paraId="28A0D87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9C830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85C6A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C67115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911431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647DFA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E5C3E78" w14:textId="77777777"/>
    <w:p w:rsidR="009C13B9" w:rsidP="009C13B9" w:rsidRDefault="009C13B9" w14:paraId="13D566E6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7CD94F35" w14:textId="77777777">
      <w:pPr>
        <w:pStyle w:val="ListParagraph"/>
        <w:ind w:left="360"/>
      </w:pPr>
    </w:p>
    <w:p w:rsidR="009C13B9" w:rsidP="009C13B9" w:rsidRDefault="009C13B9" w14:paraId="37C0934C" w14:textId="77777777">
      <w:r>
        <w:t>To assist review, please provide answers to the following question:</w:t>
      </w:r>
    </w:p>
    <w:p w:rsidR="009C13B9" w:rsidP="009C13B9" w:rsidRDefault="009C13B9" w14:paraId="71DFABF0" w14:textId="77777777">
      <w:pPr>
        <w:pStyle w:val="ListParagraph"/>
        <w:ind w:left="360"/>
      </w:pPr>
    </w:p>
    <w:p w:rsidRPr="00C86E91" w:rsidR="009C13B9" w:rsidP="00C86E91" w:rsidRDefault="00C86E91" w14:paraId="2CD4148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F23EF6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00A35DDE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654CA45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4DE06A85" w14:textId="77777777">
      <w:pPr>
        <w:pStyle w:val="ListParagraph"/>
        <w:ind w:left="360"/>
      </w:pPr>
    </w:p>
    <w:p w:rsidRPr="00C86E91" w:rsidR="00C86E91" w:rsidP="00C86E91" w:rsidRDefault="00CB1078" w14:paraId="3563512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E2D7626" w14:textId="77777777">
      <w:r>
        <w:t>Is an incentive (e.g., money or reimbursement of expenses, token of appreciation) provided to participants?  [  ]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711A6AFD" w14:textId="77777777">
      <w:pPr>
        <w:rPr>
          <w:b/>
        </w:rPr>
      </w:pPr>
    </w:p>
    <w:p w:rsidR="00F24CFC" w:rsidRDefault="00F24CFC" w14:paraId="1D876E4A" w14:textId="77777777">
      <w:pPr>
        <w:rPr>
          <w:b/>
        </w:rPr>
      </w:pPr>
    </w:p>
    <w:p w:rsidRPr="00BC676D" w:rsidR="005E714A" w:rsidP="00C86E91" w:rsidRDefault="003668D6" w14:paraId="6F9EC27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896D779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4A4F0C57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0DD5163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42C162D1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0FF8BFEC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54E78BF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1F1444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FD5C89D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377E00E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7F698C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01E0DF88" w14:textId="77777777">
        <w:trPr>
          <w:trHeight w:val="281"/>
        </w:trPr>
        <w:tc>
          <w:tcPr>
            <w:tcW w:w="2611" w:type="dxa"/>
          </w:tcPr>
          <w:p w:rsidR="003668D6" w:rsidP="00843796" w:rsidRDefault="001C55AE" w14:paraId="5599328E" w14:textId="70AA7457">
            <w:r>
              <w:t>Individuals/households</w:t>
            </w:r>
            <w:bookmarkStart w:name="_GoBack" w:id="0"/>
            <w:bookmarkEnd w:id="0"/>
          </w:p>
        </w:tc>
        <w:tc>
          <w:tcPr>
            <w:tcW w:w="1819" w:type="dxa"/>
          </w:tcPr>
          <w:p w:rsidR="003668D6" w:rsidP="002C0B73" w:rsidRDefault="002B22F6" w14:paraId="71356054" w14:textId="77777777">
            <w:pPr>
              <w:jc w:val="center"/>
            </w:pPr>
            <w:r>
              <w:t>5</w:t>
            </w:r>
            <w:r w:rsidR="00F933C8">
              <w:t>,</w:t>
            </w:r>
            <w:r>
              <w:t>00</w:t>
            </w:r>
            <w:r w:rsidR="00F933C8">
              <w:t>0</w:t>
            </w:r>
          </w:p>
        </w:tc>
        <w:tc>
          <w:tcPr>
            <w:tcW w:w="2215" w:type="dxa"/>
          </w:tcPr>
          <w:p w:rsidR="003668D6" w:rsidP="002964D3" w:rsidRDefault="00552410" w14:paraId="27BD6230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276CA607" w14:textId="77777777">
            <w:r>
              <w:t xml:space="preserve">    </w:t>
            </w:r>
            <w:r w:rsidR="00773FA5">
              <w:t>4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F933C8" w14:paraId="0E2A252D" w14:textId="77777777">
            <w:pPr>
              <w:jc w:val="center"/>
            </w:pPr>
            <w:r>
              <w:t>333</w:t>
            </w:r>
          </w:p>
        </w:tc>
      </w:tr>
      <w:tr w:rsidR="003668D6" w:rsidTr="00BA0F23" w14:paraId="5BA6C64E" w14:textId="77777777">
        <w:trPr>
          <w:trHeight w:val="297"/>
        </w:trPr>
        <w:tc>
          <w:tcPr>
            <w:tcW w:w="2611" w:type="dxa"/>
          </w:tcPr>
          <w:p w:rsidR="003668D6" w:rsidP="00843796" w:rsidRDefault="003668D6" w14:paraId="2AEC1004" w14:textId="77777777"/>
        </w:tc>
        <w:tc>
          <w:tcPr>
            <w:tcW w:w="1819" w:type="dxa"/>
          </w:tcPr>
          <w:p w:rsidR="003668D6" w:rsidP="00843796" w:rsidRDefault="003668D6" w14:paraId="3D2F385B" w14:textId="77777777"/>
        </w:tc>
        <w:tc>
          <w:tcPr>
            <w:tcW w:w="2215" w:type="dxa"/>
          </w:tcPr>
          <w:p w:rsidR="003668D6" w:rsidP="000E315F" w:rsidRDefault="003668D6" w14:paraId="5791CFCD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 w14:paraId="0FDDD606" w14:textId="77777777"/>
        </w:tc>
        <w:tc>
          <w:tcPr>
            <w:tcW w:w="1360" w:type="dxa"/>
          </w:tcPr>
          <w:p w:rsidR="003668D6" w:rsidP="00843796" w:rsidRDefault="003668D6" w14:paraId="4C6862E5" w14:textId="77777777"/>
        </w:tc>
      </w:tr>
      <w:tr w:rsidR="003668D6" w:rsidTr="00BA0F23" w14:paraId="08BB88A8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2812736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843796" w:rsidRDefault="003668D6" w14:paraId="66E1304B" w14:textId="77777777">
            <w:pPr>
              <w:rPr>
                <w:b/>
              </w:rPr>
            </w:pPr>
          </w:p>
        </w:tc>
        <w:tc>
          <w:tcPr>
            <w:tcW w:w="2215" w:type="dxa"/>
          </w:tcPr>
          <w:p w:rsidR="003668D6" w:rsidP="00DF1FB0" w:rsidRDefault="00087DDC" w14:paraId="6806A834" w14:textId="77777777">
            <w:pPr>
              <w:jc w:val="center"/>
            </w:pPr>
            <w:r>
              <w:t>5,000</w:t>
            </w:r>
          </w:p>
        </w:tc>
        <w:tc>
          <w:tcPr>
            <w:tcW w:w="1424" w:type="dxa"/>
          </w:tcPr>
          <w:p w:rsidR="003668D6" w:rsidP="00843796" w:rsidRDefault="003668D6" w14:paraId="626FAF80" w14:textId="77777777"/>
        </w:tc>
        <w:tc>
          <w:tcPr>
            <w:tcW w:w="1360" w:type="dxa"/>
          </w:tcPr>
          <w:p w:rsidRPr="002D26E2" w:rsidR="003668D6" w:rsidP="00F34FB3" w:rsidRDefault="00F933C8" w14:paraId="71ACAED1" w14:textId="77777777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</w:tr>
    </w:tbl>
    <w:p w:rsidR="00F3170F" w:rsidP="00F3170F" w:rsidRDefault="00F3170F" w14:paraId="1D764AE8" w14:textId="77777777"/>
    <w:p w:rsidRPr="009A036B" w:rsidR="009A036B" w:rsidP="009A036B" w:rsidRDefault="009A036B" w14:paraId="5E2470C2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416AC7B6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3706B17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6D23CA1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1A6CBAA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840EA5C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4D6BC1E2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39F9DB9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0F23" w14:paraId="49A8719A" w14:textId="77777777">
        <w:trPr>
          <w:trHeight w:val="264"/>
        </w:trPr>
        <w:tc>
          <w:tcPr>
            <w:tcW w:w="2862" w:type="dxa"/>
          </w:tcPr>
          <w:p w:rsidRPr="009A036B" w:rsidR="00CA2010" w:rsidP="009A036B" w:rsidRDefault="001C55AE" w14:paraId="387C7B5E" w14:textId="239F677F">
            <w:r>
              <w:t>NIH CSR Grant Reviewers</w:t>
            </w:r>
          </w:p>
        </w:tc>
        <w:tc>
          <w:tcPr>
            <w:tcW w:w="2308" w:type="dxa"/>
          </w:tcPr>
          <w:p w:rsidRPr="009A036B" w:rsidR="00CA2010" w:rsidP="005011CC" w:rsidRDefault="00F933C8" w14:paraId="1A958E5B" w14:textId="77777777">
            <w:pPr>
              <w:jc w:val="center"/>
            </w:pPr>
            <w:r>
              <w:t>333</w:t>
            </w:r>
          </w:p>
        </w:tc>
        <w:tc>
          <w:tcPr>
            <w:tcW w:w="2585" w:type="dxa"/>
          </w:tcPr>
          <w:p w:rsidRPr="009A036B" w:rsidR="00CA2010" w:rsidP="005011CC" w:rsidRDefault="005011CC" w14:paraId="7682FE4A" w14:textId="77777777">
            <w:pPr>
              <w:jc w:val="center"/>
            </w:pPr>
            <w:r>
              <w:t>$3</w:t>
            </w:r>
            <w:r w:rsidR="00F933C8">
              <w:t>7</w:t>
            </w:r>
            <w:r>
              <w:t>.</w:t>
            </w:r>
            <w:r w:rsidR="00F933C8">
              <w:t>28</w:t>
            </w:r>
          </w:p>
        </w:tc>
        <w:tc>
          <w:tcPr>
            <w:tcW w:w="1662" w:type="dxa"/>
          </w:tcPr>
          <w:p w:rsidRPr="009A036B" w:rsidR="00CA2010" w:rsidP="009A036B" w:rsidRDefault="005011CC" w14:paraId="1A6256CB" w14:textId="77777777">
            <w:r>
              <w:t>$</w:t>
            </w:r>
            <w:r w:rsidR="00F933C8">
              <w:t>12,414.24</w:t>
            </w:r>
          </w:p>
        </w:tc>
      </w:tr>
      <w:tr w:rsidRPr="009A036B" w:rsidR="00CA2010" w:rsidTr="00BA0F23" w14:paraId="75153553" w14:textId="77777777">
        <w:trPr>
          <w:trHeight w:val="278"/>
        </w:trPr>
        <w:tc>
          <w:tcPr>
            <w:tcW w:w="2862" w:type="dxa"/>
          </w:tcPr>
          <w:p w:rsidRPr="009A036B" w:rsidR="00CA2010" w:rsidP="009A036B" w:rsidRDefault="00CA2010" w14:paraId="5E1B0233" w14:textId="77777777"/>
        </w:tc>
        <w:tc>
          <w:tcPr>
            <w:tcW w:w="2308" w:type="dxa"/>
          </w:tcPr>
          <w:p w:rsidRPr="009A036B" w:rsidR="00CA2010" w:rsidP="009A036B" w:rsidRDefault="00CA2010" w14:paraId="4D3055E3" w14:textId="77777777"/>
        </w:tc>
        <w:tc>
          <w:tcPr>
            <w:tcW w:w="2585" w:type="dxa"/>
          </w:tcPr>
          <w:p w:rsidRPr="009A036B" w:rsidR="00CA2010" w:rsidP="009A036B" w:rsidRDefault="00CA2010" w14:paraId="525BCCDD" w14:textId="77777777"/>
        </w:tc>
        <w:tc>
          <w:tcPr>
            <w:tcW w:w="1662" w:type="dxa"/>
          </w:tcPr>
          <w:p w:rsidRPr="009A036B" w:rsidR="00CA2010" w:rsidP="009A036B" w:rsidRDefault="00CA2010" w14:paraId="26CF2D9A" w14:textId="77777777"/>
        </w:tc>
      </w:tr>
      <w:tr w:rsidRPr="009A036B" w:rsidR="00CA2010" w:rsidTr="00BA0F23" w14:paraId="25E18418" w14:textId="77777777">
        <w:trPr>
          <w:trHeight w:val="293"/>
        </w:trPr>
        <w:tc>
          <w:tcPr>
            <w:tcW w:w="2862" w:type="dxa"/>
          </w:tcPr>
          <w:p w:rsidRPr="009A036B" w:rsidR="00CA2010" w:rsidP="009A036B" w:rsidRDefault="00CA2010" w14:paraId="49AB9CD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8" w:type="dxa"/>
          </w:tcPr>
          <w:p w:rsidRPr="009A036B" w:rsidR="00CA2010" w:rsidP="009A036B" w:rsidRDefault="00CA2010" w14:paraId="57AC253D" w14:textId="77777777">
            <w:pPr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9A036B" w:rsidRDefault="00CA2010" w14:paraId="021D8628" w14:textId="77777777"/>
        </w:tc>
        <w:tc>
          <w:tcPr>
            <w:tcW w:w="1662" w:type="dxa"/>
          </w:tcPr>
          <w:p w:rsidRPr="005011CC" w:rsidR="00CA2010" w:rsidP="009A036B" w:rsidRDefault="005011CC" w14:paraId="41B05CB6" w14:textId="77777777">
            <w:pPr>
              <w:rPr>
                <w:b/>
              </w:rPr>
            </w:pPr>
            <w:r w:rsidRPr="005011CC">
              <w:rPr>
                <w:b/>
              </w:rPr>
              <w:t>$</w:t>
            </w:r>
            <w:r w:rsidR="00F933C8">
              <w:rPr>
                <w:b/>
              </w:rPr>
              <w:t>12,414</w:t>
            </w:r>
            <w:r w:rsidRPr="005011CC">
              <w:rPr>
                <w:b/>
              </w:rPr>
              <w:t>.</w:t>
            </w:r>
            <w:r w:rsidR="00F933C8">
              <w:rPr>
                <w:b/>
              </w:rPr>
              <w:t>2</w:t>
            </w:r>
            <w:r w:rsidR="00773EF6">
              <w:rPr>
                <w:b/>
              </w:rPr>
              <w:t>4</w:t>
            </w:r>
          </w:p>
        </w:tc>
      </w:tr>
    </w:tbl>
    <w:p w:rsidRPr="009A036B" w:rsidR="009A036B" w:rsidP="009A036B" w:rsidRDefault="009A036B" w14:paraId="57954C42" w14:textId="77777777"/>
    <w:p w:rsidRPr="009A036B" w:rsidR="009A036B" w:rsidP="009A036B" w:rsidRDefault="00CA2010" w14:paraId="159B5B04" w14:textId="77777777">
      <w:r>
        <w:t>*</w:t>
      </w:r>
      <w:r w:rsidR="005011CC">
        <w:t xml:space="preserve">The wage rate was obtained from </w:t>
      </w:r>
      <w:hyperlink w:history="1" r:id="rId11">
        <w:r w:rsidRPr="003736E4" w:rsidR="00F933C8">
          <w:rPr>
            <w:rStyle w:val="Hyperlink"/>
          </w:rPr>
          <w:t>https://www.bls.gov/oes/2019/may/oes_nat.htm#19-0000</w:t>
        </w:r>
      </w:hyperlink>
    </w:p>
    <w:p w:rsidR="009A036B" w:rsidP="00F3170F" w:rsidRDefault="009A036B" w14:paraId="03FF7688" w14:textId="77777777"/>
    <w:p w:rsidR="00441434" w:rsidP="00F3170F" w:rsidRDefault="00441434" w14:paraId="7A72FD38" w14:textId="77777777"/>
    <w:p w:rsidRPr="009A036B" w:rsidR="009A036B" w:rsidP="009A036B" w:rsidRDefault="001C39F7" w14:paraId="286947E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33C91">
        <w:rPr>
          <w:u w:val="single"/>
        </w:rPr>
        <w:t>2,668</w:t>
      </w:r>
      <w:r w:rsidRPr="007524F0" w:rsidR="007524F0">
        <w:rPr>
          <w:u w:val="single"/>
        </w:rPr>
        <w:t>.</w:t>
      </w:r>
      <w:r w:rsidR="00F33C91">
        <w:rPr>
          <w:u w:val="single"/>
        </w:rPr>
        <w:t>9</w:t>
      </w:r>
      <w:r w:rsidR="00773EF6">
        <w:rPr>
          <w:u w:val="single"/>
        </w:rPr>
        <w:t>4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69F92F3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8364A41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795C60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7D9A02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2E0D95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6FDF5A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7C50F54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DEA14A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82756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50B85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CB53A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45669F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2D14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6D14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B4F4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56097CF4" w14:textId="77777777">
            <w:pPr>
              <w:jc w:val="center"/>
            </w:pPr>
          </w:p>
        </w:tc>
      </w:tr>
      <w:tr w:rsidRPr="009A036B" w:rsidR="009A036B" w:rsidTr="00D81C88" w14:paraId="222FF31E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660C047D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76151C94" w14:textId="77777777">
            <w:pPr>
              <w:spacing w:before="240"/>
            </w:pPr>
            <w:r>
              <w:t>GS-14/</w:t>
            </w:r>
            <w:r w:rsidR="00453771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22F64C8F" w14:textId="77777777">
            <w:r>
              <w:t>1</w:t>
            </w:r>
            <w:r w:rsidR="00453771">
              <w:t>33</w:t>
            </w:r>
            <w:r>
              <w:t>,</w:t>
            </w:r>
            <w:r w:rsidR="00453771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773EF6" w14:paraId="5DE3C7EA" w14:textId="77777777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793E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773EF6" w14:paraId="7452A925" w14:textId="77777777">
            <w:pPr>
              <w:spacing w:before="240"/>
              <w:jc w:val="center"/>
            </w:pPr>
            <w:r>
              <w:t>2</w:t>
            </w:r>
            <w:r w:rsidR="00D81C88">
              <w:t>,</w:t>
            </w:r>
            <w:r w:rsidR="00453771">
              <w:t>668</w:t>
            </w:r>
            <w:r w:rsidR="00D81C88">
              <w:t>.</w:t>
            </w:r>
            <w:r w:rsidR="00453771">
              <w:t>94</w:t>
            </w:r>
          </w:p>
        </w:tc>
      </w:tr>
      <w:tr w:rsidRPr="009A036B" w:rsidR="009A036B" w:rsidTr="009A036B" w14:paraId="5FA7206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8E975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50F5D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F32D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25EB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CB89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6D5D74" w14:textId="77777777"/>
        </w:tc>
      </w:tr>
      <w:tr w:rsidRPr="009A036B" w:rsidR="009A036B" w:rsidTr="009A036B" w14:paraId="57FB942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930A8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07A13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C113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0873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53D3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E269A5" w14:textId="77777777"/>
        </w:tc>
      </w:tr>
      <w:tr w:rsidRPr="009A036B" w:rsidR="009A036B" w:rsidTr="009A036B" w14:paraId="4AAABE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6F019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29C055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86E4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F33E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B318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0ECF8840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0BAB5C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57C71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7CB9D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F2E8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DC4C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60C8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FCB4A8" w14:textId="77777777"/>
        </w:tc>
      </w:tr>
      <w:tr w:rsidRPr="009A036B" w:rsidR="009A036B" w:rsidTr="009A036B" w14:paraId="63E352B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04F7A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19D441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4912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63E9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0344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0755066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5A84B1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E82FC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07D0F0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B73C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A9AD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0724A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2BAB0251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1E499D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94679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56F7E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712F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47D32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7BC93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30E36294" w14:textId="77777777">
            <w:pPr>
              <w:jc w:val="center"/>
            </w:pPr>
          </w:p>
        </w:tc>
      </w:tr>
      <w:tr w:rsidRPr="009A036B" w:rsidR="009A036B" w:rsidTr="002E48F5" w14:paraId="5A0ACA4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092E4FF8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0BE887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8690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D692D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6FC488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773EF6" w14:paraId="7778380A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81C88" w:rsidR="00D81C88">
              <w:rPr>
                <w:b/>
              </w:rPr>
              <w:t>,</w:t>
            </w:r>
            <w:r w:rsidR="00453771">
              <w:rPr>
                <w:b/>
              </w:rPr>
              <w:t>668</w:t>
            </w:r>
            <w:r w:rsidRPr="00D81C88" w:rsidR="00D81C88">
              <w:rPr>
                <w:b/>
              </w:rPr>
              <w:t>.</w:t>
            </w:r>
            <w:r w:rsidR="00453771">
              <w:rPr>
                <w:b/>
              </w:rPr>
              <w:t>94</w:t>
            </w:r>
          </w:p>
        </w:tc>
      </w:tr>
    </w:tbl>
    <w:p w:rsidR="004F4964" w:rsidP="009A036B" w:rsidRDefault="002D74B4" w14:paraId="6AFEB5F8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12">
        <w:r w:rsidRPr="003736E4" w:rsidR="00453771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</w:p>
    <w:p w:rsidR="00ED6492" w:rsidRDefault="00ED6492" w14:paraId="4897E36E" w14:textId="77777777">
      <w:pPr>
        <w:rPr>
          <w:b/>
          <w:bCs/>
          <w:u w:val="single"/>
        </w:rPr>
      </w:pPr>
    </w:p>
    <w:p w:rsidR="0069403B" w:rsidP="00F06866" w:rsidRDefault="00ED6492" w14:paraId="05FCC204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CABB8C4" w14:textId="77777777">
      <w:pPr>
        <w:rPr>
          <w:b/>
        </w:rPr>
      </w:pPr>
    </w:p>
    <w:p w:rsidR="00F06866" w:rsidP="00F06866" w:rsidRDefault="00636621" w14:paraId="72DC22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227466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37C4D7ED" w14:textId="77777777">
      <w:pPr>
        <w:pStyle w:val="ListParagraph"/>
      </w:pPr>
    </w:p>
    <w:p w:rsidR="00636621" w:rsidP="001B0AAA" w:rsidRDefault="00636621" w14:paraId="159C784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2EBE9907" w14:textId="77777777"/>
    <w:p w:rsidR="00D9389F" w:rsidP="001B0AAA" w:rsidRDefault="00D9389F" w14:paraId="61017097" w14:textId="77777777">
      <w:r>
        <w:t>The customer list will consist of individuals who served the NIH Center for Scientific Review as grant reviewers</w:t>
      </w:r>
      <w:r w:rsidR="000B76D4">
        <w:t xml:space="preserve"> on select review meetings </w:t>
      </w:r>
      <w:r w:rsidR="002E008B">
        <w:t xml:space="preserve">held </w:t>
      </w:r>
      <w:r w:rsidR="007D6E11">
        <w:t>during</w:t>
      </w:r>
      <w:r w:rsidR="002E008B">
        <w:t xml:space="preserve"> January through April </w:t>
      </w:r>
      <w:r w:rsidR="0077039D">
        <w:t>of 202</w:t>
      </w:r>
      <w:r w:rsidR="002E008B">
        <w:t>1</w:t>
      </w:r>
      <w:r w:rsidR="0077039D">
        <w:t xml:space="preserve">. </w:t>
      </w:r>
      <w:r w:rsidR="00695FDF">
        <w:t>The rosters from the review meetings 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0F4942E6" w14:textId="77777777"/>
    <w:p w:rsidR="00A403BB" w:rsidP="00A403BB" w:rsidRDefault="00A403BB" w14:paraId="08983691" w14:textId="77777777"/>
    <w:p w:rsidR="00A403BB" w:rsidP="00A403BB" w:rsidRDefault="00A403BB" w14:paraId="5272175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DF5529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76D8434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F759EB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E570542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B719DF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0C55F8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EEF69C1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21B9008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51563F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4BE4AF6" w14:textId="77777777">
      <w:pPr>
        <w:rPr>
          <w:b/>
        </w:rPr>
      </w:pPr>
    </w:p>
    <w:p w:rsidRPr="00F24CFC" w:rsidR="003932D1" w:rsidP="0024521E" w:rsidRDefault="003932D1" w14:paraId="434EACC3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B968" w14:textId="77777777" w:rsidR="00856B94" w:rsidRDefault="00856B94">
      <w:r>
        <w:separator/>
      </w:r>
    </w:p>
  </w:endnote>
  <w:endnote w:type="continuationSeparator" w:id="0">
    <w:p w14:paraId="4EF680D2" w14:textId="77777777" w:rsidR="00856B94" w:rsidRDefault="008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3EF5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D0F2" w14:textId="77777777" w:rsidR="00856B94" w:rsidRDefault="00856B94">
      <w:r>
        <w:separator/>
      </w:r>
    </w:p>
  </w:footnote>
  <w:footnote w:type="continuationSeparator" w:id="0">
    <w:p w14:paraId="3E6C0BEC" w14:textId="77777777" w:rsidR="00856B94" w:rsidRDefault="0085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13A41"/>
    <w:rsid w:val="00023A57"/>
    <w:rsid w:val="00031DCF"/>
    <w:rsid w:val="00042629"/>
    <w:rsid w:val="00047A64"/>
    <w:rsid w:val="00067329"/>
    <w:rsid w:val="000722CE"/>
    <w:rsid w:val="00087DDC"/>
    <w:rsid w:val="000913EC"/>
    <w:rsid w:val="000971AD"/>
    <w:rsid w:val="000A1AFC"/>
    <w:rsid w:val="000B2838"/>
    <w:rsid w:val="000B4E3F"/>
    <w:rsid w:val="000B5838"/>
    <w:rsid w:val="000B76D4"/>
    <w:rsid w:val="000D44CA"/>
    <w:rsid w:val="000E200B"/>
    <w:rsid w:val="000E315F"/>
    <w:rsid w:val="000E5A7F"/>
    <w:rsid w:val="000F68BE"/>
    <w:rsid w:val="00111098"/>
    <w:rsid w:val="00113A81"/>
    <w:rsid w:val="00162F83"/>
    <w:rsid w:val="00177AEA"/>
    <w:rsid w:val="001855D1"/>
    <w:rsid w:val="00186550"/>
    <w:rsid w:val="001927A4"/>
    <w:rsid w:val="00194AC6"/>
    <w:rsid w:val="001A23B0"/>
    <w:rsid w:val="001A25CC"/>
    <w:rsid w:val="001A51B0"/>
    <w:rsid w:val="001B0AAA"/>
    <w:rsid w:val="001C39F7"/>
    <w:rsid w:val="001C55AE"/>
    <w:rsid w:val="001D2F43"/>
    <w:rsid w:val="001F6D7A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22F6"/>
    <w:rsid w:val="002B3C95"/>
    <w:rsid w:val="002B4EE8"/>
    <w:rsid w:val="002C0B73"/>
    <w:rsid w:val="002C5A2D"/>
    <w:rsid w:val="002D0B92"/>
    <w:rsid w:val="002D26E2"/>
    <w:rsid w:val="002D74B4"/>
    <w:rsid w:val="002E008B"/>
    <w:rsid w:val="002E48F5"/>
    <w:rsid w:val="00323945"/>
    <w:rsid w:val="00323B8E"/>
    <w:rsid w:val="00357DB6"/>
    <w:rsid w:val="003637FB"/>
    <w:rsid w:val="003668D6"/>
    <w:rsid w:val="003932D1"/>
    <w:rsid w:val="00396074"/>
    <w:rsid w:val="003A7074"/>
    <w:rsid w:val="003C01EB"/>
    <w:rsid w:val="003D30D3"/>
    <w:rsid w:val="003D5BBE"/>
    <w:rsid w:val="003E3C61"/>
    <w:rsid w:val="003F1C5B"/>
    <w:rsid w:val="00405C12"/>
    <w:rsid w:val="00411C79"/>
    <w:rsid w:val="00420E91"/>
    <w:rsid w:val="00431EB1"/>
    <w:rsid w:val="00434E33"/>
    <w:rsid w:val="00441434"/>
    <w:rsid w:val="0045264C"/>
    <w:rsid w:val="004530AF"/>
    <w:rsid w:val="00453771"/>
    <w:rsid w:val="004672D2"/>
    <w:rsid w:val="004722E9"/>
    <w:rsid w:val="0047428B"/>
    <w:rsid w:val="0047464F"/>
    <w:rsid w:val="0048566F"/>
    <w:rsid w:val="004876EC"/>
    <w:rsid w:val="004A44F3"/>
    <w:rsid w:val="004B1EB8"/>
    <w:rsid w:val="004C1145"/>
    <w:rsid w:val="004D052B"/>
    <w:rsid w:val="004D6E14"/>
    <w:rsid w:val="004F4964"/>
    <w:rsid w:val="004F5E6B"/>
    <w:rsid w:val="005009B0"/>
    <w:rsid w:val="00500C33"/>
    <w:rsid w:val="005011CC"/>
    <w:rsid w:val="00521A01"/>
    <w:rsid w:val="00541FDC"/>
    <w:rsid w:val="00552410"/>
    <w:rsid w:val="0058230F"/>
    <w:rsid w:val="0059041F"/>
    <w:rsid w:val="00590C2E"/>
    <w:rsid w:val="005A1006"/>
    <w:rsid w:val="005A772A"/>
    <w:rsid w:val="005E1A45"/>
    <w:rsid w:val="005E714A"/>
    <w:rsid w:val="005F68E4"/>
    <w:rsid w:val="00603279"/>
    <w:rsid w:val="006122D4"/>
    <w:rsid w:val="006140A0"/>
    <w:rsid w:val="006155ED"/>
    <w:rsid w:val="006250F6"/>
    <w:rsid w:val="00633F74"/>
    <w:rsid w:val="00636329"/>
    <w:rsid w:val="00636621"/>
    <w:rsid w:val="00640E42"/>
    <w:rsid w:val="00642B49"/>
    <w:rsid w:val="0064472C"/>
    <w:rsid w:val="00672C64"/>
    <w:rsid w:val="00681279"/>
    <w:rsid w:val="00681712"/>
    <w:rsid w:val="00682E17"/>
    <w:rsid w:val="006832D9"/>
    <w:rsid w:val="00686301"/>
    <w:rsid w:val="0069403B"/>
    <w:rsid w:val="00695FDF"/>
    <w:rsid w:val="006A273D"/>
    <w:rsid w:val="006B7B34"/>
    <w:rsid w:val="006D5F47"/>
    <w:rsid w:val="006F1065"/>
    <w:rsid w:val="006F3DDE"/>
    <w:rsid w:val="00700A87"/>
    <w:rsid w:val="00704678"/>
    <w:rsid w:val="007425E7"/>
    <w:rsid w:val="007524F0"/>
    <w:rsid w:val="00766D95"/>
    <w:rsid w:val="0077039D"/>
    <w:rsid w:val="00773EF6"/>
    <w:rsid w:val="00773FA5"/>
    <w:rsid w:val="0077703F"/>
    <w:rsid w:val="00785D2A"/>
    <w:rsid w:val="007D6E11"/>
    <w:rsid w:val="007E573D"/>
    <w:rsid w:val="00802607"/>
    <w:rsid w:val="008101A5"/>
    <w:rsid w:val="00811789"/>
    <w:rsid w:val="0081223D"/>
    <w:rsid w:val="00822664"/>
    <w:rsid w:val="00837E7E"/>
    <w:rsid w:val="00842988"/>
    <w:rsid w:val="00843796"/>
    <w:rsid w:val="0085116A"/>
    <w:rsid w:val="00856B94"/>
    <w:rsid w:val="00860A8A"/>
    <w:rsid w:val="008654C0"/>
    <w:rsid w:val="00874373"/>
    <w:rsid w:val="00887320"/>
    <w:rsid w:val="00892406"/>
    <w:rsid w:val="00895229"/>
    <w:rsid w:val="0089555C"/>
    <w:rsid w:val="008B63EF"/>
    <w:rsid w:val="008C5740"/>
    <w:rsid w:val="008F0203"/>
    <w:rsid w:val="008F50D4"/>
    <w:rsid w:val="00923389"/>
    <w:rsid w:val="00923694"/>
    <w:rsid w:val="009239AA"/>
    <w:rsid w:val="00935ADA"/>
    <w:rsid w:val="00946B6C"/>
    <w:rsid w:val="00955A71"/>
    <w:rsid w:val="0096108F"/>
    <w:rsid w:val="0096314A"/>
    <w:rsid w:val="009A036B"/>
    <w:rsid w:val="009C13B9"/>
    <w:rsid w:val="009C4B4F"/>
    <w:rsid w:val="009D01A2"/>
    <w:rsid w:val="009D1675"/>
    <w:rsid w:val="009F5923"/>
    <w:rsid w:val="00A133D0"/>
    <w:rsid w:val="00A229F1"/>
    <w:rsid w:val="00A26F49"/>
    <w:rsid w:val="00A403BB"/>
    <w:rsid w:val="00A50F89"/>
    <w:rsid w:val="00A674DF"/>
    <w:rsid w:val="00A73073"/>
    <w:rsid w:val="00A83AA6"/>
    <w:rsid w:val="00AC60E8"/>
    <w:rsid w:val="00AD7F47"/>
    <w:rsid w:val="00AE14B1"/>
    <w:rsid w:val="00AE1809"/>
    <w:rsid w:val="00AE6282"/>
    <w:rsid w:val="00B02E51"/>
    <w:rsid w:val="00B16BEC"/>
    <w:rsid w:val="00B229FB"/>
    <w:rsid w:val="00B34C37"/>
    <w:rsid w:val="00B80D76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06FCE"/>
    <w:rsid w:val="00C14BA3"/>
    <w:rsid w:val="00C14CC4"/>
    <w:rsid w:val="00C33C52"/>
    <w:rsid w:val="00C40D8B"/>
    <w:rsid w:val="00C8407A"/>
    <w:rsid w:val="00C8488C"/>
    <w:rsid w:val="00C86E91"/>
    <w:rsid w:val="00C91F41"/>
    <w:rsid w:val="00CA19A3"/>
    <w:rsid w:val="00CA2010"/>
    <w:rsid w:val="00CA2650"/>
    <w:rsid w:val="00CA787C"/>
    <w:rsid w:val="00CB1078"/>
    <w:rsid w:val="00CC6FAF"/>
    <w:rsid w:val="00CC7AF3"/>
    <w:rsid w:val="00CD3F0A"/>
    <w:rsid w:val="00D24698"/>
    <w:rsid w:val="00D51867"/>
    <w:rsid w:val="00D5705C"/>
    <w:rsid w:val="00D636C0"/>
    <w:rsid w:val="00D6383F"/>
    <w:rsid w:val="00D662C8"/>
    <w:rsid w:val="00D8028D"/>
    <w:rsid w:val="00D81C88"/>
    <w:rsid w:val="00D9389F"/>
    <w:rsid w:val="00DA79F1"/>
    <w:rsid w:val="00DB4A58"/>
    <w:rsid w:val="00DB59D0"/>
    <w:rsid w:val="00DC33D3"/>
    <w:rsid w:val="00DE25AD"/>
    <w:rsid w:val="00DF1FB0"/>
    <w:rsid w:val="00E17118"/>
    <w:rsid w:val="00E26329"/>
    <w:rsid w:val="00E40B50"/>
    <w:rsid w:val="00E50293"/>
    <w:rsid w:val="00E61C76"/>
    <w:rsid w:val="00E65FFC"/>
    <w:rsid w:val="00E670E2"/>
    <w:rsid w:val="00E80951"/>
    <w:rsid w:val="00E86CC6"/>
    <w:rsid w:val="00EA00ED"/>
    <w:rsid w:val="00EB56B3"/>
    <w:rsid w:val="00ED6492"/>
    <w:rsid w:val="00EF2095"/>
    <w:rsid w:val="00F06866"/>
    <w:rsid w:val="00F15956"/>
    <w:rsid w:val="00F24CFC"/>
    <w:rsid w:val="00F3170F"/>
    <w:rsid w:val="00F33C91"/>
    <w:rsid w:val="00F34FB3"/>
    <w:rsid w:val="00F66EE5"/>
    <w:rsid w:val="00F8576D"/>
    <w:rsid w:val="00F92F8A"/>
    <w:rsid w:val="00F933C8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081AB"/>
  <w15:chartTrackingRefBased/>
  <w15:docId w15:val="{2BA3DB3F-0659-4E6F-AF9B-544EAF6C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#19-00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2557-81B8-4A4C-AFC7-124CE8E8D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D3212-1909-402A-9914-E1142443F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2824F-A93F-4FB4-8DFA-E1ACAA0A0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8C06C-D81F-420B-9122-4C44845E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5727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6</cp:revision>
  <cp:lastPrinted>2019-05-07T16:43:00Z</cp:lastPrinted>
  <dcterms:created xsi:type="dcterms:W3CDTF">2021-01-11T23:52:00Z</dcterms:created>
  <dcterms:modified xsi:type="dcterms:W3CDTF">2021-01-11T23:58:00Z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