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EFB" w:rsidP="00F06866" w:rsidRDefault="00A05EFB" w14:paraId="635F6579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E63F19" w:rsidP="00E63F19" w:rsidRDefault="00F06866" w14:paraId="5DC4B69C" w14:textId="77777777">
      <w:pPr>
        <w:pStyle w:val="Heading2"/>
        <w:tabs>
          <w:tab w:val="left" w:pos="900"/>
        </w:tabs>
        <w:ind w:right="-180"/>
        <w:rPr>
          <w:b w:val="0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2E7BFD">
        <w:t>,</w:t>
      </w:r>
      <w:r w:rsidR="00686301">
        <w:t xml:space="preserve"> Exp</w:t>
      </w:r>
      <w:r w:rsidR="00A50F89">
        <w:t>.</w:t>
      </w:r>
      <w:r w:rsidR="003A51B1">
        <w:t xml:space="preserve"> D</w:t>
      </w:r>
      <w:r w:rsidR="00887320">
        <w:t>ate:</w:t>
      </w:r>
      <w:r w:rsidR="00A50F89">
        <w:t xml:space="preserve"> </w:t>
      </w:r>
      <w:r w:rsidR="00887320">
        <w:t>0</w:t>
      </w:r>
      <w:r w:rsidR="003A51B1">
        <w:t>5/</w:t>
      </w:r>
      <w:r w:rsidR="002E7BFD">
        <w:t>31/</w:t>
      </w:r>
      <w:r w:rsidR="00887320">
        <w:t>20</w:t>
      </w:r>
      <w:r w:rsidR="003A51B1">
        <w:t>2</w:t>
      </w:r>
      <w:r w:rsidR="00887320">
        <w:t>1</w:t>
      </w:r>
      <w:r>
        <w:rPr>
          <w:sz w:val="28"/>
        </w:rPr>
        <w:t>)</w:t>
      </w:r>
    </w:p>
    <w:p w:rsidR="00E50293" w:rsidP="00434E33" w:rsidRDefault="009F6F05" w14:paraId="5E9E6ED7" w14:textId="76B2561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0C1758B2" wp14:anchorId="17ADB0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3B9D8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="005E714A">
        <w:t xml:space="preserve">  </w:t>
      </w:r>
    </w:p>
    <w:p w:rsidR="00E63F19" w:rsidP="00862766" w:rsidRDefault="00E63F19" w14:paraId="7F0F04B8" w14:textId="77777777">
      <w:r w:rsidRPr="00434E33">
        <w:rPr>
          <w:b/>
        </w:rPr>
        <w:t>TITLE OF INFORMATION COLLECTION:</w:t>
      </w:r>
    </w:p>
    <w:p w:rsidRPr="00862766" w:rsidR="00862766" w:rsidP="00862766" w:rsidRDefault="00E66FCB" w14:paraId="7E350625" w14:textId="77777777">
      <w:r>
        <w:t xml:space="preserve">2021 </w:t>
      </w:r>
      <w:r w:rsidRPr="00862766" w:rsidR="00862766">
        <w:t xml:space="preserve">NIH Consumer Health Content Community of Practice Survey </w:t>
      </w:r>
    </w:p>
    <w:p w:rsidR="005E714A" w:rsidRDefault="005E714A" w14:paraId="5339AAA8" w14:textId="77777777"/>
    <w:p w:rsidR="00911FAD" w:rsidP="00911FAD" w:rsidRDefault="00F15956" w14:paraId="6654DA8D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862766" w:rsidP="00862766" w:rsidRDefault="00E4120B" w14:paraId="60514629" w14:textId="77777777">
      <w:r w:rsidRPr="005623CA">
        <w:t>The goal of this National Library of Medicine (NLM)</w:t>
      </w:r>
      <w:r w:rsidR="00937B5D">
        <w:t xml:space="preserve"> </w:t>
      </w:r>
      <w:r w:rsidRPr="00937B5D" w:rsidR="00937B5D">
        <w:t>qualitative</w:t>
      </w:r>
      <w:r w:rsidR="00937B5D">
        <w:t xml:space="preserve"> survey </w:t>
      </w:r>
      <w:r w:rsidRPr="005623CA">
        <w:t xml:space="preserve">is to collect voluntarily provided customer feedback from </w:t>
      </w:r>
      <w:r w:rsidRPr="005623CA" w:rsidR="00862766">
        <w:t>members of the NIH Consumer Health Content Community of Practice (CoP) about the group’s activities</w:t>
      </w:r>
      <w:r w:rsidRPr="005623CA">
        <w:t xml:space="preserve"> and to measure stakeholder </w:t>
      </w:r>
      <w:r w:rsidRPr="005623CA" w:rsidR="00862766">
        <w:t>satisfaction with the</w:t>
      </w:r>
      <w:r w:rsidRPr="005623CA">
        <w:t xml:space="preserve"> CoP </w:t>
      </w:r>
      <w:r w:rsidRPr="005623CA" w:rsidR="00862766">
        <w:t xml:space="preserve"> listserv and</w:t>
      </w:r>
      <w:r w:rsidRPr="005623CA">
        <w:t xml:space="preserve"> other areas of</w:t>
      </w:r>
      <w:r w:rsidRPr="005623CA" w:rsidR="00862766">
        <w:t xml:space="preserve"> general interests.</w:t>
      </w:r>
    </w:p>
    <w:p w:rsidR="00C8488C" w:rsidP="00434E33" w:rsidRDefault="00C8488C" w14:paraId="28FD852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20EA4FD0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911FAD" w:rsidP="00911FAD" w:rsidRDefault="005623CA" w14:paraId="580490D7" w14:textId="77777777">
      <w:r>
        <w:t xml:space="preserve">Customer feedback will be collected </w:t>
      </w:r>
      <w:r w:rsidRPr="00862766" w:rsidR="00911FAD">
        <w:t xml:space="preserve">NIH </w:t>
      </w:r>
      <w:r w:rsidRPr="00862766" w:rsidR="005C3816">
        <w:t xml:space="preserve">employees </w:t>
      </w:r>
      <w:r w:rsidR="00862766">
        <w:t xml:space="preserve">who are subscribed to the NIH Consumer Health Content CoP listserv </w:t>
      </w:r>
      <w:r w:rsidR="007D52B9">
        <w:t>or attend the CoP Meetings</w:t>
      </w:r>
      <w:r w:rsidR="00E63F19">
        <w:t>.</w:t>
      </w:r>
      <w:r w:rsidR="00862766">
        <w:t xml:space="preserve"> </w:t>
      </w:r>
    </w:p>
    <w:p w:rsidR="00C8488C" w:rsidRDefault="00C8488C" w14:paraId="42355D60" w14:textId="77777777"/>
    <w:p w:rsidRPr="00F06866" w:rsidR="00F06866" w:rsidRDefault="00F06866" w14:paraId="144BFA7A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F06866" w:rsidR="00F06866" w:rsidP="0096108F" w:rsidRDefault="0096108F" w14:paraId="41D4E28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862766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1F0418F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434E33" w:rsidP="00A05EFB" w:rsidRDefault="00935ADA" w14:paraId="7B3E51C2" w14:textId="77777777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BC723E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A05EFB">
        <w:rPr>
          <w:bCs/>
          <w:sz w:val="24"/>
        </w:rPr>
        <w:t xml:space="preserve"> </w:t>
      </w:r>
      <w:r w:rsidR="00A05EFB">
        <w:rPr>
          <w:bCs/>
          <w:sz w:val="24"/>
          <w:u w:val="single"/>
        </w:rPr>
        <w:tab/>
      </w:r>
      <w:r w:rsidR="00A05EFB">
        <w:rPr>
          <w:bCs/>
          <w:sz w:val="24"/>
          <w:u w:val="single"/>
        </w:rPr>
        <w:tab/>
      </w:r>
    </w:p>
    <w:p w:rsidR="00A05EFB" w:rsidP="00A05EFB" w:rsidRDefault="00A05EFB" w14:paraId="20D368C1" w14:textId="77777777">
      <w:pPr>
        <w:pStyle w:val="BodyTextIndent"/>
        <w:tabs>
          <w:tab w:val="left" w:pos="360"/>
        </w:tabs>
        <w:ind w:left="0"/>
        <w:rPr>
          <w:u w:val="single"/>
        </w:rPr>
      </w:pPr>
    </w:p>
    <w:p w:rsidRPr="00A05EFB" w:rsidR="00A05EFB" w:rsidP="00A05EFB" w:rsidRDefault="00A05EFB" w14:paraId="69666F87" w14:textId="77777777">
      <w:pPr>
        <w:pStyle w:val="BodyTextIndent"/>
        <w:tabs>
          <w:tab w:val="left" w:pos="360"/>
        </w:tabs>
        <w:ind w:left="0"/>
        <w:rPr>
          <w:u w:val="single"/>
        </w:rPr>
      </w:pPr>
    </w:p>
    <w:p w:rsidR="00441434" w:rsidRDefault="00441434" w14:paraId="19D18FD2" w14:textId="77777777">
      <w:pPr>
        <w:rPr>
          <w:sz w:val="16"/>
          <w:szCs w:val="16"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Pr="009C13B9" w:rsidR="008101A5" w:rsidP="008101A5" w:rsidRDefault="008101A5" w14:paraId="178735D8" w14:textId="77777777">
      <w:r>
        <w:t xml:space="preserve">I certify the following to be true: </w:t>
      </w:r>
    </w:p>
    <w:p w:rsidR="008101A5" w:rsidP="008101A5" w:rsidRDefault="008101A5" w14:paraId="39296F0B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0595CF1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F3673E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708665D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284BDFA5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1CF78F7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0F603BCE" w14:textId="77777777"/>
    <w:p w:rsidRPr="00BC723E" w:rsidR="009C13B9" w:rsidP="009C13B9" w:rsidRDefault="009C13B9" w14:paraId="79E2F76C" w14:textId="77777777">
      <w:pPr>
        <w:rPr>
          <w:highlight w:val="yellow"/>
        </w:rPr>
      </w:pPr>
      <w:r>
        <w:t>Name:</w:t>
      </w:r>
      <w:r w:rsidR="00196404">
        <w:t xml:space="preserve"> </w:t>
      </w:r>
      <w:r w:rsidRPr="00E63F19" w:rsidR="00610092">
        <w:rPr>
          <w:u w:val="single"/>
        </w:rPr>
        <w:t>Jen Jentsch</w:t>
      </w:r>
    </w:p>
    <w:p w:rsidR="005C3816" w:rsidP="002C443A" w:rsidRDefault="00610092" w14:paraId="133AD3D0" w14:textId="77777777">
      <w:pPr>
        <w:ind w:left="720"/>
      </w:pPr>
      <w:r>
        <w:t>Project Manager, Technical Information Specialist</w:t>
      </w:r>
    </w:p>
    <w:p w:rsidR="009C13B9" w:rsidP="005C3816" w:rsidRDefault="009C13B9" w14:paraId="52DC837D" w14:textId="77777777">
      <w:pPr>
        <w:pStyle w:val="ListParagraph"/>
        <w:ind w:left="0"/>
      </w:pPr>
    </w:p>
    <w:p w:rsidR="009C13B9" w:rsidP="009C13B9" w:rsidRDefault="009C13B9" w14:paraId="70AD43B3" w14:textId="77777777">
      <w:r>
        <w:t>To assist review, please provide answers to the following question:</w:t>
      </w:r>
    </w:p>
    <w:p w:rsidR="009C13B9" w:rsidP="009C13B9" w:rsidRDefault="009C13B9" w14:paraId="420B1C71" w14:textId="77777777">
      <w:pPr>
        <w:pStyle w:val="ListParagraph"/>
        <w:ind w:left="360"/>
      </w:pPr>
    </w:p>
    <w:p w:rsidRPr="00C86E91" w:rsidR="009C13B9" w:rsidP="00C86E91" w:rsidRDefault="00C86E91" w14:paraId="3F4F02FA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5320830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862766">
        <w:t xml:space="preserve"> </w:t>
      </w:r>
      <w:r w:rsidR="009239AA">
        <w:t>] Yes  [</w:t>
      </w:r>
      <w:r w:rsidR="00862766">
        <w:t>X</w:t>
      </w:r>
      <w:r w:rsidR="009239AA">
        <w:t xml:space="preserve">]  No </w:t>
      </w:r>
    </w:p>
    <w:p w:rsidR="00C86E91" w:rsidP="00C86E91" w:rsidRDefault="009C13B9" w14:paraId="7B70EB55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0C453A">
        <w:t>yes</w:t>
      </w:r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36010A2D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33F74" w:rsidP="00BB0C66" w:rsidRDefault="00633F74" w14:paraId="60F02235" w14:textId="77777777">
      <w:pPr>
        <w:pStyle w:val="ListParagraph"/>
        <w:keepNext/>
        <w:keepLines/>
        <w:ind w:left="360"/>
      </w:pPr>
    </w:p>
    <w:p w:rsidRPr="00C86E91" w:rsidR="00C86E91" w:rsidP="00C86E91" w:rsidRDefault="00CB1078" w14:paraId="775D3E7E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4F334F8C" w14:textId="77777777">
      <w:r>
        <w:t>Is an incentive (e.g., money or reimbursement of expenses, token of appreciation) provided to participants?  [  ] Yes [</w:t>
      </w:r>
      <w:r w:rsidR="00862766">
        <w:t>X</w:t>
      </w:r>
      <w:r>
        <w:t xml:space="preserve">] No  </w:t>
      </w:r>
    </w:p>
    <w:p w:rsidR="004D6E14" w:rsidRDefault="004D6E14" w14:paraId="7E7F9DB9" w14:textId="77777777">
      <w:pPr>
        <w:rPr>
          <w:b/>
        </w:rPr>
      </w:pPr>
    </w:p>
    <w:p w:rsidR="00F71480" w:rsidP="00F71480" w:rsidRDefault="00F71480" w14:paraId="00D2C9AE" w14:textId="77777777">
      <w:pPr>
        <w:keepNext/>
        <w:keepLines/>
      </w:pPr>
      <w:r w:rsidRPr="00E333D2">
        <w:t>To assist review, please provide answers to the following question</w:t>
      </w:r>
      <w:r>
        <w:t>s</w:t>
      </w:r>
      <w:r w:rsidRPr="00E333D2">
        <w:t>:</w:t>
      </w:r>
    </w:p>
    <w:p w:rsidR="00F71480" w:rsidP="00F71480" w:rsidRDefault="00F71480" w14:paraId="318FDB46" w14:textId="77777777">
      <w:pPr>
        <w:keepNext/>
        <w:keepLines/>
        <w:rPr>
          <w:b/>
        </w:rPr>
      </w:pPr>
    </w:p>
    <w:p w:rsidRPr="00BC676D" w:rsidR="005E714A" w:rsidP="00C86E91" w:rsidRDefault="003668D6" w14:paraId="76DBD5B5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  <w:r w:rsidR="00F957C1">
        <w:rPr>
          <w:b/>
        </w:rPr>
        <w:t xml:space="preserve"> </w:t>
      </w:r>
    </w:p>
    <w:p w:rsidRPr="006832D9" w:rsidR="006832D9" w:rsidP="00F3170F" w:rsidRDefault="006832D9" w14:paraId="6AA27ED2" w14:textId="77777777">
      <w:pPr>
        <w:keepNext/>
        <w:keepLines/>
        <w:rPr>
          <w:b/>
        </w:rPr>
      </w:pPr>
    </w:p>
    <w:tbl>
      <w:tblPr>
        <w:tblW w:w="963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530"/>
        <w:gridCol w:w="2112"/>
        <w:gridCol w:w="1436"/>
        <w:gridCol w:w="1492"/>
      </w:tblGrid>
      <w:tr w:rsidR="003668D6" w:rsidTr="00237279" w14:paraId="71E2D973" w14:textId="77777777">
        <w:trPr>
          <w:trHeight w:val="286"/>
        </w:trPr>
        <w:tc>
          <w:tcPr>
            <w:tcW w:w="3060" w:type="dxa"/>
          </w:tcPr>
          <w:p w:rsidRPr="002D26E2" w:rsidR="003668D6" w:rsidP="00C8488C" w:rsidRDefault="003668D6" w14:paraId="76E81C79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2D26E2" w:rsidR="003668D6" w:rsidP="00843796" w:rsidRDefault="003668D6" w14:paraId="41993429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112" w:type="dxa"/>
          </w:tcPr>
          <w:p w:rsidRPr="002D26E2" w:rsidR="003668D6" w:rsidP="00843796" w:rsidRDefault="003668D6" w14:paraId="2D72D972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436" w:type="dxa"/>
          </w:tcPr>
          <w:p w:rsidR="003668D6" w:rsidP="00843796" w:rsidRDefault="003668D6" w14:paraId="2A0CA802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4296140B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128BB022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492" w:type="dxa"/>
          </w:tcPr>
          <w:p w:rsidR="003668D6" w:rsidP="00843796" w:rsidRDefault="003668D6" w14:paraId="13F0BC6E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157984A8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237279" w14:paraId="23E55E73" w14:textId="77777777">
        <w:trPr>
          <w:trHeight w:val="272"/>
        </w:trPr>
        <w:tc>
          <w:tcPr>
            <w:tcW w:w="3060" w:type="dxa"/>
          </w:tcPr>
          <w:p w:rsidR="003668D6" w:rsidP="00843796" w:rsidRDefault="00D84A21" w14:paraId="26BD085D" w14:textId="77777777">
            <w:r w:rsidRPr="00223415">
              <w:t>Individual (</w:t>
            </w:r>
            <w:r w:rsidRPr="00223415" w:rsidR="00437C63">
              <w:t>Federal Government</w:t>
            </w:r>
            <w:r w:rsidRPr="00223415">
              <w:t xml:space="preserve"> Employee and Contractor)</w:t>
            </w:r>
          </w:p>
        </w:tc>
        <w:tc>
          <w:tcPr>
            <w:tcW w:w="1530" w:type="dxa"/>
          </w:tcPr>
          <w:p w:rsidR="00DD1623" w:rsidP="00843796" w:rsidRDefault="00B173BA" w14:paraId="3CF6ADBA" w14:textId="77777777">
            <w:r>
              <w:t xml:space="preserve">    </w:t>
            </w:r>
          </w:p>
          <w:p w:rsidRPr="00BC723E" w:rsidR="003668D6" w:rsidP="00843796" w:rsidRDefault="00DD1623" w14:paraId="5E739F85" w14:textId="77777777">
            <w:pPr>
              <w:rPr>
                <w:highlight w:val="yellow"/>
              </w:rPr>
            </w:pPr>
            <w:r>
              <w:t xml:space="preserve">    </w:t>
            </w:r>
            <w:r w:rsidRPr="00862766" w:rsidR="00862766">
              <w:t>160</w:t>
            </w:r>
          </w:p>
        </w:tc>
        <w:tc>
          <w:tcPr>
            <w:tcW w:w="2112" w:type="dxa"/>
          </w:tcPr>
          <w:p w:rsidR="00DD1623" w:rsidP="00843796" w:rsidRDefault="00B173BA" w14:paraId="14BBA130" w14:textId="77777777">
            <w:r>
              <w:t xml:space="preserve">         </w:t>
            </w:r>
          </w:p>
          <w:p w:rsidRPr="00E9766A" w:rsidR="003668D6" w:rsidP="00843796" w:rsidRDefault="00DD1623" w14:paraId="7D23692E" w14:textId="77777777">
            <w:r>
              <w:t xml:space="preserve">         </w:t>
            </w:r>
            <w:r w:rsidR="00B173BA">
              <w:t xml:space="preserve">   </w:t>
            </w:r>
            <w:r w:rsidRPr="00E9766A" w:rsidR="00437C63">
              <w:t>1</w:t>
            </w:r>
          </w:p>
        </w:tc>
        <w:tc>
          <w:tcPr>
            <w:tcW w:w="1436" w:type="dxa"/>
          </w:tcPr>
          <w:p w:rsidR="00DD1623" w:rsidP="00843796" w:rsidRDefault="00B173BA" w14:paraId="5286F322" w14:textId="77777777">
            <w:r>
              <w:t xml:space="preserve"> </w:t>
            </w:r>
          </w:p>
          <w:p w:rsidRPr="00E9766A" w:rsidR="003668D6" w:rsidP="00843796" w:rsidRDefault="00B173BA" w14:paraId="1E2A4F12" w14:textId="77777777">
            <w:r>
              <w:t xml:space="preserve">  </w:t>
            </w:r>
            <w:r w:rsidR="003C36C6">
              <w:t xml:space="preserve"> </w:t>
            </w:r>
            <w:r w:rsidRPr="00E9766A" w:rsidR="00E9766A">
              <w:t>2</w:t>
            </w:r>
            <w:r w:rsidRPr="00E9766A" w:rsidR="00437C63">
              <w:t>/60</w:t>
            </w:r>
          </w:p>
        </w:tc>
        <w:tc>
          <w:tcPr>
            <w:tcW w:w="1492" w:type="dxa"/>
          </w:tcPr>
          <w:p w:rsidR="00DD1623" w:rsidP="00843796" w:rsidRDefault="009732B5" w14:paraId="582838B5" w14:textId="77777777">
            <w:pPr>
              <w:rPr>
                <w:color w:val="FF0000"/>
              </w:rPr>
            </w:pPr>
            <w:r w:rsidRPr="009732B5">
              <w:rPr>
                <w:color w:val="FF0000"/>
              </w:rPr>
              <w:t xml:space="preserve">  </w:t>
            </w:r>
          </w:p>
          <w:p w:rsidRPr="009732B5" w:rsidR="003668D6" w:rsidP="00843796" w:rsidRDefault="00DD1623" w14:paraId="1A14696C" w14:textId="77777777">
            <w:r>
              <w:rPr>
                <w:color w:val="FF0000"/>
              </w:rPr>
              <w:t xml:space="preserve">  </w:t>
            </w:r>
            <w:r w:rsidRPr="009732B5" w:rsidR="009732B5">
              <w:rPr>
                <w:color w:val="FF0000"/>
              </w:rPr>
              <w:t xml:space="preserve"> </w:t>
            </w:r>
            <w:r w:rsidRPr="009732B5" w:rsidR="00E9766A">
              <w:t>5</w:t>
            </w:r>
          </w:p>
          <w:p w:rsidRPr="00E9766A" w:rsidR="006A63EA" w:rsidP="009732B5" w:rsidRDefault="006A63EA" w14:paraId="1C1D1CC4" w14:textId="77777777"/>
        </w:tc>
      </w:tr>
      <w:tr w:rsidR="003668D6" w:rsidTr="00237279" w14:paraId="02E7C8BB" w14:textId="77777777">
        <w:trPr>
          <w:trHeight w:val="286"/>
        </w:trPr>
        <w:tc>
          <w:tcPr>
            <w:tcW w:w="3060" w:type="dxa"/>
          </w:tcPr>
          <w:p w:rsidR="003668D6" w:rsidP="00843796" w:rsidRDefault="003668D6" w14:paraId="3165340D" w14:textId="77777777"/>
        </w:tc>
        <w:tc>
          <w:tcPr>
            <w:tcW w:w="1530" w:type="dxa"/>
          </w:tcPr>
          <w:p w:rsidR="003668D6" w:rsidP="00843796" w:rsidRDefault="003668D6" w14:paraId="128A9B23" w14:textId="77777777"/>
        </w:tc>
        <w:tc>
          <w:tcPr>
            <w:tcW w:w="2112" w:type="dxa"/>
          </w:tcPr>
          <w:p w:rsidRPr="00E9766A" w:rsidR="003668D6" w:rsidP="00843796" w:rsidRDefault="003668D6" w14:paraId="6A6E3AF8" w14:textId="77777777"/>
        </w:tc>
        <w:tc>
          <w:tcPr>
            <w:tcW w:w="1436" w:type="dxa"/>
          </w:tcPr>
          <w:p w:rsidRPr="00E9766A" w:rsidR="003668D6" w:rsidP="00843796" w:rsidRDefault="003668D6" w14:paraId="21D93135" w14:textId="77777777"/>
        </w:tc>
        <w:tc>
          <w:tcPr>
            <w:tcW w:w="1492" w:type="dxa"/>
          </w:tcPr>
          <w:p w:rsidRPr="00E9766A" w:rsidR="003668D6" w:rsidP="00843796" w:rsidRDefault="003668D6" w14:paraId="2441946C" w14:textId="77777777"/>
        </w:tc>
      </w:tr>
      <w:tr w:rsidR="003668D6" w:rsidTr="00237279" w14:paraId="0BC52465" w14:textId="77777777">
        <w:trPr>
          <w:trHeight w:val="302"/>
        </w:trPr>
        <w:tc>
          <w:tcPr>
            <w:tcW w:w="3060" w:type="dxa"/>
          </w:tcPr>
          <w:p w:rsidRPr="002D26E2" w:rsidR="003668D6" w:rsidP="00843796" w:rsidRDefault="003668D6" w14:paraId="110C6B14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30" w:type="dxa"/>
            <w:shd w:val="clear" w:color="auto" w:fill="auto"/>
          </w:tcPr>
          <w:p w:rsidRPr="00B173BA" w:rsidR="003668D6" w:rsidP="00843796" w:rsidRDefault="00B173BA" w14:paraId="24749A23" w14:textId="28CD0188">
            <w:pPr>
              <w:rPr>
                <w:bCs/>
              </w:rPr>
            </w:pPr>
            <w:r w:rsidRPr="00B173BA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r w:rsidRPr="00B173BA">
              <w:rPr>
                <w:bCs/>
              </w:rPr>
              <w:t xml:space="preserve"> </w:t>
            </w:r>
          </w:p>
        </w:tc>
        <w:tc>
          <w:tcPr>
            <w:tcW w:w="2112" w:type="dxa"/>
          </w:tcPr>
          <w:p w:rsidRPr="00E9766A" w:rsidR="003668D6" w:rsidP="00843796" w:rsidRDefault="00B173BA" w14:paraId="284A0037" w14:textId="77777777">
            <w:r>
              <w:t xml:space="preserve">         </w:t>
            </w:r>
            <w:r w:rsidRPr="00E9766A" w:rsidR="00E9766A">
              <w:t>160</w:t>
            </w:r>
          </w:p>
        </w:tc>
        <w:tc>
          <w:tcPr>
            <w:tcW w:w="1436" w:type="dxa"/>
          </w:tcPr>
          <w:p w:rsidRPr="00E9766A" w:rsidR="003668D6" w:rsidP="00843796" w:rsidRDefault="003668D6" w14:paraId="39F70D1B" w14:textId="77777777"/>
        </w:tc>
        <w:tc>
          <w:tcPr>
            <w:tcW w:w="1492" w:type="dxa"/>
          </w:tcPr>
          <w:p w:rsidRPr="00E9766A" w:rsidR="003668D6" w:rsidP="00843796" w:rsidRDefault="009732B5" w14:paraId="55BE9774" w14:textId="7777777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E9766A" w:rsidR="00E9766A">
              <w:rPr>
                <w:b/>
              </w:rPr>
              <w:t>5</w:t>
            </w:r>
          </w:p>
        </w:tc>
      </w:tr>
    </w:tbl>
    <w:p w:rsidR="00F3170F" w:rsidP="00F3170F" w:rsidRDefault="00F3170F" w14:paraId="2511F5B5" w14:textId="77777777"/>
    <w:p w:rsidRPr="009A036B" w:rsidR="009A036B" w:rsidP="009A036B" w:rsidRDefault="009A036B" w14:paraId="3D0BF161" w14:textId="77777777">
      <w:pPr>
        <w:rPr>
          <w:b/>
        </w:rPr>
      </w:pPr>
    </w:p>
    <w:tbl>
      <w:tblPr>
        <w:tblW w:w="9643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980"/>
        <w:gridCol w:w="2790"/>
        <w:gridCol w:w="1813"/>
      </w:tblGrid>
      <w:tr w:rsidRPr="009A036B" w:rsidR="00CA2010" w:rsidTr="00237279" w14:paraId="21BB6E35" w14:textId="77777777">
        <w:trPr>
          <w:trHeight w:val="449"/>
        </w:trPr>
        <w:tc>
          <w:tcPr>
            <w:tcW w:w="3060" w:type="dxa"/>
          </w:tcPr>
          <w:p w:rsidRPr="009A036B" w:rsidR="00CA2010" w:rsidP="00CA2010" w:rsidRDefault="00CA2010" w14:paraId="0E37DACD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0FD1A5AB" w14:textId="77777777">
            <w:pPr>
              <w:rPr>
                <w:b/>
              </w:rPr>
            </w:pPr>
          </w:p>
        </w:tc>
        <w:tc>
          <w:tcPr>
            <w:tcW w:w="1980" w:type="dxa"/>
          </w:tcPr>
          <w:p w:rsidRPr="00CA2010" w:rsidR="00CA2010" w:rsidP="00CA2010" w:rsidRDefault="00CA2010" w14:paraId="78CD57A0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78A79267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790" w:type="dxa"/>
          </w:tcPr>
          <w:p w:rsidRPr="009A036B" w:rsidR="00CA2010" w:rsidP="009A036B" w:rsidRDefault="00F94D8C" w14:paraId="4FA86E3B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813" w:type="dxa"/>
          </w:tcPr>
          <w:p w:rsidRPr="009A036B" w:rsidR="00CA2010" w:rsidP="009A036B" w:rsidRDefault="00CA2010" w14:paraId="0B99AE2B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237279" w14:paraId="1423B8E5" w14:textId="77777777">
        <w:trPr>
          <w:trHeight w:val="782"/>
        </w:trPr>
        <w:tc>
          <w:tcPr>
            <w:tcW w:w="3060" w:type="dxa"/>
          </w:tcPr>
          <w:p w:rsidRPr="006A2918" w:rsidR="00CA2010" w:rsidP="009A036B" w:rsidRDefault="00D84A21" w14:paraId="2E7F9EC7" w14:textId="77777777">
            <w:pPr>
              <w:rPr>
                <w:highlight w:val="yellow"/>
              </w:rPr>
            </w:pPr>
            <w:r w:rsidRPr="00223415">
              <w:t>Individual (</w:t>
            </w:r>
            <w:r w:rsidRPr="00223415" w:rsidR="00437C63">
              <w:t>Federal Government</w:t>
            </w:r>
            <w:r w:rsidRPr="00223415">
              <w:t xml:space="preserve"> Employee and Contractor)</w:t>
            </w:r>
          </w:p>
        </w:tc>
        <w:tc>
          <w:tcPr>
            <w:tcW w:w="1980" w:type="dxa"/>
          </w:tcPr>
          <w:p w:rsidR="002952CC" w:rsidP="009A036B" w:rsidRDefault="002952CC" w14:paraId="70FB029F" w14:textId="77777777">
            <w:pPr>
              <w:rPr>
                <w:color w:val="FF0000"/>
                <w:highlight w:val="yellow"/>
              </w:rPr>
            </w:pPr>
          </w:p>
          <w:p w:rsidRPr="002952CC" w:rsidR="00CA2010" w:rsidP="009A036B" w:rsidRDefault="002952CC" w14:paraId="68A06ECB" w14:textId="77777777">
            <w:pPr>
              <w:rPr>
                <w:highlight w:val="yellow"/>
              </w:rPr>
            </w:pPr>
            <w:r w:rsidRPr="002952CC">
              <w:t xml:space="preserve">   </w:t>
            </w:r>
            <w:r>
              <w:t xml:space="preserve"> </w:t>
            </w:r>
            <w:r w:rsidR="00F63275">
              <w:t xml:space="preserve">   </w:t>
            </w:r>
            <w:r w:rsidRPr="002952CC" w:rsidR="00E9766A">
              <w:t>5</w:t>
            </w:r>
          </w:p>
        </w:tc>
        <w:tc>
          <w:tcPr>
            <w:tcW w:w="2790" w:type="dxa"/>
          </w:tcPr>
          <w:p w:rsidR="002952CC" w:rsidP="009A036B" w:rsidRDefault="002952CC" w14:paraId="6DC74446" w14:textId="77777777">
            <w:pPr>
              <w:rPr>
                <w:highlight w:val="yellow"/>
              </w:rPr>
            </w:pPr>
          </w:p>
          <w:p w:rsidRPr="00E63F19" w:rsidR="00CA2010" w:rsidP="009A036B" w:rsidRDefault="002952CC" w14:paraId="10932C2A" w14:textId="77777777">
            <w:pPr>
              <w:rPr>
                <w:highlight w:val="yellow"/>
              </w:rPr>
            </w:pPr>
            <w:r w:rsidRPr="00D07E18">
              <w:t xml:space="preserve">  </w:t>
            </w:r>
            <w:r w:rsidR="00F63275">
              <w:t xml:space="preserve">   </w:t>
            </w:r>
            <w:r w:rsidRPr="00D07E18" w:rsidR="00437C63">
              <w:t>$27.</w:t>
            </w:r>
            <w:r w:rsidRPr="00D07E18" w:rsidR="004C6491">
              <w:t>7</w:t>
            </w:r>
            <w:r w:rsidRPr="00D07E18" w:rsidR="00437C63">
              <w:t>2</w:t>
            </w:r>
          </w:p>
        </w:tc>
        <w:tc>
          <w:tcPr>
            <w:tcW w:w="1813" w:type="dxa"/>
          </w:tcPr>
          <w:p w:rsidR="002952CC" w:rsidP="009A036B" w:rsidRDefault="002952CC" w14:paraId="79120F1C" w14:textId="77777777">
            <w:pPr>
              <w:rPr>
                <w:highlight w:val="yellow"/>
              </w:rPr>
            </w:pPr>
          </w:p>
          <w:p w:rsidRPr="00E9766A" w:rsidR="00CA2010" w:rsidP="009A036B" w:rsidRDefault="00F63275" w14:paraId="44DAACCB" w14:textId="77777777">
            <w:r>
              <w:t xml:space="preserve"> </w:t>
            </w:r>
            <w:r w:rsidRPr="00D07E18" w:rsidR="00012AF3">
              <w:t>$</w:t>
            </w:r>
            <w:r w:rsidRPr="00D07E18" w:rsidR="00E9766A">
              <w:t>1</w:t>
            </w:r>
            <w:r w:rsidRPr="00D07E18" w:rsidR="002952CC">
              <w:t>38</w:t>
            </w:r>
            <w:r w:rsidRPr="00D07E18" w:rsidR="00E9766A">
              <w:t>.</w:t>
            </w:r>
            <w:r w:rsidRPr="00D07E18" w:rsidR="002952CC">
              <w:t>60</w:t>
            </w:r>
          </w:p>
        </w:tc>
      </w:tr>
      <w:tr w:rsidRPr="009A036B" w:rsidR="00CA2010" w:rsidTr="00237279" w14:paraId="203E03BA" w14:textId="77777777">
        <w:trPr>
          <w:trHeight w:val="290"/>
        </w:trPr>
        <w:tc>
          <w:tcPr>
            <w:tcW w:w="3060" w:type="dxa"/>
          </w:tcPr>
          <w:p w:rsidRPr="009A036B" w:rsidR="00CA2010" w:rsidP="009A036B" w:rsidRDefault="00CA2010" w14:paraId="3978F82B" w14:textId="77777777"/>
        </w:tc>
        <w:tc>
          <w:tcPr>
            <w:tcW w:w="1980" w:type="dxa"/>
          </w:tcPr>
          <w:p w:rsidRPr="009A036B" w:rsidR="00CA2010" w:rsidP="009A036B" w:rsidRDefault="00CA2010" w14:paraId="70D54E54" w14:textId="77777777"/>
        </w:tc>
        <w:tc>
          <w:tcPr>
            <w:tcW w:w="2790" w:type="dxa"/>
          </w:tcPr>
          <w:p w:rsidRPr="009A036B" w:rsidR="00CA2010" w:rsidP="009A036B" w:rsidRDefault="00CA2010" w14:paraId="422ADC02" w14:textId="77777777"/>
        </w:tc>
        <w:tc>
          <w:tcPr>
            <w:tcW w:w="1813" w:type="dxa"/>
          </w:tcPr>
          <w:p w:rsidRPr="00E9766A" w:rsidR="00CA2010" w:rsidP="009A036B" w:rsidRDefault="00CA2010" w14:paraId="01471D5C" w14:textId="77777777"/>
        </w:tc>
      </w:tr>
      <w:tr w:rsidRPr="009A036B" w:rsidR="00CA2010" w:rsidTr="00237279" w14:paraId="321E45B5" w14:textId="77777777">
        <w:trPr>
          <w:trHeight w:val="306"/>
        </w:trPr>
        <w:tc>
          <w:tcPr>
            <w:tcW w:w="3060" w:type="dxa"/>
          </w:tcPr>
          <w:p w:rsidRPr="009A036B" w:rsidR="00CA2010" w:rsidP="009A036B" w:rsidRDefault="00CA2010" w14:paraId="0621BDFB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1980" w:type="dxa"/>
            <w:shd w:val="clear" w:color="auto" w:fill="auto"/>
          </w:tcPr>
          <w:p w:rsidRPr="009A036B" w:rsidR="00CA2010" w:rsidP="009A036B" w:rsidRDefault="002952CC" w14:paraId="57820922" w14:textId="5BC087D6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F63275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Pr="00BC723E" w:rsidR="00CA2010" w:rsidP="009A036B" w:rsidRDefault="00CA2010" w14:paraId="32A52F5D" w14:textId="77777777">
            <w:pPr>
              <w:rPr>
                <w:highlight w:val="yellow"/>
              </w:rPr>
            </w:pPr>
          </w:p>
        </w:tc>
        <w:tc>
          <w:tcPr>
            <w:tcW w:w="1813" w:type="dxa"/>
            <w:shd w:val="clear" w:color="auto" w:fill="auto"/>
          </w:tcPr>
          <w:p w:rsidRPr="00F63275" w:rsidR="00CA2010" w:rsidP="009A036B" w:rsidRDefault="00F63275" w14:paraId="0616C207" w14:textId="77777777">
            <w:pPr>
              <w:rPr>
                <w:b/>
                <w:bCs/>
              </w:rPr>
            </w:pPr>
            <w:r w:rsidRPr="00F63275">
              <w:rPr>
                <w:b/>
                <w:bCs/>
              </w:rPr>
              <w:t xml:space="preserve"> </w:t>
            </w:r>
            <w:r w:rsidRPr="00F63275" w:rsidR="00012AF3">
              <w:rPr>
                <w:b/>
                <w:bCs/>
              </w:rPr>
              <w:t>$</w:t>
            </w:r>
            <w:r w:rsidRPr="00F63275" w:rsidR="00E9766A">
              <w:rPr>
                <w:b/>
                <w:bCs/>
              </w:rPr>
              <w:t>1</w:t>
            </w:r>
            <w:r w:rsidRPr="00F63275" w:rsidR="002952CC">
              <w:rPr>
                <w:b/>
                <w:bCs/>
              </w:rPr>
              <w:t>38</w:t>
            </w:r>
            <w:r w:rsidRPr="00F63275" w:rsidR="00E9766A">
              <w:rPr>
                <w:b/>
                <w:bCs/>
              </w:rPr>
              <w:t>.</w:t>
            </w:r>
            <w:r w:rsidRPr="00F63275" w:rsidR="002952CC">
              <w:rPr>
                <w:b/>
                <w:bCs/>
              </w:rPr>
              <w:t>60</w:t>
            </w:r>
          </w:p>
        </w:tc>
      </w:tr>
    </w:tbl>
    <w:p w:rsidRPr="00E910E5" w:rsidR="00E63F19" w:rsidP="00E910E5" w:rsidRDefault="00494F8D" w14:paraId="160952BF" w14:textId="77777777">
      <w:pPr>
        <w:rPr>
          <w:sz w:val="20"/>
          <w:szCs w:val="20"/>
        </w:rPr>
      </w:pPr>
      <w:bookmarkStart w:name="_GoBack" w:id="0"/>
      <w:bookmarkEnd w:id="0"/>
      <w:r w:rsidRPr="00E910E5">
        <w:rPr>
          <w:sz w:val="20"/>
          <w:szCs w:val="20"/>
        </w:rPr>
        <w:t>*</w:t>
      </w:r>
      <w:r w:rsidRPr="00E910E5" w:rsidR="00E910E5">
        <w:rPr>
          <w:sz w:val="20"/>
          <w:szCs w:val="20"/>
        </w:rPr>
        <w:t xml:space="preserve">The General Public wage rate was obtained from </w:t>
      </w:r>
      <w:hyperlink w:history="1" r:id="rId11">
        <w:r w:rsidRPr="00E910E5" w:rsidR="00E910E5">
          <w:rPr>
            <w:rStyle w:val="Hyperlink"/>
            <w:sz w:val="20"/>
            <w:szCs w:val="20"/>
          </w:rPr>
          <w:t>https://www.bls.gov/oes/2019/may/oes_nat.htm#00-0000</w:t>
        </w:r>
      </w:hyperlink>
    </w:p>
    <w:p w:rsidR="00E910E5" w:rsidP="00E910E5" w:rsidRDefault="00E910E5" w14:paraId="7EB82553" w14:textId="77777777">
      <w:pPr>
        <w:rPr>
          <w:b/>
        </w:rPr>
      </w:pPr>
    </w:p>
    <w:p w:rsidR="009A036B" w:rsidP="00EA7615" w:rsidRDefault="001C39F7" w14:paraId="797CED57" w14:textId="77777777">
      <w:pPr>
        <w:keepNext/>
        <w:keepLines/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0C453A">
        <w:t>is</w:t>
      </w:r>
      <w:r w:rsidR="00180B40">
        <w:t xml:space="preserve"> </w:t>
      </w:r>
      <w:r w:rsidRPr="008D7FC9" w:rsidR="00861110">
        <w:rPr>
          <w:b/>
          <w:u w:val="single"/>
        </w:rPr>
        <w:t>$</w:t>
      </w:r>
      <w:r w:rsidRPr="008D7FC9" w:rsidR="0083549A">
        <w:rPr>
          <w:b/>
          <w:u w:val="single"/>
        </w:rPr>
        <w:t>4</w:t>
      </w:r>
      <w:r w:rsidRPr="008D7FC9" w:rsidR="005E3352">
        <w:rPr>
          <w:b/>
          <w:u w:val="single"/>
        </w:rPr>
        <w:t>61</w:t>
      </w:r>
      <w:r w:rsidRPr="008D7FC9" w:rsidR="0083549A">
        <w:rPr>
          <w:b/>
          <w:u w:val="single"/>
        </w:rPr>
        <w:t>.</w:t>
      </w:r>
      <w:r w:rsidRPr="008D7FC9" w:rsidR="00E95B80">
        <w:rPr>
          <w:b/>
          <w:u w:val="single"/>
        </w:rPr>
        <w:t>3</w:t>
      </w:r>
      <w:r w:rsidRPr="008D7FC9" w:rsidR="005E3352">
        <w:rPr>
          <w:b/>
          <w:u w:val="single"/>
        </w:rPr>
        <w:t>9</w:t>
      </w:r>
    </w:p>
    <w:p w:rsidRPr="009A036B" w:rsidR="00E63F19" w:rsidP="00EA7615" w:rsidRDefault="00E63F19" w14:paraId="48AA1D1D" w14:textId="77777777">
      <w:pPr>
        <w:keepNext/>
        <w:keepLines/>
      </w:pP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6A2918" w14:paraId="68DBC4E5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EA7615" w:rsidRDefault="009A036B" w14:paraId="412BBAC6" w14:textId="77777777">
            <w:pPr>
              <w:keepNext/>
              <w:keepLines/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EA7615" w:rsidRDefault="009A036B" w14:paraId="45A92495" w14:textId="77777777">
            <w:pPr>
              <w:keepNext/>
              <w:keepLines/>
              <w:rPr>
                <w:b/>
                <w:bCs/>
              </w:rPr>
            </w:pPr>
          </w:p>
          <w:p w:rsidRPr="009A036B" w:rsidR="009A036B" w:rsidP="00EA7615" w:rsidRDefault="009A036B" w14:paraId="04ED3C21" w14:textId="77777777">
            <w:pPr>
              <w:keepNext/>
              <w:keepLines/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EA7615" w:rsidRDefault="009A036B" w14:paraId="1C2862DB" w14:textId="77777777">
            <w:pPr>
              <w:keepNext/>
              <w:keepLines/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EA7615" w:rsidRDefault="009A036B" w14:paraId="54652D1F" w14:textId="77777777">
            <w:pPr>
              <w:keepNext/>
              <w:keepLines/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EA7615" w:rsidRDefault="009A036B" w14:paraId="4880D5A1" w14:textId="77777777">
            <w:pPr>
              <w:keepNext/>
              <w:keepLines/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EA7615" w:rsidRDefault="009A036B" w14:paraId="11905363" w14:textId="77777777">
            <w:pPr>
              <w:keepNext/>
              <w:keepLines/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6A2918" w14:paraId="1C9FEDA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EA7615" w:rsidRDefault="009A036B" w14:paraId="521D6D6A" w14:textId="77777777">
            <w:pPr>
              <w:keepNext/>
              <w:keepLines/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EA7615" w:rsidRDefault="009A036B" w14:paraId="4DFB6EBF" w14:textId="77777777">
            <w:pPr>
              <w:keepNext/>
              <w:keepLines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EA7615" w:rsidRDefault="009A036B" w14:paraId="41D47D2A" w14:textId="77777777">
            <w:pPr>
              <w:keepNext/>
              <w:keepLines/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EA7615" w:rsidRDefault="009A036B" w14:paraId="0FD27DB1" w14:textId="77777777">
            <w:pPr>
              <w:keepNext/>
              <w:keepLines/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/>
          </w:tcPr>
          <w:p w:rsidRPr="009A036B" w:rsidR="009A036B" w:rsidP="00EA7615" w:rsidRDefault="009A036B" w14:paraId="192CA314" w14:textId="77777777">
            <w:pPr>
              <w:keepNext/>
              <w:keepLines/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EA7615" w:rsidRDefault="009A036B" w14:paraId="6078FD72" w14:textId="77777777">
            <w:pPr>
              <w:keepNext/>
              <w:keepLines/>
            </w:pPr>
          </w:p>
        </w:tc>
      </w:tr>
      <w:tr w:rsidRPr="009A036B" w:rsidR="009A036B" w:rsidTr="006A2918" w14:paraId="14B0B43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EA7615" w:rsidRDefault="00EC08FE" w14:paraId="3E6E224C" w14:textId="77777777">
            <w:pPr>
              <w:keepNext/>
              <w:keepLines/>
            </w:pPr>
            <w:r>
              <w:t>Project Manager, MedlinePlus Connect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BA12A6" w:rsidP="00EC08FE" w:rsidRDefault="006A2918" w14:paraId="2226A1A4" w14:textId="77777777">
            <w:pPr>
              <w:keepNext/>
              <w:keepLines/>
            </w:pPr>
            <w:r>
              <w:t xml:space="preserve">   </w:t>
            </w:r>
          </w:p>
          <w:p w:rsidRPr="00BC723E" w:rsidR="009A036B" w:rsidP="00EC08FE" w:rsidRDefault="00BA12A6" w14:paraId="3F13D6DC" w14:textId="77777777">
            <w:pPr>
              <w:keepNext/>
              <w:keepLines/>
              <w:rPr>
                <w:highlight w:val="yellow"/>
              </w:rPr>
            </w:pPr>
            <w:r>
              <w:t xml:space="preserve">   </w:t>
            </w:r>
            <w:r w:rsidRPr="00EC08FE" w:rsidR="00EC08FE">
              <w:t>13/7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7192D" w:rsidR="009A036B" w:rsidP="00EC08FE" w:rsidRDefault="00437C63" w14:paraId="77269E4B" w14:textId="77777777">
            <w:pPr>
              <w:keepNext/>
              <w:keepLines/>
              <w:rPr>
                <w:highlight w:val="yellow"/>
              </w:rPr>
            </w:pPr>
            <w:r w:rsidRPr="0097192D">
              <w:t>$</w:t>
            </w:r>
            <w:r w:rsidRPr="0097192D" w:rsidR="00EC08FE">
              <w:t>1</w:t>
            </w:r>
            <w:r w:rsidRPr="0097192D" w:rsidR="00222077">
              <w:t>24</w:t>
            </w:r>
            <w:r w:rsidRPr="0097192D" w:rsidR="00EC08FE">
              <w:t>,</w:t>
            </w:r>
            <w:r w:rsidRPr="0097192D" w:rsidR="00222077">
              <w:t>428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7192D" w:rsidR="009A036B" w:rsidP="00EC08FE" w:rsidRDefault="00222077" w14:paraId="1F93A46D" w14:textId="77777777">
            <w:pPr>
              <w:keepNext/>
              <w:keepLines/>
              <w:rPr>
                <w:highlight w:val="yellow"/>
              </w:rPr>
            </w:pPr>
            <w:r w:rsidRPr="0097192D">
              <w:t xml:space="preserve">  </w:t>
            </w:r>
            <w:r w:rsidRPr="0097192D" w:rsidR="002C443A">
              <w:t>.</w:t>
            </w:r>
            <w:r w:rsidRPr="0097192D" w:rsidR="00EC08FE">
              <w:t>25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/>
          </w:tcPr>
          <w:p w:rsidRPr="0097192D" w:rsidR="009A036B" w:rsidP="00EC08FE" w:rsidRDefault="009A036B" w14:paraId="7E17A2C4" w14:textId="77777777">
            <w:pPr>
              <w:keepNext/>
              <w:keepLines/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7192D" w:rsidR="00454C45" w:rsidP="00EC08FE" w:rsidRDefault="00454C45" w14:paraId="6BCC29BE" w14:textId="77777777">
            <w:pPr>
              <w:keepNext/>
              <w:keepLines/>
            </w:pPr>
          </w:p>
          <w:p w:rsidRPr="0097192D" w:rsidR="009A036B" w:rsidP="00EC08FE" w:rsidRDefault="00454C45" w14:paraId="126A57A3" w14:textId="77777777">
            <w:pPr>
              <w:keepNext/>
              <w:keepLines/>
            </w:pPr>
            <w:r w:rsidRPr="0097192D">
              <w:t xml:space="preserve">   </w:t>
            </w:r>
            <w:r w:rsidRPr="0097192D" w:rsidR="002477BE">
              <w:t>$</w:t>
            </w:r>
            <w:r w:rsidRPr="0097192D" w:rsidR="00EC08FE">
              <w:t>3</w:t>
            </w:r>
            <w:r w:rsidRPr="0097192D" w:rsidR="000B627D">
              <w:t>11</w:t>
            </w:r>
            <w:r w:rsidRPr="0097192D" w:rsidR="00EC08FE">
              <w:t>.</w:t>
            </w:r>
            <w:r w:rsidRPr="0097192D" w:rsidR="000B627D">
              <w:t>07</w:t>
            </w:r>
          </w:p>
        </w:tc>
      </w:tr>
      <w:tr w:rsidRPr="009A036B" w:rsidR="00EC08FE" w:rsidTr="006A2918" w14:paraId="175A36B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EC08FE" w:rsidP="009A036B" w:rsidRDefault="00EC08FE" w14:paraId="59FDD3E7" w14:textId="77777777">
            <w:r>
              <w:t>Technical Information Specialist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BC723E" w:rsidR="00EC08FE" w:rsidP="009A036B" w:rsidRDefault="006A2918" w14:paraId="79B73AC7" w14:textId="77777777">
            <w:pPr>
              <w:rPr>
                <w:highlight w:val="yellow"/>
              </w:rPr>
            </w:pPr>
            <w:r>
              <w:t xml:space="preserve">    </w:t>
            </w:r>
            <w:r w:rsidRPr="00EC08FE" w:rsidR="00EC08FE">
              <w:t>9/1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7192D" w:rsidR="00EC08FE" w:rsidP="009A036B" w:rsidRDefault="00222077" w14:paraId="0556D9C9" w14:textId="77777777">
            <w:pPr>
              <w:rPr>
                <w:highlight w:val="yellow"/>
              </w:rPr>
            </w:pPr>
            <w:r w:rsidRPr="0097192D">
              <w:t xml:space="preserve">  </w:t>
            </w:r>
            <w:r w:rsidRPr="0097192D" w:rsidR="00EC08FE">
              <w:t>$</w:t>
            </w:r>
            <w:r w:rsidRPr="0097192D">
              <w:t>60</w:t>
            </w:r>
            <w:r w:rsidRPr="0097192D" w:rsidR="00EC08FE">
              <w:t>,</w:t>
            </w:r>
            <w:r w:rsidRPr="0097192D"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7192D" w:rsidR="00EC08FE" w:rsidP="009A036B" w:rsidRDefault="00222077" w14:paraId="6FEDA04D" w14:textId="77777777">
            <w:pPr>
              <w:rPr>
                <w:highlight w:val="yellow"/>
              </w:rPr>
            </w:pPr>
            <w:r w:rsidRPr="0097192D">
              <w:t xml:space="preserve">  </w:t>
            </w:r>
            <w:r w:rsidRPr="0097192D" w:rsidR="00EC08FE">
              <w:t>.25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/>
          </w:tcPr>
          <w:p w:rsidRPr="0097192D" w:rsidR="00EC08FE" w:rsidP="009A036B" w:rsidRDefault="00EC08FE" w14:paraId="0A2B913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7192D" w:rsidR="00454C45" w:rsidP="009A036B" w:rsidRDefault="00454C45" w14:paraId="446F1D3C" w14:textId="77777777"/>
          <w:p w:rsidRPr="0097192D" w:rsidR="00EC08FE" w:rsidP="009A036B" w:rsidRDefault="00454C45" w14:paraId="75C1655A" w14:textId="77777777">
            <w:pPr>
              <w:rPr>
                <w:highlight w:val="yellow"/>
              </w:rPr>
            </w:pPr>
            <w:r w:rsidRPr="0097192D">
              <w:t xml:space="preserve">   </w:t>
            </w:r>
            <w:r w:rsidRPr="0097192D" w:rsidR="00EC08FE">
              <w:t>$1</w:t>
            </w:r>
            <w:r w:rsidRPr="0097192D" w:rsidR="000B627D">
              <w:t>50</w:t>
            </w:r>
            <w:r w:rsidRPr="0097192D" w:rsidR="00EC08FE">
              <w:t>.</w:t>
            </w:r>
            <w:r w:rsidRPr="0097192D" w:rsidR="000B627D">
              <w:t>32</w:t>
            </w:r>
          </w:p>
        </w:tc>
      </w:tr>
      <w:tr w:rsidRPr="009A036B" w:rsidR="00EC08FE" w:rsidTr="006A2918" w14:paraId="75CE605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EC08FE" w:rsidP="009A036B" w:rsidRDefault="00EC08FE" w14:paraId="7AF2D30A" w14:textId="77777777"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/>
          </w:tcPr>
          <w:p w:rsidRPr="009A036B" w:rsidR="00EC08FE" w:rsidP="009A036B" w:rsidRDefault="00EC08FE" w14:paraId="5097136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EC08FE" w:rsidP="009A036B" w:rsidRDefault="00EC08FE" w14:paraId="4ED132E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EC08FE" w:rsidP="009A036B" w:rsidRDefault="00EC08FE" w14:paraId="4A9AE73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EC08FE" w:rsidP="009A036B" w:rsidRDefault="00EC08FE" w14:paraId="33A5094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EC08FE" w:rsidP="009A036B" w:rsidRDefault="00EC08FE" w14:paraId="5D6138D6" w14:textId="77777777"/>
        </w:tc>
      </w:tr>
      <w:tr w:rsidRPr="009A036B" w:rsidR="00EC08FE" w:rsidTr="006A2918" w14:paraId="7A869BE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EC08FE" w:rsidP="00A14BA3" w:rsidRDefault="00EC08FE" w14:paraId="09534B25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/>
          </w:tcPr>
          <w:p w:rsidRPr="009A036B" w:rsidR="00EC08FE" w:rsidP="00A14BA3" w:rsidRDefault="00EC08FE" w14:paraId="5B76740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EC08FE" w:rsidP="00A14BA3" w:rsidRDefault="00EC08FE" w14:paraId="6A4E031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EC08FE" w:rsidP="00A14BA3" w:rsidRDefault="00EC08FE" w14:paraId="4DDA4FD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/>
          </w:tcPr>
          <w:p w:rsidRPr="009A036B" w:rsidR="00EC08FE" w:rsidP="00A14BA3" w:rsidRDefault="00EC08FE" w14:paraId="4B34EE6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EC08FE" w:rsidP="00A14BA3" w:rsidRDefault="00EC08FE" w14:paraId="48AB9BD8" w14:textId="77777777"/>
        </w:tc>
      </w:tr>
      <w:tr w:rsidRPr="009A036B" w:rsidR="00EC08FE" w:rsidTr="006A2918" w14:paraId="2377ACA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EC08FE" w:rsidP="00A14BA3" w:rsidRDefault="00EC08FE" w14:paraId="19182FCF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/>
          </w:tcPr>
          <w:p w:rsidRPr="009A036B" w:rsidR="00EC08FE" w:rsidP="00A14BA3" w:rsidRDefault="00EC08FE" w14:paraId="4FEEDCE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EC08FE" w:rsidP="00A14BA3" w:rsidRDefault="00EC08FE" w14:paraId="199D9FC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EC08FE" w:rsidP="00A14BA3" w:rsidRDefault="00EC08FE" w14:paraId="4F07538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/>
          </w:tcPr>
          <w:p w:rsidRPr="009A036B" w:rsidR="00EC08FE" w:rsidP="00A14BA3" w:rsidRDefault="00EC08FE" w14:paraId="671D6C9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EC08FE" w:rsidP="00A14BA3" w:rsidRDefault="00EC08FE" w14:paraId="6EDCB0CD" w14:textId="77777777"/>
        </w:tc>
      </w:tr>
      <w:tr w:rsidRPr="009A036B" w:rsidR="00EC08FE" w:rsidTr="006A2918" w14:paraId="458D338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EC08FE" w:rsidP="00A14BA3" w:rsidRDefault="00EC08FE" w14:paraId="41271FAA" w14:textId="77777777">
            <w:pPr>
              <w:rPr>
                <w:bCs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/>
          </w:tcPr>
          <w:p w:rsidRPr="009A036B" w:rsidR="00EC08FE" w:rsidP="00A14BA3" w:rsidRDefault="00EC08FE" w14:paraId="14F6A1E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EC08FE" w:rsidP="00A14BA3" w:rsidRDefault="00EC08FE" w14:paraId="54AE49B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EC08FE" w:rsidP="00A14BA3" w:rsidRDefault="00EC08FE" w14:paraId="3D4F357E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7E6E6"/>
          </w:tcPr>
          <w:p w:rsidRPr="009A036B" w:rsidR="00EC08FE" w:rsidP="00A14BA3" w:rsidRDefault="00EC08FE" w14:paraId="22C40335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7192D" w:rsidR="00EC08FE" w:rsidP="00A14BA3" w:rsidRDefault="00E63F19" w14:paraId="54BBD953" w14:textId="77777777">
            <w:pPr>
              <w:rPr>
                <w:b/>
                <w:bCs/>
              </w:rPr>
            </w:pPr>
            <w:r w:rsidRPr="00E63F19">
              <w:rPr>
                <w:b/>
                <w:bCs/>
              </w:rPr>
              <w:t xml:space="preserve"> </w:t>
            </w:r>
            <w:r w:rsidR="00454C45">
              <w:rPr>
                <w:b/>
                <w:bCs/>
              </w:rPr>
              <w:t xml:space="preserve">  </w:t>
            </w:r>
            <w:r w:rsidRPr="0097192D" w:rsidR="00EC08FE">
              <w:rPr>
                <w:b/>
                <w:bCs/>
              </w:rPr>
              <w:t>$4</w:t>
            </w:r>
            <w:r w:rsidRPr="0097192D" w:rsidR="000B627D">
              <w:rPr>
                <w:b/>
                <w:bCs/>
              </w:rPr>
              <w:t>61</w:t>
            </w:r>
            <w:r w:rsidRPr="0097192D" w:rsidR="00EC08FE">
              <w:rPr>
                <w:b/>
                <w:bCs/>
              </w:rPr>
              <w:t>.</w:t>
            </w:r>
            <w:r w:rsidRPr="0097192D" w:rsidR="000B627D">
              <w:rPr>
                <w:b/>
                <w:bCs/>
              </w:rPr>
              <w:t>39</w:t>
            </w:r>
          </w:p>
        </w:tc>
      </w:tr>
    </w:tbl>
    <w:p w:rsidR="00E63F19" w:rsidP="00BB0C66" w:rsidRDefault="00E63F19" w14:paraId="54FE6482" w14:textId="77777777">
      <w:pPr>
        <w:rPr>
          <w:rStyle w:val="Hyperlink"/>
        </w:rPr>
      </w:pPr>
    </w:p>
    <w:p w:rsidR="00541802" w:rsidP="00541802" w:rsidRDefault="00541802" w14:paraId="3E62BE58" w14:textId="77777777">
      <w:pPr>
        <w:pStyle w:val="PlainText"/>
        <w:rPr>
          <w:rStyle w:val="Hyperlink"/>
          <w:color w:val="FF0000"/>
        </w:rPr>
      </w:pPr>
      <w:r w:rsidRPr="00541802">
        <w:rPr>
          <w:rFonts w:ascii="Calibri" w:hAnsi="Calibri" w:eastAsia="Calibri" w:cs="Consolas"/>
          <w:bCs/>
          <w:color w:val="000000"/>
          <w:sz w:val="22"/>
          <w:szCs w:val="22"/>
        </w:rPr>
        <w:t>*</w:t>
      </w:r>
      <w:r w:rsidRPr="00541802">
        <w:rPr>
          <w:rFonts w:ascii="Calibri" w:hAnsi="Calibri" w:eastAsia="Calibri" w:cs="Consolas"/>
          <w:bCs/>
          <w:color w:val="000000"/>
        </w:rPr>
        <w:t xml:space="preserve">the Salary in table above is cited from: </w:t>
      </w:r>
    </w:p>
    <w:p w:rsidRPr="00541802" w:rsidR="00541802" w:rsidP="00541802" w:rsidRDefault="00541802" w14:paraId="6D2D1E1E" w14:textId="77777777">
      <w:pPr>
        <w:rPr>
          <w:rStyle w:val="Hyperlink"/>
          <w:color w:val="FF0000"/>
          <w:sz w:val="20"/>
          <w:szCs w:val="20"/>
        </w:rPr>
      </w:pPr>
      <w:hyperlink w:history="1" r:id="rId12">
        <w:r w:rsidRPr="00541802">
          <w:rPr>
            <w:rStyle w:val="Hyperlink"/>
            <w:sz w:val="20"/>
            <w:szCs w:val="20"/>
          </w:rPr>
          <w:t>https://www.opm.gov/policy-data-oversight/pay-leave/salaries-wages/salary-tables/pdf/2021/DCB.pdf</w:t>
        </w:r>
      </w:hyperlink>
    </w:p>
    <w:p w:rsidR="00541802" w:rsidP="00BB0C66" w:rsidRDefault="00541802" w14:paraId="76E9512B" w14:textId="77777777">
      <w:pPr>
        <w:rPr>
          <w:rStyle w:val="Hyperlink"/>
          <w:color w:val="FF0000"/>
        </w:rPr>
      </w:pPr>
    </w:p>
    <w:p w:rsidR="00720C6C" w:rsidP="00BB0C66" w:rsidRDefault="00720C6C" w14:paraId="6FDBCA97" w14:textId="77777777">
      <w:pPr>
        <w:rPr>
          <w:rStyle w:val="Hyperlink"/>
          <w:color w:val="FF0000"/>
        </w:rPr>
      </w:pPr>
    </w:p>
    <w:p w:rsidR="0069403B" w:rsidP="00F06866" w:rsidRDefault="00ED6492" w14:paraId="5DF7F951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0C453A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0D247903" w14:textId="77777777">
      <w:pPr>
        <w:rPr>
          <w:b/>
        </w:rPr>
      </w:pPr>
    </w:p>
    <w:p w:rsidR="00F06866" w:rsidP="00F06866" w:rsidRDefault="00636621" w14:paraId="4B4320BC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94BB26C" w14:textId="77777777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C8668E">
        <w:t>[</w:t>
      </w:r>
      <w:r w:rsidRPr="00C8668E" w:rsidR="00862766">
        <w:t>X</w:t>
      </w:r>
      <w:r w:rsidRPr="00C8668E">
        <w:t>] Yes</w:t>
      </w:r>
      <w:r>
        <w:tab/>
        <w:t>[ ] No</w:t>
      </w:r>
    </w:p>
    <w:p w:rsidR="00636621" w:rsidP="00636621" w:rsidRDefault="00636621" w14:paraId="1808C92E" w14:textId="77777777">
      <w:pPr>
        <w:pStyle w:val="ListParagraph"/>
      </w:pPr>
    </w:p>
    <w:p w:rsidR="00636621" w:rsidP="001B0AAA" w:rsidRDefault="00636621" w14:paraId="241AAB6D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Pr="00862766" w:rsidR="00A403BB" w:rsidP="00A403BB" w:rsidRDefault="00A403BB" w14:paraId="2E2F338A" w14:textId="77777777">
      <w:pPr>
        <w:pStyle w:val="ListParagraph"/>
      </w:pPr>
    </w:p>
    <w:p w:rsidRPr="00862766" w:rsidR="00437C63" w:rsidP="00437C63" w:rsidRDefault="00437C63" w14:paraId="63D8FEC9" w14:textId="77777777">
      <w:r w:rsidRPr="00E66FCB">
        <w:t xml:space="preserve">The customer list is </w:t>
      </w:r>
      <w:r w:rsidRPr="00E66FCB" w:rsidR="00E66FCB">
        <w:t>NIH employees who are subscribed to the NIH Consumer Health Content CoP listserv or attend the NIH Consumer Health Content CoP Meetings</w:t>
      </w:r>
      <w:r w:rsidRPr="00862766" w:rsidR="008226AC">
        <w:t>.</w:t>
      </w:r>
    </w:p>
    <w:p w:rsidR="00A403BB" w:rsidP="00A403BB" w:rsidRDefault="00A403BB" w14:paraId="16B35411" w14:textId="77777777"/>
    <w:p w:rsidR="00A403BB" w:rsidP="00A403BB" w:rsidRDefault="00A403BB" w14:paraId="78ACCAFE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17F462AB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1579FF48" w14:textId="77777777">
      <w:pPr>
        <w:ind w:left="720"/>
      </w:pPr>
      <w:r>
        <w:t>[</w:t>
      </w:r>
      <w:r w:rsidR="00862766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044339BD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220AAD34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0EA35772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2B5E62B1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5EFCF591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862766">
        <w:t>X</w:t>
      </w:r>
      <w:r>
        <w:t>] No</w:t>
      </w:r>
    </w:p>
    <w:p w:rsidR="00F24CFC" w:rsidP="00F24CFC" w:rsidRDefault="00F24CFC" w14:paraId="2965B0A4" w14:textId="77777777">
      <w:pPr>
        <w:pStyle w:val="ListParagraph"/>
        <w:ind w:left="360"/>
      </w:pPr>
      <w:r>
        <w:t xml:space="preserve"> </w:t>
      </w:r>
    </w:p>
    <w:p w:rsidR="00122CAB" w:rsidP="0024521E" w:rsidRDefault="00122CAB" w14:paraId="3D364BCF" w14:textId="77777777">
      <w:pPr>
        <w:rPr>
          <w:b/>
        </w:rPr>
      </w:pPr>
    </w:p>
    <w:p w:rsidR="00122CAB" w:rsidP="0024521E" w:rsidRDefault="00122CAB" w14:paraId="670721EF" w14:textId="77777777"/>
    <w:sectPr w:rsidR="00122CAB" w:rsidSect="00A05EFB">
      <w:footerReference w:type="default" r:id="rId13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AB738" w14:textId="77777777" w:rsidR="00E349E2" w:rsidRDefault="00E349E2">
      <w:r>
        <w:separator/>
      </w:r>
    </w:p>
  </w:endnote>
  <w:endnote w:type="continuationSeparator" w:id="0">
    <w:p w14:paraId="453083D6" w14:textId="77777777" w:rsidR="00E349E2" w:rsidRDefault="00E3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02F42" w14:textId="77777777" w:rsidR="003A51B1" w:rsidRDefault="003A51B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C3816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E7534" w14:textId="77777777" w:rsidR="00E349E2" w:rsidRDefault="00E349E2">
      <w:r>
        <w:separator/>
      </w:r>
    </w:p>
  </w:footnote>
  <w:footnote w:type="continuationSeparator" w:id="0">
    <w:p w14:paraId="796D0435" w14:textId="77777777" w:rsidR="00E349E2" w:rsidRDefault="00E3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6BEE643D"/>
    <w:multiLevelType w:val="hybridMultilevel"/>
    <w:tmpl w:val="C67E6B9C"/>
    <w:lvl w:ilvl="0" w:tplc="2A0C88C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563C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709A0"/>
    <w:multiLevelType w:val="hybridMultilevel"/>
    <w:tmpl w:val="DC08A800"/>
    <w:lvl w:ilvl="0" w:tplc="626AE0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563C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7D5C"/>
    <w:multiLevelType w:val="hybridMultilevel"/>
    <w:tmpl w:val="99B2E66E"/>
    <w:lvl w:ilvl="0" w:tplc="F52C1F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563C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5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0NrEwsDA0NbU0M7JU0lEKTi0uzszPAykwqQUAepSKHCwAAAA="/>
  </w:docVars>
  <w:rsids>
    <w:rsidRoot w:val="00D6383F"/>
    <w:rsid w:val="00012AF3"/>
    <w:rsid w:val="000159F2"/>
    <w:rsid w:val="00023A57"/>
    <w:rsid w:val="0004541C"/>
    <w:rsid w:val="00047A64"/>
    <w:rsid w:val="00067329"/>
    <w:rsid w:val="000722CE"/>
    <w:rsid w:val="000913EC"/>
    <w:rsid w:val="000A0BB2"/>
    <w:rsid w:val="000B2838"/>
    <w:rsid w:val="000B627D"/>
    <w:rsid w:val="000C453A"/>
    <w:rsid w:val="000D44CA"/>
    <w:rsid w:val="000E200B"/>
    <w:rsid w:val="000F574C"/>
    <w:rsid w:val="000F68BE"/>
    <w:rsid w:val="00102E2C"/>
    <w:rsid w:val="00121050"/>
    <w:rsid w:val="00122CAB"/>
    <w:rsid w:val="00127924"/>
    <w:rsid w:val="00162F83"/>
    <w:rsid w:val="00177AEA"/>
    <w:rsid w:val="00180B40"/>
    <w:rsid w:val="001855D1"/>
    <w:rsid w:val="001927A4"/>
    <w:rsid w:val="00194AC6"/>
    <w:rsid w:val="00196404"/>
    <w:rsid w:val="001A23B0"/>
    <w:rsid w:val="001A25CC"/>
    <w:rsid w:val="001B0AAA"/>
    <w:rsid w:val="001B0E9D"/>
    <w:rsid w:val="001C39F7"/>
    <w:rsid w:val="001E4E96"/>
    <w:rsid w:val="00222077"/>
    <w:rsid w:val="00223415"/>
    <w:rsid w:val="002260AD"/>
    <w:rsid w:val="002274B1"/>
    <w:rsid w:val="00236846"/>
    <w:rsid w:val="00237279"/>
    <w:rsid w:val="00237B48"/>
    <w:rsid w:val="0024521E"/>
    <w:rsid w:val="002477BE"/>
    <w:rsid w:val="002551F1"/>
    <w:rsid w:val="00263C3D"/>
    <w:rsid w:val="00274D0B"/>
    <w:rsid w:val="00284110"/>
    <w:rsid w:val="00290960"/>
    <w:rsid w:val="002952CC"/>
    <w:rsid w:val="00296B10"/>
    <w:rsid w:val="0029723D"/>
    <w:rsid w:val="002B3C95"/>
    <w:rsid w:val="002C443A"/>
    <w:rsid w:val="002D0B92"/>
    <w:rsid w:val="002D26E2"/>
    <w:rsid w:val="002E2A03"/>
    <w:rsid w:val="002E48F5"/>
    <w:rsid w:val="002E7BFD"/>
    <w:rsid w:val="003668D6"/>
    <w:rsid w:val="0039293E"/>
    <w:rsid w:val="003932D1"/>
    <w:rsid w:val="00394358"/>
    <w:rsid w:val="003979CF"/>
    <w:rsid w:val="003A51B1"/>
    <w:rsid w:val="003A7074"/>
    <w:rsid w:val="003C36C6"/>
    <w:rsid w:val="003D5BBE"/>
    <w:rsid w:val="003E3C61"/>
    <w:rsid w:val="003F1C5B"/>
    <w:rsid w:val="003F617D"/>
    <w:rsid w:val="00420E91"/>
    <w:rsid w:val="00431EB1"/>
    <w:rsid w:val="00434E33"/>
    <w:rsid w:val="00437C63"/>
    <w:rsid w:val="00441434"/>
    <w:rsid w:val="0045264C"/>
    <w:rsid w:val="00454C45"/>
    <w:rsid w:val="00484F7B"/>
    <w:rsid w:val="004876EC"/>
    <w:rsid w:val="00494F8D"/>
    <w:rsid w:val="00496A78"/>
    <w:rsid w:val="004B1EB8"/>
    <w:rsid w:val="004B3842"/>
    <w:rsid w:val="004C6491"/>
    <w:rsid w:val="004D6E14"/>
    <w:rsid w:val="005009B0"/>
    <w:rsid w:val="005226FA"/>
    <w:rsid w:val="00532035"/>
    <w:rsid w:val="005333AA"/>
    <w:rsid w:val="00537002"/>
    <w:rsid w:val="00537FA1"/>
    <w:rsid w:val="00541802"/>
    <w:rsid w:val="0054277F"/>
    <w:rsid w:val="005623CA"/>
    <w:rsid w:val="00571A53"/>
    <w:rsid w:val="005A1006"/>
    <w:rsid w:val="005A772A"/>
    <w:rsid w:val="005C1D12"/>
    <w:rsid w:val="005C3816"/>
    <w:rsid w:val="005E3352"/>
    <w:rsid w:val="005E714A"/>
    <w:rsid w:val="00610092"/>
    <w:rsid w:val="006140A0"/>
    <w:rsid w:val="00626D7F"/>
    <w:rsid w:val="00633F74"/>
    <w:rsid w:val="00636621"/>
    <w:rsid w:val="00642B49"/>
    <w:rsid w:val="006832D9"/>
    <w:rsid w:val="00686301"/>
    <w:rsid w:val="0069354B"/>
    <w:rsid w:val="0069403B"/>
    <w:rsid w:val="006A2918"/>
    <w:rsid w:val="006A63EA"/>
    <w:rsid w:val="006D5F47"/>
    <w:rsid w:val="006E1035"/>
    <w:rsid w:val="006F3D67"/>
    <w:rsid w:val="006F3DDE"/>
    <w:rsid w:val="006F4C22"/>
    <w:rsid w:val="006F65D3"/>
    <w:rsid w:val="00702B9E"/>
    <w:rsid w:val="00704678"/>
    <w:rsid w:val="00720C6C"/>
    <w:rsid w:val="007404E3"/>
    <w:rsid w:val="007425E7"/>
    <w:rsid w:val="0074419F"/>
    <w:rsid w:val="00752487"/>
    <w:rsid w:val="00766D95"/>
    <w:rsid w:val="0077703F"/>
    <w:rsid w:val="00777EF9"/>
    <w:rsid w:val="007D52B9"/>
    <w:rsid w:val="007E0493"/>
    <w:rsid w:val="007F717F"/>
    <w:rsid w:val="00802607"/>
    <w:rsid w:val="008101A5"/>
    <w:rsid w:val="00816415"/>
    <w:rsid w:val="00822664"/>
    <w:rsid w:val="008226AC"/>
    <w:rsid w:val="00825CF3"/>
    <w:rsid w:val="008340FA"/>
    <w:rsid w:val="0083549A"/>
    <w:rsid w:val="00843796"/>
    <w:rsid w:val="00853811"/>
    <w:rsid w:val="00861110"/>
    <w:rsid w:val="00862766"/>
    <w:rsid w:val="00887320"/>
    <w:rsid w:val="00895229"/>
    <w:rsid w:val="008A30F1"/>
    <w:rsid w:val="008D7FC9"/>
    <w:rsid w:val="008F0203"/>
    <w:rsid w:val="008F50D4"/>
    <w:rsid w:val="00911FAD"/>
    <w:rsid w:val="009239AA"/>
    <w:rsid w:val="00935ADA"/>
    <w:rsid w:val="00937B5D"/>
    <w:rsid w:val="00946B6C"/>
    <w:rsid w:val="00955A71"/>
    <w:rsid w:val="0096108F"/>
    <w:rsid w:val="0097192D"/>
    <w:rsid w:val="009732B5"/>
    <w:rsid w:val="009820FB"/>
    <w:rsid w:val="009A036B"/>
    <w:rsid w:val="009B1C41"/>
    <w:rsid w:val="009C13B9"/>
    <w:rsid w:val="009C5C6A"/>
    <w:rsid w:val="009D01A2"/>
    <w:rsid w:val="009F5923"/>
    <w:rsid w:val="009F6F05"/>
    <w:rsid w:val="00A05E81"/>
    <w:rsid w:val="00A05EFB"/>
    <w:rsid w:val="00A14BA3"/>
    <w:rsid w:val="00A229F1"/>
    <w:rsid w:val="00A24DB1"/>
    <w:rsid w:val="00A403BB"/>
    <w:rsid w:val="00A50E03"/>
    <w:rsid w:val="00A50F89"/>
    <w:rsid w:val="00A674DF"/>
    <w:rsid w:val="00A83AA6"/>
    <w:rsid w:val="00AC60E8"/>
    <w:rsid w:val="00AD25FB"/>
    <w:rsid w:val="00AD27BB"/>
    <w:rsid w:val="00AD3420"/>
    <w:rsid w:val="00AD740E"/>
    <w:rsid w:val="00AE14B1"/>
    <w:rsid w:val="00AE1809"/>
    <w:rsid w:val="00B173BA"/>
    <w:rsid w:val="00B26D55"/>
    <w:rsid w:val="00B652D9"/>
    <w:rsid w:val="00B80D76"/>
    <w:rsid w:val="00BA12A6"/>
    <w:rsid w:val="00BA2105"/>
    <w:rsid w:val="00BA7E06"/>
    <w:rsid w:val="00BB0C66"/>
    <w:rsid w:val="00BB43B5"/>
    <w:rsid w:val="00BB6219"/>
    <w:rsid w:val="00BC676D"/>
    <w:rsid w:val="00BC723E"/>
    <w:rsid w:val="00BD290F"/>
    <w:rsid w:val="00C14CC4"/>
    <w:rsid w:val="00C33C52"/>
    <w:rsid w:val="00C40D8B"/>
    <w:rsid w:val="00C8407A"/>
    <w:rsid w:val="00C8488C"/>
    <w:rsid w:val="00C8668E"/>
    <w:rsid w:val="00C86E91"/>
    <w:rsid w:val="00C93FD7"/>
    <w:rsid w:val="00CA19A3"/>
    <w:rsid w:val="00CA2010"/>
    <w:rsid w:val="00CA2650"/>
    <w:rsid w:val="00CB1078"/>
    <w:rsid w:val="00CB4DD5"/>
    <w:rsid w:val="00CC6FAF"/>
    <w:rsid w:val="00CD1C95"/>
    <w:rsid w:val="00D07E18"/>
    <w:rsid w:val="00D14235"/>
    <w:rsid w:val="00D24698"/>
    <w:rsid w:val="00D3545E"/>
    <w:rsid w:val="00D411E3"/>
    <w:rsid w:val="00D6383F"/>
    <w:rsid w:val="00D662C8"/>
    <w:rsid w:val="00D84A21"/>
    <w:rsid w:val="00DB4A58"/>
    <w:rsid w:val="00DB59D0"/>
    <w:rsid w:val="00DC33D3"/>
    <w:rsid w:val="00DD1623"/>
    <w:rsid w:val="00DE3BE0"/>
    <w:rsid w:val="00E26329"/>
    <w:rsid w:val="00E349E2"/>
    <w:rsid w:val="00E40B50"/>
    <w:rsid w:val="00E4120B"/>
    <w:rsid w:val="00E42D60"/>
    <w:rsid w:val="00E50293"/>
    <w:rsid w:val="00E54A9B"/>
    <w:rsid w:val="00E63F19"/>
    <w:rsid w:val="00E65FFC"/>
    <w:rsid w:val="00E66FCB"/>
    <w:rsid w:val="00E670E2"/>
    <w:rsid w:val="00E80951"/>
    <w:rsid w:val="00E86CC6"/>
    <w:rsid w:val="00E910E5"/>
    <w:rsid w:val="00E95B80"/>
    <w:rsid w:val="00E9766A"/>
    <w:rsid w:val="00EA2912"/>
    <w:rsid w:val="00EA3153"/>
    <w:rsid w:val="00EA7615"/>
    <w:rsid w:val="00EB44B0"/>
    <w:rsid w:val="00EB56B3"/>
    <w:rsid w:val="00EC08FE"/>
    <w:rsid w:val="00ED6492"/>
    <w:rsid w:val="00EE1631"/>
    <w:rsid w:val="00EE511A"/>
    <w:rsid w:val="00EF2095"/>
    <w:rsid w:val="00F06866"/>
    <w:rsid w:val="00F15956"/>
    <w:rsid w:val="00F24CFC"/>
    <w:rsid w:val="00F3170F"/>
    <w:rsid w:val="00F37615"/>
    <w:rsid w:val="00F42074"/>
    <w:rsid w:val="00F4632C"/>
    <w:rsid w:val="00F63275"/>
    <w:rsid w:val="00F71480"/>
    <w:rsid w:val="00F94D8C"/>
    <w:rsid w:val="00F957C1"/>
    <w:rsid w:val="00F976B0"/>
    <w:rsid w:val="00FA6DE7"/>
    <w:rsid w:val="00FC0A8E"/>
    <w:rsid w:val="00FD57B3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9DE4E"/>
  <w15:chartTrackingRefBased/>
  <w15:docId w15:val="{FB6EDC68-B0F3-44CF-B220-42FF57EE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A05EFB"/>
    <w:rPr>
      <w:snapToGrid w:val="0"/>
      <w:sz w:val="24"/>
      <w:szCs w:val="24"/>
    </w:rPr>
  </w:style>
  <w:style w:type="character" w:styleId="Hyperlink">
    <w:name w:val="Hyperlink"/>
    <w:rsid w:val="00F71480"/>
    <w:rPr>
      <w:color w:val="0563C1"/>
      <w:u w:val="single"/>
    </w:rPr>
  </w:style>
  <w:style w:type="character" w:styleId="FollowedHyperlink">
    <w:name w:val="FollowedHyperlink"/>
    <w:rsid w:val="00437C63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8226A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62766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862766"/>
    <w:rPr>
      <w:rFonts w:ascii="Calibri Light" w:hAnsi="Calibri Light"/>
      <w:spacing w:val="-10"/>
      <w:kern w:val="28"/>
      <w:sz w:val="56"/>
      <w:szCs w:val="56"/>
    </w:rPr>
  </w:style>
  <w:style w:type="paragraph" w:styleId="PlainText">
    <w:name w:val="Plain Text"/>
    <w:basedOn w:val="Normal"/>
    <w:link w:val="PlainTextChar"/>
    <w:rsid w:val="0054180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54180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pdf/2021/DC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oes/2019/may/oes_nat.htm#00-000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C19DF-2E96-4219-8850-E79BE26ED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0C4B8-CEED-4FE6-BCA8-232CA21E4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1C88D-D711-4BF6-8C4C-8034C0EA21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F5F149-F6BA-4395-B4EA-EDBC71B8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4682</CharactersWithSpaces>
  <SharedDoc>false</SharedDoc>
  <HLinks>
    <vt:vector size="12" baseType="variant">
      <vt:variant>
        <vt:i4>1638429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https://www.opm.gov/policy-data-oversight/pay-leave/salaries-wages/salary-tables/pdf/2021/DCB.pdf</vt:lpwstr>
      </vt:variant>
      <vt:variant>
        <vt:lpwstr/>
      </vt:variant>
      <vt:variant>
        <vt:i4>3014674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https://www.bls.gov/oes/2019/may/oes_nat.htm</vt:lpwstr>
      </vt:variant>
      <vt:variant>
        <vt:lpwstr>00-0000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3</cp:revision>
  <cp:lastPrinted>2018-12-14T19:08:00Z</cp:lastPrinted>
  <dcterms:created xsi:type="dcterms:W3CDTF">2021-01-11T17:36:00Z</dcterms:created>
  <dcterms:modified xsi:type="dcterms:W3CDTF">2021-01-11T17:37:00Z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