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C7F42" w:rsidR="003F00B3" w:rsidP="003F00B3" w:rsidRDefault="00F107B7" w14:paraId="3B39A3D1"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for </w:t>
      </w:r>
      <w:r w:rsidR="00295056">
        <w:rPr>
          <w:rFonts w:ascii="Times New Roman" w:hAnsi="Times New Roman" w:cs="Times New Roman"/>
        </w:rPr>
        <w:t>Form SSA-7011-F4</w:t>
      </w:r>
      <w:r w:rsidRPr="00BC7F42" w:rsidR="003F00B3">
        <w:rPr>
          <w:rFonts w:ascii="Times New Roman" w:hAnsi="Times New Roman" w:cs="Times New Roman"/>
        </w:rPr>
        <w:t xml:space="preserve"> </w:t>
      </w:r>
    </w:p>
    <w:p w:rsidRPr="00BC7F42" w:rsidR="00146275" w:rsidP="00F107B7" w:rsidRDefault="00295056" w14:paraId="2D4E52E2"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Statement of Employer</w:t>
      </w:r>
    </w:p>
    <w:p w:rsidRPr="00BC7F42" w:rsidR="00146275" w:rsidP="00F107B7" w:rsidRDefault="00295056" w14:paraId="30CE664B" w14:textId="40072F6A">
      <w:pPr>
        <w:jc w:val="center"/>
        <w:rPr>
          <w:rFonts w:ascii="Times New Roman" w:hAnsi="Times New Roman"/>
          <w:b/>
          <w:color w:val="0000FF"/>
        </w:rPr>
      </w:pPr>
      <w:r>
        <w:rPr>
          <w:rFonts w:ascii="Times New Roman" w:hAnsi="Times New Roman"/>
          <w:b/>
        </w:rPr>
        <w:t>20</w:t>
      </w:r>
      <w:r w:rsidR="00443873">
        <w:rPr>
          <w:rFonts w:ascii="Times New Roman" w:hAnsi="Times New Roman"/>
          <w:b/>
        </w:rPr>
        <w:t xml:space="preserve"> </w:t>
      </w:r>
      <w:r w:rsidRPr="003F00B3" w:rsidR="003F00B3">
        <w:rPr>
          <w:rFonts w:ascii="Times New Roman" w:hAnsi="Times New Roman"/>
          <w:b/>
        </w:rPr>
        <w:t xml:space="preserve">CFR </w:t>
      </w:r>
      <w:r>
        <w:rPr>
          <w:rFonts w:ascii="Times New Roman" w:hAnsi="Times New Roman"/>
          <w:b/>
        </w:rPr>
        <w:t>404.801-404.803</w:t>
      </w:r>
    </w:p>
    <w:p w:rsidRPr="00BC7F42" w:rsidR="00A45D82" w:rsidP="00295056" w:rsidRDefault="008B6774" w14:paraId="79371BF1"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295056">
        <w:rPr>
          <w:rFonts w:ascii="Times New Roman" w:hAnsi="Times New Roman" w:cs="Times New Roman"/>
        </w:rPr>
        <w:t>0030</w:t>
      </w:r>
      <w:r w:rsidRPr="00BC7F42" w:rsidR="00295056">
        <w:rPr>
          <w:rFonts w:ascii="Times New Roman" w:hAnsi="Times New Roman"/>
        </w:rPr>
        <w:t xml:space="preserve"> </w:t>
      </w:r>
    </w:p>
    <w:p w:rsidR="00F57875" w:rsidP="00A45D82" w:rsidRDefault="00F57875" w14:paraId="5237DE71" w14:textId="77777777">
      <w:pPr>
        <w:rPr>
          <w:rFonts w:ascii="Times New Roman" w:hAnsi="Times New Roman"/>
          <w:b/>
        </w:rPr>
      </w:pPr>
    </w:p>
    <w:p w:rsidRPr="002321B0" w:rsidR="00A45D82" w:rsidP="00443873" w:rsidRDefault="00A45D82" w14:paraId="445D727D" w14:textId="77777777">
      <w:pPr>
        <w:ind w:left="720"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Pr="00BC7F42" w:rsidR="00A45D82" w:rsidP="00A45D82" w:rsidRDefault="00A45D82" w14:paraId="4FFDEC4B" w14:textId="77777777">
      <w:pPr>
        <w:pStyle w:val="Header"/>
        <w:tabs>
          <w:tab w:val="clear" w:pos="4320"/>
          <w:tab w:val="clear" w:pos="8640"/>
        </w:tabs>
        <w:rPr>
          <w:rFonts w:ascii="Times New Roman" w:hAnsi="Times New Roman"/>
        </w:rPr>
      </w:pPr>
    </w:p>
    <w:p w:rsidR="002321B0" w:rsidP="00790309" w:rsidRDefault="002E18CF" w14:paraId="5B5ECCA4" w14:textId="77777777">
      <w:pPr>
        <w:numPr>
          <w:ilvl w:val="0"/>
          <w:numId w:val="34"/>
        </w:numPr>
        <w:tabs>
          <w:tab w:val="clear" w:pos="720"/>
          <w:tab w:val="num" w:pos="1440"/>
        </w:tabs>
        <w:ind w:left="1440"/>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Pr="00295056" w:rsidR="00295056" w:rsidP="00790309" w:rsidRDefault="00295056" w14:paraId="5EDD8FC9" w14:textId="003664D8">
      <w:pPr>
        <w:tabs>
          <w:tab w:val="num" w:pos="1440"/>
        </w:tabs>
        <w:ind w:left="1440"/>
        <w:rPr>
          <w:rFonts w:ascii="Times New Roman" w:hAnsi="Times New Roman"/>
        </w:rPr>
      </w:pPr>
      <w:r w:rsidRPr="00295056">
        <w:rPr>
          <w:rFonts w:ascii="Times New Roman" w:hAnsi="Times New Roman"/>
        </w:rPr>
        <w:t xml:space="preserve">Section </w:t>
      </w:r>
      <w:r w:rsidRPr="00D513E1">
        <w:rPr>
          <w:rFonts w:ascii="Times New Roman" w:hAnsi="Times New Roman"/>
          <w:i/>
          <w:iCs/>
        </w:rPr>
        <w:t>205(c)(2)(A)</w:t>
      </w:r>
      <w:r w:rsidRPr="00295056">
        <w:rPr>
          <w:rFonts w:ascii="Times New Roman" w:hAnsi="Times New Roman"/>
        </w:rPr>
        <w:t xml:space="preserve"> of the </w:t>
      </w:r>
      <w:r w:rsidRPr="00D513E1">
        <w:rPr>
          <w:rFonts w:ascii="Times New Roman" w:hAnsi="Times New Roman"/>
          <w:i/>
          <w:iCs/>
        </w:rPr>
        <w:t>Social Security Act (Act)</w:t>
      </w:r>
      <w:r w:rsidRPr="00295056">
        <w:rPr>
          <w:rFonts w:ascii="Times New Roman" w:hAnsi="Times New Roman"/>
        </w:rPr>
        <w:t xml:space="preserve"> charges the Commissioner with establishing and maintaining records of the amounts of wages SSA pays to individuals, and the amounts those individuals make in self-employment income.  Section </w:t>
      </w:r>
      <w:r w:rsidRPr="00D513E1">
        <w:rPr>
          <w:rFonts w:ascii="Times New Roman" w:hAnsi="Times New Roman"/>
          <w:i/>
          <w:iCs/>
        </w:rPr>
        <w:t>205(d)</w:t>
      </w:r>
      <w:r w:rsidRPr="00295056">
        <w:rPr>
          <w:rFonts w:ascii="Times New Roman" w:hAnsi="Times New Roman"/>
        </w:rPr>
        <w:t xml:space="preserve"> of the </w:t>
      </w:r>
      <w:r w:rsidRPr="00D513E1">
        <w:rPr>
          <w:rFonts w:ascii="Times New Roman" w:hAnsi="Times New Roman"/>
          <w:i/>
          <w:iCs/>
        </w:rPr>
        <w:t>Act</w:t>
      </w:r>
      <w:r w:rsidRPr="00295056">
        <w:rPr>
          <w:rFonts w:ascii="Times New Roman" w:hAnsi="Times New Roman"/>
        </w:rPr>
        <w:t xml:space="preserve"> provides the authority for the Social Security Administration (SSA) to issue a subpoena if an employer refuses to furnish the requested information.  Regulations at </w:t>
      </w:r>
      <w:r w:rsidRPr="00D513E1">
        <w:rPr>
          <w:rFonts w:ascii="Times New Roman" w:hAnsi="Times New Roman"/>
          <w:i/>
          <w:iCs/>
        </w:rPr>
        <w:t>20 CFR 404.801-404.802</w:t>
      </w:r>
      <w:r w:rsidRPr="00295056">
        <w:rPr>
          <w:rFonts w:ascii="Times New Roman" w:hAnsi="Times New Roman"/>
        </w:rPr>
        <w:t xml:space="preserve"> of the </w:t>
      </w:r>
      <w:r w:rsidRPr="00D513E1">
        <w:rPr>
          <w:rFonts w:ascii="Times New Roman" w:hAnsi="Times New Roman"/>
          <w:i/>
          <w:iCs/>
        </w:rPr>
        <w:t>Code of Federal Regulations</w:t>
      </w:r>
      <w:r w:rsidRPr="00295056">
        <w:rPr>
          <w:rFonts w:ascii="Times New Roman" w:hAnsi="Times New Roman"/>
        </w:rPr>
        <w:t xml:space="preserve"> describe the procedures SSA uses to implement </w:t>
      </w:r>
      <w:r w:rsidR="00D513E1">
        <w:rPr>
          <w:rFonts w:ascii="Times New Roman" w:hAnsi="Times New Roman"/>
        </w:rPr>
        <w:t>S</w:t>
      </w:r>
      <w:r w:rsidRPr="00295056">
        <w:rPr>
          <w:rFonts w:ascii="Times New Roman" w:hAnsi="Times New Roman"/>
        </w:rPr>
        <w:t xml:space="preserve">ection </w:t>
      </w:r>
      <w:r w:rsidRPr="00D513E1">
        <w:rPr>
          <w:rFonts w:ascii="Times New Roman" w:hAnsi="Times New Roman"/>
          <w:i/>
          <w:iCs/>
        </w:rPr>
        <w:t>205(c)(2)(A)</w:t>
      </w:r>
      <w:r w:rsidRPr="00295056">
        <w:rPr>
          <w:rFonts w:ascii="Times New Roman" w:hAnsi="Times New Roman"/>
        </w:rPr>
        <w:t xml:space="preserve"> of the </w:t>
      </w:r>
      <w:r w:rsidRPr="00D513E1">
        <w:rPr>
          <w:rFonts w:ascii="Times New Roman" w:hAnsi="Times New Roman"/>
          <w:i/>
          <w:iCs/>
        </w:rPr>
        <w:t>Act</w:t>
      </w:r>
      <w:r w:rsidRPr="00295056">
        <w:rPr>
          <w:rFonts w:ascii="Times New Roman" w:hAnsi="Times New Roman"/>
        </w:rPr>
        <w:t xml:space="preserve">.  </w:t>
      </w:r>
      <w:r w:rsidRPr="00D513E1">
        <w:rPr>
          <w:rFonts w:ascii="Times New Roman" w:hAnsi="Times New Roman"/>
          <w:i/>
          <w:iCs/>
        </w:rPr>
        <w:t>20 CFR 404.803</w:t>
      </w:r>
      <w:r w:rsidRPr="00295056">
        <w:rPr>
          <w:rFonts w:ascii="Times New Roman" w:hAnsi="Times New Roman"/>
        </w:rPr>
        <w:t xml:space="preserve"> explains that we may use our records and other evidence, such as a statement from an employer, to substantiate the amounts of earnings credited to an individual.</w:t>
      </w:r>
    </w:p>
    <w:p w:rsidRPr="00F57AD9" w:rsidR="00F57AD9" w:rsidP="00790309" w:rsidRDefault="00F57AD9" w14:paraId="74E1F48C" w14:textId="77777777">
      <w:pPr>
        <w:tabs>
          <w:tab w:val="num" w:pos="1440"/>
        </w:tabs>
        <w:ind w:left="1440"/>
        <w:rPr>
          <w:rFonts w:ascii="Times New Roman" w:hAnsi="Times New Roman"/>
        </w:rPr>
      </w:pPr>
    </w:p>
    <w:p w:rsidRPr="002E18CF" w:rsidR="002E18CF" w:rsidP="00790309" w:rsidRDefault="00F56A74" w14:paraId="1B6F9998" w14:textId="77777777">
      <w:pPr>
        <w:numPr>
          <w:ilvl w:val="0"/>
          <w:numId w:val="20"/>
        </w:numPr>
        <w:tabs>
          <w:tab w:val="clear" w:pos="720"/>
          <w:tab w:val="num" w:pos="1440"/>
        </w:tabs>
        <w:ind w:left="1440"/>
        <w:rPr>
          <w:rFonts w:ascii="Times New Roman" w:hAnsi="Times New Roman"/>
        </w:rPr>
      </w:pPr>
      <w:r>
        <w:rPr>
          <w:rFonts w:ascii="Times New Roman" w:hAnsi="Times New Roman"/>
          <w:b/>
        </w:rPr>
        <w:t xml:space="preserve">Description of Collection </w:t>
      </w:r>
    </w:p>
    <w:p w:rsidRPr="00295056" w:rsidR="00295056" w:rsidP="00790309" w:rsidRDefault="00295056" w14:paraId="23642414" w14:textId="6CC333C0">
      <w:pPr>
        <w:tabs>
          <w:tab w:val="num" w:pos="1440"/>
        </w:tabs>
        <w:ind w:left="1440"/>
        <w:rPr>
          <w:rFonts w:ascii="Times New Roman" w:hAnsi="Times New Roman"/>
        </w:rPr>
      </w:pPr>
      <w:r w:rsidRPr="00295056">
        <w:rPr>
          <w:rFonts w:ascii="Times New Roman" w:hAnsi="Times New Roman"/>
        </w:rPr>
        <w:t>When workers report they were paid wages</w:t>
      </w:r>
      <w:r w:rsidR="00A80DA7">
        <w:rPr>
          <w:rFonts w:ascii="Times New Roman" w:hAnsi="Times New Roman"/>
        </w:rPr>
        <w:t>,</w:t>
      </w:r>
      <w:r w:rsidRPr="00295056">
        <w:rPr>
          <w:rFonts w:ascii="Times New Roman" w:hAnsi="Times New Roman"/>
        </w:rPr>
        <w:t xml:space="preserve"> but cannot provide proof of those earnings, and the wages do not appear in SSA’s records of earnings, SSA uses Form SSA-7011-F4 to document the alleged wages.  Specifically, the agency uses the form to resolve discrepancies in the individual’s Social Security earnings</w:t>
      </w:r>
    </w:p>
    <w:p w:rsidRPr="00295056" w:rsidR="00295056" w:rsidP="00790309" w:rsidRDefault="00295056" w14:paraId="53C8CE29" w14:textId="77777777">
      <w:pPr>
        <w:tabs>
          <w:tab w:val="num" w:pos="1440"/>
        </w:tabs>
        <w:ind w:left="1440"/>
        <w:rPr>
          <w:rFonts w:ascii="Times New Roman" w:hAnsi="Times New Roman"/>
        </w:rPr>
      </w:pPr>
      <w:r w:rsidRPr="00295056">
        <w:rPr>
          <w:rFonts w:ascii="Times New Roman" w:hAnsi="Times New Roman"/>
        </w:rPr>
        <w:t>record, and to process claims for Social Security benefits.  We only send Form</w:t>
      </w:r>
    </w:p>
    <w:p w:rsidRPr="00295056" w:rsidR="00295056" w:rsidP="00790309" w:rsidRDefault="00295056" w14:paraId="5999CBE4" w14:textId="77777777">
      <w:pPr>
        <w:tabs>
          <w:tab w:val="num" w:pos="1440"/>
        </w:tabs>
        <w:ind w:left="1440"/>
        <w:rPr>
          <w:rFonts w:ascii="Times New Roman" w:hAnsi="Times New Roman"/>
        </w:rPr>
      </w:pPr>
      <w:r w:rsidRPr="00295056">
        <w:rPr>
          <w:rFonts w:ascii="Times New Roman" w:hAnsi="Times New Roman"/>
        </w:rPr>
        <w:t>SSA-7011-F4 to employers if we are unable able to locate the earnings</w:t>
      </w:r>
    </w:p>
    <w:p w:rsidRPr="00295056" w:rsidR="00295056" w:rsidP="00790309" w:rsidRDefault="00A80DA7" w14:paraId="7C2FD13A" w14:textId="3A388D64">
      <w:pPr>
        <w:tabs>
          <w:tab w:val="num" w:pos="1440"/>
        </w:tabs>
        <w:ind w:left="1440"/>
        <w:rPr>
          <w:rFonts w:ascii="Times New Roman" w:hAnsi="Times New Roman"/>
        </w:rPr>
      </w:pPr>
      <w:r>
        <w:rPr>
          <w:rFonts w:ascii="Times New Roman" w:hAnsi="Times New Roman"/>
        </w:rPr>
        <w:t>i</w:t>
      </w:r>
      <w:r w:rsidR="00147DD4">
        <w:rPr>
          <w:rFonts w:ascii="Times New Roman" w:hAnsi="Times New Roman"/>
        </w:rPr>
        <w:t>nformation</w:t>
      </w:r>
      <w:r w:rsidRPr="00295056" w:rsidR="00295056">
        <w:rPr>
          <w:rFonts w:ascii="Times New Roman" w:hAnsi="Times New Roman"/>
        </w:rPr>
        <w:t xml:space="preserve"> within our own records.  The respondents are employers who can</w:t>
      </w:r>
    </w:p>
    <w:p w:rsidR="00295056" w:rsidP="00790309" w:rsidRDefault="00295056" w14:paraId="517A9162" w14:textId="26950102">
      <w:pPr>
        <w:tabs>
          <w:tab w:val="num" w:pos="1440"/>
        </w:tabs>
        <w:ind w:left="1440"/>
        <w:rPr>
          <w:rFonts w:ascii="Times New Roman" w:hAnsi="Times New Roman"/>
        </w:rPr>
      </w:pPr>
      <w:r w:rsidRPr="00295056">
        <w:rPr>
          <w:rFonts w:ascii="Times New Roman" w:hAnsi="Times New Roman"/>
        </w:rPr>
        <w:t>verify wage allegations made by wage earners</w:t>
      </w:r>
      <w:r w:rsidR="00A80DA7">
        <w:rPr>
          <w:rFonts w:ascii="Times New Roman" w:hAnsi="Times New Roman"/>
        </w:rPr>
        <w:t>.</w:t>
      </w:r>
    </w:p>
    <w:p w:rsidRPr="00BC7F42" w:rsidR="00A45D82" w:rsidP="00790309" w:rsidRDefault="00A45D82" w14:paraId="32E23A83" w14:textId="77777777">
      <w:pPr>
        <w:tabs>
          <w:tab w:val="num" w:pos="1440"/>
        </w:tabs>
        <w:ind w:left="1440"/>
        <w:rPr>
          <w:rFonts w:ascii="Times New Roman" w:hAnsi="Times New Roman"/>
        </w:rPr>
      </w:pPr>
    </w:p>
    <w:p w:rsidRPr="0036696D" w:rsidR="0036696D" w:rsidP="00790309" w:rsidRDefault="00A45D82" w14:paraId="2BEB89FC" w14:textId="77777777">
      <w:pPr>
        <w:numPr>
          <w:ilvl w:val="0"/>
          <w:numId w:val="20"/>
        </w:numPr>
        <w:tabs>
          <w:tab w:val="clear" w:pos="720"/>
          <w:tab w:val="num" w:pos="1440"/>
        </w:tabs>
        <w:ind w:left="1440"/>
        <w:rPr>
          <w:rFonts w:ascii="Times New Roman" w:hAnsi="Times New Roman"/>
        </w:rPr>
      </w:pPr>
      <w:r w:rsidRPr="00BC7F42">
        <w:rPr>
          <w:rFonts w:ascii="Times New Roman" w:hAnsi="Times New Roman"/>
          <w:b/>
        </w:rPr>
        <w:t>Use of Information Technology to Collect the Information</w:t>
      </w:r>
    </w:p>
    <w:p w:rsidRPr="00A66328" w:rsidR="00A66328" w:rsidP="00A66328" w:rsidRDefault="00A66328" w14:paraId="51ED4FCA" w14:textId="556DCFE6">
      <w:pPr>
        <w:tabs>
          <w:tab w:val="num" w:pos="1440"/>
        </w:tabs>
        <w:ind w:left="1440"/>
        <w:rPr>
          <w:rFonts w:ascii="Times New Roman" w:hAnsi="Times New Roman"/>
        </w:rPr>
      </w:pPr>
      <w:r>
        <w:rPr>
          <w:rFonts w:ascii="Times New Roman" w:hAnsi="Times New Roman"/>
        </w:rPr>
        <w:t>Form</w:t>
      </w:r>
      <w:r w:rsidRPr="0060347C" w:rsidR="0060347C">
        <w:rPr>
          <w:rFonts w:ascii="Times New Roman" w:hAnsi="Times New Roman"/>
        </w:rPr>
        <w:t xml:space="preserve"> SSA-7011-F4 </w:t>
      </w:r>
      <w:r w:rsidRPr="00A66328">
        <w:rPr>
          <w:rFonts w:ascii="Times New Roman" w:hAnsi="Times New Roman"/>
        </w:rPr>
        <w:t xml:space="preserve">is available </w:t>
      </w:r>
      <w:r>
        <w:rPr>
          <w:rFonts w:ascii="Times New Roman" w:hAnsi="Times New Roman"/>
        </w:rPr>
        <w:t>on SSA’s website</w:t>
      </w:r>
      <w:r w:rsidRPr="00A66328">
        <w:rPr>
          <w:rFonts w:ascii="Times New Roman" w:hAnsi="Times New Roman"/>
        </w:rPr>
        <w:t xml:space="preserve"> in </w:t>
      </w:r>
      <w:r>
        <w:rPr>
          <w:rFonts w:ascii="Times New Roman" w:hAnsi="Times New Roman"/>
        </w:rPr>
        <w:t xml:space="preserve">a </w:t>
      </w:r>
      <w:r w:rsidRPr="00A66328">
        <w:rPr>
          <w:rFonts w:ascii="Times New Roman" w:hAnsi="Times New Roman"/>
        </w:rPr>
        <w:t xml:space="preserve">fillable PDF format.  Once the form is completed, the respondent prints it, and mails it to the agency with supporting documentation.  </w:t>
      </w:r>
      <w:r w:rsidRPr="00FE420F" w:rsidR="00FE420F">
        <w:rPr>
          <w:rFonts w:ascii="Times New Roman" w:hAnsi="Times New Roman"/>
          <w:snapToGrid/>
          <w:lang w:bidi="en-US"/>
        </w:rPr>
        <w:t>Based on our data, we estimate approximately 100% of respondents for this collection use the fillable PDF version</w:t>
      </w:r>
      <w:r w:rsidR="0033796B">
        <w:rPr>
          <w:rFonts w:ascii="Times New Roman" w:hAnsi="Times New Roman"/>
          <w:snapToGrid/>
          <w:lang w:bidi="en-US"/>
        </w:rPr>
        <w:t xml:space="preserve"> and mail it in to SSA</w:t>
      </w:r>
      <w:r w:rsidRPr="00A66328">
        <w:rPr>
          <w:rFonts w:ascii="Times New Roman" w:hAnsi="Times New Roman"/>
        </w:rPr>
        <w:t>.</w:t>
      </w:r>
    </w:p>
    <w:p w:rsidRPr="00A66328" w:rsidR="00A66328" w:rsidP="00A66328" w:rsidRDefault="00A66328" w14:paraId="181AD539" w14:textId="77777777">
      <w:pPr>
        <w:tabs>
          <w:tab w:val="num" w:pos="1440"/>
        </w:tabs>
        <w:ind w:left="1440"/>
        <w:rPr>
          <w:rFonts w:ascii="Times New Roman" w:hAnsi="Times New Roman"/>
        </w:rPr>
      </w:pPr>
    </w:p>
    <w:p w:rsidRPr="00E01589" w:rsidR="00E01589" w:rsidP="00E01589" w:rsidRDefault="00E01589" w14:paraId="4A18031D" w14:textId="77777777">
      <w:pPr>
        <w:tabs>
          <w:tab w:val="num" w:pos="1440"/>
        </w:tabs>
        <w:ind w:left="1440"/>
        <w:rPr>
          <w:rFonts w:ascii="Times New Roman" w:hAnsi="Times New Roman"/>
        </w:rPr>
      </w:pPr>
      <w:r w:rsidRPr="00E01589">
        <w:rPr>
          <w:rFonts w:ascii="Times New Roman" w:hAnsi="Times New Roman"/>
        </w:rPr>
        <w:t xml:space="preserve">This collection does not currently have a fully public-facing Internet version, as we prioritized other information collections for full electronic conversions.  Given that IT Mod programming is an ongoing, dynamic project, we cannot provide specific timelines for when we will be able to make any particular ICR available via Internet web-based application.  We will ultimately convert most existing ICRs to full electronic versions depending on how they fall within our overall IT Mod schema, but this may be unconnected to the PRA approval lifecycle.  </w:t>
      </w:r>
    </w:p>
    <w:p w:rsidRPr="00E01589" w:rsidR="00E01589" w:rsidP="00E01589" w:rsidRDefault="00E01589" w14:paraId="163C4E06" w14:textId="77777777">
      <w:pPr>
        <w:tabs>
          <w:tab w:val="num" w:pos="1440"/>
        </w:tabs>
        <w:ind w:left="1440"/>
        <w:rPr>
          <w:rFonts w:ascii="Times New Roman" w:hAnsi="Times New Roman"/>
        </w:rPr>
      </w:pPr>
    </w:p>
    <w:p w:rsidR="0060347C" w:rsidP="00E01589" w:rsidRDefault="00E01589" w14:paraId="06194C96" w14:textId="52B0D3F7">
      <w:pPr>
        <w:tabs>
          <w:tab w:val="num" w:pos="1440"/>
        </w:tabs>
        <w:ind w:left="1440"/>
        <w:rPr>
          <w:rFonts w:ascii="Times New Roman" w:hAnsi="Times New Roman"/>
        </w:rPr>
      </w:pPr>
      <w:r w:rsidRPr="00E01589">
        <w:rPr>
          <w:rFonts w:ascii="Times New Roman" w:hAnsi="Times New Roman"/>
        </w:rPr>
        <w:t xml:space="preserve">In the interim, we evaluated this collection for conversion to a submittable </w:t>
      </w:r>
      <w:r w:rsidRPr="00E01589" w:rsidR="0012413A">
        <w:rPr>
          <w:rFonts w:ascii="Times New Roman" w:hAnsi="Times New Roman"/>
        </w:rPr>
        <w:t>PDF</w:t>
      </w:r>
      <w:r w:rsidR="0012413A">
        <w:rPr>
          <w:rFonts w:ascii="Times New Roman" w:hAnsi="Times New Roman"/>
        </w:rPr>
        <w:t xml:space="preserve"> and</w:t>
      </w:r>
      <w:r w:rsidRPr="00E01589">
        <w:rPr>
          <w:rFonts w:ascii="Times New Roman" w:hAnsi="Times New Roman"/>
        </w:rPr>
        <w:t xml:space="preserve"> intend to make this conversion within the next 3-6 years.  Once we have the submittable PDF ready for implementation, we will submit a Change Request to OMB for prior approval.</w:t>
      </w:r>
    </w:p>
    <w:p w:rsidR="0060347C" w:rsidP="00790309" w:rsidRDefault="0060347C" w14:paraId="139BC746" w14:textId="77777777">
      <w:pPr>
        <w:tabs>
          <w:tab w:val="num" w:pos="1440"/>
        </w:tabs>
        <w:ind w:left="1440"/>
        <w:rPr>
          <w:rFonts w:ascii="Times New Roman" w:hAnsi="Times New Roman"/>
        </w:rPr>
      </w:pPr>
    </w:p>
    <w:p w:rsidR="000C1D18" w:rsidP="00790309" w:rsidRDefault="00A45D82" w14:paraId="5A38856C" w14:textId="77777777">
      <w:pPr>
        <w:numPr>
          <w:ilvl w:val="0"/>
          <w:numId w:val="20"/>
        </w:numPr>
        <w:tabs>
          <w:tab w:val="clear" w:pos="720"/>
          <w:tab w:val="num" w:pos="1440"/>
        </w:tabs>
        <w:ind w:left="1440"/>
        <w:rPr>
          <w:rFonts w:ascii="Times New Roman" w:hAnsi="Times New Roman"/>
          <w:b/>
        </w:rPr>
      </w:pPr>
      <w:r w:rsidRPr="00BC7F42">
        <w:rPr>
          <w:rFonts w:ascii="Times New Roman" w:hAnsi="Times New Roman"/>
          <w:b/>
        </w:rPr>
        <w:lastRenderedPageBreak/>
        <w:t xml:space="preserve">Why </w:t>
      </w:r>
      <w:r w:rsidR="000C1D18">
        <w:rPr>
          <w:rFonts w:ascii="Times New Roman" w:hAnsi="Times New Roman"/>
          <w:b/>
        </w:rPr>
        <w:t>We Cannot Use Duplicate Information</w:t>
      </w:r>
    </w:p>
    <w:p w:rsidRPr="0060347C" w:rsidR="0060347C" w:rsidP="00790309" w:rsidRDefault="0060347C" w14:paraId="45635487" w14:textId="77777777">
      <w:pPr>
        <w:tabs>
          <w:tab w:val="num" w:pos="1440"/>
        </w:tabs>
        <w:ind w:left="1440"/>
        <w:rPr>
          <w:rFonts w:ascii="Times New Roman" w:hAnsi="Times New Roman"/>
        </w:rPr>
      </w:pPr>
      <w:r w:rsidRPr="0060347C">
        <w:rPr>
          <w:rFonts w:ascii="Times New Roman" w:hAnsi="Times New Roman"/>
        </w:rPr>
        <w:t>The nature of the information we collect and the manner in which we collect it precludes duplication.  SSA does not use another collection instrument to obtain similar data.</w:t>
      </w:r>
    </w:p>
    <w:p w:rsidRPr="00BC7F42" w:rsidR="00A45D82" w:rsidP="00790309" w:rsidRDefault="00A45D82" w14:paraId="0EAEA626" w14:textId="77777777">
      <w:pPr>
        <w:pStyle w:val="Header"/>
        <w:tabs>
          <w:tab w:val="clear" w:pos="4320"/>
          <w:tab w:val="clear" w:pos="8640"/>
          <w:tab w:val="num" w:pos="1440"/>
        </w:tabs>
        <w:ind w:left="1440"/>
        <w:rPr>
          <w:rFonts w:ascii="Times New Roman" w:hAnsi="Times New Roman"/>
        </w:rPr>
      </w:pPr>
    </w:p>
    <w:p w:rsidRPr="00077E0E" w:rsidR="00077E0E" w:rsidP="00790309" w:rsidRDefault="00077E0E" w14:paraId="5D28B0E2" w14:textId="77777777">
      <w:pPr>
        <w:numPr>
          <w:ilvl w:val="0"/>
          <w:numId w:val="28"/>
        </w:numPr>
        <w:tabs>
          <w:tab w:val="clear" w:pos="360"/>
          <w:tab w:val="num" w:pos="1440"/>
        </w:tabs>
        <w:ind w:left="1440" w:hanging="720"/>
        <w:rPr>
          <w:rFonts w:ascii="Times New Roman" w:hAnsi="Times New Roman"/>
        </w:rPr>
      </w:pPr>
      <w:r>
        <w:rPr>
          <w:rFonts w:ascii="Times New Roman" w:hAnsi="Times New Roman"/>
          <w:b/>
        </w:rPr>
        <w:t>Minimizing Burden on Small Respondents</w:t>
      </w:r>
    </w:p>
    <w:p w:rsidR="0060347C" w:rsidP="00790309" w:rsidRDefault="0060347C" w14:paraId="7D16A6F7" w14:textId="77777777">
      <w:pPr>
        <w:tabs>
          <w:tab w:val="num" w:pos="1440"/>
        </w:tabs>
        <w:ind w:left="1440"/>
        <w:rPr>
          <w:rFonts w:ascii="Times New Roman" w:hAnsi="Times New Roman"/>
        </w:rPr>
      </w:pPr>
      <w:r w:rsidRPr="0060347C">
        <w:rPr>
          <w:rFonts w:ascii="Times New Roman" w:hAnsi="Times New Roman"/>
        </w:rPr>
        <w:t>This collection does not significantly affect small businesses or other small entities.</w:t>
      </w:r>
    </w:p>
    <w:p w:rsidR="0060347C" w:rsidP="00790309" w:rsidRDefault="0060347C" w14:paraId="69103BE7" w14:textId="77777777">
      <w:pPr>
        <w:tabs>
          <w:tab w:val="num" w:pos="1440"/>
        </w:tabs>
        <w:ind w:left="1440"/>
        <w:rPr>
          <w:rFonts w:ascii="Times New Roman" w:hAnsi="Times New Roman"/>
        </w:rPr>
      </w:pPr>
    </w:p>
    <w:p w:rsidRPr="00BC7F42" w:rsidR="00A45D82" w:rsidP="00790309" w:rsidRDefault="00A45D82" w14:paraId="2ED6F598" w14:textId="77777777">
      <w:pPr>
        <w:tabs>
          <w:tab w:val="num" w:pos="1440"/>
        </w:tabs>
        <w:ind w:left="1440" w:hanging="720"/>
        <w:rPr>
          <w:rFonts w:ascii="Times New Roman" w:hAnsi="Times New Roman"/>
        </w:rPr>
      </w:pPr>
      <w:r w:rsidRPr="005C2C39">
        <w:rPr>
          <w:rFonts w:ascii="Times New Roman" w:hAnsi="Times New Roman"/>
          <w:b/>
        </w:rPr>
        <w:t>6.</w:t>
      </w:r>
      <w:r w:rsidRPr="00BC7F42">
        <w:rPr>
          <w:rFonts w:ascii="Times New Roman" w:hAnsi="Times New Roman"/>
        </w:rPr>
        <w:tab/>
      </w:r>
      <w:r w:rsidRPr="00BC7F42">
        <w:rPr>
          <w:rFonts w:ascii="Times New Roman" w:hAnsi="Times New Roman"/>
          <w:b/>
        </w:rPr>
        <w:t xml:space="preserve">Consequence of Not Collecting Information or Collecting it Less Frequently </w:t>
      </w:r>
    </w:p>
    <w:p w:rsidRPr="002251BE" w:rsidR="00A45D82" w:rsidP="00790309" w:rsidRDefault="002251BE" w14:paraId="0798988C" w14:textId="41D4559B">
      <w:pPr>
        <w:tabs>
          <w:tab w:val="num" w:pos="1440"/>
        </w:tabs>
        <w:ind w:left="1440"/>
        <w:rPr>
          <w:rFonts w:ascii="Times New Roman" w:hAnsi="Times New Roman"/>
        </w:rPr>
      </w:pPr>
      <w:r w:rsidRPr="002251BE">
        <w:rPr>
          <w:rFonts w:ascii="Times New Roman" w:hAnsi="Times New Roman"/>
        </w:rPr>
        <w:t>If we did not use Form SSA-7011-F4, it could result in incorrect payments or incorrect denials of benefits to the public.  Because we only collect the information on an as needed basis, we cannot collect it less frequently.  There are no technical or legal obstacles to burden reduction.</w:t>
      </w:r>
    </w:p>
    <w:p w:rsidRPr="002251BE" w:rsidR="00A45D82" w:rsidP="00790309" w:rsidRDefault="00A45D82" w14:paraId="0420DB8D" w14:textId="77777777">
      <w:pPr>
        <w:tabs>
          <w:tab w:val="num" w:pos="1440"/>
        </w:tabs>
        <w:ind w:left="1440"/>
        <w:rPr>
          <w:rFonts w:ascii="Times New Roman" w:hAnsi="Times New Roman"/>
        </w:rPr>
      </w:pPr>
    </w:p>
    <w:p w:rsidRPr="00BC7F42" w:rsidR="00A45D82" w:rsidP="00790309" w:rsidRDefault="00A45D82" w14:paraId="7B935589" w14:textId="77777777">
      <w:pPr>
        <w:tabs>
          <w:tab w:val="num" w:pos="1440"/>
        </w:tabs>
        <w:ind w:left="1440" w:hanging="720"/>
        <w:rPr>
          <w:rFonts w:ascii="Times New Roman" w:hAnsi="Times New Roman"/>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Pr="002251BE" w:rsidR="00A45D82" w:rsidP="00790309" w:rsidRDefault="00CE042B" w14:paraId="5E455424" w14:textId="0109B712">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i w:val="0"/>
        </w:rPr>
      </w:pPr>
      <w:r w:rsidRPr="00CE042B">
        <w:rPr>
          <w:rFonts w:ascii="Times New Roman" w:hAnsi="Times New Roman" w:eastAsia="Arial Unicode MS"/>
          <w:b w:val="0"/>
          <w:bCs w:val="0"/>
          <w:i w:val="0"/>
          <w:iCs w:val="0"/>
        </w:rPr>
        <w:t xml:space="preserve">There are no special circumstances that would cause SSA to conduct this information collection in a manner inconsistent with </w:t>
      </w:r>
      <w:r w:rsidRPr="00CE042B">
        <w:rPr>
          <w:rFonts w:ascii="Times New Roman" w:hAnsi="Times New Roman" w:eastAsia="Arial Unicode MS"/>
          <w:b w:val="0"/>
          <w:bCs w:val="0"/>
          <w:iCs w:val="0"/>
        </w:rPr>
        <w:t>5 CFR 1320.5</w:t>
      </w:r>
      <w:r w:rsidRPr="002251BE" w:rsidR="00A45D82">
        <w:rPr>
          <w:rFonts w:ascii="Times New Roman" w:hAnsi="Times New Roman"/>
          <w:b w:val="0"/>
          <w:i w:val="0"/>
        </w:rPr>
        <w:t>.</w:t>
      </w:r>
    </w:p>
    <w:p w:rsidRPr="00BC7F42" w:rsidR="00A45D82" w:rsidP="00790309" w:rsidRDefault="00A45D82" w14:paraId="24B9CE29" w14:textId="77777777">
      <w:pPr>
        <w:tabs>
          <w:tab w:val="num" w:pos="1440"/>
        </w:tabs>
        <w:ind w:left="1440"/>
        <w:rPr>
          <w:rFonts w:ascii="Times New Roman" w:hAnsi="Times New Roman"/>
          <w:b/>
          <w:i/>
        </w:rPr>
      </w:pPr>
    </w:p>
    <w:p w:rsidR="00A45D82" w:rsidP="00790309" w:rsidRDefault="00A45D82" w14:paraId="0726AFA6" w14:textId="77777777">
      <w:pPr>
        <w:numPr>
          <w:ilvl w:val="0"/>
          <w:numId w:val="14"/>
        </w:numPr>
        <w:tabs>
          <w:tab w:val="clear" w:pos="720"/>
          <w:tab w:val="num" w:pos="1440"/>
        </w:tabs>
        <w:ind w:left="1440"/>
        <w:rPr>
          <w:rFonts w:ascii="Times New Roman" w:hAnsi="Times New Roman"/>
        </w:rPr>
      </w:pPr>
      <w:r w:rsidRPr="00BC7F42">
        <w:rPr>
          <w:rFonts w:ascii="Times New Roman" w:hAnsi="Times New Roman"/>
          <w:b/>
        </w:rPr>
        <w:t>Solicitation of Public Comment and Other Consultations with the Public</w:t>
      </w:r>
      <w:r w:rsidR="00C67C8A">
        <w:rPr>
          <w:rFonts w:ascii="Times New Roman" w:hAnsi="Times New Roman"/>
        </w:rPr>
        <w:t>.</w:t>
      </w:r>
    </w:p>
    <w:p w:rsidR="00C67C8A" w:rsidP="00790309" w:rsidRDefault="00CE042B" w14:paraId="487DA09B" w14:textId="794A0BDB">
      <w:pPr>
        <w:tabs>
          <w:tab w:val="num" w:pos="1440"/>
        </w:tabs>
        <w:ind w:left="1440"/>
        <w:rPr>
          <w:rFonts w:ascii="Times New Roman" w:hAnsi="Times New Roman"/>
          <w:b/>
        </w:rPr>
      </w:pPr>
      <w:r w:rsidRPr="00CE042B">
        <w:rPr>
          <w:rFonts w:ascii="Times New Roman" w:hAnsi="Times New Roman"/>
          <w:noProof/>
          <w:snapToGrid/>
          <w:lang w:eastAsia="zh-CN" w:bidi="en-US"/>
        </w:rPr>
        <w:t xml:space="preserve">The 60-day advance Federal Register Notice published on </w:t>
      </w:r>
      <w:r w:rsidR="008772D8">
        <w:rPr>
          <w:rFonts w:ascii="Times New Roman" w:hAnsi="Times New Roman"/>
          <w:noProof/>
          <w:snapToGrid/>
          <w:lang w:eastAsia="zh-CN" w:bidi="en-US"/>
        </w:rPr>
        <w:t>July 2</w:t>
      </w:r>
      <w:r w:rsidRPr="00CE042B">
        <w:rPr>
          <w:rFonts w:ascii="Times New Roman" w:hAnsi="Times New Roman"/>
          <w:noProof/>
          <w:snapToGrid/>
          <w:lang w:eastAsia="zh-CN" w:bidi="en-US"/>
        </w:rPr>
        <w:t>, 2021 at 86 FR </w:t>
      </w:r>
      <w:r w:rsidR="008772D8">
        <w:rPr>
          <w:rFonts w:ascii="Times New Roman" w:hAnsi="Times New Roman"/>
          <w:noProof/>
          <w:snapToGrid/>
          <w:lang w:eastAsia="zh-CN" w:bidi="en-US"/>
        </w:rPr>
        <w:t>35371</w:t>
      </w:r>
      <w:r w:rsidRPr="00CE042B">
        <w:rPr>
          <w:rFonts w:ascii="Times New Roman" w:hAnsi="Times New Roman"/>
          <w:noProof/>
          <w:snapToGrid/>
          <w:lang w:eastAsia="zh-CN" w:bidi="en-US"/>
        </w:rPr>
        <w:t xml:space="preserve">, and we received no public comments.  The 30-day FRN published on </w:t>
      </w:r>
      <w:r w:rsidR="00E2493E">
        <w:rPr>
          <w:rFonts w:ascii="Times New Roman" w:hAnsi="Times New Roman"/>
          <w:noProof/>
          <w:snapToGrid/>
          <w:lang w:eastAsia="zh-CN" w:bidi="en-US"/>
        </w:rPr>
        <w:t>September 2</w:t>
      </w:r>
      <w:r w:rsidRPr="00CE042B">
        <w:rPr>
          <w:rFonts w:ascii="Times New Roman" w:hAnsi="Times New Roman"/>
          <w:noProof/>
          <w:snapToGrid/>
          <w:lang w:eastAsia="zh-CN" w:bidi="en-US"/>
        </w:rPr>
        <w:t xml:space="preserve">, 2021 at 86 FR </w:t>
      </w:r>
      <w:r w:rsidR="00E2493E">
        <w:rPr>
          <w:rFonts w:ascii="Times New Roman" w:hAnsi="Times New Roman"/>
          <w:noProof/>
          <w:snapToGrid/>
          <w:lang w:eastAsia="zh-CN" w:bidi="en-US"/>
        </w:rPr>
        <w:t>49403</w:t>
      </w:r>
      <w:r w:rsidRPr="00CE042B">
        <w:rPr>
          <w:rFonts w:ascii="Times New Roman" w:hAnsi="Times New Roman"/>
          <w:noProof/>
          <w:snapToGrid/>
          <w:lang w:eastAsia="zh-CN" w:bidi="en-US"/>
        </w:rPr>
        <w:t>.  If we receive any comments in response to this Notice, we will forward them to OMB</w:t>
      </w:r>
      <w:r w:rsidRPr="002251BE" w:rsidR="002251BE">
        <w:rPr>
          <w:rFonts w:ascii="Times New Roman" w:hAnsi="Times New Roman"/>
          <w:b/>
        </w:rPr>
        <w:t>.</w:t>
      </w:r>
    </w:p>
    <w:p w:rsidR="002251BE" w:rsidP="00790309" w:rsidRDefault="002251BE" w14:paraId="5B24F045" w14:textId="77777777">
      <w:pPr>
        <w:tabs>
          <w:tab w:val="num" w:pos="1440"/>
        </w:tabs>
        <w:ind w:left="1440"/>
        <w:rPr>
          <w:rFonts w:ascii="Times New Roman" w:hAnsi="Times New Roman"/>
          <w:b/>
        </w:rPr>
      </w:pPr>
    </w:p>
    <w:p w:rsidR="00640A26" w:rsidP="00790309" w:rsidRDefault="00A45D82" w14:paraId="33226C25" w14:textId="77777777">
      <w:pPr>
        <w:numPr>
          <w:ilvl w:val="0"/>
          <w:numId w:val="14"/>
        </w:numPr>
        <w:tabs>
          <w:tab w:val="clear" w:pos="720"/>
          <w:tab w:val="num" w:pos="1440"/>
        </w:tabs>
        <w:ind w:left="1440"/>
        <w:rPr>
          <w:rFonts w:ascii="Times New Roman" w:hAnsi="Times New Roman"/>
          <w:b/>
        </w:rPr>
      </w:pPr>
      <w:r w:rsidRPr="00BC7F42">
        <w:rPr>
          <w:rFonts w:ascii="Times New Roman" w:hAnsi="Times New Roman"/>
          <w:b/>
        </w:rPr>
        <w:t>Payment or Gifts to Respondents</w:t>
      </w:r>
    </w:p>
    <w:p w:rsidRPr="002251BE" w:rsidR="002251BE" w:rsidP="00790309" w:rsidRDefault="002251BE" w14:paraId="4A9BA28E" w14:textId="77777777">
      <w:pPr>
        <w:tabs>
          <w:tab w:val="num" w:pos="1440"/>
        </w:tabs>
        <w:ind w:left="1440"/>
        <w:rPr>
          <w:rFonts w:ascii="Times New Roman" w:hAnsi="Times New Roman"/>
        </w:rPr>
      </w:pPr>
      <w:r w:rsidRPr="002251BE">
        <w:rPr>
          <w:rFonts w:ascii="Times New Roman" w:hAnsi="Times New Roman"/>
        </w:rPr>
        <w:t>SSA does not provide payments or gifts to the respondents.</w:t>
      </w:r>
    </w:p>
    <w:p w:rsidRPr="002251BE" w:rsidR="002251BE" w:rsidP="00790309" w:rsidRDefault="002251BE" w14:paraId="5F7D5E8B" w14:textId="77777777">
      <w:pPr>
        <w:tabs>
          <w:tab w:val="num" w:pos="1440"/>
        </w:tabs>
        <w:ind w:left="1440"/>
        <w:rPr>
          <w:rFonts w:ascii="Times New Roman" w:hAnsi="Times New Roman"/>
        </w:rPr>
      </w:pPr>
    </w:p>
    <w:p w:rsidR="00795BAB" w:rsidP="00790309" w:rsidRDefault="00A45D82" w14:paraId="67A0F574" w14:textId="77777777">
      <w:pPr>
        <w:numPr>
          <w:ilvl w:val="0"/>
          <w:numId w:val="14"/>
        </w:numPr>
        <w:tabs>
          <w:tab w:val="clear" w:pos="720"/>
          <w:tab w:val="num" w:pos="1440"/>
        </w:tabs>
        <w:ind w:left="1440"/>
        <w:rPr>
          <w:rFonts w:ascii="Times New Roman" w:hAnsi="Times New Roman"/>
          <w:b/>
        </w:rPr>
      </w:pPr>
      <w:r w:rsidRPr="00BC7F42">
        <w:rPr>
          <w:rFonts w:ascii="Times New Roman" w:hAnsi="Times New Roman"/>
          <w:b/>
        </w:rPr>
        <w:t>Assurances of Confidentiality</w:t>
      </w:r>
    </w:p>
    <w:p w:rsidRPr="002251BE" w:rsidR="002251BE" w:rsidP="00790309" w:rsidRDefault="00671446" w14:paraId="24F53FC1" w14:textId="257A21E5">
      <w:pPr>
        <w:tabs>
          <w:tab w:val="num" w:pos="1440"/>
        </w:tabs>
        <w:ind w:left="1440"/>
        <w:rPr>
          <w:rFonts w:ascii="Times New Roman" w:hAnsi="Times New Roman"/>
        </w:rPr>
      </w:pPr>
      <w:r w:rsidRPr="00671446">
        <w:rPr>
          <w:rFonts w:ascii="Times New Roman" w:hAnsi="Times New Roman"/>
        </w:rPr>
        <w:t xml:space="preserve">SSA protects and holds confidential the information it collects in accordance with </w:t>
      </w:r>
      <w:r w:rsidRPr="00671446">
        <w:rPr>
          <w:rFonts w:ascii="Times New Roman" w:hAnsi="Times New Roman"/>
          <w:i/>
        </w:rPr>
        <w:t>42 U.S.C. 1306, 20 CFR 401</w:t>
      </w:r>
      <w:r w:rsidRPr="00671446">
        <w:rPr>
          <w:rFonts w:ascii="Times New Roman" w:hAnsi="Times New Roman"/>
        </w:rPr>
        <w:t xml:space="preserve"> and </w:t>
      </w:r>
      <w:r w:rsidRPr="00671446">
        <w:rPr>
          <w:rFonts w:ascii="Times New Roman" w:hAnsi="Times New Roman"/>
          <w:i/>
        </w:rPr>
        <w:t>402, 5 U.S.C. 552</w:t>
      </w:r>
      <w:r w:rsidRPr="00671446">
        <w:rPr>
          <w:rFonts w:ascii="Times New Roman" w:hAnsi="Times New Roman"/>
        </w:rPr>
        <w:t xml:space="preserve"> (Freedom of Information Act), </w:t>
      </w:r>
      <w:r w:rsidRPr="00671446">
        <w:rPr>
          <w:rFonts w:ascii="Times New Roman" w:hAnsi="Times New Roman"/>
          <w:i/>
        </w:rPr>
        <w:t>5 U.S.C. 552a</w:t>
      </w:r>
      <w:r w:rsidRPr="00671446">
        <w:rPr>
          <w:rFonts w:ascii="Times New Roman" w:hAnsi="Times New Roman"/>
        </w:rPr>
        <w:t xml:space="preserve"> (Privacy Act of 1974), and OMB Circular No. A-130</w:t>
      </w:r>
      <w:r w:rsidRPr="002251BE" w:rsidR="002251BE">
        <w:rPr>
          <w:rFonts w:ascii="Times New Roman" w:hAnsi="Times New Roman"/>
          <w:color w:val="0000FF"/>
        </w:rPr>
        <w:t>.</w:t>
      </w:r>
    </w:p>
    <w:p w:rsidRPr="00BC7F42" w:rsidR="00A45D82" w:rsidP="00790309" w:rsidRDefault="00A45D82" w14:paraId="3ED90AE7" w14:textId="77777777">
      <w:pPr>
        <w:pStyle w:val="Header"/>
        <w:tabs>
          <w:tab w:val="clear" w:pos="4320"/>
          <w:tab w:val="clear" w:pos="8640"/>
          <w:tab w:val="num" w:pos="1440"/>
        </w:tabs>
        <w:ind w:left="1440"/>
        <w:rPr>
          <w:rFonts w:ascii="Times New Roman" w:hAnsi="Times New Roman"/>
        </w:rPr>
      </w:pPr>
    </w:p>
    <w:p w:rsidR="00D0011E" w:rsidP="00790309" w:rsidRDefault="00A45D82" w14:paraId="27841C28" w14:textId="77777777">
      <w:pPr>
        <w:numPr>
          <w:ilvl w:val="0"/>
          <w:numId w:val="14"/>
        </w:numPr>
        <w:tabs>
          <w:tab w:val="clear" w:pos="720"/>
          <w:tab w:val="num" w:pos="1440"/>
        </w:tabs>
        <w:ind w:left="1440"/>
        <w:rPr>
          <w:rFonts w:ascii="Times New Roman" w:hAnsi="Times New Roman"/>
          <w:b/>
        </w:rPr>
      </w:pPr>
      <w:r w:rsidRPr="00BC7F42">
        <w:rPr>
          <w:rFonts w:ascii="Times New Roman" w:hAnsi="Times New Roman"/>
          <w:b/>
        </w:rPr>
        <w:t>Justification for Sensitive Questions</w:t>
      </w:r>
    </w:p>
    <w:p w:rsidRPr="00BC7F42" w:rsidR="002251BE" w:rsidP="00790309" w:rsidRDefault="002251BE" w14:paraId="1238F503" w14:textId="77777777">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rPr>
      </w:pPr>
      <w:r w:rsidRPr="002251BE">
        <w:rPr>
          <w:rFonts w:ascii="Times New Roman" w:hAnsi="Times New Roman"/>
          <w:b w:val="0"/>
          <w:i w:val="0"/>
        </w:rPr>
        <w:t>The information collection does not contain any questions of a sensitive nature</w:t>
      </w:r>
      <w:r w:rsidRPr="00BC7F42">
        <w:rPr>
          <w:rFonts w:ascii="Times New Roman" w:hAnsi="Times New Roman"/>
          <w:b w:val="0"/>
        </w:rPr>
        <w:t>.</w:t>
      </w:r>
    </w:p>
    <w:p w:rsidRPr="00BC7F42" w:rsidR="00A45D82" w:rsidP="00790309" w:rsidRDefault="00A45D82" w14:paraId="2E1C3CB2" w14:textId="77777777">
      <w:pPr>
        <w:tabs>
          <w:tab w:val="num" w:pos="1440"/>
        </w:tabs>
        <w:ind w:left="1440"/>
        <w:rPr>
          <w:rFonts w:ascii="Times New Roman" w:hAnsi="Times New Roman"/>
        </w:rPr>
      </w:pPr>
    </w:p>
    <w:p w:rsidR="003E145C" w:rsidP="00790309" w:rsidRDefault="00A45D82" w14:paraId="0C5152E2" w14:textId="43824BEE">
      <w:pPr>
        <w:numPr>
          <w:ilvl w:val="0"/>
          <w:numId w:val="14"/>
        </w:numPr>
        <w:tabs>
          <w:tab w:val="clear" w:pos="720"/>
          <w:tab w:val="num" w:pos="1440"/>
        </w:tabs>
        <w:ind w:left="1440"/>
        <w:rPr>
          <w:rFonts w:ascii="Times New Roman" w:hAnsi="Times New Roman"/>
          <w:b/>
        </w:rPr>
      </w:pPr>
      <w:r w:rsidRPr="00BC7F42">
        <w:rPr>
          <w:rFonts w:ascii="Times New Roman" w:hAnsi="Times New Roman"/>
          <w:b/>
        </w:rPr>
        <w:t>Estimates of Public Reporting Burden</w:t>
      </w:r>
    </w:p>
    <w:p w:rsidR="00671446" w:rsidP="00671446" w:rsidRDefault="00671446" w14:paraId="7FE18025" w14:textId="77777777">
      <w:pPr>
        <w:pStyle w:val="ListParagraph"/>
        <w:ind w:left="1440"/>
        <w:rPr>
          <w:rFonts w:ascii="Times New Roman" w:hAnsi="Times New Roman"/>
        </w:rPr>
      </w:pPr>
      <w:r w:rsidRPr="00266BF9">
        <w:rPr>
          <w:rFonts w:ascii="Times New Roman" w:hAnsi="Times New Roman"/>
          <w:snapToGrid/>
          <w:lang w:bidi="en-US"/>
        </w:rPr>
        <w:t>Please see the burden chart below:</w:t>
      </w:r>
    </w:p>
    <w:p w:rsidR="00671446" w:rsidP="00671446" w:rsidRDefault="00671446" w14:paraId="78A7BD3A" w14:textId="77777777">
      <w:pPr>
        <w:ind w:left="1440"/>
        <w:rPr>
          <w:rFonts w:ascii="Times New Roman" w:hAnsi="Times New Roman"/>
          <w:b/>
        </w:rPr>
      </w:pPr>
    </w:p>
    <w:tbl>
      <w:tblPr>
        <w:tblW w:w="9751"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73"/>
        <w:gridCol w:w="1523"/>
        <w:gridCol w:w="1310"/>
        <w:gridCol w:w="1190"/>
        <w:gridCol w:w="1256"/>
        <w:gridCol w:w="1389"/>
        <w:gridCol w:w="1510"/>
      </w:tblGrid>
      <w:tr w:rsidRPr="00671446" w:rsidR="00671446" w:rsidTr="00822114" w14:paraId="5A6C0983" w14:textId="77777777">
        <w:trPr>
          <w:trHeight w:val="1225"/>
        </w:trPr>
        <w:tc>
          <w:tcPr>
            <w:tcW w:w="1573" w:type="dxa"/>
          </w:tcPr>
          <w:p w:rsidRPr="00671446" w:rsidR="00671446" w:rsidP="00671446" w:rsidRDefault="00671446" w14:paraId="3F009FEE" w14:textId="77777777">
            <w:pPr>
              <w:widowControl/>
              <w:suppressAutoHyphens/>
              <w:rPr>
                <w:rFonts w:ascii="Times New Roman" w:hAnsi="Times New Roman" w:eastAsia="SimSun"/>
                <w:b/>
                <w:snapToGrid/>
                <w:lang w:eastAsia="ar-SA"/>
              </w:rPr>
            </w:pPr>
            <w:r w:rsidRPr="00671446">
              <w:rPr>
                <w:rFonts w:ascii="Times New Roman" w:hAnsi="Times New Roman" w:eastAsia="SimSun"/>
                <w:b/>
                <w:snapToGrid/>
                <w:lang w:eastAsia="ar-SA"/>
              </w:rPr>
              <w:t>Modality of Completion</w:t>
            </w:r>
          </w:p>
        </w:tc>
        <w:tc>
          <w:tcPr>
            <w:tcW w:w="1523" w:type="dxa"/>
          </w:tcPr>
          <w:p w:rsidRPr="00671446" w:rsidR="00671446" w:rsidP="00671446" w:rsidRDefault="00671446" w14:paraId="160444C1" w14:textId="77777777">
            <w:pPr>
              <w:widowControl/>
              <w:suppressAutoHyphens/>
              <w:rPr>
                <w:rFonts w:ascii="Times New Roman" w:hAnsi="Times New Roman" w:eastAsia="SimSun"/>
                <w:b/>
                <w:snapToGrid/>
                <w:lang w:eastAsia="ar-SA"/>
              </w:rPr>
            </w:pPr>
            <w:r w:rsidRPr="00671446">
              <w:rPr>
                <w:rFonts w:ascii="Times New Roman" w:hAnsi="Times New Roman" w:eastAsia="SimSun"/>
                <w:b/>
                <w:snapToGrid/>
                <w:lang w:eastAsia="ar-SA"/>
              </w:rPr>
              <w:t>Number of Respondents</w:t>
            </w:r>
          </w:p>
        </w:tc>
        <w:tc>
          <w:tcPr>
            <w:tcW w:w="1310" w:type="dxa"/>
          </w:tcPr>
          <w:p w:rsidRPr="00671446" w:rsidR="00671446" w:rsidP="00671446" w:rsidRDefault="00671446" w14:paraId="3CCE6B0B" w14:textId="77777777">
            <w:pPr>
              <w:widowControl/>
              <w:suppressAutoHyphens/>
              <w:rPr>
                <w:rFonts w:ascii="Times New Roman" w:hAnsi="Times New Roman" w:eastAsia="SimSun"/>
                <w:b/>
                <w:snapToGrid/>
                <w:lang w:eastAsia="ar-SA"/>
              </w:rPr>
            </w:pPr>
            <w:r w:rsidRPr="00671446">
              <w:rPr>
                <w:rFonts w:ascii="Times New Roman" w:hAnsi="Times New Roman" w:eastAsia="SimSun"/>
                <w:b/>
                <w:snapToGrid/>
                <w:lang w:eastAsia="ar-SA"/>
              </w:rPr>
              <w:t>Frequency of Response</w:t>
            </w:r>
          </w:p>
        </w:tc>
        <w:tc>
          <w:tcPr>
            <w:tcW w:w="1190" w:type="dxa"/>
          </w:tcPr>
          <w:p w:rsidRPr="00671446" w:rsidR="00671446" w:rsidP="00671446" w:rsidRDefault="00671446" w14:paraId="55ED510C" w14:textId="77777777">
            <w:pPr>
              <w:widowControl/>
              <w:suppressAutoHyphens/>
              <w:rPr>
                <w:rFonts w:ascii="Times New Roman" w:hAnsi="Times New Roman" w:eastAsia="SimSun"/>
                <w:b/>
                <w:snapToGrid/>
                <w:lang w:eastAsia="ar-SA"/>
              </w:rPr>
            </w:pPr>
            <w:r w:rsidRPr="00671446">
              <w:rPr>
                <w:rFonts w:ascii="Times New Roman" w:hAnsi="Times New Roman" w:eastAsia="SimSun"/>
                <w:b/>
                <w:snapToGrid/>
                <w:lang w:eastAsia="ar-SA"/>
              </w:rPr>
              <w:t>Average Burden per Response (minutes)</w:t>
            </w:r>
          </w:p>
        </w:tc>
        <w:tc>
          <w:tcPr>
            <w:tcW w:w="1256" w:type="dxa"/>
          </w:tcPr>
          <w:p w:rsidRPr="00671446" w:rsidR="00671446" w:rsidP="00671446" w:rsidRDefault="00671446" w14:paraId="0C4B2137" w14:textId="77777777">
            <w:pPr>
              <w:widowControl/>
              <w:suppressAutoHyphens/>
              <w:rPr>
                <w:rFonts w:ascii="Times New Roman" w:hAnsi="Times New Roman" w:eastAsia="SimSun"/>
                <w:b/>
                <w:snapToGrid/>
                <w:lang w:eastAsia="ar-SA"/>
              </w:rPr>
            </w:pPr>
            <w:r w:rsidRPr="00671446">
              <w:rPr>
                <w:rFonts w:ascii="Times New Roman" w:hAnsi="Times New Roman" w:eastAsia="SimSun"/>
                <w:b/>
                <w:snapToGrid/>
                <w:lang w:eastAsia="ar-SA"/>
              </w:rPr>
              <w:t>Estimated Total Annual Burden (hours)</w:t>
            </w:r>
          </w:p>
        </w:tc>
        <w:tc>
          <w:tcPr>
            <w:tcW w:w="1389" w:type="dxa"/>
          </w:tcPr>
          <w:p w:rsidRPr="00671446" w:rsidR="00671446" w:rsidP="00671446" w:rsidRDefault="00671446" w14:paraId="3945E504" w14:textId="77777777">
            <w:pPr>
              <w:widowControl/>
              <w:suppressAutoHyphens/>
              <w:rPr>
                <w:rFonts w:ascii="Times New Roman" w:hAnsi="Times New Roman" w:eastAsia="SimSun"/>
                <w:b/>
                <w:snapToGrid/>
                <w:lang w:eastAsia="ar-SA"/>
              </w:rPr>
            </w:pPr>
            <w:r w:rsidRPr="00671446">
              <w:rPr>
                <w:rFonts w:ascii="Times New Roman" w:hAnsi="Times New Roman" w:eastAsia="SimSun"/>
                <w:b/>
                <w:snapToGrid/>
                <w:lang w:eastAsia="ar-SA"/>
              </w:rPr>
              <w:t>Average Theoretical Hourly Cost Amount (dollars)*</w:t>
            </w:r>
          </w:p>
        </w:tc>
        <w:tc>
          <w:tcPr>
            <w:tcW w:w="1510" w:type="dxa"/>
          </w:tcPr>
          <w:p w:rsidRPr="00671446" w:rsidR="00671446" w:rsidP="00671446" w:rsidRDefault="00671446" w14:paraId="496FA078" w14:textId="77777777">
            <w:pPr>
              <w:widowControl/>
              <w:suppressAutoHyphens/>
              <w:rPr>
                <w:rFonts w:ascii="Times New Roman" w:hAnsi="Times New Roman" w:eastAsia="SimSun"/>
                <w:b/>
                <w:snapToGrid/>
                <w:lang w:eastAsia="ar-SA"/>
              </w:rPr>
            </w:pPr>
            <w:r w:rsidRPr="00671446">
              <w:rPr>
                <w:rFonts w:ascii="Times New Roman" w:hAnsi="Times New Roman" w:eastAsia="SimSun"/>
                <w:b/>
                <w:snapToGrid/>
                <w:lang w:eastAsia="ar-SA"/>
              </w:rPr>
              <w:t>Total Annual Opportunity Cost (dollars)**</w:t>
            </w:r>
          </w:p>
        </w:tc>
      </w:tr>
      <w:tr w:rsidRPr="00671446" w:rsidR="00671446" w:rsidTr="00822114" w14:paraId="71439BF4" w14:textId="77777777">
        <w:trPr>
          <w:trHeight w:val="143"/>
        </w:trPr>
        <w:tc>
          <w:tcPr>
            <w:tcW w:w="1573" w:type="dxa"/>
          </w:tcPr>
          <w:p w:rsidRPr="00671446" w:rsidR="00671446" w:rsidP="00671446" w:rsidRDefault="00671446" w14:paraId="7DB5D255" w14:textId="77777777">
            <w:pPr>
              <w:widowControl/>
              <w:suppressAutoHyphens/>
              <w:rPr>
                <w:rFonts w:ascii="Times New Roman" w:hAnsi="Times New Roman" w:eastAsia="SimSun"/>
                <w:snapToGrid/>
                <w:highlight w:val="yellow"/>
                <w:lang w:eastAsia="ar-SA"/>
              </w:rPr>
            </w:pPr>
            <w:r w:rsidRPr="00671446">
              <w:rPr>
                <w:rFonts w:ascii="Times New Roman" w:hAnsi="Times New Roman" w:eastAsia="SimSun"/>
                <w:bCs/>
                <w:snapToGrid/>
                <w:lang w:eastAsia="zh-CN"/>
              </w:rPr>
              <w:t>SSA-7011-F4</w:t>
            </w:r>
          </w:p>
        </w:tc>
        <w:tc>
          <w:tcPr>
            <w:tcW w:w="1523" w:type="dxa"/>
          </w:tcPr>
          <w:p w:rsidRPr="00671446" w:rsidR="00671446" w:rsidP="00671446" w:rsidRDefault="00671446" w14:paraId="43530EB9" w14:textId="77777777">
            <w:pPr>
              <w:widowControl/>
              <w:suppressAutoHyphens/>
              <w:jc w:val="right"/>
              <w:rPr>
                <w:rFonts w:ascii="Times New Roman" w:hAnsi="Times New Roman" w:eastAsia="SimSun"/>
                <w:snapToGrid/>
                <w:lang w:eastAsia="ar-SA"/>
              </w:rPr>
            </w:pPr>
            <w:r w:rsidRPr="00671446">
              <w:rPr>
                <w:rFonts w:ascii="Times New Roman" w:hAnsi="Times New Roman" w:eastAsia="SimSun"/>
                <w:snapToGrid/>
                <w:lang w:eastAsia="zh-CN"/>
              </w:rPr>
              <w:t>500</w:t>
            </w:r>
          </w:p>
        </w:tc>
        <w:tc>
          <w:tcPr>
            <w:tcW w:w="1310" w:type="dxa"/>
          </w:tcPr>
          <w:p w:rsidRPr="00671446" w:rsidR="00671446" w:rsidP="00671446" w:rsidRDefault="00671446" w14:paraId="6468B52F" w14:textId="77777777">
            <w:pPr>
              <w:widowControl/>
              <w:suppressAutoHyphens/>
              <w:jc w:val="right"/>
              <w:rPr>
                <w:rFonts w:ascii="Times New Roman" w:hAnsi="Times New Roman" w:eastAsia="SimSun"/>
                <w:snapToGrid/>
                <w:lang w:eastAsia="ar-SA"/>
              </w:rPr>
            </w:pPr>
            <w:r w:rsidRPr="00671446">
              <w:rPr>
                <w:rFonts w:ascii="Times New Roman" w:hAnsi="Times New Roman" w:eastAsia="SimSun"/>
                <w:snapToGrid/>
                <w:lang w:eastAsia="zh-CN"/>
              </w:rPr>
              <w:t>1</w:t>
            </w:r>
          </w:p>
        </w:tc>
        <w:tc>
          <w:tcPr>
            <w:tcW w:w="1190" w:type="dxa"/>
          </w:tcPr>
          <w:p w:rsidRPr="00671446" w:rsidR="00671446" w:rsidP="00671446" w:rsidRDefault="00671446" w14:paraId="1FFBAE15" w14:textId="77777777">
            <w:pPr>
              <w:widowControl/>
              <w:suppressAutoHyphens/>
              <w:jc w:val="right"/>
              <w:rPr>
                <w:rFonts w:ascii="Times New Roman" w:hAnsi="Times New Roman" w:eastAsia="SimSun"/>
                <w:snapToGrid/>
                <w:highlight w:val="yellow"/>
                <w:lang w:eastAsia="ar-SA"/>
              </w:rPr>
            </w:pPr>
            <w:r w:rsidRPr="00671446">
              <w:rPr>
                <w:rFonts w:ascii="Times New Roman" w:hAnsi="Times New Roman" w:eastAsia="SimSun"/>
                <w:snapToGrid/>
                <w:lang w:eastAsia="zh-CN"/>
              </w:rPr>
              <w:t>30</w:t>
            </w:r>
          </w:p>
        </w:tc>
        <w:tc>
          <w:tcPr>
            <w:tcW w:w="1256" w:type="dxa"/>
          </w:tcPr>
          <w:p w:rsidRPr="00671446" w:rsidR="00671446" w:rsidP="00671446" w:rsidRDefault="00671446" w14:paraId="15522596" w14:textId="77777777">
            <w:pPr>
              <w:widowControl/>
              <w:suppressAutoHyphens/>
              <w:jc w:val="right"/>
              <w:rPr>
                <w:rFonts w:ascii="Times New Roman" w:hAnsi="Times New Roman" w:eastAsia="SimSun"/>
                <w:snapToGrid/>
                <w:highlight w:val="yellow"/>
                <w:lang w:eastAsia="ar-SA"/>
              </w:rPr>
            </w:pPr>
            <w:r w:rsidRPr="00671446">
              <w:rPr>
                <w:rFonts w:ascii="Times New Roman" w:hAnsi="Times New Roman" w:eastAsia="SimSun"/>
                <w:snapToGrid/>
                <w:lang w:eastAsia="zh-CN"/>
              </w:rPr>
              <w:t>250</w:t>
            </w:r>
          </w:p>
        </w:tc>
        <w:tc>
          <w:tcPr>
            <w:tcW w:w="1389" w:type="dxa"/>
          </w:tcPr>
          <w:p w:rsidRPr="00671446" w:rsidR="00671446" w:rsidP="00671446" w:rsidRDefault="00671446" w14:paraId="0B78A9B0" w14:textId="77777777">
            <w:pPr>
              <w:widowControl/>
              <w:suppressAutoHyphens/>
              <w:jc w:val="right"/>
              <w:rPr>
                <w:rFonts w:ascii="Times New Roman" w:hAnsi="Times New Roman" w:eastAsia="SimSun"/>
                <w:snapToGrid/>
                <w:highlight w:val="yellow"/>
                <w:lang w:eastAsia="ar-SA"/>
              </w:rPr>
            </w:pPr>
            <w:r w:rsidRPr="00671446">
              <w:rPr>
                <w:rFonts w:ascii="Times New Roman" w:hAnsi="Times New Roman" w:eastAsia="SimSun"/>
                <w:snapToGrid/>
                <w:lang w:eastAsia="ar-SA"/>
              </w:rPr>
              <w:t>$27.07*</w:t>
            </w:r>
          </w:p>
        </w:tc>
        <w:tc>
          <w:tcPr>
            <w:tcW w:w="1510" w:type="dxa"/>
          </w:tcPr>
          <w:p w:rsidRPr="00671446" w:rsidR="00671446" w:rsidP="00671446" w:rsidRDefault="00671446" w14:paraId="2F126F46" w14:textId="77777777">
            <w:pPr>
              <w:widowControl/>
              <w:suppressAutoHyphens/>
              <w:jc w:val="right"/>
              <w:rPr>
                <w:rFonts w:ascii="Times New Roman" w:hAnsi="Times New Roman" w:eastAsia="SimSun"/>
                <w:snapToGrid/>
                <w:lang w:eastAsia="ar-SA"/>
              </w:rPr>
            </w:pPr>
            <w:r w:rsidRPr="00671446">
              <w:rPr>
                <w:rFonts w:ascii="Times New Roman" w:hAnsi="Times New Roman" w:eastAsia="SimSun"/>
                <w:snapToGrid/>
                <w:lang w:eastAsia="ar-SA"/>
              </w:rPr>
              <w:t>$6,768**</w:t>
            </w:r>
          </w:p>
        </w:tc>
      </w:tr>
    </w:tbl>
    <w:p w:rsidR="00671446" w:rsidP="00671446" w:rsidRDefault="00671446" w14:paraId="1285398E" w14:textId="61149298">
      <w:pPr>
        <w:ind w:left="1440"/>
        <w:rPr>
          <w:rFonts w:ascii="Times New Roman" w:hAnsi="Times New Roman"/>
        </w:rPr>
      </w:pPr>
      <w:r w:rsidRPr="00671446">
        <w:rPr>
          <w:rFonts w:ascii="Times New Roman" w:hAnsi="Times New Roman"/>
          <w:bCs/>
        </w:rPr>
        <w:t>*</w:t>
      </w:r>
      <w:r w:rsidRPr="00671446">
        <w:rPr>
          <w:rFonts w:ascii="Times New Roman" w:hAnsi="Times New Roman"/>
          <w:b/>
        </w:rPr>
        <w:t xml:space="preserve"> </w:t>
      </w:r>
      <w:r w:rsidRPr="00671446">
        <w:rPr>
          <w:rFonts w:ascii="Times New Roman" w:hAnsi="Times New Roman"/>
        </w:rPr>
        <w:t xml:space="preserve">We based this figure on </w:t>
      </w:r>
      <w:r w:rsidR="00DB2DB4">
        <w:rPr>
          <w:rFonts w:ascii="Times New Roman" w:hAnsi="Times New Roman"/>
        </w:rPr>
        <w:t xml:space="preserve">the </w:t>
      </w:r>
      <w:r w:rsidRPr="00671446">
        <w:rPr>
          <w:rFonts w:ascii="Times New Roman" w:hAnsi="Times New Roman"/>
        </w:rPr>
        <w:t>average U.S. worker’s hourly wages, as reported by Bureau of Labor Statistics data (</w:t>
      </w:r>
      <w:hyperlink w:history="1" w:anchor="00-0000" r:id="rId8">
        <w:r w:rsidRPr="00671446">
          <w:rPr>
            <w:rStyle w:val="Hyperlink"/>
            <w:rFonts w:ascii="Times New Roman" w:hAnsi="Times New Roman"/>
          </w:rPr>
          <w:t>https://www.bls.gov/oes/current/oes_nat.htm#00-0000</w:t>
        </w:r>
      </w:hyperlink>
      <w:r w:rsidRPr="00671446">
        <w:rPr>
          <w:rFonts w:ascii="Times New Roman" w:hAnsi="Times New Roman"/>
        </w:rPr>
        <w:t>).</w:t>
      </w:r>
    </w:p>
    <w:p w:rsidRPr="00671446" w:rsidR="00671446" w:rsidP="00671446" w:rsidRDefault="00671446" w14:paraId="7D4BE4A0" w14:textId="77777777">
      <w:pPr>
        <w:ind w:left="1440"/>
        <w:rPr>
          <w:rFonts w:ascii="Times New Roman" w:hAnsi="Times New Roman"/>
        </w:rPr>
      </w:pPr>
    </w:p>
    <w:p w:rsidR="009D3CB2" w:rsidP="00671446" w:rsidRDefault="00671446" w14:paraId="241E2432" w14:textId="6D48B4F2">
      <w:pPr>
        <w:ind w:left="1440"/>
        <w:rPr>
          <w:rFonts w:ascii="Times New Roman" w:hAnsi="Times New Roman"/>
          <w:b/>
        </w:rPr>
      </w:pPr>
      <w:r w:rsidRPr="00671446">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671446">
        <w:rPr>
          <w:rFonts w:ascii="Times New Roman" w:hAnsi="Times New Roman"/>
          <w:b/>
          <w:bCs/>
          <w:u w:val="single"/>
        </w:rPr>
        <w:t>There is no actual charge to respondents to complete the application</w:t>
      </w:r>
      <w:r w:rsidRPr="00671446">
        <w:rPr>
          <w:rFonts w:ascii="Times New Roman" w:hAnsi="Times New Roman"/>
          <w:b/>
        </w:rPr>
        <w:t>.</w:t>
      </w:r>
    </w:p>
    <w:p w:rsidR="00DB2DB4" w:rsidP="00671446" w:rsidRDefault="00DB2DB4" w14:paraId="19529F0E" w14:textId="11AC885F">
      <w:pPr>
        <w:ind w:left="1440"/>
        <w:rPr>
          <w:rFonts w:ascii="Times New Roman" w:hAnsi="Times New Roman"/>
          <w:b/>
        </w:rPr>
      </w:pPr>
    </w:p>
    <w:p w:rsidR="00DB2DB4" w:rsidP="00671446" w:rsidRDefault="00DB2DB4" w14:paraId="22F86567" w14:textId="679AD230">
      <w:pPr>
        <w:ind w:left="1440"/>
        <w:rPr>
          <w:rFonts w:ascii="Times New Roman" w:hAnsi="Times New Roman"/>
        </w:rPr>
      </w:pPr>
      <w:r w:rsidRPr="00DB2DB4">
        <w:rPr>
          <w:rFonts w:ascii="Times New Roman" w:hAnsi="Times New Roman" w:cs="Courier New"/>
          <w:snapToGrid/>
          <w:lang w:eastAsia="zh-CN"/>
        </w:rPr>
        <w:t xml:space="preserve">The total burden for this ICR is </w:t>
      </w:r>
      <w:r>
        <w:rPr>
          <w:rFonts w:ascii="Times New Roman" w:hAnsi="Times New Roman" w:cs="Courier New"/>
          <w:b/>
          <w:snapToGrid/>
          <w:lang w:eastAsia="zh-CN"/>
        </w:rPr>
        <w:t>30</w:t>
      </w:r>
      <w:r w:rsidRPr="00DB2DB4">
        <w:rPr>
          <w:rFonts w:ascii="Times New Roman" w:hAnsi="Times New Roman" w:cs="Courier New"/>
          <w:snapToGrid/>
          <w:lang w:eastAsia="zh-CN"/>
        </w:rPr>
        <w:t xml:space="preserve"> burden hours (reflecting SSA management information data), which results in an associated theoretical (not actual) opportunity cost financial burden of </w:t>
      </w:r>
      <w:r w:rsidRPr="00DB2DB4">
        <w:rPr>
          <w:rFonts w:ascii="Times New Roman" w:hAnsi="Times New Roman" w:cs="Courier New"/>
          <w:b/>
          <w:snapToGrid/>
          <w:lang w:eastAsia="zh-CN"/>
        </w:rPr>
        <w:t>$</w:t>
      </w:r>
      <w:r>
        <w:rPr>
          <w:rFonts w:ascii="Times New Roman" w:hAnsi="Times New Roman" w:cs="Courier New"/>
          <w:b/>
          <w:snapToGrid/>
          <w:lang w:eastAsia="zh-CN"/>
        </w:rPr>
        <w:t>6,768</w:t>
      </w:r>
      <w:r w:rsidRPr="00DB2DB4">
        <w:rPr>
          <w:rFonts w:ascii="Times New Roman" w:hAnsi="Times New Roman" w:cs="Courier New"/>
          <w:snapToGrid/>
          <w:lang w:eastAsia="zh-CN"/>
        </w:rPr>
        <w:t>.  SSA does not charge respondents to complete our applications</w:t>
      </w:r>
      <w:r w:rsidRPr="00DB2DB4">
        <w:rPr>
          <w:rFonts w:ascii="Times New Roman" w:hAnsi="Times New Roman"/>
          <w:noProof/>
          <w:lang w:eastAsia="zh-CN"/>
        </w:rPr>
        <w:t>.  We base our burden estimates on current management information data, which includes years of conducting this information collection.  Per our management information data, we believe that the 3</w:t>
      </w:r>
      <w:r>
        <w:rPr>
          <w:rFonts w:ascii="Times New Roman" w:hAnsi="Times New Roman"/>
          <w:noProof/>
          <w:lang w:eastAsia="zh-CN"/>
        </w:rPr>
        <w:t>0</w:t>
      </w:r>
      <w:r w:rsidRPr="00DB2DB4">
        <w:rPr>
          <w:rFonts w:ascii="Times New Roman" w:hAnsi="Times New Roman"/>
          <w:noProof/>
          <w:lang w:eastAsia="zh-CN"/>
        </w:rPr>
        <w:t xml:space="preserve"> minutes accurately shows the average burden per response for reading the instructions, gathering the facts, and answering the questions.  Based on our current management information data, the current burden information we provided is accurate</w:t>
      </w:r>
      <w:r w:rsidRPr="00DB2DB4">
        <w:rPr>
          <w:rFonts w:ascii="Times New Roman" w:hAnsi="Times New Roman"/>
          <w:snapToGrid/>
          <w:lang w:eastAsia="zh-CN"/>
        </w:rPr>
        <w:t>.</w:t>
      </w:r>
    </w:p>
    <w:p w:rsidRPr="003B15EC" w:rsidR="004D4A8A" w:rsidP="004509AD" w:rsidRDefault="004D4A8A" w14:paraId="47157250" w14:textId="77777777">
      <w:pPr>
        <w:tabs>
          <w:tab w:val="left" w:pos="360"/>
        </w:tabs>
        <w:ind w:left="720"/>
        <w:rPr>
          <w:rFonts w:ascii="Times New Roman" w:hAnsi="Times New Roman"/>
          <w:b/>
          <w:u w:val="single"/>
        </w:rPr>
      </w:pPr>
    </w:p>
    <w:p w:rsidR="00A45D82" w:rsidP="00790309" w:rsidRDefault="00A45D82" w14:paraId="1CCF3CDC" w14:textId="77777777">
      <w:pPr>
        <w:ind w:left="1440" w:hanging="720"/>
        <w:rPr>
          <w:rFonts w:ascii="Times New Roman" w:hAnsi="Times New Roman"/>
        </w:rPr>
      </w:pPr>
      <w:r w:rsidRPr="003B15EC">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Pr="0017644C" w:rsidR="0017644C" w:rsidP="00790309" w:rsidRDefault="0017644C" w14:paraId="555E7693" w14:textId="3A5CE982">
      <w:pPr>
        <w:ind w:left="1440"/>
        <w:rPr>
          <w:rFonts w:ascii="Times New Roman" w:hAnsi="Times New Roman"/>
        </w:rPr>
      </w:pPr>
      <w:r w:rsidRPr="0017644C">
        <w:rPr>
          <w:rFonts w:ascii="Times New Roman" w:hAnsi="Times New Roman"/>
        </w:rPr>
        <w:t>This collection does not impose a known cost burden on the respondents.</w:t>
      </w:r>
    </w:p>
    <w:p w:rsidRPr="00BC7F42" w:rsidR="0017644C" w:rsidP="00790309" w:rsidRDefault="0017644C" w14:paraId="23F7B727" w14:textId="77777777">
      <w:pPr>
        <w:ind w:left="1440"/>
        <w:rPr>
          <w:rFonts w:ascii="Times New Roman" w:hAnsi="Times New Roman"/>
        </w:rPr>
      </w:pPr>
    </w:p>
    <w:p w:rsidRPr="00121032" w:rsidR="00121032" w:rsidP="00790309" w:rsidRDefault="00A45D82" w14:paraId="713A0D29" w14:textId="77777777">
      <w:pPr>
        <w:numPr>
          <w:ilvl w:val="0"/>
          <w:numId w:val="27"/>
        </w:numPr>
        <w:tabs>
          <w:tab w:val="clear" w:pos="360"/>
          <w:tab w:val="left" w:pos="720"/>
        </w:tabs>
        <w:ind w:left="1440" w:hanging="720"/>
        <w:rPr>
          <w:rFonts w:ascii="Times New Roman" w:hAnsi="Times New Roman"/>
        </w:rPr>
      </w:pPr>
      <w:r w:rsidRPr="00BC7F42">
        <w:rPr>
          <w:rFonts w:ascii="Times New Roman" w:hAnsi="Times New Roman"/>
          <w:b/>
        </w:rPr>
        <w:t>Annual Cost To Federal Government</w:t>
      </w:r>
    </w:p>
    <w:p w:rsidR="00A41222" w:rsidP="00790309" w:rsidRDefault="00A41222" w14:paraId="3B5491FD" w14:textId="6EE96D15">
      <w:pPr>
        <w:ind w:left="1440"/>
        <w:rPr>
          <w:rFonts w:ascii="Times New Roman" w:hAnsi="Times New Roman"/>
          <w:color w:val="000000"/>
        </w:rPr>
      </w:pPr>
      <w:r w:rsidRPr="0047588F">
        <w:rPr>
          <w:rFonts w:ascii="Times New Roman" w:hAnsi="Times New Roman"/>
          <w:color w:val="000000"/>
        </w:rPr>
        <w:t>The annual cost to the Federal Government is approximately $</w:t>
      </w:r>
      <w:r w:rsidR="00BC4DE2">
        <w:rPr>
          <w:rFonts w:ascii="Times New Roman" w:hAnsi="Times New Roman"/>
          <w:color w:val="000000"/>
        </w:rPr>
        <w:t>11,120</w:t>
      </w:r>
      <w:r w:rsidRPr="0047588F">
        <w:rPr>
          <w:rFonts w:ascii="Times New Roman" w:hAnsi="Times New Roman"/>
          <w:color w:val="000000"/>
        </w:rPr>
        <w:t>.  This estimate accounts for costs from the following areas:</w:t>
      </w:r>
    </w:p>
    <w:p w:rsidR="00790309" w:rsidP="00790309" w:rsidRDefault="00790309" w14:paraId="02FFBFE3" w14:textId="77777777">
      <w:pPr>
        <w:ind w:left="1440"/>
        <w:rPr>
          <w:rFonts w:ascii="Times New Roman" w:hAnsi="Times New Roman"/>
          <w:color w:val="000000"/>
        </w:rPr>
      </w:pPr>
    </w:p>
    <w:tbl>
      <w:tblPr>
        <w:tblW w:w="9350"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16"/>
        <w:gridCol w:w="3117"/>
        <w:gridCol w:w="3117"/>
      </w:tblGrid>
      <w:tr w:rsidR="00A41222" w:rsidTr="00D04574" w14:paraId="2A4AE32B" w14:textId="77777777">
        <w:tc>
          <w:tcPr>
            <w:tcW w:w="3116" w:type="dxa"/>
            <w:shd w:val="clear" w:color="auto" w:fill="auto"/>
          </w:tcPr>
          <w:p w:rsidRPr="0032723F" w:rsidR="00A41222" w:rsidP="0032723F" w:rsidRDefault="00A41222" w14:paraId="36716656" w14:textId="77777777">
            <w:pPr>
              <w:pStyle w:val="ListParagraph"/>
              <w:ind w:left="0"/>
              <w:rPr>
                <w:rFonts w:ascii="Times New Roman" w:hAnsi="Times New Roman"/>
                <w:b/>
                <w:bCs/>
                <w:color w:val="000000"/>
              </w:rPr>
            </w:pPr>
            <w:r w:rsidRPr="0032723F">
              <w:rPr>
                <w:rFonts w:ascii="Times New Roman" w:hAnsi="Times New Roman"/>
                <w:b/>
                <w:bCs/>
                <w:color w:val="000000"/>
              </w:rPr>
              <w:t>Description of Cost Factor</w:t>
            </w:r>
          </w:p>
        </w:tc>
        <w:tc>
          <w:tcPr>
            <w:tcW w:w="3117" w:type="dxa"/>
            <w:shd w:val="clear" w:color="auto" w:fill="auto"/>
          </w:tcPr>
          <w:p w:rsidRPr="0032723F" w:rsidR="00A41222" w:rsidP="0032723F" w:rsidRDefault="00A41222" w14:paraId="376FB966" w14:textId="77777777">
            <w:pPr>
              <w:pStyle w:val="ListParagraph"/>
              <w:ind w:left="0"/>
              <w:rPr>
                <w:rFonts w:ascii="Times New Roman" w:hAnsi="Times New Roman"/>
                <w:b/>
                <w:bCs/>
                <w:color w:val="000000"/>
              </w:rPr>
            </w:pPr>
            <w:r w:rsidRPr="0032723F">
              <w:rPr>
                <w:rFonts w:ascii="Times New Roman" w:hAnsi="Times New Roman"/>
                <w:b/>
                <w:bCs/>
                <w:color w:val="000000"/>
              </w:rPr>
              <w:t>Methodology for Estimating Cost</w:t>
            </w:r>
          </w:p>
        </w:tc>
        <w:tc>
          <w:tcPr>
            <w:tcW w:w="3117" w:type="dxa"/>
            <w:shd w:val="clear" w:color="auto" w:fill="auto"/>
          </w:tcPr>
          <w:p w:rsidRPr="0032723F" w:rsidR="00A41222" w:rsidP="0032723F" w:rsidRDefault="00A41222" w14:paraId="542854D2" w14:textId="77777777">
            <w:pPr>
              <w:pStyle w:val="ListParagraph"/>
              <w:ind w:left="0"/>
              <w:rPr>
                <w:rFonts w:ascii="Times New Roman" w:hAnsi="Times New Roman"/>
                <w:b/>
                <w:bCs/>
                <w:color w:val="000000"/>
              </w:rPr>
            </w:pPr>
            <w:r w:rsidRPr="0032723F">
              <w:rPr>
                <w:rFonts w:ascii="Times New Roman" w:hAnsi="Times New Roman"/>
                <w:b/>
                <w:bCs/>
                <w:color w:val="000000"/>
              </w:rPr>
              <w:t>Cost in Dollars*</w:t>
            </w:r>
          </w:p>
        </w:tc>
      </w:tr>
      <w:tr w:rsidR="00A41222" w:rsidTr="00D04574" w14:paraId="3186C8D8" w14:textId="77777777">
        <w:tc>
          <w:tcPr>
            <w:tcW w:w="3116" w:type="dxa"/>
            <w:shd w:val="clear" w:color="auto" w:fill="auto"/>
          </w:tcPr>
          <w:p w:rsidRPr="0032723F" w:rsidR="00A41222" w:rsidP="0032723F" w:rsidRDefault="00A41222" w14:paraId="15F9AB29" w14:textId="77777777">
            <w:pPr>
              <w:pStyle w:val="ListParagraph"/>
              <w:ind w:left="0"/>
              <w:rPr>
                <w:rFonts w:ascii="Times New Roman" w:hAnsi="Times New Roman"/>
                <w:color w:val="000000"/>
              </w:rPr>
            </w:pPr>
            <w:r w:rsidRPr="0032723F">
              <w:rPr>
                <w:rFonts w:ascii="Times New Roman" w:hAnsi="Times New Roman"/>
                <w:color w:val="000000"/>
              </w:rPr>
              <w:t>Designing and Printing the Form</w:t>
            </w:r>
          </w:p>
        </w:tc>
        <w:tc>
          <w:tcPr>
            <w:tcW w:w="3117" w:type="dxa"/>
            <w:shd w:val="clear" w:color="auto" w:fill="auto"/>
          </w:tcPr>
          <w:p w:rsidRPr="0032723F" w:rsidR="00A41222" w:rsidP="0032723F" w:rsidRDefault="00A41222" w14:paraId="262802C3" w14:textId="77777777">
            <w:pPr>
              <w:pStyle w:val="ListParagraph"/>
              <w:ind w:left="0"/>
              <w:rPr>
                <w:rFonts w:ascii="Times New Roman" w:hAnsi="Times New Roman"/>
                <w:color w:val="000000"/>
              </w:rPr>
            </w:pPr>
            <w:r w:rsidRPr="0032723F">
              <w:rPr>
                <w:rFonts w:ascii="Times New Roman" w:hAnsi="Times New Roman"/>
                <w:color w:val="000000"/>
              </w:rPr>
              <w:t>Design Cost + Printing Cost</w:t>
            </w:r>
          </w:p>
        </w:tc>
        <w:tc>
          <w:tcPr>
            <w:tcW w:w="3117" w:type="dxa"/>
            <w:shd w:val="clear" w:color="auto" w:fill="auto"/>
          </w:tcPr>
          <w:p w:rsidRPr="0032723F" w:rsidR="00A41222" w:rsidP="0032723F" w:rsidRDefault="00223008" w14:paraId="67FEB586" w14:textId="7AE69F4A">
            <w:pPr>
              <w:pStyle w:val="ListParagraph"/>
              <w:ind w:left="0"/>
              <w:rPr>
                <w:rFonts w:ascii="Times New Roman" w:hAnsi="Times New Roman"/>
                <w:color w:val="000000"/>
              </w:rPr>
            </w:pPr>
            <w:r>
              <w:rPr>
                <w:rFonts w:ascii="Times New Roman" w:hAnsi="Times New Roman"/>
                <w:color w:val="000000"/>
              </w:rPr>
              <w:t>$</w:t>
            </w:r>
            <w:r w:rsidR="00BC4DE2">
              <w:rPr>
                <w:rFonts w:ascii="Times New Roman" w:hAnsi="Times New Roman"/>
                <w:color w:val="000000"/>
              </w:rPr>
              <w:t>20</w:t>
            </w:r>
            <w:r>
              <w:rPr>
                <w:rFonts w:ascii="Times New Roman" w:hAnsi="Times New Roman"/>
                <w:color w:val="000000"/>
              </w:rPr>
              <w:t>0</w:t>
            </w:r>
          </w:p>
        </w:tc>
      </w:tr>
      <w:tr w:rsidR="00A41222" w:rsidTr="00D04574" w14:paraId="2B647801" w14:textId="77777777">
        <w:tc>
          <w:tcPr>
            <w:tcW w:w="3116" w:type="dxa"/>
            <w:shd w:val="clear" w:color="auto" w:fill="auto"/>
          </w:tcPr>
          <w:p w:rsidRPr="0032723F" w:rsidR="00A41222" w:rsidP="0032723F" w:rsidRDefault="00A41222" w14:paraId="1AD3E747" w14:textId="77777777">
            <w:pPr>
              <w:pStyle w:val="ListParagraph"/>
              <w:ind w:left="0"/>
              <w:rPr>
                <w:rFonts w:ascii="Times New Roman" w:hAnsi="Times New Roman"/>
                <w:color w:val="000000"/>
              </w:rPr>
            </w:pPr>
            <w:r w:rsidRPr="0032723F">
              <w:rPr>
                <w:rFonts w:ascii="Times New Roman" w:hAnsi="Times New Roman"/>
                <w:color w:val="000000"/>
              </w:rPr>
              <w:t>Distributing, Shipping, and Material Costs for the Form</w:t>
            </w:r>
          </w:p>
        </w:tc>
        <w:tc>
          <w:tcPr>
            <w:tcW w:w="3117" w:type="dxa"/>
            <w:shd w:val="clear" w:color="auto" w:fill="auto"/>
          </w:tcPr>
          <w:p w:rsidRPr="0032723F" w:rsidR="00A41222" w:rsidP="0032723F" w:rsidRDefault="00A41222" w14:paraId="4E5C5C58" w14:textId="77777777">
            <w:pPr>
              <w:pStyle w:val="ListParagraph"/>
              <w:ind w:left="0"/>
              <w:rPr>
                <w:rFonts w:ascii="Times New Roman" w:hAnsi="Times New Roman"/>
                <w:color w:val="000000"/>
              </w:rPr>
            </w:pPr>
            <w:r w:rsidRPr="0032723F">
              <w:rPr>
                <w:rFonts w:ascii="Times New Roman" w:hAnsi="Times New Roman"/>
                <w:color w:val="000000"/>
              </w:rPr>
              <w:t>Distribution + Shipping + Material Cost</w:t>
            </w:r>
          </w:p>
        </w:tc>
        <w:tc>
          <w:tcPr>
            <w:tcW w:w="3117" w:type="dxa"/>
            <w:shd w:val="clear" w:color="auto" w:fill="auto"/>
          </w:tcPr>
          <w:p w:rsidRPr="0032723F" w:rsidR="00A41222" w:rsidP="0032723F" w:rsidRDefault="00223008" w14:paraId="484F75BC" w14:textId="2F7FA7DF">
            <w:pPr>
              <w:pStyle w:val="ListParagraph"/>
              <w:ind w:left="0"/>
              <w:rPr>
                <w:rFonts w:ascii="Times New Roman" w:hAnsi="Times New Roman"/>
                <w:color w:val="000000"/>
              </w:rPr>
            </w:pPr>
            <w:r>
              <w:rPr>
                <w:rFonts w:ascii="Times New Roman" w:hAnsi="Times New Roman"/>
                <w:color w:val="000000"/>
              </w:rPr>
              <w:t>$0</w:t>
            </w:r>
            <w:r w:rsidR="0033796B">
              <w:rPr>
                <w:rFonts w:ascii="Times New Roman" w:hAnsi="Times New Roman"/>
                <w:color w:val="000000"/>
              </w:rPr>
              <w:t>*</w:t>
            </w:r>
          </w:p>
        </w:tc>
      </w:tr>
      <w:tr w:rsidR="00A41222" w:rsidTr="00D04574" w14:paraId="02BBC6BD" w14:textId="77777777">
        <w:tc>
          <w:tcPr>
            <w:tcW w:w="3116" w:type="dxa"/>
            <w:shd w:val="clear" w:color="auto" w:fill="auto"/>
          </w:tcPr>
          <w:p w:rsidRPr="0032723F" w:rsidR="00A41222" w:rsidP="0032723F" w:rsidRDefault="00A41222" w14:paraId="485C7583" w14:textId="77777777">
            <w:pPr>
              <w:pStyle w:val="ListParagraph"/>
              <w:ind w:left="0"/>
              <w:rPr>
                <w:rFonts w:ascii="Times New Roman" w:hAnsi="Times New Roman"/>
                <w:color w:val="000000"/>
              </w:rPr>
            </w:pPr>
            <w:r w:rsidRPr="0032723F">
              <w:rPr>
                <w:rFonts w:ascii="Times New Roman" w:hAnsi="Times New Roman"/>
                <w:color w:val="000000"/>
              </w:rPr>
              <w:t>SSA Employee (e.g., field office, 800 number, DDS staff) Information Collection and Processing Time</w:t>
            </w:r>
          </w:p>
        </w:tc>
        <w:tc>
          <w:tcPr>
            <w:tcW w:w="3117" w:type="dxa"/>
            <w:shd w:val="clear" w:color="auto" w:fill="auto"/>
          </w:tcPr>
          <w:p w:rsidRPr="0032723F" w:rsidR="00A41222" w:rsidP="0032723F" w:rsidRDefault="00A41222" w14:paraId="1E14F071" w14:textId="77777777">
            <w:pPr>
              <w:pStyle w:val="ListParagraph"/>
              <w:ind w:left="0"/>
              <w:rPr>
                <w:rFonts w:ascii="Times New Roman" w:hAnsi="Times New Roman"/>
                <w:color w:val="000000"/>
              </w:rPr>
            </w:pPr>
            <w:r w:rsidRPr="0032723F">
              <w:rPr>
                <w:rFonts w:ascii="Times New Roman" w:hAnsi="Times New Roman"/>
                <w:color w:val="000000"/>
              </w:rPr>
              <w:t>GS-9 employee x # of responses x processing time</w:t>
            </w:r>
          </w:p>
        </w:tc>
        <w:tc>
          <w:tcPr>
            <w:tcW w:w="3117" w:type="dxa"/>
            <w:shd w:val="clear" w:color="auto" w:fill="auto"/>
          </w:tcPr>
          <w:p w:rsidRPr="0032723F" w:rsidR="00A41222" w:rsidP="0032723F" w:rsidRDefault="00A41222" w14:paraId="2458EE54" w14:textId="6D07E84D">
            <w:pPr>
              <w:pStyle w:val="ListParagraph"/>
              <w:ind w:left="0"/>
              <w:rPr>
                <w:rFonts w:ascii="Times New Roman" w:hAnsi="Times New Roman"/>
                <w:color w:val="000000"/>
              </w:rPr>
            </w:pPr>
            <w:r w:rsidRPr="0032723F">
              <w:rPr>
                <w:rFonts w:ascii="Times New Roman" w:hAnsi="Times New Roman"/>
                <w:color w:val="000000"/>
              </w:rPr>
              <w:t>$</w:t>
            </w:r>
            <w:r w:rsidR="007E0E94">
              <w:rPr>
                <w:rFonts w:ascii="Times New Roman" w:hAnsi="Times New Roman"/>
                <w:color w:val="000000"/>
              </w:rPr>
              <w:t>7,500</w:t>
            </w:r>
          </w:p>
        </w:tc>
      </w:tr>
      <w:tr w:rsidR="00A41222" w:rsidTr="00D04574" w14:paraId="0C996E93" w14:textId="77777777">
        <w:tc>
          <w:tcPr>
            <w:tcW w:w="3116" w:type="dxa"/>
            <w:shd w:val="clear" w:color="auto" w:fill="auto"/>
          </w:tcPr>
          <w:p w:rsidRPr="0032723F" w:rsidR="00A41222" w:rsidP="0032723F" w:rsidRDefault="00A41222" w14:paraId="78C3F94E" w14:textId="77777777">
            <w:pPr>
              <w:pStyle w:val="ListParagraph"/>
              <w:ind w:left="0"/>
              <w:rPr>
                <w:rFonts w:ascii="Times New Roman" w:hAnsi="Times New Roman"/>
                <w:color w:val="000000"/>
              </w:rPr>
            </w:pPr>
            <w:r w:rsidRPr="0032723F">
              <w:rPr>
                <w:rFonts w:ascii="Times New Roman" w:hAnsi="Times New Roman"/>
                <w:color w:val="000000"/>
              </w:rPr>
              <w:t>Full-Time Equivalent Costs</w:t>
            </w:r>
          </w:p>
        </w:tc>
        <w:tc>
          <w:tcPr>
            <w:tcW w:w="3117" w:type="dxa"/>
            <w:shd w:val="clear" w:color="auto" w:fill="auto"/>
          </w:tcPr>
          <w:p w:rsidRPr="0032723F" w:rsidR="00A41222" w:rsidP="0032723F" w:rsidRDefault="00A41222" w14:paraId="11400B78" w14:textId="77777777">
            <w:pPr>
              <w:pStyle w:val="ListParagraph"/>
              <w:ind w:left="0"/>
              <w:rPr>
                <w:rFonts w:ascii="Times New Roman" w:hAnsi="Times New Roman"/>
                <w:color w:val="000000"/>
              </w:rPr>
            </w:pPr>
            <w:r w:rsidRPr="0032723F">
              <w:rPr>
                <w:rFonts w:ascii="Times New Roman" w:hAnsi="Times New Roman"/>
                <w:color w:val="000000"/>
              </w:rPr>
              <w:t>Out of pocket costs + Other expenses for providing this service</w:t>
            </w:r>
          </w:p>
        </w:tc>
        <w:tc>
          <w:tcPr>
            <w:tcW w:w="3117" w:type="dxa"/>
            <w:shd w:val="clear" w:color="auto" w:fill="auto"/>
          </w:tcPr>
          <w:p w:rsidRPr="0032723F" w:rsidR="00A41222" w:rsidP="0032723F" w:rsidRDefault="00223008" w14:paraId="6104B4D0" w14:textId="4F57DD45">
            <w:pPr>
              <w:pStyle w:val="ListParagraph"/>
              <w:ind w:left="0"/>
              <w:rPr>
                <w:rFonts w:ascii="Times New Roman" w:hAnsi="Times New Roman"/>
                <w:color w:val="000000"/>
              </w:rPr>
            </w:pPr>
            <w:r>
              <w:rPr>
                <w:rFonts w:ascii="Times New Roman" w:hAnsi="Times New Roman"/>
                <w:color w:val="000000"/>
              </w:rPr>
              <w:t>$0</w:t>
            </w:r>
            <w:r w:rsidR="0033796B">
              <w:rPr>
                <w:rFonts w:ascii="Times New Roman" w:hAnsi="Times New Roman"/>
                <w:color w:val="000000"/>
              </w:rPr>
              <w:t>*</w:t>
            </w:r>
          </w:p>
        </w:tc>
      </w:tr>
      <w:tr w:rsidR="00A41222" w:rsidTr="00D04574" w14:paraId="74BB98FD" w14:textId="77777777">
        <w:tc>
          <w:tcPr>
            <w:tcW w:w="3116" w:type="dxa"/>
            <w:shd w:val="clear" w:color="auto" w:fill="auto"/>
          </w:tcPr>
          <w:p w:rsidRPr="0032723F" w:rsidR="00A41222" w:rsidP="0032723F" w:rsidRDefault="00A41222" w14:paraId="7533BD2A" w14:textId="77777777">
            <w:pPr>
              <w:pStyle w:val="ListParagraph"/>
              <w:ind w:left="0"/>
              <w:rPr>
                <w:rFonts w:ascii="Times New Roman" w:hAnsi="Times New Roman"/>
                <w:color w:val="000000"/>
              </w:rPr>
            </w:pPr>
            <w:r w:rsidRPr="0032723F">
              <w:rPr>
                <w:rFonts w:ascii="Times New Roman" w:hAnsi="Times New Roman"/>
                <w:color w:val="000000"/>
              </w:rPr>
              <w:t>Systems Development, Updating, and Maintenance</w:t>
            </w:r>
          </w:p>
        </w:tc>
        <w:tc>
          <w:tcPr>
            <w:tcW w:w="3117" w:type="dxa"/>
            <w:shd w:val="clear" w:color="auto" w:fill="auto"/>
          </w:tcPr>
          <w:p w:rsidRPr="0032723F" w:rsidR="00A41222" w:rsidP="0032723F" w:rsidRDefault="00A41222" w14:paraId="5CECE433" w14:textId="77777777">
            <w:pPr>
              <w:pStyle w:val="ListParagraph"/>
              <w:ind w:left="0"/>
              <w:rPr>
                <w:rFonts w:ascii="Times New Roman" w:hAnsi="Times New Roman"/>
                <w:color w:val="000000"/>
              </w:rPr>
            </w:pPr>
            <w:r w:rsidRPr="0032723F">
              <w:rPr>
                <w:rFonts w:ascii="Times New Roman" w:hAnsi="Times New Roman"/>
                <w:color w:val="000000"/>
              </w:rPr>
              <w:t>GS-9 employee x man hours for development, updating, maintenance</w:t>
            </w:r>
          </w:p>
        </w:tc>
        <w:tc>
          <w:tcPr>
            <w:tcW w:w="3117" w:type="dxa"/>
            <w:shd w:val="clear" w:color="auto" w:fill="auto"/>
          </w:tcPr>
          <w:p w:rsidRPr="0032723F" w:rsidR="00A41222" w:rsidP="0032723F" w:rsidRDefault="00223008" w14:paraId="06FB60C2" w14:textId="2BBF4ABD">
            <w:pPr>
              <w:pStyle w:val="ListParagraph"/>
              <w:ind w:left="0"/>
              <w:rPr>
                <w:rFonts w:ascii="Times New Roman" w:hAnsi="Times New Roman"/>
                <w:color w:val="000000"/>
              </w:rPr>
            </w:pPr>
            <w:r w:rsidRPr="00223008">
              <w:rPr>
                <w:rFonts w:ascii="Times New Roman" w:hAnsi="Times New Roman"/>
                <w:snapToGrid/>
                <w:color w:val="000000"/>
                <w:lang w:eastAsia="zh-CN"/>
              </w:rPr>
              <w:t>$3,420</w:t>
            </w:r>
          </w:p>
        </w:tc>
      </w:tr>
      <w:tr w:rsidR="00A41222" w:rsidTr="00D04574" w14:paraId="7960D5F4" w14:textId="77777777">
        <w:tc>
          <w:tcPr>
            <w:tcW w:w="3116" w:type="dxa"/>
            <w:shd w:val="clear" w:color="auto" w:fill="auto"/>
          </w:tcPr>
          <w:p w:rsidRPr="0032723F" w:rsidR="00A41222" w:rsidP="0032723F" w:rsidRDefault="00A41222" w14:paraId="5BE909AF" w14:textId="77777777">
            <w:pPr>
              <w:pStyle w:val="ListParagraph"/>
              <w:ind w:left="0"/>
              <w:rPr>
                <w:rFonts w:ascii="Times New Roman" w:hAnsi="Times New Roman"/>
                <w:color w:val="000000"/>
              </w:rPr>
            </w:pPr>
            <w:r w:rsidRPr="0032723F">
              <w:rPr>
                <w:rFonts w:ascii="Times New Roman" w:hAnsi="Times New Roman"/>
                <w:color w:val="000000"/>
              </w:rPr>
              <w:t>Quantifiable IT Costs</w:t>
            </w:r>
          </w:p>
        </w:tc>
        <w:tc>
          <w:tcPr>
            <w:tcW w:w="3117" w:type="dxa"/>
            <w:shd w:val="clear" w:color="auto" w:fill="auto"/>
          </w:tcPr>
          <w:p w:rsidRPr="0032723F" w:rsidR="00A41222" w:rsidP="0032723F" w:rsidRDefault="00A41222" w14:paraId="16256E72" w14:textId="77777777">
            <w:pPr>
              <w:pStyle w:val="ListParagraph"/>
              <w:ind w:left="0"/>
              <w:rPr>
                <w:rFonts w:ascii="Times New Roman" w:hAnsi="Times New Roman"/>
                <w:color w:val="000000"/>
              </w:rPr>
            </w:pPr>
            <w:r w:rsidRPr="0032723F">
              <w:rPr>
                <w:rFonts w:ascii="Times New Roman" w:hAnsi="Times New Roman"/>
                <w:color w:val="000000"/>
              </w:rPr>
              <w:t>Any additional IT costs</w:t>
            </w:r>
          </w:p>
        </w:tc>
        <w:tc>
          <w:tcPr>
            <w:tcW w:w="3117" w:type="dxa"/>
            <w:shd w:val="clear" w:color="auto" w:fill="auto"/>
          </w:tcPr>
          <w:p w:rsidRPr="0032723F" w:rsidR="00A41222" w:rsidP="0032723F" w:rsidRDefault="00223008" w14:paraId="350AC629" w14:textId="114D92CB">
            <w:pPr>
              <w:pStyle w:val="ListParagraph"/>
              <w:ind w:left="0"/>
              <w:rPr>
                <w:rFonts w:ascii="Times New Roman" w:hAnsi="Times New Roman"/>
                <w:color w:val="000000"/>
              </w:rPr>
            </w:pPr>
            <w:r>
              <w:rPr>
                <w:rFonts w:ascii="Times New Roman" w:hAnsi="Times New Roman"/>
                <w:color w:val="000000"/>
              </w:rPr>
              <w:t>$0</w:t>
            </w:r>
            <w:r w:rsidR="0033796B">
              <w:rPr>
                <w:rFonts w:ascii="Times New Roman" w:hAnsi="Times New Roman"/>
                <w:color w:val="000000"/>
              </w:rPr>
              <w:t>*</w:t>
            </w:r>
          </w:p>
        </w:tc>
      </w:tr>
      <w:tr w:rsidR="00A41222" w:rsidTr="00D04574" w14:paraId="283F34B5" w14:textId="77777777">
        <w:tc>
          <w:tcPr>
            <w:tcW w:w="3116" w:type="dxa"/>
            <w:shd w:val="clear" w:color="auto" w:fill="auto"/>
          </w:tcPr>
          <w:p w:rsidRPr="0032723F" w:rsidR="00A41222" w:rsidP="0032723F" w:rsidRDefault="00A41222" w14:paraId="1AE25BFA" w14:textId="77777777">
            <w:pPr>
              <w:pStyle w:val="ListParagraph"/>
              <w:ind w:left="0"/>
              <w:rPr>
                <w:rFonts w:ascii="Times New Roman" w:hAnsi="Times New Roman"/>
                <w:b/>
                <w:bCs/>
                <w:color w:val="000000"/>
              </w:rPr>
            </w:pPr>
            <w:r w:rsidRPr="0032723F">
              <w:rPr>
                <w:rFonts w:ascii="Times New Roman" w:hAnsi="Times New Roman"/>
                <w:b/>
                <w:bCs/>
                <w:color w:val="000000"/>
              </w:rPr>
              <w:t>Total</w:t>
            </w:r>
          </w:p>
        </w:tc>
        <w:tc>
          <w:tcPr>
            <w:tcW w:w="3117" w:type="dxa"/>
            <w:shd w:val="clear" w:color="auto" w:fill="auto"/>
          </w:tcPr>
          <w:p w:rsidRPr="0032723F" w:rsidR="00A41222" w:rsidP="0032723F" w:rsidRDefault="00A41222" w14:paraId="78EF4641" w14:textId="77777777">
            <w:pPr>
              <w:pStyle w:val="ListParagraph"/>
              <w:ind w:left="0"/>
              <w:rPr>
                <w:rFonts w:ascii="Times New Roman" w:hAnsi="Times New Roman"/>
                <w:b/>
                <w:bCs/>
                <w:color w:val="000000"/>
              </w:rPr>
            </w:pPr>
          </w:p>
        </w:tc>
        <w:tc>
          <w:tcPr>
            <w:tcW w:w="3117" w:type="dxa"/>
            <w:shd w:val="clear" w:color="auto" w:fill="auto"/>
          </w:tcPr>
          <w:p w:rsidRPr="0032723F" w:rsidR="00A41222" w:rsidP="0032723F" w:rsidRDefault="00A41222" w14:paraId="0E6733E9" w14:textId="0336CE5D">
            <w:pPr>
              <w:pStyle w:val="ListParagraph"/>
              <w:ind w:left="0"/>
              <w:rPr>
                <w:rFonts w:ascii="Times New Roman" w:hAnsi="Times New Roman"/>
                <w:b/>
                <w:bCs/>
                <w:color w:val="000000"/>
              </w:rPr>
            </w:pPr>
            <w:r w:rsidRPr="0032723F">
              <w:rPr>
                <w:rFonts w:ascii="Times New Roman" w:hAnsi="Times New Roman"/>
                <w:b/>
                <w:bCs/>
                <w:color w:val="000000"/>
              </w:rPr>
              <w:t>$</w:t>
            </w:r>
            <w:r w:rsidR="00BC4DE2">
              <w:rPr>
                <w:rFonts w:ascii="Times New Roman" w:hAnsi="Times New Roman"/>
                <w:b/>
                <w:bCs/>
                <w:color w:val="000000"/>
              </w:rPr>
              <w:t>11,120</w:t>
            </w:r>
          </w:p>
        </w:tc>
      </w:tr>
    </w:tbl>
    <w:p w:rsidR="00A41222" w:rsidP="00790309" w:rsidRDefault="00A41222" w14:paraId="1BD5CD09" w14:textId="77777777">
      <w:pPr>
        <w:ind w:left="1440"/>
        <w:rPr>
          <w:rFonts w:ascii="Times New Roman" w:hAnsi="Times New Roman"/>
          <w:color w:val="000000"/>
        </w:rPr>
      </w:pPr>
      <w:r>
        <w:rPr>
          <w:rFonts w:ascii="Times New Roman" w:hAnsi="Times New Roman"/>
          <w:color w:val="000000"/>
        </w:rPr>
        <w:t>* We have inserted a $0 amount for cost factors that do not apply to this collection.</w:t>
      </w:r>
    </w:p>
    <w:p w:rsidR="00A41222" w:rsidP="00790309" w:rsidRDefault="00A41222" w14:paraId="74279E78" w14:textId="77777777">
      <w:pPr>
        <w:ind w:left="1440"/>
        <w:rPr>
          <w:rFonts w:ascii="Times New Roman" w:hAnsi="Times New Roman"/>
          <w:color w:val="000000"/>
        </w:rPr>
      </w:pPr>
    </w:p>
    <w:p w:rsidR="00A41222" w:rsidP="00790309" w:rsidRDefault="00A41222" w14:paraId="2EF75762" w14:textId="2509856F">
      <w:pPr>
        <w:ind w:left="1440"/>
        <w:rPr>
          <w:rFonts w:ascii="Times New Roman" w:hAnsi="Times New Roman"/>
          <w:color w:val="000000"/>
        </w:rPr>
      </w:pPr>
      <w:r>
        <w:rPr>
          <w:rFonts w:ascii="Times New Roman" w:hAnsi="Times New Roman"/>
          <w:color w:val="000000"/>
        </w:rPr>
        <w:t>SSA is unable to break down the costs to the Federal government further than we already have. </w:t>
      </w:r>
      <w:r w:rsidR="00564187">
        <w:rPr>
          <w:rFonts w:ascii="Times New Roman" w:hAnsi="Times New Roman"/>
          <w:color w:val="000000"/>
        </w:rPr>
        <w:t xml:space="preserve"> I</w:t>
      </w:r>
      <w:r>
        <w:rPr>
          <w:rFonts w:ascii="Times New Roman" w:hAnsi="Times New Roman"/>
          <w:color w:val="000000"/>
        </w:rPr>
        <w:t>t is difficult for us to break down the cost for processing a single form, as so many employees have a hand in each aspect of our forms</w:t>
      </w:r>
      <w:r w:rsidR="0033796B">
        <w:rPr>
          <w:rFonts w:ascii="Times New Roman" w:hAnsi="Times New Roman"/>
          <w:color w:val="000000"/>
        </w:rPr>
        <w:t xml:space="preserve">; therefore, </w:t>
      </w:r>
      <w:r>
        <w:rPr>
          <w:rFonts w:ascii="Times New Roman" w:hAnsi="Times New Roman"/>
          <w:color w:val="000000"/>
        </w:rPr>
        <w:t>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F0585C" w:rsidP="00790309" w:rsidRDefault="00F0585C" w14:paraId="61E012C1" w14:textId="77777777">
      <w:pPr>
        <w:tabs>
          <w:tab w:val="left" w:pos="720"/>
        </w:tabs>
        <w:ind w:left="1440"/>
        <w:rPr>
          <w:rFonts w:ascii="Times New Roman" w:hAnsi="Times New Roman"/>
        </w:rPr>
      </w:pPr>
    </w:p>
    <w:p w:rsidR="00063A05" w:rsidP="00790309" w:rsidRDefault="00A45D82" w14:paraId="6C3C733E" w14:textId="77777777">
      <w:pPr>
        <w:ind w:left="1440" w:hanging="720"/>
        <w:rPr>
          <w:rFonts w:ascii="Times New Roman" w:hAnsi="Times New Roman"/>
          <w:b/>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sidR="00063A05">
        <w:rPr>
          <w:rFonts w:ascii="Times New Roman" w:hAnsi="Times New Roman"/>
          <w:b/>
        </w:rPr>
        <w:t>Request</w:t>
      </w:r>
    </w:p>
    <w:p w:rsidRPr="00941102" w:rsidR="00063A05" w:rsidP="00790309" w:rsidRDefault="00D04574" w14:paraId="661DF866" w14:textId="2CA82ECE">
      <w:pPr>
        <w:ind w:left="1440"/>
        <w:rPr>
          <w:rFonts w:ascii="Times New Roman" w:hAnsi="Times New Roman"/>
        </w:rPr>
      </w:pPr>
      <w:r w:rsidRPr="00D04574">
        <w:rPr>
          <w:rFonts w:ascii="Times New Roman" w:hAnsi="Times New Roman"/>
        </w:rPr>
        <w:t>When we last cleared this IC in 201</w:t>
      </w:r>
      <w:r>
        <w:rPr>
          <w:rFonts w:ascii="Times New Roman" w:hAnsi="Times New Roman"/>
        </w:rPr>
        <w:t>8</w:t>
      </w:r>
      <w:r w:rsidRPr="00D04574">
        <w:rPr>
          <w:rFonts w:ascii="Times New Roman" w:hAnsi="Times New Roman"/>
        </w:rPr>
        <w:t xml:space="preserve">, the burden was </w:t>
      </w:r>
      <w:r>
        <w:rPr>
          <w:rFonts w:ascii="Times New Roman" w:hAnsi="Times New Roman"/>
        </w:rPr>
        <w:t>167</w:t>
      </w:r>
      <w:r w:rsidRPr="00D04574">
        <w:rPr>
          <w:rFonts w:ascii="Times New Roman" w:hAnsi="Times New Roman"/>
        </w:rPr>
        <w:t xml:space="preserve"> hours.  However, we are currently reporting a burden of </w:t>
      </w:r>
      <w:r>
        <w:rPr>
          <w:rFonts w:ascii="Times New Roman" w:hAnsi="Times New Roman"/>
        </w:rPr>
        <w:t>250</w:t>
      </w:r>
      <w:r w:rsidRPr="00D04574">
        <w:rPr>
          <w:rFonts w:ascii="Times New Roman" w:hAnsi="Times New Roman"/>
        </w:rPr>
        <w:t xml:space="preserve"> hours.  This change stems from a</w:t>
      </w:r>
      <w:r>
        <w:rPr>
          <w:rFonts w:ascii="Times New Roman" w:hAnsi="Times New Roman"/>
        </w:rPr>
        <w:t xml:space="preserve">n increase </w:t>
      </w:r>
      <w:r w:rsidRPr="00D04574">
        <w:rPr>
          <w:rFonts w:ascii="Times New Roman" w:hAnsi="Times New Roman"/>
        </w:rPr>
        <w:t xml:space="preserve">in the completion time from </w:t>
      </w:r>
      <w:r>
        <w:rPr>
          <w:rFonts w:ascii="Times New Roman" w:hAnsi="Times New Roman"/>
        </w:rPr>
        <w:t xml:space="preserve">20 </w:t>
      </w:r>
      <w:r w:rsidRPr="00D04574">
        <w:rPr>
          <w:rFonts w:ascii="Times New Roman" w:hAnsi="Times New Roman"/>
        </w:rPr>
        <w:t xml:space="preserve">minutes to </w:t>
      </w:r>
      <w:r>
        <w:rPr>
          <w:rFonts w:ascii="Times New Roman" w:hAnsi="Times New Roman"/>
        </w:rPr>
        <w:t>30</w:t>
      </w:r>
      <w:r w:rsidRPr="00D04574">
        <w:rPr>
          <w:rFonts w:ascii="Times New Roman" w:hAnsi="Times New Roman"/>
        </w:rPr>
        <w:t xml:space="preserve"> minutes.</w:t>
      </w:r>
      <w:r>
        <w:rPr>
          <w:rFonts w:ascii="Times New Roman" w:hAnsi="Times New Roman"/>
        </w:rPr>
        <w:t xml:space="preserve">  </w:t>
      </w:r>
      <w:r w:rsidR="00DB2EFB">
        <w:rPr>
          <w:rFonts w:ascii="Times New Roman" w:hAnsi="Times New Roman"/>
        </w:rPr>
        <w:t xml:space="preserve">After review of our burden estimate, we determined that 30 minutes more accurately represents completion time, and is supported by </w:t>
      </w:r>
      <w:r w:rsidRPr="00D04574">
        <w:rPr>
          <w:rFonts w:ascii="Times New Roman" w:hAnsi="Times New Roman"/>
        </w:rPr>
        <w:t>current Management Information data.</w:t>
      </w:r>
    </w:p>
    <w:p w:rsidRPr="00941102" w:rsidR="00941102" w:rsidP="00790309" w:rsidRDefault="00941102" w14:paraId="26CF4A08" w14:textId="77777777">
      <w:pPr>
        <w:ind w:left="1440"/>
        <w:rPr>
          <w:rFonts w:ascii="Times New Roman" w:hAnsi="Times New Roman"/>
        </w:rPr>
      </w:pPr>
    </w:p>
    <w:p w:rsidR="00063A05" w:rsidP="00790309" w:rsidRDefault="00A45D82" w14:paraId="7957DABC" w14:textId="77777777">
      <w:pPr>
        <w:ind w:left="1440" w:hanging="720"/>
        <w:rPr>
          <w:rFonts w:ascii="Times New Roman" w:hAnsi="Times New Roman"/>
          <w:b/>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941102" w:rsidP="00790309" w:rsidRDefault="00941102" w14:paraId="3A6F6997" w14:textId="4CF38B83">
      <w:pPr>
        <w:ind w:left="1440"/>
        <w:rPr>
          <w:rFonts w:ascii="Times New Roman" w:hAnsi="Times New Roman"/>
          <w:bCs/>
          <w:iCs/>
        </w:rPr>
      </w:pPr>
      <w:r w:rsidRPr="00941102">
        <w:rPr>
          <w:rFonts w:ascii="Times New Roman" w:hAnsi="Times New Roman"/>
          <w:bCs/>
          <w:iCs/>
        </w:rPr>
        <w:t>SSA will not publish the results of the information collection.</w:t>
      </w:r>
    </w:p>
    <w:p w:rsidRPr="00BC7F42" w:rsidR="00A45D82" w:rsidP="00790309" w:rsidRDefault="00A45D82" w14:paraId="5F32931B" w14:textId="77777777">
      <w:pPr>
        <w:pStyle w:val="Header"/>
        <w:tabs>
          <w:tab w:val="clear" w:pos="4320"/>
          <w:tab w:val="clear" w:pos="8640"/>
        </w:tabs>
        <w:ind w:left="1440"/>
        <w:rPr>
          <w:rFonts w:ascii="Times New Roman" w:hAnsi="Times New Roman"/>
        </w:rPr>
      </w:pPr>
    </w:p>
    <w:p w:rsidR="003B30B4" w:rsidP="00386982" w:rsidRDefault="00A45D82" w14:paraId="32425710" w14:textId="77777777">
      <w:pPr>
        <w:tabs>
          <w:tab w:val="num" w:pos="1440"/>
        </w:tabs>
        <w:ind w:left="1440" w:hanging="720"/>
        <w:rPr>
          <w:rFonts w:ascii="Times New Roman" w:hAnsi="Times New Roman"/>
        </w:rPr>
      </w:pPr>
      <w:r w:rsidRPr="003B30B4">
        <w:rPr>
          <w:rFonts w:ascii="Times New Roman" w:hAnsi="Times New Roman"/>
          <w:b/>
        </w:rPr>
        <w:t>17.</w:t>
      </w:r>
      <w:r w:rsidRPr="00BC7F42">
        <w:rPr>
          <w:rFonts w:ascii="Times New Roman" w:hAnsi="Times New Roman"/>
        </w:rPr>
        <w:tab/>
      </w:r>
      <w:r w:rsidR="003B30B4">
        <w:rPr>
          <w:rFonts w:ascii="Times New Roman" w:hAnsi="Times New Roman"/>
          <w:b/>
        </w:rPr>
        <w:t>Displaying the OMB Approval Expiration Date</w:t>
      </w:r>
    </w:p>
    <w:p w:rsidRPr="00941102" w:rsidR="00941102" w:rsidP="00790309" w:rsidRDefault="00941102" w14:paraId="3612DC00" w14:textId="77777777">
      <w:pPr>
        <w:pStyle w:val="NoSpacing"/>
        <w:ind w:left="1440"/>
        <w:rPr>
          <w:bCs/>
          <w:iCs/>
        </w:rPr>
      </w:pPr>
      <w:r w:rsidRPr="00941102">
        <w:rPr>
          <w:bCs/>
          <w:iC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Pr="00B64CC5" w:rsidR="00941102" w:rsidP="00790309" w:rsidRDefault="00941102" w14:paraId="0C8EC804" w14:textId="77777777">
      <w:pPr>
        <w:pStyle w:val="NoSpacing"/>
        <w:ind w:left="1440"/>
        <w:rPr>
          <w:bCs/>
          <w:i/>
          <w:iCs/>
        </w:rPr>
      </w:pPr>
    </w:p>
    <w:p w:rsidR="003B30B4" w:rsidP="00386982" w:rsidRDefault="00A45D82" w14:paraId="5C9BF707" w14:textId="77777777">
      <w:pPr>
        <w:numPr>
          <w:ilvl w:val="0"/>
          <w:numId w:val="43"/>
        </w:numPr>
        <w:tabs>
          <w:tab w:val="clear" w:pos="720"/>
          <w:tab w:val="num" w:pos="1440"/>
        </w:tabs>
        <w:ind w:left="1440"/>
        <w:rPr>
          <w:rFonts w:ascii="Times New Roman" w:hAnsi="Times New Roman"/>
          <w:b/>
        </w:rPr>
      </w:pPr>
      <w:r w:rsidRPr="00BC7F42">
        <w:rPr>
          <w:rFonts w:ascii="Times New Roman" w:hAnsi="Times New Roman"/>
          <w:b/>
        </w:rPr>
        <w:t>Exceptions to Certification Statement</w:t>
      </w:r>
    </w:p>
    <w:p w:rsidRPr="00941102" w:rsidR="00941102" w:rsidP="00790309" w:rsidRDefault="005541D9" w14:paraId="66609C82" w14:textId="357F636E">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5541D9">
        <w:rPr>
          <w:rFonts w:ascii="Times New Roman" w:hAnsi="Times New Roman"/>
          <w:b w:val="0"/>
          <w:bCs w:val="0"/>
          <w:i w:val="0"/>
          <w:iCs w:val="0"/>
        </w:rPr>
        <w:t xml:space="preserve">SSA is not requesting an exception to the certification requirements at </w:t>
      </w:r>
      <w:r w:rsidRPr="005541D9">
        <w:rPr>
          <w:rFonts w:ascii="Times New Roman" w:hAnsi="Times New Roman"/>
          <w:b w:val="0"/>
          <w:bCs w:val="0"/>
          <w:iCs w:val="0"/>
        </w:rPr>
        <w:t>5 CFR 1320.9</w:t>
      </w:r>
      <w:r w:rsidRPr="005541D9">
        <w:rPr>
          <w:rFonts w:ascii="Times New Roman" w:hAnsi="Times New Roman"/>
          <w:b w:val="0"/>
          <w:bCs w:val="0"/>
          <w:i w:val="0"/>
          <w:iCs w:val="0"/>
        </w:rPr>
        <w:t xml:space="preserve"> and related provisions at </w:t>
      </w:r>
      <w:r w:rsidRPr="005541D9">
        <w:rPr>
          <w:rFonts w:ascii="Times New Roman" w:hAnsi="Times New Roman"/>
          <w:b w:val="0"/>
          <w:bCs w:val="0"/>
          <w:iCs w:val="0"/>
        </w:rPr>
        <w:t>5 CFR 1320.8(b)(3)</w:t>
      </w:r>
      <w:r w:rsidRPr="005541D9">
        <w:rPr>
          <w:rFonts w:ascii="Times New Roman" w:hAnsi="Times New Roman"/>
          <w:b w:val="0"/>
          <w:bCs w:val="0"/>
          <w:i w:val="0"/>
          <w:iCs w:val="0"/>
        </w:rPr>
        <w:t>.</w:t>
      </w:r>
    </w:p>
    <w:p w:rsidR="00941102" w:rsidP="00790309" w:rsidRDefault="00941102" w14:paraId="236126AF" w14:textId="77777777">
      <w:pPr>
        <w:ind w:left="1440"/>
        <w:rPr>
          <w:rFonts w:ascii="Times New Roman" w:hAnsi="Times New Roman"/>
        </w:rPr>
      </w:pPr>
    </w:p>
    <w:p w:rsidR="00A45D82" w:rsidP="00790309" w:rsidRDefault="00A45D82" w14:paraId="6115B9ED" w14:textId="1FAD376B">
      <w:pPr>
        <w:ind w:left="720" w:hanging="540"/>
        <w:rPr>
          <w:rFonts w:ascii="Times New Roman" w:hAnsi="Times New Roman"/>
          <w:b/>
          <w:u w:val="single"/>
        </w:rPr>
      </w:pPr>
      <w:r w:rsidRPr="0041131C">
        <w:rPr>
          <w:rFonts w:ascii="Times New Roman" w:hAnsi="Times New Roman"/>
          <w:b/>
        </w:rPr>
        <w:t>B.</w:t>
      </w:r>
      <w:r w:rsidR="00790309">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Pr="00BC7F42" w:rsidR="0041131C" w:rsidP="0041131C" w:rsidRDefault="0041131C" w14:paraId="198A9556" w14:textId="77777777">
      <w:pPr>
        <w:rPr>
          <w:rFonts w:ascii="Times New Roman" w:hAnsi="Times New Roman"/>
        </w:rPr>
      </w:pPr>
      <w:r>
        <w:rPr>
          <w:rFonts w:ascii="Times New Roman" w:hAnsi="Times New Roman"/>
        </w:rPr>
        <w:tab/>
      </w:r>
    </w:p>
    <w:p w:rsidRPr="00662CFA" w:rsidR="00A45D82" w:rsidP="00790309" w:rsidRDefault="0041131C" w14:paraId="748FCEB8"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941102">
        <w:rPr>
          <w:rFonts w:ascii="Times New Roman" w:hAnsi="Times New Roman"/>
          <w:b w:val="0"/>
          <w:i w:val="0"/>
        </w:rPr>
        <w:t xml:space="preserve">SSA does not use statistical methods for this information collection. </w:t>
      </w:r>
    </w:p>
    <w:sectPr w:rsidRPr="00662CFA" w:rsidR="00A45D82" w:rsidSect="004438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52B6D4" w14:textId="77777777" w:rsidR="00CE63F0" w:rsidRDefault="00CE63F0">
      <w:r>
        <w:separator/>
      </w:r>
    </w:p>
  </w:endnote>
  <w:endnote w:type="continuationSeparator" w:id="0">
    <w:p w14:paraId="639EA9CC" w14:textId="77777777" w:rsidR="00CE63F0" w:rsidRDefault="00CE6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FA57D0" w14:textId="77777777" w:rsidR="00CE63F0" w:rsidRDefault="00CE63F0">
      <w:r>
        <w:separator/>
      </w:r>
    </w:p>
  </w:footnote>
  <w:footnote w:type="continuationSeparator" w:id="0">
    <w:p w14:paraId="65B2A050" w14:textId="77777777" w:rsidR="00CE63F0" w:rsidRDefault="00CE6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15:restartNumberingAfterBreak="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15:restartNumberingAfterBreak="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15:restartNumberingAfterBreak="0">
    <w:nsid w:val="330C0BA9"/>
    <w:multiLevelType w:val="hybridMultilevel"/>
    <w:tmpl w:val="0F9A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6" w15:restartNumberingAfterBreak="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1"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3"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5" w15:restartNumberingAfterBreak="0">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2" w15:restartNumberingAfterBreak="0">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15:restartNumberingAfterBreak="0">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6"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47" w15:restartNumberingAfterBreak="0">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4"/>
  </w:num>
  <w:num w:numId="2">
    <w:abstractNumId w:val="26"/>
  </w:num>
  <w:num w:numId="3">
    <w:abstractNumId w:val="3"/>
  </w:num>
  <w:num w:numId="4">
    <w:abstractNumId w:val="19"/>
  </w:num>
  <w:num w:numId="5">
    <w:abstractNumId w:val="42"/>
  </w:num>
  <w:num w:numId="6">
    <w:abstractNumId w:val="7"/>
  </w:num>
  <w:num w:numId="7">
    <w:abstractNumId w:val="28"/>
  </w:num>
  <w:num w:numId="8">
    <w:abstractNumId w:val="34"/>
  </w:num>
  <w:num w:numId="9">
    <w:abstractNumId w:val="40"/>
  </w:num>
  <w:num w:numId="10">
    <w:abstractNumId w:val="4"/>
  </w:num>
  <w:num w:numId="11">
    <w:abstractNumId w:val="2"/>
  </w:num>
  <w:num w:numId="12">
    <w:abstractNumId w:val="15"/>
  </w:num>
  <w:num w:numId="13">
    <w:abstractNumId w:val="20"/>
  </w:num>
  <w:num w:numId="14">
    <w:abstractNumId w:val="46"/>
  </w:num>
  <w:num w:numId="15">
    <w:abstractNumId w:val="10"/>
  </w:num>
  <w:num w:numId="16">
    <w:abstractNumId w:val="13"/>
  </w:num>
  <w:num w:numId="17">
    <w:abstractNumId w:val="32"/>
  </w:num>
  <w:num w:numId="18">
    <w:abstractNumId w:val="6"/>
  </w:num>
  <w:num w:numId="19">
    <w:abstractNumId w:val="5"/>
  </w:num>
  <w:num w:numId="20">
    <w:abstractNumId w:val="45"/>
  </w:num>
  <w:num w:numId="21">
    <w:abstractNumId w:val="16"/>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39"/>
  </w:num>
  <w:num w:numId="24">
    <w:abstractNumId w:val="37"/>
  </w:num>
  <w:num w:numId="25">
    <w:abstractNumId w:val="23"/>
  </w:num>
  <w:num w:numId="26">
    <w:abstractNumId w:val="21"/>
  </w:num>
  <w:num w:numId="27">
    <w:abstractNumId w:val="41"/>
  </w:num>
  <w:num w:numId="28">
    <w:abstractNumId w:val="30"/>
  </w:num>
  <w:num w:numId="29">
    <w:abstractNumId w:val="27"/>
  </w:num>
  <w:num w:numId="30">
    <w:abstractNumId w:val="38"/>
  </w:num>
  <w:num w:numId="31">
    <w:abstractNumId w:val="36"/>
  </w:num>
  <w:num w:numId="32">
    <w:abstractNumId w:val="12"/>
  </w:num>
  <w:num w:numId="33">
    <w:abstractNumId w:val="25"/>
  </w:num>
  <w:num w:numId="34">
    <w:abstractNumId w:val="33"/>
  </w:num>
  <w:num w:numId="35">
    <w:abstractNumId w:val="47"/>
  </w:num>
  <w:num w:numId="36">
    <w:abstractNumId w:val="43"/>
  </w:num>
  <w:num w:numId="37">
    <w:abstractNumId w:val="18"/>
  </w:num>
  <w:num w:numId="38">
    <w:abstractNumId w:val="35"/>
  </w:num>
  <w:num w:numId="39">
    <w:abstractNumId w:val="9"/>
  </w:num>
  <w:num w:numId="40">
    <w:abstractNumId w:val="29"/>
  </w:num>
  <w:num w:numId="41">
    <w:abstractNumId w:val="22"/>
  </w:num>
  <w:num w:numId="42">
    <w:abstractNumId w:val="8"/>
  </w:num>
  <w:num w:numId="43">
    <w:abstractNumId w:val="1"/>
  </w:num>
  <w:num w:numId="44">
    <w:abstractNumId w:val="11"/>
  </w:num>
  <w:num w:numId="45">
    <w:abstractNumId w:val="44"/>
  </w:num>
  <w:num w:numId="46">
    <w:abstractNumId w:val="24"/>
  </w:num>
  <w:num w:numId="47">
    <w:abstractNumId w:val="31"/>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82"/>
    <w:rsid w:val="00021AFE"/>
    <w:rsid w:val="000222A7"/>
    <w:rsid w:val="00025216"/>
    <w:rsid w:val="00025D75"/>
    <w:rsid w:val="0002677F"/>
    <w:rsid w:val="00044731"/>
    <w:rsid w:val="00063A05"/>
    <w:rsid w:val="00064229"/>
    <w:rsid w:val="0006715D"/>
    <w:rsid w:val="0007189E"/>
    <w:rsid w:val="00077720"/>
    <w:rsid w:val="00077E0E"/>
    <w:rsid w:val="00081E6C"/>
    <w:rsid w:val="00086E84"/>
    <w:rsid w:val="00093740"/>
    <w:rsid w:val="00095738"/>
    <w:rsid w:val="000958AA"/>
    <w:rsid w:val="000A6AE3"/>
    <w:rsid w:val="000B2B68"/>
    <w:rsid w:val="000B3B12"/>
    <w:rsid w:val="000C151C"/>
    <w:rsid w:val="000C1D18"/>
    <w:rsid w:val="000D5F5C"/>
    <w:rsid w:val="00121032"/>
    <w:rsid w:val="00122EE2"/>
    <w:rsid w:val="0012413A"/>
    <w:rsid w:val="00127980"/>
    <w:rsid w:val="001440FD"/>
    <w:rsid w:val="00145796"/>
    <w:rsid w:val="00146275"/>
    <w:rsid w:val="00147DD4"/>
    <w:rsid w:val="0015576E"/>
    <w:rsid w:val="00157AD6"/>
    <w:rsid w:val="001614AB"/>
    <w:rsid w:val="00161A18"/>
    <w:rsid w:val="0017644C"/>
    <w:rsid w:val="001779F3"/>
    <w:rsid w:val="00186C90"/>
    <w:rsid w:val="00192897"/>
    <w:rsid w:val="001A274C"/>
    <w:rsid w:val="001A3317"/>
    <w:rsid w:val="001A65F9"/>
    <w:rsid w:val="001B7CF4"/>
    <w:rsid w:val="001C6D3A"/>
    <w:rsid w:val="001D0B21"/>
    <w:rsid w:val="001E1076"/>
    <w:rsid w:val="00202C06"/>
    <w:rsid w:val="00223008"/>
    <w:rsid w:val="002251BE"/>
    <w:rsid w:val="002321B0"/>
    <w:rsid w:val="0023746E"/>
    <w:rsid w:val="00246836"/>
    <w:rsid w:val="0026052B"/>
    <w:rsid w:val="00276AAF"/>
    <w:rsid w:val="002801F8"/>
    <w:rsid w:val="00295056"/>
    <w:rsid w:val="002A4C30"/>
    <w:rsid w:val="002B0820"/>
    <w:rsid w:val="002B5578"/>
    <w:rsid w:val="002D2F95"/>
    <w:rsid w:val="002E18CF"/>
    <w:rsid w:val="002E335E"/>
    <w:rsid w:val="002F1C11"/>
    <w:rsid w:val="00302545"/>
    <w:rsid w:val="003176E1"/>
    <w:rsid w:val="0032723F"/>
    <w:rsid w:val="00331821"/>
    <w:rsid w:val="00333D3D"/>
    <w:rsid w:val="0033796B"/>
    <w:rsid w:val="00340D7D"/>
    <w:rsid w:val="003465DC"/>
    <w:rsid w:val="003469CA"/>
    <w:rsid w:val="0036696D"/>
    <w:rsid w:val="0038050B"/>
    <w:rsid w:val="00386982"/>
    <w:rsid w:val="003A6036"/>
    <w:rsid w:val="003A6E57"/>
    <w:rsid w:val="003A71A9"/>
    <w:rsid w:val="003B15EC"/>
    <w:rsid w:val="003B30B4"/>
    <w:rsid w:val="003C10BD"/>
    <w:rsid w:val="003C6213"/>
    <w:rsid w:val="003E145C"/>
    <w:rsid w:val="003E504F"/>
    <w:rsid w:val="003F00B3"/>
    <w:rsid w:val="00401DE1"/>
    <w:rsid w:val="00405548"/>
    <w:rsid w:val="0041131C"/>
    <w:rsid w:val="004145D2"/>
    <w:rsid w:val="004238CA"/>
    <w:rsid w:val="004317CB"/>
    <w:rsid w:val="00440FAB"/>
    <w:rsid w:val="00443873"/>
    <w:rsid w:val="004441CA"/>
    <w:rsid w:val="00447EE9"/>
    <w:rsid w:val="0045065A"/>
    <w:rsid w:val="004509AD"/>
    <w:rsid w:val="00475350"/>
    <w:rsid w:val="00481B44"/>
    <w:rsid w:val="00484662"/>
    <w:rsid w:val="004915B5"/>
    <w:rsid w:val="004D0949"/>
    <w:rsid w:val="004D4A8A"/>
    <w:rsid w:val="004E146D"/>
    <w:rsid w:val="004F5CF1"/>
    <w:rsid w:val="0050197F"/>
    <w:rsid w:val="005040EC"/>
    <w:rsid w:val="00506486"/>
    <w:rsid w:val="005541D9"/>
    <w:rsid w:val="0056163C"/>
    <w:rsid w:val="00564187"/>
    <w:rsid w:val="005721D4"/>
    <w:rsid w:val="00593A36"/>
    <w:rsid w:val="00594CB3"/>
    <w:rsid w:val="005A1198"/>
    <w:rsid w:val="005B15E5"/>
    <w:rsid w:val="005C11FA"/>
    <w:rsid w:val="005C2C39"/>
    <w:rsid w:val="005D1546"/>
    <w:rsid w:val="005D4107"/>
    <w:rsid w:val="005D5B33"/>
    <w:rsid w:val="005F208A"/>
    <w:rsid w:val="006002DD"/>
    <w:rsid w:val="006013A3"/>
    <w:rsid w:val="0060347C"/>
    <w:rsid w:val="006160ED"/>
    <w:rsid w:val="00626C22"/>
    <w:rsid w:val="00631F1B"/>
    <w:rsid w:val="0063304D"/>
    <w:rsid w:val="00637AF5"/>
    <w:rsid w:val="00640A26"/>
    <w:rsid w:val="00650F9D"/>
    <w:rsid w:val="00662CFA"/>
    <w:rsid w:val="00663881"/>
    <w:rsid w:val="00664553"/>
    <w:rsid w:val="00671446"/>
    <w:rsid w:val="006806E1"/>
    <w:rsid w:val="0069667B"/>
    <w:rsid w:val="006B173F"/>
    <w:rsid w:val="006B17EF"/>
    <w:rsid w:val="006B297F"/>
    <w:rsid w:val="006E2FB4"/>
    <w:rsid w:val="006E59B6"/>
    <w:rsid w:val="006F2B8B"/>
    <w:rsid w:val="006F4D0F"/>
    <w:rsid w:val="0070479A"/>
    <w:rsid w:val="00712F1B"/>
    <w:rsid w:val="0071437B"/>
    <w:rsid w:val="007245C9"/>
    <w:rsid w:val="007256B3"/>
    <w:rsid w:val="00742B56"/>
    <w:rsid w:val="00745462"/>
    <w:rsid w:val="00790309"/>
    <w:rsid w:val="00795BAB"/>
    <w:rsid w:val="007A08D1"/>
    <w:rsid w:val="007A2DEE"/>
    <w:rsid w:val="007A5044"/>
    <w:rsid w:val="007B007C"/>
    <w:rsid w:val="007C0384"/>
    <w:rsid w:val="007D061D"/>
    <w:rsid w:val="007D22EB"/>
    <w:rsid w:val="007E0E94"/>
    <w:rsid w:val="007E17BD"/>
    <w:rsid w:val="00806984"/>
    <w:rsid w:val="00810485"/>
    <w:rsid w:val="00814772"/>
    <w:rsid w:val="00824D72"/>
    <w:rsid w:val="00825B97"/>
    <w:rsid w:val="00831CCD"/>
    <w:rsid w:val="0084775D"/>
    <w:rsid w:val="0086463A"/>
    <w:rsid w:val="008754ED"/>
    <w:rsid w:val="00876482"/>
    <w:rsid w:val="008772D8"/>
    <w:rsid w:val="00891CA8"/>
    <w:rsid w:val="00892E12"/>
    <w:rsid w:val="008B6774"/>
    <w:rsid w:val="008D158E"/>
    <w:rsid w:val="008E3A3A"/>
    <w:rsid w:val="00906892"/>
    <w:rsid w:val="009228FB"/>
    <w:rsid w:val="009252AB"/>
    <w:rsid w:val="00926549"/>
    <w:rsid w:val="00941102"/>
    <w:rsid w:val="00944DC4"/>
    <w:rsid w:val="00951258"/>
    <w:rsid w:val="00952C5B"/>
    <w:rsid w:val="00955EC4"/>
    <w:rsid w:val="009748B6"/>
    <w:rsid w:val="00975DD8"/>
    <w:rsid w:val="009A0B16"/>
    <w:rsid w:val="009B729C"/>
    <w:rsid w:val="009D3CB2"/>
    <w:rsid w:val="009D7F3C"/>
    <w:rsid w:val="009E3C50"/>
    <w:rsid w:val="009F23D6"/>
    <w:rsid w:val="009F7BB3"/>
    <w:rsid w:val="00A06BE2"/>
    <w:rsid w:val="00A20C4B"/>
    <w:rsid w:val="00A32C8F"/>
    <w:rsid w:val="00A337E4"/>
    <w:rsid w:val="00A33C65"/>
    <w:rsid w:val="00A34222"/>
    <w:rsid w:val="00A41222"/>
    <w:rsid w:val="00A45D82"/>
    <w:rsid w:val="00A651A7"/>
    <w:rsid w:val="00A66328"/>
    <w:rsid w:val="00A67D76"/>
    <w:rsid w:val="00A706B8"/>
    <w:rsid w:val="00A805BA"/>
    <w:rsid w:val="00A80DA7"/>
    <w:rsid w:val="00A907B9"/>
    <w:rsid w:val="00AA06A4"/>
    <w:rsid w:val="00AA0858"/>
    <w:rsid w:val="00AA0C27"/>
    <w:rsid w:val="00AA6250"/>
    <w:rsid w:val="00AB0CA7"/>
    <w:rsid w:val="00AC2E93"/>
    <w:rsid w:val="00AC39FD"/>
    <w:rsid w:val="00AD0977"/>
    <w:rsid w:val="00AE0527"/>
    <w:rsid w:val="00AF3BEA"/>
    <w:rsid w:val="00AF7234"/>
    <w:rsid w:val="00B007C5"/>
    <w:rsid w:val="00B01D57"/>
    <w:rsid w:val="00B1614B"/>
    <w:rsid w:val="00B51EF0"/>
    <w:rsid w:val="00B525CA"/>
    <w:rsid w:val="00B741F6"/>
    <w:rsid w:val="00B92550"/>
    <w:rsid w:val="00BA1653"/>
    <w:rsid w:val="00BA401A"/>
    <w:rsid w:val="00BC4DE2"/>
    <w:rsid w:val="00BC5531"/>
    <w:rsid w:val="00BC7F42"/>
    <w:rsid w:val="00BD74FC"/>
    <w:rsid w:val="00BF026F"/>
    <w:rsid w:val="00BF4955"/>
    <w:rsid w:val="00C0290B"/>
    <w:rsid w:val="00C22097"/>
    <w:rsid w:val="00C25FDC"/>
    <w:rsid w:val="00C34553"/>
    <w:rsid w:val="00C34A91"/>
    <w:rsid w:val="00C377BC"/>
    <w:rsid w:val="00C4612B"/>
    <w:rsid w:val="00C5104E"/>
    <w:rsid w:val="00C60E61"/>
    <w:rsid w:val="00C67C8A"/>
    <w:rsid w:val="00C67F83"/>
    <w:rsid w:val="00C74A43"/>
    <w:rsid w:val="00C93220"/>
    <w:rsid w:val="00C941E2"/>
    <w:rsid w:val="00CA0B15"/>
    <w:rsid w:val="00CA5F75"/>
    <w:rsid w:val="00CA6CAE"/>
    <w:rsid w:val="00CB7253"/>
    <w:rsid w:val="00CB7557"/>
    <w:rsid w:val="00CD07B4"/>
    <w:rsid w:val="00CD336F"/>
    <w:rsid w:val="00CD667A"/>
    <w:rsid w:val="00CE042B"/>
    <w:rsid w:val="00CE23C1"/>
    <w:rsid w:val="00CE63F0"/>
    <w:rsid w:val="00CF0595"/>
    <w:rsid w:val="00D0011E"/>
    <w:rsid w:val="00D03E8A"/>
    <w:rsid w:val="00D04574"/>
    <w:rsid w:val="00D14CF3"/>
    <w:rsid w:val="00D42EFE"/>
    <w:rsid w:val="00D44900"/>
    <w:rsid w:val="00D513E1"/>
    <w:rsid w:val="00D5390E"/>
    <w:rsid w:val="00D5531A"/>
    <w:rsid w:val="00D678F8"/>
    <w:rsid w:val="00DB1DB4"/>
    <w:rsid w:val="00DB2DB4"/>
    <w:rsid w:val="00DB2EFB"/>
    <w:rsid w:val="00DD494D"/>
    <w:rsid w:val="00DE156B"/>
    <w:rsid w:val="00DE6186"/>
    <w:rsid w:val="00E0137B"/>
    <w:rsid w:val="00E01589"/>
    <w:rsid w:val="00E065DA"/>
    <w:rsid w:val="00E2493E"/>
    <w:rsid w:val="00E3164F"/>
    <w:rsid w:val="00E37134"/>
    <w:rsid w:val="00E437C5"/>
    <w:rsid w:val="00E75DB0"/>
    <w:rsid w:val="00E80456"/>
    <w:rsid w:val="00E956F3"/>
    <w:rsid w:val="00EA6845"/>
    <w:rsid w:val="00EC7EFD"/>
    <w:rsid w:val="00ED36D8"/>
    <w:rsid w:val="00EE6086"/>
    <w:rsid w:val="00EF4071"/>
    <w:rsid w:val="00EF765F"/>
    <w:rsid w:val="00F028DE"/>
    <w:rsid w:val="00F0585C"/>
    <w:rsid w:val="00F107B7"/>
    <w:rsid w:val="00F11F57"/>
    <w:rsid w:val="00F14BA8"/>
    <w:rsid w:val="00F15EF8"/>
    <w:rsid w:val="00F17AAF"/>
    <w:rsid w:val="00F2154D"/>
    <w:rsid w:val="00F36E53"/>
    <w:rsid w:val="00F4316C"/>
    <w:rsid w:val="00F46176"/>
    <w:rsid w:val="00F5149E"/>
    <w:rsid w:val="00F56A74"/>
    <w:rsid w:val="00F57875"/>
    <w:rsid w:val="00F57AD9"/>
    <w:rsid w:val="00F832E5"/>
    <w:rsid w:val="00F870A3"/>
    <w:rsid w:val="00F91762"/>
    <w:rsid w:val="00F9405B"/>
    <w:rsid w:val="00FA0FE2"/>
    <w:rsid w:val="00FA34E8"/>
    <w:rsid w:val="00FA7D4E"/>
    <w:rsid w:val="00FD549D"/>
    <w:rsid w:val="00FD6374"/>
    <w:rsid w:val="00FD6FE4"/>
    <w:rsid w:val="00FE420F"/>
    <w:rsid w:val="00FF5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E899D3"/>
  <w15:chartTrackingRefBased/>
  <w15:docId w15:val="{7627AC1F-F5FC-47CE-849E-B7FCE4CA7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51BE"/>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customStyle="1" w:styleId="Style1">
    <w:name w:val="Style 1"/>
    <w:basedOn w:val="Normal"/>
    <w:rsid w:val="00FD6FE4"/>
    <w:pPr>
      <w:tabs>
        <w:tab w:val="left" w:pos="1476"/>
      </w:tabs>
      <w:spacing w:before="252"/>
      <w:ind w:left="1440" w:hanging="720"/>
    </w:pPr>
    <w:rPr>
      <w:rFonts w:ascii="Times New Roman" w:hAnsi="Times New Roman"/>
      <w:snapToGrid/>
      <w:lang w:eastAsia="zh-CN"/>
    </w:rPr>
  </w:style>
  <w:style w:type="table" w:customStyle="1" w:styleId="TableGrid1">
    <w:name w:val="Table Grid1"/>
    <w:basedOn w:val="TableNormal"/>
    <w:next w:val="TableGrid"/>
    <w:uiPriority w:val="39"/>
    <w:rsid w:val="00FD6FE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66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727143905">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3342B-7E06-40F5-82F8-E88018888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1381</Words>
  <Characters>7650</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dc:description/>
  <cp:lastModifiedBy>Lowman, Eric</cp:lastModifiedBy>
  <cp:revision>4</cp:revision>
  <dcterms:created xsi:type="dcterms:W3CDTF">2021-09-10T11:46:00Z</dcterms:created>
  <dcterms:modified xsi:type="dcterms:W3CDTF">2021-09-10T12:36:00Z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99184349</vt:i4>
  </property>
  <property fmtid="{D5CDD505-2E9C-101B-9397-08002B2CF9AE}" pid="4" name="_EmailSubject">
    <vt:lpwstr>OEEMP reply: OMB Expiration Notice: 0960-0030 (SSA-7011)</vt:lpwstr>
  </property>
  <property fmtid="{D5CDD505-2E9C-101B-9397-08002B2CF9AE}" pid="5" name="_AuthorEmail">
    <vt:lpwstr>OISP.OEEMP.Controls@ssa.gov</vt:lpwstr>
  </property>
  <property fmtid="{D5CDD505-2E9C-101B-9397-08002B2CF9AE}" pid="6" name="_AuthorEmailDisplayName">
    <vt:lpwstr>^OISP OEEMP Controls</vt:lpwstr>
  </property>
  <property fmtid="{D5CDD505-2E9C-101B-9397-08002B2CF9AE}" pid="7" name="_PreviousAdHocReviewCycleID">
    <vt:i4>-1266588670</vt:i4>
  </property>
  <property fmtid="{D5CDD505-2E9C-101B-9397-08002B2CF9AE}" pid="8" name="_ReviewingToolsShownOnce">
    <vt:lpwstr/>
  </property>
</Properties>
</file>