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5E" w:rsidP="00E10B21" w:rsidRDefault="00B17E5E" w14:paraId="7DDE34EA" w14:textId="3EE6919F"/>
    <w:p w:rsidRPr="00503E35" w:rsidR="004D7101" w:rsidP="004D7101" w:rsidRDefault="004D7101" w14:paraId="7BFD964D" w14:textId="284F36DD">
      <w:pPr>
        <w:pStyle w:val="ReportCover-Title"/>
        <w:jc w:val="center"/>
        <w:rPr>
          <w:rFonts w:ascii="Arial" w:hAnsi="Arial" w:eastAsia="Arial Unicode MS" w:cs="Arial"/>
          <w:noProof/>
          <w:color w:val="auto"/>
        </w:rPr>
      </w:pPr>
      <w:r w:rsidRPr="00584EB7">
        <w:rPr>
          <w:rFonts w:ascii="Arial" w:hAnsi="Arial" w:eastAsia="Arial Unicode MS" w:cs="Arial"/>
          <w:noProof/>
          <w:color w:val="auto"/>
        </w:rPr>
        <w:t xml:space="preserve">Understanding </w:t>
      </w:r>
      <w:r w:rsidRPr="00503E35">
        <w:rPr>
          <w:rFonts w:ascii="Arial" w:hAnsi="Arial" w:eastAsia="Arial Unicode MS" w:cs="Arial"/>
          <w:noProof/>
          <w:color w:val="auto"/>
        </w:rPr>
        <w:t>Child Care Licensing Challenges, Needs</w:t>
      </w:r>
      <w:r w:rsidR="00A308F4">
        <w:rPr>
          <w:rFonts w:ascii="Arial" w:hAnsi="Arial" w:eastAsia="Arial Unicode MS" w:cs="Arial"/>
          <w:noProof/>
          <w:color w:val="auto"/>
        </w:rPr>
        <w:t>,</w:t>
      </w:r>
      <w:r w:rsidRPr="00503E35">
        <w:rPr>
          <w:rFonts w:ascii="Arial" w:hAnsi="Arial" w:eastAsia="Arial Unicode MS" w:cs="Arial"/>
          <w:noProof/>
          <w:color w:val="auto"/>
        </w:rPr>
        <w:t xml:space="preserve"> and Use of Data</w:t>
      </w:r>
    </w:p>
    <w:p w:rsidRPr="00B13297" w:rsidR="007F1081" w:rsidP="007F1081" w:rsidRDefault="007F1081" w14:paraId="4BFC1B4B" w14:textId="77777777">
      <w:pPr>
        <w:pStyle w:val="ReportCover-Title"/>
        <w:rPr>
          <w:rFonts w:ascii="Arial" w:hAnsi="Arial" w:cs="Arial"/>
          <w:color w:val="auto"/>
        </w:rPr>
      </w:pPr>
    </w:p>
    <w:p w:rsidRPr="00F459FC" w:rsidR="007F1081" w:rsidP="007F1081" w:rsidRDefault="007F1081" w14:paraId="21AFDA8C" w14:textId="77777777">
      <w:pPr>
        <w:pStyle w:val="ReportCover-Title"/>
        <w:jc w:val="center"/>
        <w:rPr>
          <w:rFonts w:ascii="Arial" w:hAnsi="Arial" w:cs="Arial"/>
          <w:color w:val="auto"/>
          <w:sz w:val="32"/>
          <w:szCs w:val="32"/>
        </w:rPr>
      </w:pPr>
      <w:r w:rsidRPr="00F459FC">
        <w:rPr>
          <w:rFonts w:ascii="Arial" w:hAnsi="Arial" w:cs="Arial"/>
          <w:color w:val="auto"/>
          <w:sz w:val="32"/>
          <w:szCs w:val="32"/>
        </w:rPr>
        <w:t>Formative Data Collections for ACF Research</w:t>
      </w:r>
    </w:p>
    <w:p w:rsidRPr="002C4F75" w:rsidR="007F1081" w:rsidP="007F1081" w:rsidRDefault="007F1081" w14:paraId="725FFF94" w14:textId="77777777">
      <w:pPr>
        <w:pStyle w:val="ReportCover-Title"/>
        <w:jc w:val="center"/>
        <w:rPr>
          <w:rFonts w:ascii="Arial" w:hAnsi="Arial" w:cs="Arial"/>
          <w:color w:val="auto"/>
          <w:sz w:val="32"/>
          <w:szCs w:val="32"/>
        </w:rPr>
      </w:pPr>
    </w:p>
    <w:p w:rsidRPr="002C4F75" w:rsidR="007F1081" w:rsidP="007F1081" w:rsidRDefault="007F1081" w14:paraId="67DCBEFC" w14:textId="77777777">
      <w:pPr>
        <w:pStyle w:val="ReportCover-Title"/>
        <w:jc w:val="center"/>
        <w:rPr>
          <w:rFonts w:ascii="Arial" w:hAnsi="Arial" w:cs="Arial"/>
          <w:color w:val="auto"/>
          <w:sz w:val="32"/>
          <w:szCs w:val="32"/>
        </w:rPr>
      </w:pPr>
      <w:r w:rsidRPr="00F459FC">
        <w:rPr>
          <w:rFonts w:ascii="Arial" w:hAnsi="Arial" w:cs="Arial"/>
          <w:color w:val="auto"/>
          <w:sz w:val="32"/>
          <w:szCs w:val="32"/>
        </w:rPr>
        <w:t>0970 - 035</w:t>
      </w:r>
      <w:r>
        <w:rPr>
          <w:rFonts w:ascii="Arial" w:hAnsi="Arial" w:cs="Arial"/>
          <w:color w:val="auto"/>
          <w:sz w:val="32"/>
          <w:szCs w:val="32"/>
        </w:rPr>
        <w:t>6</w:t>
      </w:r>
    </w:p>
    <w:p w:rsidRPr="00B13297" w:rsidR="007F1081" w:rsidP="007F1081" w:rsidRDefault="007F1081" w14:paraId="1A97AAE2" w14:textId="77777777">
      <w:pPr>
        <w:rPr>
          <w:rFonts w:ascii="Arial" w:hAnsi="Arial" w:cs="Arial"/>
        </w:rPr>
      </w:pPr>
    </w:p>
    <w:p w:rsidRPr="00B13297" w:rsidR="007F1081" w:rsidP="007F1081" w:rsidRDefault="007F1081" w14:paraId="478351B4" w14:textId="77777777">
      <w:pPr>
        <w:pStyle w:val="ReportCover-Date"/>
        <w:jc w:val="center"/>
        <w:rPr>
          <w:rFonts w:ascii="Arial" w:hAnsi="Arial" w:cs="Arial"/>
          <w:color w:val="auto"/>
        </w:rPr>
      </w:pPr>
    </w:p>
    <w:p w:rsidRPr="00B13297" w:rsidR="007F1081" w:rsidP="007F1081" w:rsidRDefault="007F1081" w14:paraId="13E249AC"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7F1081" w:rsidP="007F1081" w:rsidRDefault="007F1081" w14:paraId="6B3118CF" w14:textId="10BF753A">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7F1081" w:rsidP="007F1081" w:rsidRDefault="00167702" w14:paraId="5591A86C" w14:textId="4591539F">
      <w:pPr>
        <w:pStyle w:val="ReportCover-Date"/>
        <w:jc w:val="center"/>
        <w:rPr>
          <w:rFonts w:ascii="Arial" w:hAnsi="Arial" w:cs="Arial"/>
          <w:color w:val="auto"/>
        </w:rPr>
      </w:pPr>
      <w:r>
        <w:rPr>
          <w:rFonts w:ascii="Arial" w:hAnsi="Arial" w:cs="Arial"/>
          <w:color w:val="auto"/>
        </w:rPr>
        <w:t>March</w:t>
      </w:r>
      <w:r w:rsidR="007F1081">
        <w:rPr>
          <w:rFonts w:ascii="Arial" w:hAnsi="Arial" w:cs="Arial"/>
          <w:color w:val="auto"/>
        </w:rPr>
        <w:t xml:space="preserve"> 2021</w:t>
      </w:r>
    </w:p>
    <w:p w:rsidRPr="00B13297" w:rsidR="007F1081" w:rsidP="007F1081" w:rsidRDefault="007F1081" w14:paraId="4FF70E60" w14:textId="77777777">
      <w:pPr>
        <w:spacing w:line="240" w:lineRule="auto"/>
        <w:jc w:val="center"/>
        <w:rPr>
          <w:rFonts w:ascii="Arial" w:hAnsi="Arial" w:cs="Arial"/>
        </w:rPr>
      </w:pPr>
    </w:p>
    <w:p w:rsidRPr="00B13297" w:rsidR="007F1081" w:rsidP="007F1081" w:rsidRDefault="007F1081" w14:paraId="53EF5C3B" w14:textId="77777777">
      <w:pPr>
        <w:spacing w:line="240" w:lineRule="auto"/>
        <w:jc w:val="center"/>
        <w:rPr>
          <w:rFonts w:ascii="Arial" w:hAnsi="Arial" w:cs="Arial"/>
        </w:rPr>
      </w:pPr>
      <w:r w:rsidRPr="00B13297">
        <w:rPr>
          <w:rFonts w:ascii="Arial" w:hAnsi="Arial" w:cs="Arial"/>
        </w:rPr>
        <w:t>Submitted By:</w:t>
      </w:r>
    </w:p>
    <w:p w:rsidRPr="00B13297" w:rsidR="007F1081" w:rsidP="007F1081" w:rsidRDefault="007F1081" w14:paraId="20B217BB" w14:textId="77777777">
      <w:pPr>
        <w:spacing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7F1081" w:rsidP="007F1081" w:rsidRDefault="007F1081" w14:paraId="6B4521AB" w14:textId="77777777">
      <w:pPr>
        <w:spacing w:line="240" w:lineRule="auto"/>
        <w:jc w:val="center"/>
        <w:rPr>
          <w:rFonts w:ascii="Arial" w:hAnsi="Arial" w:cs="Arial"/>
        </w:rPr>
      </w:pPr>
      <w:r w:rsidRPr="00B13297">
        <w:rPr>
          <w:rFonts w:ascii="Arial" w:hAnsi="Arial" w:cs="Arial"/>
        </w:rPr>
        <w:t xml:space="preserve">Administration for Children and Families </w:t>
      </w:r>
    </w:p>
    <w:p w:rsidRPr="00B13297" w:rsidR="007F1081" w:rsidP="007F1081" w:rsidRDefault="007F1081" w14:paraId="56299AED" w14:textId="77777777">
      <w:pPr>
        <w:spacing w:line="240" w:lineRule="auto"/>
        <w:jc w:val="center"/>
        <w:rPr>
          <w:rFonts w:ascii="Arial" w:hAnsi="Arial" w:cs="Arial"/>
        </w:rPr>
      </w:pPr>
      <w:r w:rsidRPr="00B13297">
        <w:rPr>
          <w:rFonts w:ascii="Arial" w:hAnsi="Arial" w:cs="Arial"/>
        </w:rPr>
        <w:t>U.S. Department of Health and Human Services</w:t>
      </w:r>
    </w:p>
    <w:p w:rsidRPr="00B13297" w:rsidR="007F1081" w:rsidP="007F1081" w:rsidRDefault="007F1081" w14:paraId="15294F0A" w14:textId="77777777">
      <w:pPr>
        <w:spacing w:line="240" w:lineRule="auto"/>
        <w:jc w:val="center"/>
        <w:rPr>
          <w:rFonts w:ascii="Arial" w:hAnsi="Arial" w:cs="Arial"/>
        </w:rPr>
      </w:pPr>
    </w:p>
    <w:p w:rsidRPr="00B13297" w:rsidR="007F1081" w:rsidP="007F1081" w:rsidRDefault="007F1081" w14:paraId="6CC9FD69" w14:textId="77777777">
      <w:pPr>
        <w:spacing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7F1081" w:rsidP="007F1081" w:rsidRDefault="007F1081" w14:paraId="1C0B89A0" w14:textId="77777777">
      <w:pPr>
        <w:spacing w:line="240" w:lineRule="auto"/>
        <w:jc w:val="center"/>
        <w:rPr>
          <w:rFonts w:ascii="Arial" w:hAnsi="Arial" w:cs="Arial"/>
        </w:rPr>
      </w:pPr>
      <w:r w:rsidRPr="00B13297">
        <w:rPr>
          <w:rFonts w:ascii="Arial" w:hAnsi="Arial" w:cs="Arial"/>
        </w:rPr>
        <w:t>330 C Street, SW</w:t>
      </w:r>
    </w:p>
    <w:p w:rsidRPr="00B13297" w:rsidR="007F1081" w:rsidP="007F1081" w:rsidRDefault="007F1081" w14:paraId="01AB88EF" w14:textId="77777777">
      <w:pPr>
        <w:spacing w:line="240" w:lineRule="auto"/>
        <w:jc w:val="center"/>
        <w:rPr>
          <w:rFonts w:ascii="Arial" w:hAnsi="Arial" w:cs="Arial"/>
        </w:rPr>
      </w:pPr>
      <w:r w:rsidRPr="00B13297">
        <w:rPr>
          <w:rFonts w:ascii="Arial" w:hAnsi="Arial" w:cs="Arial"/>
        </w:rPr>
        <w:t>Washington, D.C. 20201</w:t>
      </w:r>
    </w:p>
    <w:p w:rsidRPr="00B13297" w:rsidR="007F1081" w:rsidP="007F1081" w:rsidRDefault="007F1081" w14:paraId="2CB0E914" w14:textId="77777777">
      <w:pPr>
        <w:spacing w:line="240" w:lineRule="auto"/>
        <w:jc w:val="center"/>
        <w:rPr>
          <w:rFonts w:ascii="Arial" w:hAnsi="Arial" w:cs="Arial"/>
        </w:rPr>
      </w:pPr>
    </w:p>
    <w:p w:rsidR="007F1081" w:rsidP="007F1081" w:rsidRDefault="007F1081" w14:paraId="19EA7D36" w14:textId="26D35821">
      <w:pPr>
        <w:spacing w:line="240" w:lineRule="auto"/>
        <w:jc w:val="center"/>
        <w:rPr>
          <w:rFonts w:ascii="Arial" w:hAnsi="Arial" w:cs="Arial"/>
        </w:rPr>
      </w:pPr>
      <w:r w:rsidRPr="00B13297">
        <w:rPr>
          <w:rFonts w:ascii="Arial" w:hAnsi="Arial" w:cs="Arial"/>
        </w:rPr>
        <w:t>Project Officers:</w:t>
      </w:r>
    </w:p>
    <w:p w:rsidRPr="00584EB7" w:rsidR="004D7101" w:rsidP="004D7101" w:rsidRDefault="004D7101" w14:paraId="59E7E384" w14:textId="77777777">
      <w:pPr>
        <w:spacing w:line="240" w:lineRule="auto"/>
        <w:jc w:val="center"/>
        <w:rPr>
          <w:rFonts w:ascii="Arial" w:hAnsi="Arial" w:cs="Arial"/>
        </w:rPr>
      </w:pPr>
      <w:r w:rsidRPr="00584EB7">
        <w:rPr>
          <w:rFonts w:ascii="Arial" w:hAnsi="Arial" w:cs="Arial"/>
        </w:rPr>
        <w:t>Ivelisse Martinez Beck</w:t>
      </w:r>
      <w:r>
        <w:rPr>
          <w:rFonts w:ascii="Arial" w:hAnsi="Arial" w:cs="Arial"/>
        </w:rPr>
        <w:t>, Ph.D.</w:t>
      </w:r>
    </w:p>
    <w:p w:rsidRPr="00584EB7" w:rsidR="004D7101" w:rsidP="004D7101" w:rsidRDefault="004D7101" w14:paraId="0A2598B7" w14:textId="581FB5DB">
      <w:pPr>
        <w:spacing w:line="240" w:lineRule="auto"/>
        <w:jc w:val="center"/>
        <w:rPr>
          <w:rFonts w:ascii="Arial" w:hAnsi="Arial" w:cs="Arial"/>
        </w:rPr>
      </w:pPr>
    </w:p>
    <w:p w:rsidRPr="002C4F75" w:rsidR="004D7101" w:rsidP="007F1081" w:rsidRDefault="004D7101" w14:paraId="14E8A329" w14:textId="77777777">
      <w:pPr>
        <w:spacing w:line="240" w:lineRule="auto"/>
        <w:jc w:val="center"/>
        <w:rPr>
          <w:rFonts w:ascii="Arial" w:hAnsi="Arial" w:cs="Arial"/>
        </w:rPr>
      </w:pPr>
    </w:p>
    <w:p w:rsidR="007F1081" w:rsidP="007F1081" w:rsidRDefault="007F1081" w14:paraId="53D23C09" w14:textId="77777777">
      <w:pPr>
        <w:spacing w:line="240" w:lineRule="auto"/>
        <w:jc w:val="center"/>
        <w:rPr>
          <w:b/>
        </w:rPr>
      </w:pPr>
    </w:p>
    <w:p w:rsidR="007F1081" w:rsidP="007F1081" w:rsidRDefault="007F1081" w14:paraId="435600AF" w14:textId="77777777">
      <w:pPr>
        <w:spacing w:line="240" w:lineRule="auto"/>
        <w:jc w:val="center"/>
        <w:rPr>
          <w:b/>
        </w:rPr>
      </w:pPr>
    </w:p>
    <w:p w:rsidR="00FF2000" w:rsidRDefault="00FF2000" w14:paraId="55650420" w14:textId="3B416D0E">
      <w:pPr>
        <w:spacing w:after="160" w:line="259" w:lineRule="auto"/>
        <w:rPr>
          <w:b/>
        </w:rPr>
      </w:pPr>
      <w:r>
        <w:rPr>
          <w:b/>
        </w:rPr>
        <w:br w:type="page"/>
      </w:r>
    </w:p>
    <w:p w:rsidRPr="00AD2433" w:rsidR="00416912" w:rsidP="00E10B21" w:rsidRDefault="00AD2433" w14:paraId="7DD4FE30" w14:textId="2F26C848">
      <w:pPr>
        <w:pStyle w:val="Heading1"/>
      </w:pPr>
      <w:r>
        <w:lastRenderedPageBreak/>
        <w:t>Part B</w:t>
      </w:r>
    </w:p>
    <w:p w:rsidRPr="00893069" w:rsidR="00B17E5E" w:rsidP="00D51820" w:rsidRDefault="00B17E5E" w14:paraId="1DD20ABC" w14:textId="77777777">
      <w:pPr>
        <w:pStyle w:val="Heading3"/>
        <w:spacing w:after="120"/>
      </w:pPr>
      <w:r w:rsidRPr="00893069">
        <w:t>B1.</w:t>
      </w:r>
      <w:r w:rsidRPr="00893069">
        <w:tab/>
        <w:t>Objectives</w:t>
      </w:r>
    </w:p>
    <w:p w:rsidRPr="00893069" w:rsidR="00E42AB4" w:rsidP="00D51820" w:rsidRDefault="00E42AB4" w14:paraId="1D7C165D" w14:textId="77777777">
      <w:pPr>
        <w:pStyle w:val="Heading5"/>
        <w:spacing w:after="60"/>
      </w:pPr>
      <w:r w:rsidRPr="00893069">
        <w:t>Study Objectives</w:t>
      </w:r>
    </w:p>
    <w:p w:rsidR="00E57435" w:rsidP="002C0B6F" w:rsidRDefault="00E57435" w14:paraId="48DD6BC2" w14:textId="0FC220D7">
      <w:pPr>
        <w:tabs>
          <w:tab w:val="left" w:pos="720"/>
        </w:tabs>
        <w:ind w:left="720" w:hanging="360"/>
      </w:pPr>
      <w:r>
        <w:t>•</w:t>
      </w:r>
      <w:r>
        <w:tab/>
        <w:t xml:space="preserve">Understand </w:t>
      </w:r>
      <w:r w:rsidR="002A5EA6">
        <w:t>child care</w:t>
      </w:r>
      <w:r w:rsidR="00A90C6C">
        <w:t xml:space="preserve"> </w:t>
      </w:r>
      <w:r w:rsidR="002A5EA6">
        <w:t>licensing</w:t>
      </w:r>
      <w:r>
        <w:t xml:space="preserve"> administrators’ views of the key issues and challenges for the licensing unit in implementing the </w:t>
      </w:r>
      <w:r w:rsidR="009D5623">
        <w:t>provisions</w:t>
      </w:r>
      <w:r w:rsidR="006E293C">
        <w:t xml:space="preserve"> of the </w:t>
      </w:r>
      <w:r w:rsidR="00897935">
        <w:t xml:space="preserve">reauthorized </w:t>
      </w:r>
      <w:r>
        <w:t xml:space="preserve">Child Care Development Block Grant (CCDBG) </w:t>
      </w:r>
      <w:r w:rsidR="00897935">
        <w:t xml:space="preserve">Act </w:t>
      </w:r>
      <w:r>
        <w:t>of 20</w:t>
      </w:r>
      <w:r w:rsidR="00603575">
        <w:t>14</w:t>
      </w:r>
      <w:r w:rsidR="007C604A">
        <w:t>;</w:t>
      </w:r>
    </w:p>
    <w:p w:rsidR="00E57435" w:rsidP="002C0B6F" w:rsidRDefault="00E57435" w14:paraId="717BC5C5" w14:textId="3AAA5F78">
      <w:pPr>
        <w:tabs>
          <w:tab w:val="left" w:pos="720"/>
        </w:tabs>
        <w:ind w:left="720" w:hanging="360"/>
      </w:pPr>
      <w:r>
        <w:t>•</w:t>
      </w:r>
      <w:r>
        <w:tab/>
        <w:t xml:space="preserve">Understand the extent to which </w:t>
      </w:r>
      <w:r w:rsidR="002A5EA6">
        <w:t>child care licensing</w:t>
      </w:r>
      <w:r>
        <w:t xml:space="preserve"> administrators use data to make decisions regarding licensing</w:t>
      </w:r>
      <w:r w:rsidR="007C604A">
        <w:t>;</w:t>
      </w:r>
    </w:p>
    <w:p w:rsidR="00E57435" w:rsidP="002C0B6F" w:rsidRDefault="00E57435" w14:paraId="345EFDAB" w14:textId="13900B05">
      <w:pPr>
        <w:tabs>
          <w:tab w:val="left" w:pos="720"/>
        </w:tabs>
        <w:ind w:left="720" w:hanging="360"/>
      </w:pPr>
      <w:r>
        <w:t>•</w:t>
      </w:r>
      <w:r>
        <w:tab/>
        <w:t xml:space="preserve">Identify pressing issues facing </w:t>
      </w:r>
      <w:r w:rsidR="002A5EA6">
        <w:t>child care licensing</w:t>
      </w:r>
      <w:r>
        <w:t xml:space="preserve"> staff that could be addressed via research</w:t>
      </w:r>
      <w:r w:rsidR="007C604A">
        <w:t>;</w:t>
      </w:r>
    </w:p>
    <w:p w:rsidR="00E57435" w:rsidP="002C0B6F" w:rsidRDefault="00E57435" w14:paraId="3B366090" w14:textId="275CA711">
      <w:pPr>
        <w:tabs>
          <w:tab w:val="left" w:pos="720"/>
        </w:tabs>
        <w:ind w:left="720" w:hanging="360"/>
      </w:pPr>
      <w:r>
        <w:t>•</w:t>
      </w:r>
      <w:r>
        <w:tab/>
        <w:t>Develop ideas for data-related resources to help strengthen state</w:t>
      </w:r>
      <w:r w:rsidR="00897935">
        <w:t>/territory</w:t>
      </w:r>
      <w:r>
        <w:t xml:space="preserve"> licensing systems</w:t>
      </w:r>
      <w:r w:rsidR="007C604A">
        <w:t>;</w:t>
      </w:r>
    </w:p>
    <w:p w:rsidR="00E57435" w:rsidP="002C0B6F" w:rsidRDefault="00E57435" w14:paraId="30234D2E" w14:textId="63C34B52">
      <w:pPr>
        <w:tabs>
          <w:tab w:val="left" w:pos="720"/>
        </w:tabs>
        <w:ind w:left="720" w:hanging="360"/>
      </w:pPr>
      <w:r>
        <w:t>•</w:t>
      </w:r>
      <w:r>
        <w:tab/>
        <w:t>Identify formats for resources that would be most useful to licensing staff</w:t>
      </w:r>
      <w:r w:rsidR="007C604A">
        <w:t>;</w:t>
      </w:r>
    </w:p>
    <w:p w:rsidR="00E57435" w:rsidP="002C0B6F" w:rsidRDefault="00E57435" w14:paraId="5554A185" w14:textId="2A97648B">
      <w:pPr>
        <w:tabs>
          <w:tab w:val="left" w:pos="720"/>
        </w:tabs>
        <w:ind w:left="720" w:hanging="360"/>
      </w:pPr>
      <w:r>
        <w:t>•</w:t>
      </w:r>
      <w:r>
        <w:tab/>
        <w:t>Identify states</w:t>
      </w:r>
      <w:r w:rsidR="00897935">
        <w:t>/territories</w:t>
      </w:r>
      <w:r>
        <w:t xml:space="preserve"> with which we might partner for future studies as part of the larger </w:t>
      </w:r>
      <w:r w:rsidR="00E46432">
        <w:t xml:space="preserve">project, The </w:t>
      </w:r>
      <w:r w:rsidRPr="00E57435">
        <w:t>Role of Licensing in Early Care and Education (TRLECE)</w:t>
      </w:r>
      <w:r w:rsidR="007C604A">
        <w:t>; and</w:t>
      </w:r>
    </w:p>
    <w:p w:rsidR="00E57435" w:rsidP="002C0B6F" w:rsidRDefault="00E57435" w14:paraId="2AC553EB" w14:textId="5866CBDB">
      <w:pPr>
        <w:tabs>
          <w:tab w:val="left" w:pos="720"/>
        </w:tabs>
        <w:ind w:left="720" w:hanging="360"/>
      </w:pPr>
      <w:r>
        <w:t>•</w:t>
      </w:r>
      <w:r>
        <w:tab/>
        <w:t>Learn about changes made to the licensing system in response to the COVID-19 pandemic,</w:t>
      </w:r>
      <w:r w:rsidR="00E07105">
        <w:t xml:space="preserve"> to inform future research questions and products</w:t>
      </w:r>
      <w:r>
        <w:t>.</w:t>
      </w:r>
    </w:p>
    <w:p w:rsidR="00DB3321" w:rsidP="00E10B21" w:rsidRDefault="00DB3321" w14:paraId="5240A27F" w14:textId="77777777"/>
    <w:p w:rsidR="00E42AB4" w:rsidP="0086136F" w:rsidRDefault="00E42AB4" w14:paraId="0A5B13D1" w14:textId="77777777">
      <w:pPr>
        <w:pStyle w:val="Heading5"/>
        <w:spacing w:after="60"/>
      </w:pPr>
      <w:r>
        <w:t xml:space="preserve">Generalizability of Results </w:t>
      </w:r>
    </w:p>
    <w:p w:rsidR="00924588" w:rsidP="00E10B21" w:rsidRDefault="00924588" w14:paraId="534A80AF" w14:textId="3275C346">
      <w:r>
        <w:t xml:space="preserve">This study is intended to present </w:t>
      </w:r>
      <w:r w:rsidR="00E46432">
        <w:t xml:space="preserve">an </w:t>
      </w:r>
      <w:r>
        <w:t xml:space="preserve">internally-valid description of </w:t>
      </w:r>
      <w:r w:rsidR="002A5EA6">
        <w:t>child care licensing</w:t>
      </w:r>
      <w:r>
        <w:t xml:space="preserve"> administrators’ experiences implementing </w:t>
      </w:r>
      <w:r w:rsidR="00897935">
        <w:t xml:space="preserve">the provisions of the reauthorized </w:t>
      </w:r>
      <w:r>
        <w:t xml:space="preserve">CCDBG </w:t>
      </w:r>
      <w:r w:rsidR="00897935">
        <w:t xml:space="preserve">Act of 2014 </w:t>
      </w:r>
      <w:r>
        <w:t>and addressing</w:t>
      </w:r>
      <w:r w:rsidR="007C604A">
        <w:t xml:space="preserve"> the</w:t>
      </w:r>
      <w:r>
        <w:t xml:space="preserve"> COVID-19 pandemic, use of data, and needs for data-related resources</w:t>
      </w:r>
      <w:r w:rsidR="00E46432">
        <w:t xml:space="preserve">. It is not intended </w:t>
      </w:r>
      <w:r>
        <w:t>to promote statistical generalization to other sites or service populations</w:t>
      </w:r>
      <w:r w:rsidR="00DB3321">
        <w:t xml:space="preserve">. </w:t>
      </w:r>
    </w:p>
    <w:p w:rsidR="00DB3321" w:rsidP="00E10B21" w:rsidRDefault="00DB3321" w14:paraId="67002F20" w14:textId="77777777"/>
    <w:p w:rsidR="00924588" w:rsidP="0086136F" w:rsidRDefault="00924588" w14:paraId="4FF71578" w14:textId="77777777">
      <w:pPr>
        <w:pStyle w:val="Heading5"/>
        <w:spacing w:after="60"/>
      </w:pPr>
      <w:r>
        <w:t xml:space="preserve">Appropriateness of Study Design and Methods for Planned Uses </w:t>
      </w:r>
    </w:p>
    <w:p w:rsidR="00E42AB4" w:rsidP="00E10B21" w:rsidRDefault="00E42AB4" w14:paraId="647AAE5D" w14:textId="0D1CD7F0">
      <w:r>
        <w:t xml:space="preserve">As noted in Supporting Statement A, this information is not intended to be used as the principal basis for public policy decisions and is not expected to meet the threshold of influential or highly influential scientific information.   </w:t>
      </w:r>
    </w:p>
    <w:p w:rsidR="00DB3321" w:rsidP="00E10B21" w:rsidRDefault="00DB3321" w14:paraId="2694C896" w14:textId="77777777"/>
    <w:p w:rsidR="00E4173F" w:rsidP="00E10B21" w:rsidRDefault="00EF35EB" w14:paraId="4269C8F7" w14:textId="58FBF477">
      <w:r>
        <w:t xml:space="preserve">We plan to the conduct interviews with the </w:t>
      </w:r>
      <w:r w:rsidR="002A5EA6">
        <w:t>child care licensing</w:t>
      </w:r>
      <w:r>
        <w:t xml:space="preserve"> administrator in each state and territory</w:t>
      </w:r>
      <w:r w:rsidR="00E4173F">
        <w:t>, as well as the District of Columbia (</w:t>
      </w:r>
      <w:r w:rsidRPr="00E4173F" w:rsidR="00E4173F">
        <w:rPr>
          <w:i/>
          <w:iCs/>
        </w:rPr>
        <w:t>n</w:t>
      </w:r>
      <w:r w:rsidR="00E4173F">
        <w:t xml:space="preserve"> = 56)</w:t>
      </w:r>
      <w:r w:rsidR="0008191C">
        <w:t>,</w:t>
      </w:r>
      <w:r w:rsidR="00EB37DD">
        <w:t xml:space="preserve"> and </w:t>
      </w:r>
      <w:r w:rsidR="00B0719E">
        <w:t>a</w:t>
      </w:r>
      <w:r w:rsidR="00EB37DD">
        <w:t xml:space="preserve"> staff member who is knowledgeable about the </w:t>
      </w:r>
      <w:r w:rsidR="002A5EA6">
        <w:t>child care licensing</w:t>
      </w:r>
      <w:r w:rsidR="00EB37DD">
        <w:t xml:space="preserve"> data system in each state, territory, and the District of Columbia (</w:t>
      </w:r>
      <w:r w:rsidRPr="00EB37DD" w:rsidR="00EB37DD">
        <w:rPr>
          <w:i/>
          <w:iCs/>
        </w:rPr>
        <w:t>n</w:t>
      </w:r>
      <w:r w:rsidR="000D2A1B">
        <w:rPr>
          <w:i/>
          <w:iCs/>
        </w:rPr>
        <w:t xml:space="preserve"> </w:t>
      </w:r>
      <w:r w:rsidR="00EB37DD">
        <w:t>=</w:t>
      </w:r>
      <w:r w:rsidR="000D2A1B">
        <w:t xml:space="preserve"> </w:t>
      </w:r>
      <w:r w:rsidR="00EB37DD">
        <w:t>56)</w:t>
      </w:r>
      <w:r w:rsidR="00E4173F">
        <w:t xml:space="preserve">. </w:t>
      </w:r>
    </w:p>
    <w:p w:rsidR="00DB3321" w:rsidP="00E10B21" w:rsidRDefault="00DB3321" w14:paraId="0F226317" w14:textId="77777777"/>
    <w:p w:rsidR="004D3CC3" w:rsidP="009D435E" w:rsidRDefault="00003AF8" w14:paraId="51E13F95" w14:textId="0A31AF96">
      <w:r>
        <w:t>As explained in section A1 of SSA and in section B2 of this support statement, b</w:t>
      </w:r>
      <w:r w:rsidR="004D3CC3">
        <w:t xml:space="preserve">ased on our prior work with </w:t>
      </w:r>
      <w:r w:rsidR="002A5EA6">
        <w:t>child care licensing</w:t>
      </w:r>
      <w:r w:rsidR="004D3CC3">
        <w:t xml:space="preserve">, we know that the issues faced by each state and territory are unique. The states and territories vary enormously in how their </w:t>
      </w:r>
      <w:r w:rsidR="002A5EA6">
        <w:t>child care licensing</w:t>
      </w:r>
      <w:r w:rsidR="004D3CC3">
        <w:t xml:space="preserve"> system is organized, </w:t>
      </w:r>
      <w:r w:rsidR="00891758">
        <w:t>which providers are require</w:t>
      </w:r>
      <w:r w:rsidR="00E8174A">
        <w:t>d</w:t>
      </w:r>
      <w:r w:rsidR="00891758">
        <w:t xml:space="preserve"> to be licensed, </w:t>
      </w:r>
      <w:r w:rsidR="0070634B">
        <w:t xml:space="preserve">their licensing regulations and </w:t>
      </w:r>
      <w:r w:rsidR="00891758">
        <w:t xml:space="preserve">monitoring responsibilities, </w:t>
      </w:r>
      <w:r w:rsidR="004D3CC3">
        <w:t xml:space="preserve">where the licensing staff and licensing data are housed, and their ability to access and use data. </w:t>
      </w:r>
      <w:r>
        <w:t xml:space="preserve">For that reason, it is important to collect data from </w:t>
      </w:r>
      <w:r w:rsidR="0086136F">
        <w:t xml:space="preserve">as many </w:t>
      </w:r>
      <w:r>
        <w:t>states and territories</w:t>
      </w:r>
      <w:r w:rsidR="0086136F">
        <w:t xml:space="preserve"> as possible</w:t>
      </w:r>
      <w:r w:rsidR="00E5787C">
        <w:t>, rather than from a sample,</w:t>
      </w:r>
      <w:r>
        <w:t xml:space="preserve"> to fully explore this variation and understand the full landscape of the issues</w:t>
      </w:r>
      <w:r w:rsidR="001261B5">
        <w:t xml:space="preserve"> to inform our later project work and </w:t>
      </w:r>
      <w:r w:rsidR="00B73756">
        <w:t>the Office of Planning, Research, and Evaluation’s (</w:t>
      </w:r>
      <w:r w:rsidR="001261B5">
        <w:t>OPRE</w:t>
      </w:r>
      <w:r w:rsidR="00B73756">
        <w:t>’s)</w:t>
      </w:r>
      <w:r w:rsidR="001261B5">
        <w:t xml:space="preserve"> research agenda</w:t>
      </w:r>
      <w:r>
        <w:t>.</w:t>
      </w:r>
      <w:r w:rsidR="00E5787C">
        <w:t xml:space="preserve"> </w:t>
      </w:r>
      <w:r w:rsidR="004D3CC3">
        <w:t>Qualitative interviews are ideal for situations like this where the range of possible responses is unknown. Interviews will allow us to gather deep and nuanced information to meet the study objectives.</w:t>
      </w:r>
    </w:p>
    <w:p w:rsidR="004D3CC3" w:rsidP="009D435E" w:rsidRDefault="004D3CC3" w14:paraId="421A02F2" w14:textId="77777777"/>
    <w:p w:rsidR="00EF35EB" w:rsidP="009D435E" w:rsidRDefault="00E4173F" w14:paraId="556E866E" w14:textId="46944B4F">
      <w:r>
        <w:t>The information gathered will be purely descriptive. We will not collect evaluation information and the information collected</w:t>
      </w:r>
      <w:r w:rsidR="00D257C7">
        <w:t xml:space="preserve"> will</w:t>
      </w:r>
      <w:r>
        <w:t xml:space="preserve"> not be used to assess state systems o</w:t>
      </w:r>
      <w:r w:rsidR="00BC799B">
        <w:t>r</w:t>
      </w:r>
      <w:r>
        <w:t xml:space="preserve"> evaluate impact. Key limitations will be included in written products associated with this study.</w:t>
      </w:r>
    </w:p>
    <w:p w:rsidR="00DB3321" w:rsidP="004D3CC3" w:rsidRDefault="00DB3321" w14:paraId="3A6FBBF2" w14:textId="77777777">
      <w:pPr>
        <w:spacing w:line="240" w:lineRule="auto"/>
      </w:pPr>
    </w:p>
    <w:p w:rsidR="00DB3321" w:rsidP="0086136F" w:rsidRDefault="00DB3321" w14:paraId="4629FAF0" w14:textId="77777777">
      <w:pPr>
        <w:pStyle w:val="Heading3"/>
        <w:spacing w:after="120" w:line="240" w:lineRule="auto"/>
      </w:pPr>
      <w:r>
        <w:t>B2.</w:t>
      </w:r>
      <w:r>
        <w:tab/>
        <w:t>Methods and Design</w:t>
      </w:r>
    </w:p>
    <w:p w:rsidR="00E42AB4" w:rsidP="0086136F" w:rsidRDefault="00E42AB4" w14:paraId="38986A47" w14:textId="18ABA74D">
      <w:pPr>
        <w:pStyle w:val="Heading5"/>
        <w:spacing w:after="60" w:line="240" w:lineRule="auto"/>
      </w:pPr>
      <w:r>
        <w:t xml:space="preserve">Target Population </w:t>
      </w:r>
    </w:p>
    <w:p w:rsidR="00E42AB4" w:rsidP="009D435E" w:rsidRDefault="00E42AB4" w14:paraId="0A45194D" w14:textId="0647470B">
      <w:r>
        <w:t>We will attempt to collect data from each state/territory</w:t>
      </w:r>
      <w:r w:rsidR="00BC799B">
        <w:t>,</w:t>
      </w:r>
      <w:r>
        <w:t xml:space="preserve"> and </w:t>
      </w:r>
      <w:r w:rsidR="004B41AE">
        <w:t xml:space="preserve">the </w:t>
      </w:r>
      <w:r>
        <w:t xml:space="preserve">state/territory will serve as the unit of analysis. In each state/territory, we will collect information from the </w:t>
      </w:r>
      <w:r w:rsidR="002A5EA6">
        <w:t>child care licensing</w:t>
      </w:r>
      <w:r>
        <w:t xml:space="preserve"> administrator</w:t>
      </w:r>
      <w:r w:rsidR="00EB37DD">
        <w:t xml:space="preserve"> and from </w:t>
      </w:r>
      <w:r w:rsidR="00B0719E">
        <w:t xml:space="preserve">a </w:t>
      </w:r>
      <w:r w:rsidR="00EB37DD">
        <w:t xml:space="preserve">staff member knowledgeable </w:t>
      </w:r>
      <w:r w:rsidR="00B0719E">
        <w:t xml:space="preserve">about </w:t>
      </w:r>
      <w:r w:rsidR="00EB37DD">
        <w:t xml:space="preserve">the </w:t>
      </w:r>
      <w:r w:rsidR="00C83BA8">
        <w:t>state’s/territory’s licensing data system</w:t>
      </w:r>
      <w:r>
        <w:t xml:space="preserve">. </w:t>
      </w:r>
    </w:p>
    <w:p w:rsidR="00DB3321" w:rsidP="00E10B21" w:rsidRDefault="00DB3321" w14:paraId="134D6439" w14:textId="77777777"/>
    <w:p w:rsidR="00402870" w:rsidP="0086136F" w:rsidRDefault="00402870" w14:paraId="6EC6DC49" w14:textId="57C0B0B5">
      <w:pPr>
        <w:pStyle w:val="Heading5"/>
        <w:spacing w:after="60"/>
      </w:pPr>
      <w:r>
        <w:t xml:space="preserve">Sampling </w:t>
      </w:r>
    </w:p>
    <w:p w:rsidR="006F19F4" w:rsidP="00E10B21" w:rsidRDefault="00402870" w14:paraId="65B5BBED" w14:textId="53191D8D">
      <w:pPr>
        <w:rPr>
          <w:rStyle w:val="CCEEPRAnormalChar"/>
        </w:rPr>
      </w:pPr>
      <w:r>
        <w:t xml:space="preserve">We </w:t>
      </w:r>
      <w:r w:rsidR="00003AF8">
        <w:t xml:space="preserve">plan </w:t>
      </w:r>
      <w:r w:rsidR="00583E82">
        <w:t xml:space="preserve">a census data collection, gathering information </w:t>
      </w:r>
      <w:r w:rsidR="002E4319">
        <w:t xml:space="preserve">from </w:t>
      </w:r>
      <w:r w:rsidR="0086136F">
        <w:t xml:space="preserve">as many </w:t>
      </w:r>
      <w:r w:rsidR="002E4319">
        <w:t>state</w:t>
      </w:r>
      <w:r w:rsidR="0086136F">
        <w:t>s</w:t>
      </w:r>
      <w:r w:rsidR="002E4319">
        <w:t>/territor</w:t>
      </w:r>
      <w:r w:rsidR="0086136F">
        <w:t>ies as possible</w:t>
      </w:r>
      <w:r w:rsidR="00583E82">
        <w:t>,</w:t>
      </w:r>
      <w:r w:rsidR="002E4319">
        <w:t xml:space="preserve"> </w:t>
      </w:r>
      <w:r w:rsidR="002E4319">
        <w:rPr>
          <w:rStyle w:val="CCEEPRAnormalChar"/>
        </w:rPr>
        <w:t xml:space="preserve">because of the </w:t>
      </w:r>
      <w:r w:rsidRPr="00B70EE9" w:rsidR="002E4319">
        <w:rPr>
          <w:rStyle w:val="CCEEPRAnormalChar"/>
        </w:rPr>
        <w:t xml:space="preserve">variability in licensing systems across states and territories, the differential impact of COVID-19, and the </w:t>
      </w:r>
      <w:r w:rsidR="002E4319">
        <w:rPr>
          <w:rStyle w:val="CCEEPRAnormalChar"/>
        </w:rPr>
        <w:t>importance of</w:t>
      </w:r>
      <w:r w:rsidRPr="00B70EE9" w:rsidR="002E4319">
        <w:rPr>
          <w:rStyle w:val="CCEEPRAnormalChar"/>
        </w:rPr>
        <w:t xml:space="preserve"> understand</w:t>
      </w:r>
      <w:r w:rsidR="002E4319">
        <w:rPr>
          <w:rStyle w:val="CCEEPRAnormalChar"/>
        </w:rPr>
        <w:t>ing</w:t>
      </w:r>
      <w:r w:rsidRPr="00B70EE9" w:rsidR="002E4319">
        <w:rPr>
          <w:rStyle w:val="CCEEPRAnormalChar"/>
        </w:rPr>
        <w:t xml:space="preserve"> each state/territory’s needs in order to develop useful resources</w:t>
      </w:r>
      <w:r w:rsidR="004E20B9">
        <w:rPr>
          <w:rStyle w:val="CCEEPRAnormalChar"/>
        </w:rPr>
        <w:t xml:space="preserve"> </w:t>
      </w:r>
      <w:r w:rsidR="00897935">
        <w:rPr>
          <w:rStyle w:val="CCEEPRAnormalChar"/>
        </w:rPr>
        <w:t xml:space="preserve">to support their decision-making </w:t>
      </w:r>
      <w:r w:rsidR="004E20B9">
        <w:rPr>
          <w:rStyle w:val="CCEEPRAnormalChar"/>
        </w:rPr>
        <w:t xml:space="preserve">and </w:t>
      </w:r>
      <w:r w:rsidR="003023B0">
        <w:rPr>
          <w:rStyle w:val="CCEEPRAnormalChar"/>
        </w:rPr>
        <w:t xml:space="preserve">to </w:t>
      </w:r>
      <w:r w:rsidR="004E20B9">
        <w:rPr>
          <w:rStyle w:val="CCEEPRAnormalChar"/>
        </w:rPr>
        <w:t xml:space="preserve">identify research priorities for </w:t>
      </w:r>
      <w:r w:rsidR="002354A5">
        <w:rPr>
          <w:rStyle w:val="CCEEPRAnormalChar"/>
        </w:rPr>
        <w:t xml:space="preserve">the </w:t>
      </w:r>
      <w:r w:rsidR="004E20B9">
        <w:rPr>
          <w:rStyle w:val="CCEEPRAnormalChar"/>
        </w:rPr>
        <w:t>TRLECE</w:t>
      </w:r>
      <w:r w:rsidR="002354A5">
        <w:rPr>
          <w:rStyle w:val="CCEEPRAnormalChar"/>
        </w:rPr>
        <w:t xml:space="preserve"> project</w:t>
      </w:r>
      <w:r w:rsidR="004E20B9">
        <w:rPr>
          <w:rStyle w:val="CCEEPRAnormalChar"/>
        </w:rPr>
        <w:t xml:space="preserve"> and </w:t>
      </w:r>
      <w:r w:rsidR="002354A5">
        <w:rPr>
          <w:rStyle w:val="CCEEPRAnormalChar"/>
        </w:rPr>
        <w:t xml:space="preserve">for </w:t>
      </w:r>
      <w:r w:rsidR="004E20B9">
        <w:rPr>
          <w:rStyle w:val="CCEEPRAnormalChar"/>
        </w:rPr>
        <w:t>OPRE</w:t>
      </w:r>
      <w:r w:rsidR="002E4319">
        <w:rPr>
          <w:rStyle w:val="CCEEPRAnormalChar"/>
        </w:rPr>
        <w:t xml:space="preserve">. </w:t>
      </w:r>
      <w:r w:rsidR="006F19F4">
        <w:rPr>
          <w:rStyle w:val="CCEEPRAnormalChar"/>
        </w:rPr>
        <w:t>For instance, we know that</w:t>
      </w:r>
      <w:r w:rsidR="003E45DA">
        <w:rPr>
          <w:rStyle w:val="CCEEPRAnormalChar"/>
        </w:rPr>
        <w:t xml:space="preserve"> in some states and territories </w:t>
      </w:r>
      <w:r w:rsidR="006F19F4">
        <w:rPr>
          <w:rStyle w:val="CCEEPRAnormalChar"/>
        </w:rPr>
        <w:t xml:space="preserve">the </w:t>
      </w:r>
      <w:r w:rsidR="002A5EA6">
        <w:rPr>
          <w:rStyle w:val="CCEEPRAnormalChar"/>
        </w:rPr>
        <w:t>child care licensing</w:t>
      </w:r>
      <w:r w:rsidR="006F19F4">
        <w:rPr>
          <w:rStyle w:val="CCEEPRAnormalChar"/>
        </w:rPr>
        <w:t xml:space="preserve"> </w:t>
      </w:r>
      <w:r w:rsidR="004E20B9">
        <w:rPr>
          <w:rStyle w:val="CCEEPRAnormalChar"/>
        </w:rPr>
        <w:t xml:space="preserve">unit </w:t>
      </w:r>
      <w:r w:rsidR="006F19F4">
        <w:rPr>
          <w:rStyle w:val="CCEEPRAnormalChar"/>
        </w:rPr>
        <w:t xml:space="preserve">is in the same agency as the </w:t>
      </w:r>
      <w:r w:rsidR="004E20B9">
        <w:rPr>
          <w:rStyle w:val="CCEEPRAnormalChar"/>
        </w:rPr>
        <w:t>Child Care and Development Fund (CCDF) administrator, who oversees implementation of the CCDBG Reauthorization</w:t>
      </w:r>
      <w:r w:rsidR="00647788">
        <w:rPr>
          <w:rStyle w:val="CCEEPRAnormalChar"/>
        </w:rPr>
        <w:t xml:space="preserve"> that includes licensing-related requirements</w:t>
      </w:r>
      <w:r w:rsidR="004E20B9">
        <w:rPr>
          <w:rStyle w:val="CCEEPRAnormalChar"/>
        </w:rPr>
        <w:t xml:space="preserve">; in other states, they are in separate agencies. </w:t>
      </w:r>
      <w:r w:rsidR="00A668D9">
        <w:rPr>
          <w:rStyle w:val="CCEEPRAnormalChar"/>
        </w:rPr>
        <w:t>States</w:t>
      </w:r>
      <w:r w:rsidR="003023B0">
        <w:rPr>
          <w:rStyle w:val="CCEEPRAnormalChar"/>
        </w:rPr>
        <w:t>/territories</w:t>
      </w:r>
      <w:r w:rsidR="00A668D9">
        <w:rPr>
          <w:rStyle w:val="CCEEPRAnormalChar"/>
        </w:rPr>
        <w:t xml:space="preserve"> vary in their requirements about who must be licensed and who is exempt from licensing. Some licensing units have access to a researcher while others do not. Data systems also vary widely, with some states</w:t>
      </w:r>
      <w:r w:rsidR="003023B0">
        <w:rPr>
          <w:rStyle w:val="CCEEPRAnormalChar"/>
        </w:rPr>
        <w:t>/territories</w:t>
      </w:r>
      <w:r w:rsidR="00A668D9">
        <w:rPr>
          <w:rStyle w:val="CCEEPRAnormalChar"/>
        </w:rPr>
        <w:t xml:space="preserve"> having old data systems that are challenging to </w:t>
      </w:r>
      <w:r w:rsidR="005562AD">
        <w:rPr>
          <w:rStyle w:val="CCEEPRAnormalChar"/>
        </w:rPr>
        <w:t xml:space="preserve">link </w:t>
      </w:r>
      <w:r w:rsidR="00A668D9">
        <w:rPr>
          <w:rStyle w:val="CCEEPRAnormalChar"/>
        </w:rPr>
        <w:t xml:space="preserve">to other data systems </w:t>
      </w:r>
      <w:r w:rsidR="0077558E">
        <w:rPr>
          <w:rStyle w:val="CCEEPRAnormalChar"/>
        </w:rPr>
        <w:t xml:space="preserve">and </w:t>
      </w:r>
      <w:r w:rsidR="00A668D9">
        <w:rPr>
          <w:rStyle w:val="CCEEPRAnormalChar"/>
        </w:rPr>
        <w:t>other states</w:t>
      </w:r>
      <w:r w:rsidR="003023B0">
        <w:rPr>
          <w:rStyle w:val="CCEEPRAnormalChar"/>
        </w:rPr>
        <w:t>/territories</w:t>
      </w:r>
      <w:r w:rsidR="00A668D9">
        <w:rPr>
          <w:rStyle w:val="CCEEPRAnormalChar"/>
        </w:rPr>
        <w:t xml:space="preserve"> hav</w:t>
      </w:r>
      <w:r w:rsidR="00647788">
        <w:rPr>
          <w:rStyle w:val="CCEEPRAnormalChar"/>
        </w:rPr>
        <w:t>ing</w:t>
      </w:r>
      <w:r w:rsidR="00A668D9">
        <w:rPr>
          <w:rStyle w:val="CCEEPRAnormalChar"/>
        </w:rPr>
        <w:t xml:space="preserve"> data systems that</w:t>
      </w:r>
      <w:r w:rsidR="00944096">
        <w:rPr>
          <w:rStyle w:val="CCEEPRAnormalChar"/>
        </w:rPr>
        <w:t xml:space="preserve"> link </w:t>
      </w:r>
      <w:r w:rsidR="00A668D9">
        <w:rPr>
          <w:rStyle w:val="CCEEPRAnormalChar"/>
        </w:rPr>
        <w:t xml:space="preserve">information from various sources. </w:t>
      </w:r>
      <w:r w:rsidR="003E45DA">
        <w:rPr>
          <w:rStyle w:val="CCEEPRAnormalChar"/>
        </w:rPr>
        <w:t xml:space="preserve">Finally, there </w:t>
      </w:r>
      <w:r w:rsidR="00647788">
        <w:rPr>
          <w:rStyle w:val="CCEEPRAnormalChar"/>
        </w:rPr>
        <w:t>has been</w:t>
      </w:r>
      <w:r w:rsidR="003E45DA">
        <w:rPr>
          <w:rStyle w:val="CCEEPRAnormalChar"/>
        </w:rPr>
        <w:t xml:space="preserve"> wide variation in how COVID-19 impacted states</w:t>
      </w:r>
      <w:r w:rsidR="003023B0">
        <w:rPr>
          <w:rStyle w:val="CCEEPRAnormalChar"/>
        </w:rPr>
        <w:t>/territories</w:t>
      </w:r>
      <w:r w:rsidR="003E45DA">
        <w:rPr>
          <w:rStyle w:val="CCEEPRAnormalChar"/>
        </w:rPr>
        <w:t xml:space="preserve"> and how their licensing systems responded, with some states</w:t>
      </w:r>
      <w:r w:rsidR="003023B0">
        <w:rPr>
          <w:rStyle w:val="CCEEPRAnormalChar"/>
        </w:rPr>
        <w:t>/territories</w:t>
      </w:r>
      <w:r w:rsidR="003E45DA">
        <w:rPr>
          <w:rStyle w:val="CCEEPRAnormalChar"/>
        </w:rPr>
        <w:t xml:space="preserve"> closing almost all licensed child care and others working to keep as much open as possible</w:t>
      </w:r>
      <w:r w:rsidR="00B24379">
        <w:rPr>
          <w:rStyle w:val="CCEEPRAnormalChar"/>
        </w:rPr>
        <w:t>.</w:t>
      </w:r>
      <w:r w:rsidR="003E45DA">
        <w:rPr>
          <w:rStyle w:val="CCEEPRAnormalChar"/>
        </w:rPr>
        <w:t xml:space="preserve"> </w:t>
      </w:r>
    </w:p>
    <w:p w:rsidR="006F19F4" w:rsidP="00E10B21" w:rsidRDefault="006F19F4" w14:paraId="1AEE982E" w14:textId="77777777">
      <w:pPr>
        <w:rPr>
          <w:rStyle w:val="CCEEPRAnormalChar"/>
        </w:rPr>
      </w:pPr>
    </w:p>
    <w:p w:rsidR="002E4319" w:rsidP="00E10B21" w:rsidRDefault="006F19F4" w14:paraId="1B3860BD" w14:textId="121A3F7E">
      <w:pPr>
        <w:rPr>
          <w:rStyle w:val="CCEEPRAnormalChar"/>
        </w:rPr>
      </w:pPr>
      <w:r>
        <w:rPr>
          <w:rStyle w:val="CCEEPRAnormalChar"/>
        </w:rPr>
        <w:t xml:space="preserve">For this </w:t>
      </w:r>
      <w:r w:rsidR="00C4381F">
        <w:rPr>
          <w:rStyle w:val="CCEEPRAnormalChar"/>
        </w:rPr>
        <w:t>study</w:t>
      </w:r>
      <w:r w:rsidR="003023B0">
        <w:rPr>
          <w:rStyle w:val="CCEEPRAnormalChar"/>
        </w:rPr>
        <w:t>,</w:t>
      </w:r>
      <w:r w:rsidR="00C4381F">
        <w:rPr>
          <w:rStyle w:val="CCEEPRAnormalChar"/>
        </w:rPr>
        <w:t xml:space="preserve"> </w:t>
      </w:r>
      <w:r w:rsidR="003023B0">
        <w:rPr>
          <w:rStyle w:val="CCEEPRAnormalChar"/>
        </w:rPr>
        <w:t xml:space="preserve">it is important to collect information from </w:t>
      </w:r>
      <w:r w:rsidR="0086136F">
        <w:rPr>
          <w:rStyle w:val="CCEEPRAnormalChar"/>
        </w:rPr>
        <w:t>as many</w:t>
      </w:r>
      <w:r w:rsidR="003023B0">
        <w:rPr>
          <w:rStyle w:val="CCEEPRAnormalChar"/>
        </w:rPr>
        <w:t xml:space="preserve"> states and territories </w:t>
      </w:r>
      <w:r w:rsidR="0086136F">
        <w:rPr>
          <w:rStyle w:val="CCEEPRAnormalChar"/>
        </w:rPr>
        <w:t xml:space="preserve">as possible </w:t>
      </w:r>
      <w:r>
        <w:rPr>
          <w:rStyle w:val="CCEEPRAnormalChar"/>
        </w:rPr>
        <w:t xml:space="preserve">to thoroughly understand </w:t>
      </w:r>
      <w:r w:rsidR="00A800E2">
        <w:rPr>
          <w:rStyle w:val="CCEEPRAnormalChar"/>
        </w:rPr>
        <w:t>this</w:t>
      </w:r>
      <w:r>
        <w:rPr>
          <w:rStyle w:val="CCEEPRAnormalChar"/>
        </w:rPr>
        <w:t xml:space="preserve"> variation</w:t>
      </w:r>
      <w:r w:rsidR="0008191C">
        <w:rPr>
          <w:rStyle w:val="CCEEPRAnormalChar"/>
        </w:rPr>
        <w:t>, which will help</w:t>
      </w:r>
      <w:r>
        <w:rPr>
          <w:rStyle w:val="CCEEPRAnormalChar"/>
        </w:rPr>
        <w:t xml:space="preserve"> identify pressing research questions</w:t>
      </w:r>
      <w:r w:rsidR="003E45DA">
        <w:rPr>
          <w:rStyle w:val="CCEEPRAnormalChar"/>
        </w:rPr>
        <w:t xml:space="preserve"> and create products that are useful to all </w:t>
      </w:r>
      <w:r w:rsidR="00B24379">
        <w:rPr>
          <w:rStyle w:val="CCEEPRAnormalChar"/>
        </w:rPr>
        <w:t>states and territories</w:t>
      </w:r>
      <w:r w:rsidR="003E45DA">
        <w:rPr>
          <w:rStyle w:val="CCEEPRAnormalChar"/>
        </w:rPr>
        <w:t xml:space="preserve">. </w:t>
      </w:r>
      <w:r w:rsidR="002E4319">
        <w:rPr>
          <w:rStyle w:val="CCEEPRAnormalChar"/>
        </w:rPr>
        <w:t>Selecting a sample of states</w:t>
      </w:r>
      <w:r w:rsidR="0088276F">
        <w:rPr>
          <w:rStyle w:val="CCEEPRAnormalChar"/>
        </w:rPr>
        <w:t>/territories</w:t>
      </w:r>
      <w:r w:rsidR="002E4319">
        <w:rPr>
          <w:rStyle w:val="CCEEPRAnormalChar"/>
        </w:rPr>
        <w:t xml:space="preserve"> would not provide a complete picture of the </w:t>
      </w:r>
      <w:r w:rsidR="002A5EA6">
        <w:rPr>
          <w:rStyle w:val="CCEEPRAnormalChar"/>
        </w:rPr>
        <w:t>child care licensing</w:t>
      </w:r>
      <w:r w:rsidR="002E4319">
        <w:rPr>
          <w:rStyle w:val="CCEEPRAnormalChar"/>
        </w:rPr>
        <w:t xml:space="preserve"> system</w:t>
      </w:r>
      <w:r w:rsidR="0086136F">
        <w:rPr>
          <w:rStyle w:val="CCEEPRAnormalChar"/>
        </w:rPr>
        <w:t xml:space="preserve"> so requesting participation from all 56 states/territories is necessary</w:t>
      </w:r>
      <w:r w:rsidR="002E4319">
        <w:rPr>
          <w:rStyle w:val="CCEEPRAnormalChar"/>
        </w:rPr>
        <w:t>.</w:t>
      </w:r>
      <w:r w:rsidR="0086136F">
        <w:rPr>
          <w:rStyle w:val="CCEEPRAnormalChar"/>
        </w:rPr>
        <w:t xml:space="preserve"> </w:t>
      </w:r>
      <w:r w:rsidR="002E4319">
        <w:rPr>
          <w:rStyle w:val="CCEEPRAnormalChar"/>
        </w:rPr>
        <w:t xml:space="preserve"> </w:t>
      </w:r>
    </w:p>
    <w:p w:rsidR="00DB3321" w:rsidP="00E10B21" w:rsidRDefault="00DB3321" w14:paraId="038AB93A" w14:textId="77777777">
      <w:pPr>
        <w:rPr>
          <w:rStyle w:val="CCEEPRAnormalChar"/>
        </w:rPr>
      </w:pPr>
    </w:p>
    <w:p w:rsidR="002E4319" w:rsidP="0086136F" w:rsidRDefault="00DB3321" w14:paraId="5B79A115" w14:textId="010DCD96">
      <w:pPr>
        <w:pStyle w:val="Heading3"/>
        <w:spacing w:after="120"/>
      </w:pPr>
      <w:r>
        <w:t>B3.</w:t>
      </w:r>
      <w:r>
        <w:tab/>
      </w:r>
      <w:r w:rsidR="002E4319">
        <w:t>Design of Data Collection Instruments</w:t>
      </w:r>
    </w:p>
    <w:p w:rsidR="002E4319" w:rsidP="0086136F" w:rsidRDefault="002E4319" w14:paraId="642592C9" w14:textId="227B7482">
      <w:pPr>
        <w:pStyle w:val="Heading5"/>
        <w:spacing w:after="60"/>
      </w:pPr>
      <w:r>
        <w:t>Development of Data Collection Instruments</w:t>
      </w:r>
    </w:p>
    <w:p w:rsidR="000C2254" w:rsidP="00347BDE" w:rsidRDefault="005C087D" w14:paraId="019B81E1" w14:textId="1EABD607">
      <w:r>
        <w:t>I</w:t>
      </w:r>
      <w:r w:rsidR="001D13C3">
        <w:t>nitial</w:t>
      </w:r>
      <w:r w:rsidRPr="00E73600" w:rsidR="001D13C3">
        <w:t xml:space="preserve"> </w:t>
      </w:r>
      <w:r w:rsidRPr="00E73600" w:rsidR="00A34A42">
        <w:t>draft interview protocol</w:t>
      </w:r>
      <w:r w:rsidR="00C83BA8">
        <w:t>s</w:t>
      </w:r>
      <w:r w:rsidRPr="00E73600" w:rsidR="002E4319">
        <w:t xml:space="preserve"> </w:t>
      </w:r>
      <w:r>
        <w:t xml:space="preserve">were developed </w:t>
      </w:r>
      <w:r w:rsidRPr="00E73600" w:rsidR="00A0226C">
        <w:t xml:space="preserve">based on </w:t>
      </w:r>
      <w:r w:rsidRPr="00E73600" w:rsidR="002E4319">
        <w:t>OPRE</w:t>
      </w:r>
      <w:r>
        <w:t>’s</w:t>
      </w:r>
      <w:r w:rsidRPr="00E73600" w:rsidR="00A0226C">
        <w:t xml:space="preserve"> goals and objectives</w:t>
      </w:r>
      <w:r>
        <w:t xml:space="preserve"> for the project</w:t>
      </w:r>
      <w:r w:rsidRPr="00E73600" w:rsidR="002E4319">
        <w:t xml:space="preserve">. </w:t>
      </w:r>
      <w:r>
        <w:t>The team was</w:t>
      </w:r>
      <w:r w:rsidRPr="00E73600" w:rsidR="00A34A42">
        <w:t xml:space="preserve"> careful to review other data sources that might include relevant information (e.</w:t>
      </w:r>
      <w:r w:rsidRPr="00E73600" w:rsidR="00FD7586">
        <w:t>g.</w:t>
      </w:r>
      <w:r w:rsidRPr="00E73600" w:rsidR="00A34A42">
        <w:t>, 2017 Child Care Licensing S</w:t>
      </w:r>
      <w:r w:rsidRPr="00E73600" w:rsidR="00193134">
        <w:t>tudy s</w:t>
      </w:r>
      <w:r w:rsidRPr="00E73600" w:rsidR="00A34A42">
        <w:t xml:space="preserve">urvey and NARA’s COVID-19 survey) to ensure there was no duplication. </w:t>
      </w:r>
      <w:r w:rsidR="001D13C3">
        <w:t>Once we had a working draft, we sought input from several groups of individuals and revised the dra</w:t>
      </w:r>
      <w:r w:rsidR="00583E82">
        <w:t>f</w:t>
      </w:r>
      <w:r w:rsidR="001D13C3">
        <w:t xml:space="preserve">t after each consultation. The groups that provided information were: 1) </w:t>
      </w:r>
      <w:r w:rsidRPr="00315824" w:rsidR="001D13C3">
        <w:t xml:space="preserve">a subgroup of the </w:t>
      </w:r>
      <w:r w:rsidR="001D13C3">
        <w:t>TRLECE’s</w:t>
      </w:r>
      <w:r w:rsidRPr="00315824" w:rsidR="001D13C3">
        <w:t xml:space="preserve"> technical expert panel (TEP) members</w:t>
      </w:r>
      <w:r w:rsidR="001D13C3">
        <w:t xml:space="preserve">, including researchers and </w:t>
      </w:r>
      <w:r w:rsidRPr="00315824" w:rsidR="001D13C3">
        <w:t>national TA center staff who are familiar with current state/territory licensing efforts and who were formerly state licensing agency staff</w:t>
      </w:r>
      <w:r w:rsidR="001D13C3">
        <w:t>; 2) OCC staff;</w:t>
      </w:r>
      <w:r w:rsidR="00583E82">
        <w:t xml:space="preserve"> and </w:t>
      </w:r>
      <w:r w:rsidR="001D13C3">
        <w:t xml:space="preserve">3) four pilot participants including </w:t>
      </w:r>
      <w:r w:rsidRPr="009A2CD4" w:rsidR="001D13C3">
        <w:t xml:space="preserve">two past </w:t>
      </w:r>
      <w:r w:rsidR="001D13C3">
        <w:t xml:space="preserve">child </w:t>
      </w:r>
      <w:r w:rsidRPr="009A2CD4" w:rsidR="001D13C3">
        <w:t xml:space="preserve">licensing administrators and </w:t>
      </w:r>
      <w:r w:rsidR="001D13C3">
        <w:t xml:space="preserve">two people </w:t>
      </w:r>
      <w:r w:rsidRPr="009A2CD4" w:rsidR="001D13C3">
        <w:t xml:space="preserve">who </w:t>
      </w:r>
      <w:r w:rsidR="001D13C3">
        <w:t>were</w:t>
      </w:r>
      <w:r w:rsidRPr="009A2CD4" w:rsidR="001D13C3">
        <w:t xml:space="preserve"> knowledgeable of state/territory licensing data</w:t>
      </w:r>
      <w:r w:rsidR="001D13C3">
        <w:t xml:space="preserve">. </w:t>
      </w:r>
    </w:p>
    <w:p w:rsidR="00962CED" w:rsidP="00347BDE" w:rsidRDefault="00962CED" w14:paraId="0B942B84" w14:textId="77777777"/>
    <w:p w:rsidR="008E74F9" w:rsidP="00962CED" w:rsidRDefault="008E74F9" w14:paraId="7BB7C384" w14:textId="23763FA4">
      <w:r>
        <w:t>During pilot tests</w:t>
      </w:r>
      <w:r w:rsidR="0008191C">
        <w:t>,</w:t>
      </w:r>
      <w:r>
        <w:t xml:space="preserve"> </w:t>
      </w:r>
      <w:r w:rsidRPr="00315824">
        <w:t>we administer</w:t>
      </w:r>
      <w:r w:rsidR="0008191C">
        <w:t>ed</w:t>
      </w:r>
      <w:r w:rsidRPr="00315824">
        <w:t xml:space="preserve"> the entire protocol to get an estimate of burden. Then, we ask</w:t>
      </w:r>
      <w:r>
        <w:t>ed</w:t>
      </w:r>
      <w:r w:rsidRPr="00315824">
        <w:t xml:space="preserve"> respondents for feedback on the questions (e.g., clarity) and discuss</w:t>
      </w:r>
      <w:r>
        <w:t>ed</w:t>
      </w:r>
      <w:r w:rsidRPr="00315824">
        <w:t xml:space="preserve"> responses that were different from what we anticipated because those might suggest lack of clarity in the question. We also ask</w:t>
      </w:r>
      <w:r>
        <w:t>ed</w:t>
      </w:r>
      <w:r w:rsidRPr="00315824">
        <w:t xml:space="preserve"> them for general feedback and suggestions for obtaining a high response rate</w:t>
      </w:r>
      <w:r>
        <w:t xml:space="preserve"> and used their feedback to update the protocol and email text. </w:t>
      </w:r>
      <w:r w:rsidR="00CE0635">
        <w:t>From</w:t>
      </w:r>
      <w:r w:rsidR="0008191C">
        <w:t xml:space="preserve"> the first pilot interview, </w:t>
      </w:r>
      <w:r w:rsidR="00CE0635">
        <w:t>w</w:t>
      </w:r>
      <w:r>
        <w:t xml:space="preserve">e learned that that draft was too long and included too many </w:t>
      </w:r>
      <w:r>
        <w:t xml:space="preserve">prompts. We then revised the tool and shared it with a second former licensing state </w:t>
      </w:r>
      <w:r w:rsidR="002A5EA6">
        <w:t>child care licensing</w:t>
      </w:r>
      <w:r>
        <w:t xml:space="preserve"> administrator to get her input. Following that conversation, we revised the tool once again</w:t>
      </w:r>
      <w:r w:rsidR="00167702">
        <w:t xml:space="preserve">, engaged additional federal staff within OPRE and OCC and then finalized the protocol. We then </w:t>
      </w:r>
      <w:bookmarkStart w:name="_GoBack" w:id="0"/>
      <w:bookmarkEnd w:id="0"/>
      <w:r>
        <w:t xml:space="preserve">administered it, in full, to the second state </w:t>
      </w:r>
      <w:r w:rsidR="002A5EA6">
        <w:t>child care licensing</w:t>
      </w:r>
      <w:r>
        <w:t xml:space="preserve"> administrator to estimate burden. </w:t>
      </w:r>
    </w:p>
    <w:p w:rsidRPr="00315824" w:rsidR="008E74F9" w:rsidP="008E74F9" w:rsidRDefault="008E74F9" w14:paraId="53D490D8" w14:textId="77777777"/>
    <w:p w:rsidRPr="00315824" w:rsidR="008E74F9" w:rsidP="008E74F9" w:rsidRDefault="00167702" w14:paraId="1CC58BE8" w14:textId="6B44333A">
      <w:r>
        <w:t xml:space="preserve">Through pilot testing, we did not ask the same question of more than 9 individuals. </w:t>
      </w:r>
      <w:r w:rsidR="008E74F9">
        <w:t xml:space="preserve">None of the pilot test respondents were </w:t>
      </w:r>
      <w:r w:rsidRPr="009A2CD4" w:rsidR="008E74F9">
        <w:t>TEP members who reviewed the earlier version of the interview protocol</w:t>
      </w:r>
      <w:r w:rsidR="0008191C">
        <w:t xml:space="preserve"> nor </w:t>
      </w:r>
      <w:r w:rsidRPr="009A2CD4" w:rsidR="008E74F9">
        <w:t>current state licensing staff</w:t>
      </w:r>
      <w:r w:rsidR="008E74F9">
        <w:t xml:space="preserve"> who will be invited to participate in the study</w:t>
      </w:r>
      <w:r w:rsidRPr="009A2CD4" w:rsidR="008E74F9">
        <w:t xml:space="preserve">. </w:t>
      </w:r>
    </w:p>
    <w:p w:rsidR="008E74F9" w:rsidP="00347BDE" w:rsidRDefault="008E74F9" w14:paraId="17CBACFA" w14:textId="77777777"/>
    <w:p w:rsidR="004F760B" w:rsidP="00347BDE" w:rsidRDefault="004F760B" w14:paraId="11E40796" w14:textId="563AAB1D">
      <w:r>
        <w:t>T</w:t>
      </w:r>
      <w:r w:rsidR="00D33CD7">
        <w:t xml:space="preserve">able 1 </w:t>
      </w:r>
      <w:r>
        <w:t xml:space="preserve">outlines how each study objective </w:t>
      </w:r>
      <w:r w:rsidR="000E4D2C">
        <w:t>will be addressed in the Licensing Administrator and Data Systems interviews.</w:t>
      </w:r>
    </w:p>
    <w:p w:rsidR="008A5312" w:rsidP="00347BDE" w:rsidRDefault="008A5312" w14:paraId="2F78112D" w14:textId="3E044491"/>
    <w:p w:rsidR="002A5EA6" w:rsidP="009D435E" w:rsidRDefault="00D33CD7" w14:paraId="74225623" w14:textId="6522C6A8">
      <w:pPr>
        <w:keepNext/>
      </w:pPr>
      <w:r>
        <w:t>Table 1</w:t>
      </w:r>
      <w:r w:rsidR="00874826">
        <w:t>.</w:t>
      </w:r>
      <w:r>
        <w:t xml:space="preserve"> </w:t>
      </w:r>
      <w:r w:rsidR="00F2207A">
        <w:t>Crosswalk of Study Objectives and Research Questions</w:t>
      </w:r>
    </w:p>
    <w:tbl>
      <w:tblPr>
        <w:tblStyle w:val="TableGrid"/>
        <w:tblW w:w="5000" w:type="pct"/>
        <w:jc w:val="center"/>
        <w:tblInd w:w="0" w:type="dxa"/>
        <w:tblLook w:val="04A0" w:firstRow="1" w:lastRow="0" w:firstColumn="1" w:lastColumn="0" w:noHBand="0" w:noVBand="1"/>
      </w:tblPr>
      <w:tblGrid>
        <w:gridCol w:w="6042"/>
        <w:gridCol w:w="1653"/>
        <w:gridCol w:w="1655"/>
      </w:tblGrid>
      <w:tr w:rsidRPr="00404DC3" w:rsidR="002A5EA6" w:rsidTr="00CE0635" w14:paraId="5B2FCC09" w14:textId="77777777">
        <w:trPr>
          <w:tblHeader/>
          <w:jc w:val="center"/>
        </w:trPr>
        <w:tc>
          <w:tcPr>
            <w:tcW w:w="3230" w:type="pct"/>
            <w:shd w:val="clear" w:color="auto" w:fill="E7E6E6" w:themeFill="background2"/>
            <w:vAlign w:val="bottom"/>
          </w:tcPr>
          <w:p w:rsidRPr="00404DC3" w:rsidR="002A5EA6" w:rsidP="00CE0635" w:rsidRDefault="002A5EA6" w14:paraId="032CEAC4" w14:textId="77777777">
            <w:pPr>
              <w:keepNext/>
              <w:jc w:val="center"/>
              <w:rPr>
                <w:rFonts w:asciiTheme="minorHAnsi" w:hAnsiTheme="minorHAnsi" w:cstheme="minorHAnsi"/>
              </w:rPr>
            </w:pPr>
            <w:r w:rsidRPr="00404DC3">
              <w:rPr>
                <w:rFonts w:asciiTheme="minorHAnsi" w:hAnsiTheme="minorHAnsi" w:cstheme="minorHAnsi"/>
              </w:rPr>
              <w:t>Study Objectives</w:t>
            </w:r>
          </w:p>
        </w:tc>
        <w:tc>
          <w:tcPr>
            <w:tcW w:w="884" w:type="pct"/>
            <w:shd w:val="clear" w:color="auto" w:fill="E7E6E6" w:themeFill="background2"/>
            <w:vAlign w:val="bottom"/>
          </w:tcPr>
          <w:p w:rsidRPr="00404DC3" w:rsidR="002A5EA6" w:rsidP="00CE0635" w:rsidRDefault="002A5EA6" w14:paraId="6D370F82" w14:textId="77777777">
            <w:pPr>
              <w:keepNext/>
              <w:jc w:val="center"/>
              <w:rPr>
                <w:rFonts w:asciiTheme="minorHAnsi" w:hAnsiTheme="minorHAnsi" w:cstheme="minorHAnsi"/>
              </w:rPr>
            </w:pPr>
            <w:r w:rsidRPr="00404DC3">
              <w:rPr>
                <w:rFonts w:asciiTheme="minorHAnsi" w:hAnsiTheme="minorHAnsi" w:cstheme="minorHAnsi"/>
              </w:rPr>
              <w:t>Licensing Administrator Interview Question Numbers</w:t>
            </w:r>
          </w:p>
        </w:tc>
        <w:tc>
          <w:tcPr>
            <w:tcW w:w="885" w:type="pct"/>
            <w:shd w:val="clear" w:color="auto" w:fill="E7E6E6" w:themeFill="background2"/>
            <w:vAlign w:val="bottom"/>
          </w:tcPr>
          <w:p w:rsidRPr="00404DC3" w:rsidR="002A5EA6" w:rsidP="00CE0635" w:rsidRDefault="002A5EA6" w14:paraId="745AD1CE" w14:textId="77777777">
            <w:pPr>
              <w:keepNext/>
              <w:jc w:val="center"/>
              <w:rPr>
                <w:rFonts w:asciiTheme="minorHAnsi" w:hAnsiTheme="minorHAnsi" w:cstheme="minorHAnsi"/>
              </w:rPr>
            </w:pPr>
            <w:r w:rsidRPr="00404DC3">
              <w:rPr>
                <w:rFonts w:asciiTheme="minorHAnsi" w:hAnsiTheme="minorHAnsi" w:cstheme="minorHAnsi"/>
              </w:rPr>
              <w:t>Data Systems Interview Question Numbers</w:t>
            </w:r>
          </w:p>
        </w:tc>
      </w:tr>
      <w:tr w:rsidRPr="00404DC3" w:rsidR="002A5EA6" w:rsidTr="00341F8B" w14:paraId="21E009A2" w14:textId="77777777">
        <w:trPr>
          <w:cantSplit/>
          <w:jc w:val="center"/>
        </w:trPr>
        <w:tc>
          <w:tcPr>
            <w:tcW w:w="3230" w:type="pct"/>
            <w:vAlign w:val="center"/>
          </w:tcPr>
          <w:p w:rsidRPr="00404DC3" w:rsidR="002A5EA6" w:rsidP="00874826" w:rsidRDefault="002A5EA6" w14:paraId="53B36D61" w14:textId="617F36C3">
            <w:pPr>
              <w:rPr>
                <w:rFonts w:asciiTheme="minorHAnsi" w:hAnsiTheme="minorHAnsi" w:cstheme="minorHAnsi"/>
              </w:rPr>
            </w:pPr>
            <w:r w:rsidRPr="00404DC3">
              <w:rPr>
                <w:rFonts w:asciiTheme="minorHAnsi" w:hAnsiTheme="minorHAnsi" w:cstheme="minorHAnsi"/>
              </w:rPr>
              <w:t>Understand child care licensing administrators’ views of the key issues and challenges for the licensing unit in implementing the provisions of the reauthorized Child Care Development Block Grant (CCDBG) Act of 2014</w:t>
            </w:r>
          </w:p>
        </w:tc>
        <w:tc>
          <w:tcPr>
            <w:tcW w:w="884" w:type="pct"/>
            <w:vAlign w:val="center"/>
          </w:tcPr>
          <w:p w:rsidRPr="00404DC3" w:rsidR="002A5EA6" w:rsidP="00874826" w:rsidRDefault="002A5EA6" w14:paraId="25780299" w14:textId="77777777">
            <w:pPr>
              <w:jc w:val="center"/>
              <w:rPr>
                <w:rFonts w:asciiTheme="minorHAnsi" w:hAnsiTheme="minorHAnsi" w:cstheme="minorHAnsi"/>
              </w:rPr>
            </w:pPr>
            <w:r w:rsidRPr="00404DC3">
              <w:rPr>
                <w:rFonts w:asciiTheme="minorHAnsi" w:hAnsiTheme="minorHAnsi" w:cstheme="minorHAnsi"/>
              </w:rPr>
              <w:t>9</w:t>
            </w:r>
          </w:p>
          <w:p w:rsidRPr="00404DC3" w:rsidR="002A5EA6" w:rsidP="00874826" w:rsidRDefault="002A5EA6" w14:paraId="080871B1" w14:textId="77777777">
            <w:pPr>
              <w:jc w:val="center"/>
              <w:rPr>
                <w:rFonts w:asciiTheme="minorHAnsi" w:hAnsiTheme="minorHAnsi" w:cstheme="minorHAnsi"/>
              </w:rPr>
            </w:pPr>
            <w:r w:rsidRPr="00404DC3">
              <w:rPr>
                <w:rFonts w:asciiTheme="minorHAnsi" w:hAnsiTheme="minorHAnsi" w:cstheme="minorHAnsi"/>
              </w:rPr>
              <w:t>28</w:t>
            </w:r>
          </w:p>
        </w:tc>
        <w:tc>
          <w:tcPr>
            <w:tcW w:w="885" w:type="pct"/>
            <w:vAlign w:val="center"/>
          </w:tcPr>
          <w:p w:rsidRPr="00404DC3" w:rsidR="002A5EA6" w:rsidP="00874826" w:rsidRDefault="002A5EA6" w14:paraId="46FE3911" w14:textId="77777777">
            <w:pPr>
              <w:jc w:val="center"/>
              <w:rPr>
                <w:rFonts w:asciiTheme="minorHAnsi" w:hAnsiTheme="minorHAnsi" w:cstheme="minorHAnsi"/>
              </w:rPr>
            </w:pPr>
            <w:r w:rsidRPr="00404DC3">
              <w:rPr>
                <w:rFonts w:asciiTheme="minorHAnsi" w:hAnsiTheme="minorHAnsi" w:cstheme="minorHAnsi"/>
              </w:rPr>
              <w:t>n/a</w:t>
            </w:r>
          </w:p>
        </w:tc>
      </w:tr>
      <w:tr w:rsidRPr="00404DC3" w:rsidR="002A5EA6" w:rsidTr="00341F8B" w14:paraId="5B0A820D" w14:textId="77777777">
        <w:trPr>
          <w:cantSplit/>
          <w:jc w:val="center"/>
        </w:trPr>
        <w:tc>
          <w:tcPr>
            <w:tcW w:w="3230" w:type="pct"/>
            <w:vAlign w:val="center"/>
          </w:tcPr>
          <w:p w:rsidRPr="00404DC3" w:rsidR="002A5EA6" w:rsidP="00874826" w:rsidRDefault="002A5EA6" w14:paraId="2ADE5821" w14:textId="5FB8244D">
            <w:pPr>
              <w:rPr>
                <w:rFonts w:asciiTheme="minorHAnsi" w:hAnsiTheme="minorHAnsi" w:cstheme="minorHAnsi"/>
              </w:rPr>
            </w:pPr>
            <w:r w:rsidRPr="00404DC3">
              <w:rPr>
                <w:rFonts w:asciiTheme="minorHAnsi" w:hAnsiTheme="minorHAnsi" w:cstheme="minorHAnsi"/>
              </w:rPr>
              <w:t xml:space="preserve">Understand the extent to which child care licensing administrators use data to make decisions regarding licensing </w:t>
            </w:r>
          </w:p>
        </w:tc>
        <w:tc>
          <w:tcPr>
            <w:tcW w:w="884" w:type="pct"/>
            <w:vAlign w:val="center"/>
          </w:tcPr>
          <w:p w:rsidRPr="00404DC3" w:rsidR="002A5EA6" w:rsidP="00874826" w:rsidRDefault="002A5EA6" w14:paraId="2EE7C062" w14:textId="77777777">
            <w:pPr>
              <w:jc w:val="center"/>
              <w:rPr>
                <w:rFonts w:asciiTheme="minorHAnsi" w:hAnsiTheme="minorHAnsi" w:cstheme="minorHAnsi"/>
              </w:rPr>
            </w:pPr>
            <w:r w:rsidRPr="00404DC3">
              <w:rPr>
                <w:rFonts w:asciiTheme="minorHAnsi" w:hAnsiTheme="minorHAnsi" w:cstheme="minorHAnsi"/>
              </w:rPr>
              <w:t>18</w:t>
            </w:r>
          </w:p>
          <w:p w:rsidRPr="00404DC3" w:rsidR="002A5EA6" w:rsidP="00874826" w:rsidRDefault="002A5EA6" w14:paraId="0BCC33A4" w14:textId="77777777">
            <w:pPr>
              <w:jc w:val="center"/>
              <w:rPr>
                <w:rFonts w:asciiTheme="minorHAnsi" w:hAnsiTheme="minorHAnsi" w:cstheme="minorHAnsi"/>
              </w:rPr>
            </w:pPr>
            <w:r w:rsidRPr="00404DC3">
              <w:rPr>
                <w:rFonts w:asciiTheme="minorHAnsi" w:hAnsiTheme="minorHAnsi" w:cstheme="minorHAnsi"/>
              </w:rPr>
              <w:t>19</w:t>
            </w:r>
          </w:p>
          <w:p w:rsidRPr="00404DC3" w:rsidR="002A5EA6" w:rsidP="00874826" w:rsidRDefault="002A5EA6" w14:paraId="33E5CB5C" w14:textId="77777777">
            <w:pPr>
              <w:jc w:val="center"/>
              <w:rPr>
                <w:rFonts w:asciiTheme="minorHAnsi" w:hAnsiTheme="minorHAnsi" w:cstheme="minorHAnsi"/>
              </w:rPr>
            </w:pPr>
            <w:r w:rsidRPr="00404DC3">
              <w:rPr>
                <w:rFonts w:asciiTheme="minorHAnsi" w:hAnsiTheme="minorHAnsi" w:cstheme="minorHAnsi"/>
              </w:rPr>
              <w:t>20</w:t>
            </w:r>
          </w:p>
          <w:p w:rsidRPr="00404DC3" w:rsidR="002A5EA6" w:rsidP="00874826" w:rsidRDefault="002A5EA6" w14:paraId="6FDA1B7B" w14:textId="77777777">
            <w:pPr>
              <w:jc w:val="center"/>
              <w:rPr>
                <w:rFonts w:asciiTheme="minorHAnsi" w:hAnsiTheme="minorHAnsi" w:cstheme="minorHAnsi"/>
              </w:rPr>
            </w:pPr>
            <w:r w:rsidRPr="00404DC3">
              <w:rPr>
                <w:rFonts w:asciiTheme="minorHAnsi" w:hAnsiTheme="minorHAnsi" w:cstheme="minorHAnsi"/>
              </w:rPr>
              <w:t>22</w:t>
            </w:r>
          </w:p>
          <w:p w:rsidRPr="00404DC3" w:rsidR="001E67A8" w:rsidP="00874826" w:rsidRDefault="001E67A8" w14:paraId="11B7456B" w14:textId="6EF088E4">
            <w:pPr>
              <w:jc w:val="center"/>
              <w:rPr>
                <w:rFonts w:asciiTheme="minorHAnsi" w:hAnsiTheme="minorHAnsi" w:cstheme="minorHAnsi"/>
              </w:rPr>
            </w:pPr>
            <w:r w:rsidRPr="00404DC3">
              <w:rPr>
                <w:rFonts w:asciiTheme="minorHAnsi" w:hAnsiTheme="minorHAnsi" w:cstheme="minorHAnsi"/>
              </w:rPr>
              <w:t>28</w:t>
            </w:r>
          </w:p>
        </w:tc>
        <w:tc>
          <w:tcPr>
            <w:tcW w:w="885" w:type="pct"/>
            <w:vAlign w:val="center"/>
          </w:tcPr>
          <w:p w:rsidRPr="00404DC3" w:rsidR="002A5EA6" w:rsidP="00874826" w:rsidRDefault="002A5EA6" w14:paraId="3EEEC7CD" w14:textId="77777777">
            <w:pPr>
              <w:jc w:val="center"/>
              <w:rPr>
                <w:rFonts w:asciiTheme="minorHAnsi" w:hAnsiTheme="minorHAnsi" w:cstheme="minorHAnsi"/>
              </w:rPr>
            </w:pPr>
            <w:r w:rsidRPr="00404DC3">
              <w:rPr>
                <w:rFonts w:asciiTheme="minorHAnsi" w:hAnsiTheme="minorHAnsi" w:cstheme="minorHAnsi"/>
              </w:rPr>
              <w:t>11</w:t>
            </w:r>
          </w:p>
          <w:p w:rsidRPr="00404DC3" w:rsidR="002A5EA6" w:rsidP="00874826" w:rsidRDefault="002A5EA6" w14:paraId="6973EA92" w14:textId="77777777">
            <w:pPr>
              <w:jc w:val="center"/>
              <w:rPr>
                <w:rFonts w:asciiTheme="minorHAnsi" w:hAnsiTheme="minorHAnsi" w:cstheme="minorHAnsi"/>
              </w:rPr>
            </w:pPr>
            <w:r w:rsidRPr="00404DC3">
              <w:rPr>
                <w:rFonts w:asciiTheme="minorHAnsi" w:hAnsiTheme="minorHAnsi" w:cstheme="minorHAnsi"/>
              </w:rPr>
              <w:t>12</w:t>
            </w:r>
          </w:p>
          <w:p w:rsidRPr="00404DC3" w:rsidR="002A5EA6" w:rsidP="00874826" w:rsidRDefault="002A5EA6" w14:paraId="1EFAE0D9" w14:textId="77777777">
            <w:pPr>
              <w:jc w:val="center"/>
              <w:rPr>
                <w:rFonts w:asciiTheme="minorHAnsi" w:hAnsiTheme="minorHAnsi" w:cstheme="minorHAnsi"/>
              </w:rPr>
            </w:pPr>
            <w:r w:rsidRPr="00404DC3">
              <w:rPr>
                <w:rFonts w:asciiTheme="minorHAnsi" w:hAnsiTheme="minorHAnsi" w:cstheme="minorHAnsi"/>
              </w:rPr>
              <w:t>13</w:t>
            </w:r>
          </w:p>
          <w:p w:rsidRPr="00404DC3" w:rsidR="002A5EA6" w:rsidP="00874826" w:rsidRDefault="002A5EA6" w14:paraId="19909756" w14:textId="77777777">
            <w:pPr>
              <w:jc w:val="center"/>
              <w:rPr>
                <w:rFonts w:asciiTheme="minorHAnsi" w:hAnsiTheme="minorHAnsi" w:cstheme="minorHAnsi"/>
              </w:rPr>
            </w:pPr>
            <w:r w:rsidRPr="00404DC3">
              <w:rPr>
                <w:rFonts w:asciiTheme="minorHAnsi" w:hAnsiTheme="minorHAnsi" w:cstheme="minorHAnsi"/>
              </w:rPr>
              <w:t>14</w:t>
            </w:r>
          </w:p>
        </w:tc>
      </w:tr>
      <w:tr w:rsidRPr="00404DC3" w:rsidR="002A5EA6" w:rsidTr="00341F8B" w14:paraId="564FC80F" w14:textId="77777777">
        <w:trPr>
          <w:cantSplit/>
          <w:jc w:val="center"/>
        </w:trPr>
        <w:tc>
          <w:tcPr>
            <w:tcW w:w="3230" w:type="pct"/>
            <w:vAlign w:val="center"/>
          </w:tcPr>
          <w:p w:rsidRPr="00404DC3" w:rsidR="002A5EA6" w:rsidP="00874826" w:rsidRDefault="002A5EA6" w14:paraId="3D2C1553" w14:textId="3A573649">
            <w:pPr>
              <w:rPr>
                <w:rFonts w:asciiTheme="minorHAnsi" w:hAnsiTheme="minorHAnsi" w:cstheme="minorHAnsi"/>
              </w:rPr>
            </w:pPr>
            <w:r w:rsidRPr="00404DC3">
              <w:rPr>
                <w:rFonts w:asciiTheme="minorHAnsi" w:hAnsiTheme="minorHAnsi" w:cstheme="minorHAnsi"/>
              </w:rPr>
              <w:t>Identify pressing issues facing child care licensing staff that could be addressed via research</w:t>
            </w:r>
          </w:p>
        </w:tc>
        <w:tc>
          <w:tcPr>
            <w:tcW w:w="884" w:type="pct"/>
            <w:vAlign w:val="center"/>
          </w:tcPr>
          <w:p w:rsidRPr="00404DC3" w:rsidR="002A5EA6" w:rsidP="00874826" w:rsidRDefault="002A5EA6" w14:paraId="5F3ADA81" w14:textId="77777777">
            <w:pPr>
              <w:jc w:val="center"/>
              <w:rPr>
                <w:rFonts w:asciiTheme="minorHAnsi" w:hAnsiTheme="minorHAnsi" w:cstheme="minorHAnsi"/>
              </w:rPr>
            </w:pPr>
            <w:r w:rsidRPr="00404DC3">
              <w:rPr>
                <w:rFonts w:asciiTheme="minorHAnsi" w:hAnsiTheme="minorHAnsi" w:cstheme="minorHAnsi"/>
              </w:rPr>
              <w:t>12</w:t>
            </w:r>
          </w:p>
          <w:p w:rsidRPr="00404DC3" w:rsidR="002A5EA6" w:rsidP="00874826" w:rsidRDefault="002A5EA6" w14:paraId="6FDD8065" w14:textId="77777777">
            <w:pPr>
              <w:jc w:val="center"/>
              <w:rPr>
                <w:rFonts w:asciiTheme="minorHAnsi" w:hAnsiTheme="minorHAnsi" w:cstheme="minorHAnsi"/>
              </w:rPr>
            </w:pPr>
            <w:r w:rsidRPr="00404DC3">
              <w:rPr>
                <w:rFonts w:asciiTheme="minorHAnsi" w:hAnsiTheme="minorHAnsi" w:cstheme="minorHAnsi"/>
              </w:rPr>
              <w:t>13</w:t>
            </w:r>
          </w:p>
          <w:p w:rsidRPr="00404DC3" w:rsidR="002A5EA6" w:rsidP="00874826" w:rsidRDefault="002A5EA6" w14:paraId="1F93945C" w14:textId="77777777">
            <w:pPr>
              <w:jc w:val="center"/>
              <w:rPr>
                <w:rFonts w:asciiTheme="minorHAnsi" w:hAnsiTheme="minorHAnsi" w:cstheme="minorHAnsi"/>
              </w:rPr>
            </w:pPr>
            <w:r w:rsidRPr="00404DC3">
              <w:rPr>
                <w:rFonts w:asciiTheme="minorHAnsi" w:hAnsiTheme="minorHAnsi" w:cstheme="minorHAnsi"/>
              </w:rPr>
              <w:t>15</w:t>
            </w:r>
          </w:p>
          <w:p w:rsidRPr="00404DC3" w:rsidR="002A5EA6" w:rsidP="00874826" w:rsidRDefault="002A5EA6" w14:paraId="7BAF5606" w14:textId="77777777">
            <w:pPr>
              <w:jc w:val="center"/>
              <w:rPr>
                <w:rFonts w:asciiTheme="minorHAnsi" w:hAnsiTheme="minorHAnsi" w:cstheme="minorHAnsi"/>
              </w:rPr>
            </w:pPr>
            <w:r w:rsidRPr="00404DC3">
              <w:rPr>
                <w:rFonts w:asciiTheme="minorHAnsi" w:hAnsiTheme="minorHAnsi" w:cstheme="minorHAnsi"/>
              </w:rPr>
              <w:t>16</w:t>
            </w:r>
          </w:p>
          <w:p w:rsidRPr="00404DC3" w:rsidR="002A5EA6" w:rsidP="00874826" w:rsidRDefault="002A5EA6" w14:paraId="108424C3" w14:textId="77777777">
            <w:pPr>
              <w:jc w:val="center"/>
              <w:rPr>
                <w:rFonts w:asciiTheme="minorHAnsi" w:hAnsiTheme="minorHAnsi" w:cstheme="minorHAnsi"/>
              </w:rPr>
            </w:pPr>
            <w:r w:rsidRPr="00404DC3">
              <w:rPr>
                <w:rFonts w:asciiTheme="minorHAnsi" w:hAnsiTheme="minorHAnsi" w:cstheme="minorHAnsi"/>
              </w:rPr>
              <w:t>17</w:t>
            </w:r>
          </w:p>
          <w:p w:rsidRPr="00404DC3" w:rsidR="002A5EA6" w:rsidP="00874826" w:rsidRDefault="002A5EA6" w14:paraId="3882F4A1" w14:textId="77777777">
            <w:pPr>
              <w:jc w:val="center"/>
              <w:rPr>
                <w:rFonts w:asciiTheme="minorHAnsi" w:hAnsiTheme="minorHAnsi" w:cstheme="minorHAnsi"/>
              </w:rPr>
            </w:pPr>
            <w:r w:rsidRPr="00404DC3">
              <w:rPr>
                <w:rFonts w:asciiTheme="minorHAnsi" w:hAnsiTheme="minorHAnsi" w:cstheme="minorHAnsi"/>
              </w:rPr>
              <w:t>20</w:t>
            </w:r>
          </w:p>
          <w:p w:rsidRPr="00404DC3" w:rsidR="002A5EA6" w:rsidP="00874826" w:rsidRDefault="002A5EA6" w14:paraId="12EF8947" w14:textId="77777777">
            <w:pPr>
              <w:jc w:val="center"/>
              <w:rPr>
                <w:rFonts w:asciiTheme="minorHAnsi" w:hAnsiTheme="minorHAnsi" w:cstheme="minorHAnsi"/>
              </w:rPr>
            </w:pPr>
            <w:r w:rsidRPr="00404DC3">
              <w:rPr>
                <w:rFonts w:asciiTheme="minorHAnsi" w:hAnsiTheme="minorHAnsi" w:cstheme="minorHAnsi"/>
              </w:rPr>
              <w:t>29</w:t>
            </w:r>
          </w:p>
        </w:tc>
        <w:tc>
          <w:tcPr>
            <w:tcW w:w="885" w:type="pct"/>
            <w:vAlign w:val="center"/>
          </w:tcPr>
          <w:p w:rsidRPr="00404DC3" w:rsidR="002A5EA6" w:rsidP="00874826" w:rsidRDefault="002A5EA6" w14:paraId="0A721288" w14:textId="77777777">
            <w:pPr>
              <w:jc w:val="center"/>
              <w:rPr>
                <w:rFonts w:asciiTheme="minorHAnsi" w:hAnsiTheme="minorHAnsi" w:cstheme="minorHAnsi"/>
              </w:rPr>
            </w:pPr>
            <w:r w:rsidRPr="00404DC3">
              <w:rPr>
                <w:rFonts w:asciiTheme="minorHAnsi" w:hAnsiTheme="minorHAnsi" w:cstheme="minorHAnsi"/>
              </w:rPr>
              <w:t>8</w:t>
            </w:r>
          </w:p>
          <w:p w:rsidRPr="00404DC3" w:rsidR="002A5EA6" w:rsidP="00874826" w:rsidRDefault="002A5EA6" w14:paraId="553DA58D" w14:textId="77777777">
            <w:pPr>
              <w:jc w:val="center"/>
              <w:rPr>
                <w:rFonts w:asciiTheme="minorHAnsi" w:hAnsiTheme="minorHAnsi" w:cstheme="minorHAnsi"/>
              </w:rPr>
            </w:pPr>
            <w:r w:rsidRPr="00404DC3">
              <w:rPr>
                <w:rFonts w:asciiTheme="minorHAnsi" w:hAnsiTheme="minorHAnsi" w:cstheme="minorHAnsi"/>
              </w:rPr>
              <w:t>14</w:t>
            </w:r>
          </w:p>
          <w:p w:rsidRPr="00404DC3" w:rsidR="002A5EA6" w:rsidP="00874826" w:rsidRDefault="002A5EA6" w14:paraId="3904EA44" w14:textId="77777777">
            <w:pPr>
              <w:jc w:val="center"/>
              <w:rPr>
                <w:rFonts w:asciiTheme="minorHAnsi" w:hAnsiTheme="minorHAnsi" w:cstheme="minorHAnsi"/>
              </w:rPr>
            </w:pPr>
            <w:r w:rsidRPr="00404DC3">
              <w:rPr>
                <w:rFonts w:asciiTheme="minorHAnsi" w:hAnsiTheme="minorHAnsi" w:cstheme="minorHAnsi"/>
              </w:rPr>
              <w:t>18</w:t>
            </w:r>
          </w:p>
          <w:p w:rsidRPr="00404DC3" w:rsidR="002A5EA6" w:rsidP="00874826" w:rsidRDefault="002A5EA6" w14:paraId="0C9BF697" w14:textId="77777777">
            <w:pPr>
              <w:jc w:val="center"/>
              <w:rPr>
                <w:rFonts w:asciiTheme="minorHAnsi" w:hAnsiTheme="minorHAnsi" w:cstheme="minorHAnsi"/>
              </w:rPr>
            </w:pPr>
            <w:r w:rsidRPr="00404DC3">
              <w:rPr>
                <w:rFonts w:asciiTheme="minorHAnsi" w:hAnsiTheme="minorHAnsi" w:cstheme="minorHAnsi"/>
              </w:rPr>
              <w:t>19</w:t>
            </w:r>
          </w:p>
        </w:tc>
      </w:tr>
      <w:tr w:rsidRPr="00404DC3" w:rsidR="002A5EA6" w:rsidTr="00341F8B" w14:paraId="440A56F8" w14:textId="77777777">
        <w:trPr>
          <w:cantSplit/>
          <w:jc w:val="center"/>
        </w:trPr>
        <w:tc>
          <w:tcPr>
            <w:tcW w:w="3230" w:type="pct"/>
            <w:vAlign w:val="center"/>
          </w:tcPr>
          <w:p w:rsidRPr="00404DC3" w:rsidR="002A5EA6" w:rsidP="00874826" w:rsidRDefault="002A5EA6" w14:paraId="4DBAD30C" w14:textId="77777777">
            <w:pPr>
              <w:rPr>
                <w:rFonts w:asciiTheme="minorHAnsi" w:hAnsiTheme="minorHAnsi" w:cstheme="minorHAnsi"/>
              </w:rPr>
            </w:pPr>
            <w:r w:rsidRPr="00404DC3">
              <w:rPr>
                <w:rFonts w:asciiTheme="minorHAnsi" w:hAnsiTheme="minorHAnsi" w:cstheme="minorHAnsi"/>
              </w:rPr>
              <w:t>Develop ideas for data-related resources to help strengthen state/territory licensing systems</w:t>
            </w:r>
          </w:p>
        </w:tc>
        <w:tc>
          <w:tcPr>
            <w:tcW w:w="884" w:type="pct"/>
            <w:vAlign w:val="center"/>
          </w:tcPr>
          <w:p w:rsidRPr="00404DC3" w:rsidR="002A5EA6" w:rsidP="00874826" w:rsidRDefault="002A5EA6" w14:paraId="133F46E8" w14:textId="77777777">
            <w:pPr>
              <w:jc w:val="center"/>
              <w:rPr>
                <w:rFonts w:asciiTheme="minorHAnsi" w:hAnsiTheme="minorHAnsi" w:cstheme="minorHAnsi"/>
              </w:rPr>
            </w:pPr>
            <w:r w:rsidRPr="00404DC3">
              <w:rPr>
                <w:rFonts w:asciiTheme="minorHAnsi" w:hAnsiTheme="minorHAnsi" w:cstheme="minorHAnsi"/>
              </w:rPr>
              <w:t>18b</w:t>
            </w:r>
          </w:p>
          <w:p w:rsidRPr="00404DC3" w:rsidR="002A5EA6" w:rsidP="00874826" w:rsidRDefault="002A5EA6" w14:paraId="7D8FFA0F" w14:textId="77777777">
            <w:pPr>
              <w:jc w:val="center"/>
              <w:rPr>
                <w:rFonts w:asciiTheme="minorHAnsi" w:hAnsiTheme="minorHAnsi" w:cstheme="minorHAnsi"/>
              </w:rPr>
            </w:pPr>
            <w:r w:rsidRPr="00404DC3">
              <w:rPr>
                <w:rFonts w:asciiTheme="minorHAnsi" w:hAnsiTheme="minorHAnsi" w:cstheme="minorHAnsi"/>
              </w:rPr>
              <w:t>24</w:t>
            </w:r>
          </w:p>
          <w:p w:rsidRPr="00404DC3" w:rsidR="002A5EA6" w:rsidP="00874826" w:rsidRDefault="002A5EA6" w14:paraId="1779121B" w14:textId="77777777">
            <w:pPr>
              <w:jc w:val="center"/>
              <w:rPr>
                <w:rFonts w:asciiTheme="minorHAnsi" w:hAnsiTheme="minorHAnsi" w:cstheme="minorHAnsi"/>
              </w:rPr>
            </w:pPr>
            <w:r w:rsidRPr="00404DC3">
              <w:rPr>
                <w:rFonts w:asciiTheme="minorHAnsi" w:hAnsiTheme="minorHAnsi" w:cstheme="minorHAnsi"/>
              </w:rPr>
              <w:t>25</w:t>
            </w:r>
          </w:p>
          <w:p w:rsidRPr="00404DC3" w:rsidR="002A5EA6" w:rsidP="00874826" w:rsidRDefault="002A5EA6" w14:paraId="1AB844A4" w14:textId="77777777">
            <w:pPr>
              <w:jc w:val="center"/>
              <w:rPr>
                <w:rFonts w:asciiTheme="minorHAnsi" w:hAnsiTheme="minorHAnsi" w:cstheme="minorHAnsi"/>
              </w:rPr>
            </w:pPr>
            <w:r w:rsidRPr="00404DC3">
              <w:rPr>
                <w:rFonts w:asciiTheme="minorHAnsi" w:hAnsiTheme="minorHAnsi" w:cstheme="minorHAnsi"/>
              </w:rPr>
              <w:t>26</w:t>
            </w:r>
          </w:p>
        </w:tc>
        <w:tc>
          <w:tcPr>
            <w:tcW w:w="885" w:type="pct"/>
            <w:vAlign w:val="center"/>
          </w:tcPr>
          <w:p w:rsidRPr="00404DC3" w:rsidR="002A5EA6" w:rsidP="00874826" w:rsidRDefault="002A5EA6" w14:paraId="2A2E0F36" w14:textId="77777777">
            <w:pPr>
              <w:jc w:val="center"/>
              <w:rPr>
                <w:rFonts w:asciiTheme="minorHAnsi" w:hAnsiTheme="minorHAnsi" w:cstheme="minorHAnsi"/>
              </w:rPr>
            </w:pPr>
            <w:r w:rsidRPr="00404DC3">
              <w:rPr>
                <w:rFonts w:asciiTheme="minorHAnsi" w:hAnsiTheme="minorHAnsi" w:cstheme="minorHAnsi"/>
              </w:rPr>
              <w:t>11b</w:t>
            </w:r>
          </w:p>
        </w:tc>
      </w:tr>
      <w:tr w:rsidRPr="00404DC3" w:rsidR="002A5EA6" w:rsidTr="00341F8B" w14:paraId="7343F6CC" w14:textId="77777777">
        <w:trPr>
          <w:cantSplit/>
          <w:jc w:val="center"/>
        </w:trPr>
        <w:tc>
          <w:tcPr>
            <w:tcW w:w="3230" w:type="pct"/>
            <w:vAlign w:val="center"/>
          </w:tcPr>
          <w:p w:rsidRPr="00404DC3" w:rsidR="002A5EA6" w:rsidP="00874826" w:rsidRDefault="002A5EA6" w14:paraId="5BB74574" w14:textId="77777777">
            <w:pPr>
              <w:rPr>
                <w:rFonts w:asciiTheme="minorHAnsi" w:hAnsiTheme="minorHAnsi" w:cstheme="minorHAnsi"/>
              </w:rPr>
            </w:pPr>
            <w:r w:rsidRPr="00404DC3">
              <w:rPr>
                <w:rFonts w:asciiTheme="minorHAnsi" w:hAnsiTheme="minorHAnsi" w:cstheme="minorHAnsi"/>
              </w:rPr>
              <w:t>Identify formats for resources that would be most useful to licensing staff</w:t>
            </w:r>
          </w:p>
        </w:tc>
        <w:tc>
          <w:tcPr>
            <w:tcW w:w="884" w:type="pct"/>
            <w:vAlign w:val="center"/>
          </w:tcPr>
          <w:p w:rsidRPr="00404DC3" w:rsidR="002A5EA6" w:rsidP="00874826" w:rsidRDefault="002A5EA6" w14:paraId="20F0596C" w14:textId="77777777">
            <w:pPr>
              <w:jc w:val="center"/>
              <w:rPr>
                <w:rFonts w:asciiTheme="minorHAnsi" w:hAnsiTheme="minorHAnsi" w:cstheme="minorHAnsi"/>
              </w:rPr>
            </w:pPr>
            <w:r w:rsidRPr="00404DC3">
              <w:rPr>
                <w:rFonts w:asciiTheme="minorHAnsi" w:hAnsiTheme="minorHAnsi" w:cstheme="minorHAnsi"/>
              </w:rPr>
              <w:t>27</w:t>
            </w:r>
          </w:p>
        </w:tc>
        <w:tc>
          <w:tcPr>
            <w:tcW w:w="885" w:type="pct"/>
            <w:vAlign w:val="center"/>
          </w:tcPr>
          <w:p w:rsidRPr="00404DC3" w:rsidR="002A5EA6" w:rsidP="00874826" w:rsidRDefault="002A5EA6" w14:paraId="3FA33563" w14:textId="77777777">
            <w:pPr>
              <w:jc w:val="center"/>
              <w:rPr>
                <w:rFonts w:asciiTheme="minorHAnsi" w:hAnsiTheme="minorHAnsi" w:cstheme="minorHAnsi"/>
              </w:rPr>
            </w:pPr>
            <w:r w:rsidRPr="00404DC3">
              <w:rPr>
                <w:rFonts w:asciiTheme="minorHAnsi" w:hAnsiTheme="minorHAnsi" w:cstheme="minorHAnsi"/>
              </w:rPr>
              <w:t>n/a</w:t>
            </w:r>
          </w:p>
        </w:tc>
      </w:tr>
      <w:tr w:rsidRPr="00404DC3" w:rsidR="002A5EA6" w:rsidTr="00341F8B" w14:paraId="4E211533" w14:textId="77777777">
        <w:trPr>
          <w:cantSplit/>
          <w:jc w:val="center"/>
        </w:trPr>
        <w:tc>
          <w:tcPr>
            <w:tcW w:w="3230" w:type="pct"/>
            <w:vAlign w:val="center"/>
          </w:tcPr>
          <w:p w:rsidRPr="00404DC3" w:rsidR="002A5EA6" w:rsidP="00874826" w:rsidRDefault="002A5EA6" w14:paraId="115FD62A" w14:textId="365576EA">
            <w:pPr>
              <w:rPr>
                <w:rFonts w:asciiTheme="minorHAnsi" w:hAnsiTheme="minorHAnsi" w:cstheme="minorHAnsi"/>
              </w:rPr>
            </w:pPr>
            <w:r w:rsidRPr="00404DC3">
              <w:rPr>
                <w:rFonts w:asciiTheme="minorHAnsi" w:hAnsiTheme="minorHAnsi" w:cstheme="minorHAnsi"/>
              </w:rPr>
              <w:t>Identify states/territories with which we might partner for future studies as part of the larger project, The Role of Licensing in Early Care and Education (TRLECE)</w:t>
            </w:r>
          </w:p>
        </w:tc>
        <w:tc>
          <w:tcPr>
            <w:tcW w:w="884" w:type="pct"/>
            <w:vAlign w:val="center"/>
          </w:tcPr>
          <w:p w:rsidRPr="00404DC3" w:rsidR="009D435E" w:rsidP="00874826" w:rsidRDefault="009D435E" w14:paraId="4664AC72" w14:textId="15EB095A">
            <w:pPr>
              <w:jc w:val="center"/>
              <w:rPr>
                <w:rFonts w:asciiTheme="minorHAnsi" w:hAnsiTheme="minorHAnsi" w:cstheme="minorHAnsi"/>
              </w:rPr>
            </w:pPr>
            <w:r w:rsidRPr="00404DC3">
              <w:rPr>
                <w:rFonts w:asciiTheme="minorHAnsi" w:hAnsiTheme="minorHAnsi" w:cstheme="minorHAnsi"/>
              </w:rPr>
              <w:t>13</w:t>
            </w:r>
          </w:p>
          <w:p w:rsidRPr="00404DC3" w:rsidR="002A5EA6" w:rsidP="00874826" w:rsidRDefault="002A5EA6" w14:paraId="24A7CC05" w14:textId="6235D621">
            <w:pPr>
              <w:jc w:val="center"/>
              <w:rPr>
                <w:rFonts w:asciiTheme="minorHAnsi" w:hAnsiTheme="minorHAnsi" w:cstheme="minorHAnsi"/>
              </w:rPr>
            </w:pPr>
            <w:r w:rsidRPr="00404DC3">
              <w:rPr>
                <w:rFonts w:asciiTheme="minorHAnsi" w:hAnsiTheme="minorHAnsi" w:cstheme="minorHAnsi"/>
              </w:rPr>
              <w:t>18</w:t>
            </w:r>
          </w:p>
          <w:p w:rsidRPr="00404DC3" w:rsidR="002A5EA6" w:rsidP="00874826" w:rsidRDefault="002A5EA6" w14:paraId="544AAF96" w14:textId="77777777">
            <w:pPr>
              <w:jc w:val="center"/>
              <w:rPr>
                <w:rFonts w:asciiTheme="minorHAnsi" w:hAnsiTheme="minorHAnsi" w:cstheme="minorHAnsi"/>
              </w:rPr>
            </w:pPr>
            <w:r w:rsidRPr="00404DC3">
              <w:rPr>
                <w:rFonts w:asciiTheme="minorHAnsi" w:hAnsiTheme="minorHAnsi" w:cstheme="minorHAnsi"/>
              </w:rPr>
              <w:t>21</w:t>
            </w:r>
          </w:p>
          <w:p w:rsidRPr="00404DC3" w:rsidR="002A5EA6" w:rsidP="00874826" w:rsidRDefault="009D435E" w14:paraId="503EEA2E" w14:textId="0E371BBF">
            <w:pPr>
              <w:jc w:val="center"/>
              <w:rPr>
                <w:rFonts w:asciiTheme="minorHAnsi" w:hAnsiTheme="minorHAnsi" w:cstheme="minorHAnsi"/>
              </w:rPr>
            </w:pPr>
            <w:r w:rsidRPr="00404DC3">
              <w:rPr>
                <w:rFonts w:asciiTheme="minorHAnsi" w:hAnsiTheme="minorHAnsi" w:cstheme="minorHAnsi"/>
              </w:rPr>
              <w:t>28</w:t>
            </w:r>
          </w:p>
        </w:tc>
        <w:tc>
          <w:tcPr>
            <w:tcW w:w="885" w:type="pct"/>
            <w:vAlign w:val="center"/>
          </w:tcPr>
          <w:p w:rsidRPr="00404DC3" w:rsidR="002A5EA6" w:rsidP="00874826" w:rsidRDefault="002A5EA6" w14:paraId="18AAB4A4" w14:textId="77777777">
            <w:pPr>
              <w:jc w:val="center"/>
              <w:rPr>
                <w:rFonts w:asciiTheme="minorHAnsi" w:hAnsiTheme="minorHAnsi" w:cstheme="minorHAnsi"/>
              </w:rPr>
            </w:pPr>
            <w:r w:rsidRPr="00404DC3">
              <w:rPr>
                <w:rFonts w:asciiTheme="minorHAnsi" w:hAnsiTheme="minorHAnsi" w:cstheme="minorHAnsi"/>
              </w:rPr>
              <w:t>5</w:t>
            </w:r>
          </w:p>
          <w:p w:rsidRPr="00404DC3" w:rsidR="002A5EA6" w:rsidP="00874826" w:rsidRDefault="002A5EA6" w14:paraId="67E0A775" w14:textId="77777777">
            <w:pPr>
              <w:jc w:val="center"/>
              <w:rPr>
                <w:rFonts w:asciiTheme="minorHAnsi" w:hAnsiTheme="minorHAnsi" w:cstheme="minorHAnsi"/>
              </w:rPr>
            </w:pPr>
            <w:r w:rsidRPr="00404DC3">
              <w:rPr>
                <w:rFonts w:asciiTheme="minorHAnsi" w:hAnsiTheme="minorHAnsi" w:cstheme="minorHAnsi"/>
              </w:rPr>
              <w:t>6</w:t>
            </w:r>
          </w:p>
          <w:p w:rsidRPr="00404DC3" w:rsidR="002A5EA6" w:rsidP="00874826" w:rsidRDefault="002A5EA6" w14:paraId="30850FF7" w14:textId="77777777">
            <w:pPr>
              <w:jc w:val="center"/>
              <w:rPr>
                <w:rFonts w:asciiTheme="minorHAnsi" w:hAnsiTheme="minorHAnsi" w:cstheme="minorHAnsi"/>
              </w:rPr>
            </w:pPr>
            <w:r w:rsidRPr="00404DC3">
              <w:rPr>
                <w:rFonts w:asciiTheme="minorHAnsi" w:hAnsiTheme="minorHAnsi" w:cstheme="minorHAnsi"/>
              </w:rPr>
              <w:t>7</w:t>
            </w:r>
          </w:p>
          <w:p w:rsidRPr="00404DC3" w:rsidR="002A5EA6" w:rsidP="00874826" w:rsidRDefault="002A5EA6" w14:paraId="7BC2561C" w14:textId="77777777">
            <w:pPr>
              <w:jc w:val="center"/>
              <w:rPr>
                <w:rFonts w:asciiTheme="minorHAnsi" w:hAnsiTheme="minorHAnsi" w:cstheme="minorHAnsi"/>
              </w:rPr>
            </w:pPr>
            <w:r w:rsidRPr="00404DC3">
              <w:rPr>
                <w:rFonts w:asciiTheme="minorHAnsi" w:hAnsiTheme="minorHAnsi" w:cstheme="minorHAnsi"/>
              </w:rPr>
              <w:t>9</w:t>
            </w:r>
          </w:p>
          <w:p w:rsidRPr="00404DC3" w:rsidR="002A5EA6" w:rsidP="00874826" w:rsidRDefault="002A5EA6" w14:paraId="696E7923" w14:textId="77777777">
            <w:pPr>
              <w:jc w:val="center"/>
              <w:rPr>
                <w:rFonts w:asciiTheme="minorHAnsi" w:hAnsiTheme="minorHAnsi" w:cstheme="minorHAnsi"/>
              </w:rPr>
            </w:pPr>
            <w:r w:rsidRPr="00404DC3">
              <w:rPr>
                <w:rFonts w:asciiTheme="minorHAnsi" w:hAnsiTheme="minorHAnsi" w:cstheme="minorHAnsi"/>
              </w:rPr>
              <w:t>10</w:t>
            </w:r>
          </w:p>
          <w:p w:rsidRPr="00404DC3" w:rsidR="002A5EA6" w:rsidP="00874826" w:rsidRDefault="002A5EA6" w14:paraId="4E2A356A" w14:textId="77777777">
            <w:pPr>
              <w:jc w:val="center"/>
              <w:rPr>
                <w:rFonts w:asciiTheme="minorHAnsi" w:hAnsiTheme="minorHAnsi" w:cstheme="minorHAnsi"/>
              </w:rPr>
            </w:pPr>
            <w:r w:rsidRPr="00404DC3">
              <w:rPr>
                <w:rFonts w:asciiTheme="minorHAnsi" w:hAnsiTheme="minorHAnsi" w:cstheme="minorHAnsi"/>
              </w:rPr>
              <w:t>11</w:t>
            </w:r>
          </w:p>
          <w:p w:rsidRPr="00404DC3" w:rsidR="002A5EA6" w:rsidP="00874826" w:rsidRDefault="002A5EA6" w14:paraId="44500D75" w14:textId="77777777">
            <w:pPr>
              <w:jc w:val="center"/>
              <w:rPr>
                <w:rFonts w:asciiTheme="minorHAnsi" w:hAnsiTheme="minorHAnsi" w:cstheme="minorHAnsi"/>
              </w:rPr>
            </w:pPr>
            <w:r w:rsidRPr="00404DC3">
              <w:rPr>
                <w:rFonts w:asciiTheme="minorHAnsi" w:hAnsiTheme="minorHAnsi" w:cstheme="minorHAnsi"/>
              </w:rPr>
              <w:t>13</w:t>
            </w:r>
          </w:p>
        </w:tc>
      </w:tr>
      <w:tr w:rsidRPr="00404DC3" w:rsidR="002A5EA6" w:rsidTr="00341F8B" w14:paraId="05F128DA" w14:textId="77777777">
        <w:trPr>
          <w:cantSplit/>
          <w:jc w:val="center"/>
        </w:trPr>
        <w:tc>
          <w:tcPr>
            <w:tcW w:w="3230" w:type="pct"/>
            <w:vAlign w:val="center"/>
          </w:tcPr>
          <w:p w:rsidRPr="00404DC3" w:rsidR="002A5EA6" w:rsidP="00874826" w:rsidRDefault="002A5EA6" w14:paraId="66371B3E" w14:textId="6147387F">
            <w:pPr>
              <w:rPr>
                <w:rFonts w:asciiTheme="minorHAnsi" w:hAnsiTheme="minorHAnsi" w:cstheme="minorHAnsi"/>
              </w:rPr>
            </w:pPr>
            <w:r w:rsidRPr="00404DC3">
              <w:rPr>
                <w:rFonts w:asciiTheme="minorHAnsi" w:hAnsiTheme="minorHAnsi" w:cstheme="minorHAnsi"/>
              </w:rPr>
              <w:t>Learn about changes made to the licensing system in response to the COVID-19 pandemic, to inform future research questions and products</w:t>
            </w:r>
          </w:p>
        </w:tc>
        <w:tc>
          <w:tcPr>
            <w:tcW w:w="884" w:type="pct"/>
            <w:vAlign w:val="center"/>
          </w:tcPr>
          <w:p w:rsidRPr="00404DC3" w:rsidR="002A5EA6" w:rsidP="00874826" w:rsidRDefault="002A5EA6" w14:paraId="6B1D11EE" w14:textId="77777777">
            <w:pPr>
              <w:jc w:val="center"/>
              <w:rPr>
                <w:rFonts w:asciiTheme="minorHAnsi" w:hAnsiTheme="minorHAnsi" w:cstheme="minorHAnsi"/>
              </w:rPr>
            </w:pPr>
            <w:r w:rsidRPr="00404DC3">
              <w:rPr>
                <w:rFonts w:asciiTheme="minorHAnsi" w:hAnsiTheme="minorHAnsi" w:cstheme="minorHAnsi"/>
              </w:rPr>
              <w:t>10</w:t>
            </w:r>
          </w:p>
          <w:p w:rsidRPr="00404DC3" w:rsidR="002A5EA6" w:rsidP="00874826" w:rsidRDefault="002A5EA6" w14:paraId="5545D3B1" w14:textId="77777777">
            <w:pPr>
              <w:jc w:val="center"/>
              <w:rPr>
                <w:rFonts w:asciiTheme="minorHAnsi" w:hAnsiTheme="minorHAnsi" w:cstheme="minorHAnsi"/>
              </w:rPr>
            </w:pPr>
            <w:r w:rsidRPr="00404DC3">
              <w:rPr>
                <w:rFonts w:asciiTheme="minorHAnsi" w:hAnsiTheme="minorHAnsi" w:cstheme="minorHAnsi"/>
              </w:rPr>
              <w:t>11</w:t>
            </w:r>
          </w:p>
          <w:p w:rsidRPr="00404DC3" w:rsidR="002A5EA6" w:rsidP="00874826" w:rsidRDefault="002A5EA6" w14:paraId="72D70D6E" w14:textId="77777777">
            <w:pPr>
              <w:jc w:val="center"/>
              <w:rPr>
                <w:rFonts w:asciiTheme="minorHAnsi" w:hAnsiTheme="minorHAnsi" w:cstheme="minorHAnsi"/>
              </w:rPr>
            </w:pPr>
            <w:r w:rsidRPr="00404DC3">
              <w:rPr>
                <w:rFonts w:asciiTheme="minorHAnsi" w:hAnsiTheme="minorHAnsi" w:cstheme="minorHAnsi"/>
              </w:rPr>
              <w:t>14</w:t>
            </w:r>
          </w:p>
          <w:p w:rsidRPr="00404DC3" w:rsidR="002A5EA6" w:rsidP="00874826" w:rsidRDefault="002A5EA6" w14:paraId="3F2B36E3" w14:textId="77777777">
            <w:pPr>
              <w:jc w:val="center"/>
              <w:rPr>
                <w:rFonts w:asciiTheme="minorHAnsi" w:hAnsiTheme="minorHAnsi" w:cstheme="minorHAnsi"/>
              </w:rPr>
            </w:pPr>
            <w:r w:rsidRPr="00404DC3">
              <w:rPr>
                <w:rFonts w:asciiTheme="minorHAnsi" w:hAnsiTheme="minorHAnsi" w:cstheme="minorHAnsi"/>
              </w:rPr>
              <w:t>15a</w:t>
            </w:r>
          </w:p>
          <w:p w:rsidRPr="00404DC3" w:rsidR="002A5EA6" w:rsidP="00874826" w:rsidRDefault="002A5EA6" w14:paraId="77E57B1A" w14:textId="77777777">
            <w:pPr>
              <w:jc w:val="center"/>
              <w:rPr>
                <w:rFonts w:asciiTheme="minorHAnsi" w:hAnsiTheme="minorHAnsi" w:cstheme="minorHAnsi"/>
              </w:rPr>
            </w:pPr>
            <w:r w:rsidRPr="00404DC3">
              <w:rPr>
                <w:rFonts w:asciiTheme="minorHAnsi" w:hAnsiTheme="minorHAnsi" w:cstheme="minorHAnsi"/>
              </w:rPr>
              <w:t>16a</w:t>
            </w:r>
          </w:p>
          <w:p w:rsidRPr="00404DC3" w:rsidR="002A5EA6" w:rsidP="00874826" w:rsidRDefault="002A5EA6" w14:paraId="39B09014" w14:textId="77777777">
            <w:pPr>
              <w:jc w:val="center"/>
              <w:rPr>
                <w:rFonts w:asciiTheme="minorHAnsi" w:hAnsiTheme="minorHAnsi" w:cstheme="minorHAnsi"/>
              </w:rPr>
            </w:pPr>
            <w:r w:rsidRPr="00404DC3">
              <w:rPr>
                <w:rFonts w:asciiTheme="minorHAnsi" w:hAnsiTheme="minorHAnsi" w:cstheme="minorHAnsi"/>
              </w:rPr>
              <w:t>17a</w:t>
            </w:r>
          </w:p>
          <w:p w:rsidRPr="00404DC3" w:rsidR="002A5EA6" w:rsidP="00874826" w:rsidRDefault="002A5EA6" w14:paraId="45941E04" w14:textId="77777777">
            <w:pPr>
              <w:jc w:val="center"/>
              <w:rPr>
                <w:rFonts w:asciiTheme="minorHAnsi" w:hAnsiTheme="minorHAnsi" w:cstheme="minorHAnsi"/>
              </w:rPr>
            </w:pPr>
            <w:r w:rsidRPr="00404DC3">
              <w:rPr>
                <w:rFonts w:asciiTheme="minorHAnsi" w:hAnsiTheme="minorHAnsi" w:cstheme="minorHAnsi"/>
              </w:rPr>
              <w:t>23</w:t>
            </w:r>
          </w:p>
        </w:tc>
        <w:tc>
          <w:tcPr>
            <w:tcW w:w="885" w:type="pct"/>
            <w:vAlign w:val="center"/>
          </w:tcPr>
          <w:p w:rsidRPr="00404DC3" w:rsidR="002A5EA6" w:rsidP="00874826" w:rsidRDefault="002A5EA6" w14:paraId="5E50559E" w14:textId="77777777">
            <w:pPr>
              <w:jc w:val="center"/>
              <w:rPr>
                <w:rFonts w:asciiTheme="minorHAnsi" w:hAnsiTheme="minorHAnsi" w:cstheme="minorHAnsi"/>
              </w:rPr>
            </w:pPr>
            <w:r w:rsidRPr="00404DC3">
              <w:rPr>
                <w:rFonts w:asciiTheme="minorHAnsi" w:hAnsiTheme="minorHAnsi" w:cstheme="minorHAnsi"/>
              </w:rPr>
              <w:t>15</w:t>
            </w:r>
          </w:p>
          <w:p w:rsidRPr="00404DC3" w:rsidR="002A5EA6" w:rsidP="00874826" w:rsidRDefault="002A5EA6" w14:paraId="4AF18A41" w14:textId="77777777">
            <w:pPr>
              <w:jc w:val="center"/>
              <w:rPr>
                <w:rFonts w:asciiTheme="minorHAnsi" w:hAnsiTheme="minorHAnsi" w:cstheme="minorHAnsi"/>
              </w:rPr>
            </w:pPr>
            <w:r w:rsidRPr="00404DC3">
              <w:rPr>
                <w:rFonts w:asciiTheme="minorHAnsi" w:hAnsiTheme="minorHAnsi" w:cstheme="minorHAnsi"/>
              </w:rPr>
              <w:t>16</w:t>
            </w:r>
          </w:p>
          <w:p w:rsidRPr="00404DC3" w:rsidR="002A5EA6" w:rsidP="00874826" w:rsidRDefault="002A5EA6" w14:paraId="2F51C31F" w14:textId="77777777">
            <w:pPr>
              <w:jc w:val="center"/>
              <w:rPr>
                <w:rFonts w:asciiTheme="minorHAnsi" w:hAnsiTheme="minorHAnsi" w:cstheme="minorHAnsi"/>
              </w:rPr>
            </w:pPr>
            <w:r w:rsidRPr="00404DC3">
              <w:rPr>
                <w:rFonts w:asciiTheme="minorHAnsi" w:hAnsiTheme="minorHAnsi" w:cstheme="minorHAnsi"/>
              </w:rPr>
              <w:t>17</w:t>
            </w:r>
          </w:p>
          <w:p w:rsidRPr="00404DC3" w:rsidR="002A5EA6" w:rsidP="00874826" w:rsidRDefault="002A5EA6" w14:paraId="6EB73820" w14:textId="77777777">
            <w:pPr>
              <w:jc w:val="center"/>
              <w:rPr>
                <w:rFonts w:asciiTheme="minorHAnsi" w:hAnsiTheme="minorHAnsi" w:cstheme="minorHAnsi"/>
              </w:rPr>
            </w:pPr>
          </w:p>
        </w:tc>
      </w:tr>
    </w:tbl>
    <w:p w:rsidR="00FE33C9" w:rsidP="00347BDE" w:rsidRDefault="00FE33C9" w14:paraId="6882414A" w14:textId="77777777"/>
    <w:p w:rsidRPr="004C653F" w:rsidR="004C653F" w:rsidP="00962CED" w:rsidRDefault="00DB3321" w14:paraId="548AA475" w14:textId="5C995053">
      <w:pPr>
        <w:pStyle w:val="Heading3"/>
        <w:spacing w:after="120"/>
      </w:pPr>
      <w:r>
        <w:t>B4.</w:t>
      </w:r>
      <w:r>
        <w:tab/>
      </w:r>
      <w:r w:rsidRPr="004C653F" w:rsidR="004C653F">
        <w:t>Collection of Data and Quality Control</w:t>
      </w:r>
    </w:p>
    <w:p w:rsidR="00DB3321" w:rsidP="00962CED" w:rsidRDefault="00AA0663" w14:paraId="4E4B8EED" w14:textId="77777777">
      <w:pPr>
        <w:pStyle w:val="Heading5"/>
        <w:spacing w:after="60"/>
      </w:pPr>
      <w:r w:rsidRPr="00AA0663">
        <w:t>Who will be collecting the data (e.g., agency, contractor, local health departments)?</w:t>
      </w:r>
    </w:p>
    <w:p w:rsidR="00AA0663" w:rsidP="00E10B21" w:rsidRDefault="00AA0663" w14:paraId="446E73DF" w14:textId="711DA76A">
      <w:r>
        <w:t xml:space="preserve">Two members of the </w:t>
      </w:r>
      <w:r w:rsidR="005C087D">
        <w:t xml:space="preserve">contractor </w:t>
      </w:r>
      <w:r w:rsidR="004B3465">
        <w:t xml:space="preserve">study team </w:t>
      </w:r>
      <w:r>
        <w:t xml:space="preserve">will take part in each interview: an interviewer and a notetaker. </w:t>
      </w:r>
    </w:p>
    <w:p w:rsidR="00396E3D" w:rsidP="00E10B21" w:rsidRDefault="00396E3D" w14:paraId="0E1731DD" w14:textId="77777777"/>
    <w:p w:rsidR="00AA0663" w:rsidP="00962CED" w:rsidRDefault="00AA0663" w14:paraId="0A93E267" w14:textId="1DA6C684">
      <w:pPr>
        <w:pStyle w:val="Heading5"/>
        <w:spacing w:after="60"/>
      </w:pPr>
      <w:r w:rsidRPr="00AA0663">
        <w:t>What is the recruitment protocol?</w:t>
      </w:r>
    </w:p>
    <w:p w:rsidR="00AA0663" w:rsidP="00E10B21" w:rsidRDefault="00AA0663" w14:paraId="6AE3CBC7" w14:textId="4E92DCA3">
      <w:r>
        <w:t xml:space="preserve">We will begin recruitment for the interviews </w:t>
      </w:r>
      <w:r w:rsidR="00AB2BA7">
        <w:t xml:space="preserve">within one week of receiving </w:t>
      </w:r>
      <w:r w:rsidR="00EB030F">
        <w:t>OMB approval</w:t>
      </w:r>
      <w:r>
        <w:t xml:space="preserve">. </w:t>
      </w:r>
      <w:r w:rsidR="003E0C75">
        <w:t xml:space="preserve">OPRE </w:t>
      </w:r>
      <w:r w:rsidR="00B673DE">
        <w:t>will request a letter of support from the Office of Child Care to include in the r</w:t>
      </w:r>
      <w:r w:rsidR="00722EEA">
        <w:t>ecruitment outreach</w:t>
      </w:r>
      <w:r w:rsidR="00B673DE">
        <w:t xml:space="preserve"> to licensing administrators</w:t>
      </w:r>
      <w:r>
        <w:t>.</w:t>
      </w:r>
      <w:r w:rsidR="003E0C75">
        <w:t xml:space="preserve"> See APPENDIX D for a draft of the letter.</w:t>
      </w:r>
    </w:p>
    <w:p w:rsidR="00DB3321" w:rsidP="00E10B21" w:rsidRDefault="00DB3321" w14:paraId="4A851315" w14:textId="77777777"/>
    <w:p w:rsidR="00EC5F26" w:rsidP="00CE0D43" w:rsidRDefault="00F67CB1" w14:paraId="26C26E70" w14:textId="2B6A06E6">
      <w:r>
        <w:t>We will request an up-to-date contact list of licensing administrators from federally-funded National Center on Early Childhood Quality Assurance</w:t>
      </w:r>
      <w:r w:rsidR="00874826">
        <w:t>.</w:t>
      </w:r>
      <w:r w:rsidRPr="002C570C" w:rsidR="00AA0663">
        <w:t xml:space="preserve"> </w:t>
      </w:r>
      <w:r>
        <w:t>W</w:t>
      </w:r>
      <w:r w:rsidRPr="002C570C" w:rsidR="00AA0663">
        <w:t xml:space="preserve">e will contact each administrator via email to describe the </w:t>
      </w:r>
      <w:r w:rsidR="0037738C">
        <w:t>study</w:t>
      </w:r>
      <w:r w:rsidRPr="002C570C" w:rsidR="00AA0663">
        <w:t>, the types of questions we will ask, the amount of time it will take, and to request their participation</w:t>
      </w:r>
      <w:r w:rsidR="00F07BA1">
        <w:t xml:space="preserve"> (see </w:t>
      </w:r>
      <w:r w:rsidR="00FB3892">
        <w:t>Appendix A</w:t>
      </w:r>
      <w:r w:rsidR="00F07BA1">
        <w:t>)</w:t>
      </w:r>
      <w:r w:rsidRPr="002C570C" w:rsidR="00AA0663">
        <w:t xml:space="preserve">. </w:t>
      </w:r>
      <w:r w:rsidR="00AA0663">
        <w:t xml:space="preserve">The email will originate from Dr. Kelly Maxwell’s (Child Trends) email address because some of the respondents will know Kelly (personally or by reputation) and therefore be more likely to open an email from her than from a generic </w:t>
      </w:r>
      <w:r w:rsidR="00B43885">
        <w:t>or</w:t>
      </w:r>
      <w:r w:rsidR="00AA0663">
        <w:t xml:space="preserve"> project email</w:t>
      </w:r>
      <w:r w:rsidR="00B43885">
        <w:t xml:space="preserve"> address</w:t>
      </w:r>
      <w:r w:rsidR="00AA0663">
        <w:t xml:space="preserve">. </w:t>
      </w:r>
      <w:r w:rsidRPr="002C570C" w:rsidR="00AA0663">
        <w:t xml:space="preserve">To facilitate scheduling, the email will </w:t>
      </w:r>
      <w:r w:rsidR="00980D6B">
        <w:t xml:space="preserve">provide a link taking </w:t>
      </w:r>
      <w:r w:rsidRPr="002C570C" w:rsidR="00AA0663">
        <w:t xml:space="preserve">respondents to </w:t>
      </w:r>
      <w:r w:rsidR="0025558C">
        <w:t>a</w:t>
      </w:r>
      <w:r w:rsidR="00536FEB">
        <w:t>n online platform</w:t>
      </w:r>
      <w:r w:rsidR="0025558C">
        <w:t xml:space="preserve"> </w:t>
      </w:r>
      <w:r w:rsidR="001B3227">
        <w:t>(REDCap)</w:t>
      </w:r>
      <w:r w:rsidR="0025558C">
        <w:t xml:space="preserve"> </w:t>
      </w:r>
      <w:r w:rsidR="00803884">
        <w:t>where</w:t>
      </w:r>
      <w:r w:rsidRPr="002C570C" w:rsidR="00803884">
        <w:t xml:space="preserve"> </w:t>
      </w:r>
      <w:r w:rsidRPr="002C570C" w:rsidR="00AA0663">
        <w:t xml:space="preserve">they can select </w:t>
      </w:r>
      <w:r w:rsidR="00AA0663">
        <w:t>the</w:t>
      </w:r>
      <w:r w:rsidRPr="002C570C" w:rsidR="00AA0663">
        <w:t xml:space="preserve"> interview slot that works best for them. </w:t>
      </w:r>
      <w:r w:rsidR="00536FEB">
        <w:t xml:space="preserve">That </w:t>
      </w:r>
      <w:r w:rsidR="00980D6B">
        <w:t>link</w:t>
      </w:r>
      <w:r w:rsidR="00536FEB">
        <w:t xml:space="preserve"> will also ask </w:t>
      </w:r>
      <w:r w:rsidR="00D2577E">
        <w:t xml:space="preserve">state licensing administrators for the name and contact information for the data systems person. </w:t>
      </w:r>
      <w:r w:rsidRPr="002C570C" w:rsidR="00AA0663">
        <w:t xml:space="preserve">The email will also provide respondents a way to contact </w:t>
      </w:r>
      <w:r w:rsidR="00AA0663">
        <w:t>Child Trends</w:t>
      </w:r>
      <w:r w:rsidRPr="002C570C" w:rsidR="00AA0663">
        <w:t xml:space="preserve"> </w:t>
      </w:r>
      <w:r w:rsidR="00AA0663">
        <w:t>if they have</w:t>
      </w:r>
      <w:r w:rsidRPr="002C570C" w:rsidR="00AA0663">
        <w:t xml:space="preserve"> questions (via email and telephone) </w:t>
      </w:r>
      <w:r w:rsidR="00AA0663">
        <w:t>or want to let us know that they will participate; the email will also</w:t>
      </w:r>
      <w:r w:rsidRPr="002C570C" w:rsidR="00AA0663">
        <w:t xml:space="preserve"> let them know that we will be following up via telephone and email</w:t>
      </w:r>
      <w:r w:rsidR="00AA0663">
        <w:t xml:space="preserve"> if they do not respond</w:t>
      </w:r>
      <w:r w:rsidRPr="002C570C" w:rsidR="00AA0663">
        <w:t>.</w:t>
      </w:r>
      <w:r w:rsidR="005B418B">
        <w:t xml:space="preserve"> </w:t>
      </w:r>
      <w:r w:rsidR="00FC693B">
        <w:t>T</w:t>
      </w:r>
      <w:r w:rsidR="00A63DBD">
        <w:t xml:space="preserve">able 2 </w:t>
      </w:r>
      <w:r w:rsidR="00FC693B">
        <w:t xml:space="preserve">outlines our plans </w:t>
      </w:r>
      <w:r w:rsidR="00EB030F">
        <w:t>to reach out</w:t>
      </w:r>
      <w:r w:rsidR="00FC693B">
        <w:t xml:space="preserve"> to participants</w:t>
      </w:r>
      <w:r w:rsidR="00EB030F">
        <w:t xml:space="preserve"> four times</w:t>
      </w:r>
      <w:r w:rsidR="00DC3A79">
        <w:t>.</w:t>
      </w:r>
      <w:r w:rsidR="00A90C6C">
        <w:t xml:space="preserve"> </w:t>
      </w:r>
      <w:r w:rsidR="00CE0D43">
        <w:t xml:space="preserve">The text of the emails and call scripts for the licensing administrator appear in </w:t>
      </w:r>
      <w:r w:rsidR="006B4FEF">
        <w:t>APPENDIX</w:t>
      </w:r>
      <w:r w:rsidR="00CE0D43">
        <w:t xml:space="preserve"> A and those for the data systems person appear in </w:t>
      </w:r>
      <w:r w:rsidR="006B4FEF">
        <w:t xml:space="preserve">APPENDIX </w:t>
      </w:r>
      <w:r w:rsidR="00CE0D43">
        <w:t>B</w:t>
      </w:r>
      <w:r w:rsidR="006443FD">
        <w:t xml:space="preserve">. </w:t>
      </w:r>
      <w:r w:rsidR="00CE0D43">
        <w:t xml:space="preserve"> </w:t>
      </w:r>
    </w:p>
    <w:p w:rsidR="00EC5F26" w:rsidP="00CE0D43" w:rsidRDefault="00EC5F26" w14:paraId="1FB1F9D3" w14:textId="77777777"/>
    <w:p w:rsidR="00CE0D43" w:rsidP="00EC5F26" w:rsidRDefault="00CE0D43" w14:paraId="74D84B82" w14:textId="27B7CF4D">
      <w:r>
        <w:t xml:space="preserve">When respondents sign up for a time slot, we will also ask for their permission to continue to contact them by email, as required by Child Trends data security policies. </w:t>
      </w:r>
      <w:r w:rsidRPr="002F5669">
        <w:t>State licensing administrators will also be asked for the name and contact information of the data systems person when they sign up for the interview.</w:t>
      </w:r>
      <w:r>
        <w:t xml:space="preserve"> </w:t>
      </w:r>
      <w:r w:rsidRPr="00E67BC0">
        <w:t xml:space="preserve">The scheduling </w:t>
      </w:r>
      <w:r w:rsidR="00CE0635">
        <w:t xml:space="preserve">platform </w:t>
      </w:r>
      <w:r w:rsidRPr="00E67BC0">
        <w:t xml:space="preserve">will also </w:t>
      </w:r>
      <w:r w:rsidR="00CE0635">
        <w:t>provide</w:t>
      </w:r>
      <w:r w:rsidRPr="00E67BC0">
        <w:t xml:space="preserve"> an option for respondents to easily let us know that they do not want to participate so we can stop sending reminders. If they choose to not participate, they will be asked if there is anyone else in their state/territory who could potentially respond to our questions. Licensing administrators who opt out will still be asked for the name of the data systems person. </w:t>
      </w:r>
    </w:p>
    <w:p w:rsidR="00DC3A79" w:rsidP="00E10B21" w:rsidRDefault="00DC3A79" w14:paraId="0F9E9F44" w14:textId="77777777"/>
    <w:p w:rsidRPr="00AE491D" w:rsidR="00F07BA1" w:rsidP="00C25AAF" w:rsidRDefault="00A63DBD" w14:paraId="38B1B4EA" w14:textId="45B6E661">
      <w:pPr>
        <w:keepNext/>
      </w:pPr>
      <w:r w:rsidRPr="00AE491D">
        <w:t>Table 2</w:t>
      </w:r>
      <w:r w:rsidR="00874826">
        <w:t>.</w:t>
      </w:r>
      <w:r w:rsidRPr="00AE491D">
        <w:t xml:space="preserve"> </w:t>
      </w:r>
      <w:r w:rsidRPr="00AE491D" w:rsidR="00541E59">
        <w:t>Outreach Plans</w:t>
      </w:r>
      <w:r w:rsidRPr="00AE491D" w:rsidR="00A14069">
        <w:t xml:space="preserve"> (see </w:t>
      </w:r>
      <w:r w:rsidRPr="00AE491D" w:rsidR="00926E9A">
        <w:t>Appendices</w:t>
      </w:r>
      <w:r w:rsidRPr="00AE491D" w:rsidR="00A14069">
        <w:t xml:space="preserve"> A and B for text)</w:t>
      </w:r>
    </w:p>
    <w:tbl>
      <w:tblPr>
        <w:tblStyle w:val="TableGrid"/>
        <w:tblW w:w="5000" w:type="pct"/>
        <w:tblInd w:w="0" w:type="dxa"/>
        <w:tblLook w:val="04A0" w:firstRow="1" w:lastRow="0" w:firstColumn="1" w:lastColumn="0" w:noHBand="0" w:noVBand="1"/>
      </w:tblPr>
      <w:tblGrid>
        <w:gridCol w:w="1152"/>
        <w:gridCol w:w="6524"/>
        <w:gridCol w:w="1674"/>
      </w:tblGrid>
      <w:tr w:rsidR="00722211" w:rsidTr="00CE0635" w14:paraId="36B2E0C3" w14:textId="77777777">
        <w:tc>
          <w:tcPr>
            <w:tcW w:w="616" w:type="pct"/>
            <w:shd w:val="clear" w:color="auto" w:fill="EDEDED" w:themeFill="accent3" w:themeFillTint="33"/>
            <w:vAlign w:val="bottom"/>
          </w:tcPr>
          <w:p w:rsidRPr="00E10448" w:rsidR="00722211" w:rsidP="00CE0635" w:rsidRDefault="00722211" w14:paraId="1451732F" w14:textId="19FFDFA5">
            <w:pPr>
              <w:keepNext/>
              <w:jc w:val="center"/>
              <w:rPr>
                <w:rFonts w:asciiTheme="minorHAnsi" w:hAnsiTheme="minorHAnsi" w:cstheme="minorHAnsi"/>
                <w:sz w:val="22"/>
                <w:szCs w:val="22"/>
              </w:rPr>
            </w:pPr>
            <w:r w:rsidRPr="00E10448">
              <w:rPr>
                <w:rFonts w:asciiTheme="minorHAnsi" w:hAnsiTheme="minorHAnsi" w:eastAsiaTheme="minorHAnsi" w:cstheme="minorHAnsi"/>
                <w:sz w:val="22"/>
                <w:szCs w:val="22"/>
              </w:rPr>
              <w:t>Outreach</w:t>
            </w:r>
            <w:r w:rsidRPr="00E10448">
              <w:rPr>
                <w:rFonts w:asciiTheme="minorHAnsi" w:hAnsiTheme="minorHAnsi" w:eastAsiaTheme="minorHAnsi" w:cstheme="minorHAnsi"/>
                <w:sz w:val="22"/>
                <w:szCs w:val="22"/>
              </w:rPr>
              <w:br/>
              <w:t>Attempt</w:t>
            </w:r>
          </w:p>
        </w:tc>
        <w:tc>
          <w:tcPr>
            <w:tcW w:w="3489" w:type="pct"/>
            <w:shd w:val="clear" w:color="auto" w:fill="EDEDED" w:themeFill="accent3" w:themeFillTint="33"/>
            <w:vAlign w:val="bottom"/>
          </w:tcPr>
          <w:p w:rsidRPr="00206DCC" w:rsidR="00722211" w:rsidP="00CE0635" w:rsidRDefault="00722211" w14:paraId="6225CC7D" w14:textId="4433DA7B">
            <w:pPr>
              <w:keepNext/>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Timing</w:t>
            </w:r>
          </w:p>
        </w:tc>
        <w:tc>
          <w:tcPr>
            <w:tcW w:w="895" w:type="pct"/>
            <w:shd w:val="clear" w:color="auto" w:fill="EDEDED" w:themeFill="accent3" w:themeFillTint="33"/>
            <w:vAlign w:val="bottom"/>
          </w:tcPr>
          <w:p w:rsidRPr="00206DCC" w:rsidR="00722211" w:rsidP="00CE0635" w:rsidRDefault="00722211" w14:paraId="5F22CC39" w14:textId="436D7276">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Mode</w:t>
            </w:r>
          </w:p>
        </w:tc>
      </w:tr>
      <w:tr w:rsidR="00722211" w:rsidTr="00341F8B" w14:paraId="51A88F19" w14:textId="77777777">
        <w:tc>
          <w:tcPr>
            <w:tcW w:w="616" w:type="pct"/>
            <w:vAlign w:val="center"/>
          </w:tcPr>
          <w:p w:rsidRPr="00E10448" w:rsidR="00722211" w:rsidP="00874826" w:rsidRDefault="00722211" w14:paraId="424824CD" w14:textId="1A19CC9E">
            <w:pPr>
              <w:keepNext/>
              <w:jc w:val="center"/>
              <w:rPr>
                <w:rFonts w:asciiTheme="minorHAnsi" w:hAnsiTheme="minorHAnsi" w:cstheme="minorHAnsi"/>
                <w:sz w:val="22"/>
                <w:szCs w:val="22"/>
              </w:rPr>
            </w:pPr>
            <w:r w:rsidRPr="00E10448">
              <w:rPr>
                <w:rFonts w:asciiTheme="minorHAnsi" w:hAnsiTheme="minorHAnsi" w:cstheme="minorHAnsi"/>
                <w:sz w:val="22"/>
                <w:szCs w:val="22"/>
              </w:rPr>
              <w:t>1</w:t>
            </w:r>
          </w:p>
        </w:tc>
        <w:tc>
          <w:tcPr>
            <w:tcW w:w="3489" w:type="pct"/>
            <w:vAlign w:val="center"/>
          </w:tcPr>
          <w:p w:rsidRPr="00874826" w:rsidR="00722211" w:rsidP="00874826" w:rsidRDefault="00722211" w14:paraId="07657ADA" w14:textId="55DA1010">
            <w:pPr>
              <w:widowControl w:val="0"/>
              <w:rPr>
                <w:rFonts w:asciiTheme="minorHAnsi" w:hAnsiTheme="minorHAnsi" w:cstheme="minorHAnsi"/>
                <w:sz w:val="22"/>
                <w:szCs w:val="22"/>
              </w:rPr>
            </w:pPr>
            <w:r w:rsidRPr="004D13D4">
              <w:rPr>
                <w:rFonts w:asciiTheme="minorHAnsi" w:hAnsiTheme="minorHAnsi" w:eastAsiaTheme="minorHAnsi" w:cstheme="minorHAnsi"/>
                <w:b/>
                <w:bCs w:val="0"/>
                <w:sz w:val="22"/>
                <w:szCs w:val="22"/>
              </w:rPr>
              <w:t>Week 1</w:t>
            </w:r>
            <w:r w:rsidRPr="004D13D4" w:rsidR="00EC5F26">
              <w:rPr>
                <w:rFonts w:asciiTheme="minorHAnsi" w:hAnsiTheme="minorHAnsi" w:eastAsiaTheme="minorHAnsi" w:cstheme="minorHAnsi"/>
                <w:b/>
                <w:bCs w:val="0"/>
                <w:sz w:val="22"/>
                <w:szCs w:val="22"/>
              </w:rPr>
              <w:t>- Initial participation request</w:t>
            </w:r>
            <w:r w:rsidRPr="004D13D4" w:rsidR="00EC5F26">
              <w:rPr>
                <w:rFonts w:asciiTheme="minorHAnsi" w:hAnsiTheme="minorHAnsi" w:eastAsiaTheme="minorHAnsi" w:cstheme="minorHAnsi"/>
                <w:sz w:val="22"/>
                <w:szCs w:val="22"/>
              </w:rPr>
              <w:t xml:space="preserve">: Early in </w:t>
            </w:r>
            <w:r w:rsidRPr="004D13D4" w:rsidR="00AF4BEE">
              <w:rPr>
                <w:rFonts w:asciiTheme="minorHAnsi" w:hAnsiTheme="minorHAnsi" w:eastAsiaTheme="minorHAnsi" w:cstheme="minorHAnsi"/>
                <w:sz w:val="22"/>
                <w:szCs w:val="22"/>
              </w:rPr>
              <w:t>w</w:t>
            </w:r>
            <w:r w:rsidRPr="004D13D4" w:rsidR="00EC5F26">
              <w:rPr>
                <w:rFonts w:asciiTheme="minorHAnsi" w:hAnsiTheme="minorHAnsi" w:eastAsiaTheme="minorHAnsi" w:cstheme="minorHAnsi"/>
                <w:sz w:val="22"/>
                <w:szCs w:val="22"/>
              </w:rPr>
              <w:t>eek 1, this email will provide a link to select a time (or opt out) and also let them know that we will call them if we do not hear from them.</w:t>
            </w:r>
            <w:r w:rsidRPr="004D13D4" w:rsidR="00EC5F26">
              <w:rPr>
                <w:rFonts w:asciiTheme="minorHAnsi" w:hAnsiTheme="minorHAnsi" w:cstheme="minorHAnsi"/>
                <w:sz w:val="22"/>
                <w:szCs w:val="22"/>
              </w:rPr>
              <w:t xml:space="preserve"> </w:t>
            </w:r>
          </w:p>
        </w:tc>
        <w:tc>
          <w:tcPr>
            <w:tcW w:w="895" w:type="pct"/>
            <w:vAlign w:val="center"/>
          </w:tcPr>
          <w:p w:rsidRPr="00206DCC" w:rsidR="00722211" w:rsidP="00874826" w:rsidRDefault="00722211" w14:paraId="5B26A0C9" w14:textId="4D5D3E48">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Email</w:t>
            </w:r>
          </w:p>
        </w:tc>
      </w:tr>
      <w:tr w:rsidR="00722211" w:rsidTr="00341F8B" w14:paraId="719F387F" w14:textId="77777777">
        <w:tc>
          <w:tcPr>
            <w:tcW w:w="616" w:type="pct"/>
            <w:vAlign w:val="center"/>
          </w:tcPr>
          <w:p w:rsidRPr="00E10448" w:rsidR="00722211" w:rsidP="00874826" w:rsidRDefault="00722211" w14:paraId="1952CDF0" w14:textId="6ACB7E5F">
            <w:pPr>
              <w:keepNext/>
              <w:jc w:val="center"/>
              <w:rPr>
                <w:rFonts w:asciiTheme="minorHAnsi" w:hAnsiTheme="minorHAnsi" w:cstheme="minorHAnsi"/>
                <w:sz w:val="22"/>
                <w:szCs w:val="22"/>
              </w:rPr>
            </w:pPr>
            <w:r w:rsidRPr="00E10448">
              <w:rPr>
                <w:rFonts w:asciiTheme="minorHAnsi" w:hAnsiTheme="minorHAnsi" w:cstheme="minorHAnsi"/>
                <w:sz w:val="22"/>
                <w:szCs w:val="22"/>
              </w:rPr>
              <w:t>2</w:t>
            </w:r>
          </w:p>
        </w:tc>
        <w:tc>
          <w:tcPr>
            <w:tcW w:w="3489" w:type="pct"/>
            <w:vAlign w:val="center"/>
          </w:tcPr>
          <w:p w:rsidRPr="0030434E" w:rsidR="00722211" w:rsidP="00874826" w:rsidRDefault="00722211" w14:paraId="4A86A40C" w14:textId="37F244D5">
            <w:pPr>
              <w:widowControl w:val="0"/>
              <w:rPr>
                <w:rFonts w:asciiTheme="minorHAnsi" w:hAnsiTheme="minorHAnsi" w:eastAsiaTheme="minorHAnsi" w:cstheme="minorHAnsi"/>
                <w:sz w:val="22"/>
                <w:szCs w:val="22"/>
              </w:rPr>
            </w:pPr>
            <w:r w:rsidRPr="004D13D4">
              <w:rPr>
                <w:rFonts w:asciiTheme="minorHAnsi" w:hAnsiTheme="minorHAnsi" w:eastAsiaTheme="minorHAnsi" w:cstheme="minorHAnsi"/>
                <w:b/>
                <w:bCs w:val="0"/>
                <w:sz w:val="22"/>
                <w:szCs w:val="22"/>
              </w:rPr>
              <w:t>Week 1</w:t>
            </w:r>
            <w:r w:rsidRPr="004D13D4">
              <w:rPr>
                <w:rFonts w:asciiTheme="minorHAnsi" w:hAnsiTheme="minorHAnsi" w:eastAsiaTheme="minorHAnsi" w:cstheme="minorHAnsi"/>
                <w:sz w:val="22"/>
                <w:szCs w:val="22"/>
              </w:rPr>
              <w:t xml:space="preserve"> (2</w:t>
            </w:r>
            <w:r w:rsidR="004D13D4">
              <w:rPr>
                <w:rFonts w:asciiTheme="minorHAnsi" w:hAnsiTheme="minorHAnsi" w:eastAsiaTheme="minorHAnsi" w:cstheme="minorHAnsi"/>
                <w:sz w:val="22"/>
                <w:szCs w:val="22"/>
              </w:rPr>
              <w:t xml:space="preserve"> to 3</w:t>
            </w:r>
            <w:r w:rsidRPr="004D13D4">
              <w:rPr>
                <w:rFonts w:asciiTheme="minorHAnsi" w:hAnsiTheme="minorHAnsi" w:eastAsiaTheme="minorHAnsi" w:cstheme="minorHAnsi"/>
                <w:sz w:val="22"/>
                <w:szCs w:val="22"/>
              </w:rPr>
              <w:t xml:space="preserve"> days after initial request)</w:t>
            </w:r>
            <w:r w:rsidRPr="004D13D4" w:rsidR="00EC5F26">
              <w:rPr>
                <w:rFonts w:asciiTheme="minorHAnsi" w:hAnsiTheme="minorHAnsi" w:eastAsiaTheme="minorHAnsi" w:cstheme="minorHAnsi"/>
                <w:sz w:val="22"/>
                <w:szCs w:val="22"/>
              </w:rPr>
              <w:t>-</w:t>
            </w:r>
            <w:r w:rsidRPr="004D13D4" w:rsidR="00EC5F26">
              <w:rPr>
                <w:rFonts w:asciiTheme="minorHAnsi" w:hAnsiTheme="minorHAnsi" w:cstheme="minorHAnsi"/>
                <w:b/>
                <w:bCs w:val="0"/>
                <w:sz w:val="22"/>
                <w:szCs w:val="22"/>
              </w:rPr>
              <w:t xml:space="preserve"> </w:t>
            </w:r>
            <w:r w:rsidRPr="004D13D4" w:rsidR="00EC5F26">
              <w:rPr>
                <w:rFonts w:asciiTheme="minorHAnsi" w:hAnsiTheme="minorHAnsi" w:eastAsiaTheme="minorHAnsi" w:cstheme="minorHAnsi"/>
                <w:b/>
                <w:bCs w:val="0"/>
                <w:sz w:val="22"/>
                <w:szCs w:val="22"/>
              </w:rPr>
              <w:t>First reminder email</w:t>
            </w:r>
            <w:r w:rsidRPr="004D13D4" w:rsidR="00EC5F26">
              <w:rPr>
                <w:rFonts w:asciiTheme="minorHAnsi" w:hAnsiTheme="minorHAnsi" w:eastAsiaTheme="minorHAnsi" w:cstheme="minorHAnsi"/>
                <w:sz w:val="22"/>
                <w:szCs w:val="22"/>
              </w:rPr>
              <w:t xml:space="preserve">: later in </w:t>
            </w:r>
            <w:r w:rsidRPr="004D13D4" w:rsidR="00AF4BEE">
              <w:rPr>
                <w:rFonts w:asciiTheme="minorHAnsi" w:hAnsiTheme="minorHAnsi" w:eastAsiaTheme="minorHAnsi" w:cstheme="minorHAnsi"/>
                <w:sz w:val="22"/>
                <w:szCs w:val="22"/>
              </w:rPr>
              <w:t>w</w:t>
            </w:r>
            <w:r w:rsidRPr="004D13D4" w:rsidR="00EC5F26">
              <w:rPr>
                <w:rFonts w:asciiTheme="minorHAnsi" w:hAnsiTheme="minorHAnsi" w:eastAsiaTheme="minorHAnsi" w:cstheme="minorHAnsi"/>
                <w:sz w:val="22"/>
                <w:szCs w:val="22"/>
              </w:rPr>
              <w:t xml:space="preserve">eek 1, this email will again provide a link to select a time (or opt out) and let them know that we will call them if we do not hear from them. </w:t>
            </w:r>
          </w:p>
        </w:tc>
        <w:tc>
          <w:tcPr>
            <w:tcW w:w="895" w:type="pct"/>
            <w:vAlign w:val="center"/>
          </w:tcPr>
          <w:p w:rsidRPr="00206DCC" w:rsidR="00722211" w:rsidP="00874826" w:rsidRDefault="00722211" w14:paraId="2A5044C4" w14:textId="2A1D3C37">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Email</w:t>
            </w:r>
          </w:p>
        </w:tc>
      </w:tr>
      <w:tr w:rsidR="00722211" w:rsidTr="00341F8B" w14:paraId="162566E6" w14:textId="77777777">
        <w:tc>
          <w:tcPr>
            <w:tcW w:w="616" w:type="pct"/>
            <w:vAlign w:val="center"/>
          </w:tcPr>
          <w:p w:rsidRPr="00E10448" w:rsidR="00722211" w:rsidP="00874826" w:rsidRDefault="00722211" w14:paraId="2D015032" w14:textId="1BBBEC76">
            <w:pPr>
              <w:keepNext/>
              <w:jc w:val="center"/>
              <w:rPr>
                <w:rFonts w:asciiTheme="minorHAnsi" w:hAnsiTheme="minorHAnsi" w:cstheme="minorHAnsi"/>
                <w:sz w:val="22"/>
                <w:szCs w:val="22"/>
              </w:rPr>
            </w:pPr>
            <w:r w:rsidRPr="00E10448">
              <w:rPr>
                <w:rFonts w:asciiTheme="minorHAnsi" w:hAnsiTheme="minorHAnsi" w:cstheme="minorHAnsi"/>
                <w:sz w:val="22"/>
                <w:szCs w:val="22"/>
              </w:rPr>
              <w:t>3</w:t>
            </w:r>
          </w:p>
        </w:tc>
        <w:tc>
          <w:tcPr>
            <w:tcW w:w="3489" w:type="pct"/>
            <w:vAlign w:val="center"/>
          </w:tcPr>
          <w:p w:rsidRPr="004D13D4" w:rsidR="00722211" w:rsidP="00874826" w:rsidRDefault="00722211" w14:paraId="04476331" w14:textId="18FDA4D1">
            <w:pPr>
              <w:widowControl w:val="0"/>
              <w:rPr>
                <w:rFonts w:asciiTheme="minorHAnsi" w:hAnsiTheme="minorHAnsi" w:eastAsiaTheme="minorHAnsi" w:cstheme="minorHAnsi"/>
                <w:sz w:val="22"/>
                <w:szCs w:val="22"/>
              </w:rPr>
            </w:pPr>
            <w:r w:rsidRPr="004D13D4">
              <w:rPr>
                <w:rFonts w:asciiTheme="minorHAnsi" w:hAnsiTheme="minorHAnsi" w:eastAsiaTheme="minorHAnsi" w:cstheme="minorHAnsi"/>
                <w:b/>
                <w:bCs w:val="0"/>
                <w:sz w:val="22"/>
                <w:szCs w:val="22"/>
              </w:rPr>
              <w:t>Week 2</w:t>
            </w:r>
            <w:r w:rsidRPr="004D13D4" w:rsidR="00EC5F26">
              <w:rPr>
                <w:rFonts w:asciiTheme="minorHAnsi" w:hAnsiTheme="minorHAnsi" w:eastAsiaTheme="minorHAnsi" w:cstheme="minorHAnsi"/>
                <w:b/>
                <w:bCs w:val="0"/>
                <w:sz w:val="22"/>
                <w:szCs w:val="22"/>
              </w:rPr>
              <w:t>-Telephone call</w:t>
            </w:r>
            <w:r w:rsidRPr="004D13D4" w:rsidR="00EC5F26">
              <w:rPr>
                <w:rFonts w:asciiTheme="minorHAnsi" w:hAnsiTheme="minorHAnsi" w:eastAsiaTheme="minorHAnsi" w:cstheme="minorHAnsi"/>
                <w:sz w:val="22"/>
                <w:szCs w:val="22"/>
              </w:rPr>
              <w:t xml:space="preserve">: during this phone call in week 2, we will give them an option of signing up for a slot during the call, selecting interview times </w:t>
            </w:r>
            <w:r w:rsidR="00B844C0">
              <w:rPr>
                <w:rFonts w:asciiTheme="minorHAnsi" w:hAnsiTheme="minorHAnsi" w:eastAsiaTheme="minorHAnsi" w:cstheme="minorHAnsi"/>
                <w:sz w:val="22"/>
                <w:szCs w:val="22"/>
              </w:rPr>
              <w:t>on the scheduling platform</w:t>
            </w:r>
            <w:r w:rsidRPr="004D13D4" w:rsidR="00EC5F26">
              <w:rPr>
                <w:rFonts w:asciiTheme="minorHAnsi" w:hAnsiTheme="minorHAnsi" w:eastAsiaTheme="minorHAnsi" w:cstheme="minorHAnsi"/>
                <w:sz w:val="22"/>
                <w:szCs w:val="22"/>
              </w:rPr>
              <w:t>, or opting out.</w:t>
            </w:r>
            <w:r w:rsidRPr="004D13D4" w:rsidR="00EC5F26">
              <w:rPr>
                <w:rFonts w:asciiTheme="minorHAnsi" w:hAnsiTheme="minorHAnsi" w:cstheme="minorHAnsi"/>
                <w:sz w:val="22"/>
                <w:szCs w:val="22"/>
              </w:rPr>
              <w:t xml:space="preserve"> </w:t>
            </w:r>
          </w:p>
        </w:tc>
        <w:tc>
          <w:tcPr>
            <w:tcW w:w="895" w:type="pct"/>
            <w:vAlign w:val="center"/>
          </w:tcPr>
          <w:p w:rsidRPr="00206DCC" w:rsidR="00722211" w:rsidP="00874826" w:rsidRDefault="00722211" w14:paraId="41B4F670" w14:textId="6CD3429D">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Telephone</w:t>
            </w:r>
          </w:p>
        </w:tc>
      </w:tr>
      <w:tr w:rsidR="00722211" w:rsidTr="00341F8B" w14:paraId="19D06262" w14:textId="77777777">
        <w:tc>
          <w:tcPr>
            <w:tcW w:w="616" w:type="pct"/>
            <w:vAlign w:val="center"/>
          </w:tcPr>
          <w:p w:rsidRPr="00E10448" w:rsidR="00722211" w:rsidP="00874826" w:rsidRDefault="00722211" w14:paraId="73AFEA82" w14:textId="136B3EB7">
            <w:pPr>
              <w:keepNext/>
              <w:jc w:val="center"/>
              <w:rPr>
                <w:rFonts w:asciiTheme="minorHAnsi" w:hAnsiTheme="minorHAnsi" w:cstheme="minorHAnsi"/>
                <w:sz w:val="22"/>
                <w:szCs w:val="22"/>
              </w:rPr>
            </w:pPr>
            <w:r w:rsidRPr="00E10448">
              <w:rPr>
                <w:rFonts w:asciiTheme="minorHAnsi" w:hAnsiTheme="minorHAnsi" w:cstheme="minorHAnsi"/>
                <w:sz w:val="22"/>
                <w:szCs w:val="22"/>
              </w:rPr>
              <w:t>4</w:t>
            </w:r>
          </w:p>
        </w:tc>
        <w:tc>
          <w:tcPr>
            <w:tcW w:w="3489" w:type="pct"/>
            <w:vAlign w:val="center"/>
          </w:tcPr>
          <w:p w:rsidRPr="004D13D4" w:rsidR="00722211" w:rsidP="00874826" w:rsidRDefault="00722211" w14:paraId="24CB9EF6" w14:textId="62D29022">
            <w:pPr>
              <w:rPr>
                <w:rFonts w:asciiTheme="minorHAnsi" w:hAnsiTheme="minorHAnsi" w:eastAsiaTheme="minorHAnsi" w:cstheme="minorHAnsi"/>
                <w:sz w:val="22"/>
                <w:szCs w:val="22"/>
              </w:rPr>
            </w:pPr>
            <w:r w:rsidRPr="004D13D4">
              <w:rPr>
                <w:rFonts w:asciiTheme="minorHAnsi" w:hAnsiTheme="minorHAnsi" w:eastAsiaTheme="minorHAnsi" w:cstheme="minorHAnsi"/>
                <w:sz w:val="22"/>
                <w:szCs w:val="22"/>
              </w:rPr>
              <w:t>Week 3</w:t>
            </w:r>
            <w:r w:rsidRPr="004D13D4" w:rsidR="00EC5F26">
              <w:rPr>
                <w:rFonts w:asciiTheme="minorHAnsi" w:hAnsiTheme="minorHAnsi" w:eastAsiaTheme="minorHAnsi" w:cstheme="minorHAnsi"/>
                <w:sz w:val="22"/>
                <w:szCs w:val="22"/>
              </w:rPr>
              <w:t>-</w:t>
            </w:r>
            <w:r w:rsidRPr="004D13D4" w:rsidR="00EC5F26">
              <w:rPr>
                <w:rFonts w:asciiTheme="minorHAnsi" w:hAnsiTheme="minorHAnsi" w:cstheme="minorHAnsi"/>
                <w:b/>
                <w:bCs w:val="0"/>
                <w:sz w:val="22"/>
                <w:szCs w:val="22"/>
              </w:rPr>
              <w:t xml:space="preserve"> Final reminder</w:t>
            </w:r>
            <w:r w:rsidRPr="004D13D4" w:rsidR="00EC5F26">
              <w:rPr>
                <w:rFonts w:asciiTheme="minorHAnsi" w:hAnsiTheme="minorHAnsi" w:eastAsiaTheme="minorHAnsi" w:cstheme="minorHAnsi"/>
                <w:sz w:val="22"/>
                <w:szCs w:val="22"/>
              </w:rPr>
              <w:t xml:space="preserve">: in week 3 we will send a final reminder about </w:t>
            </w:r>
            <w:r w:rsidRPr="004D13D4" w:rsidR="00A90C6C">
              <w:rPr>
                <w:rFonts w:asciiTheme="minorHAnsi" w:hAnsiTheme="minorHAnsi" w:eastAsiaTheme="minorHAnsi" w:cstheme="minorHAnsi"/>
                <w:sz w:val="22"/>
                <w:szCs w:val="22"/>
              </w:rPr>
              <w:t>participation</w:t>
            </w:r>
            <w:r w:rsidRPr="004D13D4" w:rsidR="00EC5F26">
              <w:rPr>
                <w:rFonts w:asciiTheme="minorHAnsi" w:hAnsiTheme="minorHAnsi" w:eastAsiaTheme="minorHAnsi" w:cstheme="minorHAnsi"/>
                <w:sz w:val="22"/>
                <w:szCs w:val="22"/>
              </w:rPr>
              <w:t xml:space="preserve"> via email. </w:t>
            </w:r>
          </w:p>
        </w:tc>
        <w:tc>
          <w:tcPr>
            <w:tcW w:w="895" w:type="pct"/>
            <w:vAlign w:val="center"/>
          </w:tcPr>
          <w:p w:rsidRPr="00206DCC" w:rsidR="00722211" w:rsidP="00874826" w:rsidRDefault="00722211" w14:paraId="329E05FB" w14:textId="4671F6F0">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Email</w:t>
            </w:r>
          </w:p>
        </w:tc>
      </w:tr>
    </w:tbl>
    <w:p w:rsidR="00206DCC" w:rsidP="00E10B21" w:rsidRDefault="00206DCC" w14:paraId="6EDEF094" w14:textId="7EFFECED"/>
    <w:p w:rsidR="00AA0663" w:rsidP="00E10B21" w:rsidRDefault="00983A5C" w14:paraId="2C61F9CD" w14:textId="6E3D8FCF">
      <w:r>
        <w:t>T</w:t>
      </w:r>
      <w:r w:rsidR="007C0363">
        <w:t xml:space="preserve">he scheduling </w:t>
      </w:r>
      <w:r w:rsidR="00CE0635">
        <w:t>platform</w:t>
      </w:r>
      <w:r w:rsidR="007C0363">
        <w:t xml:space="preserve"> </w:t>
      </w:r>
      <w:r w:rsidR="00AA0663">
        <w:t xml:space="preserve">link </w:t>
      </w:r>
      <w:r w:rsidR="00B61DAC">
        <w:t xml:space="preserve">will also </w:t>
      </w:r>
      <w:r w:rsidR="00AA0663">
        <w:t xml:space="preserve">allow them to let us know </w:t>
      </w:r>
      <w:r>
        <w:t xml:space="preserve">if </w:t>
      </w:r>
      <w:r w:rsidR="00AA0663">
        <w:t xml:space="preserve">they do not want to participate so we can stop sending reminders. </w:t>
      </w:r>
      <w:r w:rsidR="00A346DB">
        <w:t xml:space="preserve">If they opt out, the </w:t>
      </w:r>
      <w:r w:rsidR="00CE0635">
        <w:t>scheduling platform</w:t>
      </w:r>
      <w:r w:rsidR="00EB030F">
        <w:t xml:space="preserve"> will </w:t>
      </w:r>
      <w:r>
        <w:t xml:space="preserve">then </w:t>
      </w:r>
      <w:r w:rsidR="00EB030F">
        <w:t xml:space="preserve">ask them </w:t>
      </w:r>
      <w:r w:rsidR="007C5CDE">
        <w:t xml:space="preserve">to provide the </w:t>
      </w:r>
      <w:r w:rsidR="00626489">
        <w:t xml:space="preserve">name and </w:t>
      </w:r>
      <w:r w:rsidR="007C5CDE">
        <w:t>contact information</w:t>
      </w:r>
      <w:r w:rsidR="00EB030F">
        <w:t xml:space="preserve"> </w:t>
      </w:r>
      <w:r w:rsidR="00626489">
        <w:t xml:space="preserve">for </w:t>
      </w:r>
      <w:r w:rsidR="00BA7CD6">
        <w:t>someone</w:t>
      </w:r>
      <w:r w:rsidR="00EB030F">
        <w:t xml:space="preserve"> else in their state </w:t>
      </w:r>
      <w:r>
        <w:t xml:space="preserve">who </w:t>
      </w:r>
      <w:r w:rsidR="00EB030F">
        <w:t xml:space="preserve">could potentially respond to our questions. </w:t>
      </w:r>
    </w:p>
    <w:p w:rsidR="00DB3321" w:rsidP="00E10B21" w:rsidRDefault="00DB3321" w14:paraId="4CDE9335" w14:textId="77777777"/>
    <w:p w:rsidR="00AA0663" w:rsidP="00E10B21" w:rsidRDefault="00027C5D" w14:paraId="1AA2C3A6" w14:textId="227D5392">
      <w:r>
        <w:t>At the beginning of the interview, i</w:t>
      </w:r>
      <w:r w:rsidR="00E36AD8">
        <w:t>f the licensing administrator has not previously identified someone familiar with their licensing data system</w:t>
      </w:r>
      <w:r w:rsidR="00E64429">
        <w:t xml:space="preserve"> in the scheduling </w:t>
      </w:r>
      <w:r w:rsidR="00874826">
        <w:t>platform</w:t>
      </w:r>
      <w:r w:rsidRPr="00B70EE9" w:rsidR="00AA0663">
        <w:t xml:space="preserve">, we will </w:t>
      </w:r>
      <w:r w:rsidR="00AA0663">
        <w:t xml:space="preserve">ask the licensing administrator for the name and contact information for </w:t>
      </w:r>
      <w:r w:rsidR="004F4F68">
        <w:t xml:space="preserve">a staff member </w:t>
      </w:r>
      <w:r w:rsidR="00AA0663">
        <w:t>who can answer questions</w:t>
      </w:r>
      <w:r w:rsidR="00DF2AD1">
        <w:t xml:space="preserve"> related to their licensing data system</w:t>
      </w:r>
      <w:r w:rsidR="00AA0663">
        <w:t>. We will ask the licensing administrator to let the data systems person know about the interview and that we will be reaching out. To schedule interviews with the data systems person</w:t>
      </w:r>
      <w:r w:rsidR="005D5A5E">
        <w:t>,</w:t>
      </w:r>
      <w:r w:rsidR="00AA0663">
        <w:t xml:space="preserve"> we will follow the same procedures outlined above for scheduling with the licensing administrator (i.e., </w:t>
      </w:r>
      <w:r w:rsidR="002310ED">
        <w:t xml:space="preserve">four </w:t>
      </w:r>
      <w:r w:rsidR="00AA0663">
        <w:t xml:space="preserve">emails/phone calls </w:t>
      </w:r>
      <w:r w:rsidR="00B7590B">
        <w:t>with</w:t>
      </w:r>
      <w:r w:rsidR="00AA0663">
        <w:t xml:space="preserve"> a link </w:t>
      </w:r>
      <w:r w:rsidR="00874826">
        <w:t xml:space="preserve">to the </w:t>
      </w:r>
      <w:r w:rsidR="00AA0663">
        <w:t>scheduling</w:t>
      </w:r>
      <w:r w:rsidR="00874826">
        <w:t xml:space="preserve"> platform</w:t>
      </w:r>
      <w:r w:rsidR="00AA0663">
        <w:t xml:space="preserve"> and </w:t>
      </w:r>
      <w:r w:rsidR="00323333">
        <w:t xml:space="preserve">an option </w:t>
      </w:r>
      <w:r w:rsidR="00AA0663">
        <w:t>to opt out</w:t>
      </w:r>
      <w:r w:rsidR="00C64FF5">
        <w:t xml:space="preserve">; </w:t>
      </w:r>
      <w:r w:rsidR="00A51859">
        <w:t xml:space="preserve">See </w:t>
      </w:r>
      <w:r w:rsidR="00926E9A">
        <w:t>Appendix B</w:t>
      </w:r>
      <w:r w:rsidR="00A51859">
        <w:t>)</w:t>
      </w:r>
      <w:r w:rsidR="00AA0663">
        <w:t>.</w:t>
      </w:r>
    </w:p>
    <w:p w:rsidR="00DB3321" w:rsidP="00E10B21" w:rsidRDefault="00DB3321" w14:paraId="60B563A6" w14:textId="77777777"/>
    <w:p w:rsidRPr="00AA0663" w:rsidR="00AA0663" w:rsidP="00AF4BEE" w:rsidRDefault="00AA0663" w14:paraId="71657684" w14:textId="77777777">
      <w:pPr>
        <w:pStyle w:val="Heading5"/>
        <w:spacing w:after="60"/>
      </w:pPr>
      <w:r w:rsidRPr="00AA0663">
        <w:t>What is the mode of data collection?</w:t>
      </w:r>
    </w:p>
    <w:p w:rsidR="00AA0663" w:rsidP="00E10B21" w:rsidRDefault="00206DCC" w14:paraId="7BAAEB53" w14:textId="19032249">
      <w:r>
        <w:t xml:space="preserve">All interviews will take place via </w:t>
      </w:r>
      <w:r w:rsidR="00510670">
        <w:t>Microsoft Teams. Respondents will have the choice of calling in, using a regular telephone number provided by Teams or join</w:t>
      </w:r>
      <w:r w:rsidR="00172A98">
        <w:t>ing</w:t>
      </w:r>
      <w:r w:rsidR="00510670">
        <w:t xml:space="preserve"> via the Teams software</w:t>
      </w:r>
      <w:r w:rsidR="006352A4">
        <w:t xml:space="preserve"> (with video on or off)</w:t>
      </w:r>
      <w:r>
        <w:t xml:space="preserve">. </w:t>
      </w:r>
      <w:r w:rsidRPr="00B70EE9" w:rsidR="00AA0663">
        <w:t xml:space="preserve">All interview questions will be programmed into REDCap, and the notetaker will type notes into REDCap during the interview. Additionally, all interviews will be </w:t>
      </w:r>
      <w:r w:rsidR="00341F8B">
        <w:t xml:space="preserve">audio </w:t>
      </w:r>
      <w:r w:rsidRPr="00B70EE9" w:rsidR="00AA0663">
        <w:t>recorded</w:t>
      </w:r>
      <w:r w:rsidR="00510670">
        <w:t xml:space="preserve"> using the Teams software</w:t>
      </w:r>
      <w:r w:rsidRPr="00B70EE9" w:rsidR="00AA0663">
        <w:t xml:space="preserve">, with respondent permission, so that </w:t>
      </w:r>
      <w:r w:rsidR="003C137B">
        <w:t>notetak</w:t>
      </w:r>
      <w:r w:rsidRPr="00B70EE9" w:rsidR="00AA0663">
        <w:t xml:space="preserve">ers can refer to them as needed if the notes are unclear or incomplete. Immediately following each interview, the recordings will be transferred </w:t>
      </w:r>
      <w:r w:rsidR="00861337">
        <w:t xml:space="preserve">from Teams </w:t>
      </w:r>
      <w:r w:rsidRPr="00B70EE9" w:rsidR="00AA0663">
        <w:t xml:space="preserve">to REDCap, where they will be securely stored. As soon as they are transferred, the recordings will be erased from </w:t>
      </w:r>
      <w:r w:rsidR="003623B2">
        <w:t>Teams</w:t>
      </w:r>
      <w:r w:rsidRPr="00B70EE9" w:rsidR="00AA0663">
        <w:t xml:space="preserve">. Only permitted </w:t>
      </w:r>
      <w:r w:rsidR="00C4381F">
        <w:t>study</w:t>
      </w:r>
      <w:r w:rsidRPr="00B70EE9" w:rsidR="00C4381F">
        <w:t xml:space="preserve"> </w:t>
      </w:r>
      <w:r w:rsidRPr="00B70EE9" w:rsidR="00AA0663">
        <w:t xml:space="preserve">staff will be able to access the interview notes and recordings in REDCap. </w:t>
      </w:r>
      <w:r w:rsidR="00AA0663">
        <w:t xml:space="preserve">The recordings will not be transcribed; their purpose is only to clarify notes. </w:t>
      </w:r>
      <w:r w:rsidRPr="00B70EE9" w:rsidR="00AA0663">
        <w:t xml:space="preserve">All interview data will be linked to participant IDs only. Access to the key that links personally indefinable information to IDs will be limited to only </w:t>
      </w:r>
      <w:r w:rsidR="00C4381F">
        <w:t>study</w:t>
      </w:r>
      <w:r w:rsidRPr="00B70EE9" w:rsidR="00C4381F">
        <w:t xml:space="preserve"> </w:t>
      </w:r>
      <w:r w:rsidRPr="00B70EE9" w:rsidR="00AA0663">
        <w:t xml:space="preserve">staff who need the information to complete the interviews. </w:t>
      </w:r>
    </w:p>
    <w:p w:rsidR="00DB3321" w:rsidP="00E10B21" w:rsidRDefault="00DB3321" w14:paraId="6DB15D61" w14:textId="77777777"/>
    <w:p w:rsidR="00DB3321" w:rsidP="004D13D4" w:rsidRDefault="00AA0663" w14:paraId="7DD2DCA4" w14:textId="39313620">
      <w:pPr>
        <w:spacing w:after="120"/>
        <w:rPr>
          <w:rFonts w:eastAsia="Times New Roman" w:cstheme="minorHAnsi"/>
          <w:color w:val="000000"/>
        </w:rPr>
      </w:pPr>
      <w:r w:rsidRPr="00DB3321">
        <w:rPr>
          <w:rStyle w:val="Heading5Char"/>
        </w:rPr>
        <w:t>How are the data collection activities monitored for quality and consistency (e.g., interviewer training)</w:t>
      </w:r>
      <w:r w:rsidR="002310ED">
        <w:rPr>
          <w:rStyle w:val="Heading5Char"/>
        </w:rPr>
        <w:t>?</w:t>
      </w:r>
      <w:r>
        <w:rPr>
          <w:rFonts w:eastAsia="Times New Roman" w:cstheme="minorHAnsi"/>
          <w:color w:val="000000"/>
        </w:rPr>
        <w:t xml:space="preserve"> </w:t>
      </w:r>
    </w:p>
    <w:p w:rsidR="00FD0B5B" w:rsidP="00E10B21" w:rsidRDefault="004D13D4" w14:paraId="609714E7" w14:textId="4BA6B7ED">
      <w:r>
        <w:t>T</w:t>
      </w:r>
      <w:r w:rsidR="00573A15">
        <w:t>he</w:t>
      </w:r>
      <w:r>
        <w:t xml:space="preserve"> </w:t>
      </w:r>
      <w:r w:rsidR="00AF4BEE">
        <w:t xml:space="preserve">lead researcher </w:t>
      </w:r>
      <w:r w:rsidR="00573A15">
        <w:t xml:space="preserve">for this activity </w:t>
      </w:r>
      <w:r w:rsidR="00AF4BEE">
        <w:t xml:space="preserve">and </w:t>
      </w:r>
      <w:r w:rsidR="00573A15">
        <w:t xml:space="preserve">the </w:t>
      </w:r>
      <w:r w:rsidR="00AF4BEE">
        <w:t>Principal Investigator</w:t>
      </w:r>
      <w:r>
        <w:t xml:space="preserve"> (PI)</w:t>
      </w:r>
      <w:r w:rsidR="00AF4BEE">
        <w:t xml:space="preserve"> for the TRLECE project, </w:t>
      </w:r>
      <w:r w:rsidR="00AA0663">
        <w:t xml:space="preserve">will train 2-4 additional </w:t>
      </w:r>
      <w:r w:rsidR="00FD26EE">
        <w:t>Child Trends</w:t>
      </w:r>
      <w:r w:rsidR="00AA2BD2">
        <w:t xml:space="preserve"> or ICF</w:t>
      </w:r>
      <w:r w:rsidR="00FD26EE">
        <w:t xml:space="preserve"> </w:t>
      </w:r>
      <w:r w:rsidR="00AA0663">
        <w:t xml:space="preserve">staff to conduct these interviews. As part of the training, </w:t>
      </w:r>
      <w:r>
        <w:t xml:space="preserve">the </w:t>
      </w:r>
      <w:r w:rsidR="00A65635">
        <w:t>activity</w:t>
      </w:r>
      <w:r>
        <w:t xml:space="preserve"> lead and PI </w:t>
      </w:r>
      <w:r w:rsidR="00AA0663">
        <w:t xml:space="preserve">will serve as the interviewer for the first several interviews and another interviewer-in-training will take notes (e.g., essentially doing live transcription of responses). </w:t>
      </w:r>
      <w:r w:rsidR="00EA09AF">
        <w:t>A</w:t>
      </w:r>
      <w:r w:rsidR="00AA0663">
        <w:t xml:space="preserve">fter each </w:t>
      </w:r>
      <w:r w:rsidR="002B70FE">
        <w:t xml:space="preserve">of these initial </w:t>
      </w:r>
      <w:r w:rsidR="00AA0663">
        <w:t>interview</w:t>
      </w:r>
      <w:r w:rsidR="002B70FE">
        <w:t>s</w:t>
      </w:r>
      <w:r w:rsidR="00EA09AF">
        <w:t>, the team will debrief</w:t>
      </w:r>
      <w:r w:rsidR="00AA0663">
        <w:t xml:space="preserve"> to ensure the </w:t>
      </w:r>
      <w:r w:rsidR="00FD26EE">
        <w:t xml:space="preserve">interviewer-in-training </w:t>
      </w:r>
      <w:r w:rsidR="00AA0663">
        <w:t xml:space="preserve">understood why certain questions were probed. Once we are confident that the </w:t>
      </w:r>
      <w:r w:rsidR="00FD26EE">
        <w:t xml:space="preserve">interviewer-in-training </w:t>
      </w:r>
      <w:r w:rsidR="00AA0663">
        <w:t>understand</w:t>
      </w:r>
      <w:r w:rsidR="00FD26EE">
        <w:t>s</w:t>
      </w:r>
      <w:r w:rsidR="00AA0663">
        <w:t xml:space="preserve"> the </w:t>
      </w:r>
      <w:r w:rsidR="00C4381F">
        <w:t xml:space="preserve">study </w:t>
      </w:r>
      <w:r w:rsidR="00AA0663">
        <w:t xml:space="preserve">goals and interviewing techniques, </w:t>
      </w:r>
      <w:r w:rsidR="00EA09AF">
        <w:t xml:space="preserve">they </w:t>
      </w:r>
      <w:r w:rsidR="00AA0663">
        <w:t xml:space="preserve">will begin </w:t>
      </w:r>
      <w:r w:rsidR="00EA09AF">
        <w:t xml:space="preserve">conducting </w:t>
      </w:r>
      <w:r w:rsidR="00AA0663">
        <w:t>interview</w:t>
      </w:r>
      <w:r w:rsidR="00EA09AF">
        <w:t xml:space="preserve">s with </w:t>
      </w:r>
      <w:r w:rsidR="00AA0663">
        <w:t>a research assistant tak</w:t>
      </w:r>
      <w:r w:rsidR="00EA09AF">
        <w:t>ing</w:t>
      </w:r>
      <w:r w:rsidR="00AA0663">
        <w:t xml:space="preserve"> </w:t>
      </w:r>
      <w:r w:rsidRPr="00B70EE9" w:rsidR="00AA0663">
        <w:t xml:space="preserve">notes. </w:t>
      </w:r>
    </w:p>
    <w:p w:rsidR="00D26CF9" w:rsidP="00AB2BA7" w:rsidRDefault="00D26CF9" w14:paraId="60C15871" w14:textId="77777777">
      <w:pPr>
        <w:pStyle w:val="Heading5"/>
        <w:keepNext w:val="0"/>
        <w:widowControl w:val="0"/>
      </w:pPr>
    </w:p>
    <w:p w:rsidR="002E4319" w:rsidP="00AF4BEE" w:rsidRDefault="006D5F66" w14:paraId="49CFA152" w14:textId="0E318EFC">
      <w:pPr>
        <w:pStyle w:val="Heading5"/>
        <w:spacing w:after="60"/>
      </w:pPr>
      <w:r w:rsidRPr="006D5F66">
        <w:t>What data evaluation activities are planned as part of monitoring for quality and consistency in this collection, such as re-interviews?</w:t>
      </w:r>
    </w:p>
    <w:p w:rsidR="00396E3D" w:rsidP="00396E3D" w:rsidRDefault="0079386C" w14:paraId="1E47065C" w14:textId="6F094346">
      <w:r>
        <w:t>While interviews are taking place, Child Trends will hold a weekly meeting with all interviewers (including</w:t>
      </w:r>
      <w:r w:rsidR="00AF4BEE">
        <w:t xml:space="preserve"> the lead researcher and Principal Investigator for the TRLECE project)</w:t>
      </w:r>
      <w:r>
        <w:t xml:space="preserve"> and notetakers to discuss issues that are arising, monitor progress and quality, and ensure consistency. </w:t>
      </w:r>
    </w:p>
    <w:p w:rsidR="00D26CF9" w:rsidP="00E10B21" w:rsidRDefault="00D26CF9" w14:paraId="3EAD5A0B" w14:textId="77777777"/>
    <w:p w:rsidR="006D5F66" w:rsidP="00E10B21" w:rsidRDefault="00D26CF9" w14:paraId="1186E2D4" w14:textId="6BB33F95">
      <w:pPr>
        <w:pStyle w:val="Heading3"/>
      </w:pPr>
      <w:r>
        <w:t>B5.</w:t>
      </w:r>
      <w:r>
        <w:tab/>
      </w:r>
      <w:r w:rsidR="006D5F66">
        <w:t>Response Rates and Potential Nonresponse Bias</w:t>
      </w:r>
    </w:p>
    <w:p w:rsidR="006D5F66" w:rsidP="00E10B21" w:rsidRDefault="006D5F66" w14:paraId="7EB88FF1" w14:textId="77777777">
      <w:pPr>
        <w:pStyle w:val="Heading5"/>
      </w:pPr>
      <w:r>
        <w:t>Response Rates</w:t>
      </w:r>
    </w:p>
    <w:p w:rsidR="00402870" w:rsidP="00E10B21" w:rsidRDefault="005B43FE" w14:paraId="0DB1B393" w14:textId="5166C3B3">
      <w:pPr>
        <w:rPr>
          <w:rFonts w:eastAsia="Times New Roman" w:cstheme="minorHAnsi"/>
          <w:color w:val="000000"/>
        </w:rPr>
      </w:pPr>
      <w:r>
        <w:t xml:space="preserve">Our goal is to include </w:t>
      </w:r>
      <w:r w:rsidR="004A09A4">
        <w:t xml:space="preserve">as many </w:t>
      </w:r>
      <w:r>
        <w:t>states and territories</w:t>
      </w:r>
      <w:r w:rsidR="004A09A4">
        <w:t xml:space="preserve"> as possible</w:t>
      </w:r>
      <w:r>
        <w:t>, plus the District of Columbia (</w:t>
      </w:r>
      <w:r w:rsidRPr="005B43FE">
        <w:rPr>
          <w:i/>
          <w:iCs/>
        </w:rPr>
        <w:t>n</w:t>
      </w:r>
      <w:r>
        <w:t xml:space="preserve"> =56). </w:t>
      </w:r>
      <w:r w:rsidR="006A27A1">
        <w:t>In</w:t>
      </w:r>
      <w:r>
        <w:t xml:space="preserve"> </w:t>
      </w:r>
      <w:r w:rsidR="006A27A1">
        <w:t>a previous</w:t>
      </w:r>
      <w:r w:rsidR="00573A15">
        <w:t xml:space="preserve"> </w:t>
      </w:r>
      <w:r>
        <w:t>stud</w:t>
      </w:r>
      <w:r w:rsidR="006A27A1">
        <w:t>y</w:t>
      </w:r>
      <w:r w:rsidR="006E566D">
        <w:t xml:space="preserve"> that included interviews with </w:t>
      </w:r>
      <w:r w:rsidR="00A433B4">
        <w:t xml:space="preserve">CCDF </w:t>
      </w:r>
      <w:r w:rsidR="006E566D">
        <w:t>administrators</w:t>
      </w:r>
      <w:r w:rsidR="006A27A1">
        <w:t>,</w:t>
      </w:r>
      <w:r>
        <w:t xml:space="preserve"> </w:t>
      </w:r>
      <w:r w:rsidR="00EA09AF">
        <w:t>about 75% of administrators responded</w:t>
      </w:r>
      <w:r>
        <w:t>.</w:t>
      </w:r>
      <w:r w:rsidR="006E566D">
        <w:t xml:space="preserve"> We expect licensing administrators to be especially interested in participating in these interviews to share their experiences with COVID-19 and to discuss issues and needs. Thus, we </w:t>
      </w:r>
      <w:r w:rsidR="00A433B4">
        <w:t xml:space="preserve">are planning for </w:t>
      </w:r>
      <w:r w:rsidR="00EA09AF">
        <w:t xml:space="preserve">participation from </w:t>
      </w:r>
      <w:r w:rsidR="00A26329">
        <w:t xml:space="preserve">50 out of </w:t>
      </w:r>
      <w:r w:rsidR="00EA09AF">
        <w:t xml:space="preserve">the </w:t>
      </w:r>
      <w:r w:rsidR="00A26329">
        <w:t>56</w:t>
      </w:r>
      <w:r w:rsidR="00EA09AF">
        <w:t xml:space="preserve"> potential states and territories</w:t>
      </w:r>
      <w:r w:rsidR="006E566D">
        <w:t>.</w:t>
      </w:r>
      <w:r>
        <w:t xml:space="preserve"> </w:t>
      </w:r>
      <w:r w:rsidR="009D1B70">
        <w:t xml:space="preserve">We expect similar </w:t>
      </w:r>
      <w:r w:rsidR="00EA09AF">
        <w:t>participation from</w:t>
      </w:r>
      <w:r w:rsidR="009D1B70">
        <w:t xml:space="preserve"> data system staff </w:t>
      </w:r>
      <w:r w:rsidR="006724B7">
        <w:t xml:space="preserve">because </w:t>
      </w:r>
      <w:r w:rsidR="009D1B70">
        <w:t xml:space="preserve">they will be identified by licensing administrators. </w:t>
      </w:r>
      <w:r>
        <w:rPr>
          <w:rFonts w:eastAsia="Times New Roman" w:cstheme="minorHAnsi"/>
          <w:color w:val="000000"/>
        </w:rPr>
        <w:t>The interviews are not designed to produce statistically generalizable findings and participation is wholly at the respondent’s discretion.</w:t>
      </w:r>
    </w:p>
    <w:p w:rsidR="00D26CF9" w:rsidP="00E10B21" w:rsidRDefault="00D26CF9" w14:paraId="0E254F6D" w14:textId="77777777"/>
    <w:p w:rsidR="005B43FE" w:rsidP="00404DC3" w:rsidRDefault="005B43FE" w14:paraId="6BAB42C7" w14:textId="21B3D17A">
      <w:pPr>
        <w:pStyle w:val="Heading5"/>
        <w:spacing w:after="60"/>
      </w:pPr>
      <w:r>
        <w:t>NonResponse</w:t>
      </w:r>
    </w:p>
    <w:p w:rsidR="005B43FE" w:rsidP="00E10B21" w:rsidRDefault="00396E3D" w14:paraId="1B0E8D17" w14:textId="21BB8ED5">
      <w:r>
        <w:t>P</w:t>
      </w:r>
      <w:r w:rsidR="005B43FE">
        <w:t>articipants will not be randomly sampled</w:t>
      </w:r>
      <w:r w:rsidR="002310ED">
        <w:t>,</w:t>
      </w:r>
      <w:r w:rsidR="005B43FE">
        <w:t xml:space="preserve"> and findings are not intended to be representative, </w:t>
      </w:r>
      <w:r>
        <w:t xml:space="preserve">so </w:t>
      </w:r>
      <w:r w:rsidR="005B43FE">
        <w:t>non-response bias will not be calculated. We will</w:t>
      </w:r>
      <w:r w:rsidR="00FB74CD">
        <w:t xml:space="preserve"> use information from the </w:t>
      </w:r>
      <w:r w:rsidRPr="00206E27" w:rsidR="00FB74CD">
        <w:t>2017 Child Care Licensing Survey</w:t>
      </w:r>
      <w:r w:rsidR="009B5E39">
        <w:t xml:space="preserve"> </w:t>
      </w:r>
      <w:r w:rsidR="003F2AD8">
        <w:t>(see SSA section A4 for a description of that study)</w:t>
      </w:r>
      <w:r w:rsidR="004A57C0">
        <w:t xml:space="preserve"> </w:t>
      </w:r>
      <w:r w:rsidR="00FB74CD">
        <w:t xml:space="preserve">to document and report on </w:t>
      </w:r>
      <w:r w:rsidR="005B43FE">
        <w:t xml:space="preserve">characteristics of non-responding states (e.g., number of licensed child care facilities, agency that houses </w:t>
      </w:r>
      <w:r w:rsidR="002A5EA6">
        <w:t>child care licensing</w:t>
      </w:r>
      <w:r w:rsidR="005B43FE">
        <w:t>).</w:t>
      </w:r>
    </w:p>
    <w:p w:rsidR="00FB74CD" w:rsidP="00E10B21" w:rsidRDefault="00FB74CD" w14:paraId="2547A8A4" w14:textId="491D63E2">
      <w:pPr>
        <w:pStyle w:val="Heading3"/>
      </w:pPr>
    </w:p>
    <w:p w:rsidR="00FB74CD" w:rsidP="004A09A4" w:rsidRDefault="006C7C57" w14:paraId="01F65139" w14:textId="6EFCDEC9">
      <w:pPr>
        <w:pStyle w:val="Heading3"/>
        <w:spacing w:after="120"/>
      </w:pPr>
      <w:r>
        <w:t>B6.</w:t>
      </w:r>
      <w:r>
        <w:tab/>
      </w:r>
      <w:r w:rsidR="00FB74CD">
        <w:t xml:space="preserve">Production of Estimates and Projections </w:t>
      </w:r>
    </w:p>
    <w:p w:rsidR="00FB74CD" w:rsidP="00E10B21" w:rsidRDefault="00FB74CD" w14:paraId="7616B2E2" w14:textId="679F2BF3">
      <w:r w:rsidRPr="00FB74CD">
        <w:t xml:space="preserve">The information will not be used to generate population estimates, either for internal use or dissemination, and no policy decisions will be made based on these data. </w:t>
      </w:r>
      <w:r w:rsidR="00270FDA">
        <w:t>The information will describe the range of issues faced across state/territory licensing administrators and their most pressing needs for research and data.</w:t>
      </w:r>
    </w:p>
    <w:p w:rsidRPr="00FB74CD" w:rsidR="006C7C57" w:rsidP="00E10B21" w:rsidRDefault="006C7C57" w14:paraId="121F751F" w14:textId="77777777"/>
    <w:p w:rsidR="00FB74CD" w:rsidP="004A09A4" w:rsidRDefault="00FB74CD" w14:paraId="41F4BC52" w14:textId="5EB55A57">
      <w:pPr>
        <w:pStyle w:val="Heading3"/>
        <w:spacing w:after="120"/>
      </w:pPr>
      <w:r>
        <w:t>B7.</w:t>
      </w:r>
      <w:r w:rsidR="006C7C57">
        <w:tab/>
      </w:r>
      <w:r>
        <w:t>Data Handling and Analysis</w:t>
      </w:r>
    </w:p>
    <w:p w:rsidR="00FB74CD" w:rsidP="004A09A4" w:rsidRDefault="00FB74CD" w14:paraId="64E96775" w14:textId="69EE1B99">
      <w:pPr>
        <w:pStyle w:val="Heading5"/>
        <w:spacing w:after="60"/>
      </w:pPr>
      <w:r>
        <w:t>Data Handling</w:t>
      </w:r>
      <w:r w:rsidR="00EA09AF">
        <w:t xml:space="preserve"> and Data Analysis</w:t>
      </w:r>
    </w:p>
    <w:p w:rsidR="00FD26EE" w:rsidP="00E10B21" w:rsidRDefault="001C33B6" w14:paraId="34D41A48" w14:textId="7211FF7E">
      <w:r>
        <w:t>All questions in t</w:t>
      </w:r>
      <w:r w:rsidR="002D66B4">
        <w:t xml:space="preserve">he semi-structured interviews will be open-ended. We will code </w:t>
      </w:r>
      <w:r w:rsidR="007D41D0">
        <w:t>them</w:t>
      </w:r>
      <w:r w:rsidR="002D66B4">
        <w:t xml:space="preserve"> using qualitative analysis software (i.e., Dedoose)</w:t>
      </w:r>
      <w:r w:rsidR="00573A15">
        <w:t>,</w:t>
      </w:r>
      <w:r w:rsidR="002D66B4">
        <w:t xml:space="preserve"> and </w:t>
      </w:r>
      <w:r w:rsidR="00A829D4">
        <w:t xml:space="preserve">3-5 </w:t>
      </w:r>
      <w:r w:rsidR="002D66B4">
        <w:t xml:space="preserve">coders </w:t>
      </w:r>
      <w:r w:rsidR="00A829D4">
        <w:t>will</w:t>
      </w:r>
      <w:r w:rsidR="002D66B4">
        <w:t xml:space="preserve"> identify and summarize themes. </w:t>
      </w:r>
      <w:r w:rsidR="003F2AD8">
        <w:t>As described in section A4 of SSA, these interviews will build off of information gathered as part of the 2017 Child Care Licensing Survey and the recent COVID-19 survey from the National Association for Regulatory Administration (NARA). During analysis, we will refer back to those data sets for context and high-level understanding of each state’s licensing system</w:t>
      </w:r>
      <w:r w:rsidR="00A14964">
        <w:t xml:space="preserve"> as we interpret the findings from this study</w:t>
      </w:r>
      <w:r w:rsidR="003F2AD8">
        <w:t xml:space="preserve">. </w:t>
      </w:r>
    </w:p>
    <w:p w:rsidR="006C7C57" w:rsidP="00E10B21" w:rsidRDefault="006C7C57" w14:paraId="5C328B52" w14:textId="77777777"/>
    <w:p w:rsidR="002D66B4" w:rsidP="00E10B21" w:rsidRDefault="002D66B4" w14:paraId="6D523EF7" w14:textId="1D57592D">
      <w:r>
        <w:t>Once we have completed half of the interviews, we will randomly select five to review to help us begin creating the coding structure for the open-ended questions.</w:t>
      </w:r>
      <w:r w:rsidR="00F13B9B">
        <w:t xml:space="preserve"> This approach will balance the need</w:t>
      </w:r>
      <w:r w:rsidR="00573A15">
        <w:t xml:space="preserve"> to</w:t>
      </w:r>
      <w:r w:rsidR="00F13B9B">
        <w:t xml:space="preserve"> start analysis quickly so that the information can be summarized in a timely fashion, with the need to ensure that the coding structure is based on a representative batch of interviews (i.e., not simply th</w:t>
      </w:r>
      <w:r w:rsidR="00710AB3">
        <w:t>e first few</w:t>
      </w:r>
      <w:r w:rsidR="00F13B9B">
        <w:t xml:space="preserve">). </w:t>
      </w:r>
      <w:r w:rsidR="00D26E15">
        <w:t xml:space="preserve">Determining the coding structure early on will also benefit </w:t>
      </w:r>
      <w:r w:rsidR="006F71A0">
        <w:t xml:space="preserve">interrater reliability for the coding team. </w:t>
      </w:r>
      <w:r w:rsidR="00566BE2">
        <w:t xml:space="preserve">The </w:t>
      </w:r>
      <w:r w:rsidR="00F13B9B">
        <w:t xml:space="preserve">coding structure will be revised throughout the coding process to ensure that it captures themes that emerge as interviews continue. During this first phase, </w:t>
      </w:r>
      <w:r w:rsidR="00A83FA2">
        <w:t xml:space="preserve">the </w:t>
      </w:r>
      <w:r w:rsidR="007A38F7">
        <w:t>two</w:t>
      </w:r>
      <w:r w:rsidR="00BB3FA6">
        <w:t xml:space="preserve"> </w:t>
      </w:r>
      <w:r w:rsidR="00F13B9B">
        <w:t>c</w:t>
      </w:r>
      <w:r>
        <w:t>oder</w:t>
      </w:r>
      <w:r w:rsidR="00EA09AF">
        <w:t>s</w:t>
      </w:r>
      <w:r w:rsidR="00326180">
        <w:t xml:space="preserve"> most knowledgeable about the topic</w:t>
      </w:r>
      <w:r>
        <w:t xml:space="preserve"> will </w:t>
      </w:r>
      <w:r w:rsidR="0059040F">
        <w:t xml:space="preserve">independently </w:t>
      </w:r>
      <w:r>
        <w:t xml:space="preserve">review the interview notes and make notes on themes and patterns. Coders will meet, along with </w:t>
      </w:r>
      <w:r w:rsidR="00515FBE">
        <w:t>the activity lead and/or PI</w:t>
      </w:r>
      <w:r>
        <w:t xml:space="preserve">, to discuss the possible themes and develop a coding structure for the interviews. The interview notes from these five will then be independently coded by </w:t>
      </w:r>
      <w:r w:rsidR="00541E59">
        <w:t xml:space="preserve">the same </w:t>
      </w:r>
      <w:r>
        <w:t xml:space="preserve">two coders to confirm that the coding structure is distinctive and coherent. If the two coders disagree on several codes, they will meet with </w:t>
      </w:r>
      <w:r w:rsidR="00515FBE">
        <w:t xml:space="preserve">the activity lead and/or PI </w:t>
      </w:r>
      <w:r>
        <w:t xml:space="preserve">to refine the coding structure. If significant changes are made to the coding structure based on the reconciliation of the coding of the first five interviews, the team will randomly select up to five more interview notes to review, code, </w:t>
      </w:r>
      <w:r w:rsidR="00F56665">
        <w:t xml:space="preserve">and </w:t>
      </w:r>
      <w:r>
        <w:t xml:space="preserve">discuss. </w:t>
      </w:r>
    </w:p>
    <w:p w:rsidR="006C7C57" w:rsidP="00E10B21" w:rsidRDefault="006C7C57" w14:paraId="180BC90F" w14:textId="77777777"/>
    <w:p w:rsidR="00FB0893" w:rsidP="00E10B21" w:rsidRDefault="002D66B4" w14:paraId="09BA860E" w14:textId="7C2040E8">
      <w:r>
        <w:t xml:space="preserve">Once the coding structure has been developed, </w:t>
      </w:r>
      <w:r w:rsidR="0023063B">
        <w:t xml:space="preserve">interrater reliability </w:t>
      </w:r>
      <w:r>
        <w:t xml:space="preserve">will </w:t>
      </w:r>
      <w:r w:rsidR="0023063B">
        <w:t xml:space="preserve">be established among </w:t>
      </w:r>
      <w:r w:rsidR="00EC2470">
        <w:t>the full coding team</w:t>
      </w:r>
      <w:r w:rsidR="00515FBE">
        <w:t>,</w:t>
      </w:r>
      <w:r w:rsidR="00D233A5">
        <w:t xml:space="preserve"> and the coding team</w:t>
      </w:r>
      <w:r w:rsidR="00EC2470">
        <w:t xml:space="preserve"> </w:t>
      </w:r>
      <w:r>
        <w:t xml:space="preserve">will independently review and code all of the interview notes, referring to audio recordings as needed. The coders will meet at regular intervals to confirm agreement, and </w:t>
      </w:r>
      <w:r w:rsidR="00515FBE">
        <w:t>the activity lead or PI</w:t>
      </w:r>
      <w:r>
        <w:t xml:space="preserve"> will serve as a “tie breaker” for consensus when agreement cannot be achieved. Instances of differing opinion, as well as the resolution, will be documented. During regular meetings with coders, the team will </w:t>
      </w:r>
      <w:r w:rsidR="00341F8B">
        <w:t xml:space="preserve">also </w:t>
      </w:r>
      <w:r>
        <w:t xml:space="preserve">discuss ideas for new codes based on their review of interviews. The team will add new codes and review previously coded interviews as needed. Within two months of completing data collection, the team will </w:t>
      </w:r>
      <w:r w:rsidR="0085210A">
        <w:t xml:space="preserve">prepare </w:t>
      </w:r>
      <w:r>
        <w:t xml:space="preserve">a draft memo that describes the preliminary findings and tabulations, organized by the research questions and topics. </w:t>
      </w:r>
    </w:p>
    <w:p w:rsidR="00FB0893" w:rsidP="00E10B21" w:rsidRDefault="00FB0893" w14:paraId="75F7A34A" w14:textId="77777777"/>
    <w:p w:rsidR="00FB0893" w:rsidP="00E10B21" w:rsidRDefault="002D66B4" w14:paraId="72C8F2D0" w14:textId="37B2C0EB">
      <w:bookmarkStart w:name="_Hlk49773728" w:id="1"/>
      <w:r>
        <w:t xml:space="preserve">We will analyze state and territory data separately to investigate </w:t>
      </w:r>
      <w:r w:rsidR="00341F8B">
        <w:t xml:space="preserve">whether </w:t>
      </w:r>
      <w:r>
        <w:t xml:space="preserve">the needs and challenges are different for the two groups. </w:t>
      </w:r>
      <w:r w:rsidRPr="00A821B6">
        <w:t xml:space="preserve">We </w:t>
      </w:r>
      <w:r w:rsidRPr="00A821B6" w:rsidR="00FB0893">
        <w:t>also propose analyz</w:t>
      </w:r>
      <w:r w:rsidR="00341F8B">
        <w:t>ing</w:t>
      </w:r>
      <w:r w:rsidRPr="00A821B6" w:rsidR="00FB0893">
        <w:t xml:space="preserve"> information across the following subgroups of states: </w:t>
      </w:r>
      <w:r w:rsidRPr="00A821B6">
        <w:t>states with a large versus small number of licensed providers</w:t>
      </w:r>
      <w:r w:rsidR="005A32D4">
        <w:t xml:space="preserve">; </w:t>
      </w:r>
      <w:r w:rsidR="003E68B6">
        <w:t>proportion of children under age 13 who receive a child care subsidy</w:t>
      </w:r>
      <w:r w:rsidR="005A32D4">
        <w:t>;</w:t>
      </w:r>
      <w:r w:rsidRPr="00A821B6" w:rsidR="00FB0893">
        <w:t xml:space="preserve"> and</w:t>
      </w:r>
      <w:r w:rsidRPr="00A821B6">
        <w:t xml:space="preserve"> states with different governance structures (e.g., licensing co-located with CCDF or subsidy; state- or county-administered CCDF).</w:t>
      </w:r>
      <w:r>
        <w:t xml:space="preserve"> </w:t>
      </w:r>
    </w:p>
    <w:bookmarkEnd w:id="1"/>
    <w:p w:rsidR="006C7C57" w:rsidP="00E10B21" w:rsidRDefault="006C7C57" w14:paraId="358BB59D" w14:textId="77777777"/>
    <w:p w:rsidR="00FB74CD" w:rsidP="004A09A4" w:rsidRDefault="00FB74CD" w14:paraId="09B3D893" w14:textId="77777777">
      <w:pPr>
        <w:pStyle w:val="Heading5"/>
        <w:spacing w:after="120"/>
      </w:pPr>
      <w:r>
        <w:t>Data Use</w:t>
      </w:r>
    </w:p>
    <w:p w:rsidRPr="00886B2F" w:rsidR="0085210A" w:rsidP="0085210A" w:rsidRDefault="002D66B4" w14:paraId="64A4ED4E" w14:textId="086F8804">
      <w:pPr>
        <w:rPr>
          <w:rFonts w:eastAsia="Times New Roman" w:cstheme="minorHAnsi"/>
        </w:rPr>
      </w:pPr>
      <w:r>
        <w:t>The data will be used to create an internal report</w:t>
      </w:r>
      <w:r w:rsidR="00FB0893">
        <w:t xml:space="preserve"> for OPRE and its federal partners</w:t>
      </w:r>
      <w:r>
        <w:t xml:space="preserve">. </w:t>
      </w:r>
      <w:r w:rsidR="0085210A">
        <w:t xml:space="preserve">The report will include prominent themes that emerged from open-ended questions, as well as considerations or suggestions from the Child Trends/ICF team based on their interpretation of the data. The report will also describe findings in light of variation </w:t>
      </w:r>
      <w:r w:rsidRPr="00886B2F" w:rsidR="0085210A">
        <w:rPr>
          <w:rFonts w:eastAsia="Times New Roman" w:cstheme="minorHAnsi"/>
        </w:rPr>
        <w:t>in states (e.g., co-location of licensing with other ECE services).</w:t>
      </w:r>
    </w:p>
    <w:p w:rsidR="0085210A" w:rsidP="00E10B21" w:rsidRDefault="0085210A" w14:paraId="21F8650D" w14:textId="77777777"/>
    <w:p w:rsidR="00FB74CD" w:rsidP="00E10B21" w:rsidRDefault="001061E1" w14:paraId="53883BF2" w14:textId="648FF091">
      <w:r>
        <w:t xml:space="preserve">Although the entire report will not be made public, it </w:t>
      </w:r>
      <w:r w:rsidR="00F4548B">
        <w:t>may</w:t>
      </w:r>
      <w:r>
        <w:t xml:space="preserve"> be used to inform </w:t>
      </w:r>
      <w:r w:rsidR="000A1B3F">
        <w:t>other future efforts, such as TRLECE or ACF</w:t>
      </w:r>
      <w:r>
        <w:t xml:space="preserve"> research design documents, background materials for technical work groups, conceptual framework</w:t>
      </w:r>
      <w:r w:rsidR="000A1B3F">
        <w:t>s</w:t>
      </w:r>
      <w:r>
        <w:t>, and to contextualize research findings from follow-up data collections that have full PRA approval.</w:t>
      </w:r>
      <w:r w:rsidRPr="00F97C94">
        <w:t xml:space="preserve"> </w:t>
      </w:r>
      <w:r w:rsidR="008710E6">
        <w:t xml:space="preserve">We may also produce </w:t>
      </w:r>
      <w:r w:rsidR="00F4548B">
        <w:t xml:space="preserve">an informational report for OCC and its TA providers to support federally-funded TA. </w:t>
      </w:r>
      <w:r w:rsidRPr="00F97C94">
        <w:t xml:space="preserve">In </w:t>
      </w:r>
      <w:r>
        <w:t>sharing</w:t>
      </w:r>
      <w:r w:rsidRPr="00F97C94">
        <w:t xml:space="preserve"> findings</w:t>
      </w:r>
      <w:r>
        <w:t xml:space="preserve"> in these other contexts</w:t>
      </w:r>
      <w:r w:rsidRPr="00F97C94">
        <w:t>, we will describe the study methods and limitations with regard to generalizability and as a basis for policy</w:t>
      </w:r>
      <w:r w:rsidR="002D66B4">
        <w:t>.</w:t>
      </w:r>
    </w:p>
    <w:p w:rsidR="00FB0893" w:rsidP="00E10B21" w:rsidRDefault="00FB0893" w14:paraId="0140AC1E" w14:textId="61CAB4D4"/>
    <w:p w:rsidR="00261E03" w:rsidP="00E10B21" w:rsidRDefault="00886B2F" w14:paraId="73C39FCD" w14:textId="48C40317">
      <w:pPr>
        <w:rPr>
          <w:b/>
        </w:rPr>
      </w:pPr>
      <w:r>
        <w:t xml:space="preserve">There are three main benefits of this data collection: </w:t>
      </w:r>
      <w:r w:rsidRPr="00261E03" w:rsidR="00261E03">
        <w:rPr>
          <w:b/>
        </w:rPr>
        <w:t xml:space="preserve"> </w:t>
      </w:r>
    </w:p>
    <w:p w:rsidR="00396E3D" w:rsidP="00396E3D" w:rsidRDefault="00396E3D" w14:paraId="67F29435" w14:textId="407364F1">
      <w:pPr>
        <w:pStyle w:val="ListParagraph"/>
        <w:numPr>
          <w:ilvl w:val="0"/>
          <w:numId w:val="29"/>
        </w:numPr>
        <w:rPr>
          <w:bCs w:val="0"/>
        </w:rPr>
      </w:pPr>
      <w:r w:rsidRPr="00815E46">
        <w:rPr>
          <w:bCs w:val="0"/>
        </w:rPr>
        <w:t>Improve</w:t>
      </w:r>
      <w:r w:rsidR="00FB0893">
        <w:rPr>
          <w:bCs w:val="0"/>
        </w:rPr>
        <w:t xml:space="preserve"> TRLECE and OPRE’s</w:t>
      </w:r>
      <w:r w:rsidRPr="00815E46">
        <w:rPr>
          <w:bCs w:val="0"/>
        </w:rPr>
        <w:t xml:space="preserve"> future research and data collection efforts to ensure they address state</w:t>
      </w:r>
      <w:r w:rsidRPr="00815E46" w:rsidR="00815E46">
        <w:rPr>
          <w:bCs w:val="0"/>
        </w:rPr>
        <w:t>s’ and territories’ most pressing questions</w:t>
      </w:r>
      <w:r w:rsidR="0059040F">
        <w:rPr>
          <w:bCs w:val="0"/>
        </w:rPr>
        <w:t xml:space="preserve"> related to </w:t>
      </w:r>
      <w:r w:rsidR="002A5EA6">
        <w:rPr>
          <w:bCs w:val="0"/>
        </w:rPr>
        <w:t>child care licensing</w:t>
      </w:r>
      <w:r w:rsidRPr="00815E46" w:rsidR="00815E46">
        <w:rPr>
          <w:bCs w:val="0"/>
        </w:rPr>
        <w:t>.</w:t>
      </w:r>
    </w:p>
    <w:p w:rsidR="00815E46" w:rsidP="00396E3D" w:rsidRDefault="00815E46" w14:paraId="559F5C27" w14:textId="6C82CC1C">
      <w:pPr>
        <w:pStyle w:val="ListParagraph"/>
        <w:numPr>
          <w:ilvl w:val="0"/>
          <w:numId w:val="29"/>
        </w:numPr>
        <w:rPr>
          <w:bCs w:val="0"/>
        </w:rPr>
      </w:pPr>
      <w:r>
        <w:rPr>
          <w:bCs w:val="0"/>
        </w:rPr>
        <w:t xml:space="preserve">Ensure that </w:t>
      </w:r>
      <w:r w:rsidR="00FB0893">
        <w:rPr>
          <w:bCs w:val="0"/>
        </w:rPr>
        <w:t xml:space="preserve">research-based </w:t>
      </w:r>
      <w:r>
        <w:rPr>
          <w:bCs w:val="0"/>
        </w:rPr>
        <w:t xml:space="preserve">products that result from TRLECE </w:t>
      </w:r>
      <w:r w:rsidR="00FB0893">
        <w:rPr>
          <w:bCs w:val="0"/>
        </w:rPr>
        <w:t xml:space="preserve">and OPRE </w:t>
      </w:r>
      <w:r>
        <w:rPr>
          <w:bCs w:val="0"/>
        </w:rPr>
        <w:t>meet states’ and territories’ needs.</w:t>
      </w:r>
    </w:p>
    <w:p w:rsidR="00815E46" w:rsidP="007D41D0" w:rsidRDefault="00815E46" w14:paraId="297D35ED" w14:textId="20AB70B6">
      <w:pPr>
        <w:pStyle w:val="ListParagraph"/>
        <w:numPr>
          <w:ilvl w:val="0"/>
          <w:numId w:val="29"/>
        </w:numPr>
        <w:spacing w:after="0"/>
        <w:rPr>
          <w:bCs w:val="0"/>
        </w:rPr>
      </w:pPr>
      <w:r>
        <w:rPr>
          <w:bCs w:val="0"/>
        </w:rPr>
        <w:t xml:space="preserve">Identify states </w:t>
      </w:r>
      <w:r w:rsidR="00FB0893">
        <w:rPr>
          <w:bCs w:val="0"/>
        </w:rPr>
        <w:t xml:space="preserve">who </w:t>
      </w:r>
      <w:r>
        <w:rPr>
          <w:bCs w:val="0"/>
        </w:rPr>
        <w:t xml:space="preserve">could partner with TRLECE for future research studies on </w:t>
      </w:r>
      <w:r w:rsidR="002A5EA6">
        <w:rPr>
          <w:bCs w:val="0"/>
        </w:rPr>
        <w:t>child care licensing</w:t>
      </w:r>
      <w:r>
        <w:rPr>
          <w:bCs w:val="0"/>
        </w:rPr>
        <w:t>.</w:t>
      </w:r>
    </w:p>
    <w:p w:rsidR="004A09A4" w:rsidP="004A09A4" w:rsidRDefault="004A09A4" w14:paraId="675C3C57" w14:textId="44955FC7">
      <w:pPr>
        <w:rPr>
          <w:bCs w:val="0"/>
        </w:rPr>
      </w:pPr>
    </w:p>
    <w:p w:rsidRPr="00341F8B" w:rsidR="00815E46" w:rsidP="00341F8B" w:rsidRDefault="006C7C57" w14:paraId="6097CC9C" w14:textId="4ED39E3B">
      <w:pPr>
        <w:spacing w:after="160" w:line="259" w:lineRule="auto"/>
        <w:rPr>
          <w:b/>
          <w:bCs w:val="0"/>
        </w:rPr>
      </w:pPr>
      <w:r w:rsidRPr="00341F8B">
        <w:rPr>
          <w:b/>
          <w:bCs w:val="0"/>
        </w:rPr>
        <w:t>B8.</w:t>
      </w:r>
      <w:r w:rsidRPr="00341F8B">
        <w:rPr>
          <w:b/>
          <w:bCs w:val="0"/>
        </w:rPr>
        <w:tab/>
      </w:r>
      <w:r w:rsidRPr="00341F8B" w:rsidR="00261E03">
        <w:rPr>
          <w:b/>
          <w:bCs w:val="0"/>
        </w:rPr>
        <w:t xml:space="preserve">Contact Person(s)  </w:t>
      </w:r>
    </w:p>
    <w:p w:rsidR="00261E03" w:rsidP="00E10B21" w:rsidRDefault="00815E46" w14:paraId="286CE912" w14:textId="3748F558">
      <w:pPr>
        <w:pStyle w:val="Heading3"/>
        <w:rPr>
          <w:b w:val="0"/>
          <w:bCs/>
        </w:rPr>
      </w:pPr>
      <w:r w:rsidRPr="00815E46">
        <w:rPr>
          <w:b w:val="0"/>
          <w:bCs/>
        </w:rPr>
        <w:t>Kelly Maxwell</w:t>
      </w:r>
    </w:p>
    <w:p w:rsidR="00815E46" w:rsidP="00815E46" w:rsidRDefault="00815E46" w14:paraId="04F91467" w14:textId="4CEC07BA">
      <w:r>
        <w:t>TRLECE PI</w:t>
      </w:r>
    </w:p>
    <w:p w:rsidR="00815E46" w:rsidP="00815E46" w:rsidRDefault="00815E46" w14:paraId="078E6345" w14:textId="77777777">
      <w:pPr>
        <w:rPr>
          <w:bCs w:val="0"/>
        </w:rPr>
      </w:pPr>
      <w:r>
        <w:t>Co-Director for Early Childhood Research</w:t>
      </w:r>
    </w:p>
    <w:p w:rsidR="00815E46" w:rsidP="00815E46" w:rsidRDefault="00815E46" w14:paraId="15F15067" w14:textId="585AD973">
      <w:r>
        <w:t>Child Trends</w:t>
      </w:r>
    </w:p>
    <w:p w:rsidR="00815E46" w:rsidP="00815E46" w:rsidRDefault="00815E46" w14:paraId="2B6CF9D0" w14:textId="17559CC3">
      <w:r>
        <w:t>1516 E Franklin St, Suite 205 | Chapel Hill, NC 27514</w:t>
      </w:r>
    </w:p>
    <w:p w:rsidR="00815E46" w:rsidP="00815E46" w:rsidRDefault="00815E46" w14:paraId="4155A94E" w14:textId="0F49A542">
      <w:r>
        <w:t>kmaxwell@childtrends.org</w:t>
      </w:r>
    </w:p>
    <w:p w:rsidR="00815E46" w:rsidP="00815E46" w:rsidRDefault="00815E46" w14:paraId="0EB87263" w14:textId="156791EB">
      <w:r>
        <w:t>(919) 869-3251</w:t>
      </w:r>
    </w:p>
    <w:p w:rsidRPr="006C7C57" w:rsidR="006C7C57" w:rsidP="00E10B21" w:rsidRDefault="006C7C57" w14:paraId="77A88CD2" w14:textId="77777777"/>
    <w:p w:rsidR="00261E03" w:rsidP="00E10B21" w:rsidRDefault="00261E03" w14:paraId="2FFC075C" w14:textId="77777777">
      <w:pPr>
        <w:pStyle w:val="Heading3"/>
      </w:pPr>
      <w:r>
        <w:t>Attachments</w:t>
      </w:r>
    </w:p>
    <w:p w:rsidR="00F16F89" w:rsidP="00F16F89" w:rsidRDefault="00F16F89" w14:paraId="4CB9615E" w14:textId="1EBBAEC1">
      <w:r>
        <w:t xml:space="preserve">INSTRUMENT A: </w:t>
      </w:r>
      <w:r w:rsidR="003E0C75">
        <w:t xml:space="preserve">TRLECE </w:t>
      </w:r>
      <w:r>
        <w:t>Licensing State Administrator Interview Protocol</w:t>
      </w:r>
    </w:p>
    <w:p w:rsidR="00F16F89" w:rsidP="00F16F89" w:rsidRDefault="00F16F89" w14:paraId="7ED932FA" w14:textId="410ACF1F">
      <w:r>
        <w:t xml:space="preserve">INSTRUMENT B: </w:t>
      </w:r>
      <w:r w:rsidR="003E0C75">
        <w:t xml:space="preserve">TRLECE </w:t>
      </w:r>
      <w:r>
        <w:t>Data Systems Staff Interview Protocol</w:t>
      </w:r>
    </w:p>
    <w:p w:rsidRPr="00AE3784" w:rsidR="00F16F89" w:rsidP="00F16F89" w:rsidRDefault="00DC4D69" w14:paraId="6D85AD3C" w14:textId="3A04BA97">
      <w:r>
        <w:t>APPENDIX</w:t>
      </w:r>
      <w:r w:rsidR="00F16F89">
        <w:t xml:space="preserve"> A: </w:t>
      </w:r>
      <w:r w:rsidR="003E0C75">
        <w:t xml:space="preserve">TRLECE </w:t>
      </w:r>
      <w:r w:rsidRPr="00AE3784" w:rsidR="00F16F89">
        <w:t>Recruitment Email</w:t>
      </w:r>
      <w:r w:rsidR="00F16F89">
        <w:t xml:space="preserve"> and Call Scripts for Licensing State Administrator</w:t>
      </w:r>
    </w:p>
    <w:p w:rsidRPr="00AE3784" w:rsidR="00F16F89" w:rsidP="00F16F89" w:rsidRDefault="00DC4D69" w14:paraId="3C53BFEC" w14:textId="25C1E427">
      <w:r>
        <w:t>APPENDIX</w:t>
      </w:r>
      <w:r w:rsidR="00F16F89">
        <w:t xml:space="preserve"> B: </w:t>
      </w:r>
      <w:r w:rsidR="003E0C75">
        <w:t xml:space="preserve">TRLECE </w:t>
      </w:r>
      <w:r w:rsidRPr="00AE3784" w:rsidR="00F16F89">
        <w:t>Recruitment Email</w:t>
      </w:r>
      <w:r w:rsidR="00F16F89">
        <w:t xml:space="preserve"> and Call Scripts for Data Systems Staff</w:t>
      </w:r>
    </w:p>
    <w:p w:rsidR="00D24B8B" w:rsidP="007A38F2" w:rsidRDefault="00DC4D69" w14:paraId="5CB94AD5" w14:textId="6322F714">
      <w:r>
        <w:t>APPENDIX</w:t>
      </w:r>
      <w:r w:rsidR="00F16F89">
        <w:t xml:space="preserve"> C: </w:t>
      </w:r>
      <w:r w:rsidR="003E0C75">
        <w:t xml:space="preserve">TRLECE </w:t>
      </w:r>
      <w:r w:rsidR="00F16F89">
        <w:t>IRB Exemption</w:t>
      </w:r>
      <w:r w:rsidR="0038653C">
        <w:t xml:space="preserve"> Letter</w:t>
      </w:r>
    </w:p>
    <w:p w:rsidR="003E0C75" w:rsidP="007A38F2" w:rsidRDefault="003E0C75" w14:paraId="4225B709" w14:textId="4AF7C766">
      <w:bookmarkStart w:name="_Hlk65051987" w:id="2"/>
      <w:r>
        <w:t xml:space="preserve">APPENDIX D: </w:t>
      </w:r>
      <w:r w:rsidR="00CE0635">
        <w:t xml:space="preserve">TRLECE </w:t>
      </w:r>
      <w:r>
        <w:t>Draft letter of support from Office of Child Care (OCC)</w:t>
      </w:r>
    </w:p>
    <w:bookmarkEnd w:id="2"/>
    <w:p w:rsidR="00D24B8B" w:rsidP="007A38F2" w:rsidRDefault="00D24B8B" w14:paraId="40CA09BE" w14:textId="77777777"/>
    <w:sectPr w:rsidR="00D24B8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41379" w14:textId="77777777" w:rsidR="004B0525" w:rsidRDefault="004B0525" w:rsidP="00E10B21">
      <w:r>
        <w:separator/>
      </w:r>
    </w:p>
  </w:endnote>
  <w:endnote w:type="continuationSeparator" w:id="0">
    <w:p w14:paraId="41F34092" w14:textId="77777777" w:rsidR="004B0525" w:rsidRDefault="004B0525" w:rsidP="00E10B21">
      <w:r>
        <w:continuationSeparator/>
      </w:r>
    </w:p>
  </w:endnote>
  <w:endnote w:type="continuationNotice" w:id="1">
    <w:p w14:paraId="3BFBC30A" w14:textId="77777777" w:rsidR="004B0525" w:rsidRDefault="004B05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655796"/>
      <w:docPartObj>
        <w:docPartGallery w:val="Page Numbers (Bottom of Page)"/>
        <w:docPartUnique/>
      </w:docPartObj>
    </w:sdtPr>
    <w:sdtEndPr>
      <w:rPr>
        <w:noProof/>
      </w:rPr>
    </w:sdtEndPr>
    <w:sdtContent>
      <w:p w14:paraId="52D11D32" w14:textId="6A7BE319" w:rsidR="00BF6DBF" w:rsidRDefault="00BF6DBF">
        <w:pPr>
          <w:pStyle w:val="Footer"/>
          <w:jc w:val="right"/>
        </w:pPr>
        <w:r>
          <w:fldChar w:fldCharType="begin"/>
        </w:r>
        <w:r>
          <w:instrText xml:space="preserve"> PAGE   \* MERGEFORMAT </w:instrText>
        </w:r>
        <w:r>
          <w:fldChar w:fldCharType="separate"/>
        </w:r>
        <w:r w:rsidR="004B0525">
          <w:rPr>
            <w:noProof/>
          </w:rPr>
          <w:t>1</w:t>
        </w:r>
        <w:r>
          <w:rPr>
            <w:noProof/>
          </w:rPr>
          <w:fldChar w:fldCharType="end"/>
        </w:r>
      </w:p>
    </w:sdtContent>
  </w:sdt>
  <w:p w14:paraId="34117E39" w14:textId="77777777" w:rsidR="00BF6DBF" w:rsidRDefault="00BF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2A217" w14:textId="77777777" w:rsidR="004B0525" w:rsidRDefault="004B0525" w:rsidP="00E10B21">
      <w:r>
        <w:separator/>
      </w:r>
    </w:p>
  </w:footnote>
  <w:footnote w:type="continuationSeparator" w:id="0">
    <w:p w14:paraId="4E9EC494" w14:textId="77777777" w:rsidR="004B0525" w:rsidRDefault="004B0525" w:rsidP="00E10B21">
      <w:r>
        <w:continuationSeparator/>
      </w:r>
    </w:p>
  </w:footnote>
  <w:footnote w:type="continuationNotice" w:id="1">
    <w:p w14:paraId="55D0ABAA" w14:textId="77777777" w:rsidR="004B0525" w:rsidRDefault="004B05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1246" w14:textId="77777777" w:rsidR="00BF6DBF" w:rsidRPr="000D7D44" w:rsidRDefault="00BF6DBF" w:rsidP="007F1081">
    <w:pPr>
      <w:spacing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6EB6C4DE" w14:textId="77777777" w:rsidR="00BF6DBF" w:rsidRPr="00DF15DA" w:rsidRDefault="00BF6DBF" w:rsidP="007F1081">
    <w:pPr>
      <w:spacing w:line="240" w:lineRule="auto"/>
      <w:jc w:val="center"/>
      <w:rPr>
        <w:b/>
      </w:rPr>
    </w:pPr>
    <w:r w:rsidRPr="000D7D44">
      <w:rPr>
        <w:b/>
      </w:rPr>
      <w:t xml:space="preserve">Research, </w:t>
    </w:r>
    <w:r>
      <w:rPr>
        <w:b/>
      </w:rPr>
      <w:t xml:space="preserve">Public Health </w:t>
    </w:r>
    <w:r w:rsidRPr="000D7D44">
      <w:rPr>
        <w:b/>
      </w:rPr>
      <w:t>Surveillance, and Program Evaluation Purposes</w:t>
    </w:r>
  </w:p>
  <w:p w14:paraId="51F9E1B5" w14:textId="77777777" w:rsidR="00BF6DBF" w:rsidRDefault="00BF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59"/>
    <w:multiLevelType w:val="hybridMultilevel"/>
    <w:tmpl w:val="B084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1A2F"/>
    <w:multiLevelType w:val="hybridMultilevel"/>
    <w:tmpl w:val="8B3AA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4A66"/>
    <w:multiLevelType w:val="hybridMultilevel"/>
    <w:tmpl w:val="D7AE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460"/>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877DB"/>
    <w:multiLevelType w:val="hybridMultilevel"/>
    <w:tmpl w:val="CA42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4ED44A3"/>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A51DAC"/>
    <w:multiLevelType w:val="hybridMultilevel"/>
    <w:tmpl w:val="23DABDF2"/>
    <w:lvl w:ilvl="0" w:tplc="45A067EE">
      <w:start w:val="1"/>
      <w:numFmt w:val="bullet"/>
      <w:lvlText w:val=""/>
      <w:lvlJc w:val="left"/>
      <w:pPr>
        <w:tabs>
          <w:tab w:val="num" w:pos="720"/>
        </w:tabs>
        <w:ind w:left="720" w:hanging="360"/>
      </w:pPr>
      <w:rPr>
        <w:rFonts w:ascii="Symbol" w:hAnsi="Symbol" w:hint="default"/>
        <w:sz w:val="20"/>
      </w:rPr>
    </w:lvl>
    <w:lvl w:ilvl="1" w:tplc="91F85F86" w:tentative="1">
      <w:start w:val="1"/>
      <w:numFmt w:val="bullet"/>
      <w:lvlText w:val=""/>
      <w:lvlJc w:val="left"/>
      <w:pPr>
        <w:tabs>
          <w:tab w:val="num" w:pos="1440"/>
        </w:tabs>
        <w:ind w:left="1440" w:hanging="360"/>
      </w:pPr>
      <w:rPr>
        <w:rFonts w:ascii="Symbol" w:hAnsi="Symbol" w:hint="default"/>
        <w:sz w:val="20"/>
      </w:rPr>
    </w:lvl>
    <w:lvl w:ilvl="2" w:tplc="0E4CFC42" w:tentative="1">
      <w:start w:val="1"/>
      <w:numFmt w:val="bullet"/>
      <w:lvlText w:val=""/>
      <w:lvlJc w:val="left"/>
      <w:pPr>
        <w:tabs>
          <w:tab w:val="num" w:pos="2160"/>
        </w:tabs>
        <w:ind w:left="2160" w:hanging="360"/>
      </w:pPr>
      <w:rPr>
        <w:rFonts w:ascii="Symbol" w:hAnsi="Symbol" w:hint="default"/>
        <w:sz w:val="20"/>
      </w:rPr>
    </w:lvl>
    <w:lvl w:ilvl="3" w:tplc="FC1C6760" w:tentative="1">
      <w:start w:val="1"/>
      <w:numFmt w:val="bullet"/>
      <w:lvlText w:val=""/>
      <w:lvlJc w:val="left"/>
      <w:pPr>
        <w:tabs>
          <w:tab w:val="num" w:pos="2880"/>
        </w:tabs>
        <w:ind w:left="2880" w:hanging="360"/>
      </w:pPr>
      <w:rPr>
        <w:rFonts w:ascii="Symbol" w:hAnsi="Symbol" w:hint="default"/>
        <w:sz w:val="20"/>
      </w:rPr>
    </w:lvl>
    <w:lvl w:ilvl="4" w:tplc="330A4D42" w:tentative="1">
      <w:start w:val="1"/>
      <w:numFmt w:val="bullet"/>
      <w:lvlText w:val=""/>
      <w:lvlJc w:val="left"/>
      <w:pPr>
        <w:tabs>
          <w:tab w:val="num" w:pos="3600"/>
        </w:tabs>
        <w:ind w:left="3600" w:hanging="360"/>
      </w:pPr>
      <w:rPr>
        <w:rFonts w:ascii="Symbol" w:hAnsi="Symbol" w:hint="default"/>
        <w:sz w:val="20"/>
      </w:rPr>
    </w:lvl>
    <w:lvl w:ilvl="5" w:tplc="671ADC46" w:tentative="1">
      <w:start w:val="1"/>
      <w:numFmt w:val="bullet"/>
      <w:lvlText w:val=""/>
      <w:lvlJc w:val="left"/>
      <w:pPr>
        <w:tabs>
          <w:tab w:val="num" w:pos="4320"/>
        </w:tabs>
        <w:ind w:left="4320" w:hanging="360"/>
      </w:pPr>
      <w:rPr>
        <w:rFonts w:ascii="Symbol" w:hAnsi="Symbol" w:hint="default"/>
        <w:sz w:val="20"/>
      </w:rPr>
    </w:lvl>
    <w:lvl w:ilvl="6" w:tplc="1AA44506" w:tentative="1">
      <w:start w:val="1"/>
      <w:numFmt w:val="bullet"/>
      <w:lvlText w:val=""/>
      <w:lvlJc w:val="left"/>
      <w:pPr>
        <w:tabs>
          <w:tab w:val="num" w:pos="5040"/>
        </w:tabs>
        <w:ind w:left="5040" w:hanging="360"/>
      </w:pPr>
      <w:rPr>
        <w:rFonts w:ascii="Symbol" w:hAnsi="Symbol" w:hint="default"/>
        <w:sz w:val="20"/>
      </w:rPr>
    </w:lvl>
    <w:lvl w:ilvl="7" w:tplc="73C25B4C" w:tentative="1">
      <w:start w:val="1"/>
      <w:numFmt w:val="bullet"/>
      <w:lvlText w:val=""/>
      <w:lvlJc w:val="left"/>
      <w:pPr>
        <w:tabs>
          <w:tab w:val="num" w:pos="5760"/>
        </w:tabs>
        <w:ind w:left="5760" w:hanging="360"/>
      </w:pPr>
      <w:rPr>
        <w:rFonts w:ascii="Symbol" w:hAnsi="Symbol" w:hint="default"/>
        <w:sz w:val="20"/>
      </w:rPr>
    </w:lvl>
    <w:lvl w:ilvl="8" w:tplc="D542DC0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83E97"/>
    <w:multiLevelType w:val="hybridMultilevel"/>
    <w:tmpl w:val="C19A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15BC1"/>
    <w:multiLevelType w:val="hybridMultilevel"/>
    <w:tmpl w:val="5EAC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2A4D90"/>
    <w:multiLevelType w:val="hybridMultilevel"/>
    <w:tmpl w:val="B1FC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65936"/>
    <w:multiLevelType w:val="hybridMultilevel"/>
    <w:tmpl w:val="5BB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D593F"/>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A45D9"/>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736FE"/>
    <w:multiLevelType w:val="hybridMultilevel"/>
    <w:tmpl w:val="83F6F764"/>
    <w:lvl w:ilvl="0" w:tplc="39EA4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A957FD"/>
    <w:multiLevelType w:val="hybridMultilevel"/>
    <w:tmpl w:val="853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746F62"/>
    <w:multiLevelType w:val="hybridMultilevel"/>
    <w:tmpl w:val="93D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1"/>
  </w:num>
  <w:num w:numId="4">
    <w:abstractNumId w:val="26"/>
  </w:num>
  <w:num w:numId="5">
    <w:abstractNumId w:val="37"/>
  </w:num>
  <w:num w:numId="6">
    <w:abstractNumId w:val="31"/>
  </w:num>
  <w:num w:numId="7">
    <w:abstractNumId w:val="25"/>
  </w:num>
  <w:num w:numId="8">
    <w:abstractNumId w:val="15"/>
  </w:num>
  <w:num w:numId="9">
    <w:abstractNumId w:val="5"/>
  </w:num>
  <w:num w:numId="10">
    <w:abstractNumId w:val="35"/>
  </w:num>
  <w:num w:numId="11">
    <w:abstractNumId w:val="38"/>
  </w:num>
  <w:num w:numId="12">
    <w:abstractNumId w:val="33"/>
  </w:num>
  <w:num w:numId="13">
    <w:abstractNumId w:val="14"/>
  </w:num>
  <w:num w:numId="14">
    <w:abstractNumId w:val="3"/>
  </w:num>
  <w:num w:numId="15">
    <w:abstractNumId w:val="7"/>
  </w:num>
  <w:num w:numId="16">
    <w:abstractNumId w:val="2"/>
  </w:num>
  <w:num w:numId="17">
    <w:abstractNumId w:val="4"/>
  </w:num>
  <w:num w:numId="18">
    <w:abstractNumId w:val="2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16"/>
  </w:num>
  <w:num w:numId="24">
    <w:abstractNumId w:val="30"/>
  </w:num>
  <w:num w:numId="25">
    <w:abstractNumId w:val="23"/>
  </w:num>
  <w:num w:numId="26">
    <w:abstractNumId w:val="6"/>
  </w:num>
  <w:num w:numId="27">
    <w:abstractNumId w:val="36"/>
  </w:num>
  <w:num w:numId="28">
    <w:abstractNumId w:val="10"/>
  </w:num>
  <w:num w:numId="29">
    <w:abstractNumId w:val="32"/>
  </w:num>
  <w:num w:numId="30">
    <w:abstractNumId w:val="29"/>
  </w:num>
  <w:num w:numId="31">
    <w:abstractNumId w:val="34"/>
  </w:num>
  <w:num w:numId="32">
    <w:abstractNumId w:val="21"/>
  </w:num>
  <w:num w:numId="33">
    <w:abstractNumId w:val="8"/>
  </w:num>
  <w:num w:numId="34">
    <w:abstractNumId w:val="0"/>
  </w:num>
  <w:num w:numId="35">
    <w:abstractNumId w:val="9"/>
  </w:num>
  <w:num w:numId="36">
    <w:abstractNumId w:val="17"/>
  </w:num>
  <w:num w:numId="37">
    <w:abstractNumId w:val="13"/>
  </w:num>
  <w:num w:numId="38">
    <w:abstractNumId w:val="20"/>
  </w:num>
  <w:num w:numId="39">
    <w:abstractNumId w:val="28"/>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5"/>
    <w:rsid w:val="00003AF8"/>
    <w:rsid w:val="000042C3"/>
    <w:rsid w:val="00014269"/>
    <w:rsid w:val="00014504"/>
    <w:rsid w:val="00027C5D"/>
    <w:rsid w:val="000329A9"/>
    <w:rsid w:val="00032B87"/>
    <w:rsid w:val="00033A7F"/>
    <w:rsid w:val="00034C87"/>
    <w:rsid w:val="00035744"/>
    <w:rsid w:val="000368D6"/>
    <w:rsid w:val="00041A6C"/>
    <w:rsid w:val="000433CE"/>
    <w:rsid w:val="00046FE1"/>
    <w:rsid w:val="00050624"/>
    <w:rsid w:val="000672D9"/>
    <w:rsid w:val="000715E6"/>
    <w:rsid w:val="00074125"/>
    <w:rsid w:val="00075182"/>
    <w:rsid w:val="00075196"/>
    <w:rsid w:val="0008191C"/>
    <w:rsid w:val="00081F01"/>
    <w:rsid w:val="000926DB"/>
    <w:rsid w:val="000A1714"/>
    <w:rsid w:val="000A1B3F"/>
    <w:rsid w:val="000A789A"/>
    <w:rsid w:val="000B08FB"/>
    <w:rsid w:val="000B382E"/>
    <w:rsid w:val="000B3F23"/>
    <w:rsid w:val="000B71A3"/>
    <w:rsid w:val="000C02CE"/>
    <w:rsid w:val="000C2254"/>
    <w:rsid w:val="000C26BB"/>
    <w:rsid w:val="000C2D28"/>
    <w:rsid w:val="000C33F5"/>
    <w:rsid w:val="000C573D"/>
    <w:rsid w:val="000C5A6E"/>
    <w:rsid w:val="000D2A1B"/>
    <w:rsid w:val="000D33F1"/>
    <w:rsid w:val="000E003B"/>
    <w:rsid w:val="000E3CCE"/>
    <w:rsid w:val="000E4D2C"/>
    <w:rsid w:val="000F0F5C"/>
    <w:rsid w:val="000F3F1B"/>
    <w:rsid w:val="000F4B74"/>
    <w:rsid w:val="000F64DD"/>
    <w:rsid w:val="0010592D"/>
    <w:rsid w:val="001061E1"/>
    <w:rsid w:val="0010657C"/>
    <w:rsid w:val="0011013F"/>
    <w:rsid w:val="0011259B"/>
    <w:rsid w:val="00115EF4"/>
    <w:rsid w:val="00117F2C"/>
    <w:rsid w:val="0012129F"/>
    <w:rsid w:val="001261B5"/>
    <w:rsid w:val="00145A2F"/>
    <w:rsid w:val="00145F06"/>
    <w:rsid w:val="00154C07"/>
    <w:rsid w:val="00154DBB"/>
    <w:rsid w:val="00155F2C"/>
    <w:rsid w:val="00157A9C"/>
    <w:rsid w:val="00163F9B"/>
    <w:rsid w:val="00164A80"/>
    <w:rsid w:val="00165DEB"/>
    <w:rsid w:val="00167702"/>
    <w:rsid w:val="00172A98"/>
    <w:rsid w:val="00174ECA"/>
    <w:rsid w:val="00180763"/>
    <w:rsid w:val="0018420B"/>
    <w:rsid w:val="00193134"/>
    <w:rsid w:val="00193E9E"/>
    <w:rsid w:val="00195430"/>
    <w:rsid w:val="001A216C"/>
    <w:rsid w:val="001B1EFD"/>
    <w:rsid w:val="001B3227"/>
    <w:rsid w:val="001B599E"/>
    <w:rsid w:val="001B7B80"/>
    <w:rsid w:val="001C33B6"/>
    <w:rsid w:val="001C5CA7"/>
    <w:rsid w:val="001C66EC"/>
    <w:rsid w:val="001D13C3"/>
    <w:rsid w:val="001D6ECF"/>
    <w:rsid w:val="001E1213"/>
    <w:rsid w:val="001E4566"/>
    <w:rsid w:val="001E67A8"/>
    <w:rsid w:val="001F0624"/>
    <w:rsid w:val="001F7DE9"/>
    <w:rsid w:val="0020173F"/>
    <w:rsid w:val="00206DCC"/>
    <w:rsid w:val="00225C66"/>
    <w:rsid w:val="0023063B"/>
    <w:rsid w:val="002310ED"/>
    <w:rsid w:val="00233170"/>
    <w:rsid w:val="002354A5"/>
    <w:rsid w:val="002376E0"/>
    <w:rsid w:val="0024253D"/>
    <w:rsid w:val="00246E4E"/>
    <w:rsid w:val="002522CA"/>
    <w:rsid w:val="00254528"/>
    <w:rsid w:val="0025558C"/>
    <w:rsid w:val="0025608F"/>
    <w:rsid w:val="00261E03"/>
    <w:rsid w:val="00263B96"/>
    <w:rsid w:val="002644C8"/>
    <w:rsid w:val="00267665"/>
    <w:rsid w:val="0027067B"/>
    <w:rsid w:val="00270FDA"/>
    <w:rsid w:val="002721F2"/>
    <w:rsid w:val="002812AE"/>
    <w:rsid w:val="0028553B"/>
    <w:rsid w:val="002878E5"/>
    <w:rsid w:val="0029006B"/>
    <w:rsid w:val="002922C4"/>
    <w:rsid w:val="00295E29"/>
    <w:rsid w:val="002966EC"/>
    <w:rsid w:val="002A270F"/>
    <w:rsid w:val="002A2DBE"/>
    <w:rsid w:val="002A2E33"/>
    <w:rsid w:val="002A5EA6"/>
    <w:rsid w:val="002A6783"/>
    <w:rsid w:val="002B069A"/>
    <w:rsid w:val="002B4DE3"/>
    <w:rsid w:val="002B70FE"/>
    <w:rsid w:val="002C0B6F"/>
    <w:rsid w:val="002C76D2"/>
    <w:rsid w:val="002D66B4"/>
    <w:rsid w:val="002E084D"/>
    <w:rsid w:val="002E1FB1"/>
    <w:rsid w:val="002E4319"/>
    <w:rsid w:val="002F2EDD"/>
    <w:rsid w:val="002F3116"/>
    <w:rsid w:val="002F3FE1"/>
    <w:rsid w:val="002F42FB"/>
    <w:rsid w:val="00300F03"/>
    <w:rsid w:val="0030158C"/>
    <w:rsid w:val="003023B0"/>
    <w:rsid w:val="0030434E"/>
    <w:rsid w:val="003133D1"/>
    <w:rsid w:val="00315824"/>
    <w:rsid w:val="00320CF6"/>
    <w:rsid w:val="00323333"/>
    <w:rsid w:val="0032583F"/>
    <w:rsid w:val="00326180"/>
    <w:rsid w:val="00337298"/>
    <w:rsid w:val="00337AE2"/>
    <w:rsid w:val="00341F8B"/>
    <w:rsid w:val="0034391E"/>
    <w:rsid w:val="003439E7"/>
    <w:rsid w:val="00346F99"/>
    <w:rsid w:val="00347BDE"/>
    <w:rsid w:val="00353A27"/>
    <w:rsid w:val="003623B2"/>
    <w:rsid w:val="00371A76"/>
    <w:rsid w:val="0037511E"/>
    <w:rsid w:val="0037569D"/>
    <w:rsid w:val="00377034"/>
    <w:rsid w:val="0037738C"/>
    <w:rsid w:val="003809DA"/>
    <w:rsid w:val="003830A2"/>
    <w:rsid w:val="00384CB0"/>
    <w:rsid w:val="0038653C"/>
    <w:rsid w:val="00387D0B"/>
    <w:rsid w:val="00396B99"/>
    <w:rsid w:val="00396E3D"/>
    <w:rsid w:val="00397017"/>
    <w:rsid w:val="003A1518"/>
    <w:rsid w:val="003A5F94"/>
    <w:rsid w:val="003B185E"/>
    <w:rsid w:val="003B19ED"/>
    <w:rsid w:val="003B4468"/>
    <w:rsid w:val="003C137B"/>
    <w:rsid w:val="003C198A"/>
    <w:rsid w:val="003D3693"/>
    <w:rsid w:val="003D6241"/>
    <w:rsid w:val="003E0C75"/>
    <w:rsid w:val="003E45DA"/>
    <w:rsid w:val="003E47ED"/>
    <w:rsid w:val="003E5462"/>
    <w:rsid w:val="003E68B6"/>
    <w:rsid w:val="003F00DD"/>
    <w:rsid w:val="003F025F"/>
    <w:rsid w:val="003F2AD8"/>
    <w:rsid w:val="003F3AAA"/>
    <w:rsid w:val="003F3AC9"/>
    <w:rsid w:val="00402870"/>
    <w:rsid w:val="00404DC3"/>
    <w:rsid w:val="00405B17"/>
    <w:rsid w:val="00407249"/>
    <w:rsid w:val="00410771"/>
    <w:rsid w:val="00412088"/>
    <w:rsid w:val="00415D53"/>
    <w:rsid w:val="00416912"/>
    <w:rsid w:val="00420467"/>
    <w:rsid w:val="004209B2"/>
    <w:rsid w:val="00423B07"/>
    <w:rsid w:val="00427329"/>
    <w:rsid w:val="0043148A"/>
    <w:rsid w:val="00434973"/>
    <w:rsid w:val="00437F5D"/>
    <w:rsid w:val="00440C48"/>
    <w:rsid w:val="004447EF"/>
    <w:rsid w:val="004642EE"/>
    <w:rsid w:val="00473A1B"/>
    <w:rsid w:val="00475531"/>
    <w:rsid w:val="0047798C"/>
    <w:rsid w:val="00480768"/>
    <w:rsid w:val="00482A38"/>
    <w:rsid w:val="00486557"/>
    <w:rsid w:val="00487F0D"/>
    <w:rsid w:val="004943E8"/>
    <w:rsid w:val="0049678A"/>
    <w:rsid w:val="004A01A2"/>
    <w:rsid w:val="004A09A4"/>
    <w:rsid w:val="004A26D7"/>
    <w:rsid w:val="004A57C0"/>
    <w:rsid w:val="004A5F0C"/>
    <w:rsid w:val="004A6513"/>
    <w:rsid w:val="004B005C"/>
    <w:rsid w:val="004B0525"/>
    <w:rsid w:val="004B24B9"/>
    <w:rsid w:val="004B3465"/>
    <w:rsid w:val="004B41AE"/>
    <w:rsid w:val="004C162D"/>
    <w:rsid w:val="004C4C2C"/>
    <w:rsid w:val="004C5B52"/>
    <w:rsid w:val="004C653F"/>
    <w:rsid w:val="004D11AA"/>
    <w:rsid w:val="004D13D4"/>
    <w:rsid w:val="004D3CC3"/>
    <w:rsid w:val="004D4AE1"/>
    <w:rsid w:val="004D7101"/>
    <w:rsid w:val="004D76EC"/>
    <w:rsid w:val="004E20B9"/>
    <w:rsid w:val="004E2726"/>
    <w:rsid w:val="004E7E80"/>
    <w:rsid w:val="004F4F68"/>
    <w:rsid w:val="004F5767"/>
    <w:rsid w:val="004F747F"/>
    <w:rsid w:val="004F760B"/>
    <w:rsid w:val="00501687"/>
    <w:rsid w:val="00503A6B"/>
    <w:rsid w:val="00510670"/>
    <w:rsid w:val="0051232D"/>
    <w:rsid w:val="00515FBE"/>
    <w:rsid w:val="005224C8"/>
    <w:rsid w:val="00523E8E"/>
    <w:rsid w:val="00527411"/>
    <w:rsid w:val="00536FEB"/>
    <w:rsid w:val="00541E59"/>
    <w:rsid w:val="00543F5C"/>
    <w:rsid w:val="00546FBA"/>
    <w:rsid w:val="00555324"/>
    <w:rsid w:val="005562AD"/>
    <w:rsid w:val="00566220"/>
    <w:rsid w:val="00566BE2"/>
    <w:rsid w:val="00573A15"/>
    <w:rsid w:val="00573EE0"/>
    <w:rsid w:val="00577500"/>
    <w:rsid w:val="00583E82"/>
    <w:rsid w:val="0058425C"/>
    <w:rsid w:val="00584EB7"/>
    <w:rsid w:val="00586AE6"/>
    <w:rsid w:val="0059040F"/>
    <w:rsid w:val="00594E80"/>
    <w:rsid w:val="005A254F"/>
    <w:rsid w:val="005A32D4"/>
    <w:rsid w:val="005A40E6"/>
    <w:rsid w:val="005A51F1"/>
    <w:rsid w:val="005A5523"/>
    <w:rsid w:val="005B418B"/>
    <w:rsid w:val="005B43FE"/>
    <w:rsid w:val="005B6FB5"/>
    <w:rsid w:val="005C087D"/>
    <w:rsid w:val="005C76A2"/>
    <w:rsid w:val="005D0857"/>
    <w:rsid w:val="005D0F39"/>
    <w:rsid w:val="005D5837"/>
    <w:rsid w:val="005D5A5E"/>
    <w:rsid w:val="005D7F3A"/>
    <w:rsid w:val="005E1D9A"/>
    <w:rsid w:val="005E3E98"/>
    <w:rsid w:val="005E47F8"/>
    <w:rsid w:val="005E7F3E"/>
    <w:rsid w:val="005F4696"/>
    <w:rsid w:val="005F7009"/>
    <w:rsid w:val="00603575"/>
    <w:rsid w:val="0061553C"/>
    <w:rsid w:val="00617043"/>
    <w:rsid w:val="00622F0A"/>
    <w:rsid w:val="006245CC"/>
    <w:rsid w:val="006250E9"/>
    <w:rsid w:val="00626489"/>
    <w:rsid w:val="0062773E"/>
    <w:rsid w:val="006306D0"/>
    <w:rsid w:val="00631CBD"/>
    <w:rsid w:val="006352A4"/>
    <w:rsid w:val="006443FD"/>
    <w:rsid w:val="0064508A"/>
    <w:rsid w:val="00647788"/>
    <w:rsid w:val="00660865"/>
    <w:rsid w:val="006724B7"/>
    <w:rsid w:val="006762DC"/>
    <w:rsid w:val="006771A3"/>
    <w:rsid w:val="0068466B"/>
    <w:rsid w:val="006A27A1"/>
    <w:rsid w:val="006A43CF"/>
    <w:rsid w:val="006B24FA"/>
    <w:rsid w:val="006B375D"/>
    <w:rsid w:val="006B4FEF"/>
    <w:rsid w:val="006B574B"/>
    <w:rsid w:val="006C3619"/>
    <w:rsid w:val="006C545D"/>
    <w:rsid w:val="006C7C57"/>
    <w:rsid w:val="006D1E75"/>
    <w:rsid w:val="006D5F66"/>
    <w:rsid w:val="006E06AF"/>
    <w:rsid w:val="006E293C"/>
    <w:rsid w:val="006E566D"/>
    <w:rsid w:val="006F0DB8"/>
    <w:rsid w:val="006F19F4"/>
    <w:rsid w:val="006F6881"/>
    <w:rsid w:val="006F71A0"/>
    <w:rsid w:val="0070634B"/>
    <w:rsid w:val="00706A44"/>
    <w:rsid w:val="00710AB3"/>
    <w:rsid w:val="00715B62"/>
    <w:rsid w:val="00720692"/>
    <w:rsid w:val="00720CCA"/>
    <w:rsid w:val="00722211"/>
    <w:rsid w:val="00722E96"/>
    <w:rsid w:val="00722EC0"/>
    <w:rsid w:val="00722EEA"/>
    <w:rsid w:val="00725D26"/>
    <w:rsid w:val="00727F6D"/>
    <w:rsid w:val="00730B62"/>
    <w:rsid w:val="00736D71"/>
    <w:rsid w:val="00744047"/>
    <w:rsid w:val="00744409"/>
    <w:rsid w:val="0075073B"/>
    <w:rsid w:val="00750907"/>
    <w:rsid w:val="007603F2"/>
    <w:rsid w:val="007608AA"/>
    <w:rsid w:val="00762C1F"/>
    <w:rsid w:val="0077101E"/>
    <w:rsid w:val="00773869"/>
    <w:rsid w:val="00773D82"/>
    <w:rsid w:val="0077558E"/>
    <w:rsid w:val="00781942"/>
    <w:rsid w:val="00782815"/>
    <w:rsid w:val="00782EB1"/>
    <w:rsid w:val="0079386C"/>
    <w:rsid w:val="00796822"/>
    <w:rsid w:val="007A0212"/>
    <w:rsid w:val="007A3688"/>
    <w:rsid w:val="007A38F2"/>
    <w:rsid w:val="007A38F7"/>
    <w:rsid w:val="007B1E53"/>
    <w:rsid w:val="007C0363"/>
    <w:rsid w:val="007C0BAC"/>
    <w:rsid w:val="007C1834"/>
    <w:rsid w:val="007C5CDE"/>
    <w:rsid w:val="007C604A"/>
    <w:rsid w:val="007C692E"/>
    <w:rsid w:val="007D41D0"/>
    <w:rsid w:val="007D6E12"/>
    <w:rsid w:val="007D7A9D"/>
    <w:rsid w:val="007E7237"/>
    <w:rsid w:val="007F0F02"/>
    <w:rsid w:val="007F1081"/>
    <w:rsid w:val="007F325F"/>
    <w:rsid w:val="007F4659"/>
    <w:rsid w:val="007F707F"/>
    <w:rsid w:val="00803884"/>
    <w:rsid w:val="00805989"/>
    <w:rsid w:val="00807079"/>
    <w:rsid w:val="008125B6"/>
    <w:rsid w:val="00815E46"/>
    <w:rsid w:val="00815FDA"/>
    <w:rsid w:val="00820D62"/>
    <w:rsid w:val="008343A0"/>
    <w:rsid w:val="008418FD"/>
    <w:rsid w:val="00844B62"/>
    <w:rsid w:val="00851535"/>
    <w:rsid w:val="00851A37"/>
    <w:rsid w:val="0085210A"/>
    <w:rsid w:val="00854776"/>
    <w:rsid w:val="00857B11"/>
    <w:rsid w:val="0086032E"/>
    <w:rsid w:val="00861337"/>
    <w:rsid w:val="0086136F"/>
    <w:rsid w:val="008662F9"/>
    <w:rsid w:val="008710E6"/>
    <w:rsid w:val="0087237E"/>
    <w:rsid w:val="0087414A"/>
    <w:rsid w:val="00874826"/>
    <w:rsid w:val="0087572E"/>
    <w:rsid w:val="00876260"/>
    <w:rsid w:val="00876532"/>
    <w:rsid w:val="00876BE1"/>
    <w:rsid w:val="00877D44"/>
    <w:rsid w:val="0088276F"/>
    <w:rsid w:val="0088460A"/>
    <w:rsid w:val="008857DB"/>
    <w:rsid w:val="008859C0"/>
    <w:rsid w:val="00886A81"/>
    <w:rsid w:val="00886B2F"/>
    <w:rsid w:val="00891758"/>
    <w:rsid w:val="0089186D"/>
    <w:rsid w:val="00893069"/>
    <w:rsid w:val="00897935"/>
    <w:rsid w:val="008A2579"/>
    <w:rsid w:val="008A259B"/>
    <w:rsid w:val="008A4809"/>
    <w:rsid w:val="008A5312"/>
    <w:rsid w:val="008B25B6"/>
    <w:rsid w:val="008B7257"/>
    <w:rsid w:val="008C6EBF"/>
    <w:rsid w:val="008C712D"/>
    <w:rsid w:val="008C7434"/>
    <w:rsid w:val="008E65AB"/>
    <w:rsid w:val="008E74F9"/>
    <w:rsid w:val="008F0791"/>
    <w:rsid w:val="008F167D"/>
    <w:rsid w:val="008F199C"/>
    <w:rsid w:val="008F1AE7"/>
    <w:rsid w:val="008F1B74"/>
    <w:rsid w:val="008F2954"/>
    <w:rsid w:val="008F3A7C"/>
    <w:rsid w:val="008F6E74"/>
    <w:rsid w:val="00900046"/>
    <w:rsid w:val="00901D1D"/>
    <w:rsid w:val="0090540A"/>
    <w:rsid w:val="009076BA"/>
    <w:rsid w:val="00914E0D"/>
    <w:rsid w:val="00915383"/>
    <w:rsid w:val="00915AB6"/>
    <w:rsid w:val="009178C8"/>
    <w:rsid w:val="00921242"/>
    <w:rsid w:val="00923584"/>
    <w:rsid w:val="00924588"/>
    <w:rsid w:val="00926E9A"/>
    <w:rsid w:val="009377E6"/>
    <w:rsid w:val="009435BF"/>
    <w:rsid w:val="00944096"/>
    <w:rsid w:val="0095268C"/>
    <w:rsid w:val="0096071D"/>
    <w:rsid w:val="00962CED"/>
    <w:rsid w:val="00971004"/>
    <w:rsid w:val="0097112E"/>
    <w:rsid w:val="0097367D"/>
    <w:rsid w:val="00980D6B"/>
    <w:rsid w:val="00980E44"/>
    <w:rsid w:val="0098222B"/>
    <w:rsid w:val="00983A5C"/>
    <w:rsid w:val="00997473"/>
    <w:rsid w:val="009974F2"/>
    <w:rsid w:val="00997BAE"/>
    <w:rsid w:val="009A2CD4"/>
    <w:rsid w:val="009A6C5F"/>
    <w:rsid w:val="009B5E39"/>
    <w:rsid w:val="009C1DC0"/>
    <w:rsid w:val="009C7B81"/>
    <w:rsid w:val="009D1B70"/>
    <w:rsid w:val="009D435E"/>
    <w:rsid w:val="009D5623"/>
    <w:rsid w:val="009E4A44"/>
    <w:rsid w:val="009F025A"/>
    <w:rsid w:val="009F22E5"/>
    <w:rsid w:val="00A00B19"/>
    <w:rsid w:val="00A0226C"/>
    <w:rsid w:val="00A0394C"/>
    <w:rsid w:val="00A11D53"/>
    <w:rsid w:val="00A14069"/>
    <w:rsid w:val="00A141E8"/>
    <w:rsid w:val="00A14964"/>
    <w:rsid w:val="00A15280"/>
    <w:rsid w:val="00A15EF7"/>
    <w:rsid w:val="00A16BF8"/>
    <w:rsid w:val="00A26329"/>
    <w:rsid w:val="00A26F07"/>
    <w:rsid w:val="00A308F4"/>
    <w:rsid w:val="00A346DB"/>
    <w:rsid w:val="00A34A42"/>
    <w:rsid w:val="00A433B4"/>
    <w:rsid w:val="00A474C2"/>
    <w:rsid w:val="00A51859"/>
    <w:rsid w:val="00A63DBD"/>
    <w:rsid w:val="00A640C2"/>
    <w:rsid w:val="00A65635"/>
    <w:rsid w:val="00A668D9"/>
    <w:rsid w:val="00A66ACF"/>
    <w:rsid w:val="00A6707F"/>
    <w:rsid w:val="00A74C95"/>
    <w:rsid w:val="00A755EE"/>
    <w:rsid w:val="00A7567A"/>
    <w:rsid w:val="00A757B5"/>
    <w:rsid w:val="00A76CD1"/>
    <w:rsid w:val="00A77A3A"/>
    <w:rsid w:val="00A800E2"/>
    <w:rsid w:val="00A821B6"/>
    <w:rsid w:val="00A829D4"/>
    <w:rsid w:val="00A83FA2"/>
    <w:rsid w:val="00A84656"/>
    <w:rsid w:val="00A87F15"/>
    <w:rsid w:val="00A90C6C"/>
    <w:rsid w:val="00A936AE"/>
    <w:rsid w:val="00AA0663"/>
    <w:rsid w:val="00AA2BD2"/>
    <w:rsid w:val="00AA7F68"/>
    <w:rsid w:val="00AB2BA7"/>
    <w:rsid w:val="00AC0F6C"/>
    <w:rsid w:val="00AC35C7"/>
    <w:rsid w:val="00AD2433"/>
    <w:rsid w:val="00AD3554"/>
    <w:rsid w:val="00AE3784"/>
    <w:rsid w:val="00AE491D"/>
    <w:rsid w:val="00AE56DD"/>
    <w:rsid w:val="00AF04CD"/>
    <w:rsid w:val="00AF4BEE"/>
    <w:rsid w:val="00AF79FC"/>
    <w:rsid w:val="00B012CB"/>
    <w:rsid w:val="00B0482E"/>
    <w:rsid w:val="00B0526F"/>
    <w:rsid w:val="00B0719E"/>
    <w:rsid w:val="00B120D9"/>
    <w:rsid w:val="00B17E5E"/>
    <w:rsid w:val="00B200AB"/>
    <w:rsid w:val="00B24379"/>
    <w:rsid w:val="00B26FD2"/>
    <w:rsid w:val="00B3332F"/>
    <w:rsid w:val="00B34663"/>
    <w:rsid w:val="00B363DB"/>
    <w:rsid w:val="00B42820"/>
    <w:rsid w:val="00B43885"/>
    <w:rsid w:val="00B53337"/>
    <w:rsid w:val="00B61DAC"/>
    <w:rsid w:val="00B64048"/>
    <w:rsid w:val="00B673DE"/>
    <w:rsid w:val="00B70639"/>
    <w:rsid w:val="00B7066F"/>
    <w:rsid w:val="00B73756"/>
    <w:rsid w:val="00B7590B"/>
    <w:rsid w:val="00B7701B"/>
    <w:rsid w:val="00B844C0"/>
    <w:rsid w:val="00B90D54"/>
    <w:rsid w:val="00B918B3"/>
    <w:rsid w:val="00B94E70"/>
    <w:rsid w:val="00B96693"/>
    <w:rsid w:val="00B96ECC"/>
    <w:rsid w:val="00BA02CB"/>
    <w:rsid w:val="00BA48A7"/>
    <w:rsid w:val="00BA6EF2"/>
    <w:rsid w:val="00BA7CD6"/>
    <w:rsid w:val="00BB1F3A"/>
    <w:rsid w:val="00BB211C"/>
    <w:rsid w:val="00BB3FA6"/>
    <w:rsid w:val="00BC5264"/>
    <w:rsid w:val="00BC799B"/>
    <w:rsid w:val="00BD5498"/>
    <w:rsid w:val="00BD785A"/>
    <w:rsid w:val="00BE1062"/>
    <w:rsid w:val="00BE3010"/>
    <w:rsid w:val="00BE3DF2"/>
    <w:rsid w:val="00BE5EF8"/>
    <w:rsid w:val="00BF2CE3"/>
    <w:rsid w:val="00BF6D37"/>
    <w:rsid w:val="00BF6DBF"/>
    <w:rsid w:val="00C00504"/>
    <w:rsid w:val="00C0077F"/>
    <w:rsid w:val="00C03F1B"/>
    <w:rsid w:val="00C053CB"/>
    <w:rsid w:val="00C150D5"/>
    <w:rsid w:val="00C17157"/>
    <w:rsid w:val="00C171F5"/>
    <w:rsid w:val="00C22FC8"/>
    <w:rsid w:val="00C25AAF"/>
    <w:rsid w:val="00C273DC"/>
    <w:rsid w:val="00C326D2"/>
    <w:rsid w:val="00C32C3C"/>
    <w:rsid w:val="00C415DD"/>
    <w:rsid w:val="00C419BB"/>
    <w:rsid w:val="00C434B9"/>
    <w:rsid w:val="00C4381F"/>
    <w:rsid w:val="00C43876"/>
    <w:rsid w:val="00C441FD"/>
    <w:rsid w:val="00C448C0"/>
    <w:rsid w:val="00C51A54"/>
    <w:rsid w:val="00C5231D"/>
    <w:rsid w:val="00C57918"/>
    <w:rsid w:val="00C613C4"/>
    <w:rsid w:val="00C61677"/>
    <w:rsid w:val="00C64FF5"/>
    <w:rsid w:val="00C7108D"/>
    <w:rsid w:val="00C74EC3"/>
    <w:rsid w:val="00C762E1"/>
    <w:rsid w:val="00C76D53"/>
    <w:rsid w:val="00C803B0"/>
    <w:rsid w:val="00C8147F"/>
    <w:rsid w:val="00C83AFC"/>
    <w:rsid w:val="00C83BA8"/>
    <w:rsid w:val="00C92433"/>
    <w:rsid w:val="00C939FE"/>
    <w:rsid w:val="00C93E92"/>
    <w:rsid w:val="00C96B1A"/>
    <w:rsid w:val="00CA3426"/>
    <w:rsid w:val="00CB0421"/>
    <w:rsid w:val="00CB3F15"/>
    <w:rsid w:val="00CC3A42"/>
    <w:rsid w:val="00CC50BC"/>
    <w:rsid w:val="00CC7B8F"/>
    <w:rsid w:val="00CD1F7B"/>
    <w:rsid w:val="00CE0635"/>
    <w:rsid w:val="00CE0D43"/>
    <w:rsid w:val="00CE20A4"/>
    <w:rsid w:val="00CE7A25"/>
    <w:rsid w:val="00CF31A3"/>
    <w:rsid w:val="00CF3F3E"/>
    <w:rsid w:val="00D02E0B"/>
    <w:rsid w:val="00D03A26"/>
    <w:rsid w:val="00D05E09"/>
    <w:rsid w:val="00D16960"/>
    <w:rsid w:val="00D16D2F"/>
    <w:rsid w:val="00D17DC1"/>
    <w:rsid w:val="00D233A5"/>
    <w:rsid w:val="00D24B8B"/>
    <w:rsid w:val="00D2577E"/>
    <w:rsid w:val="00D257C7"/>
    <w:rsid w:val="00D26CF9"/>
    <w:rsid w:val="00D26E15"/>
    <w:rsid w:val="00D30263"/>
    <w:rsid w:val="00D3203F"/>
    <w:rsid w:val="00D33CD7"/>
    <w:rsid w:val="00D42278"/>
    <w:rsid w:val="00D42B09"/>
    <w:rsid w:val="00D455F3"/>
    <w:rsid w:val="00D51233"/>
    <w:rsid w:val="00D51820"/>
    <w:rsid w:val="00D6595F"/>
    <w:rsid w:val="00D70D3D"/>
    <w:rsid w:val="00D75664"/>
    <w:rsid w:val="00D76A4A"/>
    <w:rsid w:val="00D80E31"/>
    <w:rsid w:val="00D812C6"/>
    <w:rsid w:val="00D83B9B"/>
    <w:rsid w:val="00D83EA8"/>
    <w:rsid w:val="00D955C4"/>
    <w:rsid w:val="00D973FE"/>
    <w:rsid w:val="00DA2369"/>
    <w:rsid w:val="00DA6A51"/>
    <w:rsid w:val="00DB0F49"/>
    <w:rsid w:val="00DB3321"/>
    <w:rsid w:val="00DB6DE7"/>
    <w:rsid w:val="00DC3A79"/>
    <w:rsid w:val="00DC4D69"/>
    <w:rsid w:val="00DC5200"/>
    <w:rsid w:val="00DC5C05"/>
    <w:rsid w:val="00DD0226"/>
    <w:rsid w:val="00DD10CA"/>
    <w:rsid w:val="00DD4250"/>
    <w:rsid w:val="00DE0B55"/>
    <w:rsid w:val="00DE199A"/>
    <w:rsid w:val="00DE358B"/>
    <w:rsid w:val="00DE5A26"/>
    <w:rsid w:val="00DF2AD1"/>
    <w:rsid w:val="00DF537C"/>
    <w:rsid w:val="00DF6343"/>
    <w:rsid w:val="00E02B27"/>
    <w:rsid w:val="00E02D22"/>
    <w:rsid w:val="00E07105"/>
    <w:rsid w:val="00E10448"/>
    <w:rsid w:val="00E10B21"/>
    <w:rsid w:val="00E11649"/>
    <w:rsid w:val="00E13F0D"/>
    <w:rsid w:val="00E20D76"/>
    <w:rsid w:val="00E2367E"/>
    <w:rsid w:val="00E34DE0"/>
    <w:rsid w:val="00E36AD8"/>
    <w:rsid w:val="00E40158"/>
    <w:rsid w:val="00E4173F"/>
    <w:rsid w:val="00E42AB4"/>
    <w:rsid w:val="00E43DB7"/>
    <w:rsid w:val="00E441D5"/>
    <w:rsid w:val="00E44953"/>
    <w:rsid w:val="00E46432"/>
    <w:rsid w:val="00E46FF2"/>
    <w:rsid w:val="00E478FE"/>
    <w:rsid w:val="00E522A1"/>
    <w:rsid w:val="00E5252D"/>
    <w:rsid w:val="00E54D53"/>
    <w:rsid w:val="00E57435"/>
    <w:rsid w:val="00E5787C"/>
    <w:rsid w:val="00E57F81"/>
    <w:rsid w:val="00E64429"/>
    <w:rsid w:val="00E67187"/>
    <w:rsid w:val="00E71936"/>
    <w:rsid w:val="00E73600"/>
    <w:rsid w:val="00E737DC"/>
    <w:rsid w:val="00E75403"/>
    <w:rsid w:val="00E757BF"/>
    <w:rsid w:val="00E8174A"/>
    <w:rsid w:val="00E85BFA"/>
    <w:rsid w:val="00EA09AF"/>
    <w:rsid w:val="00EA41BF"/>
    <w:rsid w:val="00EA5C70"/>
    <w:rsid w:val="00EB030F"/>
    <w:rsid w:val="00EB0B2C"/>
    <w:rsid w:val="00EB175C"/>
    <w:rsid w:val="00EB1A96"/>
    <w:rsid w:val="00EB26F8"/>
    <w:rsid w:val="00EB37DD"/>
    <w:rsid w:val="00EC2470"/>
    <w:rsid w:val="00EC30DB"/>
    <w:rsid w:val="00EC382F"/>
    <w:rsid w:val="00EC561E"/>
    <w:rsid w:val="00EC5F26"/>
    <w:rsid w:val="00ED543F"/>
    <w:rsid w:val="00ED7133"/>
    <w:rsid w:val="00EE0362"/>
    <w:rsid w:val="00EF04F7"/>
    <w:rsid w:val="00EF35EB"/>
    <w:rsid w:val="00EF3A45"/>
    <w:rsid w:val="00EF41E4"/>
    <w:rsid w:val="00EF75F4"/>
    <w:rsid w:val="00F004AF"/>
    <w:rsid w:val="00F0188C"/>
    <w:rsid w:val="00F05040"/>
    <w:rsid w:val="00F07BA1"/>
    <w:rsid w:val="00F10392"/>
    <w:rsid w:val="00F13B9B"/>
    <w:rsid w:val="00F1693A"/>
    <w:rsid w:val="00F16F89"/>
    <w:rsid w:val="00F211FE"/>
    <w:rsid w:val="00F2207A"/>
    <w:rsid w:val="00F24562"/>
    <w:rsid w:val="00F262D1"/>
    <w:rsid w:val="00F30A77"/>
    <w:rsid w:val="00F30EF5"/>
    <w:rsid w:val="00F31CBC"/>
    <w:rsid w:val="00F36588"/>
    <w:rsid w:val="00F40B09"/>
    <w:rsid w:val="00F4548B"/>
    <w:rsid w:val="00F459FC"/>
    <w:rsid w:val="00F468F6"/>
    <w:rsid w:val="00F51C83"/>
    <w:rsid w:val="00F54A78"/>
    <w:rsid w:val="00F562AD"/>
    <w:rsid w:val="00F56665"/>
    <w:rsid w:val="00F64BCE"/>
    <w:rsid w:val="00F659BC"/>
    <w:rsid w:val="00F665A6"/>
    <w:rsid w:val="00F67CB1"/>
    <w:rsid w:val="00F705C0"/>
    <w:rsid w:val="00F71633"/>
    <w:rsid w:val="00F77AF2"/>
    <w:rsid w:val="00F92CEF"/>
    <w:rsid w:val="00F94088"/>
    <w:rsid w:val="00F9607E"/>
    <w:rsid w:val="00FA1DFC"/>
    <w:rsid w:val="00FB0893"/>
    <w:rsid w:val="00FB24DC"/>
    <w:rsid w:val="00FB3892"/>
    <w:rsid w:val="00FB69C6"/>
    <w:rsid w:val="00FB74CD"/>
    <w:rsid w:val="00FC0380"/>
    <w:rsid w:val="00FC3103"/>
    <w:rsid w:val="00FC693B"/>
    <w:rsid w:val="00FD0B5B"/>
    <w:rsid w:val="00FD0BAD"/>
    <w:rsid w:val="00FD26EE"/>
    <w:rsid w:val="00FD464F"/>
    <w:rsid w:val="00FD7586"/>
    <w:rsid w:val="00FE00DD"/>
    <w:rsid w:val="00FE33C9"/>
    <w:rsid w:val="00FE3BD4"/>
    <w:rsid w:val="00FE3F22"/>
    <w:rsid w:val="00FE754D"/>
    <w:rsid w:val="00FF2000"/>
    <w:rsid w:val="65D0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B4F"/>
  <w15:chartTrackingRefBased/>
  <w15:docId w15:val="{6A86DE59-AC11-485A-B16F-975BD60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B21"/>
    <w:pPr>
      <w:spacing w:after="0" w:line="276" w:lineRule="auto"/>
    </w:pPr>
    <w:rPr>
      <w:bCs/>
    </w:rPr>
  </w:style>
  <w:style w:type="paragraph" w:styleId="Heading1">
    <w:name w:val="heading 1"/>
    <w:basedOn w:val="Normal"/>
    <w:next w:val="Normal"/>
    <w:link w:val="Heading1Char"/>
    <w:uiPriority w:val="9"/>
    <w:qFormat/>
    <w:rsid w:val="00B17E5E"/>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B17E5E"/>
    <w:pPr>
      <w:outlineLvl w:val="1"/>
    </w:pPr>
    <w:rPr>
      <w:b/>
      <w:bCs w:val="0"/>
      <w:sz w:val="28"/>
      <w:u w:val="single"/>
    </w:rPr>
  </w:style>
  <w:style w:type="paragraph" w:styleId="Heading3">
    <w:name w:val="heading 3"/>
    <w:basedOn w:val="Normal"/>
    <w:next w:val="Normal"/>
    <w:link w:val="Heading3Char"/>
    <w:uiPriority w:val="9"/>
    <w:unhideWhenUsed/>
    <w:qFormat/>
    <w:rsid w:val="00893069"/>
    <w:pPr>
      <w:keepNext/>
      <w:outlineLvl w:val="2"/>
    </w:pPr>
    <w:rPr>
      <w:b/>
      <w:bCs w:val="0"/>
    </w:rPr>
  </w:style>
  <w:style w:type="paragraph" w:styleId="Heading4">
    <w:name w:val="heading 4"/>
    <w:basedOn w:val="Normal"/>
    <w:next w:val="Normal"/>
    <w:link w:val="Heading4Char"/>
    <w:unhideWhenUsed/>
    <w:qFormat/>
    <w:rsid w:val="00AD2433"/>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unhideWhenUsed/>
    <w:qFormat/>
    <w:rsid w:val="00893069"/>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57435"/>
    <w:rPr>
      <w:sz w:val="16"/>
      <w:szCs w:val="16"/>
    </w:rPr>
  </w:style>
  <w:style w:type="paragraph" w:styleId="CommentText">
    <w:name w:val="annotation text"/>
    <w:basedOn w:val="Normal"/>
    <w:link w:val="CommentTextChar"/>
    <w:uiPriority w:val="99"/>
    <w:unhideWhenUsed/>
    <w:rsid w:val="00E57435"/>
    <w:pPr>
      <w:spacing w:line="240" w:lineRule="auto"/>
    </w:pPr>
    <w:rPr>
      <w:sz w:val="20"/>
      <w:szCs w:val="20"/>
    </w:rPr>
  </w:style>
  <w:style w:type="character" w:customStyle="1" w:styleId="CommentTextChar">
    <w:name w:val="Comment Text Char"/>
    <w:basedOn w:val="DefaultParagraphFont"/>
    <w:link w:val="CommentText"/>
    <w:uiPriority w:val="99"/>
    <w:rsid w:val="00E57435"/>
    <w:rPr>
      <w:sz w:val="20"/>
      <w:szCs w:val="20"/>
    </w:rPr>
  </w:style>
  <w:style w:type="paragraph" w:styleId="CommentSubject">
    <w:name w:val="annotation subject"/>
    <w:basedOn w:val="CommentText"/>
    <w:next w:val="CommentText"/>
    <w:link w:val="CommentSubjectChar"/>
    <w:uiPriority w:val="99"/>
    <w:semiHidden/>
    <w:unhideWhenUsed/>
    <w:rsid w:val="00E57435"/>
    <w:rPr>
      <w:b/>
      <w:bCs w:val="0"/>
    </w:rPr>
  </w:style>
  <w:style w:type="character" w:customStyle="1" w:styleId="CommentSubjectChar">
    <w:name w:val="Comment Subject Char"/>
    <w:basedOn w:val="CommentTextChar"/>
    <w:link w:val="CommentSubject"/>
    <w:uiPriority w:val="99"/>
    <w:semiHidden/>
    <w:rsid w:val="00E57435"/>
    <w:rPr>
      <w:b/>
      <w:bCs/>
      <w:sz w:val="20"/>
      <w:szCs w:val="20"/>
    </w:rPr>
  </w:style>
  <w:style w:type="paragraph" w:styleId="BalloonText">
    <w:name w:val="Balloon Text"/>
    <w:basedOn w:val="Normal"/>
    <w:link w:val="BalloonTextChar"/>
    <w:uiPriority w:val="99"/>
    <w:semiHidden/>
    <w:unhideWhenUsed/>
    <w:rsid w:val="00E57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35"/>
    <w:rPr>
      <w:rFonts w:ascii="Segoe UI" w:hAnsi="Segoe UI" w:cs="Segoe UI"/>
      <w:sz w:val="18"/>
      <w:szCs w:val="18"/>
    </w:rPr>
  </w:style>
  <w:style w:type="paragraph" w:customStyle="1" w:styleId="CCEEPRAnormal">
    <w:name w:val="CCEEPRA normal"/>
    <w:basedOn w:val="Normal"/>
    <w:link w:val="CCEEPRAnormalChar"/>
    <w:qFormat/>
    <w:rsid w:val="00EF35EB"/>
    <w:pPr>
      <w:spacing w:after="200"/>
    </w:pPr>
    <w:rPr>
      <w:rFonts w:eastAsia="Calibri"/>
    </w:rPr>
  </w:style>
  <w:style w:type="character" w:customStyle="1" w:styleId="CCEEPRAnormalChar">
    <w:name w:val="CCEEPRA normal Char"/>
    <w:link w:val="CCEEPRAnormal"/>
    <w:rsid w:val="00EF35EB"/>
    <w:rPr>
      <w:rFonts w:eastAsia="Calibri"/>
    </w:rPr>
  </w:style>
  <w:style w:type="character" w:customStyle="1" w:styleId="ListParagraphChar">
    <w:name w:val="List Paragraph Char"/>
    <w:link w:val="ListParagraph"/>
    <w:uiPriority w:val="34"/>
    <w:locked/>
    <w:rsid w:val="00402870"/>
  </w:style>
  <w:style w:type="paragraph" w:styleId="ListParagraph">
    <w:name w:val="List Paragraph"/>
    <w:basedOn w:val="Normal"/>
    <w:link w:val="ListParagraphChar"/>
    <w:uiPriority w:val="34"/>
    <w:qFormat/>
    <w:rsid w:val="00402870"/>
    <w:pPr>
      <w:spacing w:after="200"/>
      <w:ind w:left="720"/>
      <w:contextualSpacing/>
    </w:pPr>
  </w:style>
  <w:style w:type="paragraph" w:styleId="Header">
    <w:name w:val="header"/>
    <w:basedOn w:val="Normal"/>
    <w:link w:val="HeaderChar"/>
    <w:uiPriority w:val="99"/>
    <w:unhideWhenUsed/>
    <w:rsid w:val="00A34A42"/>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A34A42"/>
    <w:rPr>
      <w:sz w:val="24"/>
    </w:rPr>
  </w:style>
  <w:style w:type="paragraph" w:styleId="NormalWeb">
    <w:name w:val="Normal (Web)"/>
    <w:basedOn w:val="Normal"/>
    <w:uiPriority w:val="99"/>
    <w:unhideWhenUsed/>
    <w:rsid w:val="0026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D2433"/>
    <w:rPr>
      <w:rFonts w:ascii="Calibri" w:eastAsia="Times New Roman" w:hAnsi="Calibri" w:cs="Times New Roman"/>
      <w:b/>
      <w:bCs/>
      <w:sz w:val="28"/>
      <w:szCs w:val="28"/>
    </w:rPr>
  </w:style>
  <w:style w:type="table" w:styleId="TableGrid">
    <w:name w:val="Table Grid"/>
    <w:basedOn w:val="TableNormal"/>
    <w:uiPriority w:val="39"/>
    <w:rsid w:val="00AD24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DC"/>
    <w:rPr>
      <w:color w:val="0563C1" w:themeColor="hyperlink"/>
      <w:u w:val="single"/>
    </w:rPr>
  </w:style>
  <w:style w:type="paragraph" w:styleId="FootnoteText">
    <w:name w:val="footnote text"/>
    <w:basedOn w:val="Normal"/>
    <w:link w:val="FootnoteTextChar"/>
    <w:uiPriority w:val="99"/>
    <w:unhideWhenUsed/>
    <w:rsid w:val="006762DC"/>
    <w:pPr>
      <w:spacing w:line="240" w:lineRule="auto"/>
    </w:pPr>
    <w:rPr>
      <w:sz w:val="20"/>
      <w:szCs w:val="20"/>
    </w:rPr>
  </w:style>
  <w:style w:type="character" w:customStyle="1" w:styleId="FootnoteTextChar">
    <w:name w:val="Footnote Text Char"/>
    <w:basedOn w:val="DefaultParagraphFont"/>
    <w:link w:val="FootnoteText"/>
    <w:uiPriority w:val="99"/>
    <w:rsid w:val="006762DC"/>
    <w:rPr>
      <w:sz w:val="20"/>
      <w:szCs w:val="20"/>
    </w:rPr>
  </w:style>
  <w:style w:type="character" w:styleId="FootnoteReference">
    <w:name w:val="footnote reference"/>
    <w:basedOn w:val="DefaultParagraphFont"/>
    <w:uiPriority w:val="99"/>
    <w:unhideWhenUsed/>
    <w:rsid w:val="006762DC"/>
    <w:rPr>
      <w:vertAlign w:val="superscript"/>
    </w:rPr>
  </w:style>
  <w:style w:type="character" w:styleId="FollowedHyperlink">
    <w:name w:val="FollowedHyperlink"/>
    <w:basedOn w:val="DefaultParagraphFont"/>
    <w:uiPriority w:val="99"/>
    <w:semiHidden/>
    <w:unhideWhenUsed/>
    <w:rsid w:val="00921242"/>
    <w:rPr>
      <w:color w:val="954F72" w:themeColor="followedHyperlink"/>
      <w:u w:val="single"/>
    </w:rPr>
  </w:style>
  <w:style w:type="character" w:customStyle="1" w:styleId="UnresolvedMention1">
    <w:name w:val="Unresolved Mention1"/>
    <w:basedOn w:val="DefaultParagraphFont"/>
    <w:uiPriority w:val="99"/>
    <w:semiHidden/>
    <w:unhideWhenUsed/>
    <w:rsid w:val="00603575"/>
    <w:rPr>
      <w:color w:val="605E5C"/>
      <w:shd w:val="clear" w:color="auto" w:fill="E1DFDD"/>
    </w:rPr>
  </w:style>
  <w:style w:type="character" w:customStyle="1" w:styleId="Heading1Char">
    <w:name w:val="Heading 1 Char"/>
    <w:basedOn w:val="DefaultParagraphFont"/>
    <w:link w:val="Heading1"/>
    <w:uiPriority w:val="9"/>
    <w:rsid w:val="00B17E5E"/>
    <w:rPr>
      <w:rFonts w:eastAsiaTheme="majorEastAsia" w:cstheme="minorHAnsi"/>
      <w:b/>
      <w:sz w:val="32"/>
      <w:szCs w:val="32"/>
    </w:rPr>
  </w:style>
  <w:style w:type="character" w:customStyle="1" w:styleId="Heading2Char">
    <w:name w:val="Heading 2 Char"/>
    <w:basedOn w:val="DefaultParagraphFont"/>
    <w:link w:val="Heading2"/>
    <w:uiPriority w:val="9"/>
    <w:rsid w:val="00B17E5E"/>
    <w:rPr>
      <w:b/>
      <w:sz w:val="28"/>
      <w:u w:val="single"/>
    </w:rPr>
  </w:style>
  <w:style w:type="character" w:customStyle="1" w:styleId="Heading3Char">
    <w:name w:val="Heading 3 Char"/>
    <w:basedOn w:val="DefaultParagraphFont"/>
    <w:link w:val="Heading3"/>
    <w:uiPriority w:val="9"/>
    <w:rsid w:val="00893069"/>
    <w:rPr>
      <w:b/>
    </w:rPr>
  </w:style>
  <w:style w:type="character" w:customStyle="1" w:styleId="Heading5Char">
    <w:name w:val="Heading 5 Char"/>
    <w:basedOn w:val="DefaultParagraphFont"/>
    <w:link w:val="Heading5"/>
    <w:uiPriority w:val="9"/>
    <w:rsid w:val="00893069"/>
    <w:rPr>
      <w:bCs/>
      <w:i/>
      <w:iCs/>
    </w:rPr>
  </w:style>
  <w:style w:type="paragraph" w:styleId="Footer">
    <w:name w:val="footer"/>
    <w:basedOn w:val="Normal"/>
    <w:link w:val="FooterChar"/>
    <w:uiPriority w:val="99"/>
    <w:unhideWhenUsed/>
    <w:rsid w:val="002C76D2"/>
    <w:pPr>
      <w:tabs>
        <w:tab w:val="center" w:pos="4680"/>
        <w:tab w:val="right" w:pos="9360"/>
      </w:tabs>
      <w:spacing w:line="240" w:lineRule="auto"/>
    </w:pPr>
  </w:style>
  <w:style w:type="character" w:customStyle="1" w:styleId="FooterChar">
    <w:name w:val="Footer Char"/>
    <w:basedOn w:val="DefaultParagraphFont"/>
    <w:link w:val="Footer"/>
    <w:uiPriority w:val="99"/>
    <w:rsid w:val="002C76D2"/>
    <w:rPr>
      <w:bCs/>
    </w:rPr>
  </w:style>
  <w:style w:type="paragraph" w:styleId="Revision">
    <w:name w:val="Revision"/>
    <w:hidden/>
    <w:uiPriority w:val="99"/>
    <w:semiHidden/>
    <w:rsid w:val="007608AA"/>
    <w:pPr>
      <w:spacing w:after="0" w:line="240" w:lineRule="auto"/>
    </w:pPr>
    <w:rPr>
      <w:bCs/>
    </w:rPr>
  </w:style>
  <w:style w:type="paragraph" w:customStyle="1" w:styleId="paragraph">
    <w:name w:val="paragraph"/>
    <w:basedOn w:val="Normal"/>
    <w:rsid w:val="005A32D4"/>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normaltextrun">
    <w:name w:val="normaltextrun"/>
    <w:basedOn w:val="DefaultParagraphFont"/>
    <w:rsid w:val="005A32D4"/>
  </w:style>
  <w:style w:type="character" w:customStyle="1" w:styleId="eop">
    <w:name w:val="eop"/>
    <w:basedOn w:val="DefaultParagraphFont"/>
    <w:rsid w:val="005A32D4"/>
  </w:style>
  <w:style w:type="character" w:customStyle="1" w:styleId="UnresolvedMention2">
    <w:name w:val="Unresolved Mention2"/>
    <w:basedOn w:val="DefaultParagraphFont"/>
    <w:uiPriority w:val="99"/>
    <w:semiHidden/>
    <w:unhideWhenUsed/>
    <w:rsid w:val="004D76EC"/>
    <w:rPr>
      <w:color w:val="605E5C"/>
      <w:shd w:val="clear" w:color="auto" w:fill="E1DFDD"/>
    </w:rPr>
  </w:style>
  <w:style w:type="paragraph" w:customStyle="1" w:styleId="ReportCover-Title">
    <w:name w:val="ReportCover-Title"/>
    <w:basedOn w:val="Normal"/>
    <w:rsid w:val="00F459FC"/>
    <w:pPr>
      <w:spacing w:line="420" w:lineRule="exact"/>
    </w:pPr>
    <w:rPr>
      <w:rFonts w:ascii="Franklin Gothic Medium" w:eastAsia="Times New Roman" w:hAnsi="Franklin Gothic Medium" w:cs="Times New Roman"/>
      <w:b/>
      <w:bCs w:val="0"/>
      <w:color w:val="003C79"/>
      <w:sz w:val="40"/>
      <w:szCs w:val="40"/>
    </w:rPr>
  </w:style>
  <w:style w:type="paragraph" w:customStyle="1" w:styleId="ReportCover-Date">
    <w:name w:val="ReportCover-Date"/>
    <w:basedOn w:val="Normal"/>
    <w:rsid w:val="00F459FC"/>
    <w:pPr>
      <w:spacing w:after="840" w:line="260" w:lineRule="exact"/>
    </w:pPr>
    <w:rPr>
      <w:rFonts w:ascii="Franklin Gothic Medium" w:eastAsia="Times New Roman" w:hAnsi="Franklin Gothic Medium" w:cs="Times New Roman"/>
      <w:b/>
      <w:bCs w:val="0"/>
      <w:color w:val="003C79"/>
      <w:sz w:val="24"/>
      <w:szCs w:val="20"/>
    </w:rPr>
  </w:style>
  <w:style w:type="character" w:customStyle="1" w:styleId="UnresolvedMention3">
    <w:name w:val="Unresolved Mention3"/>
    <w:basedOn w:val="DefaultParagraphFont"/>
    <w:uiPriority w:val="99"/>
    <w:unhideWhenUsed/>
    <w:rsid w:val="00FE33C9"/>
    <w:rPr>
      <w:color w:val="605E5C"/>
      <w:shd w:val="clear" w:color="auto" w:fill="E1DFDD"/>
    </w:rPr>
  </w:style>
  <w:style w:type="character" w:customStyle="1" w:styleId="Mention1">
    <w:name w:val="Mention1"/>
    <w:basedOn w:val="DefaultParagraphFont"/>
    <w:uiPriority w:val="99"/>
    <w:unhideWhenUsed/>
    <w:rsid w:val="00FE33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06">
      <w:bodyDiv w:val="1"/>
      <w:marLeft w:val="0"/>
      <w:marRight w:val="0"/>
      <w:marTop w:val="0"/>
      <w:marBottom w:val="0"/>
      <w:divBdr>
        <w:top w:val="none" w:sz="0" w:space="0" w:color="auto"/>
        <w:left w:val="none" w:sz="0" w:space="0" w:color="auto"/>
        <w:bottom w:val="none" w:sz="0" w:space="0" w:color="auto"/>
        <w:right w:val="none" w:sz="0" w:space="0" w:color="auto"/>
      </w:divBdr>
    </w:div>
    <w:div w:id="35393665">
      <w:bodyDiv w:val="1"/>
      <w:marLeft w:val="0"/>
      <w:marRight w:val="0"/>
      <w:marTop w:val="0"/>
      <w:marBottom w:val="0"/>
      <w:divBdr>
        <w:top w:val="none" w:sz="0" w:space="0" w:color="auto"/>
        <w:left w:val="none" w:sz="0" w:space="0" w:color="auto"/>
        <w:bottom w:val="none" w:sz="0" w:space="0" w:color="auto"/>
        <w:right w:val="none" w:sz="0" w:space="0" w:color="auto"/>
      </w:divBdr>
    </w:div>
    <w:div w:id="139814471">
      <w:bodyDiv w:val="1"/>
      <w:marLeft w:val="0"/>
      <w:marRight w:val="0"/>
      <w:marTop w:val="0"/>
      <w:marBottom w:val="0"/>
      <w:divBdr>
        <w:top w:val="none" w:sz="0" w:space="0" w:color="auto"/>
        <w:left w:val="none" w:sz="0" w:space="0" w:color="auto"/>
        <w:bottom w:val="none" w:sz="0" w:space="0" w:color="auto"/>
        <w:right w:val="none" w:sz="0" w:space="0" w:color="auto"/>
      </w:divBdr>
    </w:div>
    <w:div w:id="172650588">
      <w:bodyDiv w:val="1"/>
      <w:marLeft w:val="0"/>
      <w:marRight w:val="0"/>
      <w:marTop w:val="0"/>
      <w:marBottom w:val="0"/>
      <w:divBdr>
        <w:top w:val="none" w:sz="0" w:space="0" w:color="auto"/>
        <w:left w:val="none" w:sz="0" w:space="0" w:color="auto"/>
        <w:bottom w:val="none" w:sz="0" w:space="0" w:color="auto"/>
        <w:right w:val="none" w:sz="0" w:space="0" w:color="auto"/>
      </w:divBdr>
    </w:div>
    <w:div w:id="176889535">
      <w:bodyDiv w:val="1"/>
      <w:marLeft w:val="0"/>
      <w:marRight w:val="0"/>
      <w:marTop w:val="0"/>
      <w:marBottom w:val="0"/>
      <w:divBdr>
        <w:top w:val="none" w:sz="0" w:space="0" w:color="auto"/>
        <w:left w:val="none" w:sz="0" w:space="0" w:color="auto"/>
        <w:bottom w:val="none" w:sz="0" w:space="0" w:color="auto"/>
        <w:right w:val="none" w:sz="0" w:space="0" w:color="auto"/>
      </w:divBdr>
    </w:div>
    <w:div w:id="246574984">
      <w:bodyDiv w:val="1"/>
      <w:marLeft w:val="0"/>
      <w:marRight w:val="0"/>
      <w:marTop w:val="0"/>
      <w:marBottom w:val="0"/>
      <w:divBdr>
        <w:top w:val="none" w:sz="0" w:space="0" w:color="auto"/>
        <w:left w:val="none" w:sz="0" w:space="0" w:color="auto"/>
        <w:bottom w:val="none" w:sz="0" w:space="0" w:color="auto"/>
        <w:right w:val="none" w:sz="0" w:space="0" w:color="auto"/>
      </w:divBdr>
    </w:div>
    <w:div w:id="312416328">
      <w:bodyDiv w:val="1"/>
      <w:marLeft w:val="0"/>
      <w:marRight w:val="0"/>
      <w:marTop w:val="0"/>
      <w:marBottom w:val="0"/>
      <w:divBdr>
        <w:top w:val="none" w:sz="0" w:space="0" w:color="auto"/>
        <w:left w:val="none" w:sz="0" w:space="0" w:color="auto"/>
        <w:bottom w:val="none" w:sz="0" w:space="0" w:color="auto"/>
        <w:right w:val="none" w:sz="0" w:space="0" w:color="auto"/>
      </w:divBdr>
    </w:div>
    <w:div w:id="553735121">
      <w:bodyDiv w:val="1"/>
      <w:marLeft w:val="0"/>
      <w:marRight w:val="0"/>
      <w:marTop w:val="0"/>
      <w:marBottom w:val="0"/>
      <w:divBdr>
        <w:top w:val="none" w:sz="0" w:space="0" w:color="auto"/>
        <w:left w:val="none" w:sz="0" w:space="0" w:color="auto"/>
        <w:bottom w:val="none" w:sz="0" w:space="0" w:color="auto"/>
        <w:right w:val="none" w:sz="0" w:space="0" w:color="auto"/>
      </w:divBdr>
    </w:div>
    <w:div w:id="600457773">
      <w:bodyDiv w:val="1"/>
      <w:marLeft w:val="0"/>
      <w:marRight w:val="0"/>
      <w:marTop w:val="0"/>
      <w:marBottom w:val="0"/>
      <w:divBdr>
        <w:top w:val="none" w:sz="0" w:space="0" w:color="auto"/>
        <w:left w:val="none" w:sz="0" w:space="0" w:color="auto"/>
        <w:bottom w:val="none" w:sz="0" w:space="0" w:color="auto"/>
        <w:right w:val="none" w:sz="0" w:space="0" w:color="auto"/>
      </w:divBdr>
    </w:div>
    <w:div w:id="611593161">
      <w:bodyDiv w:val="1"/>
      <w:marLeft w:val="0"/>
      <w:marRight w:val="0"/>
      <w:marTop w:val="0"/>
      <w:marBottom w:val="0"/>
      <w:divBdr>
        <w:top w:val="none" w:sz="0" w:space="0" w:color="auto"/>
        <w:left w:val="none" w:sz="0" w:space="0" w:color="auto"/>
        <w:bottom w:val="none" w:sz="0" w:space="0" w:color="auto"/>
        <w:right w:val="none" w:sz="0" w:space="0" w:color="auto"/>
      </w:divBdr>
    </w:div>
    <w:div w:id="769159404">
      <w:bodyDiv w:val="1"/>
      <w:marLeft w:val="0"/>
      <w:marRight w:val="0"/>
      <w:marTop w:val="0"/>
      <w:marBottom w:val="0"/>
      <w:divBdr>
        <w:top w:val="none" w:sz="0" w:space="0" w:color="auto"/>
        <w:left w:val="none" w:sz="0" w:space="0" w:color="auto"/>
        <w:bottom w:val="none" w:sz="0" w:space="0" w:color="auto"/>
        <w:right w:val="none" w:sz="0" w:space="0" w:color="auto"/>
      </w:divBdr>
    </w:div>
    <w:div w:id="769350254">
      <w:bodyDiv w:val="1"/>
      <w:marLeft w:val="0"/>
      <w:marRight w:val="0"/>
      <w:marTop w:val="0"/>
      <w:marBottom w:val="0"/>
      <w:divBdr>
        <w:top w:val="none" w:sz="0" w:space="0" w:color="auto"/>
        <w:left w:val="none" w:sz="0" w:space="0" w:color="auto"/>
        <w:bottom w:val="none" w:sz="0" w:space="0" w:color="auto"/>
        <w:right w:val="none" w:sz="0" w:space="0" w:color="auto"/>
      </w:divBdr>
    </w:div>
    <w:div w:id="827289126">
      <w:bodyDiv w:val="1"/>
      <w:marLeft w:val="0"/>
      <w:marRight w:val="0"/>
      <w:marTop w:val="0"/>
      <w:marBottom w:val="0"/>
      <w:divBdr>
        <w:top w:val="none" w:sz="0" w:space="0" w:color="auto"/>
        <w:left w:val="none" w:sz="0" w:space="0" w:color="auto"/>
        <w:bottom w:val="none" w:sz="0" w:space="0" w:color="auto"/>
        <w:right w:val="none" w:sz="0" w:space="0" w:color="auto"/>
      </w:divBdr>
    </w:div>
    <w:div w:id="856191537">
      <w:bodyDiv w:val="1"/>
      <w:marLeft w:val="0"/>
      <w:marRight w:val="0"/>
      <w:marTop w:val="0"/>
      <w:marBottom w:val="0"/>
      <w:divBdr>
        <w:top w:val="none" w:sz="0" w:space="0" w:color="auto"/>
        <w:left w:val="none" w:sz="0" w:space="0" w:color="auto"/>
        <w:bottom w:val="none" w:sz="0" w:space="0" w:color="auto"/>
        <w:right w:val="none" w:sz="0" w:space="0" w:color="auto"/>
      </w:divBdr>
    </w:div>
    <w:div w:id="942765693">
      <w:bodyDiv w:val="1"/>
      <w:marLeft w:val="0"/>
      <w:marRight w:val="0"/>
      <w:marTop w:val="0"/>
      <w:marBottom w:val="0"/>
      <w:divBdr>
        <w:top w:val="none" w:sz="0" w:space="0" w:color="auto"/>
        <w:left w:val="none" w:sz="0" w:space="0" w:color="auto"/>
        <w:bottom w:val="none" w:sz="0" w:space="0" w:color="auto"/>
        <w:right w:val="none" w:sz="0" w:space="0" w:color="auto"/>
      </w:divBdr>
    </w:div>
    <w:div w:id="1034386423">
      <w:bodyDiv w:val="1"/>
      <w:marLeft w:val="0"/>
      <w:marRight w:val="0"/>
      <w:marTop w:val="0"/>
      <w:marBottom w:val="0"/>
      <w:divBdr>
        <w:top w:val="none" w:sz="0" w:space="0" w:color="auto"/>
        <w:left w:val="none" w:sz="0" w:space="0" w:color="auto"/>
        <w:bottom w:val="none" w:sz="0" w:space="0" w:color="auto"/>
        <w:right w:val="none" w:sz="0" w:space="0" w:color="auto"/>
      </w:divBdr>
    </w:div>
    <w:div w:id="1077632764">
      <w:bodyDiv w:val="1"/>
      <w:marLeft w:val="0"/>
      <w:marRight w:val="0"/>
      <w:marTop w:val="0"/>
      <w:marBottom w:val="0"/>
      <w:divBdr>
        <w:top w:val="none" w:sz="0" w:space="0" w:color="auto"/>
        <w:left w:val="none" w:sz="0" w:space="0" w:color="auto"/>
        <w:bottom w:val="none" w:sz="0" w:space="0" w:color="auto"/>
        <w:right w:val="none" w:sz="0" w:space="0" w:color="auto"/>
      </w:divBdr>
    </w:div>
    <w:div w:id="1104882495">
      <w:bodyDiv w:val="1"/>
      <w:marLeft w:val="0"/>
      <w:marRight w:val="0"/>
      <w:marTop w:val="0"/>
      <w:marBottom w:val="0"/>
      <w:divBdr>
        <w:top w:val="none" w:sz="0" w:space="0" w:color="auto"/>
        <w:left w:val="none" w:sz="0" w:space="0" w:color="auto"/>
        <w:bottom w:val="none" w:sz="0" w:space="0" w:color="auto"/>
        <w:right w:val="none" w:sz="0" w:space="0" w:color="auto"/>
      </w:divBdr>
    </w:div>
    <w:div w:id="1121143862">
      <w:bodyDiv w:val="1"/>
      <w:marLeft w:val="0"/>
      <w:marRight w:val="0"/>
      <w:marTop w:val="0"/>
      <w:marBottom w:val="0"/>
      <w:divBdr>
        <w:top w:val="none" w:sz="0" w:space="0" w:color="auto"/>
        <w:left w:val="none" w:sz="0" w:space="0" w:color="auto"/>
        <w:bottom w:val="none" w:sz="0" w:space="0" w:color="auto"/>
        <w:right w:val="none" w:sz="0" w:space="0" w:color="auto"/>
      </w:divBdr>
    </w:div>
    <w:div w:id="1236163054">
      <w:bodyDiv w:val="1"/>
      <w:marLeft w:val="0"/>
      <w:marRight w:val="0"/>
      <w:marTop w:val="0"/>
      <w:marBottom w:val="0"/>
      <w:divBdr>
        <w:top w:val="none" w:sz="0" w:space="0" w:color="auto"/>
        <w:left w:val="none" w:sz="0" w:space="0" w:color="auto"/>
        <w:bottom w:val="none" w:sz="0" w:space="0" w:color="auto"/>
        <w:right w:val="none" w:sz="0" w:space="0" w:color="auto"/>
      </w:divBdr>
    </w:div>
    <w:div w:id="1261063403">
      <w:bodyDiv w:val="1"/>
      <w:marLeft w:val="0"/>
      <w:marRight w:val="0"/>
      <w:marTop w:val="0"/>
      <w:marBottom w:val="0"/>
      <w:divBdr>
        <w:top w:val="none" w:sz="0" w:space="0" w:color="auto"/>
        <w:left w:val="none" w:sz="0" w:space="0" w:color="auto"/>
        <w:bottom w:val="none" w:sz="0" w:space="0" w:color="auto"/>
        <w:right w:val="none" w:sz="0" w:space="0" w:color="auto"/>
      </w:divBdr>
    </w:div>
    <w:div w:id="130403838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511676316">
      <w:bodyDiv w:val="1"/>
      <w:marLeft w:val="0"/>
      <w:marRight w:val="0"/>
      <w:marTop w:val="0"/>
      <w:marBottom w:val="0"/>
      <w:divBdr>
        <w:top w:val="none" w:sz="0" w:space="0" w:color="auto"/>
        <w:left w:val="none" w:sz="0" w:space="0" w:color="auto"/>
        <w:bottom w:val="none" w:sz="0" w:space="0" w:color="auto"/>
        <w:right w:val="none" w:sz="0" w:space="0" w:color="auto"/>
      </w:divBdr>
    </w:div>
    <w:div w:id="1534808472">
      <w:bodyDiv w:val="1"/>
      <w:marLeft w:val="0"/>
      <w:marRight w:val="0"/>
      <w:marTop w:val="0"/>
      <w:marBottom w:val="0"/>
      <w:divBdr>
        <w:top w:val="none" w:sz="0" w:space="0" w:color="auto"/>
        <w:left w:val="none" w:sz="0" w:space="0" w:color="auto"/>
        <w:bottom w:val="none" w:sz="0" w:space="0" w:color="auto"/>
        <w:right w:val="none" w:sz="0" w:space="0" w:color="auto"/>
      </w:divBdr>
    </w:div>
    <w:div w:id="1892426481">
      <w:bodyDiv w:val="1"/>
      <w:marLeft w:val="0"/>
      <w:marRight w:val="0"/>
      <w:marTop w:val="0"/>
      <w:marBottom w:val="0"/>
      <w:divBdr>
        <w:top w:val="none" w:sz="0" w:space="0" w:color="auto"/>
        <w:left w:val="none" w:sz="0" w:space="0" w:color="auto"/>
        <w:bottom w:val="none" w:sz="0" w:space="0" w:color="auto"/>
        <w:right w:val="none" w:sz="0" w:space="0" w:color="auto"/>
      </w:divBdr>
    </w:div>
    <w:div w:id="1994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4DCB-FDA7-4E80-8BA3-83BEB1E7C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1395-E066-4596-9255-C1C8666B3808}">
  <ds:schemaRefs>
    <ds:schemaRef ds:uri="http://schemas.microsoft.com/sharepoint/v3/contenttype/forms"/>
  </ds:schemaRefs>
</ds:datastoreItem>
</file>

<file path=customXml/itemProps3.xml><?xml version="1.0" encoding="utf-8"?>
<ds:datastoreItem xmlns:ds="http://schemas.openxmlformats.org/officeDocument/2006/customXml" ds:itemID="{237B4178-94F3-4132-A310-9D16413FE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8D190B-7E2C-4679-91FD-965594DB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Early</dc:creator>
  <cp:keywords/>
  <dc:description/>
  <cp:lastModifiedBy>Ross, Emily (ACF) (CTR)</cp:lastModifiedBy>
  <cp:revision>2</cp:revision>
  <dcterms:created xsi:type="dcterms:W3CDTF">2021-03-01T14:45:00Z</dcterms:created>
  <dcterms:modified xsi:type="dcterms:W3CDTF">2021-03-01T14:45:00Z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