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55A" w:rsidRDefault="0054255A" w14:paraId="46C8F908" w14:textId="35268AA0">
      <w:pPr>
        <w:rPr>
          <w:b/>
        </w:rPr>
      </w:pPr>
    </w:p>
    <w:p w:rsidRPr="002B0426" w:rsidR="0054255A" w:rsidP="00B13297" w:rsidRDefault="00974329" w14:paraId="62DEA0B8" w14:textId="4A36F959">
      <w:pPr>
        <w:pStyle w:val="ReportCover-Title"/>
        <w:jc w:val="center"/>
        <w:rPr>
          <w:rFonts w:ascii="Arial" w:hAnsi="Arial" w:cs="Arial"/>
          <w:color w:val="auto"/>
        </w:rPr>
      </w:pPr>
      <w:bookmarkStart w:name="_Hlk53443582" w:id="0"/>
      <w:r w:rsidRPr="002B0426">
        <w:rPr>
          <w:rFonts w:ascii="Arial" w:hAnsi="Arial" w:eastAsia="Arial Unicode MS" w:cs="Arial"/>
          <w:noProof/>
          <w:color w:val="auto"/>
        </w:rPr>
        <w:t>Child Care Research and Evaluation Capacity Building Center</w:t>
      </w:r>
      <w:r w:rsidRPr="002B0426">
        <w:rPr>
          <w:color w:val="auto"/>
        </w:rPr>
        <w:t xml:space="preserve"> </w:t>
      </w:r>
      <w:r w:rsidRPr="002B0426" w:rsidR="005F21AF">
        <w:rPr>
          <w:color w:val="auto"/>
        </w:rPr>
        <w:t>Needs Assessment</w:t>
      </w:r>
    </w:p>
    <w:bookmarkEnd w:id="0"/>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27C7F" w:rsidR="00B3652D" w:rsidP="00B3652D" w:rsidRDefault="00B3652D" w14:paraId="025E32B5" w14:textId="77777777">
      <w:pPr>
        <w:pStyle w:val="ReportCover-Title"/>
        <w:jc w:val="center"/>
        <w:rPr>
          <w:rFonts w:ascii="Arial" w:hAnsi="Arial" w:cs="Arial"/>
          <w:color w:val="auto"/>
          <w:sz w:val="32"/>
          <w:szCs w:val="32"/>
        </w:rPr>
      </w:pPr>
      <w:r w:rsidRPr="00B27C7F">
        <w:rPr>
          <w:rFonts w:ascii="Arial" w:hAnsi="Arial" w:cs="Arial"/>
          <w:color w:val="auto"/>
          <w:sz w:val="32"/>
          <w:szCs w:val="32"/>
        </w:rPr>
        <w:t>Formative Data Collections for ACF Research</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74241067">
      <w:pPr>
        <w:pStyle w:val="ReportCover-Title"/>
        <w:jc w:val="center"/>
        <w:rPr>
          <w:rFonts w:ascii="Arial" w:hAnsi="Arial" w:cs="Arial"/>
          <w:color w:val="auto"/>
          <w:sz w:val="32"/>
          <w:szCs w:val="32"/>
        </w:rPr>
      </w:pPr>
      <w:r w:rsidRPr="00B27C7F">
        <w:rPr>
          <w:rFonts w:ascii="Arial" w:hAnsi="Arial" w:cs="Arial"/>
          <w:color w:val="auto"/>
          <w:sz w:val="32"/>
          <w:szCs w:val="32"/>
        </w:rPr>
        <w:t>0970 - 035</w:t>
      </w:r>
      <w:r w:rsidRPr="00B27C7F" w:rsidR="00B27C7F">
        <w:rPr>
          <w:rFonts w:ascii="Arial" w:hAnsi="Arial" w:cs="Arial"/>
          <w:color w:val="auto"/>
          <w:sz w:val="32"/>
          <w:szCs w:val="32"/>
        </w:rPr>
        <w:t>6</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B27C7F" w:rsidP="00B27C7F" w:rsidRDefault="00FA181B" w14:paraId="37790C00" w14:textId="139AA8CF">
      <w:pPr>
        <w:pStyle w:val="ReportCover-Date"/>
        <w:jc w:val="center"/>
        <w:rPr>
          <w:rFonts w:ascii="Arial" w:hAnsi="Arial" w:cs="Arial"/>
          <w:color w:val="auto"/>
        </w:rPr>
      </w:pPr>
      <w:r>
        <w:rPr>
          <w:rFonts w:ascii="Arial" w:hAnsi="Arial" w:cs="Arial"/>
          <w:color w:val="auto"/>
        </w:rPr>
        <w:t xml:space="preserve">March </w:t>
      </w:r>
      <w:r w:rsidR="002D3907">
        <w:rPr>
          <w:rFonts w:ascii="Arial" w:hAnsi="Arial" w:cs="Arial"/>
          <w:color w:val="auto"/>
        </w:rPr>
        <w:t>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28BDEA53">
      <w:pPr>
        <w:spacing w:after="0" w:line="240" w:lineRule="auto"/>
        <w:jc w:val="center"/>
        <w:rPr>
          <w:rFonts w:ascii="Arial" w:hAnsi="Arial" w:cs="Arial"/>
        </w:rPr>
      </w:pPr>
      <w:r w:rsidRPr="00B13297">
        <w:rPr>
          <w:rFonts w:ascii="Arial" w:hAnsi="Arial" w:cs="Arial"/>
        </w:rPr>
        <w:t>Project Officers:</w:t>
      </w:r>
      <w:r w:rsidRPr="00B27C7F" w:rsidR="00B27C7F">
        <w:rPr>
          <w:rFonts w:ascii="Arial" w:hAnsi="Arial" w:cs="Arial"/>
        </w:rPr>
        <w:t xml:space="preserve"> </w:t>
      </w:r>
      <w:r w:rsidRPr="00C05A08" w:rsidR="00B27C7F">
        <w:rPr>
          <w:rFonts w:ascii="Arial" w:hAnsi="Arial" w:cs="Arial"/>
        </w:rPr>
        <w:t>Meryl Barofsky and Alysia Blandon</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429B6D10">
      <w:pPr>
        <w:jc w:val="center"/>
        <w:rPr>
          <w:b/>
        </w:rPr>
      </w:pPr>
    </w:p>
    <w:p w:rsidR="00B27C7F" w:rsidP="00B13297" w:rsidRDefault="00B27C7F" w14:paraId="5FB3CF5C"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AD3EC8" w:rsidRDefault="00B04785" w14:paraId="00321FF0" w14:textId="5DDDFD9D">
      <w:pPr>
        <w:pStyle w:val="ListParagraph"/>
        <w:numPr>
          <w:ilvl w:val="0"/>
          <w:numId w:val="3"/>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D656FB">
        <w:t>Formative Data Collections for ACF Research</w:t>
      </w:r>
      <w:r w:rsidR="00D656FB">
        <w:t xml:space="preserve"> (0970-0356).</w:t>
      </w:r>
    </w:p>
    <w:p w:rsidR="00EA405B" w:rsidP="00906F6A" w:rsidRDefault="00EA405B" w14:paraId="1FD514C1" w14:textId="78D17F26">
      <w:pPr>
        <w:spacing w:after="0" w:line="240" w:lineRule="auto"/>
      </w:pPr>
    </w:p>
    <w:p w:rsidRPr="00BD7963" w:rsidR="00BD7963" w:rsidP="00AD3EC8" w:rsidRDefault="00C53AEC" w14:paraId="3F249A25" w14:textId="77777777">
      <w:pPr>
        <w:pStyle w:val="ListParagraph"/>
        <w:numPr>
          <w:ilvl w:val="0"/>
          <w:numId w:val="3"/>
        </w:numPr>
        <w:spacing w:after="0" w:line="240" w:lineRule="auto"/>
      </w:pPr>
      <w:r w:rsidRPr="00906F6A">
        <w:rPr>
          <w:b/>
        </w:rPr>
        <w:t xml:space="preserve">Description of Request: </w:t>
      </w:r>
    </w:p>
    <w:p w:rsidRPr="000C38B2" w:rsidR="00B3652D" w:rsidP="00E178F1" w:rsidRDefault="000C38B2" w14:paraId="6D04E0B1" w14:textId="12874D81">
      <w:pPr>
        <w:pStyle w:val="ListParagraph"/>
        <w:spacing w:after="0" w:line="240" w:lineRule="auto"/>
        <w:rPr>
          <w:rFonts w:cs="Calibri"/>
        </w:rPr>
      </w:pPr>
      <w:r w:rsidRPr="000C38B2">
        <w:rPr>
          <w:rFonts w:cs="Calibri"/>
        </w:rPr>
        <w:t>The Child Care Research and Evaluation Capacity Building</w:t>
      </w:r>
      <w:r>
        <w:rPr>
          <w:rFonts w:cs="Calibri"/>
        </w:rPr>
        <w:t xml:space="preserve"> </w:t>
      </w:r>
      <w:r w:rsidRPr="000C38B2">
        <w:rPr>
          <w:rFonts w:cs="Calibri"/>
        </w:rPr>
        <w:t xml:space="preserve">Center </w:t>
      </w:r>
      <w:r w:rsidR="005F21AF">
        <w:rPr>
          <w:rFonts w:cs="Calibri"/>
        </w:rPr>
        <w:t xml:space="preserve">(Center) </w:t>
      </w:r>
      <w:r w:rsidRPr="000C38B2">
        <w:rPr>
          <w:rFonts w:cs="Calibri"/>
        </w:rPr>
        <w:t xml:space="preserve">will </w:t>
      </w:r>
      <w:r>
        <w:rPr>
          <w:rFonts w:cs="Calibri"/>
        </w:rPr>
        <w:t>a</w:t>
      </w:r>
      <w:r w:rsidRPr="000C38B2">
        <w:rPr>
          <w:rFonts w:cs="Calibri"/>
        </w:rPr>
        <w:t>ssess</w:t>
      </w:r>
      <w:r>
        <w:rPr>
          <w:rFonts w:cs="Calibri"/>
        </w:rPr>
        <w:t xml:space="preserve"> </w:t>
      </w:r>
      <w:r w:rsidRPr="000C38B2">
        <w:rPr>
          <w:rFonts w:cs="Calibri"/>
        </w:rPr>
        <w:t xml:space="preserve">the research and evaluation capacity-building needs of State, Territory, and Tribal Child Care and Development Fund </w:t>
      </w:r>
      <w:r>
        <w:rPr>
          <w:rFonts w:cs="Calibri"/>
        </w:rPr>
        <w:t>(</w:t>
      </w:r>
      <w:r w:rsidRPr="000C38B2">
        <w:rPr>
          <w:rFonts w:cs="Calibri"/>
        </w:rPr>
        <w:t>CCDF</w:t>
      </w:r>
      <w:r>
        <w:rPr>
          <w:rFonts w:cs="Calibri"/>
        </w:rPr>
        <w:t>)</w:t>
      </w:r>
      <w:r w:rsidRPr="000C38B2">
        <w:rPr>
          <w:rFonts w:cs="Calibri"/>
        </w:rPr>
        <w:t xml:space="preserve"> Lead Agencies through a web-based survey and </w:t>
      </w:r>
      <w:r w:rsidR="006F5AE9">
        <w:rPr>
          <w:rFonts w:cs="Calibri"/>
        </w:rPr>
        <w:t xml:space="preserve">virtual </w:t>
      </w:r>
      <w:r w:rsidRPr="000C38B2">
        <w:rPr>
          <w:rFonts w:cs="Calibri"/>
        </w:rPr>
        <w:t>focus groups</w:t>
      </w:r>
      <w:r>
        <w:rPr>
          <w:rFonts w:cs="Calibri"/>
        </w:rPr>
        <w:t xml:space="preserve">. </w:t>
      </w:r>
      <w:r w:rsidR="005F21AF">
        <w:rPr>
          <w:rFonts w:cs="Calibri"/>
        </w:rPr>
        <w:t>Based on the information gathered, t</w:t>
      </w:r>
      <w:r>
        <w:rPr>
          <w:rFonts w:cs="Calibri"/>
        </w:rPr>
        <w:t>he Center will p</w:t>
      </w:r>
      <w:r w:rsidRPr="000C38B2">
        <w:rPr>
          <w:rFonts w:cs="Calibri"/>
        </w:rPr>
        <w:t>rovide universal capacity-building resources and activities to support all CCDF Lead Agencies in conducting, understanding, consuming, and using research and evaluation for decision</w:t>
      </w:r>
      <w:r>
        <w:rPr>
          <w:rFonts w:cs="Calibri"/>
        </w:rPr>
        <w:t xml:space="preserve"> </w:t>
      </w:r>
      <w:r w:rsidRPr="000C38B2">
        <w:rPr>
          <w:rFonts w:cs="Calibri"/>
        </w:rPr>
        <w:t>making (this includes facilitating agency use of state CCDF administrative data)</w:t>
      </w:r>
      <w:r>
        <w:rPr>
          <w:rFonts w:cs="Calibri"/>
        </w:rPr>
        <w:t xml:space="preserve">. </w:t>
      </w:r>
      <w:r w:rsidRPr="000C38B2" w:rsidR="00B3652D">
        <w:rPr>
          <w:rFonts w:cs="Calibri"/>
        </w:rPr>
        <w:t>We do not intend for this information to be used as the principal basis for public policy decisions.</w:t>
      </w:r>
    </w:p>
    <w:p w:rsidR="00BD7963" w:rsidP="00BD7963" w:rsidRDefault="00BD7963" w14:paraId="0B78AB5D" w14:textId="77777777">
      <w:pPr>
        <w:pStyle w:val="ListParagraph"/>
      </w:pPr>
    </w:p>
    <w:p w:rsidRPr="00974329" w:rsidR="00624DDC" w:rsidP="00AD3EC8" w:rsidRDefault="00906F6A" w14:paraId="64C8BC8B" w14:textId="7A3F2D9F">
      <w:pPr>
        <w:pStyle w:val="ListParagraph"/>
        <w:numPr>
          <w:ilvl w:val="0"/>
          <w:numId w:val="3"/>
        </w:numPr>
        <w:spacing w:after="0" w:line="240" w:lineRule="auto"/>
        <w:rPr>
          <w:b/>
        </w:rPr>
      </w:pPr>
      <w:r w:rsidRPr="00906F6A">
        <w:rPr>
          <w:b/>
        </w:rPr>
        <w:t xml:space="preserve">Time Sensitivity: </w:t>
      </w:r>
      <w:r w:rsidRPr="00974329" w:rsidR="00974329">
        <w:rPr>
          <w:bCs/>
        </w:rPr>
        <w:t>The information collected by the survey and focus groups will be used to inform the content and intensity of research and evaluation capacity-building supports in a currently active project.</w:t>
      </w:r>
      <w:r w:rsidR="005E15E0">
        <w:rPr>
          <w:bCs/>
        </w:rPr>
        <w:t xml:space="preserve"> In order to stay on track with our project timeline we </w:t>
      </w:r>
      <w:r w:rsidR="001B63DF">
        <w:rPr>
          <w:bCs/>
        </w:rPr>
        <w:t xml:space="preserve">are </w:t>
      </w:r>
      <w:r w:rsidR="005E15E0">
        <w:rPr>
          <w:bCs/>
        </w:rPr>
        <w:t>targeting early 2021 for OMB approval.</w:t>
      </w: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AB359B" w:rsidP="002B0426" w:rsidRDefault="00782CA5" w14:paraId="0C950BC6" w14:textId="7E648639">
      <w:pPr>
        <w:spacing w:after="120" w:line="240" w:lineRule="auto"/>
      </w:pPr>
      <w:r>
        <w:t>The Administration for Children and Families Office of Planning, Research, and Evaluation (</w:t>
      </w:r>
      <w:r w:rsidRPr="00073FB9" w:rsidR="00FF2BD9">
        <w:t>OPRE</w:t>
      </w:r>
      <w:r>
        <w:t>)</w:t>
      </w:r>
      <w:r w:rsidRPr="00073FB9" w:rsidR="00FF2BD9">
        <w:t xml:space="preserve"> would like to provide more targeted </w:t>
      </w:r>
      <w:r w:rsidR="00F119A4">
        <w:t xml:space="preserve">research and evaluation capacity building </w:t>
      </w:r>
      <w:r w:rsidRPr="00073FB9" w:rsidR="00FF2BD9">
        <w:t xml:space="preserve">support to help the </w:t>
      </w:r>
      <w:r w:rsidRPr="000C38B2">
        <w:rPr>
          <w:rFonts w:cs="Calibri"/>
        </w:rPr>
        <w:t xml:space="preserve">Child Care and Development Fund </w:t>
      </w:r>
      <w:r>
        <w:rPr>
          <w:rFonts w:cs="Calibri"/>
        </w:rPr>
        <w:t>(</w:t>
      </w:r>
      <w:r w:rsidRPr="00073FB9" w:rsidR="00FF2BD9">
        <w:t>CCDF</w:t>
      </w:r>
      <w:r>
        <w:t>)</w:t>
      </w:r>
      <w:r w:rsidRPr="00073FB9" w:rsidR="00FF2BD9">
        <w:t xml:space="preserve"> Lead Agencies increase their research and evaluation capacities.</w:t>
      </w:r>
      <w:r w:rsidR="00FF2BD9">
        <w:t xml:space="preserve"> </w:t>
      </w:r>
      <w:r w:rsidR="00196F97">
        <w:t>To do this</w:t>
      </w:r>
      <w:r w:rsidR="00FF2BD9">
        <w:t>, m</w:t>
      </w:r>
      <w:r w:rsidR="00862482">
        <w:t>ore comprehensive</w:t>
      </w:r>
      <w:r w:rsidR="002B0426">
        <w:t xml:space="preserve"> and</w:t>
      </w:r>
      <w:r w:rsidR="00862482">
        <w:t xml:space="preserve"> systematic information is needed about the current research and evaluation capacities of the CCDF Lead Agencies</w:t>
      </w:r>
      <w:r w:rsidR="00FF2BD9">
        <w:t xml:space="preserve"> </w:t>
      </w:r>
      <w:r w:rsidR="00862482">
        <w:t xml:space="preserve">to determine the most appropriate strategies to help CCDF Lead Agencies build their research and evaluation capacities. </w:t>
      </w:r>
    </w:p>
    <w:p w:rsidR="00AB359B" w:rsidP="00AB359B" w:rsidRDefault="00AB359B" w14:paraId="1680EC87" w14:textId="77777777">
      <w:pPr>
        <w:spacing w:after="120" w:line="240" w:lineRule="auto"/>
      </w:pPr>
    </w:p>
    <w:p w:rsidRPr="00AB359B" w:rsidR="004328A4" w:rsidP="00AB359B" w:rsidRDefault="00BD702B" w14:paraId="77508B66" w14:textId="2E232CF8">
      <w:pPr>
        <w:spacing w:after="120" w:line="240" w:lineRule="auto"/>
      </w:pPr>
      <w:r w:rsidRPr="00624DDC">
        <w:rPr>
          <w:b/>
        </w:rPr>
        <w:t>A2</w:t>
      </w:r>
      <w:r>
        <w:t>.</w:t>
      </w:r>
      <w:r>
        <w:tab/>
      </w:r>
      <w:r w:rsidRPr="004328A4" w:rsidR="00107D87">
        <w:rPr>
          <w:b/>
        </w:rPr>
        <w:t>Purpose</w:t>
      </w:r>
    </w:p>
    <w:p w:rsidRPr="000C38B2" w:rsidR="00014EDC" w:rsidP="00862482" w:rsidRDefault="004328A4" w14:paraId="42217A88" w14:textId="3D0FE777">
      <w:pPr>
        <w:spacing w:after="120" w:line="240" w:lineRule="auto"/>
        <w:rPr>
          <w:i/>
        </w:rPr>
      </w:pPr>
      <w:r w:rsidRPr="000C38B2">
        <w:rPr>
          <w:i/>
        </w:rPr>
        <w:t xml:space="preserve">Purpose and Use </w:t>
      </w:r>
    </w:p>
    <w:p w:rsidRPr="000C38B2" w:rsidR="00014EDC" w:rsidP="00862482" w:rsidRDefault="00014EDC" w14:paraId="6A82FB48" w14:textId="13542938">
      <w:pPr>
        <w:rPr>
          <w:rFonts w:cstheme="minorHAnsi"/>
          <w:b/>
        </w:rPr>
      </w:pPr>
      <w:r w:rsidRPr="000C38B2">
        <w:rPr>
          <w:rFonts w:cstheme="minorHAnsi"/>
        </w:rPr>
        <w:t>This proposed information collection meets the following goals of ACF’s generic clearance for formative data collections for research and evaluation (0970-0356):</w:t>
      </w:r>
    </w:p>
    <w:p w:rsidRPr="000C38B2" w:rsidR="00014EDC" w:rsidP="00AD3EC8" w:rsidRDefault="00014EDC" w14:paraId="3DEEECC5" w14:textId="77777777">
      <w:pPr>
        <w:numPr>
          <w:ilvl w:val="0"/>
          <w:numId w:val="15"/>
        </w:numPr>
        <w:spacing w:after="0" w:line="240" w:lineRule="auto"/>
        <w:rPr>
          <w:rFonts w:cstheme="minorHAnsi"/>
        </w:rPr>
      </w:pPr>
      <w:r w:rsidRPr="000C38B2">
        <w:rPr>
          <w:rFonts w:cstheme="minorHAnsi"/>
        </w:rPr>
        <w:t>inform the development of ACF research</w:t>
      </w:r>
    </w:p>
    <w:p w:rsidRPr="000C38B2" w:rsidR="00014EDC" w:rsidP="00AD3EC8" w:rsidRDefault="00014EDC" w14:paraId="11FE25D3" w14:textId="77777777">
      <w:pPr>
        <w:numPr>
          <w:ilvl w:val="0"/>
          <w:numId w:val="15"/>
        </w:numPr>
        <w:spacing w:after="0" w:line="240" w:lineRule="auto"/>
        <w:rPr>
          <w:rFonts w:cstheme="minorHAnsi"/>
        </w:rPr>
      </w:pPr>
      <w:r w:rsidRPr="000C38B2">
        <w:rPr>
          <w:rFonts w:cstheme="minorHAnsi"/>
        </w:rPr>
        <w:t>maintain a research agenda that is rigorous and relevant</w:t>
      </w:r>
    </w:p>
    <w:p w:rsidRPr="000C38B2" w:rsidR="00014EDC" w:rsidP="00AD3EC8" w:rsidRDefault="00014EDC" w14:paraId="5DFDC47A" w14:textId="77777777">
      <w:pPr>
        <w:numPr>
          <w:ilvl w:val="0"/>
          <w:numId w:val="15"/>
        </w:numPr>
        <w:spacing w:after="0" w:line="240" w:lineRule="auto"/>
        <w:rPr>
          <w:rFonts w:cstheme="minorHAnsi"/>
        </w:rPr>
      </w:pPr>
      <w:r w:rsidRPr="000C38B2">
        <w:rPr>
          <w:rFonts w:cstheme="minorHAnsi"/>
        </w:rPr>
        <w:t xml:space="preserve">ensure that research products are as current as possible </w:t>
      </w:r>
    </w:p>
    <w:p w:rsidRPr="000C38B2" w:rsidR="00A33138" w:rsidP="00DF1291" w:rsidRDefault="00A33138" w14:paraId="01FCDB98" w14:textId="77777777">
      <w:pPr>
        <w:spacing w:after="0" w:line="240" w:lineRule="auto"/>
        <w:rPr>
          <w:rFonts w:cstheme="minorHAnsi"/>
          <w:iCs/>
        </w:rPr>
      </w:pPr>
    </w:p>
    <w:p w:rsidR="006648D8" w:rsidP="00F93ADE" w:rsidRDefault="00782CA5" w14:paraId="6CC802CD" w14:textId="62051C10">
      <w:pPr>
        <w:spacing w:after="0" w:line="240" w:lineRule="auto"/>
      </w:pPr>
      <w:r>
        <w:t xml:space="preserve">Information gathered </w:t>
      </w:r>
      <w:r w:rsidR="00F93ADE">
        <w:t xml:space="preserve">on the survey </w:t>
      </w:r>
      <w:r>
        <w:t>will</w:t>
      </w:r>
      <w:r w:rsidR="00F93ADE">
        <w:t xml:space="preserve"> (1) </w:t>
      </w:r>
      <w:r w:rsidR="008A2D17">
        <w:t>describe the research and evaluation capacities of CCDF State, Territory, and Tribal Lead Agencies</w:t>
      </w:r>
      <w:r w:rsidR="00F93ADE">
        <w:t>; and (2) c</w:t>
      </w:r>
      <w:r w:rsidR="001D4D4B">
        <w:t xml:space="preserve">ontribute to </w:t>
      </w:r>
      <w:r w:rsidRPr="00F93ADE" w:rsidR="00F93ADE">
        <w:rPr>
          <w:rFonts w:cstheme="minorHAnsi"/>
          <w:iCs/>
        </w:rPr>
        <w:t>OPRE</w:t>
      </w:r>
      <w:r w:rsidR="00FA181B">
        <w:rPr>
          <w:rFonts w:cstheme="minorHAnsi"/>
          <w:iCs/>
        </w:rPr>
        <w:t>’s</w:t>
      </w:r>
      <w:r w:rsidRPr="00F93ADE" w:rsidR="00F93ADE">
        <w:rPr>
          <w:rFonts w:cstheme="minorHAnsi"/>
          <w:iCs/>
        </w:rPr>
        <w:t xml:space="preserve"> understanding of</w:t>
      </w:r>
      <w:r w:rsidR="008A2D17">
        <w:t xml:space="preserve"> their strengths and challenges related to conducting, partnering to obtain, and using research and evaluation. </w:t>
      </w:r>
      <w:r w:rsidR="006648D8">
        <w:t>F</w:t>
      </w:r>
      <w:r w:rsidRPr="00E03A5F" w:rsidR="00E03A5F">
        <w:t xml:space="preserve">ocus groups </w:t>
      </w:r>
      <w:r w:rsidR="006648D8">
        <w:t xml:space="preserve">with selected CCDF Lead agency staff will be done </w:t>
      </w:r>
      <w:r w:rsidRPr="00E03A5F" w:rsidR="00E03A5F">
        <w:t xml:space="preserve">to </w:t>
      </w:r>
      <w:r w:rsidR="006648D8">
        <w:t>further explore the</w:t>
      </w:r>
      <w:r w:rsidRPr="00E03A5F" w:rsidR="00E03A5F">
        <w:t xml:space="preserve"> challenges </w:t>
      </w:r>
      <w:r w:rsidR="006648D8">
        <w:t xml:space="preserve">they have doing and using research </w:t>
      </w:r>
      <w:r w:rsidRPr="00E03A5F" w:rsidR="00E03A5F">
        <w:t>and</w:t>
      </w:r>
      <w:r w:rsidR="006648D8">
        <w:t xml:space="preserve"> talk about</w:t>
      </w:r>
      <w:r w:rsidRPr="00E03A5F" w:rsidR="00E03A5F">
        <w:t xml:space="preserve"> potential solutions</w:t>
      </w:r>
      <w:r w:rsidR="006648D8">
        <w:t xml:space="preserve"> to those challenges</w:t>
      </w:r>
      <w:r w:rsidRPr="00E03A5F" w:rsidR="00E03A5F">
        <w:t xml:space="preserve">. </w:t>
      </w:r>
    </w:p>
    <w:p w:rsidR="006648D8" w:rsidP="00F93ADE" w:rsidRDefault="006648D8" w14:paraId="0504E965" w14:textId="77777777">
      <w:pPr>
        <w:spacing w:after="0" w:line="240" w:lineRule="auto"/>
      </w:pPr>
    </w:p>
    <w:p w:rsidR="00031658" w:rsidP="00F93ADE" w:rsidRDefault="00E03A5F" w14:paraId="71773952" w14:textId="72812F0D">
      <w:pPr>
        <w:spacing w:after="0" w:line="240" w:lineRule="auto"/>
      </w:pPr>
      <w:r>
        <w:t>The</w:t>
      </w:r>
      <w:r w:rsidR="008A2D17">
        <w:t xml:space="preserve"> information</w:t>
      </w:r>
      <w:r w:rsidR="00782CA5">
        <w:t xml:space="preserve"> </w:t>
      </w:r>
      <w:r w:rsidR="006648D8">
        <w:t>we collect</w:t>
      </w:r>
      <w:r>
        <w:t xml:space="preserve"> </w:t>
      </w:r>
      <w:r w:rsidR="00116BC9">
        <w:t xml:space="preserve">will be used </w:t>
      </w:r>
      <w:r w:rsidR="00BB6A6B">
        <w:t>to develop</w:t>
      </w:r>
      <w:r>
        <w:t xml:space="preserve"> </w:t>
      </w:r>
      <w:r w:rsidR="00AE7318">
        <w:t>resources and supports</w:t>
      </w:r>
      <w:r w:rsidR="00782CA5">
        <w:t xml:space="preserve"> </w:t>
      </w:r>
      <w:r>
        <w:t xml:space="preserve">(such as </w:t>
      </w:r>
      <w:r w:rsidR="00782CA5">
        <w:t>briefs</w:t>
      </w:r>
      <w:r>
        <w:t xml:space="preserve"> and</w:t>
      </w:r>
      <w:r w:rsidR="00782CA5">
        <w:t xml:space="preserve"> webinars</w:t>
      </w:r>
      <w:r>
        <w:t>)</w:t>
      </w:r>
      <w:r w:rsidR="00AE7318">
        <w:t xml:space="preserve"> targeted to CCDF Lead Agencies about</w:t>
      </w:r>
      <w:r w:rsidR="00810B50">
        <w:t xml:space="preserve"> </w:t>
      </w:r>
      <w:r w:rsidR="00A438F8">
        <w:t xml:space="preserve">using research findings in decision making and conducting and/or partnering to </w:t>
      </w:r>
      <w:r w:rsidR="004B5A4F">
        <w:t>do</w:t>
      </w:r>
      <w:r w:rsidR="00A438F8">
        <w:t xml:space="preserve"> research and evaluation. These materials will be shared with CCDF Lead Agency staff and </w:t>
      </w:r>
      <w:r w:rsidR="00BD5A19">
        <w:t>the general public</w:t>
      </w:r>
      <w:r w:rsidR="00A438F8">
        <w:t xml:space="preserve"> through the </w:t>
      </w:r>
      <w:r w:rsidRPr="00A438F8" w:rsidR="00A438F8">
        <w:t>Child Care Research and Evaluation Capacity Building Center (Child Care ECB Center)</w:t>
      </w:r>
      <w:r w:rsidR="00116BC9">
        <w:t xml:space="preserve">, OPRE, and </w:t>
      </w:r>
      <w:r w:rsidR="00433BFE">
        <w:t xml:space="preserve">the </w:t>
      </w:r>
      <w:r w:rsidR="00116BC9">
        <w:t>O</w:t>
      </w:r>
      <w:r w:rsidR="00433BFE">
        <w:t xml:space="preserve">ffice of </w:t>
      </w:r>
      <w:r w:rsidR="00116BC9">
        <w:t>C</w:t>
      </w:r>
      <w:r w:rsidR="00433BFE">
        <w:t xml:space="preserve">hild </w:t>
      </w:r>
      <w:r w:rsidR="00116BC9">
        <w:t>C</w:t>
      </w:r>
      <w:r w:rsidR="00433BFE">
        <w:t>are (OCC)</w:t>
      </w:r>
      <w:r w:rsidR="00D95BFC">
        <w:t xml:space="preserve">. </w:t>
      </w:r>
      <w:r w:rsidR="00782CA5">
        <w:t xml:space="preserve"> </w:t>
      </w:r>
    </w:p>
    <w:p w:rsidR="00031658" w:rsidP="00F93ADE" w:rsidRDefault="00031658" w14:paraId="5750A35D" w14:textId="77777777">
      <w:pPr>
        <w:spacing w:after="0" w:line="240" w:lineRule="auto"/>
      </w:pPr>
    </w:p>
    <w:p w:rsidR="00782CA5" w:rsidP="00F93ADE" w:rsidRDefault="00782CA5" w14:paraId="60319BAF" w14:textId="0AF29876">
      <w:pPr>
        <w:spacing w:after="0" w:line="240" w:lineRule="auto"/>
      </w:pPr>
      <w:r>
        <w:t xml:space="preserve">Data gathered will also </w:t>
      </w:r>
      <w:r w:rsidR="00BD5A19">
        <w:t>be used</w:t>
      </w:r>
      <w:r w:rsidRPr="00AB359B">
        <w:t xml:space="preserve"> to identify </w:t>
      </w:r>
      <w:r w:rsidR="00BD5A19">
        <w:t>Lead Agencies</w:t>
      </w:r>
      <w:r w:rsidRPr="00AB359B" w:rsidR="00BD5A19">
        <w:t xml:space="preserve"> </w:t>
      </w:r>
      <w:r w:rsidRPr="00AB359B">
        <w:t xml:space="preserve">that have multiple constraints and may benefit from intensive </w:t>
      </w:r>
      <w:r w:rsidR="00031658">
        <w:t xml:space="preserve">research and evaluation capacity-building </w:t>
      </w:r>
      <w:r w:rsidRPr="00AB359B">
        <w:t>supports.</w:t>
      </w:r>
      <w:r>
        <w:t xml:space="preserve"> </w:t>
      </w:r>
      <w:r w:rsidRPr="006C2868" w:rsidR="006C2868">
        <w:t>Findings are meant to inform ACF activities and may be incorporated into documents or presentations that are made public, but</w:t>
      </w:r>
      <w:r w:rsidR="006C2868">
        <w:t xml:space="preserve"> will not identify any </w:t>
      </w:r>
      <w:r w:rsidR="00521F58">
        <w:t xml:space="preserve">specific </w:t>
      </w:r>
      <w:r w:rsidR="006C2868">
        <w:t xml:space="preserve">state, territory, or tribe.  </w:t>
      </w:r>
      <w:r w:rsidR="00433BFE">
        <w:t>OCC</w:t>
      </w:r>
      <w:r>
        <w:t xml:space="preserve"> </w:t>
      </w:r>
      <w:r w:rsidR="00031658">
        <w:t xml:space="preserve">may </w:t>
      </w:r>
      <w:r>
        <w:t xml:space="preserve">also </w:t>
      </w:r>
      <w:r w:rsidR="00031658">
        <w:t xml:space="preserve">use </w:t>
      </w:r>
      <w:r>
        <w:t xml:space="preserve">the findings as they continue to guide supports for CCDF Lead Agencies through the national technical assistance network. Finally, the findings may be used to inform future ACF research on research and evaluation capacity building for ACF funded programs. </w:t>
      </w:r>
    </w:p>
    <w:p w:rsidR="00782CA5" w:rsidP="00A36134" w:rsidRDefault="00782CA5" w14:paraId="62C41DEB" w14:textId="77777777">
      <w:pPr>
        <w:spacing w:after="0" w:line="240" w:lineRule="auto"/>
      </w:pPr>
    </w:p>
    <w:p w:rsidRPr="00014EDC" w:rsidR="00A36134" w:rsidP="00A36134" w:rsidRDefault="00A36134" w14:paraId="12840CC4" w14:textId="0D71D34E">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w:t>
      </w:r>
      <w:r w:rsidRPr="00014EDC" w:rsidR="00AB359B">
        <w:rPr>
          <w:rFonts w:cstheme="minorHAnsi"/>
        </w:rPr>
        <w:t>maker and</w:t>
      </w:r>
      <w:r w:rsidRPr="00014EDC">
        <w:rPr>
          <w:rFonts w:cstheme="minorHAnsi"/>
        </w:rPr>
        <w:t xml:space="preserve">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7D0F6E" w:rsidRDefault="004328A4" w14:paraId="57EB8C37" w14:textId="33A069E1">
      <w:pPr>
        <w:spacing w:after="120" w:line="240" w:lineRule="auto"/>
        <w:rPr>
          <w:i/>
        </w:rPr>
      </w:pPr>
      <w:r w:rsidRPr="004328A4">
        <w:rPr>
          <w:i/>
        </w:rPr>
        <w:t>Research Questions or Tests</w:t>
      </w:r>
    </w:p>
    <w:p w:rsidRPr="00153514" w:rsidR="00153514" w:rsidP="00153514" w:rsidRDefault="00153514" w14:paraId="036F7B36" w14:textId="77777777">
      <w:pPr>
        <w:spacing w:after="120" w:line="240" w:lineRule="auto"/>
        <w:rPr>
          <w:iCs/>
        </w:rPr>
      </w:pPr>
      <w:r w:rsidRPr="00153514">
        <w:rPr>
          <w:iCs/>
        </w:rPr>
        <w:t>The guiding research question is:</w:t>
      </w:r>
    </w:p>
    <w:p w:rsidRPr="00153514" w:rsidR="00153514" w:rsidP="00AD3EC8" w:rsidRDefault="00153514" w14:paraId="2C0AB71A" w14:textId="70388824">
      <w:pPr>
        <w:pStyle w:val="ListParagraph"/>
        <w:numPr>
          <w:ilvl w:val="0"/>
          <w:numId w:val="16"/>
        </w:numPr>
        <w:spacing w:after="120" w:line="240" w:lineRule="auto"/>
        <w:rPr>
          <w:iCs/>
        </w:rPr>
      </w:pPr>
      <w:r w:rsidRPr="00153514">
        <w:rPr>
          <w:iCs/>
        </w:rPr>
        <w:lastRenderedPageBreak/>
        <w:t>What are the research and evaluation capacities of the CCDF State, Territory, and Tribal Lead Agencies?</w:t>
      </w:r>
    </w:p>
    <w:p w:rsidR="004328A4" w:rsidP="00DF1291" w:rsidRDefault="004328A4" w14:paraId="5B5CEC90" w14:textId="1EED0E56">
      <w:pPr>
        <w:spacing w:after="0" w:line="240" w:lineRule="auto"/>
        <w:rPr>
          <w:i/>
        </w:rPr>
      </w:pPr>
    </w:p>
    <w:p w:rsidR="004328A4" w:rsidP="007D0F6E" w:rsidRDefault="004328A4" w14:paraId="5C99A251" w14:textId="6430524C">
      <w:pPr>
        <w:spacing w:after="120" w:line="240" w:lineRule="auto"/>
        <w:rPr>
          <w:i/>
        </w:rPr>
      </w:pPr>
      <w:r>
        <w:rPr>
          <w:i/>
        </w:rPr>
        <w:t>Study Design</w:t>
      </w:r>
    </w:p>
    <w:p w:rsidRPr="00A33138" w:rsidR="00A33138" w:rsidP="005D240E" w:rsidRDefault="00A33138" w14:paraId="57035062" w14:textId="1EFE542B">
      <w:pPr>
        <w:spacing w:line="240" w:lineRule="auto"/>
        <w:rPr>
          <w:rFonts w:cstheme="minorHAnsi"/>
        </w:rPr>
      </w:pPr>
      <w:r w:rsidRPr="00A33138">
        <w:rPr>
          <w:rFonts w:cstheme="minorHAnsi"/>
        </w:rPr>
        <w:t>The study will use a mixed-methods design</w:t>
      </w:r>
      <w:r w:rsidR="006B4885">
        <w:rPr>
          <w:rFonts w:cstheme="minorHAnsi"/>
        </w:rPr>
        <w:t>.</w:t>
      </w:r>
      <w:r w:rsidRPr="00A33138">
        <w:rPr>
          <w:rFonts w:cstheme="minorHAnsi"/>
        </w:rPr>
        <w:t xml:space="preserve"> The study </w:t>
      </w:r>
      <w:r w:rsidR="00523E98">
        <w:rPr>
          <w:rFonts w:cstheme="minorHAnsi"/>
        </w:rPr>
        <w:t>includes</w:t>
      </w:r>
      <w:r w:rsidRPr="00A33138">
        <w:rPr>
          <w:rFonts w:cstheme="minorHAnsi"/>
        </w:rPr>
        <w:t xml:space="preserve"> a survey of the CCDF Lead Agencies and focus groups</w:t>
      </w:r>
      <w:r w:rsidR="00DE59E5">
        <w:rPr>
          <w:rFonts w:cstheme="minorHAnsi"/>
        </w:rPr>
        <w:t xml:space="preserve"> with selected CCDF </w:t>
      </w:r>
      <w:r w:rsidR="002E36CF">
        <w:rPr>
          <w:rFonts w:cstheme="minorHAnsi"/>
        </w:rPr>
        <w:t xml:space="preserve">Lead Agency </w:t>
      </w:r>
      <w:r w:rsidR="00DE59E5">
        <w:rPr>
          <w:rFonts w:cstheme="minorHAnsi"/>
        </w:rPr>
        <w:t>administrators</w:t>
      </w:r>
      <w:r w:rsidR="002E36CF">
        <w:rPr>
          <w:rFonts w:cstheme="minorHAnsi"/>
        </w:rPr>
        <w:t xml:space="preserve"> and staff responsible for CCDF Lead Agency research (when agencies have such staff)</w:t>
      </w:r>
      <w:r w:rsidRPr="00A33138">
        <w:rPr>
          <w:rFonts w:cstheme="minorHAnsi"/>
        </w:rPr>
        <w:t xml:space="preserve">. </w:t>
      </w:r>
      <w:r w:rsidR="00196F97">
        <w:rPr>
          <w:rFonts w:cstheme="minorHAnsi"/>
        </w:rPr>
        <w:t>The study will include a census of state and territory administrators for the survey and a sample for the focus groups. The study will include a sample of tribal administrators for the survey and focus groups.</w:t>
      </w:r>
    </w:p>
    <w:p w:rsidR="001908FE" w:rsidP="00BD5A19" w:rsidRDefault="00EF5790" w14:paraId="32D406CD" w14:textId="77777777">
      <w:pPr>
        <w:spacing w:after="120" w:line="240" w:lineRule="auto"/>
        <w:rPr>
          <w:rFonts w:cstheme="minorHAnsi"/>
        </w:rPr>
      </w:pPr>
      <w:r w:rsidRPr="00EF5790">
        <w:rPr>
          <w:rFonts w:cstheme="minorHAnsi"/>
        </w:rPr>
        <w:t xml:space="preserve">This </w:t>
      </w:r>
      <w:r w:rsidR="006A597E">
        <w:rPr>
          <w:rFonts w:cstheme="minorHAnsi"/>
        </w:rPr>
        <w:t>design is appropriate for gathering data</w:t>
      </w:r>
      <w:r w:rsidRPr="00EF5790">
        <w:rPr>
          <w:rFonts w:cstheme="minorHAnsi"/>
        </w:rPr>
        <w:t xml:space="preserve"> </w:t>
      </w:r>
      <w:r w:rsidRPr="00A33138" w:rsidR="006A597E">
        <w:rPr>
          <w:rFonts w:cstheme="minorHAnsi"/>
        </w:rPr>
        <w:t xml:space="preserve">to assess the </w:t>
      </w:r>
      <w:r w:rsidR="007C02A6">
        <w:rPr>
          <w:rFonts w:cstheme="minorHAnsi"/>
        </w:rPr>
        <w:t xml:space="preserve">research and evaluation </w:t>
      </w:r>
      <w:r w:rsidRPr="00A33138" w:rsidR="006A597E">
        <w:rPr>
          <w:rFonts w:cstheme="minorHAnsi"/>
        </w:rPr>
        <w:t>needs of CCDF Lead Agenc</w:t>
      </w:r>
      <w:r w:rsidR="007C02A6">
        <w:rPr>
          <w:rFonts w:cstheme="minorHAnsi"/>
        </w:rPr>
        <w:t xml:space="preserve">ies and </w:t>
      </w:r>
      <w:r w:rsidRPr="00EF5790">
        <w:rPr>
          <w:rFonts w:cstheme="minorHAnsi"/>
        </w:rPr>
        <w:t xml:space="preserve">inform </w:t>
      </w:r>
      <w:r w:rsidR="007C02A6">
        <w:rPr>
          <w:rFonts w:cstheme="minorHAnsi"/>
        </w:rPr>
        <w:t>development</w:t>
      </w:r>
      <w:r w:rsidRPr="00EF5790">
        <w:rPr>
          <w:rFonts w:cstheme="minorHAnsi"/>
        </w:rPr>
        <w:t xml:space="preserve"> of </w:t>
      </w:r>
      <w:r w:rsidR="007C02A6">
        <w:rPr>
          <w:rFonts w:cstheme="minorHAnsi"/>
        </w:rPr>
        <w:t>resources to support</w:t>
      </w:r>
      <w:r w:rsidRPr="00EF5790">
        <w:rPr>
          <w:rFonts w:cstheme="minorHAnsi"/>
        </w:rPr>
        <w:t xml:space="preserve"> CCDF Lead Agencies in </w:t>
      </w:r>
      <w:r w:rsidR="007C02A6">
        <w:rPr>
          <w:rFonts w:cstheme="minorHAnsi"/>
        </w:rPr>
        <w:t>improving</w:t>
      </w:r>
      <w:r w:rsidRPr="00EF5790">
        <w:rPr>
          <w:rFonts w:cstheme="minorHAnsi"/>
        </w:rPr>
        <w:t xml:space="preserve"> research and evaluation capacities. </w:t>
      </w:r>
    </w:p>
    <w:p w:rsidR="001908FE" w:rsidP="00BD5A19" w:rsidRDefault="00EF5790" w14:paraId="48F302C2" w14:textId="26A25309">
      <w:pPr>
        <w:pStyle w:val="ListParagraph"/>
        <w:numPr>
          <w:ilvl w:val="0"/>
          <w:numId w:val="16"/>
        </w:numPr>
        <w:spacing w:line="240" w:lineRule="auto"/>
        <w:rPr>
          <w:rFonts w:cstheme="minorHAnsi"/>
        </w:rPr>
      </w:pPr>
      <w:r w:rsidRPr="001908FE">
        <w:rPr>
          <w:rFonts w:cstheme="minorHAnsi"/>
        </w:rPr>
        <w:t xml:space="preserve">The survey census of state and territory agencies is needed </w:t>
      </w:r>
      <w:r w:rsidRPr="001908FE" w:rsidR="000F588D">
        <w:rPr>
          <w:rFonts w:cstheme="minorHAnsi"/>
        </w:rPr>
        <w:t>so we can develop resources for universal capacity-building, and the strategies that would be most appropriate for intensive capacity building for a small number of agencies with lower research and evaluation capacities</w:t>
      </w:r>
      <w:r w:rsidRPr="001908FE">
        <w:rPr>
          <w:rFonts w:cstheme="minorHAnsi"/>
        </w:rPr>
        <w:t>.</w:t>
      </w:r>
      <w:r w:rsidRPr="001908FE" w:rsidR="001908FE">
        <w:rPr>
          <w:rFonts w:cstheme="minorHAnsi"/>
        </w:rPr>
        <w:t xml:space="preserve"> </w:t>
      </w:r>
      <w:r w:rsidRPr="00F56C9E" w:rsidR="001908FE">
        <w:rPr>
          <w:rFonts w:cstheme="minorHAnsi"/>
        </w:rPr>
        <w:t xml:space="preserve">There are 56 </w:t>
      </w:r>
      <w:r w:rsidRPr="00831F77" w:rsidR="001908FE">
        <w:rPr>
          <w:rFonts w:cstheme="minorHAnsi"/>
        </w:rPr>
        <w:t>CCDF state and territory l</w:t>
      </w:r>
      <w:r w:rsidRPr="00810B50" w:rsidR="001908FE">
        <w:rPr>
          <w:rFonts w:cstheme="minorHAnsi"/>
        </w:rPr>
        <w:t xml:space="preserve">ead agencies. </w:t>
      </w:r>
    </w:p>
    <w:p w:rsidRPr="008A2D17" w:rsidR="00EF5790" w:rsidP="00BD5A19" w:rsidRDefault="007C02A6" w14:paraId="38F5F17E" w14:textId="0011C149">
      <w:pPr>
        <w:pStyle w:val="ListParagraph"/>
        <w:numPr>
          <w:ilvl w:val="0"/>
          <w:numId w:val="16"/>
        </w:numPr>
        <w:spacing w:line="240" w:lineRule="auto"/>
        <w:rPr>
          <w:rFonts w:cstheme="minorHAnsi"/>
        </w:rPr>
      </w:pPr>
      <w:r w:rsidRPr="001908FE">
        <w:rPr>
          <w:rFonts w:cstheme="minorHAnsi"/>
        </w:rPr>
        <w:t xml:space="preserve">We will select a sample of Tribal Lead Agencies to complete the survey to meet the goals of the study in an efficient manner without overburdening Tribal Agencies. </w:t>
      </w:r>
      <w:r w:rsidRPr="001908FE" w:rsidR="00EF5790">
        <w:rPr>
          <w:rFonts w:cstheme="minorHAnsi"/>
        </w:rPr>
        <w:t xml:space="preserve">There are </w:t>
      </w:r>
      <w:r w:rsidRPr="001908FE" w:rsidR="000F588D">
        <w:rPr>
          <w:rFonts w:cstheme="minorHAnsi"/>
        </w:rPr>
        <w:t>257 CCDF Tribal grantees</w:t>
      </w:r>
      <w:r w:rsidRPr="00F56C9E" w:rsidR="00EF5790">
        <w:rPr>
          <w:rFonts w:cstheme="minorHAnsi"/>
        </w:rPr>
        <w:t>. Tribal Lead Agencies are subject to some of the same requirements as State and Territory Lead Agencies, but also have different implementation milestones and reporting requirements</w:t>
      </w:r>
      <w:r w:rsidRPr="00F56C9E">
        <w:rPr>
          <w:rFonts w:cstheme="minorHAnsi"/>
        </w:rPr>
        <w:t xml:space="preserve">. </w:t>
      </w:r>
      <w:r w:rsidRPr="00831F77" w:rsidR="00DE5D1D">
        <w:rPr>
          <w:rFonts w:cstheme="minorHAnsi"/>
        </w:rPr>
        <w:t xml:space="preserve">It is not feasible to do a census of tribal grantees, given how many there are. </w:t>
      </w:r>
      <w:r w:rsidRPr="00D95BFC" w:rsidR="00EF5790">
        <w:rPr>
          <w:rFonts w:cstheme="minorHAnsi"/>
        </w:rPr>
        <w:t xml:space="preserve">Finally, the follow up focus groups will help explore more deeply the associations among the constructs, </w:t>
      </w:r>
      <w:r w:rsidRPr="008A2D17" w:rsidR="00EF5790">
        <w:rPr>
          <w:rFonts w:cstheme="minorHAnsi"/>
        </w:rPr>
        <w:t>individual perceptions about strengths and challenges, and possible strategies for building capacities.</w:t>
      </w:r>
    </w:p>
    <w:p w:rsidR="00FA181B" w:rsidP="00A1539B" w:rsidRDefault="00FA181B" w14:paraId="4CA18952" w14:textId="4E167C26">
      <w:pPr>
        <w:spacing w:line="240" w:lineRule="auto"/>
        <w:rPr>
          <w:rFonts w:eastAsia="Times New Roman" w:cstheme="minorHAnsi"/>
          <w:color w:val="000000"/>
        </w:rPr>
      </w:pPr>
      <w:r>
        <w:rPr>
          <w:rFonts w:eastAsia="Times New Roman" w:cstheme="minorHAnsi"/>
          <w:color w:val="000000"/>
        </w:rPr>
        <w:t xml:space="preserve">For specific details about methods and design, and the collection of data, see Supporting Statement B. </w:t>
      </w:r>
    </w:p>
    <w:p w:rsidR="00D26203" w:rsidP="00A1539B" w:rsidRDefault="006B4885" w14:paraId="53FF130A" w14:textId="1845E652">
      <w:pPr>
        <w:spacing w:line="240" w:lineRule="auto"/>
        <w:rPr>
          <w:rFonts w:eastAsia="Times New Roman" w:cstheme="minorHAnsi"/>
          <w:color w:val="000000"/>
        </w:rPr>
      </w:pPr>
      <w:r w:rsidRPr="007F79C6">
        <w:rPr>
          <w:rFonts w:eastAsia="Times New Roman" w:cstheme="minorHAnsi"/>
          <w:color w:val="000000"/>
        </w:rPr>
        <w:t xml:space="preserve">The results of the study will only be generalizable to State and Territory CCDF Lead Agencies. </w:t>
      </w:r>
      <w:r w:rsidR="00F57C01">
        <w:rPr>
          <w:rFonts w:eastAsia="Times New Roman" w:cstheme="minorHAnsi"/>
          <w:color w:val="000000"/>
        </w:rPr>
        <w:t>T</w:t>
      </w:r>
      <w:r w:rsidRPr="007F79C6">
        <w:rPr>
          <w:rFonts w:eastAsia="Times New Roman" w:cstheme="minorHAnsi"/>
          <w:color w:val="000000"/>
        </w:rPr>
        <w:t xml:space="preserve">he results of the tribal study </w:t>
      </w:r>
      <w:r w:rsidR="00F57C01">
        <w:rPr>
          <w:rFonts w:eastAsia="Times New Roman" w:cstheme="minorHAnsi"/>
          <w:color w:val="000000"/>
        </w:rPr>
        <w:t>will not b</w:t>
      </w:r>
      <w:r w:rsidRPr="007F79C6">
        <w:rPr>
          <w:rFonts w:eastAsia="Times New Roman" w:cstheme="minorHAnsi"/>
          <w:color w:val="000000"/>
        </w:rPr>
        <w:t>e generalizable across the whole population of tribal CCDF Lead Agencies. However</w:t>
      </w:r>
      <w:r w:rsidRPr="009E2F0E">
        <w:rPr>
          <w:rFonts w:eastAsia="Times New Roman" w:cstheme="minorHAnsi"/>
          <w:color w:val="000000"/>
        </w:rPr>
        <w:t xml:space="preserve">, we will select a stratified sample of tribes to </w:t>
      </w:r>
      <w:r w:rsidR="00F57C01">
        <w:rPr>
          <w:rFonts w:eastAsia="Times New Roman" w:cstheme="minorHAnsi"/>
          <w:color w:val="000000"/>
        </w:rPr>
        <w:t>get a diverse</w:t>
      </w:r>
      <w:r w:rsidRPr="009E2F0E">
        <w:rPr>
          <w:rFonts w:eastAsia="Times New Roman" w:cstheme="minorHAnsi"/>
          <w:color w:val="000000"/>
        </w:rPr>
        <w:t xml:space="preserve"> range of capacities and needs.  </w:t>
      </w:r>
    </w:p>
    <w:p w:rsidR="005209C3" w:rsidP="00A1539B" w:rsidRDefault="005209C3" w14:paraId="0EA839BF" w14:textId="78179976">
      <w:pPr>
        <w:spacing w:line="240" w:lineRule="auto"/>
        <w:rPr>
          <w:rFonts w:eastAsiaTheme="minorEastAsia" w:cstheme="minorHAnsi"/>
        </w:rPr>
      </w:pPr>
      <w:r>
        <w:rPr>
          <w:rFonts w:eastAsiaTheme="minorEastAsia" w:cstheme="minorHAnsi"/>
        </w:rPr>
        <w:t>One study limitation</w:t>
      </w:r>
      <w:r w:rsidRPr="00575028" w:rsidR="00A1539B">
        <w:rPr>
          <w:rFonts w:eastAsiaTheme="minorEastAsia" w:cstheme="minorHAnsi"/>
        </w:rPr>
        <w:t xml:space="preserve"> is that</w:t>
      </w:r>
      <w:r w:rsidR="00D26203">
        <w:rPr>
          <w:rFonts w:eastAsiaTheme="minorEastAsia" w:cstheme="minorHAnsi"/>
        </w:rPr>
        <w:t xml:space="preserve"> we are relying on </w:t>
      </w:r>
      <w:r w:rsidRPr="00D26203" w:rsidR="00D26203">
        <w:rPr>
          <w:rFonts w:eastAsiaTheme="minorEastAsia" w:cstheme="minorHAnsi"/>
        </w:rPr>
        <w:t xml:space="preserve">self-assessments </w:t>
      </w:r>
      <w:r w:rsidR="00D26203">
        <w:rPr>
          <w:rFonts w:eastAsiaTheme="minorEastAsia" w:cstheme="minorHAnsi"/>
        </w:rPr>
        <w:t xml:space="preserve">of </w:t>
      </w:r>
      <w:r w:rsidR="007F79C6">
        <w:rPr>
          <w:rFonts w:eastAsiaTheme="minorEastAsia" w:cstheme="minorHAnsi"/>
        </w:rPr>
        <w:t>a</w:t>
      </w:r>
      <w:r w:rsidR="00D26203">
        <w:rPr>
          <w:rFonts w:eastAsiaTheme="minorEastAsia" w:cstheme="minorHAnsi"/>
        </w:rPr>
        <w:t xml:space="preserve">gency staff’s needs, strengths and weaknesses. This approach can be </w:t>
      </w:r>
      <w:r w:rsidRPr="00D26203" w:rsidR="00D26203">
        <w:rPr>
          <w:rFonts w:eastAsiaTheme="minorEastAsia" w:cstheme="minorHAnsi"/>
        </w:rPr>
        <w:t xml:space="preserve">challenging because people </w:t>
      </w:r>
      <w:r w:rsidR="00BC50F0">
        <w:rPr>
          <w:rFonts w:eastAsiaTheme="minorEastAsia" w:cstheme="minorHAnsi"/>
        </w:rPr>
        <w:t>may</w:t>
      </w:r>
      <w:r w:rsidRPr="00D26203" w:rsidR="00D26203">
        <w:rPr>
          <w:rFonts w:eastAsiaTheme="minorEastAsia" w:cstheme="minorHAnsi"/>
        </w:rPr>
        <w:t xml:space="preserve"> have poor insight into their strengths and weaknesses (Dunning, Heath, and </w:t>
      </w:r>
      <w:proofErr w:type="spellStart"/>
      <w:r w:rsidRPr="00D26203" w:rsidR="00D26203">
        <w:rPr>
          <w:rFonts w:eastAsiaTheme="minorEastAsia" w:cstheme="minorHAnsi"/>
        </w:rPr>
        <w:t>Suls</w:t>
      </w:r>
      <w:proofErr w:type="spellEnd"/>
      <w:r w:rsidRPr="00D26203" w:rsidR="00D26203">
        <w:rPr>
          <w:rFonts w:eastAsiaTheme="minorEastAsia" w:cstheme="minorHAnsi"/>
        </w:rPr>
        <w:t xml:space="preserve"> 2004; </w:t>
      </w:r>
      <w:proofErr w:type="spellStart"/>
      <w:r w:rsidRPr="00D26203" w:rsidR="00D26203">
        <w:rPr>
          <w:rFonts w:eastAsiaTheme="minorEastAsia" w:cstheme="minorHAnsi"/>
        </w:rPr>
        <w:t>Mabe</w:t>
      </w:r>
      <w:proofErr w:type="spellEnd"/>
      <w:r w:rsidRPr="00D26203" w:rsidR="00D26203">
        <w:rPr>
          <w:rFonts w:eastAsiaTheme="minorEastAsia" w:cstheme="minorHAnsi"/>
        </w:rPr>
        <w:t xml:space="preserve"> and West 1982). To </w:t>
      </w:r>
      <w:r w:rsidR="00BC50F0">
        <w:rPr>
          <w:rFonts w:eastAsiaTheme="minorEastAsia" w:cstheme="minorHAnsi"/>
        </w:rPr>
        <w:t>help address this limitation</w:t>
      </w:r>
      <w:r w:rsidRPr="00D26203" w:rsidR="00D26203">
        <w:rPr>
          <w:rFonts w:eastAsiaTheme="minorEastAsia" w:cstheme="minorHAnsi"/>
        </w:rPr>
        <w:t xml:space="preserve">, we </w:t>
      </w:r>
      <w:r w:rsidR="00D26203">
        <w:rPr>
          <w:rFonts w:eastAsiaTheme="minorEastAsia" w:cstheme="minorHAnsi"/>
        </w:rPr>
        <w:t>have designed</w:t>
      </w:r>
      <w:r w:rsidRPr="00D26203" w:rsidR="00D26203">
        <w:rPr>
          <w:rFonts w:eastAsiaTheme="minorEastAsia" w:cstheme="minorHAnsi"/>
        </w:rPr>
        <w:t xml:space="preserve"> the instrument</w:t>
      </w:r>
      <w:r w:rsidR="00D26203">
        <w:rPr>
          <w:rFonts w:eastAsiaTheme="minorEastAsia" w:cstheme="minorHAnsi"/>
        </w:rPr>
        <w:t>s</w:t>
      </w:r>
      <w:r w:rsidRPr="00D26203" w:rsidR="00D26203">
        <w:rPr>
          <w:rFonts w:eastAsiaTheme="minorEastAsia" w:cstheme="minorHAnsi"/>
        </w:rPr>
        <w:t xml:space="preserve"> to follow best practices in eliciting accurate self-reports, including selecting or designing measures that ask for concrete examples of past performance to support opinions about past research activities and providing benchmarks and other comparative methods when assessing technical skills.</w:t>
      </w:r>
      <w:r>
        <w:rPr>
          <w:rFonts w:eastAsiaTheme="minorEastAsia" w:cstheme="minorHAnsi"/>
        </w:rPr>
        <w:t xml:space="preserve"> Another limitation is that because the survey is designed to capture a broad range of research and evaluation capacities, we </w:t>
      </w:r>
      <w:r w:rsidR="00BC50F0">
        <w:rPr>
          <w:rFonts w:eastAsiaTheme="minorEastAsia" w:cstheme="minorHAnsi"/>
        </w:rPr>
        <w:t xml:space="preserve">are gathering less </w:t>
      </w:r>
      <w:r w:rsidR="00EA22EF">
        <w:rPr>
          <w:rFonts w:eastAsiaTheme="minorEastAsia" w:cstheme="minorHAnsi"/>
        </w:rPr>
        <w:t>detail</w:t>
      </w:r>
      <w:r w:rsidR="00BC50F0">
        <w:rPr>
          <w:rFonts w:eastAsiaTheme="minorEastAsia" w:cstheme="minorHAnsi"/>
        </w:rPr>
        <w:t xml:space="preserve"> about </w:t>
      </w:r>
      <w:r w:rsidR="007F79C6">
        <w:rPr>
          <w:rFonts w:eastAsiaTheme="minorEastAsia" w:cstheme="minorHAnsi"/>
        </w:rPr>
        <w:t>a</w:t>
      </w:r>
      <w:r w:rsidR="00EA22EF">
        <w:rPr>
          <w:rFonts w:eastAsiaTheme="minorEastAsia" w:cstheme="minorHAnsi"/>
        </w:rPr>
        <w:t xml:space="preserve">gencies’ needs related to more advanced </w:t>
      </w:r>
      <w:r w:rsidR="007F79C6">
        <w:rPr>
          <w:rFonts w:eastAsiaTheme="minorEastAsia" w:cstheme="minorHAnsi"/>
        </w:rPr>
        <w:t xml:space="preserve">research or analytic methods. </w:t>
      </w:r>
      <w:r w:rsidR="001908FE">
        <w:rPr>
          <w:rFonts w:eastAsiaTheme="minorEastAsia" w:cstheme="minorHAnsi"/>
        </w:rPr>
        <w:t xml:space="preserve">Limitations will be clearly noted in any shared information resulting from this study. </w:t>
      </w:r>
    </w:p>
    <w:p w:rsidR="0008059B" w:rsidRDefault="0008059B" w14:paraId="2545D212" w14:textId="77777777">
      <w:pPr>
        <w:rPr>
          <w:rFonts w:cstheme="minorHAnsi"/>
          <w:b/>
          <w:sz w:val="20"/>
          <w:szCs w:val="20"/>
        </w:rPr>
      </w:pPr>
      <w:r>
        <w:rPr>
          <w:rFonts w:cstheme="minorHAnsi"/>
          <w:b/>
          <w:sz w:val="20"/>
          <w:szCs w:val="20"/>
        </w:rPr>
        <w:br w:type="page"/>
      </w:r>
    </w:p>
    <w:p w:rsidRPr="00A33138" w:rsidR="00A33138" w:rsidP="00A33138" w:rsidRDefault="00A33138" w14:paraId="0254453B" w14:textId="4D6E8DE1">
      <w:pPr>
        <w:jc w:val="both"/>
        <w:rPr>
          <w:rFonts w:cstheme="minorHAnsi"/>
          <w:b/>
          <w:sz w:val="20"/>
          <w:szCs w:val="20"/>
        </w:rPr>
      </w:pPr>
      <w:r w:rsidRPr="00254008">
        <w:rPr>
          <w:rFonts w:cstheme="minorHAnsi"/>
          <w:b/>
          <w:sz w:val="20"/>
          <w:szCs w:val="20"/>
        </w:rPr>
        <w:lastRenderedPageBreak/>
        <w:t xml:space="preserve">Exhibit </w:t>
      </w:r>
      <w:r w:rsidRPr="00254008" w:rsidR="000F2497">
        <w:rPr>
          <w:rFonts w:cstheme="minorHAnsi"/>
          <w:b/>
          <w:sz w:val="20"/>
          <w:szCs w:val="20"/>
        </w:rPr>
        <w:t>A1</w:t>
      </w:r>
      <w:r w:rsidRPr="00254008">
        <w:rPr>
          <w:rFonts w:cstheme="minorHAnsi"/>
          <w:b/>
          <w:sz w:val="20"/>
          <w:szCs w:val="20"/>
        </w:rPr>
        <w:t>. Study Design Overview</w:t>
      </w:r>
    </w:p>
    <w:tbl>
      <w:tblPr>
        <w:tblStyle w:val="TableGrid"/>
        <w:tblW w:w="0" w:type="auto"/>
        <w:tblInd w:w="0" w:type="dxa"/>
        <w:tblLook w:val="04A0" w:firstRow="1" w:lastRow="0" w:firstColumn="1" w:lastColumn="0" w:noHBand="0" w:noVBand="1"/>
      </w:tblPr>
      <w:tblGrid>
        <w:gridCol w:w="2337"/>
        <w:gridCol w:w="1348"/>
        <w:gridCol w:w="3327"/>
        <w:gridCol w:w="2338"/>
      </w:tblGrid>
      <w:tr w:rsidRPr="00A33138" w:rsidR="00A33138" w:rsidTr="00554A89" w14:paraId="57B04AA2" w14:textId="77777777">
        <w:trPr>
          <w:tblHeader/>
        </w:trPr>
        <w:tc>
          <w:tcPr>
            <w:tcW w:w="2337" w:type="dxa"/>
            <w:shd w:val="clear" w:color="auto" w:fill="BFBFBF" w:themeFill="background1" w:themeFillShade="BF"/>
          </w:tcPr>
          <w:p w:rsidRPr="00A33138" w:rsidR="00A33138" w:rsidP="005E15E0" w:rsidRDefault="00A33138" w14:paraId="75F09098" w14:textId="77777777">
            <w:pPr>
              <w:rPr>
                <w:rFonts w:asciiTheme="minorHAnsi" w:hAnsiTheme="minorHAnsi" w:cstheme="minorHAnsi"/>
                <w:b/>
                <w:i/>
                <w:iCs/>
              </w:rPr>
            </w:pPr>
            <w:r w:rsidRPr="00A33138">
              <w:rPr>
                <w:rFonts w:asciiTheme="minorHAnsi" w:hAnsiTheme="minorHAnsi" w:cstheme="minorHAnsi"/>
                <w:b/>
                <w:i/>
                <w:iCs/>
              </w:rPr>
              <w:t>Data Collection Activity</w:t>
            </w:r>
          </w:p>
        </w:tc>
        <w:tc>
          <w:tcPr>
            <w:tcW w:w="1348" w:type="dxa"/>
            <w:shd w:val="clear" w:color="auto" w:fill="BFBFBF" w:themeFill="background1" w:themeFillShade="BF"/>
          </w:tcPr>
          <w:p w:rsidRPr="00A33138" w:rsidR="00A33138" w:rsidP="005E15E0" w:rsidRDefault="00A33138" w14:paraId="28E7FED9" w14:textId="77777777">
            <w:pPr>
              <w:rPr>
                <w:rFonts w:asciiTheme="minorHAnsi" w:hAnsiTheme="minorHAnsi" w:cstheme="minorHAnsi"/>
                <w:b/>
                <w:i/>
                <w:iCs/>
              </w:rPr>
            </w:pPr>
            <w:r w:rsidRPr="00A33138">
              <w:rPr>
                <w:rFonts w:asciiTheme="minorHAnsi" w:hAnsiTheme="minorHAnsi" w:cstheme="minorHAnsi"/>
                <w:b/>
                <w:i/>
                <w:iCs/>
              </w:rPr>
              <w:t>Instrument(s)</w:t>
            </w:r>
          </w:p>
        </w:tc>
        <w:tc>
          <w:tcPr>
            <w:tcW w:w="3327" w:type="dxa"/>
            <w:shd w:val="clear" w:color="auto" w:fill="BFBFBF" w:themeFill="background1" w:themeFillShade="BF"/>
          </w:tcPr>
          <w:p w:rsidRPr="00A33138" w:rsidR="00A33138" w:rsidP="005E15E0" w:rsidRDefault="00A33138" w14:paraId="67289D53" w14:textId="77777777">
            <w:pPr>
              <w:rPr>
                <w:rFonts w:asciiTheme="minorHAnsi" w:hAnsiTheme="minorHAnsi" w:cstheme="minorHAnsi"/>
                <w:b/>
                <w:i/>
                <w:iCs/>
              </w:rPr>
            </w:pPr>
            <w:r w:rsidRPr="00A33138">
              <w:rPr>
                <w:rFonts w:asciiTheme="minorHAnsi" w:hAnsiTheme="minorHAnsi" w:cstheme="minorHAnsi"/>
                <w:b/>
                <w:i/>
                <w:iCs/>
              </w:rPr>
              <w:t>Respondent, Content, Purpose of Collection</w:t>
            </w:r>
          </w:p>
        </w:tc>
        <w:tc>
          <w:tcPr>
            <w:tcW w:w="2338" w:type="dxa"/>
            <w:shd w:val="clear" w:color="auto" w:fill="BFBFBF" w:themeFill="background1" w:themeFillShade="BF"/>
          </w:tcPr>
          <w:p w:rsidRPr="00A33138" w:rsidR="00A33138" w:rsidP="005E15E0" w:rsidRDefault="00A33138" w14:paraId="1C2878D5" w14:textId="77777777">
            <w:pPr>
              <w:rPr>
                <w:rFonts w:asciiTheme="minorHAnsi" w:hAnsiTheme="minorHAnsi" w:cstheme="minorHAnsi"/>
                <w:b/>
                <w:i/>
                <w:iCs/>
              </w:rPr>
            </w:pPr>
            <w:r w:rsidRPr="00A33138">
              <w:rPr>
                <w:rFonts w:asciiTheme="minorHAnsi" w:hAnsiTheme="minorHAnsi" w:cstheme="minorHAnsi"/>
                <w:b/>
                <w:i/>
                <w:iCs/>
              </w:rPr>
              <w:t>Mode and Duration</w:t>
            </w:r>
          </w:p>
        </w:tc>
      </w:tr>
      <w:tr w:rsidRPr="00A33138" w:rsidR="00A33138" w:rsidTr="00554A89" w14:paraId="5EC6CF54" w14:textId="77777777">
        <w:tc>
          <w:tcPr>
            <w:tcW w:w="2337" w:type="dxa"/>
          </w:tcPr>
          <w:p w:rsidRPr="00A33138" w:rsidR="00A33138" w:rsidP="005E15E0" w:rsidRDefault="00A33138" w14:paraId="212C1F17" w14:textId="77777777">
            <w:pPr>
              <w:rPr>
                <w:rFonts w:asciiTheme="minorHAnsi" w:hAnsiTheme="minorHAnsi" w:cstheme="minorHAnsi"/>
              </w:rPr>
            </w:pPr>
            <w:r w:rsidRPr="00A33138">
              <w:rPr>
                <w:rFonts w:asciiTheme="minorHAnsi" w:hAnsiTheme="minorHAnsi" w:cstheme="minorHAnsi"/>
              </w:rPr>
              <w:t xml:space="preserve">Survey of CCDF </w:t>
            </w:r>
            <w:r w:rsidRPr="00A33138">
              <w:rPr>
                <w:rFonts w:asciiTheme="minorHAnsi" w:hAnsiTheme="minorHAnsi" w:cstheme="minorHAnsi"/>
                <w:i/>
                <w:iCs/>
              </w:rPr>
              <w:t>State, Territory, and Tribal</w:t>
            </w:r>
            <w:r w:rsidRPr="00A33138">
              <w:rPr>
                <w:rFonts w:asciiTheme="minorHAnsi" w:hAnsiTheme="minorHAnsi" w:cstheme="minorHAnsi"/>
              </w:rPr>
              <w:t xml:space="preserve"> Lead Agencies</w:t>
            </w:r>
          </w:p>
        </w:tc>
        <w:tc>
          <w:tcPr>
            <w:tcW w:w="1348" w:type="dxa"/>
          </w:tcPr>
          <w:p w:rsidRPr="00A33138" w:rsidR="00A33138" w:rsidP="005E15E0" w:rsidRDefault="00A33138" w14:paraId="34B180F6" w14:textId="77777777">
            <w:pPr>
              <w:jc w:val="both"/>
              <w:rPr>
                <w:rFonts w:asciiTheme="minorHAnsi" w:hAnsiTheme="minorHAnsi" w:cstheme="minorHAnsi"/>
              </w:rPr>
            </w:pPr>
            <w:r w:rsidRPr="00A33138">
              <w:rPr>
                <w:rFonts w:asciiTheme="minorHAnsi" w:hAnsiTheme="minorHAnsi" w:cstheme="minorHAnsi"/>
              </w:rPr>
              <w:t>Survey</w:t>
            </w:r>
          </w:p>
        </w:tc>
        <w:tc>
          <w:tcPr>
            <w:tcW w:w="3327" w:type="dxa"/>
          </w:tcPr>
          <w:p w:rsidRPr="00A33138" w:rsidR="00A33138" w:rsidP="005E15E0" w:rsidRDefault="00A33138" w14:paraId="18AD1B69" w14:textId="77777777">
            <w:pPr>
              <w:rPr>
                <w:rFonts w:asciiTheme="minorHAnsi" w:hAnsiTheme="minorHAnsi" w:cstheme="minorHAnsi"/>
                <w:b/>
              </w:rPr>
            </w:pPr>
            <w:r w:rsidRPr="00A33138">
              <w:rPr>
                <w:rFonts w:asciiTheme="minorHAnsi" w:hAnsiTheme="minorHAnsi" w:cstheme="minorHAnsi"/>
                <w:b/>
              </w:rPr>
              <w:t xml:space="preserve">Respondents: </w:t>
            </w:r>
            <w:r w:rsidRPr="00A33138">
              <w:rPr>
                <w:rFonts w:asciiTheme="minorHAnsi" w:hAnsiTheme="minorHAnsi" w:cstheme="minorHAnsi"/>
              </w:rPr>
              <w:t>State, Territory, and Tribal agency staff</w:t>
            </w:r>
          </w:p>
          <w:p w:rsidRPr="006F2155" w:rsidR="00A33138" w:rsidP="006F2155" w:rsidRDefault="00A33138" w14:paraId="44014DE8" w14:textId="0D56AFF6">
            <w:pPr>
              <w:rPr>
                <w:rFonts w:asciiTheme="minorHAnsi" w:hAnsiTheme="minorHAnsi" w:cstheme="minorHAnsi"/>
                <w:bCs/>
              </w:rPr>
            </w:pPr>
            <w:r w:rsidRPr="00A33138">
              <w:rPr>
                <w:rFonts w:asciiTheme="minorHAnsi" w:hAnsiTheme="minorHAnsi" w:cstheme="minorHAnsi"/>
                <w:b/>
              </w:rPr>
              <w:t xml:space="preserve">Content:  </w:t>
            </w:r>
            <w:r w:rsidRPr="006F2155" w:rsidR="006F2155">
              <w:rPr>
                <w:rFonts w:asciiTheme="minorHAnsi" w:hAnsiTheme="minorHAnsi" w:cstheme="minorHAnsi"/>
                <w:bCs/>
              </w:rPr>
              <w:t>Agency structure and role in child care system</w:t>
            </w:r>
            <w:r w:rsidR="006F2155">
              <w:rPr>
                <w:rFonts w:asciiTheme="minorHAnsi" w:hAnsiTheme="minorHAnsi" w:cstheme="minorHAnsi"/>
                <w:bCs/>
              </w:rPr>
              <w:t xml:space="preserve">; </w:t>
            </w:r>
            <w:r w:rsidRPr="006F2155" w:rsidR="006F2155">
              <w:rPr>
                <w:rFonts w:asciiTheme="minorHAnsi" w:hAnsiTheme="minorHAnsi" w:cstheme="minorHAnsi"/>
                <w:bCs/>
              </w:rPr>
              <w:t>Agency’s use of existing research and data</w:t>
            </w:r>
            <w:r w:rsidR="006F2155">
              <w:rPr>
                <w:rFonts w:asciiTheme="minorHAnsi" w:hAnsiTheme="minorHAnsi" w:cstheme="minorHAnsi"/>
                <w:bCs/>
              </w:rPr>
              <w:t xml:space="preserve">; </w:t>
            </w:r>
            <w:r w:rsidRPr="006F2155" w:rsidR="006F2155">
              <w:rPr>
                <w:rFonts w:asciiTheme="minorHAnsi" w:hAnsiTheme="minorHAnsi" w:cstheme="minorHAnsi"/>
                <w:bCs/>
              </w:rPr>
              <w:t>Agency’s research capacity and barriers to conducting research</w:t>
            </w:r>
            <w:r w:rsidR="006F2155">
              <w:rPr>
                <w:rFonts w:asciiTheme="minorHAnsi" w:hAnsiTheme="minorHAnsi" w:cstheme="minorHAnsi"/>
                <w:bCs/>
              </w:rPr>
              <w:t xml:space="preserve">; </w:t>
            </w:r>
            <w:r w:rsidRPr="006F2155" w:rsidR="006F2155">
              <w:rPr>
                <w:rFonts w:asciiTheme="minorHAnsi" w:hAnsiTheme="minorHAnsi" w:cstheme="minorHAnsi"/>
                <w:bCs/>
              </w:rPr>
              <w:t>Agency’s interest in capacity building activities</w:t>
            </w:r>
          </w:p>
          <w:p w:rsidRPr="00A33138" w:rsidR="00A33138" w:rsidP="005E15E0" w:rsidRDefault="00A33138" w14:paraId="0116910E" w14:textId="77777777">
            <w:pPr>
              <w:rPr>
                <w:rFonts w:asciiTheme="minorHAnsi" w:hAnsiTheme="minorHAnsi" w:cstheme="minorHAnsi"/>
              </w:rPr>
            </w:pPr>
            <w:r w:rsidRPr="00A33138">
              <w:rPr>
                <w:rFonts w:asciiTheme="minorHAnsi" w:hAnsiTheme="minorHAnsi" w:cstheme="minorHAnsi"/>
                <w:b/>
              </w:rPr>
              <w:t xml:space="preserve">Purpose: </w:t>
            </w:r>
            <w:r w:rsidRPr="00A33138">
              <w:rPr>
                <w:rFonts w:asciiTheme="minorHAnsi" w:hAnsiTheme="minorHAnsi" w:cstheme="minorHAnsi"/>
              </w:rPr>
              <w:t>Assess research and evaluation capacity and needs</w:t>
            </w:r>
          </w:p>
        </w:tc>
        <w:tc>
          <w:tcPr>
            <w:tcW w:w="2338" w:type="dxa"/>
          </w:tcPr>
          <w:p w:rsidRPr="00A33138" w:rsidR="00A33138" w:rsidP="005E15E0" w:rsidRDefault="00A33138" w14:paraId="59C77C68" w14:textId="243A0942">
            <w:pPr>
              <w:jc w:val="both"/>
              <w:rPr>
                <w:rFonts w:asciiTheme="minorHAnsi" w:hAnsiTheme="minorHAnsi" w:cstheme="minorHAnsi"/>
                <w:b/>
              </w:rPr>
            </w:pPr>
            <w:r w:rsidRPr="00A33138">
              <w:rPr>
                <w:rFonts w:asciiTheme="minorHAnsi" w:hAnsiTheme="minorHAnsi" w:cstheme="minorHAnsi"/>
                <w:b/>
              </w:rPr>
              <w:t xml:space="preserve">Mode: </w:t>
            </w:r>
            <w:r w:rsidRPr="00A33138">
              <w:rPr>
                <w:rFonts w:asciiTheme="minorHAnsi" w:hAnsiTheme="minorHAnsi" w:cstheme="minorHAnsi"/>
              </w:rPr>
              <w:t>Web with paper option</w:t>
            </w:r>
            <w:r w:rsidR="00523E98">
              <w:rPr>
                <w:rFonts w:asciiTheme="minorHAnsi" w:hAnsiTheme="minorHAnsi" w:cstheme="minorHAnsi"/>
              </w:rPr>
              <w:t xml:space="preserve"> to mail or scan</w:t>
            </w:r>
          </w:p>
          <w:p w:rsidRPr="00A33138" w:rsidR="00A33138" w:rsidP="005E15E0" w:rsidRDefault="00A33138" w14:paraId="54FC9612" w14:textId="77777777">
            <w:pPr>
              <w:jc w:val="both"/>
              <w:rPr>
                <w:rFonts w:asciiTheme="minorHAnsi" w:hAnsiTheme="minorHAnsi" w:cstheme="minorHAnsi"/>
                <w:b/>
              </w:rPr>
            </w:pPr>
          </w:p>
          <w:p w:rsidRPr="00A33138" w:rsidR="00A33138" w:rsidP="005E15E0" w:rsidRDefault="00A33138" w14:paraId="7916123E" w14:textId="1C66D78D">
            <w:pPr>
              <w:jc w:val="both"/>
              <w:rPr>
                <w:rFonts w:asciiTheme="minorHAnsi" w:hAnsiTheme="minorHAnsi" w:cstheme="minorHAnsi"/>
              </w:rPr>
            </w:pPr>
            <w:r w:rsidRPr="00A33138">
              <w:rPr>
                <w:rFonts w:asciiTheme="minorHAnsi" w:hAnsiTheme="minorHAnsi" w:cstheme="minorHAnsi"/>
                <w:b/>
              </w:rPr>
              <w:t xml:space="preserve">Duration: </w:t>
            </w:r>
            <w:r w:rsidRPr="00A33138">
              <w:rPr>
                <w:rFonts w:asciiTheme="minorHAnsi" w:hAnsiTheme="minorHAnsi" w:cstheme="minorHAnsi"/>
              </w:rPr>
              <w:t xml:space="preserve"> </w:t>
            </w:r>
            <w:r w:rsidR="006F2155">
              <w:rPr>
                <w:rFonts w:asciiTheme="minorHAnsi" w:hAnsiTheme="minorHAnsi" w:cstheme="minorHAnsi"/>
              </w:rPr>
              <w:t>25 minutes</w:t>
            </w:r>
          </w:p>
        </w:tc>
      </w:tr>
      <w:tr w:rsidRPr="00A33138" w:rsidR="00A33138" w:rsidTr="00554A89" w14:paraId="1F8C0711" w14:textId="77777777">
        <w:tc>
          <w:tcPr>
            <w:tcW w:w="2337" w:type="dxa"/>
          </w:tcPr>
          <w:p w:rsidRPr="00A33138" w:rsidR="00A33138" w:rsidP="005E15E0" w:rsidRDefault="00A33138" w14:paraId="0C0CBEA2" w14:textId="77777777">
            <w:pPr>
              <w:rPr>
                <w:rFonts w:asciiTheme="minorHAnsi" w:hAnsiTheme="minorHAnsi" w:cstheme="minorHAnsi"/>
              </w:rPr>
            </w:pPr>
            <w:r w:rsidRPr="00A33138">
              <w:rPr>
                <w:rFonts w:asciiTheme="minorHAnsi" w:hAnsiTheme="minorHAnsi" w:cstheme="minorHAnsi"/>
              </w:rPr>
              <w:t xml:space="preserve">Focus Groups of </w:t>
            </w:r>
            <w:r w:rsidRPr="00A33138">
              <w:rPr>
                <w:rFonts w:asciiTheme="minorHAnsi" w:hAnsiTheme="minorHAnsi" w:cstheme="minorHAnsi"/>
                <w:i/>
                <w:iCs/>
              </w:rPr>
              <w:t>Selected</w:t>
            </w:r>
            <w:r w:rsidRPr="00A33138">
              <w:rPr>
                <w:rFonts w:asciiTheme="minorHAnsi" w:hAnsiTheme="minorHAnsi" w:cstheme="minorHAnsi"/>
              </w:rPr>
              <w:t xml:space="preserve"> CCDF State, Territory, and Tribal Lead Agencies</w:t>
            </w:r>
          </w:p>
        </w:tc>
        <w:tc>
          <w:tcPr>
            <w:tcW w:w="1348" w:type="dxa"/>
          </w:tcPr>
          <w:p w:rsidRPr="00A33138" w:rsidR="00A33138" w:rsidP="005E15E0" w:rsidRDefault="00A33138" w14:paraId="5FF9FCA7" w14:textId="3999CBAD">
            <w:pPr>
              <w:jc w:val="both"/>
              <w:rPr>
                <w:rFonts w:asciiTheme="minorHAnsi" w:hAnsiTheme="minorHAnsi" w:cstheme="minorHAnsi"/>
              </w:rPr>
            </w:pPr>
            <w:r w:rsidRPr="00A33138">
              <w:rPr>
                <w:rFonts w:asciiTheme="minorHAnsi" w:hAnsiTheme="minorHAnsi" w:cstheme="minorHAnsi"/>
              </w:rPr>
              <w:t>Focus</w:t>
            </w:r>
            <w:r w:rsidR="001E4E70">
              <w:rPr>
                <w:rFonts w:asciiTheme="minorHAnsi" w:hAnsiTheme="minorHAnsi" w:cstheme="minorHAnsi"/>
              </w:rPr>
              <w:t xml:space="preserve"> </w:t>
            </w:r>
            <w:r w:rsidRPr="00A33138">
              <w:rPr>
                <w:rFonts w:asciiTheme="minorHAnsi" w:hAnsiTheme="minorHAnsi" w:cstheme="minorHAnsi"/>
              </w:rPr>
              <w:t xml:space="preserve">group protocol </w:t>
            </w:r>
          </w:p>
        </w:tc>
        <w:tc>
          <w:tcPr>
            <w:tcW w:w="3327" w:type="dxa"/>
          </w:tcPr>
          <w:p w:rsidRPr="00A33138" w:rsidR="00A33138" w:rsidP="005E15E0" w:rsidRDefault="00A33138" w14:paraId="145E8E87" w14:textId="77777777">
            <w:pPr>
              <w:rPr>
                <w:rFonts w:asciiTheme="minorHAnsi" w:hAnsiTheme="minorHAnsi" w:cstheme="minorHAnsi"/>
              </w:rPr>
            </w:pPr>
            <w:r w:rsidRPr="00A33138">
              <w:rPr>
                <w:rFonts w:asciiTheme="minorHAnsi" w:hAnsiTheme="minorHAnsi" w:cstheme="minorHAnsi"/>
                <w:b/>
              </w:rPr>
              <w:t>Respondents:</w:t>
            </w:r>
            <w:r w:rsidRPr="00A33138">
              <w:rPr>
                <w:rFonts w:asciiTheme="minorHAnsi" w:hAnsiTheme="minorHAnsi" w:cstheme="minorHAnsi"/>
              </w:rPr>
              <w:t xml:space="preserve"> State, Territory, and Tribal Agency staff</w:t>
            </w:r>
          </w:p>
          <w:p w:rsidRPr="00A33138" w:rsidR="00A33138" w:rsidP="005E15E0" w:rsidRDefault="00A33138" w14:paraId="0A8E8E30" w14:textId="5CDB42D8">
            <w:pPr>
              <w:rPr>
                <w:rFonts w:asciiTheme="minorHAnsi" w:hAnsiTheme="minorHAnsi" w:cstheme="minorHAnsi"/>
                <w:b/>
              </w:rPr>
            </w:pPr>
            <w:r w:rsidRPr="00A33138">
              <w:rPr>
                <w:rFonts w:asciiTheme="minorHAnsi" w:hAnsiTheme="minorHAnsi" w:cstheme="minorHAnsi"/>
                <w:b/>
              </w:rPr>
              <w:t>Content:</w:t>
            </w:r>
            <w:r w:rsidR="002F419A">
              <w:rPr>
                <w:rFonts w:asciiTheme="minorHAnsi" w:hAnsiTheme="minorHAnsi" w:cstheme="minorHAnsi"/>
                <w:b/>
              </w:rPr>
              <w:t xml:space="preserve"> </w:t>
            </w:r>
            <w:r w:rsidRPr="00554A89" w:rsidR="002F419A">
              <w:rPr>
                <w:rFonts w:asciiTheme="minorHAnsi" w:hAnsiTheme="minorHAnsi"/>
              </w:rPr>
              <w:t>Agency-level perspectives on strengths, barriers, and lessons learned in using and doing research;  examples of research they have found helpful in their work; their priorities about questions they would like to answer;  ways that staff are supported to learn more about doing and using research; examples of how their agency has used research and data to inform decision making; and the mode and focus of resources that could help them overcome barriers</w:t>
            </w:r>
          </w:p>
          <w:p w:rsidRPr="00A33138" w:rsidR="00A33138" w:rsidP="005E15E0" w:rsidRDefault="00A33138" w14:paraId="19F1834F" w14:textId="0A317AD9">
            <w:pPr>
              <w:rPr>
                <w:rFonts w:asciiTheme="minorHAnsi" w:hAnsiTheme="minorHAnsi" w:cstheme="minorHAnsi"/>
              </w:rPr>
            </w:pPr>
            <w:r w:rsidRPr="008C259A">
              <w:rPr>
                <w:rFonts w:cstheme="minorHAnsi"/>
                <w:b/>
              </w:rPr>
              <w:t>Purpose:</w:t>
            </w:r>
            <w:r w:rsidRPr="008C259A" w:rsidR="002F419A">
              <w:rPr>
                <w:rFonts w:cstheme="minorHAnsi"/>
                <w:b/>
              </w:rPr>
              <w:t xml:space="preserve"> </w:t>
            </w:r>
            <w:r w:rsidRPr="00286E5A" w:rsidR="002F419A">
              <w:rPr>
                <w:rFonts w:cstheme="minorHAnsi"/>
                <w:bCs/>
              </w:rPr>
              <w:t>G</w:t>
            </w:r>
            <w:r w:rsidRPr="00286E5A" w:rsidR="002F419A">
              <w:rPr>
                <w:rFonts w:cstheme="minorHAnsi"/>
              </w:rPr>
              <w:t>ain</w:t>
            </w:r>
            <w:r w:rsidRPr="00554A89" w:rsidR="002F419A">
              <w:rPr>
                <w:rFonts w:asciiTheme="minorHAnsi" w:hAnsiTheme="minorHAnsi"/>
              </w:rPr>
              <w:t xml:space="preserve"> a more nuanced understanding of </w:t>
            </w:r>
            <w:r w:rsidR="00F33412">
              <w:rPr>
                <w:rFonts w:asciiTheme="minorHAnsi" w:hAnsiTheme="minorHAnsi"/>
              </w:rPr>
              <w:t>information gathered through the survey.</w:t>
            </w:r>
          </w:p>
        </w:tc>
        <w:tc>
          <w:tcPr>
            <w:tcW w:w="2338" w:type="dxa"/>
          </w:tcPr>
          <w:p w:rsidRPr="00A33138" w:rsidR="00A33138" w:rsidP="005E15E0" w:rsidRDefault="00A33138" w14:paraId="61472632" w14:textId="77777777">
            <w:pPr>
              <w:rPr>
                <w:rFonts w:asciiTheme="minorHAnsi" w:hAnsiTheme="minorHAnsi" w:cstheme="minorHAnsi"/>
              </w:rPr>
            </w:pPr>
            <w:r w:rsidRPr="00A33138">
              <w:rPr>
                <w:rFonts w:asciiTheme="minorHAnsi" w:hAnsiTheme="minorHAnsi" w:cstheme="minorHAnsi"/>
                <w:b/>
              </w:rPr>
              <w:t xml:space="preserve">Mode: </w:t>
            </w:r>
            <w:r w:rsidRPr="00A33138">
              <w:rPr>
                <w:rFonts w:asciiTheme="minorHAnsi" w:hAnsiTheme="minorHAnsi" w:cstheme="minorHAnsi"/>
              </w:rPr>
              <w:t>Virtual focus group</w:t>
            </w:r>
          </w:p>
          <w:p w:rsidRPr="00A33138" w:rsidR="00A33138" w:rsidP="005E15E0" w:rsidRDefault="00A33138" w14:paraId="0191245C" w14:textId="77777777">
            <w:pPr>
              <w:rPr>
                <w:rFonts w:asciiTheme="minorHAnsi" w:hAnsiTheme="minorHAnsi" w:cstheme="minorHAnsi"/>
              </w:rPr>
            </w:pPr>
          </w:p>
          <w:p w:rsidRPr="00A33138" w:rsidR="00A33138" w:rsidP="005E15E0" w:rsidRDefault="00A33138" w14:paraId="382C88E2" w14:textId="7978DDE7">
            <w:pPr>
              <w:rPr>
                <w:rFonts w:asciiTheme="minorHAnsi" w:hAnsiTheme="minorHAnsi" w:cstheme="minorHAnsi"/>
              </w:rPr>
            </w:pPr>
            <w:r w:rsidRPr="00A33138">
              <w:rPr>
                <w:rFonts w:asciiTheme="minorHAnsi" w:hAnsiTheme="minorHAnsi" w:cstheme="minorHAnsi"/>
                <w:b/>
              </w:rPr>
              <w:t>Duration:</w:t>
            </w:r>
            <w:r w:rsidR="006F5AE9">
              <w:rPr>
                <w:rFonts w:asciiTheme="minorHAnsi" w:hAnsiTheme="minorHAnsi" w:cstheme="minorHAnsi"/>
                <w:b/>
              </w:rPr>
              <w:t xml:space="preserve"> </w:t>
            </w:r>
            <w:r w:rsidRPr="00AB359B" w:rsidR="006F5AE9">
              <w:rPr>
                <w:rFonts w:asciiTheme="minorHAnsi" w:hAnsiTheme="minorHAnsi" w:cstheme="minorHAnsi"/>
                <w:bCs/>
              </w:rPr>
              <w:t>90 minutes for each focus group</w:t>
            </w:r>
            <w:r w:rsidRPr="00AB359B" w:rsidR="002E36CF">
              <w:rPr>
                <w:rFonts w:asciiTheme="minorHAnsi" w:hAnsiTheme="minorHAnsi" w:cstheme="minorHAnsi"/>
                <w:bCs/>
              </w:rPr>
              <w:t>; each invited individual will participate in only one focus group</w:t>
            </w:r>
          </w:p>
        </w:tc>
      </w:tr>
    </w:tbl>
    <w:p w:rsidR="004328A4" w:rsidP="00DF1291" w:rsidRDefault="004328A4" w14:paraId="6EF7AE4F" w14:textId="27A95D57">
      <w:pPr>
        <w:spacing w:after="0" w:line="240" w:lineRule="auto"/>
        <w:rPr>
          <w:i/>
        </w:rPr>
      </w:pPr>
    </w:p>
    <w:p w:rsidR="007D0F6E" w:rsidP="00DF1291" w:rsidRDefault="007D0F6E" w14:paraId="276E8AA7" w14:textId="77777777">
      <w:pPr>
        <w:spacing w:after="0" w:line="240" w:lineRule="auto"/>
        <w:rPr>
          <w:i/>
        </w:rPr>
      </w:pPr>
    </w:p>
    <w:p w:rsidR="004328A4" w:rsidP="007D0F6E" w:rsidRDefault="007D0F6E" w14:paraId="6B7E22CE" w14:textId="38721DA8">
      <w:pPr>
        <w:spacing w:after="120" w:line="240" w:lineRule="auto"/>
        <w:rPr>
          <w:i/>
        </w:rPr>
      </w:pPr>
      <w:r>
        <w:rPr>
          <w:i/>
        </w:rPr>
        <w:t>Other Data Sources and Uses of Information</w:t>
      </w:r>
    </w:p>
    <w:p w:rsidRPr="00533A7A" w:rsidR="003673D2" w:rsidP="007D0F6E" w:rsidRDefault="009D7B54" w14:paraId="0CE87845" w14:textId="118D9577">
      <w:pPr>
        <w:spacing w:after="120" w:line="240" w:lineRule="auto"/>
        <w:rPr>
          <w:iCs/>
        </w:rPr>
      </w:pPr>
      <w:r>
        <w:rPr>
          <w:iCs/>
        </w:rPr>
        <w:t>We are not relying on any existing information for this project and t</w:t>
      </w:r>
      <w:r w:rsidR="003673D2">
        <w:rPr>
          <w:iCs/>
        </w:rPr>
        <w:t>he surveys and focus groups are the only information collection. We are not collecting any additional administrative data and there were no prior data collections for this project.</w:t>
      </w: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Pr="00862482" w:rsidR="00073FB9" w:rsidP="006D204F" w:rsidRDefault="00862482" w14:paraId="793951BB" w14:textId="27015EAF">
      <w:pPr>
        <w:spacing w:after="60" w:line="240" w:lineRule="auto"/>
        <w:rPr>
          <w:i/>
        </w:rPr>
      </w:pPr>
      <w:r w:rsidRPr="00862482">
        <w:rPr>
          <w:bCs/>
          <w:i/>
        </w:rPr>
        <w:t>Su</w:t>
      </w:r>
      <w:r w:rsidRPr="00862482">
        <w:rPr>
          <w:i/>
        </w:rPr>
        <w:t>rvey</w:t>
      </w:r>
    </w:p>
    <w:p w:rsidRPr="00AB359B" w:rsidR="00862482" w:rsidP="00AB359B" w:rsidRDefault="00862482" w14:paraId="224FD6DC" w14:textId="40123777">
      <w:pPr>
        <w:spacing w:after="120" w:line="240" w:lineRule="auto"/>
      </w:pPr>
      <w:r w:rsidRPr="003673D2">
        <w:rPr>
          <w:iCs/>
        </w:rPr>
        <w:t>We will</w:t>
      </w:r>
      <w:r w:rsidRPr="00862482">
        <w:t xml:space="preserve"> </w:t>
      </w:r>
      <w:r w:rsidR="00C51A53">
        <w:t>program and field the</w:t>
      </w:r>
      <w:r w:rsidRPr="00862482">
        <w:t xml:space="preserve"> survey through Confirmit, a </w:t>
      </w:r>
      <w:r w:rsidR="00C51A53">
        <w:t xml:space="preserve">web-based </w:t>
      </w:r>
      <w:r w:rsidRPr="00862482">
        <w:t xml:space="preserve">survey software platform that enables </w:t>
      </w:r>
      <w:r w:rsidR="00C51A53">
        <w:t xml:space="preserve">the user to </w:t>
      </w:r>
      <w:r w:rsidRPr="00862482">
        <w:t xml:space="preserve">efficiently build and launch Section 508-compliant surveys while minimizing respondent burden. Confirmit includes many features that minimize burden. It allows surveys to be programmed with skip logic to avoid irrelevant questions. Information from previous responses </w:t>
      </w:r>
      <w:r w:rsidR="008C259A">
        <w:t>are</w:t>
      </w:r>
      <w:r w:rsidRPr="00862482">
        <w:t xml:space="preserve"> filled into subsequent question stems to reduce the need to recall prior responses. Responses </w:t>
      </w:r>
      <w:r w:rsidR="008C259A">
        <w:t>are</w:t>
      </w:r>
      <w:r w:rsidRPr="00862482">
        <w:t xml:space="preserve"> saved each time participants move forwards or backwards in a questionnaire, allowing participants to complete the questionnaire in stages without losing information. Multiple stakeholders in an agency can be sent the same survey, so different people can respond to questions that they can easily answer. Participants can </w:t>
      </w:r>
      <w:r w:rsidRPr="00862482">
        <w:lastRenderedPageBreak/>
        <w:t xml:space="preserve">print out a copy of their responses if they wish to keep them for internal records or use them to discuss internal capacity building efforts. </w:t>
      </w:r>
    </w:p>
    <w:p w:rsidRPr="00862482" w:rsidR="00862482" w:rsidP="006D204F" w:rsidRDefault="00862482" w14:paraId="3756B19D" w14:textId="454FD29E">
      <w:pPr>
        <w:spacing w:after="60" w:line="240" w:lineRule="auto"/>
        <w:rPr>
          <w:bCs/>
          <w:i/>
        </w:rPr>
      </w:pPr>
      <w:r w:rsidRPr="00862482">
        <w:rPr>
          <w:bCs/>
          <w:i/>
        </w:rPr>
        <w:t>Focus Groups</w:t>
      </w:r>
    </w:p>
    <w:p w:rsidR="00EF254B" w:rsidP="00AB359B" w:rsidRDefault="00862482" w14:paraId="0DEB8540" w14:textId="15E69D8F">
      <w:pPr>
        <w:spacing w:after="120" w:line="240" w:lineRule="auto"/>
      </w:pPr>
      <w:r w:rsidRPr="00AB635F">
        <w:rPr>
          <w:bCs/>
          <w:iCs/>
        </w:rPr>
        <w:t>Focus groups</w:t>
      </w:r>
      <w:r w:rsidRPr="00862482">
        <w:t xml:space="preserve"> will be held in a virtual environment to facilitate participation of agency staff from States, Territories, and Tribes without the need for either the researchers or participants to travel. We will use </w:t>
      </w:r>
      <w:r w:rsidR="00C51A53">
        <w:t>a</w:t>
      </w:r>
      <w:r w:rsidRPr="00862482">
        <w:t xml:space="preserve"> platform that allows individuals to see each other through video cameras, allows the moderator to type notes that appear as if on a flip chart in a room, and that enables easy recording of responses while maintaining a secure environment. </w:t>
      </w:r>
    </w:p>
    <w:p w:rsidR="005B5FCC" w:rsidP="00DF1291" w:rsidRDefault="005B5FCC" w14:paraId="3BD5DB6D" w14:textId="77777777">
      <w:pPr>
        <w:pStyle w:val="ListParagraph"/>
        <w:spacing w:after="0" w:line="240" w:lineRule="auto"/>
        <w:ind w:left="360"/>
      </w:pPr>
    </w:p>
    <w:p w:rsidR="00891CD9" w:rsidP="007D0F6E" w:rsidRDefault="00BD702B" w14:paraId="1F639D74" w14:textId="77777777">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5B5FCC" w:rsidP="00AB359B" w:rsidRDefault="00C51A53" w14:paraId="4F2D0E37" w14:textId="4B373BCF">
      <w:pPr>
        <w:spacing w:after="120" w:line="240" w:lineRule="auto"/>
      </w:pPr>
      <w:r>
        <w:t>Through our work, we have not identified</w:t>
      </w:r>
      <w:r w:rsidR="00B63A98">
        <w:t xml:space="preserve"> other current or planned efforts to collect </w:t>
      </w:r>
      <w:r w:rsidR="00AD6ED8">
        <w:t xml:space="preserve">systematic, detailed </w:t>
      </w:r>
      <w:r w:rsidR="00B63A98">
        <w:t xml:space="preserve">information on </w:t>
      </w:r>
      <w:r w:rsidRPr="00AD6ED8" w:rsidR="00AD6ED8">
        <w:t>what CCDF Lead Agencies need to better use and do research</w:t>
      </w:r>
      <w:r w:rsidR="00AD6ED8">
        <w:t xml:space="preserve">. </w:t>
      </w:r>
      <w:r w:rsidR="00B63A98">
        <w:t xml:space="preserve">None of the study instruments ask for information that can be obtained from alternative data sources (including administrative data). The design of the </w:t>
      </w:r>
      <w:r w:rsidR="00AD6ED8">
        <w:t>survey and focus group</w:t>
      </w:r>
      <w:r w:rsidR="00B63A98">
        <w:t xml:space="preserve"> instruments ensures minimal duplication of data collected across instruments. </w:t>
      </w: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CB1F9B" w:rsidP="00DF1291" w:rsidRDefault="00533A7A" w14:paraId="3D31203C" w14:textId="23174B72">
      <w:pPr>
        <w:spacing w:after="0" w:line="240" w:lineRule="auto"/>
      </w:pPr>
      <w:r w:rsidRPr="00EC72A6">
        <w:t>No small organizations are affected by the information collection.</w:t>
      </w:r>
    </w:p>
    <w:p w:rsidR="005B5FCC" w:rsidP="00DF1291" w:rsidRDefault="005B5FCC" w14:paraId="373D68B1" w14:textId="77777777">
      <w:pPr>
        <w:spacing w:after="0" w:line="240" w:lineRule="auto"/>
      </w:pPr>
    </w:p>
    <w:p w:rsidR="00245235" w:rsidP="00245235" w:rsidRDefault="00245235" w14:paraId="4515BA84" w14:textId="77777777">
      <w:pPr>
        <w:spacing w:after="120"/>
      </w:pPr>
      <w:r w:rsidRPr="00624DDC">
        <w:rPr>
          <w:b/>
        </w:rPr>
        <w:t>A6</w:t>
      </w:r>
      <w:r>
        <w:t>.</w:t>
      </w:r>
      <w:r>
        <w:tab/>
      </w:r>
      <w:r w:rsidRPr="005E3F36">
        <w:rPr>
          <w:b/>
        </w:rPr>
        <w:t>Consequences of Less Frequent Collection</w:t>
      </w:r>
      <w:r>
        <w:t xml:space="preserve">  </w:t>
      </w:r>
    </w:p>
    <w:p w:rsidRPr="00245235" w:rsidR="00245235" w:rsidP="00245235" w:rsidRDefault="00245235" w14:paraId="79F05299" w14:textId="77777777">
      <w:pPr>
        <w:pStyle w:val="CommentText"/>
        <w:rPr>
          <w:sz w:val="22"/>
          <w:szCs w:val="22"/>
        </w:rPr>
      </w:pPr>
      <w:r w:rsidRPr="00245235">
        <w:rPr>
          <w:sz w:val="22"/>
          <w:szCs w:val="22"/>
        </w:rPr>
        <w:t>This is a one-time data collection.</w:t>
      </w:r>
    </w:p>
    <w:p w:rsidR="005B5FCC" w:rsidP="00060B30" w:rsidRDefault="005B5FCC" w14:paraId="70B0C11F" w14:textId="11E23DC9">
      <w:pPr>
        <w:spacing w:after="0"/>
      </w:pPr>
    </w:p>
    <w:p w:rsidR="00B9441B" w:rsidP="00060B30" w:rsidRDefault="00BD702B" w14:paraId="109190DF" w14:textId="22E3D41C">
      <w:pPr>
        <w:spacing w:after="120" w:line="240" w:lineRule="auto"/>
        <w:rPr>
          <w:b/>
        </w:rPr>
      </w:pPr>
      <w:r w:rsidRPr="00624DDC">
        <w:rPr>
          <w:b/>
        </w:rPr>
        <w:t>A7</w:t>
      </w:r>
      <w:r>
        <w:t>.</w:t>
      </w:r>
      <w:r>
        <w:tab/>
      </w:r>
      <w:r w:rsidRPr="00834C54" w:rsidR="00B9441B">
        <w:rPr>
          <w:b/>
        </w:rPr>
        <w:t>Now subsumed under 2(b) above and 10 (below)</w:t>
      </w:r>
    </w:p>
    <w:p w:rsidR="00AB359B" w:rsidP="00060B30" w:rsidRDefault="00AB359B" w14:paraId="194D0A8B" w14:textId="77777777">
      <w:pPr>
        <w:spacing w:after="12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6D204F" w:rsidRDefault="00060B30" w14:paraId="2F3836D2" w14:textId="77777777">
      <w:pPr>
        <w:spacing w:after="60"/>
        <w:rPr>
          <w:i/>
        </w:rPr>
      </w:pPr>
      <w:r w:rsidRPr="00060B30">
        <w:rPr>
          <w:i/>
        </w:rPr>
        <w:t>Federal Register Notice and Comments</w:t>
      </w:r>
    </w:p>
    <w:p w:rsidRPr="003A4FE3" w:rsidR="00014EDC" w:rsidP="00554A89" w:rsidRDefault="00014EDC" w14:paraId="59ED9214" w14:textId="7852FA4A">
      <w:pPr>
        <w:spacing w:line="240" w:lineRule="auto"/>
      </w:pPr>
      <w:r w:rsidRPr="003A4FE3">
        <w:t>In accordance with the Paperwork Reduction Act of 1995 (Pub. L. 104-13)</w:t>
      </w:r>
      <w:r w:rsidRPr="00637143">
        <w:t xml:space="preserve"> and Office of Management and Budget (OMB) regulations at 5 CFR Part 1320 (60 FR 44978, August 29, 1995), ACF published a notice in the Federal Register announcing the agency’s inten</w:t>
      </w:r>
      <w:r w:rsidRPr="002004C2">
        <w:t>tion to request an OMB review of the overarching generic clearance fo</w:t>
      </w:r>
      <w:r w:rsidRPr="002004C2" w:rsidR="0042700F">
        <w:t>r</w:t>
      </w:r>
      <w:r w:rsidRPr="002004C2">
        <w:t xml:space="preserve"> formative information collection. This notice was published on </w:t>
      </w:r>
      <w:r w:rsidR="00C51A53">
        <w:t>November 3, 2020</w:t>
      </w:r>
      <w:r w:rsidRPr="002004C2">
        <w:t>, Volume 8</w:t>
      </w:r>
      <w:r w:rsidR="00C51A53">
        <w:t>5</w:t>
      </w:r>
      <w:r w:rsidRPr="002004C2">
        <w:t xml:space="preserve">, Number </w:t>
      </w:r>
      <w:r w:rsidR="00C51A53">
        <w:t>213</w:t>
      </w:r>
      <w:r w:rsidRPr="002004C2">
        <w:t xml:space="preserve">, page </w:t>
      </w:r>
      <w:r w:rsidR="00C51A53">
        <w:t>69627</w:t>
      </w:r>
      <w:r w:rsidRPr="002004C2">
        <w:t>, and provided a sixty-day period for public comment. During the notice and comment period, no substantive comments were received.</w:t>
      </w:r>
    </w:p>
    <w:p w:rsidRPr="004065AD" w:rsidR="00060B30" w:rsidP="006D204F" w:rsidRDefault="00060B30" w14:paraId="678F3F3E" w14:textId="77777777">
      <w:pPr>
        <w:pStyle w:val="Heading4"/>
        <w:spacing w:before="0"/>
        <w:rPr>
          <w:rFonts w:asciiTheme="minorHAnsi" w:hAnsiTheme="minorHAnsi" w:cstheme="minorHAnsi"/>
          <w:b w:val="0"/>
          <w:i/>
          <w:sz w:val="22"/>
          <w:szCs w:val="22"/>
        </w:rPr>
      </w:pPr>
      <w:r w:rsidRPr="004065AD">
        <w:rPr>
          <w:rFonts w:asciiTheme="minorHAnsi" w:hAnsiTheme="minorHAnsi" w:cstheme="minorHAnsi"/>
          <w:b w:val="0"/>
          <w:i/>
          <w:sz w:val="22"/>
          <w:szCs w:val="22"/>
        </w:rPr>
        <w:t>Consultation with Experts Outside of the Study</w:t>
      </w:r>
    </w:p>
    <w:p w:rsidR="004065AD" w:rsidP="004065AD" w:rsidRDefault="003D5D3A" w14:paraId="405DC205" w14:textId="5EF181E9">
      <w:pPr>
        <w:spacing w:after="0" w:line="240" w:lineRule="auto"/>
        <w:rPr>
          <w:rFonts w:cstheme="minorHAnsi"/>
        </w:rPr>
      </w:pPr>
      <w:r w:rsidRPr="006D560B">
        <w:rPr>
          <w:rFonts w:cstheme="minorHAnsi"/>
        </w:rPr>
        <w:t xml:space="preserve">We consulted with </w:t>
      </w:r>
      <w:r w:rsidRPr="006D560B" w:rsidR="00975C67">
        <w:rPr>
          <w:rFonts w:cstheme="minorHAnsi"/>
        </w:rPr>
        <w:t>external experts</w:t>
      </w:r>
      <w:r w:rsidRPr="006D560B">
        <w:rPr>
          <w:rFonts w:cstheme="minorHAnsi"/>
        </w:rPr>
        <w:t xml:space="preserve"> </w:t>
      </w:r>
      <w:r w:rsidRPr="006D560B" w:rsidR="00975C67">
        <w:rPr>
          <w:rFonts w:cstheme="minorHAnsi"/>
        </w:rPr>
        <w:t xml:space="preserve">about how to sample tribal agencies in a way that will allow us to obtain a comprehensive view of the research and evaluation capacity building needs of tribal agencies.  We also shared sections </w:t>
      </w:r>
      <w:r w:rsidRPr="006D560B">
        <w:rPr>
          <w:rFonts w:cstheme="minorHAnsi"/>
        </w:rPr>
        <w:t>of the survey instrument and recruitment protocols</w:t>
      </w:r>
      <w:r w:rsidRPr="006D560B" w:rsidR="00975C67">
        <w:rPr>
          <w:rFonts w:cstheme="minorHAnsi"/>
        </w:rPr>
        <w:t xml:space="preserve"> </w:t>
      </w:r>
      <w:r w:rsidRPr="006D560B" w:rsidR="006D560B">
        <w:rPr>
          <w:rFonts w:cstheme="minorHAnsi"/>
        </w:rPr>
        <w:t xml:space="preserve">with external experts </w:t>
      </w:r>
      <w:r w:rsidRPr="006D560B" w:rsidR="00975C67">
        <w:rPr>
          <w:rFonts w:cstheme="minorHAnsi"/>
        </w:rPr>
        <w:t>to ensure that we used appropriate and relevant language</w:t>
      </w:r>
      <w:r w:rsidRPr="006D560B">
        <w:rPr>
          <w:rFonts w:cstheme="minorHAnsi"/>
        </w:rPr>
        <w:t xml:space="preserve">. </w:t>
      </w:r>
    </w:p>
    <w:p w:rsidR="00362EA3" w:rsidP="004065AD" w:rsidRDefault="00362EA3" w14:paraId="7211A946" w14:textId="77777777">
      <w:pPr>
        <w:spacing w:after="0" w:line="240" w:lineRule="auto"/>
      </w:pPr>
    </w:p>
    <w:p w:rsidR="009A39E1" w:rsidP="006D204F" w:rsidRDefault="00BD702B" w14:paraId="4ADF0CCE" w14:textId="1058F939">
      <w:pPr>
        <w:spacing w:after="120" w:line="240" w:lineRule="auto"/>
      </w:pPr>
      <w:r w:rsidRPr="00624DDC">
        <w:rPr>
          <w:b/>
        </w:rPr>
        <w:t>A9</w:t>
      </w:r>
      <w:r>
        <w:t>.</w:t>
      </w:r>
      <w:r>
        <w:tab/>
      </w:r>
      <w:r w:rsidRPr="005B5FCC" w:rsidR="009A39E1">
        <w:rPr>
          <w:b/>
        </w:rPr>
        <w:t>Tokens of App</w:t>
      </w:r>
      <w:r w:rsidRPr="005B5FCC" w:rsidR="005B5FCC">
        <w:rPr>
          <w:b/>
        </w:rPr>
        <w:t>reciation</w:t>
      </w:r>
    </w:p>
    <w:p w:rsidR="00073FB9" w:rsidP="00073FB9" w:rsidRDefault="00073FB9" w14:paraId="097693FD" w14:textId="77777777">
      <w:pPr>
        <w:spacing w:after="0"/>
      </w:pPr>
      <w:r>
        <w:t xml:space="preserve">No tokens of appreciation will be provided to participants. </w:t>
      </w: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76614303">
      <w:pPr>
        <w:spacing w:after="120" w:line="240" w:lineRule="auto"/>
        <w:rPr>
          <w:i/>
        </w:rPr>
      </w:pPr>
      <w:r>
        <w:rPr>
          <w:i/>
        </w:rPr>
        <w:t>Personally Identifiable Information</w:t>
      </w:r>
    </w:p>
    <w:p w:rsidRPr="0042700F" w:rsidR="008224F1" w:rsidP="008224F1" w:rsidRDefault="00414FA3" w14:paraId="5953918A" w14:textId="6E362241">
      <w:pPr>
        <w:spacing w:after="0" w:line="240" w:lineRule="auto"/>
        <w:rPr>
          <w:iCs/>
        </w:rPr>
      </w:pPr>
      <w:r w:rsidRPr="00414FA3">
        <w:rPr>
          <w:iCs/>
        </w:rPr>
        <w:t>T</w:t>
      </w:r>
      <w:r w:rsidR="008224F1">
        <w:rPr>
          <w:iCs/>
        </w:rPr>
        <w:t>o ensure the correct identity of respondents, t</w:t>
      </w:r>
      <w:r w:rsidRPr="00414FA3">
        <w:rPr>
          <w:iCs/>
        </w:rPr>
        <w:t xml:space="preserve">he survey and focus groups will </w:t>
      </w:r>
      <w:r w:rsidR="003B26EB">
        <w:rPr>
          <w:iCs/>
        </w:rPr>
        <w:t>collect</w:t>
      </w:r>
      <w:r w:rsidRPr="00414FA3">
        <w:rPr>
          <w:iCs/>
        </w:rPr>
        <w:t xml:space="preserve"> the names of respondents and their State, Territory, or Tribal Agencies.  </w:t>
      </w:r>
      <w:r w:rsidRPr="00F56C9E" w:rsidR="008224F1">
        <w:rPr>
          <w:rFonts w:cstheme="minorHAnsi"/>
        </w:rPr>
        <w:t>Information will not be maintained in a paper or electronic system from which data are actually or directly retrieved by an individuals’ personal identifier.</w:t>
      </w:r>
    </w:p>
    <w:p w:rsidR="001E4E70" w:rsidP="00414FA3" w:rsidRDefault="001E4E70" w14:paraId="74A4F292" w14:textId="77777777">
      <w:pPr>
        <w:spacing w:after="0" w:line="240" w:lineRule="auto"/>
        <w:rPr>
          <w:iCs/>
        </w:rPr>
      </w:pPr>
    </w:p>
    <w:p w:rsidR="002560D7" w:rsidP="00CB57CE" w:rsidRDefault="002560D7" w14:paraId="28D37A40" w14:textId="06ED226E">
      <w:pPr>
        <w:spacing w:after="120" w:line="240" w:lineRule="auto"/>
        <w:rPr>
          <w:i/>
        </w:rPr>
      </w:pPr>
      <w:r>
        <w:rPr>
          <w:i/>
        </w:rPr>
        <w:t>Assurances of Privacy</w:t>
      </w:r>
    </w:p>
    <w:p w:rsidR="002560D7" w:rsidP="00E35C71" w:rsidRDefault="002560D7" w14:paraId="4180ABFE" w14:textId="526B1AD5">
      <w:pPr>
        <w:spacing w:after="0" w:line="240" w:lineRule="auto"/>
        <w:rPr>
          <w:rFonts w:cstheme="minorHAnsi"/>
        </w:rPr>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00627307">
        <w:rPr>
          <w:iCs/>
        </w:rPr>
        <w:t>F</w:t>
      </w:r>
      <w:r w:rsidRPr="00AA5651" w:rsidR="00E07B44">
        <w:rPr>
          <w:iCs/>
        </w:rPr>
        <w:t>ocus group</w:t>
      </w:r>
      <w:r w:rsidR="00E07B44">
        <w:rPr>
          <w:iCs/>
        </w:rPr>
        <w:t>s</w:t>
      </w:r>
      <w:r w:rsidRPr="00AA5651" w:rsidR="00E07B44">
        <w:rPr>
          <w:iCs/>
        </w:rPr>
        <w:t xml:space="preserve"> will be recorded </w:t>
      </w:r>
      <w:r w:rsidR="00627307">
        <w:rPr>
          <w:iCs/>
        </w:rPr>
        <w:t xml:space="preserve">with the permission of respondents </w:t>
      </w:r>
      <w:r w:rsidRPr="00AA5651" w:rsidR="00E07B44">
        <w:rPr>
          <w:iCs/>
        </w:rPr>
        <w:t xml:space="preserve">but only for the purposes of ensuring that complete notes can be taken. </w:t>
      </w:r>
      <w:r w:rsidR="00E07B44">
        <w:rPr>
          <w:iCs/>
        </w:rPr>
        <w:t>The notes and recording will not be shared beyond the research team.</w:t>
      </w:r>
      <w:r w:rsidRPr="00072785" w:rsidR="00072785">
        <w:rPr>
          <w:iCs/>
        </w:rPr>
        <w:t xml:space="preserve"> </w:t>
      </w:r>
      <w:r w:rsidR="00072785">
        <w:rPr>
          <w:iCs/>
        </w:rPr>
        <w:t>E</w:t>
      </w:r>
      <w:r w:rsidRPr="0042700F" w:rsidR="00072785">
        <w:rPr>
          <w:iCs/>
        </w:rPr>
        <w:t xml:space="preserve">ntity-level identities (e.g. the State, Territories, and Tribes) with which the data are associated </w:t>
      </w:r>
      <w:r w:rsidR="00072785">
        <w:rPr>
          <w:iCs/>
        </w:rPr>
        <w:t xml:space="preserve">will be maintained </w:t>
      </w:r>
      <w:r w:rsidRPr="0042700F" w:rsidR="00072785">
        <w:rPr>
          <w:iCs/>
        </w:rPr>
        <w:t>throughout the study process and provid</w:t>
      </w:r>
      <w:r w:rsidR="00072785">
        <w:rPr>
          <w:iCs/>
        </w:rPr>
        <w:t>ed to ACF</w:t>
      </w:r>
      <w:r w:rsidRPr="0042700F" w:rsidR="00072785">
        <w:rPr>
          <w:iCs/>
        </w:rPr>
        <w:t xml:space="preserve">. </w:t>
      </w:r>
      <w:r w:rsidR="00072785">
        <w:rPr>
          <w:iCs/>
        </w:rPr>
        <w:t xml:space="preserve">We </w:t>
      </w:r>
      <w:r w:rsidR="00FA181B">
        <w:rPr>
          <w:iCs/>
        </w:rPr>
        <w:t xml:space="preserve">will </w:t>
      </w:r>
      <w:r w:rsidR="00072785">
        <w:rPr>
          <w:iCs/>
        </w:rPr>
        <w:t xml:space="preserve">keep the entity-level identities in order to provide support to selected agencies based on the need indicated in their survey responses. </w:t>
      </w:r>
      <w:r w:rsidR="00072785">
        <w:t>Although we will not provide respondent-level identifiers (e.g. names or initials) to ACF, anyone who knows the state, territory, or tribe will also know who participated in the survey because there is typically only one or two people in each Agency whose roles are appropriate for response. This means we cannot assure privacy.</w:t>
      </w:r>
      <w:r w:rsidRPr="00072785" w:rsidR="00072785">
        <w:t xml:space="preserve"> </w:t>
      </w:r>
      <w:r w:rsidR="00072785">
        <w:t xml:space="preserve">Findings may be shared publicly, but publicly shared results will not include state, territory, or tribal identifiers. </w:t>
      </w:r>
      <w:r w:rsidRPr="00436F5E">
        <w:t>As specified in the contract, the Contractor will comply with all Federal and Departmental regulations for private i</w:t>
      </w:r>
      <w:r w:rsidRPr="00C23681">
        <w:t>nformation.</w:t>
      </w:r>
      <w:r w:rsidRPr="00C23681" w:rsidR="00967661">
        <w:t xml:space="preserve"> </w:t>
      </w:r>
      <w:bookmarkStart w:name="_Hlk64644101" w:id="1"/>
      <w:r w:rsidRPr="00C23681" w:rsidR="00967661">
        <w:rPr>
          <w:rFonts w:cstheme="minorHAnsi"/>
        </w:rPr>
        <w:t xml:space="preserve">The </w:t>
      </w:r>
      <w:r w:rsidRPr="00C23681" w:rsidR="00E07B44">
        <w:rPr>
          <w:rFonts w:cstheme="minorHAnsi"/>
        </w:rPr>
        <w:t>study has been approved by the Urban Institute Institutional Review Board.</w:t>
      </w:r>
      <w:r w:rsidR="00E07B44">
        <w:rPr>
          <w:rFonts w:cstheme="minorHAnsi"/>
        </w:rPr>
        <w:t xml:space="preserve"> </w:t>
      </w:r>
      <w:bookmarkEnd w:id="1"/>
    </w:p>
    <w:p w:rsidR="00FA181B" w:rsidP="00E35C71" w:rsidRDefault="00FA181B" w14:paraId="642F187E" w14:textId="77777777">
      <w:pPr>
        <w:spacing w:after="0" w:line="240" w:lineRule="auto"/>
      </w:pPr>
    </w:p>
    <w:p w:rsidR="002560D7" w:rsidP="002560D7" w:rsidRDefault="002560D7" w14:paraId="2490F478" w14:textId="575FF119">
      <w:pPr>
        <w:spacing w:after="120" w:line="240" w:lineRule="auto"/>
        <w:rPr>
          <w:i/>
        </w:rPr>
      </w:pPr>
      <w:r>
        <w:rPr>
          <w:i/>
        </w:rPr>
        <w:t>Data Security and Monitoring</w:t>
      </w:r>
    </w:p>
    <w:p w:rsidR="00B47CE0" w:rsidP="002560D7" w:rsidRDefault="0042700F" w14:paraId="4CC7687A" w14:textId="6C1A0EFC">
      <w:pPr>
        <w:spacing w:after="0" w:line="240" w:lineRule="auto"/>
        <w:rPr>
          <w:iCs/>
        </w:rPr>
      </w:pPr>
      <w:r w:rsidRPr="0042700F">
        <w:rPr>
          <w:iCs/>
        </w:rPr>
        <w:t xml:space="preserve">The study team </w:t>
      </w:r>
      <w:r w:rsidR="0092653E">
        <w:rPr>
          <w:iCs/>
        </w:rPr>
        <w:t>has</w:t>
      </w:r>
      <w:r w:rsidRPr="0042700F">
        <w:rPr>
          <w:iCs/>
        </w:rPr>
        <w:t xml:space="preserve"> develop</w:t>
      </w:r>
      <w:r w:rsidR="0092653E">
        <w:rPr>
          <w:iCs/>
        </w:rPr>
        <w:t>ed</w:t>
      </w:r>
      <w:r w:rsidRPr="0042700F">
        <w:rPr>
          <w:iCs/>
        </w:rPr>
        <w:t xml:space="preserve"> a data </w:t>
      </w:r>
      <w:r w:rsidR="005E4975">
        <w:rPr>
          <w:iCs/>
        </w:rPr>
        <w:t>security</w:t>
      </w:r>
      <w:r w:rsidRPr="0042700F">
        <w:rPr>
          <w:iCs/>
        </w:rPr>
        <w:t xml:space="preserve"> and monitoring plan that assesses all protections of respondents’ personally identifiable information. Urban and Mathematica will ensure that all its employees and consultants who perform work under this contract are trained on data privacy issues and comply with the requirements. </w:t>
      </w:r>
      <w:r w:rsidRPr="00B47CE0" w:rsidR="00B47CE0">
        <w:rPr>
          <w:iCs/>
        </w:rPr>
        <w:t>All project staff, including Urban Institute and subcontractors from Mathematica will sign the Urban Institute’s staff confidentiality pledge agreeing to follow the Urban Institute’s guidelines for data security</w:t>
      </w:r>
      <w:r w:rsidR="005E4975">
        <w:rPr>
          <w:iCs/>
        </w:rPr>
        <w:t>.</w:t>
      </w:r>
    </w:p>
    <w:p w:rsidR="001E4EBE" w:rsidP="002560D7" w:rsidRDefault="001E4EBE" w14:paraId="3EBDDD0C" w14:textId="6D0457AE">
      <w:pPr>
        <w:spacing w:after="0" w:line="240" w:lineRule="auto"/>
        <w:rPr>
          <w:iCs/>
        </w:rPr>
      </w:pPr>
    </w:p>
    <w:p w:rsidRPr="00651E19" w:rsidR="001E4EBE" w:rsidP="001E4EBE" w:rsidRDefault="001E4EBE" w14:paraId="7AE0A8F5" w14:textId="78AF0B3D">
      <w:pPr>
        <w:pStyle w:val="Answer"/>
        <w:ind w:left="0"/>
        <w:rPr>
          <w:rFonts w:asciiTheme="minorHAnsi" w:hAnsiTheme="minorHAnsi" w:cstheme="minorHAnsi"/>
          <w:sz w:val="22"/>
          <w:szCs w:val="22"/>
        </w:rPr>
      </w:pPr>
      <w:r w:rsidRPr="00651E19">
        <w:rPr>
          <w:rFonts w:asciiTheme="minorHAnsi" w:hAnsiTheme="minorHAnsi" w:cstheme="minorHAnsi"/>
          <w:sz w:val="22"/>
          <w:szCs w:val="22"/>
        </w:rPr>
        <w:t>As specified in OPRE’s contract,</w:t>
      </w:r>
      <w:r>
        <w:rPr>
          <w:rFonts w:asciiTheme="minorHAnsi" w:hAnsiTheme="minorHAnsi" w:cstheme="minorHAnsi"/>
          <w:sz w:val="22"/>
          <w:szCs w:val="22"/>
        </w:rPr>
        <w:t xml:space="preserve"> </w:t>
      </w:r>
      <w:bookmarkStart w:name="_Hlk64818667" w:id="2"/>
      <w:r>
        <w:rPr>
          <w:rFonts w:asciiTheme="minorHAnsi" w:hAnsiTheme="minorHAnsi" w:cstheme="minorHAnsi"/>
          <w:sz w:val="22"/>
          <w:szCs w:val="22"/>
        </w:rPr>
        <w:t>Urban and</w:t>
      </w:r>
      <w:r w:rsidRPr="00651E19">
        <w:rPr>
          <w:rFonts w:asciiTheme="minorHAnsi" w:hAnsiTheme="minorHAnsi" w:cstheme="minorHAnsi"/>
          <w:sz w:val="22"/>
          <w:szCs w:val="22"/>
        </w:rPr>
        <w:t xml:space="preserve"> Mathematica </w:t>
      </w:r>
      <w:bookmarkEnd w:id="2"/>
      <w:r w:rsidRPr="00651E19">
        <w:rPr>
          <w:rFonts w:asciiTheme="minorHAnsi" w:hAnsiTheme="minorHAnsi" w:cstheme="minorHAnsi"/>
          <w:sz w:val="22"/>
          <w:szCs w:val="22"/>
        </w:rPr>
        <w:t xml:space="preserve">will use Federal Information Processing Standard (currently, FIPS 140-2) compliant encryption (Security Requirements for Cryptographic Module, as amended) to protect all instances of sensitive information during storage and transmission. </w:t>
      </w:r>
      <w:r w:rsidR="008738B6">
        <w:rPr>
          <w:rFonts w:asciiTheme="minorHAnsi" w:hAnsiTheme="minorHAnsi" w:cstheme="minorHAnsi"/>
          <w:sz w:val="22"/>
          <w:szCs w:val="22"/>
        </w:rPr>
        <w:t>Urban and</w:t>
      </w:r>
      <w:r w:rsidRPr="00651E19" w:rsidR="008738B6">
        <w:rPr>
          <w:rFonts w:asciiTheme="minorHAnsi" w:hAnsiTheme="minorHAnsi" w:cstheme="minorHAnsi"/>
          <w:sz w:val="22"/>
          <w:szCs w:val="22"/>
        </w:rPr>
        <w:t xml:space="preserve"> Mathematica </w:t>
      </w:r>
      <w:r w:rsidRPr="00651E19">
        <w:rPr>
          <w:rFonts w:asciiTheme="minorHAnsi" w:hAnsiTheme="minorHAnsi" w:cstheme="minorHAnsi"/>
          <w:sz w:val="22"/>
          <w:szCs w:val="22"/>
        </w:rPr>
        <w:t xml:space="preserve">will securely generate and manage encryption keys to prevent unauthorized decryption of information, in accordance with the Federal Processing Standard. </w:t>
      </w:r>
      <w:r w:rsidR="008738B6">
        <w:rPr>
          <w:rFonts w:asciiTheme="minorHAnsi" w:hAnsiTheme="minorHAnsi" w:cstheme="minorHAnsi"/>
          <w:sz w:val="22"/>
          <w:szCs w:val="22"/>
        </w:rPr>
        <w:t>Urban and</w:t>
      </w:r>
      <w:r w:rsidRPr="00651E19" w:rsidR="008738B6">
        <w:rPr>
          <w:rFonts w:asciiTheme="minorHAnsi" w:hAnsiTheme="minorHAnsi" w:cstheme="minorHAnsi"/>
          <w:sz w:val="22"/>
          <w:szCs w:val="22"/>
        </w:rPr>
        <w:t xml:space="preserve"> Mathematica </w:t>
      </w:r>
      <w:r w:rsidRPr="00651E19">
        <w:rPr>
          <w:rFonts w:asciiTheme="minorHAnsi" w:hAnsiTheme="minorHAnsi" w:cstheme="minorHAnsi"/>
          <w:sz w:val="22"/>
          <w:szCs w:val="22"/>
        </w:rPr>
        <w:t xml:space="preserve">will (1) ensure that this standard is incorporated into the company’s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w:t>
      </w:r>
      <w:r w:rsidR="008738B6">
        <w:rPr>
          <w:rFonts w:asciiTheme="minorHAnsi" w:hAnsiTheme="minorHAnsi" w:cstheme="minorHAnsi"/>
          <w:sz w:val="22"/>
          <w:szCs w:val="22"/>
        </w:rPr>
        <w:t>Urban and</w:t>
      </w:r>
      <w:r w:rsidRPr="00651E19" w:rsidR="008738B6">
        <w:rPr>
          <w:rFonts w:asciiTheme="minorHAnsi" w:hAnsiTheme="minorHAnsi" w:cstheme="minorHAnsi"/>
          <w:sz w:val="22"/>
          <w:szCs w:val="22"/>
        </w:rPr>
        <w:t xml:space="preserve"> Mathematica </w:t>
      </w:r>
      <w:r w:rsidRPr="00651E19">
        <w:rPr>
          <w:rFonts w:asciiTheme="minorHAnsi" w:hAnsiTheme="minorHAnsi" w:cstheme="minorHAnsi"/>
          <w:sz w:val="22"/>
          <w:szCs w:val="22"/>
        </w:rPr>
        <w:t xml:space="preserve">must submit a plan for minimizing to the extent possible the inclusion of sensitive information on paper records and for protecting any paper records, field notes, or other documents that contain sensitive or personally identifiable information to ensure secure storage and limits on access. </w:t>
      </w:r>
    </w:p>
    <w:p w:rsidR="001E4EBE" w:rsidP="002560D7" w:rsidRDefault="001E4EBE" w14:paraId="5AA4AF29" w14:textId="77777777">
      <w:pPr>
        <w:spacing w:after="0" w:line="240" w:lineRule="auto"/>
        <w:rPr>
          <w:iCs/>
        </w:rPr>
      </w:pPr>
    </w:p>
    <w:p w:rsidR="00B47CE0" w:rsidP="002560D7" w:rsidRDefault="00B47CE0" w14:paraId="2AB3307E" w14:textId="77777777">
      <w:pPr>
        <w:spacing w:after="0" w:line="240" w:lineRule="auto"/>
        <w:rPr>
          <w:iCs/>
        </w:rPr>
      </w:pPr>
    </w:p>
    <w:p w:rsidR="00AA5651" w:rsidP="002560D7" w:rsidRDefault="00AA5651" w14:paraId="01241E0A" w14:textId="77777777">
      <w:pPr>
        <w:spacing w:after="0" w:line="240" w:lineRule="auto"/>
        <w:rPr>
          <w:iCs/>
        </w:rPr>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1"/>
      </w:r>
    </w:p>
    <w:p w:rsidR="00835139" w:rsidP="00D32E6D" w:rsidRDefault="00D310B4" w14:paraId="30BF2775" w14:textId="27E9C05D">
      <w:pPr>
        <w:spacing w:after="0" w:line="240" w:lineRule="auto"/>
        <w:rPr>
          <w:rFonts w:cstheme="minorHAnsi"/>
        </w:rPr>
      </w:pPr>
      <w:r w:rsidRPr="00D310B4">
        <w:rPr>
          <w:rFonts w:cstheme="minorHAnsi"/>
        </w:rPr>
        <w:t>We do not anticipate collection of any sensitive information.</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Pr="00A50BF2" w:rsidR="00DB54D0" w:rsidP="00DB54D0" w:rsidRDefault="00F34158" w14:paraId="4035D960" w14:textId="4D857ED6">
      <w:pPr>
        <w:pStyle w:val="Answer"/>
        <w:ind w:left="0"/>
        <w:rPr>
          <w:rFonts w:asciiTheme="minorHAnsi" w:hAnsiTheme="minorHAnsi" w:cstheme="minorHAnsi"/>
          <w:sz w:val="22"/>
          <w:szCs w:val="22"/>
        </w:rPr>
      </w:pPr>
      <w:r w:rsidRPr="00A50BF2">
        <w:rPr>
          <w:rFonts w:asciiTheme="minorHAnsi" w:hAnsiTheme="minorHAnsi" w:cstheme="minorHAnsi"/>
          <w:sz w:val="22"/>
          <w:szCs w:val="22"/>
        </w:rPr>
        <w:t>Exhibit A2</w:t>
      </w:r>
      <w:r w:rsidRPr="00A50BF2" w:rsidR="00DB54D0">
        <w:rPr>
          <w:rFonts w:asciiTheme="minorHAnsi" w:hAnsiTheme="minorHAnsi" w:cstheme="minorHAnsi"/>
          <w:sz w:val="22"/>
          <w:szCs w:val="22"/>
        </w:rPr>
        <w:t xml:space="preserve"> summarizes the estimated reporting burden and costs for each of the study tools included in this information collection request.  The estimates include time for respondents to review instructions, search data sources, complete and review their responses, and transmit information.  Figures are estimated as follows:</w:t>
      </w:r>
    </w:p>
    <w:p w:rsidRPr="00992741" w:rsidR="00332D03" w:rsidP="00AD3EC8" w:rsidRDefault="00F34158" w14:paraId="7C28D56E" w14:textId="12B3F396">
      <w:pPr>
        <w:pStyle w:val="ListParagraph"/>
        <w:numPr>
          <w:ilvl w:val="0"/>
          <w:numId w:val="17"/>
        </w:numPr>
        <w:spacing w:after="0" w:line="240" w:lineRule="auto"/>
        <w:rPr>
          <w:iCs/>
        </w:rPr>
      </w:pPr>
      <w:r w:rsidRPr="00A50BF2">
        <w:rPr>
          <w:rFonts w:cstheme="minorHAnsi"/>
          <w:b/>
        </w:rPr>
        <w:t>Needs Assessment Survey</w:t>
      </w:r>
      <w:r w:rsidRPr="00A50BF2" w:rsidR="00DB54D0">
        <w:rPr>
          <w:rFonts w:cstheme="minorHAnsi"/>
          <w:b/>
        </w:rPr>
        <w:t xml:space="preserve"> </w:t>
      </w:r>
      <w:r w:rsidRPr="00A50BF2" w:rsidR="00DB54D0">
        <w:rPr>
          <w:rFonts w:cstheme="minorHAnsi"/>
        </w:rPr>
        <w:t>(Instrument 1)</w:t>
      </w:r>
      <w:r w:rsidRPr="00A50BF2" w:rsidR="00DB54D0">
        <w:rPr>
          <w:rFonts w:cstheme="minorHAnsi"/>
          <w:b/>
        </w:rPr>
        <w:t>.</w:t>
      </w:r>
      <w:r w:rsidRPr="00A50BF2" w:rsidR="00DB54D0">
        <w:rPr>
          <w:rFonts w:cstheme="minorHAnsi"/>
        </w:rPr>
        <w:t xml:space="preserve">   </w:t>
      </w:r>
      <w:r w:rsidRPr="00A50BF2">
        <w:rPr>
          <w:rFonts w:cstheme="minorHAnsi"/>
        </w:rPr>
        <w:t>T</w:t>
      </w:r>
      <w:r w:rsidRPr="00A50BF2" w:rsidR="00DB54D0">
        <w:rPr>
          <w:rFonts w:cstheme="minorHAnsi"/>
        </w:rPr>
        <w:t xml:space="preserve">he study team expects to reach out to </w:t>
      </w:r>
      <w:r w:rsidRPr="00A50BF2">
        <w:rPr>
          <w:rFonts w:cstheme="minorHAnsi"/>
        </w:rPr>
        <w:t>71</w:t>
      </w:r>
      <w:r w:rsidRPr="00A50BF2" w:rsidR="00DB54D0">
        <w:rPr>
          <w:rFonts w:cstheme="minorHAnsi"/>
        </w:rPr>
        <w:t xml:space="preserve"> </w:t>
      </w:r>
      <w:r w:rsidRPr="00A50BF2">
        <w:rPr>
          <w:rFonts w:cstheme="minorHAnsi"/>
        </w:rPr>
        <w:t>CCDF Lead Agencies</w:t>
      </w:r>
      <w:r w:rsidRPr="00A50BF2" w:rsidR="00DB54D0">
        <w:rPr>
          <w:rFonts w:cstheme="minorHAnsi"/>
        </w:rPr>
        <w:t xml:space="preserve"> for this study</w:t>
      </w:r>
      <w:r w:rsidR="00545534">
        <w:rPr>
          <w:rFonts w:cstheme="minorHAnsi"/>
        </w:rPr>
        <w:t xml:space="preserve"> (56 State and Territories and 15 Tribes)</w:t>
      </w:r>
      <w:r w:rsidRPr="00A50BF2" w:rsidR="00DB54D0">
        <w:rPr>
          <w:rFonts w:cstheme="minorHAnsi"/>
        </w:rPr>
        <w:t xml:space="preserve">.  We anticipate the </w:t>
      </w:r>
      <w:r w:rsidRPr="00A50BF2">
        <w:rPr>
          <w:rFonts w:cstheme="minorHAnsi"/>
        </w:rPr>
        <w:t>survey will</w:t>
      </w:r>
      <w:r w:rsidRPr="00A50BF2" w:rsidR="00DB54D0">
        <w:rPr>
          <w:rFonts w:cstheme="minorHAnsi"/>
        </w:rPr>
        <w:t xml:space="preserve"> take about </w:t>
      </w:r>
      <w:r w:rsidRPr="00A50BF2">
        <w:rPr>
          <w:rFonts w:cstheme="minorHAnsi"/>
        </w:rPr>
        <w:t>25</w:t>
      </w:r>
      <w:r w:rsidRPr="00A50BF2" w:rsidR="00DB54D0">
        <w:rPr>
          <w:rFonts w:cstheme="minorHAnsi"/>
        </w:rPr>
        <w:t xml:space="preserve"> minutes</w:t>
      </w:r>
      <w:r w:rsidRPr="00A50BF2">
        <w:rPr>
          <w:rFonts w:cstheme="minorHAnsi"/>
        </w:rPr>
        <w:t xml:space="preserve"> to complete</w:t>
      </w:r>
      <w:r w:rsidRPr="00A50BF2" w:rsidR="00DB54D0">
        <w:rPr>
          <w:rFonts w:cstheme="minorHAnsi"/>
        </w:rPr>
        <w:t xml:space="preserve">. </w:t>
      </w:r>
      <w:r w:rsidRPr="00A50BF2" w:rsidR="00A50BF2">
        <w:rPr>
          <w:rFonts w:cstheme="minorHAnsi"/>
        </w:rPr>
        <w:t xml:space="preserve">This burden estimate is based on a </w:t>
      </w:r>
      <w:r w:rsidRPr="00A50BF2" w:rsidR="00A50BF2">
        <w:rPr>
          <w:iCs/>
        </w:rPr>
        <w:t>pretest conducted with four former CCDF agency leads. The pretest respondents provided responses to the survey in an electronic hardcopy version of the instrument and then participated in a debrief call with the research team. The research team used the feedback from pretest respondents to revise and edit the survey content to ensure it would take 25 minutes to complete.</w:t>
      </w:r>
    </w:p>
    <w:p w:rsidRPr="00332D03" w:rsidR="00992741" w:rsidP="004931BD" w:rsidRDefault="00992741" w14:paraId="1C948F45" w14:textId="77777777">
      <w:pPr>
        <w:pStyle w:val="ListParagraph"/>
        <w:spacing w:after="0" w:line="240" w:lineRule="auto"/>
        <w:rPr>
          <w:i/>
        </w:rPr>
      </w:pPr>
    </w:p>
    <w:p w:rsidRPr="00C64871" w:rsidR="001F0446" w:rsidP="00992741" w:rsidRDefault="00F34158" w14:paraId="43A6B3FD" w14:textId="33B65B00">
      <w:pPr>
        <w:pStyle w:val="ListParagraph"/>
        <w:numPr>
          <w:ilvl w:val="0"/>
          <w:numId w:val="17"/>
        </w:numPr>
        <w:spacing w:after="0" w:line="240" w:lineRule="auto"/>
        <w:rPr>
          <w:i/>
        </w:rPr>
      </w:pPr>
      <w:r w:rsidRPr="00332D03">
        <w:rPr>
          <w:rFonts w:cstheme="minorHAnsi"/>
          <w:b/>
        </w:rPr>
        <w:t xml:space="preserve">Focus group protocol </w:t>
      </w:r>
      <w:r w:rsidRPr="00332D03">
        <w:rPr>
          <w:rFonts w:cstheme="minorHAnsi"/>
        </w:rPr>
        <w:t>(Instrument 2)</w:t>
      </w:r>
      <w:r w:rsidRPr="00332D03">
        <w:rPr>
          <w:rFonts w:cstheme="minorHAnsi"/>
          <w:b/>
        </w:rPr>
        <w:t>.</w:t>
      </w:r>
      <w:r w:rsidRPr="00332D03">
        <w:rPr>
          <w:rFonts w:cstheme="minorHAnsi"/>
        </w:rPr>
        <w:t xml:space="preserve">   </w:t>
      </w:r>
      <w:r w:rsidR="00202983">
        <w:rPr>
          <w:rFonts w:cstheme="minorHAnsi"/>
        </w:rPr>
        <w:t xml:space="preserve">The team will gather data from up to 20 State, Territory and Tribal CCDF Lead Agencies for the virtual focus groups. </w:t>
      </w:r>
      <w:r w:rsidR="00DC4B02">
        <w:rPr>
          <w:rFonts w:cstheme="minorHAnsi"/>
        </w:rPr>
        <w:t xml:space="preserve">We expect more than one participant from each agency and a total of approximately 45 participants. </w:t>
      </w:r>
      <w:r w:rsidR="00202983">
        <w:rPr>
          <w:rFonts w:cstheme="minorHAnsi"/>
        </w:rPr>
        <w:t>We will conduct five 90-minute long virtual focus groups, with each group having about 9 participants. One focus group will consist of staff from Tribal Agencies and the other four groups will include a mix of State and Territory staff. This burden estimat</w:t>
      </w:r>
      <w:r w:rsidR="00D9306A">
        <w:rPr>
          <w:rFonts w:cstheme="minorHAnsi"/>
        </w:rPr>
        <w:t xml:space="preserve">e is </w:t>
      </w:r>
      <w:r w:rsidRPr="00C64871" w:rsidR="00D9306A">
        <w:rPr>
          <w:rFonts w:cstheme="minorHAnsi"/>
        </w:rPr>
        <w:t>based on</w:t>
      </w:r>
      <w:r w:rsidRPr="00C64871" w:rsidR="00DC4B02">
        <w:rPr>
          <w:rFonts w:cstheme="minorHAnsi"/>
        </w:rPr>
        <w:t xml:space="preserve"> 45 participants and the 90-minute length of the focus group. </w:t>
      </w:r>
    </w:p>
    <w:p w:rsidR="001F0446" w:rsidP="00230CAA" w:rsidRDefault="001F0446" w14:paraId="44494644" w14:textId="49566812">
      <w:pPr>
        <w:spacing w:after="0" w:line="240" w:lineRule="auto"/>
        <w:rPr>
          <w:i/>
        </w:rPr>
      </w:pPr>
    </w:p>
    <w:p w:rsidR="001F0446" w:rsidP="00230CAA" w:rsidRDefault="001F0446" w14:paraId="24B69DBB" w14:textId="345A0B24">
      <w:pPr>
        <w:spacing w:after="0" w:line="240" w:lineRule="auto"/>
        <w:rPr>
          <w:i/>
        </w:rPr>
      </w:pPr>
    </w:p>
    <w:p w:rsidR="001F0446" w:rsidP="001F0446" w:rsidRDefault="001F0446" w14:paraId="2DFBEA9F" w14:textId="6CC88A26">
      <w:pPr>
        <w:spacing w:after="0" w:line="240" w:lineRule="auto"/>
        <w:rPr>
          <w:i/>
        </w:rPr>
      </w:pPr>
      <w:r>
        <w:rPr>
          <w:i/>
        </w:rPr>
        <w:t>Estimated Annualized Cost to Respondents</w:t>
      </w:r>
    </w:p>
    <w:p w:rsidR="000D7D44" w:rsidP="001F0446" w:rsidRDefault="00DC4B02" w14:paraId="4012190D" w14:textId="44FDBDD2">
      <w:pPr>
        <w:spacing w:after="0" w:line="240" w:lineRule="auto"/>
      </w:pPr>
      <w:r>
        <w:t xml:space="preserve">All respondents </w:t>
      </w:r>
      <w:r w:rsidR="00C64871">
        <w:t>are members</w:t>
      </w:r>
      <w:r>
        <w:t xml:space="preserve"> of state, local or tribal government. </w:t>
      </w:r>
      <w:r w:rsidRPr="00FC378B" w:rsidR="00FC378B">
        <w:t>Estimates for these respondents are based on the Department of Labor (DOL) May 201</w:t>
      </w:r>
      <w:r w:rsidR="00FC378B">
        <w:t xml:space="preserve">9 </w:t>
      </w:r>
      <w:r w:rsidRPr="00FC378B" w:rsidR="00FC378B">
        <w:t>estimates for the mean hourly wage of Social and Community Service Managers:   $</w:t>
      </w:r>
      <w:r w:rsidR="00FC378B">
        <w:t>35.05</w:t>
      </w:r>
      <w:r w:rsidRPr="00FC378B" w:rsidR="00FC378B">
        <w:t xml:space="preserve">  </w:t>
      </w:r>
      <w:hyperlink w:history="1" w:anchor="21-0000" r:id="rId11">
        <w:r w:rsidRPr="00FF439F" w:rsidR="00FC378B">
          <w:rPr>
            <w:rStyle w:val="Hyperlink"/>
          </w:rPr>
          <w:t>https://www.bls.gov/oes/current/oes_nat.htm#21-0000</w:t>
        </w:r>
      </w:hyperlink>
    </w:p>
    <w:p w:rsidR="001F0446" w:rsidP="001F0446" w:rsidRDefault="001F0446" w14:paraId="71226436" w14:textId="6825E190">
      <w:pPr>
        <w:spacing w:after="0" w:line="240" w:lineRule="auto"/>
      </w:pPr>
    </w:p>
    <w:p w:rsidR="00FC378B" w:rsidP="001F0446" w:rsidRDefault="00FC378B" w14:paraId="104B3E09" w14:textId="2B5C3A28">
      <w:pPr>
        <w:spacing w:after="0" w:line="240" w:lineRule="auto"/>
      </w:pPr>
      <w:r>
        <w:t xml:space="preserve">Exhibit A2 </w:t>
      </w:r>
      <w:r w:rsidRPr="00651E19">
        <w:rPr>
          <w:rFonts w:cstheme="minorHAnsi"/>
        </w:rPr>
        <w:t>Total burden requested under this information collection</w:t>
      </w:r>
    </w:p>
    <w:tbl>
      <w:tblPr>
        <w:tblStyle w:val="TableGrid"/>
        <w:tblW w:w="8753" w:type="dxa"/>
        <w:tblInd w:w="108" w:type="dxa"/>
        <w:tblLayout w:type="fixed"/>
        <w:tblLook w:val="01E0" w:firstRow="1" w:lastRow="1" w:firstColumn="1" w:lastColumn="1" w:noHBand="0" w:noVBand="0"/>
      </w:tblPr>
      <w:tblGrid>
        <w:gridCol w:w="1260"/>
        <w:gridCol w:w="1373"/>
        <w:gridCol w:w="1214"/>
        <w:gridCol w:w="1846"/>
        <w:gridCol w:w="900"/>
        <w:gridCol w:w="900"/>
        <w:gridCol w:w="1260"/>
      </w:tblGrid>
      <w:tr w:rsidRPr="00FC378B" w:rsidR="00EB46C2" w:rsidTr="00E35C71" w14:paraId="10E15412" w14:textId="77777777">
        <w:tc>
          <w:tcPr>
            <w:tcW w:w="1260" w:type="dxa"/>
            <w:tcBorders>
              <w:top w:val="single" w:color="auto" w:sz="4" w:space="0"/>
              <w:left w:val="single" w:color="auto" w:sz="4" w:space="0"/>
              <w:bottom w:val="single" w:color="auto" w:sz="4" w:space="0"/>
              <w:right w:val="single" w:color="auto" w:sz="4" w:space="0"/>
            </w:tcBorders>
            <w:hideMark/>
          </w:tcPr>
          <w:p w:rsidRPr="00FC378B" w:rsidR="00EB46C2" w:rsidP="00373D2F" w:rsidRDefault="00EB46C2"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378B">
              <w:rPr>
                <w:rFonts w:asciiTheme="minorHAnsi" w:hAnsiTheme="minorHAnsi" w:cstheme="minorHAnsi"/>
                <w:bCs/>
              </w:rPr>
              <w:lastRenderedPageBreak/>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FC378B" w:rsidR="00EB46C2" w:rsidP="00373D2F" w:rsidRDefault="00EB46C2"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378B">
              <w:rPr>
                <w:rFonts w:asciiTheme="minorHAnsi" w:hAnsiTheme="minorHAnsi" w:cstheme="minorHAnsi"/>
                <w:bCs/>
              </w:rPr>
              <w:t>No. of Respondents (total over request period)</w:t>
            </w:r>
          </w:p>
        </w:tc>
        <w:tc>
          <w:tcPr>
            <w:tcW w:w="1214" w:type="dxa"/>
            <w:tcBorders>
              <w:top w:val="single" w:color="auto" w:sz="4" w:space="0"/>
              <w:left w:val="single" w:color="auto" w:sz="4" w:space="0"/>
              <w:bottom w:val="single" w:color="auto" w:sz="4" w:space="0"/>
              <w:right w:val="single" w:color="auto" w:sz="4" w:space="0"/>
            </w:tcBorders>
            <w:hideMark/>
          </w:tcPr>
          <w:p w:rsidRPr="00FC378B" w:rsidR="00EB46C2" w:rsidP="00373D2F" w:rsidRDefault="00EB46C2"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378B">
              <w:rPr>
                <w:rFonts w:asciiTheme="minorHAnsi" w:hAnsiTheme="minorHAnsi" w:cstheme="minorHAnsi"/>
                <w:bCs/>
              </w:rPr>
              <w:t>No. of Responses per Respondent (total over request period)</w:t>
            </w:r>
          </w:p>
        </w:tc>
        <w:tc>
          <w:tcPr>
            <w:tcW w:w="1846" w:type="dxa"/>
            <w:tcBorders>
              <w:top w:val="single" w:color="auto" w:sz="4" w:space="0"/>
              <w:left w:val="single" w:color="auto" w:sz="4" w:space="0"/>
              <w:bottom w:val="single" w:color="auto" w:sz="4" w:space="0"/>
              <w:right w:val="single" w:color="auto" w:sz="4" w:space="0"/>
            </w:tcBorders>
            <w:hideMark/>
          </w:tcPr>
          <w:p w:rsidRPr="00FC378B" w:rsidR="00EB46C2" w:rsidP="00373D2F" w:rsidRDefault="00EB46C2"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378B">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FC378B" w:rsidR="00EB46C2" w:rsidP="00373D2F" w:rsidRDefault="00EB46C2" w14:paraId="63E93F96" w14:textId="100C4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378B">
              <w:rPr>
                <w:rFonts w:asciiTheme="minorHAnsi" w:hAnsiTheme="minorHAnsi" w:cstheme="minorHAnsi"/>
                <w:bCs/>
              </w:rPr>
              <w:t xml:space="preserve">Total </w:t>
            </w:r>
            <w:r>
              <w:rPr>
                <w:rFonts w:asciiTheme="minorHAnsi" w:hAnsiTheme="minorHAnsi" w:cstheme="minorHAnsi"/>
                <w:bCs/>
              </w:rPr>
              <w:t xml:space="preserve">/Annual </w:t>
            </w:r>
            <w:r w:rsidRPr="00FC378B">
              <w:rPr>
                <w:rFonts w:asciiTheme="minorHAnsi" w:hAnsiTheme="minorHAnsi" w:cstheme="minorHAnsi"/>
                <w:bCs/>
              </w:rPr>
              <w:t>Burden (in hours)</w:t>
            </w:r>
          </w:p>
        </w:tc>
        <w:tc>
          <w:tcPr>
            <w:tcW w:w="900" w:type="dxa"/>
            <w:tcBorders>
              <w:top w:val="single" w:color="auto" w:sz="4" w:space="0"/>
              <w:left w:val="single" w:color="auto" w:sz="4" w:space="0"/>
              <w:bottom w:val="single" w:color="auto" w:sz="4" w:space="0"/>
              <w:right w:val="single" w:color="auto" w:sz="4" w:space="0"/>
            </w:tcBorders>
            <w:hideMark/>
          </w:tcPr>
          <w:p w:rsidRPr="00FC378B" w:rsidR="00EB46C2" w:rsidP="00373D2F" w:rsidRDefault="00EB46C2"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378B">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FC378B" w:rsidR="00EB46C2" w:rsidP="00373D2F" w:rsidRDefault="00EB46C2"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378B">
              <w:rPr>
                <w:rFonts w:asciiTheme="minorHAnsi" w:hAnsiTheme="minorHAnsi" w:cstheme="minorHAnsi"/>
                <w:bCs/>
              </w:rPr>
              <w:t>Total Annual Respondent Cost</w:t>
            </w:r>
          </w:p>
        </w:tc>
      </w:tr>
      <w:tr w:rsidRPr="00FC378B" w:rsidR="00EB46C2" w:rsidTr="00E35C71" w14:paraId="6B5B6719" w14:textId="77777777">
        <w:tc>
          <w:tcPr>
            <w:tcW w:w="1260" w:type="dxa"/>
            <w:tcBorders>
              <w:top w:val="single" w:color="auto" w:sz="4" w:space="0"/>
              <w:left w:val="single" w:color="auto" w:sz="4" w:space="0"/>
              <w:bottom w:val="single" w:color="auto" w:sz="4" w:space="0"/>
              <w:right w:val="single" w:color="auto" w:sz="4" w:space="0"/>
            </w:tcBorders>
          </w:tcPr>
          <w:p w:rsidRPr="00FC378B" w:rsidR="00EB46C2" w:rsidP="00373D2F" w:rsidRDefault="00EB46C2" w14:paraId="2F62EEA9" w14:textId="1C3571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378B">
              <w:rPr>
                <w:rFonts w:asciiTheme="minorHAnsi" w:hAnsiTheme="minorHAnsi" w:cstheme="minorHAnsi"/>
                <w:bCs/>
              </w:rPr>
              <w:t>Needs Assessment Survey</w:t>
            </w:r>
          </w:p>
        </w:tc>
        <w:tc>
          <w:tcPr>
            <w:tcW w:w="1373" w:type="dxa"/>
            <w:tcBorders>
              <w:top w:val="single" w:color="auto" w:sz="4" w:space="0"/>
              <w:left w:val="single" w:color="auto" w:sz="4" w:space="0"/>
              <w:bottom w:val="single" w:color="auto" w:sz="4" w:space="0"/>
              <w:right w:val="single" w:color="auto" w:sz="4" w:space="0"/>
            </w:tcBorders>
            <w:vAlign w:val="center"/>
          </w:tcPr>
          <w:p w:rsidRPr="00FC378B" w:rsidR="00EB46C2" w:rsidP="00995C8E" w:rsidRDefault="00EB46C2" w14:paraId="734CE33C" w14:textId="42BC4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378B">
              <w:rPr>
                <w:rFonts w:asciiTheme="minorHAnsi" w:hAnsiTheme="minorHAnsi" w:cstheme="minorHAnsi"/>
                <w:bCs/>
              </w:rPr>
              <w:t>71</w:t>
            </w:r>
          </w:p>
        </w:tc>
        <w:tc>
          <w:tcPr>
            <w:tcW w:w="1214" w:type="dxa"/>
            <w:tcBorders>
              <w:top w:val="single" w:color="auto" w:sz="4" w:space="0"/>
              <w:left w:val="single" w:color="auto" w:sz="4" w:space="0"/>
              <w:bottom w:val="single" w:color="auto" w:sz="4" w:space="0"/>
              <w:right w:val="single" w:color="auto" w:sz="4" w:space="0"/>
            </w:tcBorders>
            <w:vAlign w:val="center"/>
          </w:tcPr>
          <w:p w:rsidRPr="00FC378B" w:rsidR="00EB46C2" w:rsidP="00995C8E" w:rsidRDefault="00EB46C2" w14:paraId="67B65A40" w14:textId="40AE5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FC378B" w:rsidR="00EB46C2" w:rsidP="00995C8E" w:rsidRDefault="00EB46C2" w14:paraId="59B12C61" w14:textId="438E8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378B">
              <w:rPr>
                <w:rFonts w:asciiTheme="minorHAnsi" w:hAnsiTheme="minorHAnsi" w:cstheme="minorHAnsi"/>
                <w:bCs/>
              </w:rPr>
              <w:t>.42</w:t>
            </w:r>
          </w:p>
        </w:tc>
        <w:tc>
          <w:tcPr>
            <w:tcW w:w="900" w:type="dxa"/>
            <w:tcBorders>
              <w:top w:val="single" w:color="auto" w:sz="4" w:space="0"/>
              <w:left w:val="single" w:color="auto" w:sz="4" w:space="0"/>
              <w:bottom w:val="single" w:color="auto" w:sz="4" w:space="0"/>
              <w:right w:val="single" w:color="auto" w:sz="4" w:space="0"/>
            </w:tcBorders>
            <w:vAlign w:val="center"/>
          </w:tcPr>
          <w:p w:rsidRPr="00FC378B" w:rsidR="00EB46C2" w:rsidP="00995C8E" w:rsidRDefault="00EB46C2" w14:paraId="5DF8136F" w14:textId="7E1C0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378B">
              <w:rPr>
                <w:rFonts w:asciiTheme="minorHAnsi" w:hAnsiTheme="minorHAnsi" w:cstheme="minorHAnsi"/>
                <w:bCs/>
              </w:rPr>
              <w:t>29.6</w:t>
            </w:r>
          </w:p>
        </w:tc>
        <w:tc>
          <w:tcPr>
            <w:tcW w:w="900" w:type="dxa"/>
            <w:tcBorders>
              <w:top w:val="single" w:color="auto" w:sz="4" w:space="0"/>
              <w:left w:val="single" w:color="auto" w:sz="4" w:space="0"/>
              <w:bottom w:val="single" w:color="auto" w:sz="4" w:space="0"/>
              <w:right w:val="single" w:color="auto" w:sz="4" w:space="0"/>
            </w:tcBorders>
            <w:vAlign w:val="center"/>
            <w:hideMark/>
          </w:tcPr>
          <w:p w:rsidRPr="00FC378B" w:rsidR="00EB46C2" w:rsidP="00995C8E" w:rsidRDefault="00EB46C2" w14:paraId="14155F61" w14:textId="0B0529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378B">
              <w:rPr>
                <w:rFonts w:asciiTheme="minorHAnsi" w:hAnsiTheme="minorHAnsi" w:cstheme="minorHAnsi"/>
                <w:bCs/>
              </w:rPr>
              <w:t>$35.05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FC378B" w:rsidR="00EB46C2" w:rsidP="00995C8E" w:rsidRDefault="00EB46C2" w14:paraId="12F8BC45" w14:textId="75D055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378B">
              <w:rPr>
                <w:rFonts w:asciiTheme="minorHAnsi" w:hAnsiTheme="minorHAnsi" w:cstheme="minorHAnsi"/>
                <w:bCs/>
              </w:rPr>
              <w:t>$1,037.48</w:t>
            </w:r>
          </w:p>
        </w:tc>
      </w:tr>
      <w:tr w:rsidRPr="00FC378B" w:rsidR="00EB46C2" w:rsidTr="00E35C71" w14:paraId="1F702D2F" w14:textId="77777777">
        <w:tc>
          <w:tcPr>
            <w:tcW w:w="1260" w:type="dxa"/>
            <w:tcBorders>
              <w:top w:val="single" w:color="auto" w:sz="4" w:space="0"/>
              <w:left w:val="single" w:color="auto" w:sz="4" w:space="0"/>
              <w:bottom w:val="single" w:color="auto" w:sz="4" w:space="0"/>
              <w:right w:val="single" w:color="auto" w:sz="4" w:space="0"/>
            </w:tcBorders>
          </w:tcPr>
          <w:p w:rsidRPr="00C53A96" w:rsidR="00EB46C2" w:rsidP="00373D2F" w:rsidRDefault="00EB46C2" w14:paraId="5A1A6801" w14:textId="4CE6DF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378B">
              <w:rPr>
                <w:rFonts w:asciiTheme="minorHAnsi" w:hAnsiTheme="minorHAnsi" w:cstheme="minorHAnsi"/>
                <w:bCs/>
              </w:rPr>
              <w:t>Focus group protocol</w:t>
            </w:r>
          </w:p>
        </w:tc>
        <w:tc>
          <w:tcPr>
            <w:tcW w:w="1373" w:type="dxa"/>
            <w:tcBorders>
              <w:top w:val="single" w:color="auto" w:sz="4" w:space="0"/>
              <w:left w:val="single" w:color="auto" w:sz="4" w:space="0"/>
              <w:bottom w:val="single" w:color="auto" w:sz="4" w:space="0"/>
              <w:right w:val="single" w:color="auto" w:sz="4" w:space="0"/>
            </w:tcBorders>
            <w:vAlign w:val="center"/>
          </w:tcPr>
          <w:p w:rsidRPr="00C53A96" w:rsidR="00EB46C2" w:rsidP="00373D2F" w:rsidRDefault="00EB46C2" w14:paraId="4214D9E3" w14:textId="2C85A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45</w:t>
            </w:r>
          </w:p>
        </w:tc>
        <w:tc>
          <w:tcPr>
            <w:tcW w:w="1214" w:type="dxa"/>
            <w:tcBorders>
              <w:top w:val="single" w:color="auto" w:sz="4" w:space="0"/>
              <w:left w:val="single" w:color="auto" w:sz="4" w:space="0"/>
              <w:bottom w:val="single" w:color="auto" w:sz="4" w:space="0"/>
              <w:right w:val="single" w:color="auto" w:sz="4" w:space="0"/>
            </w:tcBorders>
            <w:vAlign w:val="center"/>
          </w:tcPr>
          <w:p w:rsidRPr="00C53A96" w:rsidR="00EB46C2" w:rsidP="00373D2F" w:rsidRDefault="00EB46C2" w14:paraId="34F7B46E" w14:textId="1E453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C53A96" w:rsidR="00EB46C2" w:rsidP="00C53A96" w:rsidRDefault="00EB46C2" w14:paraId="1DD1A712" w14:textId="603B3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C53A96" w:rsidR="00EB46C2" w:rsidP="00C53A96" w:rsidRDefault="00EB46C2" w14:paraId="0F031F7B" w14:textId="51DB8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67.5</w:t>
            </w:r>
          </w:p>
        </w:tc>
        <w:tc>
          <w:tcPr>
            <w:tcW w:w="900" w:type="dxa"/>
            <w:tcBorders>
              <w:top w:val="single" w:color="auto" w:sz="4" w:space="0"/>
              <w:left w:val="single" w:color="auto" w:sz="4" w:space="0"/>
              <w:bottom w:val="single" w:color="auto" w:sz="4" w:space="0"/>
              <w:right w:val="single" w:color="auto" w:sz="4" w:space="0"/>
            </w:tcBorders>
            <w:vAlign w:val="center"/>
          </w:tcPr>
          <w:p w:rsidRPr="00C53A96" w:rsidR="00EB46C2" w:rsidP="00373D2F" w:rsidRDefault="00EB46C2" w14:paraId="4BDEB1E9" w14:textId="67C10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$35.05</w:t>
            </w:r>
          </w:p>
        </w:tc>
        <w:tc>
          <w:tcPr>
            <w:tcW w:w="1260" w:type="dxa"/>
            <w:tcBorders>
              <w:top w:val="single" w:color="auto" w:sz="4" w:space="0"/>
              <w:left w:val="single" w:color="auto" w:sz="4" w:space="0"/>
              <w:bottom w:val="single" w:color="auto" w:sz="4" w:space="0"/>
              <w:right w:val="single" w:color="auto" w:sz="4" w:space="0"/>
            </w:tcBorders>
            <w:vAlign w:val="center"/>
          </w:tcPr>
          <w:p w:rsidRPr="00C53A96" w:rsidR="00EB46C2" w:rsidP="00373D2F" w:rsidRDefault="00EB46C2" w14:paraId="395C27D0" w14:textId="346F29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$2,365.88</w:t>
            </w:r>
          </w:p>
        </w:tc>
      </w:tr>
      <w:tr w:rsidRPr="00FC378B" w:rsidR="00EB46C2" w:rsidTr="00E35C71" w14:paraId="2EC327E8" w14:textId="77777777">
        <w:tc>
          <w:tcPr>
            <w:tcW w:w="1260" w:type="dxa"/>
            <w:tcBorders>
              <w:top w:val="single" w:color="auto" w:sz="4" w:space="0"/>
              <w:left w:val="single" w:color="auto" w:sz="4" w:space="0"/>
              <w:bottom w:val="single" w:color="auto" w:sz="4" w:space="0"/>
              <w:right w:val="single" w:color="auto" w:sz="4" w:space="0"/>
            </w:tcBorders>
            <w:hideMark/>
          </w:tcPr>
          <w:p w:rsidRPr="00FC378B" w:rsidR="00EB46C2" w:rsidP="00373D2F" w:rsidRDefault="00EB46C2"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378B">
              <w:rPr>
                <w:rFonts w:asciiTheme="minorHAnsi" w:hAnsiTheme="minorHAnsi" w:cstheme="minorHAnsi"/>
                <w:bCs/>
              </w:rPr>
              <w:t>Total</w:t>
            </w:r>
          </w:p>
        </w:tc>
        <w:tc>
          <w:tcPr>
            <w:tcW w:w="1373" w:type="dxa"/>
            <w:tcBorders>
              <w:top w:val="single" w:color="auto" w:sz="4" w:space="0"/>
              <w:left w:val="single" w:color="auto" w:sz="4" w:space="0"/>
              <w:bottom w:val="single" w:color="auto" w:sz="4" w:space="0"/>
              <w:right w:val="single" w:color="auto" w:sz="4" w:space="0"/>
            </w:tcBorders>
            <w:vAlign w:val="center"/>
          </w:tcPr>
          <w:p w:rsidRPr="00FC378B" w:rsidR="00EB46C2" w:rsidP="00373D2F" w:rsidRDefault="00EB46C2" w14:paraId="7C07A0FE" w14:textId="00B4A4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116</w:t>
            </w:r>
          </w:p>
        </w:tc>
        <w:tc>
          <w:tcPr>
            <w:tcW w:w="1214" w:type="dxa"/>
            <w:tcBorders>
              <w:top w:val="single" w:color="auto" w:sz="4" w:space="0"/>
              <w:left w:val="single" w:color="auto" w:sz="4" w:space="0"/>
              <w:bottom w:val="single" w:color="auto" w:sz="4" w:space="0"/>
              <w:right w:val="single" w:color="auto" w:sz="4" w:space="0"/>
            </w:tcBorders>
            <w:vAlign w:val="center"/>
          </w:tcPr>
          <w:p w:rsidRPr="00FC378B" w:rsidR="00EB46C2" w:rsidP="00373D2F" w:rsidRDefault="00EB46C2" w14:paraId="4BB8399E" w14:textId="62D38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FC378B" w:rsidR="00EB46C2" w:rsidP="00373D2F" w:rsidRDefault="00EB46C2" w14:paraId="75873A49" w14:textId="5B7BF2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N/A</w:t>
            </w:r>
          </w:p>
        </w:tc>
        <w:tc>
          <w:tcPr>
            <w:tcW w:w="900" w:type="dxa"/>
            <w:tcBorders>
              <w:top w:val="single" w:color="auto" w:sz="4" w:space="0"/>
              <w:left w:val="single" w:color="auto" w:sz="4" w:space="0"/>
              <w:bottom w:val="single" w:color="auto" w:sz="4" w:space="0"/>
              <w:right w:val="single" w:color="auto" w:sz="4" w:space="0"/>
            </w:tcBorders>
          </w:tcPr>
          <w:p w:rsidRPr="00FC378B" w:rsidR="00EB46C2" w:rsidP="00373D2F" w:rsidRDefault="00EB46C2" w14:paraId="738E4AEE" w14:textId="71F13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97</w:t>
            </w:r>
          </w:p>
        </w:tc>
        <w:tc>
          <w:tcPr>
            <w:tcW w:w="900" w:type="dxa"/>
            <w:tcBorders>
              <w:top w:val="single" w:color="auto" w:sz="4" w:space="0"/>
              <w:left w:val="single" w:color="auto" w:sz="4" w:space="0"/>
              <w:bottom w:val="single" w:color="auto" w:sz="4" w:space="0"/>
              <w:right w:val="single" w:color="auto" w:sz="4" w:space="0"/>
            </w:tcBorders>
            <w:vAlign w:val="center"/>
            <w:hideMark/>
          </w:tcPr>
          <w:p w:rsidRPr="00FC378B" w:rsidR="00EB46C2" w:rsidP="00373D2F" w:rsidRDefault="00EB46C2" w14:paraId="63D8209C" w14:textId="69FF8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378B">
              <w:rPr>
                <w:rFonts w:asciiTheme="minorHAnsi" w:hAnsiTheme="minorHAnsi" w:cstheme="minorHAnsi"/>
                <w:bCs/>
              </w:rPr>
              <w:t>$</w:t>
            </w:r>
            <w:r>
              <w:rPr>
                <w:rFonts w:asciiTheme="minorHAnsi" w:hAnsiTheme="minorHAnsi" w:cstheme="minorHAnsi"/>
                <w:bCs/>
              </w:rPr>
              <w:t>35.05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FC378B" w:rsidR="00EB46C2" w:rsidP="00373D2F" w:rsidRDefault="00EB46C2" w14:paraId="7567EB84" w14:textId="24EE8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378B">
              <w:rPr>
                <w:rFonts w:asciiTheme="minorHAnsi" w:hAnsiTheme="minorHAnsi" w:cstheme="minorHAnsi"/>
                <w:bCs/>
              </w:rPr>
              <w:t>$</w:t>
            </w:r>
            <w:r>
              <w:rPr>
                <w:rFonts w:asciiTheme="minorHAnsi" w:hAnsiTheme="minorHAnsi" w:cstheme="minorHAnsi"/>
                <w:bCs/>
              </w:rPr>
              <w:t>3,403.36</w:t>
            </w:r>
          </w:p>
        </w:tc>
      </w:tr>
    </w:tbl>
    <w:p w:rsidR="000D7D44" w:rsidP="00373D2F" w:rsidRDefault="000D7D44" w14:paraId="0FDEB9FD" w14:textId="2F2BD974">
      <w:pPr>
        <w:spacing w:after="0" w:line="240" w:lineRule="auto"/>
      </w:pPr>
    </w:p>
    <w:p w:rsidR="001F0446" w:rsidP="00373D2F" w:rsidRDefault="001F0446" w14:paraId="4041F8A1" w14:textId="627BEA9A">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FD11F1" w14:paraId="262B006D" w14:textId="712263D3">
      <w:pPr>
        <w:autoSpaceDE w:val="0"/>
        <w:autoSpaceDN w:val="0"/>
        <w:adjustRightInd w:val="0"/>
        <w:spacing w:after="0" w:line="240" w:lineRule="auto"/>
        <w:rPr>
          <w:rFonts w:cstheme="minorHAnsi"/>
        </w:rPr>
      </w:pPr>
      <w:r>
        <w:rPr>
          <w:rFonts w:cstheme="minorHAnsi"/>
        </w:rPr>
        <w:t>There are no additional costs to respondents.</w:t>
      </w: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474017" w:rsidP="00474017" w:rsidRDefault="00474017" w14:paraId="534C9CD6" w14:textId="6E833191">
      <w:pPr>
        <w:spacing w:after="240"/>
      </w:pPr>
      <w:r>
        <w:t xml:space="preserve">The cost for the data collection activities under this current request </w:t>
      </w:r>
      <w:r w:rsidR="00AC5B46">
        <w:t>is</w:t>
      </w:r>
      <w:r>
        <w:t xml:space="preserve"> </w:t>
      </w:r>
      <w:r w:rsidRPr="002F763C">
        <w:t>$</w:t>
      </w:r>
      <w:r w:rsidR="00747995">
        <w:t>372,692</w:t>
      </w:r>
      <w:r>
        <w:t>. </w:t>
      </w:r>
      <w:r w:rsidR="008B1CEA">
        <w:t xml:space="preserve">It includes </w:t>
      </w:r>
      <w:r w:rsidR="00546BF0">
        <w:t xml:space="preserve">direct and indirect </w:t>
      </w:r>
      <w:r w:rsidR="008B1CEA">
        <w:t>costs</w:t>
      </w:r>
      <w:r w:rsidR="006207EB">
        <w:t xml:space="preserve"> </w:t>
      </w:r>
      <w:r w:rsidRPr="00137E2A" w:rsidR="006207EB">
        <w:rPr>
          <w:rFonts w:cstheme="minorHAnsi"/>
        </w:rPr>
        <w:t>for</w:t>
      </w:r>
      <w:r w:rsidRPr="00137E2A" w:rsidR="006207EB">
        <w:rPr>
          <w:rFonts w:eastAsia="Times New Roman" w:cstheme="minorHAnsi"/>
        </w:rPr>
        <w:t xml:space="preserve"> </w:t>
      </w:r>
      <w:r w:rsidR="008356C4">
        <w:rPr>
          <w:rFonts w:eastAsia="Times New Roman" w:cstheme="minorHAnsi"/>
        </w:rPr>
        <w:t xml:space="preserve">developing plans, </w:t>
      </w:r>
      <w:r w:rsidRPr="00137E2A" w:rsidR="006207EB">
        <w:rPr>
          <w:rFonts w:eastAsia="Times New Roman" w:cstheme="minorHAnsi"/>
        </w:rPr>
        <w:t xml:space="preserve">designing data collection instruments and </w:t>
      </w:r>
      <w:r w:rsidR="008356C4">
        <w:rPr>
          <w:rFonts w:eastAsia="Times New Roman" w:cstheme="minorHAnsi"/>
        </w:rPr>
        <w:t xml:space="preserve">putting instruments through </w:t>
      </w:r>
      <w:r w:rsidR="00546BF0">
        <w:rPr>
          <w:rFonts w:eastAsia="Times New Roman" w:cstheme="minorHAnsi"/>
        </w:rPr>
        <w:t>OMB clearance; the field work of</w:t>
      </w:r>
      <w:r w:rsidR="008356C4">
        <w:rPr>
          <w:rFonts w:eastAsia="Times New Roman" w:cstheme="minorHAnsi"/>
        </w:rPr>
        <w:t xml:space="preserve"> recruiting participants and</w:t>
      </w:r>
      <w:r w:rsidR="00546BF0">
        <w:rPr>
          <w:rFonts w:eastAsia="Times New Roman" w:cstheme="minorHAnsi"/>
        </w:rPr>
        <w:t xml:space="preserve"> </w:t>
      </w:r>
      <w:r w:rsidRPr="00137E2A" w:rsidR="006207EB">
        <w:rPr>
          <w:rFonts w:eastAsia="Times New Roman" w:cstheme="minorHAnsi"/>
        </w:rPr>
        <w:t xml:space="preserve">collecting </w:t>
      </w:r>
      <w:r w:rsidR="00546BF0">
        <w:rPr>
          <w:rFonts w:eastAsia="Times New Roman" w:cstheme="minorHAnsi"/>
        </w:rPr>
        <w:t xml:space="preserve">and processing </w:t>
      </w:r>
      <w:r w:rsidRPr="00137E2A" w:rsidR="006207EB">
        <w:rPr>
          <w:rFonts w:eastAsia="Times New Roman" w:cstheme="minorHAnsi"/>
        </w:rPr>
        <w:t>all the data</w:t>
      </w:r>
      <w:r w:rsidR="00546BF0">
        <w:rPr>
          <w:rFonts w:eastAsia="Times New Roman" w:cstheme="minorHAnsi"/>
        </w:rPr>
        <w:t xml:space="preserve">; </w:t>
      </w:r>
      <w:r w:rsidRPr="00137E2A" w:rsidR="006207EB">
        <w:rPr>
          <w:rFonts w:eastAsia="Times New Roman" w:cstheme="minorHAnsi"/>
        </w:rPr>
        <w:t xml:space="preserve"> </w:t>
      </w:r>
      <w:r w:rsidR="00546BF0">
        <w:rPr>
          <w:rFonts w:eastAsia="Times New Roman" w:cstheme="minorHAnsi"/>
        </w:rPr>
        <w:t xml:space="preserve">and </w:t>
      </w:r>
      <w:r w:rsidR="008356C4">
        <w:rPr>
          <w:rFonts w:eastAsia="Times New Roman" w:cstheme="minorHAnsi"/>
        </w:rPr>
        <w:t xml:space="preserve">costs associated with </w:t>
      </w:r>
      <w:r w:rsidRPr="00137E2A" w:rsidR="006207EB">
        <w:rPr>
          <w:rFonts w:eastAsia="Times New Roman" w:cstheme="minorHAnsi"/>
        </w:rPr>
        <w:t>analyzing the data</w:t>
      </w:r>
      <w:r w:rsidR="00546BF0">
        <w:rPr>
          <w:rFonts w:eastAsia="Times New Roman" w:cstheme="minorHAnsi"/>
        </w:rPr>
        <w:t xml:space="preserve"> and </w:t>
      </w:r>
      <w:r w:rsidR="008B130E">
        <w:t xml:space="preserve">writing </w:t>
      </w:r>
      <w:r w:rsidR="008B1CEA">
        <w:t>the draft and final needs assessment reports</w:t>
      </w:r>
      <w:r>
        <w:t xml:space="preserve">. </w:t>
      </w:r>
      <w:r w:rsidR="008B1CEA">
        <w:t xml:space="preserve"> </w:t>
      </w:r>
      <w:r w:rsidR="00546BF0">
        <w:t xml:space="preserve">The cost estimate includes costs for both Urban Institute and its subcontractor, Mathematica. </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52088B"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52088B"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52088B" w:rsidRDefault="00B13DC4" w14:paraId="395B2B42" w14:textId="77777777">
            <w:pPr>
              <w:jc w:val="center"/>
              <w:rPr>
                <w:b/>
                <w:bCs/>
                <w:sz w:val="20"/>
              </w:rPr>
            </w:pPr>
            <w:r w:rsidRPr="00B13297">
              <w:rPr>
                <w:b/>
                <w:bCs/>
                <w:sz w:val="20"/>
              </w:rPr>
              <w:t>Estimated Costs</w:t>
            </w:r>
          </w:p>
        </w:tc>
      </w:tr>
      <w:tr w:rsidRPr="00B13297"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45F732A4">
            <w:pPr>
              <w:spacing w:after="0"/>
              <w:jc w:val="center"/>
              <w:rPr>
                <w:sz w:val="20"/>
              </w:rPr>
            </w:pPr>
            <w:r w:rsidRPr="00B13297">
              <w:rPr>
                <w:sz w:val="20"/>
              </w:rPr>
              <w:t>$</w:t>
            </w:r>
            <w:r w:rsidR="008356C4">
              <w:rPr>
                <w:sz w:val="20"/>
              </w:rPr>
              <w:t>147,500</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7B4CC4C8">
            <w:pPr>
              <w:spacing w:after="0"/>
              <w:jc w:val="center"/>
              <w:rPr>
                <w:sz w:val="20"/>
              </w:rPr>
            </w:pPr>
            <w:r w:rsidRPr="00B13297">
              <w:rPr>
                <w:sz w:val="20"/>
              </w:rPr>
              <w:t>$</w:t>
            </w:r>
            <w:r w:rsidR="008356C4">
              <w:rPr>
                <w:sz w:val="20"/>
              </w:rPr>
              <w:t>152,100</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391072ED">
            <w:pPr>
              <w:spacing w:after="0"/>
              <w:jc w:val="center"/>
              <w:rPr>
                <w:sz w:val="20"/>
              </w:rPr>
            </w:pPr>
            <w:r w:rsidRPr="00B13297">
              <w:rPr>
                <w:sz w:val="20"/>
              </w:rPr>
              <w:t>$</w:t>
            </w:r>
            <w:r w:rsidR="008356C4">
              <w:rPr>
                <w:sz w:val="20"/>
              </w:rPr>
              <w:t>73,092</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159720D4">
            <w:pPr>
              <w:spacing w:after="0"/>
              <w:jc w:val="center"/>
              <w:rPr>
                <w:b/>
                <w:bCs/>
                <w:sz w:val="20"/>
              </w:rPr>
            </w:pPr>
            <w:r w:rsidRPr="00B13297">
              <w:rPr>
                <w:sz w:val="20"/>
              </w:rPr>
              <w:t>$</w:t>
            </w:r>
            <w:r w:rsidR="00EA45DC">
              <w:rPr>
                <w:sz w:val="20"/>
              </w:rPr>
              <w:t>372,692</w:t>
            </w:r>
          </w:p>
        </w:tc>
      </w:tr>
    </w:tbl>
    <w:p w:rsidR="00B13DC4" w:rsidP="00E35C71" w:rsidRDefault="00B13DC4" w14:paraId="1C1FE802" w14:textId="3E0D7DD8">
      <w:pPr>
        <w:spacing w:after="0"/>
        <w:rPr>
          <w:rFonts w:ascii="Calibri" w:hAnsi="Calibri" w:eastAsia="Calibri" w:cs="Calibri"/>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2C4A7D" w:rsidP="00E35C71" w:rsidRDefault="00014EDC" w14:paraId="2F4891E2" w14:textId="5979500D">
      <w:pPr>
        <w:spacing w:after="0" w:line="240" w:lineRule="auto"/>
      </w:pPr>
      <w:r w:rsidRPr="00CB2ED6">
        <w:t xml:space="preserve">This is for an individual information collection under </w:t>
      </w:r>
      <w:r w:rsidRPr="0052088B">
        <w:t>the umbrella formative generic clearance for ACF research (0970-0356)</w:t>
      </w:r>
      <w:r w:rsidRPr="0052088B" w:rsidR="0052088B">
        <w:t>.</w:t>
      </w:r>
      <w:r w:rsidRPr="00CB2ED6" w:rsidR="0052088B">
        <w:t xml:space="preserve"> </w:t>
      </w:r>
      <w:bookmarkStart w:name="_GoBack" w:id="3"/>
    </w:p>
    <w:bookmarkEnd w:id="3"/>
    <w:p w:rsidR="00865359" w:rsidP="00E35C71" w:rsidRDefault="00865359" w14:paraId="1E00F105" w14:textId="77777777">
      <w:pPr>
        <w:spacing w:after="0" w:line="240" w:lineRule="auto"/>
        <w:rPr>
          <w:rFonts w:cstheme="minorHAnsi"/>
          <w:b/>
        </w:rPr>
      </w:pPr>
    </w:p>
    <w:p w:rsidR="000D4E9A" w:rsidP="00CB4358" w:rsidRDefault="00B23277" w14:paraId="2FB760D1" w14:textId="125057E4">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D310B4" w:rsidP="00CB4358" w:rsidRDefault="003D5D3A" w14:paraId="1C2BE3EF" w14:textId="305BFCBB">
      <w:pPr>
        <w:spacing w:after="120" w:line="240" w:lineRule="auto"/>
        <w:rPr>
          <w:rFonts w:cstheme="minorHAnsi"/>
          <w:bCs/>
        </w:rPr>
      </w:pPr>
      <w:r w:rsidRPr="00707853">
        <w:rPr>
          <w:rFonts w:cstheme="minorHAnsi"/>
          <w:bCs/>
        </w:rPr>
        <w:t>Exhibit A</w:t>
      </w:r>
      <w:r w:rsidRPr="00707853" w:rsidR="00707853">
        <w:rPr>
          <w:rFonts w:cstheme="minorHAnsi"/>
          <w:bCs/>
        </w:rPr>
        <w:t>3</w:t>
      </w:r>
      <w:r w:rsidRPr="002004C2" w:rsidR="002004C2">
        <w:rPr>
          <w:rFonts w:cstheme="minorHAnsi"/>
          <w:bCs/>
        </w:rPr>
        <w:t xml:space="preserve"> shows the </w:t>
      </w:r>
      <w:r w:rsidR="00E45FAD">
        <w:rPr>
          <w:rFonts w:cstheme="minorHAnsi"/>
          <w:bCs/>
        </w:rPr>
        <w:t>timeline</w:t>
      </w:r>
      <w:r w:rsidRPr="002004C2" w:rsidR="002004C2">
        <w:rPr>
          <w:rFonts w:cstheme="minorHAnsi"/>
          <w:bCs/>
        </w:rPr>
        <w:t xml:space="preserve"> for the </w:t>
      </w:r>
      <w:r>
        <w:rPr>
          <w:rFonts w:cstheme="minorHAnsi"/>
          <w:bCs/>
        </w:rPr>
        <w:t>study</w:t>
      </w:r>
      <w:r w:rsidRPr="002004C2" w:rsidR="002004C2">
        <w:rPr>
          <w:rFonts w:cstheme="minorHAnsi"/>
          <w:bCs/>
        </w:rPr>
        <w:t xml:space="preserve">. The </w:t>
      </w:r>
      <w:r>
        <w:rPr>
          <w:rFonts w:cstheme="minorHAnsi"/>
          <w:bCs/>
        </w:rPr>
        <w:t xml:space="preserve">final </w:t>
      </w:r>
      <w:r w:rsidRPr="002004C2" w:rsidR="002004C2">
        <w:rPr>
          <w:rFonts w:cstheme="minorHAnsi"/>
          <w:bCs/>
        </w:rPr>
        <w:t xml:space="preserve">report, expected in </w:t>
      </w:r>
      <w:r>
        <w:rPr>
          <w:rFonts w:cstheme="minorHAnsi"/>
          <w:bCs/>
        </w:rPr>
        <w:t>November</w:t>
      </w:r>
      <w:r w:rsidRPr="002004C2" w:rsidR="002004C2">
        <w:rPr>
          <w:rFonts w:cstheme="minorHAnsi"/>
          <w:bCs/>
        </w:rPr>
        <w:t xml:space="preserve"> 2021, will present findings based on </w:t>
      </w:r>
      <w:r>
        <w:rPr>
          <w:rFonts w:cstheme="minorHAnsi"/>
          <w:bCs/>
        </w:rPr>
        <w:t>the survey and focus groups</w:t>
      </w:r>
      <w:r w:rsidRPr="002004C2" w:rsidR="002004C2">
        <w:rPr>
          <w:rFonts w:cstheme="minorHAnsi"/>
          <w:bCs/>
        </w:rPr>
        <w:t xml:space="preserve">.  </w:t>
      </w:r>
    </w:p>
    <w:p w:rsidRPr="00707853" w:rsidR="00E45FAD" w:rsidP="00CB4358" w:rsidRDefault="00E45FAD" w14:paraId="5835526E" w14:textId="38EE647C">
      <w:pPr>
        <w:spacing w:after="120" w:line="240" w:lineRule="auto"/>
        <w:rPr>
          <w:rFonts w:cstheme="minorHAnsi"/>
          <w:bCs/>
        </w:rPr>
      </w:pPr>
      <w:r w:rsidRPr="00707853">
        <w:rPr>
          <w:rFonts w:cstheme="minorHAnsi"/>
          <w:bCs/>
        </w:rPr>
        <w:t>Exhibit A</w:t>
      </w:r>
      <w:r w:rsidRPr="00707853" w:rsidR="00707853">
        <w:rPr>
          <w:rFonts w:cstheme="minorHAnsi"/>
          <w:bCs/>
        </w:rPr>
        <w:t>3</w:t>
      </w:r>
      <w:r w:rsidRPr="00707853">
        <w:rPr>
          <w:rFonts w:cstheme="minorHAnsi"/>
          <w:bCs/>
        </w:rPr>
        <w:t>. Study timeline</w:t>
      </w:r>
    </w:p>
    <w:tbl>
      <w:tblPr>
        <w:tblStyle w:val="TableGrid"/>
        <w:tblW w:w="0" w:type="auto"/>
        <w:tblInd w:w="0" w:type="dxa"/>
        <w:tblLook w:val="04A0" w:firstRow="1" w:lastRow="0" w:firstColumn="1" w:lastColumn="0" w:noHBand="0" w:noVBand="1"/>
      </w:tblPr>
      <w:tblGrid>
        <w:gridCol w:w="4675"/>
        <w:gridCol w:w="4675"/>
      </w:tblGrid>
      <w:tr w:rsidRPr="00707853" w:rsidR="00637143" w:rsidTr="00637143" w14:paraId="62568BAD" w14:textId="77777777">
        <w:tc>
          <w:tcPr>
            <w:tcW w:w="4675" w:type="dxa"/>
          </w:tcPr>
          <w:p w:rsidRPr="00707853" w:rsidR="00637143" w:rsidP="00707853" w:rsidRDefault="002004C2" w14:paraId="347D32CD" w14:textId="4426E576">
            <w:pPr>
              <w:rPr>
                <w:rFonts w:asciiTheme="minorHAnsi" w:hAnsiTheme="minorHAnsi" w:cstheme="minorHAnsi"/>
                <w:b/>
                <w:bCs/>
              </w:rPr>
            </w:pPr>
            <w:r w:rsidRPr="00707853">
              <w:rPr>
                <w:rFonts w:asciiTheme="minorHAnsi" w:hAnsiTheme="minorHAnsi" w:cstheme="minorHAnsi"/>
                <w:b/>
                <w:bCs/>
              </w:rPr>
              <w:t>Tasks</w:t>
            </w:r>
          </w:p>
        </w:tc>
        <w:tc>
          <w:tcPr>
            <w:tcW w:w="4675" w:type="dxa"/>
          </w:tcPr>
          <w:p w:rsidRPr="00707853" w:rsidR="00637143" w:rsidP="00707853" w:rsidRDefault="00F77017" w14:paraId="4212B27F" w14:textId="4DA8BD19">
            <w:pPr>
              <w:rPr>
                <w:rFonts w:asciiTheme="minorHAnsi" w:hAnsiTheme="minorHAnsi" w:cstheme="minorHAnsi"/>
                <w:b/>
                <w:bCs/>
              </w:rPr>
            </w:pPr>
            <w:r w:rsidRPr="00707853">
              <w:rPr>
                <w:rFonts w:asciiTheme="minorHAnsi" w:hAnsiTheme="minorHAnsi" w:cstheme="minorHAnsi"/>
                <w:b/>
                <w:bCs/>
              </w:rPr>
              <w:t>Date</w:t>
            </w:r>
          </w:p>
        </w:tc>
      </w:tr>
      <w:tr w:rsidRPr="00707853" w:rsidR="00637143" w:rsidTr="00637143" w14:paraId="691606AB" w14:textId="77777777">
        <w:tc>
          <w:tcPr>
            <w:tcW w:w="4675" w:type="dxa"/>
          </w:tcPr>
          <w:p w:rsidRPr="00707853" w:rsidR="00637143" w:rsidP="00707853" w:rsidRDefault="00897DF7" w14:paraId="2D394803" w14:textId="20CD2927">
            <w:pPr>
              <w:rPr>
                <w:rFonts w:asciiTheme="minorHAnsi" w:hAnsiTheme="minorHAnsi" w:cstheme="minorHAnsi"/>
              </w:rPr>
            </w:pPr>
            <w:r w:rsidRPr="00707853">
              <w:rPr>
                <w:rFonts w:asciiTheme="minorHAnsi" w:hAnsiTheme="minorHAnsi" w:cstheme="minorHAnsi"/>
              </w:rPr>
              <w:t>Survey recruitment and data collection</w:t>
            </w:r>
          </w:p>
        </w:tc>
        <w:tc>
          <w:tcPr>
            <w:tcW w:w="4675" w:type="dxa"/>
          </w:tcPr>
          <w:p w:rsidRPr="00707853" w:rsidR="00637143" w:rsidP="00707853" w:rsidRDefault="00690297" w14:paraId="098C5E9B" w14:textId="797AE5B9">
            <w:pPr>
              <w:rPr>
                <w:rFonts w:asciiTheme="minorHAnsi" w:hAnsiTheme="minorHAnsi" w:cstheme="minorHAnsi"/>
              </w:rPr>
            </w:pPr>
            <w:r>
              <w:rPr>
                <w:rFonts w:asciiTheme="minorHAnsi" w:hAnsiTheme="minorHAnsi" w:cstheme="minorHAnsi"/>
              </w:rPr>
              <w:t>April</w:t>
            </w:r>
            <w:r w:rsidRPr="00707853" w:rsidR="00897DF7">
              <w:rPr>
                <w:rFonts w:asciiTheme="minorHAnsi" w:hAnsiTheme="minorHAnsi" w:cstheme="minorHAnsi"/>
              </w:rPr>
              <w:t xml:space="preserve"> 202</w:t>
            </w:r>
            <w:r w:rsidRPr="00707853" w:rsidR="002004C2">
              <w:rPr>
                <w:rFonts w:asciiTheme="minorHAnsi" w:hAnsiTheme="minorHAnsi" w:cstheme="minorHAnsi"/>
              </w:rPr>
              <w:t>1</w:t>
            </w:r>
            <w:r w:rsidRPr="00707853" w:rsidR="00897DF7">
              <w:rPr>
                <w:rFonts w:asciiTheme="minorHAnsi" w:hAnsiTheme="minorHAnsi" w:cstheme="minorHAnsi"/>
              </w:rPr>
              <w:t xml:space="preserve"> – </w:t>
            </w:r>
            <w:r>
              <w:rPr>
                <w:rFonts w:asciiTheme="minorHAnsi" w:hAnsiTheme="minorHAnsi" w:cstheme="minorHAnsi"/>
              </w:rPr>
              <w:t>August</w:t>
            </w:r>
            <w:r w:rsidRPr="00707853" w:rsidR="00897DF7">
              <w:rPr>
                <w:rFonts w:asciiTheme="minorHAnsi" w:hAnsiTheme="minorHAnsi" w:cstheme="minorHAnsi"/>
              </w:rPr>
              <w:t xml:space="preserve"> 202</w:t>
            </w:r>
            <w:r w:rsidRPr="00707853" w:rsidR="002004C2">
              <w:rPr>
                <w:rFonts w:asciiTheme="minorHAnsi" w:hAnsiTheme="minorHAnsi" w:cstheme="minorHAnsi"/>
              </w:rPr>
              <w:t>1</w:t>
            </w:r>
          </w:p>
        </w:tc>
      </w:tr>
      <w:tr w:rsidRPr="00707853" w:rsidR="00637143" w:rsidTr="00637143" w14:paraId="1C90D30B" w14:textId="77777777">
        <w:tc>
          <w:tcPr>
            <w:tcW w:w="4675" w:type="dxa"/>
          </w:tcPr>
          <w:p w:rsidRPr="00707853" w:rsidR="00637143" w:rsidP="00707853" w:rsidRDefault="00897DF7" w14:paraId="0D0ACE54" w14:textId="27EAFD31">
            <w:pPr>
              <w:rPr>
                <w:rFonts w:asciiTheme="minorHAnsi" w:hAnsiTheme="minorHAnsi" w:cstheme="minorHAnsi"/>
              </w:rPr>
            </w:pPr>
            <w:r w:rsidRPr="00707853">
              <w:rPr>
                <w:rFonts w:asciiTheme="minorHAnsi" w:hAnsiTheme="minorHAnsi" w:cstheme="minorHAnsi"/>
              </w:rPr>
              <w:t>Focus group recruitment and data collection</w:t>
            </w:r>
          </w:p>
        </w:tc>
        <w:tc>
          <w:tcPr>
            <w:tcW w:w="4675" w:type="dxa"/>
          </w:tcPr>
          <w:p w:rsidRPr="00707853" w:rsidR="00637143" w:rsidP="00707853" w:rsidRDefault="00690297" w14:paraId="729A17D2" w14:textId="7C17AE06">
            <w:pPr>
              <w:rPr>
                <w:rFonts w:asciiTheme="minorHAnsi" w:hAnsiTheme="minorHAnsi" w:cstheme="minorHAnsi"/>
              </w:rPr>
            </w:pPr>
            <w:r>
              <w:rPr>
                <w:rFonts w:asciiTheme="minorHAnsi" w:hAnsiTheme="minorHAnsi" w:cstheme="minorHAnsi"/>
              </w:rPr>
              <w:t>August</w:t>
            </w:r>
            <w:r w:rsidRPr="00707853" w:rsidR="00897DF7">
              <w:rPr>
                <w:rFonts w:asciiTheme="minorHAnsi" w:hAnsiTheme="minorHAnsi" w:cstheme="minorHAnsi"/>
              </w:rPr>
              <w:t xml:space="preserve"> 202</w:t>
            </w:r>
            <w:r w:rsidRPr="00707853" w:rsidR="002004C2">
              <w:rPr>
                <w:rFonts w:asciiTheme="minorHAnsi" w:hAnsiTheme="minorHAnsi" w:cstheme="minorHAnsi"/>
              </w:rPr>
              <w:t>1</w:t>
            </w:r>
            <w:r w:rsidRPr="00707853" w:rsidR="00897DF7">
              <w:rPr>
                <w:rFonts w:asciiTheme="minorHAnsi" w:hAnsiTheme="minorHAnsi" w:cstheme="minorHAnsi"/>
              </w:rPr>
              <w:t xml:space="preserve"> – </w:t>
            </w:r>
            <w:r>
              <w:rPr>
                <w:rFonts w:asciiTheme="minorHAnsi" w:hAnsiTheme="minorHAnsi" w:cstheme="minorHAnsi"/>
              </w:rPr>
              <w:t>September</w:t>
            </w:r>
            <w:r w:rsidRPr="00707853" w:rsidR="00897DF7">
              <w:rPr>
                <w:rFonts w:asciiTheme="minorHAnsi" w:hAnsiTheme="minorHAnsi" w:cstheme="minorHAnsi"/>
              </w:rPr>
              <w:t xml:space="preserve"> 202</w:t>
            </w:r>
            <w:r w:rsidRPr="00707853" w:rsidR="002004C2">
              <w:rPr>
                <w:rFonts w:asciiTheme="minorHAnsi" w:hAnsiTheme="minorHAnsi" w:cstheme="minorHAnsi"/>
              </w:rPr>
              <w:t>1</w:t>
            </w:r>
          </w:p>
        </w:tc>
      </w:tr>
      <w:tr w:rsidRPr="00707853" w:rsidR="00637143" w:rsidTr="00637143" w14:paraId="1D9255BD" w14:textId="77777777">
        <w:tc>
          <w:tcPr>
            <w:tcW w:w="4675" w:type="dxa"/>
          </w:tcPr>
          <w:p w:rsidRPr="00707853" w:rsidR="00637143" w:rsidP="00707853" w:rsidRDefault="002004C2" w14:paraId="7AFD1B4B" w14:textId="612C44A4">
            <w:pPr>
              <w:rPr>
                <w:rFonts w:asciiTheme="minorHAnsi" w:hAnsiTheme="minorHAnsi" w:cstheme="minorHAnsi"/>
              </w:rPr>
            </w:pPr>
            <w:r w:rsidRPr="00707853">
              <w:rPr>
                <w:rFonts w:asciiTheme="minorHAnsi" w:hAnsiTheme="minorHAnsi" w:cstheme="minorHAnsi"/>
              </w:rPr>
              <w:t>Data analysis</w:t>
            </w:r>
          </w:p>
        </w:tc>
        <w:tc>
          <w:tcPr>
            <w:tcW w:w="4675" w:type="dxa"/>
          </w:tcPr>
          <w:p w:rsidRPr="00707853" w:rsidR="00637143" w:rsidP="00707853" w:rsidRDefault="00690297" w14:paraId="5B0D0554" w14:textId="39DE3E6C">
            <w:pPr>
              <w:rPr>
                <w:rFonts w:asciiTheme="minorHAnsi" w:hAnsiTheme="minorHAnsi" w:cstheme="minorHAnsi"/>
              </w:rPr>
            </w:pPr>
            <w:r>
              <w:rPr>
                <w:rFonts w:asciiTheme="minorHAnsi" w:hAnsiTheme="minorHAnsi" w:cstheme="minorHAnsi"/>
              </w:rPr>
              <w:t>September</w:t>
            </w:r>
            <w:r w:rsidRPr="00707853" w:rsidR="002004C2">
              <w:rPr>
                <w:rFonts w:asciiTheme="minorHAnsi" w:hAnsiTheme="minorHAnsi" w:cstheme="minorHAnsi"/>
              </w:rPr>
              <w:t xml:space="preserve"> – </w:t>
            </w:r>
            <w:r>
              <w:rPr>
                <w:rFonts w:asciiTheme="minorHAnsi" w:hAnsiTheme="minorHAnsi" w:cstheme="minorHAnsi"/>
              </w:rPr>
              <w:t>October</w:t>
            </w:r>
            <w:r w:rsidRPr="00707853" w:rsidR="002004C2">
              <w:rPr>
                <w:rFonts w:asciiTheme="minorHAnsi" w:hAnsiTheme="minorHAnsi" w:cstheme="minorHAnsi"/>
              </w:rPr>
              <w:t xml:space="preserve"> 2021</w:t>
            </w:r>
          </w:p>
        </w:tc>
      </w:tr>
      <w:tr w:rsidRPr="00707853" w:rsidR="00637143" w:rsidTr="00637143" w14:paraId="502DD187" w14:textId="77777777">
        <w:tc>
          <w:tcPr>
            <w:tcW w:w="4675" w:type="dxa"/>
          </w:tcPr>
          <w:p w:rsidRPr="00707853" w:rsidR="00637143" w:rsidP="00707853" w:rsidRDefault="002004C2" w14:paraId="11EFEE8F" w14:textId="6C8CCB71">
            <w:pPr>
              <w:rPr>
                <w:rFonts w:asciiTheme="minorHAnsi" w:hAnsiTheme="minorHAnsi" w:cstheme="minorHAnsi"/>
              </w:rPr>
            </w:pPr>
            <w:r w:rsidRPr="00707853">
              <w:rPr>
                <w:rFonts w:asciiTheme="minorHAnsi" w:hAnsiTheme="minorHAnsi" w:cstheme="minorHAnsi"/>
              </w:rPr>
              <w:t xml:space="preserve">Report </w:t>
            </w:r>
          </w:p>
        </w:tc>
        <w:tc>
          <w:tcPr>
            <w:tcW w:w="4675" w:type="dxa"/>
          </w:tcPr>
          <w:p w:rsidRPr="00707853" w:rsidR="00637143" w:rsidP="00707853" w:rsidRDefault="00690297" w14:paraId="3C9F8E95" w14:textId="1E0D7620">
            <w:pPr>
              <w:rPr>
                <w:rFonts w:asciiTheme="minorHAnsi" w:hAnsiTheme="minorHAnsi" w:cstheme="minorHAnsi"/>
              </w:rPr>
            </w:pPr>
            <w:r>
              <w:rPr>
                <w:rFonts w:asciiTheme="minorHAnsi" w:hAnsiTheme="minorHAnsi" w:cstheme="minorHAnsi"/>
              </w:rPr>
              <w:t>December</w:t>
            </w:r>
            <w:r w:rsidRPr="00707853" w:rsidR="002004C2">
              <w:rPr>
                <w:rFonts w:asciiTheme="minorHAnsi" w:hAnsiTheme="minorHAnsi" w:cstheme="minorHAnsi"/>
              </w:rPr>
              <w:t xml:space="preserve"> 2021 </w:t>
            </w:r>
          </w:p>
        </w:tc>
      </w:tr>
    </w:tbl>
    <w:p w:rsidRPr="00D310B4" w:rsidR="00637143" w:rsidP="00CB4358" w:rsidRDefault="00637143" w14:paraId="3E406EA4" w14:textId="77777777">
      <w:pPr>
        <w:spacing w:after="120" w:line="240" w:lineRule="auto"/>
        <w:rPr>
          <w:rFonts w:cstheme="minorHAnsi"/>
          <w:bCs/>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306028" w:rsidRDefault="00306028" w14:paraId="503603E8" w14:textId="77777777">
      <w:pPr>
        <w:spacing w:after="0" w:line="240" w:lineRule="auto"/>
        <w:rPr>
          <w:b/>
        </w:rPr>
      </w:pPr>
      <w:r>
        <w:rPr>
          <w:b/>
        </w:rPr>
        <w:t>Attachments</w:t>
      </w:r>
    </w:p>
    <w:p w:rsidR="00974329" w:rsidP="00974329" w:rsidRDefault="000E33B7" w14:paraId="1E41AD5D" w14:textId="4866E488">
      <w:r>
        <w:t>Attachment</w:t>
      </w:r>
      <w:r w:rsidR="007E2BD3">
        <w:t xml:space="preserve"> A</w:t>
      </w:r>
      <w:r w:rsidRPr="00405091" w:rsidR="00974329">
        <w:t>: Recruitment Materials</w:t>
      </w:r>
      <w:r w:rsidRPr="00405091" w:rsidR="00974329">
        <w:tab/>
      </w:r>
    </w:p>
    <w:p w:rsidRPr="006D6B26" w:rsidR="007E2BD3" w:rsidP="00AD3EC8" w:rsidRDefault="007E2BD3" w14:paraId="2E5A09C7" w14:textId="329E9C56">
      <w:pPr>
        <w:pStyle w:val="ListParagraph"/>
        <w:numPr>
          <w:ilvl w:val="0"/>
          <w:numId w:val="18"/>
        </w:numPr>
        <w:spacing w:after="0"/>
        <w:rPr>
          <w:color w:val="000000"/>
        </w:rPr>
      </w:pPr>
      <w:bookmarkStart w:name="_Hlk57883157" w:id="4"/>
      <w:r w:rsidRPr="006D6B26">
        <w:t xml:space="preserve">A1. </w:t>
      </w:r>
      <w:r w:rsidRPr="006D6B26" w:rsidR="00E93B72">
        <w:rPr>
          <w:color w:val="000000"/>
        </w:rPr>
        <w:t>Advance email for State and Territory CCDF Lead Agencies</w:t>
      </w:r>
      <w:r w:rsidRPr="006D6B26" w:rsidR="00E93B72">
        <w:t xml:space="preserve"> </w:t>
      </w:r>
    </w:p>
    <w:p w:rsidRPr="006D6B26" w:rsidR="007E2BD3" w:rsidP="00AD3EC8" w:rsidRDefault="007E2BD3" w14:paraId="423DC153" w14:textId="09E055C1">
      <w:pPr>
        <w:pStyle w:val="ListParagraph"/>
        <w:numPr>
          <w:ilvl w:val="0"/>
          <w:numId w:val="18"/>
        </w:numPr>
        <w:spacing w:after="0"/>
        <w:rPr>
          <w:color w:val="000000"/>
        </w:rPr>
      </w:pPr>
      <w:r w:rsidRPr="006D6B26">
        <w:rPr>
          <w:color w:val="000000"/>
        </w:rPr>
        <w:t xml:space="preserve">A2. </w:t>
      </w:r>
      <w:r w:rsidRPr="006D6B26" w:rsidR="00E93B72">
        <w:t xml:space="preserve">Study Flyer: </w:t>
      </w:r>
      <w:r w:rsidRPr="006D6B26" w:rsidR="00E93B72">
        <w:rPr>
          <w:color w:val="000000"/>
        </w:rPr>
        <w:t xml:space="preserve">Seeking Your Help to Assess CCDF Lead Agency Research and Evaluation Capacity Building Needs </w:t>
      </w:r>
    </w:p>
    <w:p w:rsidRPr="006D6B26" w:rsidR="007E2BD3" w:rsidP="00AD3EC8" w:rsidRDefault="007E2BD3" w14:paraId="3358594A" w14:textId="057968A5">
      <w:pPr>
        <w:pStyle w:val="ListParagraph"/>
        <w:numPr>
          <w:ilvl w:val="0"/>
          <w:numId w:val="18"/>
        </w:numPr>
        <w:spacing w:after="0"/>
        <w:rPr>
          <w:color w:val="000000"/>
        </w:rPr>
      </w:pPr>
      <w:r w:rsidRPr="006D6B26">
        <w:rPr>
          <w:color w:val="000000"/>
        </w:rPr>
        <w:t xml:space="preserve">A3. </w:t>
      </w:r>
      <w:r w:rsidRPr="00E93B72" w:rsidR="00E93B72">
        <w:rPr>
          <w:color w:val="000000"/>
        </w:rPr>
        <w:t xml:space="preserve"> </w:t>
      </w:r>
      <w:r w:rsidRPr="006D6B26" w:rsidR="00E93B72">
        <w:rPr>
          <w:color w:val="000000"/>
        </w:rPr>
        <w:t>Office of Child Care Letter of Support</w:t>
      </w:r>
    </w:p>
    <w:p w:rsidRPr="006D6B26" w:rsidR="007E2BD3" w:rsidP="00AD3EC8" w:rsidRDefault="007E2BD3" w14:paraId="4975DD2B" w14:textId="714FD791">
      <w:pPr>
        <w:pStyle w:val="ListParagraph"/>
        <w:numPr>
          <w:ilvl w:val="0"/>
          <w:numId w:val="18"/>
        </w:numPr>
        <w:spacing w:after="0"/>
        <w:rPr>
          <w:color w:val="000000"/>
        </w:rPr>
      </w:pPr>
      <w:r w:rsidRPr="006D6B26">
        <w:rPr>
          <w:color w:val="000000"/>
        </w:rPr>
        <w:t xml:space="preserve">A4. </w:t>
      </w:r>
      <w:r w:rsidRPr="006D6B26" w:rsidR="00802235">
        <w:rPr>
          <w:color w:val="000000"/>
        </w:rPr>
        <w:t xml:space="preserve">Recruitment call script for Tribal CCDF Lead Agencies </w:t>
      </w:r>
    </w:p>
    <w:p w:rsidRPr="006D6B26" w:rsidR="00B12BAD" w:rsidP="00AD3EC8" w:rsidRDefault="00B12BAD" w14:paraId="71349288" w14:textId="1F0DDCC6">
      <w:pPr>
        <w:pStyle w:val="ListParagraph"/>
        <w:numPr>
          <w:ilvl w:val="0"/>
          <w:numId w:val="18"/>
        </w:numPr>
        <w:spacing w:after="0"/>
        <w:rPr>
          <w:color w:val="000000"/>
        </w:rPr>
      </w:pPr>
      <w:r w:rsidRPr="006D6B26">
        <w:rPr>
          <w:color w:val="000000"/>
        </w:rPr>
        <w:t xml:space="preserve">A5. </w:t>
      </w:r>
      <w:r w:rsidRPr="00DD0185" w:rsidR="00DD0185">
        <w:rPr>
          <w:color w:val="000000"/>
        </w:rPr>
        <w:t xml:space="preserve"> </w:t>
      </w:r>
      <w:r w:rsidRPr="006D6B26" w:rsidR="00DD0185">
        <w:rPr>
          <w:color w:val="000000"/>
        </w:rPr>
        <w:t>Advance email for Tribal CCDF Lead Agencies</w:t>
      </w:r>
    </w:p>
    <w:p w:rsidRPr="006D6B26" w:rsidR="00B12BAD" w:rsidP="00AD3EC8" w:rsidRDefault="00B12BAD" w14:paraId="078A9CAD" w14:textId="07C88559">
      <w:pPr>
        <w:pStyle w:val="ListParagraph"/>
        <w:numPr>
          <w:ilvl w:val="0"/>
          <w:numId w:val="18"/>
        </w:numPr>
        <w:spacing w:after="0"/>
        <w:rPr>
          <w:color w:val="000000"/>
        </w:rPr>
      </w:pPr>
      <w:r w:rsidRPr="006D6B26">
        <w:rPr>
          <w:color w:val="000000"/>
        </w:rPr>
        <w:t xml:space="preserve">A6. </w:t>
      </w:r>
      <w:r w:rsidRPr="00DD0185" w:rsidR="00DD0185">
        <w:rPr>
          <w:color w:val="000000"/>
        </w:rPr>
        <w:t xml:space="preserve"> </w:t>
      </w:r>
      <w:r w:rsidRPr="006D6B26" w:rsidR="00DD0185">
        <w:rPr>
          <w:color w:val="000000"/>
        </w:rPr>
        <w:t>Survey invitation email</w:t>
      </w:r>
    </w:p>
    <w:p w:rsidRPr="006D6B26" w:rsidR="00B12BAD" w:rsidP="00AD3EC8" w:rsidRDefault="00B12BAD" w14:paraId="47828CF3" w14:textId="7E467DAA">
      <w:pPr>
        <w:pStyle w:val="ListParagraph"/>
        <w:numPr>
          <w:ilvl w:val="0"/>
          <w:numId w:val="18"/>
        </w:numPr>
        <w:spacing w:after="0"/>
        <w:rPr>
          <w:color w:val="000000"/>
        </w:rPr>
      </w:pPr>
      <w:r w:rsidRPr="006D6B26">
        <w:rPr>
          <w:color w:val="000000"/>
        </w:rPr>
        <w:t xml:space="preserve">A7. </w:t>
      </w:r>
      <w:r w:rsidRPr="00802235" w:rsidR="00802235">
        <w:rPr>
          <w:color w:val="000000"/>
        </w:rPr>
        <w:t xml:space="preserve"> </w:t>
      </w:r>
      <w:r w:rsidRPr="006D6B26" w:rsidR="00DD0185">
        <w:rPr>
          <w:color w:val="000000"/>
        </w:rPr>
        <w:t>Survey reminder email</w:t>
      </w:r>
    </w:p>
    <w:p w:rsidRPr="006D6B26" w:rsidR="00B12BAD" w:rsidP="00AD3EC8" w:rsidRDefault="00B12BAD" w14:paraId="745539CF" w14:textId="32B06DB1">
      <w:pPr>
        <w:pStyle w:val="ListParagraph"/>
        <w:numPr>
          <w:ilvl w:val="0"/>
          <w:numId w:val="18"/>
        </w:numPr>
        <w:spacing w:after="0"/>
        <w:rPr>
          <w:color w:val="000000"/>
        </w:rPr>
      </w:pPr>
      <w:r w:rsidRPr="006D6B26">
        <w:rPr>
          <w:color w:val="000000"/>
        </w:rPr>
        <w:t xml:space="preserve">A8. </w:t>
      </w:r>
      <w:r w:rsidRPr="006D6B26" w:rsidR="00DD0185">
        <w:rPr>
          <w:color w:val="000000"/>
        </w:rPr>
        <w:t xml:space="preserve">Survey phone follow-up scripts </w:t>
      </w:r>
    </w:p>
    <w:p w:rsidRPr="006D6B26" w:rsidR="00B12BAD" w:rsidP="00AD3EC8" w:rsidRDefault="00B12BAD" w14:paraId="79F46EBB" w14:textId="2701EB75">
      <w:pPr>
        <w:pStyle w:val="ListParagraph"/>
        <w:numPr>
          <w:ilvl w:val="0"/>
          <w:numId w:val="18"/>
        </w:numPr>
        <w:spacing w:after="0"/>
      </w:pPr>
      <w:r w:rsidRPr="006D6B26">
        <w:t>A9. Focus group invitation email</w:t>
      </w:r>
    </w:p>
    <w:p w:rsidRPr="006D6B26" w:rsidR="00B12BAD" w:rsidP="00AD3EC8" w:rsidRDefault="00B12BAD" w14:paraId="0FB2A852" w14:textId="49C0751C">
      <w:pPr>
        <w:pStyle w:val="ListParagraph"/>
        <w:numPr>
          <w:ilvl w:val="0"/>
          <w:numId w:val="18"/>
        </w:numPr>
        <w:spacing w:after="0"/>
      </w:pPr>
      <w:r w:rsidRPr="006D6B26">
        <w:t>A10. Focus group follow-up email</w:t>
      </w:r>
    </w:p>
    <w:p w:rsidRPr="006D6B26" w:rsidR="00B12BAD" w:rsidP="00AD3EC8" w:rsidRDefault="006D6B26" w14:paraId="77598FC8" w14:textId="129C8D99">
      <w:pPr>
        <w:pStyle w:val="ListParagraph"/>
        <w:numPr>
          <w:ilvl w:val="0"/>
          <w:numId w:val="18"/>
        </w:numPr>
        <w:spacing w:after="0"/>
      </w:pPr>
      <w:r w:rsidRPr="006D6B26">
        <w:t xml:space="preserve">A11. </w:t>
      </w:r>
      <w:r w:rsidRPr="006D6B26" w:rsidR="00B12BAD">
        <w:t>Focus group follow-up phone script</w:t>
      </w:r>
    </w:p>
    <w:p w:rsidRPr="006D6B26" w:rsidR="00B12BAD" w:rsidP="00AD3EC8" w:rsidRDefault="006D6B26" w14:paraId="4C50B8BE" w14:textId="6969DC51">
      <w:pPr>
        <w:pStyle w:val="ListParagraph"/>
        <w:numPr>
          <w:ilvl w:val="0"/>
          <w:numId w:val="18"/>
        </w:numPr>
        <w:spacing w:after="0"/>
      </w:pPr>
      <w:r w:rsidRPr="006D6B26">
        <w:t xml:space="preserve">A12. </w:t>
      </w:r>
      <w:r w:rsidRPr="006D6B26" w:rsidR="00B12BAD">
        <w:t>Focus group registration email</w:t>
      </w:r>
    </w:p>
    <w:p w:rsidRPr="006D6B26" w:rsidR="00B12BAD" w:rsidP="00AD3EC8" w:rsidRDefault="006D6B26" w14:paraId="3CF28A89" w14:textId="356CE848">
      <w:pPr>
        <w:pStyle w:val="ListParagraph"/>
        <w:numPr>
          <w:ilvl w:val="0"/>
          <w:numId w:val="18"/>
        </w:numPr>
        <w:spacing w:after="0"/>
      </w:pPr>
      <w:r w:rsidRPr="006D6B26">
        <w:t xml:space="preserve">A13. </w:t>
      </w:r>
      <w:r w:rsidRPr="006D6B26" w:rsidR="00B12BAD">
        <w:t>Focus group reminder email</w:t>
      </w:r>
    </w:p>
    <w:bookmarkEnd w:id="4"/>
    <w:p w:rsidR="00052F26" w:rsidP="00974329" w:rsidRDefault="00052F26" w14:paraId="78A4B1F5" w14:textId="77777777"/>
    <w:p w:rsidRPr="00405091" w:rsidR="00974329" w:rsidP="00974329" w:rsidRDefault="000E33B7" w14:paraId="58A47AE9" w14:textId="1E608A41">
      <w:r>
        <w:t>Instrument 1:</w:t>
      </w:r>
      <w:r w:rsidRPr="00405091" w:rsidR="00974329">
        <w:t xml:space="preserve"> </w:t>
      </w:r>
      <w:r>
        <w:t>Needs Assessment Survey</w:t>
      </w:r>
    </w:p>
    <w:p w:rsidR="00306028" w:rsidP="00974329" w:rsidRDefault="000E33B7" w14:paraId="08BDA7B5" w14:textId="0CF31B12">
      <w:r>
        <w:t>Instrument 2</w:t>
      </w:r>
      <w:r w:rsidRPr="00405091" w:rsidR="00974329">
        <w:t xml:space="preserve">: Focus Group </w:t>
      </w:r>
      <w:r>
        <w:t>protocol</w:t>
      </w:r>
    </w:p>
    <w:p w:rsidR="002346C5" w:rsidP="002346C5" w:rsidRDefault="002346C5" w14:paraId="67149DB0" w14:textId="77777777">
      <w:pPr>
        <w:spacing w:after="120" w:line="240" w:lineRule="auto"/>
        <w:rPr>
          <w:b/>
        </w:rPr>
      </w:pPr>
      <w:bookmarkStart w:name="_Hlk57664458" w:id="5"/>
      <w:r>
        <w:rPr>
          <w:b/>
        </w:rPr>
        <w:t>References</w:t>
      </w:r>
      <w:bookmarkEnd w:id="5"/>
    </w:p>
    <w:p w:rsidRPr="0007693B" w:rsidR="006D204F" w:rsidP="006D204F" w:rsidRDefault="006D204F" w14:paraId="67D49DEB" w14:textId="77777777">
      <w:pPr>
        <w:ind w:left="720" w:hanging="720"/>
        <w:rPr>
          <w:rFonts w:ascii="Lato" w:hAnsi="Lato"/>
          <w:sz w:val="20"/>
          <w:szCs w:val="20"/>
        </w:rPr>
      </w:pPr>
      <w:bookmarkStart w:name="_Hlk62395976" w:id="6"/>
      <w:r w:rsidRPr="00505A5F">
        <w:rPr>
          <w:rFonts w:ascii="Lato" w:hAnsi="Lato"/>
          <w:sz w:val="20"/>
          <w:szCs w:val="20"/>
        </w:rPr>
        <w:t xml:space="preserve">Banghart, Patti, C. King, E. </w:t>
      </w:r>
      <w:proofErr w:type="spellStart"/>
      <w:r w:rsidRPr="00505A5F">
        <w:rPr>
          <w:rFonts w:ascii="Lato" w:hAnsi="Lato"/>
          <w:sz w:val="20"/>
          <w:szCs w:val="20"/>
        </w:rPr>
        <w:t>Bedrick</w:t>
      </w:r>
      <w:proofErr w:type="spellEnd"/>
      <w:r w:rsidRPr="00505A5F">
        <w:rPr>
          <w:rFonts w:ascii="Lato" w:hAnsi="Lato"/>
          <w:sz w:val="20"/>
          <w:szCs w:val="20"/>
        </w:rPr>
        <w:t xml:space="preserve">, A. </w:t>
      </w:r>
      <w:proofErr w:type="spellStart"/>
      <w:r w:rsidRPr="00505A5F">
        <w:rPr>
          <w:rFonts w:ascii="Lato" w:hAnsi="Lato"/>
          <w:sz w:val="20"/>
          <w:szCs w:val="20"/>
        </w:rPr>
        <w:t>Hirilall</w:t>
      </w:r>
      <w:proofErr w:type="spellEnd"/>
      <w:r w:rsidRPr="00505A5F">
        <w:rPr>
          <w:rFonts w:ascii="Lato" w:hAnsi="Lato"/>
          <w:sz w:val="20"/>
          <w:szCs w:val="20"/>
        </w:rPr>
        <w:t>, and S. Daily. 2019. State Priorities for Child Care and Development Block Grant Funding Increase: 2019 National Overview. Child Trends</w:t>
      </w:r>
    </w:p>
    <w:p w:rsidR="006D204F" w:rsidP="006D204F" w:rsidRDefault="006D204F" w14:paraId="62BB3D47" w14:textId="77777777">
      <w:pPr>
        <w:ind w:left="720" w:hanging="720"/>
        <w:rPr>
          <w:rFonts w:ascii="Lato" w:hAnsi="Lato"/>
          <w:sz w:val="20"/>
          <w:szCs w:val="20"/>
        </w:rPr>
      </w:pPr>
      <w:r w:rsidRPr="0007693B">
        <w:rPr>
          <w:rFonts w:ascii="Lato" w:hAnsi="Lato"/>
          <w:sz w:val="20"/>
          <w:szCs w:val="20"/>
        </w:rPr>
        <w:t>Bourgeois, I. and J. B. Cousins. 2013. “Understanding Dimensions of Organizational Evaluation Capacity,” American Journal of Evaluation 34 (3): 299–319.</w:t>
      </w:r>
    </w:p>
    <w:p w:rsidRPr="00D22955" w:rsidR="006D204F" w:rsidP="006D204F" w:rsidRDefault="006D204F" w14:paraId="442AB5C4" w14:textId="77777777">
      <w:pPr>
        <w:ind w:left="720" w:hanging="720"/>
        <w:rPr>
          <w:rFonts w:ascii="Lato" w:hAnsi="Lato"/>
          <w:sz w:val="20"/>
          <w:szCs w:val="20"/>
        </w:rPr>
      </w:pPr>
      <w:r w:rsidRPr="00D22955">
        <w:rPr>
          <w:rFonts w:ascii="Lato" w:hAnsi="Lato"/>
          <w:sz w:val="20"/>
          <w:szCs w:val="20"/>
        </w:rPr>
        <w:t xml:space="preserve">Brennan, Sue E., J. McKenzie, T. Turner, S. Redman, S. </w:t>
      </w:r>
      <w:proofErr w:type="spellStart"/>
      <w:r w:rsidRPr="00D22955">
        <w:rPr>
          <w:rFonts w:ascii="Lato" w:hAnsi="Lato"/>
          <w:sz w:val="20"/>
          <w:szCs w:val="20"/>
        </w:rPr>
        <w:t>Makkar</w:t>
      </w:r>
      <w:proofErr w:type="spellEnd"/>
      <w:r w:rsidRPr="00D22955">
        <w:rPr>
          <w:rFonts w:ascii="Lato" w:hAnsi="Lato"/>
          <w:sz w:val="20"/>
          <w:szCs w:val="20"/>
        </w:rPr>
        <w:t>, A. Williamson, A. Haynes, and S. Green. 2017. Development and validation of SEER (Seeking, Engaging with and Evaluating Research): a measure of policymakers' capacity to engage with and use research. Health Research Policy and Systems, 15(1), 1-19. (also referenced as SEER)</w:t>
      </w:r>
    </w:p>
    <w:p w:rsidRPr="00505A5F" w:rsidR="006D204F" w:rsidP="006D204F" w:rsidRDefault="006D204F" w14:paraId="358C0C67" w14:textId="77777777">
      <w:pPr>
        <w:ind w:left="720" w:hanging="720"/>
        <w:rPr>
          <w:rFonts w:ascii="Lato" w:hAnsi="Lato"/>
          <w:sz w:val="20"/>
          <w:szCs w:val="20"/>
        </w:rPr>
      </w:pPr>
      <w:r w:rsidRPr="00505A5F">
        <w:rPr>
          <w:rFonts w:ascii="Lato" w:hAnsi="Lato"/>
          <w:sz w:val="20"/>
          <w:szCs w:val="20"/>
        </w:rPr>
        <w:t xml:space="preserve">Connors-Tadros, L. and N. </w:t>
      </w:r>
      <w:proofErr w:type="spellStart"/>
      <w:r w:rsidRPr="00505A5F">
        <w:rPr>
          <w:rFonts w:ascii="Lato" w:hAnsi="Lato"/>
          <w:sz w:val="20"/>
          <w:szCs w:val="20"/>
        </w:rPr>
        <w:t>DeCrecchio</w:t>
      </w:r>
      <w:proofErr w:type="spellEnd"/>
      <w:r w:rsidRPr="00505A5F">
        <w:rPr>
          <w:rFonts w:ascii="Lato" w:hAnsi="Lato"/>
          <w:sz w:val="20"/>
          <w:szCs w:val="20"/>
        </w:rPr>
        <w:t>. 2019. The Views of State Early Childhood Education Agency Staff on Their Work and Their Vision for Young Children: Informing a Legacy for Young Children by 2030. New Brunswick, NJ: Center on Enhancing Early Learning</w:t>
      </w:r>
    </w:p>
    <w:p w:rsidRPr="00547C08" w:rsidR="006D204F" w:rsidP="006D204F" w:rsidRDefault="006D204F" w14:paraId="58C489FB" w14:textId="77777777">
      <w:pPr>
        <w:ind w:left="720" w:hanging="720"/>
        <w:rPr>
          <w:rFonts w:ascii="Lato" w:hAnsi="Lato"/>
          <w:sz w:val="20"/>
          <w:szCs w:val="20"/>
        </w:rPr>
      </w:pPr>
      <w:r w:rsidRPr="00505A5F">
        <w:rPr>
          <w:rFonts w:ascii="Lato" w:hAnsi="Lato"/>
          <w:sz w:val="20"/>
          <w:szCs w:val="20"/>
        </w:rPr>
        <w:lastRenderedPageBreak/>
        <w:t>Derrick-Mills, T. M. 2012. “How Do Performance Data Inform Design and Management of Child Care Development Fund (CCDF) Programs in the U.S. States?” PhD Dissertation, the George Washington University. Ann Arbor, MI: UMI/ProQuest.</w:t>
      </w:r>
    </w:p>
    <w:p w:rsidRPr="0007693B" w:rsidR="006D204F" w:rsidP="006D204F" w:rsidRDefault="006D204F" w14:paraId="06EE55BA" w14:textId="77777777">
      <w:pPr>
        <w:ind w:left="720" w:hanging="720"/>
        <w:rPr>
          <w:rFonts w:ascii="Lato" w:hAnsi="Lato"/>
          <w:sz w:val="20"/>
          <w:szCs w:val="20"/>
        </w:rPr>
      </w:pPr>
      <w:r w:rsidRPr="00505A5F">
        <w:rPr>
          <w:rFonts w:ascii="Lato" w:hAnsi="Lato"/>
          <w:sz w:val="20"/>
          <w:szCs w:val="20"/>
        </w:rPr>
        <w:t>The Early Childhood Data Collaborative. 2014. 2013 State of States’ Early Childhood Data Systems. The Early Childhood Data Collaborative.</w:t>
      </w:r>
    </w:p>
    <w:p w:rsidR="006D204F" w:rsidP="006D204F" w:rsidRDefault="006D204F" w14:paraId="005B777F" w14:textId="77777777">
      <w:pPr>
        <w:ind w:left="720" w:hanging="720"/>
        <w:rPr>
          <w:rFonts w:ascii="Lato" w:hAnsi="Lato"/>
          <w:sz w:val="20"/>
          <w:szCs w:val="20"/>
        </w:rPr>
      </w:pPr>
      <w:r w:rsidRPr="0007693B">
        <w:rPr>
          <w:rFonts w:ascii="Lato" w:hAnsi="Lato"/>
          <w:sz w:val="20"/>
          <w:szCs w:val="20"/>
        </w:rPr>
        <w:t>James Bell Associates. 2018. How Can Child Welfare Organizational Capacity be Measured? Evaluation Brief. Washington, DC: Department of Health and Human Services, Administration for Children, Youth and Families, Children’s Bureau.</w:t>
      </w:r>
      <w:r>
        <w:rPr>
          <w:rFonts w:ascii="Lato" w:hAnsi="Lato"/>
          <w:sz w:val="20"/>
          <w:szCs w:val="20"/>
        </w:rPr>
        <w:t xml:space="preserve"> </w:t>
      </w:r>
    </w:p>
    <w:p w:rsidRPr="0007693B" w:rsidR="006D204F" w:rsidP="006D204F" w:rsidRDefault="006D204F" w14:paraId="5003FC15" w14:textId="77777777">
      <w:pPr>
        <w:ind w:left="720" w:hanging="720"/>
        <w:rPr>
          <w:rFonts w:ascii="Lato" w:hAnsi="Lato"/>
          <w:sz w:val="20"/>
          <w:szCs w:val="20"/>
        </w:rPr>
      </w:pPr>
      <w:r>
        <w:rPr>
          <w:rFonts w:ascii="Lato" w:hAnsi="Lato"/>
          <w:sz w:val="20"/>
          <w:szCs w:val="20"/>
        </w:rPr>
        <w:t xml:space="preserve">King, </w:t>
      </w:r>
      <w:proofErr w:type="spellStart"/>
      <w:r>
        <w:rPr>
          <w:rFonts w:ascii="Lato" w:hAnsi="Lato"/>
          <w:sz w:val="20"/>
          <w:szCs w:val="20"/>
        </w:rPr>
        <w:t>Carlise</w:t>
      </w:r>
      <w:proofErr w:type="spellEnd"/>
      <w:r>
        <w:rPr>
          <w:rFonts w:ascii="Lato" w:hAnsi="Lato"/>
          <w:sz w:val="20"/>
          <w:szCs w:val="20"/>
        </w:rPr>
        <w:t>, V. Perkins, C. Nugent and E. Jordan. 2018. “2018 State of State Early Childhood Data Systems.” The Early Childhood Data Collaborative.</w:t>
      </w:r>
    </w:p>
    <w:p w:rsidR="006D204F" w:rsidP="006D204F" w:rsidRDefault="006D204F" w14:paraId="43EA8D45" w14:textId="77777777">
      <w:pPr>
        <w:ind w:left="720" w:hanging="720"/>
        <w:rPr>
          <w:rFonts w:ascii="Lato" w:hAnsi="Lato"/>
          <w:sz w:val="20"/>
          <w:szCs w:val="20"/>
        </w:rPr>
      </w:pPr>
      <w:r w:rsidRPr="0007693B">
        <w:rPr>
          <w:rFonts w:ascii="Lato" w:hAnsi="Lato"/>
          <w:sz w:val="20"/>
          <w:szCs w:val="20"/>
        </w:rPr>
        <w:t xml:space="preserve">Maxwell, Kelly, </w:t>
      </w:r>
      <w:r>
        <w:rPr>
          <w:rFonts w:ascii="Lato" w:hAnsi="Lato"/>
          <w:sz w:val="20"/>
          <w:szCs w:val="20"/>
        </w:rPr>
        <w:t>S. Moodle, C. King, V. Lin,</w:t>
      </w:r>
      <w:r w:rsidRPr="0007693B">
        <w:rPr>
          <w:rFonts w:ascii="Lato" w:hAnsi="Lato"/>
          <w:sz w:val="20"/>
          <w:szCs w:val="20"/>
        </w:rPr>
        <w:t xml:space="preserve"> and </w:t>
      </w:r>
      <w:r>
        <w:rPr>
          <w:rFonts w:ascii="Lato" w:hAnsi="Lato"/>
          <w:sz w:val="20"/>
          <w:szCs w:val="20"/>
        </w:rPr>
        <w:t>A. Blasberg</w:t>
      </w:r>
      <w:r w:rsidRPr="0007693B">
        <w:rPr>
          <w:rFonts w:ascii="Lato" w:hAnsi="Lato"/>
          <w:sz w:val="20"/>
          <w:szCs w:val="20"/>
        </w:rPr>
        <w:t>. 2015. Child Care Administrators' Use of Administrative Data to Address Program and Policy Questions. Internal Use Only OPRE Report: CCADAC and CCEEPRA.</w:t>
      </w:r>
    </w:p>
    <w:p w:rsidRPr="00712F43" w:rsidR="006D204F" w:rsidP="006D204F" w:rsidRDefault="006D204F" w14:paraId="183A578D" w14:textId="77777777">
      <w:pPr>
        <w:ind w:left="720" w:hanging="720"/>
        <w:rPr>
          <w:rFonts w:ascii="Lato" w:hAnsi="Lato"/>
          <w:sz w:val="20"/>
          <w:szCs w:val="20"/>
        </w:rPr>
      </w:pPr>
      <w:r w:rsidRPr="00712F43">
        <w:rPr>
          <w:rFonts w:ascii="Lato" w:hAnsi="Lato"/>
          <w:sz w:val="20"/>
          <w:szCs w:val="20"/>
        </w:rPr>
        <w:t xml:space="preserve">Palinkas, Lawrence A., </w:t>
      </w:r>
      <w:r>
        <w:rPr>
          <w:rFonts w:ascii="Lato" w:hAnsi="Lato"/>
          <w:sz w:val="20"/>
          <w:szCs w:val="20"/>
        </w:rPr>
        <w:t xml:space="preserve">A. </w:t>
      </w:r>
      <w:r w:rsidRPr="00712F43">
        <w:rPr>
          <w:rFonts w:ascii="Lato" w:hAnsi="Lato"/>
          <w:sz w:val="20"/>
          <w:szCs w:val="20"/>
        </w:rPr>
        <w:t>Garcia</w:t>
      </w:r>
      <w:r>
        <w:rPr>
          <w:rFonts w:ascii="Lato" w:hAnsi="Lato"/>
          <w:sz w:val="20"/>
          <w:szCs w:val="20"/>
        </w:rPr>
        <w:t>, G.</w:t>
      </w:r>
      <w:r w:rsidRPr="00712F43">
        <w:rPr>
          <w:rFonts w:ascii="Lato" w:hAnsi="Lato"/>
          <w:sz w:val="20"/>
          <w:szCs w:val="20"/>
        </w:rPr>
        <w:t xml:space="preserve"> Aarons, </w:t>
      </w:r>
      <w:r>
        <w:rPr>
          <w:rFonts w:ascii="Lato" w:hAnsi="Lato"/>
          <w:sz w:val="20"/>
          <w:szCs w:val="20"/>
        </w:rPr>
        <w:t>M.</w:t>
      </w:r>
      <w:r w:rsidRPr="00712F43">
        <w:rPr>
          <w:rFonts w:ascii="Lato" w:hAnsi="Lato"/>
          <w:sz w:val="20"/>
          <w:szCs w:val="20"/>
        </w:rPr>
        <w:t xml:space="preserve"> Finno-Velasquez,</w:t>
      </w:r>
      <w:r>
        <w:rPr>
          <w:rFonts w:ascii="Lato" w:hAnsi="Lato"/>
          <w:sz w:val="20"/>
          <w:szCs w:val="20"/>
        </w:rPr>
        <w:t xml:space="preserve"> I.</w:t>
      </w:r>
      <w:r w:rsidRPr="00712F43">
        <w:rPr>
          <w:rFonts w:ascii="Lato" w:hAnsi="Lato"/>
          <w:sz w:val="20"/>
          <w:szCs w:val="20"/>
        </w:rPr>
        <w:t xml:space="preserve"> Holloway, </w:t>
      </w:r>
      <w:r>
        <w:rPr>
          <w:rFonts w:ascii="Lato" w:hAnsi="Lato"/>
          <w:sz w:val="20"/>
          <w:szCs w:val="20"/>
        </w:rPr>
        <w:t>T.</w:t>
      </w:r>
      <w:r w:rsidRPr="00712F43">
        <w:rPr>
          <w:rFonts w:ascii="Lato" w:hAnsi="Lato"/>
          <w:sz w:val="20"/>
          <w:szCs w:val="20"/>
        </w:rPr>
        <w:t xml:space="preserve"> Mackie, </w:t>
      </w:r>
      <w:r>
        <w:rPr>
          <w:rFonts w:ascii="Lato" w:hAnsi="Lato"/>
          <w:sz w:val="20"/>
          <w:szCs w:val="20"/>
        </w:rPr>
        <w:t>L.</w:t>
      </w:r>
      <w:r w:rsidRPr="00712F43">
        <w:rPr>
          <w:rFonts w:ascii="Lato" w:hAnsi="Lato"/>
          <w:sz w:val="20"/>
          <w:szCs w:val="20"/>
        </w:rPr>
        <w:t xml:space="preserve"> Leslie, and </w:t>
      </w:r>
      <w:r>
        <w:rPr>
          <w:rFonts w:ascii="Lato" w:hAnsi="Lato"/>
          <w:sz w:val="20"/>
          <w:szCs w:val="20"/>
        </w:rPr>
        <w:t xml:space="preserve">P. </w:t>
      </w:r>
      <w:r w:rsidRPr="00712F43">
        <w:rPr>
          <w:rFonts w:ascii="Lato" w:hAnsi="Lato"/>
          <w:sz w:val="20"/>
          <w:szCs w:val="20"/>
        </w:rPr>
        <w:t xml:space="preserve">Chamberlain. 2016. Measuring Use of Research Evidence: The Structured Interview for Evidence Use. Res Soc Work </w:t>
      </w:r>
      <w:proofErr w:type="spellStart"/>
      <w:r w:rsidRPr="00712F43">
        <w:rPr>
          <w:rFonts w:ascii="Lato" w:hAnsi="Lato"/>
          <w:sz w:val="20"/>
          <w:szCs w:val="20"/>
        </w:rPr>
        <w:t>Pract</w:t>
      </w:r>
      <w:proofErr w:type="spellEnd"/>
      <w:r w:rsidRPr="00712F43">
        <w:rPr>
          <w:rFonts w:ascii="Lato" w:hAnsi="Lato"/>
          <w:sz w:val="20"/>
          <w:szCs w:val="20"/>
        </w:rPr>
        <w:t>, 26(5), 550-564. (also referenced as SIEU)</w:t>
      </w:r>
    </w:p>
    <w:p w:rsidR="006D204F" w:rsidP="006D204F" w:rsidRDefault="006D204F" w14:paraId="113D7AA4" w14:textId="77777777">
      <w:pPr>
        <w:ind w:left="720" w:hanging="720"/>
        <w:rPr>
          <w:rFonts w:ascii="Lato" w:hAnsi="Lato"/>
          <w:sz w:val="20"/>
          <w:szCs w:val="20"/>
        </w:rPr>
      </w:pPr>
      <w:r w:rsidRPr="00712F43">
        <w:rPr>
          <w:rFonts w:ascii="Lato" w:hAnsi="Lato"/>
          <w:sz w:val="20"/>
          <w:szCs w:val="20"/>
        </w:rPr>
        <w:t xml:space="preserve">Penuel, W.R., </w:t>
      </w:r>
      <w:r>
        <w:rPr>
          <w:rFonts w:ascii="Lato" w:hAnsi="Lato"/>
          <w:sz w:val="20"/>
          <w:szCs w:val="20"/>
        </w:rPr>
        <w:t>D.C. Briggs</w:t>
      </w:r>
      <w:r w:rsidRPr="00712F43">
        <w:rPr>
          <w:rFonts w:ascii="Lato" w:hAnsi="Lato"/>
          <w:sz w:val="20"/>
          <w:szCs w:val="20"/>
        </w:rPr>
        <w:t xml:space="preserve">, </w:t>
      </w:r>
      <w:r>
        <w:rPr>
          <w:rFonts w:ascii="Lato" w:hAnsi="Lato"/>
          <w:sz w:val="20"/>
          <w:szCs w:val="20"/>
        </w:rPr>
        <w:t>K.L. Davidson</w:t>
      </w:r>
      <w:r w:rsidRPr="00712F43">
        <w:rPr>
          <w:rFonts w:ascii="Lato" w:hAnsi="Lato"/>
          <w:sz w:val="20"/>
          <w:szCs w:val="20"/>
        </w:rPr>
        <w:t xml:space="preserve">, </w:t>
      </w:r>
      <w:r>
        <w:rPr>
          <w:rFonts w:ascii="Lato" w:hAnsi="Lato"/>
          <w:sz w:val="20"/>
          <w:szCs w:val="20"/>
        </w:rPr>
        <w:t>C. Herlihy, D. Sherer, H.C. Hill, C.C. Farrell,</w:t>
      </w:r>
      <w:r w:rsidRPr="00712F43">
        <w:rPr>
          <w:rFonts w:ascii="Lato" w:hAnsi="Lato"/>
          <w:sz w:val="20"/>
          <w:szCs w:val="20"/>
        </w:rPr>
        <w:t xml:space="preserve"> &amp; </w:t>
      </w:r>
      <w:r>
        <w:rPr>
          <w:rFonts w:ascii="Lato" w:hAnsi="Lato"/>
          <w:sz w:val="20"/>
          <w:szCs w:val="20"/>
        </w:rPr>
        <w:t>A-R Allen</w:t>
      </w:r>
      <w:r w:rsidRPr="00712F43">
        <w:rPr>
          <w:rFonts w:ascii="Lato" w:hAnsi="Lato"/>
          <w:sz w:val="20"/>
          <w:szCs w:val="20"/>
        </w:rPr>
        <w:t>. 2016. Findings from a national survey of research use among school and district leaders (Technical Report No. 1). Boulder, CO: National Center for Research in Policy and Practice.</w:t>
      </w:r>
      <w:r>
        <w:rPr>
          <w:rFonts w:ascii="Lato" w:hAnsi="Lato"/>
          <w:sz w:val="20"/>
          <w:szCs w:val="20"/>
        </w:rPr>
        <w:t xml:space="preserve"> </w:t>
      </w:r>
    </w:p>
    <w:p w:rsidRPr="00712F43" w:rsidR="006D204F" w:rsidP="006D204F" w:rsidRDefault="006D204F" w14:paraId="7E96A4D0" w14:textId="77777777">
      <w:pPr>
        <w:ind w:left="720" w:hanging="720"/>
        <w:rPr>
          <w:rFonts w:ascii="Lato" w:hAnsi="Lato"/>
          <w:sz w:val="20"/>
          <w:szCs w:val="20"/>
        </w:rPr>
      </w:pPr>
      <w:r w:rsidRPr="00712F43">
        <w:rPr>
          <w:rFonts w:ascii="Lato" w:hAnsi="Lato"/>
          <w:sz w:val="20"/>
          <w:szCs w:val="20"/>
        </w:rPr>
        <w:t>Pennsylvania Office of Child Development and Early Learning. 2018. Using Data to Inform Decision-Making: Staff Perspectives and Experiences (Instrument). (also referenced as PA)</w:t>
      </w:r>
    </w:p>
    <w:p w:rsidR="006D204F" w:rsidP="006D204F" w:rsidRDefault="006D204F" w14:paraId="743DCB73" w14:textId="77777777">
      <w:pPr>
        <w:ind w:left="720" w:hanging="720"/>
        <w:rPr>
          <w:rFonts w:ascii="Lato" w:hAnsi="Lato"/>
          <w:sz w:val="20"/>
          <w:szCs w:val="20"/>
        </w:rPr>
      </w:pPr>
      <w:r w:rsidRPr="00712F43">
        <w:rPr>
          <w:rFonts w:ascii="Lato" w:hAnsi="Lato"/>
          <w:sz w:val="20"/>
          <w:szCs w:val="20"/>
        </w:rPr>
        <w:t>Rohacek, M. 2017. Research and Evaluation Capacity: Self-Assessment Tool and Discussion Guide for CCDF Lead Agencies. OPRE Report #2017-63. Washington, DC: US Department of Health and Human Services, Administration for Children and Families, Office of Planning, Research and Evaluation.</w:t>
      </w:r>
    </w:p>
    <w:p w:rsidRPr="006B53F1" w:rsidR="00564389" w:rsidP="006D204F" w:rsidRDefault="006D204F" w14:paraId="65623BC2" w14:textId="1A42D2BC">
      <w:pPr>
        <w:pStyle w:val="ListParagraph"/>
        <w:ind w:hanging="720"/>
      </w:pPr>
      <w:proofErr w:type="spellStart"/>
      <w:r w:rsidRPr="00712F43">
        <w:rPr>
          <w:rFonts w:ascii="Lato" w:hAnsi="Lato"/>
          <w:sz w:val="20"/>
          <w:szCs w:val="20"/>
        </w:rPr>
        <w:t>Yanovitzky</w:t>
      </w:r>
      <w:proofErr w:type="spellEnd"/>
      <w:r w:rsidRPr="00712F43">
        <w:rPr>
          <w:rFonts w:ascii="Lato" w:hAnsi="Lato"/>
          <w:sz w:val="20"/>
          <w:szCs w:val="20"/>
        </w:rPr>
        <w:t xml:space="preserve">, Itzhak and </w:t>
      </w:r>
      <w:r>
        <w:rPr>
          <w:rFonts w:ascii="Lato" w:hAnsi="Lato"/>
          <w:sz w:val="20"/>
          <w:szCs w:val="20"/>
        </w:rPr>
        <w:t xml:space="preserve">C. </w:t>
      </w:r>
      <w:r w:rsidRPr="00712F43">
        <w:rPr>
          <w:rFonts w:ascii="Lato" w:hAnsi="Lato"/>
          <w:sz w:val="20"/>
          <w:szCs w:val="20"/>
        </w:rPr>
        <w:t>Blitz. 2017. The Capacity-Opportunity-Motivation (COM) Model of Data-Informed Decision-Making in Education. Proceedings of EDULEARN17 Conference 3rd-5th July 2017, Barcelona, Spain. (also referenced as COM)</w:t>
      </w:r>
      <w:bookmarkEnd w:id="6"/>
    </w:p>
    <w:sectPr w:rsidRPr="006B53F1" w:rsidR="00564389" w:rsidSect="0052088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AEBF" w14:textId="77777777" w:rsidR="00E00F34" w:rsidRDefault="00E00F34" w:rsidP="0004063C">
      <w:pPr>
        <w:spacing w:after="0" w:line="240" w:lineRule="auto"/>
      </w:pPr>
      <w:r>
        <w:separator/>
      </w:r>
    </w:p>
  </w:endnote>
  <w:endnote w:type="continuationSeparator" w:id="0">
    <w:p w14:paraId="6E95DBB0" w14:textId="77777777" w:rsidR="00E00F34" w:rsidRDefault="00E00F34"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altName w:val="Segoe UI"/>
    <w:charset w:val="00"/>
    <w:family w:val="swiss"/>
    <w:pitch w:val="variable"/>
    <w:sig w:usb0="8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7BDDD175" w:rsidR="00E00F34" w:rsidRDefault="00E00F34">
        <w:pPr>
          <w:pStyle w:val="Footer"/>
          <w:jc w:val="right"/>
        </w:pPr>
        <w:r>
          <w:fldChar w:fldCharType="begin"/>
        </w:r>
        <w:r>
          <w:instrText xml:space="preserve"> PAGE   \* MERGEFORMAT </w:instrText>
        </w:r>
        <w:r>
          <w:fldChar w:fldCharType="separate"/>
        </w:r>
        <w:r w:rsidR="002C3303">
          <w:rPr>
            <w:noProof/>
          </w:rPr>
          <w:t>7</w:t>
        </w:r>
        <w:r>
          <w:rPr>
            <w:noProof/>
          </w:rPr>
          <w:fldChar w:fldCharType="end"/>
        </w:r>
      </w:p>
    </w:sdtContent>
  </w:sdt>
  <w:p w14:paraId="04723F22" w14:textId="77777777" w:rsidR="00E00F34" w:rsidRDefault="00E00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394D7" w14:textId="77777777" w:rsidR="00E00F34" w:rsidRDefault="00E00F34" w:rsidP="0004063C">
      <w:pPr>
        <w:spacing w:after="0" w:line="240" w:lineRule="auto"/>
      </w:pPr>
      <w:r>
        <w:separator/>
      </w:r>
    </w:p>
  </w:footnote>
  <w:footnote w:type="continuationSeparator" w:id="0">
    <w:p w14:paraId="03EDD1C0" w14:textId="77777777" w:rsidR="00E00F34" w:rsidRDefault="00E00F34" w:rsidP="0004063C">
      <w:pPr>
        <w:spacing w:after="0" w:line="240" w:lineRule="auto"/>
      </w:pPr>
      <w:r>
        <w:continuationSeparator/>
      </w:r>
    </w:p>
  </w:footnote>
  <w:footnote w:id="1">
    <w:p w14:paraId="4F110D3D" w14:textId="06A31467" w:rsidR="00E00F34" w:rsidRPr="00D82755" w:rsidRDefault="00E00F34"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524A" w14:textId="3B1B10B7" w:rsidR="00E00F34" w:rsidRPr="000D7D44" w:rsidRDefault="00E00F34"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E00F34" w:rsidRDefault="00E00F34"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73BAC"/>
    <w:multiLevelType w:val="hybridMultilevel"/>
    <w:tmpl w:val="DCFC4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5488D"/>
    <w:multiLevelType w:val="hybridMultilevel"/>
    <w:tmpl w:val="1840A07E"/>
    <w:lvl w:ilvl="0" w:tplc="E9B0BC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B7CCA"/>
    <w:multiLevelType w:val="hybridMultilevel"/>
    <w:tmpl w:val="8A20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06CB1"/>
    <w:multiLevelType w:val="hybridMultilevel"/>
    <w:tmpl w:val="16F4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178B5"/>
    <w:multiLevelType w:val="hybridMultilevel"/>
    <w:tmpl w:val="09F65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4C5335"/>
    <w:multiLevelType w:val="hybridMultilevel"/>
    <w:tmpl w:val="E94C8A74"/>
    <w:lvl w:ilvl="0" w:tplc="F4CE2DA0">
      <w:start w:val="1"/>
      <w:numFmt w:val="decimal"/>
      <w:lvlText w:val="%1."/>
      <w:lvlJc w:val="left"/>
      <w:pPr>
        <w:ind w:left="5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A460A"/>
    <w:multiLevelType w:val="hybridMultilevel"/>
    <w:tmpl w:val="5C12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5F7A12"/>
    <w:multiLevelType w:val="hybridMultilevel"/>
    <w:tmpl w:val="B8EE1DE2"/>
    <w:lvl w:ilvl="0" w:tplc="DE12D87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5"/>
  </w:num>
  <w:num w:numId="5">
    <w:abstractNumId w:val="1"/>
  </w:num>
  <w:num w:numId="6">
    <w:abstractNumId w:val="11"/>
  </w:num>
  <w:num w:numId="7">
    <w:abstractNumId w:val="16"/>
  </w:num>
  <w:num w:numId="8">
    <w:abstractNumId w:val="4"/>
  </w:num>
  <w:num w:numId="9">
    <w:abstractNumId w:val="9"/>
  </w:num>
  <w:num w:numId="10">
    <w:abstractNumId w:val="7"/>
  </w:num>
  <w:num w:numId="11">
    <w:abstractNumId w:val="17"/>
  </w:num>
  <w:num w:numId="12">
    <w:abstractNumId w:val="12"/>
  </w:num>
  <w:num w:numId="13">
    <w:abstractNumId w:val="21"/>
  </w:num>
  <w:num w:numId="14">
    <w:abstractNumId w:val="18"/>
  </w:num>
  <w:num w:numId="15">
    <w:abstractNumId w:val="22"/>
  </w:num>
  <w:num w:numId="16">
    <w:abstractNumId w:val="10"/>
  </w:num>
  <w:num w:numId="17">
    <w:abstractNumId w:val="15"/>
  </w:num>
  <w:num w:numId="18">
    <w:abstractNumId w:val="13"/>
  </w:num>
  <w:num w:numId="19">
    <w:abstractNumId w:val="20"/>
  </w:num>
  <w:num w:numId="20">
    <w:abstractNumId w:val="19"/>
  </w:num>
  <w:num w:numId="21">
    <w:abstractNumId w:val="3"/>
  </w:num>
  <w:num w:numId="22">
    <w:abstractNumId w:val="14"/>
  </w:num>
  <w:num w:numId="2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DateAndTim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0FA"/>
    <w:rsid w:val="00005F36"/>
    <w:rsid w:val="00011D2B"/>
    <w:rsid w:val="0001255D"/>
    <w:rsid w:val="00014EDC"/>
    <w:rsid w:val="00016375"/>
    <w:rsid w:val="00022C50"/>
    <w:rsid w:val="00026192"/>
    <w:rsid w:val="00027E79"/>
    <w:rsid w:val="00031658"/>
    <w:rsid w:val="00035375"/>
    <w:rsid w:val="0004063C"/>
    <w:rsid w:val="0004247F"/>
    <w:rsid w:val="00052184"/>
    <w:rsid w:val="00052F26"/>
    <w:rsid w:val="00060B30"/>
    <w:rsid w:val="00060C59"/>
    <w:rsid w:val="00060CD0"/>
    <w:rsid w:val="00062AFB"/>
    <w:rsid w:val="000655DD"/>
    <w:rsid w:val="00071F79"/>
    <w:rsid w:val="0007251B"/>
    <w:rsid w:val="00072785"/>
    <w:rsid w:val="000733A5"/>
    <w:rsid w:val="00073FB9"/>
    <w:rsid w:val="0008059B"/>
    <w:rsid w:val="00082C5B"/>
    <w:rsid w:val="00083227"/>
    <w:rsid w:val="000860BB"/>
    <w:rsid w:val="00086CBE"/>
    <w:rsid w:val="00090812"/>
    <w:rsid w:val="000921F0"/>
    <w:rsid w:val="000A012A"/>
    <w:rsid w:val="000C38B2"/>
    <w:rsid w:val="000D4E9A"/>
    <w:rsid w:val="000D7D44"/>
    <w:rsid w:val="000E33B7"/>
    <w:rsid w:val="000E6845"/>
    <w:rsid w:val="000F1E4A"/>
    <w:rsid w:val="000F2497"/>
    <w:rsid w:val="000F3023"/>
    <w:rsid w:val="000F588D"/>
    <w:rsid w:val="00100D34"/>
    <w:rsid w:val="00103EFD"/>
    <w:rsid w:val="00107D87"/>
    <w:rsid w:val="00116BC9"/>
    <w:rsid w:val="001253F4"/>
    <w:rsid w:val="00137E2A"/>
    <w:rsid w:val="00142B85"/>
    <w:rsid w:val="00153514"/>
    <w:rsid w:val="00156F03"/>
    <w:rsid w:val="00157482"/>
    <w:rsid w:val="0016304B"/>
    <w:rsid w:val="001707D8"/>
    <w:rsid w:val="00176BF6"/>
    <w:rsid w:val="001908FE"/>
    <w:rsid w:val="00196F97"/>
    <w:rsid w:val="001A38FD"/>
    <w:rsid w:val="001B0A76"/>
    <w:rsid w:val="001B4E95"/>
    <w:rsid w:val="001B63DF"/>
    <w:rsid w:val="001B6E1A"/>
    <w:rsid w:val="001C604A"/>
    <w:rsid w:val="001D4D4B"/>
    <w:rsid w:val="001D518B"/>
    <w:rsid w:val="001D7761"/>
    <w:rsid w:val="001E4E70"/>
    <w:rsid w:val="001E4EBE"/>
    <w:rsid w:val="001F0446"/>
    <w:rsid w:val="001F1448"/>
    <w:rsid w:val="001F57F5"/>
    <w:rsid w:val="002004C2"/>
    <w:rsid w:val="00202983"/>
    <w:rsid w:val="0020401C"/>
    <w:rsid w:val="002058D1"/>
    <w:rsid w:val="0020629A"/>
    <w:rsid w:val="00206E11"/>
    <w:rsid w:val="00206FE3"/>
    <w:rsid w:val="00207554"/>
    <w:rsid w:val="002110B2"/>
    <w:rsid w:val="00211261"/>
    <w:rsid w:val="00215D33"/>
    <w:rsid w:val="00230CAA"/>
    <w:rsid w:val="002346C5"/>
    <w:rsid w:val="00245235"/>
    <w:rsid w:val="002517BB"/>
    <w:rsid w:val="00253CED"/>
    <w:rsid w:val="00254008"/>
    <w:rsid w:val="002560D7"/>
    <w:rsid w:val="00256E24"/>
    <w:rsid w:val="002620C4"/>
    <w:rsid w:val="00265491"/>
    <w:rsid w:val="002727E8"/>
    <w:rsid w:val="00276CE2"/>
    <w:rsid w:val="00286E5A"/>
    <w:rsid w:val="00287AF1"/>
    <w:rsid w:val="002A41C6"/>
    <w:rsid w:val="002B0426"/>
    <w:rsid w:val="002B5DBE"/>
    <w:rsid w:val="002B785B"/>
    <w:rsid w:val="002C02A4"/>
    <w:rsid w:val="002C3303"/>
    <w:rsid w:val="002C4A7D"/>
    <w:rsid w:val="002D3907"/>
    <w:rsid w:val="002E2691"/>
    <w:rsid w:val="002E36CF"/>
    <w:rsid w:val="002E6CCF"/>
    <w:rsid w:val="002F0AD4"/>
    <w:rsid w:val="002F33D0"/>
    <w:rsid w:val="002F3D77"/>
    <w:rsid w:val="002F419A"/>
    <w:rsid w:val="00300722"/>
    <w:rsid w:val="0030316D"/>
    <w:rsid w:val="00306028"/>
    <w:rsid w:val="00332D03"/>
    <w:rsid w:val="00342197"/>
    <w:rsid w:val="00342C66"/>
    <w:rsid w:val="0035097C"/>
    <w:rsid w:val="00362EA3"/>
    <w:rsid w:val="003664F6"/>
    <w:rsid w:val="003673D2"/>
    <w:rsid w:val="00373377"/>
    <w:rsid w:val="00373D2F"/>
    <w:rsid w:val="00376B8E"/>
    <w:rsid w:val="00380399"/>
    <w:rsid w:val="00397117"/>
    <w:rsid w:val="003A257A"/>
    <w:rsid w:val="003A4FE3"/>
    <w:rsid w:val="003A7774"/>
    <w:rsid w:val="003B26EB"/>
    <w:rsid w:val="003C3290"/>
    <w:rsid w:val="003C7358"/>
    <w:rsid w:val="003D5D3A"/>
    <w:rsid w:val="003E61F6"/>
    <w:rsid w:val="003F56ED"/>
    <w:rsid w:val="003F73C3"/>
    <w:rsid w:val="00401D0C"/>
    <w:rsid w:val="00405091"/>
    <w:rsid w:val="004065AD"/>
    <w:rsid w:val="00407537"/>
    <w:rsid w:val="00413EE5"/>
    <w:rsid w:val="00414FA3"/>
    <w:rsid w:val="004165BD"/>
    <w:rsid w:val="0042220D"/>
    <w:rsid w:val="0042700F"/>
    <w:rsid w:val="004328A4"/>
    <w:rsid w:val="0043377A"/>
    <w:rsid w:val="00433BFE"/>
    <w:rsid w:val="00435E94"/>
    <w:rsid w:val="004379B6"/>
    <w:rsid w:val="00442ED9"/>
    <w:rsid w:val="0044428E"/>
    <w:rsid w:val="00446465"/>
    <w:rsid w:val="00460D54"/>
    <w:rsid w:val="00461D3E"/>
    <w:rsid w:val="004706CC"/>
    <w:rsid w:val="00474017"/>
    <w:rsid w:val="004908DC"/>
    <w:rsid w:val="004931BD"/>
    <w:rsid w:val="004934FD"/>
    <w:rsid w:val="004B4839"/>
    <w:rsid w:val="004B5A4F"/>
    <w:rsid w:val="004B6D94"/>
    <w:rsid w:val="004B75AC"/>
    <w:rsid w:val="004C3644"/>
    <w:rsid w:val="004C660D"/>
    <w:rsid w:val="004C6FC8"/>
    <w:rsid w:val="004D12DD"/>
    <w:rsid w:val="004E5778"/>
    <w:rsid w:val="004E7ED8"/>
    <w:rsid w:val="0050376D"/>
    <w:rsid w:val="00505A5F"/>
    <w:rsid w:val="00510FD5"/>
    <w:rsid w:val="00511FA4"/>
    <w:rsid w:val="00512C25"/>
    <w:rsid w:val="0051489F"/>
    <w:rsid w:val="00514C54"/>
    <w:rsid w:val="005165D5"/>
    <w:rsid w:val="00517C44"/>
    <w:rsid w:val="0052088B"/>
    <w:rsid w:val="005209C3"/>
    <w:rsid w:val="00521F58"/>
    <w:rsid w:val="00523E98"/>
    <w:rsid w:val="005302CB"/>
    <w:rsid w:val="00533A7A"/>
    <w:rsid w:val="00536608"/>
    <w:rsid w:val="0054255A"/>
    <w:rsid w:val="00545534"/>
    <w:rsid w:val="00546BF0"/>
    <w:rsid w:val="00547C08"/>
    <w:rsid w:val="0055434C"/>
    <w:rsid w:val="00554A89"/>
    <w:rsid w:val="005556F2"/>
    <w:rsid w:val="00564389"/>
    <w:rsid w:val="00564E37"/>
    <w:rsid w:val="00577243"/>
    <w:rsid w:val="00591283"/>
    <w:rsid w:val="005A61CE"/>
    <w:rsid w:val="005A7E5A"/>
    <w:rsid w:val="005B1285"/>
    <w:rsid w:val="005B1410"/>
    <w:rsid w:val="005B34E0"/>
    <w:rsid w:val="005B5EB5"/>
    <w:rsid w:val="005B5FCC"/>
    <w:rsid w:val="005C2711"/>
    <w:rsid w:val="005C39B6"/>
    <w:rsid w:val="005D240E"/>
    <w:rsid w:val="005D2809"/>
    <w:rsid w:val="005D4A40"/>
    <w:rsid w:val="005E0957"/>
    <w:rsid w:val="005E15E0"/>
    <w:rsid w:val="005E3F36"/>
    <w:rsid w:val="005E493B"/>
    <w:rsid w:val="005E4975"/>
    <w:rsid w:val="005F21AF"/>
    <w:rsid w:val="005F2951"/>
    <w:rsid w:val="006207EB"/>
    <w:rsid w:val="00621938"/>
    <w:rsid w:val="00624DDC"/>
    <w:rsid w:val="006253B6"/>
    <w:rsid w:val="006257ED"/>
    <w:rsid w:val="0062686E"/>
    <w:rsid w:val="00627307"/>
    <w:rsid w:val="00630B30"/>
    <w:rsid w:val="00637143"/>
    <w:rsid w:val="00644A06"/>
    <w:rsid w:val="00644A8F"/>
    <w:rsid w:val="00644C5D"/>
    <w:rsid w:val="00645CA3"/>
    <w:rsid w:val="006472E7"/>
    <w:rsid w:val="00651FF6"/>
    <w:rsid w:val="00656BB8"/>
    <w:rsid w:val="00657AC2"/>
    <w:rsid w:val="00661928"/>
    <w:rsid w:val="006648D8"/>
    <w:rsid w:val="00664DD1"/>
    <w:rsid w:val="0068303E"/>
    <w:rsid w:val="0068383E"/>
    <w:rsid w:val="00690297"/>
    <w:rsid w:val="00690DD3"/>
    <w:rsid w:val="00693592"/>
    <w:rsid w:val="006A1DD2"/>
    <w:rsid w:val="006A2B00"/>
    <w:rsid w:val="006A2C1D"/>
    <w:rsid w:val="006A4D02"/>
    <w:rsid w:val="006A597E"/>
    <w:rsid w:val="006B0271"/>
    <w:rsid w:val="006B1BF9"/>
    <w:rsid w:val="006B31DA"/>
    <w:rsid w:val="006B4885"/>
    <w:rsid w:val="006B53F1"/>
    <w:rsid w:val="006B5478"/>
    <w:rsid w:val="006B6037"/>
    <w:rsid w:val="006C0E56"/>
    <w:rsid w:val="006C2868"/>
    <w:rsid w:val="006D204F"/>
    <w:rsid w:val="006D560B"/>
    <w:rsid w:val="006D6B26"/>
    <w:rsid w:val="006E4E8F"/>
    <w:rsid w:val="006E4F82"/>
    <w:rsid w:val="006F2155"/>
    <w:rsid w:val="006F5AE9"/>
    <w:rsid w:val="00706AE8"/>
    <w:rsid w:val="00707853"/>
    <w:rsid w:val="00717823"/>
    <w:rsid w:val="00717BDC"/>
    <w:rsid w:val="00721395"/>
    <w:rsid w:val="00723A28"/>
    <w:rsid w:val="00725DDA"/>
    <w:rsid w:val="00736B62"/>
    <w:rsid w:val="00747995"/>
    <w:rsid w:val="00756460"/>
    <w:rsid w:val="00764C85"/>
    <w:rsid w:val="00772BBC"/>
    <w:rsid w:val="007758B8"/>
    <w:rsid w:val="00782CA5"/>
    <w:rsid w:val="00785DE2"/>
    <w:rsid w:val="00793E3E"/>
    <w:rsid w:val="00794E7C"/>
    <w:rsid w:val="007A29C5"/>
    <w:rsid w:val="007A3FC7"/>
    <w:rsid w:val="007A56C8"/>
    <w:rsid w:val="007B0FB2"/>
    <w:rsid w:val="007B1A7B"/>
    <w:rsid w:val="007B54B0"/>
    <w:rsid w:val="007C02A6"/>
    <w:rsid w:val="007C2B80"/>
    <w:rsid w:val="007C7B4B"/>
    <w:rsid w:val="007D0F6E"/>
    <w:rsid w:val="007E2BD3"/>
    <w:rsid w:val="007F79C6"/>
    <w:rsid w:val="00800AB1"/>
    <w:rsid w:val="00802235"/>
    <w:rsid w:val="00810B50"/>
    <w:rsid w:val="008126EA"/>
    <w:rsid w:val="008158DE"/>
    <w:rsid w:val="008224F1"/>
    <w:rsid w:val="00822B54"/>
    <w:rsid w:val="00823428"/>
    <w:rsid w:val="00831F77"/>
    <w:rsid w:val="00832CBD"/>
    <w:rsid w:val="00834C54"/>
    <w:rsid w:val="00835139"/>
    <w:rsid w:val="008356C4"/>
    <w:rsid w:val="008369BA"/>
    <w:rsid w:val="008407FA"/>
    <w:rsid w:val="00840D32"/>
    <w:rsid w:val="00843933"/>
    <w:rsid w:val="008502D9"/>
    <w:rsid w:val="00850F4C"/>
    <w:rsid w:val="00862482"/>
    <w:rsid w:val="008641C2"/>
    <w:rsid w:val="00864C1F"/>
    <w:rsid w:val="00864C2B"/>
    <w:rsid w:val="00865359"/>
    <w:rsid w:val="00870FA1"/>
    <w:rsid w:val="008738B6"/>
    <w:rsid w:val="00875220"/>
    <w:rsid w:val="00891CD9"/>
    <w:rsid w:val="00897DF7"/>
    <w:rsid w:val="008A2D17"/>
    <w:rsid w:val="008B11C4"/>
    <w:rsid w:val="008B130E"/>
    <w:rsid w:val="008B1CEA"/>
    <w:rsid w:val="008C1382"/>
    <w:rsid w:val="008C259A"/>
    <w:rsid w:val="008C6A0E"/>
    <w:rsid w:val="008C7CA9"/>
    <w:rsid w:val="008D22AD"/>
    <w:rsid w:val="008E0239"/>
    <w:rsid w:val="008E4718"/>
    <w:rsid w:val="008F2446"/>
    <w:rsid w:val="008F51D3"/>
    <w:rsid w:val="008F5F75"/>
    <w:rsid w:val="00901040"/>
    <w:rsid w:val="00906F6A"/>
    <w:rsid w:val="009165F7"/>
    <w:rsid w:val="00917CA7"/>
    <w:rsid w:val="00922988"/>
    <w:rsid w:val="00923F25"/>
    <w:rsid w:val="0092653E"/>
    <w:rsid w:val="00931F8E"/>
    <w:rsid w:val="009351E7"/>
    <w:rsid w:val="00936367"/>
    <w:rsid w:val="009436B9"/>
    <w:rsid w:val="00951A00"/>
    <w:rsid w:val="0095715B"/>
    <w:rsid w:val="00963503"/>
    <w:rsid w:val="00965DBD"/>
    <w:rsid w:val="00967661"/>
    <w:rsid w:val="00971944"/>
    <w:rsid w:val="00974329"/>
    <w:rsid w:val="00975C67"/>
    <w:rsid w:val="009815C6"/>
    <w:rsid w:val="00992741"/>
    <w:rsid w:val="00995C8E"/>
    <w:rsid w:val="00996201"/>
    <w:rsid w:val="009A39E1"/>
    <w:rsid w:val="009A3AD8"/>
    <w:rsid w:val="009A6EE8"/>
    <w:rsid w:val="009B0F58"/>
    <w:rsid w:val="009C3380"/>
    <w:rsid w:val="009C74AA"/>
    <w:rsid w:val="009C7E89"/>
    <w:rsid w:val="009D2BD9"/>
    <w:rsid w:val="009D2C2A"/>
    <w:rsid w:val="009D7B54"/>
    <w:rsid w:val="009E5DE0"/>
    <w:rsid w:val="009E7E38"/>
    <w:rsid w:val="009F265B"/>
    <w:rsid w:val="009F30A1"/>
    <w:rsid w:val="009F482C"/>
    <w:rsid w:val="009F65DC"/>
    <w:rsid w:val="009F68DB"/>
    <w:rsid w:val="00A00244"/>
    <w:rsid w:val="00A00527"/>
    <w:rsid w:val="00A03E3F"/>
    <w:rsid w:val="00A1108E"/>
    <w:rsid w:val="00A12D9D"/>
    <w:rsid w:val="00A1539B"/>
    <w:rsid w:val="00A27CD0"/>
    <w:rsid w:val="00A33138"/>
    <w:rsid w:val="00A36134"/>
    <w:rsid w:val="00A362B6"/>
    <w:rsid w:val="00A3715D"/>
    <w:rsid w:val="00A4003C"/>
    <w:rsid w:val="00A438F8"/>
    <w:rsid w:val="00A50BF2"/>
    <w:rsid w:val="00A641D8"/>
    <w:rsid w:val="00A67DFF"/>
    <w:rsid w:val="00A71475"/>
    <w:rsid w:val="00A714DC"/>
    <w:rsid w:val="00A7179C"/>
    <w:rsid w:val="00A71D77"/>
    <w:rsid w:val="00A75940"/>
    <w:rsid w:val="00A761CB"/>
    <w:rsid w:val="00A825D7"/>
    <w:rsid w:val="00A85701"/>
    <w:rsid w:val="00A9797F"/>
    <w:rsid w:val="00AA3FC5"/>
    <w:rsid w:val="00AA5651"/>
    <w:rsid w:val="00AB359B"/>
    <w:rsid w:val="00AB635F"/>
    <w:rsid w:val="00AC5B46"/>
    <w:rsid w:val="00AC728C"/>
    <w:rsid w:val="00AD0344"/>
    <w:rsid w:val="00AD3261"/>
    <w:rsid w:val="00AD3EC8"/>
    <w:rsid w:val="00AD4355"/>
    <w:rsid w:val="00AD6ED8"/>
    <w:rsid w:val="00AE0A37"/>
    <w:rsid w:val="00AE1CAF"/>
    <w:rsid w:val="00AE3F5F"/>
    <w:rsid w:val="00AE7318"/>
    <w:rsid w:val="00AF3C45"/>
    <w:rsid w:val="00AF3F68"/>
    <w:rsid w:val="00B026D1"/>
    <w:rsid w:val="00B04785"/>
    <w:rsid w:val="00B12BAD"/>
    <w:rsid w:val="00B13297"/>
    <w:rsid w:val="00B13D7C"/>
    <w:rsid w:val="00B13DC4"/>
    <w:rsid w:val="00B17B7C"/>
    <w:rsid w:val="00B23277"/>
    <w:rsid w:val="00B245AD"/>
    <w:rsid w:val="00B27C7F"/>
    <w:rsid w:val="00B3652D"/>
    <w:rsid w:val="00B4182B"/>
    <w:rsid w:val="00B45DBA"/>
    <w:rsid w:val="00B47CE0"/>
    <w:rsid w:val="00B55E54"/>
    <w:rsid w:val="00B56589"/>
    <w:rsid w:val="00B57987"/>
    <w:rsid w:val="00B63A98"/>
    <w:rsid w:val="00B63EBF"/>
    <w:rsid w:val="00B64D05"/>
    <w:rsid w:val="00B70460"/>
    <w:rsid w:val="00B764D8"/>
    <w:rsid w:val="00B82607"/>
    <w:rsid w:val="00B9441B"/>
    <w:rsid w:val="00BB4BF8"/>
    <w:rsid w:val="00BB6A6B"/>
    <w:rsid w:val="00BC50F0"/>
    <w:rsid w:val="00BD1C81"/>
    <w:rsid w:val="00BD5A19"/>
    <w:rsid w:val="00BD702B"/>
    <w:rsid w:val="00BD7963"/>
    <w:rsid w:val="00BD7B78"/>
    <w:rsid w:val="00BE371B"/>
    <w:rsid w:val="00BE4892"/>
    <w:rsid w:val="00BE773B"/>
    <w:rsid w:val="00BF0689"/>
    <w:rsid w:val="00C00DE9"/>
    <w:rsid w:val="00C02A26"/>
    <w:rsid w:val="00C05352"/>
    <w:rsid w:val="00C21FED"/>
    <w:rsid w:val="00C23681"/>
    <w:rsid w:val="00C32404"/>
    <w:rsid w:val="00C405CD"/>
    <w:rsid w:val="00C51A53"/>
    <w:rsid w:val="00C53A96"/>
    <w:rsid w:val="00C53AEC"/>
    <w:rsid w:val="00C64871"/>
    <w:rsid w:val="00C7152E"/>
    <w:rsid w:val="00C73360"/>
    <w:rsid w:val="00C86CB2"/>
    <w:rsid w:val="00C91A5A"/>
    <w:rsid w:val="00C91C71"/>
    <w:rsid w:val="00C95126"/>
    <w:rsid w:val="00CA1D6D"/>
    <w:rsid w:val="00CA72A5"/>
    <w:rsid w:val="00CB1F9B"/>
    <w:rsid w:val="00CB4358"/>
    <w:rsid w:val="00CB57CE"/>
    <w:rsid w:val="00CC07BF"/>
    <w:rsid w:val="00CC091F"/>
    <w:rsid w:val="00CC1A79"/>
    <w:rsid w:val="00CC3A0A"/>
    <w:rsid w:val="00CC4651"/>
    <w:rsid w:val="00CC50F6"/>
    <w:rsid w:val="00CE018E"/>
    <w:rsid w:val="00CE066A"/>
    <w:rsid w:val="00CE545C"/>
    <w:rsid w:val="00CE7A4A"/>
    <w:rsid w:val="00CF315D"/>
    <w:rsid w:val="00D1343F"/>
    <w:rsid w:val="00D13AA8"/>
    <w:rsid w:val="00D239B5"/>
    <w:rsid w:val="00D24FC4"/>
    <w:rsid w:val="00D25175"/>
    <w:rsid w:val="00D26203"/>
    <w:rsid w:val="00D30B6F"/>
    <w:rsid w:val="00D30D76"/>
    <w:rsid w:val="00D310B4"/>
    <w:rsid w:val="00D31B79"/>
    <w:rsid w:val="00D32B72"/>
    <w:rsid w:val="00D32E6D"/>
    <w:rsid w:val="00D4033C"/>
    <w:rsid w:val="00D40535"/>
    <w:rsid w:val="00D45504"/>
    <w:rsid w:val="00D5346A"/>
    <w:rsid w:val="00D55767"/>
    <w:rsid w:val="00D5637F"/>
    <w:rsid w:val="00D57F65"/>
    <w:rsid w:val="00D63D90"/>
    <w:rsid w:val="00D656FB"/>
    <w:rsid w:val="00D71BA0"/>
    <w:rsid w:val="00D72BE3"/>
    <w:rsid w:val="00D749DF"/>
    <w:rsid w:val="00D82755"/>
    <w:rsid w:val="00D82E67"/>
    <w:rsid w:val="00D831AC"/>
    <w:rsid w:val="00D84376"/>
    <w:rsid w:val="00D87B09"/>
    <w:rsid w:val="00D92CDC"/>
    <w:rsid w:val="00D9306A"/>
    <w:rsid w:val="00D95BFC"/>
    <w:rsid w:val="00D97926"/>
    <w:rsid w:val="00D97F03"/>
    <w:rsid w:val="00DA3557"/>
    <w:rsid w:val="00DA4701"/>
    <w:rsid w:val="00DB0D4C"/>
    <w:rsid w:val="00DB4F01"/>
    <w:rsid w:val="00DB54D0"/>
    <w:rsid w:val="00DC4B02"/>
    <w:rsid w:val="00DC65F2"/>
    <w:rsid w:val="00DC7876"/>
    <w:rsid w:val="00DC7DD5"/>
    <w:rsid w:val="00DD0185"/>
    <w:rsid w:val="00DD23A3"/>
    <w:rsid w:val="00DE3ED7"/>
    <w:rsid w:val="00DE59E5"/>
    <w:rsid w:val="00DE5D1D"/>
    <w:rsid w:val="00DF1291"/>
    <w:rsid w:val="00E00F34"/>
    <w:rsid w:val="00E03A5F"/>
    <w:rsid w:val="00E076EE"/>
    <w:rsid w:val="00E07B44"/>
    <w:rsid w:val="00E07E6F"/>
    <w:rsid w:val="00E1392C"/>
    <w:rsid w:val="00E178F1"/>
    <w:rsid w:val="00E20FA4"/>
    <w:rsid w:val="00E22AC6"/>
    <w:rsid w:val="00E24830"/>
    <w:rsid w:val="00E318A6"/>
    <w:rsid w:val="00E32745"/>
    <w:rsid w:val="00E35C71"/>
    <w:rsid w:val="00E41C62"/>
    <w:rsid w:val="00E41EE9"/>
    <w:rsid w:val="00E425E1"/>
    <w:rsid w:val="00E44AB6"/>
    <w:rsid w:val="00E45FAD"/>
    <w:rsid w:val="00E461D4"/>
    <w:rsid w:val="00E50D7D"/>
    <w:rsid w:val="00E6172E"/>
    <w:rsid w:val="00E62285"/>
    <w:rsid w:val="00E62819"/>
    <w:rsid w:val="00E71E25"/>
    <w:rsid w:val="00E72C64"/>
    <w:rsid w:val="00E81442"/>
    <w:rsid w:val="00E9045F"/>
    <w:rsid w:val="00E93B72"/>
    <w:rsid w:val="00EA0D4F"/>
    <w:rsid w:val="00EA22EF"/>
    <w:rsid w:val="00EA405B"/>
    <w:rsid w:val="00EA45DC"/>
    <w:rsid w:val="00EB0F22"/>
    <w:rsid w:val="00EB46C2"/>
    <w:rsid w:val="00EB4C26"/>
    <w:rsid w:val="00EB6134"/>
    <w:rsid w:val="00EC1A6C"/>
    <w:rsid w:val="00EC282C"/>
    <w:rsid w:val="00EC46E1"/>
    <w:rsid w:val="00EC72A6"/>
    <w:rsid w:val="00ED3435"/>
    <w:rsid w:val="00ED7509"/>
    <w:rsid w:val="00EE2B70"/>
    <w:rsid w:val="00EE38AF"/>
    <w:rsid w:val="00EF254B"/>
    <w:rsid w:val="00EF3D7F"/>
    <w:rsid w:val="00EF4FF2"/>
    <w:rsid w:val="00EF5790"/>
    <w:rsid w:val="00F047AF"/>
    <w:rsid w:val="00F071DE"/>
    <w:rsid w:val="00F119A4"/>
    <w:rsid w:val="00F13139"/>
    <w:rsid w:val="00F33412"/>
    <w:rsid w:val="00F34158"/>
    <w:rsid w:val="00F42246"/>
    <w:rsid w:val="00F56C9E"/>
    <w:rsid w:val="00F57C01"/>
    <w:rsid w:val="00F6130B"/>
    <w:rsid w:val="00F6437F"/>
    <w:rsid w:val="00F74630"/>
    <w:rsid w:val="00F77017"/>
    <w:rsid w:val="00F87CA1"/>
    <w:rsid w:val="00F905EB"/>
    <w:rsid w:val="00F9122A"/>
    <w:rsid w:val="00F93ADE"/>
    <w:rsid w:val="00F93CC3"/>
    <w:rsid w:val="00F93FD1"/>
    <w:rsid w:val="00F96A8A"/>
    <w:rsid w:val="00FA181B"/>
    <w:rsid w:val="00FA2C88"/>
    <w:rsid w:val="00FA37FF"/>
    <w:rsid w:val="00FA6D2C"/>
    <w:rsid w:val="00FB5BF6"/>
    <w:rsid w:val="00FC0DA1"/>
    <w:rsid w:val="00FC378B"/>
    <w:rsid w:val="00FC779A"/>
    <w:rsid w:val="00FD048C"/>
    <w:rsid w:val="00FD11F1"/>
    <w:rsid w:val="00FF2BD9"/>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43A651"/>
  <w15:docId w15:val="{78422832-9DCF-49ED-87EC-2B31F3D2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7A56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UrbanH2">
    <w:name w:val="Urban H2"/>
    <w:basedOn w:val="Heading2"/>
    <w:link w:val="UrbanH2Char"/>
    <w:qFormat/>
    <w:rsid w:val="007A56C8"/>
    <w:pPr>
      <w:spacing w:before="160" w:after="180" w:line="240" w:lineRule="auto"/>
    </w:pPr>
    <w:rPr>
      <w:rFonts w:ascii="Lato" w:eastAsia="Calibri" w:hAnsi="Lato"/>
      <w:snapToGrid w:val="0"/>
      <w:color w:val="1696D2"/>
      <w:sz w:val="28"/>
    </w:rPr>
  </w:style>
  <w:style w:type="character" w:customStyle="1" w:styleId="UrbanH2Char">
    <w:name w:val="Urban H2 Char"/>
    <w:basedOn w:val="DefaultParagraphFont"/>
    <w:link w:val="UrbanH2"/>
    <w:locked/>
    <w:rsid w:val="007A56C8"/>
    <w:rPr>
      <w:rFonts w:ascii="Lato" w:eastAsia="Calibri" w:hAnsi="Lato" w:cstheme="majorBidi"/>
      <w:snapToGrid w:val="0"/>
      <w:color w:val="1696D2"/>
      <w:sz w:val="28"/>
      <w:szCs w:val="26"/>
    </w:rPr>
  </w:style>
  <w:style w:type="character" w:customStyle="1" w:styleId="Heading2Char">
    <w:name w:val="Heading 2 Char"/>
    <w:basedOn w:val="DefaultParagraphFont"/>
    <w:link w:val="Heading2"/>
    <w:uiPriority w:val="9"/>
    <w:semiHidden/>
    <w:rsid w:val="007A56C8"/>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4908DC"/>
    <w:rPr>
      <w:color w:val="605E5C"/>
      <w:shd w:val="clear" w:color="auto" w:fill="E1DFDD"/>
    </w:rPr>
  </w:style>
  <w:style w:type="paragraph" w:customStyle="1" w:styleId="Answer">
    <w:name w:val="Answer"/>
    <w:basedOn w:val="Normal"/>
    <w:rsid w:val="00DB54D0"/>
    <w:pPr>
      <w:spacing w:after="240" w:line="240" w:lineRule="auto"/>
      <w:ind w:left="475"/>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32D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10FC0-FF41-4D47-B889-60A34137C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eaa45b17-fd56-44b4-85b7-73d344da6853"/>
    <ds:schemaRef ds:uri="http://purl.org/dc/elements/1.1/"/>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33A735A7-5F49-441C-8095-FB00A004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3665</Words>
  <Characters>20895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Caronongan</dc:creator>
  <cp:lastModifiedBy>Pia Caronongan</cp:lastModifiedBy>
  <cp:revision>3</cp:revision>
  <dcterms:created xsi:type="dcterms:W3CDTF">2021-02-26T19:00:00Z</dcterms:created>
  <dcterms:modified xsi:type="dcterms:W3CDTF">2021-02-26T19:02:00Z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