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67662C" w:rsidR="00AB2CDB" w:rsidP="00AB2CDB" w:rsidRDefault="00AB2CDB" w14:paraId="5A27437B" w14:textId="3F45D482">
      <w:r>
        <w:t xml:space="preserve">January </w:t>
      </w:r>
      <w:r w:rsidR="00FC5A1F">
        <w:t>5</w:t>
      </w:r>
      <w:r>
        <w:t>, 2021</w:t>
      </w:r>
    </w:p>
    <w:p w:rsidR="00AB2CDB" w:rsidP="00AB2CDB" w:rsidRDefault="00AB2CDB" w14:paraId="2F54B76D" w14:textId="77777777"/>
    <w:p w:rsidR="00FC5A1F" w:rsidP="00AB2CDB" w:rsidRDefault="00FC5A1F" w14:paraId="298475B2" w14:textId="77777777"/>
    <w:p w:rsidRPr="0067662C" w:rsidR="00FC5A1F" w:rsidP="00AB2CDB" w:rsidRDefault="00FC5A1F" w14:paraId="59A3EEA0" w14:textId="77777777"/>
    <w:p w:rsidRPr="0067662C" w:rsidR="00AB2CDB" w:rsidP="00AB2CDB" w:rsidRDefault="00AB2CDB" w14:paraId="600DAB8F" w14:textId="77777777">
      <w:pPr>
        <w:tabs>
          <w:tab w:val="left" w:pos="3600"/>
        </w:tabs>
      </w:pPr>
      <w:r w:rsidRPr="0067662C">
        <w:t>MEMORANDUM FOR:</w:t>
      </w:r>
      <w:r w:rsidRPr="0067662C">
        <w:tab/>
        <w:t>Reviewer of 1220-0050</w:t>
      </w:r>
    </w:p>
    <w:p w:rsidRPr="0067662C" w:rsidR="00AB2CDB" w:rsidP="00AB2CDB" w:rsidRDefault="00AB2CDB" w14:paraId="077B7A6C" w14:textId="77777777">
      <w:pPr>
        <w:tabs>
          <w:tab w:val="left" w:pos="3600"/>
        </w:tabs>
      </w:pPr>
    </w:p>
    <w:p w:rsidRPr="0067662C" w:rsidR="00AB2CDB" w:rsidP="00AB2CDB" w:rsidRDefault="00AB2CDB" w14:paraId="2714432C" w14:textId="77777777">
      <w:pPr>
        <w:tabs>
          <w:tab w:val="left" w:pos="3600"/>
        </w:tabs>
        <w:outlineLvl w:val="0"/>
      </w:pPr>
      <w:r w:rsidRPr="0067662C">
        <w:t>FROM:</w:t>
      </w:r>
      <w:r w:rsidRPr="0067662C">
        <w:tab/>
      </w:r>
      <w:r>
        <w:t>ADAM SAFIR</w:t>
      </w:r>
      <w:r w:rsidRPr="0067662C">
        <w:t>, Chief</w:t>
      </w:r>
    </w:p>
    <w:p w:rsidRPr="0067662C" w:rsidR="00AB2CDB" w:rsidP="00AB2CDB" w:rsidRDefault="00AB2CDB" w14:paraId="4F61C2D4" w14:textId="77777777">
      <w:pPr>
        <w:tabs>
          <w:tab w:val="left" w:pos="3600"/>
        </w:tabs>
        <w:ind w:firstLine="720"/>
        <w:outlineLvl w:val="0"/>
      </w:pPr>
      <w:r w:rsidRPr="0067662C">
        <w:tab/>
        <w:t>Division of Consumer Expenditure (CE) Surveys</w:t>
      </w:r>
    </w:p>
    <w:p w:rsidRPr="0067662C" w:rsidR="00AB2CDB" w:rsidP="00AB2CDB" w:rsidRDefault="00AB2CDB" w14:paraId="747C22AB" w14:textId="77777777">
      <w:pPr>
        <w:tabs>
          <w:tab w:val="left" w:pos="3600"/>
        </w:tabs>
        <w:ind w:firstLine="720"/>
        <w:outlineLvl w:val="0"/>
      </w:pPr>
      <w:r w:rsidRPr="0067662C">
        <w:tab/>
        <w:t>Bureau of Labor Statistics</w:t>
      </w:r>
    </w:p>
    <w:p w:rsidRPr="0067662C" w:rsidR="00AB2CDB" w:rsidP="00AB2CDB" w:rsidRDefault="00AB2CDB" w14:paraId="594AEA4A" w14:textId="77777777">
      <w:pPr>
        <w:ind w:left="3600" w:hanging="3600"/>
        <w:rPr>
          <w:szCs w:val="22"/>
        </w:rPr>
      </w:pPr>
      <w:r w:rsidRPr="0067662C">
        <w:rPr>
          <w:szCs w:val="22"/>
        </w:rPr>
        <w:tab/>
      </w:r>
    </w:p>
    <w:p w:rsidRPr="0067662C" w:rsidR="00AB2CDB" w:rsidP="00AB2CDB" w:rsidRDefault="00AB2CDB" w14:paraId="2A0AEF94" w14:textId="77777777">
      <w:pPr>
        <w:ind w:left="3600" w:hanging="3600"/>
      </w:pPr>
      <w:r w:rsidRPr="0067662C">
        <w:rPr>
          <w:szCs w:val="22"/>
        </w:rPr>
        <w:t>SUBJECT:</w:t>
      </w:r>
      <w:r w:rsidRPr="0067662C">
        <w:rPr>
          <w:szCs w:val="22"/>
        </w:rPr>
        <w:tab/>
      </w:r>
      <w:r w:rsidRPr="0067662C">
        <w:t xml:space="preserve">Non-substantive Change Request for the </w:t>
      </w:r>
    </w:p>
    <w:p w:rsidRPr="0067662C" w:rsidR="00AB2CDB" w:rsidP="00AB2CDB" w:rsidRDefault="00AB2CDB" w14:paraId="0095BA51" w14:textId="77777777">
      <w:pPr>
        <w:ind w:left="3600"/>
      </w:pPr>
      <w:r>
        <w:t>Consumer Expenditure</w:t>
      </w:r>
      <w:r w:rsidRPr="0067662C">
        <w:t xml:space="preserve"> Survey</w:t>
      </w:r>
      <w:r>
        <w:t>s</w:t>
      </w:r>
      <w:r w:rsidRPr="0067662C">
        <w:t xml:space="preserve"> (CE</w:t>
      </w:r>
      <w:r w:rsidR="003A28F6">
        <w:t>Q</w:t>
      </w:r>
      <w:r w:rsidRPr="0067662C">
        <w:t xml:space="preserve">) – </w:t>
      </w:r>
      <w:r w:rsidR="003A28F6">
        <w:t>Addition of Stimulus Questions</w:t>
      </w:r>
    </w:p>
    <w:p w:rsidR="009F0853" w:rsidP="009F0853" w:rsidRDefault="009F0853" w14:paraId="0B1955B9" w14:textId="77777777">
      <w:pPr>
        <w:autoSpaceDE w:val="0"/>
        <w:autoSpaceDN w:val="0"/>
        <w:adjustRightInd w:val="0"/>
      </w:pPr>
    </w:p>
    <w:p w:rsidR="009F0853" w:rsidP="009F0853" w:rsidRDefault="009F0853" w14:paraId="65FA58B2" w14:textId="77777777">
      <w:pPr>
        <w:autoSpaceDE w:val="0"/>
        <w:autoSpaceDN w:val="0"/>
        <w:adjustRightInd w:val="0"/>
      </w:pPr>
    </w:p>
    <w:p w:rsidR="002875A1" w:rsidP="006365A4" w:rsidRDefault="006365A4" w14:paraId="50299CBC" w14:textId="74F6576A">
      <w:pPr>
        <w:rPr>
          <w:rFonts w:eastAsiaTheme="minorHAnsi"/>
        </w:rPr>
      </w:pPr>
      <w:r>
        <w:t xml:space="preserve">Because of </w:t>
      </w:r>
      <w:r>
        <w:rPr>
          <w:rFonts w:eastAsiaTheme="minorHAnsi"/>
        </w:rPr>
        <w:t xml:space="preserve">the </w:t>
      </w:r>
      <w:r w:rsidR="00152581">
        <w:rPr>
          <w:rFonts w:eastAsiaTheme="minorHAnsi"/>
        </w:rPr>
        <w:t xml:space="preserve">recent second </w:t>
      </w:r>
      <w:r>
        <w:rPr>
          <w:rFonts w:eastAsiaTheme="minorHAnsi"/>
        </w:rPr>
        <w:t xml:space="preserve">stimulus payment made by the Federal Government in response to the coronavirus pandemic, CE </w:t>
      </w:r>
      <w:r w:rsidR="00152581">
        <w:rPr>
          <w:rFonts w:eastAsiaTheme="minorHAnsi"/>
        </w:rPr>
        <w:t>requests to</w:t>
      </w:r>
      <w:r>
        <w:rPr>
          <w:rFonts w:eastAsiaTheme="minorHAnsi"/>
        </w:rPr>
        <w:t xml:space="preserve"> add seven questions to the Consumer Expenditure Quarterly (CEQ) survey.  These questions will be administered beginning in February and continuing through </w:t>
      </w:r>
      <w:r w:rsidR="00C94154">
        <w:rPr>
          <w:rFonts w:eastAsiaTheme="minorHAnsi"/>
        </w:rPr>
        <w:t>September</w:t>
      </w:r>
      <w:r w:rsidR="00152581">
        <w:rPr>
          <w:rFonts w:eastAsiaTheme="minorHAnsi"/>
        </w:rPr>
        <w:t>.  The questions</w:t>
      </w:r>
      <w:r w:rsidR="00FC5A1F">
        <w:rPr>
          <w:rFonts w:eastAsiaTheme="minorHAnsi"/>
        </w:rPr>
        <w:t xml:space="preserve"> </w:t>
      </w:r>
      <w:r>
        <w:rPr>
          <w:rFonts w:eastAsiaTheme="minorHAnsi"/>
        </w:rPr>
        <w:t>are exactly the same as the previous round of stimulus payment questions included in the CE</w:t>
      </w:r>
      <w:r w:rsidR="002875A1">
        <w:rPr>
          <w:rFonts w:eastAsiaTheme="minorHAnsi"/>
        </w:rPr>
        <w:t>Q</w:t>
      </w:r>
      <w:r>
        <w:rPr>
          <w:rFonts w:eastAsiaTheme="minorHAnsi"/>
        </w:rPr>
        <w:t xml:space="preserve"> survey</w:t>
      </w:r>
      <w:r w:rsidR="00152581">
        <w:rPr>
          <w:rFonts w:eastAsiaTheme="minorHAnsi"/>
        </w:rPr>
        <w:t xml:space="preserve"> from June to November 2020</w:t>
      </w:r>
      <w:r>
        <w:rPr>
          <w:rFonts w:eastAsiaTheme="minorHAnsi"/>
        </w:rPr>
        <w:t xml:space="preserve">.  </w:t>
      </w:r>
    </w:p>
    <w:p w:rsidR="006365A4" w:rsidP="006365A4" w:rsidRDefault="006365A4" w14:paraId="676EC863" w14:textId="77777777">
      <w:pPr>
        <w:rPr>
          <w:rFonts w:eastAsiaTheme="minorHAnsi"/>
        </w:rPr>
      </w:pPr>
    </w:p>
    <w:p w:rsidR="006365A4" w:rsidP="006365A4" w:rsidRDefault="006365A4" w14:paraId="200A73FB" w14:textId="77777777">
      <w:pPr>
        <w:rPr>
          <w:rFonts w:eastAsiaTheme="minorHAnsi"/>
        </w:rPr>
      </w:pPr>
      <w:r>
        <w:t>These questions are necessary to measure the effect of the stimulus payments sent directly to many households i</w:t>
      </w:r>
      <w:r w:rsidRPr="00B42029">
        <w:t>n response to the coronavirus</w:t>
      </w:r>
      <w:r>
        <w:t xml:space="preserve"> pandemic.  </w:t>
      </w:r>
      <w:r w:rsidRPr="00E859A2">
        <w:t xml:space="preserve">Addition of </w:t>
      </w:r>
      <w:r>
        <w:t>the questions described below are</w:t>
      </w:r>
      <w:r w:rsidRPr="00E859A2">
        <w:t xml:space="preserve"> </w:t>
      </w:r>
      <w:r>
        <w:t>needed</w:t>
      </w:r>
      <w:r w:rsidRPr="00E859A2">
        <w:t xml:space="preserve"> to facilitate a timely and effective </w:t>
      </w:r>
      <w:r>
        <w:t>collection of expenditure data resulting from the stimulus</w:t>
      </w:r>
      <w:r w:rsidRPr="00E859A2">
        <w:t xml:space="preserve">. </w:t>
      </w:r>
      <w:r>
        <w:t xml:space="preserve"> Economic</w:t>
      </w:r>
      <w:r w:rsidRPr="00E859A2">
        <w:t xml:space="preserve"> data are used to </w:t>
      </w:r>
      <w:r>
        <w:t>evaluate the intended effect of the stimulus and to adequately explain changes in expenditure patterns that result from the coronavirus pandemic.</w:t>
      </w:r>
      <w:r w:rsidRPr="00E859A2">
        <w:rPr>
          <w:rFonts w:eastAsiaTheme="minorHAnsi"/>
        </w:rPr>
        <w:t xml:space="preserve"> </w:t>
      </w:r>
    </w:p>
    <w:p w:rsidR="006365A4" w:rsidP="006365A4" w:rsidRDefault="006365A4" w14:paraId="4C101AE1" w14:textId="77777777">
      <w:pPr>
        <w:rPr>
          <w:rFonts w:eastAsiaTheme="minorHAnsi"/>
        </w:rPr>
      </w:pPr>
    </w:p>
    <w:p w:rsidR="006365A4" w:rsidP="006365A4" w:rsidRDefault="006365A4" w14:paraId="20E41A82" w14:textId="1F299E12">
      <w:r>
        <w:t>Together, t</w:t>
      </w:r>
      <w:r w:rsidRPr="006A5B97">
        <w:t xml:space="preserve">he questions will capture: </w:t>
      </w:r>
      <w:r>
        <w:t xml:space="preserve">1) </w:t>
      </w:r>
      <w:r w:rsidRPr="006A5B97">
        <w:t xml:space="preserve">the receipt </w:t>
      </w:r>
      <w:r>
        <w:t>of the</w:t>
      </w:r>
      <w:r w:rsidRPr="006A5B97">
        <w:t xml:space="preserve"> </w:t>
      </w:r>
      <w:r>
        <w:t>stimulus payments,</w:t>
      </w:r>
      <w:r w:rsidRPr="006A5B97">
        <w:t xml:space="preserve"> </w:t>
      </w:r>
      <w:r>
        <w:t xml:space="preserve">2) by which members of the Consumer Unit (CU), 3) </w:t>
      </w:r>
      <w:r w:rsidRPr="006A5B97">
        <w:t xml:space="preserve">the month the CU received the </w:t>
      </w:r>
      <w:r>
        <w:t>stimulus</w:t>
      </w:r>
      <w:r w:rsidRPr="006A5B97">
        <w:t xml:space="preserve">, </w:t>
      </w:r>
      <w:r>
        <w:t xml:space="preserve">4) </w:t>
      </w:r>
      <w:r w:rsidRPr="006A5B97">
        <w:t xml:space="preserve">the amount of the </w:t>
      </w:r>
      <w:r>
        <w:t>stimulus</w:t>
      </w:r>
      <w:r w:rsidRPr="006A5B97">
        <w:t xml:space="preserve">, </w:t>
      </w:r>
      <w:r>
        <w:t>5) how the CU received the stimulus (</w:t>
      </w:r>
      <w:r w:rsidR="00152581">
        <w:t xml:space="preserve">check, </w:t>
      </w:r>
      <w:r>
        <w:t xml:space="preserve">direct deposit or </w:t>
      </w:r>
      <w:r w:rsidR="00152581">
        <w:t>debit card</w:t>
      </w:r>
      <w:r>
        <w:t xml:space="preserve">), 6) </w:t>
      </w:r>
      <w:r w:rsidRPr="006A5B97">
        <w:t xml:space="preserve">the primary use of the </w:t>
      </w:r>
      <w:r>
        <w:t>stimulus and 7) whether any additional stimulus checks were received by the CU</w:t>
      </w:r>
      <w:r w:rsidRPr="006A5B97">
        <w:t xml:space="preserve">.  </w:t>
      </w:r>
      <w:r>
        <w:t xml:space="preserve">(See Attachment A for a </w:t>
      </w:r>
      <w:r w:rsidR="002875A1">
        <w:t>full list of questions</w:t>
      </w:r>
      <w:r>
        <w:t>.)</w:t>
      </w:r>
    </w:p>
    <w:p w:rsidRPr="0067662C" w:rsidR="009F0853" w:rsidP="009F0853" w:rsidRDefault="009F0853" w14:paraId="5F16329E" w14:textId="77777777">
      <w:pPr>
        <w:autoSpaceDE w:val="0"/>
        <w:autoSpaceDN w:val="0"/>
        <w:adjustRightInd w:val="0"/>
      </w:pPr>
    </w:p>
    <w:p w:rsidRPr="00673A2C" w:rsidR="009F0853" w:rsidP="00AB2CDB" w:rsidRDefault="009F0853" w14:paraId="71A0CB89" w14:textId="65ECDAA4">
      <w:r w:rsidRPr="0067662C">
        <w:t xml:space="preserve">BLS estimates that </w:t>
      </w:r>
      <w:r w:rsidR="00AB2CDB">
        <w:t xml:space="preserve">the addition of these questions </w:t>
      </w:r>
      <w:r w:rsidRPr="0067662C">
        <w:t xml:space="preserve">will require approximately </w:t>
      </w:r>
      <w:r w:rsidR="00255457">
        <w:t>72</w:t>
      </w:r>
      <w:r w:rsidR="0077651B">
        <w:t xml:space="preserve"> additional</w:t>
      </w:r>
      <w:r w:rsidR="00F33089">
        <w:t xml:space="preserve"> </w:t>
      </w:r>
      <w:r w:rsidRPr="0067662C">
        <w:t xml:space="preserve">burden hours.  </w:t>
      </w:r>
      <w:r w:rsidRPr="006364D4" w:rsidR="00AB2CDB">
        <w:rPr>
          <w:rFonts w:eastAsiaTheme="minorHAnsi"/>
        </w:rPr>
        <w:t>CE estimates that it will take approximately</w:t>
      </w:r>
      <w:r w:rsidR="00AB2CDB">
        <w:rPr>
          <w:rFonts w:eastAsiaTheme="minorHAnsi"/>
        </w:rPr>
        <w:t xml:space="preserve"> 1 minute to answer the additional questions. CE estimates that </w:t>
      </w:r>
      <w:r w:rsidR="002D6B02">
        <w:rPr>
          <w:rFonts w:eastAsiaTheme="minorHAnsi"/>
        </w:rPr>
        <w:t xml:space="preserve">85 percent of </w:t>
      </w:r>
      <w:r w:rsidR="00AB2CDB">
        <w:rPr>
          <w:rFonts w:eastAsiaTheme="minorHAnsi"/>
        </w:rPr>
        <w:t xml:space="preserve">respondents will have received the stimulus payment </w:t>
      </w:r>
      <w:r w:rsidR="002D6B02">
        <w:rPr>
          <w:rFonts w:eastAsiaTheme="minorHAnsi"/>
        </w:rPr>
        <w:t>during one of their interviews</w:t>
      </w:r>
      <w:r w:rsidR="00AB2CDB">
        <w:rPr>
          <w:rFonts w:eastAsiaTheme="minorHAnsi"/>
        </w:rPr>
        <w:t xml:space="preserve"> and </w:t>
      </w:r>
      <w:r w:rsidR="002D6B02">
        <w:rPr>
          <w:rFonts w:eastAsiaTheme="minorHAnsi"/>
        </w:rPr>
        <w:t>will therefore be routed through these additional questions</w:t>
      </w:r>
      <w:r w:rsidR="00F33089">
        <w:rPr>
          <w:rFonts w:eastAsiaTheme="minorHAnsi"/>
        </w:rPr>
        <w:t>; 85% of the expected 6,015 respondents with a complete interview will be routed through these questions once, for a total of 4,346 responses</w:t>
      </w:r>
      <w:r w:rsidR="002D6B02">
        <w:rPr>
          <w:rFonts w:eastAsiaTheme="minorHAnsi"/>
        </w:rPr>
        <w:t xml:space="preserve">.  This will result in approximately </w:t>
      </w:r>
      <w:r w:rsidR="00FC5A1F">
        <w:rPr>
          <w:rFonts w:eastAsiaTheme="minorHAnsi"/>
        </w:rPr>
        <w:t>72</w:t>
      </w:r>
      <w:r w:rsidR="00F33089">
        <w:rPr>
          <w:rFonts w:eastAsiaTheme="minorHAnsi"/>
        </w:rPr>
        <w:t xml:space="preserve"> hours of additional burden.</w:t>
      </w:r>
    </w:p>
    <w:p w:rsidRPr="005354BC" w:rsidR="009F0853" w:rsidP="009F0853" w:rsidRDefault="009F0853" w14:paraId="40AD3570" w14:textId="77777777">
      <w:pPr>
        <w:spacing w:before="120" w:line="360" w:lineRule="auto"/>
      </w:pPr>
    </w:p>
    <w:tbl>
      <w:tblPr>
        <w:tblW w:w="9175" w:type="dxa"/>
        <w:tblLook w:val="04A0" w:firstRow="1" w:lastRow="0" w:firstColumn="1" w:lastColumn="0" w:noHBand="0" w:noVBand="1"/>
      </w:tblPr>
      <w:tblGrid>
        <w:gridCol w:w="5850"/>
        <w:gridCol w:w="960"/>
        <w:gridCol w:w="1523"/>
        <w:gridCol w:w="1388"/>
      </w:tblGrid>
      <w:tr w:rsidRPr="00673A2C" w:rsidR="009F0853" w:rsidTr="00357BAB" w14:paraId="4D4B34C9" w14:textId="77777777">
        <w:trPr>
          <w:trHeight w:val="300"/>
        </w:trPr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73A2C" w:rsidR="009F0853" w:rsidP="00357BAB" w:rsidRDefault="009F0853" w14:paraId="4FE7EE77" w14:textId="77777777">
            <w:pPr>
              <w:spacing w:before="120" w:line="360" w:lineRule="auto"/>
              <w:rPr>
                <w:color w:val="000000"/>
              </w:rPr>
            </w:pPr>
            <w:r w:rsidRPr="00673A2C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73A2C" w:rsidR="009F0853" w:rsidP="00357BAB" w:rsidRDefault="009F0853" w14:paraId="0FB430D6" w14:textId="77777777">
            <w:pPr>
              <w:spacing w:before="120" w:line="360" w:lineRule="auto"/>
              <w:jc w:val="center"/>
              <w:rPr>
                <w:b/>
                <w:bCs/>
                <w:color w:val="000000"/>
              </w:rPr>
            </w:pPr>
            <w:r w:rsidRPr="00673A2C">
              <w:rPr>
                <w:b/>
                <w:bCs/>
                <w:color w:val="000000"/>
              </w:rPr>
              <w:t>Mins.</w:t>
            </w: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73A2C" w:rsidR="009F0853" w:rsidP="002D6B02" w:rsidRDefault="00AB2CDB" w14:paraId="0EC240E9" w14:textId="77777777">
            <w:pPr>
              <w:spacing w:before="120"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Number of Respondents </w:t>
            </w:r>
            <w:r w:rsidR="002D6B02">
              <w:rPr>
                <w:b/>
                <w:bCs/>
                <w:color w:val="000000"/>
              </w:rPr>
              <w:lastRenderedPageBreak/>
              <w:t>Impacted by Additional Stimulus Questions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73A2C" w:rsidR="009F0853" w:rsidP="00357BAB" w:rsidRDefault="009F0853" w14:paraId="4D40E2D7" w14:textId="77777777">
            <w:pPr>
              <w:spacing w:before="120" w:line="360" w:lineRule="auto"/>
              <w:jc w:val="center"/>
              <w:rPr>
                <w:b/>
                <w:bCs/>
                <w:color w:val="000000"/>
              </w:rPr>
            </w:pPr>
            <w:r w:rsidRPr="00673A2C">
              <w:rPr>
                <w:b/>
                <w:bCs/>
                <w:color w:val="000000"/>
              </w:rPr>
              <w:lastRenderedPageBreak/>
              <w:t>Total Hours</w:t>
            </w:r>
          </w:p>
        </w:tc>
      </w:tr>
      <w:tr w:rsidRPr="00673A2C" w:rsidR="009F0853" w:rsidTr="00357BAB" w14:paraId="4FD83301" w14:textId="77777777">
        <w:trPr>
          <w:trHeight w:val="300"/>
        </w:trPr>
        <w:tc>
          <w:tcPr>
            <w:tcW w:w="5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73A2C" w:rsidR="009F0853" w:rsidP="00AB2CDB" w:rsidRDefault="009F0853" w14:paraId="5934E553" w14:textId="77777777">
            <w:pPr>
              <w:spacing w:before="120" w:line="360" w:lineRule="auto"/>
              <w:rPr>
                <w:color w:val="000000"/>
              </w:rPr>
            </w:pPr>
            <w:r w:rsidRPr="00673A2C">
              <w:rPr>
                <w:color w:val="000000"/>
              </w:rPr>
              <w:t xml:space="preserve">Estimated time to </w:t>
            </w:r>
            <w:r w:rsidR="00AB2CDB">
              <w:rPr>
                <w:color w:val="000000"/>
              </w:rPr>
              <w:t>ask additional questions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73A2C" w:rsidR="009F0853" w:rsidP="00357BAB" w:rsidRDefault="002D6B02" w14:paraId="5D4E86FA" w14:textId="77777777">
            <w:pPr>
              <w:spacing w:before="12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73A2C" w:rsidR="009F0853" w:rsidP="00357BAB" w:rsidRDefault="00F33089" w14:paraId="289D1F41" w14:textId="77777777">
            <w:pPr>
              <w:spacing w:before="12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4,346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73A2C" w:rsidR="009F0853" w:rsidP="00357BAB" w:rsidRDefault="00255457" w14:paraId="2EC4D2D0" w14:textId="6836334F">
            <w:pPr>
              <w:spacing w:before="12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</w:tr>
      <w:tr w:rsidRPr="00673A2C" w:rsidR="009F0853" w:rsidTr="00357BAB" w14:paraId="128A0DD2" w14:textId="77777777">
        <w:trPr>
          <w:trHeight w:val="300"/>
        </w:trPr>
        <w:tc>
          <w:tcPr>
            <w:tcW w:w="5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73A2C" w:rsidR="009F0853" w:rsidP="00357BAB" w:rsidRDefault="009F0853" w14:paraId="3429851B" w14:textId="77777777">
            <w:pPr>
              <w:spacing w:before="120" w:line="360" w:lineRule="auto"/>
              <w:rPr>
                <w:color w:val="000000"/>
              </w:rPr>
            </w:pPr>
            <w:r w:rsidRPr="00673A2C">
              <w:rPr>
                <w:color w:val="00000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73A2C" w:rsidR="009F0853" w:rsidP="00357BAB" w:rsidRDefault="009F0853" w14:paraId="37E42B2F" w14:textId="77777777">
            <w:pPr>
              <w:spacing w:before="120" w:line="360" w:lineRule="auto"/>
              <w:jc w:val="center"/>
              <w:rPr>
                <w:color w:val="00000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73A2C" w:rsidR="009F0853" w:rsidP="00357BAB" w:rsidRDefault="009F0853" w14:paraId="475983C3" w14:textId="77777777">
            <w:pPr>
              <w:spacing w:before="120" w:line="360" w:lineRule="auto"/>
              <w:jc w:val="center"/>
              <w:rPr>
                <w:color w:val="00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73A2C" w:rsidR="009F0853" w:rsidP="00255457" w:rsidRDefault="00255457" w14:paraId="5020B9F0" w14:textId="76598F91">
            <w:pPr>
              <w:spacing w:before="12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</w:tr>
    </w:tbl>
    <w:p w:rsidRPr="005354BC" w:rsidR="009F0853" w:rsidP="009F0853" w:rsidRDefault="009F0853" w14:paraId="5540FEC4" w14:textId="77777777">
      <w:pPr>
        <w:spacing w:before="120" w:line="360" w:lineRule="auto"/>
      </w:pPr>
    </w:p>
    <w:p w:rsidR="009F0853" w:rsidP="009F0853" w:rsidRDefault="009F0853" w14:paraId="397A7800" w14:textId="77777777">
      <w:r>
        <w:t xml:space="preserve">Current OMB approval of the CE surveys is scheduled to expire </w:t>
      </w:r>
      <w:r w:rsidR="00AB2CDB">
        <w:t>November 30, 2023</w:t>
      </w:r>
      <w:r>
        <w:t>.</w:t>
      </w:r>
    </w:p>
    <w:p w:rsidR="009F0853" w:rsidP="009F0853" w:rsidRDefault="009F0853" w14:paraId="2A5A66D4" w14:textId="77777777"/>
    <w:p w:rsidR="00C82D53" w:rsidP="00FC5A1F" w:rsidRDefault="009F0853" w14:paraId="2CDDDBC2" w14:textId="01DF154A">
      <w:pPr>
        <w:autoSpaceDE w:val="0"/>
        <w:autoSpaceDN w:val="0"/>
        <w:adjustRightInd w:val="0"/>
      </w:pPr>
      <w:r>
        <w:t xml:space="preserve">If you have any questions about this request, please contact </w:t>
      </w:r>
      <w:r w:rsidR="00AB2CDB">
        <w:t>Adam Safir</w:t>
      </w:r>
      <w:r w:rsidRPr="00C12B76">
        <w:t xml:space="preserve"> at </w:t>
      </w:r>
      <w:r w:rsidRPr="00AB2CDB" w:rsidR="00AB2CDB">
        <w:t>202-691-5175</w:t>
      </w:r>
      <w:r w:rsidRPr="00C12B76">
        <w:t xml:space="preserve"> or e-mail at </w:t>
      </w:r>
      <w:hyperlink w:history="1" r:id="rId6">
        <w:r w:rsidRPr="003E38E0" w:rsidR="00FC5A1F">
          <w:rPr>
            <w:rStyle w:val="Hyperlink"/>
          </w:rPr>
          <w:t>Safir.Adam@bls.gov</w:t>
        </w:r>
      </w:hyperlink>
      <w:r w:rsidR="00FC5A1F">
        <w:t xml:space="preserve"> </w:t>
      </w:r>
      <w:hyperlink w:history="1" r:id="rId7"/>
      <w:bookmarkStart w:name="_GoBack" w:id="0"/>
      <w:bookmarkEnd w:id="0"/>
      <w:r>
        <w:t xml:space="preserve">or Peggy Murphy at 202-691-6186 or e-mail at </w:t>
      </w:r>
      <w:hyperlink w:history="1" r:id="rId8">
        <w:r>
          <w:rPr>
            <w:rStyle w:val="Hyperlink"/>
          </w:rPr>
          <w:t>Murphy</w:t>
        </w:r>
        <w:r w:rsidRPr="00D4710A">
          <w:rPr>
            <w:rStyle w:val="Hyperlink"/>
          </w:rPr>
          <w:t>.Peggy@bls.gov</w:t>
        </w:r>
      </w:hyperlink>
      <w:r>
        <w:t>.</w:t>
      </w:r>
    </w:p>
    <w:p w:rsidR="00FC5A1F" w:rsidP="00FC5A1F" w:rsidRDefault="00FC5A1F" w14:paraId="110E8F10" w14:textId="77777777">
      <w:pPr>
        <w:autoSpaceDE w:val="0"/>
        <w:autoSpaceDN w:val="0"/>
        <w:adjustRightInd w:val="0"/>
      </w:pPr>
    </w:p>
    <w:p w:rsidR="00FC5A1F" w:rsidP="00FC5A1F" w:rsidRDefault="00FC5A1F" w14:paraId="76930AA3" w14:textId="01065C7A">
      <w:pPr>
        <w:autoSpaceDE w:val="0"/>
        <w:autoSpaceDN w:val="0"/>
        <w:adjustRightInd w:val="0"/>
      </w:pPr>
      <w:r>
        <w:t>Attachment A – Stimulus Questions</w:t>
      </w:r>
    </w:p>
    <w:sectPr w:rsidR="00FC5A1F" w:rsidSect="00B11C3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DDC0BF" w14:textId="77777777" w:rsidR="009F0853" w:rsidRDefault="009F0853" w:rsidP="009F0853">
      <w:r>
        <w:separator/>
      </w:r>
    </w:p>
  </w:endnote>
  <w:endnote w:type="continuationSeparator" w:id="0">
    <w:p w14:paraId="3D4BEB03" w14:textId="77777777" w:rsidR="009F0853" w:rsidRDefault="009F0853" w:rsidP="009F0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2628C6" w14:textId="77777777" w:rsidR="009F0853" w:rsidRDefault="009F0853" w:rsidP="009F0853">
      <w:r>
        <w:separator/>
      </w:r>
    </w:p>
  </w:footnote>
  <w:footnote w:type="continuationSeparator" w:id="0">
    <w:p w14:paraId="2C26692D" w14:textId="77777777" w:rsidR="009F0853" w:rsidRDefault="009F0853" w:rsidP="009F0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853"/>
    <w:rsid w:val="00152581"/>
    <w:rsid w:val="00255457"/>
    <w:rsid w:val="002875A1"/>
    <w:rsid w:val="002D6B02"/>
    <w:rsid w:val="003741CF"/>
    <w:rsid w:val="003A28F6"/>
    <w:rsid w:val="00613A0F"/>
    <w:rsid w:val="006365A4"/>
    <w:rsid w:val="0077651B"/>
    <w:rsid w:val="009F0853"/>
    <w:rsid w:val="00AB2CDB"/>
    <w:rsid w:val="00C82D53"/>
    <w:rsid w:val="00C94154"/>
    <w:rsid w:val="00F33089"/>
    <w:rsid w:val="00FC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61F9F"/>
  <w15:chartTrackingRefBased/>
  <w15:docId w15:val="{60A79579-0871-4AC1-A669-63771EF8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rsid w:val="009F0853"/>
    <w:rPr>
      <w:vertAlign w:val="superscript"/>
    </w:rPr>
  </w:style>
  <w:style w:type="paragraph" w:styleId="FootnoteText">
    <w:name w:val="footnote text"/>
    <w:basedOn w:val="Normal"/>
    <w:link w:val="FootnoteTextChar"/>
    <w:rsid w:val="009F0853"/>
    <w:rPr>
      <w:rFonts w:ascii="CG Times" w:hAnsi="CG Time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F0853"/>
    <w:rPr>
      <w:rFonts w:ascii="CG Times" w:eastAsia="Times New Roman" w:hAnsi="CG Times" w:cs="Times New Roman"/>
      <w:sz w:val="20"/>
      <w:szCs w:val="20"/>
    </w:rPr>
  </w:style>
  <w:style w:type="character" w:styleId="Hyperlink">
    <w:name w:val="Hyperlink"/>
    <w:basedOn w:val="DefaultParagraphFont"/>
    <w:rsid w:val="009F085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525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5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58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58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5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58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arez.Peggy@bls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fir.Adam@bls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Peggy - BLS</dc:creator>
  <cp:keywords/>
  <dc:description/>
  <cp:lastModifiedBy>Kincaid, Nora - BLS</cp:lastModifiedBy>
  <cp:revision>3</cp:revision>
  <dcterms:created xsi:type="dcterms:W3CDTF">2021-01-05T19:09:00Z</dcterms:created>
  <dcterms:modified xsi:type="dcterms:W3CDTF">2021-01-05T19:43:00Z</dcterms:modified>
</cp:coreProperties>
</file>