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2463" w:rsidR="005A11AB" w:rsidP="005A11AB" w:rsidRDefault="005A11AB" w14:paraId="74AED1A4" w14:textId="77777777">
      <w:pPr>
        <w:tabs>
          <w:tab w:val="left" w:pos="720"/>
        </w:tabs>
        <w:ind w:left="720" w:hanging="1440"/>
        <w:jc w:val="center"/>
        <w:rPr>
          <w:rFonts w:ascii="Times New Roman" w:hAnsi="Times New Roman"/>
          <w:b/>
          <w:bCs/>
          <w:sz w:val="24"/>
          <w:szCs w:val="24"/>
        </w:rPr>
      </w:pPr>
      <w:r w:rsidRPr="00552463">
        <w:rPr>
          <w:rFonts w:ascii="Times New Roman" w:hAnsi="Times New Roman"/>
          <w:b/>
          <w:bCs/>
          <w:sz w:val="24"/>
          <w:szCs w:val="24"/>
        </w:rPr>
        <w:t>SUPPORTING STATEMENT FOR</w:t>
      </w:r>
    </w:p>
    <w:p w:rsidRPr="00552463" w:rsidR="005A11AB" w:rsidP="004365CD" w:rsidRDefault="004365CD" w14:paraId="6D426713" w14:textId="77777777">
      <w:pPr>
        <w:pStyle w:val="BodyTextIndent2"/>
        <w:ind w:firstLine="0"/>
        <w:jc w:val="center"/>
        <w:rPr>
          <w:rFonts w:ascii="Times New Roman Bold" w:hAnsi="Times New Roman Bold"/>
          <w:caps/>
        </w:rPr>
      </w:pPr>
      <w:r w:rsidRPr="00552463">
        <w:rPr>
          <w:rFonts w:ascii="Times New Roman Bold" w:hAnsi="Times New Roman Bold"/>
          <w:caps/>
        </w:rPr>
        <w:t xml:space="preserve">Quarterly Census of Employment and Wages (QCEW) </w:t>
      </w:r>
    </w:p>
    <w:p w:rsidRPr="00552463" w:rsidR="004365CD" w:rsidP="004365CD" w:rsidRDefault="004365CD" w14:paraId="07A067BA" w14:textId="27793665">
      <w:pPr>
        <w:pStyle w:val="BodyTextIndent2"/>
        <w:ind w:firstLine="0"/>
        <w:jc w:val="center"/>
        <w:rPr>
          <w:rFonts w:ascii="Times New Roman Bold" w:hAnsi="Times New Roman Bold"/>
          <w:caps/>
        </w:rPr>
      </w:pPr>
      <w:r w:rsidRPr="00552463">
        <w:rPr>
          <w:rFonts w:ascii="Times New Roman Bold" w:hAnsi="Times New Roman Bold"/>
          <w:caps/>
        </w:rPr>
        <w:t>Business Supplement</w:t>
      </w:r>
    </w:p>
    <w:p w:rsidRPr="00552463" w:rsidR="005A11AB" w:rsidP="004365CD" w:rsidRDefault="005A11AB" w14:paraId="70288925" w14:textId="77777777">
      <w:pPr>
        <w:pStyle w:val="BodyTextIndent2"/>
        <w:ind w:firstLine="0"/>
        <w:jc w:val="center"/>
        <w:rPr>
          <w:rFonts w:ascii="Times New Roman Bold" w:hAnsi="Times New Roman Bold"/>
          <w:caps/>
        </w:rPr>
      </w:pPr>
    </w:p>
    <w:p w:rsidRPr="00552463" w:rsidR="005A11AB" w:rsidP="004365CD" w:rsidRDefault="005A11AB" w14:paraId="5E224315" w14:textId="6374532B">
      <w:pPr>
        <w:pStyle w:val="BodyTextIndent2"/>
        <w:ind w:firstLine="0"/>
        <w:jc w:val="center"/>
        <w:rPr>
          <w:rFonts w:ascii="Times New Roman Bold" w:hAnsi="Times New Roman Bold"/>
          <w:caps/>
        </w:rPr>
      </w:pPr>
      <w:r w:rsidRPr="00552463">
        <w:rPr>
          <w:rFonts w:ascii="Times New Roman Bold" w:hAnsi="Times New Roman Bold"/>
          <w:caps/>
        </w:rPr>
        <w:t>OMB Control No. 1220-new</w:t>
      </w:r>
    </w:p>
    <w:p w:rsidRPr="00552463" w:rsidR="00501C83" w:rsidP="00501C83" w:rsidRDefault="00501C83" w14:paraId="08DA37CF" w14:textId="77777777">
      <w:pPr>
        <w:rPr>
          <w:rFonts w:ascii="Times New Roman" w:hAnsi="Times New Roman" w:cs="Times New Roman"/>
        </w:rPr>
      </w:pPr>
    </w:p>
    <w:p w:rsidRPr="00552463" w:rsidR="00501C83" w:rsidP="00AC4B14" w:rsidRDefault="00501C83" w14:paraId="369BB480" w14:textId="6EDDA975">
      <w:pPr>
        <w:rPr>
          <w:rFonts w:ascii="Times New Roman" w:hAnsi="Times New Roman" w:cs="Times New Roman"/>
          <w:b/>
          <w:sz w:val="24"/>
          <w:szCs w:val="24"/>
        </w:rPr>
      </w:pPr>
      <w:r w:rsidRPr="00552463">
        <w:rPr>
          <w:rFonts w:ascii="Times New Roman" w:hAnsi="Times New Roman" w:cs="Times New Roman"/>
          <w:b/>
          <w:sz w:val="24"/>
          <w:szCs w:val="24"/>
        </w:rPr>
        <w:t xml:space="preserve">B. </w:t>
      </w:r>
      <w:r w:rsidRPr="00552463" w:rsidR="005A11AB">
        <w:rPr>
          <w:rFonts w:ascii="Times New Roman" w:hAnsi="Times New Roman" w:cs="Times New Roman"/>
          <w:b/>
          <w:sz w:val="24"/>
          <w:szCs w:val="24"/>
        </w:rPr>
        <w:t>COLLECTIONS OF INFORMATION EMPLOYING STATISTICAL METHODS</w:t>
      </w:r>
    </w:p>
    <w:p w:rsidRPr="00552463" w:rsidR="009D5D6F" w:rsidP="00501C83" w:rsidRDefault="009D5D6F" w14:paraId="0E68641A" w14:textId="77777777">
      <w:pPr>
        <w:jc w:val="center"/>
        <w:rPr>
          <w:rFonts w:ascii="Times New Roman" w:hAnsi="Times New Roman" w:cs="Times New Roman"/>
          <w:b/>
          <w:sz w:val="24"/>
          <w:szCs w:val="24"/>
        </w:rPr>
      </w:pPr>
    </w:p>
    <w:p w:rsidRPr="00552463" w:rsidR="005A11AB" w:rsidP="005A11AB" w:rsidRDefault="009D5D6F" w14:paraId="4F1952D1" w14:textId="77777777">
      <w:pPr>
        <w:rPr>
          <w:rFonts w:ascii="Times New Roman" w:hAnsi="Times New Roman"/>
          <w:b/>
        </w:rPr>
      </w:pPr>
      <w:r w:rsidRPr="00552463">
        <w:rPr>
          <w:b/>
        </w:rPr>
        <w:t xml:space="preserve">1. </w:t>
      </w:r>
      <w:r w:rsidRPr="00552463" w:rsidR="005A11AB">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552463" w:rsidR="00366F66" w:rsidP="00BF53F1" w:rsidRDefault="00366F66" w14:paraId="63755835" w14:textId="77777777">
      <w:pPr>
        <w:rPr>
          <w:b/>
        </w:rPr>
      </w:pPr>
    </w:p>
    <w:p w:rsidRPr="00552463" w:rsidR="00D93E74" w:rsidP="00D93E74" w:rsidRDefault="00D93E74" w14:paraId="27C5DAFF" w14:textId="77777777">
      <w:pPr>
        <w:rPr>
          <w:b/>
        </w:rPr>
      </w:pPr>
      <w:r w:rsidRPr="00552463">
        <w:rPr>
          <w:b/>
        </w:rPr>
        <w:t xml:space="preserve">1a. Universe </w:t>
      </w:r>
    </w:p>
    <w:p w:rsidRPr="00552463" w:rsidR="00C83AB9" w:rsidP="00D93E74" w:rsidRDefault="00C83AB9" w14:paraId="23E6F191" w14:textId="77777777">
      <w:pPr>
        <w:rPr>
          <w:b/>
        </w:rPr>
      </w:pPr>
    </w:p>
    <w:p w:rsidRPr="00552463" w:rsidR="00C65F8F" w:rsidP="00415EF3" w:rsidRDefault="00097133" w14:paraId="538F7CDD" w14:textId="5E5F6ABA">
      <w:r w:rsidRPr="00552463">
        <w:rPr>
          <w:rFonts w:ascii="Times New Roman" w:hAnsi="Times New Roman" w:cs="Times New Roman"/>
        </w:rPr>
        <w:t>The Bureau of Labor Statistics (</w:t>
      </w:r>
      <w:r w:rsidRPr="00552463" w:rsidR="00BC6972">
        <w:t>BLS</w:t>
      </w:r>
      <w:r w:rsidRPr="00552463">
        <w:t>)</w:t>
      </w:r>
      <w:r w:rsidRPr="00552463" w:rsidR="00BC6972">
        <w:t xml:space="preserve"> plans to conduct </w:t>
      </w:r>
      <w:r w:rsidRPr="00552463" w:rsidR="005672D4">
        <w:t xml:space="preserve">the first </w:t>
      </w:r>
      <w:r w:rsidRPr="00552463" w:rsidR="00E75ED8">
        <w:t xml:space="preserve">round of </w:t>
      </w:r>
      <w:r w:rsidRPr="00552463" w:rsidR="005672D4">
        <w:t xml:space="preserve">production for </w:t>
      </w:r>
      <w:r w:rsidRPr="00552463" w:rsidR="00BC6972">
        <w:t xml:space="preserve">the </w:t>
      </w:r>
      <w:r w:rsidRPr="00552463">
        <w:t xml:space="preserve">proposed </w:t>
      </w:r>
      <w:r w:rsidRPr="00552463" w:rsidR="004365CD">
        <w:rPr>
          <w:rFonts w:cstheme="minorHAnsi"/>
        </w:rPr>
        <w:t>QCEW Business Supplement</w:t>
      </w:r>
      <w:r w:rsidRPr="00552463" w:rsidR="00BC6972">
        <w:rPr>
          <w:rFonts w:cstheme="minorHAnsi"/>
        </w:rPr>
        <w:t xml:space="preserve"> (QBS) </w:t>
      </w:r>
      <w:r w:rsidRPr="00552463" w:rsidR="00BC6972">
        <w:t xml:space="preserve">on a sample of establishments included </w:t>
      </w:r>
      <w:r w:rsidRPr="00552463" w:rsidR="00444219">
        <w:t>i</w:t>
      </w:r>
      <w:r w:rsidRPr="00552463" w:rsidR="00BC6972">
        <w:t xml:space="preserve">n the </w:t>
      </w:r>
      <w:r w:rsidRPr="00552463">
        <w:t>BLS</w:t>
      </w:r>
      <w:r w:rsidRPr="00552463" w:rsidR="00BC6972">
        <w:t xml:space="preserve"> Quarterly Census of Employment and Wages (QCEW). </w:t>
      </w:r>
      <w:r w:rsidRPr="00552463" w:rsidR="00BC6972">
        <w:rPr>
          <w:rFonts w:ascii="Times New Roman" w:hAnsi="Times New Roman" w:cs="Times New Roman"/>
        </w:rPr>
        <w:t xml:space="preserve">The universe of respondents to the QCEW are the 50 States, the District of Columbia, Puerto Rico, and the U.S. Virgin Islands. The primary source of data for these 53 entities </w:t>
      </w:r>
      <w:r w:rsidRPr="00552463" w:rsidR="007A5F7D">
        <w:rPr>
          <w:rFonts w:ascii="Times New Roman" w:hAnsi="Times New Roman" w:cs="Times New Roman"/>
        </w:rPr>
        <w:t xml:space="preserve">are </w:t>
      </w:r>
      <w:r w:rsidRPr="00552463" w:rsidR="00BC6972">
        <w:rPr>
          <w:rFonts w:ascii="Times New Roman" w:hAnsi="Times New Roman" w:cs="Times New Roman"/>
        </w:rPr>
        <w:t>the Quarterly Contribution Reports (QCR</w:t>
      </w:r>
      <w:r w:rsidRPr="00552463">
        <w:rPr>
          <w:rFonts w:ascii="Times New Roman" w:hAnsi="Times New Roman" w:cs="Times New Roman"/>
        </w:rPr>
        <w:t>s</w:t>
      </w:r>
      <w:r w:rsidRPr="00552463" w:rsidR="00BC6972">
        <w:rPr>
          <w:rFonts w:ascii="Times New Roman" w:hAnsi="Times New Roman" w:cs="Times New Roman"/>
        </w:rPr>
        <w:t>)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w:t>
      </w:r>
      <w:r w:rsidRPr="00552463" w:rsidR="00D93E74">
        <w:t xml:space="preserve">   </w:t>
      </w:r>
    </w:p>
    <w:p w:rsidRPr="00552463" w:rsidR="00C65F8F" w:rsidP="00415EF3" w:rsidRDefault="00C65F8F" w14:paraId="5B0E39B4" w14:textId="77777777"/>
    <w:p w:rsidRPr="00552463" w:rsidR="00415EF3" w:rsidP="007E083E" w:rsidRDefault="00415EF3" w14:paraId="20922A01" w14:textId="42714ED2">
      <w:pPr>
        <w:spacing w:after="120" w:line="252" w:lineRule="auto"/>
        <w:rPr>
          <w:rFonts w:ascii="Times New Roman" w:hAnsi="Times New Roman" w:cs="Times New Roman"/>
        </w:rPr>
      </w:pPr>
      <w:r w:rsidRPr="00552463">
        <w:rPr>
          <w:rFonts w:ascii="Times New Roman" w:hAnsi="Times New Roman" w:cs="Times New Roman"/>
        </w:rPr>
        <w:t xml:space="preserve">The scope of the </w:t>
      </w:r>
      <w:r w:rsidRPr="00552463" w:rsidR="004365CD">
        <w:rPr>
          <w:rFonts w:ascii="Times New Roman" w:hAnsi="Times New Roman" w:cs="Times New Roman"/>
        </w:rPr>
        <w:t>QCEW Business Supplement</w:t>
      </w:r>
      <w:r w:rsidRPr="00552463">
        <w:rPr>
          <w:rFonts w:ascii="Times New Roman" w:hAnsi="Times New Roman" w:cs="Times New Roman"/>
        </w:rPr>
        <w:t xml:space="preserve"> is: </w:t>
      </w:r>
    </w:p>
    <w:p w:rsidRPr="00552463" w:rsidR="00415EF3" w:rsidP="007E083E" w:rsidRDefault="00415EF3" w14:paraId="22622B34" w14:textId="20BFC9DB">
      <w:pPr>
        <w:pStyle w:val="ListParagraph"/>
        <w:numPr>
          <w:ilvl w:val="0"/>
          <w:numId w:val="3"/>
        </w:numPr>
        <w:spacing w:after="120" w:line="252" w:lineRule="auto"/>
        <w:rPr>
          <w:sz w:val="22"/>
          <w:szCs w:val="22"/>
        </w:rPr>
      </w:pPr>
      <w:proofErr w:type="gramStart"/>
      <w:r w:rsidRPr="00552463">
        <w:rPr>
          <w:sz w:val="22"/>
          <w:szCs w:val="22"/>
        </w:rPr>
        <w:t>Establishments</w:t>
      </w:r>
      <w:proofErr w:type="gramEnd"/>
      <w:r w:rsidRPr="00552463">
        <w:rPr>
          <w:sz w:val="22"/>
          <w:szCs w:val="22"/>
        </w:rPr>
        <w:t xml:space="preserve"> in-scope of the A</w:t>
      </w:r>
      <w:r w:rsidRPr="00552463" w:rsidR="003B1096">
        <w:rPr>
          <w:sz w:val="22"/>
          <w:szCs w:val="22"/>
        </w:rPr>
        <w:t xml:space="preserve">nnual </w:t>
      </w:r>
      <w:r w:rsidRPr="00552463">
        <w:rPr>
          <w:sz w:val="22"/>
          <w:szCs w:val="22"/>
        </w:rPr>
        <w:t>R</w:t>
      </w:r>
      <w:r w:rsidRPr="00552463" w:rsidR="003B1096">
        <w:rPr>
          <w:sz w:val="22"/>
          <w:szCs w:val="22"/>
        </w:rPr>
        <w:t xml:space="preserve">efiling </w:t>
      </w:r>
      <w:r w:rsidRPr="00552463">
        <w:rPr>
          <w:sz w:val="22"/>
          <w:szCs w:val="22"/>
        </w:rPr>
        <w:t>S</w:t>
      </w:r>
      <w:r w:rsidRPr="00552463" w:rsidR="003B1096">
        <w:rPr>
          <w:sz w:val="22"/>
          <w:szCs w:val="22"/>
        </w:rPr>
        <w:t>urvey (ARS)</w:t>
      </w:r>
      <w:r w:rsidRPr="00552463">
        <w:rPr>
          <w:sz w:val="22"/>
          <w:szCs w:val="22"/>
        </w:rPr>
        <w:t>.</w:t>
      </w:r>
    </w:p>
    <w:p w:rsidRPr="00552463" w:rsidR="00415EF3" w:rsidP="007E083E" w:rsidRDefault="00415EF3" w14:paraId="2B201E44" w14:textId="628101FE">
      <w:pPr>
        <w:pStyle w:val="ListParagraph"/>
        <w:numPr>
          <w:ilvl w:val="0"/>
          <w:numId w:val="3"/>
        </w:numPr>
        <w:spacing w:after="120" w:line="252" w:lineRule="auto"/>
        <w:rPr>
          <w:sz w:val="22"/>
          <w:szCs w:val="22"/>
        </w:rPr>
      </w:pPr>
      <w:r w:rsidRPr="00552463">
        <w:rPr>
          <w:sz w:val="22"/>
          <w:szCs w:val="22"/>
        </w:rPr>
        <w:t xml:space="preserve">Establishments </w:t>
      </w:r>
      <w:r w:rsidRPr="00552463" w:rsidR="002C09F9">
        <w:rPr>
          <w:sz w:val="22"/>
          <w:szCs w:val="22"/>
        </w:rPr>
        <w:t xml:space="preserve">with one </w:t>
      </w:r>
      <w:r w:rsidRPr="00552463">
        <w:rPr>
          <w:sz w:val="22"/>
          <w:szCs w:val="22"/>
        </w:rPr>
        <w:t xml:space="preserve">to three employees that are excluded from </w:t>
      </w:r>
      <w:r w:rsidRPr="00552463" w:rsidR="004369FB">
        <w:rPr>
          <w:sz w:val="22"/>
          <w:szCs w:val="22"/>
        </w:rPr>
        <w:t xml:space="preserve">the </w:t>
      </w:r>
      <w:r w:rsidRPr="00552463">
        <w:rPr>
          <w:sz w:val="22"/>
          <w:szCs w:val="22"/>
        </w:rPr>
        <w:t>ARS.</w:t>
      </w:r>
    </w:p>
    <w:p w:rsidRPr="00552463" w:rsidR="00415EF3" w:rsidP="007E083E" w:rsidRDefault="00415EF3" w14:paraId="0A35EF46" w14:textId="46C8F4FD">
      <w:pPr>
        <w:pStyle w:val="ListParagraph"/>
        <w:numPr>
          <w:ilvl w:val="0"/>
          <w:numId w:val="3"/>
        </w:numPr>
        <w:spacing w:after="120" w:line="252" w:lineRule="auto"/>
        <w:rPr>
          <w:sz w:val="22"/>
          <w:szCs w:val="22"/>
        </w:rPr>
      </w:pPr>
      <w:r w:rsidRPr="00552463">
        <w:rPr>
          <w:sz w:val="22"/>
          <w:szCs w:val="22"/>
        </w:rPr>
        <w:t>Establishments that are</w:t>
      </w:r>
      <w:r w:rsidRPr="00552463" w:rsidR="000511C7">
        <w:rPr>
          <w:sz w:val="22"/>
          <w:szCs w:val="22"/>
        </w:rPr>
        <w:t xml:space="preserve"> in</w:t>
      </w:r>
      <w:r w:rsidRPr="00552463">
        <w:rPr>
          <w:sz w:val="22"/>
          <w:szCs w:val="22"/>
        </w:rPr>
        <w:t xml:space="preserve"> low-change NAICS </w:t>
      </w:r>
      <w:r w:rsidRPr="00552463" w:rsidR="000511C7">
        <w:rPr>
          <w:sz w:val="22"/>
          <w:szCs w:val="22"/>
        </w:rPr>
        <w:t xml:space="preserve">industries </w:t>
      </w:r>
      <w:r w:rsidRPr="00552463">
        <w:rPr>
          <w:sz w:val="22"/>
          <w:szCs w:val="22"/>
        </w:rPr>
        <w:t xml:space="preserve">that are excluded from </w:t>
      </w:r>
      <w:r w:rsidRPr="00552463" w:rsidR="004369FB">
        <w:rPr>
          <w:sz w:val="22"/>
          <w:szCs w:val="22"/>
        </w:rPr>
        <w:t xml:space="preserve">the </w:t>
      </w:r>
      <w:r w:rsidRPr="00552463">
        <w:rPr>
          <w:sz w:val="22"/>
          <w:szCs w:val="22"/>
        </w:rPr>
        <w:t>ARS.</w:t>
      </w:r>
    </w:p>
    <w:p w:rsidRPr="00552463" w:rsidR="00415EF3" w:rsidP="00415EF3" w:rsidRDefault="000511C7" w14:paraId="08CD00DF" w14:textId="31436164">
      <w:pPr>
        <w:rPr>
          <w:rFonts w:ascii="Times New Roman" w:hAnsi="Times New Roman" w:cs="Times New Roman"/>
        </w:rPr>
      </w:pPr>
      <w:r w:rsidRPr="00552463">
        <w:rPr>
          <w:rFonts w:ascii="Times New Roman" w:hAnsi="Times New Roman" w:cs="Times New Roman"/>
        </w:rPr>
        <w:t>T</w:t>
      </w:r>
      <w:r w:rsidRPr="00552463" w:rsidR="00415EF3">
        <w:rPr>
          <w:rFonts w:ascii="Times New Roman" w:hAnsi="Times New Roman" w:cs="Times New Roman"/>
        </w:rPr>
        <w:t xml:space="preserve">he </w:t>
      </w:r>
      <w:r w:rsidRPr="00552463" w:rsidR="004915FE">
        <w:rPr>
          <w:rFonts w:ascii="Times New Roman" w:hAnsi="Times New Roman" w:cs="Times New Roman"/>
        </w:rPr>
        <w:t xml:space="preserve">QBS </w:t>
      </w:r>
      <w:r w:rsidRPr="00552463" w:rsidR="00415EF3">
        <w:rPr>
          <w:rFonts w:ascii="Times New Roman" w:hAnsi="Times New Roman" w:cs="Times New Roman"/>
        </w:rPr>
        <w:t xml:space="preserve">sample will be restricted to those eligible for the </w:t>
      </w:r>
      <w:r w:rsidRPr="00552463" w:rsidR="00FA2FF3">
        <w:rPr>
          <w:rFonts w:ascii="Times New Roman" w:hAnsi="Times New Roman" w:cs="Times New Roman"/>
        </w:rPr>
        <w:t>20</w:t>
      </w:r>
      <w:r w:rsidRPr="00552463">
        <w:rPr>
          <w:rFonts w:ascii="Times New Roman" w:hAnsi="Times New Roman" w:cs="Times New Roman"/>
        </w:rPr>
        <w:t>2</w:t>
      </w:r>
      <w:r w:rsidRPr="00552463" w:rsidR="005672D4">
        <w:rPr>
          <w:rFonts w:ascii="Times New Roman" w:hAnsi="Times New Roman" w:cs="Times New Roman"/>
        </w:rPr>
        <w:t>2</w:t>
      </w:r>
      <w:r w:rsidRPr="00552463" w:rsidR="00FA2FF3">
        <w:rPr>
          <w:rFonts w:ascii="Times New Roman" w:hAnsi="Times New Roman" w:cs="Times New Roman"/>
        </w:rPr>
        <w:t xml:space="preserve"> </w:t>
      </w:r>
      <w:r w:rsidRPr="00552463" w:rsidR="00415EF3">
        <w:rPr>
          <w:rFonts w:ascii="Times New Roman" w:hAnsi="Times New Roman" w:cs="Times New Roman"/>
        </w:rPr>
        <w:t>ARS</w:t>
      </w:r>
      <w:r w:rsidRPr="00552463" w:rsidR="004915FE">
        <w:rPr>
          <w:rFonts w:ascii="Times New Roman" w:hAnsi="Times New Roman" w:cs="Times New Roman"/>
        </w:rPr>
        <w:t xml:space="preserve"> using the </w:t>
      </w:r>
      <w:r w:rsidRPr="00552463" w:rsidR="00415EF3">
        <w:rPr>
          <w:rFonts w:ascii="Times New Roman" w:hAnsi="Times New Roman" w:cs="Times New Roman"/>
        </w:rPr>
        <w:t>7</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and 8</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digit of the EIN within the range of </w:t>
      </w:r>
      <w:r w:rsidRPr="00552463" w:rsidR="007F1BA1">
        <w:rPr>
          <w:rFonts w:ascii="Times New Roman" w:hAnsi="Times New Roman" w:cs="Times New Roman"/>
        </w:rPr>
        <w:t>34-66</w:t>
      </w:r>
      <w:r w:rsidRPr="00552463" w:rsidR="00FA2FF3">
        <w:rPr>
          <w:rFonts w:ascii="Times New Roman" w:hAnsi="Times New Roman" w:cs="Times New Roman"/>
        </w:rPr>
        <w:t xml:space="preserve"> </w:t>
      </w:r>
      <w:r w:rsidRPr="00552463" w:rsidR="00415EF3">
        <w:rPr>
          <w:rFonts w:ascii="Times New Roman" w:hAnsi="Times New Roman" w:cs="Times New Roman"/>
        </w:rPr>
        <w:t>from the QCEW. The QBS sampling frame of</w:t>
      </w:r>
      <w:r w:rsidRPr="00552463" w:rsidR="002D12E6">
        <w:rPr>
          <w:rFonts w:ascii="Times New Roman" w:hAnsi="Times New Roman" w:cs="Times New Roman"/>
        </w:rPr>
        <w:t xml:space="preserve"> approximately 2.2 million </w:t>
      </w:r>
      <w:r w:rsidRPr="00552463" w:rsidR="00415EF3">
        <w:rPr>
          <w:rFonts w:ascii="Times New Roman" w:hAnsi="Times New Roman" w:cs="Times New Roman"/>
        </w:rPr>
        <w:t xml:space="preserve">establishments includes this 1/3 of the </w:t>
      </w:r>
      <w:r w:rsidRPr="00552463" w:rsidR="004915FE">
        <w:rPr>
          <w:rFonts w:ascii="Times New Roman" w:hAnsi="Times New Roman" w:cs="Times New Roman"/>
        </w:rPr>
        <w:t>ARS,</w:t>
      </w:r>
      <w:r w:rsidRPr="00552463" w:rsidR="00415EF3">
        <w:rPr>
          <w:rFonts w:ascii="Times New Roman" w:hAnsi="Times New Roman" w:cs="Times New Roman"/>
        </w:rPr>
        <w:t xml:space="preserve"> plus all other in-scope establishments</w:t>
      </w:r>
      <w:r w:rsidRPr="00552463" w:rsidR="004915FE">
        <w:rPr>
          <w:rFonts w:ascii="Times New Roman" w:hAnsi="Times New Roman" w:cs="Times New Roman"/>
        </w:rPr>
        <w:t xml:space="preserve"> within this EIN range.</w:t>
      </w:r>
    </w:p>
    <w:p w:rsidRPr="00552463" w:rsidR="008811CE" w:rsidP="00BC6972" w:rsidRDefault="008811CE" w14:paraId="2654BBC1" w14:textId="77777777">
      <w:pPr>
        <w:rPr>
          <w:rFonts w:ascii="Times New Roman" w:hAnsi="Times New Roman" w:cs="Times New Roman"/>
        </w:rPr>
      </w:pPr>
    </w:p>
    <w:p w:rsidRPr="00552463" w:rsidR="005672D4" w:rsidP="005672D4" w:rsidRDefault="005672D4" w14:paraId="347DB98C" w14:textId="77777777">
      <w:pPr>
        <w:rPr>
          <w:rFonts w:cstheme="minorHAnsi"/>
          <w:b/>
        </w:rPr>
      </w:pPr>
      <w:r w:rsidRPr="00552463">
        <w:rPr>
          <w:rFonts w:cstheme="minorHAnsi"/>
          <w:b/>
        </w:rPr>
        <w:t>1b. Sample size</w:t>
      </w:r>
    </w:p>
    <w:p w:rsidRPr="00552463" w:rsidR="0007513D" w:rsidP="00E75ED8" w:rsidRDefault="0007513D" w14:paraId="2F928EC3" w14:textId="77777777">
      <w:pPr>
        <w:rPr>
          <w:rFonts w:cstheme="minorHAnsi"/>
        </w:rPr>
      </w:pPr>
    </w:p>
    <w:p w:rsidRPr="00552463" w:rsidR="005672D4" w:rsidP="00E75ED8" w:rsidRDefault="005672D4" w14:paraId="6308C266" w14:textId="09021E3D">
      <w:pPr>
        <w:rPr>
          <w:rFonts w:cstheme="minorHAnsi"/>
        </w:rPr>
      </w:pPr>
      <w:r w:rsidRPr="00552463">
        <w:rPr>
          <w:rFonts w:cstheme="minorHAnsi"/>
        </w:rPr>
        <w:t>BLS plans to select a sample of approximately 59</w:t>
      </w:r>
      <w:r w:rsidRPr="00552463" w:rsidR="00C03A49">
        <w:rPr>
          <w:rFonts w:cstheme="minorHAnsi"/>
        </w:rPr>
        <w:t>7</w:t>
      </w:r>
      <w:r w:rsidRPr="00552463">
        <w:rPr>
          <w:rFonts w:cstheme="minorHAnsi"/>
        </w:rPr>
        <w:t>,000 establishments. The objective of the large sample is to produce statistics at detailed levels including by size class, state, industry, and some state-industry, state-size combinations. Production of statistics at any detailed levels will depend on the ability to pass disclosure requirements to ensure confidentiality of the establishments responding to the survey.</w:t>
      </w:r>
    </w:p>
    <w:p w:rsidRPr="00552463" w:rsidR="00E75ED8" w:rsidP="00E75ED8" w:rsidRDefault="00E75ED8" w14:paraId="5A17EE93" w14:textId="77777777">
      <w:pPr>
        <w:rPr>
          <w:rFonts w:cstheme="minorHAnsi"/>
        </w:rPr>
      </w:pPr>
    </w:p>
    <w:tbl>
      <w:tblPr>
        <w:tblW w:w="0" w:type="auto"/>
        <w:tblCellMar>
          <w:left w:w="0" w:type="dxa"/>
          <w:right w:w="0" w:type="dxa"/>
        </w:tblCellMar>
        <w:tblLook w:val="04A0" w:firstRow="1" w:lastRow="0" w:firstColumn="1" w:lastColumn="0" w:noHBand="0" w:noVBand="1"/>
      </w:tblPr>
      <w:tblGrid>
        <w:gridCol w:w="2245"/>
        <w:gridCol w:w="1671"/>
        <w:gridCol w:w="3189"/>
      </w:tblGrid>
      <w:tr w:rsidRPr="00552463" w:rsidR="00552463" w:rsidTr="00C03A49" w14:paraId="4DAC0F80" w14:textId="77777777">
        <w:trPr>
          <w:trHeight w:val="386"/>
        </w:trPr>
        <w:tc>
          <w:tcPr>
            <w:tcW w:w="2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552463" w:rsidR="005672D4" w:rsidP="009D3953" w:rsidRDefault="005672D4" w14:paraId="6216AB47" w14:textId="77777777">
            <w:pPr>
              <w:rPr>
                <w:rFonts w:cstheme="minorHAnsi"/>
                <w:b/>
              </w:rPr>
            </w:pPr>
          </w:p>
        </w:tc>
        <w:tc>
          <w:tcPr>
            <w:tcW w:w="16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9D3953" w:rsidRDefault="005672D4" w14:paraId="1AB5B609" w14:textId="77777777">
            <w:pPr>
              <w:jc w:val="center"/>
              <w:rPr>
                <w:rFonts w:cstheme="minorHAnsi"/>
                <w:b/>
              </w:rPr>
            </w:pPr>
            <w:r w:rsidRPr="00552463">
              <w:rPr>
                <w:rFonts w:cstheme="minorHAnsi"/>
                <w:b/>
              </w:rPr>
              <w:t>Sample</w:t>
            </w:r>
          </w:p>
        </w:tc>
        <w:tc>
          <w:tcPr>
            <w:tcW w:w="31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C03A49" w:rsidRDefault="005672D4" w14:paraId="481538AF" w14:textId="71F9C43C">
            <w:pPr>
              <w:pStyle w:val="NoSpacing"/>
              <w:jc w:val="center"/>
              <w:rPr>
                <w:b/>
              </w:rPr>
            </w:pPr>
            <w:r w:rsidRPr="00552463">
              <w:rPr>
                <w:b/>
              </w:rPr>
              <w:t>Estimated Responses</w:t>
            </w:r>
          </w:p>
          <w:p w:rsidRPr="00552463" w:rsidR="005672D4" w:rsidP="00C03A49" w:rsidRDefault="005672D4" w14:paraId="712C5B00" w14:textId="15EA1C6C">
            <w:pPr>
              <w:pStyle w:val="NoSpacing"/>
              <w:jc w:val="center"/>
            </w:pPr>
            <w:r w:rsidRPr="00552463">
              <w:rPr>
                <w:b/>
              </w:rPr>
              <w:t>(25%)</w:t>
            </w:r>
          </w:p>
        </w:tc>
      </w:tr>
      <w:tr w:rsidRPr="00552463" w:rsidR="00552463" w:rsidTr="00E75ED8" w14:paraId="423A51E8" w14:textId="77777777">
        <w:tc>
          <w:tcPr>
            <w:tcW w:w="2245"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hideMark/>
          </w:tcPr>
          <w:p w:rsidRPr="00552463" w:rsidR="005672D4" w:rsidP="009D3953" w:rsidRDefault="00E75ED8" w14:paraId="5CDB8F1E" w14:textId="1E6F7E78">
            <w:pPr>
              <w:jc w:val="center"/>
              <w:rPr>
                <w:rFonts w:cstheme="minorHAnsi"/>
              </w:rPr>
            </w:pPr>
            <w:r w:rsidRPr="00552463">
              <w:rPr>
                <w:rFonts w:cstheme="minorHAnsi"/>
              </w:rPr>
              <w:t>QBS</w:t>
            </w:r>
            <w:r w:rsidRPr="00552463" w:rsidR="005672D4">
              <w:rPr>
                <w:rFonts w:cstheme="minorHAnsi"/>
              </w:rPr>
              <w:t xml:space="preserve"> Sample</w:t>
            </w:r>
          </w:p>
        </w:tc>
        <w:tc>
          <w:tcPr>
            <w:tcW w:w="1671"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5672D4" w14:paraId="6E0E6822" w14:textId="2B96159C">
            <w:pPr>
              <w:jc w:val="center"/>
              <w:rPr>
                <w:rFonts w:cstheme="minorHAnsi"/>
              </w:rPr>
            </w:pPr>
            <w:r w:rsidRPr="00552463">
              <w:rPr>
                <w:rFonts w:cstheme="minorHAnsi"/>
              </w:rPr>
              <w:t>59</w:t>
            </w:r>
            <w:r w:rsidRPr="00552463" w:rsidR="00C03A49">
              <w:rPr>
                <w:rFonts w:cstheme="minorHAnsi"/>
              </w:rPr>
              <w:t>7,000</w:t>
            </w:r>
          </w:p>
        </w:tc>
        <w:tc>
          <w:tcPr>
            <w:tcW w:w="3189"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5672D4" w14:paraId="39BDD251" w14:textId="0898A013">
            <w:pPr>
              <w:jc w:val="center"/>
              <w:rPr>
                <w:rFonts w:cstheme="minorHAnsi"/>
              </w:rPr>
            </w:pPr>
            <w:r w:rsidRPr="00552463">
              <w:rPr>
                <w:rFonts w:cstheme="minorHAnsi"/>
              </w:rPr>
              <w:t>149,</w:t>
            </w:r>
            <w:r w:rsidRPr="00552463" w:rsidR="00C03A49">
              <w:rPr>
                <w:rFonts w:cstheme="minorHAnsi"/>
              </w:rPr>
              <w:t>250</w:t>
            </w:r>
          </w:p>
        </w:tc>
      </w:tr>
    </w:tbl>
    <w:p w:rsidRPr="00552463" w:rsidR="005672D4" w:rsidP="005672D4" w:rsidRDefault="005672D4" w14:paraId="6D67ED10" w14:textId="77777777">
      <w:pPr>
        <w:rPr>
          <w:rFonts w:cstheme="minorHAnsi"/>
        </w:rPr>
      </w:pPr>
    </w:p>
    <w:p w:rsidRPr="00552463" w:rsidR="005A11AB" w:rsidP="00AC4B14" w:rsidRDefault="005672D4" w14:paraId="28D8F8DE" w14:textId="77777777">
      <w:pPr>
        <w:spacing w:after="144" w:afterLines="60"/>
        <w:rPr>
          <w:rFonts w:ascii="Times New Roman" w:hAnsi="Times New Roman"/>
          <w:b/>
        </w:rPr>
      </w:pPr>
      <w:r w:rsidRPr="00552463">
        <w:rPr>
          <w:rFonts w:ascii="Times New Roman" w:hAnsi="Times New Roman" w:cs="Times New Roman"/>
          <w:b/>
        </w:rPr>
        <w:t xml:space="preserve">2.  </w:t>
      </w:r>
      <w:r w:rsidRPr="00552463" w:rsidR="005A11AB">
        <w:rPr>
          <w:rFonts w:ascii="Times New Roman" w:hAnsi="Times New Roman"/>
          <w:b/>
        </w:rPr>
        <w:t>Describe the procedures for the collection of information including:</w:t>
      </w:r>
    </w:p>
    <w:p w:rsidRPr="00552463" w:rsidR="005A11AB" w:rsidP="00C03A49" w:rsidRDefault="005A11AB" w14:paraId="1C76AEB5" w14:textId="77777777">
      <w:pPr>
        <w:pStyle w:val="NoSpacing"/>
        <w:numPr>
          <w:ilvl w:val="0"/>
          <w:numId w:val="9"/>
        </w:numPr>
        <w:rPr>
          <w:b/>
        </w:rPr>
      </w:pPr>
      <w:r w:rsidRPr="00552463">
        <w:rPr>
          <w:b/>
        </w:rPr>
        <w:t>Statistical methodology for stratification and sample selection,</w:t>
      </w:r>
    </w:p>
    <w:p w:rsidRPr="00552463" w:rsidR="005A11AB" w:rsidP="00C03A49" w:rsidRDefault="005A11AB" w14:paraId="10190915" w14:textId="77777777">
      <w:pPr>
        <w:pStyle w:val="NoSpacing"/>
        <w:numPr>
          <w:ilvl w:val="0"/>
          <w:numId w:val="9"/>
        </w:numPr>
        <w:rPr>
          <w:b/>
        </w:rPr>
      </w:pPr>
      <w:r w:rsidRPr="00552463">
        <w:rPr>
          <w:b/>
        </w:rPr>
        <w:t>Estimation procedure,</w:t>
      </w:r>
    </w:p>
    <w:p w:rsidRPr="00552463" w:rsidR="005A11AB" w:rsidP="00C03A49" w:rsidRDefault="005A11AB" w14:paraId="2B7E2E5E" w14:textId="77777777">
      <w:pPr>
        <w:pStyle w:val="NoSpacing"/>
        <w:numPr>
          <w:ilvl w:val="0"/>
          <w:numId w:val="9"/>
        </w:numPr>
        <w:rPr>
          <w:b/>
        </w:rPr>
      </w:pPr>
      <w:r w:rsidRPr="00552463">
        <w:rPr>
          <w:b/>
        </w:rPr>
        <w:t>Degree of accuracy needed for the purpose described in the justification,</w:t>
      </w:r>
    </w:p>
    <w:p w:rsidRPr="00552463" w:rsidR="005A11AB" w:rsidP="00C03A49" w:rsidRDefault="005A11AB" w14:paraId="22C5876B" w14:textId="77777777">
      <w:pPr>
        <w:pStyle w:val="NoSpacing"/>
        <w:numPr>
          <w:ilvl w:val="0"/>
          <w:numId w:val="9"/>
        </w:numPr>
        <w:rPr>
          <w:b/>
        </w:rPr>
      </w:pPr>
      <w:r w:rsidRPr="00552463">
        <w:rPr>
          <w:b/>
        </w:rPr>
        <w:t>Unusual problems requiring specialized sampling procedures, and</w:t>
      </w:r>
    </w:p>
    <w:p w:rsidRPr="00552463" w:rsidR="005A11AB" w:rsidP="00C03A49" w:rsidRDefault="005A11AB" w14:paraId="0EE8E15A" w14:textId="77777777">
      <w:pPr>
        <w:pStyle w:val="NoSpacing"/>
        <w:numPr>
          <w:ilvl w:val="0"/>
          <w:numId w:val="9"/>
        </w:numPr>
        <w:rPr>
          <w:b/>
        </w:rPr>
      </w:pPr>
      <w:r w:rsidRPr="00552463">
        <w:rPr>
          <w:b/>
        </w:rPr>
        <w:t>Any use of periodic (less frequent than annual) data collection cycles to reduce burden.</w:t>
      </w:r>
    </w:p>
    <w:p w:rsidRPr="00552463" w:rsidR="005672D4" w:rsidP="005672D4" w:rsidRDefault="005672D4" w14:paraId="29C0AC35" w14:textId="77777777">
      <w:pPr>
        <w:rPr>
          <w:rFonts w:ascii="Times New Roman" w:hAnsi="Times New Roman" w:cs="Times New Roman"/>
          <w:b/>
        </w:rPr>
      </w:pPr>
    </w:p>
    <w:p w:rsidRPr="00552463" w:rsidR="005672D4" w:rsidP="005672D4" w:rsidRDefault="005672D4" w14:paraId="5F9B2440" w14:textId="77777777">
      <w:pPr>
        <w:rPr>
          <w:rFonts w:ascii="Times New Roman" w:hAnsi="Times New Roman" w:cs="Times New Roman"/>
          <w:b/>
        </w:rPr>
      </w:pPr>
      <w:r w:rsidRPr="00552463">
        <w:rPr>
          <w:rFonts w:ascii="Times New Roman" w:hAnsi="Times New Roman" w:cs="Times New Roman"/>
          <w:b/>
        </w:rPr>
        <w:t>2a. Sample Design and Selection Procedures</w:t>
      </w:r>
    </w:p>
    <w:p w:rsidRPr="00552463" w:rsidR="005672D4" w:rsidP="005672D4" w:rsidRDefault="005672D4" w14:paraId="5DCA9187" w14:textId="77777777">
      <w:pPr>
        <w:rPr>
          <w:rFonts w:ascii="Times New Roman" w:hAnsi="Times New Roman" w:cs="Times New Roman"/>
        </w:rPr>
      </w:pPr>
    </w:p>
    <w:p w:rsidRPr="00552463" w:rsidR="00AC4B14" w:rsidP="003D6890" w:rsidRDefault="00AC4B14" w14:paraId="0F7CA695" w14:textId="51BF5D0A">
      <w:pPr>
        <w:rPr>
          <w:rFonts w:ascii="Times New Roman" w:hAnsi="Times New Roman" w:cs="Times New Roman"/>
        </w:rPr>
      </w:pPr>
      <w:r w:rsidRPr="00552463">
        <w:rPr>
          <w:rFonts w:ascii="Times New Roman" w:hAnsi="Times New Roman" w:cs="Times New Roman"/>
        </w:rPr>
        <w:t>The sample design and selection process involves the following steps:</w:t>
      </w:r>
    </w:p>
    <w:p w:rsidRPr="00552463" w:rsidR="00AC4B14" w:rsidP="003D6890" w:rsidRDefault="00AC4B14" w14:paraId="33E3BD85" w14:textId="77777777">
      <w:pPr>
        <w:rPr>
          <w:rFonts w:ascii="Times New Roman" w:hAnsi="Times New Roman" w:cs="Times New Roman"/>
        </w:rPr>
      </w:pPr>
    </w:p>
    <w:p w:rsidRPr="00C41208" w:rsidR="00AC4B14" w:rsidP="00AC4B14" w:rsidRDefault="00AC4B14" w14:paraId="22160D13" w14:textId="00E4B8B4">
      <w:pPr>
        <w:pStyle w:val="ListParagraph"/>
        <w:numPr>
          <w:ilvl w:val="0"/>
          <w:numId w:val="7"/>
        </w:numPr>
        <w:ind w:left="360"/>
        <w:rPr>
          <w:sz w:val="22"/>
          <w:szCs w:val="22"/>
        </w:rPr>
      </w:pPr>
      <w:r w:rsidRPr="00C41208">
        <w:rPr>
          <w:sz w:val="22"/>
          <w:szCs w:val="22"/>
        </w:rPr>
        <w:t>Identify the research goals</w:t>
      </w:r>
    </w:p>
    <w:p w:rsidRPr="00C41208" w:rsidR="00AC4B14" w:rsidP="00AC4B14" w:rsidRDefault="00AC4B14" w14:paraId="55A99F38" w14:textId="0D4C27A8">
      <w:pPr>
        <w:pStyle w:val="ListParagraph"/>
        <w:numPr>
          <w:ilvl w:val="0"/>
          <w:numId w:val="7"/>
        </w:numPr>
        <w:ind w:left="360"/>
        <w:rPr>
          <w:sz w:val="22"/>
          <w:szCs w:val="22"/>
        </w:rPr>
      </w:pPr>
      <w:r w:rsidRPr="00C41208">
        <w:rPr>
          <w:sz w:val="22"/>
          <w:szCs w:val="22"/>
        </w:rPr>
        <w:t>Identify the QBS universe and relevant sub-populations (e.g. ARS-eligible establishments)</w:t>
      </w:r>
    </w:p>
    <w:p w:rsidRPr="00C41208" w:rsidR="00AC4B14" w:rsidP="00AC4B14" w:rsidRDefault="00AC4B14" w14:paraId="3D9A1540" w14:textId="12CC2528">
      <w:pPr>
        <w:pStyle w:val="ListParagraph"/>
        <w:numPr>
          <w:ilvl w:val="0"/>
          <w:numId w:val="7"/>
        </w:numPr>
        <w:ind w:left="360"/>
        <w:rPr>
          <w:sz w:val="22"/>
          <w:szCs w:val="22"/>
        </w:rPr>
      </w:pPr>
      <w:r w:rsidRPr="00C41208">
        <w:rPr>
          <w:sz w:val="22"/>
          <w:szCs w:val="22"/>
        </w:rPr>
        <w:t>Calculate sample sufficiency based on the research goals and universe definition</w:t>
      </w:r>
    </w:p>
    <w:p w:rsidRPr="00C41208" w:rsidR="00AC4B14" w:rsidP="00AC4B14" w:rsidRDefault="00AC4B14" w14:paraId="6064B6F8" w14:textId="17069A80">
      <w:pPr>
        <w:pStyle w:val="ListParagraph"/>
        <w:numPr>
          <w:ilvl w:val="0"/>
          <w:numId w:val="7"/>
        </w:numPr>
        <w:ind w:left="360"/>
        <w:rPr>
          <w:sz w:val="22"/>
          <w:szCs w:val="22"/>
        </w:rPr>
      </w:pPr>
      <w:r w:rsidRPr="00C41208">
        <w:rPr>
          <w:sz w:val="22"/>
          <w:szCs w:val="22"/>
        </w:rPr>
        <w:t>Desi</w:t>
      </w:r>
      <w:r w:rsidRPr="00C41208" w:rsidR="0010519A">
        <w:rPr>
          <w:sz w:val="22"/>
          <w:szCs w:val="22"/>
        </w:rPr>
        <w:t>gn sample</w:t>
      </w:r>
      <w:r w:rsidRPr="00C41208" w:rsidR="007B0DD6">
        <w:rPr>
          <w:sz w:val="22"/>
          <w:szCs w:val="22"/>
        </w:rPr>
        <w:t xml:space="preserve"> to achieve sufficiency</w:t>
      </w:r>
    </w:p>
    <w:p w:rsidRPr="00C41208" w:rsidR="00AC4B14" w:rsidP="00AC4B14" w:rsidRDefault="00AC4B14" w14:paraId="4F4D6DD3" w14:textId="3E776390">
      <w:pPr>
        <w:pStyle w:val="ListParagraph"/>
        <w:numPr>
          <w:ilvl w:val="0"/>
          <w:numId w:val="7"/>
        </w:numPr>
        <w:ind w:left="360"/>
        <w:rPr>
          <w:sz w:val="22"/>
          <w:szCs w:val="22"/>
        </w:rPr>
      </w:pPr>
      <w:r w:rsidRPr="00C41208">
        <w:rPr>
          <w:sz w:val="22"/>
          <w:szCs w:val="22"/>
        </w:rPr>
        <w:t>Select sample</w:t>
      </w:r>
    </w:p>
    <w:p w:rsidRPr="00552463" w:rsidR="00AC4B14" w:rsidP="00AC4B14" w:rsidRDefault="00AC4B14" w14:paraId="0A99845C" w14:textId="77777777"/>
    <w:p w:rsidRPr="00C41208" w:rsidR="00AC4B14" w:rsidP="00AC4B14" w:rsidRDefault="00AC4B14" w14:paraId="19069BCD" w14:textId="5C37B0E3">
      <w:pPr>
        <w:rPr>
          <w:u w:val="single"/>
        </w:rPr>
      </w:pPr>
      <w:r w:rsidRPr="00C41208">
        <w:rPr>
          <w:u w:val="single"/>
        </w:rPr>
        <w:t>Research Goals</w:t>
      </w:r>
    </w:p>
    <w:p w:rsidRPr="00C41208" w:rsidR="00AC4B14" w:rsidP="00AC4B14" w:rsidRDefault="00AC4B14" w14:paraId="7F8CEB9C" w14:textId="77777777"/>
    <w:p w:rsidRPr="00C41208" w:rsidR="00696698" w:rsidP="00AC4B14" w:rsidRDefault="00AC4B14" w14:paraId="63ABFA25" w14:textId="5D41D774">
      <w:pPr>
        <w:rPr>
          <w:rFonts w:ascii="Times New Roman" w:hAnsi="Times New Roman" w:cs="Times New Roman"/>
        </w:rPr>
      </w:pPr>
      <w:r w:rsidRPr="00C41208">
        <w:rPr>
          <w:rFonts w:ascii="Times New Roman" w:hAnsi="Times New Roman" w:cs="Times New Roman"/>
        </w:rPr>
        <w:t xml:space="preserve">The survey analysis breakouts </w:t>
      </w:r>
      <w:r w:rsidRPr="00C41208" w:rsidR="0010519A">
        <w:rPr>
          <w:rFonts w:ascii="Times New Roman" w:hAnsi="Times New Roman" w:cs="Times New Roman"/>
        </w:rPr>
        <w:t>initially identified</w:t>
      </w:r>
      <w:r w:rsidRPr="00C41208">
        <w:rPr>
          <w:rFonts w:ascii="Times New Roman" w:hAnsi="Times New Roman" w:cs="Times New Roman"/>
        </w:rPr>
        <w:t xml:space="preserve"> by researchers</w:t>
      </w:r>
      <w:r w:rsidRPr="00C41208" w:rsidR="00696698">
        <w:rPr>
          <w:rFonts w:ascii="Times New Roman" w:hAnsi="Times New Roman" w:cs="Times New Roman"/>
        </w:rPr>
        <w:t>:</w:t>
      </w:r>
    </w:p>
    <w:p w:rsidRPr="00C41208" w:rsidR="00AC4B14" w:rsidP="00AC4B14" w:rsidRDefault="00AC4B14" w14:paraId="32AA814E" w14:textId="77777777"/>
    <w:p w:rsidRPr="00C41208" w:rsidR="00AC4B14" w:rsidP="00696698" w:rsidRDefault="00AC4B14" w14:paraId="6494EF48" w14:textId="12F81069">
      <w:pPr>
        <w:pStyle w:val="ListParagraph"/>
        <w:numPr>
          <w:ilvl w:val="0"/>
          <w:numId w:val="4"/>
        </w:numPr>
        <w:spacing w:line="259" w:lineRule="auto"/>
        <w:ind w:left="360"/>
        <w:rPr>
          <w:sz w:val="22"/>
          <w:szCs w:val="22"/>
        </w:rPr>
      </w:pPr>
      <w:r w:rsidRPr="00C41208">
        <w:rPr>
          <w:sz w:val="22"/>
          <w:szCs w:val="22"/>
        </w:rPr>
        <w:t xml:space="preserve">State by </w:t>
      </w:r>
      <w:r w:rsidRPr="00C41208" w:rsidR="00696698">
        <w:rPr>
          <w:sz w:val="22"/>
          <w:szCs w:val="22"/>
        </w:rPr>
        <w:t>Industry Goods-Producing/Services-Producing Categorization</w:t>
      </w:r>
    </w:p>
    <w:p w:rsidRPr="00C41208" w:rsidR="00696698" w:rsidP="00696698" w:rsidRDefault="00696698" w14:paraId="78EFAA35" w14:textId="279590C5">
      <w:pPr>
        <w:pStyle w:val="ListParagraph"/>
        <w:spacing w:line="259" w:lineRule="auto"/>
        <w:ind w:left="360"/>
        <w:rPr>
          <w:sz w:val="22"/>
          <w:szCs w:val="22"/>
        </w:rPr>
      </w:pPr>
      <w:r w:rsidRPr="00C41208">
        <w:rPr>
          <w:sz w:val="22"/>
          <w:szCs w:val="22"/>
        </w:rPr>
        <w:t>{52 states * 2 industry classifications =104 estimation cells}</w:t>
      </w:r>
    </w:p>
    <w:p w:rsidRPr="00C41208" w:rsidR="00696698" w:rsidP="00696698" w:rsidRDefault="00696698" w14:paraId="03407E24" w14:textId="490DD770">
      <w:pPr>
        <w:pStyle w:val="ListParagraph"/>
        <w:numPr>
          <w:ilvl w:val="0"/>
          <w:numId w:val="4"/>
        </w:numPr>
        <w:spacing w:line="259" w:lineRule="auto"/>
        <w:ind w:left="360"/>
        <w:rPr>
          <w:sz w:val="22"/>
          <w:szCs w:val="22"/>
        </w:rPr>
      </w:pPr>
      <w:r w:rsidRPr="00C41208">
        <w:rPr>
          <w:sz w:val="22"/>
          <w:szCs w:val="22"/>
        </w:rPr>
        <w:t xml:space="preserve">State by </w:t>
      </w:r>
      <w:r w:rsidRPr="00C41208" w:rsidR="00C21F0D">
        <w:rPr>
          <w:sz w:val="22"/>
          <w:szCs w:val="22"/>
        </w:rPr>
        <w:t xml:space="preserve">Broad </w:t>
      </w:r>
      <w:r w:rsidRPr="00C41208">
        <w:rPr>
          <w:sz w:val="22"/>
          <w:szCs w:val="22"/>
        </w:rPr>
        <w:t>Industry Size</w:t>
      </w:r>
    </w:p>
    <w:p w:rsidRPr="00C41208" w:rsidR="00696698" w:rsidP="00696698" w:rsidRDefault="00696698" w14:paraId="2FDF95B5" w14:textId="5C12D039">
      <w:pPr>
        <w:pStyle w:val="ListParagraph"/>
        <w:spacing w:line="259" w:lineRule="auto"/>
        <w:ind w:left="360"/>
        <w:rPr>
          <w:sz w:val="22"/>
          <w:szCs w:val="22"/>
        </w:rPr>
      </w:pPr>
      <w:r w:rsidRPr="00C41208">
        <w:rPr>
          <w:sz w:val="22"/>
          <w:szCs w:val="22"/>
        </w:rPr>
        <w:t xml:space="preserve">{52 states * 4 </w:t>
      </w:r>
      <w:r w:rsidRPr="00C41208" w:rsidR="001D0088">
        <w:rPr>
          <w:sz w:val="22"/>
          <w:szCs w:val="22"/>
        </w:rPr>
        <w:t xml:space="preserve">broad </w:t>
      </w:r>
      <w:r w:rsidRPr="00C41208">
        <w:rPr>
          <w:sz w:val="22"/>
          <w:szCs w:val="22"/>
        </w:rPr>
        <w:t>industry size categories = 208 estimation cells}</w:t>
      </w:r>
    </w:p>
    <w:p w:rsidRPr="00C41208" w:rsidR="00696698" w:rsidP="00696698" w:rsidRDefault="00FA4A4E" w14:paraId="782C4E85" w14:textId="4EFE5676">
      <w:pPr>
        <w:pStyle w:val="ListParagraph"/>
        <w:numPr>
          <w:ilvl w:val="0"/>
          <w:numId w:val="4"/>
        </w:numPr>
        <w:spacing w:line="259" w:lineRule="auto"/>
        <w:ind w:left="360"/>
        <w:rPr>
          <w:sz w:val="22"/>
          <w:szCs w:val="22"/>
        </w:rPr>
      </w:pPr>
      <w:r w:rsidRPr="00C41208">
        <w:rPr>
          <w:sz w:val="22"/>
          <w:szCs w:val="22"/>
        </w:rPr>
        <w:t xml:space="preserve">Modified </w:t>
      </w:r>
      <w:r w:rsidRPr="00C41208" w:rsidR="00696698">
        <w:rPr>
          <w:sz w:val="22"/>
          <w:szCs w:val="22"/>
        </w:rPr>
        <w:t xml:space="preserve">NAICS Sector by </w:t>
      </w:r>
      <w:r w:rsidRPr="00C41208" w:rsidR="00DC3BAC">
        <w:rPr>
          <w:sz w:val="22"/>
          <w:szCs w:val="22"/>
        </w:rPr>
        <w:t xml:space="preserve">Broad </w:t>
      </w:r>
      <w:r w:rsidRPr="00C41208" w:rsidR="00696698">
        <w:rPr>
          <w:sz w:val="22"/>
          <w:szCs w:val="22"/>
        </w:rPr>
        <w:t>Industry Size</w:t>
      </w:r>
      <w:r w:rsidRPr="00C41208" w:rsidR="00DC3BAC">
        <w:rPr>
          <w:sz w:val="22"/>
          <w:szCs w:val="22"/>
        </w:rPr>
        <w:t xml:space="preserve"> Class</w:t>
      </w:r>
    </w:p>
    <w:p w:rsidRPr="00C41208" w:rsidR="00696698" w:rsidP="00696698" w:rsidRDefault="00696698" w14:paraId="2F6A346D" w14:textId="330EB489">
      <w:pPr>
        <w:pStyle w:val="ListParagraph"/>
        <w:spacing w:line="259" w:lineRule="auto"/>
        <w:ind w:left="360"/>
        <w:rPr>
          <w:sz w:val="22"/>
          <w:szCs w:val="22"/>
        </w:rPr>
      </w:pPr>
      <w:r w:rsidRPr="00C41208">
        <w:rPr>
          <w:sz w:val="22"/>
          <w:szCs w:val="22"/>
        </w:rPr>
        <w:t xml:space="preserve">{16 </w:t>
      </w:r>
      <w:r w:rsidRPr="00C41208" w:rsidR="00FA4A4E">
        <w:rPr>
          <w:sz w:val="22"/>
          <w:szCs w:val="22"/>
        </w:rPr>
        <w:t xml:space="preserve">modified </w:t>
      </w:r>
      <w:r w:rsidRPr="00C41208">
        <w:rPr>
          <w:sz w:val="22"/>
          <w:szCs w:val="22"/>
        </w:rPr>
        <w:t xml:space="preserve">NAICS sectors * 4 </w:t>
      </w:r>
      <w:r w:rsidRPr="00C41208" w:rsidR="00C21F0D">
        <w:rPr>
          <w:sz w:val="22"/>
          <w:szCs w:val="22"/>
        </w:rPr>
        <w:t xml:space="preserve">broad </w:t>
      </w:r>
      <w:r w:rsidRPr="00C41208">
        <w:rPr>
          <w:sz w:val="22"/>
          <w:szCs w:val="22"/>
        </w:rPr>
        <w:t>industry size categories = 64 estimation cells}</w:t>
      </w:r>
    </w:p>
    <w:p w:rsidRPr="00C41208" w:rsidR="00696698" w:rsidP="00696698" w:rsidRDefault="00DC3BAC" w14:paraId="5C0F53D7" w14:textId="72B01EA6">
      <w:pPr>
        <w:pStyle w:val="ListParagraph"/>
        <w:numPr>
          <w:ilvl w:val="0"/>
          <w:numId w:val="4"/>
        </w:numPr>
        <w:spacing w:line="259" w:lineRule="auto"/>
        <w:ind w:left="360"/>
        <w:rPr>
          <w:sz w:val="22"/>
          <w:szCs w:val="22"/>
        </w:rPr>
      </w:pPr>
      <w:r w:rsidRPr="00C41208">
        <w:rPr>
          <w:sz w:val="22"/>
          <w:szCs w:val="22"/>
        </w:rPr>
        <w:t xml:space="preserve">Narrow </w:t>
      </w:r>
      <w:r w:rsidRPr="00C41208" w:rsidR="00696698">
        <w:rPr>
          <w:sz w:val="22"/>
          <w:szCs w:val="22"/>
        </w:rPr>
        <w:t>Industry Size Class</w:t>
      </w:r>
    </w:p>
    <w:p w:rsidRPr="00C41208" w:rsidR="00696698" w:rsidP="00696698" w:rsidRDefault="00696698" w14:paraId="78E62AB2" w14:textId="5630C53C">
      <w:pPr>
        <w:pStyle w:val="ListParagraph"/>
        <w:spacing w:line="259" w:lineRule="auto"/>
        <w:ind w:left="360"/>
        <w:rPr>
          <w:sz w:val="22"/>
          <w:szCs w:val="22"/>
        </w:rPr>
      </w:pPr>
      <w:r w:rsidRPr="00C41208">
        <w:rPr>
          <w:sz w:val="22"/>
          <w:szCs w:val="22"/>
        </w:rPr>
        <w:t xml:space="preserve">{9 </w:t>
      </w:r>
      <w:r w:rsidRPr="00C41208" w:rsidR="00C21F0D">
        <w:rPr>
          <w:sz w:val="22"/>
          <w:szCs w:val="22"/>
        </w:rPr>
        <w:t xml:space="preserve">narrow </w:t>
      </w:r>
      <w:r w:rsidRPr="00C41208">
        <w:rPr>
          <w:sz w:val="22"/>
          <w:szCs w:val="22"/>
        </w:rPr>
        <w:t>industry size classes = 9 estimation cells}</w:t>
      </w:r>
    </w:p>
    <w:p w:rsidRPr="00552463" w:rsidR="00696698" w:rsidP="00696698" w:rsidRDefault="00696698" w14:paraId="78770F74" w14:textId="77777777">
      <w:pPr>
        <w:spacing w:line="259" w:lineRule="auto"/>
      </w:pPr>
    </w:p>
    <w:p w:rsidRPr="00C41208" w:rsidR="00696698" w:rsidP="00696698" w:rsidRDefault="00696698" w14:paraId="59E5092D" w14:textId="7BC59764">
      <w:pPr>
        <w:spacing w:line="259" w:lineRule="auto"/>
      </w:pPr>
      <w:r w:rsidRPr="00C41208">
        <w:t xml:space="preserve">The fifty-two </w:t>
      </w:r>
      <w:r w:rsidRPr="00C41208" w:rsidR="0010519A">
        <w:t>“</w:t>
      </w:r>
      <w:r w:rsidRPr="00C41208">
        <w:t>states</w:t>
      </w:r>
      <w:r w:rsidRPr="00C41208" w:rsidR="0010519A">
        <w:t>”</w:t>
      </w:r>
      <w:r w:rsidRPr="00C41208">
        <w:t xml:space="preserve"> include the District of Columbia and Puerto Rico but exclude the U.S. Virgin Islands.</w:t>
      </w:r>
    </w:p>
    <w:p w:rsidRPr="00C41208" w:rsidR="00696698" w:rsidP="00696698" w:rsidRDefault="00696698" w14:paraId="65BE250C" w14:textId="77777777">
      <w:pPr>
        <w:spacing w:line="259" w:lineRule="auto"/>
        <w:rPr>
          <w:rFonts w:asciiTheme="majorHAnsi" w:hAnsiTheme="majorHAnsi" w:cstheme="majorHAnsi"/>
        </w:rPr>
      </w:pPr>
    </w:p>
    <w:p w:rsidRPr="00C41208" w:rsidR="00696698" w:rsidP="00696698" w:rsidRDefault="00FA4A4E" w14:paraId="002751D5" w14:textId="2C2BEFC0">
      <w:pPr>
        <w:spacing w:line="259" w:lineRule="auto"/>
        <w:rPr>
          <w:rFonts w:asciiTheme="majorHAnsi" w:hAnsiTheme="majorHAnsi" w:cstheme="majorHAnsi"/>
        </w:rPr>
      </w:pPr>
      <w:r w:rsidRPr="00C41208">
        <w:rPr>
          <w:rFonts w:asciiTheme="majorHAnsi" w:hAnsiTheme="majorHAnsi" w:cstheme="majorHAnsi"/>
        </w:rPr>
        <w:t>Modified NAICS sectors and goods-producing/services-producing categories of interest are defined according to the following table:</w:t>
      </w:r>
    </w:p>
    <w:p w:rsidRPr="00C41208" w:rsidR="00FA4A4E" w:rsidP="00696698" w:rsidRDefault="00FA4A4E" w14:paraId="5C54ABA0" w14:textId="77777777">
      <w:pPr>
        <w:spacing w:line="259" w:lineRule="auto"/>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75"/>
        <w:gridCol w:w="1260"/>
        <w:gridCol w:w="7015"/>
      </w:tblGrid>
      <w:tr w:rsidRPr="00C41208" w:rsidR="00552463" w:rsidTr="00C03A49" w14:paraId="3B30E0B6" w14:textId="77777777">
        <w:trPr>
          <w:trHeight w:val="864"/>
        </w:trPr>
        <w:tc>
          <w:tcPr>
            <w:tcW w:w="1075" w:type="dxa"/>
            <w:shd w:val="clear" w:color="auto" w:fill="F2F2F2" w:themeFill="background1" w:themeFillShade="F2"/>
            <w:hideMark/>
          </w:tcPr>
          <w:p w:rsidRPr="00C41208" w:rsidR="00FA4A4E" w:rsidP="00FA4A4E" w:rsidRDefault="00FA4A4E" w14:paraId="6676EDC6" w14:textId="283D7534">
            <w:pPr>
              <w:spacing w:line="259" w:lineRule="auto"/>
              <w:rPr>
                <w:rFonts w:asciiTheme="majorHAnsi" w:hAnsiTheme="majorHAnsi" w:cstheme="majorHAnsi"/>
                <w:b/>
              </w:rPr>
            </w:pPr>
            <w:r w:rsidRPr="00C41208">
              <w:rPr>
                <w:rFonts w:asciiTheme="majorHAnsi" w:hAnsiTheme="majorHAnsi" w:cstheme="majorHAnsi"/>
                <w:b/>
              </w:rPr>
              <w:t>Modified NAICS Sector</w:t>
            </w:r>
          </w:p>
        </w:tc>
        <w:tc>
          <w:tcPr>
            <w:tcW w:w="1260" w:type="dxa"/>
            <w:shd w:val="clear" w:color="auto" w:fill="F2F2F2" w:themeFill="background1" w:themeFillShade="F2"/>
            <w:hideMark/>
          </w:tcPr>
          <w:p w:rsidRPr="00C41208" w:rsidR="00FA4A4E" w:rsidP="00FA4A4E" w:rsidRDefault="00FA4A4E" w14:paraId="7B8CA582" w14:textId="0EFF7941">
            <w:pPr>
              <w:spacing w:line="259" w:lineRule="auto"/>
              <w:rPr>
                <w:rFonts w:asciiTheme="majorHAnsi" w:hAnsiTheme="majorHAnsi" w:cstheme="majorHAnsi"/>
                <w:b/>
              </w:rPr>
            </w:pPr>
            <w:r w:rsidRPr="00C41208">
              <w:rPr>
                <w:rFonts w:asciiTheme="majorHAnsi" w:hAnsiTheme="majorHAnsi" w:cstheme="majorHAnsi"/>
                <w:b/>
              </w:rPr>
              <w:t>Goods- or Services-Producing</w:t>
            </w:r>
          </w:p>
        </w:tc>
        <w:tc>
          <w:tcPr>
            <w:tcW w:w="7015" w:type="dxa"/>
            <w:shd w:val="clear" w:color="auto" w:fill="F2F2F2" w:themeFill="background1" w:themeFillShade="F2"/>
            <w:vAlign w:val="center"/>
            <w:hideMark/>
          </w:tcPr>
          <w:p w:rsidRPr="00C41208" w:rsidR="00FA4A4E" w:rsidP="00FA4A4E" w:rsidRDefault="00FA4A4E" w14:paraId="5DB67199" w14:textId="77777777">
            <w:pPr>
              <w:spacing w:line="259" w:lineRule="auto"/>
              <w:rPr>
                <w:rFonts w:asciiTheme="majorHAnsi" w:hAnsiTheme="majorHAnsi" w:cstheme="majorHAnsi"/>
                <w:b/>
              </w:rPr>
            </w:pPr>
            <w:r w:rsidRPr="00C41208">
              <w:rPr>
                <w:rFonts w:asciiTheme="majorHAnsi" w:hAnsiTheme="majorHAnsi" w:cstheme="majorHAnsi"/>
                <w:b/>
              </w:rPr>
              <w:t>Description</w:t>
            </w:r>
          </w:p>
        </w:tc>
      </w:tr>
      <w:tr w:rsidRPr="00C41208" w:rsidR="00552463" w:rsidTr="00C03A49" w14:paraId="3B332763" w14:textId="77777777">
        <w:trPr>
          <w:trHeight w:val="288"/>
        </w:trPr>
        <w:tc>
          <w:tcPr>
            <w:tcW w:w="1075" w:type="dxa"/>
            <w:noWrap/>
            <w:hideMark/>
          </w:tcPr>
          <w:p w:rsidRPr="00C41208" w:rsidR="00FA4A4E" w:rsidP="00FA4A4E" w:rsidRDefault="00FA4A4E" w14:paraId="5D296FB2" w14:textId="77777777">
            <w:pPr>
              <w:spacing w:line="259" w:lineRule="auto"/>
              <w:rPr>
                <w:rFonts w:asciiTheme="majorHAnsi" w:hAnsiTheme="majorHAnsi" w:cstheme="majorHAnsi"/>
              </w:rPr>
            </w:pPr>
            <w:r w:rsidRPr="00C41208">
              <w:rPr>
                <w:rFonts w:asciiTheme="majorHAnsi" w:hAnsiTheme="majorHAnsi" w:cstheme="majorHAnsi"/>
              </w:rPr>
              <w:t>11-21</w:t>
            </w:r>
          </w:p>
        </w:tc>
        <w:tc>
          <w:tcPr>
            <w:tcW w:w="1260" w:type="dxa"/>
            <w:noWrap/>
            <w:hideMark/>
          </w:tcPr>
          <w:p w:rsidRPr="00C41208" w:rsidR="00FA4A4E" w:rsidP="00FA4A4E" w:rsidRDefault="00FA4A4E" w14:paraId="19AEE7BE"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65FD22F6" w14:textId="29921BFC">
            <w:pPr>
              <w:spacing w:line="259" w:lineRule="auto"/>
              <w:rPr>
                <w:rFonts w:asciiTheme="majorHAnsi" w:hAnsiTheme="majorHAnsi" w:cstheme="majorHAnsi"/>
              </w:rPr>
            </w:pPr>
            <w:r w:rsidRPr="00C41208">
              <w:rPr>
                <w:rFonts w:asciiTheme="majorHAnsi" w:hAnsiTheme="majorHAnsi" w:cstheme="majorHAnsi"/>
              </w:rPr>
              <w:t xml:space="preserve">Agriculture, Forestry, Fishing, </w:t>
            </w:r>
            <w:r w:rsidRPr="00C41208" w:rsidR="0010519A">
              <w:rPr>
                <w:rFonts w:asciiTheme="majorHAnsi" w:hAnsiTheme="majorHAnsi" w:cstheme="majorHAnsi"/>
              </w:rPr>
              <w:t xml:space="preserve">and </w:t>
            </w:r>
            <w:r w:rsidRPr="00C41208">
              <w:rPr>
                <w:rFonts w:asciiTheme="majorHAnsi" w:hAnsiTheme="majorHAnsi" w:cstheme="majorHAnsi"/>
              </w:rPr>
              <w:t>Hunting and Mining, Quarr</w:t>
            </w:r>
            <w:r w:rsidRPr="00C41208" w:rsidR="0010519A">
              <w:rPr>
                <w:rFonts w:asciiTheme="majorHAnsi" w:hAnsiTheme="majorHAnsi" w:cstheme="majorHAnsi"/>
              </w:rPr>
              <w:t xml:space="preserve">ying, and Oil </w:t>
            </w:r>
          </w:p>
        </w:tc>
      </w:tr>
      <w:tr w:rsidRPr="00C41208" w:rsidR="00552463" w:rsidTr="00C03A49" w14:paraId="1A4DE028" w14:textId="77777777">
        <w:trPr>
          <w:trHeight w:val="288"/>
        </w:trPr>
        <w:tc>
          <w:tcPr>
            <w:tcW w:w="1075" w:type="dxa"/>
            <w:noWrap/>
          </w:tcPr>
          <w:p w:rsidRPr="00C41208" w:rsidR="0010519A" w:rsidP="00FA4A4E" w:rsidRDefault="0010519A" w14:paraId="464FB74A" w14:textId="389D294F">
            <w:pPr>
              <w:spacing w:line="259" w:lineRule="auto"/>
              <w:rPr>
                <w:rFonts w:asciiTheme="majorHAnsi" w:hAnsiTheme="majorHAnsi" w:cstheme="majorHAnsi"/>
              </w:rPr>
            </w:pPr>
            <w:r w:rsidRPr="00C41208">
              <w:rPr>
                <w:rFonts w:asciiTheme="majorHAnsi" w:hAnsiTheme="majorHAnsi" w:cstheme="majorHAnsi"/>
              </w:rPr>
              <w:t>21</w:t>
            </w:r>
          </w:p>
        </w:tc>
        <w:tc>
          <w:tcPr>
            <w:tcW w:w="1260" w:type="dxa"/>
            <w:noWrap/>
          </w:tcPr>
          <w:p w:rsidRPr="00C41208" w:rsidR="0010519A" w:rsidP="00FA4A4E" w:rsidRDefault="0010519A" w14:paraId="7B376FEA" w14:textId="0046A02F">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tcPr>
          <w:p w:rsidRPr="00C41208" w:rsidR="0010519A" w:rsidP="00FA4A4E" w:rsidRDefault="0010519A" w14:paraId="18CD62A4" w14:textId="39F60765">
            <w:pPr>
              <w:spacing w:line="259" w:lineRule="auto"/>
              <w:rPr>
                <w:rFonts w:asciiTheme="majorHAnsi" w:hAnsiTheme="majorHAnsi" w:cstheme="majorHAnsi"/>
              </w:rPr>
            </w:pPr>
            <w:r w:rsidRPr="00C41208">
              <w:rPr>
                <w:rFonts w:asciiTheme="majorHAnsi" w:hAnsiTheme="majorHAnsi" w:cstheme="majorHAnsi"/>
              </w:rPr>
              <w:t>Mining, Quarrying, and Oil and Gas Extraction</w:t>
            </w:r>
          </w:p>
        </w:tc>
      </w:tr>
      <w:tr w:rsidRPr="00C41208" w:rsidR="00552463" w:rsidTr="00C03A49" w14:paraId="640AB330" w14:textId="77777777">
        <w:trPr>
          <w:trHeight w:val="288"/>
        </w:trPr>
        <w:tc>
          <w:tcPr>
            <w:tcW w:w="1075" w:type="dxa"/>
            <w:noWrap/>
            <w:hideMark/>
          </w:tcPr>
          <w:p w:rsidRPr="00C41208" w:rsidR="00FA4A4E" w:rsidP="00FA4A4E" w:rsidRDefault="00FA4A4E" w14:paraId="347AC9A5" w14:textId="77777777">
            <w:pPr>
              <w:spacing w:line="259" w:lineRule="auto"/>
              <w:rPr>
                <w:rFonts w:asciiTheme="majorHAnsi" w:hAnsiTheme="majorHAnsi" w:cstheme="majorHAnsi"/>
              </w:rPr>
            </w:pPr>
            <w:r w:rsidRPr="00C41208">
              <w:rPr>
                <w:rFonts w:asciiTheme="majorHAnsi" w:hAnsiTheme="majorHAnsi" w:cstheme="majorHAnsi"/>
              </w:rPr>
              <w:t>22</w:t>
            </w:r>
          </w:p>
        </w:tc>
        <w:tc>
          <w:tcPr>
            <w:tcW w:w="1260" w:type="dxa"/>
            <w:noWrap/>
            <w:hideMark/>
          </w:tcPr>
          <w:p w:rsidRPr="00C41208" w:rsidR="00FA4A4E" w:rsidP="00FA4A4E" w:rsidRDefault="00FA4A4E" w14:paraId="6596A01F"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E89B5A7" w14:textId="77777777">
            <w:pPr>
              <w:spacing w:line="259" w:lineRule="auto"/>
              <w:rPr>
                <w:rFonts w:asciiTheme="majorHAnsi" w:hAnsiTheme="majorHAnsi" w:cstheme="majorHAnsi"/>
              </w:rPr>
            </w:pPr>
            <w:r w:rsidRPr="00C41208">
              <w:rPr>
                <w:rFonts w:asciiTheme="majorHAnsi" w:hAnsiTheme="majorHAnsi" w:cstheme="majorHAnsi"/>
              </w:rPr>
              <w:t>Utilities</w:t>
            </w:r>
          </w:p>
        </w:tc>
      </w:tr>
      <w:tr w:rsidRPr="00C41208" w:rsidR="00552463" w:rsidTr="00C03A49" w14:paraId="518402EA" w14:textId="77777777">
        <w:trPr>
          <w:trHeight w:val="288"/>
        </w:trPr>
        <w:tc>
          <w:tcPr>
            <w:tcW w:w="1075" w:type="dxa"/>
            <w:noWrap/>
            <w:hideMark/>
          </w:tcPr>
          <w:p w:rsidRPr="00C41208" w:rsidR="00FA4A4E" w:rsidP="00FA4A4E" w:rsidRDefault="00FA4A4E" w14:paraId="09892B62" w14:textId="77777777">
            <w:pPr>
              <w:spacing w:line="259" w:lineRule="auto"/>
              <w:rPr>
                <w:rFonts w:asciiTheme="majorHAnsi" w:hAnsiTheme="majorHAnsi" w:cstheme="majorHAnsi"/>
              </w:rPr>
            </w:pPr>
            <w:r w:rsidRPr="00C41208">
              <w:rPr>
                <w:rFonts w:asciiTheme="majorHAnsi" w:hAnsiTheme="majorHAnsi" w:cstheme="majorHAnsi"/>
              </w:rPr>
              <w:t>23</w:t>
            </w:r>
          </w:p>
        </w:tc>
        <w:tc>
          <w:tcPr>
            <w:tcW w:w="1260" w:type="dxa"/>
            <w:noWrap/>
            <w:hideMark/>
          </w:tcPr>
          <w:p w:rsidRPr="00C41208" w:rsidR="00FA4A4E" w:rsidP="00FA4A4E" w:rsidRDefault="00FA4A4E" w14:paraId="6E51F423"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90FE2FE" w14:textId="77777777">
            <w:pPr>
              <w:spacing w:line="259" w:lineRule="auto"/>
              <w:rPr>
                <w:rFonts w:asciiTheme="majorHAnsi" w:hAnsiTheme="majorHAnsi" w:cstheme="majorHAnsi"/>
              </w:rPr>
            </w:pPr>
            <w:r w:rsidRPr="00C41208">
              <w:rPr>
                <w:rFonts w:asciiTheme="majorHAnsi" w:hAnsiTheme="majorHAnsi" w:cstheme="majorHAnsi"/>
              </w:rPr>
              <w:t>Construction</w:t>
            </w:r>
          </w:p>
        </w:tc>
      </w:tr>
      <w:tr w:rsidRPr="00C41208" w:rsidR="00552463" w:rsidTr="00C03A49" w14:paraId="2AD5DF79" w14:textId="77777777">
        <w:trPr>
          <w:trHeight w:val="288"/>
        </w:trPr>
        <w:tc>
          <w:tcPr>
            <w:tcW w:w="1075" w:type="dxa"/>
            <w:noWrap/>
            <w:hideMark/>
          </w:tcPr>
          <w:p w:rsidRPr="00C41208" w:rsidR="00FA4A4E" w:rsidP="00FA4A4E" w:rsidRDefault="00FA4A4E" w14:paraId="5070A047" w14:textId="77777777">
            <w:pPr>
              <w:spacing w:line="259" w:lineRule="auto"/>
              <w:rPr>
                <w:rFonts w:asciiTheme="majorHAnsi" w:hAnsiTheme="majorHAnsi" w:cstheme="majorHAnsi"/>
              </w:rPr>
            </w:pPr>
            <w:r w:rsidRPr="00C41208">
              <w:rPr>
                <w:rFonts w:asciiTheme="majorHAnsi" w:hAnsiTheme="majorHAnsi" w:cstheme="majorHAnsi"/>
              </w:rPr>
              <w:t>31-33</w:t>
            </w:r>
          </w:p>
        </w:tc>
        <w:tc>
          <w:tcPr>
            <w:tcW w:w="1260" w:type="dxa"/>
            <w:noWrap/>
            <w:hideMark/>
          </w:tcPr>
          <w:p w:rsidRPr="00C41208" w:rsidR="00FA4A4E" w:rsidP="00FA4A4E" w:rsidRDefault="00FA4A4E" w14:paraId="0BC19265"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1C19F4ED" w14:textId="77777777">
            <w:pPr>
              <w:spacing w:line="259" w:lineRule="auto"/>
              <w:rPr>
                <w:rFonts w:asciiTheme="majorHAnsi" w:hAnsiTheme="majorHAnsi" w:cstheme="majorHAnsi"/>
              </w:rPr>
            </w:pPr>
            <w:r w:rsidRPr="00C41208">
              <w:rPr>
                <w:rFonts w:asciiTheme="majorHAnsi" w:hAnsiTheme="majorHAnsi" w:cstheme="majorHAnsi"/>
              </w:rPr>
              <w:t>Manufacturing</w:t>
            </w:r>
          </w:p>
        </w:tc>
      </w:tr>
      <w:tr w:rsidRPr="00C41208" w:rsidR="00552463" w:rsidTr="00C03A49" w14:paraId="00D075E7" w14:textId="77777777">
        <w:trPr>
          <w:trHeight w:val="288"/>
        </w:trPr>
        <w:tc>
          <w:tcPr>
            <w:tcW w:w="1075" w:type="dxa"/>
            <w:noWrap/>
            <w:hideMark/>
          </w:tcPr>
          <w:p w:rsidRPr="00C41208" w:rsidR="00FA4A4E" w:rsidP="00FA4A4E" w:rsidRDefault="00FA4A4E" w14:paraId="69EAE159" w14:textId="77777777">
            <w:pPr>
              <w:spacing w:line="259" w:lineRule="auto"/>
              <w:rPr>
                <w:rFonts w:asciiTheme="majorHAnsi" w:hAnsiTheme="majorHAnsi" w:cstheme="majorHAnsi"/>
              </w:rPr>
            </w:pPr>
            <w:r w:rsidRPr="00C41208">
              <w:rPr>
                <w:rFonts w:asciiTheme="majorHAnsi" w:hAnsiTheme="majorHAnsi" w:cstheme="majorHAnsi"/>
              </w:rPr>
              <w:t>42</w:t>
            </w:r>
          </w:p>
        </w:tc>
        <w:tc>
          <w:tcPr>
            <w:tcW w:w="1260" w:type="dxa"/>
            <w:noWrap/>
            <w:hideMark/>
          </w:tcPr>
          <w:p w:rsidRPr="00C41208" w:rsidR="00FA4A4E" w:rsidP="00FA4A4E" w:rsidRDefault="00FA4A4E" w14:paraId="72D3FC9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8EA804" w14:textId="77777777">
            <w:pPr>
              <w:spacing w:line="259" w:lineRule="auto"/>
              <w:rPr>
                <w:rFonts w:asciiTheme="majorHAnsi" w:hAnsiTheme="majorHAnsi" w:cstheme="majorHAnsi"/>
              </w:rPr>
            </w:pPr>
            <w:r w:rsidRPr="00C41208">
              <w:rPr>
                <w:rFonts w:asciiTheme="majorHAnsi" w:hAnsiTheme="majorHAnsi" w:cstheme="majorHAnsi"/>
              </w:rPr>
              <w:t>Wholesale Trade</w:t>
            </w:r>
          </w:p>
        </w:tc>
      </w:tr>
      <w:tr w:rsidRPr="00C41208" w:rsidR="00552463" w:rsidTr="00C03A49" w14:paraId="677F5D92" w14:textId="77777777">
        <w:trPr>
          <w:trHeight w:val="288"/>
        </w:trPr>
        <w:tc>
          <w:tcPr>
            <w:tcW w:w="1075" w:type="dxa"/>
            <w:noWrap/>
            <w:hideMark/>
          </w:tcPr>
          <w:p w:rsidRPr="00C41208" w:rsidR="00FA4A4E" w:rsidP="00FA4A4E" w:rsidRDefault="00FA4A4E" w14:paraId="5847C73A" w14:textId="77777777">
            <w:pPr>
              <w:spacing w:line="259" w:lineRule="auto"/>
              <w:rPr>
                <w:rFonts w:asciiTheme="majorHAnsi" w:hAnsiTheme="majorHAnsi" w:cstheme="majorHAnsi"/>
              </w:rPr>
            </w:pPr>
            <w:r w:rsidRPr="00C41208">
              <w:rPr>
                <w:rFonts w:asciiTheme="majorHAnsi" w:hAnsiTheme="majorHAnsi" w:cstheme="majorHAnsi"/>
              </w:rPr>
              <w:lastRenderedPageBreak/>
              <w:t>44-45</w:t>
            </w:r>
          </w:p>
        </w:tc>
        <w:tc>
          <w:tcPr>
            <w:tcW w:w="1260" w:type="dxa"/>
            <w:noWrap/>
            <w:hideMark/>
          </w:tcPr>
          <w:p w:rsidRPr="00C41208" w:rsidR="00FA4A4E" w:rsidP="00FA4A4E" w:rsidRDefault="00FA4A4E" w14:paraId="54B2F1A2"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6FECB8ED" w14:textId="77777777">
            <w:pPr>
              <w:spacing w:line="259" w:lineRule="auto"/>
              <w:rPr>
                <w:rFonts w:asciiTheme="majorHAnsi" w:hAnsiTheme="majorHAnsi" w:cstheme="majorHAnsi"/>
              </w:rPr>
            </w:pPr>
            <w:r w:rsidRPr="00C41208">
              <w:rPr>
                <w:rFonts w:asciiTheme="majorHAnsi" w:hAnsiTheme="majorHAnsi" w:cstheme="majorHAnsi"/>
              </w:rPr>
              <w:t>Retail Trade</w:t>
            </w:r>
          </w:p>
        </w:tc>
      </w:tr>
      <w:tr w:rsidRPr="00C41208" w:rsidR="00552463" w:rsidTr="00C03A49" w14:paraId="363FF1D6" w14:textId="77777777">
        <w:trPr>
          <w:trHeight w:val="288"/>
        </w:trPr>
        <w:tc>
          <w:tcPr>
            <w:tcW w:w="1075" w:type="dxa"/>
            <w:noWrap/>
            <w:hideMark/>
          </w:tcPr>
          <w:p w:rsidRPr="00C41208" w:rsidR="00FA4A4E" w:rsidP="00FA4A4E" w:rsidRDefault="00FA4A4E" w14:paraId="1C35A573" w14:textId="77777777">
            <w:pPr>
              <w:spacing w:line="259" w:lineRule="auto"/>
              <w:rPr>
                <w:rFonts w:asciiTheme="majorHAnsi" w:hAnsiTheme="majorHAnsi" w:cstheme="majorHAnsi"/>
              </w:rPr>
            </w:pPr>
            <w:r w:rsidRPr="00C41208">
              <w:rPr>
                <w:rFonts w:asciiTheme="majorHAnsi" w:hAnsiTheme="majorHAnsi" w:cstheme="majorHAnsi"/>
              </w:rPr>
              <w:t>48-49</w:t>
            </w:r>
          </w:p>
        </w:tc>
        <w:tc>
          <w:tcPr>
            <w:tcW w:w="1260" w:type="dxa"/>
            <w:noWrap/>
            <w:hideMark/>
          </w:tcPr>
          <w:p w:rsidRPr="00C41208" w:rsidR="00FA4A4E" w:rsidP="00FA4A4E" w:rsidRDefault="00FA4A4E" w14:paraId="5118E679"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34E848D" w14:textId="77777777">
            <w:pPr>
              <w:spacing w:line="259" w:lineRule="auto"/>
              <w:rPr>
                <w:rFonts w:asciiTheme="majorHAnsi" w:hAnsiTheme="majorHAnsi" w:cstheme="majorHAnsi"/>
              </w:rPr>
            </w:pPr>
            <w:r w:rsidRPr="00C41208">
              <w:rPr>
                <w:rFonts w:asciiTheme="majorHAnsi" w:hAnsiTheme="majorHAnsi" w:cstheme="majorHAnsi"/>
              </w:rPr>
              <w:t>Transportation and Warehousing</w:t>
            </w:r>
          </w:p>
        </w:tc>
      </w:tr>
      <w:tr w:rsidRPr="00C41208" w:rsidR="00552463" w:rsidTr="00C03A49" w14:paraId="02F50B6B" w14:textId="77777777">
        <w:trPr>
          <w:trHeight w:val="288"/>
        </w:trPr>
        <w:tc>
          <w:tcPr>
            <w:tcW w:w="1075" w:type="dxa"/>
            <w:noWrap/>
            <w:hideMark/>
          </w:tcPr>
          <w:p w:rsidRPr="00C41208" w:rsidR="00FA4A4E" w:rsidP="00FA4A4E" w:rsidRDefault="00FA4A4E" w14:paraId="4E2D65B3" w14:textId="77777777">
            <w:pPr>
              <w:spacing w:line="259" w:lineRule="auto"/>
              <w:rPr>
                <w:rFonts w:asciiTheme="majorHAnsi" w:hAnsiTheme="majorHAnsi" w:cstheme="majorHAnsi"/>
              </w:rPr>
            </w:pPr>
            <w:r w:rsidRPr="00C41208">
              <w:rPr>
                <w:rFonts w:asciiTheme="majorHAnsi" w:hAnsiTheme="majorHAnsi" w:cstheme="majorHAnsi"/>
              </w:rPr>
              <w:t>51</w:t>
            </w:r>
          </w:p>
        </w:tc>
        <w:tc>
          <w:tcPr>
            <w:tcW w:w="1260" w:type="dxa"/>
            <w:noWrap/>
            <w:hideMark/>
          </w:tcPr>
          <w:p w:rsidRPr="00C41208" w:rsidR="00FA4A4E" w:rsidP="00FA4A4E" w:rsidRDefault="00FA4A4E" w14:paraId="3EA35E6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1C68FE6B" w14:textId="77777777">
            <w:pPr>
              <w:spacing w:line="259" w:lineRule="auto"/>
              <w:rPr>
                <w:rFonts w:asciiTheme="majorHAnsi" w:hAnsiTheme="majorHAnsi" w:cstheme="majorHAnsi"/>
              </w:rPr>
            </w:pPr>
            <w:r w:rsidRPr="00C41208">
              <w:rPr>
                <w:rFonts w:asciiTheme="majorHAnsi" w:hAnsiTheme="majorHAnsi" w:cstheme="majorHAnsi"/>
              </w:rPr>
              <w:t>Information</w:t>
            </w:r>
          </w:p>
        </w:tc>
      </w:tr>
      <w:tr w:rsidRPr="00C41208" w:rsidR="00552463" w:rsidTr="00C03A49" w14:paraId="13654C4E" w14:textId="77777777">
        <w:trPr>
          <w:trHeight w:val="288"/>
        </w:trPr>
        <w:tc>
          <w:tcPr>
            <w:tcW w:w="1075" w:type="dxa"/>
            <w:noWrap/>
            <w:hideMark/>
          </w:tcPr>
          <w:p w:rsidRPr="00C41208" w:rsidR="00FA4A4E" w:rsidP="00FA4A4E" w:rsidRDefault="00FA4A4E" w14:paraId="0DC3B25C" w14:textId="77777777">
            <w:pPr>
              <w:spacing w:line="259" w:lineRule="auto"/>
              <w:rPr>
                <w:rFonts w:asciiTheme="majorHAnsi" w:hAnsiTheme="majorHAnsi" w:cstheme="majorHAnsi"/>
              </w:rPr>
            </w:pPr>
            <w:r w:rsidRPr="00C41208">
              <w:rPr>
                <w:rFonts w:asciiTheme="majorHAnsi" w:hAnsiTheme="majorHAnsi" w:cstheme="majorHAnsi"/>
              </w:rPr>
              <w:t>52-53</w:t>
            </w:r>
          </w:p>
        </w:tc>
        <w:tc>
          <w:tcPr>
            <w:tcW w:w="1260" w:type="dxa"/>
            <w:noWrap/>
            <w:hideMark/>
          </w:tcPr>
          <w:p w:rsidRPr="00C41208" w:rsidR="00FA4A4E" w:rsidP="00FA4A4E" w:rsidRDefault="00FA4A4E" w14:paraId="279E2687"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938CEDF" w14:textId="77777777">
            <w:pPr>
              <w:spacing w:line="259" w:lineRule="auto"/>
              <w:rPr>
                <w:rFonts w:asciiTheme="majorHAnsi" w:hAnsiTheme="majorHAnsi" w:cstheme="majorHAnsi"/>
              </w:rPr>
            </w:pPr>
            <w:r w:rsidRPr="00C41208">
              <w:rPr>
                <w:rFonts w:asciiTheme="majorHAnsi" w:hAnsiTheme="majorHAnsi" w:cstheme="majorHAnsi"/>
              </w:rPr>
              <w:t>Finance and Insurance and Real Estate and Rental and Leasing</w:t>
            </w:r>
          </w:p>
        </w:tc>
      </w:tr>
      <w:tr w:rsidRPr="00C41208" w:rsidR="00552463" w:rsidTr="00C03A49" w14:paraId="75E48069" w14:textId="77777777">
        <w:trPr>
          <w:trHeight w:val="288"/>
        </w:trPr>
        <w:tc>
          <w:tcPr>
            <w:tcW w:w="1075" w:type="dxa"/>
            <w:noWrap/>
            <w:hideMark/>
          </w:tcPr>
          <w:p w:rsidRPr="00C41208" w:rsidR="00FA4A4E" w:rsidP="00FA4A4E" w:rsidRDefault="00FA4A4E" w14:paraId="302D1997" w14:textId="77777777">
            <w:pPr>
              <w:spacing w:line="259" w:lineRule="auto"/>
              <w:rPr>
                <w:rFonts w:asciiTheme="majorHAnsi" w:hAnsiTheme="majorHAnsi" w:cstheme="majorHAnsi"/>
              </w:rPr>
            </w:pPr>
            <w:r w:rsidRPr="00C41208">
              <w:rPr>
                <w:rFonts w:asciiTheme="majorHAnsi" w:hAnsiTheme="majorHAnsi" w:cstheme="majorHAnsi"/>
              </w:rPr>
              <w:t>54-56</w:t>
            </w:r>
          </w:p>
        </w:tc>
        <w:tc>
          <w:tcPr>
            <w:tcW w:w="1260" w:type="dxa"/>
            <w:noWrap/>
            <w:hideMark/>
          </w:tcPr>
          <w:p w:rsidRPr="00C41208" w:rsidR="00FA4A4E" w:rsidP="00FA4A4E" w:rsidRDefault="00FA4A4E" w14:paraId="4D3B73B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CD44192" w14:textId="77777777">
            <w:pPr>
              <w:spacing w:line="259" w:lineRule="auto"/>
              <w:rPr>
                <w:rFonts w:asciiTheme="majorHAnsi" w:hAnsiTheme="majorHAnsi" w:cstheme="majorHAnsi"/>
              </w:rPr>
            </w:pPr>
            <w:r w:rsidRPr="00C41208">
              <w:rPr>
                <w:rFonts w:asciiTheme="majorHAnsi" w:hAnsiTheme="majorHAnsi" w:cstheme="majorHAnsi"/>
              </w:rPr>
              <w:t>Professional, Scientific, and Technical Services; Management of Companies and Enterprises; and Administrative and Support and Waste Management and Remediation Services</w:t>
            </w:r>
          </w:p>
        </w:tc>
      </w:tr>
      <w:tr w:rsidRPr="00C41208" w:rsidR="00552463" w:rsidTr="00C03A49" w14:paraId="33E9210F" w14:textId="77777777">
        <w:trPr>
          <w:trHeight w:val="288"/>
        </w:trPr>
        <w:tc>
          <w:tcPr>
            <w:tcW w:w="1075" w:type="dxa"/>
            <w:noWrap/>
            <w:hideMark/>
          </w:tcPr>
          <w:p w:rsidRPr="00C41208" w:rsidR="00FA4A4E" w:rsidP="00FA4A4E" w:rsidRDefault="00FA4A4E" w14:paraId="5A1F3E72" w14:textId="77777777">
            <w:pPr>
              <w:spacing w:line="259" w:lineRule="auto"/>
              <w:rPr>
                <w:rFonts w:asciiTheme="majorHAnsi" w:hAnsiTheme="majorHAnsi" w:cstheme="majorHAnsi"/>
              </w:rPr>
            </w:pPr>
            <w:r w:rsidRPr="00C41208">
              <w:rPr>
                <w:rFonts w:asciiTheme="majorHAnsi" w:hAnsiTheme="majorHAnsi" w:cstheme="majorHAnsi"/>
              </w:rPr>
              <w:t>61</w:t>
            </w:r>
          </w:p>
        </w:tc>
        <w:tc>
          <w:tcPr>
            <w:tcW w:w="1260" w:type="dxa"/>
            <w:noWrap/>
            <w:hideMark/>
          </w:tcPr>
          <w:p w:rsidRPr="00C41208" w:rsidR="00FA4A4E" w:rsidP="00FA4A4E" w:rsidRDefault="00FA4A4E" w14:paraId="7BAB707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B06188F" w14:textId="77777777">
            <w:pPr>
              <w:spacing w:line="259" w:lineRule="auto"/>
              <w:rPr>
                <w:rFonts w:asciiTheme="majorHAnsi" w:hAnsiTheme="majorHAnsi" w:cstheme="majorHAnsi"/>
              </w:rPr>
            </w:pPr>
            <w:r w:rsidRPr="00C41208">
              <w:rPr>
                <w:rFonts w:asciiTheme="majorHAnsi" w:hAnsiTheme="majorHAnsi" w:cstheme="majorHAnsi"/>
              </w:rPr>
              <w:t>Educational Services</w:t>
            </w:r>
          </w:p>
        </w:tc>
      </w:tr>
      <w:tr w:rsidRPr="00C41208" w:rsidR="00552463" w:rsidTr="00C03A49" w14:paraId="10F940A7" w14:textId="77777777">
        <w:trPr>
          <w:trHeight w:val="576"/>
        </w:trPr>
        <w:tc>
          <w:tcPr>
            <w:tcW w:w="1075" w:type="dxa"/>
            <w:hideMark/>
          </w:tcPr>
          <w:p w:rsidRPr="00C41208" w:rsidR="00FA4A4E" w:rsidP="00FA4A4E" w:rsidRDefault="00FA4A4E" w14:paraId="46ECD5AD" w14:textId="77777777">
            <w:pPr>
              <w:spacing w:line="259" w:lineRule="auto"/>
              <w:rPr>
                <w:rFonts w:asciiTheme="majorHAnsi" w:hAnsiTheme="majorHAnsi" w:cstheme="majorHAnsi"/>
              </w:rPr>
            </w:pPr>
            <w:r w:rsidRPr="00C41208">
              <w:rPr>
                <w:rFonts w:asciiTheme="majorHAnsi" w:hAnsiTheme="majorHAnsi" w:cstheme="majorHAnsi"/>
              </w:rPr>
              <w:t>62</w:t>
            </w:r>
          </w:p>
          <w:p w:rsidRPr="00C41208" w:rsidR="00FA4A4E" w:rsidP="00FA4A4E" w:rsidRDefault="00FA4A4E" w14:paraId="11A600B6" w14:textId="06CE1C9A">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8760BCD"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53AF8E77" w14:textId="77777777">
            <w:pPr>
              <w:spacing w:line="259" w:lineRule="auto"/>
              <w:rPr>
                <w:rFonts w:asciiTheme="majorHAnsi" w:hAnsiTheme="majorHAnsi" w:cstheme="majorHAnsi"/>
              </w:rPr>
            </w:pPr>
            <w:r w:rsidRPr="00C41208">
              <w:rPr>
                <w:rFonts w:asciiTheme="majorHAnsi" w:hAnsiTheme="majorHAnsi" w:cstheme="majorHAnsi"/>
              </w:rPr>
              <w:t>Health Care and Social Work (Excluding Services for the Elderly and Persons with Disabilities Establishments with less than two employees)</w:t>
            </w:r>
          </w:p>
        </w:tc>
      </w:tr>
      <w:tr w:rsidRPr="00C41208" w:rsidR="00552463" w:rsidTr="00C03A49" w14:paraId="1ACE4DA0" w14:textId="77777777">
        <w:trPr>
          <w:trHeight w:val="576"/>
        </w:trPr>
        <w:tc>
          <w:tcPr>
            <w:tcW w:w="1075" w:type="dxa"/>
            <w:hideMark/>
          </w:tcPr>
          <w:p w:rsidRPr="00C41208" w:rsidR="00FA4A4E" w:rsidP="00FA4A4E" w:rsidRDefault="00FA4A4E" w14:paraId="42224320" w14:textId="77777777">
            <w:pPr>
              <w:spacing w:line="259" w:lineRule="auto"/>
              <w:rPr>
                <w:rFonts w:asciiTheme="majorHAnsi" w:hAnsiTheme="majorHAnsi" w:cstheme="majorHAnsi"/>
              </w:rPr>
            </w:pPr>
            <w:r w:rsidRPr="00C41208">
              <w:rPr>
                <w:rFonts w:asciiTheme="majorHAnsi" w:hAnsiTheme="majorHAnsi" w:cstheme="majorHAnsi"/>
              </w:rPr>
              <w:t>624120</w:t>
            </w:r>
          </w:p>
          <w:p w:rsidRPr="00C41208" w:rsidR="00FA4A4E" w:rsidP="00FA4A4E" w:rsidRDefault="00FA4A4E" w14:paraId="4531FCD7" w14:textId="37760D66">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9BDAA76"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6C4128FC" w14:textId="77777777">
            <w:pPr>
              <w:spacing w:line="259" w:lineRule="auto"/>
              <w:rPr>
                <w:rFonts w:asciiTheme="majorHAnsi" w:hAnsiTheme="majorHAnsi" w:cstheme="majorHAnsi"/>
              </w:rPr>
            </w:pPr>
            <w:r w:rsidRPr="00C41208">
              <w:rPr>
                <w:rFonts w:asciiTheme="majorHAnsi" w:hAnsiTheme="majorHAnsi" w:cstheme="majorHAnsi"/>
              </w:rPr>
              <w:t>Services for the Elderly and Persons with Disabilities Establishments with less than two employees</w:t>
            </w:r>
          </w:p>
        </w:tc>
      </w:tr>
      <w:tr w:rsidRPr="00C41208" w:rsidR="00552463" w:rsidTr="00C03A49" w14:paraId="00F52E6B" w14:textId="77777777">
        <w:trPr>
          <w:trHeight w:val="288"/>
        </w:trPr>
        <w:tc>
          <w:tcPr>
            <w:tcW w:w="1075" w:type="dxa"/>
            <w:noWrap/>
            <w:hideMark/>
          </w:tcPr>
          <w:p w:rsidRPr="00C41208" w:rsidR="00FA4A4E" w:rsidP="00FA4A4E" w:rsidRDefault="00FA4A4E" w14:paraId="7784B330" w14:textId="77777777">
            <w:pPr>
              <w:spacing w:line="259" w:lineRule="auto"/>
              <w:rPr>
                <w:rFonts w:asciiTheme="majorHAnsi" w:hAnsiTheme="majorHAnsi" w:cstheme="majorHAnsi"/>
              </w:rPr>
            </w:pPr>
            <w:r w:rsidRPr="00C41208">
              <w:rPr>
                <w:rFonts w:asciiTheme="majorHAnsi" w:hAnsiTheme="majorHAnsi" w:cstheme="majorHAnsi"/>
              </w:rPr>
              <w:t>72</w:t>
            </w:r>
          </w:p>
        </w:tc>
        <w:tc>
          <w:tcPr>
            <w:tcW w:w="1260" w:type="dxa"/>
            <w:noWrap/>
            <w:hideMark/>
          </w:tcPr>
          <w:p w:rsidRPr="00C41208" w:rsidR="00FA4A4E" w:rsidP="00FA4A4E" w:rsidRDefault="00FA4A4E" w14:paraId="38DB1DE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168B92" w14:textId="77777777">
            <w:pPr>
              <w:spacing w:line="259" w:lineRule="auto"/>
              <w:rPr>
                <w:rFonts w:asciiTheme="majorHAnsi" w:hAnsiTheme="majorHAnsi" w:cstheme="majorHAnsi"/>
              </w:rPr>
            </w:pPr>
            <w:r w:rsidRPr="00C41208">
              <w:rPr>
                <w:rFonts w:asciiTheme="majorHAnsi" w:hAnsiTheme="majorHAnsi" w:cstheme="majorHAnsi"/>
              </w:rPr>
              <w:t>Accommodation and Food Services</w:t>
            </w:r>
          </w:p>
        </w:tc>
      </w:tr>
      <w:tr w:rsidRPr="00C41208" w:rsidR="00552463" w:rsidTr="00C03A49" w14:paraId="63092B25" w14:textId="77777777">
        <w:trPr>
          <w:trHeight w:val="288"/>
        </w:trPr>
        <w:tc>
          <w:tcPr>
            <w:tcW w:w="1075" w:type="dxa"/>
            <w:noWrap/>
            <w:hideMark/>
          </w:tcPr>
          <w:p w:rsidRPr="00C41208" w:rsidR="00FA4A4E" w:rsidP="00FA4A4E" w:rsidRDefault="00FA4A4E" w14:paraId="59027232" w14:textId="77777777">
            <w:pPr>
              <w:spacing w:line="259" w:lineRule="auto"/>
              <w:rPr>
                <w:rFonts w:asciiTheme="majorHAnsi" w:hAnsiTheme="majorHAnsi" w:cstheme="majorHAnsi"/>
              </w:rPr>
            </w:pPr>
            <w:r w:rsidRPr="00C41208">
              <w:rPr>
                <w:rFonts w:asciiTheme="majorHAnsi" w:hAnsiTheme="majorHAnsi" w:cstheme="majorHAnsi"/>
              </w:rPr>
              <w:t>81</w:t>
            </w:r>
          </w:p>
        </w:tc>
        <w:tc>
          <w:tcPr>
            <w:tcW w:w="1260" w:type="dxa"/>
            <w:noWrap/>
            <w:hideMark/>
          </w:tcPr>
          <w:p w:rsidRPr="00C41208" w:rsidR="00FA4A4E" w:rsidP="00FA4A4E" w:rsidRDefault="00FA4A4E" w14:paraId="4DE3D243"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38064170" w14:textId="77777777">
            <w:pPr>
              <w:spacing w:line="259" w:lineRule="auto"/>
              <w:rPr>
                <w:rFonts w:asciiTheme="majorHAnsi" w:hAnsiTheme="majorHAnsi" w:cstheme="majorHAnsi"/>
              </w:rPr>
            </w:pPr>
            <w:r w:rsidRPr="00C41208">
              <w:rPr>
                <w:rFonts w:asciiTheme="majorHAnsi" w:hAnsiTheme="majorHAnsi" w:cstheme="majorHAnsi"/>
              </w:rPr>
              <w:t>Other Services (except Public Administration)</w:t>
            </w:r>
          </w:p>
        </w:tc>
      </w:tr>
    </w:tbl>
    <w:p w:rsidRPr="00C41208" w:rsidR="00FA4A4E" w:rsidP="00696698" w:rsidRDefault="00FA4A4E" w14:paraId="37490D44" w14:textId="77777777">
      <w:pPr>
        <w:spacing w:line="259" w:lineRule="auto"/>
        <w:rPr>
          <w:rFonts w:asciiTheme="majorHAnsi" w:hAnsiTheme="majorHAnsi" w:cstheme="majorHAnsi"/>
        </w:rPr>
      </w:pPr>
    </w:p>
    <w:p w:rsidRPr="00552463" w:rsidR="00FA4A4E" w:rsidP="00696698" w:rsidRDefault="00FA4A4E" w14:paraId="0CA4D194" w14:textId="3E1D8EE3">
      <w:pPr>
        <w:spacing w:line="259" w:lineRule="auto"/>
      </w:pPr>
      <w:r w:rsidRPr="00552463">
        <w:t>Note that NAICS sector 92 (Public Administration) establishments are excluded.</w:t>
      </w:r>
    </w:p>
    <w:p w:rsidRPr="00C41208" w:rsidR="00FA4A4E" w:rsidP="00696698" w:rsidRDefault="00FA4A4E" w14:paraId="79DB5D78" w14:textId="77777777">
      <w:pPr>
        <w:spacing w:line="259" w:lineRule="auto"/>
      </w:pPr>
    </w:p>
    <w:p w:rsidRPr="00C41208" w:rsidR="00FA4A4E" w:rsidP="00696698" w:rsidRDefault="00FA4A4E" w14:paraId="5773FB02" w14:textId="4AD6CDAE">
      <w:pPr>
        <w:spacing w:line="259" w:lineRule="auto"/>
      </w:pPr>
      <w:r w:rsidRPr="00C41208">
        <w:t xml:space="preserve">Industry sizes are first categorized into nine </w:t>
      </w:r>
      <w:r w:rsidRPr="00C41208" w:rsidR="00474DE3">
        <w:t xml:space="preserve">narrow </w:t>
      </w:r>
      <w:r w:rsidRPr="00C41208">
        <w:t>size classes, then further grouped into four broader size classes, as shown below:</w:t>
      </w:r>
    </w:p>
    <w:p w:rsidRPr="00C41208" w:rsidR="00FA4A4E" w:rsidP="00696698" w:rsidRDefault="00FA4A4E" w14:paraId="719ED0D6" w14:textId="77777777">
      <w:pPr>
        <w:spacing w:line="259" w:lineRule="auto"/>
      </w:pPr>
    </w:p>
    <w:tbl>
      <w:tblPr>
        <w:tblStyle w:val="TableGrid"/>
        <w:tblW w:w="0" w:type="auto"/>
        <w:tblLook w:val="04A0" w:firstRow="1" w:lastRow="0" w:firstColumn="1" w:lastColumn="0" w:noHBand="0" w:noVBand="1"/>
      </w:tblPr>
      <w:tblGrid>
        <w:gridCol w:w="2924"/>
        <w:gridCol w:w="2777"/>
      </w:tblGrid>
      <w:tr w:rsidRPr="00C41208" w:rsidR="00552463" w:rsidTr="00C03A49" w14:paraId="6E7732A5" w14:textId="77777777">
        <w:tc>
          <w:tcPr>
            <w:tcW w:w="2924" w:type="dxa"/>
            <w:shd w:val="clear" w:color="auto" w:fill="F2F2F2" w:themeFill="background1" w:themeFillShade="F2"/>
          </w:tcPr>
          <w:p w:rsidRPr="00C41208" w:rsidR="00FA4A4E" w:rsidP="00696698" w:rsidRDefault="00FA4A4E" w14:paraId="29EBC976" w14:textId="0414762C">
            <w:pPr>
              <w:spacing w:line="259" w:lineRule="auto"/>
              <w:rPr>
                <w:b/>
              </w:rPr>
            </w:pPr>
            <w:r w:rsidRPr="00C41208">
              <w:rPr>
                <w:b/>
              </w:rPr>
              <w:t>Narrow Industry Size Class</w:t>
            </w:r>
          </w:p>
        </w:tc>
        <w:tc>
          <w:tcPr>
            <w:tcW w:w="2777" w:type="dxa"/>
            <w:shd w:val="clear" w:color="auto" w:fill="F2F2F2" w:themeFill="background1" w:themeFillShade="F2"/>
          </w:tcPr>
          <w:p w:rsidRPr="00C41208" w:rsidR="00FA4A4E" w:rsidP="00696698" w:rsidRDefault="00FA4A4E" w14:paraId="559C7667" w14:textId="38E3A39E">
            <w:pPr>
              <w:spacing w:line="259" w:lineRule="auto"/>
              <w:rPr>
                <w:b/>
              </w:rPr>
            </w:pPr>
            <w:r w:rsidRPr="00C41208">
              <w:rPr>
                <w:b/>
              </w:rPr>
              <w:t>Broad Industry Size Class</w:t>
            </w:r>
          </w:p>
        </w:tc>
      </w:tr>
      <w:tr w:rsidRPr="00C41208" w:rsidR="00552463" w:rsidTr="00C03A49" w14:paraId="7DE7EE86" w14:textId="77777777">
        <w:tc>
          <w:tcPr>
            <w:tcW w:w="2924" w:type="dxa"/>
          </w:tcPr>
          <w:p w:rsidRPr="00C41208" w:rsidR="00DC3BAC" w:rsidP="00696698" w:rsidRDefault="00DC3BAC" w14:paraId="6DDECCFD" w14:textId="7179F1E4">
            <w:pPr>
              <w:spacing w:line="259" w:lineRule="auto"/>
            </w:pPr>
            <w:r w:rsidRPr="00C41208">
              <w:t>1-4</w:t>
            </w:r>
          </w:p>
        </w:tc>
        <w:tc>
          <w:tcPr>
            <w:tcW w:w="2777" w:type="dxa"/>
            <w:vMerge w:val="restart"/>
            <w:vAlign w:val="center"/>
          </w:tcPr>
          <w:p w:rsidRPr="00C41208" w:rsidR="00DC3BAC" w:rsidP="00696698" w:rsidRDefault="00DC3BAC" w14:paraId="176AF93A" w14:textId="1C2BDEC1">
            <w:pPr>
              <w:spacing w:line="259" w:lineRule="auto"/>
            </w:pPr>
            <w:r w:rsidRPr="00C41208">
              <w:t>1-19</w:t>
            </w:r>
          </w:p>
        </w:tc>
      </w:tr>
      <w:tr w:rsidRPr="00C41208" w:rsidR="00552463" w:rsidTr="00C03A49" w14:paraId="678B53D9" w14:textId="77777777">
        <w:tc>
          <w:tcPr>
            <w:tcW w:w="2924" w:type="dxa"/>
          </w:tcPr>
          <w:p w:rsidRPr="00C41208" w:rsidR="00DC3BAC" w:rsidP="00696698" w:rsidRDefault="00DC3BAC" w14:paraId="45B67D52" w14:textId="6E41A020">
            <w:pPr>
              <w:spacing w:line="259" w:lineRule="auto"/>
            </w:pPr>
            <w:r w:rsidRPr="00C41208">
              <w:t>5-9</w:t>
            </w:r>
          </w:p>
        </w:tc>
        <w:tc>
          <w:tcPr>
            <w:tcW w:w="2777" w:type="dxa"/>
            <w:vMerge/>
            <w:vAlign w:val="center"/>
          </w:tcPr>
          <w:p w:rsidRPr="00C41208" w:rsidR="00DC3BAC" w:rsidP="00696698" w:rsidRDefault="00DC3BAC" w14:paraId="04F28956" w14:textId="77777777">
            <w:pPr>
              <w:spacing w:line="259" w:lineRule="auto"/>
            </w:pPr>
          </w:p>
        </w:tc>
      </w:tr>
      <w:tr w:rsidRPr="00C41208" w:rsidR="00552463" w:rsidTr="00C03A49" w14:paraId="19E8E0E8" w14:textId="77777777">
        <w:tc>
          <w:tcPr>
            <w:tcW w:w="2924" w:type="dxa"/>
          </w:tcPr>
          <w:p w:rsidRPr="00C41208" w:rsidR="00DC3BAC" w:rsidP="00696698" w:rsidRDefault="00DC3BAC" w14:paraId="671CA118" w14:textId="66A8E5D5">
            <w:pPr>
              <w:spacing w:line="259" w:lineRule="auto"/>
            </w:pPr>
            <w:r w:rsidRPr="00C41208">
              <w:t>10-19</w:t>
            </w:r>
          </w:p>
        </w:tc>
        <w:tc>
          <w:tcPr>
            <w:tcW w:w="2777" w:type="dxa"/>
            <w:vMerge/>
            <w:vAlign w:val="center"/>
          </w:tcPr>
          <w:p w:rsidRPr="00C41208" w:rsidR="00DC3BAC" w:rsidP="00696698" w:rsidRDefault="00DC3BAC" w14:paraId="505CF9D3" w14:textId="77777777">
            <w:pPr>
              <w:spacing w:line="259" w:lineRule="auto"/>
            </w:pPr>
          </w:p>
        </w:tc>
      </w:tr>
      <w:tr w:rsidRPr="00C41208" w:rsidR="00552463" w:rsidTr="00C03A49" w14:paraId="4E09ACFF" w14:textId="77777777">
        <w:tc>
          <w:tcPr>
            <w:tcW w:w="2924" w:type="dxa"/>
          </w:tcPr>
          <w:p w:rsidRPr="00C41208" w:rsidR="00DC3BAC" w:rsidP="00696698" w:rsidRDefault="00DC3BAC" w14:paraId="1608E22D" w14:textId="0760D8F0">
            <w:pPr>
              <w:spacing w:line="259" w:lineRule="auto"/>
            </w:pPr>
            <w:r w:rsidRPr="00C41208">
              <w:t>20-49</w:t>
            </w:r>
          </w:p>
        </w:tc>
        <w:tc>
          <w:tcPr>
            <w:tcW w:w="2777" w:type="dxa"/>
            <w:vMerge w:val="restart"/>
            <w:vAlign w:val="center"/>
          </w:tcPr>
          <w:p w:rsidRPr="00C41208" w:rsidR="00DC3BAC" w:rsidP="00696698" w:rsidRDefault="00DC3BAC" w14:paraId="6DD98D2B" w14:textId="5349516B">
            <w:pPr>
              <w:spacing w:line="259" w:lineRule="auto"/>
            </w:pPr>
            <w:r w:rsidRPr="00C41208">
              <w:t>20-99</w:t>
            </w:r>
          </w:p>
        </w:tc>
      </w:tr>
      <w:tr w:rsidRPr="00C41208" w:rsidR="00552463" w:rsidTr="00C03A49" w14:paraId="79607F99" w14:textId="77777777">
        <w:tc>
          <w:tcPr>
            <w:tcW w:w="2924" w:type="dxa"/>
          </w:tcPr>
          <w:p w:rsidRPr="00C41208" w:rsidR="00DC3BAC" w:rsidP="00696698" w:rsidRDefault="00DC3BAC" w14:paraId="643E8E92" w14:textId="24EB43F4">
            <w:pPr>
              <w:spacing w:line="259" w:lineRule="auto"/>
            </w:pPr>
            <w:r w:rsidRPr="00C41208">
              <w:t>50-99</w:t>
            </w:r>
          </w:p>
        </w:tc>
        <w:tc>
          <w:tcPr>
            <w:tcW w:w="2777" w:type="dxa"/>
            <w:vMerge/>
            <w:vAlign w:val="center"/>
          </w:tcPr>
          <w:p w:rsidRPr="00C41208" w:rsidR="00DC3BAC" w:rsidP="00696698" w:rsidRDefault="00DC3BAC" w14:paraId="4EF0725F" w14:textId="77777777">
            <w:pPr>
              <w:spacing w:line="259" w:lineRule="auto"/>
            </w:pPr>
          </w:p>
        </w:tc>
      </w:tr>
      <w:tr w:rsidRPr="00C41208" w:rsidR="00552463" w:rsidTr="00C03A49" w14:paraId="7A88EB54" w14:textId="77777777">
        <w:tc>
          <w:tcPr>
            <w:tcW w:w="2924" w:type="dxa"/>
          </w:tcPr>
          <w:p w:rsidRPr="00C41208" w:rsidR="00DC3BAC" w:rsidP="00696698" w:rsidRDefault="00DC3BAC" w14:paraId="060C0FAA" w14:textId="709AA827">
            <w:pPr>
              <w:spacing w:line="259" w:lineRule="auto"/>
            </w:pPr>
            <w:r w:rsidRPr="00C41208">
              <w:t>100-249</w:t>
            </w:r>
          </w:p>
        </w:tc>
        <w:tc>
          <w:tcPr>
            <w:tcW w:w="2777" w:type="dxa"/>
            <w:vMerge w:val="restart"/>
            <w:vAlign w:val="center"/>
          </w:tcPr>
          <w:p w:rsidRPr="00C41208" w:rsidR="00DC3BAC" w:rsidP="00696698" w:rsidRDefault="00DC3BAC" w14:paraId="17C1A2A2" w14:textId="69F88601">
            <w:pPr>
              <w:spacing w:line="259" w:lineRule="auto"/>
            </w:pPr>
            <w:r w:rsidRPr="00C41208">
              <w:t>100-499</w:t>
            </w:r>
          </w:p>
        </w:tc>
      </w:tr>
      <w:tr w:rsidRPr="00C41208" w:rsidR="00552463" w:rsidTr="00C03A49" w14:paraId="067E0F71" w14:textId="77777777">
        <w:tc>
          <w:tcPr>
            <w:tcW w:w="2924" w:type="dxa"/>
          </w:tcPr>
          <w:p w:rsidRPr="00C41208" w:rsidR="00DC3BAC" w:rsidP="00696698" w:rsidRDefault="00DC3BAC" w14:paraId="71B8E47B" w14:textId="7831C911">
            <w:pPr>
              <w:spacing w:line="259" w:lineRule="auto"/>
            </w:pPr>
            <w:r w:rsidRPr="00C41208">
              <w:t>250-499</w:t>
            </w:r>
          </w:p>
        </w:tc>
        <w:tc>
          <w:tcPr>
            <w:tcW w:w="2777" w:type="dxa"/>
            <w:vMerge/>
            <w:vAlign w:val="center"/>
          </w:tcPr>
          <w:p w:rsidRPr="00C41208" w:rsidR="00DC3BAC" w:rsidP="00696698" w:rsidRDefault="00DC3BAC" w14:paraId="5D224356" w14:textId="77777777">
            <w:pPr>
              <w:spacing w:line="259" w:lineRule="auto"/>
            </w:pPr>
          </w:p>
        </w:tc>
      </w:tr>
      <w:tr w:rsidRPr="00C41208" w:rsidR="00552463" w:rsidTr="00C03A49" w14:paraId="563EBAE7" w14:textId="77777777">
        <w:tc>
          <w:tcPr>
            <w:tcW w:w="2924" w:type="dxa"/>
          </w:tcPr>
          <w:p w:rsidRPr="00C41208" w:rsidR="00DC3BAC" w:rsidP="00696698" w:rsidRDefault="00DC3BAC" w14:paraId="05E0D090" w14:textId="28FB7668">
            <w:pPr>
              <w:spacing w:line="259" w:lineRule="auto"/>
            </w:pPr>
            <w:r w:rsidRPr="00C41208">
              <w:t>500-999</w:t>
            </w:r>
          </w:p>
        </w:tc>
        <w:tc>
          <w:tcPr>
            <w:tcW w:w="2777" w:type="dxa"/>
            <w:vMerge w:val="restart"/>
            <w:vAlign w:val="center"/>
          </w:tcPr>
          <w:p w:rsidRPr="00C41208" w:rsidR="00DC3BAC" w:rsidP="00696698" w:rsidRDefault="00DC3BAC" w14:paraId="1CADE534" w14:textId="6BB795ED">
            <w:pPr>
              <w:spacing w:line="259" w:lineRule="auto"/>
            </w:pPr>
            <w:r w:rsidRPr="00C41208">
              <w:t>500+</w:t>
            </w:r>
          </w:p>
        </w:tc>
      </w:tr>
      <w:tr w:rsidRPr="00C41208" w:rsidR="00C41208" w:rsidTr="00C03A49" w14:paraId="34C588DB" w14:textId="77777777">
        <w:tc>
          <w:tcPr>
            <w:tcW w:w="2924" w:type="dxa"/>
          </w:tcPr>
          <w:p w:rsidRPr="00C41208" w:rsidR="00DC3BAC" w:rsidP="00696698" w:rsidRDefault="00DC3BAC" w14:paraId="56937B63" w14:textId="7EFC7D11">
            <w:pPr>
              <w:spacing w:line="259" w:lineRule="auto"/>
            </w:pPr>
            <w:r w:rsidRPr="00C41208">
              <w:t>1000+</w:t>
            </w:r>
          </w:p>
        </w:tc>
        <w:tc>
          <w:tcPr>
            <w:tcW w:w="2777" w:type="dxa"/>
            <w:vMerge/>
          </w:tcPr>
          <w:p w:rsidRPr="00C41208" w:rsidR="00DC3BAC" w:rsidP="00696698" w:rsidRDefault="00DC3BAC" w14:paraId="72F17940" w14:textId="77777777">
            <w:pPr>
              <w:spacing w:line="259" w:lineRule="auto"/>
            </w:pPr>
          </w:p>
        </w:tc>
      </w:tr>
    </w:tbl>
    <w:p w:rsidRPr="00C41208" w:rsidR="00FA4A4E" w:rsidP="00696698" w:rsidRDefault="00FA4A4E" w14:paraId="74BE9DAC" w14:textId="77777777">
      <w:pPr>
        <w:spacing w:line="259" w:lineRule="auto"/>
      </w:pPr>
    </w:p>
    <w:p w:rsidRPr="00C41208" w:rsidR="00FA4A4E" w:rsidP="00696698" w:rsidRDefault="00395233" w14:paraId="4FB3BA1B" w14:textId="0776E0F2">
      <w:pPr>
        <w:spacing w:line="259" w:lineRule="auto"/>
        <w:rPr>
          <w:u w:val="single"/>
        </w:rPr>
      </w:pPr>
      <w:r w:rsidRPr="00C41208">
        <w:rPr>
          <w:u w:val="single"/>
        </w:rPr>
        <w:t>QBS Universe</w:t>
      </w:r>
      <w:r w:rsidRPr="00C41208" w:rsidR="00393AA3">
        <w:rPr>
          <w:u w:val="single"/>
        </w:rPr>
        <w:t xml:space="preserve"> and Sub-Populations</w:t>
      </w:r>
    </w:p>
    <w:p w:rsidRPr="00C41208" w:rsidR="00395233" w:rsidP="00696698" w:rsidRDefault="00395233" w14:paraId="604A7BBE" w14:textId="77777777">
      <w:pPr>
        <w:spacing w:line="259" w:lineRule="auto"/>
      </w:pPr>
    </w:p>
    <w:p w:rsidRPr="00C41208" w:rsidR="00B035EB" w:rsidP="00696698" w:rsidRDefault="00395233" w14:paraId="44B9F91F" w14:textId="72B7827E">
      <w:pPr>
        <w:spacing w:line="259" w:lineRule="auto"/>
      </w:pPr>
      <w:r w:rsidRPr="00C41208">
        <w:t>The QBS universe of inference</w:t>
      </w:r>
      <w:r w:rsidRPr="00C41208" w:rsidR="00B035EB">
        <w:t xml:space="preserve"> will be based on QCEW 2020</w:t>
      </w:r>
      <w:r w:rsidRPr="00C41208" w:rsidR="00EA3CDF">
        <w:t xml:space="preserve"> </w:t>
      </w:r>
      <w:r w:rsidRPr="00C41208" w:rsidR="00B035EB">
        <w:t>Q4 establishments</w:t>
      </w:r>
      <w:r w:rsidRPr="00C41208" w:rsidR="003A0A45">
        <w:t xml:space="preserve"> subject to the following</w:t>
      </w:r>
      <w:r w:rsidRPr="00C41208" w:rsidR="00233847">
        <w:t xml:space="preserve"> constraints</w:t>
      </w:r>
      <w:r w:rsidRPr="00C41208" w:rsidR="003A0A45">
        <w:t>:</w:t>
      </w:r>
      <w:r w:rsidRPr="00C41208" w:rsidR="00B035EB">
        <w:t xml:space="preserve"> </w:t>
      </w:r>
    </w:p>
    <w:p w:rsidRPr="00C41208" w:rsidR="00393AA3" w:rsidP="00696698" w:rsidRDefault="00393AA3" w14:paraId="031AC6CE" w14:textId="77777777">
      <w:pPr>
        <w:spacing w:line="259" w:lineRule="auto"/>
      </w:pPr>
    </w:p>
    <w:p w:rsidRPr="00C41208" w:rsidR="00393AA3" w:rsidP="00393AA3" w:rsidRDefault="003A0A45" w14:paraId="35498D20" w14:textId="66E2FB0B">
      <w:pPr>
        <w:pStyle w:val="ListParagraph"/>
        <w:numPr>
          <w:ilvl w:val="0"/>
          <w:numId w:val="4"/>
        </w:numPr>
        <w:spacing w:line="259" w:lineRule="auto"/>
        <w:ind w:left="360"/>
        <w:rPr>
          <w:sz w:val="22"/>
          <w:szCs w:val="22"/>
        </w:rPr>
      </w:pPr>
      <w:r w:rsidRPr="00C41208">
        <w:rPr>
          <w:sz w:val="22"/>
          <w:szCs w:val="22"/>
        </w:rPr>
        <w:t>Private sector only; not public administration</w:t>
      </w:r>
    </w:p>
    <w:p w:rsidRPr="00C41208" w:rsidR="003A0A45" w:rsidP="00393AA3" w:rsidRDefault="003A0A45" w14:paraId="11429E48" w14:textId="42EC2396">
      <w:pPr>
        <w:pStyle w:val="ListParagraph"/>
        <w:numPr>
          <w:ilvl w:val="0"/>
          <w:numId w:val="4"/>
        </w:numPr>
        <w:spacing w:line="259" w:lineRule="auto"/>
        <w:ind w:left="360"/>
        <w:rPr>
          <w:sz w:val="22"/>
          <w:szCs w:val="22"/>
        </w:rPr>
      </w:pPr>
      <w:r w:rsidRPr="00C41208">
        <w:rPr>
          <w:sz w:val="22"/>
          <w:szCs w:val="22"/>
        </w:rPr>
        <w:t>Average monthly employment &gt; 0 (average taken over the past year)</w:t>
      </w:r>
    </w:p>
    <w:p w:rsidRPr="00C41208" w:rsidR="003A0A45" w:rsidP="00393AA3" w:rsidRDefault="003A0A45" w14:paraId="781E0AE1" w14:textId="2DEDF7C1">
      <w:pPr>
        <w:pStyle w:val="ListParagraph"/>
        <w:numPr>
          <w:ilvl w:val="0"/>
          <w:numId w:val="4"/>
        </w:numPr>
        <w:spacing w:line="259" w:lineRule="auto"/>
        <w:ind w:left="360"/>
        <w:rPr>
          <w:sz w:val="22"/>
          <w:szCs w:val="22"/>
        </w:rPr>
      </w:pPr>
      <w:r w:rsidRPr="00C41208">
        <w:rPr>
          <w:sz w:val="22"/>
          <w:szCs w:val="22"/>
        </w:rPr>
        <w:t>NAICS 814110</w:t>
      </w:r>
      <w:r w:rsidRPr="00C41208" w:rsidR="00D16302">
        <w:rPr>
          <w:sz w:val="22"/>
          <w:szCs w:val="22"/>
        </w:rPr>
        <w:t xml:space="preserve"> (private households) and </w:t>
      </w:r>
      <w:r w:rsidRPr="00C41208">
        <w:rPr>
          <w:sz w:val="22"/>
          <w:szCs w:val="22"/>
        </w:rPr>
        <w:t>491110</w:t>
      </w:r>
      <w:r w:rsidRPr="00C41208" w:rsidR="00D16302">
        <w:rPr>
          <w:sz w:val="22"/>
          <w:szCs w:val="22"/>
        </w:rPr>
        <w:t xml:space="preserve"> (postal service) </w:t>
      </w:r>
      <w:r w:rsidRPr="00C41208">
        <w:rPr>
          <w:sz w:val="22"/>
          <w:szCs w:val="22"/>
        </w:rPr>
        <w:t>excluded</w:t>
      </w:r>
    </w:p>
    <w:p w:rsidRPr="00C41208" w:rsidR="003A0A45" w:rsidP="00393AA3" w:rsidRDefault="00D16302" w14:paraId="37FE699C" w14:textId="0331D888">
      <w:pPr>
        <w:pStyle w:val="ListParagraph"/>
        <w:numPr>
          <w:ilvl w:val="0"/>
          <w:numId w:val="4"/>
        </w:numPr>
        <w:spacing w:line="259" w:lineRule="auto"/>
        <w:ind w:left="360"/>
        <w:rPr>
          <w:sz w:val="22"/>
          <w:szCs w:val="22"/>
        </w:rPr>
      </w:pPr>
      <w:r w:rsidRPr="00C41208">
        <w:rPr>
          <w:sz w:val="22"/>
          <w:szCs w:val="22"/>
        </w:rPr>
        <w:t>NAICS 999999 (NAICS unassigned/unidentified in QCEW)</w:t>
      </w:r>
    </w:p>
    <w:p w:rsidRPr="00C41208" w:rsidR="00D16302" w:rsidP="00393AA3" w:rsidRDefault="00D16302" w14:paraId="2A4C9931" w14:textId="6E998FF8">
      <w:pPr>
        <w:pStyle w:val="ListParagraph"/>
        <w:numPr>
          <w:ilvl w:val="0"/>
          <w:numId w:val="4"/>
        </w:numPr>
        <w:spacing w:line="259" w:lineRule="auto"/>
        <w:ind w:left="360"/>
        <w:rPr>
          <w:sz w:val="22"/>
          <w:szCs w:val="22"/>
        </w:rPr>
      </w:pPr>
      <w:r w:rsidRPr="00C41208">
        <w:rPr>
          <w:sz w:val="22"/>
          <w:szCs w:val="22"/>
        </w:rPr>
        <w:t xml:space="preserve">Establishments with NAICS 624120 (serv. for elderly and persons with disabilities) and </w:t>
      </w:r>
      <w:r w:rsidRPr="00C41208" w:rsidR="00AC4335">
        <w:rPr>
          <w:sz w:val="22"/>
          <w:szCs w:val="22"/>
        </w:rPr>
        <w:t>average monthly employment &lt; 2 excluded</w:t>
      </w:r>
    </w:p>
    <w:p w:rsidR="00B035EB" w:rsidP="00696698" w:rsidRDefault="00B035EB" w14:paraId="3224DD1B" w14:textId="77777777">
      <w:pPr>
        <w:spacing w:line="259" w:lineRule="auto"/>
      </w:pPr>
    </w:p>
    <w:p w:rsidR="007E083E" w:rsidP="00696698" w:rsidRDefault="007E083E" w14:paraId="04D0F0A6" w14:textId="77777777">
      <w:pPr>
        <w:spacing w:line="259" w:lineRule="auto"/>
      </w:pPr>
    </w:p>
    <w:p w:rsidRPr="00552463" w:rsidR="007E083E" w:rsidP="00696698" w:rsidRDefault="007E083E" w14:paraId="5EACB1A5" w14:textId="77777777">
      <w:pPr>
        <w:spacing w:line="259" w:lineRule="auto"/>
      </w:pPr>
    </w:p>
    <w:p w:rsidRPr="00C41208" w:rsidR="00B035EB" w:rsidP="00696698" w:rsidRDefault="00393AA3" w14:paraId="4B431ACB" w14:textId="2B81F567">
      <w:pPr>
        <w:spacing w:line="259" w:lineRule="auto"/>
      </w:pPr>
      <w:r w:rsidRPr="00552463">
        <w:lastRenderedPageBreak/>
        <w:t>For sample design purposes, t</w:t>
      </w:r>
      <w:r w:rsidRPr="00C41208" w:rsidR="00AC4335">
        <w:t>he</w:t>
      </w:r>
      <w:r w:rsidRPr="00C41208">
        <w:t xml:space="preserve"> QBS universe will then be segmented into the following sub-populations:</w:t>
      </w:r>
    </w:p>
    <w:p w:rsidRPr="00C41208" w:rsidR="00AC4335" w:rsidP="00696698" w:rsidRDefault="00AC4335" w14:paraId="14350D57" w14:textId="77777777">
      <w:pPr>
        <w:spacing w:line="259" w:lineRule="auto"/>
      </w:pPr>
    </w:p>
    <w:p w:rsidRPr="00C41208" w:rsidR="00AC4335" w:rsidP="00AC4335" w:rsidRDefault="00AC4335" w14:paraId="524D79FA" w14:textId="2BB1846F">
      <w:pPr>
        <w:pStyle w:val="ListParagraph"/>
        <w:numPr>
          <w:ilvl w:val="0"/>
          <w:numId w:val="8"/>
        </w:numPr>
        <w:spacing w:line="259" w:lineRule="auto"/>
        <w:ind w:left="360"/>
        <w:rPr>
          <w:sz w:val="22"/>
          <w:szCs w:val="22"/>
        </w:rPr>
      </w:pPr>
      <w:r w:rsidRPr="00C41208">
        <w:rPr>
          <w:sz w:val="22"/>
          <w:szCs w:val="22"/>
        </w:rPr>
        <w:t>ARS-eligible; ARS 2022 (eligible to be selected for this QBS sample)</w:t>
      </w:r>
    </w:p>
    <w:p w:rsidRPr="00C41208" w:rsidR="00AC4335" w:rsidP="00AC4335" w:rsidRDefault="00AC4335" w14:paraId="1B5E8B1C" w14:textId="395050BC">
      <w:pPr>
        <w:pStyle w:val="ListParagraph"/>
        <w:numPr>
          <w:ilvl w:val="0"/>
          <w:numId w:val="8"/>
        </w:numPr>
        <w:spacing w:line="259" w:lineRule="auto"/>
        <w:ind w:left="360"/>
        <w:rPr>
          <w:sz w:val="22"/>
          <w:szCs w:val="22"/>
        </w:rPr>
      </w:pPr>
      <w:r w:rsidRPr="00C41208">
        <w:rPr>
          <w:sz w:val="22"/>
          <w:szCs w:val="22"/>
        </w:rPr>
        <w:t>ARS-eligible; ARS non-2022 (not eligible to be selected for this QBS sample)</w:t>
      </w:r>
    </w:p>
    <w:p w:rsidRPr="00C41208" w:rsidR="00AC4335" w:rsidP="00AC4335" w:rsidRDefault="00AC4335" w14:paraId="3C2B30EF" w14:textId="054062D4">
      <w:pPr>
        <w:pStyle w:val="ListParagraph"/>
        <w:numPr>
          <w:ilvl w:val="0"/>
          <w:numId w:val="8"/>
        </w:numPr>
        <w:spacing w:line="259" w:lineRule="auto"/>
        <w:ind w:left="360"/>
        <w:rPr>
          <w:sz w:val="22"/>
          <w:szCs w:val="22"/>
        </w:rPr>
      </w:pPr>
      <w:r w:rsidRPr="00C41208">
        <w:rPr>
          <w:sz w:val="22"/>
          <w:szCs w:val="22"/>
        </w:rPr>
        <w:t>ARS-ineligible (eligible to be selected for this QBS sample)</w:t>
      </w:r>
    </w:p>
    <w:p w:rsidRPr="00552463" w:rsidR="00393AA3" w:rsidP="00696698" w:rsidRDefault="00393AA3" w14:paraId="4F700196" w14:textId="77777777">
      <w:pPr>
        <w:spacing w:line="259" w:lineRule="auto"/>
      </w:pPr>
    </w:p>
    <w:p w:rsidRPr="00C41208" w:rsidR="00C72D6D" w:rsidP="00696698" w:rsidRDefault="003A45CF" w14:paraId="0347B736" w14:textId="1F165F5F">
      <w:pPr>
        <w:spacing w:line="259" w:lineRule="auto"/>
      </w:pPr>
      <w:r w:rsidRPr="00C41208">
        <w:t>Each year, t</w:t>
      </w:r>
      <w:r w:rsidRPr="00C41208" w:rsidR="00C72D6D">
        <w:t xml:space="preserve">he ARS </w:t>
      </w:r>
      <w:r w:rsidRPr="00C41208">
        <w:t xml:space="preserve">is administered to roughly one-third of the ARS-eligible establishments on a rotating schedule. The ARS </w:t>
      </w:r>
      <w:r w:rsidRPr="00C41208" w:rsidR="00C72D6D">
        <w:t>primarily uses the 7</w:t>
      </w:r>
      <w:r w:rsidRPr="00C41208" w:rsidR="00C72D6D">
        <w:rPr>
          <w:vertAlign w:val="superscript"/>
        </w:rPr>
        <w:t>th</w:t>
      </w:r>
      <w:r w:rsidRPr="00C41208" w:rsidR="00C72D6D">
        <w:t>-8</w:t>
      </w:r>
      <w:r w:rsidRPr="00C41208" w:rsidR="00C72D6D">
        <w:rPr>
          <w:vertAlign w:val="superscript"/>
        </w:rPr>
        <w:t>th</w:t>
      </w:r>
      <w:r w:rsidRPr="00C41208" w:rsidR="00C72D6D">
        <w:t xml:space="preserve"> digits of the EIN to subset the QCEW universe into thir</w:t>
      </w:r>
      <w:r w:rsidRPr="00C41208">
        <w:t>ds for data collection purposes. Based on previous evaluation, the 7</w:t>
      </w:r>
      <w:r w:rsidRPr="00C41208">
        <w:rPr>
          <w:vertAlign w:val="superscript"/>
        </w:rPr>
        <w:t>th</w:t>
      </w:r>
      <w:r w:rsidRPr="00C41208">
        <w:t>-8</w:t>
      </w:r>
      <w:r w:rsidRPr="00C41208">
        <w:rPr>
          <w:vertAlign w:val="superscript"/>
        </w:rPr>
        <w:t>th</w:t>
      </w:r>
      <w:r w:rsidRPr="00C41208">
        <w:t xml:space="preserve"> digits of EIN were determined to be a s</w:t>
      </w:r>
      <w:r w:rsidRPr="00C41208" w:rsidR="00C004E7">
        <w:t>uitably random method of selection.</w:t>
      </w:r>
    </w:p>
    <w:p w:rsidRPr="00C41208" w:rsidR="005245D9" w:rsidP="00696698" w:rsidRDefault="005245D9" w14:paraId="638F2844" w14:textId="77777777">
      <w:pPr>
        <w:spacing w:line="259" w:lineRule="auto"/>
      </w:pPr>
    </w:p>
    <w:p w:rsidRPr="00C41208" w:rsidR="005245D9" w:rsidP="00696698" w:rsidRDefault="006B545E" w14:paraId="0608A115" w14:textId="3D4B47C2">
      <w:pPr>
        <w:spacing w:line="259" w:lineRule="auto"/>
      </w:pPr>
      <w:r w:rsidRPr="00552463">
        <w:t xml:space="preserve">Samples will be selected for the ARS-eligible sub-population by drawing from only the ARS-eligible/ARS 2022 group. Samples will also be selected for the ARS-ineligible sub-population by drawing from the entire sub-population. </w:t>
      </w:r>
    </w:p>
    <w:p w:rsidRPr="00C41208" w:rsidR="00C72D6D" w:rsidP="00696698" w:rsidRDefault="00C72D6D" w14:paraId="714C47E3" w14:textId="77777777">
      <w:pPr>
        <w:spacing w:line="259" w:lineRule="auto"/>
      </w:pPr>
    </w:p>
    <w:p w:rsidRPr="00C41208" w:rsidR="00393AA3" w:rsidP="00696698" w:rsidRDefault="00C72D6D" w14:paraId="16F9AAD1" w14:textId="13B347DA">
      <w:pPr>
        <w:spacing w:line="259" w:lineRule="auto"/>
        <w:rPr>
          <w:u w:val="single"/>
        </w:rPr>
      </w:pPr>
      <w:r w:rsidRPr="00C41208">
        <w:rPr>
          <w:u w:val="single"/>
        </w:rPr>
        <w:t>Sample Sufficiency</w:t>
      </w:r>
    </w:p>
    <w:p w:rsidRPr="00C41208" w:rsidR="00C72D6D" w:rsidP="00696698" w:rsidRDefault="00C72D6D" w14:paraId="4465E29C" w14:textId="77777777">
      <w:pPr>
        <w:spacing w:line="259" w:lineRule="auto"/>
      </w:pPr>
    </w:p>
    <w:p w:rsidRPr="00C41208" w:rsidR="003B4A68" w:rsidP="005672D4" w:rsidRDefault="005672D4" w14:paraId="3032FFDF" w14:textId="1413CD4A">
      <w:pPr>
        <w:rPr>
          <w:rFonts w:ascii="Times New Roman" w:hAnsi="Times New Roman" w:cs="Times New Roman"/>
        </w:rPr>
      </w:pPr>
      <w:r w:rsidRPr="00C41208">
        <w:rPr>
          <w:rFonts w:ascii="Times New Roman" w:hAnsi="Times New Roman" w:cs="Times New Roman"/>
        </w:rPr>
        <w:t xml:space="preserve">Sufficiency is determined for each </w:t>
      </w:r>
      <w:r w:rsidRPr="00C41208" w:rsidR="001D0088">
        <w:rPr>
          <w:rFonts w:ascii="Times New Roman" w:hAnsi="Times New Roman" w:cs="Times New Roman"/>
        </w:rPr>
        <w:t xml:space="preserve">of the four </w:t>
      </w:r>
      <w:r w:rsidRPr="00C41208">
        <w:rPr>
          <w:rFonts w:ascii="Times New Roman" w:hAnsi="Times New Roman" w:cs="Times New Roman"/>
        </w:rPr>
        <w:t>survey analysis breakout</w:t>
      </w:r>
      <w:r w:rsidRPr="00C41208" w:rsidR="001D0088">
        <w:rPr>
          <w:rFonts w:ascii="Times New Roman" w:hAnsi="Times New Roman" w:cs="Times New Roman"/>
        </w:rPr>
        <w:t>s</w:t>
      </w:r>
      <w:r w:rsidRPr="00C41208" w:rsidR="003B4A68">
        <w:rPr>
          <w:rFonts w:ascii="Times New Roman" w:hAnsi="Times New Roman" w:cs="Times New Roman"/>
        </w:rPr>
        <w:t xml:space="preserve"> listed </w:t>
      </w:r>
      <w:r w:rsidRPr="00C41208" w:rsidR="001D0088">
        <w:rPr>
          <w:rFonts w:ascii="Times New Roman" w:hAnsi="Times New Roman" w:cs="Times New Roman"/>
        </w:rPr>
        <w:t>in the Research Goals section</w:t>
      </w:r>
      <w:r w:rsidRPr="00C41208">
        <w:rPr>
          <w:rFonts w:ascii="Times New Roman" w:hAnsi="Times New Roman" w:cs="Times New Roman"/>
        </w:rPr>
        <w:t>. The four sets of sufficiency counts are then meshed together to create a single unified sample</w:t>
      </w:r>
      <w:r w:rsidRPr="00C41208" w:rsidR="003624B6">
        <w:rPr>
          <w:rFonts w:ascii="Times New Roman" w:hAnsi="Times New Roman" w:cs="Times New Roman"/>
        </w:rPr>
        <w:t xml:space="preserve"> allocation</w:t>
      </w:r>
      <w:r w:rsidRPr="00C41208">
        <w:rPr>
          <w:rFonts w:ascii="Times New Roman" w:hAnsi="Times New Roman" w:cs="Times New Roman"/>
        </w:rPr>
        <w:t xml:space="preserve"> design. </w:t>
      </w:r>
    </w:p>
    <w:p w:rsidRPr="00C41208" w:rsidR="003B4A68" w:rsidP="005672D4" w:rsidRDefault="003B4A68" w14:paraId="14ACD28C" w14:textId="77777777">
      <w:pPr>
        <w:rPr>
          <w:rFonts w:ascii="Times New Roman" w:hAnsi="Times New Roman" w:cs="Times New Roman"/>
        </w:rPr>
      </w:pPr>
    </w:p>
    <w:p w:rsidRPr="00C41208" w:rsidR="003B4A68" w:rsidP="003B4A68" w:rsidRDefault="003B4A68" w14:paraId="68B565DC" w14:textId="77777777">
      <w:pPr>
        <w:rPr>
          <w:rFonts w:ascii="Times New Roman" w:hAnsi="Times New Roman" w:cs="Times New Roman"/>
        </w:rPr>
      </w:pPr>
      <w:r w:rsidRPr="00C41208">
        <w:rPr>
          <w:rFonts w:ascii="Times New Roman" w:hAnsi="Times New Roman" w:cs="Times New Roman"/>
        </w:rPr>
        <w:t>Sufficiency is determined based on estimating proportions to a certain degree of precision, where precision is based on researcher needs weighed versus survey burden and cost. The formula for the sample sufficiency of an estimation cell is based on the deconstruction of the formula for the variance of a proportion (using simple random sampling within the cell):</w:t>
      </w:r>
    </w:p>
    <w:p w:rsidR="003B4A68" w:rsidP="003B4A68" w:rsidRDefault="003B4A68" w14:paraId="1211A54E" w14:textId="77777777">
      <w:pPr>
        <w:rPr>
          <w:rFonts w:ascii="Times New Roman" w:hAnsi="Times New Roman" w:cs="Times New Roman"/>
        </w:rPr>
      </w:pPr>
    </w:p>
    <w:p w:rsidR="003B4A68" w:rsidP="003B4A68" w:rsidRDefault="009D3953" w14:paraId="49FF68E4" w14:textId="77777777">
      <w:pPr>
        <w:pStyle w:val="MTDisplayEquation"/>
      </w:pPr>
      <w:r w:rsidRPr="009D3953">
        <w:rPr>
          <w:position w:val="-84"/>
        </w:rPr>
        <w:object w:dxaOrig="2260" w:dyaOrig="1800" w14:anchorId="002DA4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1.8pt;height:87.8pt" o:ole="" type="#_x0000_t75">
            <v:imagedata o:title="" r:id="rId8"/>
          </v:shape>
          <o:OLEObject Type="Embed" ProgID="Equation.DSMT4" ShapeID="_x0000_i1025" DrawAspect="Content" ObjectID="_1680502146" r:id="rId9"/>
        </w:object>
      </w:r>
      <w:r w:rsidR="003B4A68">
        <w:t xml:space="preserve"> </w:t>
      </w:r>
      <w:r w:rsidR="003B4A68">
        <w:tab/>
      </w:r>
      <w:r w:rsidRPr="00443A98" w:rsidR="003B4A68">
        <w:rPr>
          <w:position w:val="-4"/>
        </w:rPr>
        <w:object w:dxaOrig="180" w:dyaOrig="279" w14:anchorId="71FE9061">
          <v:shape id="_x0000_i1026" style="width:6pt;height:12pt" o:ole="" type="#_x0000_t75">
            <v:imagedata o:title="" r:id="rId10"/>
          </v:shape>
          <o:OLEObject Type="Embed" ProgID="Equation.DSMT4" ShapeID="_x0000_i1026" DrawAspect="Content" ObjectID="_1680502147" r:id="rId11"/>
        </w:object>
      </w:r>
      <w:r w:rsidR="003B4A68">
        <w:t xml:space="preserve"> </w:t>
      </w:r>
    </w:p>
    <w:p w:rsidR="003B4A68" w:rsidP="003B4A68" w:rsidRDefault="003B4A68" w14:paraId="6667DE93" w14:textId="77777777">
      <w:pPr>
        <w:rPr>
          <w:rFonts w:ascii="Times New Roman" w:hAnsi="Times New Roman" w:cs="Times New Roman"/>
        </w:rPr>
      </w:pPr>
    </w:p>
    <w:p w:rsidRPr="005128CF" w:rsidR="00F015B2" w:rsidP="005672D4" w:rsidRDefault="009D3953" w14:paraId="0F5ACD57" w14:textId="34E520E5">
      <w:pPr>
        <w:rPr>
          <w:rFonts w:ascii="Times New Roman" w:hAnsi="Times New Roman" w:cs="Times New Roman"/>
        </w:rPr>
      </w:pPr>
      <w:r w:rsidRPr="009D3953">
        <w:rPr>
          <w:rFonts w:ascii="Times New Roman" w:hAnsi="Times New Roman" w:cs="Times New Roman"/>
          <w:position w:val="-172"/>
        </w:rPr>
        <w:object w:dxaOrig="9940" w:dyaOrig="3560" w14:anchorId="4DF5C5E3">
          <v:shape id="_x0000_i1027" style="width:496.9pt;height:176.2pt" o:ole="" type="#_x0000_t75">
            <v:imagedata o:title="" r:id="rId12"/>
          </v:shape>
          <o:OLEObject Type="Embed" ProgID="Equation.DSMT4" ShapeID="_x0000_i1027" DrawAspect="Content" ObjectID="_1680502148" r:id="rId13"/>
        </w:object>
      </w:r>
    </w:p>
    <w:p w:rsidRPr="00C41208" w:rsidR="008D048D" w:rsidP="005672D4" w:rsidRDefault="007B0DD6" w14:paraId="436B7E5C" w14:textId="586598C5">
      <w:pPr>
        <w:rPr>
          <w:rFonts w:ascii="Times New Roman" w:hAnsi="Times New Roman" w:cs="Times New Roman"/>
          <w:u w:val="single"/>
        </w:rPr>
      </w:pPr>
      <w:r w:rsidRPr="00C41208">
        <w:rPr>
          <w:rFonts w:ascii="Times New Roman" w:hAnsi="Times New Roman" w:cs="Times New Roman"/>
          <w:u w:val="single"/>
        </w:rPr>
        <w:lastRenderedPageBreak/>
        <w:t>Sample Design</w:t>
      </w:r>
    </w:p>
    <w:p w:rsidRPr="00C41208" w:rsidR="007B0DD6" w:rsidP="005672D4" w:rsidRDefault="007B0DD6" w14:paraId="29F28859" w14:textId="77777777">
      <w:pPr>
        <w:rPr>
          <w:rFonts w:ascii="Times New Roman" w:hAnsi="Times New Roman" w:cs="Times New Roman"/>
        </w:rPr>
      </w:pPr>
    </w:p>
    <w:p w:rsidRPr="00C41208" w:rsidR="00455661" w:rsidP="005672D4" w:rsidRDefault="004F6D50" w14:paraId="247DC71B" w14:textId="3EA2BD26">
      <w:pPr>
        <w:rPr>
          <w:rFonts w:ascii="Times New Roman" w:hAnsi="Times New Roman" w:cs="Times New Roman"/>
        </w:rPr>
      </w:pPr>
      <w:r w:rsidRPr="00C41208">
        <w:rPr>
          <w:rFonts w:ascii="Times New Roman" w:hAnsi="Times New Roman" w:cs="Times New Roman"/>
        </w:rPr>
        <w:t>T</w:t>
      </w:r>
      <w:r w:rsidRPr="00C41208" w:rsidR="00120181">
        <w:rPr>
          <w:rFonts w:ascii="Times New Roman" w:hAnsi="Times New Roman" w:cs="Times New Roman"/>
        </w:rPr>
        <w:t>he sample will follow a stratified design, with sample drawn from each state * modified NAICS sector * narrow industry size stratum</w:t>
      </w:r>
      <w:r w:rsidRPr="00C41208" w:rsidR="005128CF">
        <w:rPr>
          <w:rFonts w:ascii="Times New Roman" w:hAnsi="Times New Roman" w:cs="Times New Roman"/>
        </w:rPr>
        <w:t xml:space="preserve"> with at least one establishment</w:t>
      </w:r>
      <w:r w:rsidRPr="00C41208" w:rsidR="00120181">
        <w:rPr>
          <w:rFonts w:ascii="Times New Roman" w:hAnsi="Times New Roman" w:cs="Times New Roman"/>
        </w:rPr>
        <w:t xml:space="preserve">. </w:t>
      </w:r>
      <w:r w:rsidRPr="00C41208" w:rsidR="005128CF">
        <w:rPr>
          <w:rFonts w:ascii="Times New Roman" w:hAnsi="Times New Roman" w:cs="Times New Roman"/>
        </w:rPr>
        <w:t>Strata sample sizes will be allocated in an attempt to achieve sample sufficiency for all analysis cells across all four research goals. Strata e</w:t>
      </w:r>
      <w:r w:rsidRPr="00C41208" w:rsidR="00120181">
        <w:rPr>
          <w:rFonts w:ascii="Times New Roman" w:hAnsi="Times New Roman" w:cs="Times New Roman"/>
        </w:rPr>
        <w:t>stimates will be calcul</w:t>
      </w:r>
      <w:r w:rsidRPr="00C41208" w:rsidR="00D575B2">
        <w:rPr>
          <w:rFonts w:ascii="Times New Roman" w:hAnsi="Times New Roman" w:cs="Times New Roman"/>
        </w:rPr>
        <w:t xml:space="preserve">ated within each stratum, provided the stratum has </w:t>
      </w:r>
      <w:r w:rsidRPr="00C41208" w:rsidR="00120181">
        <w:rPr>
          <w:rFonts w:ascii="Times New Roman" w:hAnsi="Times New Roman" w:cs="Times New Roman"/>
        </w:rPr>
        <w:t xml:space="preserve">usable survey responses. Composite estimates will be constructed for analysis cells that comprise multiple strata. For example, </w:t>
      </w:r>
      <w:r w:rsidRPr="00C41208" w:rsidR="00D575B2">
        <w:rPr>
          <w:rFonts w:ascii="Times New Roman" w:hAnsi="Times New Roman" w:cs="Times New Roman"/>
        </w:rPr>
        <w:t>survey estimates for Virginia establishments of broad industry size 20-99 (i.e. VA/20-99) will be built as a weighted composite of thirty-two strata estimates – one strata estimate for each of the sixteen modified NAICS sectors for VA/20-49 and one strata estimate for each of the sixteen modified NAICS sectors for VA/50-99.</w:t>
      </w:r>
    </w:p>
    <w:p w:rsidRPr="00C41208" w:rsidR="007B0DD6" w:rsidP="005672D4" w:rsidRDefault="007B0DD6" w14:paraId="5FADA6EA" w14:textId="77777777">
      <w:pPr>
        <w:rPr>
          <w:rFonts w:ascii="Times New Roman" w:hAnsi="Times New Roman" w:cs="Times New Roman"/>
        </w:rPr>
      </w:pPr>
    </w:p>
    <w:p w:rsidRPr="00C41208" w:rsidR="007B0DD6" w:rsidP="005672D4" w:rsidRDefault="007B0DD6" w14:paraId="4CA2A09F" w14:textId="50E4A5C7">
      <w:pPr>
        <w:rPr>
          <w:rFonts w:ascii="Times New Roman" w:hAnsi="Times New Roman" w:cs="Times New Roman"/>
          <w:u w:val="single"/>
        </w:rPr>
      </w:pPr>
      <w:r w:rsidRPr="00C41208">
        <w:rPr>
          <w:rFonts w:ascii="Times New Roman" w:hAnsi="Times New Roman" w:cs="Times New Roman"/>
          <w:u w:val="single"/>
        </w:rPr>
        <w:t>Sample Selection</w:t>
      </w:r>
    </w:p>
    <w:p w:rsidRPr="00C41208" w:rsidR="00455661" w:rsidP="005672D4" w:rsidRDefault="00455661" w14:paraId="7A9E3162" w14:textId="2DDB1080">
      <w:pPr>
        <w:rPr>
          <w:rFonts w:ascii="Times New Roman" w:hAnsi="Times New Roman" w:cs="Times New Roman"/>
        </w:rPr>
      </w:pPr>
    </w:p>
    <w:p w:rsidRPr="00C41208" w:rsidR="008D27AB" w:rsidP="005672D4" w:rsidRDefault="008D27AB" w14:paraId="57F0F27C" w14:textId="2AFD45A4">
      <w:pPr>
        <w:rPr>
          <w:rFonts w:ascii="Times New Roman" w:hAnsi="Times New Roman" w:cs="Times New Roman"/>
        </w:rPr>
      </w:pPr>
      <w:r w:rsidRPr="00C41208">
        <w:rPr>
          <w:rFonts w:ascii="Times New Roman" w:hAnsi="Times New Roman" w:cs="Times New Roman"/>
        </w:rPr>
        <w:t xml:space="preserve">Most strata can be categorized into a single universe sub-population. </w:t>
      </w:r>
      <w:r w:rsidRPr="00C41208" w:rsidR="00084D5D">
        <w:rPr>
          <w:rFonts w:ascii="Times New Roman" w:hAnsi="Times New Roman" w:cs="Times New Roman"/>
        </w:rPr>
        <w:t xml:space="preserve">Within these strata, </w:t>
      </w:r>
      <w:r w:rsidRPr="00C41208">
        <w:rPr>
          <w:rFonts w:ascii="Times New Roman" w:hAnsi="Times New Roman" w:cs="Times New Roman"/>
        </w:rPr>
        <w:t>samples will be selected using simple random sampling.</w:t>
      </w:r>
    </w:p>
    <w:p w:rsidRPr="00C41208" w:rsidR="008D27AB" w:rsidP="005672D4" w:rsidRDefault="008D27AB" w14:paraId="4E0F0FDF" w14:textId="77777777">
      <w:pPr>
        <w:rPr>
          <w:rFonts w:ascii="Times New Roman" w:hAnsi="Times New Roman" w:cs="Times New Roman"/>
        </w:rPr>
      </w:pPr>
    </w:p>
    <w:p w:rsidRPr="00C41208" w:rsidR="008D27AB" w:rsidP="005672D4" w:rsidRDefault="008D27AB" w14:paraId="72A6701B" w14:textId="08590E06">
      <w:pPr>
        <w:rPr>
          <w:rFonts w:ascii="Times New Roman" w:hAnsi="Times New Roman" w:cs="Times New Roman"/>
        </w:rPr>
      </w:pPr>
      <w:r w:rsidRPr="00C41208">
        <w:rPr>
          <w:rFonts w:ascii="Times New Roman" w:hAnsi="Times New Roman" w:cs="Times New Roman"/>
        </w:rPr>
        <w:t xml:space="preserve">Some strata will consist of establishments from multiple universe sub-populations. </w:t>
      </w:r>
      <w:r w:rsidRPr="00C41208" w:rsidR="00084D5D">
        <w:rPr>
          <w:rFonts w:ascii="Times New Roman" w:hAnsi="Times New Roman" w:cs="Times New Roman"/>
        </w:rPr>
        <w:t>Each of these strata will be segmented into ARS-eligible and ARS-ineligible components. The strata sample size will be proportionately allocated to these components. For any such stratum, a simple random sample will be drawn from within the ARS-ineligible component, using the corresponding proportionately allocated sample size. For the stratum’s ARS-eligible component, a simple random sample will be drawn from only the 2022 ARS sub-component, using the corresponding proportionately allocated sample size. For each of these strata, the 2022 ARS sub-component is considered to be a random first stage of selection</w:t>
      </w:r>
      <w:r w:rsidRPr="00C41208" w:rsidR="0057533E">
        <w:rPr>
          <w:rFonts w:ascii="Times New Roman" w:hAnsi="Times New Roman" w:cs="Times New Roman"/>
        </w:rPr>
        <w:t xml:space="preserve"> of ARS-eligible establishments</w:t>
      </w:r>
      <w:r w:rsidRPr="00C41208" w:rsidR="00084D5D">
        <w:rPr>
          <w:rFonts w:ascii="Times New Roman" w:hAnsi="Times New Roman" w:cs="Times New Roman"/>
        </w:rPr>
        <w:t>. Although establishments from the non-2022 ARS sub-component are not allowed to be surveyed, they will be accounted for in weighting.</w:t>
      </w:r>
    </w:p>
    <w:p w:rsidRPr="007E083E" w:rsidR="005672D4" w:rsidP="007E083E" w:rsidRDefault="005672D4" w14:paraId="260EFAA8" w14:textId="73ACD35D">
      <w:pPr>
        <w:pStyle w:val="BodyTextIndent"/>
        <w:spacing w:after="0" w:line="240" w:lineRule="auto"/>
        <w:ind w:left="0"/>
        <w:rPr>
          <w:rFonts w:ascii="Times New Roman" w:hAnsi="Times New Roman" w:cs="Times New Roman"/>
        </w:rPr>
      </w:pPr>
    </w:p>
    <w:p w:rsidRPr="00C41208" w:rsidR="005672D4" w:rsidP="005672D4" w:rsidRDefault="005672D4" w14:paraId="27B2C398" w14:textId="77777777">
      <w:pPr>
        <w:rPr>
          <w:rFonts w:ascii="Times New Roman" w:hAnsi="Times New Roman" w:cs="Times New Roman"/>
          <w:b/>
        </w:rPr>
      </w:pPr>
      <w:r w:rsidRPr="00C41208">
        <w:rPr>
          <w:rFonts w:ascii="Times New Roman" w:hAnsi="Times New Roman" w:cs="Times New Roman"/>
          <w:b/>
        </w:rPr>
        <w:t>2b. Estimation Procedure</w:t>
      </w:r>
    </w:p>
    <w:p w:rsidRPr="00C41208" w:rsidR="0007513D" w:rsidP="005672D4" w:rsidRDefault="0007513D" w14:paraId="38C0FC98" w14:textId="77777777">
      <w:pPr>
        <w:rPr>
          <w:rFonts w:ascii="Times New Roman" w:hAnsi="Times New Roman" w:cs="Times New Roman"/>
        </w:rPr>
      </w:pPr>
    </w:p>
    <w:p w:rsidRPr="00C41208" w:rsidR="005672D4" w:rsidP="005672D4" w:rsidRDefault="005672D4" w14:paraId="1006596A" w14:textId="2B1F2E24">
      <w:pPr>
        <w:rPr>
          <w:rFonts w:ascii="Times New Roman" w:hAnsi="Times New Roman" w:cs="Times New Roman"/>
        </w:rPr>
      </w:pPr>
      <w:r w:rsidRPr="00C41208">
        <w:rPr>
          <w:rFonts w:ascii="Times New Roman" w:hAnsi="Times New Roman" w:cs="Times New Roman"/>
        </w:rPr>
        <w:t>The primary measure of interest will be an estimated proportion possessing an attribute being assessed by a survey question. Proportions will be estimated for each of the analysis breakout cells described in section 2a. The proportion estimate formula is:</w:t>
      </w:r>
    </w:p>
    <w:p w:rsidRPr="00C41208" w:rsidR="005672D4" w:rsidP="005672D4" w:rsidRDefault="005672D4" w14:paraId="5EA0FE04" w14:textId="77777777">
      <w:pPr>
        <w:rPr>
          <w:rFonts w:ascii="Times New Roman" w:hAnsi="Times New Roman" w:cs="Times New Roman"/>
        </w:rPr>
      </w:pPr>
    </w:p>
    <w:p w:rsidRPr="00552463" w:rsidR="005672D4" w:rsidP="005672D4" w:rsidRDefault="005672D4" w14:paraId="613DB65E" w14:textId="77777777">
      <w:pPr>
        <w:rPr>
          <w:rFonts w:ascii="Times New Roman" w:hAnsi="Times New Roman" w:cs="Times New Roman"/>
        </w:rPr>
      </w:pPr>
      <w:r w:rsidRPr="00552463">
        <w:rPr>
          <w:rFonts w:ascii="Times New Roman" w:hAnsi="Times New Roman" w:cs="Times New Roman"/>
          <w:position w:val="-114"/>
        </w:rPr>
        <w:object w:dxaOrig="9520" w:dyaOrig="2799" w14:anchorId="786929BC">
          <v:shape id="_x0000_i1028" style="width:474pt;height:138pt" o:ole="" type="#_x0000_t75">
            <v:imagedata o:title="" r:id="rId14"/>
          </v:shape>
          <o:OLEObject Type="Embed" ProgID="Equation.DSMT4" ShapeID="_x0000_i1028" DrawAspect="Content" ObjectID="_1680502149" r:id="rId15"/>
        </w:object>
      </w:r>
      <w:r w:rsidRPr="00552463">
        <w:rPr>
          <w:rFonts w:ascii="Times New Roman" w:hAnsi="Times New Roman" w:cs="Times New Roman"/>
        </w:rPr>
        <w:t xml:space="preserve"> </w:t>
      </w:r>
    </w:p>
    <w:p w:rsidR="005672D4" w:rsidP="005672D4" w:rsidRDefault="005672D4" w14:paraId="178A28F7" w14:textId="77777777">
      <w:pPr>
        <w:rPr>
          <w:rFonts w:ascii="Times New Roman" w:hAnsi="Times New Roman" w:cs="Times New Roman"/>
        </w:rPr>
      </w:pPr>
      <w:bookmarkStart w:name="_GoBack" w:id="0"/>
    </w:p>
    <w:p w:rsidR="007E083E" w:rsidP="005672D4" w:rsidRDefault="007E083E" w14:paraId="5B905280" w14:textId="77777777">
      <w:pPr>
        <w:rPr>
          <w:rFonts w:ascii="Times New Roman" w:hAnsi="Times New Roman" w:cs="Times New Roman"/>
        </w:rPr>
      </w:pPr>
    </w:p>
    <w:p w:rsidR="007E083E" w:rsidP="005672D4" w:rsidRDefault="007E083E" w14:paraId="4AB9E01B" w14:textId="77777777">
      <w:pPr>
        <w:rPr>
          <w:rFonts w:ascii="Times New Roman" w:hAnsi="Times New Roman" w:cs="Times New Roman"/>
        </w:rPr>
      </w:pPr>
    </w:p>
    <w:p w:rsidR="007E083E" w:rsidP="005672D4" w:rsidRDefault="007E083E" w14:paraId="57D75588" w14:textId="77777777">
      <w:pPr>
        <w:rPr>
          <w:rFonts w:ascii="Times New Roman" w:hAnsi="Times New Roman" w:cs="Times New Roman"/>
        </w:rPr>
      </w:pPr>
    </w:p>
    <w:bookmarkEnd w:id="0"/>
    <w:p w:rsidRPr="00552463" w:rsidR="007E083E" w:rsidP="005672D4" w:rsidRDefault="007E083E" w14:paraId="7AF9278E" w14:textId="77777777">
      <w:pPr>
        <w:rPr>
          <w:rFonts w:ascii="Times New Roman" w:hAnsi="Times New Roman" w:cs="Times New Roman"/>
        </w:rPr>
      </w:pPr>
    </w:p>
    <w:p w:rsidRPr="00C41208" w:rsidR="005672D4" w:rsidP="005672D4" w:rsidRDefault="005672D4" w14:paraId="2A524607" w14:textId="77777777">
      <w:pPr>
        <w:rPr>
          <w:rFonts w:ascii="Times New Roman" w:hAnsi="Times New Roman" w:cs="Times New Roman"/>
        </w:rPr>
      </w:pPr>
      <w:r w:rsidRPr="00C41208">
        <w:rPr>
          <w:rFonts w:ascii="Times New Roman" w:hAnsi="Times New Roman" w:cs="Times New Roman"/>
        </w:rPr>
        <w:lastRenderedPageBreak/>
        <w:t>Each stratum weight is the population proportion of each stratum relative to the composite population of interest:</w:t>
      </w:r>
    </w:p>
    <w:p w:rsidRPr="00C41208" w:rsidR="005672D4" w:rsidP="005672D4" w:rsidRDefault="005672D4" w14:paraId="31553A29" w14:textId="77777777">
      <w:pPr>
        <w:rPr>
          <w:rFonts w:ascii="Times New Roman" w:hAnsi="Times New Roman" w:cs="Times New Roman"/>
        </w:rPr>
      </w:pPr>
    </w:p>
    <w:p w:rsidRPr="00552463" w:rsidR="005672D4" w:rsidP="005672D4" w:rsidRDefault="005672D4" w14:paraId="2DA4F28A" w14:textId="77777777">
      <w:pPr>
        <w:rPr>
          <w:rFonts w:ascii="Times New Roman" w:hAnsi="Times New Roman" w:cs="Times New Roman"/>
        </w:rPr>
      </w:pPr>
      <w:r w:rsidRPr="00552463">
        <w:rPr>
          <w:rFonts w:ascii="Times New Roman" w:hAnsi="Times New Roman" w:cs="Times New Roman"/>
          <w:position w:val="-82"/>
        </w:rPr>
        <w:object w:dxaOrig="6540" w:dyaOrig="1780" w14:anchorId="75731817">
          <v:shape id="_x0000_i1029" style="width:324.55pt;height:90pt" o:ole="" type="#_x0000_t75">
            <v:imagedata o:title="" r:id="rId16"/>
          </v:shape>
          <o:OLEObject Type="Embed" ProgID="Equation.DSMT4" ShapeID="_x0000_i1029" DrawAspect="Content" ObjectID="_1680502150" r:id="rId17"/>
        </w:object>
      </w:r>
      <w:r w:rsidRPr="00552463">
        <w:rPr>
          <w:rFonts w:ascii="Times New Roman" w:hAnsi="Times New Roman" w:cs="Times New Roman"/>
        </w:rPr>
        <w:t xml:space="preserve"> </w:t>
      </w:r>
    </w:p>
    <w:p w:rsidRPr="00552463" w:rsidR="005672D4" w:rsidP="005672D4" w:rsidRDefault="005672D4" w14:paraId="2BF96217" w14:textId="77777777">
      <w:pPr>
        <w:rPr>
          <w:rFonts w:ascii="Times New Roman" w:hAnsi="Times New Roman" w:cs="Times New Roman"/>
        </w:rPr>
      </w:pPr>
    </w:p>
    <w:p w:rsidRPr="00C41208" w:rsidR="005672D4" w:rsidP="005672D4" w:rsidRDefault="005672D4" w14:paraId="1934CA8C" w14:textId="77777777">
      <w:pPr>
        <w:rPr>
          <w:rFonts w:ascii="Times New Roman" w:hAnsi="Times New Roman" w:cs="Times New Roman"/>
        </w:rPr>
      </w:pPr>
      <w:r w:rsidRPr="00C41208">
        <w:rPr>
          <w:rFonts w:ascii="Times New Roman" w:hAnsi="Times New Roman" w:cs="Times New Roman"/>
        </w:rPr>
        <w:t>The formula for the estimated sample proportion for some stratum (h), generalized for non-response adjustment, is:</w:t>
      </w:r>
    </w:p>
    <w:p w:rsidRPr="00C41208" w:rsidR="005672D4" w:rsidP="005672D4" w:rsidRDefault="005672D4" w14:paraId="194B2D8F" w14:textId="77777777">
      <w:pPr>
        <w:rPr>
          <w:rFonts w:ascii="Times New Roman" w:hAnsi="Times New Roman" w:cs="Times New Roman"/>
        </w:rPr>
      </w:pPr>
    </w:p>
    <w:p w:rsidRPr="00552463" w:rsidR="005672D4" w:rsidP="005672D4" w:rsidRDefault="005672D4" w14:paraId="741F9279" w14:textId="77777777">
      <w:pPr>
        <w:rPr>
          <w:rFonts w:ascii="Times New Roman" w:hAnsi="Times New Roman" w:cs="Times New Roman"/>
        </w:rPr>
      </w:pPr>
      <w:r w:rsidRPr="00552463">
        <w:rPr>
          <w:rFonts w:ascii="Times New Roman" w:hAnsi="Times New Roman" w:cs="Times New Roman"/>
          <w:position w:val="-146"/>
        </w:rPr>
        <w:object w:dxaOrig="9900" w:dyaOrig="3040" w14:anchorId="5B7021DD">
          <v:shape id="_x0000_i1030" style="width:498pt;height:150pt" o:ole="" type="#_x0000_t75">
            <v:imagedata o:title="" r:id="rId18"/>
          </v:shape>
          <o:OLEObject Type="Embed" ProgID="Equation.DSMT4" ShapeID="_x0000_i1030" DrawAspect="Content" ObjectID="_1680502151" r:id="rId19"/>
        </w:object>
      </w:r>
      <w:r w:rsidRPr="00552463">
        <w:rPr>
          <w:rFonts w:ascii="Times New Roman" w:hAnsi="Times New Roman" w:cs="Times New Roman"/>
        </w:rPr>
        <w:t xml:space="preserve"> </w:t>
      </w:r>
    </w:p>
    <w:p w:rsidRPr="00C41208" w:rsidR="005672D4" w:rsidP="005672D4" w:rsidRDefault="005672D4" w14:paraId="7A432FC1" w14:textId="77777777">
      <w:pPr>
        <w:rPr>
          <w:rFonts w:ascii="Times New Roman" w:hAnsi="Times New Roman" w:cs="Times New Roman"/>
        </w:rPr>
      </w:pPr>
    </w:p>
    <w:p w:rsidRPr="00C41208" w:rsidR="005672D4" w:rsidP="005672D4" w:rsidRDefault="005672D4" w14:paraId="7E8BEC6E" w14:textId="77777777">
      <w:pPr>
        <w:rPr>
          <w:rFonts w:ascii="Times New Roman" w:hAnsi="Times New Roman" w:cs="Times New Roman"/>
        </w:rPr>
      </w:pPr>
      <w:r w:rsidRPr="00C41208">
        <w:rPr>
          <w:rFonts w:ascii="Times New Roman" w:hAnsi="Times New Roman" w:cs="Times New Roman"/>
        </w:rPr>
        <w:t>The proportion of non-responders possessing the attribute of interest is generally unknowable. Therefore, the assumption is made that, within each stratum, responders and non-responders possess the attribute of interest in the same proportion, and therefore the formula reduces as follows:</w:t>
      </w:r>
    </w:p>
    <w:p w:rsidRPr="00C41208" w:rsidR="005672D4" w:rsidP="005672D4" w:rsidRDefault="005672D4" w14:paraId="58FA38C3" w14:textId="77777777">
      <w:pPr>
        <w:rPr>
          <w:rFonts w:ascii="Times New Roman" w:hAnsi="Times New Roman" w:cs="Times New Roman"/>
        </w:rPr>
      </w:pPr>
    </w:p>
    <w:p w:rsidRPr="00552463" w:rsidR="005672D4" w:rsidP="005672D4" w:rsidRDefault="005672D4" w14:paraId="126073F9" w14:textId="77777777">
      <w:pPr>
        <w:rPr>
          <w:rFonts w:ascii="Times New Roman" w:hAnsi="Times New Roman" w:cs="Times New Roman"/>
        </w:rPr>
      </w:pPr>
      <w:r w:rsidRPr="00552463">
        <w:rPr>
          <w:rFonts w:ascii="Times New Roman" w:hAnsi="Times New Roman" w:cs="Times New Roman"/>
          <w:position w:val="-12"/>
        </w:rPr>
        <w:object w:dxaOrig="1040" w:dyaOrig="380" w14:anchorId="77D010B2">
          <v:shape id="_x0000_i1031" style="width:54pt;height:18pt" o:ole="" type="#_x0000_t75">
            <v:imagedata o:title="" r:id="rId20"/>
          </v:shape>
          <o:OLEObject Type="Embed" ProgID="Equation.DSMT4" ShapeID="_x0000_i1031" DrawAspect="Content" ObjectID="_1680502152" r:id="rId21"/>
        </w:object>
      </w:r>
      <w:r w:rsidRPr="00552463">
        <w:rPr>
          <w:rFonts w:ascii="Times New Roman" w:hAnsi="Times New Roman" w:cs="Times New Roman"/>
        </w:rPr>
        <w:t xml:space="preserve"> </w:t>
      </w:r>
    </w:p>
    <w:p w:rsidRPr="00C41208" w:rsidR="005672D4" w:rsidP="005672D4" w:rsidRDefault="005672D4" w14:paraId="194DD6D9" w14:textId="77777777">
      <w:pPr>
        <w:rPr>
          <w:rFonts w:ascii="Times New Roman" w:hAnsi="Times New Roman" w:cs="Times New Roman"/>
        </w:rPr>
      </w:pPr>
    </w:p>
    <w:p w:rsidRPr="00C41208" w:rsidR="005672D4" w:rsidP="005672D4" w:rsidRDefault="005672D4" w14:paraId="5A380FEF" w14:textId="77777777">
      <w:pPr>
        <w:rPr>
          <w:rFonts w:ascii="Times New Roman" w:hAnsi="Times New Roman" w:cs="Times New Roman"/>
        </w:rPr>
      </w:pPr>
      <w:r w:rsidRPr="00C41208">
        <w:rPr>
          <w:rFonts w:ascii="Times New Roman" w:hAnsi="Times New Roman" w:cs="Times New Roman"/>
        </w:rPr>
        <w:t>At a later date, survey sponsors may decide to request composite estimates for new analysis breakouts that were not determined ahead of time. The definitions above can be generalized to composite estimators over various strata groupings by redefining the universe to the one of interest. However, the sample was not designed with the intention of being sufficient for these new analyses.</w:t>
      </w:r>
    </w:p>
    <w:p w:rsidRPr="00C41208" w:rsidR="005672D4" w:rsidP="005672D4" w:rsidRDefault="005672D4" w14:paraId="70C2E87D" w14:textId="77777777">
      <w:pPr>
        <w:rPr>
          <w:rFonts w:ascii="Times New Roman" w:hAnsi="Times New Roman" w:cs="Times New Roman"/>
        </w:rPr>
      </w:pPr>
    </w:p>
    <w:p w:rsidRPr="00C41208" w:rsidR="005672D4" w:rsidP="005672D4" w:rsidRDefault="005672D4" w14:paraId="005DE665" w14:textId="77777777">
      <w:pPr>
        <w:rPr>
          <w:rFonts w:ascii="Times New Roman" w:hAnsi="Times New Roman" w:cs="Times New Roman"/>
          <w:b/>
        </w:rPr>
      </w:pPr>
      <w:r w:rsidRPr="00C41208">
        <w:rPr>
          <w:rFonts w:ascii="Times New Roman" w:hAnsi="Times New Roman" w:cs="Times New Roman"/>
          <w:b/>
        </w:rPr>
        <w:t>2c. Reliability</w:t>
      </w:r>
    </w:p>
    <w:p w:rsidRPr="00C41208" w:rsidR="0007513D" w:rsidP="005672D4" w:rsidRDefault="0007513D" w14:paraId="5CE2C6B0" w14:textId="77777777">
      <w:pPr>
        <w:pStyle w:val="ListParagraph"/>
        <w:spacing w:after="160" w:line="259" w:lineRule="auto"/>
        <w:ind w:left="0"/>
        <w:rPr>
          <w:rFonts w:eastAsiaTheme="minorHAnsi"/>
          <w:sz w:val="22"/>
          <w:szCs w:val="22"/>
        </w:rPr>
      </w:pPr>
    </w:p>
    <w:p w:rsidRPr="00C41208" w:rsidR="005672D4" w:rsidP="005672D4" w:rsidRDefault="005672D4" w14:paraId="2D5C6238" w14:textId="02B3BEEC">
      <w:pPr>
        <w:pStyle w:val="ListParagraph"/>
        <w:spacing w:after="160" w:line="259" w:lineRule="auto"/>
        <w:ind w:left="0"/>
        <w:rPr>
          <w:rFonts w:eastAsiaTheme="minorHAnsi"/>
          <w:sz w:val="22"/>
          <w:szCs w:val="22"/>
        </w:rPr>
      </w:pPr>
      <w:r w:rsidRPr="00C41208">
        <w:rPr>
          <w:rFonts w:eastAsiaTheme="minorHAnsi"/>
          <w:sz w:val="22"/>
          <w:szCs w:val="22"/>
        </w:rPr>
        <w:t>Variance estimation will involve (i) the application of the general formula for the variance of a composite proportion estimator drawn from a stratified random sample and (ii) the application of the basic formula for the variance of a proportion drawn from a simple random sample. Specifically, the variance of the proportion estimator for so</w:t>
      </w:r>
      <w:r w:rsidRPr="00C41208" w:rsidR="00233847">
        <w:rPr>
          <w:rFonts w:eastAsiaTheme="minorHAnsi"/>
          <w:sz w:val="22"/>
          <w:szCs w:val="22"/>
        </w:rPr>
        <w:t xml:space="preserve">me particular analysis </w:t>
      </w:r>
      <w:r w:rsidRPr="00C41208">
        <w:rPr>
          <w:rFonts w:eastAsiaTheme="minorHAnsi"/>
          <w:sz w:val="22"/>
          <w:szCs w:val="22"/>
        </w:rPr>
        <w:t>cell is:</w:t>
      </w:r>
    </w:p>
    <w:p w:rsidRPr="00C41208" w:rsidR="005672D4" w:rsidP="005672D4" w:rsidRDefault="005672D4" w14:paraId="4C30DAA8" w14:textId="77777777">
      <w:pPr>
        <w:rPr>
          <w:rFonts w:ascii="Times New Roman" w:hAnsi="Times New Roman" w:cs="Times New Roman"/>
        </w:rPr>
      </w:pPr>
    </w:p>
    <w:p w:rsidRPr="00552463" w:rsidR="005672D4" w:rsidP="005672D4" w:rsidRDefault="005672D4" w14:paraId="09413EDE" w14:textId="77777777">
      <w:pPr>
        <w:rPr>
          <w:rFonts w:ascii="Times New Roman" w:hAnsi="Times New Roman" w:cs="Times New Roman"/>
        </w:rPr>
      </w:pPr>
      <w:r w:rsidRPr="00552463">
        <w:rPr>
          <w:rFonts w:ascii="Times New Roman" w:hAnsi="Times New Roman" w:cs="Times New Roman"/>
          <w:position w:val="-28"/>
        </w:rPr>
        <w:object w:dxaOrig="4080" w:dyaOrig="680" w14:anchorId="041D6EB5">
          <v:shape id="_x0000_i1032" style="width:204pt;height:36.55pt" o:ole="" type="#_x0000_t75">
            <v:imagedata o:title="" r:id="rId22"/>
          </v:shape>
          <o:OLEObject Type="Embed" ProgID="Equation.DSMT4" ShapeID="_x0000_i1032" DrawAspect="Content" ObjectID="_1680502153" r:id="rId23"/>
        </w:object>
      </w:r>
    </w:p>
    <w:p w:rsidRPr="00C41208" w:rsidR="005672D4" w:rsidP="005672D4" w:rsidRDefault="005672D4" w14:paraId="27158A57" w14:textId="77777777">
      <w:pPr>
        <w:rPr>
          <w:rFonts w:ascii="Times New Roman" w:hAnsi="Times New Roman" w:cs="Times New Roman"/>
        </w:rPr>
      </w:pPr>
    </w:p>
    <w:p w:rsidRPr="00C41208" w:rsidR="005672D4" w:rsidP="005672D4" w:rsidRDefault="005672D4" w14:paraId="0068EE39" w14:textId="77777777">
      <w:pPr>
        <w:rPr>
          <w:rFonts w:ascii="Times New Roman" w:hAnsi="Times New Roman" w:cs="Times New Roman"/>
        </w:rPr>
      </w:pPr>
      <w:r w:rsidRPr="00C41208">
        <w:rPr>
          <w:rFonts w:ascii="Times New Roman" w:hAnsi="Times New Roman" w:cs="Times New Roman"/>
        </w:rPr>
        <w:lastRenderedPageBreak/>
        <w:t>Under the assumption that, within each particular stratum, non-responders possess the attribute of interest in the same proportion as responders, the formula for the within stratum variance of a proportion calculated from a simple random sample is:</w:t>
      </w:r>
    </w:p>
    <w:p w:rsidRPr="00C41208" w:rsidR="005672D4" w:rsidP="005672D4" w:rsidRDefault="005672D4" w14:paraId="5487A02D" w14:textId="77777777">
      <w:pPr>
        <w:rPr>
          <w:rFonts w:ascii="Times New Roman" w:hAnsi="Times New Roman" w:cs="Times New Roman"/>
        </w:rPr>
      </w:pPr>
    </w:p>
    <w:p w:rsidRPr="00C41208" w:rsidR="005672D4" w:rsidP="005672D4" w:rsidRDefault="005672D4" w14:paraId="7218C346" w14:textId="77777777">
      <w:pPr>
        <w:tabs>
          <w:tab w:val="left" w:pos="1200"/>
        </w:tabs>
        <w:rPr>
          <w:rFonts w:ascii="Times New Roman" w:hAnsi="Times New Roman" w:cs="Times New Roman"/>
        </w:rPr>
      </w:pPr>
      <w:r w:rsidRPr="00C41208">
        <w:rPr>
          <w:rFonts w:ascii="Times New Roman" w:hAnsi="Times New Roman" w:cs="Times New Roman"/>
        </w:rPr>
        <w:tab/>
      </w:r>
    </w:p>
    <w:p w:rsidRPr="00552463" w:rsidR="005672D4" w:rsidP="005672D4" w:rsidRDefault="00233847" w14:paraId="3B08565B" w14:textId="77777777">
      <w:pPr>
        <w:rPr>
          <w:rFonts w:ascii="Times New Roman" w:hAnsi="Times New Roman" w:cs="Times New Roman"/>
        </w:rPr>
      </w:pPr>
      <w:r w:rsidRPr="00552463">
        <w:rPr>
          <w:rFonts w:ascii="Times New Roman" w:hAnsi="Times New Roman" w:cs="Times New Roman"/>
          <w:position w:val="-32"/>
        </w:rPr>
        <w:object w:dxaOrig="3260" w:dyaOrig="760" w14:anchorId="782CDAE9">
          <v:shape id="_x0000_i1033" style="width:162pt;height:35.45pt" o:ole="" type="#_x0000_t75">
            <v:imagedata o:title="" r:id="rId24"/>
          </v:shape>
          <o:OLEObject Type="Embed" ProgID="Equation.DSMT4" ShapeID="_x0000_i1033" DrawAspect="Content" ObjectID="_1680502154" r:id="rId25"/>
        </w:object>
      </w:r>
      <w:r w:rsidRPr="00552463" w:rsidR="005672D4">
        <w:rPr>
          <w:rFonts w:ascii="Times New Roman" w:hAnsi="Times New Roman" w:cs="Times New Roman"/>
        </w:rPr>
        <w:t xml:space="preserve"> </w:t>
      </w:r>
    </w:p>
    <w:p w:rsidRPr="00C41208" w:rsidR="005672D4" w:rsidP="005672D4" w:rsidRDefault="005672D4" w14:paraId="49E5B9B3" w14:textId="77777777">
      <w:pPr>
        <w:rPr>
          <w:rFonts w:ascii="Times New Roman" w:hAnsi="Times New Roman" w:cs="Times New Roman"/>
        </w:rPr>
      </w:pPr>
    </w:p>
    <w:p w:rsidRPr="00C41208" w:rsidR="005672D4" w:rsidP="005672D4" w:rsidRDefault="005672D4" w14:paraId="0D11DD4D" w14:textId="77777777">
      <w:pPr>
        <w:rPr>
          <w:rFonts w:ascii="Times New Roman" w:hAnsi="Times New Roman" w:cs="Times New Roman"/>
        </w:rPr>
      </w:pPr>
    </w:p>
    <w:p w:rsidRPr="00C41208" w:rsidR="005672D4" w:rsidP="005672D4" w:rsidRDefault="005672D4" w14:paraId="01637B37" w14:textId="77777777">
      <w:pPr>
        <w:rPr>
          <w:rFonts w:ascii="Times New Roman" w:hAnsi="Times New Roman" w:cs="Times New Roman"/>
        </w:rPr>
      </w:pPr>
      <w:r w:rsidRPr="00C41208">
        <w:rPr>
          <w:rFonts w:ascii="Times New Roman" w:hAnsi="Times New Roman" w:cs="Times New Roman"/>
        </w:rPr>
        <w:t xml:space="preserve">In the formula above, note that </w:t>
      </w:r>
      <w:r w:rsidRPr="00552463" w:rsidR="00233847">
        <w:rPr>
          <w:rFonts w:ascii="Times New Roman" w:hAnsi="Times New Roman" w:cs="Times New Roman"/>
          <w:position w:val="-12"/>
        </w:rPr>
        <w:object w:dxaOrig="220" w:dyaOrig="360" w14:anchorId="6BD70F95">
          <v:shape id="_x0000_i1034" style="width:10.9pt;height:18pt" o:ole="" type="#_x0000_t75">
            <v:imagedata o:title="" r:id="rId26"/>
          </v:shape>
          <o:OLEObject Type="Embed" ProgID="Equation.DSMT4" ShapeID="_x0000_i1034" DrawAspect="Content" ObjectID="_1680502155" r:id="rId27"/>
        </w:object>
      </w:r>
      <w:r w:rsidRPr="00552463">
        <w:rPr>
          <w:rFonts w:ascii="Times New Roman" w:hAnsi="Times New Roman" w:cs="Times New Roman"/>
        </w:rPr>
        <w:t xml:space="preserve"> is the number of establishments in stratum h that </w:t>
      </w:r>
      <w:r w:rsidRPr="00552463">
        <w:rPr>
          <w:rFonts w:ascii="Times New Roman" w:hAnsi="Times New Roman" w:cs="Times New Roman"/>
          <w:i/>
        </w:rPr>
        <w:t>responded</w:t>
      </w:r>
      <w:r w:rsidRPr="00552463">
        <w:rPr>
          <w:rFonts w:ascii="Times New Roman" w:hAnsi="Times New Roman" w:cs="Times New Roman"/>
        </w:rPr>
        <w:t xml:space="preserve"> to the survey question of interest. It is </w:t>
      </w:r>
      <w:r w:rsidRPr="00C41208">
        <w:rPr>
          <w:rFonts w:ascii="Times New Roman" w:hAnsi="Times New Roman" w:cs="Times New Roman"/>
          <w:i/>
        </w:rPr>
        <w:t>not</w:t>
      </w:r>
      <w:r w:rsidRPr="00C41208">
        <w:rPr>
          <w:rFonts w:ascii="Times New Roman" w:hAnsi="Times New Roman" w:cs="Times New Roman"/>
        </w:rPr>
        <w:t xml:space="preserve"> the stratum h sample size.</w:t>
      </w:r>
    </w:p>
    <w:p w:rsidRPr="00C41208" w:rsidR="005672D4" w:rsidP="005672D4" w:rsidRDefault="005672D4" w14:paraId="607A8ED9" w14:textId="77777777">
      <w:pPr>
        <w:rPr>
          <w:rFonts w:ascii="Times New Roman" w:hAnsi="Times New Roman" w:cs="Times New Roman"/>
        </w:rPr>
      </w:pPr>
    </w:p>
    <w:p w:rsidRPr="00C41208" w:rsidR="005672D4" w:rsidP="007E083E" w:rsidRDefault="005672D4" w14:paraId="58C6F891" w14:textId="77777777">
      <w:pPr>
        <w:rPr>
          <w:rFonts w:ascii="Times New Roman" w:hAnsi="Times New Roman" w:cs="Times New Roman"/>
        </w:rPr>
      </w:pPr>
      <w:r w:rsidRPr="00C41208">
        <w:rPr>
          <w:rFonts w:ascii="Times New Roman" w:hAnsi="Times New Roman" w:cs="Times New Roman"/>
        </w:rPr>
        <w:t>The formulas above can be tailored to the desired composite estimator by applying it across only the set of strata that are relevant to that particular composite.</w:t>
      </w:r>
    </w:p>
    <w:p w:rsidRPr="00C41208" w:rsidR="005672D4" w:rsidP="007E083E" w:rsidRDefault="005672D4" w14:paraId="4E8FF6C6" w14:textId="77777777">
      <w:pPr>
        <w:pStyle w:val="ListParagraph"/>
        <w:ind w:left="0"/>
        <w:rPr>
          <w:rFonts w:asciiTheme="minorHAnsi" w:hAnsiTheme="minorHAnsi" w:eastAsiaTheme="minorHAnsi" w:cstheme="minorHAnsi"/>
          <w:i/>
          <w:sz w:val="22"/>
          <w:szCs w:val="22"/>
        </w:rPr>
      </w:pPr>
    </w:p>
    <w:p w:rsidRPr="00C41208" w:rsidR="005672D4" w:rsidP="005672D4" w:rsidRDefault="005672D4" w14:paraId="03FAF156" w14:textId="77777777">
      <w:pPr>
        <w:rPr>
          <w:rFonts w:cstheme="minorHAnsi"/>
          <w:b/>
        </w:rPr>
      </w:pPr>
      <w:r w:rsidRPr="00C41208">
        <w:rPr>
          <w:rFonts w:cstheme="minorHAnsi"/>
          <w:b/>
        </w:rPr>
        <w:t>2d. Data Collection Cycles</w:t>
      </w:r>
    </w:p>
    <w:p w:rsidRPr="00C41208" w:rsidR="0007513D" w:rsidP="00A03611" w:rsidRDefault="0007513D" w14:paraId="0D8A3599" w14:textId="77777777">
      <w:pPr>
        <w:pStyle w:val="ListParagraph"/>
        <w:ind w:left="0"/>
        <w:rPr>
          <w:rFonts w:asciiTheme="minorHAnsi" w:hAnsiTheme="minorHAnsi" w:eastAsiaTheme="minorHAnsi" w:cstheme="minorHAnsi"/>
          <w:sz w:val="22"/>
          <w:szCs w:val="22"/>
        </w:rPr>
      </w:pPr>
    </w:p>
    <w:p w:rsidRPr="00C41208" w:rsidR="005672D4" w:rsidP="00A03611" w:rsidRDefault="003F48C0" w14:paraId="70BDB1C2" w14:textId="770573B2">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Since the QBS will be collected directly after respondent</w:t>
      </w:r>
      <w:r w:rsidRPr="00C41208" w:rsidR="000D6AF1">
        <w:rPr>
          <w:rFonts w:asciiTheme="minorHAnsi" w:hAnsiTheme="minorHAnsi" w:eastAsiaTheme="minorHAnsi" w:cstheme="minorHAnsi"/>
          <w:sz w:val="22"/>
          <w:szCs w:val="22"/>
        </w:rPr>
        <w:t>s</w:t>
      </w:r>
      <w:r w:rsidRPr="00C41208">
        <w:rPr>
          <w:rFonts w:asciiTheme="minorHAnsi" w:hAnsiTheme="minorHAnsi" w:eastAsiaTheme="minorHAnsi" w:cstheme="minorHAnsi"/>
          <w:sz w:val="22"/>
          <w:szCs w:val="22"/>
        </w:rPr>
        <w:t xml:space="preserve"> submit the ARS, the data collection cycle for the QBS will follow the established pattern of collection used for the Annual </w:t>
      </w:r>
      <w:r w:rsidRPr="00C41208" w:rsidR="005672D4">
        <w:rPr>
          <w:rFonts w:asciiTheme="minorHAnsi" w:hAnsiTheme="minorHAnsi" w:eastAsiaTheme="minorHAnsi" w:cstheme="minorHAnsi"/>
          <w:sz w:val="22"/>
          <w:szCs w:val="22"/>
        </w:rPr>
        <w:t>Refiling Survey (ARS</w:t>
      </w:r>
      <w:r w:rsidRPr="00C41208" w:rsidR="007F1BA1">
        <w:rPr>
          <w:rFonts w:asciiTheme="minorHAnsi" w:hAnsiTheme="minorHAnsi" w:eastAsiaTheme="minorHAnsi" w:cstheme="minorHAnsi"/>
          <w:sz w:val="22"/>
          <w:szCs w:val="22"/>
        </w:rPr>
        <w:t>)</w:t>
      </w:r>
      <w:r w:rsidRPr="00C41208">
        <w:rPr>
          <w:rFonts w:asciiTheme="minorHAnsi" w:hAnsiTheme="minorHAnsi" w:eastAsiaTheme="minorHAnsi" w:cstheme="minorHAnsi"/>
          <w:sz w:val="22"/>
          <w:szCs w:val="22"/>
        </w:rPr>
        <w:t xml:space="preserve"> as outlined </w:t>
      </w:r>
      <w:r w:rsidRPr="00C41208">
        <w:rPr>
          <w:sz w:val="22"/>
          <w:szCs w:val="22"/>
        </w:rPr>
        <w:t>in materials for OMB Control No. 1220-0032.</w:t>
      </w:r>
    </w:p>
    <w:p w:rsidRPr="00C41208" w:rsidR="00A03611" w:rsidP="00A03611" w:rsidRDefault="00A03611" w14:paraId="3DFA10F4" w14:textId="77777777">
      <w:pPr>
        <w:pStyle w:val="ListParagraph"/>
        <w:ind w:left="0"/>
        <w:rPr>
          <w:rFonts w:asciiTheme="minorHAnsi" w:hAnsiTheme="minorHAnsi" w:eastAsiaTheme="minorHAnsi" w:cstheme="minorHAnsi"/>
          <w:sz w:val="22"/>
          <w:szCs w:val="22"/>
        </w:rPr>
      </w:pPr>
    </w:p>
    <w:p w:rsidRPr="00C41208" w:rsidR="005672D4" w:rsidP="00A03611" w:rsidRDefault="005672D4" w14:paraId="1EB03ADA" w14:textId="1F68F0A7">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 xml:space="preserve">Overall data collection is expected to be conducted over an eight </w:t>
      </w:r>
      <w:r w:rsidRPr="00C41208" w:rsidR="003F48C0">
        <w:rPr>
          <w:rFonts w:asciiTheme="minorHAnsi" w:hAnsiTheme="minorHAnsi" w:eastAsiaTheme="minorHAnsi" w:cstheme="minorHAnsi"/>
          <w:sz w:val="22"/>
          <w:szCs w:val="22"/>
        </w:rPr>
        <w:t xml:space="preserve">to </w:t>
      </w:r>
      <w:r w:rsidRPr="00C41208" w:rsidR="003D6890">
        <w:rPr>
          <w:rFonts w:asciiTheme="minorHAnsi" w:hAnsiTheme="minorHAnsi" w:eastAsiaTheme="minorHAnsi" w:cstheme="minorHAnsi"/>
          <w:sz w:val="22"/>
          <w:szCs w:val="22"/>
        </w:rPr>
        <w:t xml:space="preserve">sixteen </w:t>
      </w:r>
      <w:r w:rsidRPr="00C41208">
        <w:rPr>
          <w:rFonts w:asciiTheme="minorHAnsi" w:hAnsiTheme="minorHAnsi" w:eastAsiaTheme="minorHAnsi" w:cstheme="minorHAnsi"/>
          <w:sz w:val="22"/>
          <w:szCs w:val="22"/>
        </w:rPr>
        <w:t>week period</w:t>
      </w:r>
      <w:r w:rsidRPr="00C41208" w:rsidR="003F48C0">
        <w:rPr>
          <w:rFonts w:asciiTheme="minorHAnsi" w:hAnsiTheme="minorHAnsi" w:eastAsiaTheme="minorHAnsi" w:cstheme="minorHAnsi"/>
          <w:sz w:val="22"/>
          <w:szCs w:val="22"/>
        </w:rPr>
        <w:t xml:space="preserve"> starting in late July 2021. This will give </w:t>
      </w:r>
      <w:r w:rsidRPr="00C41208">
        <w:rPr>
          <w:rFonts w:asciiTheme="minorHAnsi" w:hAnsiTheme="minorHAnsi" w:eastAsiaTheme="minorHAnsi" w:cstheme="minorHAnsi"/>
          <w:sz w:val="22"/>
          <w:szCs w:val="22"/>
        </w:rPr>
        <w:t xml:space="preserve">time for response rate review and analysis to determine the optimal data collection outreach methods to maximize response rates and reduce burden. BLS will rely on review and analysis tools developed for the ARS and QBS to assist in decision making. </w:t>
      </w:r>
    </w:p>
    <w:p w:rsidRPr="00C41208" w:rsidR="005672D4" w:rsidP="00A03611" w:rsidRDefault="005672D4" w14:paraId="69CE8C18" w14:textId="77777777">
      <w:pPr>
        <w:pStyle w:val="BodyTextIndent"/>
        <w:spacing w:after="0"/>
        <w:ind w:left="0"/>
        <w:rPr>
          <w:rFonts w:cstheme="minorHAnsi"/>
        </w:rPr>
      </w:pPr>
    </w:p>
    <w:p w:rsidRPr="00C41208" w:rsidR="0007513D" w:rsidP="00A03611" w:rsidRDefault="0007513D" w14:paraId="0A36DBFE" w14:textId="77777777">
      <w:pPr>
        <w:pStyle w:val="BodyTextIndent"/>
        <w:spacing w:after="0"/>
        <w:ind w:left="0"/>
        <w:rPr>
          <w:rFonts w:cstheme="minorHAnsi"/>
        </w:rPr>
      </w:pPr>
    </w:p>
    <w:p w:rsidRPr="00C41208" w:rsidR="005A11AB" w:rsidP="005672D4" w:rsidRDefault="005672D4" w14:paraId="38E75AD7" w14:textId="77777777">
      <w:pPr>
        <w:rPr>
          <w:rFonts w:ascii="Times New Roman" w:hAnsi="Times New Roman"/>
          <w:b/>
        </w:rPr>
      </w:pPr>
      <w:r w:rsidRPr="00C41208">
        <w:rPr>
          <w:rFonts w:cstheme="minorHAnsi"/>
          <w:b/>
        </w:rPr>
        <w:t xml:space="preserve">3. </w:t>
      </w:r>
      <w:r w:rsidRPr="00C41208" w:rsidR="005A11AB">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C41208" w:rsidR="005672D4" w:rsidP="005672D4" w:rsidRDefault="005672D4" w14:paraId="33E158D3" w14:textId="17E4FCA7">
      <w:pPr>
        <w:rPr>
          <w:rFonts w:cstheme="minorHAnsi"/>
          <w:b/>
        </w:rPr>
      </w:pPr>
    </w:p>
    <w:p w:rsidRPr="00C41208" w:rsidR="005672D4" w:rsidP="005672D4" w:rsidRDefault="005672D4" w14:paraId="671963E7" w14:textId="40F91DBD">
      <w:pPr>
        <w:rPr>
          <w:rFonts w:cstheme="minorHAnsi"/>
        </w:rPr>
      </w:pPr>
      <w:r w:rsidRPr="00C41208">
        <w:rPr>
          <w:rFonts w:cstheme="minorHAnsi"/>
        </w:rPr>
        <w:t xml:space="preserve">BLS expects a response rate of 25%. This expectation is based on responses to prior test estimates of the QBS </w:t>
      </w:r>
      <w:r w:rsidRPr="00C41208" w:rsidR="007F1BA1">
        <w:rPr>
          <w:rFonts w:cstheme="minorHAnsi"/>
        </w:rPr>
        <w:t xml:space="preserve">pilot tests </w:t>
      </w:r>
      <w:r w:rsidRPr="00C41208">
        <w:rPr>
          <w:rFonts w:cstheme="minorHAnsi"/>
        </w:rPr>
        <w:t>and results observed from the</w:t>
      </w:r>
      <w:r w:rsidRPr="00C41208" w:rsidR="00A03611">
        <w:rPr>
          <w:rFonts w:cstheme="minorHAnsi"/>
        </w:rPr>
        <w:t xml:space="preserve"> Business Response Survey (BRS).</w:t>
      </w:r>
    </w:p>
    <w:p w:rsidRPr="00C41208" w:rsidR="00E75ED8" w:rsidP="005672D4" w:rsidRDefault="00E75ED8" w14:paraId="1E4D4547" w14:textId="77777777">
      <w:pPr>
        <w:rPr>
          <w:rFonts w:cstheme="minorHAnsi"/>
          <w:b/>
        </w:rPr>
      </w:pPr>
    </w:p>
    <w:p w:rsidRPr="00C41208" w:rsidR="005128CF" w:rsidP="005672D4" w:rsidRDefault="005672D4" w14:paraId="34A98F85" w14:textId="67F3A87F">
      <w:pPr>
        <w:rPr>
          <w:rFonts w:cstheme="minorHAnsi"/>
          <w:b/>
        </w:rPr>
      </w:pPr>
      <w:r w:rsidRPr="00C41208">
        <w:rPr>
          <w:rFonts w:cstheme="minorHAnsi"/>
          <w:b/>
        </w:rPr>
        <w:t>3a. Maximize Response Rates</w:t>
      </w:r>
    </w:p>
    <w:p w:rsidRPr="00C41208" w:rsidR="0007513D" w:rsidP="003F48C0" w:rsidRDefault="0007513D" w14:paraId="465E1ACE" w14:textId="77777777">
      <w:pPr>
        <w:rPr>
          <w:rFonts w:ascii="Times New Roman" w:hAnsi="Times New Roman" w:cs="Times New Roman"/>
        </w:rPr>
      </w:pPr>
    </w:p>
    <w:p w:rsidRPr="00C41208" w:rsidR="003F48C0" w:rsidP="003F48C0" w:rsidRDefault="007F1BA1" w14:paraId="3E0A25C7" w14:textId="77777777">
      <w:pPr>
        <w:rPr>
          <w:rFonts w:ascii="Times New Roman" w:hAnsi="Times New Roman" w:cs="Times New Roman"/>
        </w:rPr>
      </w:pPr>
      <w:r w:rsidRPr="00C41208">
        <w:rPr>
          <w:rFonts w:ascii="Times New Roman" w:hAnsi="Times New Roman" w:cs="Times New Roman"/>
        </w:rPr>
        <w:t xml:space="preserve">To maximize response rates, all units selected in the sample will be transitioned to the QBS questions once they complete the ARS. All multi-units and any singles that are out of scope for the ARS, but are selected for the QBS, will be contacted using established ARS contact methods, i.e. email and ARS solicitation letters. </w:t>
      </w:r>
      <w:r w:rsidRPr="00C41208" w:rsidR="003F48C0">
        <w:rPr>
          <w:rFonts w:ascii="Times New Roman" w:hAnsi="Times New Roman" w:cs="Times New Roman"/>
        </w:rPr>
        <w:t xml:space="preserve">Non response follow-up will be conducted per the current ARS procedures as outlined in materials for OMB Control No. 1220-0032. </w:t>
      </w:r>
    </w:p>
    <w:p w:rsidRPr="00C41208" w:rsidR="007F1BA1" w:rsidP="007F1BA1" w:rsidRDefault="007F1BA1" w14:paraId="0804BD41" w14:textId="77777777">
      <w:pPr>
        <w:rPr>
          <w:rFonts w:ascii="Times New Roman" w:hAnsi="Times New Roman" w:cs="Times New Roman"/>
        </w:rPr>
      </w:pPr>
    </w:p>
    <w:p w:rsidRPr="00C41208" w:rsidR="007F1BA1" w:rsidP="007F1BA1" w:rsidRDefault="005672D4" w14:paraId="08CD2AA6" w14:textId="26580E13">
      <w:pPr>
        <w:rPr>
          <w:rFonts w:ascii="Times New Roman" w:hAnsi="Times New Roman" w:cs="Times New Roman"/>
        </w:rPr>
      </w:pPr>
      <w:r w:rsidRPr="00C41208">
        <w:rPr>
          <w:rFonts w:cstheme="minorHAnsi"/>
        </w:rPr>
        <w:t xml:space="preserve">BLS will rely on established, tested data collection processes to ensure maximum response rates to the </w:t>
      </w:r>
      <w:r w:rsidRPr="00C41208" w:rsidR="00A03611">
        <w:rPr>
          <w:rFonts w:cstheme="minorHAnsi"/>
        </w:rPr>
        <w:t>QBS</w:t>
      </w:r>
      <w:r w:rsidRPr="00C41208">
        <w:rPr>
          <w:rFonts w:cstheme="minorHAnsi"/>
        </w:rPr>
        <w:t>. BLS will make use of exis</w:t>
      </w:r>
      <w:r w:rsidRPr="00C41208" w:rsidR="007F1BA1">
        <w:rPr>
          <w:rFonts w:cstheme="minorHAnsi"/>
        </w:rPr>
        <w:t xml:space="preserve">ting processes from the ARS, BRS, </w:t>
      </w:r>
      <w:r w:rsidRPr="00C41208">
        <w:rPr>
          <w:rFonts w:cstheme="minorHAnsi"/>
        </w:rPr>
        <w:t>and QBS</w:t>
      </w:r>
      <w:r w:rsidRPr="00C41208" w:rsidR="007F1BA1">
        <w:rPr>
          <w:rFonts w:cstheme="minorHAnsi"/>
        </w:rPr>
        <w:t xml:space="preserve"> pilot tests</w:t>
      </w:r>
      <w:r w:rsidRPr="00C41208">
        <w:rPr>
          <w:rFonts w:cstheme="minorHAnsi"/>
        </w:rPr>
        <w:t>, along with consulting other established BLS survey programs to maximize efficiency and reduce burden</w:t>
      </w:r>
      <w:r w:rsidRPr="00C41208" w:rsidR="007F1BA1">
        <w:rPr>
          <w:rFonts w:ascii="Times New Roman" w:hAnsi="Times New Roman" w:cs="Times New Roman"/>
        </w:rPr>
        <w:t xml:space="preserve">. </w:t>
      </w:r>
    </w:p>
    <w:p w:rsidRPr="00C41208" w:rsidR="00A03611" w:rsidP="005672D4" w:rsidRDefault="00A03611" w14:paraId="5E46847E" w14:textId="6D933CBA">
      <w:pPr>
        <w:rPr>
          <w:rFonts w:cstheme="minorHAnsi"/>
        </w:rPr>
      </w:pPr>
    </w:p>
    <w:p w:rsidRPr="00552463" w:rsidR="005672D4" w:rsidP="005672D4" w:rsidRDefault="005672D4" w14:paraId="4D8E8193" w14:textId="5C4525B5">
      <w:pPr>
        <w:rPr>
          <w:rFonts w:cstheme="minorHAnsi"/>
        </w:rPr>
      </w:pPr>
      <w:r w:rsidRPr="00C41208">
        <w:rPr>
          <w:rFonts w:cstheme="minorHAnsi"/>
        </w:rPr>
        <w:lastRenderedPageBreak/>
        <w:t>All of the data collection will take place online via the BLS Internet Data Collection Facility (IDCF). This method of fully online data collection has been successfully employed and tested with the ARS</w:t>
      </w:r>
      <w:r w:rsidRPr="00C41208" w:rsidR="007F1BA1">
        <w:rPr>
          <w:rFonts w:cstheme="minorHAnsi"/>
        </w:rPr>
        <w:t>, BRS</w:t>
      </w:r>
      <w:r w:rsidRPr="00C41208">
        <w:rPr>
          <w:rFonts w:cstheme="minorHAnsi"/>
        </w:rPr>
        <w:t xml:space="preserve"> and QBS </w:t>
      </w:r>
      <w:r w:rsidRPr="00C41208" w:rsidR="007F1BA1">
        <w:rPr>
          <w:rFonts w:cstheme="minorHAnsi"/>
        </w:rPr>
        <w:t xml:space="preserve">pilots </w:t>
      </w:r>
      <w:r w:rsidRPr="00C41208">
        <w:rPr>
          <w:rFonts w:cstheme="minorHAnsi"/>
        </w:rPr>
        <w:t>and has been effective in reducing cost to the government, reducing respondent burden and maximizing response rates</w:t>
      </w:r>
      <w:r w:rsidRPr="00552463">
        <w:rPr>
          <w:rStyle w:val="FootnoteReference"/>
          <w:rFonts w:cstheme="minorHAnsi"/>
        </w:rPr>
        <w:footnoteReference w:id="1"/>
      </w:r>
      <w:r w:rsidRPr="00552463">
        <w:rPr>
          <w:rStyle w:val="FootnoteReference"/>
          <w:rFonts w:cstheme="minorHAnsi"/>
        </w:rPr>
        <w:footnoteReference w:id="2"/>
      </w:r>
      <w:r w:rsidRPr="00552463">
        <w:rPr>
          <w:rStyle w:val="FootnoteReference"/>
          <w:rFonts w:cstheme="minorHAnsi"/>
        </w:rPr>
        <w:footnoteReference w:id="3"/>
      </w:r>
      <w:r w:rsidRPr="00552463">
        <w:rPr>
          <w:rFonts w:cstheme="minorHAnsi"/>
        </w:rPr>
        <w:t xml:space="preserve">. </w:t>
      </w:r>
    </w:p>
    <w:p w:rsidRPr="00C41208" w:rsidR="005672D4" w:rsidP="005672D4" w:rsidRDefault="005672D4" w14:paraId="6F0DB95E" w14:textId="77777777">
      <w:pPr>
        <w:rPr>
          <w:rFonts w:cstheme="minorHAnsi"/>
        </w:rPr>
      </w:pPr>
    </w:p>
    <w:p w:rsidRPr="00C41208" w:rsidR="005672D4" w:rsidP="005672D4" w:rsidRDefault="005672D4" w14:paraId="7C8D4A99" w14:textId="77777777">
      <w:pPr>
        <w:rPr>
          <w:rFonts w:ascii="Times New Roman" w:hAnsi="Times New Roman" w:cs="Times New Roman"/>
          <w:b/>
        </w:rPr>
      </w:pPr>
      <w:r w:rsidRPr="00C41208">
        <w:rPr>
          <w:rFonts w:ascii="Times New Roman" w:hAnsi="Times New Roman" w:cs="Times New Roman"/>
          <w:b/>
        </w:rPr>
        <w:t>3b. Non-Response Adjustment</w:t>
      </w:r>
    </w:p>
    <w:p w:rsidRPr="00C41208" w:rsidR="0007513D" w:rsidP="005672D4" w:rsidRDefault="0007513D" w14:paraId="23373C49" w14:textId="77777777">
      <w:pPr>
        <w:rPr>
          <w:rFonts w:ascii="Times New Roman" w:hAnsi="Times New Roman" w:cs="Times New Roman"/>
        </w:rPr>
      </w:pPr>
    </w:p>
    <w:p w:rsidRPr="00C41208" w:rsidR="00202276" w:rsidP="005672D4" w:rsidRDefault="005672D4" w14:paraId="5CBCE27C" w14:textId="6B0A5B46">
      <w:pPr>
        <w:rPr>
          <w:rFonts w:ascii="Times New Roman" w:hAnsi="Times New Roman" w:cs="Times New Roman"/>
        </w:rPr>
      </w:pPr>
      <w:r w:rsidRPr="00C41208">
        <w:rPr>
          <w:rFonts w:ascii="Times New Roman" w:hAnsi="Times New Roman" w:cs="Times New Roman"/>
        </w:rPr>
        <w:t>BLS expects a response rate of 25 percent</w:t>
      </w:r>
      <w:r w:rsidRPr="00C41208" w:rsidR="00202276">
        <w:rPr>
          <w:rFonts w:ascii="Times New Roman" w:hAnsi="Times New Roman" w:cs="Times New Roman"/>
        </w:rPr>
        <w:t>. However, this response rate will not be uniform across all strata. Additionally, some strata are smaller than others. Consequently, there will be strata that end up with no usable survey responses. When building composite estimates that consist of “empty” strata, the empty strata will be imputed.</w:t>
      </w:r>
    </w:p>
    <w:p w:rsidRPr="00C41208" w:rsidR="00511F95" w:rsidP="005672D4" w:rsidRDefault="00511F95" w14:paraId="762255F9" w14:textId="77777777">
      <w:pPr>
        <w:rPr>
          <w:rFonts w:ascii="Times New Roman" w:hAnsi="Times New Roman" w:cs="Times New Roman"/>
        </w:rPr>
      </w:pPr>
    </w:p>
    <w:p w:rsidRPr="00552463" w:rsidR="00511F95" w:rsidP="00511F95" w:rsidRDefault="00511F95" w14:paraId="0E33D941" w14:textId="77777777">
      <w:pPr>
        <w:rPr>
          <w:rFonts w:ascii="Times New Roman" w:hAnsi="Times New Roman" w:cs="Times New Roman"/>
        </w:rPr>
      </w:pPr>
      <w:r w:rsidRPr="00C41208">
        <w:rPr>
          <w:rFonts w:ascii="Times New Roman" w:hAnsi="Times New Roman" w:cs="Times New Roman"/>
        </w:rPr>
        <w:t xml:space="preserve">Because BLS expects a response rate of 25 percent, BLS will be performing a nonresponse bias analysis and determining appropriate nonresponse bias adjustments. </w:t>
      </w:r>
    </w:p>
    <w:p w:rsidRPr="00C41208" w:rsidR="001861F4" w:rsidP="005672D4" w:rsidRDefault="001861F4" w14:paraId="557E5C30" w14:textId="77777777">
      <w:pPr>
        <w:rPr>
          <w:rFonts w:ascii="Times New Roman" w:hAnsi="Times New Roman" w:cs="Times New Roman"/>
        </w:rPr>
      </w:pPr>
    </w:p>
    <w:p w:rsidRPr="00C41208" w:rsidR="00202276" w:rsidP="001861F4" w:rsidRDefault="001861F4" w14:paraId="12AECF1E" w14:textId="182417F2">
      <w:pPr>
        <w:rPr>
          <w:rFonts w:ascii="Times New Roman" w:hAnsi="Times New Roman" w:cs="Times New Roman"/>
        </w:rPr>
      </w:pPr>
      <w:r w:rsidRPr="00C41208">
        <w:rPr>
          <w:rFonts w:ascii="Times New Roman" w:hAnsi="Times New Roman" w:cs="Times New Roman"/>
        </w:rPr>
        <w:t>For strata imputation, survey strata and question combinations with no usable item response will have their establishment proportions and variances imp</w:t>
      </w:r>
      <w:r w:rsidRPr="00C41208" w:rsidR="00202276">
        <w:rPr>
          <w:rFonts w:ascii="Times New Roman" w:hAnsi="Times New Roman" w:cs="Times New Roman"/>
        </w:rPr>
        <w:t xml:space="preserve">uted according to an </w:t>
      </w:r>
      <w:r w:rsidRPr="00C41208">
        <w:rPr>
          <w:rFonts w:ascii="Times New Roman" w:hAnsi="Times New Roman" w:cs="Times New Roman"/>
        </w:rPr>
        <w:t xml:space="preserve">ordered hierarchy of </w:t>
      </w:r>
      <w:r w:rsidRPr="00C41208" w:rsidR="0013699E">
        <w:rPr>
          <w:rFonts w:ascii="Times New Roman" w:hAnsi="Times New Roman" w:cs="Times New Roman"/>
        </w:rPr>
        <w:t xml:space="preserve">related </w:t>
      </w:r>
      <w:r w:rsidRPr="00C41208">
        <w:rPr>
          <w:rFonts w:ascii="Times New Roman" w:hAnsi="Times New Roman" w:cs="Times New Roman"/>
        </w:rPr>
        <w:t>composite estimates</w:t>
      </w:r>
      <w:r w:rsidRPr="00C41208" w:rsidR="00202276">
        <w:rPr>
          <w:rFonts w:ascii="Times New Roman" w:hAnsi="Times New Roman" w:cs="Times New Roman"/>
        </w:rPr>
        <w:t xml:space="preserve"> that will be determined at a later date.</w:t>
      </w:r>
    </w:p>
    <w:p w:rsidRPr="00C41208" w:rsidR="001861F4" w:rsidP="001861F4" w:rsidRDefault="001861F4" w14:paraId="455C8E86" w14:textId="77777777">
      <w:pPr>
        <w:rPr>
          <w:rFonts w:ascii="Times New Roman" w:hAnsi="Times New Roman" w:cs="Times New Roman"/>
        </w:rPr>
      </w:pPr>
    </w:p>
    <w:p w:rsidRPr="00C41208" w:rsidR="005672D4" w:rsidP="005672D4" w:rsidRDefault="00526B57" w14:paraId="5373CEBC" w14:textId="76026F30">
      <w:pPr>
        <w:rPr>
          <w:rFonts w:ascii="Times New Roman" w:hAnsi="Times New Roman" w:cs="Times New Roman"/>
        </w:rPr>
      </w:pPr>
      <w:r w:rsidRPr="00C41208">
        <w:rPr>
          <w:rFonts w:ascii="Times New Roman" w:hAnsi="Times New Roman" w:cs="Times New Roman"/>
        </w:rPr>
        <w:t>Other n</w:t>
      </w:r>
      <w:r w:rsidRPr="00C41208" w:rsidR="005672D4">
        <w:rPr>
          <w:rFonts w:ascii="Times New Roman" w:hAnsi="Times New Roman" w:cs="Times New Roman"/>
        </w:rPr>
        <w:t xml:space="preserve">on-response bias adjustment </w:t>
      </w:r>
      <w:r w:rsidRPr="00C41208">
        <w:rPr>
          <w:rFonts w:ascii="Times New Roman" w:hAnsi="Times New Roman" w:cs="Times New Roman"/>
        </w:rPr>
        <w:t xml:space="preserve">methods may </w:t>
      </w:r>
      <w:r w:rsidRPr="00C41208" w:rsidR="005672D4">
        <w:rPr>
          <w:rFonts w:ascii="Times New Roman" w:hAnsi="Times New Roman" w:cs="Times New Roman"/>
        </w:rPr>
        <w:t>be assessed based on survey results</w:t>
      </w:r>
      <w:r w:rsidRPr="00C41208">
        <w:rPr>
          <w:rFonts w:ascii="Times New Roman" w:hAnsi="Times New Roman" w:cs="Times New Roman"/>
        </w:rPr>
        <w:t xml:space="preserve">. For example, another </w:t>
      </w:r>
      <w:r w:rsidRPr="00C41208" w:rsidR="0013699E">
        <w:rPr>
          <w:rFonts w:ascii="Times New Roman" w:hAnsi="Times New Roman" w:cs="Times New Roman"/>
        </w:rPr>
        <w:t>method to explore</w:t>
      </w:r>
      <w:r w:rsidRPr="00C41208">
        <w:rPr>
          <w:rFonts w:ascii="Times New Roman" w:hAnsi="Times New Roman" w:cs="Times New Roman"/>
        </w:rPr>
        <w:t xml:space="preserve"> is to</w:t>
      </w:r>
      <w:r w:rsidRPr="00C41208" w:rsidR="005672D4">
        <w:rPr>
          <w:rFonts w:ascii="Times New Roman" w:hAnsi="Times New Roman" w:cs="Times New Roman"/>
        </w:rPr>
        <w:t xml:space="preserve"> impute missing questionnaire responses using the response of the nearest responding neighbor. </w:t>
      </w:r>
      <w:r w:rsidRPr="00C41208">
        <w:rPr>
          <w:rFonts w:ascii="Times New Roman" w:hAnsi="Times New Roman" w:cs="Times New Roman"/>
        </w:rPr>
        <w:t>F</w:t>
      </w:r>
      <w:r w:rsidRPr="00C41208" w:rsidR="005672D4">
        <w:rPr>
          <w:rFonts w:ascii="Times New Roman" w:hAnsi="Times New Roman" w:cs="Times New Roman"/>
        </w:rPr>
        <w:t xml:space="preserve">inal methods will be documented along with all of the other statistical design methods on the public webpage used for dissemination of the results. </w:t>
      </w:r>
    </w:p>
    <w:p w:rsidRPr="00C41208" w:rsidR="005672D4" w:rsidP="005672D4" w:rsidRDefault="005672D4" w14:paraId="484A2C17" w14:textId="77777777">
      <w:pPr>
        <w:rPr>
          <w:rFonts w:ascii="Times New Roman" w:hAnsi="Times New Roman" w:cs="Times New Roman"/>
        </w:rPr>
      </w:pPr>
    </w:p>
    <w:p w:rsidRPr="00C41208" w:rsidR="005672D4" w:rsidP="005672D4" w:rsidRDefault="005672D4" w14:paraId="608A5994" w14:textId="77777777">
      <w:pPr>
        <w:rPr>
          <w:rFonts w:cstheme="minorHAnsi"/>
        </w:rPr>
      </w:pPr>
      <w:r w:rsidRPr="00C41208">
        <w:rPr>
          <w:rFonts w:cstheme="minorHAnsi"/>
          <w:b/>
        </w:rPr>
        <w:t>3c. Confidentiality</w:t>
      </w:r>
    </w:p>
    <w:p w:rsidRPr="00C41208" w:rsidR="0007513D" w:rsidP="005672D4" w:rsidRDefault="0007513D" w14:paraId="19108221" w14:textId="77777777">
      <w:pPr>
        <w:pStyle w:val="BodyText3"/>
        <w:spacing w:after="0"/>
        <w:rPr>
          <w:rFonts w:cstheme="minorHAnsi"/>
          <w:sz w:val="22"/>
          <w:szCs w:val="22"/>
        </w:rPr>
      </w:pPr>
    </w:p>
    <w:p w:rsidRPr="00C41208" w:rsidR="005672D4" w:rsidP="005672D4" w:rsidRDefault="005672D4" w14:paraId="369B59D5" w14:textId="4BBB0560">
      <w:pPr>
        <w:pStyle w:val="BodyText3"/>
        <w:spacing w:after="0"/>
        <w:rPr>
          <w:rFonts w:cstheme="minorHAnsi"/>
          <w:sz w:val="22"/>
          <w:szCs w:val="22"/>
        </w:rPr>
      </w:pPr>
      <w:r w:rsidRPr="00C41208">
        <w:rPr>
          <w:rFonts w:cstheme="minorHAnsi"/>
          <w:sz w:val="22"/>
          <w:szCs w:val="22"/>
        </w:rPr>
        <w:t xml:space="preserve">Before estimates are released to the public, they must first be screened to ensure that they do not violate the Bureau of Labor Statistics’ (BLS) confidentiality pledge. A promise is made by the Bureau to each private sector sample unit that the BLS will not release its employment data to the public in a manner that would allow others to identify the unit. If an estimate fails a predetermined primary confidentiality threshold, such as the p% rule, then the cell can be protected. Whether this protection is suppression, rounding or other method is somewhat dependent on the objective of the survey. Secondary confidentiality protection is also implemented to protect respondent information at this level. </w:t>
      </w:r>
    </w:p>
    <w:p w:rsidRPr="00C41208" w:rsidR="005672D4" w:rsidP="005672D4" w:rsidRDefault="005672D4" w14:paraId="00D21CC5" w14:textId="77777777">
      <w:pPr>
        <w:rPr>
          <w:rFonts w:cstheme="minorHAnsi"/>
          <w:b/>
        </w:rPr>
      </w:pPr>
    </w:p>
    <w:p w:rsidRPr="00C41208" w:rsidR="002252CC" w:rsidP="005672D4" w:rsidRDefault="002252CC" w14:paraId="33C567AE" w14:textId="77777777">
      <w:pPr>
        <w:rPr>
          <w:rFonts w:cstheme="minorHAnsi"/>
          <w:b/>
        </w:rPr>
      </w:pPr>
    </w:p>
    <w:p w:rsidRPr="00C41208" w:rsidR="005A11AB" w:rsidP="005672D4" w:rsidRDefault="005672D4" w14:paraId="71FA7498" w14:textId="77777777">
      <w:pPr>
        <w:rPr>
          <w:rFonts w:ascii="Times New Roman" w:hAnsi="Times New Roman"/>
          <w:b/>
        </w:rPr>
      </w:pPr>
      <w:r w:rsidRPr="00C41208">
        <w:rPr>
          <w:rFonts w:cstheme="minorHAnsi"/>
          <w:b/>
        </w:rPr>
        <w:t xml:space="preserve">4. </w:t>
      </w:r>
      <w:r w:rsidRPr="00C41208" w:rsidR="005A11AB">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C41208" w:rsidR="005672D4" w:rsidP="005672D4" w:rsidRDefault="005672D4" w14:paraId="17A6639F" w14:textId="12EDDA95">
      <w:pPr>
        <w:rPr>
          <w:rFonts w:cstheme="minorHAnsi"/>
          <w:b/>
        </w:rPr>
      </w:pPr>
    </w:p>
    <w:p w:rsidRPr="00C41208" w:rsidR="005672D4" w:rsidP="00A03611" w:rsidRDefault="005672D4" w14:paraId="65488B20" w14:textId="0C213933">
      <w:pPr>
        <w:rPr>
          <w:rFonts w:cstheme="minorHAnsi"/>
        </w:rPr>
      </w:pPr>
      <w:r w:rsidRPr="00C41208">
        <w:rPr>
          <w:rFonts w:cstheme="minorHAnsi"/>
        </w:rPr>
        <w:lastRenderedPageBreak/>
        <w:t xml:space="preserve">The </w:t>
      </w:r>
      <w:r w:rsidRPr="00C41208" w:rsidR="00A03611">
        <w:rPr>
          <w:rFonts w:cstheme="minorHAnsi"/>
        </w:rPr>
        <w:t>QBS</w:t>
      </w:r>
      <w:r w:rsidRPr="00C41208">
        <w:rPr>
          <w:rFonts w:cstheme="minorHAnsi"/>
        </w:rPr>
        <w:t xml:space="preserve"> is built on years of testing for the QBS and the ARS. This testing has informed the platform used, contact strategies, data processing methods, and expected data review time frames. </w:t>
      </w:r>
    </w:p>
    <w:p w:rsidRPr="00C41208" w:rsidR="005672D4" w:rsidP="00A03611" w:rsidRDefault="005672D4" w14:paraId="2B0E3117" w14:textId="77777777">
      <w:pPr>
        <w:rPr>
          <w:rFonts w:cstheme="minorHAnsi"/>
        </w:rPr>
      </w:pPr>
    </w:p>
    <w:p w:rsidRPr="00C41208" w:rsidR="005672D4" w:rsidP="00A03611" w:rsidRDefault="005672D4" w14:paraId="5A7E1512" w14:textId="737D87A4">
      <w:pPr>
        <w:rPr>
          <w:rFonts w:cstheme="minorHAnsi"/>
        </w:rPr>
      </w:pPr>
      <w:r w:rsidRPr="00C41208">
        <w:rPr>
          <w:rFonts w:cstheme="minorHAnsi"/>
        </w:rPr>
        <w:t xml:space="preserve">The content proposed for inclusion on the </w:t>
      </w:r>
      <w:r w:rsidRPr="00C41208" w:rsidR="00A03611">
        <w:rPr>
          <w:rFonts w:cstheme="minorHAnsi"/>
        </w:rPr>
        <w:t>QBS</w:t>
      </w:r>
      <w:r w:rsidRPr="00C41208">
        <w:rPr>
          <w:rFonts w:cstheme="minorHAnsi"/>
        </w:rPr>
        <w:t xml:space="preserve"> questionnaire </w:t>
      </w:r>
      <w:r w:rsidRPr="00C41208" w:rsidR="00C81556">
        <w:rPr>
          <w:rFonts w:cstheme="minorHAnsi"/>
        </w:rPr>
        <w:t>has been reviewed by the BLS cognitive experts and is also being</w:t>
      </w:r>
      <w:r w:rsidRPr="00C41208">
        <w:rPr>
          <w:rFonts w:cstheme="minorHAnsi"/>
        </w:rPr>
        <w:t xml:space="preserve"> cognitively tested by the Office of Survey Methods Research staff at BLS. Cognitive testing </w:t>
      </w:r>
      <w:r w:rsidRPr="00C41208" w:rsidR="00C81556">
        <w:rPr>
          <w:rFonts w:cstheme="minorHAnsi"/>
        </w:rPr>
        <w:t>will occur</w:t>
      </w:r>
      <w:r w:rsidRPr="00C41208">
        <w:rPr>
          <w:rFonts w:cstheme="minorHAnsi"/>
        </w:rPr>
        <w:t xml:space="preserve"> with fewer than 10 respondents. A memo summarizing the cognitive testing methods and results </w:t>
      </w:r>
      <w:r w:rsidRPr="00C41208" w:rsidR="00C81556">
        <w:rPr>
          <w:rFonts w:cstheme="minorHAnsi"/>
        </w:rPr>
        <w:t>will be</w:t>
      </w:r>
      <w:r w:rsidRPr="00C41208">
        <w:rPr>
          <w:rFonts w:cstheme="minorHAnsi"/>
        </w:rPr>
        <w:t xml:space="preserve"> included as an attachment to this package</w:t>
      </w:r>
      <w:r w:rsidRPr="00C41208" w:rsidR="00C81556">
        <w:rPr>
          <w:rFonts w:cstheme="minorHAnsi"/>
        </w:rPr>
        <w:t xml:space="preserve"> upon completion</w:t>
      </w:r>
      <w:r w:rsidRPr="00C41208">
        <w:rPr>
          <w:rFonts w:cstheme="minorHAnsi"/>
        </w:rPr>
        <w:t xml:space="preserve">.  Overall, the </w:t>
      </w:r>
      <w:r w:rsidRPr="00C41208" w:rsidR="00C81556">
        <w:rPr>
          <w:rFonts w:cstheme="minorHAnsi"/>
        </w:rPr>
        <w:t>cognitive expert review</w:t>
      </w:r>
      <w:r w:rsidRPr="00C41208">
        <w:rPr>
          <w:rFonts w:cstheme="minorHAnsi"/>
        </w:rPr>
        <w:t xml:space="preserve"> i</w:t>
      </w:r>
      <w:r w:rsidRPr="00C41208" w:rsidR="00C81556">
        <w:rPr>
          <w:rFonts w:cstheme="minorHAnsi"/>
        </w:rPr>
        <w:t>ndicates that the questions work</w:t>
      </w:r>
      <w:r w:rsidRPr="00C41208">
        <w:rPr>
          <w:rFonts w:cstheme="minorHAnsi"/>
        </w:rPr>
        <w:t xml:space="preserve"> as intended and the likely </w:t>
      </w:r>
      <w:r w:rsidRPr="00C41208" w:rsidR="00A03611">
        <w:rPr>
          <w:rFonts w:cstheme="minorHAnsi"/>
        </w:rPr>
        <w:t>QBS</w:t>
      </w:r>
      <w:r w:rsidRPr="00C41208">
        <w:rPr>
          <w:rFonts w:cstheme="minorHAnsi"/>
        </w:rPr>
        <w:t xml:space="preserve"> respondents will have the information required to provide accurate answers without consulting records or other establishment employees.  </w:t>
      </w:r>
    </w:p>
    <w:p w:rsidRPr="00C41208" w:rsidR="005672D4" w:rsidP="005672D4" w:rsidRDefault="005672D4" w14:paraId="31FB4BF3" w14:textId="77777777">
      <w:pPr>
        <w:spacing w:after="200" w:line="276" w:lineRule="auto"/>
        <w:rPr>
          <w:rFonts w:cstheme="minorHAnsi"/>
        </w:rPr>
      </w:pPr>
    </w:p>
    <w:p w:rsidRPr="00C41208" w:rsidR="005A11AB" w:rsidP="005A11AB" w:rsidRDefault="005672D4" w14:paraId="726AB4CF" w14:textId="77777777">
      <w:pPr>
        <w:rPr>
          <w:rFonts w:ascii="Times New Roman" w:hAnsi="Times New Roman"/>
          <w:b/>
        </w:rPr>
      </w:pPr>
      <w:r w:rsidRPr="00C41208">
        <w:rPr>
          <w:rFonts w:cstheme="minorHAnsi"/>
          <w:b/>
        </w:rPr>
        <w:t xml:space="preserve">5. </w:t>
      </w:r>
      <w:r w:rsidRPr="00C41208" w:rsidR="005A11AB">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C41208" w:rsidR="005672D4" w:rsidP="005672D4" w:rsidRDefault="005672D4" w14:paraId="109D7F26" w14:textId="49E7510F">
      <w:pPr>
        <w:rPr>
          <w:rFonts w:cstheme="minorHAnsi"/>
          <w:b/>
        </w:rPr>
      </w:pPr>
    </w:p>
    <w:p w:rsidRPr="00C41208" w:rsidR="005672D4" w:rsidP="005672D4" w:rsidRDefault="005672D4" w14:paraId="05238E6E" w14:textId="77777777">
      <w:pPr>
        <w:rPr>
          <w:rFonts w:cstheme="minorHAnsi"/>
        </w:rPr>
      </w:pPr>
      <w:r w:rsidRPr="00C41208">
        <w:rPr>
          <w:rFonts w:cstheme="minorHAnsi"/>
        </w:rPr>
        <w:t xml:space="preserve">Mr. Ed Robison, Division Chief of the Statistical Methods Staff, Office of Employment and Unemployment Statistics, is responsible for the statistical aspects of this survey. </w:t>
      </w:r>
    </w:p>
    <w:p w:rsidRPr="00C41208" w:rsidR="00501C83" w:rsidRDefault="00501C83" w14:paraId="7C71EDD2" w14:textId="77777777"/>
    <w:p w:rsidR="00513BC0" w:rsidRDefault="00513BC0" w14:paraId="39BD8EF2" w14:textId="77777777"/>
    <w:p w:rsidR="00513BC0" w:rsidRDefault="00513BC0" w14:paraId="3821A4EB" w14:textId="77777777"/>
    <w:p w:rsidR="00513BC0" w:rsidRDefault="00513BC0" w14:paraId="7DC09E63" w14:textId="77777777"/>
    <w:p w:rsidR="00513BC0" w:rsidP="00250D72" w:rsidRDefault="00513BC0" w14:paraId="1D2D93D6" w14:textId="77777777"/>
    <w:sectPr w:rsidR="00513BC0">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6988" w14:textId="77777777" w:rsidR="003F53B4" w:rsidRDefault="003F53B4" w:rsidP="00501C83">
      <w:r>
        <w:separator/>
      </w:r>
    </w:p>
  </w:endnote>
  <w:endnote w:type="continuationSeparator" w:id="0">
    <w:p w14:paraId="7FE567FD" w14:textId="77777777" w:rsidR="003F53B4" w:rsidRDefault="003F53B4" w:rsidP="005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833461"/>
      <w:docPartObj>
        <w:docPartGallery w:val="Page Numbers (Bottom of Page)"/>
        <w:docPartUnique/>
      </w:docPartObj>
    </w:sdtPr>
    <w:sdtEndPr>
      <w:rPr>
        <w:noProof/>
      </w:rPr>
    </w:sdtEndPr>
    <w:sdtContent>
      <w:p w14:paraId="4F284DDE" w14:textId="77777777" w:rsidR="009D3953" w:rsidRDefault="009D3953">
        <w:pPr>
          <w:pStyle w:val="Footer"/>
          <w:jc w:val="center"/>
        </w:pPr>
        <w:r>
          <w:fldChar w:fldCharType="begin"/>
        </w:r>
        <w:r>
          <w:instrText xml:space="preserve"> PAGE   \* MERGEFORMAT </w:instrText>
        </w:r>
        <w:r>
          <w:fldChar w:fldCharType="separate"/>
        </w:r>
        <w:r w:rsidR="000F2696">
          <w:rPr>
            <w:noProof/>
          </w:rPr>
          <w:t>9</w:t>
        </w:r>
        <w:r>
          <w:rPr>
            <w:noProof/>
          </w:rPr>
          <w:fldChar w:fldCharType="end"/>
        </w:r>
      </w:p>
    </w:sdtContent>
  </w:sdt>
  <w:p w14:paraId="58402F63" w14:textId="77777777" w:rsidR="009D3953" w:rsidRDefault="009D3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1F4F2" w14:textId="77777777" w:rsidR="003F53B4" w:rsidRDefault="003F53B4" w:rsidP="00501C83">
      <w:r>
        <w:separator/>
      </w:r>
    </w:p>
  </w:footnote>
  <w:footnote w:type="continuationSeparator" w:id="0">
    <w:p w14:paraId="33039C99" w14:textId="77777777" w:rsidR="003F53B4" w:rsidRDefault="003F53B4" w:rsidP="00501C83">
      <w:r>
        <w:continuationSeparator/>
      </w:r>
    </w:p>
  </w:footnote>
  <w:footnote w:id="1">
    <w:p w14:paraId="401BB939" w14:textId="77777777" w:rsidR="009D3953" w:rsidRPr="005945DF"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14:paraId="029DA072" w14:textId="77777777" w:rsidR="009D3953" w:rsidRPr="00B03ECE" w:rsidRDefault="009D3953" w:rsidP="005672D4">
      <w:pPr>
        <w:pStyle w:val="FootnoteText"/>
        <w:rPr>
          <w:rFonts w:cstheme="minorHAnsi"/>
        </w:rPr>
      </w:pPr>
    </w:p>
  </w:footnote>
  <w:footnote w:id="2">
    <w:p w14:paraId="7420D5A1" w14:textId="77777777" w:rsidR="009D3953"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14:paraId="2AB085BE" w14:textId="77777777" w:rsidR="009D3953" w:rsidRPr="00B03ECE" w:rsidRDefault="009D3953" w:rsidP="005672D4">
      <w:pPr>
        <w:pStyle w:val="FootnoteText"/>
        <w:rPr>
          <w:rFonts w:cstheme="minorHAnsi"/>
        </w:rPr>
      </w:pPr>
    </w:p>
  </w:footnote>
  <w:footnote w:id="3">
    <w:p w14:paraId="510784FE" w14:textId="77777777" w:rsidR="009D3953" w:rsidRPr="00B03ECE" w:rsidRDefault="009D3953" w:rsidP="005672D4">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44B3E" w14:textId="77777777" w:rsidR="009D3953" w:rsidRPr="00552463" w:rsidRDefault="009D3953" w:rsidP="004365CD">
    <w:pPr>
      <w:pStyle w:val="Header"/>
      <w:rPr>
        <w:sz w:val="20"/>
        <w:szCs w:val="20"/>
      </w:rPr>
    </w:pPr>
    <w:r w:rsidRPr="00552463">
      <w:rPr>
        <w:sz w:val="20"/>
        <w:szCs w:val="20"/>
      </w:rPr>
      <w:t>QCEW Business Supplement</w:t>
    </w:r>
  </w:p>
  <w:p w14:paraId="270E414F" w14:textId="33C18318" w:rsidR="009D3953" w:rsidRPr="00552463" w:rsidRDefault="009D3953" w:rsidP="004365CD">
    <w:pPr>
      <w:pStyle w:val="Header"/>
      <w:rPr>
        <w:sz w:val="20"/>
        <w:szCs w:val="20"/>
      </w:rPr>
    </w:pPr>
    <w:r w:rsidRPr="00552463">
      <w:rPr>
        <w:sz w:val="20"/>
        <w:szCs w:val="20"/>
      </w:rPr>
      <w:t>OMB Control Number: 1220-NEW</w:t>
    </w:r>
  </w:p>
  <w:p w14:paraId="68EC4452" w14:textId="21CF05BD" w:rsidR="009D3953" w:rsidRPr="00552463" w:rsidRDefault="009D3953" w:rsidP="004365CD">
    <w:pPr>
      <w:pStyle w:val="Header"/>
      <w:rPr>
        <w:sz w:val="20"/>
        <w:szCs w:val="20"/>
      </w:rPr>
    </w:pPr>
    <w:r w:rsidRPr="00552463">
      <w:rPr>
        <w:sz w:val="20"/>
        <w:szCs w:val="20"/>
      </w:rPr>
      <w:t>OMB Expiration Date: N/A</w:t>
    </w:r>
  </w:p>
  <w:p w14:paraId="52CB3C4D" w14:textId="77777777" w:rsidR="009D3953" w:rsidRPr="00552463" w:rsidRDefault="009D3953" w:rsidP="004A53B3">
    <w:pPr>
      <w:pStyle w:val="Header"/>
      <w:tabs>
        <w:tab w:val="left" w:pos="9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504"/>
    <w:multiLevelType w:val="hybridMultilevel"/>
    <w:tmpl w:val="98E0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CC3305"/>
    <w:multiLevelType w:val="hybridMultilevel"/>
    <w:tmpl w:val="82405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D5F74"/>
    <w:multiLevelType w:val="hybridMultilevel"/>
    <w:tmpl w:val="8222B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421EE4"/>
    <w:multiLevelType w:val="hybridMultilevel"/>
    <w:tmpl w:val="94F4D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D19EA"/>
    <w:multiLevelType w:val="hybridMultilevel"/>
    <w:tmpl w:val="85905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3"/>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83"/>
    <w:rsid w:val="00002D29"/>
    <w:rsid w:val="00006D8B"/>
    <w:rsid w:val="00014D63"/>
    <w:rsid w:val="00014FC7"/>
    <w:rsid w:val="00024766"/>
    <w:rsid w:val="00032F7C"/>
    <w:rsid w:val="00043CEB"/>
    <w:rsid w:val="00046742"/>
    <w:rsid w:val="000511C7"/>
    <w:rsid w:val="00057C5D"/>
    <w:rsid w:val="000666EE"/>
    <w:rsid w:val="0007513D"/>
    <w:rsid w:val="00077DAD"/>
    <w:rsid w:val="00084D5D"/>
    <w:rsid w:val="000918A5"/>
    <w:rsid w:val="00097133"/>
    <w:rsid w:val="00097DC4"/>
    <w:rsid w:val="000A28B7"/>
    <w:rsid w:val="000B77D0"/>
    <w:rsid w:val="000C39A6"/>
    <w:rsid w:val="000D6AF1"/>
    <w:rsid w:val="000D77FC"/>
    <w:rsid w:val="000F2696"/>
    <w:rsid w:val="000F6203"/>
    <w:rsid w:val="0010519A"/>
    <w:rsid w:val="001137F3"/>
    <w:rsid w:val="00120181"/>
    <w:rsid w:val="00123B40"/>
    <w:rsid w:val="00124193"/>
    <w:rsid w:val="00134CC6"/>
    <w:rsid w:val="0013699E"/>
    <w:rsid w:val="00144C6A"/>
    <w:rsid w:val="0016005C"/>
    <w:rsid w:val="001606F3"/>
    <w:rsid w:val="00161CF1"/>
    <w:rsid w:val="0016334E"/>
    <w:rsid w:val="00165FCD"/>
    <w:rsid w:val="00171C82"/>
    <w:rsid w:val="001848A8"/>
    <w:rsid w:val="001861F4"/>
    <w:rsid w:val="00186F21"/>
    <w:rsid w:val="00191F44"/>
    <w:rsid w:val="00194717"/>
    <w:rsid w:val="001C55AF"/>
    <w:rsid w:val="001D0088"/>
    <w:rsid w:val="001F0630"/>
    <w:rsid w:val="00202276"/>
    <w:rsid w:val="00221A31"/>
    <w:rsid w:val="002252CC"/>
    <w:rsid w:val="00226038"/>
    <w:rsid w:val="00227ADD"/>
    <w:rsid w:val="0023051A"/>
    <w:rsid w:val="00233847"/>
    <w:rsid w:val="00233CC8"/>
    <w:rsid w:val="00235A43"/>
    <w:rsid w:val="00235F17"/>
    <w:rsid w:val="00250D72"/>
    <w:rsid w:val="002667FD"/>
    <w:rsid w:val="002852B5"/>
    <w:rsid w:val="00290610"/>
    <w:rsid w:val="0029782F"/>
    <w:rsid w:val="002A058A"/>
    <w:rsid w:val="002A51B8"/>
    <w:rsid w:val="002B00F7"/>
    <w:rsid w:val="002B650C"/>
    <w:rsid w:val="002B6A0F"/>
    <w:rsid w:val="002B6C9D"/>
    <w:rsid w:val="002B7565"/>
    <w:rsid w:val="002C09F9"/>
    <w:rsid w:val="002C7C49"/>
    <w:rsid w:val="002D0721"/>
    <w:rsid w:val="002D0B43"/>
    <w:rsid w:val="002D12E6"/>
    <w:rsid w:val="002D2F6B"/>
    <w:rsid w:val="002D310E"/>
    <w:rsid w:val="002E7071"/>
    <w:rsid w:val="002F1356"/>
    <w:rsid w:val="002F1A91"/>
    <w:rsid w:val="00310395"/>
    <w:rsid w:val="00326057"/>
    <w:rsid w:val="00333B81"/>
    <w:rsid w:val="00347967"/>
    <w:rsid w:val="0035003F"/>
    <w:rsid w:val="00355FB8"/>
    <w:rsid w:val="00356F25"/>
    <w:rsid w:val="003624B6"/>
    <w:rsid w:val="0036646F"/>
    <w:rsid w:val="00366F66"/>
    <w:rsid w:val="00371676"/>
    <w:rsid w:val="00380A1B"/>
    <w:rsid w:val="00391F2E"/>
    <w:rsid w:val="00393AA3"/>
    <w:rsid w:val="00393D57"/>
    <w:rsid w:val="003943FF"/>
    <w:rsid w:val="00395233"/>
    <w:rsid w:val="003A0A45"/>
    <w:rsid w:val="003A0E16"/>
    <w:rsid w:val="003A45CF"/>
    <w:rsid w:val="003A4F87"/>
    <w:rsid w:val="003A55EF"/>
    <w:rsid w:val="003A618C"/>
    <w:rsid w:val="003A6974"/>
    <w:rsid w:val="003B1096"/>
    <w:rsid w:val="003B30FF"/>
    <w:rsid w:val="003B4A68"/>
    <w:rsid w:val="003B4AD3"/>
    <w:rsid w:val="003B7954"/>
    <w:rsid w:val="003C56A7"/>
    <w:rsid w:val="003C71BF"/>
    <w:rsid w:val="003D6890"/>
    <w:rsid w:val="003F0C34"/>
    <w:rsid w:val="003F2BB6"/>
    <w:rsid w:val="003F48C0"/>
    <w:rsid w:val="003F53B4"/>
    <w:rsid w:val="00414731"/>
    <w:rsid w:val="00414E96"/>
    <w:rsid w:val="00415EF3"/>
    <w:rsid w:val="00422361"/>
    <w:rsid w:val="00423CC0"/>
    <w:rsid w:val="004365CD"/>
    <w:rsid w:val="004369FB"/>
    <w:rsid w:val="00441057"/>
    <w:rsid w:val="004420E6"/>
    <w:rsid w:val="00444219"/>
    <w:rsid w:val="0044753C"/>
    <w:rsid w:val="00453871"/>
    <w:rsid w:val="004551C8"/>
    <w:rsid w:val="00455661"/>
    <w:rsid w:val="00474DE3"/>
    <w:rsid w:val="0047700B"/>
    <w:rsid w:val="00487C63"/>
    <w:rsid w:val="004915FE"/>
    <w:rsid w:val="004A53B3"/>
    <w:rsid w:val="004C1911"/>
    <w:rsid w:val="004C48F7"/>
    <w:rsid w:val="004C580A"/>
    <w:rsid w:val="004D1E67"/>
    <w:rsid w:val="004D468F"/>
    <w:rsid w:val="004D5F77"/>
    <w:rsid w:val="004E0DCB"/>
    <w:rsid w:val="004F694B"/>
    <w:rsid w:val="004F6D50"/>
    <w:rsid w:val="00501C83"/>
    <w:rsid w:val="005103B0"/>
    <w:rsid w:val="005106D0"/>
    <w:rsid w:val="00511F95"/>
    <w:rsid w:val="005128CF"/>
    <w:rsid w:val="00513BC0"/>
    <w:rsid w:val="0052026E"/>
    <w:rsid w:val="00523143"/>
    <w:rsid w:val="005245D9"/>
    <w:rsid w:val="00526B57"/>
    <w:rsid w:val="00535A6B"/>
    <w:rsid w:val="00552463"/>
    <w:rsid w:val="00556C53"/>
    <w:rsid w:val="0056328A"/>
    <w:rsid w:val="00563AA3"/>
    <w:rsid w:val="00563F1B"/>
    <w:rsid w:val="005672D4"/>
    <w:rsid w:val="00570C6F"/>
    <w:rsid w:val="00571C92"/>
    <w:rsid w:val="0057533E"/>
    <w:rsid w:val="00575D9F"/>
    <w:rsid w:val="005868E9"/>
    <w:rsid w:val="00591824"/>
    <w:rsid w:val="005975FE"/>
    <w:rsid w:val="005A11AB"/>
    <w:rsid w:val="005A15A4"/>
    <w:rsid w:val="005A7190"/>
    <w:rsid w:val="005B04A8"/>
    <w:rsid w:val="005C1CEE"/>
    <w:rsid w:val="005D06D8"/>
    <w:rsid w:val="005E08AA"/>
    <w:rsid w:val="005E2DE0"/>
    <w:rsid w:val="005E528D"/>
    <w:rsid w:val="00611B4B"/>
    <w:rsid w:val="00616033"/>
    <w:rsid w:val="00617E51"/>
    <w:rsid w:val="0062441A"/>
    <w:rsid w:val="006307D7"/>
    <w:rsid w:val="006330FA"/>
    <w:rsid w:val="00634394"/>
    <w:rsid w:val="006343FA"/>
    <w:rsid w:val="00657A24"/>
    <w:rsid w:val="00660265"/>
    <w:rsid w:val="006666CD"/>
    <w:rsid w:val="00687058"/>
    <w:rsid w:val="0069464D"/>
    <w:rsid w:val="00695BA6"/>
    <w:rsid w:val="00695ECE"/>
    <w:rsid w:val="00696698"/>
    <w:rsid w:val="006A267D"/>
    <w:rsid w:val="006B05FD"/>
    <w:rsid w:val="006B545E"/>
    <w:rsid w:val="006D42C8"/>
    <w:rsid w:val="006F0208"/>
    <w:rsid w:val="006F05B6"/>
    <w:rsid w:val="006F0F56"/>
    <w:rsid w:val="006F55BE"/>
    <w:rsid w:val="006F7843"/>
    <w:rsid w:val="00710F77"/>
    <w:rsid w:val="007130C7"/>
    <w:rsid w:val="00716EA6"/>
    <w:rsid w:val="00721487"/>
    <w:rsid w:val="007226D9"/>
    <w:rsid w:val="007241D0"/>
    <w:rsid w:val="007273BB"/>
    <w:rsid w:val="00733899"/>
    <w:rsid w:val="007367C2"/>
    <w:rsid w:val="00737391"/>
    <w:rsid w:val="007457B5"/>
    <w:rsid w:val="00754F0F"/>
    <w:rsid w:val="00756A5D"/>
    <w:rsid w:val="00760562"/>
    <w:rsid w:val="007631FF"/>
    <w:rsid w:val="0076628A"/>
    <w:rsid w:val="00787B4E"/>
    <w:rsid w:val="00790094"/>
    <w:rsid w:val="0079317E"/>
    <w:rsid w:val="007970FA"/>
    <w:rsid w:val="007A4389"/>
    <w:rsid w:val="007A5CC9"/>
    <w:rsid w:val="007A5F7D"/>
    <w:rsid w:val="007B0DD6"/>
    <w:rsid w:val="007B7438"/>
    <w:rsid w:val="007C0DA9"/>
    <w:rsid w:val="007C5A23"/>
    <w:rsid w:val="007D14E5"/>
    <w:rsid w:val="007D4BB2"/>
    <w:rsid w:val="007E083E"/>
    <w:rsid w:val="007E71BE"/>
    <w:rsid w:val="007F1BA1"/>
    <w:rsid w:val="007F5D15"/>
    <w:rsid w:val="007F60EB"/>
    <w:rsid w:val="0080404C"/>
    <w:rsid w:val="008047C3"/>
    <w:rsid w:val="00810847"/>
    <w:rsid w:val="00811F09"/>
    <w:rsid w:val="008259DA"/>
    <w:rsid w:val="00833A33"/>
    <w:rsid w:val="008577A6"/>
    <w:rsid w:val="008708C4"/>
    <w:rsid w:val="00870B3B"/>
    <w:rsid w:val="0087176F"/>
    <w:rsid w:val="008773B6"/>
    <w:rsid w:val="008811CE"/>
    <w:rsid w:val="00885733"/>
    <w:rsid w:val="008904B0"/>
    <w:rsid w:val="00894873"/>
    <w:rsid w:val="008968F1"/>
    <w:rsid w:val="00896EF7"/>
    <w:rsid w:val="008A1E2D"/>
    <w:rsid w:val="008A1F7F"/>
    <w:rsid w:val="008B6314"/>
    <w:rsid w:val="008B6BF6"/>
    <w:rsid w:val="008C7799"/>
    <w:rsid w:val="008C7DE6"/>
    <w:rsid w:val="008D048D"/>
    <w:rsid w:val="008D27AB"/>
    <w:rsid w:val="008D3BAC"/>
    <w:rsid w:val="008F043C"/>
    <w:rsid w:val="00904EB5"/>
    <w:rsid w:val="009052CF"/>
    <w:rsid w:val="009058DA"/>
    <w:rsid w:val="009138B3"/>
    <w:rsid w:val="00917D5A"/>
    <w:rsid w:val="00930700"/>
    <w:rsid w:val="0093208D"/>
    <w:rsid w:val="009335AA"/>
    <w:rsid w:val="00935591"/>
    <w:rsid w:val="009438C6"/>
    <w:rsid w:val="00952E18"/>
    <w:rsid w:val="009668F0"/>
    <w:rsid w:val="00967C80"/>
    <w:rsid w:val="00974572"/>
    <w:rsid w:val="0098063E"/>
    <w:rsid w:val="00985BFD"/>
    <w:rsid w:val="00987F74"/>
    <w:rsid w:val="00995FC6"/>
    <w:rsid w:val="009A3557"/>
    <w:rsid w:val="009C2094"/>
    <w:rsid w:val="009D3953"/>
    <w:rsid w:val="009D3C9C"/>
    <w:rsid w:val="009D4BFE"/>
    <w:rsid w:val="009D5D6F"/>
    <w:rsid w:val="009E155B"/>
    <w:rsid w:val="009E1C4F"/>
    <w:rsid w:val="009E2B06"/>
    <w:rsid w:val="009E432E"/>
    <w:rsid w:val="009E5CA4"/>
    <w:rsid w:val="009F4450"/>
    <w:rsid w:val="009F44E3"/>
    <w:rsid w:val="00A02A18"/>
    <w:rsid w:val="00A03611"/>
    <w:rsid w:val="00A03C8A"/>
    <w:rsid w:val="00A05E08"/>
    <w:rsid w:val="00A25C1B"/>
    <w:rsid w:val="00A275E2"/>
    <w:rsid w:val="00A34098"/>
    <w:rsid w:val="00A35EEC"/>
    <w:rsid w:val="00A36E0F"/>
    <w:rsid w:val="00A37C46"/>
    <w:rsid w:val="00A521D2"/>
    <w:rsid w:val="00A52660"/>
    <w:rsid w:val="00A53D38"/>
    <w:rsid w:val="00A56DE3"/>
    <w:rsid w:val="00A57D22"/>
    <w:rsid w:val="00A6139B"/>
    <w:rsid w:val="00A61B6C"/>
    <w:rsid w:val="00A63B9D"/>
    <w:rsid w:val="00A67F73"/>
    <w:rsid w:val="00A76CAD"/>
    <w:rsid w:val="00A862A6"/>
    <w:rsid w:val="00A96B24"/>
    <w:rsid w:val="00AA1A1A"/>
    <w:rsid w:val="00AA36F1"/>
    <w:rsid w:val="00AA6441"/>
    <w:rsid w:val="00AA7F93"/>
    <w:rsid w:val="00AB30AA"/>
    <w:rsid w:val="00AC36C4"/>
    <w:rsid w:val="00AC4335"/>
    <w:rsid w:val="00AC4B14"/>
    <w:rsid w:val="00AE11C3"/>
    <w:rsid w:val="00AE21FD"/>
    <w:rsid w:val="00AF64F5"/>
    <w:rsid w:val="00B01E8B"/>
    <w:rsid w:val="00B035EB"/>
    <w:rsid w:val="00B04C1A"/>
    <w:rsid w:val="00B05E13"/>
    <w:rsid w:val="00B1374E"/>
    <w:rsid w:val="00B23EFF"/>
    <w:rsid w:val="00B26816"/>
    <w:rsid w:val="00B35426"/>
    <w:rsid w:val="00B46E1F"/>
    <w:rsid w:val="00B53948"/>
    <w:rsid w:val="00B56FB5"/>
    <w:rsid w:val="00B5736A"/>
    <w:rsid w:val="00B63650"/>
    <w:rsid w:val="00B668E5"/>
    <w:rsid w:val="00B760BA"/>
    <w:rsid w:val="00B87907"/>
    <w:rsid w:val="00BA1410"/>
    <w:rsid w:val="00BA402B"/>
    <w:rsid w:val="00BA65D0"/>
    <w:rsid w:val="00BB6827"/>
    <w:rsid w:val="00BB7F0B"/>
    <w:rsid w:val="00BC1213"/>
    <w:rsid w:val="00BC3C51"/>
    <w:rsid w:val="00BC5385"/>
    <w:rsid w:val="00BC6972"/>
    <w:rsid w:val="00BD1D27"/>
    <w:rsid w:val="00BE1543"/>
    <w:rsid w:val="00BF473B"/>
    <w:rsid w:val="00BF53F1"/>
    <w:rsid w:val="00C004E7"/>
    <w:rsid w:val="00C03A49"/>
    <w:rsid w:val="00C04440"/>
    <w:rsid w:val="00C2130B"/>
    <w:rsid w:val="00C21F0D"/>
    <w:rsid w:val="00C23ECD"/>
    <w:rsid w:val="00C25B26"/>
    <w:rsid w:val="00C41208"/>
    <w:rsid w:val="00C46351"/>
    <w:rsid w:val="00C51778"/>
    <w:rsid w:val="00C54775"/>
    <w:rsid w:val="00C554A0"/>
    <w:rsid w:val="00C61355"/>
    <w:rsid w:val="00C65071"/>
    <w:rsid w:val="00C65F8F"/>
    <w:rsid w:val="00C72D6D"/>
    <w:rsid w:val="00C81556"/>
    <w:rsid w:val="00C82942"/>
    <w:rsid w:val="00C83AB9"/>
    <w:rsid w:val="00C85C55"/>
    <w:rsid w:val="00CA2DC4"/>
    <w:rsid w:val="00CB4AC5"/>
    <w:rsid w:val="00CC1219"/>
    <w:rsid w:val="00CC2581"/>
    <w:rsid w:val="00CC37B0"/>
    <w:rsid w:val="00CE39BA"/>
    <w:rsid w:val="00CF58FC"/>
    <w:rsid w:val="00CF7F12"/>
    <w:rsid w:val="00D05CDF"/>
    <w:rsid w:val="00D15E4E"/>
    <w:rsid w:val="00D16302"/>
    <w:rsid w:val="00D164A8"/>
    <w:rsid w:val="00D178D9"/>
    <w:rsid w:val="00D45112"/>
    <w:rsid w:val="00D575B2"/>
    <w:rsid w:val="00D9354B"/>
    <w:rsid w:val="00D93E74"/>
    <w:rsid w:val="00DA7B93"/>
    <w:rsid w:val="00DB0577"/>
    <w:rsid w:val="00DB7BAD"/>
    <w:rsid w:val="00DC3BAC"/>
    <w:rsid w:val="00DD22FB"/>
    <w:rsid w:val="00DD30D4"/>
    <w:rsid w:val="00DD4340"/>
    <w:rsid w:val="00DF0580"/>
    <w:rsid w:val="00DF2819"/>
    <w:rsid w:val="00DF40E6"/>
    <w:rsid w:val="00DF7872"/>
    <w:rsid w:val="00E004B9"/>
    <w:rsid w:val="00E0555C"/>
    <w:rsid w:val="00E1402F"/>
    <w:rsid w:val="00E22915"/>
    <w:rsid w:val="00E35FA8"/>
    <w:rsid w:val="00E75DB4"/>
    <w:rsid w:val="00E75ED8"/>
    <w:rsid w:val="00E76FF2"/>
    <w:rsid w:val="00E807BE"/>
    <w:rsid w:val="00E85D1E"/>
    <w:rsid w:val="00E902EC"/>
    <w:rsid w:val="00E942CF"/>
    <w:rsid w:val="00E95CAD"/>
    <w:rsid w:val="00EA2D46"/>
    <w:rsid w:val="00EA30F2"/>
    <w:rsid w:val="00EA3CDF"/>
    <w:rsid w:val="00EA68C7"/>
    <w:rsid w:val="00EB234E"/>
    <w:rsid w:val="00EC1E96"/>
    <w:rsid w:val="00EC2CB5"/>
    <w:rsid w:val="00ED05FA"/>
    <w:rsid w:val="00ED65A0"/>
    <w:rsid w:val="00ED6644"/>
    <w:rsid w:val="00ED7F9C"/>
    <w:rsid w:val="00EF10F2"/>
    <w:rsid w:val="00EF2107"/>
    <w:rsid w:val="00EF3E3E"/>
    <w:rsid w:val="00EF7EAA"/>
    <w:rsid w:val="00F015B2"/>
    <w:rsid w:val="00F0393D"/>
    <w:rsid w:val="00F041C9"/>
    <w:rsid w:val="00F0602A"/>
    <w:rsid w:val="00F0638D"/>
    <w:rsid w:val="00F15105"/>
    <w:rsid w:val="00F27BBF"/>
    <w:rsid w:val="00F34C13"/>
    <w:rsid w:val="00F51D14"/>
    <w:rsid w:val="00F55162"/>
    <w:rsid w:val="00F70EF6"/>
    <w:rsid w:val="00F73039"/>
    <w:rsid w:val="00F7599B"/>
    <w:rsid w:val="00FA2FF3"/>
    <w:rsid w:val="00FA374B"/>
    <w:rsid w:val="00FA4A4E"/>
    <w:rsid w:val="00FB4976"/>
    <w:rsid w:val="00FC302B"/>
    <w:rsid w:val="00FC34A8"/>
    <w:rsid w:val="00FC3DD8"/>
    <w:rsid w:val="00FD2454"/>
    <w:rsid w:val="00FD260F"/>
    <w:rsid w:val="00FE5985"/>
    <w:rsid w:val="00FE6817"/>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EA72576"/>
  <w15:docId w15:val="{F23B3372-6777-48CF-9C15-CA95CF7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 w:type="paragraph" w:styleId="BodyText3">
    <w:name w:val="Body Text 3"/>
    <w:basedOn w:val="Normal"/>
    <w:link w:val="BodyText3Char"/>
    <w:uiPriority w:val="99"/>
    <w:semiHidden/>
    <w:unhideWhenUsed/>
    <w:rsid w:val="005672D4"/>
    <w:pPr>
      <w:spacing w:after="120"/>
    </w:pPr>
    <w:rPr>
      <w:sz w:val="16"/>
      <w:szCs w:val="16"/>
    </w:rPr>
  </w:style>
  <w:style w:type="character" w:customStyle="1" w:styleId="BodyText3Char">
    <w:name w:val="Body Text 3 Char"/>
    <w:basedOn w:val="DefaultParagraphFont"/>
    <w:link w:val="BodyText3"/>
    <w:uiPriority w:val="99"/>
    <w:semiHidden/>
    <w:rsid w:val="005672D4"/>
    <w:rPr>
      <w:sz w:val="16"/>
      <w:szCs w:val="16"/>
    </w:rPr>
  </w:style>
  <w:style w:type="paragraph" w:styleId="BodyTextIndent">
    <w:name w:val="Body Text Indent"/>
    <w:basedOn w:val="Normal"/>
    <w:link w:val="BodyTextIndentChar"/>
    <w:uiPriority w:val="99"/>
    <w:unhideWhenUsed/>
    <w:rsid w:val="005672D4"/>
    <w:pPr>
      <w:spacing w:after="120" w:line="259" w:lineRule="auto"/>
      <w:ind w:left="360"/>
    </w:pPr>
  </w:style>
  <w:style w:type="character" w:customStyle="1" w:styleId="BodyTextIndentChar">
    <w:name w:val="Body Text Indent Char"/>
    <w:basedOn w:val="DefaultParagraphFont"/>
    <w:link w:val="BodyTextIndent"/>
    <w:uiPriority w:val="99"/>
    <w:rsid w:val="005672D4"/>
  </w:style>
  <w:style w:type="character" w:styleId="Hyperlink">
    <w:name w:val="Hyperlink"/>
    <w:basedOn w:val="DefaultParagraphFont"/>
    <w:uiPriority w:val="99"/>
    <w:unhideWhenUsed/>
    <w:rsid w:val="005672D4"/>
    <w:rPr>
      <w:color w:val="0563C1" w:themeColor="hyperlink"/>
      <w:u w:val="single"/>
    </w:rPr>
  </w:style>
  <w:style w:type="paragraph" w:customStyle="1" w:styleId="MTDisplayEquation">
    <w:name w:val="MTDisplayEquation"/>
    <w:basedOn w:val="Normal"/>
    <w:next w:val="Normal"/>
    <w:link w:val="MTDisplayEquationChar"/>
    <w:rsid w:val="005672D4"/>
    <w:pPr>
      <w:tabs>
        <w:tab w:val="center" w:pos="4680"/>
        <w:tab w:val="right" w:pos="9360"/>
      </w:tabs>
      <w:spacing w:line="259" w:lineRule="auto"/>
    </w:pPr>
    <w:rPr>
      <w:rFonts w:ascii="Times New Roman" w:hAnsi="Times New Roman" w:cs="Times New Roman"/>
    </w:rPr>
  </w:style>
  <w:style w:type="character" w:customStyle="1" w:styleId="MTDisplayEquationChar">
    <w:name w:val="MTDisplayEquation Char"/>
    <w:basedOn w:val="DefaultParagraphFont"/>
    <w:link w:val="MTDisplayEquation"/>
    <w:rsid w:val="005672D4"/>
    <w:rPr>
      <w:rFonts w:ascii="Times New Roman" w:hAnsi="Times New Roman" w:cs="Times New Roman"/>
    </w:rPr>
  </w:style>
  <w:style w:type="paragraph" w:styleId="FootnoteText">
    <w:name w:val="footnote text"/>
    <w:basedOn w:val="Normal"/>
    <w:link w:val="FootnoteTextChar"/>
    <w:uiPriority w:val="99"/>
    <w:semiHidden/>
    <w:unhideWhenUsed/>
    <w:rsid w:val="005672D4"/>
    <w:rPr>
      <w:sz w:val="20"/>
      <w:szCs w:val="20"/>
    </w:rPr>
  </w:style>
  <w:style w:type="character" w:customStyle="1" w:styleId="FootnoteTextChar">
    <w:name w:val="Footnote Text Char"/>
    <w:basedOn w:val="DefaultParagraphFont"/>
    <w:link w:val="FootnoteText"/>
    <w:uiPriority w:val="99"/>
    <w:semiHidden/>
    <w:rsid w:val="005672D4"/>
    <w:rPr>
      <w:sz w:val="20"/>
      <w:szCs w:val="20"/>
    </w:rPr>
  </w:style>
  <w:style w:type="character" w:styleId="FootnoteReference">
    <w:name w:val="footnote reference"/>
    <w:basedOn w:val="DefaultParagraphFont"/>
    <w:uiPriority w:val="99"/>
    <w:semiHidden/>
    <w:unhideWhenUsed/>
    <w:rsid w:val="005672D4"/>
    <w:rPr>
      <w:vertAlign w:val="superscript"/>
    </w:rPr>
  </w:style>
  <w:style w:type="table" w:styleId="TableGrid">
    <w:name w:val="Table Grid"/>
    <w:basedOn w:val="TableNormal"/>
    <w:uiPriority w:val="39"/>
    <w:rsid w:val="0056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18982">
      <w:bodyDiv w:val="1"/>
      <w:marLeft w:val="0"/>
      <w:marRight w:val="0"/>
      <w:marTop w:val="0"/>
      <w:marBottom w:val="0"/>
      <w:divBdr>
        <w:top w:val="none" w:sz="0" w:space="0" w:color="auto"/>
        <w:left w:val="none" w:sz="0" w:space="0" w:color="auto"/>
        <w:bottom w:val="none" w:sz="0" w:space="0" w:color="auto"/>
        <w:right w:val="none" w:sz="0" w:space="0" w:color="auto"/>
      </w:divBdr>
    </w:div>
    <w:div w:id="710958438">
      <w:bodyDiv w:val="1"/>
      <w:marLeft w:val="0"/>
      <w:marRight w:val="0"/>
      <w:marTop w:val="0"/>
      <w:marBottom w:val="0"/>
      <w:divBdr>
        <w:top w:val="none" w:sz="0" w:space="0" w:color="auto"/>
        <w:left w:val="none" w:sz="0" w:space="0" w:color="auto"/>
        <w:bottom w:val="none" w:sz="0" w:space="0" w:color="auto"/>
        <w:right w:val="none" w:sz="0" w:space="0" w:color="auto"/>
      </w:divBdr>
    </w:div>
    <w:div w:id="991954375">
      <w:bodyDiv w:val="1"/>
      <w:marLeft w:val="0"/>
      <w:marRight w:val="0"/>
      <w:marTop w:val="0"/>
      <w:marBottom w:val="0"/>
      <w:divBdr>
        <w:top w:val="none" w:sz="0" w:space="0" w:color="auto"/>
        <w:left w:val="none" w:sz="0" w:space="0" w:color="auto"/>
        <w:bottom w:val="none" w:sz="0" w:space="0" w:color="auto"/>
        <w:right w:val="none" w:sz="0" w:space="0" w:color="auto"/>
      </w:divBdr>
    </w:div>
    <w:div w:id="1039472766">
      <w:bodyDiv w:val="1"/>
      <w:marLeft w:val="0"/>
      <w:marRight w:val="0"/>
      <w:marTop w:val="0"/>
      <w:marBottom w:val="0"/>
      <w:divBdr>
        <w:top w:val="none" w:sz="0" w:space="0" w:color="auto"/>
        <w:left w:val="none" w:sz="0" w:space="0" w:color="auto"/>
        <w:bottom w:val="none" w:sz="0" w:space="0" w:color="auto"/>
        <w:right w:val="none" w:sz="0" w:space="0" w:color="auto"/>
      </w:divBdr>
    </w:div>
    <w:div w:id="1135490415">
      <w:bodyDiv w:val="1"/>
      <w:marLeft w:val="0"/>
      <w:marRight w:val="0"/>
      <w:marTop w:val="0"/>
      <w:marBottom w:val="0"/>
      <w:divBdr>
        <w:top w:val="none" w:sz="0" w:space="0" w:color="auto"/>
        <w:left w:val="none" w:sz="0" w:space="0" w:color="auto"/>
        <w:bottom w:val="none" w:sz="0" w:space="0" w:color="auto"/>
        <w:right w:val="none" w:sz="0" w:space="0" w:color="auto"/>
      </w:divBdr>
    </w:div>
    <w:div w:id="1248924523">
      <w:bodyDiv w:val="1"/>
      <w:marLeft w:val="0"/>
      <w:marRight w:val="0"/>
      <w:marTop w:val="0"/>
      <w:marBottom w:val="0"/>
      <w:divBdr>
        <w:top w:val="none" w:sz="0" w:space="0" w:color="auto"/>
        <w:left w:val="none" w:sz="0" w:space="0" w:color="auto"/>
        <w:bottom w:val="none" w:sz="0" w:space="0" w:color="auto"/>
        <w:right w:val="none" w:sz="0" w:space="0" w:color="auto"/>
      </w:divBdr>
    </w:div>
    <w:div w:id="1651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2.amstat.org/meetings/jsm/2018/onlineprogram/AbstractDetails.cfm?abstractid=328621" TargetMode="External"/><Relationship Id="rId2" Type="http://schemas.openxmlformats.org/officeDocument/2006/relationships/hyperlink" Target="http://9004e5e16f4a25df17a0-290e28d0a6d5d71f78b4f59d5f323756.r86.cf1.rackcdn.com/ASA-JSM/pdf/389517.pdf" TargetMode="External"/><Relationship Id="rId1" Type="http://schemas.openxmlformats.org/officeDocument/2006/relationships/hyperlink" Target="http://ww2.amstat.org/meetings/ices/2016/proceedings/072_ices15Final002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E39-CCC1-4811-B599-E9C2C333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6</cp:revision>
  <cp:lastPrinted>2019-02-12T16:41:00Z</cp:lastPrinted>
  <dcterms:created xsi:type="dcterms:W3CDTF">2021-04-21T13:10:00Z</dcterms:created>
  <dcterms:modified xsi:type="dcterms:W3CDTF">2021-04-21T13:21:00Z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