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9F6855" w:rsidR="00A1595C" w:rsidP="004328EC" w:rsidRDefault="00A1595C">
      <w:pPr>
        <w:pStyle w:val="Quote"/>
        <w:jc w:val="center"/>
        <w:rPr>
          <w:rFonts w:ascii="Arial" w:hAnsi="Arial" w:cs="Arial"/>
          <w:b/>
          <w:i w:val="0"/>
        </w:rPr>
      </w:pPr>
      <w:r w:rsidRPr="009F6855">
        <w:rPr>
          <w:rFonts w:ascii="Arial" w:hAnsi="Arial" w:cs="Arial"/>
          <w:b/>
          <w:i w:val="0"/>
        </w:rPr>
        <w:t>Supporting Statement</w:t>
      </w:r>
      <w:r w:rsidRPr="009F6855" w:rsidR="009F6855">
        <w:rPr>
          <w:rFonts w:ascii="Arial" w:hAnsi="Arial" w:cs="Arial"/>
          <w:b/>
          <w:i w:val="0"/>
          <w:lang w:val="en-US"/>
        </w:rPr>
        <w:t xml:space="preserve"> </w:t>
      </w:r>
      <w:r w:rsidRPr="009F6855">
        <w:rPr>
          <w:rFonts w:ascii="Arial" w:hAnsi="Arial" w:cs="Arial"/>
          <w:b/>
          <w:i w:val="0"/>
        </w:rPr>
        <w:t>for</w:t>
      </w:r>
    </w:p>
    <w:p w:rsidR="00142BBA" w:rsidP="004328EC" w:rsidRDefault="00BF37D6">
      <w:pPr>
        <w:pStyle w:val="c1"/>
        <w:tabs>
          <w:tab w:val="left" w:pos="360"/>
        </w:tabs>
        <w:spacing w:line="240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Marine Transportation System Recovery</w:t>
      </w:r>
    </w:p>
    <w:p w:rsidRPr="00DB72AB" w:rsidR="00A1595C" w:rsidP="004328EC" w:rsidRDefault="00A1595C">
      <w:pPr>
        <w:pStyle w:val="c1"/>
        <w:tabs>
          <w:tab w:val="left" w:pos="360"/>
        </w:tabs>
        <w:spacing w:line="240" w:lineRule="auto"/>
        <w:rPr>
          <w:rFonts w:ascii="Arial" w:hAnsi="Arial" w:cs="Arial"/>
          <w:sz w:val="16"/>
          <w:szCs w:val="16"/>
        </w:rPr>
      </w:pPr>
    </w:p>
    <w:p w:rsidRPr="005934DB" w:rsidR="008D45CB" w:rsidP="004328EC" w:rsidRDefault="008D45CB">
      <w:pPr>
        <w:jc w:val="center"/>
        <w:rPr>
          <w:rFonts w:ascii="Arial" w:hAnsi="Arial" w:cs="Arial"/>
          <w:sz w:val="20"/>
        </w:rPr>
      </w:pPr>
      <w:r w:rsidRPr="005934DB">
        <w:rPr>
          <w:rFonts w:ascii="Arial" w:hAnsi="Arial" w:cs="Arial"/>
          <w:sz w:val="20"/>
        </w:rPr>
        <w:t xml:space="preserve">OMB No.: </w:t>
      </w:r>
      <w:r w:rsidRPr="005934DB" w:rsidR="00D7371B">
        <w:rPr>
          <w:rFonts w:ascii="Arial" w:hAnsi="Arial" w:cs="Arial"/>
          <w:sz w:val="20"/>
        </w:rPr>
        <w:t xml:space="preserve"> </w:t>
      </w:r>
      <w:r w:rsidRPr="005934DB">
        <w:rPr>
          <w:rFonts w:ascii="Arial" w:hAnsi="Arial" w:cs="Arial"/>
          <w:sz w:val="20"/>
        </w:rPr>
        <w:t>1625-</w:t>
      </w:r>
      <w:r w:rsidR="000E30B4">
        <w:rPr>
          <w:rFonts w:ascii="Arial" w:hAnsi="Arial" w:cs="Arial"/>
          <w:sz w:val="20"/>
        </w:rPr>
        <w:t>0127</w:t>
      </w:r>
    </w:p>
    <w:p w:rsidRPr="005934DB" w:rsidR="008D45CB" w:rsidP="004328EC" w:rsidRDefault="008D45CB">
      <w:pPr>
        <w:jc w:val="center"/>
        <w:rPr>
          <w:rFonts w:ascii="Arial" w:hAnsi="Arial" w:cs="Arial"/>
          <w:sz w:val="20"/>
        </w:rPr>
      </w:pPr>
      <w:r w:rsidRPr="005934DB">
        <w:rPr>
          <w:rFonts w:ascii="Arial" w:hAnsi="Arial" w:cs="Arial"/>
          <w:sz w:val="20"/>
        </w:rPr>
        <w:t xml:space="preserve">COLLECTION INSTRUMENTS:  </w:t>
      </w:r>
      <w:r w:rsidRPr="005934DB" w:rsidR="00BF37D6">
        <w:rPr>
          <w:rFonts w:ascii="Arial" w:hAnsi="Arial" w:cs="Arial"/>
          <w:sz w:val="20"/>
        </w:rPr>
        <w:t>CG-11410</w:t>
      </w:r>
      <w:r w:rsidRPr="005934DB" w:rsidR="005934DB">
        <w:rPr>
          <w:rFonts w:ascii="Arial" w:hAnsi="Arial" w:cs="Arial"/>
          <w:sz w:val="20"/>
        </w:rPr>
        <w:t>,</w:t>
      </w:r>
      <w:r w:rsidRPr="005934DB" w:rsidR="00BF37D6">
        <w:rPr>
          <w:rFonts w:ascii="Arial" w:hAnsi="Arial" w:cs="Arial"/>
          <w:sz w:val="20"/>
        </w:rPr>
        <w:t xml:space="preserve"> </w:t>
      </w:r>
      <w:r w:rsidRPr="005934DB" w:rsidR="005934DB">
        <w:rPr>
          <w:rFonts w:ascii="Arial" w:hAnsi="Arial" w:cs="Arial"/>
          <w:sz w:val="20"/>
        </w:rPr>
        <w:t xml:space="preserve">CG-11410A </w:t>
      </w:r>
      <w:r w:rsidRPr="005934DB" w:rsidR="00BF37D6">
        <w:rPr>
          <w:rFonts w:ascii="Arial" w:hAnsi="Arial" w:cs="Arial"/>
          <w:sz w:val="20"/>
        </w:rPr>
        <w:t xml:space="preserve">and </w:t>
      </w:r>
      <w:r w:rsidRPr="005934DB" w:rsidR="005934DB">
        <w:rPr>
          <w:rFonts w:ascii="Arial" w:hAnsi="Arial" w:cs="Arial"/>
          <w:sz w:val="20"/>
        </w:rPr>
        <w:t>Instruction</w:t>
      </w:r>
    </w:p>
    <w:p w:rsidRPr="005934DB" w:rsidR="008D45CB" w:rsidP="004328EC" w:rsidRDefault="008D45CB">
      <w:pPr>
        <w:pStyle w:val="c1"/>
        <w:tabs>
          <w:tab w:val="left" w:pos="700"/>
        </w:tabs>
        <w:spacing w:line="240" w:lineRule="auto"/>
        <w:rPr>
          <w:rFonts w:ascii="Arial" w:hAnsi="Arial" w:cs="Arial"/>
          <w:sz w:val="16"/>
          <w:szCs w:val="16"/>
        </w:rPr>
      </w:pPr>
    </w:p>
    <w:p w:rsidRPr="008D45CB" w:rsidR="00A1595C" w:rsidP="004328EC" w:rsidRDefault="00A1595C">
      <w:pPr>
        <w:pStyle w:val="BodyText"/>
        <w:tabs>
          <w:tab w:val="left" w:pos="360"/>
        </w:tabs>
        <w:rPr>
          <w:rFonts w:ascii="Arial" w:hAnsi="Arial" w:cs="Arial"/>
          <w:sz w:val="20"/>
        </w:rPr>
      </w:pPr>
      <w:r w:rsidRPr="008D45CB">
        <w:rPr>
          <w:rFonts w:ascii="Arial" w:hAnsi="Arial" w:cs="Arial"/>
          <w:sz w:val="20"/>
        </w:rPr>
        <w:t>A.  Justification</w:t>
      </w:r>
      <w:r w:rsidR="008D45CB">
        <w:rPr>
          <w:rFonts w:ascii="Arial" w:hAnsi="Arial" w:cs="Arial"/>
          <w:sz w:val="20"/>
        </w:rPr>
        <w:t xml:space="preserve">  </w:t>
      </w:r>
    </w:p>
    <w:p w:rsidRPr="008D45CB" w:rsidR="00A1595C" w:rsidP="004328EC" w:rsidRDefault="00A1595C">
      <w:pPr>
        <w:pStyle w:val="p2"/>
        <w:spacing w:line="240" w:lineRule="auto"/>
        <w:rPr>
          <w:rFonts w:ascii="Arial" w:hAnsi="Arial" w:cs="Arial"/>
          <w:sz w:val="20"/>
        </w:rPr>
      </w:pPr>
    </w:p>
    <w:p w:rsidRPr="008D45CB" w:rsidR="00A1595C" w:rsidP="004328EC" w:rsidRDefault="00A1595C">
      <w:pPr>
        <w:pStyle w:val="p2"/>
        <w:tabs>
          <w:tab w:val="clear" w:pos="660"/>
          <w:tab w:val="left" w:pos="360"/>
        </w:tabs>
        <w:spacing w:line="240" w:lineRule="auto"/>
        <w:rPr>
          <w:rFonts w:ascii="Arial" w:hAnsi="Arial" w:cs="Arial"/>
          <w:sz w:val="20"/>
        </w:rPr>
      </w:pPr>
      <w:r w:rsidRPr="008D45CB">
        <w:rPr>
          <w:rFonts w:ascii="Arial" w:hAnsi="Arial" w:cs="Arial"/>
          <w:sz w:val="20"/>
        </w:rPr>
        <w:t xml:space="preserve">1.  </w:t>
      </w:r>
      <w:r w:rsidRPr="008D45CB">
        <w:rPr>
          <w:rFonts w:ascii="Arial" w:hAnsi="Arial" w:cs="Arial"/>
          <w:bCs/>
          <w:sz w:val="20"/>
          <w:u w:val="single"/>
        </w:rPr>
        <w:t>Circumstances that make the collection of information necessary</w:t>
      </w:r>
      <w:r w:rsidRPr="008D45CB">
        <w:rPr>
          <w:rFonts w:ascii="Arial" w:hAnsi="Arial" w:cs="Arial"/>
          <w:bCs/>
          <w:sz w:val="20"/>
        </w:rPr>
        <w:t>.</w:t>
      </w:r>
      <w:r w:rsidR="008D45CB">
        <w:rPr>
          <w:rFonts w:ascii="Arial" w:hAnsi="Arial" w:cs="Arial"/>
          <w:bCs/>
          <w:sz w:val="20"/>
        </w:rPr>
        <w:t xml:space="preserve">  </w:t>
      </w:r>
    </w:p>
    <w:p w:rsidRPr="008D45CB" w:rsidR="00A1595C" w:rsidP="004328EC" w:rsidRDefault="00A1595C">
      <w:pPr>
        <w:pStyle w:val="p2"/>
        <w:spacing w:line="240" w:lineRule="auto"/>
        <w:rPr>
          <w:rFonts w:ascii="Arial" w:hAnsi="Arial" w:cs="Arial"/>
          <w:sz w:val="20"/>
        </w:rPr>
      </w:pPr>
    </w:p>
    <w:p w:rsidR="00A1595C" w:rsidP="004328EC" w:rsidRDefault="005934DB">
      <w:pPr>
        <w:pStyle w:val="p2"/>
        <w:spacing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Title </w:t>
      </w:r>
      <w:r w:rsidR="00BF37D6">
        <w:rPr>
          <w:rFonts w:ascii="Arial" w:hAnsi="Arial" w:cs="Arial"/>
          <w:sz w:val="20"/>
        </w:rPr>
        <w:t xml:space="preserve">46 U.S.C. </w:t>
      </w:r>
      <w:r w:rsidR="00816387">
        <w:rPr>
          <w:rFonts w:ascii="Arial" w:hAnsi="Arial" w:cs="Arial"/>
          <w:sz w:val="20"/>
        </w:rPr>
        <w:t>70011,</w:t>
      </w:r>
      <w:r w:rsidR="00816387">
        <w:rPr>
          <w:rStyle w:val="FootnoteReference"/>
          <w:rFonts w:ascii="Arial" w:hAnsi="Arial" w:cs="Arial"/>
          <w:sz w:val="20"/>
        </w:rPr>
        <w:footnoteReference w:id="1"/>
      </w:r>
      <w:r w:rsidR="00816387">
        <w:rPr>
          <w:rFonts w:ascii="Arial" w:hAnsi="Arial" w:cs="Arial"/>
          <w:sz w:val="20"/>
        </w:rPr>
        <w:t xml:space="preserve"> 70051</w:t>
      </w:r>
      <w:r w:rsidR="00816387">
        <w:rPr>
          <w:rStyle w:val="FootnoteReference"/>
          <w:rFonts w:ascii="Arial" w:hAnsi="Arial" w:cs="Arial"/>
          <w:sz w:val="20"/>
        </w:rPr>
        <w:footnoteReference w:id="2"/>
      </w:r>
      <w:r w:rsidR="00816387">
        <w:rPr>
          <w:rFonts w:ascii="Arial" w:hAnsi="Arial" w:cs="Arial"/>
          <w:sz w:val="20"/>
        </w:rPr>
        <w:t xml:space="preserve"> and </w:t>
      </w:r>
      <w:r w:rsidR="00BF37D6">
        <w:rPr>
          <w:rFonts w:ascii="Arial" w:hAnsi="Arial" w:cs="Arial"/>
          <w:sz w:val="20"/>
        </w:rPr>
        <w:t xml:space="preserve">70103 require the </w:t>
      </w:r>
      <w:r w:rsidRPr="008D45CB" w:rsidR="00A1595C">
        <w:rPr>
          <w:rFonts w:ascii="Arial" w:hAnsi="Arial" w:cs="Arial"/>
          <w:sz w:val="20"/>
        </w:rPr>
        <w:t xml:space="preserve">Coast Guard </w:t>
      </w:r>
      <w:r w:rsidR="00BF37D6">
        <w:rPr>
          <w:rFonts w:ascii="Arial" w:hAnsi="Arial" w:cs="Arial"/>
          <w:sz w:val="20"/>
        </w:rPr>
        <w:t xml:space="preserve">to take action to prevent damage to, or the destruction of, bridges, other structures, on or in navigable waters or shore area adjacent; to minimize damage from and respond to a transportation security incident; and to safeguard against destruction of vessels, harbors, ports and waterfront facilities </w:t>
      </w:r>
      <w:r w:rsidR="003E370C">
        <w:rPr>
          <w:rFonts w:ascii="Arial" w:hAnsi="Arial" w:cs="Arial"/>
          <w:sz w:val="20"/>
        </w:rPr>
        <w:t xml:space="preserve">in the United States and all territorial waters during a national emergency.  To </w:t>
      </w:r>
      <w:r>
        <w:rPr>
          <w:rFonts w:ascii="Arial" w:hAnsi="Arial" w:cs="Arial"/>
          <w:sz w:val="20"/>
        </w:rPr>
        <w:t xml:space="preserve">accomplish this port security </w:t>
      </w:r>
      <w:r w:rsidR="003E370C">
        <w:rPr>
          <w:rFonts w:ascii="Arial" w:hAnsi="Arial" w:cs="Arial"/>
          <w:sz w:val="20"/>
        </w:rPr>
        <w:t xml:space="preserve">mission, Coast Guard policy requires Sector Commanders </w:t>
      </w:r>
      <w:r w:rsidR="00142BBA">
        <w:rPr>
          <w:rFonts w:ascii="Arial" w:hAnsi="Arial" w:cs="Arial"/>
          <w:sz w:val="20"/>
        </w:rPr>
        <w:t xml:space="preserve">to </w:t>
      </w:r>
      <w:r w:rsidR="003E370C">
        <w:rPr>
          <w:rFonts w:ascii="Arial" w:hAnsi="Arial" w:cs="Arial"/>
          <w:sz w:val="20"/>
        </w:rPr>
        <w:t>develop Essential Elements of Information regarding the Marine Transportation System (MTS) within their Captain of the Port Zones.  Th</w:t>
      </w:r>
      <w:r w:rsidR="00142BBA">
        <w:rPr>
          <w:rFonts w:ascii="Arial" w:hAnsi="Arial" w:cs="Arial"/>
          <w:sz w:val="20"/>
        </w:rPr>
        <w:t>e Coast Guard developed a</w:t>
      </w:r>
      <w:r w:rsidR="003E370C">
        <w:rPr>
          <w:rFonts w:ascii="Arial" w:hAnsi="Arial" w:cs="Arial"/>
          <w:sz w:val="20"/>
        </w:rPr>
        <w:t xml:space="preserve"> form to capture data on facilities, vessels, and shared transportation infrastructure prior to a port disruption to characterize the port in its normal fully functioning condition.  Following a port disruption, the U.S. Coast Guard </w:t>
      </w:r>
      <w:r w:rsidR="00142BBA">
        <w:rPr>
          <w:rFonts w:ascii="Arial" w:hAnsi="Arial" w:cs="Arial"/>
          <w:sz w:val="20"/>
        </w:rPr>
        <w:t>will</w:t>
      </w:r>
      <w:r w:rsidR="003E370C">
        <w:rPr>
          <w:rFonts w:ascii="Arial" w:hAnsi="Arial" w:cs="Arial"/>
          <w:sz w:val="20"/>
        </w:rPr>
        <w:t xml:space="preserve"> gather information on the status of the MTS using the MTS</w:t>
      </w:r>
      <w:r w:rsidR="00142BBA">
        <w:rPr>
          <w:rFonts w:ascii="Arial" w:hAnsi="Arial" w:cs="Arial"/>
          <w:sz w:val="20"/>
        </w:rPr>
        <w:t xml:space="preserve"> </w:t>
      </w:r>
      <w:r w:rsidR="003E370C">
        <w:rPr>
          <w:rFonts w:ascii="Arial" w:hAnsi="Arial" w:cs="Arial"/>
          <w:sz w:val="20"/>
        </w:rPr>
        <w:t>R</w:t>
      </w:r>
      <w:r w:rsidR="00142BBA">
        <w:rPr>
          <w:rFonts w:ascii="Arial" w:hAnsi="Arial" w:cs="Arial"/>
          <w:sz w:val="20"/>
        </w:rPr>
        <w:t>ecovery</w:t>
      </w:r>
      <w:r w:rsidR="003E370C">
        <w:rPr>
          <w:rFonts w:ascii="Arial" w:hAnsi="Arial" w:cs="Arial"/>
          <w:sz w:val="20"/>
        </w:rPr>
        <w:t xml:space="preserve"> Facility Status </w:t>
      </w:r>
      <w:r w:rsidR="00E515DA">
        <w:rPr>
          <w:rFonts w:ascii="Arial" w:hAnsi="Arial" w:cs="Arial"/>
          <w:sz w:val="20"/>
        </w:rPr>
        <w:t xml:space="preserve">form </w:t>
      </w:r>
      <w:r w:rsidR="003E370C">
        <w:rPr>
          <w:rFonts w:ascii="Arial" w:hAnsi="Arial" w:cs="Arial"/>
          <w:sz w:val="20"/>
        </w:rPr>
        <w:t>to compare the pre-disruption condition to the post-disruption condition.</w:t>
      </w:r>
      <w:r w:rsidR="00D3383F">
        <w:rPr>
          <w:rFonts w:ascii="Arial" w:hAnsi="Arial" w:cs="Arial"/>
          <w:sz w:val="20"/>
        </w:rPr>
        <w:t xml:space="preserve">  The information provided is voluntary.  </w:t>
      </w:r>
    </w:p>
    <w:p w:rsidR="00C07F47" w:rsidP="004328EC" w:rsidRDefault="00C07F47">
      <w:pPr>
        <w:pStyle w:val="p2"/>
        <w:spacing w:line="240" w:lineRule="auto"/>
        <w:rPr>
          <w:rFonts w:ascii="Arial" w:hAnsi="Arial" w:cs="Arial"/>
          <w:sz w:val="20"/>
        </w:rPr>
      </w:pPr>
    </w:p>
    <w:p w:rsidRPr="008D45CB" w:rsidR="00A1595C" w:rsidP="004328EC" w:rsidRDefault="00A1595C">
      <w:pPr>
        <w:pStyle w:val="p2"/>
        <w:tabs>
          <w:tab w:val="clear" w:pos="660"/>
          <w:tab w:val="left" w:pos="360"/>
        </w:tabs>
        <w:spacing w:line="240" w:lineRule="auto"/>
        <w:rPr>
          <w:rFonts w:ascii="Arial" w:hAnsi="Arial" w:cs="Arial"/>
          <w:sz w:val="20"/>
        </w:rPr>
      </w:pPr>
      <w:r w:rsidRPr="008D45CB">
        <w:rPr>
          <w:rFonts w:ascii="Arial" w:hAnsi="Arial" w:cs="Arial"/>
          <w:sz w:val="20"/>
        </w:rPr>
        <w:t xml:space="preserve">2.  </w:t>
      </w:r>
      <w:r w:rsidRPr="00D92227" w:rsidR="008D45CB">
        <w:rPr>
          <w:rFonts w:ascii="Arial" w:hAnsi="Arial" w:cs="Arial"/>
          <w:sz w:val="20"/>
          <w:u w:val="single"/>
        </w:rPr>
        <w:t>Purpose of the information collection</w:t>
      </w:r>
      <w:r w:rsidRPr="00D92227" w:rsidR="008D45CB">
        <w:rPr>
          <w:rFonts w:ascii="Arial" w:hAnsi="Arial" w:cs="Arial"/>
          <w:sz w:val="20"/>
        </w:rPr>
        <w:t xml:space="preserve">.  </w:t>
      </w:r>
    </w:p>
    <w:p w:rsidRPr="008D45CB" w:rsidR="00A1595C" w:rsidP="004328EC" w:rsidRDefault="00A1595C">
      <w:pPr>
        <w:pStyle w:val="p2"/>
        <w:spacing w:line="240" w:lineRule="auto"/>
        <w:rPr>
          <w:rFonts w:ascii="Arial" w:hAnsi="Arial" w:cs="Arial"/>
          <w:sz w:val="20"/>
        </w:rPr>
      </w:pPr>
    </w:p>
    <w:p w:rsidRPr="00D92227" w:rsidR="008D45CB" w:rsidP="004328EC" w:rsidRDefault="008D45CB">
      <w:pPr>
        <w:pStyle w:val="TxBrp7"/>
        <w:spacing w:line="238" w:lineRule="exact"/>
        <w:ind w:left="0" w:firstLine="0"/>
        <w:rPr>
          <w:rFonts w:ascii="Arial" w:hAnsi="Arial" w:cs="Arial"/>
          <w:sz w:val="20"/>
        </w:rPr>
      </w:pPr>
      <w:r w:rsidRPr="00D92227">
        <w:rPr>
          <w:rFonts w:ascii="Arial" w:hAnsi="Arial" w:cs="Arial"/>
          <w:sz w:val="20"/>
        </w:rPr>
        <w:t>This information</w:t>
      </w:r>
      <w:r w:rsidR="003E370C">
        <w:rPr>
          <w:rFonts w:ascii="Arial" w:hAnsi="Arial" w:cs="Arial"/>
          <w:sz w:val="20"/>
        </w:rPr>
        <w:t xml:space="preserve"> may be sent in electronically or mailed to the U.S. Coast Guard Marine Transportation System Recovery Unit (MTSRU) to establish the normal fully functioning condition of a port prior to a port condition to the disrupted port condition, enabling the MTSRU to assist in prioritizing recovery efforts, and gauge the effectiveness of the response.  Gathering essential elements of information before a port disruption enables the U.S. Coast Guard to establish a normal port condition baseline.  Then, following a port disruption, the port’s condition can be measured against the normal baseline to provide critical input to those federal, state, and local response organizations that are engaging in r</w:t>
      </w:r>
      <w:r w:rsidR="004E53B7">
        <w:rPr>
          <w:rFonts w:ascii="Arial" w:hAnsi="Arial" w:cs="Arial"/>
          <w:sz w:val="20"/>
        </w:rPr>
        <w:t>estoring the port to its pre-dis</w:t>
      </w:r>
      <w:r w:rsidR="003E370C">
        <w:rPr>
          <w:rFonts w:ascii="Arial" w:hAnsi="Arial" w:cs="Arial"/>
          <w:sz w:val="20"/>
        </w:rPr>
        <w:t>ruption condition.</w:t>
      </w:r>
      <w:r>
        <w:rPr>
          <w:rFonts w:ascii="Arial" w:hAnsi="Arial" w:cs="Arial"/>
          <w:sz w:val="20"/>
        </w:rPr>
        <w:t xml:space="preserve">  </w:t>
      </w:r>
    </w:p>
    <w:p w:rsidRPr="008D45CB" w:rsidR="00A1595C" w:rsidP="004328EC" w:rsidRDefault="00A1595C">
      <w:pPr>
        <w:pStyle w:val="p2"/>
        <w:spacing w:line="240" w:lineRule="auto"/>
        <w:rPr>
          <w:rFonts w:ascii="Arial" w:hAnsi="Arial" w:cs="Arial"/>
          <w:sz w:val="20"/>
        </w:rPr>
      </w:pPr>
    </w:p>
    <w:p w:rsidRPr="008D45CB" w:rsidR="00A1595C" w:rsidP="004328EC" w:rsidRDefault="00A1595C">
      <w:pPr>
        <w:tabs>
          <w:tab w:val="left" w:pos="360"/>
        </w:tabs>
        <w:rPr>
          <w:rFonts w:ascii="Arial" w:hAnsi="Arial" w:cs="Arial"/>
          <w:sz w:val="20"/>
        </w:rPr>
      </w:pPr>
      <w:r w:rsidRPr="008D45CB">
        <w:rPr>
          <w:rFonts w:ascii="Arial" w:hAnsi="Arial" w:cs="Arial"/>
          <w:sz w:val="20"/>
        </w:rPr>
        <w:t xml:space="preserve">3.  </w:t>
      </w:r>
      <w:r w:rsidRPr="008D45CB">
        <w:rPr>
          <w:rFonts w:ascii="Arial" w:hAnsi="Arial" w:cs="Arial"/>
          <w:bCs/>
          <w:sz w:val="20"/>
          <w:u w:val="single"/>
        </w:rPr>
        <w:t>Consideration of the use of improved technology</w:t>
      </w:r>
      <w:r w:rsidRPr="008D45CB">
        <w:rPr>
          <w:rFonts w:ascii="Arial" w:hAnsi="Arial" w:cs="Arial"/>
          <w:bCs/>
          <w:sz w:val="20"/>
        </w:rPr>
        <w:t>.</w:t>
      </w:r>
      <w:r w:rsidR="008D45CB">
        <w:rPr>
          <w:rFonts w:ascii="Arial" w:hAnsi="Arial" w:cs="Arial"/>
          <w:bCs/>
          <w:sz w:val="20"/>
        </w:rPr>
        <w:t xml:space="preserve">  </w:t>
      </w:r>
    </w:p>
    <w:p w:rsidRPr="008D45CB" w:rsidR="00A1595C" w:rsidP="004328EC" w:rsidRDefault="00A1595C">
      <w:pPr>
        <w:pStyle w:val="p2"/>
        <w:tabs>
          <w:tab w:val="clear" w:pos="660"/>
        </w:tabs>
        <w:spacing w:line="240" w:lineRule="auto"/>
        <w:rPr>
          <w:rFonts w:ascii="Arial" w:hAnsi="Arial" w:cs="Arial"/>
          <w:sz w:val="20"/>
        </w:rPr>
      </w:pPr>
    </w:p>
    <w:p w:rsidRPr="008D45CB" w:rsidR="00A1595C" w:rsidP="004328EC" w:rsidRDefault="00C07F47">
      <w:pPr>
        <w:pStyle w:val="BodyText"/>
        <w:rPr>
          <w:rFonts w:ascii="Arial" w:hAnsi="Arial" w:cs="Arial"/>
          <w:b w:val="0"/>
          <w:bCs/>
          <w:sz w:val="20"/>
        </w:rPr>
      </w:pPr>
      <w:r>
        <w:rPr>
          <w:rFonts w:ascii="Arial" w:hAnsi="Arial" w:cs="Arial"/>
          <w:b w:val="0"/>
          <w:bCs/>
          <w:sz w:val="20"/>
        </w:rPr>
        <w:t>Information</w:t>
      </w:r>
      <w:r w:rsidR="00142BBA">
        <w:rPr>
          <w:rStyle w:val="FootnoteReference"/>
          <w:rFonts w:ascii="Arial" w:hAnsi="Arial" w:cs="Arial"/>
          <w:b w:val="0"/>
          <w:bCs/>
          <w:sz w:val="20"/>
        </w:rPr>
        <w:footnoteReference w:id="3"/>
      </w:r>
      <w:r w:rsidR="004E53B7">
        <w:rPr>
          <w:rFonts w:ascii="Arial" w:hAnsi="Arial" w:cs="Arial"/>
          <w:b w:val="0"/>
          <w:bCs/>
          <w:sz w:val="20"/>
        </w:rPr>
        <w:t xml:space="preserve"> may </w:t>
      </w:r>
      <w:r w:rsidR="00142BBA">
        <w:rPr>
          <w:rFonts w:ascii="Arial" w:hAnsi="Arial" w:cs="Arial"/>
          <w:b w:val="0"/>
          <w:bCs/>
          <w:sz w:val="20"/>
        </w:rPr>
        <w:t>be s</w:t>
      </w:r>
      <w:r>
        <w:rPr>
          <w:rFonts w:ascii="Arial" w:hAnsi="Arial" w:cs="Arial"/>
          <w:b w:val="0"/>
          <w:bCs/>
          <w:sz w:val="20"/>
        </w:rPr>
        <w:t>ubmitted in writing</w:t>
      </w:r>
      <w:r w:rsidR="00142BBA">
        <w:rPr>
          <w:rFonts w:ascii="Arial" w:hAnsi="Arial" w:cs="Arial"/>
          <w:b w:val="0"/>
          <w:bCs/>
          <w:sz w:val="20"/>
        </w:rPr>
        <w:t xml:space="preserve"> by mail/courier service, </w:t>
      </w:r>
      <w:r>
        <w:rPr>
          <w:rFonts w:ascii="Arial" w:hAnsi="Arial" w:cs="Arial"/>
          <w:b w:val="0"/>
          <w:bCs/>
          <w:sz w:val="20"/>
        </w:rPr>
        <w:t xml:space="preserve">or electronically via </w:t>
      </w:r>
      <w:r w:rsidR="004E53B7">
        <w:rPr>
          <w:rFonts w:ascii="Arial" w:hAnsi="Arial" w:cs="Arial"/>
          <w:b w:val="0"/>
          <w:bCs/>
          <w:sz w:val="20"/>
        </w:rPr>
        <w:t xml:space="preserve">email </w:t>
      </w:r>
      <w:r w:rsidR="00142BBA">
        <w:rPr>
          <w:rFonts w:ascii="Arial" w:hAnsi="Arial" w:cs="Arial"/>
          <w:b w:val="0"/>
          <w:bCs/>
          <w:sz w:val="20"/>
        </w:rPr>
        <w:t xml:space="preserve">or </w:t>
      </w:r>
      <w:r w:rsidR="004E53B7">
        <w:rPr>
          <w:rFonts w:ascii="Arial" w:hAnsi="Arial" w:cs="Arial"/>
          <w:b w:val="0"/>
          <w:bCs/>
          <w:sz w:val="20"/>
        </w:rPr>
        <w:t>fax</w:t>
      </w:r>
      <w:r>
        <w:rPr>
          <w:rFonts w:ascii="Arial" w:hAnsi="Arial" w:cs="Arial"/>
          <w:b w:val="0"/>
          <w:bCs/>
          <w:sz w:val="20"/>
        </w:rPr>
        <w:t>, to the Coast Guard Captain of the Port (COTP) at the local Sector Office.  Contact info for the CG COTP</w:t>
      </w:r>
      <w:r w:rsidR="00E515DA">
        <w:rPr>
          <w:rFonts w:ascii="Arial" w:hAnsi="Arial" w:cs="Arial"/>
          <w:b w:val="0"/>
          <w:bCs/>
          <w:sz w:val="20"/>
        </w:rPr>
        <w:t>s</w:t>
      </w:r>
      <w:r>
        <w:rPr>
          <w:rFonts w:ascii="Arial" w:hAnsi="Arial" w:cs="Arial"/>
          <w:b w:val="0"/>
          <w:bCs/>
          <w:sz w:val="20"/>
        </w:rPr>
        <w:t xml:space="preserve"> can be found at—</w:t>
      </w:r>
      <w:hyperlink w:history="1" r:id="rId8">
        <w:r w:rsidRPr="00C07F47">
          <w:rPr>
            <w:rStyle w:val="Hyperlink"/>
            <w:rFonts w:ascii="Arial" w:hAnsi="Arial" w:cs="Arial"/>
            <w:b w:val="0"/>
            <w:sz w:val="20"/>
          </w:rPr>
          <w:t>https://www.uscg.mil/Units/Organization/</w:t>
        </w:r>
      </w:hyperlink>
      <w:r w:rsidR="004E53B7">
        <w:rPr>
          <w:rFonts w:ascii="Arial" w:hAnsi="Arial" w:cs="Arial"/>
          <w:b w:val="0"/>
          <w:bCs/>
          <w:sz w:val="20"/>
        </w:rPr>
        <w:t xml:space="preserve">.  </w:t>
      </w:r>
      <w:r w:rsidR="00142BBA">
        <w:rPr>
          <w:rFonts w:ascii="Arial" w:hAnsi="Arial" w:cs="Arial"/>
          <w:b w:val="0"/>
          <w:bCs/>
          <w:sz w:val="20"/>
        </w:rPr>
        <w:t xml:space="preserve">We estimate that </w:t>
      </w:r>
      <w:r w:rsidR="00360C8E">
        <w:rPr>
          <w:rFonts w:ascii="Arial" w:hAnsi="Arial" w:cs="Arial"/>
          <w:b w:val="0"/>
          <w:bCs/>
          <w:sz w:val="20"/>
        </w:rPr>
        <w:t>100</w:t>
      </w:r>
      <w:r w:rsidR="00142BBA">
        <w:rPr>
          <w:rFonts w:ascii="Arial" w:hAnsi="Arial" w:cs="Arial"/>
          <w:b w:val="0"/>
          <w:bCs/>
          <w:sz w:val="20"/>
        </w:rPr>
        <w:t>% of th</w:t>
      </w:r>
      <w:r>
        <w:rPr>
          <w:rFonts w:ascii="Arial" w:hAnsi="Arial" w:cs="Arial"/>
          <w:b w:val="0"/>
          <w:bCs/>
          <w:sz w:val="20"/>
        </w:rPr>
        <w:t>ese</w:t>
      </w:r>
      <w:r w:rsidR="00142BBA">
        <w:rPr>
          <w:rFonts w:ascii="Arial" w:hAnsi="Arial" w:cs="Arial"/>
          <w:b w:val="0"/>
          <w:bCs/>
          <w:sz w:val="20"/>
        </w:rPr>
        <w:t xml:space="preserve"> reporting requirement</w:t>
      </w:r>
      <w:r>
        <w:rPr>
          <w:rFonts w:ascii="Arial" w:hAnsi="Arial" w:cs="Arial"/>
          <w:b w:val="0"/>
          <w:bCs/>
          <w:sz w:val="20"/>
        </w:rPr>
        <w:t>s</w:t>
      </w:r>
      <w:r w:rsidR="00142BBA">
        <w:rPr>
          <w:rFonts w:ascii="Arial" w:hAnsi="Arial" w:cs="Arial"/>
          <w:b w:val="0"/>
          <w:bCs/>
          <w:sz w:val="20"/>
        </w:rPr>
        <w:t xml:space="preserve"> </w:t>
      </w:r>
      <w:r w:rsidR="00E515DA">
        <w:rPr>
          <w:rFonts w:ascii="Arial" w:hAnsi="Arial" w:cs="Arial"/>
          <w:b w:val="0"/>
          <w:bCs/>
          <w:sz w:val="20"/>
        </w:rPr>
        <w:t>will be</w:t>
      </w:r>
      <w:r w:rsidR="00142BBA">
        <w:rPr>
          <w:rFonts w:ascii="Arial" w:hAnsi="Arial" w:cs="Arial"/>
          <w:b w:val="0"/>
          <w:bCs/>
          <w:sz w:val="20"/>
        </w:rPr>
        <w:t xml:space="preserve"> done electronically.  </w:t>
      </w:r>
    </w:p>
    <w:p w:rsidRPr="008D45CB" w:rsidR="00A1595C" w:rsidP="004328EC" w:rsidRDefault="00A1595C">
      <w:pPr>
        <w:pStyle w:val="BodyText"/>
        <w:rPr>
          <w:rFonts w:ascii="Arial" w:hAnsi="Arial" w:cs="Arial"/>
          <w:b w:val="0"/>
          <w:sz w:val="20"/>
        </w:rPr>
      </w:pPr>
    </w:p>
    <w:p w:rsidRPr="009F2E6C" w:rsidR="00A1595C" w:rsidP="004328EC" w:rsidRDefault="00A1595C">
      <w:pPr>
        <w:pStyle w:val="p2"/>
        <w:tabs>
          <w:tab w:val="clear" w:pos="660"/>
          <w:tab w:val="left" w:pos="360"/>
        </w:tabs>
        <w:spacing w:line="240" w:lineRule="auto"/>
        <w:rPr>
          <w:rFonts w:ascii="Arial" w:hAnsi="Arial" w:cs="Arial"/>
          <w:sz w:val="20"/>
        </w:rPr>
      </w:pPr>
      <w:r w:rsidRPr="009F2E6C">
        <w:rPr>
          <w:rFonts w:ascii="Arial" w:hAnsi="Arial" w:cs="Arial"/>
          <w:sz w:val="20"/>
        </w:rPr>
        <w:t xml:space="preserve">4.  </w:t>
      </w:r>
      <w:r w:rsidRPr="009F2E6C">
        <w:rPr>
          <w:rFonts w:ascii="Arial" w:hAnsi="Arial" w:cs="Arial"/>
          <w:bCs/>
          <w:sz w:val="20"/>
          <w:u w:val="single"/>
        </w:rPr>
        <w:t>Efforts to identify duplication</w:t>
      </w:r>
      <w:r w:rsidRPr="009F2E6C">
        <w:rPr>
          <w:rFonts w:ascii="Arial" w:hAnsi="Arial" w:cs="Arial"/>
          <w:bCs/>
          <w:sz w:val="20"/>
        </w:rPr>
        <w:t>.</w:t>
      </w:r>
      <w:r w:rsidRPr="009F2E6C">
        <w:rPr>
          <w:rFonts w:ascii="Arial" w:hAnsi="Arial" w:cs="Arial"/>
          <w:sz w:val="20"/>
        </w:rPr>
        <w:t xml:space="preserve">  </w:t>
      </w:r>
    </w:p>
    <w:p w:rsidRPr="008D45CB" w:rsidR="00A1595C" w:rsidP="004328EC" w:rsidRDefault="00A1595C">
      <w:pPr>
        <w:pStyle w:val="p2"/>
        <w:spacing w:line="240" w:lineRule="auto"/>
        <w:rPr>
          <w:rFonts w:ascii="Arial" w:hAnsi="Arial" w:cs="Arial"/>
          <w:sz w:val="20"/>
        </w:rPr>
      </w:pPr>
    </w:p>
    <w:p w:rsidRPr="008D45CB" w:rsidR="00A1595C" w:rsidP="004328EC" w:rsidRDefault="00E515DA">
      <w:pPr>
        <w:pStyle w:val="p2"/>
        <w:spacing w:line="240" w:lineRule="auto"/>
        <w:rPr>
          <w:rFonts w:ascii="Arial" w:hAnsi="Arial" w:cs="Arial"/>
          <w:sz w:val="20"/>
        </w:rPr>
      </w:pPr>
      <w:r w:rsidRPr="00E515DA">
        <w:rPr>
          <w:rFonts w:ascii="Arial" w:hAnsi="Arial" w:cs="Arial"/>
          <w:sz w:val="20"/>
        </w:rPr>
        <w:t>There is no State or local regulations relating to this issue.  No similar information collection is conducted by other federal agencies.  Similar information does not exist.</w:t>
      </w:r>
      <w:r>
        <w:rPr>
          <w:rFonts w:ascii="Arial" w:hAnsi="Arial" w:cs="Arial"/>
          <w:sz w:val="20"/>
        </w:rPr>
        <w:t xml:space="preserve">  </w:t>
      </w:r>
    </w:p>
    <w:p w:rsidRPr="008D45CB" w:rsidR="00F36DC6" w:rsidP="004328EC" w:rsidRDefault="00F36DC6">
      <w:pPr>
        <w:pStyle w:val="p2"/>
        <w:spacing w:line="240" w:lineRule="auto"/>
        <w:rPr>
          <w:rFonts w:ascii="Arial" w:hAnsi="Arial" w:cs="Arial"/>
          <w:sz w:val="20"/>
        </w:rPr>
      </w:pPr>
    </w:p>
    <w:p w:rsidRPr="009F2E6C" w:rsidR="00A1595C" w:rsidP="004328EC" w:rsidRDefault="00A1595C">
      <w:pPr>
        <w:pStyle w:val="p2"/>
        <w:tabs>
          <w:tab w:val="clear" w:pos="660"/>
          <w:tab w:val="left" w:pos="360"/>
        </w:tabs>
        <w:spacing w:line="240" w:lineRule="auto"/>
        <w:rPr>
          <w:rFonts w:ascii="Arial" w:hAnsi="Arial" w:cs="Arial"/>
          <w:sz w:val="20"/>
        </w:rPr>
      </w:pPr>
      <w:r w:rsidRPr="009F2E6C">
        <w:rPr>
          <w:rFonts w:ascii="Arial" w:hAnsi="Arial" w:cs="Arial"/>
          <w:sz w:val="20"/>
        </w:rPr>
        <w:t xml:space="preserve">5.  </w:t>
      </w:r>
      <w:r w:rsidRPr="009F2E6C">
        <w:rPr>
          <w:rFonts w:ascii="Arial" w:hAnsi="Arial" w:cs="Arial"/>
          <w:bCs/>
          <w:sz w:val="20"/>
          <w:u w:val="single"/>
        </w:rPr>
        <w:t>Methods to minimize the burden to small businesses if involved</w:t>
      </w:r>
      <w:r w:rsidRPr="009F2E6C">
        <w:rPr>
          <w:rFonts w:ascii="Arial" w:hAnsi="Arial" w:cs="Arial"/>
          <w:bCs/>
          <w:sz w:val="20"/>
        </w:rPr>
        <w:t>.</w:t>
      </w:r>
      <w:r w:rsidR="009F2E6C">
        <w:rPr>
          <w:rFonts w:ascii="Arial" w:hAnsi="Arial" w:cs="Arial"/>
          <w:bCs/>
          <w:sz w:val="20"/>
        </w:rPr>
        <w:t xml:space="preserve">  </w:t>
      </w:r>
    </w:p>
    <w:p w:rsidRPr="008D45CB" w:rsidR="00A1595C" w:rsidP="004328EC" w:rsidRDefault="00A1595C">
      <w:pPr>
        <w:pStyle w:val="p2"/>
        <w:spacing w:line="240" w:lineRule="auto"/>
        <w:rPr>
          <w:rFonts w:ascii="Arial" w:hAnsi="Arial" w:cs="Arial"/>
          <w:sz w:val="20"/>
        </w:rPr>
      </w:pPr>
    </w:p>
    <w:p w:rsidRPr="008D45CB" w:rsidR="00A1595C" w:rsidP="004328EC" w:rsidRDefault="00A1595C">
      <w:pPr>
        <w:pStyle w:val="p2"/>
        <w:rPr>
          <w:rFonts w:ascii="Arial" w:hAnsi="Arial" w:cs="Arial"/>
          <w:sz w:val="20"/>
        </w:rPr>
      </w:pPr>
      <w:r w:rsidRPr="008D45CB">
        <w:rPr>
          <w:rFonts w:ascii="Arial" w:hAnsi="Arial" w:cs="Arial"/>
          <w:sz w:val="20"/>
        </w:rPr>
        <w:t xml:space="preserve">This </w:t>
      </w:r>
      <w:r w:rsidRPr="008D45CB" w:rsidR="00223224">
        <w:rPr>
          <w:rFonts w:ascii="Arial" w:hAnsi="Arial" w:cs="Arial"/>
          <w:sz w:val="20"/>
        </w:rPr>
        <w:t>information collection does not have an impact on small businesses or other small entities.</w:t>
      </w:r>
      <w:r w:rsidRPr="008D45CB" w:rsidR="00791E7A">
        <w:rPr>
          <w:rFonts w:ascii="Arial" w:hAnsi="Arial" w:cs="Arial"/>
          <w:sz w:val="20"/>
        </w:rPr>
        <w:t xml:space="preserve">  </w:t>
      </w:r>
    </w:p>
    <w:p w:rsidRPr="008D45CB" w:rsidR="00A1595C" w:rsidP="004328EC" w:rsidRDefault="00A1595C">
      <w:pPr>
        <w:pStyle w:val="p2"/>
        <w:spacing w:line="240" w:lineRule="auto"/>
        <w:rPr>
          <w:rFonts w:ascii="Arial" w:hAnsi="Arial" w:cs="Arial"/>
          <w:b/>
          <w:sz w:val="20"/>
        </w:rPr>
      </w:pPr>
    </w:p>
    <w:p w:rsidRPr="009F2E6C" w:rsidR="00A1595C" w:rsidP="004328EC" w:rsidRDefault="00A1595C">
      <w:pPr>
        <w:pStyle w:val="p2"/>
        <w:tabs>
          <w:tab w:val="clear" w:pos="660"/>
          <w:tab w:val="left" w:pos="360"/>
        </w:tabs>
        <w:spacing w:line="240" w:lineRule="auto"/>
        <w:rPr>
          <w:rFonts w:ascii="Arial" w:hAnsi="Arial" w:cs="Arial"/>
          <w:sz w:val="20"/>
        </w:rPr>
      </w:pPr>
      <w:r w:rsidRPr="009F2E6C">
        <w:rPr>
          <w:rFonts w:ascii="Arial" w:hAnsi="Arial" w:cs="Arial"/>
          <w:sz w:val="20"/>
        </w:rPr>
        <w:t xml:space="preserve">6.  </w:t>
      </w:r>
      <w:r w:rsidRPr="009F2E6C">
        <w:rPr>
          <w:rFonts w:ascii="Arial" w:hAnsi="Arial" w:cs="Arial"/>
          <w:bCs/>
          <w:sz w:val="20"/>
          <w:u w:val="single"/>
        </w:rPr>
        <w:t>Consequences to the Federal program if collection were conducted less frequently</w:t>
      </w:r>
      <w:r w:rsidRPr="009F2E6C">
        <w:rPr>
          <w:rFonts w:ascii="Arial" w:hAnsi="Arial" w:cs="Arial"/>
          <w:bCs/>
          <w:sz w:val="20"/>
        </w:rPr>
        <w:t>.</w:t>
      </w:r>
      <w:r w:rsidR="009F2E6C">
        <w:rPr>
          <w:rFonts w:ascii="Arial" w:hAnsi="Arial" w:cs="Arial"/>
          <w:bCs/>
          <w:sz w:val="20"/>
        </w:rPr>
        <w:t xml:space="preserve">  </w:t>
      </w:r>
    </w:p>
    <w:p w:rsidRPr="008D45CB" w:rsidR="00A1595C" w:rsidP="004328EC" w:rsidRDefault="00A1595C">
      <w:pPr>
        <w:pStyle w:val="p2"/>
        <w:spacing w:line="240" w:lineRule="auto"/>
        <w:rPr>
          <w:rFonts w:ascii="Arial" w:hAnsi="Arial" w:cs="Arial"/>
          <w:sz w:val="20"/>
        </w:rPr>
      </w:pPr>
    </w:p>
    <w:p w:rsidRPr="008D45CB" w:rsidR="00A1595C" w:rsidP="004328EC" w:rsidRDefault="00661CE9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Without accurate baseline data, following a port disruption the Coast Guard would not be able to provide the best recommendations for prioritizing recovery efforts or gauging the effectiveness of </w:t>
      </w:r>
      <w:r w:rsidR="00E515DA">
        <w:rPr>
          <w:rFonts w:ascii="Arial" w:hAnsi="Arial" w:cs="Arial"/>
          <w:sz w:val="20"/>
        </w:rPr>
        <w:t>F</w:t>
      </w:r>
      <w:r>
        <w:rPr>
          <w:rFonts w:ascii="Arial" w:hAnsi="Arial" w:cs="Arial"/>
          <w:sz w:val="20"/>
        </w:rPr>
        <w:t xml:space="preserve">ederal, </w:t>
      </w:r>
      <w:r w:rsidR="00E515DA">
        <w:rPr>
          <w:rFonts w:ascii="Arial" w:hAnsi="Arial" w:cs="Arial"/>
          <w:sz w:val="20"/>
        </w:rPr>
        <w:t>S</w:t>
      </w:r>
      <w:r>
        <w:rPr>
          <w:rFonts w:ascii="Arial" w:hAnsi="Arial" w:cs="Arial"/>
          <w:sz w:val="20"/>
        </w:rPr>
        <w:t>tate, local, and contracted response efforts.</w:t>
      </w:r>
      <w:r w:rsidRPr="008D45CB" w:rsidR="00F8751D">
        <w:rPr>
          <w:rFonts w:ascii="Arial" w:hAnsi="Arial" w:cs="Arial"/>
          <w:sz w:val="20"/>
        </w:rPr>
        <w:t xml:space="preserve">  </w:t>
      </w:r>
    </w:p>
    <w:p w:rsidRPr="008D45CB" w:rsidR="00A1595C" w:rsidP="004328EC" w:rsidRDefault="00A1595C">
      <w:pPr>
        <w:rPr>
          <w:rFonts w:ascii="Arial" w:hAnsi="Arial" w:cs="Arial"/>
          <w:b/>
          <w:sz w:val="20"/>
        </w:rPr>
      </w:pPr>
    </w:p>
    <w:p w:rsidRPr="009F2E6C" w:rsidR="00A1595C" w:rsidP="004328EC" w:rsidRDefault="00A1595C">
      <w:pPr>
        <w:pStyle w:val="BodyText"/>
        <w:tabs>
          <w:tab w:val="left" w:pos="360"/>
        </w:tabs>
        <w:rPr>
          <w:rFonts w:ascii="Arial" w:hAnsi="Arial" w:cs="Arial"/>
          <w:b w:val="0"/>
          <w:sz w:val="20"/>
          <w:u w:val="single"/>
        </w:rPr>
      </w:pPr>
      <w:r w:rsidRPr="009F2E6C">
        <w:rPr>
          <w:rFonts w:ascii="Arial" w:hAnsi="Arial" w:cs="Arial"/>
          <w:b w:val="0"/>
          <w:sz w:val="20"/>
        </w:rPr>
        <w:t xml:space="preserve">7.  </w:t>
      </w:r>
      <w:r w:rsidRPr="009F2E6C" w:rsidR="009F2E6C">
        <w:rPr>
          <w:rFonts w:ascii="Arial" w:hAnsi="Arial" w:cs="Arial"/>
          <w:b w:val="0"/>
          <w:sz w:val="20"/>
          <w:u w:val="single"/>
        </w:rPr>
        <w:t>Special collection circumstances</w:t>
      </w:r>
      <w:r w:rsidRPr="009F2E6C" w:rsidR="009F2E6C">
        <w:rPr>
          <w:rFonts w:ascii="Arial" w:hAnsi="Arial" w:cs="Arial"/>
          <w:b w:val="0"/>
          <w:sz w:val="20"/>
        </w:rPr>
        <w:t xml:space="preserve">.  </w:t>
      </w:r>
    </w:p>
    <w:p w:rsidRPr="008D45CB" w:rsidR="00A1595C" w:rsidP="004328EC" w:rsidRDefault="00A1595C">
      <w:pPr>
        <w:rPr>
          <w:rFonts w:ascii="Arial" w:hAnsi="Arial" w:cs="Arial"/>
          <w:sz w:val="20"/>
        </w:rPr>
      </w:pPr>
    </w:p>
    <w:p w:rsidRPr="008D45CB" w:rsidR="00A1595C" w:rsidP="004328EC" w:rsidRDefault="00223224">
      <w:pPr>
        <w:pStyle w:val="p2"/>
        <w:spacing w:line="240" w:lineRule="auto"/>
        <w:rPr>
          <w:rFonts w:ascii="Arial" w:hAnsi="Arial" w:cs="Arial"/>
          <w:sz w:val="20"/>
        </w:rPr>
      </w:pPr>
      <w:r w:rsidRPr="008D45CB">
        <w:rPr>
          <w:rFonts w:ascii="Arial" w:hAnsi="Arial" w:cs="Arial"/>
          <w:sz w:val="20"/>
        </w:rPr>
        <w:t>This information collection is conducted in a manner consistent with the guidelines in 5</w:t>
      </w:r>
      <w:r w:rsidRPr="008D45CB" w:rsidR="00791E7A">
        <w:rPr>
          <w:rFonts w:ascii="Arial" w:hAnsi="Arial" w:cs="Arial"/>
          <w:sz w:val="20"/>
        </w:rPr>
        <w:t> </w:t>
      </w:r>
      <w:r w:rsidRPr="008D45CB">
        <w:rPr>
          <w:rFonts w:ascii="Arial" w:hAnsi="Arial" w:cs="Arial"/>
          <w:sz w:val="20"/>
        </w:rPr>
        <w:t xml:space="preserve">CFR 1320(d)(2). </w:t>
      </w:r>
      <w:r w:rsidRPr="008D45CB" w:rsidR="00791E7A">
        <w:rPr>
          <w:rFonts w:ascii="Arial" w:hAnsi="Arial" w:cs="Arial"/>
          <w:sz w:val="20"/>
        </w:rPr>
        <w:t xml:space="preserve"> </w:t>
      </w:r>
    </w:p>
    <w:p w:rsidRPr="008D45CB" w:rsidR="00A1595C" w:rsidP="004328EC" w:rsidRDefault="00A1595C">
      <w:pPr>
        <w:pStyle w:val="p2"/>
        <w:spacing w:line="240" w:lineRule="auto"/>
        <w:rPr>
          <w:rFonts w:ascii="Arial" w:hAnsi="Arial" w:cs="Arial"/>
          <w:b/>
          <w:sz w:val="20"/>
        </w:rPr>
      </w:pPr>
    </w:p>
    <w:p w:rsidRPr="009F2E6C" w:rsidR="00A1595C" w:rsidP="004328EC" w:rsidRDefault="00A1595C">
      <w:pPr>
        <w:tabs>
          <w:tab w:val="left" w:pos="360"/>
        </w:tabs>
        <w:rPr>
          <w:rFonts w:ascii="Arial" w:hAnsi="Arial" w:cs="Arial"/>
          <w:sz w:val="20"/>
        </w:rPr>
      </w:pPr>
      <w:r w:rsidRPr="009F2E6C">
        <w:rPr>
          <w:rFonts w:ascii="Arial" w:hAnsi="Arial" w:cs="Arial"/>
          <w:sz w:val="20"/>
        </w:rPr>
        <w:t xml:space="preserve">8.  </w:t>
      </w:r>
      <w:r w:rsidRPr="009F2E6C">
        <w:rPr>
          <w:rFonts w:ascii="Arial" w:hAnsi="Arial" w:cs="Arial"/>
          <w:bCs/>
          <w:sz w:val="20"/>
          <w:u w:val="single"/>
        </w:rPr>
        <w:t>Consultation</w:t>
      </w:r>
      <w:r w:rsidRPr="009F2E6C">
        <w:rPr>
          <w:rFonts w:ascii="Arial" w:hAnsi="Arial" w:cs="Arial"/>
          <w:bCs/>
          <w:sz w:val="20"/>
        </w:rPr>
        <w:t>.</w:t>
      </w:r>
      <w:r w:rsidRPr="009F2E6C" w:rsidR="009F2E6C">
        <w:rPr>
          <w:rFonts w:ascii="Arial" w:hAnsi="Arial" w:cs="Arial"/>
          <w:bCs/>
          <w:sz w:val="20"/>
        </w:rPr>
        <w:t xml:space="preserve">  </w:t>
      </w:r>
    </w:p>
    <w:p w:rsidRPr="008D45CB" w:rsidR="00A1595C" w:rsidP="004328EC" w:rsidRDefault="00A1595C">
      <w:pPr>
        <w:pStyle w:val="p2"/>
        <w:tabs>
          <w:tab w:val="clear" w:pos="660"/>
        </w:tabs>
        <w:spacing w:line="240" w:lineRule="auto"/>
        <w:rPr>
          <w:rFonts w:ascii="Arial" w:hAnsi="Arial" w:cs="Arial"/>
          <w:sz w:val="20"/>
        </w:rPr>
      </w:pPr>
    </w:p>
    <w:p w:rsidRPr="008D45CB" w:rsidR="00791E7A" w:rsidP="004328EC" w:rsidRDefault="002D65E7">
      <w:pPr>
        <w:rPr>
          <w:rFonts w:ascii="Arial" w:hAnsi="Arial" w:cs="Arial"/>
          <w:sz w:val="20"/>
        </w:rPr>
      </w:pPr>
      <w:r w:rsidRPr="002D65E7">
        <w:rPr>
          <w:rFonts w:ascii="Arial" w:hAnsi="Arial" w:cs="Arial"/>
          <w:sz w:val="20"/>
        </w:rPr>
        <w:t>A 60-day Notice was published in the Federal Register to obtain public comment on this</w:t>
      </w:r>
      <w:r>
        <w:rPr>
          <w:rFonts w:ascii="Arial" w:hAnsi="Arial" w:cs="Arial"/>
          <w:sz w:val="20"/>
        </w:rPr>
        <w:t xml:space="preserve"> collection (See [USCG-2020-0670]; December 18</w:t>
      </w:r>
      <w:r w:rsidRPr="002D65E7">
        <w:rPr>
          <w:rFonts w:ascii="Arial" w:hAnsi="Arial" w:cs="Arial"/>
          <w:sz w:val="20"/>
        </w:rPr>
        <w:t>, 2020, 85 FR</w:t>
      </w:r>
      <w:r>
        <w:rPr>
          <w:rFonts w:ascii="Arial" w:hAnsi="Arial" w:cs="Arial"/>
          <w:sz w:val="20"/>
        </w:rPr>
        <w:t xml:space="preserve"> 82495</w:t>
      </w:r>
      <w:r w:rsidRPr="002D65E7">
        <w:rPr>
          <w:rFonts w:ascii="Arial" w:hAnsi="Arial" w:cs="Arial"/>
          <w:sz w:val="20"/>
        </w:rPr>
        <w:t>) and 30-Day Notic</w:t>
      </w:r>
      <w:r>
        <w:rPr>
          <w:rFonts w:ascii="Arial" w:hAnsi="Arial" w:cs="Arial"/>
          <w:sz w:val="20"/>
        </w:rPr>
        <w:t>e (February 26, 2021 86 FR 11788</w:t>
      </w:r>
      <w:bookmarkStart w:name="_GoBack" w:id="0"/>
      <w:bookmarkEnd w:id="0"/>
      <w:r w:rsidRPr="002D65E7">
        <w:rPr>
          <w:rFonts w:ascii="Arial" w:hAnsi="Arial" w:cs="Arial"/>
          <w:sz w:val="20"/>
        </w:rPr>
        <w:t>) were published in the Federal Register to obtain public comment on this collection.  The Coast Guard has not received any comments on this information collection</w:t>
      </w:r>
      <w:r w:rsidR="00F74EEE">
        <w:rPr>
          <w:rFonts w:ascii="Arial" w:hAnsi="Arial" w:cs="Arial"/>
          <w:sz w:val="20"/>
        </w:rPr>
        <w:t xml:space="preserve">.  </w:t>
      </w:r>
    </w:p>
    <w:p w:rsidRPr="008D45CB" w:rsidR="00A1595C" w:rsidP="004328EC" w:rsidRDefault="00A1595C">
      <w:pPr>
        <w:rPr>
          <w:rFonts w:ascii="Arial" w:hAnsi="Arial" w:cs="Arial"/>
          <w:b/>
          <w:sz w:val="20"/>
        </w:rPr>
      </w:pPr>
    </w:p>
    <w:p w:rsidRPr="009F2E6C" w:rsidR="00A1595C" w:rsidP="004328EC" w:rsidRDefault="00A1595C">
      <w:pPr>
        <w:tabs>
          <w:tab w:val="left" w:pos="360"/>
        </w:tabs>
        <w:rPr>
          <w:rFonts w:ascii="Arial" w:hAnsi="Arial" w:cs="Arial"/>
          <w:sz w:val="20"/>
        </w:rPr>
      </w:pPr>
      <w:r w:rsidRPr="009F2E6C">
        <w:rPr>
          <w:rFonts w:ascii="Arial" w:hAnsi="Arial" w:cs="Arial"/>
          <w:sz w:val="20"/>
        </w:rPr>
        <w:t xml:space="preserve">9.  </w:t>
      </w:r>
      <w:r w:rsidRPr="009F2E6C" w:rsidR="009F2E6C">
        <w:rPr>
          <w:rFonts w:ascii="Arial" w:hAnsi="Arial" w:cs="Arial"/>
          <w:bCs/>
          <w:sz w:val="20"/>
          <w:u w:val="single"/>
        </w:rPr>
        <w:t>P</w:t>
      </w:r>
      <w:r w:rsidRPr="009F2E6C">
        <w:rPr>
          <w:rFonts w:ascii="Arial" w:hAnsi="Arial" w:cs="Arial"/>
          <w:bCs/>
          <w:sz w:val="20"/>
          <w:u w:val="single"/>
        </w:rPr>
        <w:t xml:space="preserve">rovide </w:t>
      </w:r>
      <w:r w:rsidRPr="009F2E6C" w:rsidR="009F2E6C">
        <w:rPr>
          <w:rFonts w:ascii="Arial" w:hAnsi="Arial" w:cs="Arial"/>
          <w:bCs/>
          <w:sz w:val="20"/>
          <w:u w:val="single"/>
        </w:rPr>
        <w:t xml:space="preserve">any </w:t>
      </w:r>
      <w:r w:rsidRPr="009F2E6C">
        <w:rPr>
          <w:rFonts w:ascii="Arial" w:hAnsi="Arial" w:cs="Arial"/>
          <w:bCs/>
          <w:sz w:val="20"/>
          <w:u w:val="single"/>
        </w:rPr>
        <w:t>payment or gift to respondents</w:t>
      </w:r>
      <w:r w:rsidRPr="009F2E6C">
        <w:rPr>
          <w:rFonts w:ascii="Arial" w:hAnsi="Arial" w:cs="Arial"/>
          <w:bCs/>
          <w:sz w:val="20"/>
        </w:rPr>
        <w:t>.</w:t>
      </w:r>
      <w:r w:rsidR="009F2E6C">
        <w:rPr>
          <w:rFonts w:ascii="Arial" w:hAnsi="Arial" w:cs="Arial"/>
          <w:bCs/>
          <w:sz w:val="20"/>
        </w:rPr>
        <w:t xml:space="preserve">  </w:t>
      </w:r>
    </w:p>
    <w:p w:rsidRPr="008D45CB" w:rsidR="00A1595C" w:rsidP="004328EC" w:rsidRDefault="00A1595C">
      <w:pPr>
        <w:rPr>
          <w:rFonts w:ascii="Arial" w:hAnsi="Arial" w:cs="Arial"/>
          <w:sz w:val="20"/>
        </w:rPr>
      </w:pPr>
    </w:p>
    <w:p w:rsidRPr="008D45CB" w:rsidR="00A1595C" w:rsidP="004328EC" w:rsidRDefault="00223224">
      <w:pPr>
        <w:rPr>
          <w:rFonts w:ascii="Arial" w:hAnsi="Arial" w:cs="Arial"/>
          <w:sz w:val="20"/>
        </w:rPr>
      </w:pPr>
      <w:r w:rsidRPr="008D45CB">
        <w:rPr>
          <w:rFonts w:ascii="Arial" w:hAnsi="Arial" w:cs="Arial"/>
          <w:sz w:val="20"/>
        </w:rPr>
        <w:t>The U.S. Coast Guard does not provide payment o</w:t>
      </w:r>
      <w:r w:rsidR="009F2E6C">
        <w:rPr>
          <w:rFonts w:ascii="Arial" w:hAnsi="Arial" w:cs="Arial"/>
          <w:sz w:val="20"/>
        </w:rPr>
        <w:t>r</w:t>
      </w:r>
      <w:r w:rsidRPr="008D45CB">
        <w:rPr>
          <w:rFonts w:ascii="Arial" w:hAnsi="Arial" w:cs="Arial"/>
          <w:sz w:val="20"/>
        </w:rPr>
        <w:t xml:space="preserve"> gifts to respondents </w:t>
      </w:r>
      <w:r w:rsidRPr="008D45CB" w:rsidR="00AC2D7F">
        <w:rPr>
          <w:rFonts w:ascii="Arial" w:hAnsi="Arial" w:cs="Arial"/>
          <w:sz w:val="20"/>
        </w:rPr>
        <w:t>in exchange for a benefit sought.</w:t>
      </w:r>
      <w:r w:rsidRPr="008D45CB" w:rsidR="00791E7A">
        <w:rPr>
          <w:rFonts w:ascii="Arial" w:hAnsi="Arial" w:cs="Arial"/>
          <w:sz w:val="20"/>
        </w:rPr>
        <w:t xml:space="preserve">  </w:t>
      </w:r>
    </w:p>
    <w:p w:rsidRPr="008D45CB" w:rsidR="00AC2D7F" w:rsidP="004328EC" w:rsidRDefault="00AC2D7F">
      <w:pPr>
        <w:rPr>
          <w:rFonts w:ascii="Arial" w:hAnsi="Arial" w:cs="Arial"/>
          <w:b/>
          <w:sz w:val="20"/>
        </w:rPr>
      </w:pPr>
    </w:p>
    <w:p w:rsidRPr="009F2E6C" w:rsidR="00A1595C" w:rsidP="004328EC" w:rsidRDefault="00A1595C">
      <w:pPr>
        <w:tabs>
          <w:tab w:val="left" w:pos="360"/>
        </w:tabs>
        <w:rPr>
          <w:rFonts w:ascii="Arial" w:hAnsi="Arial" w:cs="Arial"/>
          <w:sz w:val="20"/>
        </w:rPr>
      </w:pPr>
      <w:r w:rsidRPr="009F2E6C">
        <w:rPr>
          <w:rFonts w:ascii="Arial" w:hAnsi="Arial" w:cs="Arial"/>
          <w:sz w:val="20"/>
        </w:rPr>
        <w:t xml:space="preserve">10.  </w:t>
      </w:r>
      <w:r w:rsidRPr="009F2E6C">
        <w:rPr>
          <w:rFonts w:ascii="Arial" w:hAnsi="Arial" w:cs="Arial"/>
          <w:sz w:val="20"/>
          <w:u w:val="single"/>
        </w:rPr>
        <w:t>Describe any assurance of confidentiality provided to respondents</w:t>
      </w:r>
      <w:r w:rsidRPr="009F2E6C">
        <w:rPr>
          <w:rFonts w:ascii="Arial" w:hAnsi="Arial" w:cs="Arial"/>
          <w:bCs/>
          <w:sz w:val="20"/>
        </w:rPr>
        <w:t>.</w:t>
      </w:r>
      <w:r w:rsidR="009F2E6C">
        <w:rPr>
          <w:rFonts w:ascii="Arial" w:hAnsi="Arial" w:cs="Arial"/>
          <w:bCs/>
          <w:sz w:val="20"/>
        </w:rPr>
        <w:t xml:space="preserve">  </w:t>
      </w:r>
    </w:p>
    <w:p w:rsidRPr="008D45CB" w:rsidR="00A1595C" w:rsidP="004328EC" w:rsidRDefault="00A1595C">
      <w:pPr>
        <w:rPr>
          <w:rFonts w:ascii="Arial" w:hAnsi="Arial" w:cs="Arial"/>
          <w:sz w:val="20"/>
        </w:rPr>
      </w:pPr>
    </w:p>
    <w:p w:rsidRPr="00157B1A" w:rsidR="00157B1A" w:rsidP="004328EC" w:rsidRDefault="00E515DA">
      <w:pPr>
        <w:pStyle w:val="PlainText"/>
        <w:widowControl w:val="0"/>
        <w:rPr>
          <w:rFonts w:ascii="Arial" w:hAnsi="Arial" w:cs="Arial"/>
          <w:sz w:val="20"/>
          <w:szCs w:val="20"/>
        </w:rPr>
      </w:pPr>
      <w:r w:rsidRPr="00E515DA">
        <w:rPr>
          <w:rFonts w:ascii="Arial" w:hAnsi="Arial" w:cs="Arial"/>
          <w:sz w:val="20"/>
          <w:szCs w:val="20"/>
        </w:rPr>
        <w:t xml:space="preserve">There are no assurances of confidentiality provided to the respondents for this information collection.  This information collection request is </w:t>
      </w:r>
      <w:r w:rsidRPr="00157B1A" w:rsidR="00157B1A">
        <w:rPr>
          <w:rFonts w:ascii="Arial" w:hAnsi="Arial" w:cs="Arial"/>
          <w:sz w:val="20"/>
          <w:szCs w:val="20"/>
        </w:rPr>
        <w:t xml:space="preserve">covered by the Coast Guard Maritime Information </w:t>
      </w:r>
      <w:r w:rsidR="00157B1A">
        <w:rPr>
          <w:rFonts w:ascii="Arial" w:hAnsi="Arial" w:cs="Arial"/>
          <w:sz w:val="20"/>
          <w:szCs w:val="20"/>
        </w:rPr>
        <w:t>Ex</w:t>
      </w:r>
      <w:r w:rsidRPr="00157B1A" w:rsidR="00157B1A">
        <w:rPr>
          <w:rFonts w:ascii="Arial" w:hAnsi="Arial" w:cs="Arial"/>
          <w:sz w:val="20"/>
          <w:szCs w:val="20"/>
        </w:rPr>
        <w:t xml:space="preserve">change </w:t>
      </w:r>
      <w:r>
        <w:rPr>
          <w:rFonts w:ascii="Arial" w:hAnsi="Arial" w:cs="Arial"/>
          <w:sz w:val="20"/>
          <w:szCs w:val="20"/>
          <w:lang w:val="en-US"/>
        </w:rPr>
        <w:t xml:space="preserve">(CGMIX) </w:t>
      </w:r>
      <w:r w:rsidRPr="00E515DA">
        <w:rPr>
          <w:rFonts w:ascii="Arial" w:hAnsi="Arial" w:cs="Arial"/>
          <w:sz w:val="20"/>
          <w:szCs w:val="20"/>
          <w:lang w:val="en-US"/>
        </w:rPr>
        <w:t xml:space="preserve">Privacy Impact Assessment </w:t>
      </w:r>
      <w:r w:rsidRPr="00157B1A" w:rsidR="00157B1A">
        <w:rPr>
          <w:rFonts w:ascii="Arial" w:hAnsi="Arial" w:cs="Arial"/>
          <w:sz w:val="20"/>
          <w:szCs w:val="20"/>
        </w:rPr>
        <w:t>(PIA) and the Marine Information for Safety and Law Enforcement (MISLE) System of</w:t>
      </w:r>
      <w:r w:rsidR="00157B1A">
        <w:rPr>
          <w:rFonts w:ascii="Arial" w:hAnsi="Arial" w:cs="Arial"/>
          <w:sz w:val="20"/>
          <w:szCs w:val="20"/>
        </w:rPr>
        <w:t xml:space="preserve"> </w:t>
      </w:r>
      <w:r w:rsidRPr="00157B1A" w:rsidR="00157B1A">
        <w:rPr>
          <w:rFonts w:ascii="Arial" w:hAnsi="Arial" w:cs="Arial"/>
          <w:sz w:val="20"/>
          <w:szCs w:val="20"/>
        </w:rPr>
        <w:t>Record Notice (SORN).  Links to the CG MIX PIA and the MISLE SORN are</w:t>
      </w:r>
      <w:r w:rsidR="00157B1A">
        <w:rPr>
          <w:rFonts w:ascii="Arial" w:hAnsi="Arial" w:cs="Arial"/>
          <w:sz w:val="20"/>
          <w:szCs w:val="20"/>
        </w:rPr>
        <w:t xml:space="preserve"> </w:t>
      </w:r>
      <w:r w:rsidRPr="00157B1A" w:rsidR="00157B1A">
        <w:rPr>
          <w:rFonts w:ascii="Arial" w:hAnsi="Arial" w:cs="Arial"/>
          <w:sz w:val="20"/>
          <w:szCs w:val="20"/>
        </w:rPr>
        <w:t>provided below:</w:t>
      </w:r>
    </w:p>
    <w:p w:rsidRPr="00157B1A" w:rsidR="00157B1A" w:rsidP="004328EC" w:rsidRDefault="002D65E7">
      <w:pPr>
        <w:pStyle w:val="PlainText"/>
        <w:widowControl w:val="0"/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hyperlink w:history="1" r:id="rId9">
        <w:r w:rsidRPr="00B607FF" w:rsidR="00AD2FDE">
          <w:rPr>
            <w:rStyle w:val="Hyperlink"/>
            <w:rFonts w:ascii="Arial" w:hAnsi="Arial" w:cs="Arial"/>
            <w:sz w:val="20"/>
            <w:szCs w:val="20"/>
          </w:rPr>
          <w:t>https://www.dhs.gov/sites/default/files/publications/privacy-pia-uscg-cgmix-july2015.pdf</w:t>
        </w:r>
      </w:hyperlink>
      <w:r w:rsidR="00AD2FDE">
        <w:rPr>
          <w:rFonts w:ascii="Arial" w:hAnsi="Arial" w:cs="Arial"/>
          <w:sz w:val="20"/>
          <w:szCs w:val="20"/>
        </w:rPr>
        <w:t xml:space="preserve"> </w:t>
      </w:r>
    </w:p>
    <w:p w:rsidRPr="00157B1A" w:rsidR="00A1595C" w:rsidP="004328EC" w:rsidRDefault="002D65E7">
      <w:pPr>
        <w:numPr>
          <w:ilvl w:val="0"/>
          <w:numId w:val="19"/>
        </w:numPr>
        <w:rPr>
          <w:rFonts w:ascii="Arial" w:hAnsi="Arial" w:cs="Arial"/>
          <w:sz w:val="20"/>
        </w:rPr>
      </w:pPr>
      <w:hyperlink w:history="1" r:id="rId10">
        <w:r w:rsidRPr="00356A89" w:rsidR="000E30B4">
          <w:rPr>
            <w:rStyle w:val="Hyperlink"/>
            <w:rFonts w:ascii="Arial" w:hAnsi="Arial" w:cs="Arial"/>
            <w:sz w:val="20"/>
          </w:rPr>
          <w:t>http://edocket.access.gpo.gov/2009/E9-14906.htm</w:t>
        </w:r>
      </w:hyperlink>
      <w:r w:rsidR="00AD2FDE">
        <w:rPr>
          <w:rFonts w:ascii="Arial" w:hAnsi="Arial" w:cs="Arial"/>
          <w:sz w:val="20"/>
        </w:rPr>
        <w:t xml:space="preserve"> </w:t>
      </w:r>
      <w:r w:rsidRPr="00157B1A" w:rsidR="00157B1A">
        <w:rPr>
          <w:rFonts w:ascii="Arial" w:hAnsi="Arial" w:cs="Arial"/>
          <w:sz w:val="20"/>
        </w:rPr>
        <w:t xml:space="preserve"> </w:t>
      </w:r>
    </w:p>
    <w:p w:rsidRPr="008D45CB" w:rsidR="00AC2D7F" w:rsidP="004328EC" w:rsidRDefault="00AC2D7F">
      <w:pPr>
        <w:rPr>
          <w:rFonts w:ascii="Arial" w:hAnsi="Arial" w:cs="Arial"/>
          <w:b/>
          <w:sz w:val="20"/>
        </w:rPr>
      </w:pPr>
    </w:p>
    <w:p w:rsidRPr="009F2E6C" w:rsidR="00A1595C" w:rsidP="004328EC" w:rsidRDefault="00A1595C">
      <w:pPr>
        <w:tabs>
          <w:tab w:val="left" w:pos="360"/>
        </w:tabs>
        <w:rPr>
          <w:rFonts w:ascii="Arial" w:hAnsi="Arial" w:cs="Arial"/>
          <w:sz w:val="20"/>
        </w:rPr>
      </w:pPr>
      <w:r w:rsidRPr="009F2E6C">
        <w:rPr>
          <w:rFonts w:ascii="Arial" w:hAnsi="Arial" w:cs="Arial"/>
          <w:sz w:val="20"/>
        </w:rPr>
        <w:t xml:space="preserve">11.  </w:t>
      </w:r>
      <w:r w:rsidRPr="009F2E6C">
        <w:rPr>
          <w:rFonts w:ascii="Arial" w:hAnsi="Arial" w:cs="Arial"/>
          <w:bCs/>
          <w:sz w:val="20"/>
          <w:u w:val="single"/>
        </w:rPr>
        <w:t>Additional justification for any questions of a sensitive nature</w:t>
      </w:r>
      <w:r w:rsidRPr="009F2E6C">
        <w:rPr>
          <w:rFonts w:ascii="Arial" w:hAnsi="Arial" w:cs="Arial"/>
          <w:bCs/>
          <w:sz w:val="20"/>
        </w:rPr>
        <w:t>.</w:t>
      </w:r>
      <w:r w:rsidR="009F2E6C">
        <w:rPr>
          <w:rFonts w:ascii="Arial" w:hAnsi="Arial" w:cs="Arial"/>
          <w:bCs/>
          <w:sz w:val="20"/>
        </w:rPr>
        <w:t xml:space="preserve">  </w:t>
      </w:r>
    </w:p>
    <w:p w:rsidRPr="008D45CB" w:rsidR="00A1595C" w:rsidP="004328EC" w:rsidRDefault="00A1595C">
      <w:pPr>
        <w:rPr>
          <w:rFonts w:ascii="Arial" w:hAnsi="Arial" w:cs="Arial"/>
          <w:sz w:val="20"/>
        </w:rPr>
      </w:pPr>
    </w:p>
    <w:p w:rsidRPr="008D45CB" w:rsidR="00A1595C" w:rsidP="004328EC" w:rsidRDefault="00AC2D7F">
      <w:pPr>
        <w:rPr>
          <w:rFonts w:ascii="Arial" w:hAnsi="Arial" w:cs="Arial"/>
          <w:sz w:val="20"/>
        </w:rPr>
      </w:pPr>
      <w:r w:rsidRPr="008D45CB">
        <w:rPr>
          <w:rFonts w:ascii="Arial" w:hAnsi="Arial" w:cs="Arial"/>
          <w:sz w:val="20"/>
        </w:rPr>
        <w:t>There are no questions of sensitive language.</w:t>
      </w:r>
      <w:r w:rsidRPr="008D45CB" w:rsidR="00791E7A">
        <w:rPr>
          <w:rFonts w:ascii="Arial" w:hAnsi="Arial" w:cs="Arial"/>
          <w:sz w:val="20"/>
        </w:rPr>
        <w:t xml:space="preserve">  </w:t>
      </w:r>
    </w:p>
    <w:p w:rsidRPr="008D45CB" w:rsidR="00AC2D7F" w:rsidP="004328EC" w:rsidRDefault="00AC2D7F">
      <w:pPr>
        <w:rPr>
          <w:rFonts w:ascii="Arial" w:hAnsi="Arial" w:cs="Arial"/>
          <w:b/>
          <w:sz w:val="20"/>
        </w:rPr>
      </w:pPr>
    </w:p>
    <w:p w:rsidRPr="009F2E6C" w:rsidR="00A1595C" w:rsidP="004328EC" w:rsidRDefault="00A1595C">
      <w:pPr>
        <w:tabs>
          <w:tab w:val="left" w:pos="360"/>
        </w:tabs>
        <w:rPr>
          <w:rFonts w:ascii="Arial" w:hAnsi="Arial" w:cs="Arial"/>
          <w:sz w:val="20"/>
          <w:u w:val="single"/>
        </w:rPr>
      </w:pPr>
      <w:r w:rsidRPr="009F2E6C">
        <w:rPr>
          <w:rFonts w:ascii="Arial" w:hAnsi="Arial" w:cs="Arial"/>
          <w:sz w:val="20"/>
        </w:rPr>
        <w:t xml:space="preserve">12.  </w:t>
      </w:r>
      <w:r w:rsidRPr="009F2E6C">
        <w:rPr>
          <w:rFonts w:ascii="Arial" w:hAnsi="Arial" w:cs="Arial"/>
          <w:bCs/>
          <w:sz w:val="20"/>
          <w:u w:val="single"/>
        </w:rPr>
        <w:t>Estimates of</w:t>
      </w:r>
      <w:r w:rsidR="009F2E6C">
        <w:rPr>
          <w:rFonts w:ascii="Arial" w:hAnsi="Arial" w:cs="Arial"/>
          <w:bCs/>
          <w:sz w:val="20"/>
          <w:u w:val="single"/>
        </w:rPr>
        <w:t xml:space="preserve"> annual </w:t>
      </w:r>
      <w:r w:rsidRPr="009F2E6C">
        <w:rPr>
          <w:rFonts w:ascii="Arial" w:hAnsi="Arial" w:cs="Arial"/>
          <w:bCs/>
          <w:sz w:val="20"/>
          <w:u w:val="single"/>
        </w:rPr>
        <w:t xml:space="preserve">hour and cost burdens </w:t>
      </w:r>
      <w:r w:rsidR="009F2E6C">
        <w:rPr>
          <w:rFonts w:ascii="Arial" w:hAnsi="Arial" w:cs="Arial"/>
          <w:bCs/>
          <w:sz w:val="20"/>
          <w:u w:val="single"/>
        </w:rPr>
        <w:t>to respondents</w:t>
      </w:r>
      <w:r w:rsidRPr="009F2E6C">
        <w:rPr>
          <w:rFonts w:ascii="Arial" w:hAnsi="Arial" w:cs="Arial"/>
          <w:bCs/>
          <w:sz w:val="20"/>
        </w:rPr>
        <w:t>.</w:t>
      </w:r>
      <w:r w:rsidR="009F2E6C">
        <w:rPr>
          <w:rFonts w:ascii="Arial" w:hAnsi="Arial" w:cs="Arial"/>
          <w:bCs/>
          <w:sz w:val="20"/>
        </w:rPr>
        <w:t xml:space="preserve">  </w:t>
      </w:r>
    </w:p>
    <w:p w:rsidR="00CD4D37" w:rsidP="004328EC" w:rsidRDefault="00CD4D37">
      <w:pPr>
        <w:pStyle w:val="p9"/>
        <w:spacing w:line="240" w:lineRule="auto"/>
        <w:rPr>
          <w:rFonts w:ascii="Arial" w:hAnsi="Arial" w:cs="Arial"/>
          <w:sz w:val="20"/>
        </w:rPr>
      </w:pPr>
    </w:p>
    <w:p w:rsidRPr="00597E2A" w:rsidR="00E515DA" w:rsidP="004328EC" w:rsidRDefault="00E515DA">
      <w:pPr>
        <w:numPr>
          <w:ilvl w:val="0"/>
          <w:numId w:val="17"/>
        </w:numPr>
        <w:rPr>
          <w:rFonts w:ascii="Arial" w:hAnsi="Arial" w:cs="Arial"/>
          <w:bCs/>
          <w:sz w:val="20"/>
        </w:rPr>
      </w:pPr>
      <w:r w:rsidRPr="001A4850">
        <w:rPr>
          <w:rFonts w:ascii="Arial" w:hAnsi="Arial" w:cs="Arial"/>
          <w:bCs/>
          <w:sz w:val="20"/>
        </w:rPr>
        <w:t xml:space="preserve">The estimated annual number of respondents is </w:t>
      </w:r>
      <w:r w:rsidRPr="00597E2A" w:rsidR="00E95E11">
        <w:rPr>
          <w:rFonts w:ascii="Arial" w:hAnsi="Arial" w:cs="Arial"/>
          <w:bCs/>
          <w:sz w:val="20"/>
        </w:rPr>
        <w:t>9</w:t>
      </w:r>
      <w:r w:rsidRPr="001A4850" w:rsidR="00E95E11">
        <w:rPr>
          <w:rFonts w:ascii="Arial" w:hAnsi="Arial" w:cs="Arial"/>
          <w:bCs/>
          <w:sz w:val="20"/>
        </w:rPr>
        <w:t>00</w:t>
      </w:r>
      <w:r w:rsidRPr="00597E2A">
        <w:rPr>
          <w:rFonts w:ascii="Arial" w:hAnsi="Arial" w:cs="Arial"/>
          <w:bCs/>
          <w:sz w:val="20"/>
        </w:rPr>
        <w:t xml:space="preserve">.  </w:t>
      </w:r>
    </w:p>
    <w:p w:rsidRPr="00597E2A" w:rsidR="00E515DA" w:rsidP="004328EC" w:rsidRDefault="00E515DA">
      <w:pPr>
        <w:numPr>
          <w:ilvl w:val="0"/>
          <w:numId w:val="17"/>
        </w:numPr>
        <w:rPr>
          <w:rFonts w:ascii="Arial" w:hAnsi="Arial" w:cs="Arial"/>
          <w:bCs/>
          <w:sz w:val="20"/>
        </w:rPr>
      </w:pPr>
      <w:r w:rsidRPr="00597E2A">
        <w:rPr>
          <w:rFonts w:ascii="Arial" w:hAnsi="Arial" w:cs="Arial"/>
          <w:bCs/>
          <w:sz w:val="20"/>
        </w:rPr>
        <w:t xml:space="preserve">The estimated annual number of responses is </w:t>
      </w:r>
      <w:r w:rsidRPr="00597E2A" w:rsidR="00E95E11">
        <w:rPr>
          <w:rFonts w:ascii="Arial" w:hAnsi="Arial" w:cs="Arial"/>
          <w:bCs/>
          <w:sz w:val="20"/>
        </w:rPr>
        <w:t>9</w:t>
      </w:r>
      <w:r w:rsidRPr="00597E2A">
        <w:rPr>
          <w:rFonts w:ascii="Arial" w:hAnsi="Arial" w:cs="Arial"/>
          <w:bCs/>
          <w:sz w:val="20"/>
        </w:rPr>
        <w:t xml:space="preserve">00.  </w:t>
      </w:r>
    </w:p>
    <w:p w:rsidRPr="00597E2A" w:rsidR="00E515DA" w:rsidP="004328EC" w:rsidRDefault="00E515DA">
      <w:pPr>
        <w:numPr>
          <w:ilvl w:val="0"/>
          <w:numId w:val="17"/>
        </w:numPr>
        <w:rPr>
          <w:rFonts w:ascii="Arial" w:hAnsi="Arial" w:cs="Arial"/>
          <w:bCs/>
          <w:sz w:val="20"/>
        </w:rPr>
      </w:pPr>
      <w:r w:rsidRPr="00597E2A">
        <w:rPr>
          <w:rFonts w:ascii="Arial" w:hAnsi="Arial" w:cs="Arial"/>
          <w:bCs/>
          <w:sz w:val="20"/>
        </w:rPr>
        <w:t xml:space="preserve">The estimated annual hour burden is </w:t>
      </w:r>
      <w:r w:rsidRPr="00597E2A" w:rsidR="00E95E11">
        <w:rPr>
          <w:rFonts w:ascii="Arial" w:hAnsi="Arial" w:cs="Arial"/>
          <w:bCs/>
          <w:sz w:val="20"/>
        </w:rPr>
        <w:t>338</w:t>
      </w:r>
      <w:r w:rsidRPr="00597E2A">
        <w:rPr>
          <w:rFonts w:ascii="Arial" w:hAnsi="Arial" w:cs="Arial"/>
          <w:bCs/>
          <w:sz w:val="20"/>
        </w:rPr>
        <w:t xml:space="preserve"> hours.  </w:t>
      </w:r>
    </w:p>
    <w:p w:rsidRPr="00597E2A" w:rsidR="00E515DA" w:rsidP="004328EC" w:rsidRDefault="00E515DA">
      <w:pPr>
        <w:numPr>
          <w:ilvl w:val="0"/>
          <w:numId w:val="17"/>
        </w:numPr>
        <w:rPr>
          <w:rFonts w:ascii="Arial" w:hAnsi="Arial" w:cs="Arial"/>
          <w:bCs/>
          <w:sz w:val="20"/>
        </w:rPr>
      </w:pPr>
      <w:r w:rsidRPr="00597E2A">
        <w:rPr>
          <w:rFonts w:ascii="Arial" w:hAnsi="Arial" w:cs="Arial"/>
          <w:bCs/>
          <w:sz w:val="20"/>
        </w:rPr>
        <w:t>The estimated annual cost burden is $</w:t>
      </w:r>
      <w:r w:rsidRPr="00597E2A" w:rsidR="00E95E11">
        <w:rPr>
          <w:rFonts w:ascii="Arial" w:hAnsi="Arial" w:cs="Arial"/>
          <w:bCs/>
          <w:sz w:val="20"/>
        </w:rPr>
        <w:t>28,054</w:t>
      </w:r>
      <w:r w:rsidRPr="00597E2A">
        <w:rPr>
          <w:rFonts w:ascii="Arial" w:hAnsi="Arial" w:cs="Arial"/>
          <w:bCs/>
          <w:sz w:val="20"/>
        </w:rPr>
        <w:t xml:space="preserve">.  </w:t>
      </w:r>
    </w:p>
    <w:p w:rsidRPr="00597E2A" w:rsidR="00E515DA" w:rsidP="004328EC" w:rsidRDefault="00E515DA">
      <w:pPr>
        <w:rPr>
          <w:rFonts w:ascii="Arial" w:hAnsi="Arial" w:cs="Arial"/>
          <w:bCs/>
          <w:sz w:val="20"/>
        </w:rPr>
      </w:pPr>
    </w:p>
    <w:p w:rsidR="00733599" w:rsidP="004328EC" w:rsidRDefault="00523CD0">
      <w:pPr>
        <w:rPr>
          <w:rFonts w:ascii="Arial" w:hAnsi="Arial" w:cs="Arial"/>
          <w:sz w:val="20"/>
        </w:rPr>
      </w:pPr>
      <w:r w:rsidRPr="00597E2A">
        <w:rPr>
          <w:rFonts w:ascii="Arial" w:hAnsi="Arial" w:cs="Arial"/>
          <w:sz w:val="20"/>
        </w:rPr>
        <w:t xml:space="preserve">The burden to respondents is provided in Appendix A.  We estimate that it will take a vessel or facility manager about 30 minutes (0.5 hours) to complete and submit the </w:t>
      </w:r>
      <w:r w:rsidRPr="00597E2A" w:rsidR="00733599">
        <w:rPr>
          <w:rFonts w:ascii="Arial" w:hAnsi="Arial" w:cs="Arial"/>
          <w:sz w:val="20"/>
        </w:rPr>
        <w:t>MTSR Essential Elements of Information</w:t>
      </w:r>
      <w:r w:rsidR="00733599">
        <w:rPr>
          <w:rFonts w:ascii="Arial" w:hAnsi="Arial" w:cs="Arial"/>
          <w:sz w:val="20"/>
        </w:rPr>
        <w:t xml:space="preserve"> (EEI)</w:t>
      </w:r>
      <w:r>
        <w:rPr>
          <w:rFonts w:ascii="Arial" w:hAnsi="Arial" w:cs="Arial"/>
          <w:sz w:val="20"/>
        </w:rPr>
        <w:t xml:space="preserve">.  Additionally, we estimate that it will take a facility manager about 15 minutes (0.25 hours) to complete and submit a </w:t>
      </w:r>
      <w:r w:rsidR="00FD733B">
        <w:rPr>
          <w:rFonts w:ascii="Arial" w:hAnsi="Arial" w:cs="Arial"/>
          <w:sz w:val="20"/>
        </w:rPr>
        <w:t>F</w:t>
      </w:r>
      <w:r>
        <w:rPr>
          <w:rFonts w:ascii="Arial" w:hAnsi="Arial" w:cs="Arial"/>
          <w:sz w:val="20"/>
        </w:rPr>
        <w:t xml:space="preserve">acility </w:t>
      </w:r>
      <w:r w:rsidR="00FD733B">
        <w:rPr>
          <w:rFonts w:ascii="Arial" w:hAnsi="Arial" w:cs="Arial"/>
          <w:sz w:val="20"/>
        </w:rPr>
        <w:t>S</w:t>
      </w:r>
      <w:r>
        <w:rPr>
          <w:rFonts w:ascii="Arial" w:hAnsi="Arial" w:cs="Arial"/>
          <w:sz w:val="20"/>
        </w:rPr>
        <w:t>tatus report.  The MTSR EEI</w:t>
      </w:r>
      <w:r w:rsidR="00733599">
        <w:rPr>
          <w:rFonts w:ascii="Arial" w:hAnsi="Arial" w:cs="Arial"/>
          <w:sz w:val="20"/>
        </w:rPr>
        <w:t xml:space="preserve"> is a one-time collection</w:t>
      </w:r>
      <w:r>
        <w:rPr>
          <w:rFonts w:ascii="Arial" w:hAnsi="Arial" w:cs="Arial"/>
          <w:sz w:val="20"/>
        </w:rPr>
        <w:t xml:space="preserve">.  The </w:t>
      </w:r>
      <w:r w:rsidR="00BF3805">
        <w:rPr>
          <w:rFonts w:ascii="Arial" w:hAnsi="Arial" w:cs="Arial"/>
          <w:sz w:val="20"/>
        </w:rPr>
        <w:t xml:space="preserve">MTSR Facility Status information is only used following a significant port disruption.  </w:t>
      </w:r>
      <w:r>
        <w:rPr>
          <w:rFonts w:ascii="Arial" w:hAnsi="Arial" w:cs="Arial"/>
          <w:sz w:val="20"/>
        </w:rPr>
        <w:t>Annually, we estimate that about 1</w:t>
      </w:r>
      <w:r w:rsidR="009E0323">
        <w:rPr>
          <w:rFonts w:ascii="Arial" w:hAnsi="Arial" w:cs="Arial"/>
          <w:sz w:val="20"/>
        </w:rPr>
        <w:t>5</w:t>
      </w:r>
      <w:r>
        <w:rPr>
          <w:rFonts w:ascii="Arial" w:hAnsi="Arial" w:cs="Arial"/>
          <w:sz w:val="20"/>
        </w:rPr>
        <w:t xml:space="preserve">% of the respondents will complete and submit an EEI or Facility Status report.  </w:t>
      </w:r>
      <w:r w:rsidR="00491A50">
        <w:rPr>
          <w:rFonts w:ascii="Arial" w:hAnsi="Arial" w:cs="Arial"/>
          <w:sz w:val="20"/>
        </w:rPr>
        <w:t>For t</w:t>
      </w:r>
      <w:r w:rsidR="00176C7A">
        <w:rPr>
          <w:rFonts w:ascii="Arial" w:hAnsi="Arial" w:cs="Arial"/>
          <w:sz w:val="20"/>
        </w:rPr>
        <w:t>he wage rate</w:t>
      </w:r>
      <w:r w:rsidR="00491A50">
        <w:rPr>
          <w:rFonts w:ascii="Arial" w:hAnsi="Arial" w:cs="Arial"/>
          <w:sz w:val="20"/>
        </w:rPr>
        <w:t xml:space="preserve">, we used the Bureau of Labor Statistics (BLS) wage rate for </w:t>
      </w:r>
      <w:r w:rsidR="00B3790B">
        <w:rPr>
          <w:rFonts w:ascii="Arial" w:hAnsi="Arial" w:cs="Arial"/>
          <w:sz w:val="20"/>
        </w:rPr>
        <w:t>Industrial Production Manager</w:t>
      </w:r>
      <w:r w:rsidR="00491A50">
        <w:rPr>
          <w:rFonts w:ascii="Arial" w:hAnsi="Arial" w:cs="Arial"/>
          <w:sz w:val="20"/>
        </w:rPr>
        <w:t>s</w:t>
      </w:r>
      <w:r w:rsidR="00B3790B">
        <w:rPr>
          <w:rFonts w:ascii="Arial" w:hAnsi="Arial" w:cs="Arial"/>
          <w:sz w:val="20"/>
        </w:rPr>
        <w:t xml:space="preserve"> (11-3051</w:t>
      </w:r>
      <w:r w:rsidRPr="001A4850" w:rsidR="00B3790B">
        <w:rPr>
          <w:rFonts w:ascii="Arial" w:hAnsi="Arial" w:cs="Arial"/>
          <w:sz w:val="20"/>
        </w:rPr>
        <w:t>)</w:t>
      </w:r>
      <w:r w:rsidRPr="00597E2A" w:rsidR="00491A50">
        <w:rPr>
          <w:rFonts w:ascii="Arial" w:hAnsi="Arial" w:cs="Arial"/>
          <w:sz w:val="20"/>
        </w:rPr>
        <w:t xml:space="preserve"> [May 2019, mean hourly wage, </w:t>
      </w:r>
      <w:r w:rsidRPr="00597E2A" w:rsidR="00491A50">
        <w:rPr>
          <w:rFonts w:ascii="Arial" w:hAnsi="Arial" w:cs="Arial"/>
          <w:sz w:val="20"/>
        </w:rPr>
        <w:lastRenderedPageBreak/>
        <w:t>loaded 5</w:t>
      </w:r>
      <w:r w:rsidR="005D1E2D">
        <w:rPr>
          <w:rFonts w:ascii="Arial" w:hAnsi="Arial" w:cs="Arial"/>
          <w:sz w:val="20"/>
        </w:rPr>
        <w:t>0</w:t>
      </w:r>
      <w:r w:rsidRPr="00597E2A" w:rsidR="00491A50">
        <w:rPr>
          <w:rFonts w:ascii="Arial" w:hAnsi="Arial" w:cs="Arial"/>
          <w:sz w:val="20"/>
        </w:rPr>
        <w:t>%, and rounded]</w:t>
      </w:r>
      <w:r w:rsidRPr="001A4850" w:rsidR="00B3790B">
        <w:rPr>
          <w:rFonts w:ascii="Arial" w:hAnsi="Arial" w:cs="Arial"/>
          <w:sz w:val="20"/>
        </w:rPr>
        <w:t>.</w:t>
      </w:r>
      <w:r w:rsidR="00491A50">
        <w:rPr>
          <w:rStyle w:val="FootnoteReference"/>
          <w:rFonts w:ascii="Arial" w:hAnsi="Arial" w:cs="Arial"/>
          <w:sz w:val="20"/>
        </w:rPr>
        <w:footnoteReference w:id="4"/>
      </w:r>
      <w:r w:rsidR="00B3790B">
        <w:rPr>
          <w:rFonts w:ascii="Arial" w:hAnsi="Arial" w:cs="Arial"/>
          <w:sz w:val="20"/>
        </w:rPr>
        <w:t xml:space="preserve">  </w:t>
      </w:r>
    </w:p>
    <w:p w:rsidR="00BF3805" w:rsidP="004328EC" w:rsidRDefault="00BF3805">
      <w:pPr>
        <w:rPr>
          <w:rFonts w:ascii="Arial" w:hAnsi="Arial" w:cs="Arial"/>
          <w:sz w:val="20"/>
        </w:rPr>
      </w:pPr>
    </w:p>
    <w:p w:rsidRPr="00512BA2" w:rsidR="00A1595C" w:rsidP="004328EC" w:rsidRDefault="00A1595C">
      <w:pPr>
        <w:pStyle w:val="p9"/>
        <w:spacing w:line="240" w:lineRule="auto"/>
        <w:rPr>
          <w:rFonts w:ascii="Arial" w:hAnsi="Arial" w:cs="Arial"/>
          <w:sz w:val="20"/>
          <w:u w:val="single"/>
        </w:rPr>
      </w:pPr>
      <w:r w:rsidRPr="00512BA2">
        <w:rPr>
          <w:rFonts w:ascii="Arial" w:hAnsi="Arial" w:cs="Arial"/>
          <w:sz w:val="20"/>
        </w:rPr>
        <w:t xml:space="preserve">13.  </w:t>
      </w:r>
      <w:r w:rsidRPr="00512BA2">
        <w:rPr>
          <w:rFonts w:ascii="Arial" w:hAnsi="Arial" w:cs="Arial"/>
          <w:bCs/>
          <w:sz w:val="20"/>
          <w:u w:val="single"/>
        </w:rPr>
        <w:t>Estimates of annual capital and start-up costs</w:t>
      </w:r>
      <w:r w:rsidRPr="00512BA2">
        <w:rPr>
          <w:rFonts w:ascii="Arial" w:hAnsi="Arial" w:cs="Arial"/>
          <w:sz w:val="20"/>
        </w:rPr>
        <w:t>.</w:t>
      </w:r>
      <w:r w:rsidR="00512BA2">
        <w:rPr>
          <w:rFonts w:ascii="Arial" w:hAnsi="Arial" w:cs="Arial"/>
          <w:sz w:val="20"/>
        </w:rPr>
        <w:t xml:space="preserve">  </w:t>
      </w:r>
    </w:p>
    <w:p w:rsidRPr="008D45CB" w:rsidR="00A1595C" w:rsidP="004328EC" w:rsidRDefault="00A1595C">
      <w:pPr>
        <w:pStyle w:val="p2"/>
        <w:tabs>
          <w:tab w:val="clear" w:pos="660"/>
        </w:tabs>
        <w:spacing w:line="240" w:lineRule="auto"/>
        <w:rPr>
          <w:rFonts w:ascii="Arial" w:hAnsi="Arial" w:cs="Arial"/>
          <w:sz w:val="20"/>
        </w:rPr>
      </w:pPr>
    </w:p>
    <w:p w:rsidR="00A1595C" w:rsidP="004328EC" w:rsidRDefault="005A2366">
      <w:pPr>
        <w:rPr>
          <w:rFonts w:ascii="Arial" w:hAnsi="Arial" w:cs="Arial"/>
          <w:sz w:val="20"/>
        </w:rPr>
      </w:pPr>
      <w:r w:rsidRPr="008D45CB">
        <w:rPr>
          <w:rFonts w:ascii="Arial" w:hAnsi="Arial" w:cs="Arial"/>
          <w:sz w:val="20"/>
        </w:rPr>
        <w:t xml:space="preserve">There are no </w:t>
      </w:r>
      <w:r w:rsidR="00512BA2">
        <w:rPr>
          <w:rFonts w:ascii="Arial" w:hAnsi="Arial" w:cs="Arial"/>
          <w:sz w:val="20"/>
        </w:rPr>
        <w:t xml:space="preserve">recordkeeping, </w:t>
      </w:r>
      <w:r w:rsidRPr="008D45CB">
        <w:rPr>
          <w:rFonts w:ascii="Arial" w:hAnsi="Arial" w:cs="Arial"/>
          <w:sz w:val="20"/>
        </w:rPr>
        <w:t>capital, start-up or maintenance costs associated with this information collection.</w:t>
      </w:r>
      <w:r w:rsidRPr="008D45CB" w:rsidR="00CD4D37">
        <w:rPr>
          <w:rFonts w:ascii="Arial" w:hAnsi="Arial" w:cs="Arial"/>
          <w:sz w:val="20"/>
        </w:rPr>
        <w:t xml:space="preserve">  </w:t>
      </w:r>
    </w:p>
    <w:p w:rsidRPr="008D45CB" w:rsidR="005A2366" w:rsidP="004328EC" w:rsidRDefault="005A2366">
      <w:pPr>
        <w:rPr>
          <w:rFonts w:ascii="Arial" w:hAnsi="Arial" w:cs="Arial"/>
          <w:sz w:val="20"/>
        </w:rPr>
      </w:pPr>
    </w:p>
    <w:p w:rsidRPr="00512BA2" w:rsidR="00A1595C" w:rsidP="004328EC" w:rsidRDefault="00A1595C">
      <w:pPr>
        <w:pStyle w:val="p2"/>
        <w:tabs>
          <w:tab w:val="clear" w:pos="660"/>
          <w:tab w:val="left" w:pos="360"/>
        </w:tabs>
        <w:spacing w:line="240" w:lineRule="auto"/>
        <w:rPr>
          <w:rFonts w:ascii="Arial" w:hAnsi="Arial" w:cs="Arial"/>
          <w:sz w:val="20"/>
        </w:rPr>
      </w:pPr>
      <w:r w:rsidRPr="00512BA2">
        <w:rPr>
          <w:rFonts w:ascii="Arial" w:hAnsi="Arial" w:cs="Arial"/>
          <w:sz w:val="20"/>
        </w:rPr>
        <w:t xml:space="preserve">14.  </w:t>
      </w:r>
      <w:r w:rsidRPr="00512BA2">
        <w:rPr>
          <w:rFonts w:ascii="Arial" w:hAnsi="Arial" w:cs="Arial"/>
          <w:bCs/>
          <w:sz w:val="20"/>
          <w:u w:val="single"/>
        </w:rPr>
        <w:t>Estimates of annual Federal Government costs</w:t>
      </w:r>
      <w:r w:rsidRPr="00512BA2">
        <w:rPr>
          <w:rFonts w:ascii="Arial" w:hAnsi="Arial" w:cs="Arial"/>
          <w:sz w:val="20"/>
        </w:rPr>
        <w:t>.</w:t>
      </w:r>
      <w:r w:rsidR="00512BA2">
        <w:rPr>
          <w:rFonts w:ascii="Arial" w:hAnsi="Arial" w:cs="Arial"/>
          <w:sz w:val="20"/>
        </w:rPr>
        <w:t xml:space="preserve">  </w:t>
      </w:r>
    </w:p>
    <w:p w:rsidRPr="008D45CB" w:rsidR="00A1595C" w:rsidP="004328EC" w:rsidRDefault="00A1595C">
      <w:pPr>
        <w:pStyle w:val="p2"/>
        <w:numPr>
          <w:ilvl w:val="12"/>
          <w:numId w:val="0"/>
        </w:numPr>
        <w:spacing w:line="240" w:lineRule="auto"/>
        <w:rPr>
          <w:rFonts w:ascii="Arial" w:hAnsi="Arial" w:cs="Arial"/>
          <w:sz w:val="20"/>
        </w:rPr>
      </w:pPr>
    </w:p>
    <w:p w:rsidR="00B824B5" w:rsidP="004328EC" w:rsidRDefault="00461DA3">
      <w:pPr>
        <w:tabs>
          <w:tab w:val="left" w:pos="748"/>
        </w:tabs>
        <w:spacing w:line="238" w:lineRule="exact"/>
        <w:rPr>
          <w:rFonts w:ascii="Arial" w:hAnsi="Arial" w:cs="Arial"/>
          <w:sz w:val="20"/>
        </w:rPr>
      </w:pPr>
      <w:bookmarkStart w:name="mark" w:id="1"/>
      <w:bookmarkEnd w:id="1"/>
      <w:r>
        <w:rPr>
          <w:rFonts w:ascii="Arial" w:hAnsi="Arial" w:cs="Arial"/>
          <w:sz w:val="20"/>
        </w:rPr>
        <w:t xml:space="preserve">The </w:t>
      </w:r>
      <w:r w:rsidR="00176C7A">
        <w:rPr>
          <w:rFonts w:ascii="Arial" w:hAnsi="Arial" w:cs="Arial"/>
          <w:sz w:val="20"/>
        </w:rPr>
        <w:t xml:space="preserve">estimated </w:t>
      </w:r>
      <w:r>
        <w:rPr>
          <w:rFonts w:ascii="Arial" w:hAnsi="Arial" w:cs="Arial"/>
          <w:sz w:val="20"/>
        </w:rPr>
        <w:t xml:space="preserve">annual Federal Government </w:t>
      </w:r>
      <w:r w:rsidR="00176C7A">
        <w:rPr>
          <w:rFonts w:ascii="Arial" w:hAnsi="Arial" w:cs="Arial"/>
          <w:sz w:val="20"/>
        </w:rPr>
        <w:t xml:space="preserve">cost is </w:t>
      </w:r>
      <w:r w:rsidR="00173F4A">
        <w:rPr>
          <w:rFonts w:ascii="Arial" w:hAnsi="Arial" w:cs="Arial"/>
          <w:sz w:val="20"/>
        </w:rPr>
        <w:t>$</w:t>
      </w:r>
      <w:r w:rsidR="00E95E11">
        <w:rPr>
          <w:rFonts w:ascii="Arial" w:hAnsi="Arial" w:cs="Arial"/>
          <w:sz w:val="20"/>
        </w:rPr>
        <w:t>46,644</w:t>
      </w:r>
      <w:r w:rsidR="00176C7A">
        <w:rPr>
          <w:rFonts w:ascii="Arial" w:hAnsi="Arial" w:cs="Arial"/>
          <w:sz w:val="20"/>
        </w:rPr>
        <w:t xml:space="preserve"> (see Appendix B).  </w:t>
      </w:r>
      <w:r w:rsidR="00173F4A">
        <w:rPr>
          <w:rFonts w:ascii="Arial" w:hAnsi="Arial" w:cs="Arial"/>
          <w:sz w:val="20"/>
        </w:rPr>
        <w:t xml:space="preserve">We estimate that a port </w:t>
      </w:r>
      <w:r w:rsidR="005A1FB0">
        <w:rPr>
          <w:rFonts w:ascii="Arial" w:hAnsi="Arial" w:cs="Arial"/>
          <w:sz w:val="20"/>
        </w:rPr>
        <w:t>safety/</w:t>
      </w:r>
      <w:r w:rsidR="00173F4A">
        <w:rPr>
          <w:rFonts w:ascii="Arial" w:hAnsi="Arial" w:cs="Arial"/>
          <w:sz w:val="20"/>
        </w:rPr>
        <w:t xml:space="preserve">security specialist </w:t>
      </w:r>
      <w:r w:rsidR="00B824B5">
        <w:rPr>
          <w:rFonts w:ascii="Arial" w:hAnsi="Arial" w:cs="Arial"/>
          <w:sz w:val="20"/>
        </w:rPr>
        <w:t xml:space="preserve">(equivalent to a GS-12) </w:t>
      </w:r>
      <w:r w:rsidR="00173F4A">
        <w:rPr>
          <w:rFonts w:ascii="Arial" w:hAnsi="Arial" w:cs="Arial"/>
          <w:sz w:val="20"/>
        </w:rPr>
        <w:t>will take about 45 minutes (0.75 hours) to review and process each response.  Part of the time is for data</w:t>
      </w:r>
      <w:r>
        <w:rPr>
          <w:rFonts w:ascii="Arial" w:hAnsi="Arial" w:cs="Arial"/>
          <w:sz w:val="20"/>
        </w:rPr>
        <w:t xml:space="preserve"> ent</w:t>
      </w:r>
      <w:r w:rsidR="00173F4A">
        <w:rPr>
          <w:rFonts w:ascii="Arial" w:hAnsi="Arial" w:cs="Arial"/>
          <w:sz w:val="20"/>
        </w:rPr>
        <w:t>ry</w:t>
      </w:r>
      <w:r>
        <w:rPr>
          <w:rFonts w:ascii="Arial" w:hAnsi="Arial" w:cs="Arial"/>
          <w:sz w:val="20"/>
        </w:rPr>
        <w:t xml:space="preserve"> into the Coast Guard database to track MTS recovery activities called</w:t>
      </w:r>
      <w:r w:rsidR="00FD733B">
        <w:rPr>
          <w:rFonts w:ascii="Arial" w:hAnsi="Arial" w:cs="Arial"/>
          <w:sz w:val="20"/>
        </w:rPr>
        <w:t xml:space="preserve"> the</w:t>
      </w:r>
      <w:r>
        <w:rPr>
          <w:rFonts w:ascii="Arial" w:hAnsi="Arial" w:cs="Arial"/>
          <w:sz w:val="20"/>
        </w:rPr>
        <w:t xml:space="preserve"> Common Assessment Reporting Tool (CART).  </w:t>
      </w:r>
      <w:r w:rsidR="00E95E11">
        <w:rPr>
          <w:rFonts w:ascii="Arial" w:hAnsi="Arial" w:cs="Arial"/>
          <w:sz w:val="20"/>
        </w:rPr>
        <w:t>For t</w:t>
      </w:r>
      <w:r w:rsidRPr="00DB72AB" w:rsidR="00DB72AB">
        <w:rPr>
          <w:rFonts w:ascii="Arial" w:hAnsi="Arial" w:cs="Arial"/>
          <w:sz w:val="20"/>
        </w:rPr>
        <w:t>he wage rate</w:t>
      </w:r>
      <w:r w:rsidR="00E95E11">
        <w:rPr>
          <w:rFonts w:ascii="Arial" w:hAnsi="Arial" w:cs="Arial"/>
          <w:sz w:val="20"/>
        </w:rPr>
        <w:t>, we used Office of Personnel Management data</w:t>
      </w:r>
      <w:r w:rsidR="005D1E2D">
        <w:rPr>
          <w:rFonts w:ascii="Arial" w:hAnsi="Arial" w:cs="Arial"/>
          <w:sz w:val="20"/>
        </w:rPr>
        <w:t xml:space="preserve"> [2020-RUS Salary Table, GS-12-Step 5, hourly basic rate, loaded 66%, and rounded]</w:t>
      </w:r>
      <w:r w:rsidRPr="00DB72AB" w:rsidR="00DB72AB">
        <w:rPr>
          <w:rFonts w:ascii="Arial" w:hAnsi="Arial" w:cs="Arial"/>
          <w:sz w:val="20"/>
        </w:rPr>
        <w:t>.</w:t>
      </w:r>
      <w:r w:rsidR="00E95E11">
        <w:rPr>
          <w:rStyle w:val="FootnoteReference"/>
          <w:rFonts w:ascii="Arial" w:hAnsi="Arial" w:cs="Arial"/>
          <w:sz w:val="20"/>
        </w:rPr>
        <w:footnoteReference w:id="5"/>
      </w:r>
      <w:r w:rsidRPr="00DB72AB" w:rsidR="00DB72AB">
        <w:rPr>
          <w:rFonts w:ascii="Arial" w:hAnsi="Arial" w:cs="Arial"/>
          <w:sz w:val="20"/>
        </w:rPr>
        <w:t xml:space="preserve">  </w:t>
      </w:r>
    </w:p>
    <w:p w:rsidR="00857909" w:rsidP="004328EC" w:rsidRDefault="00857909">
      <w:pPr>
        <w:tabs>
          <w:tab w:val="left" w:pos="748"/>
        </w:tabs>
        <w:spacing w:line="238" w:lineRule="exact"/>
        <w:rPr>
          <w:rFonts w:ascii="Arial" w:hAnsi="Arial" w:cs="Arial"/>
          <w:sz w:val="20"/>
        </w:rPr>
      </w:pPr>
    </w:p>
    <w:p w:rsidRPr="00FE207E" w:rsidR="00A1595C" w:rsidP="004328EC" w:rsidRDefault="00A1595C">
      <w:pPr>
        <w:pStyle w:val="p2"/>
        <w:tabs>
          <w:tab w:val="clear" w:pos="660"/>
          <w:tab w:val="left" w:pos="360"/>
        </w:tabs>
        <w:spacing w:line="240" w:lineRule="auto"/>
        <w:rPr>
          <w:rFonts w:ascii="Arial" w:hAnsi="Arial" w:cs="Arial"/>
          <w:sz w:val="20"/>
        </w:rPr>
      </w:pPr>
      <w:r w:rsidRPr="00FE207E">
        <w:rPr>
          <w:rFonts w:ascii="Arial" w:hAnsi="Arial" w:cs="Arial"/>
          <w:sz w:val="20"/>
        </w:rPr>
        <w:t xml:space="preserve">15.  </w:t>
      </w:r>
      <w:r w:rsidRPr="00FE207E">
        <w:rPr>
          <w:rFonts w:ascii="Arial" w:hAnsi="Arial" w:cs="Arial"/>
          <w:bCs/>
          <w:sz w:val="20"/>
          <w:u w:val="single"/>
        </w:rPr>
        <w:t>Explain the reasons for change in burden</w:t>
      </w:r>
      <w:r w:rsidRPr="00FE207E">
        <w:rPr>
          <w:rFonts w:ascii="Arial" w:hAnsi="Arial" w:cs="Arial"/>
          <w:bCs/>
          <w:sz w:val="20"/>
        </w:rPr>
        <w:t>.</w:t>
      </w:r>
      <w:r w:rsidR="00FE207E">
        <w:rPr>
          <w:rFonts w:ascii="Arial" w:hAnsi="Arial" w:cs="Arial"/>
          <w:bCs/>
          <w:sz w:val="20"/>
        </w:rPr>
        <w:t xml:space="preserve">  </w:t>
      </w:r>
    </w:p>
    <w:p w:rsidRPr="00FE207E" w:rsidR="00B77495" w:rsidP="004328EC" w:rsidRDefault="00B77495">
      <w:pPr>
        <w:rPr>
          <w:rFonts w:ascii="Arial" w:hAnsi="Arial" w:cs="Arial"/>
          <w:sz w:val="20"/>
        </w:rPr>
      </w:pPr>
    </w:p>
    <w:p w:rsidR="00B21FD0" w:rsidP="004328EC" w:rsidRDefault="000E30B4">
      <w:pPr>
        <w:tabs>
          <w:tab w:val="left" w:pos="748"/>
        </w:tabs>
        <w:spacing w:line="238" w:lineRule="exact"/>
        <w:rPr>
          <w:rFonts w:ascii="Arial" w:hAnsi="Arial" w:cs="Arial"/>
          <w:sz w:val="20"/>
        </w:rPr>
      </w:pPr>
      <w:r w:rsidRPr="000E30B4">
        <w:rPr>
          <w:rFonts w:ascii="Arial" w:hAnsi="Arial" w:cs="Arial"/>
          <w:sz w:val="20"/>
        </w:rPr>
        <w:t>The change in burden is an ADJUSTMENT due to a change (i.e., increase) in the estimated annual number of respon</w:t>
      </w:r>
      <w:r w:rsidR="009E0323">
        <w:rPr>
          <w:rFonts w:ascii="Arial" w:hAnsi="Arial" w:cs="Arial"/>
          <w:sz w:val="20"/>
        </w:rPr>
        <w:t>ses</w:t>
      </w:r>
      <w:r w:rsidRPr="000E30B4">
        <w:rPr>
          <w:rFonts w:ascii="Arial" w:hAnsi="Arial" w:cs="Arial"/>
          <w:sz w:val="20"/>
        </w:rPr>
        <w:t xml:space="preserve">.  There is no proposed change to the reporting or recordkeeping requirements of this collection.  The reporting and recordkeeping requirements, and the methodology for calculating burden, remain unchanged.  </w:t>
      </w:r>
    </w:p>
    <w:p w:rsidRPr="008D45CB" w:rsidR="00857909" w:rsidP="004328EC" w:rsidRDefault="00857909">
      <w:pPr>
        <w:tabs>
          <w:tab w:val="left" w:pos="748"/>
        </w:tabs>
        <w:spacing w:line="238" w:lineRule="exact"/>
        <w:rPr>
          <w:rFonts w:ascii="Arial" w:hAnsi="Arial" w:cs="Arial"/>
          <w:sz w:val="20"/>
        </w:rPr>
      </w:pPr>
    </w:p>
    <w:p w:rsidRPr="00FE207E" w:rsidR="00A1595C" w:rsidP="004328EC" w:rsidRDefault="00A1595C">
      <w:pPr>
        <w:tabs>
          <w:tab w:val="left" w:pos="748"/>
        </w:tabs>
        <w:spacing w:line="238" w:lineRule="exact"/>
        <w:rPr>
          <w:rFonts w:ascii="Arial" w:hAnsi="Arial" w:cs="Arial"/>
          <w:sz w:val="20"/>
        </w:rPr>
      </w:pPr>
      <w:r w:rsidRPr="00FE207E">
        <w:rPr>
          <w:rFonts w:ascii="Arial" w:hAnsi="Arial" w:cs="Arial"/>
          <w:sz w:val="20"/>
        </w:rPr>
        <w:t xml:space="preserve">16.  </w:t>
      </w:r>
      <w:r w:rsidRPr="00AD00A8" w:rsidR="00FE207E">
        <w:rPr>
          <w:rFonts w:ascii="Arial" w:hAnsi="Arial" w:cs="Arial"/>
          <w:sz w:val="20"/>
          <w:u w:val="single"/>
        </w:rPr>
        <w:t>Plans for tabulation, statistical analysis and publication</w:t>
      </w:r>
      <w:r w:rsidRPr="00FE207E">
        <w:rPr>
          <w:rFonts w:ascii="Arial" w:hAnsi="Arial" w:cs="Arial"/>
          <w:bCs/>
          <w:sz w:val="20"/>
        </w:rPr>
        <w:t>.</w:t>
      </w:r>
      <w:r w:rsidR="00FE207E">
        <w:rPr>
          <w:rFonts w:ascii="Arial" w:hAnsi="Arial" w:cs="Arial"/>
          <w:bCs/>
          <w:sz w:val="20"/>
        </w:rPr>
        <w:t xml:space="preserve">  </w:t>
      </w:r>
    </w:p>
    <w:p w:rsidRPr="008D45CB" w:rsidR="00A1595C" w:rsidP="004328EC" w:rsidRDefault="00A1595C">
      <w:pPr>
        <w:rPr>
          <w:rFonts w:ascii="Arial" w:hAnsi="Arial" w:cs="Arial"/>
          <w:sz w:val="20"/>
        </w:rPr>
      </w:pPr>
    </w:p>
    <w:p w:rsidRPr="00AD00A8" w:rsidR="00FE207E" w:rsidP="004328EC" w:rsidRDefault="00FE207E">
      <w:pPr>
        <w:pStyle w:val="TxBrp13"/>
        <w:spacing w:line="238" w:lineRule="exact"/>
        <w:ind w:firstLine="0"/>
        <w:rPr>
          <w:rFonts w:ascii="Arial" w:hAnsi="Arial" w:cs="Arial"/>
          <w:sz w:val="20"/>
        </w:rPr>
      </w:pPr>
      <w:r w:rsidRPr="00AD00A8">
        <w:rPr>
          <w:rFonts w:ascii="Arial" w:hAnsi="Arial" w:cs="Arial"/>
          <w:sz w:val="20"/>
        </w:rPr>
        <w:t>This information collection will not be published for statistical purposes.</w:t>
      </w:r>
      <w:r>
        <w:rPr>
          <w:rFonts w:ascii="Arial" w:hAnsi="Arial" w:cs="Arial"/>
          <w:sz w:val="20"/>
        </w:rPr>
        <w:t xml:space="preserve">  </w:t>
      </w:r>
    </w:p>
    <w:p w:rsidRPr="008D45CB" w:rsidR="00A1595C" w:rsidP="004328EC" w:rsidRDefault="00A1595C">
      <w:pPr>
        <w:rPr>
          <w:rFonts w:ascii="Arial" w:hAnsi="Arial" w:cs="Arial"/>
          <w:sz w:val="20"/>
        </w:rPr>
      </w:pPr>
    </w:p>
    <w:p w:rsidRPr="00FE207E" w:rsidR="00A1595C" w:rsidP="004328EC" w:rsidRDefault="00A1595C">
      <w:pPr>
        <w:tabs>
          <w:tab w:val="left" w:pos="360"/>
        </w:tabs>
        <w:rPr>
          <w:rFonts w:ascii="Arial" w:hAnsi="Arial" w:cs="Arial"/>
          <w:sz w:val="20"/>
        </w:rPr>
      </w:pPr>
      <w:r w:rsidRPr="00FE207E">
        <w:rPr>
          <w:rFonts w:ascii="Arial" w:hAnsi="Arial" w:cs="Arial"/>
          <w:sz w:val="20"/>
        </w:rPr>
        <w:t xml:space="preserve">17.  </w:t>
      </w:r>
      <w:r w:rsidRPr="006F4921" w:rsidR="00FE207E">
        <w:rPr>
          <w:rFonts w:ascii="Arial" w:hAnsi="Arial" w:cs="Arial"/>
          <w:sz w:val="20"/>
          <w:u w:val="single"/>
        </w:rPr>
        <w:t>Approval for not explaining the expiration date for OMB approval</w:t>
      </w:r>
      <w:r w:rsidRPr="00FE207E">
        <w:rPr>
          <w:rFonts w:ascii="Arial" w:hAnsi="Arial" w:cs="Arial"/>
          <w:bCs/>
          <w:sz w:val="20"/>
        </w:rPr>
        <w:t>.</w:t>
      </w:r>
      <w:r w:rsidR="00FE207E">
        <w:rPr>
          <w:rFonts w:ascii="Arial" w:hAnsi="Arial" w:cs="Arial"/>
          <w:bCs/>
          <w:sz w:val="20"/>
        </w:rPr>
        <w:t xml:space="preserve">  </w:t>
      </w:r>
    </w:p>
    <w:p w:rsidRPr="00FE207E" w:rsidR="00A1595C" w:rsidP="004328EC" w:rsidRDefault="00A1595C">
      <w:pPr>
        <w:rPr>
          <w:rFonts w:ascii="Arial" w:hAnsi="Arial" w:cs="Arial"/>
          <w:sz w:val="20"/>
        </w:rPr>
      </w:pPr>
    </w:p>
    <w:p w:rsidRPr="00FE207E" w:rsidR="00A1595C" w:rsidP="004328EC" w:rsidRDefault="00A8417B">
      <w:pPr>
        <w:rPr>
          <w:rFonts w:ascii="Arial" w:hAnsi="Arial" w:cs="Arial"/>
          <w:sz w:val="20"/>
        </w:rPr>
      </w:pPr>
      <w:r w:rsidRPr="00FE207E">
        <w:rPr>
          <w:rFonts w:ascii="Arial" w:hAnsi="Arial" w:cs="Arial"/>
          <w:sz w:val="20"/>
        </w:rPr>
        <w:t>The Coast Guard will display the expiration date for OMB approval of this information collection.</w:t>
      </w:r>
      <w:r w:rsidRPr="00FE207E" w:rsidR="00CD4D37">
        <w:rPr>
          <w:rFonts w:ascii="Arial" w:hAnsi="Arial" w:cs="Arial"/>
          <w:sz w:val="20"/>
        </w:rPr>
        <w:t xml:space="preserve">  </w:t>
      </w:r>
    </w:p>
    <w:p w:rsidRPr="00FE207E" w:rsidR="00A8417B" w:rsidP="004328EC" w:rsidRDefault="00A8417B">
      <w:pPr>
        <w:rPr>
          <w:rFonts w:ascii="Arial" w:hAnsi="Arial" w:cs="Arial"/>
          <w:sz w:val="20"/>
        </w:rPr>
      </w:pPr>
    </w:p>
    <w:p w:rsidRPr="00FE207E" w:rsidR="00A1595C" w:rsidP="004328EC" w:rsidRDefault="00A1595C">
      <w:pPr>
        <w:pStyle w:val="BodyText"/>
        <w:tabs>
          <w:tab w:val="left" w:pos="360"/>
        </w:tabs>
        <w:rPr>
          <w:rFonts w:ascii="Arial" w:hAnsi="Arial" w:cs="Arial"/>
          <w:b w:val="0"/>
          <w:bCs/>
          <w:sz w:val="20"/>
        </w:rPr>
      </w:pPr>
      <w:r w:rsidRPr="00FE207E">
        <w:rPr>
          <w:rFonts w:ascii="Arial" w:hAnsi="Arial" w:cs="Arial"/>
          <w:b w:val="0"/>
          <w:bCs/>
          <w:sz w:val="20"/>
        </w:rPr>
        <w:t xml:space="preserve">18.  </w:t>
      </w:r>
      <w:r w:rsidRPr="00FE207E">
        <w:rPr>
          <w:rFonts w:ascii="Arial" w:hAnsi="Arial" w:cs="Arial"/>
          <w:b w:val="0"/>
          <w:bCs/>
          <w:sz w:val="20"/>
          <w:u w:val="single"/>
        </w:rPr>
        <w:t>Exception to the certification statement</w:t>
      </w:r>
      <w:r w:rsidRPr="00FE207E">
        <w:rPr>
          <w:rFonts w:ascii="Arial" w:hAnsi="Arial" w:cs="Arial"/>
          <w:b w:val="0"/>
          <w:bCs/>
          <w:sz w:val="20"/>
        </w:rPr>
        <w:t>.</w:t>
      </w:r>
      <w:r w:rsidR="00FE207E">
        <w:rPr>
          <w:rFonts w:ascii="Arial" w:hAnsi="Arial" w:cs="Arial"/>
          <w:b w:val="0"/>
          <w:bCs/>
          <w:sz w:val="20"/>
        </w:rPr>
        <w:t xml:space="preserve">  </w:t>
      </w:r>
    </w:p>
    <w:p w:rsidRPr="00FE207E" w:rsidR="00A1595C" w:rsidP="004328EC" w:rsidRDefault="00A1595C">
      <w:pPr>
        <w:tabs>
          <w:tab w:val="left" w:pos="360"/>
        </w:tabs>
        <w:rPr>
          <w:rFonts w:ascii="Arial" w:hAnsi="Arial" w:cs="Arial"/>
          <w:sz w:val="20"/>
        </w:rPr>
      </w:pPr>
    </w:p>
    <w:p w:rsidRPr="00FE207E" w:rsidR="00A1595C" w:rsidP="004328EC" w:rsidRDefault="00E3146A">
      <w:pPr>
        <w:tabs>
          <w:tab w:val="left" w:pos="360"/>
        </w:tabs>
        <w:rPr>
          <w:rFonts w:ascii="Arial" w:hAnsi="Arial" w:cs="Arial"/>
          <w:sz w:val="20"/>
        </w:rPr>
      </w:pPr>
      <w:r w:rsidRPr="00FE207E">
        <w:rPr>
          <w:rFonts w:ascii="Arial" w:hAnsi="Arial" w:cs="Arial"/>
          <w:sz w:val="20"/>
        </w:rPr>
        <w:lastRenderedPageBreak/>
        <w:t>The Coast Guard does not request an exception to the certification of this information collection.</w:t>
      </w:r>
      <w:r w:rsidRPr="00FE207E" w:rsidR="00CD4D37">
        <w:rPr>
          <w:rFonts w:ascii="Arial" w:hAnsi="Arial" w:cs="Arial"/>
          <w:sz w:val="20"/>
        </w:rPr>
        <w:t xml:space="preserve">  </w:t>
      </w:r>
    </w:p>
    <w:p w:rsidRPr="00FE207E" w:rsidR="00B824B5" w:rsidP="004328EC" w:rsidRDefault="00B824B5">
      <w:pPr>
        <w:tabs>
          <w:tab w:val="left" w:pos="360"/>
        </w:tabs>
        <w:rPr>
          <w:rFonts w:ascii="Arial" w:hAnsi="Arial" w:cs="Arial"/>
          <w:sz w:val="20"/>
        </w:rPr>
      </w:pPr>
    </w:p>
    <w:p w:rsidRPr="00FE207E" w:rsidR="00A06C83" w:rsidP="004328EC" w:rsidRDefault="00A06C83">
      <w:pPr>
        <w:tabs>
          <w:tab w:val="left" w:pos="360"/>
        </w:tabs>
        <w:rPr>
          <w:rFonts w:ascii="Arial" w:hAnsi="Arial" w:cs="Arial"/>
          <w:sz w:val="20"/>
        </w:rPr>
      </w:pPr>
    </w:p>
    <w:p w:rsidRPr="008D45CB" w:rsidR="00A1595C" w:rsidP="004328EC" w:rsidRDefault="00A1595C">
      <w:pPr>
        <w:pStyle w:val="BodyText"/>
        <w:rPr>
          <w:rFonts w:ascii="Arial" w:hAnsi="Arial" w:cs="Arial"/>
          <w:sz w:val="20"/>
        </w:rPr>
      </w:pPr>
      <w:r w:rsidRPr="008D45CB">
        <w:rPr>
          <w:rFonts w:ascii="Arial" w:hAnsi="Arial" w:cs="Arial"/>
          <w:sz w:val="20"/>
        </w:rPr>
        <w:t>B.  Collection of Information Employing Statistical Methods</w:t>
      </w:r>
      <w:r w:rsidR="00FE207E">
        <w:rPr>
          <w:rFonts w:ascii="Arial" w:hAnsi="Arial" w:cs="Arial"/>
          <w:sz w:val="20"/>
        </w:rPr>
        <w:t xml:space="preserve">  </w:t>
      </w:r>
    </w:p>
    <w:p w:rsidRPr="008D45CB" w:rsidR="00D21462" w:rsidP="004328EC" w:rsidRDefault="00D21462">
      <w:pPr>
        <w:rPr>
          <w:rFonts w:ascii="Arial" w:hAnsi="Arial" w:cs="Arial"/>
          <w:sz w:val="20"/>
        </w:rPr>
      </w:pPr>
    </w:p>
    <w:p w:rsidRPr="008D45CB" w:rsidR="000F1B8F" w:rsidP="004328EC" w:rsidRDefault="00A1595C">
      <w:pPr>
        <w:rPr>
          <w:rFonts w:ascii="Arial" w:hAnsi="Arial" w:cs="Arial"/>
          <w:sz w:val="20"/>
        </w:rPr>
      </w:pPr>
      <w:r w:rsidRPr="008D45CB">
        <w:rPr>
          <w:rFonts w:ascii="Arial" w:hAnsi="Arial" w:cs="Arial"/>
          <w:sz w:val="20"/>
        </w:rPr>
        <w:t>T</w:t>
      </w:r>
      <w:r w:rsidRPr="008D45CB" w:rsidR="00A740FC">
        <w:rPr>
          <w:rFonts w:ascii="Arial" w:hAnsi="Arial" w:cs="Arial"/>
          <w:sz w:val="20"/>
        </w:rPr>
        <w:t xml:space="preserve">his collection does not employ </w:t>
      </w:r>
      <w:r w:rsidRPr="008D45CB">
        <w:rPr>
          <w:rFonts w:ascii="Arial" w:hAnsi="Arial" w:cs="Arial"/>
          <w:sz w:val="20"/>
        </w:rPr>
        <w:t>statistical methods.</w:t>
      </w:r>
      <w:r w:rsidR="00B824B5">
        <w:rPr>
          <w:rFonts w:ascii="Arial" w:hAnsi="Arial" w:cs="Arial"/>
          <w:sz w:val="20"/>
        </w:rPr>
        <w:t xml:space="preserve">  </w:t>
      </w:r>
    </w:p>
    <w:sectPr w:rsidRPr="008D45CB" w:rsidR="000F1B8F">
      <w:headerReference w:type="default" r:id="rId11"/>
      <w:footerReference w:type="default" r:id="rId12"/>
      <w:type w:val="continuous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26A8" w:rsidRDefault="008D26A8">
      <w:r>
        <w:separator/>
      </w:r>
    </w:p>
  </w:endnote>
  <w:endnote w:type="continuationSeparator" w:id="0">
    <w:p w:rsidR="008D26A8" w:rsidRDefault="008D2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3F4A" w:rsidRPr="008D45CB" w:rsidRDefault="00173F4A">
    <w:pPr>
      <w:pStyle w:val="Footer"/>
      <w:jc w:val="center"/>
      <w:rPr>
        <w:rFonts w:ascii="Arial" w:hAnsi="Arial" w:cs="Arial"/>
        <w:sz w:val="20"/>
      </w:rPr>
    </w:pPr>
    <w:r w:rsidRPr="008D45CB">
      <w:rPr>
        <w:rStyle w:val="PageNumber"/>
        <w:rFonts w:ascii="Arial" w:hAnsi="Arial" w:cs="Arial"/>
        <w:sz w:val="20"/>
      </w:rPr>
      <w:fldChar w:fldCharType="begin"/>
    </w:r>
    <w:r w:rsidRPr="008D45CB">
      <w:rPr>
        <w:rStyle w:val="PageNumber"/>
        <w:rFonts w:ascii="Arial" w:hAnsi="Arial" w:cs="Arial"/>
        <w:sz w:val="20"/>
      </w:rPr>
      <w:instrText xml:space="preserve"> PAGE </w:instrText>
    </w:r>
    <w:r w:rsidRPr="008D45CB">
      <w:rPr>
        <w:rStyle w:val="PageNumber"/>
        <w:rFonts w:ascii="Arial" w:hAnsi="Arial" w:cs="Arial"/>
        <w:sz w:val="20"/>
      </w:rPr>
      <w:fldChar w:fldCharType="separate"/>
    </w:r>
    <w:r w:rsidR="002D65E7">
      <w:rPr>
        <w:rStyle w:val="PageNumber"/>
        <w:rFonts w:ascii="Arial" w:hAnsi="Arial" w:cs="Arial"/>
        <w:noProof/>
        <w:sz w:val="20"/>
      </w:rPr>
      <w:t>1</w:t>
    </w:r>
    <w:r w:rsidRPr="008D45CB">
      <w:rPr>
        <w:rStyle w:val="PageNumber"/>
        <w:rFonts w:ascii="Arial" w:hAnsi="Arial" w:cs="Arial"/>
        <w:sz w:val="20"/>
      </w:rPr>
      <w:fldChar w:fldCharType="end"/>
    </w:r>
    <w:r w:rsidRPr="008D45CB">
      <w:rPr>
        <w:rStyle w:val="PageNumber"/>
        <w:rFonts w:ascii="Arial" w:hAnsi="Arial" w:cs="Arial"/>
        <w:sz w:val="20"/>
      </w:rPr>
      <w:t xml:space="preserve"> of </w:t>
    </w:r>
    <w:r>
      <w:rPr>
        <w:rStyle w:val="PageNumber"/>
        <w:rFonts w:ascii="Arial" w:hAnsi="Arial" w:cs="Arial"/>
        <w:sz w:val="20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26A8" w:rsidRDefault="008D26A8">
      <w:r>
        <w:separator/>
      </w:r>
    </w:p>
  </w:footnote>
  <w:footnote w:type="continuationSeparator" w:id="0">
    <w:p w:rsidR="008D26A8" w:rsidRDefault="008D26A8">
      <w:r>
        <w:continuationSeparator/>
      </w:r>
    </w:p>
  </w:footnote>
  <w:footnote w:id="1">
    <w:p w:rsidR="00816387" w:rsidRPr="00597E2A" w:rsidRDefault="00816387">
      <w:pPr>
        <w:pStyle w:val="FootnoteText"/>
        <w:rPr>
          <w:rFonts w:ascii="Arial" w:hAnsi="Arial" w:cs="Arial"/>
          <w:sz w:val="16"/>
          <w:szCs w:val="16"/>
        </w:rPr>
      </w:pPr>
      <w:r w:rsidRPr="00597E2A">
        <w:rPr>
          <w:rStyle w:val="FootnoteReference"/>
          <w:rFonts w:ascii="Arial" w:hAnsi="Arial" w:cs="Arial"/>
          <w:sz w:val="16"/>
          <w:szCs w:val="16"/>
        </w:rPr>
        <w:footnoteRef/>
      </w:r>
      <w:r w:rsidRPr="00597E2A">
        <w:rPr>
          <w:rFonts w:ascii="Arial" w:hAnsi="Arial" w:cs="Arial"/>
          <w:sz w:val="16"/>
          <w:szCs w:val="16"/>
        </w:rPr>
        <w:t xml:space="preserve">  Formerly </w:t>
      </w:r>
      <w:r>
        <w:rPr>
          <w:rFonts w:ascii="Arial" w:hAnsi="Arial" w:cs="Arial"/>
          <w:sz w:val="16"/>
          <w:szCs w:val="16"/>
        </w:rPr>
        <w:t>33 U.S.C. 1225</w:t>
      </w:r>
      <w:r w:rsidRPr="00597E2A">
        <w:rPr>
          <w:rFonts w:ascii="Arial" w:hAnsi="Arial" w:cs="Arial"/>
          <w:sz w:val="16"/>
          <w:szCs w:val="16"/>
        </w:rPr>
        <w:t xml:space="preserve">.  </w:t>
      </w:r>
    </w:p>
  </w:footnote>
  <w:footnote w:id="2">
    <w:p w:rsidR="00816387" w:rsidRPr="00597E2A" w:rsidRDefault="00816387">
      <w:pPr>
        <w:pStyle w:val="FootnoteText"/>
        <w:rPr>
          <w:rFonts w:ascii="Arial" w:hAnsi="Arial" w:cs="Arial"/>
          <w:sz w:val="16"/>
          <w:szCs w:val="16"/>
        </w:rPr>
      </w:pPr>
      <w:r w:rsidRPr="00597E2A">
        <w:rPr>
          <w:rStyle w:val="FootnoteReference"/>
          <w:rFonts w:ascii="Arial" w:hAnsi="Arial" w:cs="Arial"/>
          <w:sz w:val="16"/>
          <w:szCs w:val="16"/>
        </w:rPr>
        <w:footnoteRef/>
      </w:r>
      <w:r w:rsidRPr="00597E2A">
        <w:rPr>
          <w:rFonts w:ascii="Arial" w:hAnsi="Arial" w:cs="Arial"/>
          <w:sz w:val="16"/>
          <w:szCs w:val="16"/>
        </w:rPr>
        <w:t xml:space="preserve">  Formerly </w:t>
      </w:r>
      <w:r>
        <w:rPr>
          <w:rFonts w:ascii="Arial" w:hAnsi="Arial" w:cs="Arial"/>
          <w:sz w:val="16"/>
          <w:szCs w:val="16"/>
        </w:rPr>
        <w:t>50 U.S.C. 191</w:t>
      </w:r>
      <w:r w:rsidRPr="00597E2A">
        <w:rPr>
          <w:rFonts w:ascii="Arial" w:hAnsi="Arial" w:cs="Arial"/>
          <w:sz w:val="16"/>
          <w:szCs w:val="16"/>
        </w:rPr>
        <w:t xml:space="preserve">.  </w:t>
      </w:r>
    </w:p>
  </w:footnote>
  <w:footnote w:id="3">
    <w:p w:rsidR="00173F4A" w:rsidRPr="00142BBA" w:rsidRDefault="00173F4A">
      <w:pPr>
        <w:pStyle w:val="FootnoteText"/>
        <w:rPr>
          <w:rFonts w:ascii="Arial" w:hAnsi="Arial" w:cs="Arial"/>
          <w:sz w:val="16"/>
          <w:szCs w:val="16"/>
        </w:rPr>
      </w:pPr>
      <w:r w:rsidRPr="00142BBA">
        <w:rPr>
          <w:rStyle w:val="FootnoteReference"/>
          <w:rFonts w:ascii="Arial" w:hAnsi="Arial" w:cs="Arial"/>
          <w:sz w:val="16"/>
          <w:szCs w:val="16"/>
        </w:rPr>
        <w:footnoteRef/>
      </w:r>
      <w:r w:rsidRPr="00142BBA">
        <w:rPr>
          <w:rFonts w:ascii="Arial" w:hAnsi="Arial" w:cs="Arial"/>
          <w:sz w:val="16"/>
          <w:szCs w:val="16"/>
        </w:rPr>
        <w:t xml:space="preserve">  Form CG-11410 – Marine Transportation System Recovery Essential Elements of Information.  Form CG-11410A – Marine Transportation System Recovery Facility Status.  </w:t>
      </w:r>
    </w:p>
  </w:footnote>
  <w:footnote w:id="4">
    <w:p w:rsidR="00491A50" w:rsidRPr="00597E2A" w:rsidRDefault="00491A50" w:rsidP="00597E2A">
      <w:pPr>
        <w:widowControl/>
        <w:rPr>
          <w:rFonts w:ascii="Arial" w:hAnsi="Arial" w:cs="Arial"/>
          <w:sz w:val="16"/>
          <w:szCs w:val="16"/>
        </w:rPr>
      </w:pPr>
      <w:r w:rsidRPr="00597E2A">
        <w:rPr>
          <w:rStyle w:val="FootnoteReference"/>
          <w:rFonts w:ascii="Arial" w:hAnsi="Arial" w:cs="Arial"/>
          <w:sz w:val="16"/>
          <w:szCs w:val="16"/>
        </w:rPr>
        <w:footnoteRef/>
      </w:r>
      <w:r w:rsidRPr="00597E2A">
        <w:rPr>
          <w:rFonts w:ascii="Arial" w:hAnsi="Arial" w:cs="Arial"/>
          <w:sz w:val="16"/>
          <w:szCs w:val="16"/>
        </w:rPr>
        <w:t xml:space="preserve">  </w:t>
      </w:r>
      <w:hyperlink r:id="rId1" w:history="1">
        <w:r w:rsidRPr="00597E2A">
          <w:rPr>
            <w:rFonts w:ascii="Arial" w:hAnsi="Arial" w:cs="Arial"/>
            <w:color w:val="0000FF"/>
            <w:sz w:val="16"/>
            <w:szCs w:val="16"/>
            <w:u w:val="single"/>
          </w:rPr>
          <w:t>https://www.bls.gov/oes/2019/may/oes113051.htm</w:t>
        </w:r>
      </w:hyperlink>
      <w:r w:rsidRPr="00597E2A">
        <w:rPr>
          <w:rFonts w:ascii="Arial" w:hAnsi="Arial" w:cs="Arial"/>
          <w:color w:val="0000FF"/>
          <w:sz w:val="16"/>
          <w:szCs w:val="16"/>
          <w:u w:val="single"/>
        </w:rPr>
        <w:t xml:space="preserve">  </w:t>
      </w:r>
    </w:p>
  </w:footnote>
  <w:footnote w:id="5">
    <w:p w:rsidR="00E95E11" w:rsidRDefault="00E95E11" w:rsidP="00597E2A">
      <w:pPr>
        <w:widowControl/>
      </w:pPr>
      <w:r w:rsidRPr="00597E2A">
        <w:rPr>
          <w:rStyle w:val="FootnoteReference"/>
          <w:rFonts w:ascii="Arial" w:hAnsi="Arial" w:cs="Arial"/>
          <w:sz w:val="16"/>
          <w:szCs w:val="16"/>
        </w:rPr>
        <w:footnoteRef/>
      </w:r>
      <w:r w:rsidRPr="00597E2A">
        <w:rPr>
          <w:rFonts w:ascii="Arial" w:hAnsi="Arial" w:cs="Arial"/>
          <w:sz w:val="16"/>
          <w:szCs w:val="16"/>
        </w:rPr>
        <w:t xml:space="preserve">  </w:t>
      </w:r>
      <w:hyperlink r:id="rId2" w:history="1">
        <w:r w:rsidRPr="00597E2A">
          <w:rPr>
            <w:rFonts w:ascii="Arial" w:hAnsi="Arial" w:cs="Arial"/>
            <w:color w:val="0000FF"/>
            <w:sz w:val="16"/>
            <w:szCs w:val="16"/>
            <w:u w:val="single"/>
          </w:rPr>
          <w:t>https://www.opm.gov/policy-data-oversight/pay-leave/salaries-wages/salary-tables/pdf/2020/RUS_h.pdf</w:t>
        </w:r>
      </w:hyperlink>
      <w:r w:rsidRPr="00597E2A">
        <w:rPr>
          <w:rFonts w:ascii="Arial" w:hAnsi="Arial" w:cs="Arial"/>
          <w:color w:val="0000FF"/>
          <w:sz w:val="16"/>
          <w:szCs w:val="16"/>
          <w:u w:val="single"/>
        </w:rPr>
        <w:t xml:space="preserve">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3F4A" w:rsidRPr="008D45CB" w:rsidRDefault="00173F4A">
    <w:pPr>
      <w:pStyle w:val="Header"/>
      <w:rPr>
        <w:rFonts w:ascii="Arial" w:hAnsi="Arial" w:cs="Arial"/>
        <w:sz w:val="20"/>
      </w:rPr>
    </w:pPr>
    <w:r w:rsidRPr="008D45CB">
      <w:rPr>
        <w:rFonts w:ascii="Arial" w:hAnsi="Arial" w:cs="Arial"/>
        <w:sz w:val="20"/>
      </w:rPr>
      <w:t>1625-</w:t>
    </w:r>
    <w:r w:rsidR="000E30B4">
      <w:rPr>
        <w:rFonts w:ascii="Arial" w:hAnsi="Arial" w:cs="Arial"/>
        <w:sz w:val="20"/>
      </w:rPr>
      <w:t>0127</w:t>
    </w:r>
    <w:r w:rsidRPr="008D45CB">
      <w:rPr>
        <w:rFonts w:ascii="Arial" w:hAnsi="Arial" w:cs="Arial"/>
        <w:sz w:val="20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90D32"/>
    <w:multiLevelType w:val="singleLevel"/>
    <w:tmpl w:val="67DE0EE2"/>
    <w:lvl w:ilvl="0">
      <w:start w:val="1"/>
      <w:numFmt w:val="lowerLetter"/>
      <w:lvlText w:val="%1)"/>
      <w:legacy w:legacy="1" w:legacySpace="0" w:legacyIndent="570"/>
      <w:lvlJc w:val="left"/>
      <w:pPr>
        <w:ind w:left="570" w:hanging="570"/>
      </w:pPr>
      <w:rPr>
        <w:b/>
      </w:rPr>
    </w:lvl>
  </w:abstractNum>
  <w:abstractNum w:abstractNumId="1" w15:restartNumberingAfterBreak="0">
    <w:nsid w:val="034F0E1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068E335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7450718"/>
    <w:multiLevelType w:val="singleLevel"/>
    <w:tmpl w:val="872C3574"/>
    <w:lvl w:ilvl="0">
      <w:start w:val="12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" w:hAnsi="Times" w:hint="default"/>
        <w:b w:val="0"/>
        <w:i w:val="0"/>
        <w:sz w:val="24"/>
        <w:u w:val="none"/>
      </w:rPr>
    </w:lvl>
  </w:abstractNum>
  <w:abstractNum w:abstractNumId="4" w15:restartNumberingAfterBreak="0">
    <w:nsid w:val="158657DC"/>
    <w:multiLevelType w:val="singleLevel"/>
    <w:tmpl w:val="C8CE377E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</w:abstractNum>
  <w:abstractNum w:abstractNumId="5" w15:restartNumberingAfterBreak="0">
    <w:nsid w:val="165F677D"/>
    <w:multiLevelType w:val="singleLevel"/>
    <w:tmpl w:val="04090015"/>
    <w:lvl w:ilvl="0">
      <w:start w:val="2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9A1793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0EB0FF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2765768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A316569"/>
    <w:multiLevelType w:val="hybridMultilevel"/>
    <w:tmpl w:val="5BCAC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D6418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5652E1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35D30BF1"/>
    <w:multiLevelType w:val="hybridMultilevel"/>
    <w:tmpl w:val="AB627CE4"/>
    <w:lvl w:ilvl="0" w:tplc="7A1C24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87038A"/>
    <w:multiLevelType w:val="singleLevel"/>
    <w:tmpl w:val="027CAD68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</w:abstractNum>
  <w:abstractNum w:abstractNumId="14" w15:restartNumberingAfterBreak="0">
    <w:nsid w:val="4064087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41FA51F7"/>
    <w:multiLevelType w:val="singleLevel"/>
    <w:tmpl w:val="80AE0ED6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</w:abstractNum>
  <w:abstractNum w:abstractNumId="16" w15:restartNumberingAfterBreak="0">
    <w:nsid w:val="48DF5EBA"/>
    <w:multiLevelType w:val="hybridMultilevel"/>
    <w:tmpl w:val="845AD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067BB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639758D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657F11C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65F52554"/>
    <w:multiLevelType w:val="hybridMultilevel"/>
    <w:tmpl w:val="6BA4114A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68F97295"/>
    <w:multiLevelType w:val="hybridMultilevel"/>
    <w:tmpl w:val="1C507E32"/>
    <w:lvl w:ilvl="0" w:tplc="39AAA68E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572573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3" w15:restartNumberingAfterBreak="0">
    <w:nsid w:val="776C331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77AD06F1"/>
    <w:multiLevelType w:val="singleLevel"/>
    <w:tmpl w:val="FAE000E4"/>
    <w:lvl w:ilvl="0">
      <w:start w:val="1"/>
      <w:numFmt w:val="decimal"/>
      <w:lvlText w:val="(%1)"/>
      <w:legacy w:legacy="1" w:legacySpace="0" w:legacyIndent="1020"/>
      <w:lvlJc w:val="left"/>
      <w:pPr>
        <w:ind w:left="1320" w:hanging="1020"/>
      </w:pPr>
    </w:lvl>
  </w:abstractNum>
  <w:abstractNum w:abstractNumId="25" w15:restartNumberingAfterBreak="0">
    <w:nsid w:val="7D0B5C4A"/>
    <w:multiLevelType w:val="hybridMultilevel"/>
    <w:tmpl w:val="C7721320"/>
    <w:lvl w:ilvl="0" w:tplc="EF089806">
      <w:numFmt w:val="bullet"/>
      <w:lvlText w:val="-"/>
      <w:lvlJc w:val="left"/>
      <w:pPr>
        <w:ind w:left="720" w:hanging="360"/>
      </w:pPr>
      <w:rPr>
        <w:rFonts w:ascii="Times" w:eastAsia="Times New Roman" w:hAnsi="Times" w:cs="Times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5"/>
  </w:num>
  <w:num w:numId="3">
    <w:abstractNumId w:val="13"/>
  </w:num>
  <w:num w:numId="4">
    <w:abstractNumId w:val="4"/>
  </w:num>
  <w:num w:numId="5">
    <w:abstractNumId w:val="5"/>
  </w:num>
  <w:num w:numId="6">
    <w:abstractNumId w:val="14"/>
  </w:num>
  <w:num w:numId="7">
    <w:abstractNumId w:val="17"/>
  </w:num>
  <w:num w:numId="8">
    <w:abstractNumId w:val="8"/>
  </w:num>
  <w:num w:numId="9">
    <w:abstractNumId w:val="19"/>
  </w:num>
  <w:num w:numId="10">
    <w:abstractNumId w:val="0"/>
  </w:num>
  <w:num w:numId="11">
    <w:abstractNumId w:val="1"/>
  </w:num>
  <w:num w:numId="12">
    <w:abstractNumId w:val="24"/>
  </w:num>
  <w:num w:numId="13">
    <w:abstractNumId w:val="18"/>
  </w:num>
  <w:num w:numId="14">
    <w:abstractNumId w:val="20"/>
  </w:num>
  <w:num w:numId="15">
    <w:abstractNumId w:val="7"/>
  </w:num>
  <w:num w:numId="16">
    <w:abstractNumId w:val="21"/>
  </w:num>
  <w:num w:numId="17">
    <w:abstractNumId w:val="12"/>
  </w:num>
  <w:num w:numId="18">
    <w:abstractNumId w:val="9"/>
  </w:num>
  <w:num w:numId="19">
    <w:abstractNumId w:val="16"/>
  </w:num>
  <w:num w:numId="20">
    <w:abstractNumId w:val="25"/>
  </w:num>
  <w:num w:numId="21">
    <w:abstractNumId w:val="10"/>
  </w:num>
  <w:num w:numId="22">
    <w:abstractNumId w:val="11"/>
  </w:num>
  <w:num w:numId="23">
    <w:abstractNumId w:val="6"/>
  </w:num>
  <w:num w:numId="24">
    <w:abstractNumId w:val="2"/>
  </w:num>
  <w:num w:numId="25">
    <w:abstractNumId w:val="23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9D5"/>
    <w:rsid w:val="000256DA"/>
    <w:rsid w:val="00030575"/>
    <w:rsid w:val="00034064"/>
    <w:rsid w:val="000503E8"/>
    <w:rsid w:val="00060603"/>
    <w:rsid w:val="000822E7"/>
    <w:rsid w:val="000950C5"/>
    <w:rsid w:val="000A621D"/>
    <w:rsid w:val="000B135D"/>
    <w:rsid w:val="000B33A7"/>
    <w:rsid w:val="000C0F9B"/>
    <w:rsid w:val="000D1E29"/>
    <w:rsid w:val="000D521C"/>
    <w:rsid w:val="000E30B4"/>
    <w:rsid w:val="000F1B8F"/>
    <w:rsid w:val="000F4696"/>
    <w:rsid w:val="00100B1D"/>
    <w:rsid w:val="00124951"/>
    <w:rsid w:val="0013654F"/>
    <w:rsid w:val="00142BBA"/>
    <w:rsid w:val="0015067C"/>
    <w:rsid w:val="001567A7"/>
    <w:rsid w:val="00157B1A"/>
    <w:rsid w:val="00164E63"/>
    <w:rsid w:val="00167430"/>
    <w:rsid w:val="0017040E"/>
    <w:rsid w:val="00173F4A"/>
    <w:rsid w:val="00175DBB"/>
    <w:rsid w:val="00176C7A"/>
    <w:rsid w:val="001A0E7C"/>
    <w:rsid w:val="001A4850"/>
    <w:rsid w:val="001A7119"/>
    <w:rsid w:val="001B0B77"/>
    <w:rsid w:val="001B79AD"/>
    <w:rsid w:val="001C6B06"/>
    <w:rsid w:val="001D4B60"/>
    <w:rsid w:val="001D598A"/>
    <w:rsid w:val="001E04E8"/>
    <w:rsid w:val="001E5D24"/>
    <w:rsid w:val="00202352"/>
    <w:rsid w:val="00203E38"/>
    <w:rsid w:val="00206F44"/>
    <w:rsid w:val="002167F7"/>
    <w:rsid w:val="0022054F"/>
    <w:rsid w:val="00223224"/>
    <w:rsid w:val="00226AA8"/>
    <w:rsid w:val="00230761"/>
    <w:rsid w:val="00233B64"/>
    <w:rsid w:val="00237849"/>
    <w:rsid w:val="0024025C"/>
    <w:rsid w:val="00255FAA"/>
    <w:rsid w:val="00257D65"/>
    <w:rsid w:val="00261859"/>
    <w:rsid w:val="00265DDF"/>
    <w:rsid w:val="0027681A"/>
    <w:rsid w:val="002977FD"/>
    <w:rsid w:val="002C2BC7"/>
    <w:rsid w:val="002C6470"/>
    <w:rsid w:val="002D204F"/>
    <w:rsid w:val="002D3064"/>
    <w:rsid w:val="002D65E7"/>
    <w:rsid w:val="002F5165"/>
    <w:rsid w:val="003040D2"/>
    <w:rsid w:val="00305B69"/>
    <w:rsid w:val="00321C91"/>
    <w:rsid w:val="00325985"/>
    <w:rsid w:val="00330F85"/>
    <w:rsid w:val="003462D7"/>
    <w:rsid w:val="00360C5F"/>
    <w:rsid w:val="00360C8E"/>
    <w:rsid w:val="003831AD"/>
    <w:rsid w:val="003856CF"/>
    <w:rsid w:val="00397CBA"/>
    <w:rsid w:val="003A11D7"/>
    <w:rsid w:val="003A121B"/>
    <w:rsid w:val="003A2B38"/>
    <w:rsid w:val="003A7EB7"/>
    <w:rsid w:val="003B2964"/>
    <w:rsid w:val="003B790B"/>
    <w:rsid w:val="003D0590"/>
    <w:rsid w:val="003E370C"/>
    <w:rsid w:val="003E5EB3"/>
    <w:rsid w:val="003E7A21"/>
    <w:rsid w:val="004144D0"/>
    <w:rsid w:val="00415F46"/>
    <w:rsid w:val="004200BA"/>
    <w:rsid w:val="00420640"/>
    <w:rsid w:val="00421947"/>
    <w:rsid w:val="00422CBB"/>
    <w:rsid w:val="004328EC"/>
    <w:rsid w:val="00446BFE"/>
    <w:rsid w:val="00450202"/>
    <w:rsid w:val="0045611F"/>
    <w:rsid w:val="00461281"/>
    <w:rsid w:val="0046146B"/>
    <w:rsid w:val="00461DA3"/>
    <w:rsid w:val="00467BE4"/>
    <w:rsid w:val="0047293C"/>
    <w:rsid w:val="00486E3D"/>
    <w:rsid w:val="00491A50"/>
    <w:rsid w:val="00493C0D"/>
    <w:rsid w:val="004944D9"/>
    <w:rsid w:val="004944DC"/>
    <w:rsid w:val="00495592"/>
    <w:rsid w:val="00495854"/>
    <w:rsid w:val="004B1C84"/>
    <w:rsid w:val="004B52B9"/>
    <w:rsid w:val="004C1777"/>
    <w:rsid w:val="004D7CDC"/>
    <w:rsid w:val="004E00D1"/>
    <w:rsid w:val="004E53B7"/>
    <w:rsid w:val="004E5676"/>
    <w:rsid w:val="004E69D5"/>
    <w:rsid w:val="004F1316"/>
    <w:rsid w:val="00507CD5"/>
    <w:rsid w:val="00512BA2"/>
    <w:rsid w:val="00523CD0"/>
    <w:rsid w:val="00530534"/>
    <w:rsid w:val="0053260F"/>
    <w:rsid w:val="00560031"/>
    <w:rsid w:val="0057237E"/>
    <w:rsid w:val="005822B5"/>
    <w:rsid w:val="005934DB"/>
    <w:rsid w:val="00597E2A"/>
    <w:rsid w:val="005A1FB0"/>
    <w:rsid w:val="005A2366"/>
    <w:rsid w:val="005A2DCD"/>
    <w:rsid w:val="005C15EA"/>
    <w:rsid w:val="005D1E2D"/>
    <w:rsid w:val="005D396E"/>
    <w:rsid w:val="005D4A43"/>
    <w:rsid w:val="005E0FF7"/>
    <w:rsid w:val="006142D2"/>
    <w:rsid w:val="00623099"/>
    <w:rsid w:val="00627E08"/>
    <w:rsid w:val="00630B0B"/>
    <w:rsid w:val="00631EE4"/>
    <w:rsid w:val="00640E76"/>
    <w:rsid w:val="00651208"/>
    <w:rsid w:val="00661CE9"/>
    <w:rsid w:val="006755E1"/>
    <w:rsid w:val="00686B50"/>
    <w:rsid w:val="006B1D59"/>
    <w:rsid w:val="006B263E"/>
    <w:rsid w:val="006B2867"/>
    <w:rsid w:val="006D4440"/>
    <w:rsid w:val="006D4BFA"/>
    <w:rsid w:val="006E452A"/>
    <w:rsid w:val="006F1150"/>
    <w:rsid w:val="006F1DEF"/>
    <w:rsid w:val="00700C52"/>
    <w:rsid w:val="00705B4E"/>
    <w:rsid w:val="0070650F"/>
    <w:rsid w:val="00707016"/>
    <w:rsid w:val="00713687"/>
    <w:rsid w:val="00723DFC"/>
    <w:rsid w:val="00733599"/>
    <w:rsid w:val="00757C37"/>
    <w:rsid w:val="00765600"/>
    <w:rsid w:val="00773180"/>
    <w:rsid w:val="0077428B"/>
    <w:rsid w:val="00784302"/>
    <w:rsid w:val="00787DE9"/>
    <w:rsid w:val="007909E8"/>
    <w:rsid w:val="00791E7A"/>
    <w:rsid w:val="00795E16"/>
    <w:rsid w:val="007A675B"/>
    <w:rsid w:val="007B0257"/>
    <w:rsid w:val="007C4FF8"/>
    <w:rsid w:val="007C74D8"/>
    <w:rsid w:val="007F178F"/>
    <w:rsid w:val="007F6CFF"/>
    <w:rsid w:val="007F6E79"/>
    <w:rsid w:val="00800BF4"/>
    <w:rsid w:val="0080106C"/>
    <w:rsid w:val="00816387"/>
    <w:rsid w:val="00830E4F"/>
    <w:rsid w:val="008479C4"/>
    <w:rsid w:val="00854232"/>
    <w:rsid w:val="00857909"/>
    <w:rsid w:val="008653C4"/>
    <w:rsid w:val="00865DFE"/>
    <w:rsid w:val="00867859"/>
    <w:rsid w:val="00867E4A"/>
    <w:rsid w:val="008766B5"/>
    <w:rsid w:val="0088082E"/>
    <w:rsid w:val="008A4856"/>
    <w:rsid w:val="008B1213"/>
    <w:rsid w:val="008D26A8"/>
    <w:rsid w:val="008D45CB"/>
    <w:rsid w:val="008D750D"/>
    <w:rsid w:val="008E1BA8"/>
    <w:rsid w:val="008E605C"/>
    <w:rsid w:val="008E6B52"/>
    <w:rsid w:val="008F4BE1"/>
    <w:rsid w:val="00926CFB"/>
    <w:rsid w:val="00933923"/>
    <w:rsid w:val="009411BB"/>
    <w:rsid w:val="009414DD"/>
    <w:rsid w:val="00944782"/>
    <w:rsid w:val="00947283"/>
    <w:rsid w:val="00964DE5"/>
    <w:rsid w:val="009658D5"/>
    <w:rsid w:val="00966F5B"/>
    <w:rsid w:val="00975147"/>
    <w:rsid w:val="00993FFC"/>
    <w:rsid w:val="009C1855"/>
    <w:rsid w:val="009D72AF"/>
    <w:rsid w:val="009E0323"/>
    <w:rsid w:val="009E3F67"/>
    <w:rsid w:val="009F2E6C"/>
    <w:rsid w:val="009F3066"/>
    <w:rsid w:val="009F3B2D"/>
    <w:rsid w:val="009F5B7C"/>
    <w:rsid w:val="009F6855"/>
    <w:rsid w:val="00A021F1"/>
    <w:rsid w:val="00A04757"/>
    <w:rsid w:val="00A0550A"/>
    <w:rsid w:val="00A06C83"/>
    <w:rsid w:val="00A1595C"/>
    <w:rsid w:val="00A35DD3"/>
    <w:rsid w:val="00A643AC"/>
    <w:rsid w:val="00A67BD2"/>
    <w:rsid w:val="00A740FC"/>
    <w:rsid w:val="00A8417B"/>
    <w:rsid w:val="00A8626E"/>
    <w:rsid w:val="00AA4505"/>
    <w:rsid w:val="00AA74BD"/>
    <w:rsid w:val="00AB6B1D"/>
    <w:rsid w:val="00AB7D22"/>
    <w:rsid w:val="00AC2D7F"/>
    <w:rsid w:val="00AD0014"/>
    <w:rsid w:val="00AD2FDE"/>
    <w:rsid w:val="00AD5BAE"/>
    <w:rsid w:val="00AF40D0"/>
    <w:rsid w:val="00AF7426"/>
    <w:rsid w:val="00B001F5"/>
    <w:rsid w:val="00B13C15"/>
    <w:rsid w:val="00B169A1"/>
    <w:rsid w:val="00B17621"/>
    <w:rsid w:val="00B21FD0"/>
    <w:rsid w:val="00B22055"/>
    <w:rsid w:val="00B24D07"/>
    <w:rsid w:val="00B35009"/>
    <w:rsid w:val="00B3790B"/>
    <w:rsid w:val="00B42522"/>
    <w:rsid w:val="00B55085"/>
    <w:rsid w:val="00B571AD"/>
    <w:rsid w:val="00B62486"/>
    <w:rsid w:val="00B73669"/>
    <w:rsid w:val="00B77495"/>
    <w:rsid w:val="00B808F9"/>
    <w:rsid w:val="00B80B2D"/>
    <w:rsid w:val="00B824B5"/>
    <w:rsid w:val="00B91412"/>
    <w:rsid w:val="00B96872"/>
    <w:rsid w:val="00B97E6D"/>
    <w:rsid w:val="00BA62BE"/>
    <w:rsid w:val="00BF37D6"/>
    <w:rsid w:val="00BF3805"/>
    <w:rsid w:val="00BF51F5"/>
    <w:rsid w:val="00BF5F61"/>
    <w:rsid w:val="00C05D21"/>
    <w:rsid w:val="00C07F47"/>
    <w:rsid w:val="00C10A2C"/>
    <w:rsid w:val="00C11E01"/>
    <w:rsid w:val="00C237F6"/>
    <w:rsid w:val="00C23BF0"/>
    <w:rsid w:val="00C23DDB"/>
    <w:rsid w:val="00C46407"/>
    <w:rsid w:val="00C6446E"/>
    <w:rsid w:val="00C74CB0"/>
    <w:rsid w:val="00C83813"/>
    <w:rsid w:val="00C92080"/>
    <w:rsid w:val="00CA02D9"/>
    <w:rsid w:val="00CA1B13"/>
    <w:rsid w:val="00CC6F0E"/>
    <w:rsid w:val="00CD4D37"/>
    <w:rsid w:val="00CD65EE"/>
    <w:rsid w:val="00CE3F7A"/>
    <w:rsid w:val="00CF2C1E"/>
    <w:rsid w:val="00D1465E"/>
    <w:rsid w:val="00D21462"/>
    <w:rsid w:val="00D33600"/>
    <w:rsid w:val="00D3383F"/>
    <w:rsid w:val="00D44A37"/>
    <w:rsid w:val="00D72CC7"/>
    <w:rsid w:val="00D7371B"/>
    <w:rsid w:val="00D814E8"/>
    <w:rsid w:val="00D910A3"/>
    <w:rsid w:val="00D94D7A"/>
    <w:rsid w:val="00DB72AB"/>
    <w:rsid w:val="00DC0A35"/>
    <w:rsid w:val="00DD1D41"/>
    <w:rsid w:val="00DF32D5"/>
    <w:rsid w:val="00E1397A"/>
    <w:rsid w:val="00E255EF"/>
    <w:rsid w:val="00E2702E"/>
    <w:rsid w:val="00E3080E"/>
    <w:rsid w:val="00E3146A"/>
    <w:rsid w:val="00E33998"/>
    <w:rsid w:val="00E43D7B"/>
    <w:rsid w:val="00E50EB0"/>
    <w:rsid w:val="00E515DA"/>
    <w:rsid w:val="00E52BDD"/>
    <w:rsid w:val="00E55800"/>
    <w:rsid w:val="00E72C9F"/>
    <w:rsid w:val="00E733C8"/>
    <w:rsid w:val="00E8020F"/>
    <w:rsid w:val="00E8534C"/>
    <w:rsid w:val="00E956BB"/>
    <w:rsid w:val="00E95E11"/>
    <w:rsid w:val="00EB29DD"/>
    <w:rsid w:val="00EB5347"/>
    <w:rsid w:val="00EB5965"/>
    <w:rsid w:val="00EE031F"/>
    <w:rsid w:val="00EE2FA3"/>
    <w:rsid w:val="00EE733C"/>
    <w:rsid w:val="00EF02FA"/>
    <w:rsid w:val="00EF25CB"/>
    <w:rsid w:val="00EF3605"/>
    <w:rsid w:val="00F227EC"/>
    <w:rsid w:val="00F27ED1"/>
    <w:rsid w:val="00F363B5"/>
    <w:rsid w:val="00F36DC6"/>
    <w:rsid w:val="00F4011E"/>
    <w:rsid w:val="00F426CE"/>
    <w:rsid w:val="00F57E27"/>
    <w:rsid w:val="00F66500"/>
    <w:rsid w:val="00F66B6E"/>
    <w:rsid w:val="00F74EEE"/>
    <w:rsid w:val="00F74F2D"/>
    <w:rsid w:val="00F76932"/>
    <w:rsid w:val="00F7783D"/>
    <w:rsid w:val="00F8751D"/>
    <w:rsid w:val="00F91345"/>
    <w:rsid w:val="00F9629F"/>
    <w:rsid w:val="00F96DCE"/>
    <w:rsid w:val="00FA510D"/>
    <w:rsid w:val="00FD6AEF"/>
    <w:rsid w:val="00FD733B"/>
    <w:rsid w:val="00FE207E"/>
    <w:rsid w:val="00FF0BBE"/>
    <w:rsid w:val="00FF2BEF"/>
    <w:rsid w:val="00FF4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49C088"/>
  <w15:chartTrackingRefBased/>
  <w15:docId w15:val="{EAEDF51A-4757-4C0E-9405-567310C21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Times" w:hAnsi="Times"/>
      <w:sz w:val="24"/>
    </w:rPr>
  </w:style>
  <w:style w:type="paragraph" w:styleId="Heading1">
    <w:name w:val="heading 1"/>
    <w:basedOn w:val="Normal"/>
    <w:next w:val="Normal"/>
    <w:qFormat/>
    <w:pPr>
      <w:keepNext/>
      <w:ind w:left="360"/>
      <w:outlineLvl w:val="0"/>
    </w:pPr>
    <w:rPr>
      <w:rFonts w:ascii="Times New Roman" w:hAnsi="Times New Roman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0">
    <w:name w:val="p0"/>
    <w:basedOn w:val="Normal"/>
    <w:pPr>
      <w:tabs>
        <w:tab w:val="left" w:pos="720"/>
      </w:tabs>
      <w:spacing w:line="240" w:lineRule="atLeast"/>
      <w:jc w:val="both"/>
    </w:pPr>
  </w:style>
  <w:style w:type="paragraph" w:customStyle="1" w:styleId="c1">
    <w:name w:val="c1"/>
    <w:basedOn w:val="Normal"/>
    <w:pPr>
      <w:spacing w:line="240" w:lineRule="atLeast"/>
      <w:jc w:val="center"/>
    </w:pPr>
  </w:style>
  <w:style w:type="paragraph" w:customStyle="1" w:styleId="p2">
    <w:name w:val="p2"/>
    <w:basedOn w:val="Normal"/>
    <w:pPr>
      <w:tabs>
        <w:tab w:val="left" w:pos="660"/>
      </w:tabs>
      <w:spacing w:line="240" w:lineRule="atLeast"/>
    </w:pPr>
  </w:style>
  <w:style w:type="paragraph" w:customStyle="1" w:styleId="t3">
    <w:name w:val="t3"/>
    <w:basedOn w:val="Normal"/>
    <w:pPr>
      <w:tabs>
        <w:tab w:val="decimal" w:pos="1460"/>
        <w:tab w:val="decimal" w:pos="2780"/>
        <w:tab w:val="decimal" w:pos="4080"/>
        <w:tab w:val="decimal" w:pos="5660"/>
        <w:tab w:val="decimal" w:pos="7560"/>
        <w:tab w:val="decimal" w:pos="9460"/>
      </w:tabs>
      <w:spacing w:line="240" w:lineRule="atLeast"/>
    </w:pPr>
  </w:style>
  <w:style w:type="paragraph" w:customStyle="1" w:styleId="t4">
    <w:name w:val="t4"/>
    <w:basedOn w:val="Normal"/>
    <w:pPr>
      <w:tabs>
        <w:tab w:val="decimal" w:pos="4080"/>
        <w:tab w:val="decimal" w:pos="7560"/>
        <w:tab w:val="decimal" w:pos="9460"/>
      </w:tabs>
      <w:spacing w:line="240" w:lineRule="atLeast"/>
    </w:pPr>
  </w:style>
  <w:style w:type="paragraph" w:customStyle="1" w:styleId="t5">
    <w:name w:val="t5"/>
    <w:basedOn w:val="Normal"/>
    <w:pPr>
      <w:tabs>
        <w:tab w:val="left" w:pos="2240"/>
        <w:tab w:val="decimal" w:pos="4300"/>
        <w:tab w:val="decimal" w:pos="6200"/>
      </w:tabs>
      <w:spacing w:line="240" w:lineRule="atLeast"/>
    </w:pPr>
  </w:style>
  <w:style w:type="paragraph" w:customStyle="1" w:styleId="t6">
    <w:name w:val="t6"/>
    <w:basedOn w:val="Normal"/>
    <w:pPr>
      <w:tabs>
        <w:tab w:val="left" w:pos="1700"/>
        <w:tab w:val="decimal" w:pos="4580"/>
        <w:tab w:val="decimal" w:pos="6200"/>
      </w:tabs>
      <w:spacing w:line="240" w:lineRule="atLeast"/>
    </w:pPr>
  </w:style>
  <w:style w:type="paragraph" w:customStyle="1" w:styleId="p7">
    <w:name w:val="p7"/>
    <w:basedOn w:val="Normal"/>
    <w:pPr>
      <w:spacing w:line="240" w:lineRule="atLeast"/>
      <w:ind w:left="2540" w:hanging="2540"/>
    </w:pPr>
  </w:style>
  <w:style w:type="paragraph" w:customStyle="1" w:styleId="p8">
    <w:name w:val="p8"/>
    <w:basedOn w:val="Normal"/>
    <w:pPr>
      <w:spacing w:line="240" w:lineRule="atLeast"/>
      <w:ind w:left="1200"/>
    </w:pPr>
  </w:style>
  <w:style w:type="paragraph" w:customStyle="1" w:styleId="p9">
    <w:name w:val="p9"/>
    <w:basedOn w:val="Normal"/>
    <w:pPr>
      <w:tabs>
        <w:tab w:val="left" w:pos="720"/>
      </w:tabs>
      <w:spacing w:line="240" w:lineRule="atLeast"/>
    </w:pPr>
  </w:style>
  <w:style w:type="paragraph" w:customStyle="1" w:styleId="p10">
    <w:name w:val="p10"/>
    <w:basedOn w:val="Normal"/>
    <w:pPr>
      <w:spacing w:line="240" w:lineRule="atLeast"/>
      <w:ind w:left="1760"/>
    </w:pPr>
  </w:style>
  <w:style w:type="paragraph" w:customStyle="1" w:styleId="t11">
    <w:name w:val="t11"/>
    <w:basedOn w:val="Normal"/>
    <w:pPr>
      <w:tabs>
        <w:tab w:val="left" w:pos="0"/>
        <w:tab w:val="left" w:pos="1360"/>
        <w:tab w:val="left" w:pos="4860"/>
      </w:tabs>
      <w:spacing w:line="240" w:lineRule="atLeast"/>
    </w:pPr>
  </w:style>
  <w:style w:type="paragraph" w:customStyle="1" w:styleId="t12">
    <w:name w:val="t12"/>
    <w:basedOn w:val="Normal"/>
    <w:pPr>
      <w:tabs>
        <w:tab w:val="left" w:pos="1360"/>
        <w:tab w:val="left" w:pos="4560"/>
        <w:tab w:val="left" w:pos="6460"/>
        <w:tab w:val="left" w:pos="8060"/>
      </w:tabs>
      <w:spacing w:line="240" w:lineRule="atLeast"/>
    </w:pPr>
  </w:style>
  <w:style w:type="paragraph" w:customStyle="1" w:styleId="p13">
    <w:name w:val="p13"/>
    <w:basedOn w:val="Normal"/>
    <w:pPr>
      <w:tabs>
        <w:tab w:val="left" w:pos="0"/>
        <w:tab w:val="left" w:pos="1200"/>
      </w:tabs>
      <w:spacing w:line="240" w:lineRule="atLeast"/>
      <w:ind w:firstLine="660"/>
    </w:pPr>
  </w:style>
  <w:style w:type="paragraph" w:customStyle="1" w:styleId="p14">
    <w:name w:val="p14"/>
    <w:basedOn w:val="Normal"/>
    <w:pPr>
      <w:tabs>
        <w:tab w:val="left" w:pos="0"/>
        <w:tab w:val="left" w:pos="1760"/>
      </w:tabs>
      <w:spacing w:line="240" w:lineRule="atLeast"/>
      <w:ind w:firstLine="1200"/>
    </w:pPr>
  </w:style>
  <w:style w:type="paragraph" w:customStyle="1" w:styleId="p15">
    <w:name w:val="p15"/>
    <w:basedOn w:val="Normal"/>
    <w:pPr>
      <w:tabs>
        <w:tab w:val="left" w:pos="0"/>
        <w:tab w:val="left" w:pos="1260"/>
      </w:tabs>
      <w:spacing w:line="240" w:lineRule="atLeast"/>
      <w:ind w:firstLine="700"/>
    </w:pPr>
  </w:style>
  <w:style w:type="paragraph" w:customStyle="1" w:styleId="p16">
    <w:name w:val="p16"/>
    <w:basedOn w:val="Normal"/>
    <w:pPr>
      <w:spacing w:line="240" w:lineRule="atLeast"/>
      <w:ind w:left="3180"/>
    </w:pPr>
  </w:style>
  <w:style w:type="paragraph" w:customStyle="1" w:styleId="p17">
    <w:name w:val="p17"/>
    <w:basedOn w:val="Normal"/>
    <w:pPr>
      <w:tabs>
        <w:tab w:val="left" w:pos="2860"/>
      </w:tabs>
      <w:spacing w:line="240" w:lineRule="atLeast"/>
      <w:ind w:left="700"/>
    </w:pPr>
  </w:style>
  <w:style w:type="paragraph" w:customStyle="1" w:styleId="p18">
    <w:name w:val="p18"/>
    <w:basedOn w:val="Normal"/>
    <w:pPr>
      <w:tabs>
        <w:tab w:val="left" w:pos="0"/>
      </w:tabs>
      <w:spacing w:line="240" w:lineRule="atLeast"/>
      <w:ind w:left="5180" w:hanging="300"/>
    </w:pPr>
  </w:style>
  <w:style w:type="paragraph" w:customStyle="1" w:styleId="p19">
    <w:name w:val="p19"/>
    <w:basedOn w:val="Normal"/>
    <w:pPr>
      <w:tabs>
        <w:tab w:val="left" w:pos="720"/>
      </w:tabs>
      <w:spacing w:line="240" w:lineRule="atLeast"/>
    </w:pPr>
  </w:style>
  <w:style w:type="paragraph" w:customStyle="1" w:styleId="p20">
    <w:name w:val="p20"/>
    <w:basedOn w:val="Normal"/>
    <w:pPr>
      <w:tabs>
        <w:tab w:val="left" w:pos="700"/>
      </w:tabs>
      <w:spacing w:line="240" w:lineRule="atLeast"/>
    </w:pPr>
  </w:style>
  <w:style w:type="paragraph" w:customStyle="1" w:styleId="c21">
    <w:name w:val="c21"/>
    <w:basedOn w:val="Normal"/>
    <w:pPr>
      <w:spacing w:line="240" w:lineRule="atLeast"/>
      <w:jc w:val="center"/>
    </w:pPr>
  </w:style>
  <w:style w:type="paragraph" w:customStyle="1" w:styleId="p11">
    <w:name w:val="p11"/>
    <w:basedOn w:val="Normal"/>
    <w:pPr>
      <w:tabs>
        <w:tab w:val="left" w:pos="940"/>
      </w:tabs>
      <w:spacing w:line="240" w:lineRule="atLeast"/>
      <w:ind w:left="28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rFonts w:ascii="Times New Roman" w:hAnsi="Times New Roman"/>
      <w:b/>
    </w:rPr>
  </w:style>
  <w:style w:type="paragraph" w:styleId="BodyTextIndent">
    <w:name w:val="Body Text Indent"/>
    <w:basedOn w:val="Normal"/>
    <w:pPr>
      <w:tabs>
        <w:tab w:val="left" w:pos="576"/>
        <w:tab w:val="left" w:pos="1020"/>
        <w:tab w:val="left" w:pos="1440"/>
      </w:tabs>
      <w:ind w:left="576"/>
    </w:pPr>
    <w:rPr>
      <w:rFonts w:ascii="Courier New" w:hAnsi="Courier New"/>
    </w:rPr>
  </w:style>
  <w:style w:type="paragraph" w:styleId="BodyTextIndent2">
    <w:name w:val="Body Text Indent 2"/>
    <w:basedOn w:val="Normal"/>
    <w:pPr>
      <w:tabs>
        <w:tab w:val="left" w:pos="1440"/>
      </w:tabs>
      <w:ind w:firstLine="540"/>
    </w:pPr>
    <w:rPr>
      <w:rFonts w:ascii="Courier New" w:hAnsi="Courier New"/>
      <w:sz w:val="22"/>
    </w:rPr>
  </w:style>
  <w:style w:type="paragraph" w:styleId="BodyTextIndent3">
    <w:name w:val="Body Text Indent 3"/>
    <w:basedOn w:val="Normal"/>
    <w:pPr>
      <w:widowControl/>
      <w:ind w:left="1980" w:hanging="540"/>
    </w:pPr>
    <w:rPr>
      <w:rFonts w:ascii="Courier New" w:hAnsi="Courier New"/>
    </w:rPr>
  </w:style>
  <w:style w:type="character" w:styleId="Hyperlink">
    <w:name w:val="Hyperlink"/>
    <w:rPr>
      <w:color w:val="0000FF"/>
      <w:u w:val="single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</w:rPr>
  </w:style>
  <w:style w:type="paragraph" w:customStyle="1" w:styleId="TxBrt1">
    <w:name w:val="TxBr_t1"/>
    <w:basedOn w:val="Normal"/>
    <w:pPr>
      <w:widowControl/>
      <w:spacing w:line="240" w:lineRule="atLeast"/>
    </w:pPr>
    <w:rPr>
      <w:rFonts w:ascii="Times New Roman" w:hAnsi="Times New Roman"/>
      <w:snapToGrid w:val="0"/>
    </w:rPr>
  </w:style>
  <w:style w:type="paragraph" w:styleId="BalloonText">
    <w:name w:val="Balloon Text"/>
    <w:basedOn w:val="Normal"/>
    <w:semiHidden/>
    <w:rsid w:val="003A121B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255FA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55FAA"/>
    <w:rPr>
      <w:sz w:val="20"/>
      <w:lang w:val="x-none" w:eastAsia="x-none"/>
    </w:rPr>
  </w:style>
  <w:style w:type="paragraph" w:styleId="CommentSubject">
    <w:name w:val="annotation subject"/>
    <w:basedOn w:val="CommentText"/>
    <w:next w:val="CommentText"/>
    <w:semiHidden/>
    <w:rsid w:val="00255FAA"/>
    <w:rPr>
      <w:b/>
      <w:bCs/>
    </w:rPr>
  </w:style>
  <w:style w:type="paragraph" w:styleId="FootnoteText">
    <w:name w:val="footnote text"/>
    <w:basedOn w:val="Normal"/>
    <w:semiHidden/>
    <w:rsid w:val="005A2366"/>
    <w:rPr>
      <w:sz w:val="20"/>
    </w:rPr>
  </w:style>
  <w:style w:type="character" w:styleId="FootnoteReference">
    <w:name w:val="footnote reference"/>
    <w:semiHidden/>
    <w:rsid w:val="005A2366"/>
    <w:rPr>
      <w:vertAlign w:val="superscript"/>
    </w:rPr>
  </w:style>
  <w:style w:type="paragraph" w:customStyle="1" w:styleId="TxBrp13">
    <w:name w:val="TxBr_p13"/>
    <w:basedOn w:val="Normal"/>
    <w:rsid w:val="00B21FD0"/>
    <w:pPr>
      <w:tabs>
        <w:tab w:val="left" w:pos="748"/>
      </w:tabs>
      <w:spacing w:line="238" w:lineRule="atLeast"/>
      <w:ind w:firstLine="748"/>
    </w:pPr>
    <w:rPr>
      <w:rFonts w:ascii="Times New Roman" w:hAnsi="Times New Roman"/>
    </w:rPr>
  </w:style>
  <w:style w:type="paragraph" w:customStyle="1" w:styleId="TxBrp7">
    <w:name w:val="TxBr_p7"/>
    <w:basedOn w:val="Normal"/>
    <w:rsid w:val="008D45CB"/>
    <w:pPr>
      <w:tabs>
        <w:tab w:val="left" w:pos="748"/>
        <w:tab w:val="left" w:pos="1468"/>
      </w:tabs>
      <w:spacing w:line="238" w:lineRule="atLeast"/>
      <w:ind w:left="748" w:firstLine="720"/>
    </w:pPr>
    <w:rPr>
      <w:rFonts w:ascii="Times New Roman" w:hAnsi="Times New Roman"/>
    </w:rPr>
  </w:style>
  <w:style w:type="character" w:styleId="FollowedHyperlink">
    <w:name w:val="FollowedHyperlink"/>
    <w:rsid w:val="00202352"/>
    <w:rPr>
      <w:color w:val="800080"/>
      <w:u w:val="single"/>
    </w:rPr>
  </w:style>
  <w:style w:type="table" w:styleId="TableGrid">
    <w:name w:val="Table Grid"/>
    <w:basedOn w:val="TableNormal"/>
    <w:rsid w:val="008579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157B1A"/>
    <w:pPr>
      <w:widowControl/>
    </w:pPr>
    <w:rPr>
      <w:rFonts w:ascii="Consolas" w:eastAsia="Calibri" w:hAnsi="Consolas"/>
      <w:sz w:val="21"/>
      <w:szCs w:val="21"/>
      <w:lang w:val="x-none" w:eastAsia="x-none"/>
    </w:rPr>
  </w:style>
  <w:style w:type="character" w:customStyle="1" w:styleId="PlainTextChar">
    <w:name w:val="Plain Text Char"/>
    <w:link w:val="PlainText"/>
    <w:uiPriority w:val="99"/>
    <w:rsid w:val="00157B1A"/>
    <w:rPr>
      <w:rFonts w:ascii="Consolas" w:eastAsia="Calibri" w:hAnsi="Consolas" w:cs="Times New Roman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FF0BBE"/>
    <w:rPr>
      <w:i/>
      <w:iCs/>
      <w:color w:val="000000"/>
      <w:lang w:val="x-none" w:eastAsia="x-none"/>
    </w:rPr>
  </w:style>
  <w:style w:type="character" w:customStyle="1" w:styleId="QuoteChar">
    <w:name w:val="Quote Char"/>
    <w:link w:val="Quote"/>
    <w:uiPriority w:val="29"/>
    <w:rsid w:val="00FF0BBE"/>
    <w:rPr>
      <w:rFonts w:ascii="Times" w:hAnsi="Times"/>
      <w:i/>
      <w:iCs/>
      <w:color w:val="000000"/>
      <w:sz w:val="24"/>
    </w:rPr>
  </w:style>
  <w:style w:type="character" w:customStyle="1" w:styleId="CommentTextChar">
    <w:name w:val="Comment Text Char"/>
    <w:link w:val="CommentText"/>
    <w:semiHidden/>
    <w:rsid w:val="0013654F"/>
    <w:rPr>
      <w:rFonts w:ascii="Times" w:hAnsi="Tim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4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scg.mil/Units/Organization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edocket.access.gpo.gov/2009/E9-14906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dhs.gov/sites/default/files/publications/privacy-pia-uscg-cgmix-july2015.pdf" TargetMode="Externa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opm.gov/policy-data-oversight/pay-leave/salaries-wages/salary-tables/pdf/2020/RUS_h.pdf" TargetMode="External"/><Relationship Id="rId1" Type="http://schemas.openxmlformats.org/officeDocument/2006/relationships/hyperlink" Target="https://www.bls.gov/oes/2019/may/oes113051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9E69BD-3133-4218-B6BD-BBAEAD08F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1089</Words>
  <Characters>6681</Characters>
  <Application>Microsoft Office Word</Application>
  <DocSecurity>4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</vt:lpstr>
    </vt:vector>
  </TitlesOfParts>
  <Company>United States Coast Guard</Company>
  <LinksUpToDate>false</LinksUpToDate>
  <CharactersWithSpaces>7755</CharactersWithSpaces>
  <SharedDoc>false</SharedDoc>
  <HLinks>
    <vt:vector size="18" baseType="variant">
      <vt:variant>
        <vt:i4>5767175</vt:i4>
      </vt:variant>
      <vt:variant>
        <vt:i4>6</vt:i4>
      </vt:variant>
      <vt:variant>
        <vt:i4>0</vt:i4>
      </vt:variant>
      <vt:variant>
        <vt:i4>5</vt:i4>
      </vt:variant>
      <vt:variant>
        <vt:lpwstr>https://www.gpo.gov/fdsys/pkg/FR-2009-06-25/html/E9-14906.htm</vt:lpwstr>
      </vt:variant>
      <vt:variant>
        <vt:lpwstr/>
      </vt:variant>
      <vt:variant>
        <vt:i4>786521</vt:i4>
      </vt:variant>
      <vt:variant>
        <vt:i4>3</vt:i4>
      </vt:variant>
      <vt:variant>
        <vt:i4>0</vt:i4>
      </vt:variant>
      <vt:variant>
        <vt:i4>5</vt:i4>
      </vt:variant>
      <vt:variant>
        <vt:lpwstr>https://www.dhs.gov/sites/default/files/publications/privacy-pia-uscg-cgmix-july2015.pdf</vt:lpwstr>
      </vt:variant>
      <vt:variant>
        <vt:lpwstr/>
      </vt:variant>
      <vt:variant>
        <vt:i4>1703959</vt:i4>
      </vt:variant>
      <vt:variant>
        <vt:i4>0</vt:i4>
      </vt:variant>
      <vt:variant>
        <vt:i4>0</vt:i4>
      </vt:variant>
      <vt:variant>
        <vt:i4>5</vt:i4>
      </vt:variant>
      <vt:variant>
        <vt:lpwstr>https://www.uscg.mil/Units/Organization/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</dc:title>
  <dc:subject/>
  <dc:creator>USCG</dc:creator>
  <cp:keywords/>
  <cp:lastModifiedBy>Craig, Albert L CIV</cp:lastModifiedBy>
  <cp:revision>2</cp:revision>
  <cp:lastPrinted>2015-12-04T16:59:00Z</cp:lastPrinted>
  <dcterms:created xsi:type="dcterms:W3CDTF">2021-04-22T12:19:00Z</dcterms:created>
  <dcterms:modified xsi:type="dcterms:W3CDTF">2021-04-22T12:19:00Z</dcterms:modified>
</cp:coreProperties>
</file>