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51650" w:rsidR="00043C32" w:rsidP="00DA38F0" w:rsidRDefault="00043C32" w14:paraId="03560D59" w14:textId="26C42A32">
      <w:pPr>
        <w:pStyle w:val="Heading1"/>
        <w:spacing w:after="240"/>
      </w:pPr>
      <w:r w:rsidRPr="00651650">
        <w:t>SUPPORTING STATEMENT</w:t>
      </w:r>
      <w:r w:rsidR="00651650">
        <w:br/>
      </w:r>
      <w:r w:rsidRPr="00651650">
        <w:t>FOR PAPERWORK REDUCTION ACT SUBMISSION</w:t>
      </w:r>
    </w:p>
    <w:p w:rsidRPr="00DA38F0" w:rsidR="00535626" w:rsidP="00DA38F0" w:rsidRDefault="00043C32" w14:paraId="479A9AA7" w14:textId="77777777">
      <w:pPr>
        <w:pStyle w:val="ListParagraph"/>
        <w:numPr>
          <w:ilvl w:val="0"/>
          <w:numId w:val="4"/>
        </w:numPr>
        <w:spacing w:after="240"/>
        <w:contextualSpacing w:val="0"/>
        <w:rPr>
          <w:rFonts w:ascii="Times New Roman" w:hAnsi="Times New Roman"/>
          <w:sz w:val="22"/>
          <w:szCs w:val="22"/>
        </w:rPr>
      </w:pPr>
      <w:r w:rsidRPr="00DA38F0">
        <w:rPr>
          <w:rStyle w:val="Heading2Char"/>
          <w:rFonts w:ascii="Times New Roman" w:hAnsi="Times New Roman"/>
          <w:color w:val="auto"/>
          <w:sz w:val="22"/>
          <w:szCs w:val="22"/>
        </w:rPr>
        <w:t>Explain the circumstances</w:t>
      </w:r>
      <w:r w:rsidRPr="00DA38F0">
        <w:rPr>
          <w:rFonts w:ascii="Times New Roman" w:hAnsi="Times New Roman"/>
          <w:b/>
          <w:sz w:val="22"/>
          <w:szCs w:val="22"/>
        </w:rPr>
        <w:t xml:space="preserve">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w:t>
      </w:r>
      <w:r w:rsidRPr="00DA38F0">
        <w:rPr>
          <w:rStyle w:val="FootnoteReference"/>
          <w:rFonts w:ascii="Times New Roman" w:hAnsi="Times New Roman"/>
          <w:b/>
          <w:sz w:val="22"/>
          <w:szCs w:val="22"/>
        </w:rPr>
        <w:footnoteReference w:id="1"/>
      </w:r>
      <w:r w:rsidRPr="00DA38F0">
        <w:rPr>
          <w:rFonts w:ascii="Times New Roman" w:hAnsi="Times New Roman"/>
          <w:b/>
          <w:sz w:val="22"/>
          <w:szCs w:val="22"/>
        </w:rPr>
        <w:t>. Specify the review type of the collection (new, revision, extension, reinstatement with change, reinstatement without change). If revised, briefly specify the changes.  If a rulemaking is involved, make note of the sections or changed sections, if applicable.</w:t>
      </w:r>
    </w:p>
    <w:p w:rsidR="0061606F" w:rsidP="00DA38F0" w:rsidRDefault="0061606F" w14:paraId="2DB364D1" w14:textId="0B12D799">
      <w:pPr>
        <w:pStyle w:val="BodyText"/>
        <w:spacing w:after="240"/>
        <w:ind w:left="720"/>
        <w:rPr>
          <w:rFonts w:ascii="Times New Roman" w:hAnsi="Times New Roman"/>
          <w:sz w:val="22"/>
          <w:szCs w:val="22"/>
        </w:rPr>
      </w:pPr>
      <w:r w:rsidRPr="0061606F">
        <w:rPr>
          <w:rFonts w:ascii="Times New Roman" w:hAnsi="Times New Roman"/>
          <w:sz w:val="22"/>
          <w:szCs w:val="22"/>
        </w:rPr>
        <w:t>This infor</w:t>
      </w:r>
      <w:r>
        <w:rPr>
          <w:rFonts w:ascii="Times New Roman" w:hAnsi="Times New Roman"/>
          <w:sz w:val="22"/>
          <w:szCs w:val="22"/>
        </w:rPr>
        <w:t>mation collection (OMB 1840-0808</w:t>
      </w:r>
      <w:r w:rsidRPr="0061606F">
        <w:rPr>
          <w:rFonts w:ascii="Times New Roman" w:hAnsi="Times New Roman"/>
          <w:sz w:val="22"/>
          <w:szCs w:val="22"/>
        </w:rPr>
        <w:t xml:space="preserve">) includes application instructions and forms for the </w:t>
      </w:r>
      <w:r>
        <w:rPr>
          <w:rFonts w:ascii="Times New Roman" w:hAnsi="Times New Roman"/>
          <w:sz w:val="22"/>
          <w:szCs w:val="22"/>
        </w:rPr>
        <w:t xml:space="preserve">Language </w:t>
      </w:r>
      <w:r w:rsidRPr="0061606F">
        <w:rPr>
          <w:rFonts w:ascii="Times New Roman" w:hAnsi="Times New Roman"/>
          <w:sz w:val="22"/>
          <w:szCs w:val="22"/>
        </w:rPr>
        <w:t>Resource Centers (</w:t>
      </w:r>
      <w:r w:rsidR="00BA2A36">
        <w:rPr>
          <w:rFonts w:ascii="Times New Roman" w:hAnsi="Times New Roman"/>
          <w:sz w:val="22"/>
          <w:szCs w:val="22"/>
        </w:rPr>
        <w:t>L</w:t>
      </w:r>
      <w:r w:rsidRPr="0061606F">
        <w:rPr>
          <w:rFonts w:ascii="Times New Roman" w:hAnsi="Times New Roman"/>
          <w:sz w:val="22"/>
          <w:szCs w:val="22"/>
        </w:rPr>
        <w:t>RC</w:t>
      </w:r>
      <w:r>
        <w:rPr>
          <w:rFonts w:ascii="Times New Roman" w:hAnsi="Times New Roman"/>
          <w:sz w:val="22"/>
          <w:szCs w:val="22"/>
        </w:rPr>
        <w:t>) Program (CFDA Number 84.229A)</w:t>
      </w:r>
      <w:r w:rsidRPr="0061606F">
        <w:rPr>
          <w:rFonts w:ascii="Times New Roman" w:hAnsi="Times New Roman"/>
          <w:sz w:val="22"/>
          <w:szCs w:val="22"/>
        </w:rPr>
        <w:t>, authorized under Title VI of the Higher Education Act of 1965, as amended (20 U.S.C. Section 112</w:t>
      </w:r>
      <w:r w:rsidR="00155AAF">
        <w:rPr>
          <w:rFonts w:ascii="Times New Roman" w:hAnsi="Times New Roman"/>
          <w:sz w:val="22"/>
          <w:szCs w:val="22"/>
        </w:rPr>
        <w:t>3</w:t>
      </w:r>
      <w:r w:rsidRPr="0061606F">
        <w:rPr>
          <w:rFonts w:ascii="Times New Roman" w:hAnsi="Times New Roman"/>
          <w:sz w:val="22"/>
          <w:szCs w:val="22"/>
        </w:rPr>
        <w:t>). The type of collection is a</w:t>
      </w:r>
      <w:r w:rsidR="00D65D0F">
        <w:rPr>
          <w:rFonts w:ascii="Times New Roman" w:hAnsi="Times New Roman"/>
          <w:sz w:val="22"/>
          <w:szCs w:val="22"/>
        </w:rPr>
        <w:t xml:space="preserve">n </w:t>
      </w:r>
      <w:r w:rsidRPr="00F83B39" w:rsidR="00D65D0F">
        <w:rPr>
          <w:rFonts w:ascii="Times New Roman" w:hAnsi="Times New Roman"/>
          <w:b/>
          <w:sz w:val="22"/>
          <w:szCs w:val="22"/>
        </w:rPr>
        <w:t>extension</w:t>
      </w:r>
      <w:r w:rsidR="00D65D0F">
        <w:rPr>
          <w:rFonts w:ascii="Times New Roman" w:hAnsi="Times New Roman"/>
          <w:sz w:val="22"/>
          <w:szCs w:val="22"/>
        </w:rPr>
        <w:t xml:space="preserve"> of the previously-approved information collection (application).</w:t>
      </w:r>
    </w:p>
    <w:p w:rsidRPr="00DA38F0" w:rsidR="00EE2EC5" w:rsidP="00DA38F0" w:rsidRDefault="00EE2EC5" w14:paraId="41A5D356" w14:textId="4E2F5613">
      <w:pPr>
        <w:pStyle w:val="BodyText"/>
        <w:spacing w:after="240"/>
        <w:ind w:left="720"/>
        <w:rPr>
          <w:rFonts w:ascii="Times New Roman" w:hAnsi="Times New Roman"/>
          <w:sz w:val="22"/>
          <w:szCs w:val="22"/>
        </w:rPr>
      </w:pPr>
      <w:r w:rsidRPr="00DA38F0">
        <w:rPr>
          <w:rFonts w:ascii="Times New Roman" w:hAnsi="Times New Roman"/>
          <w:sz w:val="22"/>
          <w:szCs w:val="22"/>
        </w:rPr>
        <w:t>The Language Resource Centers program provides grants to institutions of higher education to establish, strengthen, and operate national language resource and training centers for improving the nation’s capacity for teaching and learning foreign languages through teacher training, research, instructional materials development, and disseminat</w:t>
      </w:r>
      <w:r w:rsidR="0061606F">
        <w:rPr>
          <w:rFonts w:ascii="Times New Roman" w:hAnsi="Times New Roman"/>
          <w:sz w:val="22"/>
          <w:szCs w:val="22"/>
        </w:rPr>
        <w:t>ion projects.</w:t>
      </w:r>
      <w:r w:rsidRPr="00DA38F0">
        <w:rPr>
          <w:rFonts w:ascii="Times New Roman" w:hAnsi="Times New Roman"/>
          <w:sz w:val="22"/>
          <w:szCs w:val="22"/>
        </w:rPr>
        <w:t xml:space="preserve"> </w:t>
      </w:r>
      <w:r w:rsidR="0061606F">
        <w:rPr>
          <w:rFonts w:ascii="Times New Roman" w:hAnsi="Times New Roman"/>
          <w:sz w:val="22"/>
          <w:szCs w:val="22"/>
        </w:rPr>
        <w:t>This program responds t</w:t>
      </w:r>
      <w:r w:rsidRPr="0061606F" w:rsidR="0061606F">
        <w:rPr>
          <w:rFonts w:ascii="Times New Roman" w:hAnsi="Times New Roman"/>
          <w:sz w:val="22"/>
          <w:szCs w:val="22"/>
        </w:rPr>
        <w:t>o the ongoing national need for individuals with expertise and competence in world languages; advance national security by developing a pipeline of highly proficient linguists; and contribute to developing a globally competent workforce able to engage with a multilingual/multicultural clientele at home and abroad.</w:t>
      </w:r>
    </w:p>
    <w:p w:rsidR="00D65D0F" w:rsidP="00D65D0F" w:rsidRDefault="00D65D0F" w14:paraId="25F0C833" w14:textId="79C71B85">
      <w:pPr>
        <w:pStyle w:val="ListParagraph"/>
        <w:tabs>
          <w:tab w:val="left" w:pos="-720"/>
        </w:tabs>
        <w:suppressAutoHyphens/>
        <w:spacing w:after="360"/>
        <w:contextualSpacing w:val="0"/>
        <w:rPr>
          <w:rFonts w:ascii="Times New Roman" w:hAnsi="Times New Roman"/>
          <w:sz w:val="22"/>
          <w:szCs w:val="22"/>
        </w:rPr>
      </w:pPr>
      <w:r w:rsidRPr="00D65D0F">
        <w:rPr>
          <w:rFonts w:ascii="Times New Roman" w:hAnsi="Times New Roman"/>
          <w:sz w:val="22"/>
          <w:szCs w:val="22"/>
        </w:rPr>
        <w:t xml:space="preserve">Approval of this collection is necessary in order to conduct </w:t>
      </w:r>
      <w:r>
        <w:rPr>
          <w:rFonts w:ascii="Times New Roman" w:hAnsi="Times New Roman"/>
          <w:sz w:val="22"/>
          <w:szCs w:val="22"/>
        </w:rPr>
        <w:t xml:space="preserve">the </w:t>
      </w:r>
      <w:r w:rsidRPr="00D65D0F">
        <w:rPr>
          <w:rFonts w:ascii="Times New Roman" w:hAnsi="Times New Roman"/>
          <w:sz w:val="22"/>
          <w:szCs w:val="22"/>
        </w:rPr>
        <w:t xml:space="preserve">fiscal year (FY) </w:t>
      </w:r>
      <w:r w:rsidR="00734942">
        <w:rPr>
          <w:rFonts w:ascii="Times New Roman" w:hAnsi="Times New Roman"/>
          <w:sz w:val="22"/>
          <w:szCs w:val="22"/>
        </w:rPr>
        <w:t>2022</w:t>
      </w:r>
      <w:r w:rsidRPr="00D65D0F">
        <w:rPr>
          <w:rFonts w:ascii="Times New Roman" w:hAnsi="Times New Roman"/>
          <w:sz w:val="22"/>
          <w:szCs w:val="22"/>
        </w:rPr>
        <w:t xml:space="preserve"> program competition.</w:t>
      </w:r>
    </w:p>
    <w:p w:rsidR="00D65D0F" w:rsidP="00D65D0F" w:rsidRDefault="00D65D0F" w14:paraId="213D1D9A" w14:textId="77777777">
      <w:pPr>
        <w:pStyle w:val="ListParagraph"/>
        <w:tabs>
          <w:tab w:val="left" w:pos="-720"/>
        </w:tabs>
        <w:suppressAutoHyphens/>
        <w:spacing w:after="360"/>
        <w:contextualSpacing w:val="0"/>
        <w:rPr>
          <w:rFonts w:ascii="Times New Roman" w:hAnsi="Times New Roman"/>
          <w:sz w:val="22"/>
          <w:szCs w:val="22"/>
        </w:rPr>
      </w:pPr>
      <w:r w:rsidRPr="00D65D0F">
        <w:rPr>
          <w:rFonts w:ascii="Times New Roman" w:hAnsi="Times New Roman"/>
          <w:sz w:val="22"/>
          <w:szCs w:val="22"/>
        </w:rPr>
        <w:t>No rule-making is involved.</w:t>
      </w:r>
    </w:p>
    <w:p w:rsidR="00D65D0F" w:rsidP="00D65D0F" w:rsidRDefault="00EE2EC5" w14:paraId="05D9B325" w14:textId="77777777">
      <w:pPr>
        <w:pStyle w:val="ListParagraph"/>
        <w:tabs>
          <w:tab w:val="left" w:pos="-720"/>
        </w:tabs>
        <w:suppressAutoHyphens/>
        <w:spacing w:after="360"/>
        <w:contextualSpacing w:val="0"/>
        <w:rPr>
          <w:rFonts w:ascii="Times New Roman" w:hAnsi="Times New Roman"/>
          <w:sz w:val="22"/>
          <w:szCs w:val="22"/>
        </w:rPr>
      </w:pPr>
      <w:r w:rsidRPr="00DA38F0">
        <w:rPr>
          <w:rFonts w:ascii="Times New Roman" w:hAnsi="Times New Roman"/>
          <w:sz w:val="22"/>
          <w:szCs w:val="22"/>
        </w:rPr>
        <w:t xml:space="preserve">The authorizing legislation and program-specific regulations are incorporated in the application </w:t>
      </w:r>
      <w:r w:rsidRPr="00D65D0F">
        <w:rPr>
          <w:rFonts w:ascii="Times New Roman" w:hAnsi="Times New Roman"/>
          <w:sz w:val="22"/>
          <w:szCs w:val="22"/>
        </w:rPr>
        <w:t>package attached to this supporting statement.</w:t>
      </w:r>
    </w:p>
    <w:p w:rsidRPr="00DA38F0" w:rsidR="00E52AD5" w:rsidP="00DA38F0" w:rsidRDefault="00043C32" w14:paraId="3D07C0BF" w14:textId="50F0FD5E">
      <w:pPr>
        <w:pStyle w:val="ListParagraph"/>
        <w:numPr>
          <w:ilvl w:val="0"/>
          <w:numId w:val="4"/>
        </w:numPr>
        <w:tabs>
          <w:tab w:val="left" w:pos="-720"/>
        </w:tabs>
        <w:suppressAutoHyphens/>
        <w:spacing w:after="240"/>
        <w:contextualSpacing w:val="0"/>
        <w:rPr>
          <w:rFonts w:ascii="Times New Roman" w:hAnsi="Times New Roman"/>
          <w:b/>
          <w:sz w:val="22"/>
          <w:szCs w:val="22"/>
        </w:rPr>
      </w:pPr>
      <w:r w:rsidRPr="00DA38F0">
        <w:rPr>
          <w:rFonts w:ascii="Times New Roman" w:hAnsi="Times New Roman"/>
          <w:b/>
          <w:sz w:val="22"/>
          <w:szCs w:val="22"/>
        </w:rPr>
        <w:t xml:space="preserve">Indicate how, by whom, and for what purpose the information is to be used.  Except for a new collection, indicate the actual use the agency has made of the information received from the current collection. </w:t>
      </w:r>
    </w:p>
    <w:p w:rsidRPr="00DA38F0" w:rsidR="00EE2EC5" w:rsidP="00DA38F0" w:rsidRDefault="00EE2EC5" w14:paraId="2F223257" w14:textId="79F0BADB">
      <w:pPr>
        <w:pStyle w:val="BodyTextIndent"/>
        <w:spacing w:after="360"/>
        <w:rPr>
          <w:sz w:val="22"/>
          <w:szCs w:val="22"/>
        </w:rPr>
      </w:pPr>
      <w:r w:rsidRPr="00DA38F0">
        <w:rPr>
          <w:sz w:val="22"/>
          <w:szCs w:val="22"/>
        </w:rPr>
        <w:t>Eligible institutions of higher education use the information collection to submit applications to the Department of Education (ED) to request funding in response to the competition announcement.  After grant applications are submitted, the Department determines the budget and staff resources it needs to conduct the peer review of applications and post award activities.  External review panels use the information to evaluate grant applications and to identify high</w:t>
      </w:r>
      <w:r w:rsidR="00EF5726">
        <w:rPr>
          <w:sz w:val="22"/>
          <w:szCs w:val="22"/>
        </w:rPr>
        <w:t>-</w:t>
      </w:r>
      <w:r w:rsidRPr="00DA38F0">
        <w:rPr>
          <w:sz w:val="22"/>
          <w:szCs w:val="22"/>
        </w:rPr>
        <w:t>quality applications.  When developing funding slates</w:t>
      </w:r>
      <w:r w:rsidR="00EF5726">
        <w:rPr>
          <w:sz w:val="22"/>
          <w:szCs w:val="22"/>
        </w:rPr>
        <w:t>,</w:t>
      </w:r>
      <w:r w:rsidRPr="00DA38F0">
        <w:rPr>
          <w:sz w:val="22"/>
          <w:szCs w:val="22"/>
        </w:rPr>
        <w:t xml:space="preserve"> ED program officials consider the evaluations from the expert review panels, in conjunction with the LRC legislative purposes and any Administration priorities.  ED program officials also use the collection to inform strategic </w:t>
      </w:r>
      <w:r w:rsidRPr="00DA38F0">
        <w:rPr>
          <w:sz w:val="22"/>
          <w:szCs w:val="22"/>
        </w:rPr>
        <w:lastRenderedPageBreak/>
        <w:t xml:space="preserve">planning; to establish goals, performance measures and objectives; to develop monitoring plans; or to align program assessment standards with Department performance goals and initiatives.  </w:t>
      </w:r>
    </w:p>
    <w:p w:rsidRPr="00DA38F0" w:rsidR="00043C32" w:rsidP="00DA38F0" w:rsidRDefault="00043C32" w14:paraId="03560D5E" w14:textId="77777777">
      <w:pPr>
        <w:pStyle w:val="ListParagraph"/>
        <w:numPr>
          <w:ilvl w:val="0"/>
          <w:numId w:val="4"/>
        </w:numPr>
        <w:tabs>
          <w:tab w:val="left" w:pos="-720"/>
        </w:tabs>
        <w:suppressAutoHyphens/>
        <w:spacing w:after="240"/>
        <w:contextualSpacing w:val="0"/>
        <w:rPr>
          <w:rFonts w:ascii="Times New Roman" w:hAnsi="Times New Roman"/>
          <w:b/>
          <w:sz w:val="22"/>
          <w:szCs w:val="22"/>
        </w:rPr>
      </w:pPr>
      <w:r w:rsidRPr="00DA38F0">
        <w:rPr>
          <w:rFonts w:ascii="Times New Roman" w:hAnsi="Times New Roman"/>
          <w:b/>
          <w:sz w:val="22"/>
          <w:szCs w:val="22"/>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 </w:t>
      </w:r>
    </w:p>
    <w:p w:rsidRPr="00DA38F0" w:rsidR="00E372BB" w:rsidP="00DA38F0" w:rsidRDefault="008F513A" w14:paraId="771CDFC0" w14:textId="329BC51B">
      <w:pPr>
        <w:pStyle w:val="ListParagraph"/>
        <w:tabs>
          <w:tab w:val="left" w:pos="-720"/>
        </w:tabs>
        <w:suppressAutoHyphens/>
        <w:spacing w:after="240"/>
        <w:contextualSpacing w:val="0"/>
        <w:rPr>
          <w:rFonts w:ascii="Times New Roman" w:hAnsi="Times New Roman"/>
          <w:sz w:val="22"/>
          <w:szCs w:val="22"/>
        </w:rPr>
      </w:pPr>
      <w:r>
        <w:rPr>
          <w:rFonts w:ascii="Times New Roman" w:hAnsi="Times New Roman"/>
          <w:sz w:val="22"/>
          <w:szCs w:val="22"/>
        </w:rPr>
        <w:t xml:space="preserve">The </w:t>
      </w:r>
      <w:r w:rsidRPr="00DA38F0" w:rsidR="008463A7">
        <w:rPr>
          <w:rFonts w:ascii="Times New Roman" w:hAnsi="Times New Roman"/>
          <w:sz w:val="22"/>
          <w:szCs w:val="22"/>
        </w:rPr>
        <w:t>I</w:t>
      </w:r>
      <w:r>
        <w:rPr>
          <w:rFonts w:ascii="Times New Roman" w:hAnsi="Times New Roman"/>
          <w:sz w:val="22"/>
          <w:szCs w:val="22"/>
        </w:rPr>
        <w:t>nternational and Foreign Language Education (I</w:t>
      </w:r>
      <w:r w:rsidRPr="00DA38F0" w:rsidR="008463A7">
        <w:rPr>
          <w:rFonts w:ascii="Times New Roman" w:hAnsi="Times New Roman"/>
          <w:sz w:val="22"/>
          <w:szCs w:val="22"/>
        </w:rPr>
        <w:t>FLE</w:t>
      </w:r>
      <w:r>
        <w:rPr>
          <w:rFonts w:ascii="Times New Roman" w:hAnsi="Times New Roman"/>
          <w:sz w:val="22"/>
          <w:szCs w:val="22"/>
        </w:rPr>
        <w:t>) office</w:t>
      </w:r>
      <w:r w:rsidRPr="00DA38F0" w:rsidR="008463A7">
        <w:rPr>
          <w:rFonts w:ascii="Times New Roman" w:hAnsi="Times New Roman"/>
          <w:sz w:val="22"/>
          <w:szCs w:val="22"/>
        </w:rPr>
        <w:t xml:space="preserve"> maximizes the use of technology in both its application and reporting processes</w:t>
      </w:r>
      <w:r w:rsidRPr="00DA38F0" w:rsidR="00416681">
        <w:rPr>
          <w:rFonts w:ascii="Times New Roman" w:hAnsi="Times New Roman"/>
          <w:sz w:val="22"/>
          <w:szCs w:val="22"/>
        </w:rPr>
        <w:t xml:space="preserve"> to reduce burden</w:t>
      </w:r>
      <w:r w:rsidRPr="00DA38F0" w:rsidR="008463A7">
        <w:rPr>
          <w:rFonts w:ascii="Times New Roman" w:hAnsi="Times New Roman"/>
          <w:sz w:val="22"/>
          <w:szCs w:val="22"/>
        </w:rPr>
        <w:t xml:space="preserve">. </w:t>
      </w:r>
      <w:r w:rsidRPr="00DA38F0" w:rsidR="00E372BB">
        <w:rPr>
          <w:rFonts w:ascii="Times New Roman" w:hAnsi="Times New Roman"/>
          <w:sz w:val="22"/>
          <w:szCs w:val="22"/>
        </w:rPr>
        <w:t xml:space="preserve">The information collection requires the electronic submission of applications using the Grants.gov website.  Submitting applications electronically reduces burden because applicants are not required to prepare and mail multiple hard copies of grant applications to the Department. </w:t>
      </w:r>
    </w:p>
    <w:p w:rsidRPr="00DA38F0" w:rsidR="00E372BB" w:rsidP="00DA38F0" w:rsidRDefault="00E372BB" w14:paraId="291A87F7" w14:textId="29C0CFD9">
      <w:pPr>
        <w:pStyle w:val="ListParagraph"/>
        <w:tabs>
          <w:tab w:val="left" w:pos="-720"/>
        </w:tabs>
        <w:suppressAutoHyphens/>
        <w:spacing w:after="240"/>
        <w:contextualSpacing w:val="0"/>
        <w:rPr>
          <w:rFonts w:ascii="Times New Roman" w:hAnsi="Times New Roman"/>
          <w:sz w:val="22"/>
          <w:szCs w:val="22"/>
        </w:rPr>
      </w:pPr>
      <w:r w:rsidRPr="00DA38F0">
        <w:rPr>
          <w:rFonts w:ascii="Times New Roman" w:hAnsi="Times New Roman"/>
          <w:sz w:val="22"/>
          <w:szCs w:val="22"/>
        </w:rPr>
        <w:t xml:space="preserve">IFLE uses the Department’s website to notify prospective applicants about the LRC program competition and deadline date.  We post the LRC application package (instructions and forms) on the site for more effective and efficient access.  Additionally, we post Frequently-Asked Questions about the program on the LRC program web page, which makes technical assistance to the public more immediate.  Technical assistance is enhanced by posting the abstracts of currently funded projects on the web site to help prospective applicants better understand the kinds of activities and projects that the LRC program supports.  </w:t>
      </w:r>
    </w:p>
    <w:p w:rsidRPr="00DA38F0" w:rsidR="00EE2EC5" w:rsidP="00DA38F0" w:rsidRDefault="008463A7" w14:paraId="770DC027" w14:textId="47468E0C">
      <w:pPr>
        <w:pStyle w:val="ListParagraph"/>
        <w:tabs>
          <w:tab w:val="left" w:pos="-720"/>
        </w:tabs>
        <w:suppressAutoHyphens/>
        <w:spacing w:after="360"/>
        <w:contextualSpacing w:val="0"/>
        <w:rPr>
          <w:rFonts w:ascii="Times New Roman" w:hAnsi="Times New Roman"/>
          <w:sz w:val="22"/>
          <w:szCs w:val="22"/>
        </w:rPr>
      </w:pPr>
      <w:r w:rsidRPr="00DA38F0">
        <w:rPr>
          <w:rFonts w:ascii="Times New Roman" w:hAnsi="Times New Roman"/>
          <w:sz w:val="22"/>
          <w:szCs w:val="22"/>
        </w:rPr>
        <w:t>Grantees use the International Resource Information System (IRIS), IFLE’s web-based performance reporting system, to complete annual and final performance reports</w:t>
      </w:r>
      <w:r w:rsidRPr="00DA38F0" w:rsidR="00A570D0">
        <w:rPr>
          <w:rFonts w:ascii="Times New Roman" w:hAnsi="Times New Roman"/>
          <w:sz w:val="22"/>
          <w:szCs w:val="22"/>
        </w:rPr>
        <w:t>, which also reduces burden</w:t>
      </w:r>
      <w:r w:rsidRPr="00DA38F0">
        <w:rPr>
          <w:rFonts w:ascii="Times New Roman" w:hAnsi="Times New Roman"/>
          <w:sz w:val="22"/>
          <w:szCs w:val="22"/>
        </w:rPr>
        <w:t>.</w:t>
      </w:r>
    </w:p>
    <w:p w:rsidRPr="00DA38F0" w:rsidR="00043C32" w:rsidP="00DA38F0" w:rsidRDefault="00043C32" w14:paraId="03560D5F" w14:textId="77777777">
      <w:pPr>
        <w:pStyle w:val="ListParagraph"/>
        <w:numPr>
          <w:ilvl w:val="0"/>
          <w:numId w:val="4"/>
        </w:numPr>
        <w:tabs>
          <w:tab w:val="left" w:pos="-720"/>
        </w:tabs>
        <w:suppressAutoHyphens/>
        <w:spacing w:after="240"/>
        <w:contextualSpacing w:val="0"/>
        <w:rPr>
          <w:rFonts w:ascii="Times New Roman" w:hAnsi="Times New Roman"/>
          <w:b/>
          <w:sz w:val="22"/>
          <w:szCs w:val="22"/>
        </w:rPr>
      </w:pPr>
      <w:r w:rsidRPr="00DA38F0">
        <w:rPr>
          <w:rFonts w:ascii="Times New Roman" w:hAnsi="Times New Roman"/>
          <w:b/>
          <w:sz w:val="22"/>
          <w:szCs w:val="22"/>
        </w:rPr>
        <w:t>Describe efforts to identify duplication.  Show specifically why any similar information already available cannot be used or modified for use for the purposes described in Item 2 above.</w:t>
      </w:r>
    </w:p>
    <w:p w:rsidRPr="00DA38F0" w:rsidR="00E372BB" w:rsidP="00DA38F0" w:rsidRDefault="00E372BB" w14:paraId="256832B1" w14:textId="4B1DDE45">
      <w:pPr>
        <w:pStyle w:val="BodyTextIndent"/>
        <w:tabs>
          <w:tab w:val="clear" w:pos="-720"/>
        </w:tabs>
        <w:suppressAutoHyphens w:val="0"/>
        <w:spacing w:after="240"/>
        <w:rPr>
          <w:sz w:val="22"/>
          <w:szCs w:val="22"/>
        </w:rPr>
      </w:pPr>
      <w:r w:rsidRPr="00DA38F0">
        <w:rPr>
          <w:sz w:val="22"/>
          <w:szCs w:val="22"/>
        </w:rPr>
        <w:t xml:space="preserve">There are no information collections available that duplicate the information that the LRC program application requests.  </w:t>
      </w:r>
      <w:proofErr w:type="gramStart"/>
      <w:r w:rsidRPr="00DA38F0">
        <w:rPr>
          <w:sz w:val="22"/>
          <w:szCs w:val="22"/>
        </w:rPr>
        <w:t>In regard to</w:t>
      </w:r>
      <w:proofErr w:type="gramEnd"/>
      <w:r w:rsidRPr="00DA38F0">
        <w:rPr>
          <w:sz w:val="22"/>
          <w:szCs w:val="22"/>
        </w:rPr>
        <w:t xml:space="preserve"> the uses listed in Item 2 above, there is no duplication elsewhere in the Federal </w:t>
      </w:r>
      <w:r w:rsidR="00C756D4">
        <w:rPr>
          <w:sz w:val="22"/>
          <w:szCs w:val="22"/>
        </w:rPr>
        <w:t>G</w:t>
      </w:r>
      <w:r w:rsidRPr="00DA38F0">
        <w:rPr>
          <w:sz w:val="22"/>
          <w:szCs w:val="22"/>
        </w:rPr>
        <w:t>overnment of IFLE program planning and oversight activities associated with this program.</w:t>
      </w:r>
    </w:p>
    <w:p w:rsidRPr="00DA38F0" w:rsidR="00E372BB" w:rsidP="00DA38F0" w:rsidRDefault="00E372BB" w14:paraId="62459410" w14:textId="296D83D9">
      <w:pPr>
        <w:pStyle w:val="BodyTextIndent"/>
        <w:tabs>
          <w:tab w:val="clear" w:pos="-720"/>
        </w:tabs>
        <w:suppressAutoHyphens w:val="0"/>
        <w:spacing w:after="360"/>
        <w:rPr>
          <w:sz w:val="22"/>
          <w:szCs w:val="22"/>
        </w:rPr>
      </w:pPr>
      <w:r w:rsidRPr="00DA38F0">
        <w:rPr>
          <w:sz w:val="22"/>
          <w:szCs w:val="22"/>
        </w:rPr>
        <w:t>The legislation, program regulations, and the respondents covered by this information collection are unique to the Language Resource Centers program.  No other similar programs exist in the Department, and no similar programs exist in other Federal agencies.</w:t>
      </w:r>
    </w:p>
    <w:p w:rsidRPr="00DA38F0" w:rsidR="00043C32" w:rsidP="00DA38F0" w:rsidRDefault="00043C32" w14:paraId="03560D60" w14:textId="77777777">
      <w:pPr>
        <w:pStyle w:val="ListParagraph"/>
        <w:numPr>
          <w:ilvl w:val="0"/>
          <w:numId w:val="4"/>
        </w:numPr>
        <w:spacing w:after="240"/>
        <w:contextualSpacing w:val="0"/>
        <w:rPr>
          <w:rFonts w:ascii="Times New Roman" w:hAnsi="Times New Roman"/>
          <w:b/>
          <w:sz w:val="22"/>
          <w:szCs w:val="22"/>
        </w:rPr>
      </w:pPr>
      <w:r w:rsidRPr="00DA38F0">
        <w:rPr>
          <w:rFonts w:ascii="Times New Roman" w:hAnsi="Times New Roman"/>
          <w:b/>
          <w:sz w:val="22"/>
          <w:szCs w:val="22"/>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DA38F0" w:rsidR="008463A7" w:rsidP="00DA38F0" w:rsidRDefault="00A63466" w14:paraId="0DEE238F" w14:textId="2FDEBD46">
      <w:pPr>
        <w:spacing w:after="360"/>
        <w:ind w:left="720"/>
        <w:rPr>
          <w:rFonts w:ascii="Times New Roman" w:hAnsi="Times New Roman"/>
          <w:sz w:val="22"/>
          <w:szCs w:val="22"/>
        </w:rPr>
      </w:pPr>
      <w:r w:rsidRPr="00DA38F0">
        <w:rPr>
          <w:rFonts w:ascii="Times New Roman" w:hAnsi="Times New Roman"/>
          <w:sz w:val="22"/>
          <w:szCs w:val="22"/>
        </w:rPr>
        <w:lastRenderedPageBreak/>
        <w:t xml:space="preserve">This </w:t>
      </w:r>
      <w:r w:rsidRPr="00DA38F0" w:rsidR="008463A7">
        <w:rPr>
          <w:rFonts w:ascii="Times New Roman" w:hAnsi="Times New Roman"/>
          <w:sz w:val="22"/>
          <w:szCs w:val="22"/>
        </w:rPr>
        <w:t xml:space="preserve">collection </w:t>
      </w:r>
      <w:r w:rsidRPr="00DA38F0" w:rsidR="00E372BB">
        <w:rPr>
          <w:rFonts w:ascii="Times New Roman" w:hAnsi="Times New Roman"/>
          <w:sz w:val="22"/>
          <w:szCs w:val="22"/>
        </w:rPr>
        <w:t xml:space="preserve">of information </w:t>
      </w:r>
      <w:r w:rsidRPr="00DA38F0" w:rsidR="008463A7">
        <w:rPr>
          <w:rFonts w:ascii="Times New Roman" w:hAnsi="Times New Roman"/>
          <w:sz w:val="22"/>
          <w:szCs w:val="22"/>
        </w:rPr>
        <w:t xml:space="preserve">does not </w:t>
      </w:r>
      <w:r w:rsidRPr="00DA38F0">
        <w:rPr>
          <w:rFonts w:ascii="Times New Roman" w:hAnsi="Times New Roman"/>
          <w:sz w:val="22"/>
          <w:szCs w:val="22"/>
        </w:rPr>
        <w:t>impact small businesses or</w:t>
      </w:r>
      <w:r w:rsidRPr="00DA38F0" w:rsidR="00E372BB">
        <w:rPr>
          <w:rFonts w:ascii="Times New Roman" w:hAnsi="Times New Roman"/>
          <w:sz w:val="22"/>
          <w:szCs w:val="22"/>
        </w:rPr>
        <w:t xml:space="preserve"> other small</w:t>
      </w:r>
      <w:r w:rsidRPr="00DA38F0">
        <w:rPr>
          <w:rFonts w:ascii="Times New Roman" w:hAnsi="Times New Roman"/>
          <w:sz w:val="22"/>
          <w:szCs w:val="22"/>
        </w:rPr>
        <w:t xml:space="preserve"> entities.</w:t>
      </w:r>
    </w:p>
    <w:p w:rsidRPr="00DA38F0" w:rsidR="00043C32" w:rsidP="00DA38F0" w:rsidRDefault="00043C32" w14:paraId="03560D61" w14:textId="77777777">
      <w:pPr>
        <w:pStyle w:val="ListParagraph"/>
        <w:numPr>
          <w:ilvl w:val="0"/>
          <w:numId w:val="4"/>
        </w:numPr>
        <w:tabs>
          <w:tab w:val="left" w:pos="-720"/>
        </w:tabs>
        <w:suppressAutoHyphens/>
        <w:spacing w:after="240"/>
        <w:contextualSpacing w:val="0"/>
        <w:rPr>
          <w:rFonts w:ascii="Times New Roman" w:hAnsi="Times New Roman"/>
          <w:b/>
          <w:sz w:val="22"/>
          <w:szCs w:val="22"/>
        </w:rPr>
      </w:pPr>
      <w:r w:rsidRPr="00DA38F0">
        <w:rPr>
          <w:rFonts w:ascii="Times New Roman" w:hAnsi="Times New Roman"/>
          <w:b/>
          <w:sz w:val="22"/>
          <w:szCs w:val="22"/>
        </w:rPr>
        <w:t>Describe the consequences to Federal program or policy activities if the collection is not conducted or is conducted less frequently, as well as any technical or legal obstacles to reducing burden.</w:t>
      </w:r>
    </w:p>
    <w:p w:rsidRPr="00DA38F0" w:rsidR="00171761" w:rsidP="00DA38F0" w:rsidRDefault="00E372BB" w14:paraId="5B2C136F" w14:textId="7E9CBE25">
      <w:pPr>
        <w:pStyle w:val="BodyTextIndent"/>
        <w:spacing w:after="240"/>
        <w:rPr>
          <w:sz w:val="22"/>
          <w:szCs w:val="22"/>
        </w:rPr>
      </w:pPr>
      <w:r w:rsidRPr="00DA38F0">
        <w:rPr>
          <w:sz w:val="22"/>
          <w:szCs w:val="22"/>
        </w:rPr>
        <w:t xml:space="preserve">If the collection is not conducted, ED cannot </w:t>
      </w:r>
      <w:r w:rsidR="00EF5726">
        <w:rPr>
          <w:sz w:val="22"/>
          <w:szCs w:val="22"/>
        </w:rPr>
        <w:t>carry out</w:t>
      </w:r>
      <w:r w:rsidRPr="00DA38F0">
        <w:rPr>
          <w:sz w:val="22"/>
          <w:szCs w:val="22"/>
        </w:rPr>
        <w:t xml:space="preserve"> its grant making activities in accordance with approved schedules.  </w:t>
      </w:r>
    </w:p>
    <w:p w:rsidR="00171761" w:rsidP="00DA38F0" w:rsidRDefault="001501E3" w14:paraId="26A15C94" w14:textId="2D68BD6C">
      <w:pPr>
        <w:pStyle w:val="ListParagraph"/>
        <w:tabs>
          <w:tab w:val="left" w:pos="-720"/>
        </w:tabs>
        <w:suppressAutoHyphens/>
        <w:spacing w:after="360"/>
        <w:contextualSpacing w:val="0"/>
        <w:rPr>
          <w:sz w:val="22"/>
          <w:szCs w:val="22"/>
        </w:rPr>
      </w:pPr>
      <w:r w:rsidRPr="00DA38F0">
        <w:rPr>
          <w:rFonts w:ascii="Times New Roman" w:hAnsi="Times New Roman"/>
          <w:sz w:val="22"/>
          <w:szCs w:val="22"/>
        </w:rPr>
        <w:t>The information requested/collected is as minimal as possible in order to reduce burden on applicants while simultaneously collecting what is sufficient and necessary to ensure that all grant activities are conducted well, and that the recommended projects are of high quality, to the greatest extent possible. Grant activities include the publication of the competition notice, technical assistance to applicants, the peer review of applications, preparation of the funding slate for transmittal and approval, Congressional notifications, and making the grant awards in accordance with our approved schedules.</w:t>
      </w:r>
    </w:p>
    <w:p w:rsidRPr="00DA38F0" w:rsidR="00171761" w:rsidP="00DA38F0" w:rsidRDefault="00043C32" w14:paraId="73FA3580" w14:textId="111CD703">
      <w:pPr>
        <w:pStyle w:val="BodyTextIndent"/>
        <w:numPr>
          <w:ilvl w:val="0"/>
          <w:numId w:val="4"/>
        </w:numPr>
        <w:spacing w:after="120"/>
        <w:rPr>
          <w:b/>
          <w:sz w:val="22"/>
          <w:szCs w:val="22"/>
        </w:rPr>
      </w:pPr>
      <w:r w:rsidRPr="00DA38F0">
        <w:rPr>
          <w:b/>
          <w:sz w:val="22"/>
          <w:szCs w:val="22"/>
        </w:rPr>
        <w:t>Explain any special circumstances that would cause an information collection to be conducted in a manner:</w:t>
      </w:r>
    </w:p>
    <w:p w:rsidRPr="00DA38F0" w:rsidR="00171761" w:rsidP="00DA38F0" w:rsidRDefault="00043C32" w14:paraId="7906174D" w14:textId="1A714D7B">
      <w:pPr>
        <w:pStyle w:val="BodyTextIndent"/>
        <w:numPr>
          <w:ilvl w:val="0"/>
          <w:numId w:val="9"/>
        </w:numPr>
        <w:spacing w:after="120"/>
        <w:rPr>
          <w:b/>
          <w:sz w:val="22"/>
          <w:szCs w:val="22"/>
        </w:rPr>
      </w:pPr>
      <w:r w:rsidRPr="00DA38F0">
        <w:rPr>
          <w:b/>
          <w:sz w:val="22"/>
          <w:szCs w:val="22"/>
        </w:rPr>
        <w:t>requiring respondents to report information to the agency more often than quarterly;</w:t>
      </w:r>
    </w:p>
    <w:p w:rsidRPr="00DA38F0" w:rsidR="00171761" w:rsidP="00DA38F0" w:rsidRDefault="00043C32" w14:paraId="79B8D656" w14:textId="07B634CA">
      <w:pPr>
        <w:pStyle w:val="BodyTextIndent"/>
        <w:numPr>
          <w:ilvl w:val="0"/>
          <w:numId w:val="9"/>
        </w:numPr>
        <w:spacing w:after="120"/>
        <w:rPr>
          <w:b/>
          <w:sz w:val="22"/>
          <w:szCs w:val="22"/>
        </w:rPr>
      </w:pPr>
      <w:r w:rsidRPr="00DA38F0">
        <w:rPr>
          <w:b/>
          <w:sz w:val="22"/>
          <w:szCs w:val="22"/>
        </w:rPr>
        <w:t>requiring respondents to prepare a written response to a collection of information in fewer than 30 days after receipt of it;</w:t>
      </w:r>
    </w:p>
    <w:p w:rsidRPr="00DA38F0" w:rsidR="00171761" w:rsidP="00DA38F0" w:rsidRDefault="00043C32" w14:paraId="43039AB3" w14:textId="7413D956">
      <w:pPr>
        <w:pStyle w:val="BodyTextIndent"/>
        <w:numPr>
          <w:ilvl w:val="0"/>
          <w:numId w:val="9"/>
        </w:numPr>
        <w:spacing w:after="120"/>
        <w:rPr>
          <w:b/>
          <w:sz w:val="22"/>
          <w:szCs w:val="22"/>
        </w:rPr>
      </w:pPr>
      <w:r w:rsidRPr="00DA38F0">
        <w:rPr>
          <w:b/>
          <w:sz w:val="22"/>
          <w:szCs w:val="22"/>
        </w:rPr>
        <w:t>requiring respondents to submit more than an original and two copies of any document;</w:t>
      </w:r>
    </w:p>
    <w:p w:rsidRPr="00DA38F0" w:rsidR="00171761" w:rsidP="00DA38F0" w:rsidRDefault="00043C32" w14:paraId="7C52AFCC" w14:textId="38859BAC">
      <w:pPr>
        <w:pStyle w:val="BodyTextIndent"/>
        <w:numPr>
          <w:ilvl w:val="0"/>
          <w:numId w:val="9"/>
        </w:numPr>
        <w:spacing w:after="120"/>
        <w:rPr>
          <w:b/>
          <w:sz w:val="22"/>
          <w:szCs w:val="22"/>
        </w:rPr>
      </w:pPr>
      <w:r w:rsidRPr="00DA38F0">
        <w:rPr>
          <w:b/>
          <w:sz w:val="22"/>
          <w:szCs w:val="22"/>
        </w:rPr>
        <w:t>requiring respondents to retain records, other than health, medical, government contract, grant-in-aid, or tax records for more than three years;</w:t>
      </w:r>
    </w:p>
    <w:p w:rsidRPr="00DA38F0" w:rsidR="00171761" w:rsidP="00DA38F0" w:rsidRDefault="00043C32" w14:paraId="0B2F1F19" w14:textId="78B1F0D2">
      <w:pPr>
        <w:pStyle w:val="BodyTextIndent"/>
        <w:numPr>
          <w:ilvl w:val="0"/>
          <w:numId w:val="9"/>
        </w:numPr>
        <w:spacing w:after="120"/>
        <w:rPr>
          <w:b/>
          <w:sz w:val="22"/>
          <w:szCs w:val="22"/>
        </w:rPr>
      </w:pPr>
      <w:r w:rsidRPr="00DA38F0">
        <w:rPr>
          <w:b/>
          <w:sz w:val="22"/>
          <w:szCs w:val="22"/>
        </w:rPr>
        <w:t>in connection with a statistical survey, that is not designed to produce valid and reliable results than can be generalized to the universe of study;</w:t>
      </w:r>
    </w:p>
    <w:p w:rsidRPr="00DA38F0" w:rsidR="00171761" w:rsidP="00DA38F0" w:rsidRDefault="00043C32" w14:paraId="29C8AA78" w14:textId="5D70923C">
      <w:pPr>
        <w:pStyle w:val="BodyTextIndent"/>
        <w:numPr>
          <w:ilvl w:val="0"/>
          <w:numId w:val="9"/>
        </w:numPr>
        <w:spacing w:after="120"/>
        <w:rPr>
          <w:b/>
          <w:sz w:val="22"/>
          <w:szCs w:val="22"/>
        </w:rPr>
      </w:pPr>
      <w:r w:rsidRPr="00DA38F0">
        <w:rPr>
          <w:b/>
          <w:sz w:val="22"/>
          <w:szCs w:val="22"/>
        </w:rPr>
        <w:t>requiring the use of a statistical data classification that has not been reviewed and approved by OMB;</w:t>
      </w:r>
    </w:p>
    <w:p w:rsidRPr="00DA38F0" w:rsidR="00171761" w:rsidP="00DA38F0" w:rsidRDefault="00043C32" w14:paraId="553EAD24" w14:textId="42A701DB">
      <w:pPr>
        <w:pStyle w:val="BodyTextIndent"/>
        <w:numPr>
          <w:ilvl w:val="0"/>
          <w:numId w:val="9"/>
        </w:numPr>
        <w:spacing w:after="120"/>
        <w:rPr>
          <w:b/>
          <w:sz w:val="22"/>
          <w:szCs w:val="22"/>
        </w:rPr>
      </w:pPr>
      <w:r w:rsidRPr="00DA38F0">
        <w:rPr>
          <w:b/>
          <w:sz w:val="22"/>
          <w:szCs w:val="22"/>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DA38F0" w:rsidR="00043C32" w:rsidP="00DA38F0" w:rsidRDefault="00043C32" w14:paraId="03560D72" w14:textId="77777777">
      <w:pPr>
        <w:pStyle w:val="BodyTextIndent"/>
        <w:numPr>
          <w:ilvl w:val="0"/>
          <w:numId w:val="9"/>
        </w:numPr>
        <w:spacing w:after="240"/>
        <w:rPr>
          <w:b/>
          <w:sz w:val="22"/>
          <w:szCs w:val="22"/>
        </w:rPr>
      </w:pPr>
      <w:r w:rsidRPr="00DA38F0">
        <w:rPr>
          <w:b/>
          <w:sz w:val="22"/>
          <w:szCs w:val="22"/>
        </w:rPr>
        <w:t>requiring respondents to submit proprietary trade secrets, or other confidential information unless the agency can demonstrate that it has instituted procedures to protect the information’s confidentiality to the extent permitted by law.</w:t>
      </w:r>
    </w:p>
    <w:p w:rsidRPr="00DA38F0" w:rsidR="00E372BB" w:rsidP="00DA38F0" w:rsidRDefault="00E372BB" w14:paraId="63C10DBE" w14:textId="77777777">
      <w:pPr>
        <w:tabs>
          <w:tab w:val="left" w:pos="-720"/>
        </w:tabs>
        <w:suppressAutoHyphens/>
        <w:spacing w:after="360"/>
        <w:ind w:left="720"/>
        <w:rPr>
          <w:rFonts w:ascii="Times New Roman" w:hAnsi="Times New Roman"/>
          <w:sz w:val="22"/>
          <w:szCs w:val="22"/>
        </w:rPr>
      </w:pPr>
      <w:r w:rsidRPr="00DA38F0">
        <w:rPr>
          <w:rFonts w:ascii="Times New Roman" w:hAnsi="Times New Roman"/>
          <w:sz w:val="22"/>
          <w:szCs w:val="22"/>
        </w:rPr>
        <w:t>The information collection does not involve any special circumstances that would impose these requirements and conditions on respondents.</w:t>
      </w:r>
    </w:p>
    <w:p w:rsidRPr="00DA38F0" w:rsidR="00043C32" w:rsidP="00DA38F0" w:rsidRDefault="00043C32" w14:paraId="03560D73" w14:textId="77777777">
      <w:pPr>
        <w:pStyle w:val="ListParagraph"/>
        <w:numPr>
          <w:ilvl w:val="0"/>
          <w:numId w:val="5"/>
        </w:numPr>
        <w:tabs>
          <w:tab w:val="left" w:pos="-720"/>
          <w:tab w:val="left" w:pos="375"/>
        </w:tabs>
        <w:suppressAutoHyphens/>
        <w:spacing w:after="240"/>
        <w:contextualSpacing w:val="0"/>
        <w:rPr>
          <w:rFonts w:ascii="Times New Roman" w:hAnsi="Times New Roman"/>
          <w:b/>
          <w:sz w:val="22"/>
          <w:szCs w:val="22"/>
        </w:rPr>
      </w:pPr>
      <w:r w:rsidRPr="00DA38F0">
        <w:rPr>
          <w:rFonts w:ascii="Times New Roman" w:hAnsi="Times New Roman"/>
          <w:b/>
          <w:sz w:val="22"/>
          <w:szCs w:val="22"/>
        </w:rPr>
        <w:t xml:space="preserve">As applicable, state that the Department has published the 60 and 30 Federal Register notices as required by 5 CFR 1320.8(d), soliciting comments on the information collection prior to submission to OMB.  Summarize public comments received in response to that </w:t>
      </w:r>
      <w:r w:rsidRPr="00DA38F0">
        <w:rPr>
          <w:rFonts w:ascii="Times New Roman" w:hAnsi="Times New Roman"/>
          <w:b/>
          <w:sz w:val="22"/>
          <w:szCs w:val="22"/>
        </w:rPr>
        <w:lastRenderedPageBreak/>
        <w:t>notice and describe actions taken by the agency in response to these comments.  Specifically address comments received on cost and hour burden.</w:t>
      </w:r>
    </w:p>
    <w:p w:rsidRPr="00DA38F0" w:rsidR="00043C32" w:rsidP="00DA38F0" w:rsidRDefault="00043C32" w14:paraId="03560D75" w14:textId="77777777">
      <w:pPr>
        <w:pStyle w:val="BodyTextIndent"/>
        <w:spacing w:after="240"/>
        <w:rPr>
          <w:rStyle w:val="a"/>
          <w:b/>
          <w:sz w:val="22"/>
          <w:szCs w:val="22"/>
        </w:rPr>
      </w:pPr>
      <w:r w:rsidRPr="00DA38F0">
        <w:rPr>
          <w:rStyle w:val="a"/>
          <w:b/>
          <w:sz w:val="22"/>
          <w:szCs w:val="22"/>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DA38F0" w:rsidR="00043C32" w:rsidP="00DA38F0" w:rsidRDefault="00043C32" w14:paraId="03560D77" w14:textId="77777777">
      <w:pPr>
        <w:pStyle w:val="BodyTextIndent2"/>
        <w:spacing w:after="240"/>
        <w:rPr>
          <w:rStyle w:val="a"/>
          <w:sz w:val="22"/>
          <w:szCs w:val="22"/>
        </w:rPr>
      </w:pPr>
      <w:r w:rsidRPr="00DA38F0">
        <w:rPr>
          <w:rStyle w:val="a"/>
          <w:sz w:val="22"/>
          <w:szCs w:val="22"/>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DA38F0" w:rsidR="00E372BB" w:rsidP="00DA38F0" w:rsidRDefault="00E372BB" w14:paraId="16FDF300" w14:textId="77777777">
      <w:pPr>
        <w:pStyle w:val="BodyTextIndent"/>
        <w:tabs>
          <w:tab w:val="clear" w:pos="-720"/>
        </w:tabs>
        <w:suppressAutoHyphens w:val="0"/>
        <w:spacing w:after="240"/>
        <w:rPr>
          <w:sz w:val="22"/>
          <w:szCs w:val="22"/>
        </w:rPr>
      </w:pPr>
      <w:r w:rsidRPr="00DA38F0">
        <w:rPr>
          <w:sz w:val="22"/>
          <w:szCs w:val="22"/>
        </w:rPr>
        <w:t>IFLE periodically meets with representatives from professional organizations such as the National Council of Organizations of Less Commonly Taught Languages, the Center for Applied Linguistics, the National Foreign Language Center at the University of Maryland, and area studies associations.  These organizations provide feedback on the clarity of the instructions and forms, and whether the application forms and instructions solicit information that meets the purposes of the Title VI legislation, program regulations, and announced priorities.</w:t>
      </w:r>
    </w:p>
    <w:p w:rsidRPr="00DA38F0" w:rsidR="00E372BB" w:rsidP="00DA38F0" w:rsidRDefault="00E372BB" w14:paraId="26FC58CC" w14:textId="5E37990F">
      <w:pPr>
        <w:spacing w:after="240"/>
        <w:ind w:left="720"/>
        <w:rPr>
          <w:rFonts w:ascii="Times New Roman" w:hAnsi="Times New Roman"/>
          <w:sz w:val="22"/>
          <w:szCs w:val="22"/>
        </w:rPr>
      </w:pPr>
      <w:r w:rsidRPr="00DA38F0">
        <w:rPr>
          <w:rFonts w:ascii="Times New Roman" w:hAnsi="Times New Roman"/>
          <w:sz w:val="22"/>
          <w:szCs w:val="22"/>
        </w:rPr>
        <w:t xml:space="preserve">Ongoing technical assistance, project monitoring, and site visits are the primary mechanisms we use to answer questions about the LRC application instructions and to gauge whether or not application materials are useful and do not impose an unrealistic burden on respondents.  Day-to-day technical assistance is conducted by phone conversations, e-mails, </w:t>
      </w:r>
      <w:r w:rsidR="00EF5726">
        <w:rPr>
          <w:rFonts w:ascii="Times New Roman" w:hAnsi="Times New Roman"/>
          <w:sz w:val="22"/>
          <w:szCs w:val="22"/>
        </w:rPr>
        <w:t xml:space="preserve">and </w:t>
      </w:r>
      <w:r w:rsidRPr="00DA38F0">
        <w:rPr>
          <w:rFonts w:ascii="Times New Roman" w:hAnsi="Times New Roman"/>
          <w:sz w:val="22"/>
          <w:szCs w:val="22"/>
        </w:rPr>
        <w:t xml:space="preserve">office visits.  </w:t>
      </w:r>
    </w:p>
    <w:p w:rsidRPr="00DA38F0" w:rsidR="00E372BB" w:rsidP="00DA38F0" w:rsidRDefault="00E372BB" w14:paraId="7AC76BE8" w14:textId="77777777">
      <w:pPr>
        <w:spacing w:after="240"/>
        <w:ind w:left="720"/>
        <w:rPr>
          <w:rFonts w:ascii="Times New Roman" w:hAnsi="Times New Roman"/>
          <w:sz w:val="22"/>
          <w:szCs w:val="22"/>
        </w:rPr>
      </w:pPr>
      <w:r w:rsidRPr="00DA38F0">
        <w:rPr>
          <w:rFonts w:ascii="Times New Roman" w:hAnsi="Times New Roman"/>
          <w:sz w:val="22"/>
          <w:szCs w:val="22"/>
        </w:rPr>
        <w:t xml:space="preserve">These consultations and activities collectively inform IFLE about the viability of the application materials we use for the LRC program.   The professionals, administrators, and organizations cited above do not have adverse comments about the information being requested or about the time it takes to complete a grant application. </w:t>
      </w:r>
    </w:p>
    <w:p w:rsidRPr="00DA38F0" w:rsidR="00E372BB" w:rsidP="00DA38F0" w:rsidRDefault="001501E3" w14:paraId="06889037" w14:textId="43B04018">
      <w:pPr>
        <w:spacing w:after="360"/>
        <w:ind w:left="720"/>
        <w:rPr>
          <w:rFonts w:ascii="Times New Roman" w:hAnsi="Times New Roman"/>
          <w:sz w:val="22"/>
          <w:szCs w:val="22"/>
        </w:rPr>
      </w:pPr>
      <w:r>
        <w:rPr>
          <w:rFonts w:ascii="Times New Roman" w:hAnsi="Times New Roman"/>
          <w:sz w:val="22"/>
          <w:szCs w:val="22"/>
        </w:rPr>
        <w:t>As required by 5 CFR 1320.8(d)</w:t>
      </w:r>
      <w:r w:rsidRPr="00DA38F0" w:rsidR="00E372BB">
        <w:rPr>
          <w:rFonts w:ascii="Times New Roman" w:hAnsi="Times New Roman"/>
          <w:sz w:val="22"/>
          <w:szCs w:val="22"/>
        </w:rPr>
        <w:t xml:space="preserve"> and the Streamlined Clearance Process for Discretionary Grant Applications (1894-0001)</w:t>
      </w:r>
      <w:r>
        <w:rPr>
          <w:rFonts w:ascii="Times New Roman" w:hAnsi="Times New Roman"/>
          <w:sz w:val="22"/>
          <w:szCs w:val="22"/>
        </w:rPr>
        <w:t>,</w:t>
      </w:r>
      <w:r w:rsidRPr="00DA38F0" w:rsidR="00E372BB">
        <w:rPr>
          <w:rFonts w:ascii="Times New Roman" w:hAnsi="Times New Roman"/>
          <w:sz w:val="22"/>
          <w:szCs w:val="22"/>
        </w:rPr>
        <w:t xml:space="preserve"> the Department will publish one 30-day notice in the Federal Register to solicit public comments on this information collection</w:t>
      </w:r>
      <w:r>
        <w:rPr>
          <w:rFonts w:ascii="Times New Roman" w:hAnsi="Times New Roman"/>
          <w:sz w:val="22"/>
          <w:szCs w:val="22"/>
        </w:rPr>
        <w:t>.</w:t>
      </w:r>
    </w:p>
    <w:p w:rsidRPr="00DA38F0" w:rsidR="00043C32" w:rsidP="00DA38F0" w:rsidRDefault="00043C32" w14:paraId="03560D78" w14:textId="77777777">
      <w:pPr>
        <w:pStyle w:val="ListParagraph"/>
        <w:numPr>
          <w:ilvl w:val="0"/>
          <w:numId w:val="5"/>
        </w:numPr>
        <w:tabs>
          <w:tab w:val="left" w:pos="-720"/>
        </w:tabs>
        <w:suppressAutoHyphens/>
        <w:spacing w:after="240"/>
        <w:contextualSpacing w:val="0"/>
        <w:rPr>
          <w:rStyle w:val="a"/>
          <w:rFonts w:ascii="Times New Roman" w:hAnsi="Times New Roman"/>
          <w:b/>
          <w:sz w:val="22"/>
          <w:szCs w:val="22"/>
        </w:rPr>
      </w:pPr>
      <w:r w:rsidRPr="00DA38F0">
        <w:rPr>
          <w:rStyle w:val="a"/>
          <w:rFonts w:ascii="Times New Roman" w:hAnsi="Times New Roman"/>
          <w:b/>
          <w:sz w:val="22"/>
          <w:szCs w:val="22"/>
        </w:rPr>
        <w:t>Explain any decision to provide any payment or gift to respondents, other than remuneration of contractors or grantees with meaningful justification.</w:t>
      </w:r>
    </w:p>
    <w:p w:rsidRPr="00DA38F0" w:rsidR="00E372BB" w:rsidP="00DA38F0" w:rsidRDefault="001501E3" w14:paraId="2B6E4293" w14:textId="111557F4">
      <w:pPr>
        <w:pStyle w:val="BodyTextIndent"/>
        <w:spacing w:after="360"/>
        <w:rPr>
          <w:sz w:val="22"/>
          <w:szCs w:val="22"/>
        </w:rPr>
      </w:pPr>
      <w:r>
        <w:rPr>
          <w:sz w:val="22"/>
          <w:szCs w:val="22"/>
        </w:rPr>
        <w:t>N</w:t>
      </w:r>
      <w:r w:rsidRPr="00DA38F0" w:rsidR="00E372BB">
        <w:rPr>
          <w:sz w:val="22"/>
          <w:szCs w:val="22"/>
        </w:rPr>
        <w:t xml:space="preserve">o payments or gifts </w:t>
      </w:r>
      <w:r>
        <w:rPr>
          <w:sz w:val="22"/>
          <w:szCs w:val="22"/>
        </w:rPr>
        <w:t xml:space="preserve">are made </w:t>
      </w:r>
      <w:r w:rsidRPr="00DA38F0" w:rsidR="00E372BB">
        <w:rPr>
          <w:sz w:val="22"/>
          <w:szCs w:val="22"/>
        </w:rPr>
        <w:t xml:space="preserve">to respondents. </w:t>
      </w:r>
    </w:p>
    <w:p w:rsidRPr="00DA38F0" w:rsidR="00043C32" w:rsidP="00DA38F0" w:rsidRDefault="00043C32" w14:paraId="03560D79" w14:textId="77777777">
      <w:pPr>
        <w:pStyle w:val="ListParagraph"/>
        <w:numPr>
          <w:ilvl w:val="0"/>
          <w:numId w:val="5"/>
        </w:numPr>
        <w:tabs>
          <w:tab w:val="left" w:pos="-720"/>
        </w:tabs>
        <w:suppressAutoHyphens/>
        <w:spacing w:after="240"/>
        <w:ind w:hanging="547"/>
        <w:contextualSpacing w:val="0"/>
        <w:rPr>
          <w:rFonts w:ascii="Times New Roman" w:hAnsi="Times New Roman"/>
          <w:b/>
          <w:sz w:val="22"/>
          <w:szCs w:val="22"/>
        </w:rPr>
      </w:pPr>
      <w:r w:rsidRPr="00DA38F0">
        <w:rPr>
          <w:rFonts w:ascii="Times New Roman" w:hAnsi="Times New Roman"/>
          <w:b/>
          <w:sz w:val="22"/>
          <w:szCs w:val="22"/>
        </w:rPr>
        <w:t xml:space="preserve">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t>
      </w:r>
      <w:r w:rsidRPr="00DA38F0">
        <w:rPr>
          <w:rFonts w:ascii="Times New Roman" w:hAnsi="Times New Roman"/>
          <w:b/>
          <w:sz w:val="22"/>
          <w:szCs w:val="22"/>
        </w:rPr>
        <w:lastRenderedPageBreak/>
        <w:t>with a legal citation that authorizes the pledge of confidentiality should be provided.</w:t>
      </w:r>
      <w:r w:rsidRPr="00DA38F0">
        <w:rPr>
          <w:rStyle w:val="FootnoteReference"/>
          <w:rFonts w:ascii="Times New Roman" w:hAnsi="Times New Roman"/>
          <w:b/>
          <w:sz w:val="22"/>
          <w:szCs w:val="22"/>
        </w:rPr>
        <w:footnoteReference w:id="2"/>
      </w:r>
      <w:r w:rsidRPr="00DA38F0">
        <w:rPr>
          <w:rFonts w:ascii="Times New Roman" w:hAnsi="Times New Roman"/>
          <w:b/>
          <w:sz w:val="22"/>
          <w:szCs w:val="22"/>
        </w:rPr>
        <w:t xml:space="preserve"> If the collection is subject to the Privacy Act, the Privacy Act statement is deemed sufficient with respect to confidentiality. If there is no expectation of confidentiality, simply state that the Department makes no pledge about the confidentially of the data.</w:t>
      </w:r>
    </w:p>
    <w:p w:rsidRPr="00DA38F0" w:rsidR="00E372BB" w:rsidP="00DA38F0" w:rsidRDefault="00E372BB" w14:paraId="15BC41BF" w14:textId="77777777">
      <w:pPr>
        <w:pStyle w:val="BodyTextIndent"/>
        <w:spacing w:after="360"/>
        <w:rPr>
          <w:sz w:val="22"/>
          <w:szCs w:val="22"/>
        </w:rPr>
      </w:pPr>
      <w:r w:rsidRPr="00DA38F0">
        <w:rPr>
          <w:sz w:val="22"/>
          <w:szCs w:val="22"/>
        </w:rPr>
        <w:t xml:space="preserve">Assurances of confidentiality related to this information collection are covered under the Privacy Act. </w:t>
      </w:r>
    </w:p>
    <w:p w:rsidRPr="00DA38F0" w:rsidR="00043C32" w:rsidP="00DA38F0" w:rsidRDefault="00043C32" w14:paraId="03560D7A" w14:textId="77777777">
      <w:pPr>
        <w:pStyle w:val="ListParagraph"/>
        <w:numPr>
          <w:ilvl w:val="0"/>
          <w:numId w:val="5"/>
        </w:numPr>
        <w:tabs>
          <w:tab w:val="left" w:pos="-720"/>
        </w:tabs>
        <w:suppressAutoHyphens/>
        <w:spacing w:after="240"/>
        <w:ind w:hanging="540"/>
        <w:contextualSpacing w:val="0"/>
        <w:rPr>
          <w:rFonts w:ascii="Times New Roman" w:hAnsi="Times New Roman"/>
          <w:b/>
          <w:sz w:val="22"/>
          <w:szCs w:val="22"/>
        </w:rPr>
      </w:pPr>
      <w:r w:rsidRPr="00DA38F0">
        <w:rPr>
          <w:rFonts w:ascii="Times New Roman" w:hAnsi="Times New Roman"/>
          <w:b/>
          <w:sz w:val="22"/>
          <w:szCs w:val="22"/>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DA38F0" w:rsidR="00A56AE7" w:rsidP="00DA38F0" w:rsidRDefault="00A56AE7" w14:paraId="7542A8EC" w14:textId="00C1F2FD">
      <w:pPr>
        <w:pStyle w:val="ListParagraph"/>
        <w:tabs>
          <w:tab w:val="left" w:pos="-720"/>
        </w:tabs>
        <w:suppressAutoHyphens/>
        <w:spacing w:after="360"/>
        <w:contextualSpacing w:val="0"/>
        <w:rPr>
          <w:rFonts w:ascii="Times New Roman" w:hAnsi="Times New Roman"/>
          <w:sz w:val="22"/>
          <w:szCs w:val="22"/>
        </w:rPr>
      </w:pPr>
      <w:r w:rsidRPr="00DA38F0">
        <w:rPr>
          <w:rFonts w:ascii="Times New Roman" w:hAnsi="Times New Roman"/>
          <w:sz w:val="22"/>
          <w:szCs w:val="22"/>
        </w:rPr>
        <w:t xml:space="preserve">No questions of a sensitive nature </w:t>
      </w:r>
      <w:r w:rsidRPr="00DA38F0" w:rsidR="00315C2D">
        <w:rPr>
          <w:rFonts w:ascii="Times New Roman" w:hAnsi="Times New Roman"/>
          <w:sz w:val="22"/>
          <w:szCs w:val="22"/>
        </w:rPr>
        <w:t>are asked.</w:t>
      </w:r>
    </w:p>
    <w:p w:rsidRPr="00DA38F0" w:rsidR="00171761" w:rsidP="00DA38F0" w:rsidRDefault="00043C32" w14:paraId="2E970B42" w14:textId="1C2A3CDF">
      <w:pPr>
        <w:pStyle w:val="ListParagraph"/>
        <w:numPr>
          <w:ilvl w:val="0"/>
          <w:numId w:val="5"/>
        </w:numPr>
        <w:tabs>
          <w:tab w:val="left" w:pos="-720"/>
        </w:tabs>
        <w:suppressAutoHyphens/>
        <w:spacing w:after="240"/>
        <w:ind w:hanging="540"/>
        <w:contextualSpacing w:val="0"/>
        <w:rPr>
          <w:rStyle w:val="a"/>
          <w:rFonts w:ascii="Times New Roman" w:hAnsi="Times New Roman"/>
          <w:b/>
          <w:sz w:val="22"/>
          <w:szCs w:val="22"/>
        </w:rPr>
      </w:pPr>
      <w:r w:rsidRPr="00DA38F0">
        <w:rPr>
          <w:rStyle w:val="a"/>
          <w:rFonts w:ascii="Times New Roman" w:hAnsi="Times New Roman"/>
          <w:b/>
          <w:sz w:val="22"/>
          <w:szCs w:val="22"/>
        </w:rPr>
        <w:t>Provide estimates of the hour burden of the collection of information.  The statement should:</w:t>
      </w:r>
    </w:p>
    <w:p w:rsidRPr="00DA38F0" w:rsidR="00171761" w:rsidP="00DA38F0" w:rsidRDefault="00043C32" w14:paraId="1C59835D" w14:textId="1B6DFB33">
      <w:pPr>
        <w:numPr>
          <w:ilvl w:val="0"/>
          <w:numId w:val="8"/>
        </w:numPr>
        <w:tabs>
          <w:tab w:val="left" w:pos="-720"/>
          <w:tab w:val="left" w:pos="1247"/>
        </w:tabs>
        <w:suppressAutoHyphens/>
        <w:spacing w:after="240"/>
        <w:rPr>
          <w:rStyle w:val="a"/>
          <w:rFonts w:ascii="Times New Roman" w:hAnsi="Times New Roman"/>
          <w:b/>
          <w:sz w:val="22"/>
          <w:szCs w:val="22"/>
        </w:rPr>
      </w:pPr>
      <w:r w:rsidRPr="00DA38F0">
        <w:rPr>
          <w:rStyle w:val="a"/>
          <w:rFonts w:ascii="Times New Roman" w:hAnsi="Times New Roman"/>
          <w:b/>
          <w:sz w:val="22"/>
          <w:szCs w:val="22"/>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DA38F0" w:rsidR="00171761" w:rsidP="00DA38F0" w:rsidRDefault="00043C32" w14:paraId="31115084" w14:textId="654A923E">
      <w:pPr>
        <w:numPr>
          <w:ilvl w:val="0"/>
          <w:numId w:val="8"/>
        </w:numPr>
        <w:tabs>
          <w:tab w:val="left" w:pos="-720"/>
          <w:tab w:val="left" w:pos="1247"/>
        </w:tabs>
        <w:suppressAutoHyphens/>
        <w:spacing w:after="240"/>
        <w:rPr>
          <w:rStyle w:val="a"/>
          <w:rFonts w:ascii="Times New Roman" w:hAnsi="Times New Roman"/>
          <w:b/>
          <w:sz w:val="22"/>
          <w:szCs w:val="22"/>
        </w:rPr>
      </w:pPr>
      <w:r w:rsidRPr="00DA38F0">
        <w:rPr>
          <w:rStyle w:val="a"/>
          <w:rFonts w:ascii="Times New Roman" w:hAnsi="Times New Roman"/>
          <w:b/>
          <w:sz w:val="22"/>
          <w:szCs w:val="22"/>
        </w:rPr>
        <w:t>If this request for approval covers more than one form, provide separate hour burden estimates for each form and aggregate the hour burdens in the ROCIS IC Burden Analysis Table.  (The table should at minimum include Respondent types, IC activity, Respondent and Responses, Hours/Response, and Total Hours)</w:t>
      </w:r>
    </w:p>
    <w:p w:rsidRPr="00DA38F0" w:rsidR="00171761" w:rsidP="00DA38F0" w:rsidRDefault="00043C32" w14:paraId="004AA79B" w14:textId="78D92FA2">
      <w:pPr>
        <w:numPr>
          <w:ilvl w:val="0"/>
          <w:numId w:val="8"/>
        </w:numPr>
        <w:tabs>
          <w:tab w:val="left" w:pos="-720"/>
          <w:tab w:val="left" w:pos="1247"/>
        </w:tabs>
        <w:suppressAutoHyphens/>
        <w:spacing w:after="240"/>
        <w:rPr>
          <w:rStyle w:val="a"/>
          <w:rFonts w:ascii="Times New Roman" w:hAnsi="Times New Roman"/>
          <w:b/>
          <w:sz w:val="22"/>
          <w:szCs w:val="22"/>
        </w:rPr>
      </w:pPr>
      <w:r w:rsidRPr="00DA38F0">
        <w:rPr>
          <w:rStyle w:val="a"/>
          <w:rFonts w:ascii="Times New Roman" w:hAnsi="Times New Roman"/>
          <w:b/>
          <w:sz w:val="22"/>
          <w:szCs w:val="22"/>
        </w:rPr>
        <w:t xml:space="preserve">Provide estimates of annualized cost to respondents of the hour burdens for collections of information, identifying and using appropriate wage rate categories.  The cost of </w:t>
      </w:r>
      <w:r w:rsidRPr="00DA38F0">
        <w:rPr>
          <w:rStyle w:val="a"/>
          <w:rFonts w:ascii="Times New Roman" w:hAnsi="Times New Roman"/>
          <w:b/>
          <w:sz w:val="22"/>
          <w:szCs w:val="22"/>
        </w:rPr>
        <w:lastRenderedPageBreak/>
        <w:t>contracting out or paying outside parties for information collection activities should not be included here.  Instead, this cost should be included in Item 14.</w:t>
      </w:r>
    </w:p>
    <w:p w:rsidRPr="00F002E0" w:rsidR="00E372BB" w:rsidP="00DA38F0" w:rsidRDefault="00E372BB" w14:paraId="735DAE1B" w14:textId="77777777">
      <w:pPr>
        <w:pStyle w:val="BodyTextIndent3"/>
        <w:spacing w:after="240"/>
        <w:ind w:left="720"/>
        <w:rPr>
          <w:rStyle w:val="a"/>
          <w:rFonts w:ascii="Times New Roman" w:hAnsi="Times New Roman" w:eastAsiaTheme="minorHAnsi"/>
          <w:sz w:val="22"/>
          <w:szCs w:val="22"/>
        </w:rPr>
      </w:pPr>
      <w:r w:rsidRPr="00F002E0">
        <w:rPr>
          <w:rStyle w:val="a"/>
          <w:rFonts w:ascii="Times New Roman" w:hAnsi="Times New Roman" w:eastAsiaTheme="minorHAnsi"/>
          <w:sz w:val="22"/>
          <w:szCs w:val="22"/>
        </w:rPr>
        <w:t xml:space="preserve">The data in the table is an estimate of the time it takes for respondents to complete official forms, develop the application narrative and budget, and submit completed applications through the Department’s e-Application system. </w:t>
      </w:r>
    </w:p>
    <w:p w:rsidRPr="00F002E0" w:rsidR="00E372BB" w:rsidP="00DA38F0" w:rsidRDefault="00E372BB" w14:paraId="6BED43A8" w14:textId="60DC529A">
      <w:pPr>
        <w:pStyle w:val="Heading2"/>
        <w:spacing w:after="240"/>
        <w:rPr>
          <w:b w:val="0"/>
          <w:sz w:val="22"/>
          <w:szCs w:val="22"/>
          <w:u w:val="single"/>
        </w:rPr>
      </w:pPr>
      <w:r w:rsidRPr="00F002E0">
        <w:rPr>
          <w:b w:val="0"/>
          <w:sz w:val="22"/>
          <w:szCs w:val="22"/>
          <w:u w:val="single"/>
        </w:rPr>
        <w:t>Esti</w:t>
      </w:r>
      <w:r w:rsidR="00E34830">
        <w:rPr>
          <w:b w:val="0"/>
          <w:sz w:val="22"/>
          <w:szCs w:val="22"/>
          <w:u w:val="single"/>
        </w:rPr>
        <w:t>mate of Annualized Burden Hours</w:t>
      </w:r>
    </w:p>
    <w:tbl>
      <w:tblPr>
        <w:tblW w:w="958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2340"/>
        <w:gridCol w:w="1311"/>
        <w:gridCol w:w="990"/>
        <w:gridCol w:w="900"/>
        <w:gridCol w:w="1350"/>
        <w:gridCol w:w="946"/>
        <w:gridCol w:w="1752"/>
      </w:tblGrid>
      <w:tr w:rsidRPr="001501E3" w:rsidR="00424950" w:rsidTr="00424950" w14:paraId="08C1DD2A" w14:textId="464F5355">
        <w:trPr>
          <w:jc w:val="center"/>
        </w:trPr>
        <w:tc>
          <w:tcPr>
            <w:tcW w:w="2340" w:type="dxa"/>
            <w:shd w:val="clear" w:color="auto" w:fill="E0E0E0"/>
          </w:tcPr>
          <w:p w:rsidRPr="00F002E0" w:rsidR="00424950" w:rsidRDefault="00424950" w14:paraId="3FDBA45C" w14:textId="493BFFA4">
            <w:pPr>
              <w:jc w:val="center"/>
              <w:rPr>
                <w:rFonts w:ascii="Times New Roman" w:hAnsi="Times New Roman"/>
                <w:color w:val="000000"/>
                <w:sz w:val="20"/>
                <w:szCs w:val="22"/>
              </w:rPr>
            </w:pPr>
            <w:r w:rsidRPr="00F002E0">
              <w:rPr>
                <w:rFonts w:ascii="Times New Roman" w:hAnsi="Times New Roman"/>
                <w:color w:val="000000"/>
                <w:sz w:val="20"/>
                <w:szCs w:val="22"/>
              </w:rPr>
              <w:t xml:space="preserve">Information Collection </w:t>
            </w:r>
            <w:r w:rsidRPr="00F002E0">
              <w:rPr>
                <w:rFonts w:ascii="Times New Roman" w:hAnsi="Times New Roman"/>
                <w:color w:val="000000"/>
                <w:sz w:val="20"/>
                <w:szCs w:val="22"/>
              </w:rPr>
              <w:br/>
              <w:t>(Grant Application)</w:t>
            </w:r>
          </w:p>
          <w:p w:rsidRPr="00F002E0" w:rsidR="00424950" w:rsidRDefault="00424950" w14:paraId="683D2D4B" w14:textId="77777777">
            <w:pPr>
              <w:jc w:val="center"/>
              <w:rPr>
                <w:rFonts w:ascii="Times New Roman" w:hAnsi="Times New Roman"/>
                <w:color w:val="000000"/>
                <w:sz w:val="20"/>
                <w:szCs w:val="22"/>
              </w:rPr>
            </w:pPr>
          </w:p>
        </w:tc>
        <w:tc>
          <w:tcPr>
            <w:tcW w:w="1311" w:type="dxa"/>
            <w:shd w:val="clear" w:color="auto" w:fill="E0E0E0"/>
          </w:tcPr>
          <w:p w:rsidRPr="00F002E0" w:rsidR="00424950" w:rsidRDefault="00424950" w14:paraId="0DFF8837" w14:textId="77777777">
            <w:pPr>
              <w:ind w:left="-108" w:right="-108"/>
              <w:jc w:val="center"/>
              <w:rPr>
                <w:rFonts w:ascii="Times New Roman" w:hAnsi="Times New Roman"/>
                <w:color w:val="000000"/>
                <w:sz w:val="20"/>
                <w:szCs w:val="22"/>
              </w:rPr>
            </w:pPr>
            <w:r w:rsidRPr="00F002E0">
              <w:rPr>
                <w:rFonts w:ascii="Times New Roman" w:hAnsi="Times New Roman"/>
                <w:color w:val="000000"/>
                <w:sz w:val="20"/>
                <w:szCs w:val="22"/>
              </w:rPr>
              <w:t xml:space="preserve"> Number of Respondents</w:t>
            </w:r>
          </w:p>
        </w:tc>
        <w:tc>
          <w:tcPr>
            <w:tcW w:w="990" w:type="dxa"/>
            <w:shd w:val="clear" w:color="auto" w:fill="E0E0E0"/>
          </w:tcPr>
          <w:p w:rsidRPr="00F002E0" w:rsidR="00424950" w:rsidRDefault="00424950" w14:paraId="1F196406" w14:textId="77777777">
            <w:pPr>
              <w:ind w:left="-108" w:right="-108"/>
              <w:jc w:val="center"/>
              <w:rPr>
                <w:rFonts w:ascii="Times New Roman" w:hAnsi="Times New Roman"/>
                <w:color w:val="000000"/>
                <w:sz w:val="20"/>
                <w:szCs w:val="22"/>
              </w:rPr>
            </w:pPr>
            <w:r w:rsidRPr="00F002E0">
              <w:rPr>
                <w:rFonts w:ascii="Times New Roman" w:hAnsi="Times New Roman"/>
                <w:color w:val="000000"/>
                <w:sz w:val="20"/>
                <w:szCs w:val="22"/>
              </w:rPr>
              <w:t xml:space="preserve">Hours </w:t>
            </w:r>
          </w:p>
          <w:p w:rsidRPr="00F002E0" w:rsidR="00424950" w:rsidRDefault="00424950" w14:paraId="2C1EFCF1" w14:textId="77777777">
            <w:pPr>
              <w:ind w:left="-108" w:right="-108"/>
              <w:jc w:val="center"/>
              <w:rPr>
                <w:rFonts w:ascii="Times New Roman" w:hAnsi="Times New Roman"/>
                <w:color w:val="000000"/>
                <w:sz w:val="20"/>
                <w:szCs w:val="22"/>
              </w:rPr>
            </w:pPr>
            <w:r w:rsidRPr="00F002E0">
              <w:rPr>
                <w:rFonts w:ascii="Times New Roman" w:hAnsi="Times New Roman"/>
                <w:color w:val="000000"/>
                <w:sz w:val="20"/>
                <w:szCs w:val="22"/>
              </w:rPr>
              <w:t xml:space="preserve">per Response </w:t>
            </w:r>
          </w:p>
        </w:tc>
        <w:tc>
          <w:tcPr>
            <w:tcW w:w="900" w:type="dxa"/>
            <w:shd w:val="clear" w:color="auto" w:fill="E0E0E0"/>
          </w:tcPr>
          <w:p w:rsidRPr="00F002E0" w:rsidR="00424950" w:rsidRDefault="00424950" w14:paraId="3BDA7D52" w14:textId="77777777">
            <w:pPr>
              <w:jc w:val="center"/>
              <w:rPr>
                <w:rFonts w:ascii="Times New Roman" w:hAnsi="Times New Roman"/>
                <w:color w:val="000000"/>
                <w:sz w:val="20"/>
                <w:szCs w:val="22"/>
              </w:rPr>
            </w:pPr>
            <w:r w:rsidRPr="00F002E0">
              <w:rPr>
                <w:rFonts w:ascii="Times New Roman" w:hAnsi="Times New Roman"/>
                <w:color w:val="000000"/>
                <w:sz w:val="20"/>
                <w:szCs w:val="22"/>
              </w:rPr>
              <w:t>Total Hours</w:t>
            </w:r>
          </w:p>
        </w:tc>
        <w:tc>
          <w:tcPr>
            <w:tcW w:w="1350" w:type="dxa"/>
            <w:shd w:val="clear" w:color="auto" w:fill="E0E0E0"/>
          </w:tcPr>
          <w:p w:rsidRPr="00F002E0" w:rsidR="00424950" w:rsidRDefault="00424950" w14:paraId="48068F7A" w14:textId="77777777">
            <w:pPr>
              <w:ind w:right="-108" w:hanging="108"/>
              <w:jc w:val="center"/>
              <w:rPr>
                <w:rFonts w:ascii="Times New Roman" w:hAnsi="Times New Roman"/>
                <w:color w:val="000000"/>
                <w:sz w:val="20"/>
                <w:szCs w:val="22"/>
              </w:rPr>
            </w:pPr>
            <w:r w:rsidRPr="00F002E0">
              <w:rPr>
                <w:rFonts w:ascii="Times New Roman" w:hAnsi="Times New Roman"/>
                <w:color w:val="000000"/>
                <w:sz w:val="20"/>
                <w:szCs w:val="22"/>
              </w:rPr>
              <w:t xml:space="preserve">Frequency of Response </w:t>
            </w:r>
          </w:p>
        </w:tc>
        <w:tc>
          <w:tcPr>
            <w:tcW w:w="946" w:type="dxa"/>
            <w:shd w:val="clear" w:color="auto" w:fill="E0E0E0"/>
          </w:tcPr>
          <w:p w:rsidRPr="00F002E0" w:rsidR="00424950" w:rsidRDefault="00424950" w14:paraId="056DBB18" w14:textId="2CEDCCE1">
            <w:pPr>
              <w:ind w:right="-108" w:hanging="108"/>
              <w:jc w:val="center"/>
              <w:rPr>
                <w:rFonts w:ascii="Times New Roman" w:hAnsi="Times New Roman"/>
                <w:color w:val="000000"/>
                <w:sz w:val="20"/>
                <w:szCs w:val="22"/>
              </w:rPr>
            </w:pPr>
            <w:r>
              <w:rPr>
                <w:rFonts w:ascii="Times New Roman" w:hAnsi="Times New Roman"/>
                <w:color w:val="000000"/>
                <w:sz w:val="20"/>
                <w:szCs w:val="22"/>
              </w:rPr>
              <w:t>Wage per Hour</w:t>
            </w:r>
          </w:p>
        </w:tc>
        <w:tc>
          <w:tcPr>
            <w:tcW w:w="1752" w:type="dxa"/>
            <w:shd w:val="clear" w:color="auto" w:fill="E0E0E0"/>
          </w:tcPr>
          <w:p w:rsidRPr="00F002E0" w:rsidR="00424950" w:rsidRDefault="00424950" w14:paraId="6C3CB699" w14:textId="41AD7415">
            <w:pPr>
              <w:ind w:right="-108" w:hanging="108"/>
              <w:jc w:val="center"/>
              <w:rPr>
                <w:rFonts w:ascii="Times New Roman" w:hAnsi="Times New Roman"/>
                <w:color w:val="000000"/>
                <w:sz w:val="20"/>
                <w:szCs w:val="22"/>
              </w:rPr>
            </w:pPr>
            <w:r>
              <w:rPr>
                <w:rFonts w:ascii="Times New Roman" w:hAnsi="Times New Roman"/>
                <w:color w:val="000000"/>
                <w:sz w:val="20"/>
                <w:szCs w:val="22"/>
              </w:rPr>
              <w:t>Annualized Respondent Cost for the Information Collection</w:t>
            </w:r>
          </w:p>
        </w:tc>
      </w:tr>
      <w:tr w:rsidRPr="00171761" w:rsidR="00424950" w:rsidTr="00424950" w14:paraId="20ABFBB4" w14:textId="7035F9CD">
        <w:trPr>
          <w:jc w:val="center"/>
        </w:trPr>
        <w:tc>
          <w:tcPr>
            <w:tcW w:w="2340" w:type="dxa"/>
          </w:tcPr>
          <w:p w:rsidRPr="00E34830" w:rsidR="00424950" w:rsidP="00DA38F0" w:rsidRDefault="00424950" w14:paraId="104E5081" w14:textId="77777777">
            <w:pPr>
              <w:pStyle w:val="CommentText"/>
              <w:rPr>
                <w:rFonts w:ascii="Times New Roman" w:hAnsi="Times New Roman"/>
                <w:szCs w:val="22"/>
              </w:rPr>
            </w:pPr>
            <w:r w:rsidRPr="00E34830">
              <w:rPr>
                <w:rFonts w:ascii="Times New Roman" w:hAnsi="Times New Roman"/>
                <w:szCs w:val="22"/>
              </w:rPr>
              <w:t>Language Resource Centers – 84.229A</w:t>
            </w:r>
          </w:p>
        </w:tc>
        <w:tc>
          <w:tcPr>
            <w:tcW w:w="1311" w:type="dxa"/>
          </w:tcPr>
          <w:p w:rsidRPr="00E34830" w:rsidR="00424950" w:rsidRDefault="00424950" w14:paraId="277319D7" w14:textId="77777777">
            <w:pPr>
              <w:jc w:val="center"/>
              <w:rPr>
                <w:rFonts w:ascii="Times New Roman" w:hAnsi="Times New Roman"/>
                <w:sz w:val="20"/>
                <w:szCs w:val="22"/>
              </w:rPr>
            </w:pPr>
            <w:r w:rsidRPr="00E34830">
              <w:rPr>
                <w:rFonts w:ascii="Times New Roman" w:hAnsi="Times New Roman"/>
                <w:sz w:val="20"/>
                <w:szCs w:val="22"/>
              </w:rPr>
              <w:t>27</w:t>
            </w:r>
          </w:p>
        </w:tc>
        <w:tc>
          <w:tcPr>
            <w:tcW w:w="990" w:type="dxa"/>
          </w:tcPr>
          <w:p w:rsidRPr="00E34830" w:rsidR="00424950" w:rsidRDefault="00424950" w14:paraId="05B310B2" w14:textId="77777777">
            <w:pPr>
              <w:jc w:val="center"/>
              <w:rPr>
                <w:rFonts w:ascii="Times New Roman" w:hAnsi="Times New Roman"/>
                <w:sz w:val="20"/>
                <w:szCs w:val="22"/>
              </w:rPr>
            </w:pPr>
            <w:r w:rsidRPr="00E34830">
              <w:rPr>
                <w:rFonts w:ascii="Times New Roman" w:hAnsi="Times New Roman"/>
                <w:sz w:val="20"/>
                <w:szCs w:val="22"/>
              </w:rPr>
              <w:t>100</w:t>
            </w:r>
          </w:p>
        </w:tc>
        <w:tc>
          <w:tcPr>
            <w:tcW w:w="900" w:type="dxa"/>
          </w:tcPr>
          <w:p w:rsidRPr="00E34830" w:rsidR="00424950" w:rsidRDefault="00424950" w14:paraId="419429FF" w14:textId="77777777">
            <w:pPr>
              <w:ind w:left="-108"/>
              <w:jc w:val="center"/>
              <w:rPr>
                <w:rFonts w:ascii="Times New Roman" w:hAnsi="Times New Roman"/>
                <w:sz w:val="20"/>
                <w:szCs w:val="22"/>
              </w:rPr>
            </w:pPr>
            <w:r w:rsidRPr="00E34830">
              <w:rPr>
                <w:rFonts w:ascii="Times New Roman" w:hAnsi="Times New Roman"/>
                <w:sz w:val="20"/>
                <w:szCs w:val="22"/>
              </w:rPr>
              <w:t>2700</w:t>
            </w:r>
          </w:p>
        </w:tc>
        <w:tc>
          <w:tcPr>
            <w:tcW w:w="1350" w:type="dxa"/>
          </w:tcPr>
          <w:p w:rsidRPr="00E34830" w:rsidR="00424950" w:rsidRDefault="00424950" w14:paraId="6C1BF15A" w14:textId="77777777">
            <w:pPr>
              <w:jc w:val="center"/>
              <w:rPr>
                <w:rFonts w:ascii="Times New Roman" w:hAnsi="Times New Roman"/>
                <w:sz w:val="20"/>
                <w:szCs w:val="22"/>
              </w:rPr>
            </w:pPr>
            <w:r w:rsidRPr="00E34830">
              <w:rPr>
                <w:rFonts w:ascii="Times New Roman" w:hAnsi="Times New Roman"/>
                <w:sz w:val="20"/>
                <w:szCs w:val="22"/>
              </w:rPr>
              <w:t>Every 4 years</w:t>
            </w:r>
          </w:p>
        </w:tc>
        <w:tc>
          <w:tcPr>
            <w:tcW w:w="946" w:type="dxa"/>
          </w:tcPr>
          <w:p w:rsidRPr="00E34830" w:rsidR="00424950" w:rsidRDefault="00424950" w14:paraId="25960050" w14:textId="6B9A9E54">
            <w:pPr>
              <w:jc w:val="center"/>
              <w:rPr>
                <w:rFonts w:ascii="Times New Roman" w:hAnsi="Times New Roman"/>
                <w:sz w:val="20"/>
                <w:szCs w:val="22"/>
              </w:rPr>
            </w:pPr>
            <w:r>
              <w:rPr>
                <w:rFonts w:ascii="Times New Roman" w:hAnsi="Times New Roman"/>
                <w:sz w:val="20"/>
                <w:szCs w:val="22"/>
              </w:rPr>
              <w:t>$75</w:t>
            </w:r>
          </w:p>
        </w:tc>
        <w:tc>
          <w:tcPr>
            <w:tcW w:w="1752" w:type="dxa"/>
          </w:tcPr>
          <w:p w:rsidRPr="00E34830" w:rsidR="00424950" w:rsidRDefault="00424950" w14:paraId="61BD0ECE" w14:textId="25B8E81D">
            <w:pPr>
              <w:jc w:val="center"/>
              <w:rPr>
                <w:rFonts w:ascii="Times New Roman" w:hAnsi="Times New Roman"/>
                <w:sz w:val="20"/>
                <w:szCs w:val="22"/>
              </w:rPr>
            </w:pPr>
            <w:r>
              <w:rPr>
                <w:rFonts w:ascii="Times New Roman" w:hAnsi="Times New Roman"/>
                <w:sz w:val="20"/>
                <w:szCs w:val="22"/>
              </w:rPr>
              <w:t>$50,625</w:t>
            </w:r>
          </w:p>
        </w:tc>
      </w:tr>
    </w:tbl>
    <w:p w:rsidRPr="00DA38F0" w:rsidR="00043C32" w:rsidP="00DA38F0" w:rsidRDefault="00043C32" w14:paraId="03560D82" w14:textId="77777777">
      <w:pPr>
        <w:pStyle w:val="ListParagraph"/>
        <w:numPr>
          <w:ilvl w:val="0"/>
          <w:numId w:val="5"/>
        </w:numPr>
        <w:tabs>
          <w:tab w:val="left" w:pos="-720"/>
        </w:tabs>
        <w:suppressAutoHyphens/>
        <w:spacing w:before="360" w:after="240"/>
        <w:ind w:hanging="450"/>
        <w:contextualSpacing w:val="0"/>
        <w:rPr>
          <w:rFonts w:ascii="Times New Roman" w:hAnsi="Times New Roman"/>
          <w:b/>
          <w:sz w:val="22"/>
          <w:szCs w:val="22"/>
        </w:rPr>
      </w:pPr>
      <w:r w:rsidRPr="00DA38F0">
        <w:rPr>
          <w:rStyle w:val="a"/>
          <w:rFonts w:ascii="Times New Roman" w:hAnsi="Times New Roman"/>
          <w:b/>
          <w:sz w:val="22"/>
          <w:szCs w:val="22"/>
        </w:rPr>
        <w:t>Provide an estimate of the total annual cost burden to respondents or record keepers resulting from the collection of information.  (Do not include the cost of any hour burden shown in Items 12 and 14.)</w:t>
      </w:r>
    </w:p>
    <w:p w:rsidRPr="00DA38F0" w:rsidR="00171761" w:rsidP="00DA38F0" w:rsidRDefault="00043C32" w14:paraId="4B0C9C02" w14:textId="1BA610AA">
      <w:pPr>
        <w:numPr>
          <w:ilvl w:val="0"/>
          <w:numId w:val="1"/>
        </w:numPr>
        <w:tabs>
          <w:tab w:val="clear" w:pos="700"/>
          <w:tab w:val="left" w:pos="-720"/>
        </w:tabs>
        <w:suppressAutoHyphens/>
        <w:spacing w:after="120"/>
        <w:ind w:left="1350" w:hanging="450"/>
        <w:rPr>
          <w:rFonts w:ascii="Times New Roman" w:hAnsi="Times New Roman"/>
          <w:b/>
          <w:sz w:val="22"/>
          <w:szCs w:val="22"/>
        </w:rPr>
      </w:pPr>
      <w:r w:rsidRPr="00DA38F0">
        <w:rPr>
          <w:rFonts w:ascii="Times New Roman" w:hAnsi="Times New Roman"/>
          <w:b/>
          <w:sz w:val="22"/>
          <w:szCs w:val="22"/>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DA38F0" w:rsidR="00171761" w:rsidP="00DA38F0" w:rsidRDefault="00043C32" w14:paraId="3DC9C322" w14:textId="4CDA0613">
      <w:pPr>
        <w:numPr>
          <w:ilvl w:val="0"/>
          <w:numId w:val="1"/>
        </w:numPr>
        <w:tabs>
          <w:tab w:val="clear" w:pos="700"/>
          <w:tab w:val="left" w:pos="-720"/>
          <w:tab w:val="left" w:pos="1350"/>
        </w:tabs>
        <w:suppressAutoHyphens/>
        <w:spacing w:after="120"/>
        <w:ind w:left="1350"/>
        <w:rPr>
          <w:rFonts w:ascii="Times New Roman" w:hAnsi="Times New Roman"/>
          <w:b/>
          <w:sz w:val="22"/>
          <w:szCs w:val="22"/>
        </w:rPr>
      </w:pPr>
      <w:r w:rsidRPr="00DA38F0">
        <w:rPr>
          <w:rFonts w:ascii="Times New Roman" w:hAnsi="Times New Roman"/>
          <w:b/>
          <w:sz w:val="22"/>
          <w:szCs w:val="22"/>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DA38F0" w:rsidR="00043C32" w:rsidP="00DA38F0" w:rsidRDefault="00043C32" w14:paraId="03560D89" w14:textId="77777777">
      <w:pPr>
        <w:numPr>
          <w:ilvl w:val="0"/>
          <w:numId w:val="1"/>
        </w:numPr>
        <w:tabs>
          <w:tab w:val="clear" w:pos="700"/>
          <w:tab w:val="left" w:pos="-720"/>
          <w:tab w:val="left" w:pos="1350"/>
        </w:tabs>
        <w:suppressAutoHyphens/>
        <w:spacing w:after="240"/>
        <w:ind w:left="1350"/>
        <w:rPr>
          <w:rFonts w:ascii="Times New Roman" w:hAnsi="Times New Roman"/>
          <w:b/>
          <w:sz w:val="22"/>
          <w:szCs w:val="22"/>
        </w:rPr>
      </w:pPr>
      <w:r w:rsidRPr="00DA38F0">
        <w:rPr>
          <w:rFonts w:ascii="Times New Roman" w:hAnsi="Times New Roman"/>
          <w:b/>
          <w:sz w:val="22"/>
          <w:szCs w:val="22"/>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p>
    <w:p w:rsidRPr="00DA38F0" w:rsidR="00043C32" w:rsidRDefault="00043C32" w14:paraId="03560D8B" w14:textId="7214E15F">
      <w:pPr>
        <w:tabs>
          <w:tab w:val="left" w:pos="-720"/>
        </w:tabs>
        <w:suppressAutoHyphens/>
        <w:rPr>
          <w:rFonts w:ascii="Times New Roman" w:hAnsi="Times New Roman"/>
          <w:sz w:val="22"/>
          <w:szCs w:val="22"/>
        </w:rPr>
      </w:pPr>
      <w:r w:rsidRPr="00DA38F0">
        <w:rPr>
          <w:rFonts w:ascii="Times New Roman" w:hAnsi="Times New Roman"/>
          <w:sz w:val="22"/>
          <w:szCs w:val="22"/>
        </w:rPr>
        <w:tab/>
        <w:t>Total Annualized Capital/Startup Cost</w:t>
      </w:r>
      <w:r w:rsidRPr="00DA38F0">
        <w:rPr>
          <w:rFonts w:ascii="Times New Roman" w:hAnsi="Times New Roman"/>
          <w:sz w:val="22"/>
          <w:szCs w:val="22"/>
        </w:rPr>
        <w:tab/>
        <w:t>:</w:t>
      </w:r>
      <w:r w:rsidRPr="00DA38F0" w:rsidR="00861646">
        <w:rPr>
          <w:rFonts w:ascii="Times New Roman" w:hAnsi="Times New Roman"/>
          <w:sz w:val="22"/>
          <w:szCs w:val="22"/>
        </w:rPr>
        <w:tab/>
      </w:r>
      <w:r w:rsidR="001501E3">
        <w:rPr>
          <w:rFonts w:ascii="Times New Roman" w:hAnsi="Times New Roman"/>
          <w:sz w:val="22"/>
          <w:szCs w:val="22"/>
        </w:rPr>
        <w:tab/>
      </w:r>
      <w:r w:rsidRPr="00DA38F0" w:rsidR="00861646">
        <w:rPr>
          <w:rFonts w:ascii="Times New Roman" w:hAnsi="Times New Roman"/>
          <w:sz w:val="22"/>
          <w:szCs w:val="22"/>
        </w:rPr>
        <w:t>$0.00</w:t>
      </w:r>
    </w:p>
    <w:p w:rsidRPr="00DA38F0" w:rsidR="00861646" w:rsidRDefault="00043C32" w14:paraId="239822C2" w14:textId="172559E5">
      <w:pPr>
        <w:tabs>
          <w:tab w:val="left" w:pos="-720"/>
        </w:tabs>
        <w:suppressAutoHyphens/>
        <w:rPr>
          <w:rFonts w:ascii="Times New Roman" w:hAnsi="Times New Roman"/>
          <w:sz w:val="22"/>
          <w:szCs w:val="22"/>
          <w:u w:val="single"/>
        </w:rPr>
      </w:pPr>
      <w:r w:rsidRPr="00DA38F0">
        <w:rPr>
          <w:rFonts w:ascii="Times New Roman" w:hAnsi="Times New Roman"/>
          <w:sz w:val="22"/>
          <w:szCs w:val="22"/>
        </w:rPr>
        <w:tab/>
      </w:r>
      <w:r w:rsidRPr="00DA38F0">
        <w:rPr>
          <w:rFonts w:ascii="Times New Roman" w:hAnsi="Times New Roman"/>
          <w:sz w:val="22"/>
          <w:szCs w:val="22"/>
          <w:u w:val="single"/>
        </w:rPr>
        <w:t>Total Annual Costs (O&amp;M)</w:t>
      </w:r>
      <w:r w:rsidRPr="00DA38F0">
        <w:rPr>
          <w:rFonts w:ascii="Times New Roman" w:hAnsi="Times New Roman"/>
          <w:sz w:val="22"/>
          <w:szCs w:val="22"/>
          <w:u w:val="single"/>
        </w:rPr>
        <w:tab/>
      </w:r>
      <w:r w:rsidRPr="00DA38F0">
        <w:rPr>
          <w:rFonts w:ascii="Times New Roman" w:hAnsi="Times New Roman"/>
          <w:sz w:val="22"/>
          <w:szCs w:val="22"/>
          <w:u w:val="single"/>
        </w:rPr>
        <w:tab/>
        <w:t>:</w:t>
      </w:r>
      <w:r w:rsidRPr="00DA38F0" w:rsidR="00861646">
        <w:rPr>
          <w:rFonts w:ascii="Times New Roman" w:hAnsi="Times New Roman"/>
          <w:sz w:val="22"/>
          <w:szCs w:val="22"/>
          <w:u w:val="single"/>
        </w:rPr>
        <w:tab/>
      </w:r>
      <w:r w:rsidRPr="00DA38F0" w:rsidR="00861646">
        <w:rPr>
          <w:rFonts w:ascii="Times New Roman" w:hAnsi="Times New Roman"/>
          <w:sz w:val="22"/>
          <w:szCs w:val="22"/>
          <w:u w:val="single"/>
        </w:rPr>
        <w:tab/>
        <w:t>$0.00</w:t>
      </w:r>
    </w:p>
    <w:p w:rsidRPr="00DA38F0" w:rsidR="00043C32" w:rsidP="00DA38F0" w:rsidRDefault="00043C32" w14:paraId="03560D8D" w14:textId="0EF66B0E">
      <w:pPr>
        <w:tabs>
          <w:tab w:val="left" w:pos="-720"/>
        </w:tabs>
        <w:suppressAutoHyphens/>
        <w:spacing w:after="240"/>
        <w:rPr>
          <w:rFonts w:ascii="Times New Roman" w:hAnsi="Times New Roman"/>
          <w:sz w:val="22"/>
          <w:szCs w:val="22"/>
        </w:rPr>
      </w:pPr>
      <w:r w:rsidRPr="00DA38F0">
        <w:rPr>
          <w:rFonts w:ascii="Times New Roman" w:hAnsi="Times New Roman"/>
          <w:sz w:val="22"/>
          <w:szCs w:val="22"/>
        </w:rPr>
        <w:lastRenderedPageBreak/>
        <w:tab/>
        <w:t>Total Annualized Costs Requested</w:t>
      </w:r>
      <w:r w:rsidRPr="00DA38F0">
        <w:rPr>
          <w:rFonts w:ascii="Times New Roman" w:hAnsi="Times New Roman"/>
          <w:sz w:val="22"/>
          <w:szCs w:val="22"/>
        </w:rPr>
        <w:tab/>
        <w:t>:</w:t>
      </w:r>
      <w:r w:rsidRPr="00DA38F0" w:rsidR="00861646">
        <w:rPr>
          <w:rFonts w:ascii="Times New Roman" w:hAnsi="Times New Roman"/>
          <w:sz w:val="22"/>
          <w:szCs w:val="22"/>
        </w:rPr>
        <w:tab/>
      </w:r>
      <w:r w:rsidRPr="00DA38F0" w:rsidR="00861646">
        <w:rPr>
          <w:rFonts w:ascii="Times New Roman" w:hAnsi="Times New Roman"/>
          <w:sz w:val="22"/>
          <w:szCs w:val="22"/>
        </w:rPr>
        <w:tab/>
        <w:t>$0.00</w:t>
      </w:r>
    </w:p>
    <w:p w:rsidRPr="00DA38F0" w:rsidR="00E372BB" w:rsidP="00DA38F0" w:rsidRDefault="00E372BB" w14:paraId="50D7404A" w14:textId="22F2C3EF">
      <w:pPr>
        <w:pStyle w:val="BodyTextIndent"/>
        <w:spacing w:after="360"/>
        <w:rPr>
          <w:sz w:val="22"/>
          <w:szCs w:val="22"/>
        </w:rPr>
      </w:pPr>
      <w:r w:rsidRPr="00DA38F0">
        <w:rPr>
          <w:sz w:val="22"/>
          <w:szCs w:val="22"/>
        </w:rPr>
        <w:t xml:space="preserve">The programs in this information collection do not have costs that meet the criteria for inclusion in Item 13. </w:t>
      </w:r>
    </w:p>
    <w:p w:rsidRPr="00DA38F0" w:rsidR="00043C32" w:rsidP="00DA38F0" w:rsidRDefault="00043C32" w14:paraId="03560D8F" w14:textId="77777777">
      <w:pPr>
        <w:pStyle w:val="ListParagraph"/>
        <w:numPr>
          <w:ilvl w:val="0"/>
          <w:numId w:val="5"/>
        </w:numPr>
        <w:tabs>
          <w:tab w:val="left" w:pos="-720"/>
        </w:tabs>
        <w:suppressAutoHyphens/>
        <w:spacing w:after="240"/>
        <w:ind w:hanging="450"/>
        <w:contextualSpacing w:val="0"/>
        <w:rPr>
          <w:rStyle w:val="a"/>
          <w:rFonts w:ascii="Times New Roman" w:hAnsi="Times New Roman"/>
          <w:b/>
          <w:sz w:val="22"/>
          <w:szCs w:val="22"/>
        </w:rPr>
      </w:pPr>
      <w:r w:rsidRPr="00DA38F0">
        <w:rPr>
          <w:rStyle w:val="a"/>
          <w:rFonts w:ascii="Times New Roman" w:hAnsi="Times New Roman"/>
          <w:b/>
          <w:sz w:val="22"/>
          <w:szCs w:val="22"/>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501E3" w:rsidP="00DA38F0" w:rsidRDefault="001501E3" w14:paraId="3E20167D" w14:textId="77777777">
      <w:pPr>
        <w:pStyle w:val="ListParagraph"/>
        <w:tabs>
          <w:tab w:val="left" w:pos="-720"/>
        </w:tabs>
        <w:suppressAutoHyphens/>
        <w:spacing w:after="240"/>
        <w:ind w:left="900"/>
        <w:contextualSpacing w:val="0"/>
        <w:rPr>
          <w:rStyle w:val="a"/>
          <w:rFonts w:ascii="Times New Roman" w:hAnsi="Times New Roman"/>
          <w:sz w:val="22"/>
          <w:szCs w:val="22"/>
        </w:rPr>
      </w:pPr>
    </w:p>
    <w:tbl>
      <w:tblPr>
        <w:tblW w:w="8745" w:type="dxa"/>
        <w:tblInd w:w="828" w:type="dxa"/>
        <w:tblCellMar>
          <w:left w:w="115" w:type="dxa"/>
          <w:right w:w="115" w:type="dxa"/>
        </w:tblCellMar>
        <w:tblLook w:val="04A0" w:firstRow="1" w:lastRow="0" w:firstColumn="1" w:lastColumn="0" w:noHBand="0" w:noVBand="1"/>
      </w:tblPr>
      <w:tblGrid>
        <w:gridCol w:w="3706"/>
        <w:gridCol w:w="1702"/>
        <w:gridCol w:w="1097"/>
        <w:gridCol w:w="932"/>
        <w:gridCol w:w="1308"/>
      </w:tblGrid>
      <w:tr w:rsidRPr="001501E3" w:rsidR="001501E3" w:rsidTr="00DA38F0" w14:paraId="4BBE0AE7" w14:textId="77777777">
        <w:trPr>
          <w:trHeight w:val="825"/>
        </w:trPr>
        <w:tc>
          <w:tcPr>
            <w:tcW w:w="3725" w:type="dxa"/>
            <w:tcBorders>
              <w:top w:val="single" w:color="auto" w:sz="8" w:space="0"/>
              <w:left w:val="single" w:color="auto" w:sz="8" w:space="0"/>
              <w:bottom w:val="single" w:color="000000" w:sz="8" w:space="0"/>
              <w:right w:val="single" w:color="auto" w:sz="8" w:space="0"/>
            </w:tcBorders>
            <w:shd w:val="clear" w:color="000000" w:fill="E0E0E0"/>
            <w:vAlign w:val="center"/>
            <w:hideMark/>
          </w:tcPr>
          <w:p w:rsidRPr="00DA38F0" w:rsidR="001501E3" w:rsidP="002A09E5" w:rsidRDefault="001501E3" w14:paraId="07D7A785" w14:textId="77777777">
            <w:pPr>
              <w:jc w:val="both"/>
              <w:rPr>
                <w:rFonts w:ascii="Times New Roman" w:hAnsi="Times New Roman"/>
                <w:b/>
                <w:color w:val="000000"/>
                <w:sz w:val="20"/>
              </w:rPr>
            </w:pPr>
            <w:r w:rsidRPr="00DA38F0">
              <w:rPr>
                <w:rFonts w:ascii="Times New Roman" w:hAnsi="Times New Roman"/>
                <w:b/>
                <w:color w:val="000000"/>
                <w:sz w:val="20"/>
              </w:rPr>
              <w:t xml:space="preserve">Operational or Programmatic Task </w:t>
            </w:r>
          </w:p>
        </w:tc>
        <w:tc>
          <w:tcPr>
            <w:tcW w:w="1710" w:type="dxa"/>
            <w:tcBorders>
              <w:top w:val="single" w:color="auto" w:sz="8" w:space="0"/>
              <w:left w:val="single" w:color="auto" w:sz="8" w:space="0"/>
              <w:bottom w:val="single" w:color="000000" w:sz="8" w:space="0"/>
              <w:right w:val="single" w:color="auto" w:sz="8" w:space="0"/>
            </w:tcBorders>
            <w:shd w:val="clear" w:color="000000" w:fill="E0E0E0"/>
            <w:vAlign w:val="center"/>
            <w:hideMark/>
          </w:tcPr>
          <w:p w:rsidRPr="00DA38F0" w:rsidR="001501E3" w:rsidP="002A09E5" w:rsidRDefault="001501E3" w14:paraId="77424D17" w14:textId="77777777">
            <w:pPr>
              <w:jc w:val="center"/>
              <w:rPr>
                <w:rFonts w:ascii="Times New Roman" w:hAnsi="Times New Roman"/>
                <w:b/>
                <w:bCs/>
                <w:color w:val="000000"/>
                <w:sz w:val="20"/>
              </w:rPr>
            </w:pPr>
            <w:r w:rsidRPr="00DA38F0">
              <w:rPr>
                <w:rFonts w:ascii="Times New Roman" w:hAnsi="Times New Roman"/>
                <w:b/>
                <w:bCs/>
                <w:color w:val="000000"/>
                <w:sz w:val="20"/>
              </w:rPr>
              <w:t>Wage per Hour</w:t>
            </w:r>
          </w:p>
        </w:tc>
        <w:tc>
          <w:tcPr>
            <w:tcW w:w="1083" w:type="dxa"/>
            <w:tcBorders>
              <w:top w:val="single" w:color="auto" w:sz="8" w:space="0"/>
              <w:left w:val="single" w:color="auto" w:sz="8" w:space="0"/>
              <w:bottom w:val="single" w:color="000000" w:sz="8" w:space="0"/>
              <w:right w:val="single" w:color="auto" w:sz="4" w:space="0"/>
            </w:tcBorders>
            <w:shd w:val="clear" w:color="000000" w:fill="E0E0E0"/>
            <w:vAlign w:val="center"/>
            <w:hideMark/>
          </w:tcPr>
          <w:p w:rsidRPr="00DA38F0" w:rsidR="001501E3" w:rsidP="002A09E5" w:rsidRDefault="001501E3" w14:paraId="459458E7" w14:textId="77777777">
            <w:pPr>
              <w:jc w:val="center"/>
              <w:rPr>
                <w:rFonts w:ascii="Times New Roman" w:hAnsi="Times New Roman"/>
                <w:b/>
                <w:bCs/>
                <w:color w:val="000000"/>
                <w:sz w:val="20"/>
              </w:rPr>
            </w:pPr>
            <w:r w:rsidRPr="00DA38F0">
              <w:rPr>
                <w:rFonts w:ascii="Times New Roman" w:hAnsi="Times New Roman"/>
                <w:b/>
                <w:bCs/>
                <w:color w:val="000000"/>
                <w:sz w:val="20"/>
              </w:rPr>
              <w:t>Staff Resources</w:t>
            </w:r>
          </w:p>
        </w:tc>
        <w:tc>
          <w:tcPr>
            <w:tcW w:w="933" w:type="dxa"/>
            <w:tcBorders>
              <w:top w:val="single" w:color="auto" w:sz="4" w:space="0"/>
              <w:left w:val="single" w:color="auto" w:sz="4" w:space="0"/>
              <w:bottom w:val="single" w:color="auto" w:sz="4" w:space="0"/>
              <w:right w:val="single" w:color="auto" w:sz="4" w:space="0"/>
            </w:tcBorders>
            <w:shd w:val="clear" w:color="000000" w:fill="E0E0E0"/>
            <w:vAlign w:val="center"/>
            <w:hideMark/>
          </w:tcPr>
          <w:p w:rsidRPr="00DA38F0" w:rsidR="001501E3" w:rsidP="002A09E5" w:rsidRDefault="001501E3" w14:paraId="67235ED2" w14:textId="3B936E99">
            <w:pPr>
              <w:jc w:val="center"/>
              <w:rPr>
                <w:rFonts w:ascii="Times New Roman" w:hAnsi="Times New Roman"/>
                <w:b/>
                <w:bCs/>
                <w:color w:val="000000"/>
                <w:sz w:val="20"/>
              </w:rPr>
            </w:pPr>
            <w:r w:rsidRPr="00DA38F0">
              <w:rPr>
                <w:rFonts w:ascii="Times New Roman" w:hAnsi="Times New Roman"/>
                <w:b/>
                <w:bCs/>
                <w:color w:val="000000"/>
                <w:sz w:val="20"/>
              </w:rPr>
              <w:t>Total</w:t>
            </w:r>
            <w:r>
              <w:rPr>
                <w:rFonts w:ascii="Times New Roman" w:hAnsi="Times New Roman"/>
                <w:b/>
                <w:bCs/>
                <w:color w:val="000000"/>
                <w:sz w:val="20"/>
              </w:rPr>
              <w:t xml:space="preserve"> Hours</w:t>
            </w:r>
          </w:p>
        </w:tc>
        <w:tc>
          <w:tcPr>
            <w:tcW w:w="1294" w:type="dxa"/>
            <w:tcBorders>
              <w:top w:val="single" w:color="auto" w:sz="8" w:space="0"/>
              <w:left w:val="single" w:color="auto" w:sz="4" w:space="0"/>
              <w:bottom w:val="single" w:color="000000" w:sz="8" w:space="0"/>
              <w:right w:val="single" w:color="auto" w:sz="8" w:space="0"/>
            </w:tcBorders>
            <w:shd w:val="clear" w:color="000000" w:fill="E0E0E0"/>
            <w:vAlign w:val="center"/>
            <w:hideMark/>
          </w:tcPr>
          <w:p w:rsidRPr="00DA38F0" w:rsidR="001501E3" w:rsidP="002A09E5" w:rsidRDefault="001501E3" w14:paraId="52F99460" w14:textId="77777777">
            <w:pPr>
              <w:jc w:val="center"/>
              <w:rPr>
                <w:rFonts w:ascii="Times New Roman" w:hAnsi="Times New Roman"/>
                <w:b/>
                <w:bCs/>
                <w:color w:val="000000"/>
                <w:sz w:val="20"/>
              </w:rPr>
            </w:pPr>
            <w:r w:rsidRPr="00DA38F0">
              <w:rPr>
                <w:rFonts w:ascii="Times New Roman" w:hAnsi="Times New Roman"/>
                <w:b/>
                <w:bCs/>
                <w:color w:val="000000"/>
                <w:sz w:val="20"/>
              </w:rPr>
              <w:t>Cost to Federal Government</w:t>
            </w:r>
          </w:p>
        </w:tc>
      </w:tr>
      <w:tr w:rsidRPr="001501E3" w:rsidR="001501E3" w:rsidTr="00DA38F0" w14:paraId="677C8FEE" w14:textId="77777777">
        <w:trPr>
          <w:trHeight w:val="690"/>
        </w:trPr>
        <w:tc>
          <w:tcPr>
            <w:tcW w:w="3725" w:type="dxa"/>
            <w:tcBorders>
              <w:top w:val="nil"/>
              <w:left w:val="single" w:color="auto" w:sz="8" w:space="0"/>
              <w:bottom w:val="single" w:color="auto" w:sz="8" w:space="0"/>
              <w:right w:val="single" w:color="auto" w:sz="8" w:space="0"/>
            </w:tcBorders>
            <w:shd w:val="clear" w:color="auto" w:fill="auto"/>
            <w:vAlign w:val="center"/>
            <w:hideMark/>
          </w:tcPr>
          <w:p w:rsidRPr="00DA38F0" w:rsidR="001501E3" w:rsidRDefault="001501E3" w14:paraId="3D929309" w14:textId="77777777">
            <w:pPr>
              <w:rPr>
                <w:rFonts w:ascii="Times New Roman" w:hAnsi="Times New Roman"/>
                <w:color w:val="000000"/>
                <w:sz w:val="20"/>
              </w:rPr>
            </w:pPr>
            <w:r w:rsidRPr="00DA38F0">
              <w:rPr>
                <w:rFonts w:ascii="Times New Roman" w:hAnsi="Times New Roman"/>
                <w:color w:val="000000"/>
                <w:sz w:val="20"/>
              </w:rPr>
              <w:t xml:space="preserve">Gather data and develop OMB justification statement </w:t>
            </w:r>
          </w:p>
        </w:tc>
        <w:tc>
          <w:tcPr>
            <w:tcW w:w="1710" w:type="dxa"/>
            <w:tcBorders>
              <w:top w:val="nil"/>
              <w:left w:val="nil"/>
              <w:bottom w:val="single" w:color="auto" w:sz="8" w:space="0"/>
              <w:right w:val="single" w:color="auto" w:sz="8" w:space="0"/>
            </w:tcBorders>
            <w:shd w:val="clear" w:color="auto" w:fill="auto"/>
            <w:vAlign w:val="center"/>
            <w:hideMark/>
          </w:tcPr>
          <w:p w:rsidRPr="00DA38F0" w:rsidR="001501E3" w:rsidRDefault="001501E3" w14:paraId="3B1F93E4" w14:textId="77777777">
            <w:pPr>
              <w:jc w:val="center"/>
              <w:rPr>
                <w:rFonts w:ascii="Times New Roman" w:hAnsi="Times New Roman"/>
                <w:color w:val="000000"/>
                <w:sz w:val="20"/>
              </w:rPr>
            </w:pPr>
            <w:r w:rsidRPr="00DA38F0">
              <w:rPr>
                <w:rFonts w:ascii="Times New Roman" w:hAnsi="Times New Roman"/>
                <w:color w:val="000000"/>
                <w:sz w:val="20"/>
              </w:rPr>
              <w:t xml:space="preserve">$65 </w:t>
            </w:r>
          </w:p>
        </w:tc>
        <w:tc>
          <w:tcPr>
            <w:tcW w:w="1083" w:type="dxa"/>
            <w:tcBorders>
              <w:top w:val="nil"/>
              <w:left w:val="nil"/>
              <w:bottom w:val="single" w:color="auto" w:sz="8" w:space="0"/>
              <w:right w:val="single" w:color="auto" w:sz="8" w:space="0"/>
            </w:tcBorders>
            <w:shd w:val="clear" w:color="auto" w:fill="auto"/>
            <w:vAlign w:val="center"/>
            <w:hideMark/>
          </w:tcPr>
          <w:p w:rsidRPr="00DA38F0" w:rsidR="001501E3" w:rsidRDefault="001501E3" w14:paraId="45796094" w14:textId="77777777">
            <w:pPr>
              <w:jc w:val="center"/>
              <w:rPr>
                <w:rFonts w:ascii="Times New Roman" w:hAnsi="Times New Roman"/>
                <w:color w:val="000000"/>
                <w:sz w:val="20"/>
              </w:rPr>
            </w:pPr>
            <w:r w:rsidRPr="00DA38F0">
              <w:rPr>
                <w:rFonts w:ascii="Times New Roman" w:hAnsi="Times New Roman"/>
                <w:color w:val="000000"/>
                <w:sz w:val="20"/>
              </w:rPr>
              <w:t>1</w:t>
            </w:r>
          </w:p>
        </w:tc>
        <w:tc>
          <w:tcPr>
            <w:tcW w:w="933" w:type="dxa"/>
            <w:tcBorders>
              <w:top w:val="single" w:color="auto" w:sz="4" w:space="0"/>
              <w:left w:val="nil"/>
              <w:bottom w:val="single" w:color="auto" w:sz="8" w:space="0"/>
              <w:right w:val="single" w:color="auto" w:sz="8" w:space="0"/>
            </w:tcBorders>
            <w:shd w:val="clear" w:color="auto" w:fill="auto"/>
            <w:vAlign w:val="center"/>
            <w:hideMark/>
          </w:tcPr>
          <w:p w:rsidRPr="00DA38F0" w:rsidR="001501E3" w:rsidRDefault="001501E3" w14:paraId="5C7AE3EF" w14:textId="77777777">
            <w:pPr>
              <w:jc w:val="center"/>
              <w:rPr>
                <w:rFonts w:ascii="Times New Roman" w:hAnsi="Times New Roman"/>
                <w:color w:val="000000"/>
                <w:sz w:val="20"/>
              </w:rPr>
            </w:pPr>
            <w:r w:rsidRPr="00DA38F0">
              <w:rPr>
                <w:rFonts w:ascii="Times New Roman" w:hAnsi="Times New Roman"/>
                <w:color w:val="000000"/>
                <w:sz w:val="20"/>
              </w:rPr>
              <w:t>30</w:t>
            </w:r>
          </w:p>
        </w:tc>
        <w:tc>
          <w:tcPr>
            <w:tcW w:w="1294" w:type="dxa"/>
            <w:tcBorders>
              <w:top w:val="nil"/>
              <w:left w:val="nil"/>
              <w:bottom w:val="single" w:color="auto" w:sz="8" w:space="0"/>
              <w:right w:val="single" w:color="auto" w:sz="8" w:space="0"/>
            </w:tcBorders>
            <w:shd w:val="clear" w:color="auto" w:fill="auto"/>
            <w:vAlign w:val="center"/>
            <w:hideMark/>
          </w:tcPr>
          <w:p w:rsidRPr="00DA38F0" w:rsidR="001501E3" w:rsidRDefault="001501E3" w14:paraId="71871D51" w14:textId="77777777">
            <w:pPr>
              <w:jc w:val="center"/>
              <w:rPr>
                <w:rFonts w:ascii="Times New Roman" w:hAnsi="Times New Roman"/>
                <w:color w:val="000000"/>
                <w:sz w:val="20"/>
              </w:rPr>
            </w:pPr>
            <w:r w:rsidRPr="00DA38F0">
              <w:rPr>
                <w:rFonts w:ascii="Times New Roman" w:hAnsi="Times New Roman"/>
                <w:color w:val="000000"/>
                <w:sz w:val="20"/>
              </w:rPr>
              <w:t xml:space="preserve">$1,950 </w:t>
            </w:r>
          </w:p>
        </w:tc>
      </w:tr>
      <w:tr w:rsidRPr="001501E3" w:rsidR="001501E3" w:rsidTr="00DA38F0" w14:paraId="6ADC38CF" w14:textId="77777777">
        <w:trPr>
          <w:trHeight w:val="690"/>
        </w:trPr>
        <w:tc>
          <w:tcPr>
            <w:tcW w:w="3725" w:type="dxa"/>
            <w:tcBorders>
              <w:top w:val="nil"/>
              <w:left w:val="single" w:color="auto" w:sz="8" w:space="0"/>
              <w:bottom w:val="single" w:color="auto" w:sz="8" w:space="0"/>
              <w:right w:val="single" w:color="auto" w:sz="8" w:space="0"/>
            </w:tcBorders>
            <w:shd w:val="clear" w:color="auto" w:fill="auto"/>
            <w:vAlign w:val="center"/>
            <w:hideMark/>
          </w:tcPr>
          <w:p w:rsidRPr="00DA38F0" w:rsidR="001501E3" w:rsidRDefault="001501E3" w14:paraId="30AA7FB1" w14:textId="77777777">
            <w:pPr>
              <w:rPr>
                <w:rFonts w:ascii="Times New Roman" w:hAnsi="Times New Roman"/>
                <w:color w:val="000000"/>
                <w:sz w:val="20"/>
              </w:rPr>
            </w:pPr>
            <w:r w:rsidRPr="00DA38F0">
              <w:rPr>
                <w:rFonts w:ascii="Times New Roman" w:hAnsi="Times New Roman"/>
                <w:color w:val="000000"/>
                <w:sz w:val="20"/>
              </w:rPr>
              <w:t xml:space="preserve">Develop application forms and instructions </w:t>
            </w:r>
          </w:p>
        </w:tc>
        <w:tc>
          <w:tcPr>
            <w:tcW w:w="1710" w:type="dxa"/>
            <w:tcBorders>
              <w:top w:val="nil"/>
              <w:left w:val="nil"/>
              <w:bottom w:val="single" w:color="auto" w:sz="8" w:space="0"/>
              <w:right w:val="single" w:color="auto" w:sz="8" w:space="0"/>
            </w:tcBorders>
            <w:shd w:val="clear" w:color="auto" w:fill="auto"/>
            <w:vAlign w:val="center"/>
            <w:hideMark/>
          </w:tcPr>
          <w:p w:rsidRPr="00DA38F0" w:rsidR="001501E3" w:rsidRDefault="001501E3" w14:paraId="17F1882A" w14:textId="77777777">
            <w:pPr>
              <w:jc w:val="center"/>
              <w:rPr>
                <w:rFonts w:ascii="Times New Roman" w:hAnsi="Times New Roman"/>
                <w:color w:val="000000"/>
                <w:sz w:val="20"/>
              </w:rPr>
            </w:pPr>
            <w:r w:rsidRPr="00DA38F0">
              <w:rPr>
                <w:rFonts w:ascii="Times New Roman" w:hAnsi="Times New Roman"/>
                <w:color w:val="000000"/>
                <w:sz w:val="20"/>
              </w:rPr>
              <w:t xml:space="preserve">$65 </w:t>
            </w:r>
          </w:p>
        </w:tc>
        <w:tc>
          <w:tcPr>
            <w:tcW w:w="1083" w:type="dxa"/>
            <w:tcBorders>
              <w:top w:val="nil"/>
              <w:left w:val="nil"/>
              <w:bottom w:val="single" w:color="auto" w:sz="8" w:space="0"/>
              <w:right w:val="single" w:color="auto" w:sz="8" w:space="0"/>
            </w:tcBorders>
            <w:shd w:val="clear" w:color="auto" w:fill="auto"/>
            <w:vAlign w:val="center"/>
            <w:hideMark/>
          </w:tcPr>
          <w:p w:rsidRPr="00DA38F0" w:rsidR="001501E3" w:rsidRDefault="001501E3" w14:paraId="28016516" w14:textId="77777777">
            <w:pPr>
              <w:jc w:val="center"/>
              <w:rPr>
                <w:rFonts w:ascii="Times New Roman" w:hAnsi="Times New Roman"/>
                <w:color w:val="000000"/>
                <w:sz w:val="20"/>
              </w:rPr>
            </w:pPr>
            <w:r w:rsidRPr="00DA38F0">
              <w:rPr>
                <w:rFonts w:ascii="Times New Roman" w:hAnsi="Times New Roman"/>
                <w:color w:val="000000"/>
                <w:sz w:val="20"/>
              </w:rPr>
              <w:t>1</w:t>
            </w:r>
          </w:p>
        </w:tc>
        <w:tc>
          <w:tcPr>
            <w:tcW w:w="933" w:type="dxa"/>
            <w:tcBorders>
              <w:top w:val="nil"/>
              <w:left w:val="nil"/>
              <w:bottom w:val="single" w:color="auto" w:sz="8" w:space="0"/>
              <w:right w:val="single" w:color="auto" w:sz="8" w:space="0"/>
            </w:tcBorders>
            <w:shd w:val="clear" w:color="auto" w:fill="auto"/>
            <w:vAlign w:val="center"/>
            <w:hideMark/>
          </w:tcPr>
          <w:p w:rsidRPr="00DA38F0" w:rsidR="001501E3" w:rsidRDefault="001501E3" w14:paraId="588FCED0" w14:textId="77777777">
            <w:pPr>
              <w:jc w:val="center"/>
              <w:rPr>
                <w:rFonts w:ascii="Times New Roman" w:hAnsi="Times New Roman"/>
                <w:color w:val="000000"/>
                <w:sz w:val="20"/>
              </w:rPr>
            </w:pPr>
            <w:r w:rsidRPr="00DA38F0">
              <w:rPr>
                <w:rFonts w:ascii="Times New Roman" w:hAnsi="Times New Roman"/>
                <w:color w:val="000000"/>
                <w:sz w:val="20"/>
              </w:rPr>
              <w:t>60</w:t>
            </w:r>
          </w:p>
        </w:tc>
        <w:tc>
          <w:tcPr>
            <w:tcW w:w="1294" w:type="dxa"/>
            <w:tcBorders>
              <w:top w:val="nil"/>
              <w:left w:val="nil"/>
              <w:bottom w:val="single" w:color="auto" w:sz="8" w:space="0"/>
              <w:right w:val="single" w:color="auto" w:sz="8" w:space="0"/>
            </w:tcBorders>
            <w:shd w:val="clear" w:color="auto" w:fill="auto"/>
            <w:vAlign w:val="center"/>
            <w:hideMark/>
          </w:tcPr>
          <w:p w:rsidRPr="00DA38F0" w:rsidR="001501E3" w:rsidRDefault="001501E3" w14:paraId="1FFDE8E4" w14:textId="77777777">
            <w:pPr>
              <w:jc w:val="center"/>
              <w:rPr>
                <w:rFonts w:ascii="Times New Roman" w:hAnsi="Times New Roman"/>
                <w:color w:val="000000"/>
                <w:sz w:val="20"/>
              </w:rPr>
            </w:pPr>
            <w:r w:rsidRPr="00DA38F0">
              <w:rPr>
                <w:rFonts w:ascii="Times New Roman" w:hAnsi="Times New Roman"/>
                <w:color w:val="000000"/>
                <w:sz w:val="20"/>
              </w:rPr>
              <w:t xml:space="preserve">$3,900 </w:t>
            </w:r>
          </w:p>
        </w:tc>
      </w:tr>
      <w:tr w:rsidRPr="001501E3" w:rsidR="001501E3" w:rsidTr="00DA38F0" w14:paraId="509E6362" w14:textId="77777777">
        <w:trPr>
          <w:trHeight w:val="690"/>
        </w:trPr>
        <w:tc>
          <w:tcPr>
            <w:tcW w:w="3725" w:type="dxa"/>
            <w:vMerge w:val="restart"/>
            <w:tcBorders>
              <w:top w:val="nil"/>
              <w:left w:val="single" w:color="auto" w:sz="8" w:space="0"/>
              <w:bottom w:val="single" w:color="000000" w:sz="8" w:space="0"/>
              <w:right w:val="single" w:color="auto" w:sz="8" w:space="0"/>
            </w:tcBorders>
            <w:shd w:val="clear" w:color="auto" w:fill="auto"/>
            <w:vAlign w:val="center"/>
            <w:hideMark/>
          </w:tcPr>
          <w:p w:rsidRPr="00DA38F0" w:rsidR="001501E3" w:rsidRDefault="001501E3" w14:paraId="1D7C5011" w14:textId="77777777">
            <w:pPr>
              <w:rPr>
                <w:rFonts w:ascii="Times New Roman" w:hAnsi="Times New Roman"/>
                <w:color w:val="000000"/>
                <w:sz w:val="20"/>
              </w:rPr>
            </w:pPr>
            <w:r w:rsidRPr="00DA38F0">
              <w:rPr>
                <w:rFonts w:ascii="Times New Roman" w:hAnsi="Times New Roman"/>
                <w:color w:val="000000"/>
                <w:sz w:val="20"/>
              </w:rPr>
              <w:t>Develop and seek approval to publish Notice Inviting Applications</w:t>
            </w:r>
          </w:p>
        </w:tc>
        <w:tc>
          <w:tcPr>
            <w:tcW w:w="1710" w:type="dxa"/>
            <w:vMerge w:val="restart"/>
            <w:tcBorders>
              <w:top w:val="nil"/>
              <w:left w:val="single" w:color="auto" w:sz="8" w:space="0"/>
              <w:bottom w:val="single" w:color="000000" w:sz="8" w:space="0"/>
              <w:right w:val="single" w:color="auto" w:sz="8" w:space="0"/>
            </w:tcBorders>
            <w:shd w:val="clear" w:color="auto" w:fill="auto"/>
            <w:vAlign w:val="center"/>
            <w:hideMark/>
          </w:tcPr>
          <w:p w:rsidRPr="00DA38F0" w:rsidR="001501E3" w:rsidRDefault="001501E3" w14:paraId="4518612F" w14:textId="77777777">
            <w:pPr>
              <w:jc w:val="center"/>
              <w:rPr>
                <w:rFonts w:ascii="Times New Roman" w:hAnsi="Times New Roman"/>
                <w:color w:val="000000"/>
                <w:sz w:val="20"/>
              </w:rPr>
            </w:pPr>
            <w:r w:rsidRPr="00DA38F0">
              <w:rPr>
                <w:rFonts w:ascii="Times New Roman" w:hAnsi="Times New Roman"/>
                <w:color w:val="000000"/>
                <w:sz w:val="20"/>
              </w:rPr>
              <w:t xml:space="preserve">$65 </w:t>
            </w:r>
          </w:p>
        </w:tc>
        <w:tc>
          <w:tcPr>
            <w:tcW w:w="1083" w:type="dxa"/>
            <w:vMerge w:val="restart"/>
            <w:tcBorders>
              <w:top w:val="nil"/>
              <w:left w:val="single" w:color="auto" w:sz="8" w:space="0"/>
              <w:bottom w:val="single" w:color="000000" w:sz="8" w:space="0"/>
              <w:right w:val="single" w:color="auto" w:sz="8" w:space="0"/>
            </w:tcBorders>
            <w:shd w:val="clear" w:color="auto" w:fill="auto"/>
            <w:vAlign w:val="center"/>
            <w:hideMark/>
          </w:tcPr>
          <w:p w:rsidRPr="00DA38F0" w:rsidR="001501E3" w:rsidRDefault="001501E3" w14:paraId="53552D14" w14:textId="77777777">
            <w:pPr>
              <w:jc w:val="center"/>
              <w:rPr>
                <w:rFonts w:ascii="Times New Roman" w:hAnsi="Times New Roman"/>
                <w:color w:val="000000"/>
                <w:sz w:val="20"/>
              </w:rPr>
            </w:pPr>
            <w:r w:rsidRPr="00DA38F0">
              <w:rPr>
                <w:rFonts w:ascii="Times New Roman" w:hAnsi="Times New Roman"/>
                <w:color w:val="000000"/>
                <w:sz w:val="20"/>
              </w:rPr>
              <w:t>1</w:t>
            </w:r>
          </w:p>
        </w:tc>
        <w:tc>
          <w:tcPr>
            <w:tcW w:w="933" w:type="dxa"/>
            <w:vMerge w:val="restart"/>
            <w:tcBorders>
              <w:top w:val="nil"/>
              <w:left w:val="single" w:color="auto" w:sz="8" w:space="0"/>
              <w:bottom w:val="single" w:color="000000" w:sz="8" w:space="0"/>
              <w:right w:val="single" w:color="auto" w:sz="8" w:space="0"/>
            </w:tcBorders>
            <w:shd w:val="clear" w:color="auto" w:fill="auto"/>
            <w:vAlign w:val="center"/>
            <w:hideMark/>
          </w:tcPr>
          <w:p w:rsidRPr="00DA38F0" w:rsidR="001501E3" w:rsidRDefault="001501E3" w14:paraId="05AF2C6A" w14:textId="77777777">
            <w:pPr>
              <w:jc w:val="center"/>
              <w:rPr>
                <w:rFonts w:ascii="Times New Roman" w:hAnsi="Times New Roman"/>
                <w:color w:val="000000"/>
                <w:sz w:val="20"/>
              </w:rPr>
            </w:pPr>
            <w:r w:rsidRPr="00DA38F0">
              <w:rPr>
                <w:rFonts w:ascii="Times New Roman" w:hAnsi="Times New Roman"/>
                <w:color w:val="000000"/>
                <w:sz w:val="20"/>
              </w:rPr>
              <w:t>60</w:t>
            </w:r>
          </w:p>
        </w:tc>
        <w:tc>
          <w:tcPr>
            <w:tcW w:w="1294" w:type="dxa"/>
            <w:vMerge w:val="restart"/>
            <w:tcBorders>
              <w:top w:val="nil"/>
              <w:left w:val="single" w:color="auto" w:sz="8" w:space="0"/>
              <w:bottom w:val="single" w:color="000000" w:sz="8" w:space="0"/>
              <w:right w:val="single" w:color="auto" w:sz="8" w:space="0"/>
            </w:tcBorders>
            <w:shd w:val="clear" w:color="auto" w:fill="auto"/>
            <w:vAlign w:val="center"/>
            <w:hideMark/>
          </w:tcPr>
          <w:p w:rsidRPr="00DA38F0" w:rsidR="001501E3" w:rsidRDefault="001501E3" w14:paraId="2C479150" w14:textId="77777777">
            <w:pPr>
              <w:jc w:val="center"/>
              <w:rPr>
                <w:rFonts w:ascii="Times New Roman" w:hAnsi="Times New Roman"/>
                <w:color w:val="000000"/>
                <w:sz w:val="20"/>
              </w:rPr>
            </w:pPr>
            <w:r w:rsidRPr="00DA38F0">
              <w:rPr>
                <w:rFonts w:ascii="Times New Roman" w:hAnsi="Times New Roman"/>
                <w:color w:val="000000"/>
                <w:sz w:val="20"/>
              </w:rPr>
              <w:t xml:space="preserve">$3,900 </w:t>
            </w:r>
          </w:p>
        </w:tc>
      </w:tr>
      <w:tr w:rsidRPr="001501E3" w:rsidR="001501E3" w:rsidTr="00DA38F0" w14:paraId="484ED6C5" w14:textId="77777777">
        <w:trPr>
          <w:trHeight w:val="272"/>
        </w:trPr>
        <w:tc>
          <w:tcPr>
            <w:tcW w:w="3725" w:type="dxa"/>
            <w:vMerge/>
            <w:tcBorders>
              <w:top w:val="nil"/>
              <w:left w:val="single" w:color="auto" w:sz="8" w:space="0"/>
              <w:bottom w:val="single" w:color="000000" w:sz="8" w:space="0"/>
              <w:right w:val="single" w:color="auto" w:sz="8" w:space="0"/>
            </w:tcBorders>
            <w:vAlign w:val="center"/>
            <w:hideMark/>
          </w:tcPr>
          <w:p w:rsidRPr="00DA38F0" w:rsidR="001501E3" w:rsidRDefault="001501E3" w14:paraId="67577EB7" w14:textId="77777777">
            <w:pPr>
              <w:rPr>
                <w:rFonts w:ascii="Times New Roman" w:hAnsi="Times New Roman"/>
                <w:color w:val="000000"/>
                <w:sz w:val="20"/>
              </w:rPr>
            </w:pPr>
          </w:p>
        </w:tc>
        <w:tc>
          <w:tcPr>
            <w:tcW w:w="1710" w:type="dxa"/>
            <w:vMerge/>
            <w:tcBorders>
              <w:top w:val="nil"/>
              <w:left w:val="single" w:color="auto" w:sz="8" w:space="0"/>
              <w:bottom w:val="single" w:color="000000" w:sz="8" w:space="0"/>
              <w:right w:val="single" w:color="auto" w:sz="8" w:space="0"/>
            </w:tcBorders>
            <w:vAlign w:val="center"/>
            <w:hideMark/>
          </w:tcPr>
          <w:p w:rsidRPr="00DA38F0" w:rsidR="001501E3" w:rsidRDefault="001501E3" w14:paraId="22A523B3" w14:textId="77777777">
            <w:pPr>
              <w:rPr>
                <w:rFonts w:ascii="Times New Roman" w:hAnsi="Times New Roman"/>
                <w:color w:val="000000"/>
                <w:sz w:val="20"/>
              </w:rPr>
            </w:pPr>
          </w:p>
        </w:tc>
        <w:tc>
          <w:tcPr>
            <w:tcW w:w="1083" w:type="dxa"/>
            <w:vMerge/>
            <w:tcBorders>
              <w:top w:val="nil"/>
              <w:left w:val="single" w:color="auto" w:sz="8" w:space="0"/>
              <w:bottom w:val="single" w:color="000000" w:sz="8" w:space="0"/>
              <w:right w:val="single" w:color="auto" w:sz="8" w:space="0"/>
            </w:tcBorders>
            <w:vAlign w:val="center"/>
            <w:hideMark/>
          </w:tcPr>
          <w:p w:rsidRPr="00DA38F0" w:rsidR="001501E3" w:rsidRDefault="001501E3" w14:paraId="34574F1D" w14:textId="77777777">
            <w:pPr>
              <w:rPr>
                <w:rFonts w:ascii="Times New Roman" w:hAnsi="Times New Roman"/>
                <w:color w:val="000000"/>
                <w:sz w:val="20"/>
              </w:rPr>
            </w:pPr>
          </w:p>
        </w:tc>
        <w:tc>
          <w:tcPr>
            <w:tcW w:w="933" w:type="dxa"/>
            <w:vMerge/>
            <w:tcBorders>
              <w:top w:val="nil"/>
              <w:left w:val="single" w:color="auto" w:sz="8" w:space="0"/>
              <w:bottom w:val="single" w:color="000000" w:sz="8" w:space="0"/>
              <w:right w:val="single" w:color="auto" w:sz="8" w:space="0"/>
            </w:tcBorders>
            <w:vAlign w:val="center"/>
            <w:hideMark/>
          </w:tcPr>
          <w:p w:rsidRPr="00DA38F0" w:rsidR="001501E3" w:rsidRDefault="001501E3" w14:paraId="1482D126" w14:textId="77777777">
            <w:pPr>
              <w:rPr>
                <w:rFonts w:ascii="Times New Roman" w:hAnsi="Times New Roman"/>
                <w:color w:val="000000"/>
                <w:sz w:val="20"/>
              </w:rPr>
            </w:pPr>
          </w:p>
        </w:tc>
        <w:tc>
          <w:tcPr>
            <w:tcW w:w="1294" w:type="dxa"/>
            <w:vMerge/>
            <w:tcBorders>
              <w:top w:val="nil"/>
              <w:left w:val="single" w:color="auto" w:sz="8" w:space="0"/>
              <w:bottom w:val="single" w:color="000000" w:sz="8" w:space="0"/>
              <w:right w:val="single" w:color="auto" w:sz="8" w:space="0"/>
            </w:tcBorders>
            <w:vAlign w:val="center"/>
            <w:hideMark/>
          </w:tcPr>
          <w:p w:rsidRPr="00DA38F0" w:rsidR="001501E3" w:rsidRDefault="001501E3" w14:paraId="799E4876" w14:textId="77777777">
            <w:pPr>
              <w:rPr>
                <w:rFonts w:ascii="Times New Roman" w:hAnsi="Times New Roman"/>
                <w:color w:val="000000"/>
                <w:sz w:val="20"/>
              </w:rPr>
            </w:pPr>
          </w:p>
        </w:tc>
      </w:tr>
      <w:tr w:rsidRPr="001501E3" w:rsidR="001501E3" w:rsidTr="00DA38F0" w14:paraId="3AB1EB4B" w14:textId="77777777">
        <w:trPr>
          <w:trHeight w:val="690"/>
        </w:trPr>
        <w:tc>
          <w:tcPr>
            <w:tcW w:w="3725" w:type="dxa"/>
            <w:tcBorders>
              <w:top w:val="nil"/>
              <w:left w:val="single" w:color="auto" w:sz="8" w:space="0"/>
              <w:bottom w:val="single" w:color="auto" w:sz="8" w:space="0"/>
              <w:right w:val="single" w:color="auto" w:sz="8" w:space="0"/>
            </w:tcBorders>
            <w:shd w:val="clear" w:color="auto" w:fill="auto"/>
            <w:vAlign w:val="center"/>
            <w:hideMark/>
          </w:tcPr>
          <w:p w:rsidRPr="00DA38F0" w:rsidR="001501E3" w:rsidRDefault="001501E3" w14:paraId="13921FCE" w14:textId="77777777">
            <w:pPr>
              <w:rPr>
                <w:rFonts w:ascii="Times New Roman" w:hAnsi="Times New Roman"/>
                <w:color w:val="000000"/>
                <w:sz w:val="20"/>
              </w:rPr>
            </w:pPr>
            <w:r w:rsidRPr="00DA38F0">
              <w:rPr>
                <w:rFonts w:ascii="Times New Roman" w:hAnsi="Times New Roman"/>
                <w:color w:val="000000"/>
                <w:sz w:val="20"/>
              </w:rPr>
              <w:t>Post 1 application on the Department’s website</w:t>
            </w:r>
          </w:p>
        </w:tc>
        <w:tc>
          <w:tcPr>
            <w:tcW w:w="1710" w:type="dxa"/>
            <w:tcBorders>
              <w:top w:val="nil"/>
              <w:left w:val="nil"/>
              <w:bottom w:val="single" w:color="auto" w:sz="8" w:space="0"/>
              <w:right w:val="single" w:color="auto" w:sz="8" w:space="0"/>
            </w:tcBorders>
            <w:shd w:val="clear" w:color="auto" w:fill="auto"/>
            <w:vAlign w:val="center"/>
            <w:hideMark/>
          </w:tcPr>
          <w:p w:rsidRPr="00DA38F0" w:rsidR="001501E3" w:rsidRDefault="001501E3" w14:paraId="67DAEC50" w14:textId="77777777">
            <w:pPr>
              <w:jc w:val="center"/>
              <w:rPr>
                <w:rFonts w:ascii="Times New Roman" w:hAnsi="Times New Roman"/>
                <w:color w:val="000000"/>
                <w:sz w:val="20"/>
              </w:rPr>
            </w:pPr>
            <w:r w:rsidRPr="00DA38F0">
              <w:rPr>
                <w:rFonts w:ascii="Times New Roman" w:hAnsi="Times New Roman"/>
                <w:color w:val="000000"/>
                <w:sz w:val="20"/>
              </w:rPr>
              <w:t xml:space="preserve">$65 </w:t>
            </w:r>
          </w:p>
        </w:tc>
        <w:tc>
          <w:tcPr>
            <w:tcW w:w="1083" w:type="dxa"/>
            <w:tcBorders>
              <w:top w:val="nil"/>
              <w:left w:val="nil"/>
              <w:bottom w:val="single" w:color="auto" w:sz="8" w:space="0"/>
              <w:right w:val="single" w:color="auto" w:sz="8" w:space="0"/>
            </w:tcBorders>
            <w:shd w:val="clear" w:color="auto" w:fill="auto"/>
            <w:vAlign w:val="center"/>
            <w:hideMark/>
          </w:tcPr>
          <w:p w:rsidRPr="00DA38F0" w:rsidR="001501E3" w:rsidRDefault="001501E3" w14:paraId="54A8A808" w14:textId="77777777">
            <w:pPr>
              <w:jc w:val="center"/>
              <w:rPr>
                <w:rFonts w:ascii="Times New Roman" w:hAnsi="Times New Roman"/>
                <w:color w:val="000000"/>
                <w:sz w:val="20"/>
              </w:rPr>
            </w:pPr>
            <w:r w:rsidRPr="00DA38F0">
              <w:rPr>
                <w:rFonts w:ascii="Times New Roman" w:hAnsi="Times New Roman"/>
                <w:color w:val="000000"/>
                <w:sz w:val="20"/>
              </w:rPr>
              <w:t>1</w:t>
            </w:r>
          </w:p>
        </w:tc>
        <w:tc>
          <w:tcPr>
            <w:tcW w:w="933" w:type="dxa"/>
            <w:tcBorders>
              <w:top w:val="nil"/>
              <w:left w:val="nil"/>
              <w:bottom w:val="single" w:color="auto" w:sz="8" w:space="0"/>
              <w:right w:val="single" w:color="auto" w:sz="8" w:space="0"/>
            </w:tcBorders>
            <w:shd w:val="clear" w:color="auto" w:fill="auto"/>
            <w:vAlign w:val="center"/>
            <w:hideMark/>
          </w:tcPr>
          <w:p w:rsidRPr="00DA38F0" w:rsidR="001501E3" w:rsidRDefault="001501E3" w14:paraId="6543151E" w14:textId="77777777">
            <w:pPr>
              <w:jc w:val="center"/>
              <w:rPr>
                <w:rFonts w:ascii="Times New Roman" w:hAnsi="Times New Roman"/>
                <w:color w:val="000000"/>
                <w:sz w:val="20"/>
              </w:rPr>
            </w:pPr>
            <w:r w:rsidRPr="00DA38F0">
              <w:rPr>
                <w:rFonts w:ascii="Times New Roman" w:hAnsi="Times New Roman"/>
                <w:color w:val="000000"/>
                <w:sz w:val="20"/>
              </w:rPr>
              <w:t>20</w:t>
            </w:r>
          </w:p>
        </w:tc>
        <w:tc>
          <w:tcPr>
            <w:tcW w:w="1294" w:type="dxa"/>
            <w:tcBorders>
              <w:top w:val="nil"/>
              <w:left w:val="nil"/>
              <w:bottom w:val="single" w:color="auto" w:sz="8" w:space="0"/>
              <w:right w:val="single" w:color="auto" w:sz="8" w:space="0"/>
            </w:tcBorders>
            <w:shd w:val="clear" w:color="auto" w:fill="auto"/>
            <w:vAlign w:val="center"/>
            <w:hideMark/>
          </w:tcPr>
          <w:p w:rsidRPr="00DA38F0" w:rsidR="001501E3" w:rsidRDefault="001501E3" w14:paraId="598E1469" w14:textId="77777777">
            <w:pPr>
              <w:jc w:val="center"/>
              <w:rPr>
                <w:rFonts w:ascii="Times New Roman" w:hAnsi="Times New Roman"/>
                <w:color w:val="000000"/>
                <w:sz w:val="20"/>
              </w:rPr>
            </w:pPr>
            <w:r w:rsidRPr="00DA38F0">
              <w:rPr>
                <w:rFonts w:ascii="Times New Roman" w:hAnsi="Times New Roman"/>
                <w:color w:val="000000"/>
                <w:sz w:val="20"/>
              </w:rPr>
              <w:t xml:space="preserve">$1,300 </w:t>
            </w:r>
          </w:p>
        </w:tc>
      </w:tr>
      <w:tr w:rsidRPr="001501E3" w:rsidR="001501E3" w:rsidTr="00DA38F0" w14:paraId="07F3759D" w14:textId="77777777">
        <w:trPr>
          <w:trHeight w:val="690"/>
        </w:trPr>
        <w:tc>
          <w:tcPr>
            <w:tcW w:w="3725" w:type="dxa"/>
            <w:tcBorders>
              <w:top w:val="nil"/>
              <w:left w:val="single" w:color="auto" w:sz="8" w:space="0"/>
              <w:bottom w:val="single" w:color="auto" w:sz="8" w:space="0"/>
              <w:right w:val="single" w:color="auto" w:sz="8" w:space="0"/>
            </w:tcBorders>
            <w:shd w:val="clear" w:color="auto" w:fill="auto"/>
            <w:vAlign w:val="center"/>
            <w:hideMark/>
          </w:tcPr>
          <w:p w:rsidRPr="00E34830" w:rsidR="001501E3" w:rsidP="00F002E0" w:rsidRDefault="001501E3" w14:paraId="569C6C58" w14:textId="737DD8E8">
            <w:pPr>
              <w:rPr>
                <w:rFonts w:ascii="Times New Roman" w:hAnsi="Times New Roman"/>
                <w:color w:val="000000"/>
                <w:sz w:val="20"/>
              </w:rPr>
            </w:pPr>
            <w:r w:rsidRPr="00E34830">
              <w:rPr>
                <w:rFonts w:ascii="Times New Roman" w:hAnsi="Times New Roman"/>
                <w:color w:val="000000"/>
                <w:sz w:val="20"/>
              </w:rPr>
              <w:t xml:space="preserve">Establish reader panels in G5 to evaluate </w:t>
            </w:r>
            <w:r w:rsidRPr="00E34830" w:rsidR="00F002E0">
              <w:rPr>
                <w:rFonts w:ascii="Times New Roman" w:hAnsi="Times New Roman"/>
                <w:color w:val="000000"/>
                <w:sz w:val="20"/>
              </w:rPr>
              <w:t xml:space="preserve">27 </w:t>
            </w:r>
            <w:r w:rsidRPr="00E34830">
              <w:rPr>
                <w:rFonts w:ascii="Times New Roman" w:hAnsi="Times New Roman"/>
                <w:color w:val="000000"/>
                <w:sz w:val="20"/>
              </w:rPr>
              <w:t xml:space="preserve">applications </w:t>
            </w:r>
          </w:p>
        </w:tc>
        <w:tc>
          <w:tcPr>
            <w:tcW w:w="1710" w:type="dxa"/>
            <w:tcBorders>
              <w:top w:val="nil"/>
              <w:left w:val="nil"/>
              <w:bottom w:val="single" w:color="auto" w:sz="8" w:space="0"/>
              <w:right w:val="single" w:color="auto" w:sz="8" w:space="0"/>
            </w:tcBorders>
            <w:shd w:val="clear" w:color="auto" w:fill="auto"/>
            <w:vAlign w:val="center"/>
            <w:hideMark/>
          </w:tcPr>
          <w:p w:rsidRPr="00E34830" w:rsidR="001501E3" w:rsidRDefault="001501E3" w14:paraId="49F54C7A" w14:textId="77777777">
            <w:pPr>
              <w:jc w:val="center"/>
              <w:rPr>
                <w:rFonts w:ascii="Times New Roman" w:hAnsi="Times New Roman"/>
                <w:color w:val="000000"/>
                <w:sz w:val="20"/>
              </w:rPr>
            </w:pPr>
            <w:r w:rsidRPr="00E34830">
              <w:rPr>
                <w:rFonts w:ascii="Times New Roman" w:hAnsi="Times New Roman"/>
                <w:color w:val="000000"/>
                <w:sz w:val="20"/>
              </w:rPr>
              <w:t xml:space="preserve">$65 </w:t>
            </w:r>
          </w:p>
        </w:tc>
        <w:tc>
          <w:tcPr>
            <w:tcW w:w="1083" w:type="dxa"/>
            <w:tcBorders>
              <w:top w:val="nil"/>
              <w:left w:val="nil"/>
              <w:bottom w:val="single" w:color="auto" w:sz="8" w:space="0"/>
              <w:right w:val="single" w:color="auto" w:sz="8" w:space="0"/>
            </w:tcBorders>
            <w:shd w:val="clear" w:color="auto" w:fill="auto"/>
            <w:vAlign w:val="center"/>
            <w:hideMark/>
          </w:tcPr>
          <w:p w:rsidRPr="00E34830" w:rsidR="001501E3" w:rsidRDefault="001501E3" w14:paraId="6283BC5C" w14:textId="77777777">
            <w:pPr>
              <w:jc w:val="center"/>
              <w:rPr>
                <w:rFonts w:ascii="Times New Roman" w:hAnsi="Times New Roman"/>
                <w:color w:val="000000"/>
                <w:sz w:val="20"/>
              </w:rPr>
            </w:pPr>
            <w:r w:rsidRPr="00E34830">
              <w:rPr>
                <w:rFonts w:ascii="Times New Roman" w:hAnsi="Times New Roman"/>
                <w:color w:val="000000"/>
                <w:sz w:val="20"/>
              </w:rPr>
              <w:t>1</w:t>
            </w:r>
          </w:p>
        </w:tc>
        <w:tc>
          <w:tcPr>
            <w:tcW w:w="933" w:type="dxa"/>
            <w:tcBorders>
              <w:top w:val="nil"/>
              <w:left w:val="nil"/>
              <w:bottom w:val="single" w:color="auto" w:sz="8" w:space="0"/>
              <w:right w:val="single" w:color="auto" w:sz="8" w:space="0"/>
            </w:tcBorders>
            <w:shd w:val="clear" w:color="auto" w:fill="auto"/>
            <w:vAlign w:val="center"/>
            <w:hideMark/>
          </w:tcPr>
          <w:p w:rsidRPr="00E34830" w:rsidR="001501E3" w:rsidRDefault="001501E3" w14:paraId="72DDFFAB" w14:textId="77777777">
            <w:pPr>
              <w:jc w:val="center"/>
              <w:rPr>
                <w:rFonts w:ascii="Times New Roman" w:hAnsi="Times New Roman"/>
                <w:color w:val="000000"/>
                <w:sz w:val="20"/>
              </w:rPr>
            </w:pPr>
            <w:r w:rsidRPr="00E34830">
              <w:rPr>
                <w:rFonts w:ascii="Times New Roman" w:hAnsi="Times New Roman"/>
                <w:color w:val="000000"/>
                <w:sz w:val="20"/>
              </w:rPr>
              <w:t>10</w:t>
            </w:r>
          </w:p>
        </w:tc>
        <w:tc>
          <w:tcPr>
            <w:tcW w:w="1294" w:type="dxa"/>
            <w:tcBorders>
              <w:top w:val="nil"/>
              <w:left w:val="nil"/>
              <w:bottom w:val="single" w:color="auto" w:sz="8" w:space="0"/>
              <w:right w:val="single" w:color="auto" w:sz="8" w:space="0"/>
            </w:tcBorders>
            <w:shd w:val="clear" w:color="auto" w:fill="auto"/>
            <w:vAlign w:val="center"/>
            <w:hideMark/>
          </w:tcPr>
          <w:p w:rsidRPr="00E34830" w:rsidR="001501E3" w:rsidRDefault="001501E3" w14:paraId="49A632B0" w14:textId="77777777">
            <w:pPr>
              <w:jc w:val="center"/>
              <w:rPr>
                <w:rFonts w:ascii="Times New Roman" w:hAnsi="Times New Roman"/>
                <w:color w:val="000000"/>
                <w:sz w:val="20"/>
              </w:rPr>
            </w:pPr>
            <w:r w:rsidRPr="00E34830">
              <w:rPr>
                <w:rFonts w:ascii="Times New Roman" w:hAnsi="Times New Roman"/>
                <w:color w:val="000000"/>
                <w:sz w:val="20"/>
              </w:rPr>
              <w:t xml:space="preserve">$650 </w:t>
            </w:r>
          </w:p>
        </w:tc>
      </w:tr>
      <w:tr w:rsidRPr="001501E3" w:rsidR="001501E3" w:rsidTr="00DA38F0" w14:paraId="0B571B72" w14:textId="77777777">
        <w:trPr>
          <w:trHeight w:val="690"/>
        </w:trPr>
        <w:tc>
          <w:tcPr>
            <w:tcW w:w="3725" w:type="dxa"/>
            <w:tcBorders>
              <w:top w:val="nil"/>
              <w:left w:val="single" w:color="auto" w:sz="8" w:space="0"/>
              <w:bottom w:val="single" w:color="auto" w:sz="8" w:space="0"/>
              <w:right w:val="single" w:color="auto" w:sz="8" w:space="0"/>
            </w:tcBorders>
            <w:shd w:val="clear" w:color="auto" w:fill="auto"/>
            <w:vAlign w:val="center"/>
            <w:hideMark/>
          </w:tcPr>
          <w:p w:rsidRPr="00E34830" w:rsidR="001501E3" w:rsidRDefault="001501E3" w14:paraId="21F3BC30" w14:textId="54FEC68F">
            <w:pPr>
              <w:rPr>
                <w:rFonts w:ascii="Times New Roman" w:hAnsi="Times New Roman"/>
                <w:color w:val="000000"/>
                <w:sz w:val="20"/>
              </w:rPr>
            </w:pPr>
            <w:r w:rsidRPr="00E34830">
              <w:rPr>
                <w:rFonts w:ascii="Times New Roman" w:hAnsi="Times New Roman"/>
                <w:color w:val="000000"/>
                <w:sz w:val="20"/>
              </w:rPr>
              <w:t>Conduct conference c</w:t>
            </w:r>
            <w:r w:rsidRPr="00E34830" w:rsidR="00FC442E">
              <w:rPr>
                <w:rFonts w:ascii="Times New Roman" w:hAnsi="Times New Roman"/>
                <w:color w:val="000000"/>
                <w:sz w:val="20"/>
              </w:rPr>
              <w:t>alls; monitor panels via e-mail</w:t>
            </w:r>
            <w:r w:rsidRPr="00E34830">
              <w:rPr>
                <w:rFonts w:ascii="Times New Roman" w:hAnsi="Times New Roman"/>
                <w:color w:val="000000"/>
                <w:sz w:val="20"/>
              </w:rPr>
              <w:t>; read reviewers’ comments in G5</w:t>
            </w:r>
          </w:p>
        </w:tc>
        <w:tc>
          <w:tcPr>
            <w:tcW w:w="1710" w:type="dxa"/>
            <w:tcBorders>
              <w:top w:val="nil"/>
              <w:left w:val="nil"/>
              <w:bottom w:val="single" w:color="auto" w:sz="8" w:space="0"/>
              <w:right w:val="single" w:color="auto" w:sz="8" w:space="0"/>
            </w:tcBorders>
            <w:shd w:val="clear" w:color="auto" w:fill="auto"/>
            <w:vAlign w:val="center"/>
            <w:hideMark/>
          </w:tcPr>
          <w:p w:rsidRPr="00E34830" w:rsidR="001501E3" w:rsidRDefault="001501E3" w14:paraId="1E87411A" w14:textId="77777777">
            <w:pPr>
              <w:jc w:val="center"/>
              <w:rPr>
                <w:rFonts w:ascii="Times New Roman" w:hAnsi="Times New Roman"/>
                <w:color w:val="000000"/>
                <w:sz w:val="20"/>
              </w:rPr>
            </w:pPr>
            <w:r w:rsidRPr="00E34830">
              <w:rPr>
                <w:rFonts w:ascii="Times New Roman" w:hAnsi="Times New Roman"/>
                <w:color w:val="000000"/>
                <w:sz w:val="20"/>
              </w:rPr>
              <w:t xml:space="preserve">$65 </w:t>
            </w:r>
          </w:p>
        </w:tc>
        <w:tc>
          <w:tcPr>
            <w:tcW w:w="1083" w:type="dxa"/>
            <w:tcBorders>
              <w:top w:val="nil"/>
              <w:left w:val="nil"/>
              <w:bottom w:val="single" w:color="auto" w:sz="8" w:space="0"/>
              <w:right w:val="single" w:color="auto" w:sz="8" w:space="0"/>
            </w:tcBorders>
            <w:shd w:val="clear" w:color="auto" w:fill="auto"/>
            <w:vAlign w:val="center"/>
            <w:hideMark/>
          </w:tcPr>
          <w:p w:rsidRPr="00E34830" w:rsidR="001501E3" w:rsidRDefault="001501E3" w14:paraId="45D936BF" w14:textId="77777777">
            <w:pPr>
              <w:jc w:val="center"/>
              <w:rPr>
                <w:rFonts w:ascii="Times New Roman" w:hAnsi="Times New Roman"/>
                <w:color w:val="000000"/>
                <w:sz w:val="20"/>
              </w:rPr>
            </w:pPr>
            <w:r w:rsidRPr="00E34830">
              <w:rPr>
                <w:rFonts w:ascii="Times New Roman" w:hAnsi="Times New Roman"/>
                <w:color w:val="000000"/>
                <w:sz w:val="20"/>
              </w:rPr>
              <w:t>1</w:t>
            </w:r>
          </w:p>
        </w:tc>
        <w:tc>
          <w:tcPr>
            <w:tcW w:w="933" w:type="dxa"/>
            <w:tcBorders>
              <w:top w:val="nil"/>
              <w:left w:val="nil"/>
              <w:bottom w:val="single" w:color="auto" w:sz="8" w:space="0"/>
              <w:right w:val="single" w:color="auto" w:sz="8" w:space="0"/>
            </w:tcBorders>
            <w:shd w:val="clear" w:color="auto" w:fill="auto"/>
            <w:vAlign w:val="center"/>
            <w:hideMark/>
          </w:tcPr>
          <w:p w:rsidRPr="00E34830" w:rsidR="001501E3" w:rsidRDefault="001501E3" w14:paraId="39160EFC" w14:textId="77777777">
            <w:pPr>
              <w:jc w:val="center"/>
              <w:rPr>
                <w:rFonts w:ascii="Times New Roman" w:hAnsi="Times New Roman"/>
                <w:color w:val="000000"/>
                <w:sz w:val="20"/>
              </w:rPr>
            </w:pPr>
            <w:r w:rsidRPr="00E34830">
              <w:rPr>
                <w:rFonts w:ascii="Times New Roman" w:hAnsi="Times New Roman"/>
                <w:color w:val="000000"/>
                <w:sz w:val="20"/>
              </w:rPr>
              <w:t>100</w:t>
            </w:r>
          </w:p>
        </w:tc>
        <w:tc>
          <w:tcPr>
            <w:tcW w:w="1294" w:type="dxa"/>
            <w:tcBorders>
              <w:top w:val="nil"/>
              <w:left w:val="nil"/>
              <w:bottom w:val="single" w:color="auto" w:sz="8" w:space="0"/>
              <w:right w:val="single" w:color="auto" w:sz="8" w:space="0"/>
            </w:tcBorders>
            <w:shd w:val="clear" w:color="auto" w:fill="auto"/>
            <w:vAlign w:val="center"/>
            <w:hideMark/>
          </w:tcPr>
          <w:p w:rsidRPr="00E34830" w:rsidR="001501E3" w:rsidRDefault="001501E3" w14:paraId="1E49ABF8" w14:textId="77777777">
            <w:pPr>
              <w:jc w:val="center"/>
              <w:rPr>
                <w:rFonts w:ascii="Times New Roman" w:hAnsi="Times New Roman"/>
                <w:color w:val="000000"/>
                <w:sz w:val="20"/>
              </w:rPr>
            </w:pPr>
            <w:r w:rsidRPr="00E34830">
              <w:rPr>
                <w:rFonts w:ascii="Times New Roman" w:hAnsi="Times New Roman"/>
                <w:color w:val="000000"/>
                <w:sz w:val="20"/>
              </w:rPr>
              <w:t xml:space="preserve">$6,500 </w:t>
            </w:r>
          </w:p>
        </w:tc>
      </w:tr>
      <w:tr w:rsidRPr="001501E3" w:rsidR="001501E3" w:rsidTr="00DA38F0" w14:paraId="19C79224" w14:textId="77777777">
        <w:trPr>
          <w:trHeight w:val="690"/>
        </w:trPr>
        <w:tc>
          <w:tcPr>
            <w:tcW w:w="3725" w:type="dxa"/>
            <w:tcBorders>
              <w:top w:val="nil"/>
              <w:left w:val="single" w:color="auto" w:sz="8" w:space="0"/>
              <w:bottom w:val="single" w:color="auto" w:sz="8" w:space="0"/>
              <w:right w:val="single" w:color="auto" w:sz="8" w:space="0"/>
            </w:tcBorders>
            <w:shd w:val="clear" w:color="auto" w:fill="auto"/>
            <w:vAlign w:val="center"/>
            <w:hideMark/>
          </w:tcPr>
          <w:p w:rsidRPr="00E34830" w:rsidR="001501E3" w:rsidRDefault="001501E3" w14:paraId="27C4896E" w14:textId="77777777">
            <w:pPr>
              <w:rPr>
                <w:rFonts w:ascii="Times New Roman" w:hAnsi="Times New Roman"/>
                <w:color w:val="000000"/>
                <w:sz w:val="20"/>
              </w:rPr>
            </w:pPr>
            <w:r w:rsidRPr="00E34830">
              <w:rPr>
                <w:rFonts w:ascii="Times New Roman" w:hAnsi="Times New Roman"/>
                <w:color w:val="000000"/>
                <w:sz w:val="20"/>
              </w:rPr>
              <w:t xml:space="preserve">Compensate reviewers after certifying satisfactory completion </w:t>
            </w:r>
          </w:p>
        </w:tc>
        <w:tc>
          <w:tcPr>
            <w:tcW w:w="1710" w:type="dxa"/>
            <w:tcBorders>
              <w:top w:val="nil"/>
              <w:left w:val="nil"/>
              <w:bottom w:val="single" w:color="auto" w:sz="8" w:space="0"/>
              <w:right w:val="single" w:color="auto" w:sz="8" w:space="0"/>
            </w:tcBorders>
            <w:shd w:val="clear" w:color="auto" w:fill="auto"/>
            <w:vAlign w:val="center"/>
            <w:hideMark/>
          </w:tcPr>
          <w:p w:rsidRPr="00E34830" w:rsidR="001501E3" w:rsidRDefault="001501E3" w14:paraId="39D91076" w14:textId="77777777">
            <w:pPr>
              <w:jc w:val="center"/>
              <w:rPr>
                <w:rFonts w:ascii="Times New Roman" w:hAnsi="Times New Roman"/>
                <w:color w:val="000000"/>
                <w:sz w:val="20"/>
              </w:rPr>
            </w:pPr>
            <w:r w:rsidRPr="00E34830">
              <w:rPr>
                <w:rFonts w:ascii="Times New Roman" w:hAnsi="Times New Roman"/>
                <w:color w:val="000000"/>
                <w:sz w:val="20"/>
              </w:rPr>
              <w:t xml:space="preserve">$65 </w:t>
            </w:r>
          </w:p>
        </w:tc>
        <w:tc>
          <w:tcPr>
            <w:tcW w:w="1083" w:type="dxa"/>
            <w:tcBorders>
              <w:top w:val="nil"/>
              <w:left w:val="nil"/>
              <w:bottom w:val="single" w:color="auto" w:sz="8" w:space="0"/>
              <w:right w:val="single" w:color="auto" w:sz="8" w:space="0"/>
            </w:tcBorders>
            <w:shd w:val="clear" w:color="auto" w:fill="auto"/>
            <w:vAlign w:val="center"/>
            <w:hideMark/>
          </w:tcPr>
          <w:p w:rsidRPr="00E34830" w:rsidR="001501E3" w:rsidRDefault="001501E3" w14:paraId="57594DFE" w14:textId="77777777">
            <w:pPr>
              <w:jc w:val="center"/>
              <w:rPr>
                <w:rFonts w:ascii="Times New Roman" w:hAnsi="Times New Roman"/>
                <w:color w:val="000000"/>
                <w:sz w:val="20"/>
              </w:rPr>
            </w:pPr>
            <w:r w:rsidRPr="00E34830">
              <w:rPr>
                <w:rFonts w:ascii="Times New Roman" w:hAnsi="Times New Roman"/>
                <w:color w:val="000000"/>
                <w:sz w:val="20"/>
              </w:rPr>
              <w:t>1</w:t>
            </w:r>
          </w:p>
        </w:tc>
        <w:tc>
          <w:tcPr>
            <w:tcW w:w="933" w:type="dxa"/>
            <w:tcBorders>
              <w:top w:val="nil"/>
              <w:left w:val="nil"/>
              <w:bottom w:val="single" w:color="auto" w:sz="8" w:space="0"/>
              <w:right w:val="single" w:color="auto" w:sz="8" w:space="0"/>
            </w:tcBorders>
            <w:shd w:val="clear" w:color="auto" w:fill="auto"/>
            <w:vAlign w:val="center"/>
            <w:hideMark/>
          </w:tcPr>
          <w:p w:rsidRPr="00E34830" w:rsidR="001501E3" w:rsidRDefault="001501E3" w14:paraId="1811DBEC" w14:textId="77777777">
            <w:pPr>
              <w:jc w:val="center"/>
              <w:rPr>
                <w:rFonts w:ascii="Times New Roman" w:hAnsi="Times New Roman"/>
                <w:color w:val="000000"/>
                <w:sz w:val="20"/>
              </w:rPr>
            </w:pPr>
            <w:r w:rsidRPr="00E34830">
              <w:rPr>
                <w:rFonts w:ascii="Times New Roman" w:hAnsi="Times New Roman"/>
                <w:color w:val="000000"/>
                <w:sz w:val="20"/>
              </w:rPr>
              <w:t>100</w:t>
            </w:r>
          </w:p>
        </w:tc>
        <w:tc>
          <w:tcPr>
            <w:tcW w:w="1294" w:type="dxa"/>
            <w:tcBorders>
              <w:top w:val="nil"/>
              <w:left w:val="nil"/>
              <w:bottom w:val="single" w:color="auto" w:sz="8" w:space="0"/>
              <w:right w:val="single" w:color="auto" w:sz="8" w:space="0"/>
            </w:tcBorders>
            <w:shd w:val="clear" w:color="auto" w:fill="auto"/>
            <w:vAlign w:val="center"/>
            <w:hideMark/>
          </w:tcPr>
          <w:p w:rsidRPr="00E34830" w:rsidR="001501E3" w:rsidRDefault="001501E3" w14:paraId="002EADA0" w14:textId="77777777">
            <w:pPr>
              <w:jc w:val="center"/>
              <w:rPr>
                <w:rFonts w:ascii="Times New Roman" w:hAnsi="Times New Roman"/>
                <w:color w:val="000000"/>
                <w:sz w:val="20"/>
              </w:rPr>
            </w:pPr>
            <w:r w:rsidRPr="00E34830">
              <w:rPr>
                <w:rFonts w:ascii="Times New Roman" w:hAnsi="Times New Roman"/>
                <w:color w:val="000000"/>
                <w:sz w:val="20"/>
              </w:rPr>
              <w:t xml:space="preserve">$6,500 </w:t>
            </w:r>
          </w:p>
        </w:tc>
      </w:tr>
      <w:tr w:rsidRPr="001501E3" w:rsidR="001501E3" w:rsidTr="00DA38F0" w14:paraId="50B4D08C" w14:textId="77777777">
        <w:trPr>
          <w:trHeight w:val="690"/>
        </w:trPr>
        <w:tc>
          <w:tcPr>
            <w:tcW w:w="3725" w:type="dxa"/>
            <w:vMerge w:val="restart"/>
            <w:tcBorders>
              <w:top w:val="nil"/>
              <w:left w:val="single" w:color="auto" w:sz="8" w:space="0"/>
              <w:bottom w:val="single" w:color="000000" w:sz="8" w:space="0"/>
              <w:right w:val="single" w:color="auto" w:sz="8" w:space="0"/>
            </w:tcBorders>
            <w:shd w:val="clear" w:color="auto" w:fill="auto"/>
            <w:vAlign w:val="center"/>
            <w:hideMark/>
          </w:tcPr>
          <w:p w:rsidRPr="00E34830" w:rsidR="001501E3" w:rsidRDefault="001501E3" w14:paraId="183E3FB5" w14:textId="77777777">
            <w:pPr>
              <w:rPr>
                <w:rFonts w:ascii="Times New Roman" w:hAnsi="Times New Roman"/>
                <w:color w:val="000000"/>
                <w:sz w:val="20"/>
              </w:rPr>
            </w:pPr>
            <w:r w:rsidRPr="00E34830">
              <w:rPr>
                <w:rFonts w:ascii="Times New Roman" w:hAnsi="Times New Roman"/>
                <w:color w:val="000000"/>
                <w:sz w:val="20"/>
              </w:rPr>
              <w:t>Develop slate memo and attachments</w:t>
            </w:r>
          </w:p>
        </w:tc>
        <w:tc>
          <w:tcPr>
            <w:tcW w:w="1710" w:type="dxa"/>
            <w:vMerge w:val="restart"/>
            <w:tcBorders>
              <w:top w:val="nil"/>
              <w:left w:val="single" w:color="auto" w:sz="8" w:space="0"/>
              <w:bottom w:val="single" w:color="000000" w:sz="8" w:space="0"/>
              <w:right w:val="single" w:color="auto" w:sz="8" w:space="0"/>
            </w:tcBorders>
            <w:shd w:val="clear" w:color="auto" w:fill="auto"/>
            <w:vAlign w:val="center"/>
            <w:hideMark/>
          </w:tcPr>
          <w:p w:rsidRPr="00E34830" w:rsidR="001501E3" w:rsidRDefault="001501E3" w14:paraId="271EAF52" w14:textId="77777777">
            <w:pPr>
              <w:jc w:val="center"/>
              <w:rPr>
                <w:rFonts w:ascii="Times New Roman" w:hAnsi="Times New Roman"/>
                <w:color w:val="000000"/>
                <w:sz w:val="20"/>
              </w:rPr>
            </w:pPr>
            <w:r w:rsidRPr="00E34830">
              <w:rPr>
                <w:rFonts w:ascii="Times New Roman" w:hAnsi="Times New Roman"/>
                <w:color w:val="000000"/>
                <w:sz w:val="20"/>
              </w:rPr>
              <w:t xml:space="preserve">$65 </w:t>
            </w:r>
          </w:p>
        </w:tc>
        <w:tc>
          <w:tcPr>
            <w:tcW w:w="1083" w:type="dxa"/>
            <w:vMerge w:val="restart"/>
            <w:tcBorders>
              <w:top w:val="nil"/>
              <w:left w:val="single" w:color="auto" w:sz="8" w:space="0"/>
              <w:bottom w:val="single" w:color="000000" w:sz="8" w:space="0"/>
              <w:right w:val="single" w:color="auto" w:sz="8" w:space="0"/>
            </w:tcBorders>
            <w:shd w:val="clear" w:color="auto" w:fill="auto"/>
            <w:vAlign w:val="center"/>
            <w:hideMark/>
          </w:tcPr>
          <w:p w:rsidRPr="00E34830" w:rsidR="001501E3" w:rsidRDefault="001501E3" w14:paraId="5F389B09" w14:textId="77777777">
            <w:pPr>
              <w:jc w:val="center"/>
              <w:rPr>
                <w:rFonts w:ascii="Times New Roman" w:hAnsi="Times New Roman"/>
                <w:color w:val="000000"/>
                <w:sz w:val="20"/>
              </w:rPr>
            </w:pPr>
            <w:r w:rsidRPr="00E34830">
              <w:rPr>
                <w:rFonts w:ascii="Times New Roman" w:hAnsi="Times New Roman"/>
                <w:color w:val="000000"/>
                <w:sz w:val="20"/>
              </w:rPr>
              <w:t>1</w:t>
            </w:r>
          </w:p>
        </w:tc>
        <w:tc>
          <w:tcPr>
            <w:tcW w:w="933" w:type="dxa"/>
            <w:vMerge w:val="restart"/>
            <w:tcBorders>
              <w:top w:val="nil"/>
              <w:left w:val="single" w:color="auto" w:sz="8" w:space="0"/>
              <w:bottom w:val="single" w:color="000000" w:sz="8" w:space="0"/>
              <w:right w:val="single" w:color="auto" w:sz="8" w:space="0"/>
            </w:tcBorders>
            <w:shd w:val="clear" w:color="auto" w:fill="auto"/>
            <w:vAlign w:val="center"/>
            <w:hideMark/>
          </w:tcPr>
          <w:p w:rsidRPr="00E34830" w:rsidR="001501E3" w:rsidRDefault="001501E3" w14:paraId="19A087CE" w14:textId="77777777">
            <w:pPr>
              <w:jc w:val="center"/>
              <w:rPr>
                <w:rFonts w:ascii="Times New Roman" w:hAnsi="Times New Roman"/>
                <w:color w:val="000000"/>
                <w:sz w:val="20"/>
              </w:rPr>
            </w:pPr>
            <w:r w:rsidRPr="00E34830">
              <w:rPr>
                <w:rFonts w:ascii="Times New Roman" w:hAnsi="Times New Roman"/>
                <w:color w:val="000000"/>
                <w:sz w:val="20"/>
              </w:rPr>
              <w:t>8</w:t>
            </w:r>
          </w:p>
        </w:tc>
        <w:tc>
          <w:tcPr>
            <w:tcW w:w="1294" w:type="dxa"/>
            <w:vMerge w:val="restart"/>
            <w:tcBorders>
              <w:top w:val="nil"/>
              <w:left w:val="single" w:color="auto" w:sz="8" w:space="0"/>
              <w:bottom w:val="single" w:color="000000" w:sz="8" w:space="0"/>
              <w:right w:val="single" w:color="auto" w:sz="8" w:space="0"/>
            </w:tcBorders>
            <w:shd w:val="clear" w:color="auto" w:fill="auto"/>
            <w:vAlign w:val="center"/>
            <w:hideMark/>
          </w:tcPr>
          <w:p w:rsidRPr="00E34830" w:rsidR="001501E3" w:rsidRDefault="001501E3" w14:paraId="3E86B404" w14:textId="77777777">
            <w:pPr>
              <w:jc w:val="center"/>
              <w:rPr>
                <w:rFonts w:ascii="Times New Roman" w:hAnsi="Times New Roman"/>
                <w:color w:val="000000"/>
                <w:sz w:val="20"/>
              </w:rPr>
            </w:pPr>
            <w:r w:rsidRPr="00E34830">
              <w:rPr>
                <w:rFonts w:ascii="Times New Roman" w:hAnsi="Times New Roman"/>
                <w:color w:val="000000"/>
                <w:sz w:val="20"/>
              </w:rPr>
              <w:t xml:space="preserve">$520 </w:t>
            </w:r>
          </w:p>
        </w:tc>
      </w:tr>
      <w:tr w:rsidRPr="001501E3" w:rsidR="00FC442E" w:rsidTr="00DA38F0" w14:paraId="5517508A" w14:textId="77777777">
        <w:trPr>
          <w:trHeight w:val="272"/>
        </w:trPr>
        <w:tc>
          <w:tcPr>
            <w:tcW w:w="3725" w:type="dxa"/>
            <w:vMerge/>
            <w:tcBorders>
              <w:top w:val="nil"/>
              <w:left w:val="single" w:color="auto" w:sz="8" w:space="0"/>
              <w:bottom w:val="single" w:color="000000" w:sz="8" w:space="0"/>
              <w:right w:val="single" w:color="auto" w:sz="8" w:space="0"/>
            </w:tcBorders>
            <w:vAlign w:val="center"/>
            <w:hideMark/>
          </w:tcPr>
          <w:p w:rsidRPr="00E34830" w:rsidR="001501E3" w:rsidRDefault="001501E3" w14:paraId="43B1758F" w14:textId="77777777">
            <w:pPr>
              <w:rPr>
                <w:rFonts w:ascii="Times New Roman" w:hAnsi="Times New Roman"/>
                <w:color w:val="000000"/>
                <w:sz w:val="20"/>
              </w:rPr>
            </w:pPr>
          </w:p>
        </w:tc>
        <w:tc>
          <w:tcPr>
            <w:tcW w:w="1710" w:type="dxa"/>
            <w:vMerge/>
            <w:tcBorders>
              <w:top w:val="nil"/>
              <w:left w:val="single" w:color="auto" w:sz="8" w:space="0"/>
              <w:bottom w:val="single" w:color="000000" w:sz="8" w:space="0"/>
              <w:right w:val="single" w:color="auto" w:sz="8" w:space="0"/>
            </w:tcBorders>
            <w:vAlign w:val="center"/>
            <w:hideMark/>
          </w:tcPr>
          <w:p w:rsidRPr="00E34830" w:rsidR="001501E3" w:rsidRDefault="001501E3" w14:paraId="09F7BB9B" w14:textId="77777777">
            <w:pPr>
              <w:rPr>
                <w:rFonts w:ascii="Times New Roman" w:hAnsi="Times New Roman"/>
                <w:color w:val="000000"/>
                <w:sz w:val="20"/>
              </w:rPr>
            </w:pPr>
          </w:p>
        </w:tc>
        <w:tc>
          <w:tcPr>
            <w:tcW w:w="1083" w:type="dxa"/>
            <w:vMerge/>
            <w:tcBorders>
              <w:top w:val="nil"/>
              <w:left w:val="single" w:color="auto" w:sz="8" w:space="0"/>
              <w:bottom w:val="single" w:color="000000" w:sz="8" w:space="0"/>
              <w:right w:val="single" w:color="auto" w:sz="8" w:space="0"/>
            </w:tcBorders>
            <w:vAlign w:val="center"/>
            <w:hideMark/>
          </w:tcPr>
          <w:p w:rsidRPr="00E34830" w:rsidR="001501E3" w:rsidRDefault="001501E3" w14:paraId="7FE4D5D0" w14:textId="77777777">
            <w:pPr>
              <w:rPr>
                <w:rFonts w:ascii="Times New Roman" w:hAnsi="Times New Roman"/>
                <w:color w:val="000000"/>
                <w:sz w:val="20"/>
              </w:rPr>
            </w:pPr>
          </w:p>
        </w:tc>
        <w:tc>
          <w:tcPr>
            <w:tcW w:w="933" w:type="dxa"/>
            <w:vMerge/>
            <w:tcBorders>
              <w:top w:val="nil"/>
              <w:left w:val="single" w:color="auto" w:sz="8" w:space="0"/>
              <w:bottom w:val="single" w:color="000000" w:sz="8" w:space="0"/>
              <w:right w:val="single" w:color="auto" w:sz="8" w:space="0"/>
            </w:tcBorders>
            <w:vAlign w:val="center"/>
            <w:hideMark/>
          </w:tcPr>
          <w:p w:rsidRPr="00E34830" w:rsidR="001501E3" w:rsidRDefault="001501E3" w14:paraId="08EB88B9" w14:textId="77777777">
            <w:pPr>
              <w:rPr>
                <w:rFonts w:ascii="Times New Roman" w:hAnsi="Times New Roman"/>
                <w:color w:val="000000"/>
                <w:sz w:val="20"/>
              </w:rPr>
            </w:pPr>
          </w:p>
        </w:tc>
        <w:tc>
          <w:tcPr>
            <w:tcW w:w="1294" w:type="dxa"/>
            <w:vMerge/>
            <w:tcBorders>
              <w:top w:val="nil"/>
              <w:left w:val="single" w:color="auto" w:sz="8" w:space="0"/>
              <w:bottom w:val="single" w:color="000000" w:sz="8" w:space="0"/>
              <w:right w:val="single" w:color="auto" w:sz="8" w:space="0"/>
            </w:tcBorders>
            <w:vAlign w:val="center"/>
            <w:hideMark/>
          </w:tcPr>
          <w:p w:rsidRPr="00E34830" w:rsidR="001501E3" w:rsidRDefault="001501E3" w14:paraId="4EE8D3EF" w14:textId="77777777">
            <w:pPr>
              <w:rPr>
                <w:rFonts w:ascii="Times New Roman" w:hAnsi="Times New Roman"/>
                <w:color w:val="000000"/>
                <w:sz w:val="20"/>
              </w:rPr>
            </w:pPr>
          </w:p>
        </w:tc>
      </w:tr>
      <w:tr w:rsidRPr="001501E3" w:rsidR="001501E3" w:rsidTr="00DA38F0" w14:paraId="1C8EDF88" w14:textId="77777777">
        <w:trPr>
          <w:trHeight w:val="690"/>
        </w:trPr>
        <w:tc>
          <w:tcPr>
            <w:tcW w:w="3725" w:type="dxa"/>
            <w:tcBorders>
              <w:top w:val="nil"/>
              <w:left w:val="single" w:color="auto" w:sz="8" w:space="0"/>
              <w:bottom w:val="single" w:color="auto" w:sz="8" w:space="0"/>
              <w:right w:val="single" w:color="auto" w:sz="8" w:space="0"/>
            </w:tcBorders>
            <w:shd w:val="clear" w:color="auto" w:fill="auto"/>
            <w:vAlign w:val="center"/>
            <w:hideMark/>
          </w:tcPr>
          <w:p w:rsidRPr="00E34830" w:rsidR="001501E3" w:rsidRDefault="001501E3" w14:paraId="7A799A5E" w14:textId="77777777">
            <w:pPr>
              <w:rPr>
                <w:rFonts w:ascii="Times New Roman" w:hAnsi="Times New Roman"/>
                <w:color w:val="000000"/>
                <w:sz w:val="20"/>
              </w:rPr>
            </w:pPr>
            <w:r w:rsidRPr="00E34830">
              <w:rPr>
                <w:rFonts w:ascii="Times New Roman" w:hAnsi="Times New Roman"/>
                <w:color w:val="000000"/>
                <w:sz w:val="20"/>
              </w:rPr>
              <w:t>Enter and obligate awards in G5</w:t>
            </w:r>
          </w:p>
        </w:tc>
        <w:tc>
          <w:tcPr>
            <w:tcW w:w="1710" w:type="dxa"/>
            <w:tcBorders>
              <w:top w:val="nil"/>
              <w:left w:val="nil"/>
              <w:bottom w:val="single" w:color="auto" w:sz="8" w:space="0"/>
              <w:right w:val="single" w:color="auto" w:sz="8" w:space="0"/>
            </w:tcBorders>
            <w:shd w:val="clear" w:color="auto" w:fill="auto"/>
            <w:vAlign w:val="center"/>
            <w:hideMark/>
          </w:tcPr>
          <w:p w:rsidRPr="00E34830" w:rsidR="001501E3" w:rsidRDefault="001501E3" w14:paraId="2623F8FE" w14:textId="77777777">
            <w:pPr>
              <w:jc w:val="center"/>
              <w:rPr>
                <w:rFonts w:ascii="Times New Roman" w:hAnsi="Times New Roman"/>
                <w:color w:val="000000"/>
                <w:sz w:val="20"/>
              </w:rPr>
            </w:pPr>
            <w:r w:rsidRPr="00E34830">
              <w:rPr>
                <w:rFonts w:ascii="Times New Roman" w:hAnsi="Times New Roman"/>
                <w:color w:val="000000"/>
                <w:sz w:val="20"/>
              </w:rPr>
              <w:t xml:space="preserve">$65 </w:t>
            </w:r>
          </w:p>
        </w:tc>
        <w:tc>
          <w:tcPr>
            <w:tcW w:w="1083" w:type="dxa"/>
            <w:tcBorders>
              <w:top w:val="nil"/>
              <w:left w:val="nil"/>
              <w:bottom w:val="single" w:color="auto" w:sz="8" w:space="0"/>
              <w:right w:val="single" w:color="auto" w:sz="8" w:space="0"/>
            </w:tcBorders>
            <w:shd w:val="clear" w:color="auto" w:fill="auto"/>
            <w:vAlign w:val="center"/>
            <w:hideMark/>
          </w:tcPr>
          <w:p w:rsidRPr="00E34830" w:rsidR="001501E3" w:rsidRDefault="001501E3" w14:paraId="4D13F0E1" w14:textId="77777777">
            <w:pPr>
              <w:jc w:val="center"/>
              <w:rPr>
                <w:rFonts w:ascii="Times New Roman" w:hAnsi="Times New Roman"/>
                <w:color w:val="000000"/>
                <w:sz w:val="20"/>
              </w:rPr>
            </w:pPr>
            <w:r w:rsidRPr="00E34830">
              <w:rPr>
                <w:rFonts w:ascii="Times New Roman" w:hAnsi="Times New Roman"/>
                <w:color w:val="000000"/>
                <w:sz w:val="20"/>
              </w:rPr>
              <w:t>1</w:t>
            </w:r>
          </w:p>
        </w:tc>
        <w:tc>
          <w:tcPr>
            <w:tcW w:w="933" w:type="dxa"/>
            <w:tcBorders>
              <w:top w:val="nil"/>
              <w:left w:val="nil"/>
              <w:bottom w:val="single" w:color="auto" w:sz="8" w:space="0"/>
              <w:right w:val="single" w:color="auto" w:sz="8" w:space="0"/>
            </w:tcBorders>
            <w:shd w:val="clear" w:color="auto" w:fill="auto"/>
            <w:vAlign w:val="center"/>
            <w:hideMark/>
          </w:tcPr>
          <w:p w:rsidRPr="00E34830" w:rsidR="001501E3" w:rsidRDefault="001501E3" w14:paraId="110CC1F5" w14:textId="77777777">
            <w:pPr>
              <w:jc w:val="center"/>
              <w:rPr>
                <w:rFonts w:ascii="Times New Roman" w:hAnsi="Times New Roman"/>
                <w:color w:val="000000"/>
                <w:sz w:val="20"/>
              </w:rPr>
            </w:pPr>
            <w:r w:rsidRPr="00E34830">
              <w:rPr>
                <w:rFonts w:ascii="Times New Roman" w:hAnsi="Times New Roman"/>
                <w:color w:val="000000"/>
                <w:sz w:val="20"/>
              </w:rPr>
              <w:t>3</w:t>
            </w:r>
          </w:p>
        </w:tc>
        <w:tc>
          <w:tcPr>
            <w:tcW w:w="1294" w:type="dxa"/>
            <w:tcBorders>
              <w:top w:val="nil"/>
              <w:left w:val="nil"/>
              <w:bottom w:val="single" w:color="auto" w:sz="8" w:space="0"/>
              <w:right w:val="single" w:color="auto" w:sz="8" w:space="0"/>
            </w:tcBorders>
            <w:shd w:val="clear" w:color="auto" w:fill="auto"/>
            <w:vAlign w:val="center"/>
            <w:hideMark/>
          </w:tcPr>
          <w:p w:rsidRPr="00E34830" w:rsidR="001501E3" w:rsidRDefault="001501E3" w14:paraId="31797BCB" w14:textId="77777777">
            <w:pPr>
              <w:jc w:val="center"/>
              <w:rPr>
                <w:rFonts w:ascii="Times New Roman" w:hAnsi="Times New Roman"/>
                <w:color w:val="000000"/>
                <w:sz w:val="20"/>
              </w:rPr>
            </w:pPr>
            <w:r w:rsidRPr="00E34830">
              <w:rPr>
                <w:rFonts w:ascii="Times New Roman" w:hAnsi="Times New Roman"/>
                <w:color w:val="000000"/>
                <w:sz w:val="20"/>
              </w:rPr>
              <w:t xml:space="preserve">$195 </w:t>
            </w:r>
          </w:p>
        </w:tc>
      </w:tr>
      <w:tr w:rsidRPr="001501E3" w:rsidR="001501E3" w:rsidTr="00DA38F0" w14:paraId="1CA9DF7E" w14:textId="77777777">
        <w:trPr>
          <w:trHeight w:val="690"/>
        </w:trPr>
        <w:tc>
          <w:tcPr>
            <w:tcW w:w="3725" w:type="dxa"/>
            <w:tcBorders>
              <w:top w:val="nil"/>
              <w:left w:val="single" w:color="auto" w:sz="8" w:space="0"/>
              <w:bottom w:val="single" w:color="auto" w:sz="8" w:space="0"/>
              <w:right w:val="single" w:color="auto" w:sz="8" w:space="0"/>
            </w:tcBorders>
            <w:shd w:val="clear" w:color="auto" w:fill="auto"/>
            <w:vAlign w:val="center"/>
            <w:hideMark/>
          </w:tcPr>
          <w:p w:rsidRPr="00E34830" w:rsidR="001501E3" w:rsidRDefault="001501E3" w14:paraId="30223482" w14:textId="382CC355">
            <w:pPr>
              <w:rPr>
                <w:rFonts w:ascii="Times New Roman" w:hAnsi="Times New Roman"/>
                <w:color w:val="000000"/>
                <w:sz w:val="20"/>
              </w:rPr>
            </w:pPr>
            <w:r w:rsidRPr="00E34830">
              <w:rPr>
                <w:rFonts w:ascii="Times New Roman" w:hAnsi="Times New Roman"/>
                <w:color w:val="000000"/>
                <w:sz w:val="20"/>
              </w:rPr>
              <w:t>Document monitoring activities weekly for 1</w:t>
            </w:r>
            <w:r w:rsidRPr="00E34830" w:rsidR="00F002E0">
              <w:rPr>
                <w:rFonts w:ascii="Times New Roman" w:hAnsi="Times New Roman"/>
                <w:color w:val="000000"/>
                <w:sz w:val="20"/>
              </w:rPr>
              <w:t>6</w:t>
            </w:r>
            <w:r w:rsidRPr="00E34830">
              <w:rPr>
                <w:rFonts w:ascii="Times New Roman" w:hAnsi="Times New Roman"/>
                <w:color w:val="000000"/>
                <w:sz w:val="20"/>
              </w:rPr>
              <w:t xml:space="preserve"> projects in compliance with OPE standards</w:t>
            </w:r>
          </w:p>
        </w:tc>
        <w:tc>
          <w:tcPr>
            <w:tcW w:w="1710" w:type="dxa"/>
            <w:tcBorders>
              <w:top w:val="nil"/>
              <w:left w:val="nil"/>
              <w:bottom w:val="single" w:color="auto" w:sz="8" w:space="0"/>
              <w:right w:val="single" w:color="auto" w:sz="8" w:space="0"/>
            </w:tcBorders>
            <w:shd w:val="clear" w:color="auto" w:fill="auto"/>
            <w:vAlign w:val="center"/>
            <w:hideMark/>
          </w:tcPr>
          <w:p w:rsidRPr="00E34830" w:rsidR="001501E3" w:rsidRDefault="001501E3" w14:paraId="2B45195F" w14:textId="77777777">
            <w:pPr>
              <w:jc w:val="center"/>
              <w:rPr>
                <w:rFonts w:ascii="Times New Roman" w:hAnsi="Times New Roman"/>
                <w:color w:val="000000"/>
                <w:sz w:val="20"/>
              </w:rPr>
            </w:pPr>
            <w:r w:rsidRPr="00E34830">
              <w:rPr>
                <w:rFonts w:ascii="Times New Roman" w:hAnsi="Times New Roman"/>
                <w:color w:val="000000"/>
                <w:sz w:val="20"/>
              </w:rPr>
              <w:t xml:space="preserve">$65 </w:t>
            </w:r>
          </w:p>
        </w:tc>
        <w:tc>
          <w:tcPr>
            <w:tcW w:w="1083" w:type="dxa"/>
            <w:tcBorders>
              <w:top w:val="nil"/>
              <w:left w:val="nil"/>
              <w:bottom w:val="single" w:color="auto" w:sz="8" w:space="0"/>
              <w:right w:val="single" w:color="auto" w:sz="8" w:space="0"/>
            </w:tcBorders>
            <w:shd w:val="clear" w:color="auto" w:fill="auto"/>
            <w:vAlign w:val="center"/>
            <w:hideMark/>
          </w:tcPr>
          <w:p w:rsidRPr="00E34830" w:rsidR="001501E3" w:rsidRDefault="001501E3" w14:paraId="14EB298E" w14:textId="77777777">
            <w:pPr>
              <w:jc w:val="center"/>
              <w:rPr>
                <w:rFonts w:ascii="Times New Roman" w:hAnsi="Times New Roman"/>
                <w:color w:val="000000"/>
                <w:sz w:val="20"/>
              </w:rPr>
            </w:pPr>
            <w:r w:rsidRPr="00E34830">
              <w:rPr>
                <w:rFonts w:ascii="Times New Roman" w:hAnsi="Times New Roman"/>
                <w:color w:val="000000"/>
                <w:sz w:val="20"/>
              </w:rPr>
              <w:t>1</w:t>
            </w:r>
          </w:p>
        </w:tc>
        <w:tc>
          <w:tcPr>
            <w:tcW w:w="933" w:type="dxa"/>
            <w:tcBorders>
              <w:top w:val="nil"/>
              <w:left w:val="nil"/>
              <w:bottom w:val="single" w:color="auto" w:sz="8" w:space="0"/>
              <w:right w:val="single" w:color="auto" w:sz="8" w:space="0"/>
            </w:tcBorders>
            <w:shd w:val="clear" w:color="auto" w:fill="auto"/>
            <w:vAlign w:val="center"/>
            <w:hideMark/>
          </w:tcPr>
          <w:p w:rsidRPr="00E34830" w:rsidR="001501E3" w:rsidRDefault="001501E3" w14:paraId="1CA5F079" w14:textId="77777777">
            <w:pPr>
              <w:jc w:val="center"/>
              <w:rPr>
                <w:rFonts w:ascii="Times New Roman" w:hAnsi="Times New Roman"/>
                <w:color w:val="000000"/>
                <w:sz w:val="20"/>
              </w:rPr>
            </w:pPr>
            <w:r w:rsidRPr="00E34830">
              <w:rPr>
                <w:rFonts w:ascii="Times New Roman" w:hAnsi="Times New Roman"/>
                <w:color w:val="000000"/>
                <w:sz w:val="20"/>
              </w:rPr>
              <w:t>45</w:t>
            </w:r>
          </w:p>
        </w:tc>
        <w:tc>
          <w:tcPr>
            <w:tcW w:w="1294" w:type="dxa"/>
            <w:tcBorders>
              <w:top w:val="nil"/>
              <w:left w:val="nil"/>
              <w:bottom w:val="single" w:color="auto" w:sz="8" w:space="0"/>
              <w:right w:val="single" w:color="auto" w:sz="8" w:space="0"/>
            </w:tcBorders>
            <w:shd w:val="clear" w:color="auto" w:fill="auto"/>
            <w:vAlign w:val="center"/>
            <w:hideMark/>
          </w:tcPr>
          <w:p w:rsidRPr="00E34830" w:rsidR="001501E3" w:rsidRDefault="001501E3" w14:paraId="25071B2A" w14:textId="77777777">
            <w:pPr>
              <w:jc w:val="center"/>
              <w:rPr>
                <w:rFonts w:ascii="Times New Roman" w:hAnsi="Times New Roman"/>
                <w:color w:val="000000"/>
                <w:sz w:val="20"/>
              </w:rPr>
            </w:pPr>
            <w:r w:rsidRPr="00E34830">
              <w:rPr>
                <w:rFonts w:ascii="Times New Roman" w:hAnsi="Times New Roman"/>
                <w:color w:val="000000"/>
                <w:sz w:val="20"/>
              </w:rPr>
              <w:t xml:space="preserve">$2,925 </w:t>
            </w:r>
          </w:p>
        </w:tc>
      </w:tr>
      <w:tr w:rsidRPr="001501E3" w:rsidR="001501E3" w:rsidTr="00DA38F0" w14:paraId="02BC0DFA" w14:textId="77777777">
        <w:trPr>
          <w:trHeight w:val="315"/>
        </w:trPr>
        <w:tc>
          <w:tcPr>
            <w:tcW w:w="3725" w:type="dxa"/>
            <w:tcBorders>
              <w:top w:val="nil"/>
              <w:left w:val="single" w:color="auto" w:sz="8" w:space="0"/>
              <w:bottom w:val="single" w:color="auto" w:sz="8" w:space="0"/>
              <w:right w:val="single" w:color="auto" w:sz="8" w:space="0"/>
            </w:tcBorders>
            <w:shd w:val="clear" w:color="auto" w:fill="auto"/>
            <w:vAlign w:val="center"/>
            <w:hideMark/>
          </w:tcPr>
          <w:p w:rsidRPr="00DA38F0" w:rsidR="001501E3" w:rsidP="002A09E5" w:rsidRDefault="001501E3" w14:paraId="3BEFB852" w14:textId="77777777">
            <w:pPr>
              <w:jc w:val="center"/>
              <w:rPr>
                <w:rFonts w:ascii="Times New Roman" w:hAnsi="Times New Roman"/>
                <w:color w:val="000000"/>
                <w:sz w:val="20"/>
              </w:rPr>
            </w:pPr>
            <w:r w:rsidRPr="00DA38F0">
              <w:rPr>
                <w:rFonts w:ascii="Times New Roman" w:hAnsi="Times New Roman"/>
                <w:color w:val="000000"/>
                <w:sz w:val="20"/>
              </w:rPr>
              <w:t>TOTAL</w:t>
            </w:r>
          </w:p>
        </w:tc>
        <w:tc>
          <w:tcPr>
            <w:tcW w:w="1710" w:type="dxa"/>
            <w:tcBorders>
              <w:top w:val="nil"/>
              <w:left w:val="nil"/>
              <w:bottom w:val="single" w:color="auto" w:sz="8" w:space="0"/>
              <w:right w:val="single" w:color="auto" w:sz="8" w:space="0"/>
            </w:tcBorders>
            <w:shd w:val="clear" w:color="000000" w:fill="E0E0E0"/>
            <w:vAlign w:val="center"/>
            <w:hideMark/>
          </w:tcPr>
          <w:p w:rsidRPr="00DA38F0" w:rsidR="001501E3" w:rsidP="002A09E5" w:rsidRDefault="001501E3" w14:paraId="767EE991" w14:textId="77777777">
            <w:pPr>
              <w:rPr>
                <w:rFonts w:ascii="Times New Roman" w:hAnsi="Times New Roman"/>
                <w:b/>
                <w:bCs/>
                <w:color w:val="000000"/>
                <w:sz w:val="20"/>
              </w:rPr>
            </w:pPr>
            <w:r w:rsidRPr="00DA38F0">
              <w:rPr>
                <w:rFonts w:ascii="Times New Roman" w:hAnsi="Times New Roman"/>
                <w:b/>
                <w:bCs/>
                <w:color w:val="000000"/>
                <w:sz w:val="20"/>
              </w:rPr>
              <w:t> </w:t>
            </w:r>
          </w:p>
        </w:tc>
        <w:tc>
          <w:tcPr>
            <w:tcW w:w="1083" w:type="dxa"/>
            <w:tcBorders>
              <w:top w:val="nil"/>
              <w:left w:val="nil"/>
              <w:bottom w:val="single" w:color="auto" w:sz="8" w:space="0"/>
              <w:right w:val="single" w:color="auto" w:sz="8" w:space="0"/>
            </w:tcBorders>
            <w:shd w:val="clear" w:color="000000" w:fill="E0E0E0"/>
            <w:vAlign w:val="center"/>
            <w:hideMark/>
          </w:tcPr>
          <w:p w:rsidRPr="00DA38F0" w:rsidR="001501E3" w:rsidP="002A09E5" w:rsidRDefault="001501E3" w14:paraId="7DD36053" w14:textId="77777777">
            <w:pPr>
              <w:jc w:val="center"/>
              <w:rPr>
                <w:rFonts w:ascii="Times New Roman" w:hAnsi="Times New Roman"/>
                <w:b/>
                <w:bCs/>
                <w:color w:val="000000"/>
                <w:sz w:val="20"/>
              </w:rPr>
            </w:pPr>
            <w:r w:rsidRPr="00DA38F0">
              <w:rPr>
                <w:rFonts w:ascii="Times New Roman" w:hAnsi="Times New Roman"/>
                <w:b/>
                <w:bCs/>
                <w:color w:val="000000"/>
                <w:sz w:val="20"/>
              </w:rPr>
              <w:t> </w:t>
            </w:r>
          </w:p>
        </w:tc>
        <w:tc>
          <w:tcPr>
            <w:tcW w:w="933" w:type="dxa"/>
            <w:tcBorders>
              <w:top w:val="nil"/>
              <w:left w:val="nil"/>
              <w:bottom w:val="single" w:color="auto" w:sz="8" w:space="0"/>
              <w:right w:val="single" w:color="auto" w:sz="8" w:space="0"/>
            </w:tcBorders>
            <w:shd w:val="clear" w:color="auto" w:fill="auto"/>
            <w:vAlign w:val="center"/>
            <w:hideMark/>
          </w:tcPr>
          <w:p w:rsidRPr="00DA38F0" w:rsidR="001501E3" w:rsidP="002A09E5" w:rsidRDefault="001501E3" w14:paraId="31234BB6" w14:textId="77777777">
            <w:pPr>
              <w:jc w:val="center"/>
              <w:rPr>
                <w:rFonts w:ascii="Times New Roman" w:hAnsi="Times New Roman"/>
                <w:b/>
                <w:bCs/>
                <w:color w:val="000000"/>
                <w:sz w:val="20"/>
              </w:rPr>
            </w:pPr>
            <w:r w:rsidRPr="00DA38F0">
              <w:rPr>
                <w:rFonts w:ascii="Times New Roman" w:hAnsi="Times New Roman"/>
                <w:b/>
                <w:bCs/>
                <w:color w:val="000000"/>
                <w:sz w:val="20"/>
              </w:rPr>
              <w:t>436</w:t>
            </w:r>
          </w:p>
        </w:tc>
        <w:tc>
          <w:tcPr>
            <w:tcW w:w="1294" w:type="dxa"/>
            <w:tcBorders>
              <w:top w:val="nil"/>
              <w:left w:val="nil"/>
              <w:bottom w:val="single" w:color="auto" w:sz="8" w:space="0"/>
              <w:right w:val="single" w:color="auto" w:sz="8" w:space="0"/>
            </w:tcBorders>
            <w:shd w:val="clear" w:color="auto" w:fill="auto"/>
            <w:vAlign w:val="center"/>
            <w:hideMark/>
          </w:tcPr>
          <w:p w:rsidRPr="00DA38F0" w:rsidR="001501E3" w:rsidP="002A09E5" w:rsidRDefault="001501E3" w14:paraId="321C4CD3" w14:textId="77777777">
            <w:pPr>
              <w:jc w:val="center"/>
              <w:rPr>
                <w:rFonts w:ascii="Times New Roman" w:hAnsi="Times New Roman"/>
                <w:b/>
                <w:bCs/>
                <w:color w:val="000000"/>
                <w:sz w:val="20"/>
              </w:rPr>
            </w:pPr>
            <w:r w:rsidRPr="00DA38F0">
              <w:rPr>
                <w:rFonts w:ascii="Times New Roman" w:hAnsi="Times New Roman"/>
                <w:b/>
                <w:bCs/>
                <w:color w:val="000000"/>
                <w:sz w:val="20"/>
              </w:rPr>
              <w:t xml:space="preserve">$28,340 </w:t>
            </w:r>
          </w:p>
        </w:tc>
      </w:tr>
    </w:tbl>
    <w:p w:rsidRPr="00DA38F0" w:rsidR="00043C32" w:rsidP="00DA38F0" w:rsidRDefault="00043C32" w14:paraId="03560D90" w14:textId="77777777">
      <w:pPr>
        <w:pStyle w:val="ListParagraph"/>
        <w:numPr>
          <w:ilvl w:val="0"/>
          <w:numId w:val="5"/>
        </w:numPr>
        <w:tabs>
          <w:tab w:val="left" w:pos="-720"/>
        </w:tabs>
        <w:suppressAutoHyphens/>
        <w:spacing w:before="360" w:after="240"/>
        <w:contextualSpacing w:val="0"/>
        <w:rPr>
          <w:rFonts w:ascii="Times New Roman" w:hAnsi="Times New Roman"/>
          <w:b/>
          <w:sz w:val="22"/>
          <w:szCs w:val="22"/>
        </w:rPr>
      </w:pPr>
      <w:r w:rsidRPr="00DA38F0">
        <w:rPr>
          <w:rFonts w:ascii="Times New Roman" w:hAnsi="Times New Roman"/>
          <w:b/>
          <w:sz w:val="22"/>
          <w:szCs w:val="22"/>
        </w:rPr>
        <w:lastRenderedPageBreak/>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p>
    <w:p w:rsidR="0061606F" w:rsidP="00DA38F0" w:rsidRDefault="00D65D0F" w14:paraId="65914A5C" w14:textId="133AB02F">
      <w:pPr>
        <w:pStyle w:val="ListParagraph"/>
        <w:tabs>
          <w:tab w:val="left" w:pos="-720"/>
        </w:tabs>
        <w:suppressAutoHyphens/>
        <w:spacing w:after="240"/>
        <w:contextualSpacing w:val="0"/>
        <w:rPr>
          <w:rFonts w:ascii="Times New Roman" w:hAnsi="Times New Roman"/>
          <w:sz w:val="22"/>
          <w:szCs w:val="22"/>
        </w:rPr>
      </w:pPr>
      <w:r>
        <w:rPr>
          <w:rFonts w:ascii="Times New Roman" w:hAnsi="Times New Roman"/>
          <w:sz w:val="22"/>
          <w:szCs w:val="22"/>
        </w:rPr>
        <w:t xml:space="preserve">The type of collection is an extension. </w:t>
      </w:r>
      <w:r w:rsidRPr="00DA38F0" w:rsidR="00E90939">
        <w:rPr>
          <w:rFonts w:ascii="Times New Roman" w:hAnsi="Times New Roman"/>
          <w:sz w:val="22"/>
          <w:szCs w:val="22"/>
        </w:rPr>
        <w:t xml:space="preserve">There is </w:t>
      </w:r>
      <w:r w:rsidRPr="00DA38F0" w:rsidR="00FC442E">
        <w:rPr>
          <w:rFonts w:ascii="Times New Roman" w:hAnsi="Times New Roman"/>
          <w:sz w:val="22"/>
          <w:szCs w:val="22"/>
        </w:rPr>
        <w:t>no</w:t>
      </w:r>
      <w:r w:rsidRPr="00DA38F0" w:rsidR="00E90939">
        <w:rPr>
          <w:rFonts w:ascii="Times New Roman" w:hAnsi="Times New Roman"/>
          <w:sz w:val="22"/>
          <w:szCs w:val="22"/>
        </w:rPr>
        <w:t xml:space="preserve"> </w:t>
      </w:r>
      <w:r w:rsidR="0061606F">
        <w:rPr>
          <w:rFonts w:ascii="Times New Roman" w:hAnsi="Times New Roman"/>
          <w:sz w:val="22"/>
          <w:szCs w:val="22"/>
        </w:rPr>
        <w:t xml:space="preserve">adjustment to the estimated respondent burden of 100 hours per response. Applicants will be asked to provide the same information for the FY </w:t>
      </w:r>
      <w:r w:rsidR="009D541C">
        <w:rPr>
          <w:rFonts w:ascii="Times New Roman" w:hAnsi="Times New Roman"/>
          <w:sz w:val="22"/>
          <w:szCs w:val="22"/>
        </w:rPr>
        <w:t>22</w:t>
      </w:r>
      <w:r w:rsidR="0061606F">
        <w:rPr>
          <w:rFonts w:ascii="Times New Roman" w:hAnsi="Times New Roman"/>
          <w:sz w:val="22"/>
          <w:szCs w:val="22"/>
        </w:rPr>
        <w:t xml:space="preserve"> competition as for</w:t>
      </w:r>
      <w:r>
        <w:rPr>
          <w:rFonts w:ascii="Times New Roman" w:hAnsi="Times New Roman"/>
          <w:sz w:val="22"/>
          <w:szCs w:val="22"/>
        </w:rPr>
        <w:t xml:space="preserve"> the previous FY 1</w:t>
      </w:r>
      <w:r w:rsidR="009D541C">
        <w:rPr>
          <w:rFonts w:ascii="Times New Roman" w:hAnsi="Times New Roman"/>
          <w:sz w:val="22"/>
          <w:szCs w:val="22"/>
        </w:rPr>
        <w:t>8</w:t>
      </w:r>
      <w:r>
        <w:rPr>
          <w:rFonts w:ascii="Times New Roman" w:hAnsi="Times New Roman"/>
          <w:sz w:val="22"/>
          <w:szCs w:val="22"/>
        </w:rPr>
        <w:t xml:space="preserve"> competition</w:t>
      </w:r>
      <w:r w:rsidR="0061606F">
        <w:rPr>
          <w:rFonts w:ascii="Times New Roman" w:hAnsi="Times New Roman"/>
          <w:sz w:val="22"/>
          <w:szCs w:val="22"/>
        </w:rPr>
        <w:t>.</w:t>
      </w:r>
    </w:p>
    <w:p w:rsidRPr="00DA38F0" w:rsidR="00043C32" w:rsidP="00DA38F0" w:rsidRDefault="00043C32" w14:paraId="03560D91" w14:textId="77777777">
      <w:pPr>
        <w:pStyle w:val="ListParagraph"/>
        <w:numPr>
          <w:ilvl w:val="0"/>
          <w:numId w:val="5"/>
        </w:numPr>
        <w:tabs>
          <w:tab w:val="left" w:pos="-720"/>
        </w:tabs>
        <w:suppressAutoHyphens/>
        <w:spacing w:after="240"/>
        <w:ind w:hanging="446"/>
        <w:contextualSpacing w:val="0"/>
        <w:rPr>
          <w:rStyle w:val="a"/>
          <w:rFonts w:ascii="Times New Roman" w:hAnsi="Times New Roman"/>
          <w:b/>
          <w:sz w:val="22"/>
          <w:szCs w:val="22"/>
        </w:rPr>
      </w:pPr>
      <w:r w:rsidRPr="00DA38F0">
        <w:rPr>
          <w:rStyle w:val="a"/>
          <w:rFonts w:ascii="Times New Roman" w:hAnsi="Times New Roman"/>
          <w:b/>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DA38F0" w:rsidR="004D20B2" w:rsidP="00DA38F0" w:rsidRDefault="004D20B2" w14:paraId="5F883A0F" w14:textId="77777777">
      <w:pPr>
        <w:pStyle w:val="BodyTextIndent"/>
        <w:spacing w:after="360"/>
        <w:rPr>
          <w:sz w:val="22"/>
          <w:szCs w:val="22"/>
        </w:rPr>
      </w:pPr>
      <w:r w:rsidRPr="00DA38F0">
        <w:rPr>
          <w:sz w:val="22"/>
          <w:szCs w:val="22"/>
        </w:rPr>
        <w:t xml:space="preserve">There are no plans for publication of results.  </w:t>
      </w:r>
    </w:p>
    <w:p w:rsidRPr="00DA38F0" w:rsidR="00043C32" w:rsidP="00DA38F0" w:rsidRDefault="00043C32" w14:paraId="03560D92" w14:textId="77777777">
      <w:pPr>
        <w:pStyle w:val="ListParagraph"/>
        <w:numPr>
          <w:ilvl w:val="0"/>
          <w:numId w:val="5"/>
        </w:numPr>
        <w:tabs>
          <w:tab w:val="left" w:pos="-720"/>
        </w:tabs>
        <w:suppressAutoHyphens/>
        <w:spacing w:after="240"/>
        <w:ind w:hanging="450"/>
        <w:contextualSpacing w:val="0"/>
        <w:rPr>
          <w:rStyle w:val="a"/>
          <w:rFonts w:ascii="Times New Roman" w:hAnsi="Times New Roman"/>
          <w:b/>
          <w:sz w:val="22"/>
          <w:szCs w:val="22"/>
        </w:rPr>
      </w:pPr>
      <w:r w:rsidRPr="00DA38F0">
        <w:rPr>
          <w:rStyle w:val="a"/>
          <w:rFonts w:ascii="Times New Roman" w:hAnsi="Times New Roman"/>
          <w:b/>
          <w:sz w:val="22"/>
          <w:szCs w:val="22"/>
        </w:rPr>
        <w:t>If seeking approval to not display the expiration date for OMB approval of the information collection, explain the reasons that display would be inappropriate.</w:t>
      </w:r>
    </w:p>
    <w:p w:rsidRPr="00DA38F0" w:rsidR="004D20B2" w:rsidP="00DA38F0" w:rsidRDefault="004D20B2" w14:paraId="5F32219C" w14:textId="77777777">
      <w:pPr>
        <w:pStyle w:val="BodyTextIndent"/>
        <w:spacing w:after="360"/>
        <w:rPr>
          <w:rFonts w:eastAsiaTheme="minorHAnsi"/>
          <w:sz w:val="22"/>
          <w:szCs w:val="22"/>
        </w:rPr>
      </w:pPr>
      <w:r w:rsidRPr="00DA38F0">
        <w:rPr>
          <w:rStyle w:val="a"/>
          <w:rFonts w:eastAsiaTheme="minorHAnsi"/>
          <w:sz w:val="22"/>
          <w:szCs w:val="22"/>
        </w:rPr>
        <w:t>Not applicable. The expiration date for OMB approval will be displayed on the information collection.</w:t>
      </w:r>
    </w:p>
    <w:p w:rsidRPr="00DA38F0" w:rsidR="00043C32" w:rsidP="00DA38F0" w:rsidRDefault="00043C32" w14:paraId="03560D93" w14:textId="77777777">
      <w:pPr>
        <w:pStyle w:val="ListParagraph"/>
        <w:numPr>
          <w:ilvl w:val="0"/>
          <w:numId w:val="5"/>
        </w:numPr>
        <w:tabs>
          <w:tab w:val="left" w:pos="-720"/>
        </w:tabs>
        <w:suppressAutoHyphens/>
        <w:spacing w:after="240"/>
        <w:ind w:hanging="450"/>
        <w:contextualSpacing w:val="0"/>
        <w:rPr>
          <w:rStyle w:val="a"/>
          <w:rFonts w:ascii="Times New Roman" w:hAnsi="Times New Roman"/>
          <w:b/>
          <w:sz w:val="22"/>
          <w:szCs w:val="22"/>
        </w:rPr>
      </w:pPr>
      <w:r w:rsidRPr="00DA38F0">
        <w:rPr>
          <w:rStyle w:val="a"/>
          <w:rFonts w:ascii="Times New Roman" w:hAnsi="Times New Roman"/>
          <w:b/>
          <w:sz w:val="22"/>
          <w:szCs w:val="22"/>
        </w:rPr>
        <w:t>Explain each exception to the certification statement identified in the Certification of Paperwork Reduction Act.</w:t>
      </w:r>
    </w:p>
    <w:p w:rsidRPr="00DA38F0" w:rsidR="001C73C0" w:rsidP="00DA38F0" w:rsidRDefault="004D20B2" w14:paraId="03560D94" w14:textId="72CD1C75">
      <w:pPr>
        <w:pStyle w:val="EndnoteText"/>
        <w:spacing w:after="240"/>
        <w:ind w:left="720"/>
        <w:rPr>
          <w:rFonts w:ascii="Times New Roman" w:hAnsi="Times New Roman"/>
        </w:rPr>
      </w:pPr>
      <w:r w:rsidRPr="00DA38F0">
        <w:rPr>
          <w:rFonts w:ascii="Times New Roman" w:hAnsi="Times New Roman"/>
          <w:sz w:val="22"/>
          <w:szCs w:val="22"/>
        </w:rPr>
        <w:t>Not applicable.</w:t>
      </w:r>
      <w:r w:rsidRPr="00DA38F0">
        <w:rPr>
          <w:rFonts w:asciiTheme="majorHAnsi" w:hAnsiTheme="majorHAnsi"/>
          <w:sz w:val="22"/>
          <w:szCs w:val="22"/>
        </w:rPr>
        <w:t xml:space="preserve">  </w:t>
      </w:r>
    </w:p>
    <w:sectPr w:rsidRPr="00DA38F0" w:rsidR="001C73C0" w:rsidSect="00043C32">
      <w:headerReference w:type="default" r:id="rId11"/>
      <w:footerReference w:type="default" r:id="rId12"/>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16C9B8" w14:textId="77777777" w:rsidR="009F4EBF" w:rsidRDefault="009F4EBF" w:rsidP="00043C32">
      <w:r>
        <w:separator/>
      </w:r>
    </w:p>
  </w:endnote>
  <w:endnote w:type="continuationSeparator" w:id="0">
    <w:p w14:paraId="14238A57" w14:textId="77777777" w:rsidR="009F4EBF" w:rsidRDefault="009F4EBF"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60D9C" w14:textId="77777777" w:rsidR="007E4C24" w:rsidRDefault="007E4C24">
    <w:pPr>
      <w:spacing w:before="140" w:line="100" w:lineRule="exact"/>
      <w:rPr>
        <w:sz w:val="10"/>
      </w:rPr>
    </w:pPr>
  </w:p>
  <w:p w14:paraId="03560D9D" w14:textId="77777777" w:rsidR="007E4C24" w:rsidRDefault="007E4C24">
    <w:pPr>
      <w:tabs>
        <w:tab w:val="left" w:pos="0"/>
      </w:tabs>
      <w:suppressAutoHyphens/>
    </w:pPr>
  </w:p>
  <w:p w14:paraId="03560D9E" w14:textId="77777777" w:rsidR="007E4C24" w:rsidRDefault="007E4C24">
    <w:pPr>
      <w:tabs>
        <w:tab w:val="left" w:pos="0"/>
      </w:tabs>
      <w:suppressAutoHyphens/>
    </w:pPr>
    <w:r>
      <w:rPr>
        <w:noProof/>
      </w:rPr>
      <mc:AlternateContent>
        <mc:Choice Requires="wps">
          <w:drawing>
            <wp:inline distT="0" distB="0" distL="0" distR="0" wp14:anchorId="03560D9F" wp14:editId="03560DA0">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3560DA3" w14:textId="77777777" w:rsidR="007E4C24" w:rsidRDefault="007E4C24">
                          <w:pPr>
                            <w:tabs>
                              <w:tab w:val="center" w:pos="4650"/>
                            </w:tabs>
                            <w:suppressAutoHyphens/>
                            <w:jc w:val="both"/>
                          </w:pPr>
                          <w:r>
                            <w:tab/>
                          </w:r>
                          <w:r>
                            <w:fldChar w:fldCharType="begin"/>
                          </w:r>
                          <w:r>
                            <w:instrText>page \* arabic</w:instrText>
                          </w:r>
                          <w:r>
                            <w:fldChar w:fldCharType="separate"/>
                          </w:r>
                          <w:r w:rsidR="00F83B39">
                            <w:rPr>
                              <w:noProof/>
                            </w:rPr>
                            <w:t>1</w:t>
                          </w:r>
                          <w:r>
                            <w:rPr>
                              <w:noProof/>
                            </w:rPr>
                            <w:fldChar w:fldCharType="end"/>
                          </w:r>
                        </w:p>
                      </w:txbxContent>
                    </wps:txbx>
                    <wps:bodyPr rot="0" vert="horz" wrap="square" lIns="0" tIns="0" rIns="0" bIns="0" anchor="t" anchorCtr="0" upright="1">
                      <a:noAutofit/>
                    </wps:bodyPr>
                  </wps:wsp>
                </a:graphicData>
              </a:graphic>
            </wp:inline>
          </w:drawing>
        </mc:Choice>
        <mc:Fallback>
          <w:pict>
            <v:rect w14:anchorId="03560D9F"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03560DA3" w14:textId="77777777" w:rsidR="007E4C24" w:rsidRDefault="007E4C24">
                    <w:pPr>
                      <w:tabs>
                        <w:tab w:val="center" w:pos="4650"/>
                      </w:tabs>
                      <w:suppressAutoHyphens/>
                      <w:jc w:val="both"/>
                    </w:pPr>
                    <w:r>
                      <w:tab/>
                    </w:r>
                    <w:r>
                      <w:fldChar w:fldCharType="begin"/>
                    </w:r>
                    <w:r>
                      <w:instrText>page \* arabic</w:instrText>
                    </w:r>
                    <w:r>
                      <w:fldChar w:fldCharType="separate"/>
                    </w:r>
                    <w:r w:rsidR="00F83B39">
                      <w:rPr>
                        <w:noProof/>
                      </w:rPr>
                      <w:t>1</w:t>
                    </w:r>
                    <w:r>
                      <w:rPr>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46A096" w14:textId="77777777" w:rsidR="009F4EBF" w:rsidRDefault="009F4EBF" w:rsidP="00043C32">
      <w:r>
        <w:separator/>
      </w:r>
    </w:p>
  </w:footnote>
  <w:footnote w:type="continuationSeparator" w:id="0">
    <w:p w14:paraId="31A9B3A5" w14:textId="77777777" w:rsidR="009F4EBF" w:rsidRDefault="009F4EBF" w:rsidP="00043C32">
      <w:r>
        <w:continuationSeparator/>
      </w:r>
    </w:p>
  </w:footnote>
  <w:footnote w:id="1">
    <w:p w14:paraId="03560DA1" w14:textId="77777777" w:rsidR="007E4C24" w:rsidRDefault="007E4C24" w:rsidP="00043C32">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03560DA2" w14:textId="77777777" w:rsidR="007E4C24" w:rsidRDefault="007E4C24"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658B3" w14:textId="41C9ADAA" w:rsidR="007E4C24" w:rsidRDefault="007E4C24">
    <w:pPr>
      <w:pStyle w:val="Header"/>
      <w:rPr>
        <w:rFonts w:ascii="Times New Roman" w:hAnsi="Times New Roman"/>
        <w:sz w:val="20"/>
      </w:rPr>
    </w:pPr>
    <w:r>
      <w:rPr>
        <w:rFonts w:ascii="Times New Roman" w:hAnsi="Times New Roman"/>
        <w:sz w:val="20"/>
      </w:rPr>
      <w:t xml:space="preserve">Application for the </w:t>
    </w:r>
    <w:r w:rsidR="0033000C">
      <w:rPr>
        <w:rFonts w:ascii="Times New Roman" w:hAnsi="Times New Roman"/>
        <w:sz w:val="20"/>
      </w:rPr>
      <w:t>Language Resource Centers (LRC)</w:t>
    </w:r>
    <w:r>
      <w:rPr>
        <w:rFonts w:ascii="Times New Roman" w:hAnsi="Times New Roman"/>
        <w:sz w:val="20"/>
      </w:rPr>
      <w:t xml:space="preserve"> Program</w:t>
    </w:r>
  </w:p>
  <w:p w14:paraId="03560D99" w14:textId="711821A8" w:rsidR="007E4C24" w:rsidRDefault="007E4C24">
    <w:pPr>
      <w:pStyle w:val="Header"/>
      <w:rPr>
        <w:rFonts w:ascii="Times New Roman" w:hAnsi="Times New Roman"/>
        <w:sz w:val="20"/>
      </w:rPr>
    </w:pPr>
    <w:r>
      <w:rPr>
        <w:rFonts w:ascii="Times New Roman" w:hAnsi="Times New Roman"/>
        <w:sz w:val="20"/>
      </w:rPr>
      <w:t>Tracking and OMB Number: (XXXX</w:t>
    </w:r>
    <w:r w:rsidRPr="001D4E56">
      <w:rPr>
        <w:rFonts w:ascii="Times New Roman" w:hAnsi="Times New Roman"/>
        <w:sz w:val="20"/>
      </w:rPr>
      <w:t>) 1840-0</w:t>
    </w:r>
    <w:r w:rsidR="009F05A9" w:rsidRPr="00DA38F0">
      <w:rPr>
        <w:rFonts w:ascii="Times New Roman" w:hAnsi="Times New Roman"/>
        <w:sz w:val="20"/>
      </w:rPr>
      <w:t>808</w:t>
    </w:r>
  </w:p>
  <w:p w14:paraId="03560D9A" w14:textId="77777777" w:rsidR="007E4C24" w:rsidRDefault="007E4C24">
    <w:pPr>
      <w:pStyle w:val="Header"/>
      <w:rPr>
        <w:rFonts w:ascii="Times New Roman" w:hAnsi="Times New Roman"/>
        <w:sz w:val="20"/>
      </w:rPr>
    </w:pPr>
    <w:r>
      <w:rPr>
        <w:rFonts w:ascii="Times New Roman" w:hAnsi="Times New Roman"/>
        <w:sz w:val="20"/>
      </w:rPr>
      <w:t>Revised: XX/XX/XXXX</w:t>
    </w:r>
  </w:p>
  <w:p w14:paraId="03560D9B" w14:textId="77777777" w:rsidR="007E4C24" w:rsidRPr="00386054" w:rsidRDefault="007E4C24" w:rsidP="007E4C24">
    <w:pPr>
      <w:pStyle w:val="Header"/>
      <w:spacing w:after="240"/>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2E3E336F"/>
    <w:multiLevelType w:val="hybridMultilevel"/>
    <w:tmpl w:val="8CF4F530"/>
    <w:lvl w:ilvl="0" w:tplc="5994FA86">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C09610B"/>
    <w:multiLevelType w:val="hybridMultilevel"/>
    <w:tmpl w:val="805857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5" w15:restartNumberingAfterBreak="0">
    <w:nsid w:val="7087488D"/>
    <w:multiLevelType w:val="hybridMultilevel"/>
    <w:tmpl w:val="8560371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D971AD"/>
    <w:multiLevelType w:val="hybridMultilevel"/>
    <w:tmpl w:val="B61E28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7EA145F"/>
    <w:multiLevelType w:val="hybridMultilevel"/>
    <w:tmpl w:val="A51A3E60"/>
    <w:lvl w:ilvl="0" w:tplc="4AE46782">
      <w:start w:val="8"/>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6"/>
  </w:num>
  <w:num w:numId="5">
    <w:abstractNumId w:val="8"/>
  </w:num>
  <w:num w:numId="6">
    <w:abstractNumId w:val="2"/>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245A"/>
    <w:rsid w:val="00043C32"/>
    <w:rsid w:val="000476CF"/>
    <w:rsid w:val="00066BEF"/>
    <w:rsid w:val="00093017"/>
    <w:rsid w:val="000C79B9"/>
    <w:rsid w:val="000D7630"/>
    <w:rsid w:val="001022B7"/>
    <w:rsid w:val="001501E3"/>
    <w:rsid w:val="00155AAF"/>
    <w:rsid w:val="00171761"/>
    <w:rsid w:val="001857C5"/>
    <w:rsid w:val="001C6B5B"/>
    <w:rsid w:val="001C73C0"/>
    <w:rsid w:val="001D4E56"/>
    <w:rsid w:val="00261811"/>
    <w:rsid w:val="002721DB"/>
    <w:rsid w:val="00272784"/>
    <w:rsid w:val="002B5BA6"/>
    <w:rsid w:val="002B696E"/>
    <w:rsid w:val="00315C2D"/>
    <w:rsid w:val="0032078A"/>
    <w:rsid w:val="00321F4E"/>
    <w:rsid w:val="0033000C"/>
    <w:rsid w:val="003373A9"/>
    <w:rsid w:val="003414C7"/>
    <w:rsid w:val="003C30FC"/>
    <w:rsid w:val="003E09EB"/>
    <w:rsid w:val="003E5C35"/>
    <w:rsid w:val="00416681"/>
    <w:rsid w:val="00420FAD"/>
    <w:rsid w:val="00424950"/>
    <w:rsid w:val="00467B60"/>
    <w:rsid w:val="00480553"/>
    <w:rsid w:val="004B1DB5"/>
    <w:rsid w:val="004D20B2"/>
    <w:rsid w:val="004D2DF5"/>
    <w:rsid w:val="00535626"/>
    <w:rsid w:val="005530F5"/>
    <w:rsid w:val="005716EB"/>
    <w:rsid w:val="00594CEF"/>
    <w:rsid w:val="005A098C"/>
    <w:rsid w:val="005A57CE"/>
    <w:rsid w:val="005B4767"/>
    <w:rsid w:val="005C2A92"/>
    <w:rsid w:val="005C2D95"/>
    <w:rsid w:val="005D1EFB"/>
    <w:rsid w:val="0061606F"/>
    <w:rsid w:val="00636ACD"/>
    <w:rsid w:val="00636F4F"/>
    <w:rsid w:val="00651650"/>
    <w:rsid w:val="006E6DE6"/>
    <w:rsid w:val="00733720"/>
    <w:rsid w:val="00734942"/>
    <w:rsid w:val="00740484"/>
    <w:rsid w:val="00743A9C"/>
    <w:rsid w:val="007E4C24"/>
    <w:rsid w:val="00826D2E"/>
    <w:rsid w:val="0083433E"/>
    <w:rsid w:val="00840AC4"/>
    <w:rsid w:val="008463A7"/>
    <w:rsid w:val="00851351"/>
    <w:rsid w:val="0085779E"/>
    <w:rsid w:val="00861646"/>
    <w:rsid w:val="008631CC"/>
    <w:rsid w:val="008A7FF7"/>
    <w:rsid w:val="008B1D59"/>
    <w:rsid w:val="008E5919"/>
    <w:rsid w:val="008F513A"/>
    <w:rsid w:val="00905951"/>
    <w:rsid w:val="00905993"/>
    <w:rsid w:val="0090640E"/>
    <w:rsid w:val="00934185"/>
    <w:rsid w:val="009615A8"/>
    <w:rsid w:val="009C43C3"/>
    <w:rsid w:val="009C687B"/>
    <w:rsid w:val="009D1A3F"/>
    <w:rsid w:val="009D541C"/>
    <w:rsid w:val="009F05A9"/>
    <w:rsid w:val="009F4EBF"/>
    <w:rsid w:val="00A56AE7"/>
    <w:rsid w:val="00A570D0"/>
    <w:rsid w:val="00A63466"/>
    <w:rsid w:val="00A7291D"/>
    <w:rsid w:val="00A827A0"/>
    <w:rsid w:val="00A87C21"/>
    <w:rsid w:val="00A90F11"/>
    <w:rsid w:val="00A916DA"/>
    <w:rsid w:val="00AD146B"/>
    <w:rsid w:val="00AD3C46"/>
    <w:rsid w:val="00AE3669"/>
    <w:rsid w:val="00B017F9"/>
    <w:rsid w:val="00B2700E"/>
    <w:rsid w:val="00B54167"/>
    <w:rsid w:val="00B61E81"/>
    <w:rsid w:val="00B964E5"/>
    <w:rsid w:val="00B9671B"/>
    <w:rsid w:val="00BA2A36"/>
    <w:rsid w:val="00BA7392"/>
    <w:rsid w:val="00BC421C"/>
    <w:rsid w:val="00BD2DA6"/>
    <w:rsid w:val="00C349DD"/>
    <w:rsid w:val="00C43782"/>
    <w:rsid w:val="00C47A0D"/>
    <w:rsid w:val="00C56CF4"/>
    <w:rsid w:val="00C578C1"/>
    <w:rsid w:val="00C67A0B"/>
    <w:rsid w:val="00C756D4"/>
    <w:rsid w:val="00CC50CB"/>
    <w:rsid w:val="00CC7D81"/>
    <w:rsid w:val="00CE4DEE"/>
    <w:rsid w:val="00D11FDC"/>
    <w:rsid w:val="00D20E33"/>
    <w:rsid w:val="00D32057"/>
    <w:rsid w:val="00D65D0F"/>
    <w:rsid w:val="00D73D47"/>
    <w:rsid w:val="00DA38F0"/>
    <w:rsid w:val="00DE4CB1"/>
    <w:rsid w:val="00DF79A4"/>
    <w:rsid w:val="00E01368"/>
    <w:rsid w:val="00E21628"/>
    <w:rsid w:val="00E34830"/>
    <w:rsid w:val="00E3590D"/>
    <w:rsid w:val="00E372BB"/>
    <w:rsid w:val="00E41A50"/>
    <w:rsid w:val="00E52AD5"/>
    <w:rsid w:val="00E565F0"/>
    <w:rsid w:val="00E90939"/>
    <w:rsid w:val="00E94F52"/>
    <w:rsid w:val="00EA14C9"/>
    <w:rsid w:val="00EE2EC5"/>
    <w:rsid w:val="00EE49EC"/>
    <w:rsid w:val="00EF0113"/>
    <w:rsid w:val="00EF5726"/>
    <w:rsid w:val="00F002E0"/>
    <w:rsid w:val="00F72BE6"/>
    <w:rsid w:val="00F83B39"/>
    <w:rsid w:val="00F9015B"/>
    <w:rsid w:val="00FA59FC"/>
    <w:rsid w:val="00FB7CE9"/>
    <w:rsid w:val="00FC37E0"/>
    <w:rsid w:val="00FC442E"/>
    <w:rsid w:val="00FD4F0B"/>
    <w:rsid w:val="00FD59B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560D58"/>
  <w15:docId w15:val="{4CAB13ED-1E5B-47DA-B272-8238BD2EB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semiHidden/>
    <w:rsid w:val="00043C32"/>
    <w:pPr>
      <w:tabs>
        <w:tab w:val="left" w:pos="-720"/>
      </w:tabs>
      <w:suppressAutoHyphens/>
    </w:pPr>
  </w:style>
  <w:style w:type="character" w:customStyle="1" w:styleId="FootnoteTextChar">
    <w:name w:val="Footnote Text Char"/>
    <w:basedOn w:val="DefaultParagraphFont"/>
    <w:link w:val="FootnoteText"/>
    <w:uiPriority w:val="99"/>
    <w:semiHidden/>
    <w:rsid w:val="00043C32"/>
    <w:rPr>
      <w:rFonts w:ascii="Courier" w:hAnsi="Courier"/>
      <w:sz w:val="24"/>
    </w:rPr>
  </w:style>
  <w:style w:type="character" w:styleId="FootnoteReference">
    <w:name w:val="footnote reference"/>
    <w:uiPriority w:val="99"/>
    <w:semiHidden/>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F9015B"/>
    <w:pPr>
      <w:tabs>
        <w:tab w:val="center" w:pos="4680"/>
        <w:tab w:val="right" w:pos="9360"/>
      </w:tabs>
    </w:pPr>
  </w:style>
  <w:style w:type="character" w:customStyle="1" w:styleId="FooterChar">
    <w:name w:val="Footer Char"/>
    <w:basedOn w:val="DefaultParagraphFont"/>
    <w:link w:val="Footer"/>
    <w:uiPriority w:val="99"/>
    <w:rsid w:val="00F9015B"/>
    <w:rPr>
      <w:rFonts w:ascii="Courier" w:hAnsi="Courier"/>
      <w:sz w:val="24"/>
    </w:rPr>
  </w:style>
  <w:style w:type="paragraph" w:styleId="EndnoteText">
    <w:name w:val="endnote text"/>
    <w:basedOn w:val="Normal"/>
    <w:link w:val="EndnoteTextChar"/>
    <w:semiHidden/>
    <w:rsid w:val="00861646"/>
    <w:pPr>
      <w:tabs>
        <w:tab w:val="left" w:pos="-720"/>
      </w:tabs>
      <w:suppressAutoHyphens/>
    </w:pPr>
  </w:style>
  <w:style w:type="character" w:customStyle="1" w:styleId="EndnoteTextChar">
    <w:name w:val="Endnote Text Char"/>
    <w:basedOn w:val="DefaultParagraphFont"/>
    <w:link w:val="EndnoteText"/>
    <w:uiPriority w:val="99"/>
    <w:semiHidden/>
    <w:rsid w:val="00861646"/>
    <w:rPr>
      <w:rFonts w:ascii="Courier" w:hAnsi="Courier"/>
      <w:sz w:val="24"/>
    </w:rPr>
  </w:style>
  <w:style w:type="character" w:styleId="Hyperlink">
    <w:name w:val="Hyperlink"/>
    <w:basedOn w:val="DefaultParagraphFont"/>
    <w:uiPriority w:val="99"/>
    <w:unhideWhenUsed/>
    <w:rsid w:val="00733720"/>
    <w:rPr>
      <w:color w:val="0000FF" w:themeColor="hyperlink"/>
      <w:u w:val="single"/>
    </w:rPr>
  </w:style>
  <w:style w:type="paragraph" w:styleId="PlainText">
    <w:name w:val="Plain Text"/>
    <w:basedOn w:val="Normal"/>
    <w:link w:val="PlainTextChar"/>
    <w:uiPriority w:val="99"/>
    <w:semiHidden/>
    <w:unhideWhenUsed/>
    <w:rsid w:val="00733720"/>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733720"/>
    <w:rPr>
      <w:rFonts w:ascii="Calibri" w:eastAsiaTheme="minorHAnsi" w:hAnsi="Calibri" w:cs="Consolas"/>
      <w:sz w:val="22"/>
      <w:szCs w:val="21"/>
    </w:rPr>
  </w:style>
  <w:style w:type="paragraph" w:styleId="BalloonText">
    <w:name w:val="Balloon Text"/>
    <w:basedOn w:val="Normal"/>
    <w:link w:val="BalloonTextChar"/>
    <w:uiPriority w:val="99"/>
    <w:semiHidden/>
    <w:unhideWhenUsed/>
    <w:rsid w:val="00733720"/>
    <w:rPr>
      <w:rFonts w:ascii="Tahoma" w:hAnsi="Tahoma" w:cs="Tahoma"/>
      <w:sz w:val="16"/>
      <w:szCs w:val="16"/>
    </w:rPr>
  </w:style>
  <w:style w:type="character" w:customStyle="1" w:styleId="BalloonTextChar">
    <w:name w:val="Balloon Text Char"/>
    <w:basedOn w:val="DefaultParagraphFont"/>
    <w:link w:val="BalloonText"/>
    <w:uiPriority w:val="99"/>
    <w:semiHidden/>
    <w:rsid w:val="00733720"/>
    <w:rPr>
      <w:rFonts w:ascii="Tahoma" w:hAnsi="Tahoma" w:cs="Tahoma"/>
      <w:sz w:val="16"/>
      <w:szCs w:val="16"/>
    </w:rPr>
  </w:style>
  <w:style w:type="character" w:styleId="CommentReference">
    <w:name w:val="annotation reference"/>
    <w:basedOn w:val="DefaultParagraphFont"/>
    <w:uiPriority w:val="99"/>
    <w:semiHidden/>
    <w:unhideWhenUsed/>
    <w:rsid w:val="00420FAD"/>
    <w:rPr>
      <w:sz w:val="16"/>
      <w:szCs w:val="16"/>
    </w:rPr>
  </w:style>
  <w:style w:type="paragraph" w:styleId="CommentText">
    <w:name w:val="annotation text"/>
    <w:basedOn w:val="Normal"/>
    <w:link w:val="CommentTextChar"/>
    <w:uiPriority w:val="99"/>
    <w:unhideWhenUsed/>
    <w:rsid w:val="00420FAD"/>
    <w:rPr>
      <w:sz w:val="20"/>
    </w:rPr>
  </w:style>
  <w:style w:type="character" w:customStyle="1" w:styleId="CommentTextChar">
    <w:name w:val="Comment Text Char"/>
    <w:basedOn w:val="DefaultParagraphFont"/>
    <w:link w:val="CommentText"/>
    <w:uiPriority w:val="99"/>
    <w:rsid w:val="00420FAD"/>
    <w:rPr>
      <w:rFonts w:ascii="Courier" w:hAnsi="Courier"/>
    </w:rPr>
  </w:style>
  <w:style w:type="paragraph" w:styleId="CommentSubject">
    <w:name w:val="annotation subject"/>
    <w:basedOn w:val="CommentText"/>
    <w:next w:val="CommentText"/>
    <w:link w:val="CommentSubjectChar"/>
    <w:uiPriority w:val="99"/>
    <w:semiHidden/>
    <w:unhideWhenUsed/>
    <w:rsid w:val="00420FAD"/>
    <w:rPr>
      <w:b/>
      <w:bCs/>
    </w:rPr>
  </w:style>
  <w:style w:type="character" w:customStyle="1" w:styleId="CommentSubjectChar">
    <w:name w:val="Comment Subject Char"/>
    <w:basedOn w:val="CommentTextChar"/>
    <w:link w:val="CommentSubject"/>
    <w:uiPriority w:val="99"/>
    <w:semiHidden/>
    <w:rsid w:val="00420FAD"/>
    <w:rPr>
      <w:rFonts w:ascii="Courier" w:hAnsi="Courier"/>
      <w:b/>
      <w:bCs/>
    </w:rPr>
  </w:style>
  <w:style w:type="paragraph" w:styleId="BodyTextIndent">
    <w:name w:val="Body Text Indent"/>
    <w:basedOn w:val="Normal"/>
    <w:link w:val="BodyTextIndentChar"/>
    <w:uiPriority w:val="99"/>
    <w:unhideWhenUsed/>
    <w:rsid w:val="00F72BE6"/>
    <w:pPr>
      <w:tabs>
        <w:tab w:val="left" w:pos="-72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uiPriority w:val="99"/>
    <w:rsid w:val="00F72BE6"/>
    <w:rPr>
      <w:sz w:val="24"/>
      <w:szCs w:val="24"/>
    </w:rPr>
  </w:style>
  <w:style w:type="paragraph" w:styleId="BodyText">
    <w:name w:val="Body Text"/>
    <w:basedOn w:val="Normal"/>
    <w:link w:val="BodyTextChar"/>
    <w:uiPriority w:val="99"/>
    <w:unhideWhenUsed/>
    <w:rsid w:val="00EE2EC5"/>
    <w:pPr>
      <w:spacing w:after="120"/>
    </w:pPr>
  </w:style>
  <w:style w:type="character" w:customStyle="1" w:styleId="BodyTextChar">
    <w:name w:val="Body Text Char"/>
    <w:basedOn w:val="DefaultParagraphFont"/>
    <w:link w:val="BodyText"/>
    <w:uiPriority w:val="99"/>
    <w:rsid w:val="00EE2EC5"/>
    <w:rPr>
      <w:rFonts w:ascii="Courier" w:hAnsi="Courier"/>
      <w:sz w:val="24"/>
    </w:rPr>
  </w:style>
  <w:style w:type="paragraph" w:styleId="BodyTextIndent2">
    <w:name w:val="Body Text Indent 2"/>
    <w:basedOn w:val="Normal"/>
    <w:link w:val="BodyTextIndent2Char"/>
    <w:uiPriority w:val="99"/>
    <w:unhideWhenUsed/>
    <w:rsid w:val="00EE2EC5"/>
    <w:pPr>
      <w:tabs>
        <w:tab w:val="left" w:pos="-720"/>
      </w:tabs>
      <w:suppressAutoHyphens/>
      <w:ind w:left="720"/>
    </w:pPr>
    <w:rPr>
      <w:rFonts w:ascii="Times New Roman" w:hAnsi="Times New Roman"/>
      <w:b/>
      <w:szCs w:val="24"/>
    </w:rPr>
  </w:style>
  <w:style w:type="character" w:customStyle="1" w:styleId="BodyTextIndent2Char">
    <w:name w:val="Body Text Indent 2 Char"/>
    <w:basedOn w:val="DefaultParagraphFont"/>
    <w:link w:val="BodyTextIndent2"/>
    <w:uiPriority w:val="99"/>
    <w:rsid w:val="00EE2EC5"/>
    <w:rPr>
      <w:b/>
      <w:sz w:val="24"/>
      <w:szCs w:val="24"/>
    </w:rPr>
  </w:style>
  <w:style w:type="paragraph" w:styleId="BodyTextIndent3">
    <w:name w:val="Body Text Indent 3"/>
    <w:basedOn w:val="Normal"/>
    <w:link w:val="BodyTextIndent3Char"/>
    <w:uiPriority w:val="99"/>
    <w:semiHidden/>
    <w:unhideWhenUsed/>
    <w:rsid w:val="00E372B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372BB"/>
    <w:rPr>
      <w:rFonts w:ascii="Courier" w:hAnsi="Courier"/>
      <w:sz w:val="16"/>
      <w:szCs w:val="16"/>
    </w:rPr>
  </w:style>
  <w:style w:type="paragraph" w:styleId="Revision">
    <w:name w:val="Revision"/>
    <w:hidden/>
    <w:uiPriority w:val="99"/>
    <w:semiHidden/>
    <w:rsid w:val="00DA38F0"/>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998104">
      <w:bodyDiv w:val="1"/>
      <w:marLeft w:val="0"/>
      <w:marRight w:val="0"/>
      <w:marTop w:val="0"/>
      <w:marBottom w:val="0"/>
      <w:divBdr>
        <w:top w:val="none" w:sz="0" w:space="0" w:color="auto"/>
        <w:left w:val="none" w:sz="0" w:space="0" w:color="auto"/>
        <w:bottom w:val="none" w:sz="0" w:space="0" w:color="auto"/>
        <w:right w:val="none" w:sz="0" w:space="0" w:color="auto"/>
      </w:divBdr>
    </w:div>
    <w:div w:id="1053235940">
      <w:bodyDiv w:val="1"/>
      <w:marLeft w:val="0"/>
      <w:marRight w:val="0"/>
      <w:marTop w:val="0"/>
      <w:marBottom w:val="0"/>
      <w:divBdr>
        <w:top w:val="none" w:sz="0" w:space="0" w:color="auto"/>
        <w:left w:val="none" w:sz="0" w:space="0" w:color="auto"/>
        <w:bottom w:val="none" w:sz="0" w:space="0" w:color="auto"/>
        <w:right w:val="none" w:sz="0" w:space="0" w:color="auto"/>
      </w:divBdr>
    </w:div>
    <w:div w:id="1183743331">
      <w:bodyDiv w:val="1"/>
      <w:marLeft w:val="0"/>
      <w:marRight w:val="0"/>
      <w:marTop w:val="0"/>
      <w:marBottom w:val="0"/>
      <w:divBdr>
        <w:top w:val="none" w:sz="0" w:space="0" w:color="auto"/>
        <w:left w:val="none" w:sz="0" w:space="0" w:color="auto"/>
        <w:bottom w:val="none" w:sz="0" w:space="0" w:color="auto"/>
        <w:right w:val="none" w:sz="0" w:space="0" w:color="auto"/>
      </w:divBdr>
    </w:div>
    <w:div w:id="142645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FC2ED-6745-40E5-99DC-404EF7F56774}">
  <ds:schemaRefs>
    <ds:schemaRef ds:uri="http://www.w3.org/XML/1998/namespace"/>
    <ds:schemaRef ds:uri="http://purl.org/dc/terms/"/>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purl.org/dc/dcmitype/"/>
    <ds:schemaRef ds:uri="02e41e38-1731-4866-b09a-6257d8bc047f"/>
    <ds:schemaRef ds:uri="f87c7b8b-c0e7-4b77-a067-2c707fd1239f"/>
  </ds:schemaRefs>
</ds:datastoreItem>
</file>

<file path=customXml/itemProps2.xml><?xml version="1.0" encoding="utf-8"?>
<ds:datastoreItem xmlns:ds="http://schemas.openxmlformats.org/officeDocument/2006/customXml" ds:itemID="{CB91F509-65F1-464D-AAEA-6AE54FFE922B}">
  <ds:schemaRefs>
    <ds:schemaRef ds:uri="http://schemas.openxmlformats.org/officeDocument/2006/bibliography"/>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5C57442B-E762-4BE3-8B18-946030BA14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3097</Words>
  <Characters>17654</Characters>
  <Application>Microsoft Office Word</Application>
  <DocSecurity>4</DocSecurity>
  <Lines>147</Lines>
  <Paragraphs>41</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cp:lastPrinted>2017-04-03T19:33:00Z</cp:lastPrinted>
  <dcterms:created xsi:type="dcterms:W3CDTF">2020-06-26T17:32:00Z</dcterms:created>
  <dcterms:modified xsi:type="dcterms:W3CDTF">2020-06-26T17:32:00Z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0x0101001C22A2B9DBEDBB4DB130C1FAF5F2F008|-1541126600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04/27/2016 03:48:16</vt:lpwstr>
  </property>
  <property fmtid="{D5CDD505-2E9C-101B-9397-08002B2CF9AE}" pid="10"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