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55B" w:rsidP="00CE7745" w:rsidRDefault="00383548" w14:paraId="40D804CB" w14:textId="5E9C4694">
      <w:pPr>
        <w:tabs>
          <w:tab w:val="center" w:pos="4680"/>
        </w:tabs>
        <w:spacing w:after="0" w:line="259" w:lineRule="auto"/>
        <w:ind w:left="0" w:firstLine="0"/>
        <w:jc w:val="center"/>
      </w:pPr>
      <w:r>
        <w:t xml:space="preserve">Supporting Statement for </w:t>
      </w:r>
    </w:p>
    <w:p w:rsidR="00DD755B" w:rsidP="00DE2487" w:rsidRDefault="00383548" w14:paraId="08F9040C" w14:textId="37BA09EC">
      <w:pPr>
        <w:pStyle w:val="Heading1"/>
        <w:spacing w:after="0"/>
        <w:ind w:left="0" w:firstLine="0"/>
        <w:jc w:val="center"/>
      </w:pPr>
      <w:r>
        <w:t>FERC-516 (Electric Rate Schedules and Tariff Filings)</w:t>
      </w:r>
      <w:r w:rsidR="00DE2487">
        <w:t xml:space="preserve"> as modified in the</w:t>
      </w:r>
      <w:r>
        <w:t xml:space="preserve"> </w:t>
      </w:r>
      <w:r w:rsidR="003C127E">
        <w:t xml:space="preserve">Supplemental </w:t>
      </w:r>
      <w:r>
        <w:t xml:space="preserve">Notice of Proposed Rulemaking in Docket No. RM20-10-000 </w:t>
      </w:r>
    </w:p>
    <w:p w:rsidR="00DD755B" w:rsidRDefault="00383548" w14:paraId="541CF329" w14:textId="77777777">
      <w:pPr>
        <w:spacing w:after="0" w:line="259" w:lineRule="auto"/>
        <w:ind w:left="590" w:firstLine="0"/>
        <w:jc w:val="center"/>
        <w:outlineLvl w:val="4"/>
      </w:pPr>
      <w:r>
        <w:rPr>
          <w:b/>
        </w:rPr>
        <w:t xml:space="preserve"> </w:t>
      </w:r>
    </w:p>
    <w:p w:rsidR="00DD755B" w:rsidRDefault="00383548" w14:paraId="75A94B93" w14:textId="408C56AF">
      <w:pPr>
        <w:spacing w:after="0" w:line="240" w:lineRule="auto"/>
        <w:ind w:left="0" w:firstLine="0"/>
        <w:contextualSpacing/>
      </w:pPr>
      <w:r>
        <w:t xml:space="preserve">The Federal Energy Regulatory Commission (Commission or FERC) requests that the Office of Management and Budget (OMB) approve the information collection requirements in FERC-516, as proposed for modification in the </w:t>
      </w:r>
      <w:r w:rsidR="003C127E">
        <w:t xml:space="preserve">Supplemental </w:t>
      </w:r>
      <w:r>
        <w:t>Notice of Proposed Rulemaking (NOPR) in Docket No. RM20-10.</w:t>
      </w:r>
      <w:r w:rsidR="00A946E0">
        <w:rPr>
          <w:rStyle w:val="FootnoteReference"/>
        </w:rPr>
        <w:footnoteReference w:id="2"/>
      </w:r>
    </w:p>
    <w:p w:rsidR="00DD755B" w:rsidRDefault="00383548" w14:paraId="7AC544E1" w14:textId="77777777">
      <w:pPr>
        <w:spacing w:after="0" w:line="240" w:lineRule="auto"/>
        <w:ind w:left="0" w:firstLine="0"/>
        <w:rPr>
          <w:b/>
        </w:rPr>
      </w:pPr>
      <w:r>
        <w:rPr>
          <w:b/>
        </w:rPr>
        <w:t xml:space="preserve"> </w:t>
      </w:r>
    </w:p>
    <w:p w:rsidR="00DD755B" w:rsidRDefault="00383548" w14:paraId="7CF05CF4" w14:textId="14240A32">
      <w:pPr>
        <w:pStyle w:val="FERCparanumber"/>
        <w:numPr>
          <w:ilvl w:val="0"/>
          <w:numId w:val="0"/>
        </w:numPr>
        <w:spacing w:line="240" w:lineRule="auto"/>
        <w:rPr>
          <w:sz w:val="24"/>
          <w:szCs w:val="24"/>
        </w:rPr>
      </w:pPr>
      <w:r>
        <w:rPr>
          <w:b/>
          <w:sz w:val="24"/>
          <w:szCs w:val="24"/>
        </w:rPr>
        <w:t xml:space="preserve">Background.  </w:t>
      </w:r>
      <w:r>
        <w:rPr>
          <w:sz w:val="24"/>
          <w:szCs w:val="24"/>
        </w:rPr>
        <w:t xml:space="preserve">In the </w:t>
      </w:r>
      <w:r w:rsidR="00753CEE">
        <w:rPr>
          <w:sz w:val="24"/>
          <w:szCs w:val="24"/>
        </w:rPr>
        <w:t>Supplementa</w:t>
      </w:r>
      <w:r w:rsidR="008B6C4D">
        <w:rPr>
          <w:sz w:val="24"/>
          <w:szCs w:val="24"/>
        </w:rPr>
        <w:t>l</w:t>
      </w:r>
      <w:r w:rsidR="00753CEE">
        <w:rPr>
          <w:sz w:val="24"/>
          <w:szCs w:val="24"/>
        </w:rPr>
        <w:t xml:space="preserve"> </w:t>
      </w:r>
      <w:r>
        <w:rPr>
          <w:sz w:val="24"/>
          <w:szCs w:val="24"/>
        </w:rPr>
        <w:t>NOPR</w:t>
      </w:r>
      <w:r w:rsidR="003C0EC5">
        <w:rPr>
          <w:sz w:val="24"/>
          <w:szCs w:val="24"/>
        </w:rPr>
        <w:t xml:space="preserve"> </w:t>
      </w:r>
      <w:r w:rsidR="00E93D90">
        <w:rPr>
          <w:sz w:val="24"/>
          <w:szCs w:val="24"/>
        </w:rPr>
        <w:t>(SNOPR)</w:t>
      </w:r>
      <w:r>
        <w:rPr>
          <w:sz w:val="24"/>
          <w:szCs w:val="24"/>
        </w:rPr>
        <w:t>in Docket No. RM20-10, the Commission proposes to revise its existing transmission incentives policy and corresponding regulations (Transmission Incentives Regulations)</w:t>
      </w:r>
      <w:r>
        <w:rPr>
          <w:b/>
          <w:sz w:val="24"/>
          <w:szCs w:val="24"/>
          <w:vertAlign w:val="superscript"/>
        </w:rPr>
        <w:footnoteReference w:id="3"/>
      </w:r>
      <w:r w:rsidR="009339F7">
        <w:rPr>
          <w:sz w:val="24"/>
          <w:szCs w:val="24"/>
        </w:rPr>
        <w:t xml:space="preserve"> </w:t>
      </w:r>
      <w:r w:rsidRPr="00A03274" w:rsidR="009339F7">
        <w:rPr>
          <w:sz w:val="24"/>
          <w:szCs w:val="24"/>
        </w:rPr>
        <w:t xml:space="preserve">to </w:t>
      </w:r>
      <w:r w:rsidRPr="00A03274" w:rsidR="009339F7">
        <w:rPr>
          <w:bCs/>
          <w:sz w:val="24"/>
          <w:szCs w:val="24"/>
        </w:rPr>
        <w:t>more appropriately balance encouraging transmission owners to join Transmission Organizations with ratepayer considerations</w:t>
      </w:r>
      <w:r w:rsidRPr="008B2415">
        <w:rPr>
          <w:sz w:val="24"/>
          <w:szCs w:val="24"/>
        </w:rPr>
        <w:t>.</w:t>
      </w:r>
      <w:r>
        <w:rPr>
          <w:sz w:val="24"/>
          <w:szCs w:val="24"/>
        </w:rPr>
        <w:t xml:space="preserve">  After the enactment of the Energy Policy Act of 2005,</w:t>
      </w:r>
      <w:r>
        <w:rPr>
          <w:b/>
          <w:sz w:val="24"/>
          <w:szCs w:val="24"/>
          <w:vertAlign w:val="superscript"/>
        </w:rPr>
        <w:footnoteReference w:id="4"/>
      </w:r>
      <w:r>
        <w:rPr>
          <w:sz w:val="24"/>
          <w:szCs w:val="24"/>
        </w:rPr>
        <w:t xml:space="preserve"> which added section 219 to the Federal Power Act (FPA),</w:t>
      </w:r>
      <w:r>
        <w:rPr>
          <w:b/>
          <w:sz w:val="24"/>
          <w:szCs w:val="24"/>
          <w:vertAlign w:val="superscript"/>
        </w:rPr>
        <w:footnoteReference w:id="5"/>
      </w:r>
      <w:r>
        <w:rPr>
          <w:sz w:val="24"/>
          <w:szCs w:val="24"/>
        </w:rPr>
        <w:t xml:space="preserve"> the Commission promulgated Order No. 679</w:t>
      </w:r>
      <w:r>
        <w:rPr>
          <w:b/>
          <w:sz w:val="24"/>
          <w:szCs w:val="24"/>
          <w:vertAlign w:val="superscript"/>
        </w:rPr>
        <w:footnoteReference w:id="6"/>
      </w:r>
      <w:r>
        <w:rPr>
          <w:sz w:val="24"/>
          <w:szCs w:val="24"/>
        </w:rPr>
        <w:t xml:space="preserve"> pursuant to FPA section 219.   </w:t>
      </w:r>
    </w:p>
    <w:p w:rsidR="00DD755B" w:rsidRDefault="00DD755B" w14:paraId="2C2AE82A" w14:textId="77777777">
      <w:pPr>
        <w:pStyle w:val="FERCparanumber"/>
        <w:numPr>
          <w:ilvl w:val="0"/>
          <w:numId w:val="0"/>
        </w:numPr>
        <w:spacing w:line="240" w:lineRule="auto"/>
        <w:rPr>
          <w:sz w:val="24"/>
          <w:szCs w:val="24"/>
        </w:rPr>
      </w:pPr>
    </w:p>
    <w:p w:rsidR="00D2056B" w:rsidP="00D2056B" w:rsidRDefault="00383548" w14:paraId="1915FD90" w14:textId="4A6D8CEB">
      <w:pPr>
        <w:tabs>
          <w:tab w:val="num" w:pos="720"/>
        </w:tabs>
        <w:spacing w:after="0" w:line="240" w:lineRule="auto"/>
        <w:ind w:left="0" w:firstLine="0"/>
        <w:rPr>
          <w:rFonts w:eastAsia="Calibri"/>
          <w:color w:val="auto"/>
          <w:szCs w:val="24"/>
        </w:rPr>
      </w:pPr>
      <w:r>
        <w:rPr>
          <w:rFonts w:eastAsia="Calibri"/>
          <w:color w:val="auto"/>
          <w:szCs w:val="24"/>
        </w:rPr>
        <w:t>After Order No. 679, the Commission last reviewed its transmission incentives policy in its 2012 Policy Statement.</w:t>
      </w:r>
      <w:r>
        <w:rPr>
          <w:rFonts w:eastAsia="Calibri"/>
          <w:b/>
          <w:color w:val="auto"/>
          <w:szCs w:val="24"/>
          <w:vertAlign w:val="superscript"/>
        </w:rPr>
        <w:footnoteReference w:id="7"/>
      </w:r>
      <w:r>
        <w:rPr>
          <w:rFonts w:eastAsia="Calibri"/>
          <w:color w:val="auto"/>
          <w:szCs w:val="24"/>
        </w:rPr>
        <w:t xml:space="preserve">  Even since then, the energy industry has undergone a transformation.  The landscape for planning, developing, operating, and maintaining transmission infrastructure has changed considerably.  Those changes include an evolution in the resource mix and an increase in the number of new resources seeking transmission service, shifts in load patterns, the impact of the implementation of the Commission’s major rulemaking on transmission planning and cost allocation (Order  No. 1000),</w:t>
      </w:r>
      <w:r>
        <w:rPr>
          <w:rFonts w:eastAsia="Calibri"/>
          <w:b/>
          <w:color w:val="auto"/>
          <w:szCs w:val="24"/>
          <w:vertAlign w:val="superscript"/>
        </w:rPr>
        <w:footnoteReference w:id="8"/>
      </w:r>
      <w:r>
        <w:rPr>
          <w:rFonts w:eastAsia="Calibri"/>
          <w:color w:val="auto"/>
          <w:szCs w:val="24"/>
        </w:rPr>
        <w:t xml:space="preserve"> and new challenges to maintaining the reliability of transmission infrastructur</w:t>
      </w:r>
      <w:bookmarkStart w:name="_Hlk33377085" w:id="0"/>
      <w:r>
        <w:rPr>
          <w:rFonts w:eastAsia="Calibri"/>
          <w:color w:val="auto"/>
          <w:szCs w:val="24"/>
        </w:rPr>
        <w:t xml:space="preserve">e.  </w:t>
      </w:r>
      <w:bookmarkEnd w:id="0"/>
      <w:r w:rsidRPr="008B2C5F" w:rsidR="00D7070A">
        <w:rPr>
          <w:rFonts w:eastAsia="Calibri"/>
          <w:b/>
          <w:bCs/>
          <w:color w:val="auto"/>
          <w:szCs w:val="24"/>
        </w:rPr>
        <w:t xml:space="preserve">March </w:t>
      </w:r>
      <w:r w:rsidR="00D7070A">
        <w:rPr>
          <w:rFonts w:eastAsia="Calibri"/>
          <w:b/>
          <w:bCs/>
          <w:color w:val="auto"/>
          <w:szCs w:val="24"/>
        </w:rPr>
        <w:t xml:space="preserve">2020 </w:t>
      </w:r>
      <w:r w:rsidRPr="008B2C5F" w:rsidR="00D7070A">
        <w:rPr>
          <w:rFonts w:eastAsia="Calibri"/>
          <w:b/>
          <w:bCs/>
          <w:color w:val="auto"/>
          <w:szCs w:val="24"/>
        </w:rPr>
        <w:t xml:space="preserve">NOPR. </w:t>
      </w:r>
      <w:r w:rsidR="00D7070A">
        <w:rPr>
          <w:rFonts w:eastAsia="Calibri"/>
          <w:color w:val="auto"/>
          <w:szCs w:val="24"/>
        </w:rPr>
        <w:t xml:space="preserve"> </w:t>
      </w:r>
      <w:r w:rsidRPr="00D2056B" w:rsidR="00D2056B">
        <w:rPr>
          <w:rFonts w:eastAsia="Calibri"/>
          <w:color w:val="auto"/>
          <w:szCs w:val="24"/>
        </w:rPr>
        <w:t>On March 21, 2019, in Docket No. PL19-3-000, the Commission issued a Notice of Inquiry seeking comment on the scope and implementation of its transmission incentives policy under FPA section 219.</w:t>
      </w:r>
      <w:r w:rsidRPr="00D2056B" w:rsidR="00D2056B">
        <w:rPr>
          <w:rFonts w:eastAsia="Calibri"/>
          <w:b/>
          <w:color w:val="auto"/>
          <w:szCs w:val="24"/>
          <w:vertAlign w:val="superscript"/>
        </w:rPr>
        <w:footnoteReference w:id="9"/>
      </w:r>
      <w:r w:rsidRPr="00D2056B" w:rsidR="00D2056B">
        <w:rPr>
          <w:rFonts w:eastAsia="Calibri"/>
          <w:color w:val="auto"/>
          <w:szCs w:val="24"/>
        </w:rPr>
        <w:t xml:space="preserve"> </w:t>
      </w:r>
      <w:r w:rsidR="00384964">
        <w:rPr>
          <w:rFonts w:eastAsia="Calibri"/>
          <w:color w:val="auto"/>
          <w:szCs w:val="24"/>
        </w:rPr>
        <w:t xml:space="preserve"> </w:t>
      </w:r>
      <w:r w:rsidRPr="00D2056B" w:rsidR="00D2056B">
        <w:rPr>
          <w:rFonts w:eastAsia="Calibri"/>
          <w:color w:val="auto"/>
          <w:szCs w:val="24"/>
        </w:rPr>
        <w:t>The Commission posed several questions concerning an incentive for transmitting and electric utilities to join and remain in Transmission Organizations</w:t>
      </w:r>
      <w:r w:rsidR="00384964">
        <w:rPr>
          <w:rFonts w:eastAsia="Calibri"/>
          <w:color w:val="auto"/>
          <w:szCs w:val="24"/>
        </w:rPr>
        <w:t xml:space="preserve"> (while also posing questions about various other incentives and issues)</w:t>
      </w:r>
      <w:r w:rsidRPr="00D2056B" w:rsidR="00D2056B">
        <w:rPr>
          <w:rFonts w:eastAsia="Calibri"/>
          <w:color w:val="auto"/>
          <w:szCs w:val="24"/>
        </w:rPr>
        <w:t xml:space="preserve">.  </w:t>
      </w:r>
      <w:r w:rsidRPr="00D2056B" w:rsidR="00D2056B">
        <w:rPr>
          <w:rFonts w:eastAsia="Calibri"/>
          <w:color w:val="auto"/>
          <w:szCs w:val="24"/>
        </w:rPr>
        <w:lastRenderedPageBreak/>
        <w:t>In the March NOPR</w:t>
      </w:r>
      <w:r w:rsidR="008B2415">
        <w:rPr>
          <w:rStyle w:val="FootnoteReference"/>
          <w:rFonts w:eastAsia="Calibri"/>
          <w:color w:val="auto"/>
          <w:szCs w:val="24"/>
        </w:rPr>
        <w:footnoteReference w:id="10"/>
      </w:r>
      <w:r w:rsidRPr="00D2056B" w:rsidR="00D2056B">
        <w:rPr>
          <w:rFonts w:eastAsia="Calibri"/>
          <w:color w:val="auto"/>
          <w:szCs w:val="24"/>
        </w:rPr>
        <w:t>, the Commission proposed to revise its Transmission Incentives Regulations</w:t>
      </w:r>
      <w:r w:rsidRPr="00D2056B" w:rsidDel="009A60EE" w:rsidR="00D2056B">
        <w:rPr>
          <w:rFonts w:eastAsia="Calibri"/>
          <w:color w:val="auto"/>
          <w:szCs w:val="24"/>
        </w:rPr>
        <w:t xml:space="preserve"> </w:t>
      </w:r>
      <w:r w:rsidRPr="00D2056B" w:rsidR="00D2056B">
        <w:rPr>
          <w:rFonts w:eastAsia="Calibri"/>
          <w:color w:val="auto"/>
          <w:szCs w:val="24"/>
        </w:rPr>
        <w:t>to more closely align the policy with the statutory language of FPA section 219 and to reflect changes in the electric industry that have taken place since the issuances of Order Nos. 679 and 679-A.</w:t>
      </w:r>
      <w:r w:rsidRPr="00D2056B" w:rsidR="00D2056B">
        <w:rPr>
          <w:rFonts w:eastAsia="Calibri"/>
          <w:b/>
          <w:color w:val="auto"/>
          <w:szCs w:val="24"/>
          <w:vertAlign w:val="superscript"/>
        </w:rPr>
        <w:footnoteReference w:id="11"/>
      </w:r>
      <w:r w:rsidRPr="00D2056B" w:rsidR="00D2056B">
        <w:rPr>
          <w:rFonts w:eastAsia="Calibri"/>
          <w:color w:val="auto"/>
          <w:szCs w:val="24"/>
        </w:rPr>
        <w:t xml:space="preserve">  The Commission stated that an increased return on equity (ROE) remained an effective incentive to recognize the benefits, risks, and associated obligations of RTO membership and meet the requirements of FPA section 219(c).</w:t>
      </w:r>
      <w:r w:rsidRPr="00D2056B" w:rsidR="00D2056B">
        <w:rPr>
          <w:rFonts w:eastAsia="Calibri"/>
          <w:b/>
          <w:color w:val="auto"/>
          <w:szCs w:val="24"/>
          <w:vertAlign w:val="superscript"/>
        </w:rPr>
        <w:footnoteReference w:id="12"/>
      </w:r>
      <w:r w:rsidRPr="00D2056B" w:rsidR="00D2056B">
        <w:rPr>
          <w:rFonts w:eastAsia="Calibri"/>
          <w:color w:val="auto"/>
          <w:szCs w:val="24"/>
        </w:rPr>
        <w:t xml:space="preserve">  The Commission proposed</w:t>
      </w:r>
      <w:r w:rsidR="00D7070A">
        <w:rPr>
          <w:rFonts w:eastAsia="Calibri"/>
          <w:color w:val="auto"/>
          <w:szCs w:val="24"/>
        </w:rPr>
        <w:t xml:space="preserve"> in the March NOPR</w:t>
      </w:r>
      <w:r w:rsidRPr="00D2056B" w:rsidR="00D2056B">
        <w:rPr>
          <w:rFonts w:eastAsia="Calibri"/>
          <w:color w:val="auto"/>
          <w:szCs w:val="24"/>
        </w:rPr>
        <w:t xml:space="preserve">, among other things, to continue to permit transmitting utilities and electric utilities that join an RTO/ISO to recover prudently incurred costs associated with joining the RTO/ISO in their jurisdictional rates.  </w:t>
      </w:r>
    </w:p>
    <w:p w:rsidRPr="00D2056B" w:rsidR="00D2056B" w:rsidP="00D2056B" w:rsidRDefault="00D2056B" w14:paraId="19C614DD" w14:textId="77777777">
      <w:pPr>
        <w:tabs>
          <w:tab w:val="num" w:pos="720"/>
        </w:tabs>
        <w:spacing w:after="0" w:line="240" w:lineRule="auto"/>
        <w:ind w:left="0" w:firstLine="0"/>
        <w:rPr>
          <w:rFonts w:eastAsia="Calibri"/>
          <w:color w:val="auto"/>
          <w:szCs w:val="24"/>
        </w:rPr>
      </w:pPr>
    </w:p>
    <w:p w:rsidRPr="00D2056B" w:rsidR="00D2056B" w:rsidP="00D2056B" w:rsidRDefault="00D2056B" w14:paraId="7BAD4E28" w14:textId="45BD2EA4">
      <w:pPr>
        <w:tabs>
          <w:tab w:val="num" w:pos="720"/>
        </w:tabs>
        <w:spacing w:after="0" w:line="240" w:lineRule="auto"/>
        <w:ind w:left="0" w:firstLine="0"/>
        <w:rPr>
          <w:rFonts w:eastAsia="Calibri"/>
          <w:color w:val="auto"/>
          <w:szCs w:val="24"/>
        </w:rPr>
      </w:pPr>
      <w:r w:rsidRPr="00D2056B">
        <w:rPr>
          <w:rFonts w:eastAsia="Calibri"/>
          <w:color w:val="auto"/>
          <w:szCs w:val="24"/>
        </w:rPr>
        <w:t xml:space="preserve">Additionally, </w:t>
      </w:r>
      <w:r w:rsidR="00384964">
        <w:rPr>
          <w:rFonts w:eastAsia="Calibri"/>
          <w:color w:val="auto"/>
          <w:szCs w:val="24"/>
        </w:rPr>
        <w:t xml:space="preserve">among numerous other proposals, </w:t>
      </w:r>
      <w:r w:rsidRPr="00D2056B">
        <w:rPr>
          <w:rFonts w:eastAsia="Calibri"/>
          <w:color w:val="auto"/>
          <w:szCs w:val="24"/>
        </w:rPr>
        <w:t>the Commission proposed to standardize the RTO-Participation Incentive by doubling the level of the ROE adder that the Commission has commonly awarded as an incentive for electric and transmitting utilities that join and remain in Transmission Organizations, specifying that the level would be 100 basis points.  The Commission also proposed to remove</w:t>
      </w:r>
      <w:r w:rsidRPr="00D2056B" w:rsidDel="00EE5B44">
        <w:rPr>
          <w:rFonts w:eastAsia="Calibri"/>
          <w:color w:val="auto"/>
          <w:szCs w:val="24"/>
        </w:rPr>
        <w:t xml:space="preserve"> </w:t>
      </w:r>
      <w:r w:rsidRPr="00D2056B">
        <w:rPr>
          <w:rFonts w:eastAsia="Calibri"/>
          <w:color w:val="auto"/>
          <w:szCs w:val="24"/>
        </w:rPr>
        <w:t>the existing requirement for this incentive that recipients participate in Transmission Organizations on a voluntary basis.  The Commission proposed to apply the RTO-Participation Incentive prospectively to new applicants and to allow existing Transmission Organization Incentive recipients to increase the ROE level at which they receive this incentive to 100 basis points.</w:t>
      </w:r>
    </w:p>
    <w:p w:rsidR="00DD755B" w:rsidRDefault="00DD755B" w14:paraId="714A94FB" w14:textId="278A47A6">
      <w:pPr>
        <w:tabs>
          <w:tab w:val="num" w:pos="720"/>
        </w:tabs>
        <w:spacing w:after="0" w:line="240" w:lineRule="auto"/>
        <w:ind w:left="0" w:firstLine="0"/>
        <w:rPr>
          <w:rFonts w:eastAsia="Calibri"/>
          <w:color w:val="auto"/>
          <w:szCs w:val="24"/>
        </w:rPr>
      </w:pPr>
    </w:p>
    <w:p w:rsidR="00DD755B" w:rsidRDefault="00D7070A" w14:paraId="6B0CCDD6" w14:textId="0728F097">
      <w:pPr>
        <w:tabs>
          <w:tab w:val="num" w:pos="720"/>
        </w:tabs>
        <w:spacing w:after="0" w:line="240" w:lineRule="auto"/>
        <w:ind w:left="0" w:firstLine="0"/>
        <w:rPr>
          <w:rFonts w:eastAsia="Calibri"/>
          <w:color w:val="auto"/>
          <w:szCs w:val="24"/>
        </w:rPr>
      </w:pPr>
      <w:r>
        <w:rPr>
          <w:rFonts w:eastAsia="Calibri"/>
          <w:b/>
          <w:bCs/>
          <w:color w:val="auto"/>
          <w:szCs w:val="24"/>
        </w:rPr>
        <w:t xml:space="preserve">SNOPR, issued 4/2021.  </w:t>
      </w:r>
      <w:r w:rsidR="00D2056B">
        <w:rPr>
          <w:rFonts w:eastAsia="Calibri"/>
          <w:color w:val="auto"/>
          <w:szCs w:val="24"/>
        </w:rPr>
        <w:t xml:space="preserve">In this SNOPR, </w:t>
      </w:r>
      <w:r w:rsidR="00565165">
        <w:rPr>
          <w:rFonts w:eastAsia="Calibri"/>
          <w:color w:val="auto"/>
          <w:szCs w:val="24"/>
        </w:rPr>
        <w:t>the Commission</w:t>
      </w:r>
      <w:r w:rsidR="00383548">
        <w:rPr>
          <w:rFonts w:eastAsia="Calibri"/>
          <w:color w:val="auto"/>
          <w:szCs w:val="24"/>
        </w:rPr>
        <w:t xml:space="preserve"> propose</w:t>
      </w:r>
      <w:r w:rsidR="00565165">
        <w:rPr>
          <w:rFonts w:eastAsia="Calibri"/>
          <w:color w:val="auto"/>
          <w:szCs w:val="24"/>
        </w:rPr>
        <w:t>s</w:t>
      </w:r>
      <w:r w:rsidR="00383548">
        <w:rPr>
          <w:rFonts w:eastAsia="Calibri"/>
          <w:color w:val="auto"/>
          <w:szCs w:val="24"/>
        </w:rPr>
        <w:t xml:space="preserve"> to modify the </w:t>
      </w:r>
      <w:r w:rsidR="00A946E0">
        <w:rPr>
          <w:rFonts w:eastAsia="Calibri"/>
          <w:color w:val="auto"/>
          <w:szCs w:val="24"/>
        </w:rPr>
        <w:t>return on equity (</w:t>
      </w:r>
      <w:r w:rsidR="00383548">
        <w:rPr>
          <w:rFonts w:eastAsia="Calibri"/>
          <w:color w:val="auto"/>
          <w:szCs w:val="24"/>
        </w:rPr>
        <w:t>ROE</w:t>
      </w:r>
      <w:r w:rsidR="00A946E0">
        <w:rPr>
          <w:rFonts w:eastAsia="Calibri"/>
          <w:color w:val="auto"/>
          <w:szCs w:val="24"/>
        </w:rPr>
        <w:t>)</w:t>
      </w:r>
      <w:r w:rsidR="00383548">
        <w:rPr>
          <w:rFonts w:eastAsia="Calibri"/>
          <w:color w:val="auto"/>
          <w:szCs w:val="24"/>
        </w:rPr>
        <w:t xml:space="preserve"> incentive available to transmitting utilities or electric utilities that join an Independent System Operator (ISO), Regional Transmission Organization (RTO), or other Commission approved Transmission Organization</w:t>
      </w:r>
      <w:r w:rsidR="003C127E">
        <w:rPr>
          <w:rFonts w:eastAsia="Calibri"/>
          <w:color w:val="auto"/>
          <w:szCs w:val="24"/>
        </w:rPr>
        <w:t>.</w:t>
      </w:r>
      <w:r w:rsidR="00383548">
        <w:rPr>
          <w:rFonts w:eastAsia="Calibri"/>
          <w:b/>
          <w:color w:val="auto"/>
          <w:szCs w:val="24"/>
          <w:vertAlign w:val="superscript"/>
        </w:rPr>
        <w:footnoteReference w:id="13"/>
      </w:r>
      <w:r w:rsidR="00383548">
        <w:rPr>
          <w:rFonts w:eastAsia="Calibri"/>
          <w:color w:val="auto"/>
          <w:szCs w:val="24"/>
        </w:rPr>
        <w:t xml:space="preserve"> </w:t>
      </w:r>
      <w:r w:rsidR="003C127E">
        <w:rPr>
          <w:rFonts w:eastAsia="Calibri"/>
          <w:color w:val="auto"/>
          <w:szCs w:val="24"/>
        </w:rPr>
        <w:t xml:space="preserve">The </w:t>
      </w:r>
      <w:r w:rsidR="00D41366">
        <w:rPr>
          <w:rFonts w:eastAsia="Calibri"/>
          <w:color w:val="auto"/>
          <w:szCs w:val="24"/>
        </w:rPr>
        <w:t>Transmission Organization</w:t>
      </w:r>
      <w:r w:rsidR="00383548">
        <w:rPr>
          <w:rFonts w:eastAsia="Calibri"/>
          <w:color w:val="auto"/>
          <w:szCs w:val="24"/>
        </w:rPr>
        <w:t xml:space="preserve"> Incentive </w:t>
      </w:r>
      <w:r w:rsidR="0083015F">
        <w:rPr>
          <w:rFonts w:eastAsia="Calibri"/>
          <w:color w:val="auto"/>
          <w:szCs w:val="24"/>
        </w:rPr>
        <w:t xml:space="preserve">would be </w:t>
      </w:r>
      <w:r w:rsidR="00815648">
        <w:rPr>
          <w:rFonts w:eastAsia="Calibri"/>
          <w:color w:val="auto"/>
          <w:szCs w:val="24"/>
        </w:rPr>
        <w:t xml:space="preserve">limited to </w:t>
      </w:r>
      <w:r w:rsidR="00D2056B">
        <w:rPr>
          <w:rFonts w:eastAsia="Calibri"/>
          <w:color w:val="auto"/>
          <w:szCs w:val="24"/>
        </w:rPr>
        <w:t xml:space="preserve">three </w:t>
      </w:r>
      <w:r w:rsidR="00815648">
        <w:rPr>
          <w:rFonts w:eastAsia="Calibri"/>
          <w:color w:val="auto"/>
          <w:szCs w:val="24"/>
        </w:rPr>
        <w:t xml:space="preserve">years after the utility becomes a </w:t>
      </w:r>
      <w:r w:rsidR="0083015F">
        <w:rPr>
          <w:rFonts w:eastAsia="Calibri"/>
          <w:color w:val="auto"/>
          <w:szCs w:val="24"/>
        </w:rPr>
        <w:t xml:space="preserve">transmission organization </w:t>
      </w:r>
      <w:r w:rsidR="00815648">
        <w:rPr>
          <w:rFonts w:eastAsia="Calibri"/>
          <w:color w:val="auto"/>
          <w:szCs w:val="24"/>
        </w:rPr>
        <w:t xml:space="preserve">member.  Utilities that </w:t>
      </w:r>
      <w:r w:rsidR="00D41366">
        <w:rPr>
          <w:rFonts w:eastAsia="Calibri"/>
          <w:color w:val="auto"/>
          <w:szCs w:val="24"/>
        </w:rPr>
        <w:t xml:space="preserve">have already </w:t>
      </w:r>
      <w:r w:rsidR="0083015F">
        <w:rPr>
          <w:rFonts w:eastAsia="Calibri"/>
          <w:color w:val="auto"/>
          <w:szCs w:val="24"/>
        </w:rPr>
        <w:t xml:space="preserve">been members of an eligible transmission organization for at least </w:t>
      </w:r>
      <w:r w:rsidR="00D2056B">
        <w:rPr>
          <w:rFonts w:eastAsia="Calibri"/>
          <w:color w:val="auto"/>
          <w:szCs w:val="24"/>
        </w:rPr>
        <w:t xml:space="preserve">three </w:t>
      </w:r>
      <w:r w:rsidR="0083015F">
        <w:rPr>
          <w:rFonts w:eastAsia="Calibri"/>
          <w:color w:val="auto"/>
          <w:szCs w:val="24"/>
        </w:rPr>
        <w:t xml:space="preserve">years would have their Transmission Organization Incentive revoked.  Furthermore, utilities that join an otherwise eligible </w:t>
      </w:r>
      <w:r w:rsidR="001C02B7">
        <w:rPr>
          <w:rFonts w:eastAsia="Calibri"/>
          <w:color w:val="auto"/>
          <w:szCs w:val="24"/>
        </w:rPr>
        <w:t xml:space="preserve">Transmission Organization </w:t>
      </w:r>
      <w:r w:rsidR="0083015F">
        <w:rPr>
          <w:rFonts w:eastAsia="Calibri"/>
          <w:color w:val="auto"/>
          <w:szCs w:val="24"/>
        </w:rPr>
        <w:t>on a non-voluntary basis would not be eligible for the Transmission Organization Incentive</w:t>
      </w:r>
      <w:r w:rsidR="00383548">
        <w:rPr>
          <w:rFonts w:eastAsia="Calibri"/>
          <w:color w:val="auto"/>
          <w:szCs w:val="24"/>
        </w:rPr>
        <w:t xml:space="preserve">.  The proposed </w:t>
      </w:r>
      <w:r w:rsidR="0083015F">
        <w:rPr>
          <w:rFonts w:eastAsia="Calibri"/>
          <w:color w:val="auto"/>
          <w:szCs w:val="24"/>
        </w:rPr>
        <w:t>Transmission Organization</w:t>
      </w:r>
      <w:r w:rsidR="00383548">
        <w:rPr>
          <w:rFonts w:eastAsia="Calibri"/>
          <w:color w:val="auto"/>
          <w:szCs w:val="24"/>
        </w:rPr>
        <w:t xml:space="preserve"> Incentive will be a uniform </w:t>
      </w:r>
      <w:r w:rsidR="0083015F">
        <w:rPr>
          <w:rFonts w:eastAsia="Calibri"/>
          <w:color w:val="auto"/>
          <w:szCs w:val="24"/>
        </w:rPr>
        <w:t>50</w:t>
      </w:r>
      <w:r w:rsidR="00383548">
        <w:rPr>
          <w:rFonts w:eastAsia="Calibri"/>
          <w:color w:val="auto"/>
          <w:szCs w:val="24"/>
        </w:rPr>
        <w:t>-basis-point increase to ROE for utilities</w:t>
      </w:r>
      <w:r w:rsidR="0083015F">
        <w:rPr>
          <w:rFonts w:eastAsia="Calibri"/>
          <w:color w:val="auto"/>
          <w:szCs w:val="24"/>
        </w:rPr>
        <w:t xml:space="preserve">’ transmission investment for </w:t>
      </w:r>
      <w:r w:rsidR="007A5AF2">
        <w:rPr>
          <w:rFonts w:eastAsia="Calibri"/>
          <w:color w:val="auto"/>
          <w:szCs w:val="24"/>
        </w:rPr>
        <w:t>utilities</w:t>
      </w:r>
      <w:r w:rsidR="00383548">
        <w:rPr>
          <w:rFonts w:eastAsia="Calibri"/>
          <w:color w:val="auto"/>
          <w:szCs w:val="24"/>
        </w:rPr>
        <w:t xml:space="preserve"> that turn over their wholesale facilities to the Transmission Organization</w:t>
      </w:r>
      <w:bookmarkStart w:name="_Hlk70068836" w:id="1"/>
      <w:r w:rsidR="00383548">
        <w:rPr>
          <w:rFonts w:eastAsia="Calibri"/>
          <w:color w:val="auto"/>
          <w:szCs w:val="24"/>
        </w:rPr>
        <w:t>.</w:t>
      </w:r>
      <w:r w:rsidR="004A3963">
        <w:rPr>
          <w:rFonts w:eastAsia="Calibri"/>
          <w:color w:val="auto"/>
          <w:szCs w:val="24"/>
        </w:rPr>
        <w:t xml:space="preserve"> </w:t>
      </w:r>
      <w:r w:rsidR="00D2056B">
        <w:rPr>
          <w:rFonts w:eastAsia="Calibri"/>
          <w:color w:val="auto"/>
          <w:szCs w:val="24"/>
        </w:rPr>
        <w:t xml:space="preserve"> </w:t>
      </w:r>
      <w:r w:rsidRPr="004A3963" w:rsidR="004A3963">
        <w:rPr>
          <w:rFonts w:eastAsia="Calibri"/>
          <w:color w:val="auto"/>
          <w:szCs w:val="24"/>
        </w:rPr>
        <w:t xml:space="preserve">We estimate </w:t>
      </w:r>
      <w:r w:rsidR="00B76183">
        <w:rPr>
          <w:rFonts w:eastAsia="Calibri"/>
          <w:color w:val="auto"/>
          <w:szCs w:val="24"/>
        </w:rPr>
        <w:t>a</w:t>
      </w:r>
      <w:bookmarkStart w:name="_GoBack" w:id="2"/>
      <w:bookmarkEnd w:id="2"/>
      <w:r w:rsidRPr="004A3963" w:rsidR="004A3963">
        <w:rPr>
          <w:rFonts w:eastAsia="Calibri"/>
          <w:color w:val="auto"/>
          <w:szCs w:val="24"/>
        </w:rPr>
        <w:t xml:space="preserve"> one-time </w:t>
      </w:r>
      <w:r w:rsidR="00F22A5A">
        <w:rPr>
          <w:rFonts w:eastAsia="Calibri"/>
          <w:color w:val="auto"/>
          <w:szCs w:val="24"/>
        </w:rPr>
        <w:t>filing (burdens and costs)</w:t>
      </w:r>
      <w:r w:rsidRPr="004A3963" w:rsidR="004A3963">
        <w:rPr>
          <w:rFonts w:eastAsia="Calibri"/>
          <w:color w:val="auto"/>
          <w:szCs w:val="24"/>
        </w:rPr>
        <w:t xml:space="preserve"> associated with th</w:t>
      </w:r>
      <w:r w:rsidR="004A3963">
        <w:rPr>
          <w:rFonts w:eastAsia="Calibri"/>
          <w:color w:val="auto"/>
          <w:szCs w:val="24"/>
        </w:rPr>
        <w:t>is S</w:t>
      </w:r>
      <w:r w:rsidRPr="004A3963" w:rsidR="004A3963">
        <w:rPr>
          <w:rFonts w:eastAsia="Calibri"/>
          <w:color w:val="auto"/>
          <w:szCs w:val="24"/>
        </w:rPr>
        <w:t xml:space="preserve">NOPR (as shown </w:t>
      </w:r>
      <w:r w:rsidR="004A3963">
        <w:rPr>
          <w:rFonts w:eastAsia="Calibri"/>
          <w:color w:val="auto"/>
          <w:szCs w:val="24"/>
        </w:rPr>
        <w:t xml:space="preserve">in </w:t>
      </w:r>
      <w:r w:rsidR="00E93D90">
        <w:rPr>
          <w:rFonts w:eastAsia="Calibri"/>
          <w:color w:val="auto"/>
          <w:szCs w:val="24"/>
        </w:rPr>
        <w:t xml:space="preserve">the table on </w:t>
      </w:r>
      <w:r w:rsidR="004A3963">
        <w:rPr>
          <w:rFonts w:eastAsia="Calibri"/>
          <w:color w:val="auto"/>
          <w:szCs w:val="24"/>
        </w:rPr>
        <w:t>question 12</w:t>
      </w:r>
      <w:r w:rsidRPr="004A3963" w:rsidR="004A3963">
        <w:rPr>
          <w:rFonts w:eastAsia="Calibri"/>
          <w:color w:val="auto"/>
          <w:szCs w:val="24"/>
        </w:rPr>
        <w:t>)</w:t>
      </w:r>
      <w:bookmarkEnd w:id="1"/>
      <w:r w:rsidRPr="004A3963" w:rsidR="004A3963">
        <w:rPr>
          <w:rFonts w:eastAsia="Calibri"/>
          <w:color w:val="auto"/>
          <w:szCs w:val="24"/>
        </w:rPr>
        <w:t xml:space="preserve"> of: $6,640 each for the 190 filers (transmitting utilities in RTOs/ISOs) of FERC-516.  </w:t>
      </w:r>
    </w:p>
    <w:p w:rsidR="00DD755B" w:rsidRDefault="00383548" w14:paraId="1E8BAA23" w14:textId="77777777">
      <w:pPr>
        <w:pStyle w:val="Heading1"/>
        <w:spacing w:after="0" w:line="240" w:lineRule="auto"/>
        <w:ind w:left="0" w:firstLine="0"/>
      </w:pPr>
      <w:r>
        <w:rPr>
          <w:bCs/>
        </w:rPr>
        <w:lastRenderedPageBreak/>
        <w:t>1.</w:t>
      </w:r>
      <w:r>
        <w:rPr>
          <w:rFonts w:ascii="Arial" w:hAnsi="Arial" w:eastAsia="Arial" w:cs="Arial"/>
          <w:b w:val="0"/>
        </w:rPr>
        <w:t xml:space="preserve"> </w:t>
      </w:r>
      <w:r>
        <w:t xml:space="preserve">CIRCUMSTANCES THAT MAKE THE COLLECTION OF INFORMATION NECESSARY </w:t>
      </w:r>
    </w:p>
    <w:p w:rsidR="00DD755B" w:rsidRDefault="00224FA6" w14:paraId="0B3090A3" w14:textId="2B735DA6">
      <w:pPr>
        <w:spacing w:after="0" w:line="240" w:lineRule="auto"/>
        <w:ind w:left="0" w:firstLine="0"/>
      </w:pPr>
      <w:r>
        <w:t xml:space="preserve">In </w:t>
      </w:r>
      <w:r w:rsidR="00383548">
        <w:t xml:space="preserve">this </w:t>
      </w:r>
      <w:r w:rsidR="00D837B8">
        <w:t>Supplementa</w:t>
      </w:r>
      <w:r w:rsidR="008B6C4D">
        <w:t>l</w:t>
      </w:r>
      <w:r w:rsidR="00D837B8">
        <w:t xml:space="preserve"> </w:t>
      </w:r>
      <w:r w:rsidR="00383548">
        <w:t xml:space="preserve">NOPR, the Commission proposes to revise the following </w:t>
      </w:r>
      <w:r w:rsidR="007A5AF2">
        <w:t>collection of</w:t>
      </w:r>
      <w:r w:rsidR="00383548">
        <w:t xml:space="preserve"> information: </w:t>
      </w:r>
    </w:p>
    <w:p w:rsidR="00DD755B" w:rsidRDefault="00383548" w14:paraId="6129720A" w14:textId="77777777">
      <w:pPr>
        <w:spacing w:after="0" w:line="240" w:lineRule="auto"/>
        <w:ind w:left="0" w:firstLine="0"/>
      </w:pPr>
      <w:r>
        <w:t xml:space="preserve"> </w:t>
      </w:r>
    </w:p>
    <w:p w:rsidR="00DD755B" w:rsidRDefault="00383548" w14:paraId="05475AB6" w14:textId="02D723F4">
      <w:pPr>
        <w:spacing w:after="0" w:line="240" w:lineRule="auto"/>
        <w:ind w:left="0" w:firstLine="0"/>
      </w:pPr>
      <w:r>
        <w:t xml:space="preserve">FERC-516 (Electric Rate Schedules and Tariff Filings, OMB Control No. 1902-0096) </w:t>
      </w:r>
    </w:p>
    <w:p w:rsidR="00DD755B" w:rsidRDefault="00383548" w14:paraId="1D6FAAD9" w14:textId="7A4BEE80">
      <w:pPr>
        <w:spacing w:after="0" w:line="240" w:lineRule="auto"/>
        <w:ind w:left="0" w:firstLine="0"/>
      </w:pPr>
      <w:r>
        <w:t xml:space="preserve">These revisions are included in </w:t>
      </w:r>
      <w:r w:rsidR="00A946E0">
        <w:t>the</w:t>
      </w:r>
      <w:r w:rsidR="00535DBE">
        <w:t xml:space="preserve"> Supplemental </w:t>
      </w:r>
      <w:r>
        <w:t>NOPR in Docket No. RM20-10-000</w:t>
      </w:r>
      <w:r w:rsidR="00A71618">
        <w:t>.</w:t>
      </w:r>
      <w:r>
        <w:t xml:space="preserve">  The </w:t>
      </w:r>
      <w:r w:rsidR="00535DBE">
        <w:t xml:space="preserve">Supplemental </w:t>
      </w:r>
      <w:r>
        <w:t>NOPR would update the Commission’s existing transmission incentives policy and corresponding regulations.  The relevant authorities are</w:t>
      </w:r>
      <w:r w:rsidR="00517198">
        <w:t>:</w:t>
      </w:r>
    </w:p>
    <w:p w:rsidR="00DD755B" w:rsidRDefault="00383548" w14:paraId="5FFA04AE" w14:textId="77777777">
      <w:pPr>
        <w:spacing w:after="0" w:line="240" w:lineRule="auto"/>
        <w:ind w:left="0" w:firstLine="0"/>
      </w:pPr>
      <w:r>
        <w:t xml:space="preserve"> </w:t>
      </w:r>
    </w:p>
    <w:p w:rsidR="00DD755B" w:rsidRDefault="00383548" w14:paraId="15926A75" w14:textId="77777777">
      <w:pPr>
        <w:numPr>
          <w:ilvl w:val="0"/>
          <w:numId w:val="1"/>
        </w:numPr>
        <w:spacing w:after="0" w:line="240" w:lineRule="auto"/>
        <w:ind w:left="720" w:hanging="720"/>
      </w:pPr>
      <w:r>
        <w:t>Sections 205, 206, and 219 of the Federal Power Act (FPA), 16 U.S.C. 824d, 824e, and 824s;</w:t>
      </w:r>
    </w:p>
    <w:p w:rsidR="00DD755B" w:rsidRDefault="00383548" w14:paraId="2D0AC134" w14:textId="77777777">
      <w:pPr>
        <w:numPr>
          <w:ilvl w:val="0"/>
          <w:numId w:val="1"/>
        </w:numPr>
        <w:spacing w:after="0" w:line="240" w:lineRule="auto"/>
        <w:ind w:left="0" w:firstLine="0"/>
      </w:pPr>
      <w:r>
        <w:t>18 CFR 35.35;</w:t>
      </w:r>
    </w:p>
    <w:p w:rsidR="00DD755B" w:rsidRDefault="00383548" w14:paraId="10A2B24C" w14:textId="415FB0DF">
      <w:pPr>
        <w:numPr>
          <w:ilvl w:val="0"/>
          <w:numId w:val="1"/>
        </w:numPr>
        <w:spacing w:after="0" w:line="240" w:lineRule="auto"/>
        <w:ind w:left="720" w:hanging="720"/>
      </w:pPr>
      <w:r>
        <w:rPr>
          <w:iCs/>
        </w:rPr>
        <w:t>Order No. 679,</w:t>
      </w:r>
      <w:r>
        <w:rPr>
          <w:i/>
        </w:rPr>
        <w:t xml:space="preserve"> Promoting Transmission Investment through Pricing Reform</w:t>
      </w:r>
      <w:r>
        <w:t xml:space="preserve">, Order No. 679, 116 FERC ¶ 61,057, </w:t>
      </w:r>
      <w:r>
        <w:rPr>
          <w:i/>
        </w:rPr>
        <w:t>order on reh’g</w:t>
      </w:r>
      <w:r>
        <w:t xml:space="preserve">, Order No. 679-A, 117 FERC ¶ 61,345 (2006), </w:t>
      </w:r>
      <w:r>
        <w:rPr>
          <w:i/>
        </w:rPr>
        <w:t xml:space="preserve">order on reh’g </w:t>
      </w:r>
      <w:r>
        <w:t>119 FERC ¶ 61,062 (2007); and</w:t>
      </w:r>
    </w:p>
    <w:p w:rsidR="00DD755B" w:rsidP="001B1273" w:rsidRDefault="00383548" w14:paraId="4C9ECF3F" w14:textId="627FB7D7">
      <w:pPr>
        <w:numPr>
          <w:ilvl w:val="0"/>
          <w:numId w:val="1"/>
        </w:numPr>
        <w:spacing w:after="0" w:line="240" w:lineRule="auto"/>
        <w:ind w:left="720" w:hanging="720"/>
      </w:pPr>
      <w:r>
        <w:t xml:space="preserve">Order No, 1000, </w:t>
      </w:r>
      <w:r>
        <w:rPr>
          <w:i/>
        </w:rPr>
        <w:t>Transmission Planning and Cost Allocation by Transmission Owning and Operating Public Utilities</w:t>
      </w:r>
      <w:r>
        <w:t xml:space="preserve">, Order No. 1000, 136 FERC ¶ 61,051 (2011), </w:t>
      </w:r>
      <w:r>
        <w:rPr>
          <w:i/>
        </w:rPr>
        <w:t>order on reh’g</w:t>
      </w:r>
      <w:r>
        <w:t xml:space="preserve">, Order No. 1000-A, 139 FERC ¶ 61,132, </w:t>
      </w:r>
      <w:r>
        <w:rPr>
          <w:i/>
        </w:rPr>
        <w:t>order on reh’g and clarification</w:t>
      </w:r>
      <w:r>
        <w:t xml:space="preserve">, Order No. 1000-B, 141 FERC ¶ 61,044 (2012), </w:t>
      </w:r>
      <w:r>
        <w:rPr>
          <w:i/>
        </w:rPr>
        <w:t>aff'd sub nom. S.C. Pub. Serv. Auth. v. FERC</w:t>
      </w:r>
      <w:r>
        <w:t>, 762 F.3d 41 (D.C. Cir. 2014).</w:t>
      </w:r>
    </w:p>
    <w:p w:rsidR="00DD755B" w:rsidRDefault="00383548" w14:paraId="0381823A" w14:textId="77777777">
      <w:pPr>
        <w:spacing w:after="0" w:line="240" w:lineRule="auto"/>
        <w:ind w:left="0" w:firstLine="0"/>
      </w:pPr>
      <w:r>
        <w:rPr>
          <w:sz w:val="22"/>
        </w:rPr>
        <w:t xml:space="preserve"> </w:t>
      </w:r>
    </w:p>
    <w:p w:rsidR="00DD755B" w:rsidRDefault="00383548" w14:paraId="301ECC66" w14:textId="0FB6F5A6">
      <w:pPr>
        <w:spacing w:after="0" w:line="240" w:lineRule="auto"/>
        <w:ind w:left="0" w:firstLine="0"/>
      </w:pPr>
      <w:r>
        <w:t xml:space="preserve">FPA sections 205 and 206 pertain to rates and charges for public utilities.  FPA section 219 pertains to incentive-based rates for electric transmission for the purposes of ensuring </w:t>
      </w:r>
      <w:r w:rsidR="007A5AF2">
        <w:t>reliability and</w:t>
      </w:r>
      <w:r>
        <w:t xml:space="preserve"> reducing transmission congestion (thereby reducing the cost of delivered power).  At present, the Commission implements FPA section 219 in accordance with 18 CFR 35.35, Order </w:t>
      </w:r>
      <w:r w:rsidR="00840F63">
        <w:t>No</w:t>
      </w:r>
      <w:r w:rsidR="00565165">
        <w:t>s</w:t>
      </w:r>
      <w:r w:rsidR="00840F63">
        <w:t xml:space="preserve">. </w:t>
      </w:r>
      <w:r>
        <w:t>679and 1000.</w:t>
      </w:r>
      <w:r w:rsidR="00565165">
        <w:t xml:space="preserve">  </w:t>
      </w:r>
      <w:r>
        <w:t xml:space="preserve">The </w:t>
      </w:r>
      <w:r w:rsidR="008B6C4D">
        <w:t xml:space="preserve">Supplemental </w:t>
      </w:r>
      <w:r>
        <w:t>NOPR is intended to improve the Commission’s implementation of FPA section 219</w:t>
      </w:r>
      <w:r w:rsidR="009339F7">
        <w:t xml:space="preserve"> by more appropriately </w:t>
      </w:r>
      <w:r w:rsidRPr="009339F7" w:rsidR="009339F7">
        <w:rPr>
          <w:bCs/>
        </w:rPr>
        <w:t>balanc</w:t>
      </w:r>
      <w:r w:rsidR="009339F7">
        <w:rPr>
          <w:bCs/>
        </w:rPr>
        <w:t>ing</w:t>
      </w:r>
      <w:r w:rsidRPr="009339F7" w:rsidR="009339F7">
        <w:rPr>
          <w:bCs/>
        </w:rPr>
        <w:t xml:space="preserve"> encouraging transmission owners to join Transmission Organizations with ratepayer considerations</w:t>
      </w:r>
      <w:r>
        <w:t>.</w:t>
      </w:r>
    </w:p>
    <w:p w:rsidR="00DD755B" w:rsidP="008B2C5F" w:rsidRDefault="00DD755B" w14:paraId="55FFA245" w14:textId="4F534672">
      <w:pPr>
        <w:spacing w:after="0" w:line="240" w:lineRule="auto"/>
        <w:ind w:left="0" w:firstLine="0"/>
      </w:pPr>
    </w:p>
    <w:p w:rsidR="00DD755B" w:rsidP="00565165" w:rsidRDefault="00383548" w14:paraId="4B011505" w14:textId="5F3D7DB0">
      <w:pPr>
        <w:pStyle w:val="Heading1"/>
        <w:ind w:left="360" w:hanging="360"/>
      </w:pPr>
      <w:r>
        <w:rPr>
          <w:bCs/>
        </w:rPr>
        <w:t>2.</w:t>
      </w:r>
      <w:r>
        <w:rPr>
          <w:rFonts w:ascii="Arial" w:hAnsi="Arial" w:eastAsia="Arial" w:cs="Arial"/>
          <w:b w:val="0"/>
        </w:rPr>
        <w:t xml:space="preserve"> </w:t>
      </w:r>
      <w:r>
        <w:t xml:space="preserve">HOW, BY WHOM, AND FOR WHAT PURPOSE THE INFORMATION IS TO BE </w:t>
      </w:r>
      <w:r w:rsidR="00CD17A0">
        <w:t>U</w:t>
      </w:r>
      <w:r>
        <w:t xml:space="preserve">SED AND THE CONSEQUENCES OF NOT COLLECTING THE INFORMATION </w:t>
      </w:r>
    </w:p>
    <w:p w:rsidRPr="008B2C5F" w:rsidR="00DD755B" w:rsidP="008B2C5F" w:rsidRDefault="00383548" w14:paraId="576320EB" w14:textId="78213B4E">
      <w:pPr>
        <w:tabs>
          <w:tab w:val="num" w:pos="720"/>
        </w:tabs>
        <w:spacing w:after="0" w:line="240" w:lineRule="auto"/>
        <w:ind w:left="0" w:firstLine="0"/>
      </w:pPr>
      <w:r>
        <w:rPr>
          <w:b/>
          <w:bCs/>
        </w:rPr>
        <w:t xml:space="preserve">Changes Proposed:  Information Required </w:t>
      </w:r>
      <w:r w:rsidR="009339F7">
        <w:rPr>
          <w:b/>
          <w:bCs/>
        </w:rPr>
        <w:t xml:space="preserve">to </w:t>
      </w:r>
      <w:r w:rsidR="009339F7">
        <w:rPr>
          <w:b/>
        </w:rPr>
        <w:t>U</w:t>
      </w:r>
      <w:r w:rsidRPr="003960AC" w:rsidR="009339F7">
        <w:rPr>
          <w:b/>
        </w:rPr>
        <w:t xml:space="preserve">pdate </w:t>
      </w:r>
      <w:r w:rsidR="009339F7">
        <w:rPr>
          <w:b/>
        </w:rPr>
        <w:t>R</w:t>
      </w:r>
      <w:r w:rsidRPr="003960AC" w:rsidR="009339F7">
        <w:rPr>
          <w:b/>
        </w:rPr>
        <w:t xml:space="preserve">ates </w:t>
      </w:r>
      <w:r w:rsidR="009339F7">
        <w:rPr>
          <w:b/>
        </w:rPr>
        <w:t>R</w:t>
      </w:r>
      <w:r w:rsidRPr="003960AC" w:rsidR="009339F7">
        <w:rPr>
          <w:b/>
        </w:rPr>
        <w:t xml:space="preserve">eflecting the </w:t>
      </w:r>
      <w:r w:rsidR="009339F7">
        <w:rPr>
          <w:b/>
        </w:rPr>
        <w:t>T</w:t>
      </w:r>
      <w:r w:rsidRPr="003960AC" w:rsidR="009339F7">
        <w:rPr>
          <w:b/>
        </w:rPr>
        <w:t>ermination of the Transmission Organization Incentive</w:t>
      </w:r>
    </w:p>
    <w:p w:rsidR="00DD755B" w:rsidP="008B2C5F" w:rsidRDefault="00383548" w14:paraId="57E9C0B6" w14:textId="0F1D7514">
      <w:pPr>
        <w:spacing w:after="0" w:line="240" w:lineRule="auto"/>
        <w:ind w:left="0" w:firstLine="0"/>
      </w:pPr>
      <w:r>
        <w:t xml:space="preserve">In the </w:t>
      </w:r>
      <w:r w:rsidR="00C1679C">
        <w:t xml:space="preserve">Supplemental </w:t>
      </w:r>
      <w:r>
        <w:t xml:space="preserve">NOPR, the Commission </w:t>
      </w:r>
      <w:r w:rsidR="008F340C">
        <w:t xml:space="preserve">is proposing to </w:t>
      </w:r>
      <w:r>
        <w:t xml:space="preserve">revise </w:t>
      </w:r>
      <w:r w:rsidR="008F340C">
        <w:t xml:space="preserve">its regulations regarding a specific </w:t>
      </w:r>
      <w:r>
        <w:t xml:space="preserve">transmission rate incentive.  </w:t>
      </w:r>
      <w:r w:rsidR="00947831">
        <w:t xml:space="preserve">This proposal would create a </w:t>
      </w:r>
      <w:r w:rsidRPr="00947831" w:rsidR="00947831">
        <w:t>one-time filing (burdens and costs) (as shown in the table on question 12)</w:t>
      </w:r>
      <w:r w:rsidR="00947831">
        <w:t xml:space="preserve">. </w:t>
      </w:r>
    </w:p>
    <w:p w:rsidR="008F340C" w:rsidP="008B2C5F" w:rsidRDefault="008F340C" w14:paraId="44134B3C" w14:textId="073A7620">
      <w:pPr>
        <w:spacing w:after="0" w:line="240" w:lineRule="auto"/>
        <w:ind w:left="10"/>
      </w:pPr>
    </w:p>
    <w:p w:rsidRPr="00DA2C1D" w:rsidR="00DA2C1D" w:rsidP="008B2C5F" w:rsidRDefault="00DA2C1D" w14:paraId="69294BA8" w14:textId="6AA37099">
      <w:pPr>
        <w:spacing w:after="0" w:line="240" w:lineRule="auto"/>
        <w:ind w:left="10"/>
      </w:pPr>
      <w:r w:rsidRPr="00DA2C1D">
        <w:t xml:space="preserve">The </w:t>
      </w:r>
      <w:r w:rsidR="008B6C4D">
        <w:t>Supplemental</w:t>
      </w:r>
      <w:r w:rsidRPr="00DA2C1D" w:rsidR="008B6C4D">
        <w:t xml:space="preserve"> </w:t>
      </w:r>
      <w:r w:rsidRPr="00DA2C1D">
        <w:t xml:space="preserve">NOPR would revise 18 CFR 35.35(c) </w:t>
      </w:r>
      <w:r w:rsidR="008F340C">
        <w:t xml:space="preserve">to reflect that the Commission authorizes a </w:t>
      </w:r>
      <w:r w:rsidRPr="008F340C" w:rsidR="008F340C">
        <w:t>transmitting utility that joins a Transmission Organization and turns over operational control of the applicant’s wholesale transmission facilities to the Transmission Organization</w:t>
      </w:r>
      <w:r w:rsidR="008F340C">
        <w:t xml:space="preserve"> to receive</w:t>
      </w:r>
      <w:r w:rsidRPr="008F340C" w:rsidR="008F340C">
        <w:t xml:space="preserve"> a 50-basis-point increase in return on equity for three years</w:t>
      </w:r>
      <w:r w:rsidR="008F340C">
        <w:t>.</w:t>
      </w:r>
    </w:p>
    <w:p w:rsidR="00DA2C1D" w:rsidP="00DA2C1D" w:rsidRDefault="00DA2C1D" w14:paraId="70485561" w14:textId="333A0D92">
      <w:pPr>
        <w:spacing w:after="0" w:line="240" w:lineRule="auto"/>
      </w:pPr>
    </w:p>
    <w:p w:rsidRPr="00DA2C1D" w:rsidR="00267745" w:rsidP="008B2C5F" w:rsidRDefault="008F340C" w14:paraId="65228AE7" w14:textId="09BA26E8">
      <w:pPr>
        <w:spacing w:after="0" w:line="240" w:lineRule="auto"/>
        <w:ind w:left="20"/>
      </w:pPr>
      <w:r>
        <w:t xml:space="preserve">For </w:t>
      </w:r>
      <w:r w:rsidRPr="008F340C">
        <w:t>transmitting utilit</w:t>
      </w:r>
      <w:r>
        <w:t xml:space="preserve">ies which have previously received this incentive, </w:t>
      </w:r>
      <w:r w:rsidR="00705A71">
        <w:t>the Commission is proposing to require a showing that the r</w:t>
      </w:r>
      <w:r w:rsidRPr="00705A71" w:rsidR="00705A71">
        <w:t xml:space="preserve">ates </w:t>
      </w:r>
      <w:r w:rsidR="00705A71">
        <w:t>have been updated to r</w:t>
      </w:r>
      <w:r w:rsidRPr="00705A71" w:rsidR="00705A71">
        <w:t xml:space="preserve">eflect the </w:t>
      </w:r>
      <w:r w:rsidR="00705A71">
        <w:t>t</w:t>
      </w:r>
      <w:r w:rsidRPr="00705A71" w:rsidR="00705A71">
        <w:t xml:space="preserve">ermination of the </w:t>
      </w:r>
      <w:r w:rsidRPr="00705A71" w:rsidR="00705A71">
        <w:lastRenderedPageBreak/>
        <w:t>Transmission Organization Incentive</w:t>
      </w:r>
      <w:r w:rsidR="00705A71">
        <w:t>.</w:t>
      </w:r>
      <w:r w:rsidR="00565165">
        <w:t xml:space="preserve"> </w:t>
      </w:r>
      <w:r w:rsidR="00E3112C">
        <w:t xml:space="preserve"> Respondents will be required to complete a one-time eTariff Filing in Year 1.</w:t>
      </w:r>
      <w:r w:rsidR="00267745">
        <w:t xml:space="preserve"> </w:t>
      </w:r>
      <w:r w:rsidR="00E3112C">
        <w:t xml:space="preserve"> </w:t>
      </w:r>
      <w:r w:rsidR="00565165">
        <w:t>The specific reporting requirements proposed by this Supplemental NOPR woul</w:t>
      </w:r>
      <w:r w:rsidR="00267745">
        <w:t xml:space="preserve">d require transmission owners to who </w:t>
      </w:r>
      <w:r w:rsidRPr="00267745" w:rsidR="00267745">
        <w:t>received an incentive for joining and remaining in a transmission organization for three or more years to submit a compliance filing revising its tariff to remove the incentive from its transmission tariff.</w:t>
      </w:r>
      <w:r w:rsidR="00267745">
        <w:t xml:space="preserve"> </w:t>
      </w:r>
      <w:r w:rsidR="002F4489">
        <w:t xml:space="preserve">The new tariff filings (which would contain their updated rates) would show that each transmission utility complies with the change in policy where FERC has updated the incentive. </w:t>
      </w:r>
    </w:p>
    <w:p w:rsidR="00DD755B" w:rsidRDefault="00DD755B" w14:paraId="2103C97A" w14:textId="77777777">
      <w:pPr>
        <w:spacing w:after="0" w:line="240" w:lineRule="auto"/>
      </w:pPr>
    </w:p>
    <w:p w:rsidR="00DD755B" w:rsidP="008B2C5F" w:rsidRDefault="00383548" w14:paraId="3E54150A" w14:textId="25F1C756">
      <w:pPr>
        <w:numPr>
          <w:ilvl w:val="0"/>
          <w:numId w:val="2"/>
        </w:numPr>
        <w:spacing w:after="13"/>
        <w:ind w:hanging="360"/>
      </w:pPr>
      <w:r>
        <w:rPr>
          <w:b/>
        </w:rPr>
        <w:t xml:space="preserve">DESCRIBE ANY CONSIDERATION OF THE USE OF IMPROVED TECHNOLOGY TO REDUCE BURDEN AND TECHNICAL OR LEGAL OBSTACLES TO REDUCING BURDEN. </w:t>
      </w:r>
      <w:r w:rsidRPr="008B2C5F">
        <w:rPr>
          <w:b/>
        </w:rPr>
        <w:t xml:space="preserve"> </w:t>
      </w:r>
    </w:p>
    <w:p w:rsidR="00DD755B" w:rsidRDefault="00383548" w14:paraId="3AB7F095" w14:textId="73CE9D98">
      <w:pPr>
        <w:ind w:left="0" w:firstLine="0"/>
      </w:pPr>
      <w:r>
        <w:t>Commission staff expects to receive all FERC-516 filings via eTariff.  (eTariff is described at</w:t>
      </w:r>
      <w:r w:rsidRPr="002861EE" w:rsidR="002861EE">
        <w:t xml:space="preserve"> </w:t>
      </w:r>
      <w:hyperlink w:history="1" r:id="rId13">
        <w:r w:rsidRPr="007568B2" w:rsidR="002861EE">
          <w:rPr>
            <w:rStyle w:val="Hyperlink"/>
          </w:rPr>
          <w:t>https://www.ferc.gov/ferc-online/etariff</w:t>
        </w:r>
      </w:hyperlink>
      <w:r>
        <w:t>.)</w:t>
      </w:r>
      <w:r w:rsidR="002861EE">
        <w:t xml:space="preserve"> </w:t>
      </w:r>
      <w:r>
        <w:t xml:space="preserve"> In 2010, the Commission fully implemented its eTariff system for the electronic filing of tariffs.</w:t>
      </w:r>
    </w:p>
    <w:p w:rsidR="00DD755B" w:rsidRDefault="00DD755B" w14:paraId="21D54D33" w14:textId="77777777">
      <w:pPr>
        <w:spacing w:after="0" w:line="259" w:lineRule="auto"/>
        <w:ind w:left="360" w:firstLine="0"/>
      </w:pPr>
    </w:p>
    <w:p w:rsidRPr="008B2C5F" w:rsidR="00DD755B" w:rsidP="008B2C5F" w:rsidRDefault="00383548" w14:paraId="7823335F" w14:textId="67B2DCE0">
      <w:pPr>
        <w:numPr>
          <w:ilvl w:val="0"/>
          <w:numId w:val="2"/>
        </w:numPr>
        <w:spacing w:after="13"/>
        <w:ind w:hanging="360"/>
        <w:rPr>
          <w:b/>
        </w:rPr>
      </w:pPr>
      <w:r>
        <w:rPr>
          <w:b/>
        </w:rPr>
        <w:t>DESCRIBE EFFORTS TO IDENTIFY DUPLICATION AND SHOW SPECIFICALLY WHY ANY SIMILAR INFORMATION ALREADY AVAILABLE CANNOT BE USED OR MODIFIED FOR USE FOR THE PURPOSE(S) DESCRIBED IN INSTRUCTION NO. 2.</w:t>
      </w:r>
    </w:p>
    <w:p w:rsidR="00DD755B" w:rsidRDefault="00383548" w14:paraId="7976B9AC" w14:textId="5D9835B5">
      <w:pPr>
        <w:spacing w:after="0" w:line="240" w:lineRule="auto"/>
        <w:ind w:left="0" w:firstLine="0"/>
      </w:pPr>
      <w:r>
        <w:t>The Commission periodically reviews filing requirements concurrent with OMB review or as the Commission deems necessary to eliminate duplicative filings and to minimize the filing burden.  The proposed actions here relate to a Commission jurisdictional tariff.</w:t>
      </w:r>
      <w:r w:rsidR="002861EE">
        <w:t xml:space="preserve"> </w:t>
      </w:r>
      <w:r>
        <w:t xml:space="preserve"> Therefore, the Commission would be the only entity requiring this information.  The Commission is unaware of any other source of this information.  </w:t>
      </w:r>
    </w:p>
    <w:p w:rsidR="00DD755B" w:rsidRDefault="00383548" w14:paraId="5ABDE68E" w14:textId="77777777">
      <w:pPr>
        <w:spacing w:after="0" w:line="259" w:lineRule="auto"/>
        <w:ind w:left="360" w:firstLine="0"/>
      </w:pPr>
      <w:r>
        <w:t xml:space="preserve"> </w:t>
      </w:r>
    </w:p>
    <w:p w:rsidRPr="008B2C5F" w:rsidR="00DD755B" w:rsidP="008B2C5F" w:rsidRDefault="00383548" w14:paraId="169254C5" w14:textId="3D365A09">
      <w:pPr>
        <w:pStyle w:val="Heading1"/>
        <w:numPr>
          <w:ilvl w:val="0"/>
          <w:numId w:val="2"/>
        </w:numPr>
        <w:ind w:hanging="360"/>
        <w:rPr>
          <w:b w:val="0"/>
        </w:rPr>
      </w:pPr>
      <w:r>
        <w:t>METHODS USED TO MINIMIZE BURDEN IN COLLECTION OF INFORMATION INVOLVING SMALL ENTITIES</w:t>
      </w:r>
      <w:r>
        <w:rPr>
          <w:b w:val="0"/>
        </w:rPr>
        <w:t xml:space="preserve"> </w:t>
      </w:r>
    </w:p>
    <w:p w:rsidRPr="00947831" w:rsidR="00DD755B" w:rsidRDefault="00533455" w14:paraId="10CD180D" w14:textId="14838443">
      <w:pPr>
        <w:pStyle w:val="FERCparanumber"/>
        <w:numPr>
          <w:ilvl w:val="0"/>
          <w:numId w:val="0"/>
        </w:numPr>
        <w:spacing w:line="240" w:lineRule="auto"/>
        <w:rPr>
          <w:sz w:val="24"/>
          <w:szCs w:val="24"/>
        </w:rPr>
      </w:pPr>
      <w:r w:rsidRPr="00947831">
        <w:rPr>
          <w:sz w:val="24"/>
          <w:szCs w:val="24"/>
        </w:rPr>
        <w:t xml:space="preserve">We estimate that 190 transmitting utilities are affected by the NOPR.  We estimate that approximately 87.5% (or approximately 166 transmitting utilities) of those 190 entities are small entities, according to information collected from the websites of the six RTOs/ISOs.  </w:t>
      </w:r>
      <w:r w:rsidRPr="00947831" w:rsidR="00383548">
        <w:rPr>
          <w:sz w:val="24"/>
          <w:szCs w:val="24"/>
        </w:rPr>
        <w:t xml:space="preserve">We estimate additional </w:t>
      </w:r>
      <w:r w:rsidRPr="00947831">
        <w:rPr>
          <w:sz w:val="24"/>
          <w:szCs w:val="24"/>
        </w:rPr>
        <w:t xml:space="preserve">one-time </w:t>
      </w:r>
      <w:r w:rsidRPr="00947831" w:rsidR="00383548">
        <w:rPr>
          <w:sz w:val="24"/>
          <w:szCs w:val="24"/>
        </w:rPr>
        <w:t xml:space="preserve">costs associated with the </w:t>
      </w:r>
      <w:r w:rsidRPr="00947831" w:rsidR="006870E5">
        <w:rPr>
          <w:sz w:val="24"/>
          <w:szCs w:val="24"/>
        </w:rPr>
        <w:t xml:space="preserve">Supplemental </w:t>
      </w:r>
      <w:r w:rsidRPr="00947831" w:rsidR="00383548">
        <w:rPr>
          <w:sz w:val="24"/>
          <w:szCs w:val="24"/>
        </w:rPr>
        <w:t>NOPR (as shown in the table below) of</w:t>
      </w:r>
      <w:r w:rsidRPr="00947831" w:rsidR="00D54E1F">
        <w:rPr>
          <w:sz w:val="24"/>
          <w:szCs w:val="24"/>
        </w:rPr>
        <w:t xml:space="preserve"> $6,640</w:t>
      </w:r>
      <w:r w:rsidRPr="00947831" w:rsidR="00383548">
        <w:rPr>
          <w:sz w:val="24"/>
          <w:szCs w:val="24"/>
        </w:rPr>
        <w:t xml:space="preserve"> for each transmission owner for eTariff filers (FERC-516).  These costs are only incurred </w:t>
      </w:r>
      <w:r w:rsidRPr="00947831" w:rsidR="00637ACE">
        <w:rPr>
          <w:sz w:val="24"/>
          <w:szCs w:val="24"/>
        </w:rPr>
        <w:t xml:space="preserve">if an applicant had previously requested incentives </w:t>
      </w:r>
      <w:r w:rsidRPr="00947831" w:rsidR="00383548">
        <w:rPr>
          <w:sz w:val="24"/>
          <w:szCs w:val="24"/>
        </w:rPr>
        <w:t>on a voluntary basis.</w:t>
      </w:r>
      <w:r w:rsidRPr="00947831" w:rsidR="002861EE">
        <w:rPr>
          <w:sz w:val="24"/>
          <w:szCs w:val="24"/>
        </w:rPr>
        <w:t xml:space="preserve"> </w:t>
      </w:r>
      <w:r w:rsidRPr="00947831" w:rsidR="00383548">
        <w:rPr>
          <w:sz w:val="24"/>
          <w:szCs w:val="24"/>
        </w:rPr>
        <w:t xml:space="preserve">Therefore, the estimated additional annual cost per entity ranges from $0 to </w:t>
      </w:r>
      <w:r w:rsidRPr="00947831" w:rsidR="00D54E1F">
        <w:rPr>
          <w:sz w:val="24"/>
          <w:szCs w:val="24"/>
        </w:rPr>
        <w:t>$6,640</w:t>
      </w:r>
      <w:r w:rsidRPr="00947831" w:rsidR="00383548">
        <w:rPr>
          <w:sz w:val="24"/>
          <w:szCs w:val="24"/>
        </w:rPr>
        <w:t>.</w:t>
      </w:r>
    </w:p>
    <w:p w:rsidR="00DD755B" w:rsidRDefault="00DD755B" w14:paraId="27206159" w14:textId="77777777">
      <w:pPr>
        <w:spacing w:after="0" w:line="259" w:lineRule="auto"/>
        <w:ind w:left="360" w:hanging="360"/>
      </w:pPr>
    </w:p>
    <w:p w:rsidRPr="008B2C5F" w:rsidR="00DD755B" w:rsidP="008B2C5F" w:rsidRDefault="00383548" w14:paraId="52648953" w14:textId="3A79114A">
      <w:pPr>
        <w:pStyle w:val="Heading1"/>
        <w:ind w:left="360" w:hanging="360"/>
      </w:pPr>
      <w:r>
        <w:rPr>
          <w:bCs/>
        </w:rPr>
        <w:t>6.</w:t>
      </w:r>
      <w:r>
        <w:rPr>
          <w:rFonts w:ascii="Arial" w:hAnsi="Arial" w:eastAsia="Arial" w:cs="Arial"/>
          <w:b w:val="0"/>
        </w:rPr>
        <w:t xml:space="preserve"> </w:t>
      </w:r>
      <w:r>
        <w:t>CONSEQUENCE TO FEDERAL PROGRAM IF COLLECTION WERE CONDUCTED LESS FREQUENTLY</w:t>
      </w:r>
      <w:r>
        <w:rPr>
          <w:b w:val="0"/>
        </w:rPr>
        <w:t xml:space="preserve"> </w:t>
      </w:r>
    </w:p>
    <w:p w:rsidR="00DD755B" w:rsidRDefault="00383548" w14:paraId="75F5131C" w14:textId="35B01F80">
      <w:pPr>
        <w:spacing w:after="0" w:line="259" w:lineRule="auto"/>
        <w:ind w:left="0" w:firstLine="0"/>
      </w:pPr>
      <w:r>
        <w:t xml:space="preserve">To conduct these filings less frequently (i.e., not conducting them at all), the Commission would be unable to fulfill its statutory obligation to ensure that rates are just and reasonable and not unduly discriminatory or preferential.  Further, without collecting this information, the Commission would not be in compliance with the Congressional mandates of FPA section 219, which requires the Commission to establish incentive-based rate treatments for the transmission of electric energy in interstate commerce by public utilities for the purpose of benefitting consumers by ensuring reliability and reducing the cost of delivered power by reducing transmission </w:t>
      </w:r>
      <w:r>
        <w:lastRenderedPageBreak/>
        <w:t xml:space="preserve">congestion. The information will help to ensure just and reasonable incentive-based rates by enabling the Commission to determine the appropriate incentives </w:t>
      </w:r>
      <w:r w:rsidR="0034451E">
        <w:t xml:space="preserve">have been received for the proper </w:t>
      </w:r>
      <w:r w:rsidR="007A5AF2">
        <w:t>duration.</w:t>
      </w:r>
    </w:p>
    <w:p w:rsidR="00DD755B" w:rsidRDefault="00DD755B" w14:paraId="48260E36" w14:textId="77777777">
      <w:pPr>
        <w:spacing w:after="0" w:line="259" w:lineRule="auto"/>
        <w:ind w:left="360" w:firstLine="0"/>
      </w:pPr>
    </w:p>
    <w:p w:rsidR="00DD755B" w:rsidP="008B2C5F" w:rsidRDefault="00383548" w14:paraId="3C6F33EB" w14:textId="4336577F">
      <w:pPr>
        <w:spacing w:after="13"/>
        <w:ind w:left="360" w:hanging="360"/>
      </w:pPr>
      <w:r>
        <w:rPr>
          <w:b/>
          <w:bCs/>
        </w:rPr>
        <w:t>7.</w:t>
      </w:r>
      <w:r>
        <w:rPr>
          <w:rFonts w:ascii="Arial" w:hAnsi="Arial" w:eastAsia="Arial" w:cs="Arial"/>
        </w:rPr>
        <w:t xml:space="preserve"> </w:t>
      </w:r>
      <w:r>
        <w:rPr>
          <w:b/>
        </w:rPr>
        <w:t>EXPLAIN ANY SPECIAL CIRCUMSTANCES RELATING TO THE INFORMATION COLLECTION</w:t>
      </w:r>
      <w:r>
        <w:t xml:space="preserve"> </w:t>
      </w:r>
    </w:p>
    <w:p w:rsidR="00DD755B" w:rsidRDefault="00383548" w14:paraId="1127A134" w14:textId="0596C01A">
      <w:pPr>
        <w:ind w:left="0" w:firstLine="0"/>
      </w:pPr>
      <w:r>
        <w:t>FERC-</w:t>
      </w:r>
      <w:r w:rsidR="007A5AF2">
        <w:t>516 has</w:t>
      </w:r>
      <w:r>
        <w:t xml:space="preserve"> no special circumstances.   </w:t>
      </w:r>
    </w:p>
    <w:p w:rsidR="00DD755B" w:rsidRDefault="00383548" w14:paraId="386011C5" w14:textId="77777777">
      <w:pPr>
        <w:spacing w:after="0" w:line="259" w:lineRule="auto"/>
        <w:ind w:left="360" w:firstLine="0"/>
      </w:pPr>
      <w:r>
        <w:t xml:space="preserve"> </w:t>
      </w:r>
    </w:p>
    <w:p w:rsidR="00DD755B" w:rsidRDefault="00383548" w14:paraId="58969027" w14:textId="77777777">
      <w:pPr>
        <w:pStyle w:val="Heading1"/>
        <w:ind w:left="355" w:hanging="355"/>
      </w:pPr>
      <w:r>
        <w:rPr>
          <w:bCs/>
        </w:rPr>
        <w:t>8.</w:t>
      </w:r>
      <w:r>
        <w:rPr>
          <w:rFonts w:ascii="Arial" w:hAnsi="Arial" w:eastAsia="Arial" w:cs="Arial"/>
          <w:b w:val="0"/>
        </w:rPr>
        <w:t xml:space="preserve"> </w:t>
      </w:r>
      <w:r>
        <w:t xml:space="preserve">DESCRIBE EFFORTS TO CONSULT OUTSIDE THE AGENCY: SUMMARIZE </w:t>
      </w:r>
    </w:p>
    <w:p w:rsidR="00DD755B" w:rsidP="008B2C5F" w:rsidRDefault="00383548" w14:paraId="5D0A4110" w14:textId="242F011E">
      <w:pPr>
        <w:spacing w:after="0" w:line="238" w:lineRule="auto"/>
        <w:ind w:left="0" w:right="54" w:firstLine="0"/>
        <w:jc w:val="right"/>
      </w:pPr>
      <w:r>
        <w:rPr>
          <w:b/>
        </w:rPr>
        <w:t>PUBLIC COMMENTS AND THE AGENCY'S RESPONSE TO THESE COMMENTS</w:t>
      </w:r>
      <w:r>
        <w:t xml:space="preserve"> </w:t>
      </w:r>
    </w:p>
    <w:p w:rsidR="00F22A5A" w:rsidRDefault="00383548" w14:paraId="0EA17868" w14:textId="0B28D703">
      <w:pPr>
        <w:spacing w:after="0" w:line="238" w:lineRule="auto"/>
        <w:ind w:left="0" w:right="54" w:firstLine="0"/>
      </w:pPr>
      <w: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 </w:t>
      </w:r>
      <w:r w:rsidR="008C222C">
        <w:t>The original</w:t>
      </w:r>
      <w:r w:rsidR="00F22A5A">
        <w:t xml:space="preserve"> </w:t>
      </w:r>
      <w:r w:rsidR="008C222C">
        <w:t>NOPR was published 4/2/202</w:t>
      </w:r>
      <w:r w:rsidR="00B038F0">
        <w:t>0</w:t>
      </w:r>
      <w:r w:rsidR="008C222C">
        <w:t xml:space="preserve"> (</w:t>
      </w:r>
      <w:r w:rsidRPr="008C222C" w:rsidR="008C222C">
        <w:t>85 FR 18784</w:t>
      </w:r>
      <w:r w:rsidR="008C222C">
        <w:t xml:space="preserve">). </w:t>
      </w:r>
    </w:p>
    <w:p w:rsidR="00DD755B" w:rsidRDefault="00383548" w14:paraId="6D6EE3C4" w14:textId="54DE932D">
      <w:pPr>
        <w:spacing w:after="0" w:line="238" w:lineRule="auto"/>
        <w:ind w:left="0" w:right="54" w:firstLine="0"/>
      </w:pPr>
      <w:r>
        <w:t xml:space="preserve">The public will have </w:t>
      </w:r>
      <w:r w:rsidR="00533455">
        <w:t xml:space="preserve">30 </w:t>
      </w:r>
      <w:r>
        <w:t xml:space="preserve">days after the date of publication of the </w:t>
      </w:r>
      <w:r w:rsidR="008B6C4D">
        <w:t xml:space="preserve">Supplemental </w:t>
      </w:r>
      <w:r>
        <w:t>NOPR in the Federal Register to provide comments.</w:t>
      </w:r>
      <w:r w:rsidRPr="00267745" w:rsidR="00267745">
        <w:t xml:space="preserve"> Reply comments are due </w:t>
      </w:r>
      <w:r w:rsidR="00267745">
        <w:t xml:space="preserve">fifteen </w:t>
      </w:r>
      <w:r w:rsidRPr="00267745" w:rsidR="00267745">
        <w:t xml:space="preserve">days after </w:t>
      </w:r>
      <w:r w:rsidR="00267745">
        <w:t xml:space="preserve">the </w:t>
      </w:r>
      <w:r w:rsidR="007A5AF2">
        <w:t>original</w:t>
      </w:r>
      <w:r w:rsidR="00267745">
        <w:t xml:space="preserve"> comments are due (45 days after the </w:t>
      </w:r>
      <w:r w:rsidRPr="00267745" w:rsidR="00267745">
        <w:t>date of publication in the Federal Registe</w:t>
      </w:r>
      <w:r w:rsidR="00267745">
        <w:t xml:space="preserve">r). </w:t>
      </w:r>
    </w:p>
    <w:p w:rsidR="00DD755B" w:rsidRDefault="00383548" w14:paraId="5224D80E" w14:textId="77777777">
      <w:pPr>
        <w:spacing w:after="0" w:line="259" w:lineRule="auto"/>
        <w:ind w:left="360" w:firstLine="0"/>
      </w:pPr>
      <w:r>
        <w:t xml:space="preserve"> </w:t>
      </w:r>
    </w:p>
    <w:p w:rsidR="00DD755B" w:rsidP="008B2C5F" w:rsidRDefault="00383548" w14:paraId="00B3A600" w14:textId="20810589">
      <w:pPr>
        <w:spacing w:after="13"/>
        <w:ind w:left="0" w:firstLine="0"/>
      </w:pPr>
      <w:r>
        <w:rPr>
          <w:b/>
          <w:bCs/>
        </w:rPr>
        <w:t>9</w:t>
      </w:r>
      <w:r>
        <w:t>.</w:t>
      </w:r>
      <w:r>
        <w:rPr>
          <w:rFonts w:ascii="Arial" w:hAnsi="Arial" w:eastAsia="Arial" w:cs="Arial"/>
        </w:rPr>
        <w:t xml:space="preserve"> </w:t>
      </w:r>
      <w:r>
        <w:rPr>
          <w:b/>
        </w:rPr>
        <w:t>EXPLAIN ANY PAYMENT OR GIFTS TO RESPONDENTS</w:t>
      </w:r>
      <w:r>
        <w:t xml:space="preserve"> </w:t>
      </w:r>
      <w:r>
        <w:rPr>
          <w:b/>
        </w:rPr>
        <w:t xml:space="preserve"> </w:t>
      </w:r>
    </w:p>
    <w:p w:rsidR="00DD755B" w:rsidRDefault="002861EE" w14:paraId="06F3F9FD" w14:textId="6F6980E6">
      <w:pPr>
        <w:ind w:left="0" w:firstLine="0"/>
      </w:pPr>
      <w:r w:rsidRPr="002861EE">
        <w:t xml:space="preserve">The Commission </w:t>
      </w:r>
      <w:r>
        <w:t>makes n</w:t>
      </w:r>
      <w:r w:rsidR="00383548">
        <w:t>o payments or gifts to respondents</w:t>
      </w:r>
      <w:r>
        <w:t xml:space="preserve"> as part of this collection</w:t>
      </w:r>
      <w:r w:rsidR="00383548">
        <w:t xml:space="preserve">. </w:t>
      </w:r>
    </w:p>
    <w:p w:rsidR="00DD755B" w:rsidRDefault="00383548" w14:paraId="58CA03ED" w14:textId="77777777">
      <w:pPr>
        <w:spacing w:after="0" w:line="259" w:lineRule="auto"/>
        <w:ind w:left="360" w:firstLine="0"/>
      </w:pPr>
      <w:r>
        <w:t xml:space="preserve"> </w:t>
      </w:r>
    </w:p>
    <w:p w:rsidR="00DD755B" w:rsidP="008B2C5F" w:rsidRDefault="00383548" w14:paraId="41907AE4" w14:textId="1AB2E831">
      <w:pPr>
        <w:pStyle w:val="Heading1"/>
        <w:ind w:left="0" w:firstLine="0"/>
      </w:pPr>
      <w:r>
        <w:rPr>
          <w:bCs/>
        </w:rPr>
        <w:t>10.</w:t>
      </w:r>
      <w:r>
        <w:rPr>
          <w:rFonts w:ascii="Arial" w:hAnsi="Arial" w:eastAsia="Arial" w:cs="Arial"/>
          <w:b w:val="0"/>
        </w:rPr>
        <w:t xml:space="preserve"> </w:t>
      </w:r>
      <w:r>
        <w:t>DESCRIBE ANY ASSURANCE OF CONFIDENTIALITY PROVIDED TO RESPONDENTS</w:t>
      </w:r>
      <w:r>
        <w:rPr>
          <w:b w:val="0"/>
        </w:rPr>
        <w:t xml:space="preserve"> </w:t>
      </w:r>
      <w:r>
        <w:t xml:space="preserve"> </w:t>
      </w:r>
    </w:p>
    <w:p w:rsidR="00DD755B" w:rsidRDefault="00383548" w14:paraId="5EC7668D" w14:textId="65F60279">
      <w:pPr>
        <w:ind w:left="0" w:firstLine="0"/>
      </w:pPr>
      <w:r>
        <w:t xml:space="preserve"> In general, for all submittals to the Commission, filers may submit specific requests for confidential treatment to the extent permitted by law, as set forth in 18 CFR section 388.112. </w:t>
      </w:r>
    </w:p>
    <w:p w:rsidR="00DD755B" w:rsidRDefault="00383548" w14:paraId="22B61461" w14:textId="77777777">
      <w:pPr>
        <w:spacing w:after="0" w:line="259" w:lineRule="auto"/>
        <w:ind w:left="1080" w:firstLine="0"/>
      </w:pPr>
      <w:r>
        <w:t xml:space="preserve"> </w:t>
      </w:r>
    </w:p>
    <w:p w:rsidR="00DD755B" w:rsidP="008B2C5F" w:rsidRDefault="00383548" w14:paraId="19EAEFEE" w14:textId="7B4FE040">
      <w:pPr>
        <w:spacing w:after="13"/>
        <w:ind w:left="360" w:hanging="360"/>
      </w:pPr>
      <w:r>
        <w:rPr>
          <w:b/>
          <w:bCs/>
        </w:rPr>
        <w:t>11</w:t>
      </w:r>
      <w:r>
        <w:t>.</w:t>
      </w:r>
      <w:r>
        <w:rPr>
          <w:rFonts w:ascii="Arial" w:hAnsi="Arial" w:eastAsia="Arial" w:cs="Arial"/>
        </w:rPr>
        <w:t xml:space="preserve"> </w:t>
      </w:r>
      <w:r>
        <w:rPr>
          <w:b/>
        </w:rPr>
        <w:t>PROVIDE ADDITIONAL JUSTIFICATION FOR ANY QUESTIONS OF A SENSITIVE NATURE, SUCH AS SEXUAL BEHAVIOR AND ATTITUDES, RELIGIOUS BELIEFS, AND OTHER MATTERS THAT ARE COMMONLY CONSIDERED PRIVATE</w:t>
      </w:r>
      <w:r>
        <w:t xml:space="preserve"> </w:t>
      </w:r>
    </w:p>
    <w:p w:rsidR="00DD755B" w:rsidRDefault="00383548" w14:paraId="65033787" w14:textId="29C9B7F8">
      <w:pPr>
        <w:spacing w:after="197"/>
        <w:ind w:left="0" w:firstLine="0"/>
      </w:pPr>
      <w:r>
        <w:t>The collection</w:t>
      </w:r>
      <w:r w:rsidR="005F5745">
        <w:t xml:space="preserve"> </w:t>
      </w:r>
      <w:r>
        <w:t>do</w:t>
      </w:r>
      <w:r w:rsidR="005F5745">
        <w:t>es</w:t>
      </w:r>
      <w:r>
        <w:t xml:space="preserve"> not contain any questions of a sensitive nature. </w:t>
      </w:r>
    </w:p>
    <w:p w:rsidRPr="008B2C5F" w:rsidR="00DD755B" w:rsidP="008B2C5F" w:rsidRDefault="00383548" w14:paraId="1BBB8FB1" w14:textId="207A2B01">
      <w:pPr>
        <w:pStyle w:val="Heading1"/>
        <w:ind w:left="355" w:hanging="355"/>
      </w:pPr>
      <w:r>
        <w:rPr>
          <w:bCs/>
        </w:rPr>
        <w:t>12</w:t>
      </w:r>
      <w:r>
        <w:rPr>
          <w:b w:val="0"/>
        </w:rPr>
        <w:t>.</w:t>
      </w:r>
      <w:r>
        <w:rPr>
          <w:rFonts w:ascii="Arial" w:hAnsi="Arial" w:eastAsia="Arial" w:cs="Arial"/>
          <w:b w:val="0"/>
        </w:rPr>
        <w:t xml:space="preserve"> </w:t>
      </w:r>
      <w:r>
        <w:t>ESTIMATED BURDEN OF COLLECTION OF INFORMATION</w:t>
      </w:r>
      <w:r>
        <w:rPr>
          <w:b w:val="0"/>
        </w:rPr>
        <w:t xml:space="preserve"> </w:t>
      </w:r>
    </w:p>
    <w:p w:rsidRPr="003960AC" w:rsidR="003960AC" w:rsidP="003960AC" w:rsidRDefault="00383548" w14:paraId="0B81F367" w14:textId="03EE3E78">
      <w:pPr>
        <w:tabs>
          <w:tab w:val="num" w:pos="720"/>
        </w:tabs>
        <w:spacing w:after="0" w:line="240" w:lineRule="auto"/>
        <w:ind w:left="0" w:firstLine="0"/>
      </w:pPr>
      <w:r>
        <w:rPr>
          <w:rFonts w:eastAsia="Calibri"/>
          <w:color w:val="auto"/>
          <w:szCs w:val="24"/>
        </w:rPr>
        <w:t xml:space="preserve">The Commission estimates that the </w:t>
      </w:r>
      <w:r w:rsidR="000C7809">
        <w:rPr>
          <w:rFonts w:eastAsia="Calibri"/>
          <w:color w:val="auto"/>
          <w:szCs w:val="24"/>
        </w:rPr>
        <w:t xml:space="preserve">Supplemental </w:t>
      </w:r>
      <w:r>
        <w:rPr>
          <w:rFonts w:eastAsia="Calibri"/>
          <w:color w:val="auto"/>
          <w:szCs w:val="24"/>
        </w:rPr>
        <w:t>NOPR</w:t>
      </w:r>
      <w:r w:rsidR="00F22A5A">
        <w:rPr>
          <w:rStyle w:val="FootnoteReference"/>
          <w:rFonts w:eastAsia="Calibri"/>
          <w:color w:val="auto"/>
          <w:szCs w:val="24"/>
        </w:rPr>
        <w:footnoteReference w:id="14"/>
      </w:r>
      <w:r>
        <w:rPr>
          <w:rFonts w:eastAsia="Calibri"/>
          <w:color w:val="auto"/>
          <w:szCs w:val="24"/>
        </w:rPr>
        <w:t xml:space="preserve"> would affect the burden</w:t>
      </w:r>
      <w:r>
        <w:rPr>
          <w:rFonts w:eastAsia="Calibri"/>
          <w:b/>
          <w:color w:val="auto"/>
          <w:szCs w:val="24"/>
          <w:vertAlign w:val="superscript"/>
        </w:rPr>
        <w:footnoteReference w:id="15"/>
      </w:r>
      <w:r>
        <w:rPr>
          <w:rFonts w:eastAsia="Calibri"/>
          <w:color w:val="auto"/>
          <w:szCs w:val="24"/>
        </w:rPr>
        <w:t xml:space="preserve"> and cost</w:t>
      </w:r>
      <w:r>
        <w:rPr>
          <w:rFonts w:eastAsia="Calibri"/>
          <w:b/>
          <w:color w:val="auto"/>
          <w:szCs w:val="24"/>
          <w:vertAlign w:val="superscript"/>
        </w:rPr>
        <w:footnoteReference w:id="16"/>
      </w:r>
      <w:r>
        <w:rPr>
          <w:rFonts w:eastAsia="Calibri"/>
          <w:color w:val="auto"/>
          <w:szCs w:val="24"/>
        </w:rPr>
        <w:t xml:space="preserve"> of FERC-516 (eTariff Filings) as follows:</w:t>
      </w:r>
      <w:r w:rsidDel="003960AC" w:rsidR="003960AC">
        <w:rPr>
          <w:rFonts w:eastAsia="Calibri"/>
          <w:color w:val="auto"/>
          <w:szCs w:val="24"/>
        </w:rPr>
        <w:t xml:space="preserve"> </w:t>
      </w:r>
    </w:p>
    <w:tbl>
      <w:tblPr>
        <w:tblW w:w="0" w:type="auto"/>
        <w:tblLook w:val="04A0" w:firstRow="1" w:lastRow="0" w:firstColumn="1" w:lastColumn="0" w:noHBand="0" w:noVBand="1"/>
      </w:tblPr>
      <w:tblGrid>
        <w:gridCol w:w="1630"/>
        <w:gridCol w:w="2196"/>
        <w:gridCol w:w="1454"/>
        <w:gridCol w:w="1363"/>
        <w:gridCol w:w="1308"/>
        <w:gridCol w:w="1399"/>
      </w:tblGrid>
      <w:tr w:rsidRPr="003960AC" w:rsidR="003960AC" w:rsidTr="00570237" w14:paraId="0C4CEB62" w14:textId="77777777">
        <w:trPr>
          <w:trHeight w:val="143"/>
        </w:trPr>
        <w:tc>
          <w:tcPr>
            <w:tcW w:w="9350" w:type="dxa"/>
            <w:gridSpan w:val="6"/>
          </w:tcPr>
          <w:p w:rsidRPr="003960AC" w:rsidR="003960AC" w:rsidP="00947831" w:rsidRDefault="003960AC" w14:paraId="68D69CDE" w14:textId="195CA1EA">
            <w:pPr>
              <w:tabs>
                <w:tab w:val="num" w:pos="720"/>
              </w:tabs>
              <w:spacing w:after="0" w:line="240" w:lineRule="auto"/>
              <w:ind w:left="0" w:firstLine="0"/>
              <w:jc w:val="center"/>
            </w:pPr>
            <w:bookmarkStart w:name="_Hlk68896996" w:id="3"/>
          </w:p>
        </w:tc>
      </w:tr>
      <w:tr w:rsidRPr="003960AC" w:rsidR="00A02CC7" w:rsidTr="008B2C5F" w14:paraId="560D76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gridSpan w:val="6"/>
            <w:shd w:val="clear" w:color="auto" w:fill="D9D9D9" w:themeFill="background1" w:themeFillShade="D9"/>
          </w:tcPr>
          <w:p w:rsidRPr="003960AC" w:rsidR="00A02CC7" w:rsidP="00A02CC7" w:rsidRDefault="00A02CC7" w14:paraId="5E2999F8" w14:textId="7D32B3BD">
            <w:pPr>
              <w:tabs>
                <w:tab w:val="num" w:pos="720"/>
              </w:tabs>
              <w:spacing w:after="0" w:line="240" w:lineRule="auto"/>
              <w:ind w:left="0" w:firstLine="0"/>
              <w:jc w:val="center"/>
              <w:rPr>
                <w:b/>
              </w:rPr>
            </w:pPr>
            <w:r w:rsidRPr="003960AC">
              <w:rPr>
                <w:b/>
              </w:rPr>
              <w:t xml:space="preserve">Estimated One-time Change </w:t>
            </w:r>
            <w:r w:rsidR="002F4489">
              <w:rPr>
                <w:b/>
              </w:rPr>
              <w:t xml:space="preserve">in Year 1 </w:t>
            </w:r>
            <w:r w:rsidRPr="003960AC">
              <w:rPr>
                <w:b/>
              </w:rPr>
              <w:t>to FERC-516,</w:t>
            </w:r>
          </w:p>
          <w:p w:rsidRPr="003960AC" w:rsidR="00A02CC7" w:rsidP="008B2C5F" w:rsidRDefault="00A02CC7" w14:paraId="2FF49BE5" w14:textId="7D0499D4">
            <w:pPr>
              <w:tabs>
                <w:tab w:val="num" w:pos="720"/>
              </w:tabs>
              <w:spacing w:after="0" w:line="240" w:lineRule="auto"/>
              <w:ind w:left="0" w:firstLine="0"/>
              <w:jc w:val="center"/>
              <w:rPr>
                <w:b/>
                <w:bCs/>
              </w:rPr>
            </w:pPr>
            <w:r w:rsidRPr="003960AC">
              <w:rPr>
                <w:b/>
              </w:rPr>
              <w:t>Due to Proposed Changes in Supplemental NOPR in Docket No. RM20-10-000</w:t>
            </w:r>
          </w:p>
        </w:tc>
      </w:tr>
      <w:bookmarkEnd w:id="3"/>
      <w:tr w:rsidRPr="003960AC" w:rsidR="003960AC" w:rsidTr="008B2C5F" w14:paraId="00EE27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0" w:type="dxa"/>
            <w:shd w:val="clear" w:color="auto" w:fill="D9D9D9" w:themeFill="background1" w:themeFillShade="D9"/>
            <w:vAlign w:val="bottom"/>
          </w:tcPr>
          <w:p w:rsidRPr="003960AC" w:rsidR="003960AC" w:rsidP="003960AC" w:rsidRDefault="003960AC" w14:paraId="7DEED64E" w14:textId="77777777">
            <w:pPr>
              <w:tabs>
                <w:tab w:val="num" w:pos="720"/>
              </w:tabs>
              <w:spacing w:after="0" w:line="240" w:lineRule="auto"/>
              <w:ind w:left="0" w:firstLine="0"/>
              <w:rPr>
                <w:b/>
                <w:bCs/>
              </w:rPr>
            </w:pPr>
            <w:r w:rsidRPr="003960AC">
              <w:rPr>
                <w:b/>
                <w:bCs/>
              </w:rPr>
              <w:t>A.</w:t>
            </w:r>
          </w:p>
          <w:p w:rsidRPr="003960AC" w:rsidR="003960AC" w:rsidP="003960AC" w:rsidRDefault="003960AC" w14:paraId="4EA06805" w14:textId="77777777">
            <w:pPr>
              <w:tabs>
                <w:tab w:val="num" w:pos="720"/>
              </w:tabs>
              <w:spacing w:after="0" w:line="240" w:lineRule="auto"/>
              <w:ind w:left="0" w:firstLine="0"/>
            </w:pPr>
            <w:r w:rsidRPr="003960AC">
              <w:rPr>
                <w:b/>
                <w:bCs/>
              </w:rPr>
              <w:t>Area of Modification</w:t>
            </w:r>
          </w:p>
        </w:tc>
        <w:tc>
          <w:tcPr>
            <w:tcW w:w="2196" w:type="dxa"/>
            <w:shd w:val="clear" w:color="auto" w:fill="D9D9D9" w:themeFill="background1" w:themeFillShade="D9"/>
            <w:vAlign w:val="bottom"/>
          </w:tcPr>
          <w:p w:rsidRPr="003960AC" w:rsidR="003960AC" w:rsidP="003960AC" w:rsidRDefault="003960AC" w14:paraId="7AC3610E" w14:textId="77777777">
            <w:pPr>
              <w:tabs>
                <w:tab w:val="num" w:pos="720"/>
              </w:tabs>
              <w:spacing w:after="0" w:line="240" w:lineRule="auto"/>
              <w:ind w:left="0" w:firstLine="0"/>
              <w:rPr>
                <w:b/>
                <w:bCs/>
              </w:rPr>
            </w:pPr>
            <w:r w:rsidRPr="003960AC">
              <w:rPr>
                <w:b/>
                <w:bCs/>
              </w:rPr>
              <w:t>B.</w:t>
            </w:r>
          </w:p>
          <w:p w:rsidRPr="003960AC" w:rsidR="003960AC" w:rsidP="003960AC" w:rsidRDefault="003960AC" w14:paraId="2A79F2CE" w14:textId="421AAC71">
            <w:pPr>
              <w:tabs>
                <w:tab w:val="num" w:pos="720"/>
              </w:tabs>
              <w:spacing w:after="0" w:line="240" w:lineRule="auto"/>
              <w:ind w:left="0" w:firstLine="0"/>
            </w:pPr>
            <w:r w:rsidRPr="003960AC">
              <w:rPr>
                <w:b/>
                <w:bCs/>
              </w:rPr>
              <w:t>Number of Respondents</w:t>
            </w:r>
          </w:p>
        </w:tc>
        <w:tc>
          <w:tcPr>
            <w:tcW w:w="1454" w:type="dxa"/>
            <w:shd w:val="clear" w:color="auto" w:fill="D9D9D9" w:themeFill="background1" w:themeFillShade="D9"/>
            <w:vAlign w:val="bottom"/>
          </w:tcPr>
          <w:p w:rsidRPr="003960AC" w:rsidR="003960AC" w:rsidP="003960AC" w:rsidRDefault="003960AC" w14:paraId="2364A201" w14:textId="77777777">
            <w:pPr>
              <w:tabs>
                <w:tab w:val="num" w:pos="720"/>
              </w:tabs>
              <w:spacing w:after="0" w:line="240" w:lineRule="auto"/>
              <w:ind w:left="0" w:firstLine="0"/>
              <w:rPr>
                <w:b/>
                <w:bCs/>
              </w:rPr>
            </w:pPr>
            <w:r w:rsidRPr="003960AC">
              <w:rPr>
                <w:b/>
                <w:bCs/>
              </w:rPr>
              <w:t>C.</w:t>
            </w:r>
          </w:p>
          <w:p w:rsidRPr="003960AC" w:rsidR="003960AC" w:rsidP="003960AC" w:rsidRDefault="007A5AF2" w14:paraId="4B8B46B1" w14:textId="4F6F6E92">
            <w:pPr>
              <w:tabs>
                <w:tab w:val="num" w:pos="720"/>
              </w:tabs>
              <w:spacing w:after="0" w:line="240" w:lineRule="auto"/>
              <w:ind w:left="0" w:firstLine="0"/>
            </w:pPr>
            <w:r>
              <w:rPr>
                <w:b/>
                <w:bCs/>
              </w:rPr>
              <w:t xml:space="preserve">Total </w:t>
            </w:r>
            <w:r w:rsidRPr="003960AC" w:rsidR="003960AC">
              <w:rPr>
                <w:b/>
                <w:bCs/>
              </w:rPr>
              <w:t>Estimated Number of Responses per Respondent</w:t>
            </w:r>
          </w:p>
        </w:tc>
        <w:tc>
          <w:tcPr>
            <w:tcW w:w="1363" w:type="dxa"/>
            <w:shd w:val="clear" w:color="auto" w:fill="D9D9D9" w:themeFill="background1" w:themeFillShade="D9"/>
            <w:vAlign w:val="bottom"/>
          </w:tcPr>
          <w:p w:rsidRPr="003960AC" w:rsidR="003960AC" w:rsidP="003960AC" w:rsidRDefault="003960AC" w14:paraId="3923BF28" w14:textId="77777777">
            <w:pPr>
              <w:tabs>
                <w:tab w:val="num" w:pos="720"/>
              </w:tabs>
              <w:spacing w:after="0" w:line="240" w:lineRule="auto"/>
              <w:ind w:left="0" w:firstLine="0"/>
              <w:rPr>
                <w:b/>
                <w:bCs/>
              </w:rPr>
            </w:pPr>
            <w:r w:rsidRPr="003960AC">
              <w:rPr>
                <w:b/>
                <w:bCs/>
              </w:rPr>
              <w:t>D.</w:t>
            </w:r>
          </w:p>
          <w:p w:rsidRPr="003960AC" w:rsidR="003960AC" w:rsidP="003960AC" w:rsidRDefault="007A5AF2" w14:paraId="2B69269E" w14:textId="03696915">
            <w:pPr>
              <w:tabs>
                <w:tab w:val="num" w:pos="720"/>
              </w:tabs>
              <w:spacing w:after="0" w:line="240" w:lineRule="auto"/>
              <w:ind w:left="0" w:firstLine="0"/>
              <w:rPr>
                <w:b/>
                <w:bCs/>
              </w:rPr>
            </w:pPr>
            <w:r>
              <w:rPr>
                <w:b/>
                <w:bCs/>
              </w:rPr>
              <w:t>Total</w:t>
            </w:r>
            <w:r w:rsidRPr="003960AC" w:rsidR="003960AC">
              <w:rPr>
                <w:b/>
                <w:bCs/>
              </w:rPr>
              <w:t xml:space="preserve"> Estimated Number of Responses</w:t>
            </w:r>
          </w:p>
          <w:p w:rsidRPr="003960AC" w:rsidR="003960AC" w:rsidP="003960AC" w:rsidRDefault="003960AC" w14:paraId="70F9B9BF" w14:textId="066F639A">
            <w:pPr>
              <w:tabs>
                <w:tab w:val="num" w:pos="720"/>
              </w:tabs>
              <w:spacing w:after="0" w:line="240" w:lineRule="auto"/>
              <w:ind w:left="0" w:firstLine="0"/>
            </w:pPr>
            <w:r w:rsidRPr="003960AC">
              <w:rPr>
                <w:b/>
                <w:bCs/>
              </w:rPr>
              <w:t>(Column B X Column C)</w:t>
            </w:r>
          </w:p>
        </w:tc>
        <w:tc>
          <w:tcPr>
            <w:tcW w:w="1308" w:type="dxa"/>
            <w:shd w:val="clear" w:color="auto" w:fill="D9D9D9" w:themeFill="background1" w:themeFillShade="D9"/>
            <w:vAlign w:val="bottom"/>
          </w:tcPr>
          <w:p w:rsidRPr="003960AC" w:rsidR="003960AC" w:rsidP="003960AC" w:rsidRDefault="003960AC" w14:paraId="3757D44A" w14:textId="77777777">
            <w:pPr>
              <w:tabs>
                <w:tab w:val="num" w:pos="720"/>
              </w:tabs>
              <w:spacing w:after="0" w:line="240" w:lineRule="auto"/>
              <w:ind w:left="0" w:firstLine="0"/>
              <w:rPr>
                <w:b/>
                <w:bCs/>
              </w:rPr>
            </w:pPr>
            <w:r w:rsidRPr="003960AC">
              <w:rPr>
                <w:b/>
                <w:bCs/>
              </w:rPr>
              <w:t>E.</w:t>
            </w:r>
          </w:p>
          <w:p w:rsidRPr="003960AC" w:rsidR="003960AC" w:rsidP="003960AC" w:rsidRDefault="003960AC" w14:paraId="78502ABD" w14:textId="68AAC849">
            <w:pPr>
              <w:tabs>
                <w:tab w:val="num" w:pos="720"/>
              </w:tabs>
              <w:spacing w:after="0" w:line="240" w:lineRule="auto"/>
              <w:ind w:left="0" w:firstLine="0"/>
            </w:pPr>
            <w:r w:rsidRPr="003960AC">
              <w:rPr>
                <w:b/>
                <w:bCs/>
              </w:rPr>
              <w:t>Average Burden Hours &amp; Cost per Response</w:t>
            </w:r>
            <w:r w:rsidR="00923C78">
              <w:rPr>
                <w:b/>
                <w:bCs/>
              </w:rPr>
              <w:t xml:space="preserve"> ($)</w:t>
            </w:r>
          </w:p>
        </w:tc>
        <w:tc>
          <w:tcPr>
            <w:tcW w:w="1399" w:type="dxa"/>
            <w:shd w:val="clear" w:color="auto" w:fill="D9D9D9" w:themeFill="background1" w:themeFillShade="D9"/>
            <w:vAlign w:val="bottom"/>
          </w:tcPr>
          <w:p w:rsidRPr="003960AC" w:rsidR="003960AC" w:rsidP="003960AC" w:rsidRDefault="003960AC" w14:paraId="368483A1" w14:textId="77777777">
            <w:pPr>
              <w:tabs>
                <w:tab w:val="num" w:pos="720"/>
              </w:tabs>
              <w:spacing w:after="0" w:line="240" w:lineRule="auto"/>
              <w:ind w:left="0" w:firstLine="0"/>
              <w:rPr>
                <w:b/>
                <w:bCs/>
              </w:rPr>
            </w:pPr>
            <w:r w:rsidRPr="003960AC">
              <w:rPr>
                <w:b/>
                <w:bCs/>
              </w:rPr>
              <w:t>F.</w:t>
            </w:r>
          </w:p>
          <w:p w:rsidRPr="003960AC" w:rsidR="003960AC" w:rsidP="003960AC" w:rsidRDefault="003960AC" w14:paraId="14BA91C8" w14:textId="17E33059">
            <w:pPr>
              <w:tabs>
                <w:tab w:val="num" w:pos="720"/>
              </w:tabs>
              <w:spacing w:after="0" w:line="240" w:lineRule="auto"/>
              <w:ind w:left="0" w:firstLine="0"/>
              <w:rPr>
                <w:b/>
                <w:bCs/>
              </w:rPr>
            </w:pPr>
            <w:r w:rsidRPr="003960AC">
              <w:rPr>
                <w:b/>
                <w:bCs/>
              </w:rPr>
              <w:t>Total Estimated Burden Hours &amp; Total Estimated Cost</w:t>
            </w:r>
            <w:r w:rsidR="00923C78">
              <w:rPr>
                <w:b/>
                <w:bCs/>
              </w:rPr>
              <w:t xml:space="preserve"> ($)</w:t>
            </w:r>
          </w:p>
          <w:p w:rsidRPr="003960AC" w:rsidR="003960AC" w:rsidP="003960AC" w:rsidRDefault="003960AC" w14:paraId="54775469" w14:textId="77777777">
            <w:pPr>
              <w:tabs>
                <w:tab w:val="num" w:pos="720"/>
              </w:tabs>
              <w:spacing w:after="0" w:line="240" w:lineRule="auto"/>
              <w:ind w:left="0" w:firstLine="0"/>
            </w:pPr>
            <w:r w:rsidRPr="003960AC">
              <w:rPr>
                <w:b/>
                <w:bCs/>
              </w:rPr>
              <w:t>(Column D x Column E)</w:t>
            </w:r>
          </w:p>
        </w:tc>
      </w:tr>
      <w:tr w:rsidRPr="003960AC" w:rsidR="003960AC" w:rsidTr="00A02CC7" w14:paraId="55B0FD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0" w:type="dxa"/>
            <w:shd w:val="clear" w:color="auto" w:fill="auto"/>
            <w:vAlign w:val="center"/>
            <w:hideMark/>
          </w:tcPr>
          <w:p w:rsidRPr="003960AC" w:rsidR="003960AC" w:rsidP="003960AC" w:rsidRDefault="003960AC" w14:paraId="4B619375" w14:textId="77777777">
            <w:pPr>
              <w:tabs>
                <w:tab w:val="num" w:pos="720"/>
              </w:tabs>
              <w:spacing w:after="0" w:line="240" w:lineRule="auto"/>
              <w:ind w:left="0" w:firstLine="0"/>
              <w:rPr>
                <w:b/>
              </w:rPr>
            </w:pPr>
            <w:r w:rsidRPr="003960AC">
              <w:rPr>
                <w:b/>
              </w:rPr>
              <w:t>Filings regarding updated rates reflecting the termination of the Transmission Organization Incentive</w:t>
            </w:r>
          </w:p>
        </w:tc>
        <w:tc>
          <w:tcPr>
            <w:tcW w:w="2196" w:type="dxa"/>
            <w:shd w:val="clear" w:color="auto" w:fill="auto"/>
            <w:vAlign w:val="center"/>
          </w:tcPr>
          <w:p w:rsidRPr="003960AC" w:rsidR="003960AC" w:rsidP="008B2C5F" w:rsidRDefault="003960AC" w14:paraId="7962CC7D" w14:textId="77777777">
            <w:pPr>
              <w:tabs>
                <w:tab w:val="num" w:pos="720"/>
              </w:tabs>
              <w:spacing w:after="0" w:line="240" w:lineRule="auto"/>
              <w:ind w:left="0" w:firstLine="0"/>
              <w:jc w:val="right"/>
            </w:pPr>
            <w:r w:rsidRPr="003960AC">
              <w:t>190</w:t>
            </w:r>
          </w:p>
        </w:tc>
        <w:tc>
          <w:tcPr>
            <w:tcW w:w="1454" w:type="dxa"/>
            <w:vAlign w:val="center"/>
          </w:tcPr>
          <w:p w:rsidRPr="003960AC" w:rsidR="003960AC" w:rsidP="008B2C5F" w:rsidRDefault="003960AC" w14:paraId="5E4BCCAC" w14:textId="77777777">
            <w:pPr>
              <w:tabs>
                <w:tab w:val="num" w:pos="720"/>
              </w:tabs>
              <w:spacing w:after="0" w:line="240" w:lineRule="auto"/>
              <w:ind w:left="0" w:firstLine="0"/>
              <w:jc w:val="right"/>
            </w:pPr>
            <w:r w:rsidRPr="003960AC">
              <w:t>1</w:t>
            </w:r>
          </w:p>
        </w:tc>
        <w:tc>
          <w:tcPr>
            <w:tcW w:w="1363" w:type="dxa"/>
            <w:shd w:val="clear" w:color="auto" w:fill="auto"/>
            <w:vAlign w:val="center"/>
          </w:tcPr>
          <w:p w:rsidRPr="003960AC" w:rsidR="003960AC" w:rsidP="008B2C5F" w:rsidRDefault="003960AC" w14:paraId="1CF7C6AA" w14:textId="77777777">
            <w:pPr>
              <w:tabs>
                <w:tab w:val="num" w:pos="720"/>
              </w:tabs>
              <w:spacing w:after="0" w:line="240" w:lineRule="auto"/>
              <w:ind w:left="0" w:firstLine="0"/>
              <w:jc w:val="right"/>
            </w:pPr>
            <w:r w:rsidRPr="003960AC">
              <w:t>190</w:t>
            </w:r>
          </w:p>
        </w:tc>
        <w:tc>
          <w:tcPr>
            <w:tcW w:w="1308" w:type="dxa"/>
            <w:shd w:val="clear" w:color="auto" w:fill="auto"/>
            <w:vAlign w:val="center"/>
            <w:hideMark/>
          </w:tcPr>
          <w:p w:rsidRPr="003960AC" w:rsidR="003960AC" w:rsidP="008B2C5F" w:rsidRDefault="003960AC" w14:paraId="688D3BFA" w14:textId="64CE116F">
            <w:pPr>
              <w:tabs>
                <w:tab w:val="num" w:pos="720"/>
              </w:tabs>
              <w:spacing w:after="0" w:line="240" w:lineRule="auto"/>
              <w:ind w:left="0" w:firstLine="0"/>
              <w:jc w:val="right"/>
            </w:pPr>
            <w:r w:rsidRPr="003960AC">
              <w:t>80 hours; $6,640</w:t>
            </w:r>
          </w:p>
        </w:tc>
        <w:tc>
          <w:tcPr>
            <w:tcW w:w="1399" w:type="dxa"/>
            <w:shd w:val="clear" w:color="auto" w:fill="auto"/>
            <w:vAlign w:val="center"/>
            <w:hideMark/>
          </w:tcPr>
          <w:p w:rsidRPr="003960AC" w:rsidR="003960AC" w:rsidP="008B2C5F" w:rsidRDefault="003960AC" w14:paraId="0D42C5F5" w14:textId="77777777">
            <w:pPr>
              <w:tabs>
                <w:tab w:val="num" w:pos="720"/>
              </w:tabs>
              <w:spacing w:after="0" w:line="240" w:lineRule="auto"/>
              <w:ind w:left="0" w:firstLine="0"/>
              <w:jc w:val="right"/>
            </w:pPr>
            <w:r w:rsidRPr="003960AC">
              <w:t>15,200 hours; $1,261,600</w:t>
            </w:r>
          </w:p>
        </w:tc>
      </w:tr>
      <w:tr w:rsidRPr="003960AC" w:rsidR="00A02CC7" w:rsidTr="008B2C5F" w14:paraId="1C86A0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0" w:type="dxa"/>
            <w:shd w:val="clear" w:color="auto" w:fill="auto"/>
            <w:vAlign w:val="center"/>
          </w:tcPr>
          <w:p w:rsidRPr="003960AC" w:rsidR="00A02CC7" w:rsidP="003960AC" w:rsidRDefault="00A02CC7" w14:paraId="01EE8C63" w14:textId="017516CE">
            <w:pPr>
              <w:tabs>
                <w:tab w:val="num" w:pos="720"/>
              </w:tabs>
              <w:spacing w:after="0" w:line="240" w:lineRule="auto"/>
              <w:ind w:left="0" w:firstLine="0"/>
              <w:rPr>
                <w:b/>
              </w:rPr>
            </w:pPr>
            <w:r w:rsidRPr="003960AC">
              <w:rPr>
                <w:b/>
                <w:bCs/>
              </w:rPr>
              <w:t>Total Proposed Changes for FERC-516 in Supplemental NOPR in RM20-10-000</w:t>
            </w:r>
          </w:p>
        </w:tc>
        <w:tc>
          <w:tcPr>
            <w:tcW w:w="5013" w:type="dxa"/>
            <w:gridSpan w:val="3"/>
            <w:shd w:val="clear" w:color="auto" w:fill="D9D9D9" w:themeFill="background1" w:themeFillShade="D9"/>
            <w:vAlign w:val="center"/>
          </w:tcPr>
          <w:p w:rsidRPr="003960AC" w:rsidR="00A02CC7" w:rsidP="008B2C5F" w:rsidRDefault="00A02CC7" w14:paraId="18538B9C" w14:textId="77777777">
            <w:pPr>
              <w:tabs>
                <w:tab w:val="num" w:pos="720"/>
              </w:tabs>
              <w:spacing w:after="0" w:line="240" w:lineRule="auto"/>
              <w:ind w:left="0" w:firstLine="0"/>
              <w:jc w:val="right"/>
            </w:pPr>
          </w:p>
        </w:tc>
        <w:tc>
          <w:tcPr>
            <w:tcW w:w="1308" w:type="dxa"/>
            <w:shd w:val="clear" w:color="auto" w:fill="auto"/>
            <w:vAlign w:val="center"/>
          </w:tcPr>
          <w:p w:rsidRPr="003960AC" w:rsidR="00A02CC7" w:rsidP="008B2C5F" w:rsidRDefault="00A02CC7" w14:paraId="581F9505" w14:textId="77777777">
            <w:pPr>
              <w:tabs>
                <w:tab w:val="num" w:pos="720"/>
              </w:tabs>
              <w:spacing w:after="0" w:line="240" w:lineRule="auto"/>
              <w:ind w:left="0" w:firstLine="0"/>
              <w:jc w:val="right"/>
            </w:pPr>
            <w:r w:rsidRPr="003960AC">
              <w:t>80 hours; $6,640</w:t>
            </w:r>
          </w:p>
        </w:tc>
        <w:tc>
          <w:tcPr>
            <w:tcW w:w="1399" w:type="dxa"/>
            <w:shd w:val="clear" w:color="auto" w:fill="auto"/>
            <w:vAlign w:val="center"/>
          </w:tcPr>
          <w:p w:rsidRPr="003960AC" w:rsidR="00A02CC7" w:rsidP="008B2C5F" w:rsidRDefault="00A02CC7" w14:paraId="4EA4C73E" w14:textId="77777777">
            <w:pPr>
              <w:tabs>
                <w:tab w:val="num" w:pos="720"/>
              </w:tabs>
              <w:spacing w:after="0" w:line="240" w:lineRule="auto"/>
              <w:ind w:left="0" w:firstLine="0"/>
              <w:jc w:val="right"/>
            </w:pPr>
            <w:r w:rsidRPr="003960AC">
              <w:t xml:space="preserve">15,200 hours; </w:t>
            </w:r>
          </w:p>
          <w:p w:rsidRPr="003960AC" w:rsidR="00A02CC7" w:rsidP="008B2C5F" w:rsidRDefault="00A02CC7" w14:paraId="227C7AFA" w14:textId="77777777">
            <w:pPr>
              <w:tabs>
                <w:tab w:val="num" w:pos="720"/>
              </w:tabs>
              <w:spacing w:after="0" w:line="240" w:lineRule="auto"/>
              <w:ind w:left="0" w:firstLine="0"/>
              <w:jc w:val="right"/>
            </w:pPr>
            <w:r w:rsidRPr="003960AC">
              <w:t>$1,261,600</w:t>
            </w:r>
          </w:p>
        </w:tc>
      </w:tr>
    </w:tbl>
    <w:p w:rsidR="003960AC" w:rsidP="003960AC" w:rsidRDefault="003960AC" w14:paraId="73C4C2F1" w14:textId="0D8AFF12">
      <w:pPr>
        <w:tabs>
          <w:tab w:val="num" w:pos="720"/>
        </w:tabs>
        <w:spacing w:after="0" w:line="240" w:lineRule="auto"/>
        <w:ind w:left="0" w:firstLine="0"/>
      </w:pPr>
    </w:p>
    <w:p w:rsidR="00923C78" w:rsidP="007A5AF2" w:rsidRDefault="00923C78" w14:paraId="2868189A" w14:textId="7AAEECC2">
      <w:pPr>
        <w:spacing w:after="0" w:line="240" w:lineRule="auto"/>
        <w:ind w:left="0" w:firstLine="0"/>
      </w:pPr>
      <w:r>
        <w:t xml:space="preserve">For administrative purposes, we are averaging the one-time burden </w:t>
      </w:r>
      <w:r w:rsidR="002F4489">
        <w:t xml:space="preserve">in Year 1 </w:t>
      </w:r>
      <w:r>
        <w:t xml:space="preserve">over a </w:t>
      </w:r>
      <w:r w:rsidR="007A5AF2">
        <w:t>three-year</w:t>
      </w:r>
      <w:r>
        <w:t xml:space="preserve"> period. </w:t>
      </w:r>
      <w:r w:rsidR="007A5AF2">
        <w:t>The estimates in the table above match the estimates in the Supplemental NOPR. These estimates are not annualized</w:t>
      </w:r>
      <w:r w:rsidR="007A5AF2">
        <w:t xml:space="preserve">. </w:t>
      </w:r>
      <w:r>
        <w:t>The annual average for years 1-3 will be</w:t>
      </w:r>
      <w:r w:rsidR="00CD17A0">
        <w:t xml:space="preserve"> (rounded)</w:t>
      </w:r>
      <w:r w:rsidR="007A5AF2">
        <w:t xml:space="preserve"> to the following</w:t>
      </w:r>
      <w:r>
        <w:t xml:space="preserve">: </w:t>
      </w:r>
    </w:p>
    <w:p w:rsidR="00923C78" w:rsidP="00923C78" w:rsidRDefault="00923C78" w14:paraId="69B65204" w14:textId="3935AF41">
      <w:pPr>
        <w:pStyle w:val="ListParagraph"/>
        <w:numPr>
          <w:ilvl w:val="0"/>
          <w:numId w:val="27"/>
        </w:numPr>
        <w:spacing w:after="0" w:line="240" w:lineRule="auto"/>
      </w:pPr>
      <w:r>
        <w:t>6</w:t>
      </w:r>
      <w:r w:rsidR="007A5AF2">
        <w:t>3.33</w:t>
      </w:r>
      <w:r w:rsidR="007A5AF2">
        <w:rPr>
          <w:rStyle w:val="FootnoteReference"/>
        </w:rPr>
        <w:footnoteReference w:id="17"/>
      </w:r>
      <w:r>
        <w:t xml:space="preserve"> responses per year (190 responses/3 years)</w:t>
      </w:r>
    </w:p>
    <w:p w:rsidR="00923C78" w:rsidP="008B2C5F" w:rsidRDefault="00923C78" w14:paraId="6C8902B0" w14:textId="7DF10FB6">
      <w:pPr>
        <w:pStyle w:val="ListParagraph"/>
        <w:numPr>
          <w:ilvl w:val="0"/>
          <w:numId w:val="27"/>
        </w:numPr>
        <w:spacing w:after="0" w:line="240" w:lineRule="auto"/>
      </w:pPr>
      <w:r>
        <w:t>5,067 hours per year (15,200 hours/3 years)</w:t>
      </w:r>
    </w:p>
    <w:p w:rsidR="00DD755B" w:rsidP="00947831" w:rsidRDefault="00DD755B" w14:paraId="22BC559A" w14:textId="77777777">
      <w:pPr>
        <w:tabs>
          <w:tab w:val="num" w:pos="720"/>
        </w:tabs>
        <w:spacing w:after="0" w:line="240" w:lineRule="auto"/>
        <w:ind w:left="0" w:firstLine="0"/>
      </w:pPr>
    </w:p>
    <w:p w:rsidR="00DD755B" w:rsidP="008B2C5F" w:rsidRDefault="00383548" w14:paraId="04AA4D5D" w14:textId="0E4AB3E6">
      <w:pPr>
        <w:pStyle w:val="Heading1"/>
        <w:ind w:left="0" w:firstLine="0"/>
      </w:pPr>
      <w:r>
        <w:rPr>
          <w:bCs/>
        </w:rPr>
        <w:t>13.</w:t>
      </w:r>
      <w:r>
        <w:rPr>
          <w:rFonts w:ascii="Arial" w:hAnsi="Arial" w:eastAsia="Arial" w:cs="Arial"/>
          <w:b w:val="0"/>
        </w:rPr>
        <w:t xml:space="preserve"> </w:t>
      </w:r>
      <w:r>
        <w:t>ESTIMATE OF THE TOTAL ANNUAL COST BURDEN TO RESPONDENTS</w:t>
      </w:r>
      <w:r>
        <w:rPr>
          <w:b w:val="0"/>
        </w:rPr>
        <w:t xml:space="preserve"> </w:t>
      </w:r>
    </w:p>
    <w:p w:rsidR="00DD755B" w:rsidRDefault="00383548" w14:paraId="1466A063" w14:textId="77777777">
      <w:pPr>
        <w:spacing w:after="0" w:line="259" w:lineRule="auto"/>
        <w:ind w:left="0" w:firstLine="0"/>
      </w:pPr>
      <w:r>
        <w:t>There are no start-up or other non-labor costs.</w:t>
      </w:r>
    </w:p>
    <w:p w:rsidR="00DD755B" w:rsidRDefault="00DD755B" w14:paraId="4023A0E6" w14:textId="77777777">
      <w:pPr>
        <w:spacing w:after="0" w:line="259" w:lineRule="auto"/>
        <w:ind w:left="360" w:firstLine="0"/>
      </w:pPr>
    </w:p>
    <w:p w:rsidR="00DD755B" w:rsidRDefault="00383548" w14:paraId="31E07478" w14:textId="77777777">
      <w:pPr>
        <w:spacing w:after="0" w:line="259" w:lineRule="auto"/>
        <w:ind w:left="720" w:firstLine="0"/>
      </w:pPr>
      <w:r>
        <w:t>Total Capital and Start-up cost: $0</w:t>
      </w:r>
    </w:p>
    <w:p w:rsidR="00DD755B" w:rsidRDefault="00383548" w14:paraId="0AE0DC10" w14:textId="77777777">
      <w:pPr>
        <w:spacing w:after="0" w:line="259" w:lineRule="auto"/>
        <w:ind w:left="720" w:firstLine="0"/>
      </w:pPr>
      <w:r>
        <w:t>Total Operation, Maintenance, and Purchase of Services: $0</w:t>
      </w:r>
    </w:p>
    <w:p w:rsidR="00DD755B" w:rsidRDefault="00DD755B" w14:paraId="6F671BB0" w14:textId="77777777">
      <w:pPr>
        <w:spacing w:after="0" w:line="259" w:lineRule="auto"/>
        <w:ind w:left="360" w:firstLine="0"/>
      </w:pPr>
    </w:p>
    <w:p w:rsidR="00DD755B" w:rsidRDefault="00383548" w14:paraId="619E32E2" w14:textId="62E443A3">
      <w:pPr>
        <w:spacing w:after="0" w:line="259" w:lineRule="auto"/>
        <w:ind w:left="0" w:firstLine="0"/>
      </w:pPr>
      <w:r>
        <w:lastRenderedPageBreak/>
        <w:t>All of the costs in th</w:t>
      </w:r>
      <w:r w:rsidR="00A02CC7">
        <w:t>is</w:t>
      </w:r>
      <w:r>
        <w:t xml:space="preserve"> </w:t>
      </w:r>
      <w:r w:rsidR="000C7809">
        <w:t xml:space="preserve">Supplemental </w:t>
      </w:r>
      <w:r>
        <w:t>NOPR are associated with burden hours (labor) and described in Questions #12 and #15 in this supporting statement.</w:t>
      </w:r>
    </w:p>
    <w:p w:rsidR="00DD755B" w:rsidRDefault="00DD755B" w14:paraId="0D13035D" w14:textId="77777777">
      <w:pPr>
        <w:spacing w:after="0" w:line="259" w:lineRule="auto"/>
        <w:ind w:left="360" w:firstLine="0"/>
      </w:pPr>
    </w:p>
    <w:p w:rsidRPr="008B2C5F" w:rsidR="00DD755B" w:rsidP="008B2C5F" w:rsidRDefault="00383548" w14:paraId="70F25B54" w14:textId="7CC11A7D">
      <w:pPr>
        <w:pStyle w:val="Heading1"/>
        <w:ind w:left="0" w:firstLine="0"/>
      </w:pPr>
      <w:r>
        <w:rPr>
          <w:bCs/>
        </w:rPr>
        <w:t>14.</w:t>
      </w:r>
      <w:r>
        <w:rPr>
          <w:rFonts w:ascii="Arial" w:hAnsi="Arial" w:eastAsia="Arial" w:cs="Arial"/>
          <w:b w:val="0"/>
        </w:rPr>
        <w:t xml:space="preserve"> </w:t>
      </w:r>
      <w:r>
        <w:t>ESTIMATED ANNUALIZED COST TO FEDERAL GOVERNMENT</w:t>
      </w:r>
      <w:r>
        <w:rPr>
          <w:b w:val="0"/>
        </w:rPr>
        <w:t xml:space="preserve"> </w:t>
      </w:r>
    </w:p>
    <w:p w:rsidR="00DD755B" w:rsidRDefault="00383548" w14:paraId="1CA6A7BE" w14:textId="7B85A317">
      <w:pPr>
        <w:spacing w:after="0" w:line="240" w:lineRule="auto"/>
        <w:ind w:left="0" w:firstLine="0"/>
        <w:rPr>
          <w:rFonts w:eastAsiaTheme="minorHAnsi" w:cstheme="minorBidi"/>
          <w:color w:val="auto"/>
        </w:rPr>
      </w:pPr>
      <w:r>
        <w:rPr>
          <w:rFonts w:eastAsiaTheme="minorHAnsi" w:cstheme="minorBidi"/>
          <w:color w:val="auto"/>
        </w:rPr>
        <w:t xml:space="preserve">The estimates of the cost for analysis and processing of filings are based on salaries and benefits for professional and clerical support.  The estimated </w:t>
      </w:r>
      <w:r w:rsidR="00717C56">
        <w:rPr>
          <w:rFonts w:eastAsiaTheme="minorHAnsi" w:cstheme="minorBidi"/>
          <w:color w:val="auto"/>
        </w:rPr>
        <w:t xml:space="preserve">one-time </w:t>
      </w:r>
      <w:r>
        <w:rPr>
          <w:rFonts w:eastAsiaTheme="minorHAnsi" w:cstheme="minorBidi"/>
          <w:color w:val="auto"/>
        </w:rPr>
        <w:t>cost represents staff analysis, decision-making, and review of any actual filings submitted in response to the information collection.</w:t>
      </w:r>
    </w:p>
    <w:p w:rsidR="00DD755B" w:rsidRDefault="00DD755B" w14:paraId="407DF22D" w14:textId="77777777">
      <w:pPr>
        <w:spacing w:after="0" w:line="240" w:lineRule="auto"/>
        <w:ind w:left="0" w:firstLine="0"/>
        <w:rPr>
          <w:rFonts w:eastAsiaTheme="minorHAnsi" w:cstheme="minorBidi"/>
          <w:color w:val="auto"/>
        </w:rPr>
      </w:pPr>
    </w:p>
    <w:p w:rsidR="00DD755B" w:rsidRDefault="00383548" w14:paraId="3AC06D22" w14:textId="77777777">
      <w:pPr>
        <w:spacing w:after="0" w:line="240" w:lineRule="auto"/>
        <w:ind w:left="0" w:firstLine="0"/>
        <w:rPr>
          <w:rFonts w:eastAsiaTheme="minorHAnsi" w:cstheme="minorBidi"/>
          <w:color w:val="auto"/>
        </w:rPr>
      </w:pPr>
      <w:r>
        <w:rPr>
          <w:rFonts w:eastAsiaTheme="minorHAnsi" w:cstheme="minorBidi"/>
          <w:color w:val="auto"/>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DD755B" w:rsidRDefault="00DD755B" w14:paraId="03278174" w14:textId="77777777">
      <w:pPr>
        <w:spacing w:after="160" w:line="240" w:lineRule="auto"/>
        <w:ind w:left="0" w:firstLine="0"/>
        <w:rPr>
          <w:rFonts w:eastAsiaTheme="minorHAnsi" w:cstheme="minorBidi"/>
          <w:b/>
          <w:color w:val="aut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6"/>
        <w:gridCol w:w="3149"/>
        <w:gridCol w:w="2515"/>
      </w:tblGrid>
      <w:tr w:rsidR="00DD755B" w14:paraId="5902C307" w14:textId="77777777">
        <w:tc>
          <w:tcPr>
            <w:tcW w:w="1971" w:type="pct"/>
            <w:tcBorders>
              <w:top w:val="single" w:color="auto" w:sz="4" w:space="0"/>
              <w:left w:val="single" w:color="auto" w:sz="4" w:space="0"/>
              <w:bottom w:val="single" w:color="auto" w:sz="4" w:space="0"/>
              <w:right w:val="single" w:color="auto" w:sz="4" w:space="0"/>
            </w:tcBorders>
            <w:shd w:val="clear" w:color="auto" w:fill="D9D9D9"/>
            <w:vAlign w:val="bottom"/>
          </w:tcPr>
          <w:p w:rsidR="00DD755B" w:rsidRDefault="00DD755B" w14:paraId="1D9DF94A" w14:textId="77777777">
            <w:pPr>
              <w:spacing w:after="160" w:line="259" w:lineRule="auto"/>
              <w:ind w:left="0" w:firstLine="0"/>
              <w:jc w:val="center"/>
              <w:rPr>
                <w:rFonts w:eastAsiaTheme="minorHAnsi" w:cstheme="minorBidi"/>
                <w:b/>
                <w:color w:val="auto"/>
              </w:rPr>
            </w:pP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DD755B" w:rsidRDefault="00383548" w14:paraId="50713D90" w14:textId="77777777">
            <w:pPr>
              <w:spacing w:after="160" w:line="259" w:lineRule="auto"/>
              <w:ind w:left="0" w:firstLine="0"/>
              <w:jc w:val="center"/>
              <w:rPr>
                <w:rFonts w:eastAsiaTheme="minorHAnsi" w:cstheme="minorBidi"/>
                <w:b/>
                <w:color w:val="auto"/>
              </w:rPr>
            </w:pPr>
            <w:r>
              <w:rPr>
                <w:rFonts w:eastAsiaTheme="minorHAnsi" w:cstheme="minorBidi"/>
                <w:b/>
                <w:color w:val="auto"/>
              </w:rPr>
              <w:t>Number of Employees (Full-Time Equivalents [FTE])</w:t>
            </w:r>
          </w:p>
        </w:tc>
        <w:tc>
          <w:tcPr>
            <w:tcW w:w="13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DD755B" w:rsidRDefault="00383548" w14:paraId="23539834" w14:textId="77777777">
            <w:pPr>
              <w:spacing w:after="160" w:line="259" w:lineRule="auto"/>
              <w:ind w:left="0" w:firstLine="0"/>
              <w:jc w:val="center"/>
              <w:rPr>
                <w:rFonts w:eastAsiaTheme="minorHAnsi" w:cstheme="minorBidi"/>
                <w:b/>
                <w:color w:val="auto"/>
              </w:rPr>
            </w:pPr>
            <w:r>
              <w:rPr>
                <w:rFonts w:eastAsiaTheme="minorHAnsi" w:cstheme="minorBidi"/>
                <w:b/>
                <w:color w:val="auto"/>
              </w:rPr>
              <w:t>Estimated Annual Federal Cost</w:t>
            </w:r>
          </w:p>
        </w:tc>
      </w:tr>
      <w:tr w:rsidR="00DD755B" w14:paraId="0DD930E1"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5A00CFF7" w14:textId="58C4DFAF">
            <w:pPr>
              <w:spacing w:after="0" w:line="259" w:lineRule="auto"/>
              <w:ind w:left="0" w:firstLine="0"/>
              <w:rPr>
                <w:rFonts w:eastAsiaTheme="minorHAnsi" w:cstheme="minorBidi"/>
                <w:color w:val="auto"/>
              </w:rPr>
            </w:pPr>
            <w:r>
              <w:rPr>
                <w:rFonts w:eastAsiaTheme="minorHAnsi" w:cstheme="minorBidi"/>
                <w:color w:val="auto"/>
              </w:rPr>
              <w:t xml:space="preserve">Analysis and Processing of </w:t>
            </w:r>
            <w:r w:rsidR="00717C56">
              <w:rPr>
                <w:rFonts w:eastAsiaTheme="minorHAnsi" w:cstheme="minorBidi"/>
                <w:color w:val="auto"/>
              </w:rPr>
              <w:t xml:space="preserve">One-Time </w:t>
            </w:r>
            <w:r>
              <w:rPr>
                <w:rFonts w:eastAsiaTheme="minorHAnsi" w:cstheme="minorBidi"/>
                <w:color w:val="auto"/>
              </w:rPr>
              <w:t>Filings</w:t>
            </w:r>
            <w:r w:rsidR="002F4489">
              <w:rPr>
                <w:rFonts w:eastAsiaTheme="minorHAnsi" w:cstheme="minorBidi"/>
                <w:color w:val="auto"/>
              </w:rPr>
              <w:t xml:space="preserve"> in Year 1</w:t>
            </w:r>
            <w:r>
              <w:rPr>
                <w:rFonts w:eastAsiaTheme="minorHAnsi" w:cstheme="minorBidi"/>
                <w:color w:val="auto"/>
              </w:rPr>
              <w:t xml:space="preserve"> for FERC-516</w:t>
            </w:r>
            <w:r>
              <w:rPr>
                <w:rFonts w:eastAsiaTheme="minorHAnsi" w:cstheme="minorBidi"/>
                <w:color w:val="auto"/>
                <w:vertAlign w:val="superscript"/>
              </w:rPr>
              <w:footnoteReference w:id="18"/>
            </w:r>
          </w:p>
        </w:tc>
        <w:tc>
          <w:tcPr>
            <w:tcW w:w="1684" w:type="pct"/>
            <w:tcBorders>
              <w:top w:val="single" w:color="auto" w:sz="4" w:space="0"/>
              <w:left w:val="single" w:color="auto" w:sz="4" w:space="0"/>
              <w:bottom w:val="single" w:color="auto" w:sz="4" w:space="0"/>
              <w:right w:val="single" w:color="auto" w:sz="4" w:space="0"/>
            </w:tcBorders>
            <w:vAlign w:val="bottom"/>
            <w:hideMark/>
          </w:tcPr>
          <w:p w:rsidR="00DD755B" w:rsidRDefault="00B27BB2" w14:paraId="6C370A33" w14:textId="50788AB8">
            <w:pPr>
              <w:spacing w:after="160" w:line="259" w:lineRule="auto"/>
              <w:ind w:left="0" w:firstLine="0"/>
              <w:jc w:val="right"/>
              <w:rPr>
                <w:rFonts w:eastAsiaTheme="minorHAnsi" w:cstheme="minorBidi"/>
                <w:color w:val="auto"/>
              </w:rPr>
            </w:pPr>
            <w:r>
              <w:rPr>
                <w:rFonts w:eastAsiaTheme="minorHAnsi" w:cstheme="minorBidi"/>
                <w:color w:val="auto"/>
              </w:rPr>
              <w:t>2</w:t>
            </w:r>
          </w:p>
        </w:tc>
        <w:tc>
          <w:tcPr>
            <w:tcW w:w="1345" w:type="pct"/>
            <w:tcBorders>
              <w:top w:val="single" w:color="auto" w:sz="4" w:space="0"/>
              <w:left w:val="single" w:color="auto" w:sz="4" w:space="0"/>
              <w:bottom w:val="single" w:color="auto" w:sz="4" w:space="0"/>
              <w:right w:val="single" w:color="auto" w:sz="4" w:space="0"/>
            </w:tcBorders>
            <w:vAlign w:val="bottom"/>
            <w:hideMark/>
          </w:tcPr>
          <w:p w:rsidR="00DD755B" w:rsidRDefault="00383548" w14:paraId="168F2DB5" w14:textId="2A8AF176">
            <w:pPr>
              <w:spacing w:after="160" w:line="259" w:lineRule="auto"/>
              <w:ind w:left="0" w:firstLine="0"/>
              <w:jc w:val="right"/>
              <w:rPr>
                <w:rFonts w:eastAsiaTheme="minorHAnsi" w:cstheme="minorBidi"/>
                <w:color w:val="auto"/>
              </w:rPr>
            </w:pPr>
            <w:r>
              <w:rPr>
                <w:rFonts w:eastAsiaTheme="minorHAnsi" w:cstheme="minorBidi"/>
                <w:color w:val="auto"/>
              </w:rPr>
              <w:t>$</w:t>
            </w:r>
            <w:r w:rsidR="00B27BB2">
              <w:rPr>
                <w:rFonts w:eastAsiaTheme="minorHAnsi" w:cstheme="minorBidi"/>
                <w:color w:val="auto"/>
              </w:rPr>
              <w:t>3</w:t>
            </w:r>
            <w:r w:rsidR="00D6366B">
              <w:rPr>
                <w:rFonts w:eastAsiaTheme="minorHAnsi" w:cstheme="minorBidi"/>
                <w:color w:val="auto"/>
              </w:rPr>
              <w:t>4</w:t>
            </w:r>
            <w:r w:rsidR="00B27BB2">
              <w:rPr>
                <w:rFonts w:eastAsiaTheme="minorHAnsi" w:cstheme="minorBidi"/>
                <w:color w:val="auto"/>
              </w:rPr>
              <w:t>4,</w:t>
            </w:r>
            <w:r w:rsidR="00D6366B">
              <w:rPr>
                <w:rFonts w:eastAsiaTheme="minorHAnsi" w:cstheme="minorBidi"/>
                <w:color w:val="auto"/>
              </w:rPr>
              <w:t>658</w:t>
            </w:r>
            <w:r>
              <w:rPr>
                <w:rFonts w:eastAsiaTheme="minorHAnsi" w:cstheme="minorBidi"/>
                <w:color w:val="auto"/>
              </w:rPr>
              <w:t xml:space="preserve">‬ </w:t>
            </w:r>
          </w:p>
        </w:tc>
      </w:tr>
      <w:tr w:rsidR="00DD755B" w14:paraId="4CF404FF"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3FC36FD3" w14:textId="2F5E1568">
            <w:pPr>
              <w:spacing w:after="0" w:line="259" w:lineRule="auto"/>
              <w:ind w:left="0" w:firstLine="0"/>
              <w:rPr>
                <w:rFonts w:eastAsiaTheme="minorHAnsi" w:cstheme="minorBidi"/>
                <w:color w:val="auto"/>
              </w:rPr>
            </w:pPr>
            <w:r>
              <w:rPr>
                <w:rFonts w:eastAsiaTheme="minorHAnsi" w:cstheme="minorBidi"/>
                <w:color w:val="auto"/>
              </w:rPr>
              <w:t>PRA</w:t>
            </w:r>
            <w:r>
              <w:rPr>
                <w:rFonts w:eastAsiaTheme="minorHAnsi" w:cstheme="minorBidi"/>
                <w:color w:val="auto"/>
                <w:vertAlign w:val="superscript"/>
              </w:rPr>
              <w:footnoteReference w:id="19"/>
            </w:r>
            <w:r>
              <w:rPr>
                <w:rFonts w:eastAsiaTheme="minorHAnsi" w:cstheme="minorBidi"/>
                <w:color w:val="auto"/>
              </w:rPr>
              <w:t xml:space="preserve"> Administrative Cost </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00DD755B" w:rsidRDefault="00DD755B" w14:paraId="47A5D395" w14:textId="77777777">
            <w:pPr>
              <w:spacing w:after="160" w:line="259" w:lineRule="auto"/>
              <w:ind w:left="0" w:firstLine="0"/>
              <w:jc w:val="right"/>
              <w:rPr>
                <w:rFonts w:eastAsiaTheme="minorHAnsi" w:cstheme="minorBidi"/>
                <w:b/>
                <w:color w:val="auto"/>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00DD755B" w:rsidRDefault="005D4A6E" w14:paraId="3FB2E47A" w14:textId="476812F1">
            <w:pPr>
              <w:spacing w:after="160" w:line="259" w:lineRule="auto"/>
              <w:ind w:left="0" w:firstLine="0"/>
              <w:jc w:val="right"/>
              <w:rPr>
                <w:rFonts w:eastAsiaTheme="minorHAnsi" w:cstheme="minorBidi"/>
                <w:color w:val="auto"/>
              </w:rPr>
            </w:pPr>
            <w:r>
              <w:rPr>
                <w:rFonts w:eastAsiaTheme="minorHAnsi" w:cstheme="minorBidi"/>
                <w:color w:val="auto"/>
              </w:rPr>
              <w:t>$6,475</w:t>
            </w:r>
          </w:p>
        </w:tc>
      </w:tr>
      <w:tr w:rsidR="00DD755B" w14:paraId="6D91583B"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00DD755B" w:rsidRDefault="00383548" w14:paraId="48707AF6" w14:textId="77777777">
            <w:pPr>
              <w:spacing w:after="0" w:line="259" w:lineRule="auto"/>
              <w:ind w:left="0" w:firstLine="0"/>
              <w:rPr>
                <w:rFonts w:eastAsiaTheme="minorHAnsi" w:cstheme="minorBidi"/>
                <w:color w:val="auto"/>
              </w:rPr>
            </w:pPr>
            <w:r>
              <w:rPr>
                <w:rFonts w:eastAsiaTheme="minorHAnsi" w:cstheme="minorBidi"/>
                <w:color w:val="auto"/>
              </w:rPr>
              <w:t>FERC Total</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00DD755B" w:rsidRDefault="00DD755B" w14:paraId="1E29FE6B" w14:textId="77777777">
            <w:pPr>
              <w:spacing w:after="160" w:line="259" w:lineRule="auto"/>
              <w:ind w:left="0" w:firstLine="0"/>
              <w:jc w:val="right"/>
              <w:rPr>
                <w:rFonts w:eastAsiaTheme="minorHAnsi" w:cstheme="minorBidi"/>
                <w:b/>
                <w:color w:val="auto"/>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00DD755B" w:rsidRDefault="00383548" w14:paraId="4C121A8C" w14:textId="7EAB916C">
            <w:pPr>
              <w:spacing w:after="160" w:line="259" w:lineRule="auto"/>
              <w:ind w:left="0" w:firstLine="0"/>
              <w:jc w:val="right"/>
              <w:rPr>
                <w:rFonts w:eastAsiaTheme="minorHAnsi" w:cstheme="minorBidi"/>
                <w:color w:val="auto"/>
              </w:rPr>
            </w:pPr>
            <w:r>
              <w:rPr>
                <w:rFonts w:eastAsiaTheme="minorHAnsi" w:cstheme="minorBidi"/>
                <w:color w:val="auto"/>
              </w:rPr>
              <w:t>$</w:t>
            </w:r>
            <w:r w:rsidR="00B27BB2">
              <w:rPr>
                <w:rFonts w:eastAsiaTheme="minorHAnsi" w:cstheme="minorBidi"/>
                <w:color w:val="auto"/>
              </w:rPr>
              <w:t>3</w:t>
            </w:r>
            <w:r w:rsidR="00D6366B">
              <w:rPr>
                <w:rFonts w:eastAsiaTheme="minorHAnsi" w:cstheme="minorBidi"/>
                <w:color w:val="auto"/>
              </w:rPr>
              <w:t>51,133</w:t>
            </w:r>
          </w:p>
        </w:tc>
      </w:tr>
    </w:tbl>
    <w:p w:rsidR="00DD755B" w:rsidRDefault="00DD755B" w14:paraId="7BF2B46F" w14:textId="77777777">
      <w:pPr>
        <w:spacing w:after="0" w:line="259" w:lineRule="auto"/>
        <w:ind w:left="0" w:firstLine="0"/>
        <w:rPr>
          <w:b/>
        </w:rPr>
      </w:pPr>
    </w:p>
    <w:p w:rsidR="00DD755B" w:rsidP="008B2C5F" w:rsidRDefault="00383548" w14:paraId="2689C49F" w14:textId="30258C72">
      <w:pPr>
        <w:pStyle w:val="Heading1"/>
        <w:ind w:left="0" w:firstLine="0"/>
      </w:pPr>
      <w:r>
        <w:rPr>
          <w:bCs/>
        </w:rPr>
        <w:t>15</w:t>
      </w:r>
      <w:r>
        <w:rPr>
          <w:b w:val="0"/>
        </w:rPr>
        <w:t>.</w:t>
      </w:r>
      <w:r>
        <w:rPr>
          <w:rFonts w:ascii="Arial" w:hAnsi="Arial" w:eastAsia="Arial" w:cs="Arial"/>
          <w:b w:val="0"/>
        </w:rPr>
        <w:t xml:space="preserve"> </w:t>
      </w:r>
      <w:r>
        <w:t>REASONS FOR CHANGES IN BURDEN INCLUDING THE NEED FOR ANY INCREASE</w:t>
      </w:r>
      <w:r>
        <w:rPr>
          <w:b w:val="0"/>
        </w:rPr>
        <w:t xml:space="preserve"> </w:t>
      </w:r>
    </w:p>
    <w:p w:rsidR="003C0EC5" w:rsidP="003C0EC5" w:rsidRDefault="003C0EC5" w14:paraId="4EEBD8FD" w14:textId="1BE284F0">
      <w:pPr>
        <w:spacing w:after="0" w:line="240" w:lineRule="auto"/>
        <w:ind w:left="0" w:firstLine="0"/>
      </w:pPr>
      <w:r>
        <w:t xml:space="preserve">FPA section 219 pertains to incentive-based rates for electric transmission for the purposes of ensuring </w:t>
      </w:r>
      <w:r w:rsidR="007A5AF2">
        <w:t>reliability and</w:t>
      </w:r>
      <w:r>
        <w:t xml:space="preserve"> reducing transmission congestion (thereby reducing the cost of delivered power).  At present, the Commission implements FPA section 219 in accordance with 18 CFR 35.35, Order No. 679, and Order No. 1000.</w:t>
      </w:r>
    </w:p>
    <w:p w:rsidR="003C0EC5" w:rsidP="003C0EC5" w:rsidRDefault="003C0EC5" w14:paraId="48F04D48" w14:textId="77777777">
      <w:pPr>
        <w:spacing w:after="0" w:line="240" w:lineRule="auto"/>
        <w:ind w:left="0" w:firstLine="0"/>
      </w:pPr>
    </w:p>
    <w:p w:rsidR="003C0EC5" w:rsidP="003C0EC5" w:rsidRDefault="003C0EC5" w14:paraId="45D1A829" w14:textId="63D3EDF2">
      <w:pPr>
        <w:spacing w:after="0" w:line="240" w:lineRule="auto"/>
        <w:ind w:left="0" w:firstLine="0"/>
      </w:pPr>
      <w:r>
        <w:t>The Supplemental NOPR is intended to improve the Commission’s implementation of FPA section 219</w:t>
      </w:r>
      <w:r w:rsidR="0034451E">
        <w:t xml:space="preserve"> by </w:t>
      </w:r>
      <w:r w:rsidR="0034451E">
        <w:rPr>
          <w:bCs/>
        </w:rPr>
        <w:t xml:space="preserve">more appropriately </w:t>
      </w:r>
      <w:r w:rsidRPr="009339F7" w:rsidR="0034451E">
        <w:rPr>
          <w:bCs/>
        </w:rPr>
        <w:t>balanc</w:t>
      </w:r>
      <w:r w:rsidR="0034451E">
        <w:rPr>
          <w:bCs/>
        </w:rPr>
        <w:t>ing</w:t>
      </w:r>
      <w:r w:rsidRPr="009339F7" w:rsidR="0034451E">
        <w:rPr>
          <w:bCs/>
        </w:rPr>
        <w:t xml:space="preserve"> encouraging transmission owners to join Transmission Organizations with ratepayer considerations</w:t>
      </w:r>
      <w:r>
        <w:t>.</w:t>
      </w:r>
    </w:p>
    <w:p w:rsidR="003C0EC5" w:rsidP="003C0EC5" w:rsidRDefault="003C0EC5" w14:paraId="4A3464DE" w14:textId="77777777">
      <w:pPr>
        <w:spacing w:after="0" w:line="240" w:lineRule="auto"/>
        <w:ind w:left="0" w:firstLine="0"/>
      </w:pPr>
    </w:p>
    <w:p w:rsidR="00DD755B" w:rsidP="008B2C5F" w:rsidRDefault="00383548" w14:paraId="192F6EB8" w14:textId="3A5AF929">
      <w:pPr>
        <w:spacing w:after="0" w:line="259" w:lineRule="auto"/>
        <w:ind w:left="0" w:firstLine="0"/>
      </w:pPr>
      <w:r>
        <w:t xml:space="preserve">This </w:t>
      </w:r>
      <w:r w:rsidR="008B6C4D">
        <w:t xml:space="preserve">Supplemental </w:t>
      </w:r>
      <w:r>
        <w:t>NOPR would revise the Commission’s regulations and policy with respect to the mechanics and implementation of the Commission’s transmission incentives policy</w:t>
      </w:r>
      <w:r w:rsidR="00A02CC7">
        <w:t xml:space="preserve">. </w:t>
      </w:r>
      <w:r w:rsidR="001E596C">
        <w:t>Respondents will be required to complete a one-time eTariff Filing</w:t>
      </w:r>
      <w:r w:rsidR="003C0EC5">
        <w:t xml:space="preserve"> in Year 1</w:t>
      </w:r>
      <w:r w:rsidR="001E596C">
        <w:t xml:space="preserve">. For administrative purposes, the estimated average annual responses and burden have been averaged over a </w:t>
      </w:r>
      <w:proofErr w:type="gramStart"/>
      <w:r w:rsidR="001E596C">
        <w:t xml:space="preserve">three </w:t>
      </w:r>
      <w:r w:rsidR="001E596C">
        <w:lastRenderedPageBreak/>
        <w:t>year</w:t>
      </w:r>
      <w:proofErr w:type="gramEnd"/>
      <w:r w:rsidR="001E596C">
        <w:t xml:space="preserve"> period.</w:t>
      </w:r>
      <w:r w:rsidR="007D37AA">
        <w:t xml:space="preserve"> </w:t>
      </w:r>
      <w:r>
        <w:t>FERC-516  propose</w:t>
      </w:r>
      <w:r w:rsidR="003C0EC5">
        <w:t xml:space="preserve">s changes </w:t>
      </w:r>
      <w:r>
        <w:t xml:space="preserve"> to the Commission’s transmission incentives policy would both help to reflect recent changes in the industry and transmission planning and more closely align with the statutory language of FPA section 219.  </w:t>
      </w:r>
    </w:p>
    <w:p w:rsidR="00DD755B" w:rsidRDefault="00DD755B" w14:paraId="53211E77" w14:textId="77777777">
      <w:pPr>
        <w:widowControl w:val="0"/>
        <w:autoSpaceDE w:val="0"/>
        <w:autoSpaceDN w:val="0"/>
        <w:adjustRightInd w:val="0"/>
        <w:spacing w:after="0" w:line="240" w:lineRule="auto"/>
        <w:ind w:left="0" w:firstLine="0"/>
        <w:rPr>
          <w:color w:val="auto"/>
          <w:sz w:val="26"/>
          <w:szCs w:val="26"/>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00CD17A0" w14:paraId="58FE8EE8" w14:textId="77777777">
        <w:trPr>
          <w:trHeight w:val="870"/>
          <w:jc w:val="right"/>
        </w:trPr>
        <w:tc>
          <w:tcPr>
            <w:tcW w:w="1442"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8B6C4D" w14:paraId="389A9299" w14:textId="15E8A399">
            <w:pPr>
              <w:keepNext/>
              <w:widowControl w:val="0"/>
              <w:autoSpaceDE w:val="0"/>
              <w:autoSpaceDN w:val="0"/>
              <w:adjustRightInd w:val="0"/>
              <w:spacing w:after="0" w:line="256" w:lineRule="auto"/>
              <w:ind w:left="0" w:firstLine="0"/>
              <w:jc w:val="center"/>
              <w:rPr>
                <w:b/>
                <w:color w:val="auto"/>
                <w:szCs w:val="24"/>
              </w:rPr>
            </w:pPr>
            <w:r w:rsidRPr="008B2C5F">
              <w:rPr>
                <w:b/>
                <w:bCs/>
              </w:rPr>
              <w:t>Supplemental</w:t>
            </w:r>
            <w:r>
              <w:rPr>
                <w:b/>
                <w:color w:val="auto"/>
                <w:szCs w:val="24"/>
              </w:rPr>
              <w:t xml:space="preserve"> </w:t>
            </w:r>
            <w:r w:rsidR="00383548">
              <w:rPr>
                <w:b/>
                <w:color w:val="auto"/>
                <w:szCs w:val="24"/>
              </w:rPr>
              <w:t>NOPR in Docket RM20-10</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1CF6C97B"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429C3B9D"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7EA7DE42" w14:textId="77777777">
            <w:pPr>
              <w:keepNext/>
              <w:widowControl w:val="0"/>
              <w:autoSpaceDE w:val="0"/>
              <w:autoSpaceDN w:val="0"/>
              <w:adjustRightInd w:val="0"/>
              <w:spacing w:after="0" w:line="256" w:lineRule="auto"/>
              <w:ind w:left="0" w:firstLine="0"/>
              <w:jc w:val="center"/>
              <w:rPr>
                <w:b/>
                <w:color w:val="auto"/>
                <w:szCs w:val="24"/>
              </w:rPr>
            </w:pPr>
            <w:r>
              <w:rPr>
                <w:b/>
                <w:color w:val="auto"/>
                <w:szCs w:val="24"/>
              </w:rPr>
              <w:t>Change due to 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00DD755B" w:rsidRDefault="00383548" w14:paraId="09067D38" w14:textId="3F8BF495">
            <w:pPr>
              <w:keepNext/>
              <w:widowControl w:val="0"/>
              <w:autoSpaceDE w:val="0"/>
              <w:autoSpaceDN w:val="0"/>
              <w:adjustRightInd w:val="0"/>
              <w:spacing w:after="0" w:line="256" w:lineRule="auto"/>
              <w:ind w:left="0" w:firstLine="0"/>
              <w:jc w:val="center"/>
              <w:rPr>
                <w:b/>
                <w:color w:val="auto"/>
                <w:szCs w:val="24"/>
              </w:rPr>
            </w:pPr>
            <w:r>
              <w:rPr>
                <w:b/>
                <w:color w:val="auto"/>
                <w:szCs w:val="24"/>
              </w:rPr>
              <w:t>Change Due to Agency Discretion</w:t>
            </w:r>
          </w:p>
        </w:tc>
      </w:tr>
      <w:tr w:rsidR="00DD755B" w14:paraId="272DB98F" w14:textId="77777777">
        <w:trPr>
          <w:trHeight w:val="295"/>
          <w:jc w:val="right"/>
        </w:trPr>
        <w:tc>
          <w:tcPr>
            <w:tcW w:w="5000" w:type="pct"/>
            <w:gridSpan w:val="5"/>
            <w:tcBorders>
              <w:top w:val="single" w:color="auto" w:sz="4" w:space="0"/>
              <w:left w:val="single" w:color="auto" w:sz="4" w:space="0"/>
              <w:bottom w:val="single" w:color="auto" w:sz="4" w:space="0"/>
              <w:right w:val="single" w:color="auto" w:sz="4" w:space="0"/>
            </w:tcBorders>
            <w:shd w:val="pct15" w:color="auto" w:fill="auto"/>
          </w:tcPr>
          <w:p w:rsidR="00DD755B" w:rsidRDefault="00383548" w14:paraId="68588686" w14:textId="77777777">
            <w:pPr>
              <w:widowControl w:val="0"/>
              <w:autoSpaceDE w:val="0"/>
              <w:autoSpaceDN w:val="0"/>
              <w:adjustRightInd w:val="0"/>
              <w:spacing w:after="0" w:line="256" w:lineRule="auto"/>
              <w:ind w:left="0" w:firstLine="0"/>
              <w:jc w:val="center"/>
              <w:rPr>
                <w:b/>
                <w:bCs/>
                <w:color w:val="auto"/>
                <w:szCs w:val="24"/>
              </w:rPr>
            </w:pPr>
            <w:r>
              <w:rPr>
                <w:b/>
                <w:bCs/>
                <w:color w:val="auto"/>
                <w:szCs w:val="24"/>
              </w:rPr>
              <w:t>FERC-516</w:t>
            </w:r>
          </w:p>
        </w:tc>
      </w:tr>
      <w:tr w:rsidR="00DD755B" w14:paraId="57E4580F"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00DD755B" w:rsidRDefault="00383548" w14:paraId="203460D8" w14:textId="77777777">
            <w:pPr>
              <w:widowControl w:val="0"/>
              <w:autoSpaceDE w:val="0"/>
              <w:autoSpaceDN w:val="0"/>
              <w:adjustRightInd w:val="0"/>
              <w:spacing w:after="0" w:line="256" w:lineRule="auto"/>
              <w:ind w:left="0" w:firstLine="0"/>
              <w:rPr>
                <w:color w:val="auto"/>
                <w:szCs w:val="24"/>
              </w:rPr>
            </w:pPr>
            <w:r>
              <w:rPr>
                <w:szCs w:val="24"/>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tcPr>
          <w:p w:rsidR="00DD755B" w:rsidRDefault="00383548" w14:paraId="1473F34C" w14:textId="08BC5FF9">
            <w:pPr>
              <w:widowControl w:val="0"/>
              <w:autoSpaceDE w:val="0"/>
              <w:autoSpaceDN w:val="0"/>
              <w:adjustRightInd w:val="0"/>
              <w:spacing w:after="0" w:line="256" w:lineRule="auto"/>
              <w:ind w:left="0" w:firstLine="0"/>
              <w:jc w:val="right"/>
              <w:rPr>
                <w:color w:val="auto"/>
                <w:szCs w:val="24"/>
              </w:rPr>
            </w:pPr>
            <w:r>
              <w:rPr>
                <w:color w:val="auto"/>
                <w:szCs w:val="24"/>
              </w:rPr>
              <w:t>6,9</w:t>
            </w:r>
            <w:r w:rsidR="001E596C">
              <w:rPr>
                <w:color w:val="auto"/>
                <w:szCs w:val="24"/>
              </w:rPr>
              <w:t>1</w:t>
            </w:r>
            <w:r w:rsidR="00015B0E">
              <w:rPr>
                <w:color w:val="auto"/>
                <w:szCs w:val="24"/>
              </w:rPr>
              <w:t>3</w:t>
            </w:r>
          </w:p>
        </w:tc>
        <w:tc>
          <w:tcPr>
            <w:tcW w:w="854" w:type="pct"/>
            <w:tcBorders>
              <w:top w:val="single" w:color="auto" w:sz="4" w:space="0"/>
              <w:left w:val="single" w:color="auto" w:sz="4" w:space="0"/>
              <w:bottom w:val="single" w:color="auto" w:sz="4" w:space="0"/>
              <w:right w:val="single" w:color="auto" w:sz="4" w:space="0"/>
            </w:tcBorders>
            <w:vAlign w:val="center"/>
          </w:tcPr>
          <w:p w:rsidR="00DD755B" w:rsidRDefault="00383548" w14:paraId="3F496042" w14:textId="77777777">
            <w:pPr>
              <w:widowControl w:val="0"/>
              <w:autoSpaceDE w:val="0"/>
              <w:autoSpaceDN w:val="0"/>
              <w:adjustRightInd w:val="0"/>
              <w:spacing w:after="0" w:line="256" w:lineRule="auto"/>
              <w:ind w:left="0" w:firstLine="0"/>
              <w:jc w:val="right"/>
              <w:rPr>
                <w:color w:val="auto"/>
                <w:szCs w:val="24"/>
              </w:rPr>
            </w:pPr>
            <w:r>
              <w:t>6,850</w:t>
            </w:r>
          </w:p>
        </w:tc>
        <w:tc>
          <w:tcPr>
            <w:tcW w:w="1010" w:type="pct"/>
            <w:tcBorders>
              <w:top w:val="single" w:color="auto" w:sz="4" w:space="0"/>
              <w:left w:val="single" w:color="auto" w:sz="4" w:space="0"/>
              <w:bottom w:val="single" w:color="auto" w:sz="4" w:space="0"/>
              <w:right w:val="single" w:color="auto" w:sz="4" w:space="0"/>
            </w:tcBorders>
            <w:vAlign w:val="center"/>
          </w:tcPr>
          <w:p w:rsidR="00DD755B" w:rsidRDefault="00383548" w14:paraId="7CFE9FE9"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00DD755B" w:rsidRDefault="001E596C" w14:paraId="4F49A8FA" w14:textId="2AD21C89">
            <w:pPr>
              <w:widowControl w:val="0"/>
              <w:autoSpaceDE w:val="0"/>
              <w:autoSpaceDN w:val="0"/>
              <w:adjustRightInd w:val="0"/>
              <w:spacing w:after="0" w:line="256" w:lineRule="auto"/>
              <w:ind w:left="0" w:firstLine="0"/>
              <w:jc w:val="right"/>
              <w:rPr>
                <w:color w:val="auto"/>
                <w:szCs w:val="24"/>
              </w:rPr>
            </w:pPr>
            <w:r>
              <w:rPr>
                <w:color w:val="auto"/>
                <w:szCs w:val="24"/>
              </w:rPr>
              <w:t>6</w:t>
            </w:r>
            <w:r w:rsidR="00015B0E">
              <w:rPr>
                <w:color w:val="auto"/>
                <w:szCs w:val="24"/>
              </w:rPr>
              <w:t>3</w:t>
            </w:r>
          </w:p>
        </w:tc>
      </w:tr>
      <w:tr w:rsidR="00DD755B" w14:paraId="1DE2B99C"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00DD755B" w:rsidRDefault="00383548" w14:paraId="6E131E19" w14:textId="77777777">
            <w:pPr>
              <w:widowControl w:val="0"/>
              <w:autoSpaceDE w:val="0"/>
              <w:autoSpaceDN w:val="0"/>
              <w:adjustRightInd w:val="0"/>
              <w:spacing w:after="0" w:line="256" w:lineRule="auto"/>
              <w:ind w:left="0" w:firstLine="0"/>
              <w:rPr>
                <w:color w:val="auto"/>
                <w:szCs w:val="24"/>
              </w:rPr>
            </w:pPr>
            <w:r>
              <w:rPr>
                <w:szCs w:val="24"/>
              </w:rPr>
              <w:t>Annual Time Burden (Hours)</w:t>
            </w:r>
          </w:p>
        </w:tc>
        <w:tc>
          <w:tcPr>
            <w:tcW w:w="829" w:type="pct"/>
            <w:tcBorders>
              <w:top w:val="single" w:color="auto" w:sz="4" w:space="0"/>
              <w:left w:val="single" w:color="auto" w:sz="4" w:space="0"/>
              <w:bottom w:val="single" w:color="auto" w:sz="4" w:space="0"/>
              <w:right w:val="single" w:color="auto" w:sz="4" w:space="0"/>
            </w:tcBorders>
            <w:vAlign w:val="center"/>
          </w:tcPr>
          <w:p w:rsidR="00DD755B" w:rsidRDefault="00383548" w14:paraId="6E769F70" w14:textId="57E289E2">
            <w:pPr>
              <w:widowControl w:val="0"/>
              <w:autoSpaceDE w:val="0"/>
              <w:autoSpaceDN w:val="0"/>
              <w:adjustRightInd w:val="0"/>
              <w:spacing w:after="0" w:line="256" w:lineRule="auto"/>
              <w:ind w:left="0" w:firstLine="0"/>
              <w:jc w:val="right"/>
              <w:rPr>
                <w:color w:val="auto"/>
                <w:szCs w:val="24"/>
              </w:rPr>
            </w:pPr>
            <w:r>
              <w:rPr>
                <w:color w:val="auto"/>
                <w:szCs w:val="24"/>
              </w:rPr>
              <w:t>53</w:t>
            </w:r>
            <w:r w:rsidR="003C0EC5">
              <w:rPr>
                <w:color w:val="auto"/>
                <w:szCs w:val="24"/>
              </w:rPr>
              <w:t>1,265</w:t>
            </w:r>
          </w:p>
        </w:tc>
        <w:tc>
          <w:tcPr>
            <w:tcW w:w="854" w:type="pct"/>
            <w:tcBorders>
              <w:top w:val="single" w:color="auto" w:sz="4" w:space="0"/>
              <w:left w:val="single" w:color="auto" w:sz="4" w:space="0"/>
              <w:bottom w:val="single" w:color="auto" w:sz="4" w:space="0"/>
              <w:right w:val="single" w:color="auto" w:sz="4" w:space="0"/>
            </w:tcBorders>
            <w:vAlign w:val="center"/>
          </w:tcPr>
          <w:p w:rsidR="00DD755B" w:rsidRDefault="00383548" w14:paraId="57CF7D5A" w14:textId="77777777">
            <w:pPr>
              <w:widowControl w:val="0"/>
              <w:autoSpaceDE w:val="0"/>
              <w:autoSpaceDN w:val="0"/>
              <w:adjustRightInd w:val="0"/>
              <w:spacing w:after="0" w:line="256" w:lineRule="auto"/>
              <w:ind w:left="0" w:firstLine="0"/>
              <w:jc w:val="right"/>
              <w:rPr>
                <w:color w:val="auto"/>
                <w:szCs w:val="24"/>
              </w:rPr>
            </w:pPr>
            <w:r>
              <w:t>526,198</w:t>
            </w:r>
          </w:p>
        </w:tc>
        <w:tc>
          <w:tcPr>
            <w:tcW w:w="1010" w:type="pct"/>
            <w:tcBorders>
              <w:top w:val="single" w:color="auto" w:sz="4" w:space="0"/>
              <w:left w:val="single" w:color="auto" w:sz="4" w:space="0"/>
              <w:bottom w:val="single" w:color="auto" w:sz="4" w:space="0"/>
              <w:right w:val="single" w:color="auto" w:sz="4" w:space="0"/>
            </w:tcBorders>
            <w:vAlign w:val="center"/>
          </w:tcPr>
          <w:p w:rsidR="00DD755B" w:rsidRDefault="00383548" w14:paraId="4E08D4AA"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00DD755B" w:rsidRDefault="001E596C" w14:paraId="43D357F9" w14:textId="28D07E24">
            <w:pPr>
              <w:widowControl w:val="0"/>
              <w:autoSpaceDE w:val="0"/>
              <w:autoSpaceDN w:val="0"/>
              <w:adjustRightInd w:val="0"/>
              <w:spacing w:after="0" w:line="256" w:lineRule="auto"/>
              <w:ind w:left="0" w:firstLine="0"/>
              <w:jc w:val="right"/>
              <w:rPr>
                <w:color w:val="auto"/>
                <w:szCs w:val="24"/>
              </w:rPr>
            </w:pPr>
            <w:r>
              <w:rPr>
                <w:color w:val="auto"/>
                <w:szCs w:val="24"/>
              </w:rPr>
              <w:t>5,067</w:t>
            </w:r>
          </w:p>
        </w:tc>
      </w:tr>
      <w:tr w:rsidR="00DD755B" w14:paraId="671CF492"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00DD755B" w:rsidRDefault="00383548" w14:paraId="1DF75A75" w14:textId="77777777">
            <w:pPr>
              <w:widowControl w:val="0"/>
              <w:autoSpaceDE w:val="0"/>
              <w:autoSpaceDN w:val="0"/>
              <w:adjustRightInd w:val="0"/>
              <w:spacing w:after="0" w:line="256" w:lineRule="auto"/>
              <w:ind w:left="0" w:firstLine="0"/>
              <w:rPr>
                <w:color w:val="auto"/>
                <w:szCs w:val="24"/>
              </w:rPr>
            </w:pPr>
            <w:r>
              <w:rPr>
                <w:szCs w:val="24"/>
              </w:rPr>
              <w:t>Annual Cost Burden ($)</w:t>
            </w:r>
          </w:p>
        </w:tc>
        <w:tc>
          <w:tcPr>
            <w:tcW w:w="829" w:type="pct"/>
            <w:tcBorders>
              <w:top w:val="single" w:color="auto" w:sz="4" w:space="0"/>
              <w:left w:val="single" w:color="auto" w:sz="4" w:space="0"/>
              <w:bottom w:val="single" w:color="auto" w:sz="4" w:space="0"/>
              <w:right w:val="single" w:color="auto" w:sz="4" w:space="0"/>
            </w:tcBorders>
            <w:vAlign w:val="center"/>
          </w:tcPr>
          <w:p w:rsidR="00DD755B" w:rsidRDefault="00383548" w14:paraId="35560A9A"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54" w:type="pct"/>
            <w:tcBorders>
              <w:top w:val="single" w:color="auto" w:sz="4" w:space="0"/>
              <w:left w:val="single" w:color="auto" w:sz="4" w:space="0"/>
              <w:bottom w:val="single" w:color="auto" w:sz="4" w:space="0"/>
              <w:right w:val="single" w:color="auto" w:sz="4" w:space="0"/>
            </w:tcBorders>
            <w:vAlign w:val="center"/>
          </w:tcPr>
          <w:p w:rsidR="00DD755B" w:rsidRDefault="00383548" w14:paraId="40E19674" w14:textId="77777777">
            <w:pPr>
              <w:widowControl w:val="0"/>
              <w:autoSpaceDE w:val="0"/>
              <w:autoSpaceDN w:val="0"/>
              <w:adjustRightInd w:val="0"/>
              <w:spacing w:after="0" w:line="256" w:lineRule="auto"/>
              <w:ind w:left="0" w:firstLine="0"/>
              <w:jc w:val="right"/>
              <w:rPr>
                <w:color w:val="auto"/>
                <w:szCs w:val="24"/>
              </w:rPr>
            </w:pPr>
            <w:r>
              <w:t>$0</w:t>
            </w:r>
          </w:p>
        </w:tc>
        <w:tc>
          <w:tcPr>
            <w:tcW w:w="1010" w:type="pct"/>
            <w:tcBorders>
              <w:top w:val="single" w:color="auto" w:sz="4" w:space="0"/>
              <w:left w:val="single" w:color="auto" w:sz="4" w:space="0"/>
              <w:bottom w:val="single" w:color="auto" w:sz="4" w:space="0"/>
              <w:right w:val="single" w:color="auto" w:sz="4" w:space="0"/>
            </w:tcBorders>
            <w:vAlign w:val="center"/>
          </w:tcPr>
          <w:p w:rsidR="00DD755B" w:rsidRDefault="00383548" w14:paraId="2955B82F"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00DD755B" w:rsidRDefault="00383548" w14:paraId="5887A6F5" w14:textId="77777777">
            <w:pPr>
              <w:widowControl w:val="0"/>
              <w:autoSpaceDE w:val="0"/>
              <w:autoSpaceDN w:val="0"/>
              <w:adjustRightInd w:val="0"/>
              <w:spacing w:after="0" w:line="256" w:lineRule="auto"/>
              <w:ind w:left="0" w:firstLine="0"/>
              <w:jc w:val="right"/>
              <w:rPr>
                <w:color w:val="auto"/>
                <w:szCs w:val="24"/>
              </w:rPr>
            </w:pPr>
            <w:r>
              <w:rPr>
                <w:color w:val="auto"/>
                <w:szCs w:val="24"/>
              </w:rPr>
              <w:t>$0</w:t>
            </w:r>
          </w:p>
        </w:tc>
      </w:tr>
    </w:tbl>
    <w:p w:rsidR="00923C78" w:rsidRDefault="00923C78" w14:paraId="09D50818" w14:textId="77777777">
      <w:pPr>
        <w:pStyle w:val="Heading1"/>
        <w:spacing w:after="0" w:line="240" w:lineRule="auto"/>
        <w:ind w:left="0" w:firstLine="0"/>
        <w:rPr>
          <w:bCs/>
        </w:rPr>
      </w:pPr>
    </w:p>
    <w:p w:rsidR="00DD755B" w:rsidP="008B2C5F" w:rsidRDefault="00383548" w14:paraId="7051309E" w14:textId="7D4ED671">
      <w:pPr>
        <w:pStyle w:val="Heading1"/>
        <w:spacing w:after="0" w:line="240" w:lineRule="auto"/>
        <w:ind w:left="0" w:firstLine="0"/>
      </w:pPr>
      <w:r>
        <w:rPr>
          <w:bCs/>
        </w:rPr>
        <w:t>16</w:t>
      </w:r>
      <w:r>
        <w:rPr>
          <w:b w:val="0"/>
        </w:rPr>
        <w:t>.</w:t>
      </w:r>
      <w:r>
        <w:rPr>
          <w:rFonts w:ascii="Arial" w:hAnsi="Arial" w:eastAsia="Arial" w:cs="Arial"/>
          <w:b w:val="0"/>
        </w:rPr>
        <w:t xml:space="preserve"> </w:t>
      </w:r>
      <w:r>
        <w:t xml:space="preserve">TIME SCHEDULE FOR THE PUBLICATION OF DATA </w:t>
      </w:r>
    </w:p>
    <w:p w:rsidR="00DD755B" w:rsidRDefault="00383548" w14:paraId="75C31E0D" w14:textId="7F43F78C">
      <w:pPr>
        <w:spacing w:line="240" w:lineRule="auto"/>
        <w:ind w:left="0" w:firstLine="0"/>
      </w:pPr>
      <w:r>
        <w:t xml:space="preserve">There are no publication plans for the collection of information.  </w:t>
      </w:r>
    </w:p>
    <w:p w:rsidR="00DD755B" w:rsidRDefault="00383548" w14:paraId="5964C4D8" w14:textId="77777777">
      <w:pPr>
        <w:spacing w:after="0" w:line="240" w:lineRule="auto"/>
        <w:ind w:left="360" w:firstLine="0"/>
      </w:pPr>
      <w:r>
        <w:t xml:space="preserve"> </w:t>
      </w:r>
    </w:p>
    <w:p w:rsidRPr="008B2C5F" w:rsidR="00DD755B" w:rsidP="008B2C5F" w:rsidRDefault="00383548" w14:paraId="0248DD22" w14:textId="34D126B5">
      <w:pPr>
        <w:pStyle w:val="Heading1"/>
        <w:spacing w:line="240" w:lineRule="auto"/>
        <w:ind w:left="0" w:firstLine="0"/>
      </w:pPr>
      <w:r>
        <w:rPr>
          <w:bCs/>
        </w:rPr>
        <w:t>17</w:t>
      </w:r>
      <w:r>
        <w:rPr>
          <w:b w:val="0"/>
        </w:rPr>
        <w:t>.</w:t>
      </w:r>
      <w:r>
        <w:rPr>
          <w:rFonts w:ascii="Arial" w:hAnsi="Arial" w:eastAsia="Arial" w:cs="Arial"/>
          <w:b w:val="0"/>
        </w:rPr>
        <w:t xml:space="preserve"> </w:t>
      </w:r>
      <w:r>
        <w:t>DISPLAY OF THE EXPIRATION DATE</w:t>
      </w:r>
      <w:r>
        <w:rPr>
          <w:b w:val="0"/>
        </w:rPr>
        <w:t xml:space="preserve"> </w:t>
      </w:r>
      <w:r>
        <w:t xml:space="preserve"> </w:t>
      </w:r>
    </w:p>
    <w:p w:rsidR="00DD755B" w:rsidRDefault="00383548" w14:paraId="405813C7" w14:textId="3436EE33">
      <w:pPr>
        <w:spacing w:after="0" w:line="240" w:lineRule="auto"/>
        <w:ind w:left="0" w:firstLine="0"/>
      </w:pPr>
      <w:r>
        <w:t>The OMB expiration dates are posted on</w:t>
      </w:r>
      <w:r w:rsidR="00A02CC7">
        <w:t xml:space="preserve"> </w:t>
      </w:r>
      <w:hyperlink w:history="1" r:id="rId14">
        <w:r w:rsidRPr="00A02CC7" w:rsidR="00A02CC7">
          <w:rPr>
            <w:rStyle w:val="Hyperlink"/>
          </w:rPr>
          <w:t>https://www.reginfo.gov/public/do/PRAMain</w:t>
        </w:r>
      </w:hyperlink>
      <w:r w:rsidR="00A02CC7">
        <w:t>.</w:t>
      </w:r>
      <w:r>
        <w:t xml:space="preserve"> </w:t>
      </w:r>
    </w:p>
    <w:p w:rsidR="00DD755B" w:rsidRDefault="00DD755B" w14:paraId="0DFB9C81" w14:textId="77777777">
      <w:pPr>
        <w:spacing w:after="0" w:line="240" w:lineRule="auto"/>
        <w:ind w:left="360" w:firstLine="0"/>
      </w:pPr>
    </w:p>
    <w:p w:rsidR="00DD755B" w:rsidP="008B2C5F" w:rsidRDefault="00383548" w14:paraId="582D5933" w14:textId="73207490">
      <w:pPr>
        <w:pStyle w:val="Heading1"/>
        <w:spacing w:line="240" w:lineRule="auto"/>
        <w:ind w:left="0" w:firstLine="0"/>
      </w:pPr>
      <w:r>
        <w:rPr>
          <w:bCs/>
        </w:rPr>
        <w:t>18.</w:t>
      </w:r>
      <w:r>
        <w:rPr>
          <w:rFonts w:ascii="Arial" w:hAnsi="Arial" w:eastAsia="Arial" w:cs="Arial"/>
          <w:b w:val="0"/>
        </w:rPr>
        <w:t xml:space="preserve"> </w:t>
      </w:r>
      <w:r>
        <w:t>EXCEPTIONS TO THE CERTIFICATION STATEMENT</w:t>
      </w:r>
      <w:r>
        <w:rPr>
          <w:b w:val="0"/>
        </w:rPr>
        <w:t xml:space="preserve"> </w:t>
      </w:r>
    </w:p>
    <w:p w:rsidR="00DD755B" w:rsidRDefault="00383548" w14:paraId="5EC3D10B" w14:textId="77777777">
      <w:pPr>
        <w:spacing w:line="240" w:lineRule="auto"/>
        <w:ind w:left="0" w:firstLine="0"/>
      </w:pPr>
      <w:r>
        <w:t xml:space="preserve">There are no exceptions. </w:t>
      </w:r>
    </w:p>
    <w:sectPr w:rsidR="00DD755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8ADD8" w14:textId="77777777" w:rsidR="00CE4F7B" w:rsidRDefault="00CE4F7B">
      <w:pPr>
        <w:spacing w:after="0" w:line="240" w:lineRule="auto"/>
      </w:pPr>
      <w:r>
        <w:separator/>
      </w:r>
    </w:p>
  </w:endnote>
  <w:endnote w:type="continuationSeparator" w:id="0">
    <w:p w14:paraId="730B791E" w14:textId="77777777" w:rsidR="00CE4F7B" w:rsidRDefault="00CE4F7B">
      <w:pPr>
        <w:spacing w:after="0" w:line="240" w:lineRule="auto"/>
      </w:pPr>
      <w:r>
        <w:continuationSeparator/>
      </w:r>
    </w:p>
  </w:endnote>
  <w:endnote w:type="continuationNotice" w:id="1">
    <w:p w14:paraId="1D353444" w14:textId="77777777" w:rsidR="00CE4F7B" w:rsidRDefault="00CE4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2FAC" w14:textId="77777777" w:rsidR="00DD755B" w:rsidRDefault="0038354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1CC9906" w14:textId="77777777" w:rsidR="00DD755B" w:rsidRDefault="00383548">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706B" w14:textId="77777777" w:rsidR="00DD755B" w:rsidRDefault="00383548">
    <w:pPr>
      <w:spacing w:after="0" w:line="259" w:lineRule="auto"/>
      <w:ind w:left="0" w:right="1" w:firstLine="0"/>
      <w:jc w:val="right"/>
    </w:pPr>
    <w:r>
      <w:rPr>
        <w:szCs w:val="24"/>
      </w:rPr>
      <w:fldChar w:fldCharType="begin"/>
    </w:r>
    <w:r>
      <w:rPr>
        <w:szCs w:val="24"/>
      </w:rPr>
      <w:instrText xml:space="preserve"> PAGE   \* MERGEFORMAT </w:instrText>
    </w:r>
    <w:r>
      <w:rPr>
        <w:szCs w:val="24"/>
      </w:rPr>
      <w:fldChar w:fldCharType="separate"/>
    </w:r>
    <w:r>
      <w:rPr>
        <w:rFonts w:eastAsia="Calibri"/>
        <w:noProof/>
        <w:szCs w:val="24"/>
      </w:rPr>
      <w:t>8</w:t>
    </w:r>
    <w:r>
      <w:rPr>
        <w:rFonts w:eastAsia="Calibr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E15A" w14:textId="77777777" w:rsidR="00DD755B" w:rsidRDefault="0038354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9E222D3" w14:textId="77777777" w:rsidR="00DD755B" w:rsidRDefault="00383548">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5A3F4" w14:textId="77777777" w:rsidR="00CE4F7B" w:rsidRDefault="00CE4F7B">
      <w:pPr>
        <w:spacing w:after="0"/>
        <w:ind w:left="360" w:firstLine="720"/>
      </w:pPr>
      <w:r>
        <w:separator/>
      </w:r>
    </w:p>
  </w:footnote>
  <w:footnote w:type="continuationSeparator" w:id="0">
    <w:p w14:paraId="73E34E89" w14:textId="77777777" w:rsidR="00CE4F7B" w:rsidRDefault="00CE4F7B">
      <w:pPr>
        <w:spacing w:after="0"/>
        <w:ind w:left="360" w:firstLine="720"/>
      </w:pPr>
      <w:r>
        <w:continuationSeparator/>
      </w:r>
    </w:p>
  </w:footnote>
  <w:footnote w:type="continuationNotice" w:id="1">
    <w:p w14:paraId="710DE47A" w14:textId="77777777" w:rsidR="00CE4F7B" w:rsidRDefault="00CE4F7B">
      <w:pPr>
        <w:spacing w:after="0" w:line="240" w:lineRule="auto"/>
      </w:pPr>
    </w:p>
  </w:footnote>
  <w:footnote w:id="2">
    <w:p w14:paraId="62E65F93" w14:textId="68512B47" w:rsidR="00A946E0" w:rsidRPr="008B2C5F" w:rsidRDefault="00A946E0" w:rsidP="00A03274">
      <w:pPr>
        <w:pStyle w:val="FootnoteText"/>
        <w:ind w:left="10"/>
        <w:rPr>
          <w:sz w:val="22"/>
          <w:szCs w:val="22"/>
        </w:rPr>
      </w:pPr>
      <w:r w:rsidRPr="008B2C5F">
        <w:rPr>
          <w:rStyle w:val="FootnoteReference"/>
          <w:sz w:val="22"/>
          <w:szCs w:val="22"/>
        </w:rPr>
        <w:footnoteRef/>
      </w:r>
      <w:r w:rsidRPr="008B2C5F">
        <w:rPr>
          <w:sz w:val="22"/>
          <w:szCs w:val="22"/>
        </w:rPr>
        <w:t xml:space="preserve"> The Supplemental NOPR </w:t>
      </w:r>
      <w:r w:rsidR="00D7070A">
        <w:rPr>
          <w:sz w:val="22"/>
          <w:szCs w:val="22"/>
        </w:rPr>
        <w:t xml:space="preserve">is </w:t>
      </w:r>
      <w:r w:rsidR="008B2415" w:rsidRPr="008B2C5F">
        <w:rPr>
          <w:sz w:val="22"/>
          <w:szCs w:val="22"/>
        </w:rPr>
        <w:t xml:space="preserve">posted at: </w:t>
      </w:r>
      <w:hyperlink r:id="rId1" w:history="1">
        <w:r w:rsidR="008B2415" w:rsidRPr="008B2C5F">
          <w:rPr>
            <w:rStyle w:val="Hyperlink"/>
            <w:sz w:val="22"/>
            <w:szCs w:val="22"/>
          </w:rPr>
          <w:t>https://www.ferc.gov/media/rm20-10-000-041521</w:t>
        </w:r>
      </w:hyperlink>
      <w:r w:rsidR="008B2415" w:rsidRPr="008B2C5F">
        <w:rPr>
          <w:sz w:val="22"/>
          <w:szCs w:val="22"/>
        </w:rPr>
        <w:t xml:space="preserve">. </w:t>
      </w:r>
      <w:r w:rsidR="00082554" w:rsidRPr="008B2C5F">
        <w:rPr>
          <w:sz w:val="22"/>
          <w:szCs w:val="22"/>
        </w:rPr>
        <w:t xml:space="preserve"> A</w:t>
      </w:r>
      <w:r w:rsidRPr="008B2C5F">
        <w:rPr>
          <w:sz w:val="22"/>
          <w:szCs w:val="22"/>
        </w:rPr>
        <w:t xml:space="preserve"> News Release is posted at </w:t>
      </w:r>
      <w:hyperlink r:id="rId2" w:history="1">
        <w:r w:rsidR="008B2415" w:rsidRPr="008B2C5F">
          <w:rPr>
            <w:rStyle w:val="Hyperlink"/>
            <w:sz w:val="22"/>
            <w:szCs w:val="22"/>
          </w:rPr>
          <w:t>https://www.ferc.gov/news-events/news/ferc-proposes-further-reforms-electric-transmission-incentives-policy</w:t>
        </w:r>
      </w:hyperlink>
      <w:r w:rsidR="008B2415" w:rsidRPr="008B2C5F">
        <w:rPr>
          <w:sz w:val="22"/>
          <w:szCs w:val="22"/>
        </w:rPr>
        <w:t xml:space="preserve">.  Staff Presentation is posted at: </w:t>
      </w:r>
      <w:hyperlink r:id="rId3" w:history="1">
        <w:r w:rsidR="008B2415" w:rsidRPr="008B2C5F">
          <w:rPr>
            <w:rStyle w:val="Hyperlink"/>
            <w:sz w:val="22"/>
            <w:szCs w:val="22"/>
          </w:rPr>
          <w:t>https://www.ferc.gov/news-events/news/staff-presentation-electric-transmission-incentives-policy</w:t>
        </w:r>
      </w:hyperlink>
      <w:r w:rsidR="008B2415" w:rsidRPr="008B2C5F">
        <w:rPr>
          <w:sz w:val="22"/>
          <w:szCs w:val="22"/>
        </w:rPr>
        <w:t>.</w:t>
      </w:r>
    </w:p>
  </w:footnote>
  <w:footnote w:id="3">
    <w:p w14:paraId="1D958EA5" w14:textId="77777777" w:rsidR="00DD755B" w:rsidRPr="00A03274" w:rsidRDefault="00383548">
      <w:pPr>
        <w:pStyle w:val="FootnoteText"/>
        <w:ind w:left="0" w:firstLine="0"/>
        <w:rPr>
          <w:b/>
          <w:sz w:val="22"/>
          <w:szCs w:val="22"/>
          <w:u w:val="single"/>
        </w:rPr>
      </w:pPr>
      <w:r w:rsidRPr="00A03274">
        <w:rPr>
          <w:rStyle w:val="FootnoteReference"/>
          <w:sz w:val="22"/>
          <w:szCs w:val="22"/>
        </w:rPr>
        <w:footnoteRef/>
      </w:r>
      <w:r w:rsidRPr="00A03274">
        <w:rPr>
          <w:sz w:val="22"/>
          <w:szCs w:val="22"/>
        </w:rPr>
        <w:t xml:space="preserve"> 18 CFR 35.35.  </w:t>
      </w:r>
    </w:p>
  </w:footnote>
  <w:footnote w:id="4">
    <w:p w14:paraId="0D8DFFD3" w14:textId="77777777" w:rsidR="00DD755B" w:rsidRPr="00A03274" w:rsidRDefault="00383548">
      <w:pPr>
        <w:pStyle w:val="FootnoteText"/>
        <w:ind w:left="0" w:firstLine="0"/>
        <w:rPr>
          <w:sz w:val="22"/>
          <w:szCs w:val="22"/>
        </w:rPr>
      </w:pPr>
      <w:r w:rsidRPr="00A03274">
        <w:rPr>
          <w:rStyle w:val="FootnoteReference"/>
          <w:sz w:val="22"/>
          <w:szCs w:val="22"/>
        </w:rPr>
        <w:footnoteRef/>
      </w:r>
      <w:r w:rsidRPr="00A03274">
        <w:rPr>
          <w:sz w:val="22"/>
          <w:szCs w:val="22"/>
        </w:rPr>
        <w:t xml:space="preserve"> Energy Policy Act of 2005, Pub. L. No. 109-58, sec. 1241, 119 Stat. 594 (2005).</w:t>
      </w:r>
    </w:p>
  </w:footnote>
  <w:footnote w:id="5">
    <w:p w14:paraId="1B9BF7C1" w14:textId="77777777" w:rsidR="00DD755B" w:rsidRPr="00A03274" w:rsidRDefault="00383548">
      <w:pPr>
        <w:pStyle w:val="FootnoteText"/>
        <w:ind w:left="0" w:firstLine="0"/>
        <w:rPr>
          <w:sz w:val="22"/>
          <w:szCs w:val="22"/>
        </w:rPr>
      </w:pPr>
      <w:r w:rsidRPr="00A03274">
        <w:rPr>
          <w:rStyle w:val="FootnoteReference"/>
          <w:sz w:val="22"/>
          <w:szCs w:val="22"/>
        </w:rPr>
        <w:footnoteRef/>
      </w:r>
      <w:r w:rsidRPr="00A03274">
        <w:rPr>
          <w:sz w:val="22"/>
          <w:szCs w:val="22"/>
        </w:rPr>
        <w:t xml:space="preserve"> 16 U.S.C. 824s.</w:t>
      </w:r>
    </w:p>
  </w:footnote>
  <w:footnote w:id="6">
    <w:p w14:paraId="497C6022" w14:textId="3C8E978A" w:rsidR="00DD755B" w:rsidRPr="00A03274" w:rsidRDefault="00383548">
      <w:pPr>
        <w:pStyle w:val="FootnoteText"/>
        <w:ind w:left="0" w:firstLine="0"/>
        <w:rPr>
          <w:sz w:val="22"/>
          <w:szCs w:val="22"/>
        </w:rPr>
      </w:pPr>
      <w:r w:rsidRPr="00A03274">
        <w:rPr>
          <w:rStyle w:val="FootnoteReference"/>
          <w:sz w:val="22"/>
          <w:szCs w:val="22"/>
        </w:rPr>
        <w:footnoteRef/>
      </w:r>
      <w:r w:rsidRPr="00A03274">
        <w:rPr>
          <w:sz w:val="22"/>
          <w:szCs w:val="22"/>
        </w:rPr>
        <w:t xml:space="preserve"> </w:t>
      </w:r>
      <w:r w:rsidRPr="00A03274">
        <w:rPr>
          <w:i/>
          <w:sz w:val="22"/>
          <w:szCs w:val="22"/>
        </w:rPr>
        <w:t>Promoting Transmission Investment through Pricing Reform</w:t>
      </w:r>
      <w:r w:rsidRPr="00A03274">
        <w:rPr>
          <w:sz w:val="22"/>
          <w:szCs w:val="22"/>
        </w:rPr>
        <w:t xml:space="preserve">, Order No. 679, 116 FERC ¶ 61,057, </w:t>
      </w:r>
      <w:r w:rsidRPr="00A03274">
        <w:rPr>
          <w:i/>
          <w:sz w:val="22"/>
          <w:szCs w:val="22"/>
        </w:rPr>
        <w:t>order on reh’g</w:t>
      </w:r>
      <w:r w:rsidRPr="00A03274">
        <w:rPr>
          <w:sz w:val="22"/>
          <w:szCs w:val="22"/>
        </w:rPr>
        <w:t xml:space="preserve">, Order No. 679-A, 117 FERC ¶ 61,345 (2006), </w:t>
      </w:r>
      <w:r w:rsidRPr="00A03274">
        <w:rPr>
          <w:i/>
          <w:sz w:val="22"/>
          <w:szCs w:val="22"/>
        </w:rPr>
        <w:t xml:space="preserve">order on reh’g </w:t>
      </w:r>
      <w:r w:rsidRPr="00A03274">
        <w:rPr>
          <w:sz w:val="22"/>
          <w:szCs w:val="22"/>
        </w:rPr>
        <w:t>119 FERC ¶61,062 (2007).</w:t>
      </w:r>
    </w:p>
  </w:footnote>
  <w:footnote w:id="7">
    <w:p w14:paraId="4380DAF5" w14:textId="77777777" w:rsidR="00DD755B" w:rsidRPr="00A03274" w:rsidRDefault="00383548">
      <w:pPr>
        <w:pStyle w:val="FootnoteText"/>
        <w:ind w:left="0" w:firstLine="0"/>
        <w:rPr>
          <w:sz w:val="22"/>
          <w:szCs w:val="22"/>
        </w:rPr>
      </w:pPr>
      <w:r w:rsidRPr="00A03274">
        <w:rPr>
          <w:rStyle w:val="FootnoteReference"/>
          <w:sz w:val="22"/>
          <w:szCs w:val="22"/>
        </w:rPr>
        <w:footnoteRef/>
      </w:r>
      <w:r w:rsidRPr="00A03274">
        <w:rPr>
          <w:sz w:val="22"/>
          <w:szCs w:val="22"/>
        </w:rPr>
        <w:t xml:space="preserve"> </w:t>
      </w:r>
      <w:r w:rsidRPr="00A03274">
        <w:rPr>
          <w:i/>
          <w:sz w:val="22"/>
          <w:szCs w:val="22"/>
        </w:rPr>
        <w:t>Promoting Transmission Investment through Pricing Reform</w:t>
      </w:r>
      <w:r w:rsidRPr="00A03274">
        <w:rPr>
          <w:color w:val="auto"/>
          <w:sz w:val="22"/>
          <w:szCs w:val="22"/>
        </w:rPr>
        <w:t>, 141 FERC ¶ 61,129 (</w:t>
      </w:r>
      <w:r w:rsidRPr="00A03274">
        <w:rPr>
          <w:sz w:val="22"/>
          <w:szCs w:val="22"/>
        </w:rPr>
        <w:t>2012) (2012 Policy Statement).</w:t>
      </w:r>
    </w:p>
  </w:footnote>
  <w:footnote w:id="8">
    <w:p w14:paraId="415CC457" w14:textId="77777777" w:rsidR="00DD755B" w:rsidRDefault="00383548">
      <w:pPr>
        <w:pStyle w:val="FootnoteText"/>
        <w:ind w:left="0" w:firstLine="0"/>
      </w:pPr>
      <w:r w:rsidRPr="00A03274">
        <w:rPr>
          <w:rStyle w:val="FootnoteReference"/>
          <w:sz w:val="22"/>
          <w:szCs w:val="22"/>
        </w:rPr>
        <w:footnoteRef/>
      </w:r>
      <w:r w:rsidRPr="00A03274">
        <w:rPr>
          <w:sz w:val="22"/>
          <w:szCs w:val="22"/>
        </w:rPr>
        <w:t xml:space="preserve"> </w:t>
      </w:r>
      <w:r w:rsidRPr="00A03274">
        <w:rPr>
          <w:i/>
          <w:sz w:val="22"/>
          <w:szCs w:val="22"/>
        </w:rPr>
        <w:t>Transmission Planning and Cost Allocation by Transmission Owning and Operating Public Utilities</w:t>
      </w:r>
      <w:r w:rsidRPr="00A03274">
        <w:rPr>
          <w:sz w:val="22"/>
          <w:szCs w:val="22"/>
        </w:rPr>
        <w:t xml:space="preserve">, Order No. 1000, 136 FERC ¶ 61,051 (2011), </w:t>
      </w:r>
      <w:r w:rsidRPr="00A03274">
        <w:rPr>
          <w:i/>
          <w:sz w:val="22"/>
          <w:szCs w:val="22"/>
        </w:rPr>
        <w:t>order on reh’g</w:t>
      </w:r>
      <w:r w:rsidRPr="00A03274">
        <w:rPr>
          <w:sz w:val="22"/>
          <w:szCs w:val="22"/>
        </w:rPr>
        <w:t xml:space="preserve">, Order No. 1000-A, 139 FERC ¶ 61,132, </w:t>
      </w:r>
      <w:r w:rsidRPr="00A03274">
        <w:rPr>
          <w:i/>
          <w:sz w:val="22"/>
          <w:szCs w:val="22"/>
        </w:rPr>
        <w:t>order on reh’g and clarification</w:t>
      </w:r>
      <w:r w:rsidRPr="00A03274">
        <w:rPr>
          <w:sz w:val="22"/>
          <w:szCs w:val="22"/>
        </w:rPr>
        <w:t xml:space="preserve">, Order No. 1000-B, 141 FERC ¶ 61,044 (2012), </w:t>
      </w:r>
      <w:r w:rsidRPr="00A03274">
        <w:rPr>
          <w:i/>
          <w:sz w:val="22"/>
          <w:szCs w:val="22"/>
        </w:rPr>
        <w:t>aff'd sub nom. S.C. Pub. Serv. Auth. v. FERC</w:t>
      </w:r>
      <w:r w:rsidRPr="00A03274">
        <w:rPr>
          <w:sz w:val="22"/>
          <w:szCs w:val="22"/>
        </w:rPr>
        <w:t>, 762 F.3d 41 (D.C. Cir. 2014).</w:t>
      </w:r>
    </w:p>
  </w:footnote>
  <w:footnote w:id="9">
    <w:p w14:paraId="429C545C" w14:textId="77777777" w:rsidR="00D2056B" w:rsidRPr="008B2C5F" w:rsidRDefault="00D2056B" w:rsidP="008B2C5F">
      <w:pPr>
        <w:pStyle w:val="FootnoteText"/>
        <w:ind w:left="10"/>
        <w:rPr>
          <w:sz w:val="22"/>
          <w:szCs w:val="22"/>
        </w:rPr>
      </w:pPr>
      <w:r w:rsidRPr="008B2C5F">
        <w:rPr>
          <w:rStyle w:val="FootnoteReference"/>
          <w:sz w:val="22"/>
          <w:szCs w:val="22"/>
        </w:rPr>
        <w:footnoteRef/>
      </w:r>
      <w:r w:rsidRPr="008B2C5F">
        <w:rPr>
          <w:sz w:val="22"/>
          <w:szCs w:val="22"/>
        </w:rPr>
        <w:t xml:space="preserve">  </w:t>
      </w:r>
      <w:r w:rsidRPr="008B2C5F">
        <w:rPr>
          <w:i/>
          <w:sz w:val="22"/>
          <w:szCs w:val="22"/>
        </w:rPr>
        <w:t>Inquiry Regarding the Commission’s Electric Transmission Incentives Policy</w:t>
      </w:r>
      <w:r w:rsidRPr="008B2C5F">
        <w:rPr>
          <w:sz w:val="22"/>
          <w:szCs w:val="22"/>
        </w:rPr>
        <w:t>, 84 FR 11759, 166 FERC 61,208 (2019) (2019 Notice of Inquiry).</w:t>
      </w:r>
    </w:p>
  </w:footnote>
  <w:footnote w:id="10">
    <w:p w14:paraId="6CC2DE36" w14:textId="7581434E" w:rsidR="008B2415" w:rsidRPr="008B2C5F" w:rsidRDefault="008B2415" w:rsidP="008B2C5F">
      <w:pPr>
        <w:pStyle w:val="FootnoteText"/>
        <w:ind w:left="10"/>
        <w:rPr>
          <w:sz w:val="22"/>
          <w:szCs w:val="22"/>
        </w:rPr>
      </w:pPr>
      <w:r w:rsidRPr="008B2C5F">
        <w:rPr>
          <w:rStyle w:val="FootnoteReference"/>
          <w:sz w:val="22"/>
          <w:szCs w:val="22"/>
        </w:rPr>
        <w:footnoteRef/>
      </w:r>
      <w:r w:rsidRPr="008B2C5F">
        <w:rPr>
          <w:sz w:val="22"/>
          <w:szCs w:val="22"/>
        </w:rPr>
        <w:t xml:space="preserve"> </w:t>
      </w:r>
      <w:r w:rsidR="000218C9" w:rsidRPr="008B2C5F">
        <w:rPr>
          <w:sz w:val="22"/>
          <w:szCs w:val="22"/>
        </w:rPr>
        <w:t>Electric Transmission Incentives Policy Under Section 219 of the Federal Power Act, Notice of Proposed Rulemaking, 85 FR 18784, 170 FERC ¶ 61,204, errata notice, 171 FERC ¶ 61,072 (2020) (March NOPR).</w:t>
      </w:r>
      <w:r w:rsidR="00A03274">
        <w:rPr>
          <w:sz w:val="22"/>
          <w:szCs w:val="22"/>
        </w:rPr>
        <w:t xml:space="preserve"> </w:t>
      </w:r>
      <w:r w:rsidR="00A03274" w:rsidRPr="00A03274">
        <w:rPr>
          <w:sz w:val="22"/>
          <w:szCs w:val="22"/>
        </w:rPr>
        <w:t>Statement by C</w:t>
      </w:r>
      <w:r w:rsidR="00A03274">
        <w:rPr>
          <w:sz w:val="22"/>
          <w:szCs w:val="22"/>
        </w:rPr>
        <w:t xml:space="preserve">hairman </w:t>
      </w:r>
      <w:r w:rsidR="00A03274" w:rsidRPr="00A03274">
        <w:rPr>
          <w:sz w:val="22"/>
          <w:szCs w:val="22"/>
        </w:rPr>
        <w:t>Richard Glick dissenting in part to the Notice of Proposed Rulemaking issued on March 20, 2020</w:t>
      </w:r>
      <w:r w:rsidR="00A03274">
        <w:rPr>
          <w:sz w:val="22"/>
          <w:szCs w:val="22"/>
        </w:rPr>
        <w:t xml:space="preserve"> is</w:t>
      </w:r>
      <w:r w:rsidR="00A03274" w:rsidRPr="00A03274">
        <w:rPr>
          <w:sz w:val="22"/>
          <w:szCs w:val="22"/>
        </w:rPr>
        <w:t xml:space="preserve"> available on FERC’s eLibrary system (</w:t>
      </w:r>
      <w:hyperlink r:id="rId4" w:history="1">
        <w:r w:rsidR="00A03274" w:rsidRPr="008A5406">
          <w:rPr>
            <w:rStyle w:val="Hyperlink"/>
            <w:sz w:val="22"/>
            <w:szCs w:val="22"/>
          </w:rPr>
          <w:t>https://elibrary.ferc.gov/eLibrary/search</w:t>
        </w:r>
      </w:hyperlink>
      <w:r w:rsidR="00A03274" w:rsidRPr="00A03274">
        <w:rPr>
          <w:sz w:val="22"/>
          <w:szCs w:val="22"/>
        </w:rPr>
        <w:t>)</w:t>
      </w:r>
      <w:r w:rsidR="00A03274">
        <w:rPr>
          <w:sz w:val="22"/>
          <w:szCs w:val="22"/>
        </w:rPr>
        <w:t xml:space="preserve"> </w:t>
      </w:r>
      <w:r w:rsidR="00A03274" w:rsidRPr="00A03274">
        <w:rPr>
          <w:sz w:val="22"/>
          <w:szCs w:val="22"/>
        </w:rPr>
        <w:t>by searching in Docket N</w:t>
      </w:r>
      <w:r w:rsidR="00A03274">
        <w:rPr>
          <w:sz w:val="22"/>
          <w:szCs w:val="22"/>
        </w:rPr>
        <w:t>o. RM20-10.</w:t>
      </w:r>
    </w:p>
  </w:footnote>
  <w:footnote w:id="11">
    <w:p w14:paraId="025D22C5" w14:textId="77777777" w:rsidR="00D2056B" w:rsidRPr="008B2C5F" w:rsidRDefault="00D2056B" w:rsidP="008B2C5F">
      <w:pPr>
        <w:pStyle w:val="FootnoteText"/>
        <w:ind w:left="10"/>
        <w:rPr>
          <w:sz w:val="22"/>
          <w:szCs w:val="22"/>
        </w:rPr>
      </w:pPr>
      <w:r w:rsidRPr="008B2C5F">
        <w:rPr>
          <w:rStyle w:val="FootnoteReference"/>
          <w:sz w:val="22"/>
          <w:szCs w:val="22"/>
        </w:rPr>
        <w:footnoteRef/>
      </w:r>
      <w:r w:rsidRPr="008B2C5F">
        <w:rPr>
          <w:sz w:val="22"/>
          <w:szCs w:val="22"/>
        </w:rPr>
        <w:t xml:space="preserve"> March NOPR, 170 FERC ¶ 61,204 at P 2.</w:t>
      </w:r>
    </w:p>
  </w:footnote>
  <w:footnote w:id="12">
    <w:p w14:paraId="4A0B8EC5" w14:textId="77777777" w:rsidR="00D2056B" w:rsidRDefault="00D2056B" w:rsidP="008B2C5F">
      <w:pPr>
        <w:pStyle w:val="FootnoteText"/>
        <w:ind w:left="10"/>
      </w:pPr>
      <w:r w:rsidRPr="008B2C5F">
        <w:rPr>
          <w:rStyle w:val="FootnoteReference"/>
          <w:sz w:val="22"/>
          <w:szCs w:val="22"/>
        </w:rPr>
        <w:footnoteRef/>
      </w:r>
      <w:r w:rsidRPr="008B2C5F">
        <w:rPr>
          <w:sz w:val="22"/>
          <w:szCs w:val="22"/>
        </w:rPr>
        <w:t xml:space="preserve"> </w:t>
      </w:r>
      <w:r w:rsidRPr="008B2C5F">
        <w:rPr>
          <w:i/>
          <w:iCs/>
          <w:sz w:val="22"/>
          <w:szCs w:val="22"/>
        </w:rPr>
        <w:t>Id.</w:t>
      </w:r>
      <w:r w:rsidRPr="008B2C5F">
        <w:rPr>
          <w:sz w:val="22"/>
          <w:szCs w:val="22"/>
        </w:rPr>
        <w:t xml:space="preserve"> P 97.</w:t>
      </w:r>
    </w:p>
  </w:footnote>
  <w:footnote w:id="13">
    <w:p w14:paraId="582B4648" w14:textId="77777777" w:rsidR="00DD755B" w:rsidRDefault="00383548">
      <w:pPr>
        <w:pStyle w:val="FootnoteText"/>
        <w:ind w:left="0" w:firstLine="0"/>
        <w:rPr>
          <w:i/>
        </w:rPr>
      </w:pPr>
      <w:r w:rsidRPr="008B2C5F">
        <w:rPr>
          <w:rStyle w:val="FootnoteReference"/>
          <w:sz w:val="22"/>
          <w:szCs w:val="22"/>
        </w:rPr>
        <w:footnoteRef/>
      </w:r>
      <w:r w:rsidRPr="008B2C5F">
        <w:rPr>
          <w:sz w:val="22"/>
          <w:szCs w:val="22"/>
        </w:rPr>
        <w:t xml:space="preserve"> A Transmission Organization is defined as an RTO, ISO, independent transmission provider, or other organization finally approved by the Commission for the operation of transmission facilities.  16 U.S.C. 796(29); 18 CFR 35.35(b)(2).  The Commission is proposing to move the</w:t>
      </w:r>
      <w:r>
        <w:rPr>
          <w:sz w:val="24"/>
          <w:szCs w:val="24"/>
        </w:rPr>
        <w:t xml:space="preserve"> </w:t>
      </w:r>
      <w:r w:rsidRPr="008B2C5F">
        <w:rPr>
          <w:sz w:val="22"/>
          <w:szCs w:val="22"/>
        </w:rPr>
        <w:t>definition of Transmission</w:t>
      </w:r>
      <w:r>
        <w:rPr>
          <w:sz w:val="24"/>
          <w:szCs w:val="24"/>
        </w:rPr>
        <w:t xml:space="preserve"> Organization from § 35.35(b)(2) of its regulations to § 35.35(f) of the revised Transmission Incentives Regulations.</w:t>
      </w:r>
    </w:p>
  </w:footnote>
  <w:footnote w:id="14">
    <w:p w14:paraId="0BFB7C8E" w14:textId="7CA4267D" w:rsidR="00F22A5A" w:rsidRPr="008B2C5F" w:rsidRDefault="00F22A5A" w:rsidP="00FC519E">
      <w:pPr>
        <w:pStyle w:val="FootnoteText"/>
        <w:ind w:left="0" w:firstLine="0"/>
        <w:rPr>
          <w:sz w:val="24"/>
          <w:szCs w:val="24"/>
        </w:rPr>
      </w:pPr>
      <w:r w:rsidRPr="008B2C5F">
        <w:rPr>
          <w:rStyle w:val="FootnoteReference"/>
          <w:sz w:val="24"/>
          <w:szCs w:val="24"/>
        </w:rPr>
        <w:footnoteRef/>
      </w:r>
      <w:r w:rsidRPr="008B2C5F">
        <w:rPr>
          <w:sz w:val="24"/>
          <w:szCs w:val="24"/>
        </w:rPr>
        <w:t xml:space="preserve"> The </w:t>
      </w:r>
      <w:r w:rsidR="00947831">
        <w:rPr>
          <w:sz w:val="24"/>
          <w:szCs w:val="24"/>
        </w:rPr>
        <w:t xml:space="preserve">March </w:t>
      </w:r>
      <w:r w:rsidRPr="008B2C5F">
        <w:rPr>
          <w:sz w:val="24"/>
          <w:szCs w:val="24"/>
        </w:rPr>
        <w:t>NOPR (</w:t>
      </w:r>
      <w:r w:rsidR="00947831" w:rsidRPr="00947831">
        <w:rPr>
          <w:sz w:val="24"/>
          <w:szCs w:val="24"/>
        </w:rPr>
        <w:t>85 FR 18784</w:t>
      </w:r>
      <w:r w:rsidRPr="008B2C5F">
        <w:rPr>
          <w:sz w:val="24"/>
          <w:szCs w:val="24"/>
        </w:rPr>
        <w:t>) included items relating to FERC-730 that are not being address</w:t>
      </w:r>
      <w:r w:rsidR="00637ACE">
        <w:rPr>
          <w:sz w:val="24"/>
          <w:szCs w:val="24"/>
        </w:rPr>
        <w:t>ed</w:t>
      </w:r>
      <w:r w:rsidRPr="008B2C5F">
        <w:rPr>
          <w:sz w:val="24"/>
          <w:szCs w:val="24"/>
        </w:rPr>
        <w:t xml:space="preserve"> by this Supplemental NOPR.</w:t>
      </w:r>
    </w:p>
  </w:footnote>
  <w:footnote w:id="15">
    <w:p w14:paraId="1A246219" w14:textId="77777777" w:rsidR="00DD755B" w:rsidRDefault="00383548" w:rsidP="00FC519E">
      <w:pPr>
        <w:pStyle w:val="FootnoteText"/>
        <w:ind w:left="90" w:hanging="90"/>
        <w:rPr>
          <w:sz w:val="24"/>
          <w:szCs w:val="24"/>
        </w:rPr>
      </w:pPr>
      <w:r>
        <w:rPr>
          <w:rStyle w:val="FootnoteReference"/>
          <w:sz w:val="24"/>
          <w:szCs w:val="24"/>
        </w:rPr>
        <w:footnoteRef/>
      </w:r>
      <w:r>
        <w:rPr>
          <w:sz w:val="24"/>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6">
    <w:p w14:paraId="00D41B8C" w14:textId="3913F70F" w:rsidR="00DD755B" w:rsidRDefault="00383548" w:rsidP="00FC519E">
      <w:pPr>
        <w:pStyle w:val="FootnoteText"/>
        <w:ind w:left="90" w:hanging="90"/>
      </w:pPr>
      <w:r>
        <w:rPr>
          <w:rStyle w:val="FootnoteReference"/>
          <w:sz w:val="24"/>
          <w:szCs w:val="24"/>
        </w:rPr>
        <w:footnoteRef/>
      </w:r>
      <w:r>
        <w:rPr>
          <w:sz w:val="24"/>
          <w:szCs w:val="24"/>
        </w:rPr>
        <w:t xml:space="preserve"> Commission staff estimates that respondents’ hourly wages </w:t>
      </w:r>
      <w:r w:rsidR="005F5745">
        <w:rPr>
          <w:sz w:val="24"/>
          <w:szCs w:val="24"/>
        </w:rPr>
        <w:t>and</w:t>
      </w:r>
      <w:r>
        <w:rPr>
          <w:sz w:val="24"/>
          <w:szCs w:val="24"/>
        </w:rPr>
        <w:t xml:space="preserve"> benefits are comparable to those of FERC employees.  Therefore, the hourly cost used in this analysis is $8</w:t>
      </w:r>
      <w:r w:rsidR="00A02CC7">
        <w:rPr>
          <w:sz w:val="24"/>
          <w:szCs w:val="24"/>
        </w:rPr>
        <w:t>3</w:t>
      </w:r>
      <w:r>
        <w:rPr>
          <w:sz w:val="24"/>
          <w:szCs w:val="24"/>
        </w:rPr>
        <w:t>.00 ($1</w:t>
      </w:r>
      <w:r w:rsidR="00A02CC7">
        <w:rPr>
          <w:sz w:val="24"/>
          <w:szCs w:val="24"/>
        </w:rPr>
        <w:t>72,329</w:t>
      </w:r>
      <w:r>
        <w:rPr>
          <w:sz w:val="24"/>
          <w:szCs w:val="24"/>
        </w:rPr>
        <w:t xml:space="preserve"> per year).</w:t>
      </w:r>
    </w:p>
  </w:footnote>
  <w:footnote w:id="17">
    <w:p w14:paraId="5B91176B" w14:textId="1019256D" w:rsidR="007A5AF2" w:rsidRPr="007A5AF2" w:rsidRDefault="007A5AF2" w:rsidP="007A5AF2">
      <w:pPr>
        <w:pStyle w:val="FootnoteText"/>
        <w:ind w:left="20"/>
        <w:rPr>
          <w:sz w:val="24"/>
          <w:szCs w:val="24"/>
        </w:rPr>
      </w:pPr>
      <w:r w:rsidRPr="007A5AF2">
        <w:rPr>
          <w:rStyle w:val="FootnoteReference"/>
          <w:sz w:val="24"/>
          <w:szCs w:val="24"/>
        </w:rPr>
        <w:footnoteRef/>
      </w:r>
      <w:r w:rsidRPr="007A5AF2">
        <w:rPr>
          <w:sz w:val="24"/>
          <w:szCs w:val="24"/>
        </w:rPr>
        <w:t xml:space="preserve"> Due to rounding issues in ROCIS, this number will be re</w:t>
      </w:r>
      <w:r>
        <w:rPr>
          <w:sz w:val="24"/>
          <w:szCs w:val="24"/>
        </w:rPr>
        <w:t>flected</w:t>
      </w:r>
      <w:r w:rsidRPr="007A5AF2">
        <w:rPr>
          <w:sz w:val="24"/>
          <w:szCs w:val="24"/>
        </w:rPr>
        <w:t xml:space="preserve"> </w:t>
      </w:r>
      <w:r>
        <w:rPr>
          <w:sz w:val="24"/>
          <w:szCs w:val="24"/>
        </w:rPr>
        <w:t>as 63.</w:t>
      </w:r>
    </w:p>
  </w:footnote>
  <w:footnote w:id="18">
    <w:p w14:paraId="5A4BB649" w14:textId="46586525" w:rsidR="00DD755B" w:rsidRDefault="00383548">
      <w:pPr>
        <w:ind w:left="90" w:hanging="90"/>
        <w:rPr>
          <w:szCs w:val="24"/>
        </w:rPr>
      </w:pPr>
      <w:r>
        <w:rPr>
          <w:rStyle w:val="FootnoteReference"/>
          <w:sz w:val="24"/>
          <w:szCs w:val="24"/>
        </w:rPr>
        <w:footnoteRef/>
      </w:r>
      <w:r>
        <w:rPr>
          <w:szCs w:val="24"/>
        </w:rPr>
        <w:t xml:space="preserve"> Based upon 20</w:t>
      </w:r>
      <w:r w:rsidR="00D6366B">
        <w:rPr>
          <w:szCs w:val="24"/>
        </w:rPr>
        <w:t>20</w:t>
      </w:r>
      <w:r>
        <w:rPr>
          <w:szCs w:val="24"/>
        </w:rPr>
        <w:t xml:space="preserve"> FERC FTE average annual salary plus benefits ($1</w:t>
      </w:r>
      <w:r w:rsidR="00D6366B">
        <w:rPr>
          <w:szCs w:val="24"/>
        </w:rPr>
        <w:t>72,329</w:t>
      </w:r>
      <w:r>
        <w:rPr>
          <w:szCs w:val="24"/>
        </w:rPr>
        <w:t>1/year), or $8</w:t>
      </w:r>
      <w:r w:rsidR="00D6366B">
        <w:rPr>
          <w:szCs w:val="24"/>
        </w:rPr>
        <w:t>3</w:t>
      </w:r>
      <w:r>
        <w:rPr>
          <w:szCs w:val="24"/>
        </w:rPr>
        <w:t>/hour.</w:t>
      </w:r>
    </w:p>
  </w:footnote>
  <w:footnote w:id="19">
    <w:p w14:paraId="259CE66A" w14:textId="77BC183E" w:rsidR="00DD755B" w:rsidRDefault="00383548">
      <w:pPr>
        <w:pStyle w:val="FootnoteText"/>
        <w:ind w:left="90" w:hanging="90"/>
        <w:rPr>
          <w:sz w:val="26"/>
          <w:szCs w:val="26"/>
        </w:rPr>
      </w:pPr>
      <w:r>
        <w:rPr>
          <w:rStyle w:val="FootnoteReference"/>
          <w:sz w:val="24"/>
          <w:szCs w:val="24"/>
        </w:rPr>
        <w:footnoteRef/>
      </w:r>
      <w:r>
        <w:rPr>
          <w:sz w:val="24"/>
          <w:szCs w:val="24"/>
          <w:vertAlign w:val="superscript"/>
        </w:rPr>
        <w:t xml:space="preserve"> </w:t>
      </w:r>
      <w:r>
        <w:rPr>
          <w:sz w:val="24"/>
          <w:szCs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DC79" w14:textId="77777777" w:rsidR="00DD755B" w:rsidRDefault="00383548">
    <w:pPr>
      <w:spacing w:after="0" w:line="259" w:lineRule="auto"/>
      <w:ind w:left="360" w:firstLine="0"/>
    </w:pPr>
    <w:r>
      <w:t xml:space="preserve">FERC-516 &amp; FERC-730 (OMB Control Nos. 1902-0096 and 1902-0239)  </w:t>
    </w:r>
  </w:p>
  <w:p w14:paraId="66150936" w14:textId="53A2574E" w:rsidR="00DD755B" w:rsidRDefault="00383548">
    <w:pPr>
      <w:spacing w:after="0" w:line="259" w:lineRule="auto"/>
      <w:ind w:left="360" w:firstLine="0"/>
    </w:pPr>
    <w:r>
      <w:t xml:space="preserve">Proposed Rule, issued </w:t>
    </w:r>
    <w:r>
      <w:rPr>
        <w:shd w:val="clear" w:color="auto" w:fill="FFFF00"/>
      </w:rPr>
      <w:t>DATE</w:t>
    </w:r>
    <w:r w:rsidR="007A5AF2">
      <w:t>), Docket</w:t>
    </w:r>
    <w:r>
      <w:t xml:space="preserve"> RM20-10-000 </w:t>
    </w:r>
  </w:p>
  <w:p w14:paraId="500F552D" w14:textId="77777777" w:rsidR="00DD755B" w:rsidRDefault="00383548">
    <w:pPr>
      <w:spacing w:after="0" w:line="259" w:lineRule="auto"/>
      <w:ind w:left="360" w:firstLine="0"/>
    </w:pPr>
    <w:r>
      <w:t>RIN: 1902-</w:t>
    </w:r>
    <w:r>
      <w:rPr>
        <w:shd w:val="clear" w:color="auto" w:fill="FFFF00"/>
      </w:rPr>
      <w:t>XXXX</w:t>
    </w:r>
    <w:r>
      <w:t xml:space="preserve"> </w:t>
    </w:r>
  </w:p>
  <w:p w14:paraId="77438326" w14:textId="77777777" w:rsidR="00DD755B" w:rsidRDefault="00383548">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2718" w14:textId="0F715CC5" w:rsidR="00DD755B" w:rsidRDefault="00383548">
    <w:pPr>
      <w:spacing w:after="0" w:line="259" w:lineRule="auto"/>
      <w:ind w:left="0" w:firstLine="0"/>
    </w:pPr>
    <w:r>
      <w:t xml:space="preserve">FERC-516 (OMB Control No. 1902-0096)  </w:t>
    </w:r>
  </w:p>
  <w:p w14:paraId="3A64A474" w14:textId="5737D65E" w:rsidR="00DD755B" w:rsidRDefault="00295724">
    <w:pPr>
      <w:spacing w:after="0" w:line="259" w:lineRule="auto"/>
      <w:ind w:left="0" w:firstLine="0"/>
    </w:pPr>
    <w:r>
      <w:t xml:space="preserve">Supplemental </w:t>
    </w:r>
    <w:r w:rsidR="00383548">
      <w:t xml:space="preserve">Notice of Proposed Rulemaking, issued </w:t>
    </w:r>
    <w:r w:rsidR="008F25E0">
      <w:t>4/15</w:t>
    </w:r>
    <w:r w:rsidR="00383548">
      <w:t>/</w:t>
    </w:r>
    <w:r w:rsidR="008F25E0">
      <w:t>2021</w:t>
    </w:r>
    <w:r w:rsidR="00383548">
      <w:t xml:space="preserve">, in Docket No. RM20-10-000 </w:t>
    </w:r>
  </w:p>
  <w:p w14:paraId="4205BCCC" w14:textId="04E81953" w:rsidR="00DD755B" w:rsidRDefault="00383548" w:rsidP="008F25E0">
    <w:pPr>
      <w:spacing w:after="0" w:line="259" w:lineRule="auto"/>
      <w:ind w:left="0" w:firstLine="0"/>
    </w:pPr>
    <w:r>
      <w:t>RIN: 1902-AF70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CFF0" w14:textId="77777777" w:rsidR="00DD755B" w:rsidRDefault="00383548">
    <w:pPr>
      <w:spacing w:after="0" w:line="259" w:lineRule="auto"/>
      <w:ind w:left="360" w:firstLine="0"/>
    </w:pPr>
    <w:r>
      <w:t xml:space="preserve">FERC-516 &amp; FERC-730 (OMB Control Nos. 1902-0096 and 1902-0239)  </w:t>
    </w:r>
  </w:p>
  <w:p w14:paraId="4CC330AF" w14:textId="06D46DE2" w:rsidR="00DD755B" w:rsidRDefault="00383548">
    <w:pPr>
      <w:spacing w:after="0" w:line="259" w:lineRule="auto"/>
      <w:ind w:left="360" w:firstLine="0"/>
    </w:pPr>
    <w:r>
      <w:t xml:space="preserve">Proposed Rule, issued </w:t>
    </w:r>
    <w:r>
      <w:rPr>
        <w:shd w:val="clear" w:color="auto" w:fill="FFFF00"/>
      </w:rPr>
      <w:t>DATE</w:t>
    </w:r>
    <w:r w:rsidR="007A5AF2">
      <w:t>), Docket</w:t>
    </w:r>
    <w:r>
      <w:t xml:space="preserve"> RM20-10-000 </w:t>
    </w:r>
  </w:p>
  <w:p w14:paraId="772F8535" w14:textId="77777777" w:rsidR="00DD755B" w:rsidRDefault="00383548">
    <w:pPr>
      <w:spacing w:after="0" w:line="259" w:lineRule="auto"/>
      <w:ind w:left="360" w:firstLine="0"/>
    </w:pPr>
    <w:r>
      <w:t>RIN: 1902-</w:t>
    </w:r>
    <w:r>
      <w:rPr>
        <w:shd w:val="clear" w:color="auto" w:fill="FFFF00"/>
      </w:rPr>
      <w:t>XXXX</w:t>
    </w:r>
    <w:r>
      <w:t xml:space="preserve"> </w:t>
    </w:r>
  </w:p>
  <w:p w14:paraId="75164813" w14:textId="77777777" w:rsidR="00DD755B" w:rsidRDefault="00383548">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960B5"/>
    <w:multiLevelType w:val="hybridMultilevel"/>
    <w:tmpl w:val="AAA61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ABF37B7"/>
    <w:multiLevelType w:val="hybridMultilevel"/>
    <w:tmpl w:val="70E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7C92"/>
    <w:multiLevelType w:val="hybridMultilevel"/>
    <w:tmpl w:val="754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70FF6"/>
    <w:multiLevelType w:val="hybridMultilevel"/>
    <w:tmpl w:val="F594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E07DD"/>
    <w:multiLevelType w:val="hybridMultilevel"/>
    <w:tmpl w:val="6F326084"/>
    <w:lvl w:ilvl="0" w:tplc="4766A27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30117E">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23F6E">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4E5904">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4F4AA">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80D5E">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E8EAA">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E9418">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40A84">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DB2C2A"/>
    <w:multiLevelType w:val="hybridMultilevel"/>
    <w:tmpl w:val="EE8C18A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 w15:restartNumberingAfterBreak="0">
    <w:nsid w:val="360A6A08"/>
    <w:multiLevelType w:val="hybridMultilevel"/>
    <w:tmpl w:val="F4842288"/>
    <w:lvl w:ilvl="0" w:tplc="1228DC3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975499"/>
    <w:multiLevelType w:val="hybridMultilevel"/>
    <w:tmpl w:val="845890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C2D27"/>
    <w:multiLevelType w:val="hybridMultilevel"/>
    <w:tmpl w:val="14C2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9836C1"/>
    <w:multiLevelType w:val="hybridMultilevel"/>
    <w:tmpl w:val="7B54AC36"/>
    <w:lvl w:ilvl="0" w:tplc="04090001">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5CC78B3"/>
    <w:multiLevelType w:val="hybridMultilevel"/>
    <w:tmpl w:val="98C64E7C"/>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1" w15:restartNumberingAfterBreak="0">
    <w:nsid w:val="465C6DB2"/>
    <w:multiLevelType w:val="hybridMultilevel"/>
    <w:tmpl w:val="5A668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E3710"/>
    <w:multiLevelType w:val="hybridMultilevel"/>
    <w:tmpl w:val="E1506C12"/>
    <w:lvl w:ilvl="0" w:tplc="60D43168">
      <w:start w:val="2"/>
      <w:numFmt w:val="decimal"/>
      <w:lvlText w:val="%1)"/>
      <w:lvlJc w:val="left"/>
      <w:pPr>
        <w:ind w:left="2516" w:hanging="360"/>
      </w:pPr>
      <w:rPr>
        <w:rFonts w:hint="default"/>
      </w:rPr>
    </w:lvl>
    <w:lvl w:ilvl="1" w:tplc="04090019" w:tentative="1">
      <w:start w:val="1"/>
      <w:numFmt w:val="lowerLetter"/>
      <w:lvlText w:val="%2."/>
      <w:lvlJc w:val="left"/>
      <w:pPr>
        <w:ind w:left="3236" w:hanging="360"/>
      </w:pPr>
    </w:lvl>
    <w:lvl w:ilvl="2" w:tplc="0409001B" w:tentative="1">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13" w15:restartNumberingAfterBreak="0">
    <w:nsid w:val="4BDD1B71"/>
    <w:multiLevelType w:val="hybridMultilevel"/>
    <w:tmpl w:val="C4C203F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A79D9"/>
    <w:multiLevelType w:val="hybridMultilevel"/>
    <w:tmpl w:val="0B341360"/>
    <w:lvl w:ilvl="0" w:tplc="04090017">
      <w:start w:val="1"/>
      <w:numFmt w:val="lowerLetter"/>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5" w15:restartNumberingAfterBreak="0">
    <w:nsid w:val="5A4270E3"/>
    <w:multiLevelType w:val="hybridMultilevel"/>
    <w:tmpl w:val="211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346D7"/>
    <w:multiLevelType w:val="hybridMultilevel"/>
    <w:tmpl w:val="C1AC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56119"/>
    <w:multiLevelType w:val="hybridMultilevel"/>
    <w:tmpl w:val="940E59B0"/>
    <w:lvl w:ilvl="0" w:tplc="43F2F5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294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6A98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07A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A05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C69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52B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15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322D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1E11E7"/>
    <w:multiLevelType w:val="hybridMultilevel"/>
    <w:tmpl w:val="009A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61D7B"/>
    <w:multiLevelType w:val="hybridMultilevel"/>
    <w:tmpl w:val="5F9E928A"/>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0" w15:restartNumberingAfterBreak="0">
    <w:nsid w:val="6E9B7C6F"/>
    <w:multiLevelType w:val="hybridMultilevel"/>
    <w:tmpl w:val="139803CC"/>
    <w:lvl w:ilvl="0" w:tplc="F57AD2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898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02E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469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4EA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D8BA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0C43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685F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88C4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F72274"/>
    <w:multiLevelType w:val="hybridMultilevel"/>
    <w:tmpl w:val="C9D22DB0"/>
    <w:lvl w:ilvl="0" w:tplc="4880B2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2C3A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4850D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8CDAC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649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4023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E88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234F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4C850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D85F1B"/>
    <w:multiLevelType w:val="hybridMultilevel"/>
    <w:tmpl w:val="BB66AD9A"/>
    <w:lvl w:ilvl="0" w:tplc="5CB8524A">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40B3AC">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7A399A">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CC467DC">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9A79D0">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3459DA">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34D44A">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52D88A">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88A112">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75227796"/>
    <w:multiLevelType w:val="hybridMultilevel"/>
    <w:tmpl w:val="2FD21864"/>
    <w:lvl w:ilvl="0" w:tplc="21CA8692">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340BEC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7E0851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5043D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224C02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59E8B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61C53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DF6851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AA638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4" w15:restartNumberingAfterBreak="0">
    <w:nsid w:val="7AF729A4"/>
    <w:multiLevelType w:val="hybridMultilevel"/>
    <w:tmpl w:val="F3C09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B09D3"/>
    <w:multiLevelType w:val="hybridMultilevel"/>
    <w:tmpl w:val="18B42A12"/>
    <w:lvl w:ilvl="0" w:tplc="53148C9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23"/>
  </w:num>
  <w:num w:numId="4">
    <w:abstractNumId w:val="20"/>
  </w:num>
  <w:num w:numId="5">
    <w:abstractNumId w:val="1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0"/>
  </w:num>
  <w:num w:numId="10">
    <w:abstractNumId w:val="2"/>
  </w:num>
  <w:num w:numId="11">
    <w:abstractNumId w:val="14"/>
  </w:num>
  <w:num w:numId="12">
    <w:abstractNumId w:val="1"/>
  </w:num>
  <w:num w:numId="13">
    <w:abstractNumId w:val="10"/>
  </w:num>
  <w:num w:numId="14">
    <w:abstractNumId w:val="6"/>
  </w:num>
  <w:num w:numId="15">
    <w:abstractNumId w:val="24"/>
  </w:num>
  <w:num w:numId="16">
    <w:abstractNumId w:val="13"/>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2"/>
  </w:num>
  <w:num w:numId="21">
    <w:abstractNumId w:val="7"/>
  </w:num>
  <w:num w:numId="22">
    <w:abstractNumId w:val="3"/>
  </w:num>
  <w:num w:numId="23">
    <w:abstractNumId w:val="18"/>
  </w:num>
  <w:num w:numId="24">
    <w:abstractNumId w:val="19"/>
  </w:num>
  <w:num w:numId="25">
    <w:abstractNumId w:val="22"/>
  </w:num>
  <w:num w:numId="26">
    <w:abstractNumId w:val="15"/>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15B0E"/>
    <w:rsid w:val="000218C9"/>
    <w:rsid w:val="00082554"/>
    <w:rsid w:val="000C1731"/>
    <w:rsid w:val="000C7809"/>
    <w:rsid w:val="000E1735"/>
    <w:rsid w:val="00124E0D"/>
    <w:rsid w:val="00156174"/>
    <w:rsid w:val="0017331B"/>
    <w:rsid w:val="00173A96"/>
    <w:rsid w:val="001B1273"/>
    <w:rsid w:val="001C02B7"/>
    <w:rsid w:val="001E428D"/>
    <w:rsid w:val="001E596C"/>
    <w:rsid w:val="00211945"/>
    <w:rsid w:val="00224FA6"/>
    <w:rsid w:val="00252BC0"/>
    <w:rsid w:val="00262DE0"/>
    <w:rsid w:val="00267745"/>
    <w:rsid w:val="00271DBF"/>
    <w:rsid w:val="002861EE"/>
    <w:rsid w:val="00295724"/>
    <w:rsid w:val="002A0A18"/>
    <w:rsid w:val="002D7E48"/>
    <w:rsid w:val="002F4489"/>
    <w:rsid w:val="00343726"/>
    <w:rsid w:val="0034451E"/>
    <w:rsid w:val="00346090"/>
    <w:rsid w:val="00353487"/>
    <w:rsid w:val="00383548"/>
    <w:rsid w:val="00384964"/>
    <w:rsid w:val="003960AC"/>
    <w:rsid w:val="003C0EC5"/>
    <w:rsid w:val="003C127E"/>
    <w:rsid w:val="00424F21"/>
    <w:rsid w:val="004A11FD"/>
    <w:rsid w:val="004A3963"/>
    <w:rsid w:val="004C151D"/>
    <w:rsid w:val="004F45CC"/>
    <w:rsid w:val="00517198"/>
    <w:rsid w:val="00527F9E"/>
    <w:rsid w:val="00533455"/>
    <w:rsid w:val="00535DBE"/>
    <w:rsid w:val="00565165"/>
    <w:rsid w:val="00570237"/>
    <w:rsid w:val="00586E11"/>
    <w:rsid w:val="005A2F69"/>
    <w:rsid w:val="005D4A6E"/>
    <w:rsid w:val="005F5745"/>
    <w:rsid w:val="00631DE8"/>
    <w:rsid w:val="00637ACE"/>
    <w:rsid w:val="00670A06"/>
    <w:rsid w:val="006870E5"/>
    <w:rsid w:val="006A4EC9"/>
    <w:rsid w:val="00705A71"/>
    <w:rsid w:val="00717C56"/>
    <w:rsid w:val="00753CEE"/>
    <w:rsid w:val="007619EB"/>
    <w:rsid w:val="0077556C"/>
    <w:rsid w:val="007A5AF2"/>
    <w:rsid w:val="007A70FA"/>
    <w:rsid w:val="007D37AA"/>
    <w:rsid w:val="007E4792"/>
    <w:rsid w:val="007E7D67"/>
    <w:rsid w:val="00815648"/>
    <w:rsid w:val="00817ADE"/>
    <w:rsid w:val="0083015F"/>
    <w:rsid w:val="00840F63"/>
    <w:rsid w:val="008B2415"/>
    <w:rsid w:val="008B2C5F"/>
    <w:rsid w:val="008B6C4D"/>
    <w:rsid w:val="008C222C"/>
    <w:rsid w:val="008F08F3"/>
    <w:rsid w:val="008F25E0"/>
    <w:rsid w:val="008F340C"/>
    <w:rsid w:val="00921445"/>
    <w:rsid w:val="00923C78"/>
    <w:rsid w:val="009339F7"/>
    <w:rsid w:val="00944FDA"/>
    <w:rsid w:val="00947831"/>
    <w:rsid w:val="00954AC8"/>
    <w:rsid w:val="009A3E12"/>
    <w:rsid w:val="009E56EF"/>
    <w:rsid w:val="00A01E93"/>
    <w:rsid w:val="00A02CC7"/>
    <w:rsid w:val="00A03274"/>
    <w:rsid w:val="00A47E38"/>
    <w:rsid w:val="00A71618"/>
    <w:rsid w:val="00A946E0"/>
    <w:rsid w:val="00B038F0"/>
    <w:rsid w:val="00B27BB2"/>
    <w:rsid w:val="00B54246"/>
    <w:rsid w:val="00B61D64"/>
    <w:rsid w:val="00B76183"/>
    <w:rsid w:val="00C1679C"/>
    <w:rsid w:val="00C76AE9"/>
    <w:rsid w:val="00C845A9"/>
    <w:rsid w:val="00CD17A0"/>
    <w:rsid w:val="00CE16CE"/>
    <w:rsid w:val="00CE4F7B"/>
    <w:rsid w:val="00CE7745"/>
    <w:rsid w:val="00D2056B"/>
    <w:rsid w:val="00D41366"/>
    <w:rsid w:val="00D42228"/>
    <w:rsid w:val="00D54E1F"/>
    <w:rsid w:val="00D6366B"/>
    <w:rsid w:val="00D65884"/>
    <w:rsid w:val="00D7070A"/>
    <w:rsid w:val="00D837B8"/>
    <w:rsid w:val="00D86C9A"/>
    <w:rsid w:val="00DA2C1D"/>
    <w:rsid w:val="00DD755B"/>
    <w:rsid w:val="00DE2487"/>
    <w:rsid w:val="00DE3759"/>
    <w:rsid w:val="00DF591D"/>
    <w:rsid w:val="00E3112C"/>
    <w:rsid w:val="00E4341F"/>
    <w:rsid w:val="00E93D90"/>
    <w:rsid w:val="00EB66D0"/>
    <w:rsid w:val="00EB6EAB"/>
    <w:rsid w:val="00F22A5A"/>
    <w:rsid w:val="00F417B0"/>
    <w:rsid w:val="00F8288A"/>
    <w:rsid w:val="00FC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98021"/>
  <w15:docId w15:val="{E5F3C56C-4A72-47AC-8E4B-BC4422B3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6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2115"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t,f,c"/>
    <w:basedOn w:val="Normal"/>
    <w:link w:val="FootnoteTextChar"/>
    <w:uiPriority w:val="99"/>
    <w:semiHidden/>
    <w:unhideWhenUsed/>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uiPriority w:val="99"/>
    <w:semiHidden/>
    <w:rPr>
      <w:rFonts w:ascii="Times New Roman" w:eastAsia="Times New Roman" w:hAnsi="Times New Roman" w:cs="Times New Roman"/>
      <w:color w:val="000000"/>
      <w:sz w:val="20"/>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semiHidden/>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semiHidden/>
    <w:unhideWhenUsed/>
    <w:pPr>
      <w:widowControl w:val="0"/>
      <w:spacing w:after="0" w:line="240" w:lineRule="auto"/>
      <w:ind w:left="0" w:firstLine="0"/>
    </w:pPr>
    <w:rPr>
      <w:rFonts w:ascii="Arial" w:eastAsiaTheme="minorHAnsi" w:hAnsi="Arial" w:cs="Arial"/>
      <w:color w:val="auto"/>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basedOn w:val="TableNormal"/>
    <w:next w:val="TableGrid0"/>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semiHidden/>
    <w:unhideWhenUsed/>
    <w:rsid w:val="00082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8281">
      <w:bodyDiv w:val="1"/>
      <w:marLeft w:val="0"/>
      <w:marRight w:val="0"/>
      <w:marTop w:val="0"/>
      <w:marBottom w:val="0"/>
      <w:divBdr>
        <w:top w:val="none" w:sz="0" w:space="0" w:color="auto"/>
        <w:left w:val="none" w:sz="0" w:space="0" w:color="auto"/>
        <w:bottom w:val="none" w:sz="0" w:space="0" w:color="auto"/>
        <w:right w:val="none" w:sz="0" w:space="0" w:color="auto"/>
      </w:divBdr>
    </w:div>
    <w:div w:id="437215237">
      <w:bodyDiv w:val="1"/>
      <w:marLeft w:val="0"/>
      <w:marRight w:val="0"/>
      <w:marTop w:val="0"/>
      <w:marBottom w:val="0"/>
      <w:divBdr>
        <w:top w:val="none" w:sz="0" w:space="0" w:color="auto"/>
        <w:left w:val="none" w:sz="0" w:space="0" w:color="auto"/>
        <w:bottom w:val="none" w:sz="0" w:space="0" w:color="auto"/>
        <w:right w:val="none" w:sz="0" w:space="0" w:color="auto"/>
      </w:divBdr>
    </w:div>
    <w:div w:id="457604609">
      <w:bodyDiv w:val="1"/>
      <w:marLeft w:val="0"/>
      <w:marRight w:val="0"/>
      <w:marTop w:val="0"/>
      <w:marBottom w:val="0"/>
      <w:divBdr>
        <w:top w:val="none" w:sz="0" w:space="0" w:color="auto"/>
        <w:left w:val="none" w:sz="0" w:space="0" w:color="auto"/>
        <w:bottom w:val="none" w:sz="0" w:space="0" w:color="auto"/>
        <w:right w:val="none" w:sz="0" w:space="0" w:color="auto"/>
      </w:divBdr>
    </w:div>
    <w:div w:id="544950127">
      <w:bodyDiv w:val="1"/>
      <w:marLeft w:val="0"/>
      <w:marRight w:val="0"/>
      <w:marTop w:val="0"/>
      <w:marBottom w:val="0"/>
      <w:divBdr>
        <w:top w:val="none" w:sz="0" w:space="0" w:color="auto"/>
        <w:left w:val="none" w:sz="0" w:space="0" w:color="auto"/>
        <w:bottom w:val="none" w:sz="0" w:space="0" w:color="auto"/>
        <w:right w:val="none" w:sz="0" w:space="0" w:color="auto"/>
      </w:divBdr>
    </w:div>
    <w:div w:id="592935342">
      <w:bodyDiv w:val="1"/>
      <w:marLeft w:val="0"/>
      <w:marRight w:val="0"/>
      <w:marTop w:val="0"/>
      <w:marBottom w:val="0"/>
      <w:divBdr>
        <w:top w:val="none" w:sz="0" w:space="0" w:color="auto"/>
        <w:left w:val="none" w:sz="0" w:space="0" w:color="auto"/>
        <w:bottom w:val="none" w:sz="0" w:space="0" w:color="auto"/>
        <w:right w:val="none" w:sz="0" w:space="0" w:color="auto"/>
      </w:divBdr>
    </w:div>
    <w:div w:id="965349577">
      <w:bodyDiv w:val="1"/>
      <w:marLeft w:val="0"/>
      <w:marRight w:val="0"/>
      <w:marTop w:val="0"/>
      <w:marBottom w:val="0"/>
      <w:divBdr>
        <w:top w:val="none" w:sz="0" w:space="0" w:color="auto"/>
        <w:left w:val="none" w:sz="0" w:space="0" w:color="auto"/>
        <w:bottom w:val="none" w:sz="0" w:space="0" w:color="auto"/>
        <w:right w:val="none" w:sz="0" w:space="0" w:color="auto"/>
      </w:divBdr>
    </w:div>
    <w:div w:id="1132751486">
      <w:bodyDiv w:val="1"/>
      <w:marLeft w:val="0"/>
      <w:marRight w:val="0"/>
      <w:marTop w:val="0"/>
      <w:marBottom w:val="0"/>
      <w:divBdr>
        <w:top w:val="none" w:sz="0" w:space="0" w:color="auto"/>
        <w:left w:val="none" w:sz="0" w:space="0" w:color="auto"/>
        <w:bottom w:val="none" w:sz="0" w:space="0" w:color="auto"/>
        <w:right w:val="none" w:sz="0" w:space="0" w:color="auto"/>
      </w:divBdr>
    </w:div>
    <w:div w:id="1156341617">
      <w:bodyDiv w:val="1"/>
      <w:marLeft w:val="0"/>
      <w:marRight w:val="0"/>
      <w:marTop w:val="0"/>
      <w:marBottom w:val="0"/>
      <w:divBdr>
        <w:top w:val="none" w:sz="0" w:space="0" w:color="auto"/>
        <w:left w:val="none" w:sz="0" w:space="0" w:color="auto"/>
        <w:bottom w:val="none" w:sz="0" w:space="0" w:color="auto"/>
        <w:right w:val="none" w:sz="0" w:space="0" w:color="auto"/>
      </w:divBdr>
    </w:div>
    <w:div w:id="1188367153">
      <w:bodyDiv w:val="1"/>
      <w:marLeft w:val="0"/>
      <w:marRight w:val="0"/>
      <w:marTop w:val="0"/>
      <w:marBottom w:val="0"/>
      <w:divBdr>
        <w:top w:val="none" w:sz="0" w:space="0" w:color="auto"/>
        <w:left w:val="none" w:sz="0" w:space="0" w:color="auto"/>
        <w:bottom w:val="none" w:sz="0" w:space="0" w:color="auto"/>
        <w:right w:val="none" w:sz="0" w:space="0" w:color="auto"/>
      </w:divBdr>
    </w:div>
    <w:div w:id="1249650945">
      <w:bodyDiv w:val="1"/>
      <w:marLeft w:val="0"/>
      <w:marRight w:val="0"/>
      <w:marTop w:val="0"/>
      <w:marBottom w:val="0"/>
      <w:divBdr>
        <w:top w:val="none" w:sz="0" w:space="0" w:color="auto"/>
        <w:left w:val="none" w:sz="0" w:space="0" w:color="auto"/>
        <w:bottom w:val="none" w:sz="0" w:space="0" w:color="auto"/>
        <w:right w:val="none" w:sz="0" w:space="0" w:color="auto"/>
      </w:divBdr>
    </w:div>
    <w:div w:id="1359508801">
      <w:bodyDiv w:val="1"/>
      <w:marLeft w:val="0"/>
      <w:marRight w:val="0"/>
      <w:marTop w:val="0"/>
      <w:marBottom w:val="0"/>
      <w:divBdr>
        <w:top w:val="none" w:sz="0" w:space="0" w:color="auto"/>
        <w:left w:val="none" w:sz="0" w:space="0" w:color="auto"/>
        <w:bottom w:val="none" w:sz="0" w:space="0" w:color="auto"/>
        <w:right w:val="none" w:sz="0" w:space="0" w:color="auto"/>
      </w:divBdr>
    </w:div>
    <w:div w:id="1363822816">
      <w:bodyDiv w:val="1"/>
      <w:marLeft w:val="0"/>
      <w:marRight w:val="0"/>
      <w:marTop w:val="0"/>
      <w:marBottom w:val="0"/>
      <w:divBdr>
        <w:top w:val="none" w:sz="0" w:space="0" w:color="auto"/>
        <w:left w:val="none" w:sz="0" w:space="0" w:color="auto"/>
        <w:bottom w:val="none" w:sz="0" w:space="0" w:color="auto"/>
        <w:right w:val="none" w:sz="0" w:space="0" w:color="auto"/>
      </w:divBdr>
    </w:div>
    <w:div w:id="1508518734">
      <w:bodyDiv w:val="1"/>
      <w:marLeft w:val="0"/>
      <w:marRight w:val="0"/>
      <w:marTop w:val="0"/>
      <w:marBottom w:val="0"/>
      <w:divBdr>
        <w:top w:val="none" w:sz="0" w:space="0" w:color="auto"/>
        <w:left w:val="none" w:sz="0" w:space="0" w:color="auto"/>
        <w:bottom w:val="none" w:sz="0" w:space="0" w:color="auto"/>
        <w:right w:val="none" w:sz="0" w:space="0" w:color="auto"/>
      </w:divBdr>
    </w:div>
    <w:div w:id="1556503483">
      <w:bodyDiv w:val="1"/>
      <w:marLeft w:val="0"/>
      <w:marRight w:val="0"/>
      <w:marTop w:val="0"/>
      <w:marBottom w:val="0"/>
      <w:divBdr>
        <w:top w:val="none" w:sz="0" w:space="0" w:color="auto"/>
        <w:left w:val="none" w:sz="0" w:space="0" w:color="auto"/>
        <w:bottom w:val="none" w:sz="0" w:space="0" w:color="auto"/>
        <w:right w:val="none" w:sz="0" w:space="0" w:color="auto"/>
      </w:divBdr>
    </w:div>
    <w:div w:id="1558468613">
      <w:bodyDiv w:val="1"/>
      <w:marLeft w:val="0"/>
      <w:marRight w:val="0"/>
      <w:marTop w:val="0"/>
      <w:marBottom w:val="0"/>
      <w:divBdr>
        <w:top w:val="none" w:sz="0" w:space="0" w:color="auto"/>
        <w:left w:val="none" w:sz="0" w:space="0" w:color="auto"/>
        <w:bottom w:val="none" w:sz="0" w:space="0" w:color="auto"/>
        <w:right w:val="none" w:sz="0" w:space="0" w:color="auto"/>
      </w:divBdr>
    </w:div>
    <w:div w:id="1616056319">
      <w:bodyDiv w:val="1"/>
      <w:marLeft w:val="0"/>
      <w:marRight w:val="0"/>
      <w:marTop w:val="0"/>
      <w:marBottom w:val="0"/>
      <w:divBdr>
        <w:top w:val="none" w:sz="0" w:space="0" w:color="auto"/>
        <w:left w:val="none" w:sz="0" w:space="0" w:color="auto"/>
        <w:bottom w:val="none" w:sz="0" w:space="0" w:color="auto"/>
        <w:right w:val="none" w:sz="0" w:space="0" w:color="auto"/>
      </w:divBdr>
    </w:div>
    <w:div w:id="1770614664">
      <w:bodyDiv w:val="1"/>
      <w:marLeft w:val="0"/>
      <w:marRight w:val="0"/>
      <w:marTop w:val="0"/>
      <w:marBottom w:val="0"/>
      <w:divBdr>
        <w:top w:val="none" w:sz="0" w:space="0" w:color="auto"/>
        <w:left w:val="none" w:sz="0" w:space="0" w:color="auto"/>
        <w:bottom w:val="none" w:sz="0" w:space="0" w:color="auto"/>
        <w:right w:val="none" w:sz="0" w:space="0" w:color="auto"/>
      </w:divBdr>
    </w:div>
    <w:div w:id="1779522282">
      <w:bodyDiv w:val="1"/>
      <w:marLeft w:val="0"/>
      <w:marRight w:val="0"/>
      <w:marTop w:val="0"/>
      <w:marBottom w:val="0"/>
      <w:divBdr>
        <w:top w:val="none" w:sz="0" w:space="0" w:color="auto"/>
        <w:left w:val="none" w:sz="0" w:space="0" w:color="auto"/>
        <w:bottom w:val="none" w:sz="0" w:space="0" w:color="auto"/>
        <w:right w:val="none" w:sz="0" w:space="0" w:color="auto"/>
      </w:divBdr>
    </w:div>
    <w:div w:id="212056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ferc-online/etarif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Mai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erc.gov/news-events/news/staff-presentation-electric-transmission-incentives-policy" TargetMode="External"/><Relationship Id="rId2" Type="http://schemas.openxmlformats.org/officeDocument/2006/relationships/hyperlink" Target="https://www.ferc.gov/news-events/news/ferc-proposes-further-reforms-electric-transmission-incentives-policy" TargetMode="External"/><Relationship Id="rId1" Type="http://schemas.openxmlformats.org/officeDocument/2006/relationships/hyperlink" Target="https://www.ferc.gov/media/rm20-10-000-041521" TargetMode="External"/><Relationship Id="rId4" Type="http://schemas.openxmlformats.org/officeDocument/2006/relationships/hyperlink" Target="https://elibrary.ferc.gov/eLibra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2021-04-26T04:00:00+00:00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RM20-10</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18FB-75EB-4DA1-A19C-19F05F68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CBFAA-080B-480D-9302-4A14537264D0}">
  <ds:schemaRefs>
    <ds:schemaRef ds:uri="http://schemas.microsoft.com/office/2006/metadata/customXsn"/>
  </ds:schemaRefs>
</ds:datastoreItem>
</file>

<file path=customXml/itemProps3.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4.xml><?xml version="1.0" encoding="utf-8"?>
<ds:datastoreItem xmlns:ds="http://schemas.openxmlformats.org/officeDocument/2006/customXml" ds:itemID="{6681FE39-37CC-4D67-A921-E8BA7C41C015}">
  <ds:schemaRefs>
    <ds:schemaRef ds:uri="Microsoft.SharePoint.Taxonomy.ContentTypeSync"/>
  </ds:schemaRefs>
</ds:datastoreItem>
</file>

<file path=customXml/itemProps5.xml><?xml version="1.0" encoding="utf-8"?>
<ds:datastoreItem xmlns:ds="http://schemas.openxmlformats.org/officeDocument/2006/customXml" ds:itemID="{709BD5E9-6322-4225-8BCB-FF512B735564}">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CE2D5DDF-B4B6-40F7-A15D-62214A26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RM20-10 NOPR</vt:lpstr>
    </vt:vector>
  </TitlesOfParts>
  <Company>Federal Energy Regulatory Commission</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RM20-10 NOPR</dc:title>
  <dc:subject/>
  <dc:creator>anthony.may@ferc.gov</dc:creator>
  <cp:keywords/>
  <dc:description/>
  <cp:lastModifiedBy>Lena Nour</cp:lastModifiedBy>
  <cp:revision>5</cp:revision>
  <dcterms:created xsi:type="dcterms:W3CDTF">2021-04-28T14:34:00Z</dcterms:created>
  <dcterms:modified xsi:type="dcterms:W3CDTF">2021-04-28T14:41:00Z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2020-03-18T15:57:59.1704810Z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4af7b95f-bf52-4fcc-a844-265254dc3eb6</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