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1D0" w:rsidR="00AA71A6" w:rsidP="00A37A5F" w:rsidRDefault="002D133A">
      <w:pPr>
        <w:suppressAutoHyphens/>
        <w:jc w:val="center"/>
        <w:rPr>
          <w:rFonts w:ascii="Times New Roman" w:hAnsi="Times New Roman"/>
        </w:rPr>
      </w:pPr>
      <w:bookmarkStart w:name="_GoBack" w:id="0"/>
      <w:bookmarkEnd w:id="0"/>
      <w:r w:rsidRPr="002451D0">
        <w:rPr>
          <w:rFonts w:ascii="Times New Roman" w:hAnsi="Times New Roman"/>
        </w:rPr>
        <w:t>SUPPORTING STATEMENT FOR</w:t>
      </w:r>
      <w:r w:rsidRPr="002451D0" w:rsidR="00AA71A6">
        <w:rPr>
          <w:rFonts w:ascii="Times New Roman" w:hAnsi="Times New Roman"/>
        </w:rPr>
        <w:t xml:space="preserve"> NEW AND </w:t>
      </w:r>
    </w:p>
    <w:p w:rsidRPr="002451D0" w:rsidR="002D133A" w:rsidP="00A37A5F" w:rsidRDefault="00AA71A6">
      <w:pPr>
        <w:suppressAutoHyphens/>
        <w:jc w:val="center"/>
        <w:rPr>
          <w:rFonts w:ascii="Times New Roman" w:hAnsi="Times New Roman"/>
        </w:rPr>
      </w:pPr>
      <w:r w:rsidRPr="002451D0">
        <w:rPr>
          <w:rFonts w:ascii="Times New Roman" w:hAnsi="Times New Roman"/>
        </w:rPr>
        <w:t xml:space="preserve">REVISED INFORMATION </w:t>
      </w:r>
      <w:r w:rsidRPr="002451D0" w:rsidR="002D133A">
        <w:rPr>
          <w:rFonts w:ascii="Times New Roman" w:hAnsi="Times New Roman"/>
        </w:rPr>
        <w:t>COLLECTION</w:t>
      </w:r>
      <w:r w:rsidRPr="002451D0">
        <w:rPr>
          <w:rFonts w:ascii="Times New Roman" w:hAnsi="Times New Roman"/>
        </w:rPr>
        <w:t>S</w:t>
      </w:r>
    </w:p>
    <w:p w:rsidRPr="002451D0" w:rsidR="002D133A" w:rsidRDefault="002D133A">
      <w:pPr>
        <w:suppressAutoHyphens/>
        <w:rPr>
          <w:rFonts w:ascii="Times New Roman" w:hAnsi="Times New Roman"/>
        </w:rPr>
      </w:pPr>
    </w:p>
    <w:p w:rsidRPr="002451D0" w:rsidR="00B21470" w:rsidRDefault="002D133A">
      <w:pPr>
        <w:tabs>
          <w:tab w:val="center" w:pos="4680"/>
        </w:tabs>
        <w:suppressAutoHyphens/>
        <w:rPr>
          <w:rFonts w:ascii="Times New Roman" w:hAnsi="Times New Roman"/>
          <w:u w:val="single"/>
        </w:rPr>
      </w:pPr>
      <w:r w:rsidRPr="002451D0">
        <w:rPr>
          <w:rFonts w:ascii="Times New Roman" w:hAnsi="Times New Roman"/>
        </w:rPr>
        <w:tab/>
      </w:r>
      <w:r w:rsidRPr="002451D0" w:rsidR="00046594">
        <w:rPr>
          <w:rFonts w:ascii="Times New Roman" w:hAnsi="Times New Roman"/>
          <w:u w:val="single"/>
        </w:rPr>
        <w:t>Core Principles and Other Requirements for Swap Execution Facilities</w:t>
      </w:r>
    </w:p>
    <w:p w:rsidRPr="002451D0" w:rsidR="00B21470" w:rsidRDefault="00B21470">
      <w:pPr>
        <w:tabs>
          <w:tab w:val="center" w:pos="4680"/>
        </w:tabs>
        <w:suppressAutoHyphens/>
        <w:rPr>
          <w:rFonts w:ascii="Times New Roman" w:hAnsi="Times New Roman"/>
          <w:u w:val="single"/>
        </w:rPr>
      </w:pPr>
    </w:p>
    <w:p w:rsidRPr="002451D0" w:rsidR="002D133A" w:rsidP="00B21470" w:rsidRDefault="002D133A">
      <w:pPr>
        <w:tabs>
          <w:tab w:val="center" w:pos="4680"/>
        </w:tabs>
        <w:suppressAutoHyphens/>
        <w:jc w:val="center"/>
        <w:rPr>
          <w:rFonts w:ascii="Times New Roman" w:hAnsi="Times New Roman"/>
        </w:rPr>
      </w:pPr>
      <w:r w:rsidRPr="002451D0">
        <w:rPr>
          <w:rFonts w:ascii="Times New Roman" w:hAnsi="Times New Roman"/>
        </w:rPr>
        <w:t>OMB CONTROL NUMBER 3038-</w:t>
      </w:r>
      <w:r w:rsidRPr="002451D0" w:rsidR="00223BB2">
        <w:rPr>
          <w:rFonts w:ascii="Times New Roman" w:hAnsi="Times New Roman"/>
        </w:rPr>
        <w:t>0074</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s>
        <w:suppressAutoHyphens/>
        <w:rPr>
          <w:rFonts w:ascii="Times New Roman" w:hAnsi="Times New Roman"/>
        </w:rPr>
      </w:pPr>
      <w:r w:rsidRPr="002451D0">
        <w:rPr>
          <w:rFonts w:ascii="Times New Roman" w:hAnsi="Times New Roman"/>
          <w:u w:val="single"/>
        </w:rPr>
        <w:t>Justification</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w:t>
      </w:r>
      <w:r w:rsidRPr="002451D0">
        <w:rPr>
          <w:rFonts w:ascii="Times New Roman" w:hAnsi="Times New Roman"/>
        </w:rPr>
        <w:tab/>
      </w:r>
      <w:r w:rsidRPr="002451D0">
        <w:rPr>
          <w:rFonts w:ascii="Times New Roman" w:hAnsi="Times New Roman"/>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BB2ED0" w:rsidP="00AD04B4" w:rsidRDefault="00B77740">
      <w:pPr>
        <w:tabs>
          <w:tab w:val="left" w:pos="-720"/>
        </w:tabs>
        <w:suppressAutoHyphens/>
        <w:ind w:left="720"/>
        <w:rPr>
          <w:rFonts w:ascii="Times New Roman" w:hAnsi="Times New Roman"/>
          <w:szCs w:val="24"/>
        </w:rPr>
      </w:pPr>
      <w:r w:rsidRPr="002451D0">
        <w:rPr>
          <w:rFonts w:ascii="Times New Roman" w:hAnsi="Times New Roman"/>
          <w:szCs w:val="24"/>
        </w:rPr>
        <w:t>Title VII of the Dodd-Frank Wall Street Reform and Consumer Protection Act (Dodd-Frank Act) added new section 5h to the Commodity Exchange Act (CEA) to impose requirements concerning the registration and operation of</w:t>
      </w:r>
      <w:r w:rsidRPr="002451D0" w:rsidR="00CF13B9">
        <w:rPr>
          <w:rFonts w:ascii="Times New Roman" w:hAnsi="Times New Roman"/>
          <w:szCs w:val="24"/>
        </w:rPr>
        <w:t xml:space="preserve"> swap execution facilities</w:t>
      </w:r>
      <w:r w:rsidRPr="002451D0">
        <w:rPr>
          <w:rFonts w:ascii="Times New Roman" w:hAnsi="Times New Roman"/>
          <w:szCs w:val="24"/>
        </w:rPr>
        <w:t xml:space="preserve"> </w:t>
      </w:r>
      <w:r w:rsidRPr="002451D0" w:rsidR="00CF13B9">
        <w:rPr>
          <w:rFonts w:ascii="Times New Roman" w:hAnsi="Times New Roman"/>
          <w:szCs w:val="24"/>
        </w:rPr>
        <w:t>(</w:t>
      </w:r>
      <w:r w:rsidRPr="002451D0">
        <w:rPr>
          <w:rFonts w:ascii="Times New Roman" w:hAnsi="Times New Roman"/>
          <w:szCs w:val="24"/>
        </w:rPr>
        <w:t>SEFs</w:t>
      </w:r>
      <w:r w:rsidRPr="002451D0" w:rsidR="00CF13B9">
        <w:rPr>
          <w:rFonts w:ascii="Times New Roman" w:hAnsi="Times New Roman"/>
          <w:szCs w:val="24"/>
        </w:rPr>
        <w:t>)</w:t>
      </w:r>
      <w:r w:rsidRPr="002451D0">
        <w:rPr>
          <w:rFonts w:ascii="Times New Roman" w:hAnsi="Times New Roman"/>
          <w:szCs w:val="24"/>
        </w:rPr>
        <w:t>, which the Commission has incorporated in part 37 of its regulations.</w:t>
      </w:r>
      <w:bookmarkStart w:name="_Ref458433695" w:id="1"/>
      <w:r w:rsidRPr="002451D0">
        <w:rPr>
          <w:rFonts w:ascii="Times New Roman" w:hAnsi="Times New Roman"/>
          <w:szCs w:val="24"/>
          <w:vertAlign w:val="superscript"/>
        </w:rPr>
        <w:footnoteReference w:id="1"/>
      </w:r>
      <w:bookmarkEnd w:id="1"/>
      <w:r w:rsidRPr="002451D0" w:rsidR="00194B79">
        <w:rPr>
          <w:rFonts w:ascii="Times New Roman" w:hAnsi="Times New Roman"/>
          <w:szCs w:val="24"/>
        </w:rPr>
        <w:t xml:space="preserve">  The information collections</w:t>
      </w:r>
      <w:r w:rsidRPr="002451D0">
        <w:rPr>
          <w:rFonts w:ascii="Times New Roman" w:hAnsi="Times New Roman"/>
          <w:szCs w:val="24"/>
        </w:rPr>
        <w:t xml:space="preserve"> </w:t>
      </w:r>
      <w:r w:rsidRPr="002451D0" w:rsidR="00194B79">
        <w:rPr>
          <w:rFonts w:ascii="Times New Roman" w:hAnsi="Times New Roman"/>
          <w:szCs w:val="24"/>
        </w:rPr>
        <w:t>under this Control Number</w:t>
      </w:r>
      <w:r w:rsidRPr="002451D0" w:rsidR="00B134B4">
        <w:rPr>
          <w:rFonts w:ascii="Times New Roman" w:hAnsi="Times New Roman"/>
          <w:szCs w:val="24"/>
        </w:rPr>
        <w:t xml:space="preserve"> are necessary for the Commission to evaluate whether SEFs, or entities applying to become SEFs, comply with the part 37 regulatory requirements.</w:t>
      </w:r>
      <w:r w:rsidRPr="002451D0" w:rsidR="00B134B4">
        <w:rPr>
          <w:rStyle w:val="FootnoteReference"/>
          <w:rFonts w:ascii="Times New Roman" w:hAnsi="Times New Roman"/>
          <w:szCs w:val="24"/>
        </w:rPr>
        <w:footnoteReference w:id="2"/>
      </w:r>
      <w:r w:rsidRPr="002451D0" w:rsidR="00B134B4">
        <w:rPr>
          <w:rFonts w:ascii="Times New Roman" w:hAnsi="Times New Roman"/>
          <w:szCs w:val="24"/>
        </w:rPr>
        <w:t xml:space="preserve">  </w:t>
      </w:r>
    </w:p>
    <w:p w:rsidRPr="002451D0" w:rsidR="00BA449F" w:rsidP="00AD04B4" w:rsidRDefault="00BA449F">
      <w:pPr>
        <w:tabs>
          <w:tab w:val="left" w:pos="-720"/>
        </w:tabs>
        <w:suppressAutoHyphens/>
        <w:ind w:left="720"/>
        <w:rPr>
          <w:rFonts w:ascii="Times New Roman" w:hAnsi="Times New Roman"/>
          <w:szCs w:val="24"/>
        </w:rPr>
      </w:pPr>
    </w:p>
    <w:p w:rsidRPr="002451D0" w:rsidR="00BA449F" w:rsidP="001F4491" w:rsidRDefault="00BA449F">
      <w:pPr>
        <w:tabs>
          <w:tab w:val="left" w:pos="-720"/>
        </w:tabs>
        <w:suppressAutoHyphens/>
        <w:ind w:left="720"/>
        <w:rPr>
          <w:rFonts w:ascii="Times New Roman" w:hAnsi="Times New Roman"/>
        </w:rPr>
      </w:pPr>
      <w:r w:rsidRPr="002451D0">
        <w:rPr>
          <w:rFonts w:ascii="Times New Roman" w:hAnsi="Times New Roman"/>
        </w:rPr>
        <w:t xml:space="preserve">In </w:t>
      </w:r>
      <w:r w:rsidRPr="002451D0" w:rsidR="00C57728">
        <w:rPr>
          <w:rFonts w:ascii="Times New Roman" w:hAnsi="Times New Roman"/>
        </w:rPr>
        <w:t>April</w:t>
      </w:r>
      <w:r w:rsidRPr="002451D0">
        <w:rPr>
          <w:rFonts w:ascii="Times New Roman" w:hAnsi="Times New Roman"/>
        </w:rPr>
        <w:t xml:space="preserve"> </w:t>
      </w:r>
      <w:r w:rsidRPr="002451D0" w:rsidR="00C57728">
        <w:rPr>
          <w:rFonts w:ascii="Times New Roman" w:hAnsi="Times New Roman"/>
        </w:rPr>
        <w:t>2018</w:t>
      </w:r>
      <w:r w:rsidRPr="002451D0">
        <w:rPr>
          <w:rFonts w:ascii="Times New Roman" w:hAnsi="Times New Roman"/>
        </w:rPr>
        <w:t xml:space="preserve">, the Commission published a 30-Day Notice of Intent to Renew Collection 3038–0074 (30-Day Renewal Notice) and stated that </w:t>
      </w:r>
      <w:r w:rsidRPr="002451D0" w:rsidR="00C57728">
        <w:rPr>
          <w:rFonts w:ascii="Times New Roman" w:hAnsi="Times New Roman"/>
        </w:rPr>
        <w:t xml:space="preserve">25 </w:t>
      </w:r>
      <w:r w:rsidRPr="002451D0">
        <w:rPr>
          <w:rFonts w:ascii="Times New Roman" w:hAnsi="Times New Roman"/>
        </w:rPr>
        <w:t xml:space="preserve">SEFs were registered with the Commission.  However, since publication of the 30-Day Renewal Notice, the Commission has granted permanent registration to </w:t>
      </w:r>
      <w:r w:rsidRPr="002451D0" w:rsidR="00C33D03">
        <w:rPr>
          <w:rFonts w:ascii="Times New Roman" w:hAnsi="Times New Roman"/>
        </w:rPr>
        <w:t>several</w:t>
      </w:r>
      <w:r w:rsidRPr="002451D0">
        <w:rPr>
          <w:rFonts w:ascii="Times New Roman" w:hAnsi="Times New Roman"/>
        </w:rPr>
        <w:t xml:space="preserve"> additional SEFs, </w:t>
      </w:r>
      <w:r w:rsidRPr="002451D0" w:rsidR="00C33D03">
        <w:rPr>
          <w:rFonts w:ascii="Times New Roman" w:hAnsi="Times New Roman"/>
        </w:rPr>
        <w:t xml:space="preserve">while others </w:t>
      </w:r>
      <w:r w:rsidRPr="002451D0" w:rsidR="00C33D03">
        <w:rPr>
          <w:rFonts w:ascii="Times New Roman" w:hAnsi="Times New Roman"/>
        </w:rPr>
        <w:lastRenderedPageBreak/>
        <w:t xml:space="preserve">SEFs have had their registrations vacated or have been deemed dormant under part 40 of the Commission regulations, </w:t>
      </w:r>
      <w:r w:rsidRPr="002451D0">
        <w:rPr>
          <w:rFonts w:ascii="Times New Roman" w:hAnsi="Times New Roman"/>
        </w:rPr>
        <w:t xml:space="preserve">for a total of </w:t>
      </w:r>
      <w:r w:rsidRPr="002451D0" w:rsidR="00C33D03">
        <w:rPr>
          <w:rFonts w:ascii="Times New Roman" w:hAnsi="Times New Roman"/>
        </w:rPr>
        <w:t xml:space="preserve">21 </w:t>
      </w:r>
      <w:r w:rsidRPr="002451D0">
        <w:rPr>
          <w:rFonts w:ascii="Times New Roman" w:hAnsi="Times New Roman"/>
        </w:rPr>
        <w:t>registered SEFs.</w:t>
      </w:r>
      <w:r w:rsidRPr="002451D0" w:rsidR="00C33D03">
        <w:rPr>
          <w:rStyle w:val="FootnoteReference"/>
          <w:rFonts w:ascii="Times New Roman" w:hAnsi="Times New Roman"/>
        </w:rPr>
        <w:footnoteReference w:id="3"/>
      </w:r>
      <w:r w:rsidRPr="002451D0">
        <w:rPr>
          <w:rFonts w:ascii="Times New Roman" w:hAnsi="Times New Roman"/>
        </w:rPr>
        <w:t xml:space="preserve">  Therefore, the Commission is revising </w:t>
      </w:r>
      <w:r w:rsidRPr="002451D0" w:rsidR="00160098">
        <w:rPr>
          <w:rFonts w:ascii="Times New Roman" w:hAnsi="Times New Roman"/>
        </w:rPr>
        <w:t xml:space="preserve">the </w:t>
      </w:r>
      <w:r w:rsidRPr="002451D0">
        <w:rPr>
          <w:rFonts w:ascii="Times New Roman" w:hAnsi="Times New Roman"/>
        </w:rPr>
        <w:t xml:space="preserve">collection burden for 3038-0074 to account for the </w:t>
      </w:r>
      <w:r w:rsidRPr="002451D0" w:rsidR="00C33D03">
        <w:rPr>
          <w:rFonts w:ascii="Times New Roman" w:hAnsi="Times New Roman"/>
        </w:rPr>
        <w:t>de</w:t>
      </w:r>
      <w:r w:rsidRPr="002451D0">
        <w:rPr>
          <w:rFonts w:ascii="Times New Roman" w:hAnsi="Times New Roman"/>
        </w:rPr>
        <w:t>crease in the number of registered SEFs.</w:t>
      </w:r>
      <w:r w:rsidRPr="002451D0" w:rsidR="00866C6A">
        <w:rPr>
          <w:rFonts w:ascii="Times New Roman" w:hAnsi="Times New Roman"/>
        </w:rPr>
        <w:t xml:space="preserve">  The </w:t>
      </w:r>
      <w:r w:rsidRPr="002451D0" w:rsidR="00C33D03">
        <w:rPr>
          <w:rFonts w:ascii="Times New Roman" w:hAnsi="Times New Roman"/>
        </w:rPr>
        <w:t xml:space="preserve">decrease </w:t>
      </w:r>
      <w:r w:rsidRPr="002451D0" w:rsidR="00866C6A">
        <w:rPr>
          <w:rFonts w:ascii="Times New Roman" w:hAnsi="Times New Roman"/>
        </w:rPr>
        <w:t xml:space="preserve">in the number of </w:t>
      </w:r>
      <w:r w:rsidRPr="002451D0" w:rsidR="006F1D77">
        <w:rPr>
          <w:rFonts w:ascii="Times New Roman" w:hAnsi="Times New Roman"/>
        </w:rPr>
        <w:t>SEFs</w:t>
      </w:r>
      <w:r w:rsidRPr="002451D0" w:rsidR="00866C6A">
        <w:rPr>
          <w:rFonts w:ascii="Times New Roman" w:hAnsi="Times New Roman"/>
        </w:rPr>
        <w:t xml:space="preserve"> will </w:t>
      </w:r>
      <w:r w:rsidRPr="002451D0" w:rsidR="00C33D03">
        <w:rPr>
          <w:rFonts w:ascii="Times New Roman" w:hAnsi="Times New Roman"/>
        </w:rPr>
        <w:t xml:space="preserve">decrease </w:t>
      </w:r>
      <w:r w:rsidRPr="002451D0" w:rsidR="00866C6A">
        <w:rPr>
          <w:rFonts w:ascii="Times New Roman" w:hAnsi="Times New Roman"/>
        </w:rPr>
        <w:t xml:space="preserve">the total information collection burden for </w:t>
      </w:r>
      <w:r w:rsidRPr="002451D0" w:rsidR="009C3B4D">
        <w:rPr>
          <w:rFonts w:ascii="Times New Roman" w:hAnsi="Times New Roman"/>
        </w:rPr>
        <w:t xml:space="preserve">registered SEFs in </w:t>
      </w:r>
      <w:r w:rsidRPr="002451D0" w:rsidR="00866C6A">
        <w:rPr>
          <w:rFonts w:ascii="Times New Roman" w:hAnsi="Times New Roman"/>
        </w:rPr>
        <w:t xml:space="preserve">3038-0074 from </w:t>
      </w:r>
      <w:r w:rsidRPr="002451D0" w:rsidR="00C33D03">
        <w:rPr>
          <w:rFonts w:ascii="Times New Roman" w:hAnsi="Times New Roman"/>
        </w:rPr>
        <w:t>25</w:t>
      </w:r>
      <w:r w:rsidRPr="002451D0" w:rsidR="00866C6A">
        <w:rPr>
          <w:rFonts w:ascii="Times New Roman" w:hAnsi="Times New Roman"/>
        </w:rPr>
        <w:t xml:space="preserve">,000 hours to </w:t>
      </w:r>
      <w:r w:rsidRPr="002451D0" w:rsidR="00C33D03">
        <w:rPr>
          <w:rFonts w:ascii="Times New Roman" w:hAnsi="Times New Roman"/>
        </w:rPr>
        <w:t>21</w:t>
      </w:r>
      <w:r w:rsidRPr="002451D0" w:rsidR="00866C6A">
        <w:rPr>
          <w:rFonts w:ascii="Times New Roman" w:hAnsi="Times New Roman"/>
        </w:rPr>
        <w:t xml:space="preserve">,000 hours </w:t>
      </w:r>
      <w:r w:rsidRPr="002451D0" w:rsidR="005568AB">
        <w:rPr>
          <w:rFonts w:ascii="Times New Roman" w:hAnsi="Times New Roman"/>
        </w:rPr>
        <w:t>and the total burden for th</w:t>
      </w:r>
      <w:r w:rsidRPr="002451D0" w:rsidR="00F826EA">
        <w:rPr>
          <w:rFonts w:ascii="Times New Roman" w:hAnsi="Times New Roman"/>
        </w:rPr>
        <w:t xml:space="preserve">e </w:t>
      </w:r>
      <w:r w:rsidRPr="002451D0" w:rsidR="005568AB">
        <w:rPr>
          <w:rFonts w:ascii="Times New Roman" w:hAnsi="Times New Roman"/>
        </w:rPr>
        <w:t xml:space="preserve">collection to </w:t>
      </w:r>
      <w:r w:rsidRPr="002451D0" w:rsidR="00C33D03">
        <w:rPr>
          <w:rFonts w:ascii="Times New Roman" w:hAnsi="Times New Roman"/>
        </w:rPr>
        <w:t>22</w:t>
      </w:r>
      <w:r w:rsidRPr="002451D0" w:rsidR="005568AB">
        <w:rPr>
          <w:rFonts w:ascii="Times New Roman" w:hAnsi="Times New Roman"/>
        </w:rPr>
        <w:t xml:space="preserve">,200 hours.  </w:t>
      </w:r>
      <w:r w:rsidRPr="002451D0" w:rsidR="00866C6A">
        <w:rPr>
          <w:rFonts w:ascii="Times New Roman" w:hAnsi="Times New Roman"/>
        </w:rPr>
        <w:t xml:space="preserve">(See Attachment A).    </w:t>
      </w:r>
    </w:p>
    <w:p w:rsidRPr="002451D0" w:rsidR="00690529" w:rsidP="00C60F97" w:rsidRDefault="006F1D77">
      <w:pPr>
        <w:tabs>
          <w:tab w:val="left" w:pos="-720"/>
        </w:tabs>
        <w:suppressAutoHyphens/>
        <w:ind w:left="720"/>
        <w:rPr>
          <w:rFonts w:ascii="Times New Roman" w:hAnsi="Times New Roman"/>
        </w:rPr>
      </w:pPr>
      <w:r w:rsidRPr="002451D0">
        <w:rPr>
          <w:rFonts w:ascii="Times New Roman" w:hAnsi="Times New Roman"/>
        </w:rPr>
        <w:t xml:space="preserve">       </w:t>
      </w:r>
    </w:p>
    <w:p w:rsidRPr="002451D0" w:rsidR="002D133A" w:rsidRDefault="002D133A">
      <w:pPr>
        <w:tabs>
          <w:tab w:val="left" w:pos="-720"/>
        </w:tabs>
        <w:suppressAutoHyphens/>
        <w:ind w:left="720" w:hanging="720"/>
        <w:rPr>
          <w:rFonts w:ascii="Times New Roman" w:hAnsi="Times New Roman"/>
        </w:rPr>
      </w:pPr>
      <w:r w:rsidRPr="002451D0">
        <w:rPr>
          <w:rFonts w:ascii="Times New Roman" w:hAnsi="Times New Roman"/>
        </w:rPr>
        <w:t>2.</w:t>
      </w:r>
      <w:r w:rsidRPr="002451D0">
        <w:rPr>
          <w:rFonts w:ascii="Times New Roman" w:hAnsi="Times New Roman"/>
        </w:rPr>
        <w:tab/>
      </w:r>
      <w:r w:rsidRPr="002451D0">
        <w:rPr>
          <w:rFonts w:ascii="Times New Roman" w:hAnsi="Times New Roman"/>
          <w:u w:val="single"/>
        </w:rPr>
        <w:t>Indicate how, by whom, and for what purpose the dat</w:t>
      </w:r>
      <w:r w:rsidRPr="002451D0" w:rsidR="00C33A9E">
        <w:rPr>
          <w:rFonts w:ascii="Times New Roman" w:hAnsi="Times New Roman"/>
          <w:u w:val="single"/>
        </w:rPr>
        <w:t>a</w:t>
      </w:r>
      <w:r w:rsidRPr="002451D0">
        <w:rPr>
          <w:rFonts w:ascii="Times New Roman" w:hAnsi="Times New Roman"/>
          <w:u w:val="single"/>
        </w:rPr>
        <w:t xml:space="preserve"> would be used.  Except for a new collection, indicate the actual use the agency has made of the information received from the current collection</w:t>
      </w:r>
      <w:r w:rsidRPr="002451D0">
        <w:rPr>
          <w:rFonts w:ascii="Times New Roman" w:hAnsi="Times New Roman"/>
        </w:rPr>
        <w:t>.</w:t>
      </w:r>
    </w:p>
    <w:p w:rsidRPr="002451D0" w:rsidR="00C33A9E" w:rsidRDefault="00C33A9E">
      <w:pPr>
        <w:tabs>
          <w:tab w:val="left" w:pos="-720"/>
        </w:tabs>
        <w:suppressAutoHyphens/>
        <w:ind w:left="720" w:hanging="720"/>
        <w:rPr>
          <w:rFonts w:ascii="Times New Roman" w:hAnsi="Times New Roman"/>
        </w:rPr>
      </w:pPr>
    </w:p>
    <w:p w:rsidRPr="002451D0" w:rsidR="00661626" w:rsidP="00661626" w:rsidRDefault="00C33A9E">
      <w:pPr>
        <w:tabs>
          <w:tab w:val="left" w:pos="-720"/>
        </w:tabs>
        <w:suppressAutoHyphens/>
        <w:ind w:left="720" w:hanging="720"/>
        <w:rPr>
          <w:rFonts w:ascii="Times New Roman" w:hAnsi="Times New Roman"/>
        </w:rPr>
      </w:pPr>
      <w:r w:rsidRPr="002451D0">
        <w:rPr>
          <w:rFonts w:ascii="Times New Roman" w:hAnsi="Times New Roman"/>
        </w:rPr>
        <w:tab/>
        <w:t>Th</w:t>
      </w:r>
      <w:r w:rsidRPr="002451D0" w:rsidR="00981B08">
        <w:rPr>
          <w:rFonts w:ascii="Times New Roman" w:hAnsi="Times New Roman"/>
        </w:rPr>
        <w:t>e</w:t>
      </w:r>
      <w:r w:rsidRPr="002451D0">
        <w:rPr>
          <w:rFonts w:ascii="Times New Roman" w:hAnsi="Times New Roman"/>
        </w:rPr>
        <w:t xml:space="preserve"> information will be used </w:t>
      </w:r>
      <w:r w:rsidRPr="002451D0" w:rsidR="00506B9A">
        <w:rPr>
          <w:rFonts w:ascii="Times New Roman" w:hAnsi="Times New Roman"/>
        </w:rPr>
        <w:t xml:space="preserve">and has been used </w:t>
      </w:r>
      <w:r w:rsidRPr="002451D0">
        <w:rPr>
          <w:rFonts w:ascii="Times New Roman" w:hAnsi="Times New Roman"/>
        </w:rPr>
        <w:t>by the Commission to determine whether SEFs, and applicants</w:t>
      </w:r>
      <w:r w:rsidRPr="002451D0" w:rsidR="00506B9A">
        <w:rPr>
          <w:rFonts w:ascii="Times New Roman" w:hAnsi="Times New Roman"/>
        </w:rPr>
        <w:t xml:space="preserve"> seeking registration as a </w:t>
      </w:r>
      <w:r w:rsidRPr="002451D0">
        <w:rPr>
          <w:rFonts w:ascii="Times New Roman" w:hAnsi="Times New Roman"/>
        </w:rPr>
        <w:t>SEF</w:t>
      </w:r>
      <w:r w:rsidRPr="002451D0" w:rsidR="00506B9A">
        <w:rPr>
          <w:rFonts w:ascii="Times New Roman" w:hAnsi="Times New Roman"/>
        </w:rPr>
        <w:t xml:space="preserve"> with the Commission</w:t>
      </w:r>
      <w:r w:rsidRPr="002451D0" w:rsidR="00C449F0">
        <w:rPr>
          <w:rFonts w:ascii="Times New Roman" w:hAnsi="Times New Roman"/>
        </w:rPr>
        <w:t>,</w:t>
      </w:r>
      <w:r w:rsidRPr="002451D0">
        <w:rPr>
          <w:rFonts w:ascii="Times New Roman" w:hAnsi="Times New Roman"/>
        </w:rPr>
        <w:t xml:space="preserve"> are in compliance with applicable core principles</w:t>
      </w:r>
      <w:r w:rsidRPr="002451D0" w:rsidR="00194B79">
        <w:rPr>
          <w:rFonts w:ascii="Times New Roman" w:hAnsi="Times New Roman"/>
        </w:rPr>
        <w:t xml:space="preserve"> and</w:t>
      </w:r>
      <w:r w:rsidRPr="002451D0" w:rsidR="00AC1451">
        <w:rPr>
          <w:rFonts w:ascii="Times New Roman" w:hAnsi="Times New Roman"/>
        </w:rPr>
        <w:t xml:space="preserve"> all</w:t>
      </w:r>
      <w:r w:rsidRPr="002451D0" w:rsidR="00194B79">
        <w:rPr>
          <w:rFonts w:ascii="Times New Roman" w:hAnsi="Times New Roman"/>
        </w:rPr>
        <w:t xml:space="preserve"> other part 37 requirements</w:t>
      </w:r>
      <w:r w:rsidRPr="002451D0" w:rsidR="00661626">
        <w:rPr>
          <w:rFonts w:ascii="Times New Roman" w:hAnsi="Times New Roman"/>
        </w:rPr>
        <w:t xml:space="preserve">.  </w:t>
      </w:r>
    </w:p>
    <w:p w:rsidRPr="002451D0" w:rsidR="00E80CB2" w:rsidP="00E80CB2" w:rsidRDefault="00E80CB2">
      <w:pPr>
        <w:tabs>
          <w:tab w:val="left" w:pos="-720"/>
        </w:tabs>
        <w:suppressAutoHyphens/>
        <w:ind w:left="720" w:hanging="720"/>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u w:val="single"/>
        </w:rPr>
      </w:pPr>
      <w:r w:rsidRPr="002451D0">
        <w:rPr>
          <w:rFonts w:ascii="Times New Roman" w:hAnsi="Times New Roman"/>
        </w:rPr>
        <w:t>3.</w:t>
      </w:r>
      <w:r w:rsidRPr="002451D0">
        <w:rPr>
          <w:rFonts w:ascii="Times New Roman" w:hAnsi="Times New Roman"/>
        </w:rPr>
        <w:tab/>
      </w:r>
      <w:r w:rsidRPr="002451D0">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451D0" w:rsidR="00AD00FE" w:rsidRDefault="00AD00FE">
      <w:pPr>
        <w:tabs>
          <w:tab w:val="left" w:pos="-720"/>
          <w:tab w:val="left" w:pos="0"/>
        </w:tabs>
        <w:suppressAutoHyphens/>
        <w:ind w:left="720" w:hanging="720"/>
        <w:rPr>
          <w:rFonts w:ascii="Times New Roman" w:hAnsi="Times New Roman"/>
          <w:u w:val="single"/>
        </w:rPr>
      </w:pPr>
    </w:p>
    <w:p w:rsidRPr="002451D0" w:rsidR="00981B08" w:rsidRDefault="00AD00FE">
      <w:pPr>
        <w:tabs>
          <w:tab w:val="left" w:pos="-720"/>
          <w:tab w:val="left" w:pos="0"/>
        </w:tabs>
        <w:suppressAutoHyphens/>
        <w:ind w:left="720" w:hanging="720"/>
        <w:rPr>
          <w:rFonts w:ascii="Times New Roman" w:hAnsi="Times New Roman"/>
        </w:rPr>
      </w:pPr>
      <w:r w:rsidRPr="002451D0">
        <w:rPr>
          <w:rFonts w:ascii="Times New Roman" w:hAnsi="Times New Roman"/>
        </w:rPr>
        <w:tab/>
        <w:t xml:space="preserve">All required submissions by SEFs to the </w:t>
      </w:r>
      <w:r w:rsidRPr="002451D0" w:rsidR="00EE2F6D">
        <w:rPr>
          <w:rFonts w:ascii="Times New Roman" w:hAnsi="Times New Roman"/>
        </w:rPr>
        <w:t xml:space="preserve">Commission </w:t>
      </w:r>
      <w:r w:rsidRPr="002451D0">
        <w:rPr>
          <w:rFonts w:ascii="Times New Roman" w:hAnsi="Times New Roman"/>
        </w:rPr>
        <w:t xml:space="preserve">must be </w:t>
      </w:r>
      <w:r w:rsidRPr="002451D0" w:rsidR="00506B9A">
        <w:rPr>
          <w:rFonts w:ascii="Times New Roman" w:hAnsi="Times New Roman"/>
        </w:rPr>
        <w:t>submitted</w:t>
      </w:r>
      <w:r w:rsidRPr="002451D0">
        <w:rPr>
          <w:rFonts w:ascii="Times New Roman" w:hAnsi="Times New Roman"/>
        </w:rPr>
        <w:t xml:space="preserve"> electronically</w:t>
      </w:r>
      <w:r w:rsidRPr="002451D0" w:rsidR="00981B08">
        <w:rPr>
          <w:rFonts w:ascii="Times New Roman" w:hAnsi="Times New Roman"/>
        </w:rPr>
        <w:t xml:space="preserve">, including the access and disciplinary notice </w:t>
      </w:r>
      <w:r w:rsidRPr="002451D0" w:rsidR="00660117">
        <w:rPr>
          <w:rFonts w:ascii="Times New Roman" w:hAnsi="Times New Roman"/>
        </w:rPr>
        <w:t>information</w:t>
      </w:r>
      <w:r w:rsidRPr="002451D0">
        <w:rPr>
          <w:rFonts w:ascii="Times New Roman" w:hAnsi="Times New Roman"/>
        </w:rPr>
        <w:t xml:space="preserve">. </w:t>
      </w:r>
      <w:r w:rsidRPr="002451D0" w:rsidR="00141085">
        <w:rPr>
          <w:rFonts w:ascii="Times New Roman" w:hAnsi="Times New Roman"/>
        </w:rPr>
        <w:t xml:space="preserve"> </w:t>
      </w:r>
      <w:r w:rsidRPr="002451D0">
        <w:rPr>
          <w:rFonts w:ascii="Times New Roman" w:hAnsi="Times New Roman"/>
        </w:rPr>
        <w:t>All required information to be provided to the public may be posted on the SEF’s website.</w:t>
      </w:r>
      <w:r w:rsidRPr="002451D0" w:rsidR="00981B08">
        <w:rPr>
          <w:rFonts w:ascii="Times New Roman" w:hAnsi="Times New Roman"/>
        </w:rPr>
        <w:tab/>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4.</w:t>
      </w:r>
      <w:r w:rsidRPr="002451D0">
        <w:rPr>
          <w:rFonts w:ascii="Times New Roman" w:hAnsi="Times New Roman"/>
        </w:rPr>
        <w:tab/>
      </w:r>
      <w:r w:rsidRPr="002451D0">
        <w:rPr>
          <w:rFonts w:ascii="Times New Roman" w:hAnsi="Times New Roman"/>
          <w:u w:val="single"/>
        </w:rPr>
        <w:t>Describe efforts to identify duplication.  Show specifically why any similar information already available cannot be used or modified for use for the purposes described in Item 2 above</w:t>
      </w:r>
      <w:r w:rsidRPr="002451D0">
        <w:rPr>
          <w:rFonts w:ascii="Times New Roman" w:hAnsi="Times New Roman"/>
        </w:rPr>
        <w:t>.</w:t>
      </w:r>
    </w:p>
    <w:p w:rsidRPr="002451D0" w:rsidR="00AD00FE" w:rsidRDefault="00AD00FE">
      <w:pPr>
        <w:tabs>
          <w:tab w:val="left" w:pos="-720"/>
          <w:tab w:val="left" w:pos="0"/>
        </w:tabs>
        <w:suppressAutoHyphens/>
        <w:ind w:left="720" w:hanging="720"/>
        <w:rPr>
          <w:rFonts w:ascii="Times New Roman" w:hAnsi="Times New Roman"/>
        </w:rPr>
      </w:pPr>
    </w:p>
    <w:p w:rsidRPr="002451D0" w:rsidR="00AD00FE" w:rsidRDefault="00AD00FE">
      <w:pPr>
        <w:tabs>
          <w:tab w:val="left" w:pos="-720"/>
          <w:tab w:val="left" w:pos="0"/>
        </w:tabs>
        <w:suppressAutoHyphens/>
        <w:ind w:left="720" w:hanging="720"/>
        <w:rPr>
          <w:rFonts w:ascii="Times New Roman" w:hAnsi="Times New Roman"/>
        </w:rPr>
      </w:pPr>
      <w:r w:rsidRPr="002451D0">
        <w:rPr>
          <w:rFonts w:ascii="Times New Roman" w:hAnsi="Times New Roman"/>
        </w:rPr>
        <w:tab/>
        <w:t>Information collected under this OMB Control Number</w:t>
      </w:r>
      <w:r w:rsidRPr="002451D0" w:rsidR="00981B08">
        <w:rPr>
          <w:rFonts w:ascii="Times New Roman" w:hAnsi="Times New Roman"/>
        </w:rPr>
        <w:t xml:space="preserve">, including the disciplinary and access denial information, </w:t>
      </w:r>
      <w:r w:rsidRPr="002451D0">
        <w:rPr>
          <w:rFonts w:ascii="Times New Roman" w:hAnsi="Times New Roman"/>
        </w:rPr>
        <w:t>is not already collected by the Commission for any other purpose, nor is it collected by any other agency, nor is the information available from any other source.</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5.</w:t>
      </w:r>
      <w:r w:rsidRPr="002451D0">
        <w:rPr>
          <w:rFonts w:ascii="Times New Roman" w:hAnsi="Times New Roman"/>
        </w:rPr>
        <w:tab/>
      </w:r>
      <w:r w:rsidRPr="002451D0">
        <w:rPr>
          <w:rFonts w:ascii="Times New Roman" w:hAnsi="Times New Roman"/>
          <w:u w:val="single"/>
        </w:rPr>
        <w:t>If the collection of information involves small business or other small entities (Item 5 of OMB From 83-I), describe the methods used to minimize burden</w:t>
      </w:r>
      <w:r w:rsidRPr="002451D0">
        <w:rPr>
          <w:rFonts w:ascii="Times New Roman" w:hAnsi="Times New Roman"/>
        </w:rPr>
        <w:t>.</w:t>
      </w:r>
    </w:p>
    <w:p w:rsidRPr="002451D0" w:rsidR="002D271D" w:rsidRDefault="002D271D">
      <w:pPr>
        <w:tabs>
          <w:tab w:val="left" w:pos="-720"/>
          <w:tab w:val="left" w:pos="0"/>
        </w:tabs>
        <w:suppressAutoHyphens/>
        <w:ind w:left="720" w:hanging="720"/>
        <w:rPr>
          <w:rFonts w:ascii="Times New Roman" w:hAnsi="Times New Roman"/>
        </w:rPr>
      </w:pPr>
    </w:p>
    <w:p w:rsidRPr="002451D0" w:rsidR="002D271D" w:rsidRDefault="002D271D">
      <w:pPr>
        <w:tabs>
          <w:tab w:val="left" w:pos="-720"/>
          <w:tab w:val="left" w:pos="0"/>
        </w:tabs>
        <w:suppressAutoHyphens/>
        <w:ind w:left="720" w:hanging="720"/>
        <w:rPr>
          <w:rFonts w:ascii="Times New Roman" w:hAnsi="Times New Roman"/>
        </w:rPr>
      </w:pPr>
      <w:r w:rsidRPr="002451D0">
        <w:rPr>
          <w:rFonts w:ascii="Times New Roman" w:hAnsi="Times New Roman"/>
        </w:rPr>
        <w:tab/>
        <w:t xml:space="preserve">The required information collected under this OMB Control </w:t>
      </w:r>
      <w:r w:rsidRPr="002451D0" w:rsidR="00194B79">
        <w:rPr>
          <w:rFonts w:ascii="Times New Roman" w:hAnsi="Times New Roman"/>
        </w:rPr>
        <w:t>N</w:t>
      </w:r>
      <w:r w:rsidRPr="002451D0">
        <w:rPr>
          <w:rFonts w:ascii="Times New Roman" w:hAnsi="Times New Roman"/>
        </w:rPr>
        <w:t xml:space="preserve">umber </w:t>
      </w:r>
      <w:r w:rsidRPr="002451D0" w:rsidR="00A275E8">
        <w:rPr>
          <w:rFonts w:ascii="Times New Roman" w:hAnsi="Times New Roman"/>
        </w:rPr>
        <w:t>does</w:t>
      </w:r>
      <w:r w:rsidRPr="002451D0">
        <w:rPr>
          <w:rFonts w:ascii="Times New Roman" w:hAnsi="Times New Roman"/>
        </w:rPr>
        <w:t xml:space="preserve"> not involve any small businesses or other small entities.  </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6.</w:t>
      </w:r>
      <w:r w:rsidRPr="002451D0">
        <w:rPr>
          <w:rFonts w:ascii="Times New Roman" w:hAnsi="Times New Roman"/>
        </w:rPr>
        <w:tab/>
      </w:r>
      <w:r w:rsidRPr="002451D0">
        <w:rPr>
          <w:rFonts w:ascii="Times New Roman" w:hAnsi="Times New Roman"/>
          <w:u w:val="single"/>
        </w:rPr>
        <w:t>Describe the consequence to the Federal Program or policy activities if the collection were conducted less frequently as well as any technical or legal obstacles to reducing burden</w:t>
      </w:r>
      <w:r w:rsidRPr="002451D0">
        <w:rPr>
          <w:rFonts w:ascii="Times New Roman" w:hAnsi="Times New Roman"/>
        </w:rPr>
        <w:t>.</w:t>
      </w:r>
    </w:p>
    <w:p w:rsidRPr="002451D0" w:rsidR="006441D4" w:rsidRDefault="006441D4">
      <w:pPr>
        <w:tabs>
          <w:tab w:val="left" w:pos="-720"/>
          <w:tab w:val="left" w:pos="0"/>
        </w:tabs>
        <w:suppressAutoHyphens/>
        <w:ind w:left="720" w:hanging="720"/>
        <w:rPr>
          <w:rFonts w:ascii="Times New Roman" w:hAnsi="Times New Roman"/>
        </w:rPr>
      </w:pPr>
    </w:p>
    <w:p w:rsidRPr="002451D0" w:rsidR="006441D4" w:rsidRDefault="006441D4">
      <w:pPr>
        <w:tabs>
          <w:tab w:val="left" w:pos="-720"/>
          <w:tab w:val="left" w:pos="0"/>
        </w:tabs>
        <w:suppressAutoHyphens/>
        <w:ind w:left="720" w:hanging="720"/>
        <w:rPr>
          <w:rFonts w:ascii="Times New Roman" w:hAnsi="Times New Roman"/>
        </w:rPr>
      </w:pPr>
      <w:r w:rsidRPr="002451D0">
        <w:rPr>
          <w:rFonts w:ascii="Times New Roman" w:hAnsi="Times New Roman"/>
        </w:rPr>
        <w:tab/>
        <w:t>This question is not applicable.</w:t>
      </w:r>
    </w:p>
    <w:p w:rsidRPr="002451D0" w:rsidR="002D133A" w:rsidRDefault="002D133A">
      <w:pPr>
        <w:tabs>
          <w:tab w:val="left" w:pos="-720"/>
        </w:tabs>
        <w:suppressAutoHyphens/>
        <w:rPr>
          <w:rFonts w:ascii="Times New Roman" w:hAnsi="Times New Roman"/>
        </w:rPr>
      </w:pPr>
    </w:p>
    <w:p w:rsidRPr="002451D0" w:rsidR="002D133A" w:rsidP="00ED6C64" w:rsidRDefault="002D133A">
      <w:pPr>
        <w:tabs>
          <w:tab w:val="left" w:pos="-720"/>
        </w:tabs>
        <w:suppressAutoHyphens/>
        <w:rPr>
          <w:rFonts w:ascii="Times New Roman" w:hAnsi="Times New Roman"/>
        </w:rPr>
      </w:pPr>
      <w:r w:rsidRPr="002451D0">
        <w:rPr>
          <w:rFonts w:ascii="Times New Roman" w:hAnsi="Times New Roman"/>
        </w:rPr>
        <w:t xml:space="preserve"> 7.</w:t>
      </w:r>
      <w:r w:rsidRPr="002451D0">
        <w:rPr>
          <w:rFonts w:ascii="Times New Roman" w:hAnsi="Times New Roman"/>
        </w:rPr>
        <w:tab/>
      </w:r>
      <w:r w:rsidRPr="002451D0">
        <w:rPr>
          <w:rFonts w:ascii="Times New Roman" w:hAnsi="Times New Roman"/>
          <w:u w:val="single"/>
        </w:rPr>
        <w:t>Explain any special circumstances that require the collection to be conducted in a manner</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requiring respondents to report information to the agency more often than quarterly;</w:t>
      </w:r>
    </w:p>
    <w:p w:rsidRPr="002451D0" w:rsidR="00141085" w:rsidP="00141085" w:rsidRDefault="006441D4">
      <w:pPr>
        <w:tabs>
          <w:tab w:val="left" w:pos="-720"/>
        </w:tabs>
        <w:suppressAutoHyphens/>
        <w:rPr>
          <w:rFonts w:ascii="Times New Roman" w:hAnsi="Times New Roman"/>
        </w:rPr>
      </w:pPr>
      <w:r w:rsidRPr="002451D0">
        <w:rPr>
          <w:rFonts w:ascii="Times New Roman" w:hAnsi="Times New Roman"/>
        </w:rPr>
        <w:tab/>
      </w:r>
      <w:r w:rsidRPr="002451D0">
        <w:rPr>
          <w:rFonts w:ascii="Times New Roman" w:hAnsi="Times New Roman"/>
        </w:rPr>
        <w:tab/>
      </w:r>
    </w:p>
    <w:p w:rsidRPr="002451D0" w:rsidR="00141085" w:rsidP="00141085" w:rsidRDefault="00141085">
      <w:pPr>
        <w:tabs>
          <w:tab w:val="left" w:pos="-720"/>
        </w:tabs>
        <w:suppressAutoHyphens/>
        <w:ind w:left="1440"/>
        <w:rPr>
          <w:rFonts w:ascii="Times New Roman" w:hAnsi="Times New Roman"/>
        </w:rPr>
      </w:pPr>
      <w:r w:rsidRPr="002451D0">
        <w:rPr>
          <w:rFonts w:ascii="Times New Roman" w:hAnsi="Times New Roman"/>
        </w:rPr>
        <w:t xml:space="preserve">The final rules require respondents to report the disciplinary and access denial information to the NFA within 30 days of the adverse action. </w:t>
      </w:r>
    </w:p>
    <w:p w:rsidRPr="002451D0" w:rsidR="006441D4" w:rsidP="006441D4" w:rsidRDefault="006441D4">
      <w:pPr>
        <w:tabs>
          <w:tab w:val="left" w:pos="-720"/>
        </w:tabs>
        <w:suppressAutoHyphens/>
        <w:ind w:left="1440"/>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requiring respondents to prepare a written response to a collection of information in fewer than 30 days after receipt of it:</w:t>
      </w:r>
    </w:p>
    <w:p w:rsidRPr="002451D0" w:rsidR="006441D4" w:rsidRDefault="006441D4">
      <w:pPr>
        <w:tabs>
          <w:tab w:val="left" w:pos="-720"/>
          <w:tab w:val="left" w:pos="0"/>
          <w:tab w:val="left" w:pos="720"/>
        </w:tabs>
        <w:suppressAutoHyphens/>
        <w:ind w:left="1440" w:hanging="1440"/>
        <w:rPr>
          <w:rFonts w:ascii="Times New Roman" w:hAnsi="Times New Roman"/>
          <w:u w:val="single"/>
        </w:rPr>
      </w:pPr>
    </w:p>
    <w:p w:rsidRPr="002451D0" w:rsidR="006441D4" w:rsidRDefault="006441D4">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t>In order for the Commission to adequately perform its statutory responsibility to determine whether SEFs, and applicants to become SEFs, are in compliance with the applicable core principles, a request for information may require the collection and presentation of information in fewer than 30 days depending on the exigency of the situation.</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requiring respondents to submit more that an original and two copies of any document</w:t>
      </w:r>
      <w:r w:rsidRPr="002451D0">
        <w:rPr>
          <w:rFonts w:ascii="Times New Roman" w:hAnsi="Times New Roman"/>
        </w:rPr>
        <w:t>;</w:t>
      </w:r>
    </w:p>
    <w:p w:rsidRPr="002451D0" w:rsidR="00A51412" w:rsidRDefault="00A51412">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p>
    <w:p w:rsidRPr="002451D0" w:rsidR="00A51412" w:rsidRDefault="00A51412">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t>Respondents are not required to submit more than an original and two copies of any documents.</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requiring respondents to retain records other than health, medical, government contract, grant-in-aid, or tax records, for more than three years</w:t>
      </w:r>
      <w:r w:rsidRPr="002451D0">
        <w:rPr>
          <w:rFonts w:ascii="Times New Roman" w:hAnsi="Times New Roman"/>
        </w:rPr>
        <w:t>;</w:t>
      </w:r>
    </w:p>
    <w:p w:rsidRPr="002451D0" w:rsidR="005705D1" w:rsidRDefault="005705D1">
      <w:pPr>
        <w:tabs>
          <w:tab w:val="left" w:pos="-720"/>
          <w:tab w:val="left" w:pos="0"/>
          <w:tab w:val="left" w:pos="720"/>
        </w:tabs>
        <w:suppressAutoHyphens/>
        <w:ind w:left="1440" w:hanging="1440"/>
        <w:rPr>
          <w:rFonts w:ascii="Times New Roman" w:hAnsi="Times New Roman"/>
        </w:rPr>
      </w:pPr>
    </w:p>
    <w:p w:rsidRPr="002451D0" w:rsidR="005705D1" w:rsidRDefault="005705D1">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r>
      <w:r w:rsidRPr="002451D0" w:rsidR="00A275E8">
        <w:rPr>
          <w:rFonts w:ascii="Times New Roman" w:hAnsi="Times New Roman"/>
        </w:rPr>
        <w:t xml:space="preserve">Commission Regulation 1.31 and Core Principle 10 (Recordkeeping) require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  </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in connection with a statistical survey, that is not designed to produce valid and reliable results that can be generalized to the universe of study</w:t>
      </w:r>
      <w:r w:rsidRPr="002451D0">
        <w:rPr>
          <w:rFonts w:ascii="Times New Roman" w:hAnsi="Times New Roman"/>
        </w:rPr>
        <w:t xml:space="preserve">; </w:t>
      </w:r>
    </w:p>
    <w:p w:rsidRPr="002451D0" w:rsidR="00DB1D30" w:rsidRDefault="00DB1D30">
      <w:pPr>
        <w:tabs>
          <w:tab w:val="left" w:pos="-720"/>
          <w:tab w:val="left" w:pos="0"/>
          <w:tab w:val="left" w:pos="720"/>
        </w:tabs>
        <w:suppressAutoHyphens/>
        <w:ind w:left="1440" w:hanging="1440"/>
        <w:rPr>
          <w:rFonts w:ascii="Times New Roman" w:hAnsi="Times New Roman"/>
        </w:rPr>
      </w:pPr>
    </w:p>
    <w:p w:rsidRPr="002451D0" w:rsidR="00DB1D30" w:rsidRDefault="00DB1D30">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t>The collection does not involve a statistical survey.</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requiring the use of a statistical data classification that has not been reviewed and approved by OMB</w:t>
      </w:r>
      <w:r w:rsidRPr="002451D0">
        <w:rPr>
          <w:rFonts w:ascii="Times New Roman" w:hAnsi="Times New Roman"/>
        </w:rPr>
        <w:t>;</w:t>
      </w:r>
    </w:p>
    <w:p w:rsidRPr="002451D0" w:rsidR="00DB1D30" w:rsidRDefault="00DB1D30">
      <w:pPr>
        <w:tabs>
          <w:tab w:val="left" w:pos="-720"/>
          <w:tab w:val="left" w:pos="0"/>
          <w:tab w:val="left" w:pos="720"/>
        </w:tabs>
        <w:suppressAutoHyphens/>
        <w:ind w:left="1440" w:hanging="1440"/>
        <w:rPr>
          <w:rFonts w:ascii="Times New Roman" w:hAnsi="Times New Roman"/>
        </w:rPr>
      </w:pPr>
    </w:p>
    <w:p w:rsidRPr="002451D0" w:rsidR="00DB1D30" w:rsidRDefault="00DB1D30">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t xml:space="preserve">The collection does not involve </w:t>
      </w:r>
      <w:r w:rsidRPr="002451D0" w:rsidR="00BD732F">
        <w:rPr>
          <w:rFonts w:ascii="Times New Roman" w:hAnsi="Times New Roman"/>
        </w:rPr>
        <w:t>the use of any statistical data.</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2451D0" w:rsidR="00DB1D30" w:rsidRDefault="00DB1D30">
      <w:pPr>
        <w:tabs>
          <w:tab w:val="left" w:pos="-720"/>
          <w:tab w:val="left" w:pos="0"/>
          <w:tab w:val="left" w:pos="720"/>
        </w:tabs>
        <w:suppressAutoHyphens/>
        <w:ind w:left="1440" w:hanging="1440"/>
        <w:rPr>
          <w:rFonts w:ascii="Times New Roman" w:hAnsi="Times New Roman"/>
          <w:u w:val="single"/>
        </w:rPr>
      </w:pPr>
    </w:p>
    <w:p w:rsidRPr="002451D0" w:rsidR="00DB1D30" w:rsidRDefault="00DB1D30">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t>The collection does not involve any pledge of confidentiality.</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sidRPr="002451D0">
        <w:rPr>
          <w:rFonts w:ascii="Times New Roman" w:hAnsi="Times New Roman"/>
        </w:rPr>
        <w:t>.</w:t>
      </w:r>
    </w:p>
    <w:p w:rsidRPr="002451D0" w:rsidR="00DB1D30" w:rsidRDefault="00DB1D30">
      <w:pPr>
        <w:tabs>
          <w:tab w:val="left" w:pos="-720"/>
          <w:tab w:val="left" w:pos="0"/>
          <w:tab w:val="left" w:pos="720"/>
        </w:tabs>
        <w:suppressAutoHyphens/>
        <w:ind w:left="1440" w:hanging="1440"/>
        <w:rPr>
          <w:rFonts w:ascii="Times New Roman" w:hAnsi="Times New Roman"/>
        </w:rPr>
      </w:pPr>
    </w:p>
    <w:p w:rsidRPr="002451D0" w:rsidR="002D133A" w:rsidRDefault="00DB1D30">
      <w:pPr>
        <w:tabs>
          <w:tab w:val="left" w:pos="-720"/>
        </w:tabs>
        <w:suppressAutoHyphens/>
        <w:rPr>
          <w:rFonts w:ascii="Times New Roman" w:hAnsi="Times New Roman"/>
        </w:rPr>
      </w:pPr>
      <w:r w:rsidRPr="002451D0">
        <w:rPr>
          <w:rFonts w:ascii="Times New Roman" w:hAnsi="Times New Roman"/>
        </w:rPr>
        <w:tab/>
      </w:r>
      <w:r w:rsidRPr="002451D0">
        <w:rPr>
          <w:rFonts w:ascii="Times New Roman" w:hAnsi="Times New Roman"/>
        </w:rPr>
        <w:tab/>
      </w:r>
      <w:r w:rsidRPr="002451D0" w:rsidR="00662495">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Pr="002451D0" w:rsidR="00F95BE1" w:rsidRDefault="00F95BE1">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u w:val="single"/>
        </w:rPr>
      </w:pPr>
      <w:r w:rsidRPr="002451D0">
        <w:rPr>
          <w:rFonts w:ascii="Times New Roman" w:hAnsi="Times New Roman"/>
        </w:rPr>
        <w:t>8.</w:t>
      </w:r>
      <w:r w:rsidRPr="002451D0">
        <w:rPr>
          <w:rFonts w:ascii="Times New Roman" w:hAnsi="Times New Roman"/>
        </w:rPr>
        <w:tab/>
      </w:r>
      <w:r w:rsidRPr="002451D0">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451D0" w:rsidR="002D133A" w:rsidP="00424A91" w:rsidRDefault="00BD732F">
      <w:pPr>
        <w:tabs>
          <w:tab w:val="left" w:pos="-720"/>
          <w:tab w:val="left" w:pos="0"/>
        </w:tabs>
        <w:suppressAutoHyphens/>
        <w:ind w:left="720" w:hanging="720"/>
        <w:rPr>
          <w:rFonts w:ascii="Times New Roman" w:hAnsi="Times New Roman"/>
        </w:rPr>
      </w:pPr>
      <w:r w:rsidRPr="002451D0">
        <w:rPr>
          <w:rFonts w:ascii="Times New Roman" w:hAnsi="Times New Roman"/>
        </w:rPr>
        <w:tab/>
      </w:r>
      <w:r w:rsidRPr="002451D0" w:rsidR="000165B4">
        <w:rPr>
          <w:rFonts w:ascii="Times New Roman" w:hAnsi="Times New Roman"/>
        </w:rPr>
        <w:tab/>
      </w:r>
    </w:p>
    <w:p w:rsidRPr="002451D0" w:rsidR="002D133A" w:rsidRDefault="002D133A">
      <w:pPr>
        <w:tabs>
          <w:tab w:val="left" w:pos="-720"/>
          <w:tab w:val="left" w:pos="0"/>
        </w:tabs>
        <w:suppressAutoHyphens/>
        <w:ind w:left="720" w:hanging="720"/>
        <w:rPr>
          <w:rFonts w:ascii="Times New Roman" w:hAnsi="Times New Roman"/>
          <w:u w:val="single"/>
        </w:rPr>
      </w:pPr>
      <w:r w:rsidRPr="002451D0">
        <w:rPr>
          <w:rFonts w:ascii="Times New Roman" w:hAnsi="Times New Roman"/>
        </w:rPr>
        <w:tab/>
      </w:r>
      <w:r w:rsidRPr="002451D0">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451D0" w:rsidR="00BD732F" w:rsidRDefault="00BD732F">
      <w:pPr>
        <w:tabs>
          <w:tab w:val="left" w:pos="-720"/>
          <w:tab w:val="left" w:pos="0"/>
        </w:tabs>
        <w:suppressAutoHyphens/>
        <w:ind w:left="720" w:hanging="720"/>
        <w:rPr>
          <w:rFonts w:ascii="Times New Roman" w:hAnsi="Times New Roman"/>
        </w:rPr>
      </w:pPr>
      <w:r w:rsidRPr="002451D0">
        <w:rPr>
          <w:rFonts w:ascii="Times New Roman" w:hAnsi="Times New Roman"/>
        </w:rPr>
        <w:tab/>
      </w:r>
    </w:p>
    <w:p w:rsidRPr="002451D0" w:rsidR="00BD732F" w:rsidRDefault="00BD732F">
      <w:pPr>
        <w:tabs>
          <w:tab w:val="left" w:pos="-720"/>
          <w:tab w:val="left" w:pos="0"/>
        </w:tabs>
        <w:suppressAutoHyphens/>
        <w:ind w:left="720" w:hanging="720"/>
        <w:rPr>
          <w:rFonts w:ascii="Times New Roman" w:hAnsi="Times New Roman"/>
        </w:rPr>
      </w:pPr>
      <w:r w:rsidRPr="002451D0">
        <w:rPr>
          <w:rFonts w:ascii="Times New Roman" w:hAnsi="Times New Roman"/>
        </w:rPr>
        <w:tab/>
      </w:r>
      <w:r w:rsidRPr="002451D0" w:rsidR="00662495">
        <w:rPr>
          <w:rFonts w:ascii="Times New Roman" w:hAnsi="Times New Roman"/>
        </w:rPr>
        <w:t>The Commission published a notice in the Federal Register (</w:t>
      </w:r>
      <w:r w:rsidR="00476B85">
        <w:rPr>
          <w:rFonts w:ascii="Times New Roman" w:hAnsi="Times New Roman"/>
        </w:rPr>
        <w:t>86</w:t>
      </w:r>
      <w:r w:rsidRPr="002451D0" w:rsidR="008A199F">
        <w:rPr>
          <w:rFonts w:ascii="Times New Roman" w:hAnsi="Times New Roman"/>
        </w:rPr>
        <w:t xml:space="preserve"> </w:t>
      </w:r>
      <w:r w:rsidRPr="002451D0" w:rsidR="00662495">
        <w:rPr>
          <w:rFonts w:ascii="Times New Roman" w:hAnsi="Times New Roman"/>
        </w:rPr>
        <w:t>FR</w:t>
      </w:r>
      <w:r w:rsidR="00476B85">
        <w:rPr>
          <w:rFonts w:ascii="Times New Roman" w:hAnsi="Times New Roman"/>
        </w:rPr>
        <w:t xml:space="preserve"> 5147,</w:t>
      </w:r>
      <w:r w:rsidRPr="002451D0" w:rsidR="008A199F">
        <w:rPr>
          <w:rFonts w:ascii="Times New Roman" w:hAnsi="Times New Roman"/>
        </w:rPr>
        <w:t xml:space="preserve"> </w:t>
      </w:r>
      <w:r w:rsidRPr="002451D0" w:rsidR="00662495">
        <w:rPr>
          <w:rFonts w:ascii="Times New Roman" w:hAnsi="Times New Roman"/>
        </w:rPr>
        <w:t>(January</w:t>
      </w:r>
      <w:r w:rsidR="00476B85">
        <w:rPr>
          <w:rFonts w:ascii="Times New Roman" w:hAnsi="Times New Roman"/>
        </w:rPr>
        <w:t>19</w:t>
      </w:r>
      <w:r w:rsidRPr="002451D0" w:rsidR="00662495">
        <w:rPr>
          <w:rFonts w:ascii="Times New Roman" w:hAnsi="Times New Roman"/>
        </w:rPr>
        <w:t xml:space="preserve">, </w:t>
      </w:r>
      <w:r w:rsidRPr="002451D0" w:rsidR="00BB664B">
        <w:rPr>
          <w:rFonts w:ascii="Times New Roman" w:hAnsi="Times New Roman"/>
        </w:rPr>
        <w:t>2021</w:t>
      </w:r>
      <w:r w:rsidRPr="002451D0" w:rsidR="00662495">
        <w:rPr>
          <w:rFonts w:ascii="Times New Roman" w:hAnsi="Times New Roman"/>
        </w:rPr>
        <w:t xml:space="preserve">)) soliciting comment on its determination that the information collection burden for 3038-0074 will </w:t>
      </w:r>
      <w:r w:rsidRPr="002451D0" w:rsidR="00C33D03">
        <w:rPr>
          <w:rFonts w:ascii="Times New Roman" w:hAnsi="Times New Roman"/>
        </w:rPr>
        <w:t xml:space="preserve">decrease </w:t>
      </w:r>
      <w:r w:rsidRPr="002451D0" w:rsidR="00662495">
        <w:rPr>
          <w:rFonts w:ascii="Times New Roman" w:hAnsi="Times New Roman"/>
        </w:rPr>
        <w:t xml:space="preserve">as a result of the change in the number of SEFs registered with the Commission.  The Commission did not receive any </w:t>
      </w:r>
      <w:r w:rsidR="00476B85">
        <w:rPr>
          <w:rFonts w:ascii="Times New Roman" w:hAnsi="Times New Roman"/>
        </w:rPr>
        <w:t xml:space="preserve">relevant </w:t>
      </w:r>
      <w:r w:rsidRPr="002451D0" w:rsidR="00662495">
        <w:rPr>
          <w:rFonts w:ascii="Times New Roman" w:hAnsi="Times New Roman"/>
        </w:rPr>
        <w:t>comments.</w:t>
      </w:r>
      <w:r w:rsidRPr="002451D0" w:rsidR="00A32493">
        <w:rPr>
          <w:rFonts w:ascii="Times New Roman" w:hAnsi="Times New Roman"/>
        </w:rPr>
        <w:tab/>
      </w:r>
    </w:p>
    <w:p w:rsidRPr="002451D0" w:rsidR="00F95BE1" w:rsidRDefault="00F95BE1">
      <w:pPr>
        <w:tabs>
          <w:tab w:val="left" w:pos="-720"/>
          <w:tab w:val="left" w:pos="0"/>
        </w:tabs>
        <w:suppressAutoHyphens/>
        <w:ind w:left="720" w:hanging="720"/>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ab/>
      </w:r>
      <w:r w:rsidRPr="002451D0">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794D70" w:rsidRDefault="00794D70">
      <w:pPr>
        <w:tabs>
          <w:tab w:val="left" w:pos="-720"/>
        </w:tabs>
        <w:suppressAutoHyphens/>
        <w:rPr>
          <w:rFonts w:ascii="Times New Roman" w:hAnsi="Times New Roman"/>
        </w:rPr>
      </w:pPr>
      <w:r w:rsidRPr="002451D0">
        <w:rPr>
          <w:rFonts w:ascii="Times New Roman" w:hAnsi="Times New Roman"/>
        </w:rPr>
        <w:tab/>
        <w:t>No such circumstances are anticipated.</w:t>
      </w:r>
    </w:p>
    <w:p w:rsidRPr="002451D0" w:rsidR="00794D70" w:rsidRDefault="00794D70">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9.</w:t>
      </w:r>
      <w:r w:rsidRPr="002451D0">
        <w:rPr>
          <w:rFonts w:ascii="Times New Roman" w:hAnsi="Times New Roman"/>
        </w:rPr>
        <w:tab/>
      </w:r>
      <w:r w:rsidRPr="002451D0">
        <w:rPr>
          <w:rFonts w:ascii="Times New Roman" w:hAnsi="Times New Roman"/>
          <w:u w:val="single"/>
        </w:rPr>
        <w:t>Explain any decision to provide any payment or gift to respondents, other than remuneration of contractors or grantees</w:t>
      </w:r>
      <w:r w:rsidRPr="002451D0">
        <w:rPr>
          <w:rFonts w:ascii="Times New Roman" w:hAnsi="Times New Roman"/>
        </w:rPr>
        <w:t>.</w:t>
      </w:r>
    </w:p>
    <w:p w:rsidRPr="002451D0" w:rsidR="00794D70" w:rsidRDefault="00794D70">
      <w:pPr>
        <w:tabs>
          <w:tab w:val="left" w:pos="-720"/>
          <w:tab w:val="left" w:pos="0"/>
        </w:tabs>
        <w:suppressAutoHyphens/>
        <w:ind w:left="720" w:hanging="720"/>
        <w:rPr>
          <w:rFonts w:ascii="Times New Roman" w:hAnsi="Times New Roman"/>
        </w:rPr>
      </w:pPr>
    </w:p>
    <w:p w:rsidRPr="002451D0" w:rsidR="002D133A" w:rsidP="00794D70" w:rsidRDefault="00794D70">
      <w:pPr>
        <w:tabs>
          <w:tab w:val="left" w:pos="-720"/>
          <w:tab w:val="left" w:pos="0"/>
        </w:tabs>
        <w:suppressAutoHyphens/>
        <w:ind w:left="720" w:hanging="720"/>
        <w:rPr>
          <w:rFonts w:ascii="Times New Roman" w:hAnsi="Times New Roman"/>
        </w:rPr>
      </w:pPr>
      <w:r w:rsidRPr="002451D0">
        <w:rPr>
          <w:rFonts w:ascii="Times New Roman" w:hAnsi="Times New Roman"/>
        </w:rPr>
        <w:tab/>
        <w:t>The question is not applicable.</w:t>
      </w:r>
    </w:p>
    <w:p w:rsidRPr="002451D0" w:rsidR="002D133A" w:rsidRDefault="002D133A">
      <w:pPr>
        <w:tabs>
          <w:tab w:val="left" w:pos="-720"/>
        </w:tabs>
        <w:suppressAutoHyphens/>
        <w:rPr>
          <w:rFonts w:ascii="Times New Roman" w:hAnsi="Times New Roman"/>
        </w:rPr>
      </w:pPr>
      <w:r w:rsidRPr="002451D0">
        <w:rPr>
          <w:rFonts w:ascii="Times New Roman" w:hAnsi="Times New Roman"/>
        </w:rPr>
        <w:t xml:space="preserve">  </w:t>
      </w: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10.</w:t>
      </w:r>
      <w:r w:rsidRPr="002451D0">
        <w:rPr>
          <w:rFonts w:ascii="Times New Roman" w:hAnsi="Times New Roman"/>
        </w:rPr>
        <w:tab/>
      </w:r>
      <w:r w:rsidRPr="002451D0">
        <w:rPr>
          <w:rFonts w:ascii="Times New Roman" w:hAnsi="Times New Roman"/>
          <w:u w:val="single"/>
        </w:rPr>
        <w:t>Describe any assurance of confidentiality provided to respondents and the basis for the assurance in statute, regulations, or agency policy</w:t>
      </w:r>
      <w:r w:rsidRPr="002451D0">
        <w:rPr>
          <w:rFonts w:ascii="Times New Roman" w:hAnsi="Times New Roman"/>
        </w:rPr>
        <w:t>.</w:t>
      </w:r>
    </w:p>
    <w:p w:rsidRPr="002451D0" w:rsidR="00794D70" w:rsidRDefault="00794D70">
      <w:pPr>
        <w:tabs>
          <w:tab w:val="left" w:pos="-720"/>
          <w:tab w:val="left" w:pos="0"/>
        </w:tabs>
        <w:suppressAutoHyphens/>
        <w:ind w:left="720" w:hanging="720"/>
        <w:rPr>
          <w:rFonts w:ascii="Times New Roman" w:hAnsi="Times New Roman"/>
        </w:rPr>
      </w:pPr>
    </w:p>
    <w:p w:rsidRPr="002451D0" w:rsidR="00794D70" w:rsidRDefault="00794D70">
      <w:pPr>
        <w:tabs>
          <w:tab w:val="left" w:pos="-720"/>
          <w:tab w:val="left" w:pos="0"/>
        </w:tabs>
        <w:suppressAutoHyphens/>
        <w:ind w:left="720" w:hanging="720"/>
        <w:rPr>
          <w:rFonts w:ascii="Times New Roman" w:hAnsi="Times New Roman"/>
        </w:rPr>
      </w:pPr>
      <w:r w:rsidRPr="002451D0">
        <w:rPr>
          <w:rFonts w:ascii="Times New Roman" w:hAnsi="Times New Roman"/>
        </w:rPr>
        <w:tab/>
      </w:r>
      <w:r w:rsidRPr="002451D0" w:rsidR="00E75480">
        <w:rPr>
          <w:rFonts w:ascii="Times New Roman" w:hAnsi="Times New Roman"/>
        </w:rPr>
        <w:t xml:space="preserve">The Commission does not provide respondents with an assurance of confidentiality beyond that provided by applicable law.  The Commission fully complies with section 8(a)(1) of the </w:t>
      </w:r>
      <w:r w:rsidRPr="002451D0" w:rsidR="007A0A19">
        <w:rPr>
          <w:rFonts w:ascii="Times New Roman" w:hAnsi="Times New Roman"/>
        </w:rPr>
        <w:t>CEA</w:t>
      </w:r>
      <w:r w:rsidRPr="002451D0" w:rsidR="00E75480">
        <w:rPr>
          <w:rFonts w:ascii="Times New Roman" w:hAnsi="Times New Roman"/>
        </w:rPr>
        <w:t xml:space="preserve">, which strictly prohibits the Commission, unless specifically authorized by the </w:t>
      </w:r>
      <w:r w:rsidRPr="002451D0" w:rsidR="007A0A19">
        <w:rPr>
          <w:rFonts w:ascii="Times New Roman" w:hAnsi="Times New Roman"/>
        </w:rPr>
        <w:t>CEA</w:t>
      </w:r>
      <w:r w:rsidRPr="002451D0" w:rsidR="00E75480">
        <w:rPr>
          <w:rFonts w:ascii="Times New Roman" w:hAnsi="Times New Roman"/>
        </w:rPr>
        <w:t>, from making public “data and information that would separately disclose the business transactions or market positions of any person and trade secrets or names of customers.”</w:t>
      </w:r>
      <w:r w:rsidRPr="002451D0" w:rsidR="00562429">
        <w:t xml:space="preserve"> </w:t>
      </w:r>
      <w:r w:rsidRPr="002451D0" w:rsidR="00562429">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Pr="002451D0" w:rsidR="002D133A" w:rsidRDefault="002D133A">
      <w:pPr>
        <w:tabs>
          <w:tab w:val="left" w:pos="-720"/>
        </w:tabs>
        <w:suppressAutoHyphens/>
        <w:rPr>
          <w:rFonts w:ascii="Times New Roman" w:hAnsi="Times New Roman"/>
        </w:rPr>
      </w:pPr>
      <w:r w:rsidRPr="002451D0">
        <w:rPr>
          <w:rFonts w:ascii="Times New Roman" w:hAnsi="Times New Roman"/>
        </w:rPr>
        <w:tab/>
        <w:t xml:space="preserve">  </w:t>
      </w:r>
    </w:p>
    <w:p w:rsidRPr="002451D0" w:rsidR="002D133A" w:rsidRDefault="002D133A">
      <w:pPr>
        <w:tabs>
          <w:tab w:val="left" w:pos="-720"/>
        </w:tabs>
        <w:suppressAutoHyphens/>
        <w:ind w:left="720" w:hanging="720"/>
        <w:rPr>
          <w:rFonts w:ascii="Times New Roman" w:hAnsi="Times New Roman"/>
        </w:rPr>
      </w:pPr>
      <w:r w:rsidRPr="002451D0">
        <w:rPr>
          <w:rFonts w:ascii="Times New Roman" w:hAnsi="Times New Roman"/>
        </w:rPr>
        <w:t>11.</w:t>
      </w:r>
      <w:r w:rsidRPr="002451D0">
        <w:rPr>
          <w:rFonts w:ascii="Times New Roman" w:hAnsi="Times New Roman"/>
        </w:rPr>
        <w:tab/>
      </w:r>
      <w:r w:rsidRPr="002451D0">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4F774D" w:rsidP="004F774D" w:rsidRDefault="004F774D">
      <w:pPr>
        <w:tabs>
          <w:tab w:val="left" w:pos="-720"/>
        </w:tabs>
        <w:suppressAutoHyphens/>
        <w:ind w:left="720"/>
        <w:rPr>
          <w:rFonts w:ascii="Times New Roman" w:hAnsi="Times New Roman"/>
        </w:rPr>
      </w:pPr>
      <w:r w:rsidRPr="002451D0">
        <w:rPr>
          <w:rFonts w:ascii="Times New Roman" w:hAnsi="Times New Roman"/>
        </w:rPr>
        <w:t>The regulations covered by this collection do not require the giving of sensitive information, as that term is used in Question 11.</w:t>
      </w:r>
    </w:p>
    <w:p w:rsidRPr="002451D0" w:rsidR="004F774D" w:rsidRDefault="004F774D">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12.</w:t>
      </w:r>
      <w:r w:rsidRPr="002451D0">
        <w:rPr>
          <w:rFonts w:ascii="Times New Roman" w:hAnsi="Times New Roman"/>
        </w:rPr>
        <w:tab/>
      </w:r>
      <w:r w:rsidRPr="002451D0">
        <w:rPr>
          <w:rFonts w:ascii="Times New Roman" w:hAnsi="Times New Roman"/>
          <w:u w:val="single"/>
        </w:rPr>
        <w:t>Provide estimates of the hour burden of the collection of information.  The Statement should</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If the request for approval covers more than one form, provide separate hour burden estimates for each form and aggregate the hour burdens in Item 13 of OMB Form 83-I.</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 xml:space="preserve">Provide estimates of annualized cost to respondents for the hours burdens for collections of information, identifying and using appropriate wage rate categories.  The cost of contracting </w:t>
      </w:r>
      <w:r w:rsidRPr="002451D0" w:rsidR="002451D0">
        <w:rPr>
          <w:rFonts w:ascii="Times New Roman" w:hAnsi="Times New Roman"/>
          <w:u w:val="single"/>
        </w:rPr>
        <w:t>ou</w:t>
      </w:r>
      <w:r w:rsidR="002451D0">
        <w:rPr>
          <w:rFonts w:ascii="Times New Roman" w:hAnsi="Times New Roman"/>
          <w:u w:val="single"/>
        </w:rPr>
        <w:t>t</w:t>
      </w:r>
      <w:r w:rsidRPr="002451D0" w:rsidR="002451D0">
        <w:rPr>
          <w:rFonts w:ascii="Times New Roman" w:hAnsi="Times New Roman"/>
          <w:u w:val="single"/>
        </w:rPr>
        <w:t xml:space="preserve"> </w:t>
      </w:r>
      <w:r w:rsidRPr="002451D0">
        <w:rPr>
          <w:rFonts w:ascii="Times New Roman" w:hAnsi="Times New Roman"/>
          <w:u w:val="single"/>
        </w:rPr>
        <w:t>or paying outside parties for information collection</w:t>
      </w:r>
      <w:r w:rsidRPr="002451D0">
        <w:rPr>
          <w:rFonts w:ascii="Times New Roman" w:hAnsi="Times New Roman"/>
        </w:rPr>
        <w:t xml:space="preserve"> </w:t>
      </w:r>
      <w:r w:rsidRPr="002451D0">
        <w:rPr>
          <w:rFonts w:ascii="Times New Roman" w:hAnsi="Times New Roman"/>
          <w:u w:val="single"/>
        </w:rPr>
        <w:t>activities should not be included here.  Instead, this cost should be included in Item 13.</w:t>
      </w:r>
    </w:p>
    <w:p w:rsidRPr="002451D0" w:rsidR="00C22D53" w:rsidRDefault="00C22D53">
      <w:pPr>
        <w:tabs>
          <w:tab w:val="left" w:pos="-720"/>
          <w:tab w:val="left" w:pos="0"/>
          <w:tab w:val="left" w:pos="720"/>
        </w:tabs>
        <w:suppressAutoHyphens/>
        <w:ind w:left="1440" w:hanging="1440"/>
        <w:rPr>
          <w:rFonts w:ascii="Times New Roman" w:hAnsi="Times New Roman"/>
          <w:u w:val="single"/>
        </w:rPr>
      </w:pPr>
    </w:p>
    <w:p w:rsidRPr="002451D0" w:rsidR="006330FF" w:rsidP="00FD2536" w:rsidRDefault="00300F81">
      <w:pPr>
        <w:ind w:left="720"/>
        <w:rPr>
          <w:rFonts w:ascii="Times New Roman" w:hAnsi="Times New Roman"/>
          <w:szCs w:val="24"/>
        </w:rPr>
      </w:pPr>
      <w:r w:rsidRPr="002451D0">
        <w:rPr>
          <w:rFonts w:ascii="Times New Roman" w:hAnsi="Times New Roman"/>
        </w:rPr>
        <w:t>T</w:t>
      </w:r>
      <w:r w:rsidRPr="002451D0" w:rsidR="00FD2536">
        <w:rPr>
          <w:rFonts w:ascii="Times New Roman" w:hAnsi="Times New Roman"/>
        </w:rPr>
        <w:t xml:space="preserve">he Commission is revising the collection burden for 3038-0074 to account for the </w:t>
      </w:r>
      <w:r w:rsidRPr="002451D0" w:rsidR="00C33D03">
        <w:rPr>
          <w:rFonts w:ascii="Times New Roman" w:hAnsi="Times New Roman"/>
        </w:rPr>
        <w:t xml:space="preserve">decrease </w:t>
      </w:r>
      <w:r w:rsidRPr="002451D0" w:rsidR="00FD2536">
        <w:rPr>
          <w:rFonts w:ascii="Times New Roman" w:hAnsi="Times New Roman"/>
        </w:rPr>
        <w:t xml:space="preserve">in the number of registered SEFs.  The </w:t>
      </w:r>
      <w:r w:rsidRPr="002451D0" w:rsidR="00C33D03">
        <w:rPr>
          <w:rFonts w:ascii="Times New Roman" w:hAnsi="Times New Roman"/>
        </w:rPr>
        <w:t xml:space="preserve">decrease </w:t>
      </w:r>
      <w:r w:rsidRPr="002451D0" w:rsidR="00FD2536">
        <w:rPr>
          <w:rFonts w:ascii="Times New Roman" w:hAnsi="Times New Roman"/>
        </w:rPr>
        <w:t xml:space="preserve">in the number of SEFs from </w:t>
      </w:r>
      <w:r w:rsidRPr="002451D0" w:rsidR="00C33D03">
        <w:rPr>
          <w:rFonts w:ascii="Times New Roman" w:hAnsi="Times New Roman"/>
        </w:rPr>
        <w:t xml:space="preserve">25 </w:t>
      </w:r>
      <w:r w:rsidRPr="002451D0" w:rsidR="00FD2536">
        <w:rPr>
          <w:rFonts w:ascii="Times New Roman" w:hAnsi="Times New Roman"/>
        </w:rPr>
        <w:t xml:space="preserve">to </w:t>
      </w:r>
      <w:r w:rsidRPr="002451D0" w:rsidR="00C33D03">
        <w:rPr>
          <w:rFonts w:ascii="Times New Roman" w:hAnsi="Times New Roman"/>
        </w:rPr>
        <w:t xml:space="preserve">21 </w:t>
      </w:r>
      <w:r w:rsidRPr="002451D0" w:rsidR="00FD2536">
        <w:rPr>
          <w:rFonts w:ascii="Times New Roman" w:hAnsi="Times New Roman"/>
        </w:rPr>
        <w:t xml:space="preserve">will </w:t>
      </w:r>
      <w:r w:rsidRPr="002451D0" w:rsidR="00C33D03">
        <w:rPr>
          <w:rFonts w:ascii="Times New Roman" w:hAnsi="Times New Roman"/>
        </w:rPr>
        <w:t xml:space="preserve">decrease </w:t>
      </w:r>
      <w:r w:rsidRPr="002451D0" w:rsidR="00FD2536">
        <w:rPr>
          <w:rFonts w:ascii="Times New Roman" w:hAnsi="Times New Roman"/>
        </w:rPr>
        <w:t xml:space="preserve">the total information collection burden for </w:t>
      </w:r>
      <w:r w:rsidRPr="002451D0" w:rsidR="009C3B4D">
        <w:rPr>
          <w:rFonts w:ascii="Times New Roman" w:hAnsi="Times New Roman"/>
        </w:rPr>
        <w:t xml:space="preserve">registered SEFs </w:t>
      </w:r>
      <w:r w:rsidRPr="002451D0" w:rsidR="00FD2536">
        <w:rPr>
          <w:rFonts w:ascii="Times New Roman" w:hAnsi="Times New Roman"/>
        </w:rPr>
        <w:t xml:space="preserve">from </w:t>
      </w:r>
      <w:r w:rsidRPr="002451D0" w:rsidR="00C33D03">
        <w:rPr>
          <w:rFonts w:ascii="Times New Roman" w:hAnsi="Times New Roman"/>
        </w:rPr>
        <w:t>25</w:t>
      </w:r>
      <w:r w:rsidRPr="002451D0" w:rsidR="00FD2536">
        <w:rPr>
          <w:rFonts w:ascii="Times New Roman" w:hAnsi="Times New Roman"/>
        </w:rPr>
        <w:t xml:space="preserve">,000 hours to </w:t>
      </w:r>
      <w:r w:rsidRPr="002451D0" w:rsidR="00C33D03">
        <w:rPr>
          <w:rFonts w:ascii="Times New Roman" w:hAnsi="Times New Roman"/>
        </w:rPr>
        <w:t>21</w:t>
      </w:r>
      <w:r w:rsidRPr="002451D0" w:rsidR="00FD2536">
        <w:rPr>
          <w:rFonts w:ascii="Times New Roman" w:hAnsi="Times New Roman"/>
        </w:rPr>
        <w:t>,000 hours (See Attachment A).</w:t>
      </w:r>
      <w:r w:rsidRPr="002451D0" w:rsidR="00F95BE1">
        <w:rPr>
          <w:rStyle w:val="FootnoteReference"/>
          <w:rFonts w:ascii="Times New Roman" w:hAnsi="Times New Roman"/>
        </w:rPr>
        <w:footnoteReference w:id="4"/>
      </w:r>
      <w:r w:rsidRPr="002451D0" w:rsidR="00FD2536">
        <w:rPr>
          <w:rFonts w:ascii="Times New Roman" w:hAnsi="Times New Roman"/>
        </w:rPr>
        <w:t xml:space="preserve">    </w:t>
      </w:r>
    </w:p>
    <w:p w:rsidRPr="002451D0" w:rsidR="006330FF" w:rsidP="00237E45" w:rsidRDefault="006330FF">
      <w:pPr>
        <w:pStyle w:val="FootnoteText"/>
        <w:rPr>
          <w:rFonts w:ascii="Times New Roman" w:hAnsi="Times New Roman"/>
          <w:szCs w:val="24"/>
        </w:rPr>
      </w:pPr>
    </w:p>
    <w:p w:rsidRPr="002451D0" w:rsidR="00A9775E" w:rsidP="00A525EB" w:rsidRDefault="00A9775E">
      <w:pPr>
        <w:pStyle w:val="FootnoteText"/>
        <w:ind w:left="720"/>
        <w:rPr>
          <w:rFonts w:ascii="Times New Roman" w:hAnsi="Times New Roman"/>
          <w:szCs w:val="24"/>
        </w:rPr>
      </w:pPr>
      <w:r w:rsidRPr="002451D0">
        <w:rPr>
          <w:rFonts w:ascii="Times New Roman" w:hAnsi="Times New Roman"/>
          <w:szCs w:val="24"/>
        </w:rPr>
        <w:t xml:space="preserve">Commission staff estimates that </w:t>
      </w:r>
      <w:r w:rsidRPr="002451D0" w:rsidR="000C7C20">
        <w:rPr>
          <w:rFonts w:ascii="Times New Roman" w:hAnsi="Times New Roman"/>
          <w:szCs w:val="24"/>
        </w:rPr>
        <w:t xml:space="preserve">each </w:t>
      </w:r>
      <w:r w:rsidRPr="002451D0">
        <w:rPr>
          <w:rFonts w:ascii="Times New Roman" w:hAnsi="Times New Roman"/>
          <w:szCs w:val="24"/>
        </w:rPr>
        <w:t>respondent</w:t>
      </w:r>
      <w:r w:rsidRPr="002451D0" w:rsidR="000C7C20">
        <w:rPr>
          <w:rFonts w:ascii="Times New Roman" w:hAnsi="Times New Roman"/>
          <w:szCs w:val="24"/>
        </w:rPr>
        <w:t xml:space="preserve"> SEF</w:t>
      </w:r>
      <w:r w:rsidRPr="002451D0">
        <w:rPr>
          <w:rFonts w:ascii="Times New Roman" w:hAnsi="Times New Roman"/>
          <w:szCs w:val="24"/>
        </w:rPr>
        <w:t xml:space="preserve"> expend</w:t>
      </w:r>
      <w:r w:rsidRPr="002451D0" w:rsidR="000C7C20">
        <w:rPr>
          <w:rFonts w:ascii="Times New Roman" w:hAnsi="Times New Roman"/>
          <w:szCs w:val="24"/>
        </w:rPr>
        <w:t>s</w:t>
      </w:r>
      <w:r w:rsidRPr="002451D0">
        <w:rPr>
          <w:rFonts w:ascii="Times New Roman" w:hAnsi="Times New Roman"/>
          <w:szCs w:val="24"/>
        </w:rPr>
        <w:t xml:space="preserve"> up to $</w:t>
      </w:r>
      <w:r w:rsidR="00645FBF">
        <w:rPr>
          <w:rFonts w:ascii="Times New Roman" w:hAnsi="Times New Roman"/>
          <w:szCs w:val="24"/>
        </w:rPr>
        <w:t>8</w:t>
      </w:r>
      <w:r w:rsidR="00B16828">
        <w:rPr>
          <w:rFonts w:ascii="Times New Roman" w:hAnsi="Times New Roman"/>
          <w:szCs w:val="24"/>
        </w:rPr>
        <w:t>0</w:t>
      </w:r>
      <w:r w:rsidRPr="002451D0" w:rsidR="00A22008">
        <w:rPr>
          <w:rFonts w:ascii="Times New Roman" w:hAnsi="Times New Roman"/>
          <w:szCs w:val="24"/>
        </w:rPr>
        <w:t>,000</w:t>
      </w:r>
      <w:r w:rsidRPr="002451D0">
        <w:rPr>
          <w:rFonts w:ascii="Times New Roman" w:hAnsi="Times New Roman"/>
          <w:szCs w:val="24"/>
        </w:rPr>
        <w:t xml:space="preserve"> annually based on</w:t>
      </w:r>
      <w:r w:rsidRPr="002451D0" w:rsidR="00237E45">
        <w:rPr>
          <w:rFonts w:ascii="Times New Roman" w:hAnsi="Times New Roman"/>
          <w:szCs w:val="24"/>
        </w:rPr>
        <w:t xml:space="preserve"> </w:t>
      </w:r>
      <w:r w:rsidRPr="002451D0">
        <w:rPr>
          <w:rFonts w:ascii="Times New Roman" w:hAnsi="Times New Roman"/>
          <w:szCs w:val="24"/>
        </w:rPr>
        <w:t>an hourly rate</w:t>
      </w:r>
      <w:r w:rsidRPr="002451D0" w:rsidR="00373201">
        <w:rPr>
          <w:rStyle w:val="FootnoteReference"/>
          <w:rFonts w:ascii="Times New Roman" w:hAnsi="Times New Roman"/>
          <w:szCs w:val="24"/>
        </w:rPr>
        <w:footnoteReference w:id="5"/>
      </w:r>
      <w:r w:rsidRPr="002451D0">
        <w:rPr>
          <w:rFonts w:ascii="Times New Roman" w:hAnsi="Times New Roman"/>
          <w:szCs w:val="24"/>
        </w:rPr>
        <w:t xml:space="preserve"> of $</w:t>
      </w:r>
      <w:r w:rsidR="00645FBF">
        <w:rPr>
          <w:rFonts w:ascii="Times New Roman" w:hAnsi="Times New Roman"/>
          <w:szCs w:val="24"/>
        </w:rPr>
        <w:t>8</w:t>
      </w:r>
      <w:r w:rsidR="00B16828">
        <w:rPr>
          <w:rFonts w:ascii="Times New Roman" w:hAnsi="Times New Roman"/>
          <w:szCs w:val="24"/>
        </w:rPr>
        <w:t>0</w:t>
      </w:r>
      <w:r w:rsidRPr="002451D0" w:rsidR="00317653">
        <w:rPr>
          <w:rFonts w:ascii="Times New Roman" w:hAnsi="Times New Roman"/>
          <w:szCs w:val="24"/>
        </w:rPr>
        <w:t xml:space="preserve"> </w:t>
      </w:r>
      <w:r w:rsidRPr="002451D0">
        <w:rPr>
          <w:rFonts w:ascii="Times New Roman" w:hAnsi="Times New Roman"/>
          <w:szCs w:val="24"/>
        </w:rPr>
        <w:t>to comply with the regulations.</w:t>
      </w:r>
      <w:r w:rsidRPr="002451D0" w:rsidR="00F07558">
        <w:rPr>
          <w:rFonts w:ascii="Times New Roman" w:hAnsi="Times New Roman"/>
          <w:szCs w:val="24"/>
        </w:rPr>
        <w:t xml:space="preserve"> </w:t>
      </w:r>
      <w:r w:rsidRPr="002451D0">
        <w:rPr>
          <w:rFonts w:ascii="Times New Roman" w:hAnsi="Times New Roman"/>
          <w:szCs w:val="24"/>
        </w:rPr>
        <w:t xml:space="preserve"> This result</w:t>
      </w:r>
      <w:r w:rsidRPr="002451D0" w:rsidR="000C7C20">
        <w:rPr>
          <w:rFonts w:ascii="Times New Roman" w:hAnsi="Times New Roman"/>
          <w:szCs w:val="24"/>
        </w:rPr>
        <w:t>s</w:t>
      </w:r>
      <w:r w:rsidRPr="002451D0">
        <w:rPr>
          <w:rFonts w:ascii="Times New Roman" w:hAnsi="Times New Roman"/>
          <w:szCs w:val="24"/>
        </w:rPr>
        <w:t xml:space="preserve"> in an aggregated cost</w:t>
      </w:r>
      <w:r w:rsidRPr="002451D0" w:rsidR="000C7C20">
        <w:rPr>
          <w:rFonts w:ascii="Times New Roman" w:hAnsi="Times New Roman"/>
          <w:szCs w:val="24"/>
        </w:rPr>
        <w:t xml:space="preserve"> for all respondent SEFs</w:t>
      </w:r>
      <w:r w:rsidRPr="002451D0">
        <w:rPr>
          <w:rFonts w:ascii="Times New Roman" w:hAnsi="Times New Roman"/>
          <w:szCs w:val="24"/>
        </w:rPr>
        <w:t xml:space="preserve"> of $</w:t>
      </w:r>
      <w:r w:rsidRPr="002451D0" w:rsidR="00A22008">
        <w:rPr>
          <w:rFonts w:ascii="Times New Roman" w:hAnsi="Times New Roman"/>
          <w:szCs w:val="24"/>
        </w:rPr>
        <w:t>1,</w:t>
      </w:r>
      <w:r w:rsidR="00B16828">
        <w:rPr>
          <w:rFonts w:ascii="Times New Roman" w:hAnsi="Times New Roman"/>
          <w:szCs w:val="24"/>
        </w:rPr>
        <w:t>680</w:t>
      </w:r>
      <w:r w:rsidRPr="002451D0" w:rsidR="00A22008">
        <w:rPr>
          <w:rFonts w:ascii="Times New Roman" w:hAnsi="Times New Roman"/>
          <w:szCs w:val="24"/>
        </w:rPr>
        <w:t>,000</w:t>
      </w:r>
      <w:r w:rsidRPr="002451D0">
        <w:rPr>
          <w:rFonts w:ascii="Times New Roman" w:hAnsi="Times New Roman"/>
          <w:szCs w:val="24"/>
        </w:rPr>
        <w:t xml:space="preserve"> per annum (</w:t>
      </w:r>
      <w:r w:rsidRPr="002451D0" w:rsidR="00767829">
        <w:rPr>
          <w:rFonts w:ascii="Times New Roman" w:hAnsi="Times New Roman"/>
          <w:szCs w:val="24"/>
        </w:rPr>
        <w:t xml:space="preserve">21 </w:t>
      </w:r>
      <w:r w:rsidRPr="002451D0">
        <w:rPr>
          <w:rFonts w:ascii="Times New Roman" w:hAnsi="Times New Roman"/>
          <w:szCs w:val="24"/>
        </w:rPr>
        <w:t>respondent</w:t>
      </w:r>
      <w:r w:rsidRPr="002451D0" w:rsidR="00A22008">
        <w:rPr>
          <w:rFonts w:ascii="Times New Roman" w:hAnsi="Times New Roman"/>
          <w:szCs w:val="24"/>
        </w:rPr>
        <w:t xml:space="preserve"> SEFs</w:t>
      </w:r>
      <w:r w:rsidRPr="002451D0">
        <w:rPr>
          <w:rFonts w:ascii="Times New Roman" w:hAnsi="Times New Roman"/>
          <w:szCs w:val="24"/>
        </w:rPr>
        <w:t xml:space="preserve"> x</w:t>
      </w:r>
      <w:r w:rsidRPr="002451D0" w:rsidR="00A22008">
        <w:rPr>
          <w:rFonts w:ascii="Times New Roman" w:hAnsi="Times New Roman"/>
          <w:szCs w:val="24"/>
        </w:rPr>
        <w:t xml:space="preserve"> $</w:t>
      </w:r>
      <w:r w:rsidR="00645FBF">
        <w:rPr>
          <w:rFonts w:ascii="Times New Roman" w:hAnsi="Times New Roman"/>
          <w:szCs w:val="24"/>
        </w:rPr>
        <w:t>8</w:t>
      </w:r>
      <w:r w:rsidR="00B16828">
        <w:rPr>
          <w:rFonts w:ascii="Times New Roman" w:hAnsi="Times New Roman"/>
          <w:szCs w:val="24"/>
        </w:rPr>
        <w:t>0</w:t>
      </w:r>
      <w:r w:rsidRPr="002451D0" w:rsidR="00A22008">
        <w:rPr>
          <w:rFonts w:ascii="Times New Roman" w:hAnsi="Times New Roman"/>
          <w:szCs w:val="24"/>
        </w:rPr>
        <w:t>,000 =</w:t>
      </w:r>
      <w:r w:rsidRPr="002451D0">
        <w:rPr>
          <w:rFonts w:ascii="Times New Roman" w:hAnsi="Times New Roman"/>
          <w:szCs w:val="24"/>
        </w:rPr>
        <w:t xml:space="preserve"> $</w:t>
      </w:r>
      <w:r w:rsidRPr="002451D0" w:rsidR="00A22008">
        <w:rPr>
          <w:rFonts w:ascii="Times New Roman" w:hAnsi="Times New Roman"/>
          <w:szCs w:val="24"/>
        </w:rPr>
        <w:t>1,</w:t>
      </w:r>
      <w:r w:rsidR="00B16828">
        <w:rPr>
          <w:rFonts w:ascii="Times New Roman" w:hAnsi="Times New Roman"/>
          <w:szCs w:val="24"/>
        </w:rPr>
        <w:t>680</w:t>
      </w:r>
      <w:r w:rsidRPr="002451D0" w:rsidR="00C22D53">
        <w:rPr>
          <w:rFonts w:ascii="Times New Roman" w:hAnsi="Times New Roman"/>
          <w:szCs w:val="24"/>
        </w:rPr>
        <w:t>,</w:t>
      </w:r>
      <w:r w:rsidRPr="002451D0" w:rsidR="00A22008">
        <w:rPr>
          <w:rFonts w:ascii="Times New Roman" w:hAnsi="Times New Roman"/>
          <w:szCs w:val="24"/>
        </w:rPr>
        <w:t>0</w:t>
      </w:r>
      <w:r w:rsidRPr="002451D0" w:rsidR="00C22D53">
        <w:rPr>
          <w:rFonts w:ascii="Times New Roman" w:hAnsi="Times New Roman"/>
          <w:szCs w:val="24"/>
        </w:rPr>
        <w:t>00</w:t>
      </w:r>
      <w:r w:rsidRPr="002451D0">
        <w:rPr>
          <w:rFonts w:ascii="Times New Roman" w:hAnsi="Times New Roman"/>
          <w:szCs w:val="24"/>
        </w:rPr>
        <w:t xml:space="preserve">). </w:t>
      </w:r>
      <w:r w:rsidRPr="002451D0" w:rsidR="00D635C6">
        <w:rPr>
          <w:rFonts w:ascii="Times New Roman" w:hAnsi="Times New Roman"/>
          <w:szCs w:val="24"/>
        </w:rPr>
        <w:t xml:space="preserve"> This also represents an </w:t>
      </w:r>
      <w:r w:rsidR="002B18BF">
        <w:rPr>
          <w:rFonts w:ascii="Times New Roman" w:hAnsi="Times New Roman"/>
          <w:szCs w:val="24"/>
        </w:rPr>
        <w:t>in</w:t>
      </w:r>
      <w:r w:rsidRPr="002451D0" w:rsidR="002B18BF">
        <w:rPr>
          <w:rFonts w:ascii="Times New Roman" w:hAnsi="Times New Roman"/>
          <w:szCs w:val="24"/>
        </w:rPr>
        <w:t xml:space="preserve">crease </w:t>
      </w:r>
      <w:r w:rsidRPr="002451D0" w:rsidR="00D635C6">
        <w:rPr>
          <w:rFonts w:ascii="Times New Roman" w:hAnsi="Times New Roman"/>
          <w:szCs w:val="24"/>
        </w:rPr>
        <w:t>of $</w:t>
      </w:r>
      <w:r w:rsidR="00B16828">
        <w:rPr>
          <w:rFonts w:ascii="Times New Roman" w:hAnsi="Times New Roman"/>
          <w:szCs w:val="24"/>
        </w:rPr>
        <w:t>280</w:t>
      </w:r>
      <w:r w:rsidRPr="002451D0" w:rsidR="00D635C6">
        <w:rPr>
          <w:rFonts w:ascii="Times New Roman" w:hAnsi="Times New Roman"/>
          <w:szCs w:val="24"/>
        </w:rPr>
        <w:t xml:space="preserve">,000 since the </w:t>
      </w:r>
      <w:r w:rsidRPr="002451D0" w:rsidR="00883677">
        <w:rPr>
          <w:rFonts w:ascii="Times New Roman" w:hAnsi="Times New Roman"/>
          <w:szCs w:val="24"/>
        </w:rPr>
        <w:t>30</w:t>
      </w:r>
      <w:r w:rsidRPr="002451D0" w:rsidR="00D635C6">
        <w:rPr>
          <w:rFonts w:ascii="Times New Roman" w:hAnsi="Times New Roman"/>
          <w:szCs w:val="24"/>
        </w:rPr>
        <w:t xml:space="preserve">-Day Notice of Intent to Renew Collection 3038-0074 published in the Federal Register on </w:t>
      </w:r>
      <w:r w:rsidRPr="002451D0" w:rsidR="00767829">
        <w:rPr>
          <w:rFonts w:ascii="Times New Roman" w:hAnsi="Times New Roman"/>
          <w:szCs w:val="24"/>
        </w:rPr>
        <w:t>April 11</w:t>
      </w:r>
      <w:r w:rsidRPr="002451D0" w:rsidR="00D635C6">
        <w:rPr>
          <w:rFonts w:ascii="Times New Roman" w:hAnsi="Times New Roman"/>
          <w:szCs w:val="24"/>
        </w:rPr>
        <w:t xml:space="preserve">, </w:t>
      </w:r>
      <w:r w:rsidRPr="002451D0" w:rsidR="00767829">
        <w:rPr>
          <w:rFonts w:ascii="Times New Roman" w:hAnsi="Times New Roman"/>
          <w:szCs w:val="24"/>
        </w:rPr>
        <w:t xml:space="preserve">2018 </w:t>
      </w:r>
      <w:r w:rsidRPr="002451D0" w:rsidR="00D635C6">
        <w:rPr>
          <w:rFonts w:ascii="Times New Roman" w:hAnsi="Times New Roman"/>
          <w:szCs w:val="24"/>
        </w:rPr>
        <w:t>(</w:t>
      </w:r>
      <w:r w:rsidR="002B18BF">
        <w:rPr>
          <w:rFonts w:ascii="Times New Roman" w:hAnsi="Times New Roman"/>
          <w:szCs w:val="24"/>
        </w:rPr>
        <w:t>due to a $2</w:t>
      </w:r>
      <w:r w:rsidR="00B16828">
        <w:rPr>
          <w:rFonts w:ascii="Times New Roman" w:hAnsi="Times New Roman"/>
          <w:szCs w:val="24"/>
        </w:rPr>
        <w:t>4</w:t>
      </w:r>
      <w:r w:rsidR="002B18BF">
        <w:rPr>
          <w:rFonts w:ascii="Times New Roman" w:hAnsi="Times New Roman"/>
          <w:szCs w:val="24"/>
        </w:rPr>
        <w:t xml:space="preserve"> increase in the hourly wage estimate used, offset by</w:t>
      </w:r>
      <w:r w:rsidRPr="002451D0" w:rsidR="002B18BF">
        <w:rPr>
          <w:rFonts w:ascii="Times New Roman" w:hAnsi="Times New Roman"/>
          <w:szCs w:val="24"/>
        </w:rPr>
        <w:t xml:space="preserve"> </w:t>
      </w:r>
      <w:r w:rsidRPr="002451D0" w:rsidR="00767829">
        <w:rPr>
          <w:rFonts w:ascii="Times New Roman" w:hAnsi="Times New Roman"/>
          <w:szCs w:val="24"/>
        </w:rPr>
        <w:t xml:space="preserve">four fewer </w:t>
      </w:r>
      <w:r w:rsidRPr="002451D0" w:rsidR="00D635C6">
        <w:rPr>
          <w:rFonts w:ascii="Times New Roman" w:hAnsi="Times New Roman"/>
          <w:szCs w:val="24"/>
        </w:rPr>
        <w:t xml:space="preserve">SEFs </w:t>
      </w:r>
      <w:r w:rsidR="00BC2384">
        <w:rPr>
          <w:rFonts w:ascii="Times New Roman" w:hAnsi="Times New Roman"/>
          <w:szCs w:val="24"/>
        </w:rPr>
        <w:t xml:space="preserve">being </w:t>
      </w:r>
      <w:r w:rsidRPr="002451D0" w:rsidR="00D635C6">
        <w:rPr>
          <w:rFonts w:ascii="Times New Roman" w:hAnsi="Times New Roman"/>
          <w:szCs w:val="24"/>
        </w:rPr>
        <w:t>registered with the Commission since publication of that notice).</w:t>
      </w:r>
      <w:r w:rsidRPr="002451D0">
        <w:rPr>
          <w:rFonts w:ascii="Times New Roman" w:hAnsi="Times New Roman"/>
          <w:szCs w:val="24"/>
        </w:rPr>
        <w:t xml:space="preserve">  </w:t>
      </w:r>
    </w:p>
    <w:p w:rsidRPr="002451D0" w:rsidR="002D133A" w:rsidP="00E409B1" w:rsidRDefault="00D525DA">
      <w:pPr>
        <w:tabs>
          <w:tab w:val="left" w:pos="-720"/>
          <w:tab w:val="left" w:pos="0"/>
          <w:tab w:val="left" w:pos="720"/>
        </w:tabs>
        <w:suppressAutoHyphens/>
        <w:ind w:left="1440" w:hanging="1440"/>
        <w:rPr>
          <w:rFonts w:ascii="Times New Roman" w:hAnsi="Times New Roman"/>
        </w:rPr>
      </w:pPr>
      <w:r w:rsidRPr="002451D0">
        <w:rPr>
          <w:rFonts w:ascii="Times New Roman" w:hAnsi="Times New Roman"/>
          <w:szCs w:val="24"/>
        </w:rPr>
        <w:tab/>
      </w: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13.</w:t>
      </w:r>
      <w:r w:rsidRPr="002451D0">
        <w:rPr>
          <w:rFonts w:ascii="Times New Roman" w:hAnsi="Times New Roman"/>
        </w:rPr>
        <w:tab/>
      </w:r>
      <w:r w:rsidRPr="002451D0">
        <w:rPr>
          <w:rFonts w:ascii="Times New Roman" w:hAnsi="Times New Roman"/>
          <w:u w:val="single"/>
        </w:rPr>
        <w:t>Provide an estimate of the total annual cost burden to respondents or recordkeepers resulting f</w:t>
      </w:r>
      <w:r w:rsidRPr="002451D0" w:rsidR="00F30B08">
        <w:rPr>
          <w:rFonts w:ascii="Times New Roman" w:hAnsi="Times New Roman"/>
          <w:u w:val="single"/>
        </w:rPr>
        <w:t>r</w:t>
      </w:r>
      <w:r w:rsidRPr="002451D0">
        <w:rPr>
          <w:rFonts w:ascii="Times New Roman" w:hAnsi="Times New Roman"/>
          <w:u w:val="single"/>
        </w:rPr>
        <w:t>om the collection of information.  (Do not include the cost of any hour burden shown in Items 12 and 14)</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 w:val="left" w:pos="720"/>
        </w:tabs>
        <w:suppressAutoHyphens/>
        <w:ind w:left="1440" w:hanging="1440"/>
        <w:rPr>
          <w:rFonts w:ascii="Times New Roman" w:hAnsi="Times New Roman"/>
          <w:u w:val="single"/>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2451D0" w:rsidR="002D133A" w:rsidRDefault="002D133A">
      <w:pPr>
        <w:tabs>
          <w:tab w:val="left" w:pos="-720"/>
        </w:tabs>
        <w:suppressAutoHyphens/>
        <w:rPr>
          <w:rFonts w:ascii="Times New Roman" w:hAnsi="Times New Roman"/>
          <w:u w:val="single"/>
        </w:rPr>
      </w:pPr>
    </w:p>
    <w:p w:rsidRPr="002451D0" w:rsidR="002D133A" w:rsidRDefault="002D133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t>-</w:t>
      </w:r>
      <w:r w:rsidRPr="002451D0">
        <w:rPr>
          <w:rFonts w:ascii="Times New Roman" w:hAnsi="Times New Roman"/>
        </w:rPr>
        <w:tab/>
      </w:r>
      <w:r w:rsidRPr="002451D0">
        <w:rPr>
          <w:rFonts w:ascii="Times New Roman" w:hAnsi="Times New Roman"/>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451D0" w:rsidR="00403637">
        <w:rPr>
          <w:rFonts w:ascii="Times New Roman" w:hAnsi="Times New Roman"/>
          <w:u w:val="single"/>
        </w:rPr>
        <w:t>government</w:t>
      </w:r>
      <w:r w:rsidRPr="002451D0">
        <w:rPr>
          <w:rFonts w:ascii="Times New Roman" w:hAnsi="Times New Roman"/>
          <w:u w:val="single"/>
        </w:rPr>
        <w:t xml:space="preserve"> or (4) as part of customary and usual business or private practices.</w:t>
      </w:r>
    </w:p>
    <w:p w:rsidRPr="002451D0" w:rsidR="00E409B1" w:rsidRDefault="00D525DA">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r>
    </w:p>
    <w:p w:rsidRPr="002451D0" w:rsidR="00043C98" w:rsidRDefault="00E409B1">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Pr>
          <w:rFonts w:ascii="Times New Roman" w:hAnsi="Times New Roman"/>
        </w:rPr>
        <w:tab/>
        <w:t>It is expected that SEFs will utilize existing software, information technology, and systems.  Thus, the Commission believes that there will not be additional capital/startup costs or operational/maintenance costs incurred by SEFs to report the information required by the final rule</w:t>
      </w:r>
    </w:p>
    <w:p w:rsidRPr="002451D0" w:rsidR="002D133A" w:rsidP="00CA5E83" w:rsidRDefault="00940D47">
      <w:pPr>
        <w:tabs>
          <w:tab w:val="left" w:pos="-720"/>
          <w:tab w:val="left" w:pos="0"/>
          <w:tab w:val="left" w:pos="720"/>
        </w:tabs>
        <w:suppressAutoHyphens/>
        <w:ind w:left="1440" w:hanging="1440"/>
        <w:rPr>
          <w:rFonts w:ascii="Times New Roman" w:hAnsi="Times New Roman"/>
        </w:rPr>
      </w:pPr>
      <w:r w:rsidRPr="002451D0">
        <w:rPr>
          <w:rFonts w:ascii="Times New Roman" w:hAnsi="Times New Roman"/>
        </w:rPr>
        <w:tab/>
      </w:r>
      <w:r w:rsidRPr="002451D0" w:rsidR="00D525DA">
        <w:rPr>
          <w:rFonts w:ascii="Times New Roman" w:hAnsi="Times New Roman"/>
        </w:rPr>
        <w:tab/>
      </w:r>
    </w:p>
    <w:p w:rsidRPr="002451D0" w:rsidR="002D133A" w:rsidRDefault="002D133A">
      <w:pPr>
        <w:tabs>
          <w:tab w:val="left" w:pos="-720"/>
        </w:tabs>
        <w:suppressAutoHyphens/>
        <w:ind w:left="720" w:hanging="720"/>
        <w:rPr>
          <w:rFonts w:ascii="Times New Roman" w:hAnsi="Times New Roman"/>
        </w:rPr>
      </w:pPr>
      <w:r w:rsidRPr="002451D0">
        <w:rPr>
          <w:rFonts w:ascii="Times New Roman" w:hAnsi="Times New Roman"/>
        </w:rPr>
        <w:t>14.</w:t>
      </w:r>
      <w:r w:rsidRPr="002451D0">
        <w:rPr>
          <w:rFonts w:ascii="Times New Roman" w:hAnsi="Times New Roman"/>
        </w:rPr>
        <w:tab/>
      </w:r>
      <w:r w:rsidRPr="002451D0">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2451D0">
        <w:rPr>
          <w:rFonts w:ascii="Times New Roman" w:hAnsi="Times New Roman"/>
        </w:rPr>
        <w:t xml:space="preserve">  </w:t>
      </w:r>
    </w:p>
    <w:p w:rsidRPr="002451D0" w:rsidR="002D133A" w:rsidRDefault="002D133A">
      <w:pPr>
        <w:tabs>
          <w:tab w:val="left" w:pos="-720"/>
        </w:tabs>
        <w:suppressAutoHyphens/>
        <w:rPr>
          <w:rFonts w:ascii="Times New Roman" w:hAnsi="Times New Roman"/>
        </w:rPr>
      </w:pPr>
    </w:p>
    <w:p w:rsidRPr="002451D0" w:rsidR="00197193" w:rsidP="00197193" w:rsidRDefault="008E6932">
      <w:pPr>
        <w:tabs>
          <w:tab w:val="left" w:pos="-720"/>
        </w:tabs>
        <w:suppressAutoHyphens/>
        <w:ind w:left="720" w:hanging="720"/>
        <w:rPr>
          <w:rFonts w:ascii="Times New Roman" w:hAnsi="Times New Roman"/>
        </w:rPr>
      </w:pPr>
      <w:r w:rsidRPr="002451D0">
        <w:rPr>
          <w:rFonts w:ascii="Times New Roman" w:hAnsi="Times New Roman"/>
        </w:rPr>
        <w:tab/>
      </w:r>
      <w:r w:rsidRPr="002451D0" w:rsidR="00197193">
        <w:rPr>
          <w:rFonts w:ascii="Times New Roman" w:hAnsi="Times New Roman"/>
        </w:rPr>
        <w:t xml:space="preserve">It is not anticipated that the final rule will impose any additional costs to the Federal Government. </w:t>
      </w:r>
    </w:p>
    <w:p w:rsidRPr="002451D0" w:rsidR="008E6932" w:rsidP="00197193" w:rsidRDefault="008E6932">
      <w:pPr>
        <w:tabs>
          <w:tab w:val="left" w:pos="-720"/>
        </w:tabs>
        <w:suppressAutoHyphens/>
        <w:ind w:left="720" w:hanging="720"/>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15.</w:t>
      </w:r>
      <w:r w:rsidRPr="002451D0">
        <w:rPr>
          <w:rFonts w:ascii="Times New Roman" w:hAnsi="Times New Roman"/>
        </w:rPr>
        <w:tab/>
      </w:r>
      <w:r w:rsidRPr="002451D0">
        <w:rPr>
          <w:rFonts w:ascii="Times New Roman" w:hAnsi="Times New Roman"/>
          <w:u w:val="single"/>
        </w:rPr>
        <w:t>Explain the reasons for any program changes or adjustments reported in Items 13 or 14 of the OMB Form 83-I</w:t>
      </w:r>
      <w:r w:rsidRPr="002451D0">
        <w:rPr>
          <w:rFonts w:ascii="Times New Roman" w:hAnsi="Times New Roman"/>
        </w:rPr>
        <w:t>.</w:t>
      </w:r>
    </w:p>
    <w:p w:rsidRPr="002451D0" w:rsidR="00D377B0" w:rsidP="00D377B0" w:rsidRDefault="00D377B0">
      <w:pPr>
        <w:tabs>
          <w:tab w:val="left" w:pos="-720"/>
          <w:tab w:val="left" w:pos="0"/>
        </w:tabs>
        <w:suppressAutoHyphens/>
        <w:ind w:left="720" w:hanging="720"/>
        <w:rPr>
          <w:rFonts w:ascii="Times New Roman" w:hAnsi="Times New Roman"/>
        </w:rPr>
      </w:pPr>
    </w:p>
    <w:p w:rsidRPr="002451D0" w:rsidR="00D377B0" w:rsidP="00D377B0" w:rsidRDefault="00D377B0">
      <w:pPr>
        <w:tabs>
          <w:tab w:val="left" w:pos="-720"/>
          <w:tab w:val="left" w:pos="0"/>
        </w:tabs>
        <w:suppressAutoHyphens/>
        <w:ind w:left="720" w:hanging="720"/>
        <w:rPr>
          <w:rFonts w:ascii="Times New Roman" w:hAnsi="Times New Roman"/>
        </w:rPr>
      </w:pPr>
      <w:r w:rsidRPr="002451D0">
        <w:rPr>
          <w:rFonts w:ascii="Times New Roman" w:hAnsi="Times New Roman"/>
        </w:rPr>
        <w:tab/>
        <w:t xml:space="preserve">The Commission is amending control number 3038-0074 to account for a change in the number of SEFs currently registered with the Commission from </w:t>
      </w:r>
      <w:r w:rsidRPr="002451D0" w:rsidR="00C33D03">
        <w:rPr>
          <w:rFonts w:ascii="Times New Roman" w:hAnsi="Times New Roman"/>
        </w:rPr>
        <w:t xml:space="preserve">25 </w:t>
      </w:r>
      <w:r w:rsidRPr="002451D0">
        <w:rPr>
          <w:rFonts w:ascii="Times New Roman" w:hAnsi="Times New Roman"/>
        </w:rPr>
        <w:t xml:space="preserve">to </w:t>
      </w:r>
      <w:r w:rsidRPr="002451D0" w:rsidR="00C33D03">
        <w:rPr>
          <w:rFonts w:ascii="Times New Roman" w:hAnsi="Times New Roman"/>
        </w:rPr>
        <w:t>21</w:t>
      </w:r>
      <w:r w:rsidRPr="002451D0">
        <w:rPr>
          <w:rFonts w:ascii="Times New Roman" w:hAnsi="Times New Roman"/>
        </w:rPr>
        <w:t xml:space="preserve">.  The </w:t>
      </w:r>
      <w:r w:rsidRPr="002451D0" w:rsidR="00C33D03">
        <w:rPr>
          <w:rFonts w:ascii="Times New Roman" w:hAnsi="Times New Roman"/>
        </w:rPr>
        <w:t xml:space="preserve">decrease </w:t>
      </w:r>
      <w:r w:rsidRPr="002451D0">
        <w:rPr>
          <w:rFonts w:ascii="Times New Roman" w:hAnsi="Times New Roman"/>
        </w:rPr>
        <w:t xml:space="preserve">in the number of SEFs registered with the Commission will </w:t>
      </w:r>
      <w:r w:rsidRPr="002451D0" w:rsidR="00C33D03">
        <w:rPr>
          <w:rFonts w:ascii="Times New Roman" w:hAnsi="Times New Roman"/>
        </w:rPr>
        <w:t>de</w:t>
      </w:r>
      <w:r w:rsidRPr="002451D0">
        <w:rPr>
          <w:rFonts w:ascii="Times New Roman" w:hAnsi="Times New Roman"/>
        </w:rPr>
        <w:t xml:space="preserve">crease the total information collection burden for 3038-0074 from </w:t>
      </w:r>
      <w:r w:rsidRPr="002451D0" w:rsidR="00C33D03">
        <w:rPr>
          <w:rFonts w:ascii="Times New Roman" w:hAnsi="Times New Roman"/>
        </w:rPr>
        <w:t>25</w:t>
      </w:r>
      <w:r w:rsidRPr="002451D0">
        <w:rPr>
          <w:rFonts w:ascii="Times New Roman" w:hAnsi="Times New Roman"/>
        </w:rPr>
        <w:t xml:space="preserve">,000 hours to </w:t>
      </w:r>
      <w:r w:rsidRPr="002451D0" w:rsidR="00C33D03">
        <w:rPr>
          <w:rFonts w:ascii="Times New Roman" w:hAnsi="Times New Roman"/>
        </w:rPr>
        <w:t>21</w:t>
      </w:r>
      <w:r w:rsidRPr="002451D0">
        <w:rPr>
          <w:rFonts w:ascii="Times New Roman" w:hAnsi="Times New Roman"/>
        </w:rPr>
        <w:t>,000 hours (See Attachment A)</w:t>
      </w:r>
      <w:r w:rsidRPr="002451D0" w:rsidR="0099367D">
        <w:rPr>
          <w:rFonts w:ascii="Times New Roman" w:hAnsi="Times New Roman"/>
        </w:rPr>
        <w:t>.</w:t>
      </w:r>
      <w:r w:rsidRPr="002451D0">
        <w:rPr>
          <w:rFonts w:ascii="Times New Roman" w:hAnsi="Times New Roman"/>
        </w:rPr>
        <w:t xml:space="preserve"> </w:t>
      </w:r>
    </w:p>
    <w:p w:rsidRPr="002451D0" w:rsidR="002D133A" w:rsidP="00E409B1" w:rsidRDefault="00D377B0">
      <w:pPr>
        <w:tabs>
          <w:tab w:val="left" w:pos="-720"/>
          <w:tab w:val="left" w:pos="0"/>
        </w:tabs>
        <w:suppressAutoHyphens/>
        <w:ind w:left="720" w:hanging="720"/>
        <w:rPr>
          <w:rFonts w:ascii="Times New Roman" w:hAnsi="Times New Roman"/>
        </w:rPr>
      </w:pPr>
      <w:r w:rsidRPr="002451D0">
        <w:rPr>
          <w:rFonts w:ascii="Times New Roman" w:hAnsi="Times New Roman"/>
        </w:rPr>
        <w:tab/>
      </w:r>
      <w:r w:rsidRPr="002451D0" w:rsidR="000C12E0">
        <w:rPr>
          <w:rFonts w:ascii="Times New Roman" w:hAnsi="Times New Roman"/>
        </w:rPr>
        <w:tab/>
      </w: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16.</w:t>
      </w:r>
      <w:r w:rsidRPr="002451D0">
        <w:rPr>
          <w:rFonts w:ascii="Times New Roman" w:hAnsi="Times New Roman"/>
        </w:rPr>
        <w:tab/>
      </w:r>
      <w:r w:rsidRPr="002451D0">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2451D0">
        <w:rPr>
          <w:rFonts w:ascii="Times New Roman" w:hAnsi="Times New Roman"/>
        </w:rPr>
        <w:t>.</w:t>
      </w:r>
    </w:p>
    <w:p w:rsidRPr="002451D0" w:rsidR="002D133A" w:rsidRDefault="002D133A">
      <w:pPr>
        <w:tabs>
          <w:tab w:val="left" w:pos="-720"/>
        </w:tabs>
        <w:suppressAutoHyphens/>
        <w:rPr>
          <w:rFonts w:ascii="Times New Roman" w:hAnsi="Times New Roman"/>
        </w:rPr>
      </w:pPr>
    </w:p>
    <w:p w:rsidRPr="002451D0" w:rsidR="008E6932" w:rsidRDefault="008E6932">
      <w:pPr>
        <w:tabs>
          <w:tab w:val="left" w:pos="-720"/>
        </w:tabs>
        <w:suppressAutoHyphens/>
        <w:rPr>
          <w:rFonts w:ascii="Times New Roman" w:hAnsi="Times New Roman"/>
        </w:rPr>
      </w:pPr>
      <w:r w:rsidRPr="002451D0">
        <w:rPr>
          <w:rFonts w:ascii="Times New Roman" w:hAnsi="Times New Roman"/>
        </w:rPr>
        <w:tab/>
        <w:t>This question does not apply.</w:t>
      </w:r>
    </w:p>
    <w:p w:rsidRPr="002451D0" w:rsidR="008E6932" w:rsidRDefault="008E6932">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17.</w:t>
      </w:r>
      <w:r w:rsidRPr="002451D0">
        <w:rPr>
          <w:rFonts w:ascii="Times New Roman" w:hAnsi="Times New Roman"/>
        </w:rPr>
        <w:tab/>
      </w:r>
      <w:r w:rsidRPr="002451D0">
        <w:rPr>
          <w:rFonts w:ascii="Times New Roman" w:hAnsi="Times New Roman"/>
          <w:u w:val="single"/>
        </w:rPr>
        <w:t>If seeking approval to not display the expiration date for OMB approval of the information collection, explain the reasons that display would be inappropriate</w:t>
      </w:r>
      <w:r w:rsidRPr="002451D0">
        <w:rPr>
          <w:rFonts w:ascii="Times New Roman" w:hAnsi="Times New Roman"/>
        </w:rPr>
        <w:t>.</w:t>
      </w:r>
    </w:p>
    <w:p w:rsidRPr="002451D0" w:rsidR="008E6932" w:rsidRDefault="008E6932">
      <w:pPr>
        <w:tabs>
          <w:tab w:val="left" w:pos="-720"/>
          <w:tab w:val="left" w:pos="0"/>
        </w:tabs>
        <w:suppressAutoHyphens/>
        <w:ind w:left="720" w:hanging="720"/>
        <w:rPr>
          <w:rFonts w:ascii="Times New Roman" w:hAnsi="Times New Roman"/>
        </w:rPr>
      </w:pPr>
    </w:p>
    <w:p w:rsidRPr="002451D0" w:rsidR="008E6932" w:rsidRDefault="008E6932">
      <w:pPr>
        <w:tabs>
          <w:tab w:val="left" w:pos="-720"/>
          <w:tab w:val="left" w:pos="0"/>
        </w:tabs>
        <w:suppressAutoHyphens/>
        <w:ind w:left="720" w:hanging="720"/>
        <w:rPr>
          <w:rFonts w:ascii="Times New Roman" w:hAnsi="Times New Roman"/>
        </w:rPr>
      </w:pPr>
      <w:r w:rsidRPr="002451D0">
        <w:rPr>
          <w:rFonts w:ascii="Times New Roman" w:hAnsi="Times New Roman"/>
        </w:rPr>
        <w:tab/>
        <w:t>This question does not apply.</w:t>
      </w:r>
    </w:p>
    <w:p w:rsidRPr="002451D0" w:rsidR="002D133A" w:rsidRDefault="002D133A">
      <w:pPr>
        <w:tabs>
          <w:tab w:val="left" w:pos="-720"/>
        </w:tabs>
        <w:suppressAutoHyphens/>
        <w:rPr>
          <w:rFonts w:ascii="Times New Roman" w:hAnsi="Times New Roman"/>
        </w:rPr>
      </w:pPr>
    </w:p>
    <w:p w:rsidRPr="002451D0" w:rsidR="002D133A" w:rsidRDefault="002D133A">
      <w:pPr>
        <w:tabs>
          <w:tab w:val="left" w:pos="-720"/>
          <w:tab w:val="left" w:pos="0"/>
        </w:tabs>
        <w:suppressAutoHyphens/>
        <w:ind w:left="720" w:hanging="720"/>
        <w:rPr>
          <w:rFonts w:ascii="Times New Roman" w:hAnsi="Times New Roman"/>
        </w:rPr>
      </w:pPr>
      <w:r w:rsidRPr="002451D0">
        <w:rPr>
          <w:rFonts w:ascii="Times New Roman" w:hAnsi="Times New Roman"/>
        </w:rPr>
        <w:t>18.</w:t>
      </w:r>
      <w:r w:rsidRPr="002451D0">
        <w:rPr>
          <w:rFonts w:ascii="Times New Roman" w:hAnsi="Times New Roman"/>
        </w:rPr>
        <w:tab/>
      </w:r>
      <w:r w:rsidRPr="002451D0">
        <w:rPr>
          <w:rFonts w:ascii="Times New Roman" w:hAnsi="Times New Roman"/>
          <w:u w:val="single"/>
        </w:rPr>
        <w:t>Explain each exception to the certification statement identified in Item 19, "Certification for Paperwork Reduction Act Submissions," of OMB Form 83-I</w:t>
      </w:r>
      <w:r w:rsidRPr="002451D0">
        <w:rPr>
          <w:rFonts w:ascii="Times New Roman" w:hAnsi="Times New Roman"/>
        </w:rPr>
        <w:t>.</w:t>
      </w:r>
    </w:p>
    <w:p w:rsidRPr="002451D0" w:rsidR="008E6932" w:rsidRDefault="008E6932">
      <w:pPr>
        <w:tabs>
          <w:tab w:val="left" w:pos="-720"/>
          <w:tab w:val="left" w:pos="0"/>
        </w:tabs>
        <w:suppressAutoHyphens/>
        <w:ind w:left="720" w:hanging="720"/>
        <w:rPr>
          <w:rFonts w:ascii="Times New Roman" w:hAnsi="Times New Roman"/>
        </w:rPr>
      </w:pPr>
    </w:p>
    <w:p w:rsidRPr="002451D0" w:rsidR="00DC1F75" w:rsidP="00DC1F75" w:rsidRDefault="00DC1F75">
      <w:pPr>
        <w:tabs>
          <w:tab w:val="left" w:pos="-720"/>
          <w:tab w:val="left" w:pos="0"/>
        </w:tabs>
        <w:suppressAutoHyphens/>
        <w:ind w:left="720" w:hanging="720"/>
        <w:rPr>
          <w:rFonts w:ascii="Times New Roman" w:hAnsi="Times New Roman"/>
        </w:rPr>
        <w:sectPr w:rsidRPr="002451D0" w:rsidR="00DC1F75" w:rsidSect="00A37A5F">
          <w:footerReference w:type="default" r:id="rId11"/>
          <w:endnotePr>
            <w:numFmt w:val="decimal"/>
          </w:endnotePr>
          <w:type w:val="continuous"/>
          <w:pgSz w:w="12240" w:h="15840"/>
          <w:pgMar w:top="1440" w:right="1440" w:bottom="1440" w:left="1440" w:header="1350" w:footer="1440" w:gutter="0"/>
          <w:pgNumType w:start="1"/>
          <w:cols w:space="720"/>
          <w:noEndnote/>
        </w:sectPr>
      </w:pPr>
      <w:r w:rsidRPr="002451D0">
        <w:rPr>
          <w:rFonts w:ascii="Times New Roman" w:hAnsi="Times New Roman"/>
        </w:rPr>
        <w:tab/>
        <w:t>No exceptions exist.</w:t>
      </w:r>
    </w:p>
    <w:p w:rsidRPr="002451D0" w:rsidR="00CB452E" w:rsidP="004D4DE2" w:rsidRDefault="00CB452E">
      <w:pPr>
        <w:tabs>
          <w:tab w:val="left" w:pos="-720"/>
        </w:tabs>
        <w:suppressAutoHyphens/>
        <w:jc w:val="center"/>
        <w:rPr>
          <w:rFonts w:ascii="Times New Roman" w:hAnsi="Times New Roman"/>
          <w:b/>
        </w:rPr>
      </w:pPr>
    </w:p>
    <w:p w:rsidRPr="002451D0" w:rsidR="00CB452E" w:rsidP="004D4DE2" w:rsidRDefault="00CB452E">
      <w:pPr>
        <w:tabs>
          <w:tab w:val="left" w:pos="-720"/>
        </w:tabs>
        <w:suppressAutoHyphens/>
        <w:jc w:val="center"/>
        <w:rPr>
          <w:rFonts w:ascii="Times New Roman" w:hAnsi="Times New Roman"/>
          <w:b/>
        </w:rPr>
      </w:pPr>
    </w:p>
    <w:p w:rsidRPr="002451D0" w:rsidR="004D4DE2" w:rsidP="004D4DE2" w:rsidRDefault="004D4DE2">
      <w:pPr>
        <w:tabs>
          <w:tab w:val="left" w:pos="-720"/>
        </w:tabs>
        <w:suppressAutoHyphens/>
        <w:jc w:val="center"/>
        <w:rPr>
          <w:rFonts w:ascii="Times New Roman" w:hAnsi="Times New Roman"/>
          <w:b/>
        </w:rPr>
      </w:pPr>
      <w:r w:rsidRPr="002451D0">
        <w:rPr>
          <w:rFonts w:ascii="Times New Roman" w:hAnsi="Times New Roman"/>
          <w:b/>
        </w:rPr>
        <w:t>Part 37 Establishing Procedures for</w:t>
      </w:r>
    </w:p>
    <w:p w:rsidRPr="002451D0" w:rsidR="00CB452E" w:rsidP="004D4DE2" w:rsidRDefault="002F43AF">
      <w:pPr>
        <w:tabs>
          <w:tab w:val="left" w:pos="-720"/>
        </w:tabs>
        <w:suppressAutoHyphens/>
        <w:jc w:val="center"/>
        <w:rPr>
          <w:rFonts w:ascii="Times New Roman" w:hAnsi="Times New Roman"/>
          <w:b/>
        </w:rPr>
      </w:pPr>
      <w:r w:rsidRPr="002451D0">
        <w:rPr>
          <w:rFonts w:ascii="Times New Roman" w:hAnsi="Times New Roman"/>
          <w:b/>
        </w:rPr>
        <w:t>Compliance with Core Principles and Other Requirements for SEFs</w:t>
      </w:r>
      <w:r w:rsidRPr="002451D0" w:rsidR="004D4DE2">
        <w:rPr>
          <w:rFonts w:ascii="Times New Roman" w:hAnsi="Times New Roman"/>
          <w:b/>
        </w:rPr>
        <w:t xml:space="preserve"> and Applicants Seeking </w:t>
      </w:r>
      <w:r w:rsidRPr="002451D0">
        <w:rPr>
          <w:rFonts w:ascii="Times New Roman" w:hAnsi="Times New Roman"/>
          <w:b/>
        </w:rPr>
        <w:t xml:space="preserve">SEF </w:t>
      </w:r>
      <w:r w:rsidRPr="002451D0" w:rsidR="004D4DE2">
        <w:rPr>
          <w:rFonts w:ascii="Times New Roman" w:hAnsi="Times New Roman"/>
          <w:b/>
        </w:rPr>
        <w:t>Registration</w:t>
      </w:r>
      <w:r w:rsidRPr="002451D0" w:rsidR="00E8482C">
        <w:rPr>
          <w:rStyle w:val="FootnoteReference"/>
          <w:rFonts w:ascii="Times New Roman" w:hAnsi="Times New Roman"/>
          <w:b/>
        </w:rPr>
        <w:footnoteReference w:id="6"/>
      </w:r>
      <w:r w:rsidRPr="002451D0" w:rsidR="00F84484">
        <w:rPr>
          <w:rFonts w:ascii="Times New Roman" w:hAnsi="Times New Roman"/>
          <w:b/>
        </w:rPr>
        <w:t xml:space="preserve"> </w:t>
      </w:r>
    </w:p>
    <w:p w:rsidRPr="002451D0" w:rsidR="00CB452E" w:rsidP="004D4DE2" w:rsidRDefault="00CB452E">
      <w:pPr>
        <w:tabs>
          <w:tab w:val="left" w:pos="-720"/>
        </w:tabs>
        <w:suppressAutoHyphens/>
        <w:jc w:val="center"/>
        <w:rPr>
          <w:rFonts w:ascii="Times New Roman" w:hAnsi="Times New Roman"/>
          <w:b/>
        </w:rPr>
      </w:pPr>
    </w:p>
    <w:p w:rsidRPr="002451D0" w:rsidR="00CB452E" w:rsidP="004D4DE2" w:rsidRDefault="00CB452E">
      <w:pPr>
        <w:tabs>
          <w:tab w:val="left" w:pos="-720"/>
        </w:tabs>
        <w:suppressAutoHyphens/>
        <w:jc w:val="center"/>
        <w:rPr>
          <w:rFonts w:ascii="Times New Roman" w:hAnsi="Times New Roman"/>
          <w:b/>
        </w:rPr>
      </w:pPr>
    </w:p>
    <w:p w:rsidRPr="002451D0" w:rsidR="00CB452E" w:rsidP="004D4DE2" w:rsidRDefault="00CB452E">
      <w:pPr>
        <w:tabs>
          <w:tab w:val="left" w:pos="-720"/>
        </w:tabs>
        <w:suppressAutoHyphens/>
        <w:jc w:val="center"/>
        <w:rPr>
          <w:rFonts w:ascii="Times New Roman" w:hAnsi="Times New Roman"/>
          <w:b/>
        </w:rPr>
      </w:pPr>
    </w:p>
    <w:p w:rsidRPr="002451D0" w:rsidR="00CB452E" w:rsidP="004D4DE2" w:rsidRDefault="00CB452E">
      <w:pPr>
        <w:tabs>
          <w:tab w:val="left" w:pos="-720"/>
        </w:tabs>
        <w:suppressAutoHyphens/>
        <w:jc w:val="center"/>
        <w:rPr>
          <w:rFonts w:ascii="Times New Roman" w:hAnsi="Times New Roman"/>
          <w:b/>
        </w:rPr>
      </w:pPr>
      <w:r w:rsidRPr="002451D0">
        <w:rPr>
          <w:rFonts w:ascii="Times New Roman" w:hAnsi="Times New Roman"/>
          <w:b/>
        </w:rPr>
        <w:t>(Table</w:t>
      </w:r>
      <w:r w:rsidRPr="002451D0" w:rsidR="00951B43">
        <w:rPr>
          <w:rFonts w:ascii="Times New Roman" w:hAnsi="Times New Roman"/>
          <w:b/>
        </w:rPr>
        <w:t>s</w:t>
      </w:r>
      <w:r w:rsidRPr="002451D0">
        <w:rPr>
          <w:rFonts w:ascii="Times New Roman" w:hAnsi="Times New Roman"/>
          <w:b/>
        </w:rPr>
        <w:t xml:space="preserve"> on following pages)</w:t>
      </w:r>
    </w:p>
    <w:p w:rsidRPr="002451D0" w:rsidR="00DC3331" w:rsidP="00DC3331" w:rsidRDefault="00CB452E">
      <w:pPr>
        <w:tabs>
          <w:tab w:val="left" w:pos="-720"/>
        </w:tabs>
        <w:suppressAutoHyphens/>
        <w:jc w:val="center"/>
        <w:rPr>
          <w:rFonts w:ascii="Times New Roman" w:hAnsi="Times New Roman"/>
          <w:b/>
        </w:rPr>
      </w:pPr>
      <w:r w:rsidRPr="002451D0">
        <w:rPr>
          <w:rFonts w:ascii="Times New Roman" w:hAnsi="Times New Roman"/>
          <w:b/>
        </w:rPr>
        <w:br w:type="page"/>
      </w:r>
      <w:r w:rsidRPr="002451D0" w:rsidR="00DC3331">
        <w:rPr>
          <w:rFonts w:ascii="Times New Roman" w:hAnsi="Times New Roman"/>
          <w:b/>
        </w:rPr>
        <w:t>Previous Table for Estimated Annual Burden Hours for Registered SEFs and Applicants for Permanent SEF Registration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530"/>
        <w:gridCol w:w="1242"/>
        <w:gridCol w:w="1278"/>
        <w:gridCol w:w="1530"/>
        <w:gridCol w:w="1890"/>
      </w:tblGrid>
      <w:tr w:rsidRPr="002451D0" w:rsidR="00DC3331" w:rsidTr="00A25109">
        <w:trPr>
          <w:cantSplit/>
          <w:trHeight w:val="935"/>
          <w:jc w:val="center"/>
        </w:trPr>
        <w:tc>
          <w:tcPr>
            <w:tcW w:w="171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Report</w:t>
            </w:r>
          </w:p>
        </w:tc>
        <w:tc>
          <w:tcPr>
            <w:tcW w:w="153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Estimated Number of Respondents</w:t>
            </w:r>
          </w:p>
        </w:tc>
        <w:tc>
          <w:tcPr>
            <w:tcW w:w="1242"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Reports Annually by Each</w:t>
            </w:r>
          </w:p>
        </w:tc>
        <w:tc>
          <w:tcPr>
            <w:tcW w:w="1278"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Total Annual Responses</w:t>
            </w:r>
          </w:p>
        </w:tc>
        <w:tc>
          <w:tcPr>
            <w:tcW w:w="153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Estimated Average Number of Hours per year</w:t>
            </w:r>
          </w:p>
        </w:tc>
        <w:tc>
          <w:tcPr>
            <w:tcW w:w="189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Annual Reporting &amp; recordkeeping Burden Hours</w:t>
            </w:r>
          </w:p>
        </w:tc>
      </w:tr>
      <w:tr w:rsidRPr="002451D0" w:rsidR="00DC3331" w:rsidTr="00A25109">
        <w:trPr>
          <w:cantSplit/>
          <w:jc w:val="center"/>
        </w:trPr>
        <w:tc>
          <w:tcPr>
            <w:tcW w:w="171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Designation and Compliance (for registered SEFs)</w:t>
            </w:r>
          </w:p>
        </w:tc>
        <w:tc>
          <w:tcPr>
            <w:tcW w:w="1530" w:type="dxa"/>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242"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NA</w:t>
            </w:r>
          </w:p>
        </w:tc>
        <w:tc>
          <w:tcPr>
            <w:tcW w:w="1278"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NA</w:t>
            </w:r>
          </w:p>
        </w:tc>
        <w:tc>
          <w:tcPr>
            <w:tcW w:w="153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437</w:t>
            </w:r>
          </w:p>
        </w:tc>
        <w:tc>
          <w:tcPr>
            <w:tcW w:w="1890" w:type="dxa"/>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szCs w:val="24"/>
              </w:rPr>
              <w:t>10,925</w:t>
            </w:r>
          </w:p>
        </w:tc>
      </w:tr>
      <w:tr w:rsidRPr="002451D0" w:rsidR="00DC3331" w:rsidTr="00A25109">
        <w:trPr>
          <w:cantSplit/>
          <w:jc w:val="center"/>
        </w:trPr>
        <w:tc>
          <w:tcPr>
            <w:tcW w:w="171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 xml:space="preserve">Annual </w:t>
            </w:r>
          </w:p>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(for registered SEFs)</w:t>
            </w:r>
          </w:p>
        </w:tc>
        <w:tc>
          <w:tcPr>
            <w:tcW w:w="1530" w:type="dxa"/>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242"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1</w:t>
            </w:r>
          </w:p>
        </w:tc>
        <w:tc>
          <w:tcPr>
            <w:tcW w:w="1278" w:type="dxa"/>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53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Included in average above</w:t>
            </w:r>
          </w:p>
        </w:tc>
        <w:tc>
          <w:tcPr>
            <w:tcW w:w="1890" w:type="dxa"/>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Included in average above</w:t>
            </w:r>
          </w:p>
        </w:tc>
      </w:tr>
      <w:tr w:rsidRPr="002451D0" w:rsidR="00DC3331" w:rsidTr="00A25109">
        <w:trPr>
          <w:cantSplit/>
          <w:jc w:val="center"/>
        </w:trPr>
        <w:tc>
          <w:tcPr>
            <w:tcW w:w="1710" w:type="dxa"/>
            <w:tcBorders>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Quarterly</w:t>
            </w:r>
          </w:p>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 xml:space="preserve"> (for registered SEFs)</w:t>
            </w:r>
          </w:p>
        </w:tc>
        <w:tc>
          <w:tcPr>
            <w:tcW w:w="1530" w:type="dxa"/>
            <w:tcBorders>
              <w:bottom w:val="double" w:color="auto" w:sz="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242" w:type="dxa"/>
            <w:tcBorders>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4</w:t>
            </w:r>
          </w:p>
        </w:tc>
        <w:tc>
          <w:tcPr>
            <w:tcW w:w="1278" w:type="dxa"/>
            <w:tcBorders>
              <w:bottom w:val="double" w:color="auto" w:sz="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100</w:t>
            </w:r>
          </w:p>
        </w:tc>
        <w:tc>
          <w:tcPr>
            <w:tcW w:w="1530" w:type="dxa"/>
            <w:tcBorders>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Included in average above</w:t>
            </w:r>
          </w:p>
        </w:tc>
        <w:tc>
          <w:tcPr>
            <w:tcW w:w="1890" w:type="dxa"/>
            <w:tcBorders>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Included in average above</w:t>
            </w:r>
          </w:p>
        </w:tc>
      </w:tr>
      <w:tr w:rsidRPr="002451D0" w:rsidR="00DC3331" w:rsidTr="00A25109">
        <w:trPr>
          <w:cantSplit/>
          <w:jc w:val="center"/>
        </w:trPr>
        <w:tc>
          <w:tcPr>
            <w:tcW w:w="1710" w:type="dxa"/>
            <w:tcBorders>
              <w:top w:val="double" w:color="auto" w:sz="4" w:space="0"/>
              <w:left w:val="single" w:color="auto" w:sz="4" w:space="0"/>
              <w:bottom w:val="double" w:color="auto" w:sz="4" w:space="0"/>
              <w:right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Sub-Total</w:t>
            </w:r>
          </w:p>
        </w:tc>
        <w:tc>
          <w:tcPr>
            <w:tcW w:w="1530" w:type="dxa"/>
            <w:tcBorders>
              <w:top w:val="double" w:color="auto" w:sz="4" w:space="0"/>
              <w:left w:val="single" w:color="auto" w:sz="4" w:space="0"/>
              <w:bottom w:val="double" w:color="auto" w:sz="4" w:space="0"/>
              <w:right w:val="single" w:color="auto" w:sz="4" w:space="0"/>
            </w:tcBorders>
          </w:tcPr>
          <w:p w:rsidRPr="002451D0" w:rsidR="00DC3331" w:rsidDel="00F84484"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242" w:type="dxa"/>
            <w:tcBorders>
              <w:top w:val="double" w:color="auto" w:sz="4" w:space="0"/>
              <w:left w:val="single" w:color="auto" w:sz="4" w:space="0"/>
              <w:bottom w:val="double" w:color="auto" w:sz="4" w:space="0"/>
              <w:right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5</w:t>
            </w:r>
          </w:p>
        </w:tc>
        <w:tc>
          <w:tcPr>
            <w:tcW w:w="1278" w:type="dxa"/>
            <w:tcBorders>
              <w:top w:val="double" w:color="auto" w:sz="4" w:space="0"/>
              <w:left w:val="single" w:color="auto" w:sz="4" w:space="0"/>
              <w:bottom w:val="double" w:color="auto" w:sz="4" w:space="0"/>
              <w:right w:val="single" w:color="auto" w:sz="4" w:space="0"/>
            </w:tcBorders>
          </w:tcPr>
          <w:p w:rsidRPr="002451D0" w:rsidR="00DC3331" w:rsidDel="00F84484" w:rsidP="00DC3331" w:rsidRDefault="00BB664B">
            <w:pPr>
              <w:tabs>
                <w:tab w:val="left" w:pos="-720"/>
              </w:tabs>
              <w:suppressAutoHyphens/>
              <w:jc w:val="center"/>
              <w:rPr>
                <w:rFonts w:ascii="Times New Roman" w:hAnsi="Times New Roman"/>
                <w:b/>
              </w:rPr>
            </w:pPr>
            <w:r w:rsidRPr="002451D0">
              <w:rPr>
                <w:rFonts w:ascii="Times New Roman" w:hAnsi="Times New Roman"/>
                <w:b/>
              </w:rPr>
              <w:t>125</w:t>
            </w:r>
          </w:p>
        </w:tc>
        <w:tc>
          <w:tcPr>
            <w:tcW w:w="1530" w:type="dxa"/>
            <w:tcBorders>
              <w:top w:val="double" w:color="auto" w:sz="4" w:space="0"/>
              <w:left w:val="single" w:color="auto" w:sz="4" w:space="0"/>
              <w:bottom w:val="double" w:color="auto" w:sz="4" w:space="0"/>
              <w:right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437</w:t>
            </w:r>
          </w:p>
        </w:tc>
        <w:tc>
          <w:tcPr>
            <w:tcW w:w="1890" w:type="dxa"/>
            <w:tcBorders>
              <w:top w:val="double" w:color="auto" w:sz="4" w:space="0"/>
              <w:left w:val="single" w:color="auto" w:sz="4" w:space="0"/>
              <w:bottom w:val="double" w:color="auto" w:sz="4" w:space="0"/>
              <w:right w:val="single" w:color="auto" w:sz="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szCs w:val="24"/>
              </w:rPr>
              <w:t>10,925</w:t>
            </w:r>
          </w:p>
        </w:tc>
      </w:tr>
      <w:tr w:rsidRPr="002451D0" w:rsidR="00DC3331" w:rsidTr="00A25109">
        <w:trPr>
          <w:cantSplit/>
          <w:jc w:val="center"/>
        </w:trPr>
        <w:tc>
          <w:tcPr>
            <w:tcW w:w="1710" w:type="dxa"/>
            <w:tcBorders>
              <w:top w:val="double" w:color="auto" w:sz="4" w:space="0"/>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 37.6(b) Confirmation Requirement</w:t>
            </w:r>
          </w:p>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(for registered SEFs)</w:t>
            </w:r>
          </w:p>
        </w:tc>
        <w:tc>
          <w:tcPr>
            <w:tcW w:w="1530" w:type="dxa"/>
            <w:tcBorders>
              <w:top w:val="double" w:color="auto" w:sz="4" w:space="0"/>
              <w:bottom w:val="double" w:color="auto" w:sz="4" w:space="0"/>
            </w:tcBorders>
          </w:tcPr>
          <w:p w:rsidRPr="002451D0" w:rsidR="00DC3331" w:rsidDel="00F84484"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242" w:type="dxa"/>
            <w:tcBorders>
              <w:top w:val="double" w:color="auto" w:sz="4" w:space="0"/>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35,217</w:t>
            </w:r>
          </w:p>
        </w:tc>
        <w:tc>
          <w:tcPr>
            <w:tcW w:w="1278" w:type="dxa"/>
            <w:tcBorders>
              <w:top w:val="double" w:color="auto" w:sz="4" w:space="0"/>
              <w:bottom w:val="double" w:color="auto" w:sz="4" w:space="0"/>
            </w:tcBorders>
          </w:tcPr>
          <w:p w:rsidRPr="002451D0" w:rsidR="00DC3331" w:rsidDel="00F84484" w:rsidP="00DC3331" w:rsidRDefault="00BB664B">
            <w:pPr>
              <w:tabs>
                <w:tab w:val="left" w:pos="-720"/>
              </w:tabs>
              <w:suppressAutoHyphens/>
              <w:jc w:val="center"/>
              <w:rPr>
                <w:rFonts w:ascii="Times New Roman" w:hAnsi="Times New Roman"/>
                <w:b/>
              </w:rPr>
            </w:pPr>
            <w:r w:rsidRPr="002451D0">
              <w:rPr>
                <w:rFonts w:ascii="Times New Roman" w:hAnsi="Times New Roman"/>
                <w:b/>
                <w:szCs w:val="24"/>
              </w:rPr>
              <w:t>880,425</w:t>
            </w:r>
          </w:p>
        </w:tc>
        <w:tc>
          <w:tcPr>
            <w:tcW w:w="1530" w:type="dxa"/>
            <w:tcBorders>
              <w:top w:val="double" w:color="auto" w:sz="4" w:space="0"/>
              <w:bottom w:val="doub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563</w:t>
            </w:r>
          </w:p>
        </w:tc>
        <w:tc>
          <w:tcPr>
            <w:tcW w:w="1890" w:type="dxa"/>
            <w:tcBorders>
              <w:top w:val="double" w:color="auto" w:sz="4" w:space="0"/>
              <w:bottom w:val="double" w:color="auto" w:sz="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szCs w:val="24"/>
              </w:rPr>
              <w:t>14,075</w:t>
            </w:r>
          </w:p>
        </w:tc>
      </w:tr>
      <w:tr w:rsidRPr="002451D0" w:rsidR="00DC3331" w:rsidTr="00A25109">
        <w:trPr>
          <w:cantSplit/>
          <w:jc w:val="center"/>
        </w:trPr>
        <w:tc>
          <w:tcPr>
            <w:tcW w:w="1710" w:type="dxa"/>
            <w:tcBorders>
              <w:top w:val="double" w:color="auto" w:sz="4" w:space="0"/>
              <w:bottom w:val="thinThickThinSmallGap" w:color="auto" w:sz="2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 xml:space="preserve">Total </w:t>
            </w:r>
          </w:p>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(for registered SEFs)</w:t>
            </w:r>
          </w:p>
        </w:tc>
        <w:tc>
          <w:tcPr>
            <w:tcW w:w="1530" w:type="dxa"/>
            <w:tcBorders>
              <w:top w:val="double" w:color="auto" w:sz="4" w:space="0"/>
              <w:bottom w:val="thinThickThinSmallGap" w:color="auto" w:sz="2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25</w:t>
            </w:r>
          </w:p>
        </w:tc>
        <w:tc>
          <w:tcPr>
            <w:tcW w:w="1242" w:type="dxa"/>
            <w:tcBorders>
              <w:top w:val="double" w:color="auto" w:sz="4" w:space="0"/>
              <w:bottom w:val="thinThickThinSmallGap" w:color="auto" w:sz="2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35,222</w:t>
            </w:r>
          </w:p>
        </w:tc>
        <w:tc>
          <w:tcPr>
            <w:tcW w:w="1278" w:type="dxa"/>
            <w:tcBorders>
              <w:top w:val="double" w:color="auto" w:sz="4" w:space="0"/>
              <w:bottom w:val="thinThickThinSmallGap" w:color="auto" w:sz="2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szCs w:val="24"/>
              </w:rPr>
              <w:t>880,</w:t>
            </w:r>
            <w:r w:rsidRPr="002451D0" w:rsidR="00EC485A">
              <w:rPr>
                <w:rFonts w:ascii="Times New Roman" w:hAnsi="Times New Roman"/>
                <w:b/>
                <w:szCs w:val="24"/>
              </w:rPr>
              <w:t>550</w:t>
            </w:r>
          </w:p>
        </w:tc>
        <w:tc>
          <w:tcPr>
            <w:tcW w:w="1530" w:type="dxa"/>
            <w:tcBorders>
              <w:top w:val="double" w:color="auto" w:sz="4" w:space="0"/>
              <w:bottom w:val="thinThickThinSmallGap" w:color="auto" w:sz="2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1000</w:t>
            </w:r>
          </w:p>
        </w:tc>
        <w:tc>
          <w:tcPr>
            <w:tcW w:w="1890" w:type="dxa"/>
            <w:tcBorders>
              <w:top w:val="double" w:color="auto" w:sz="4" w:space="0"/>
              <w:bottom w:val="thinThickThinSmallGap" w:color="auto" w:sz="24" w:space="0"/>
            </w:tcBorders>
          </w:tcPr>
          <w:p w:rsidRPr="002451D0" w:rsidR="00DC3331" w:rsidP="00DC3331" w:rsidRDefault="00BB664B">
            <w:pPr>
              <w:tabs>
                <w:tab w:val="left" w:pos="-720"/>
              </w:tabs>
              <w:suppressAutoHyphens/>
              <w:jc w:val="center"/>
              <w:rPr>
                <w:rFonts w:ascii="Times New Roman" w:hAnsi="Times New Roman"/>
                <w:b/>
              </w:rPr>
            </w:pPr>
            <w:r w:rsidRPr="002451D0">
              <w:rPr>
                <w:rFonts w:ascii="Times New Roman" w:hAnsi="Times New Roman"/>
                <w:b/>
              </w:rPr>
              <w:t>25</w:t>
            </w:r>
            <w:r w:rsidRPr="002451D0" w:rsidR="00DC3331">
              <w:rPr>
                <w:rFonts w:ascii="Times New Roman" w:hAnsi="Times New Roman"/>
                <w:b/>
              </w:rPr>
              <w:t>,000</w:t>
            </w:r>
          </w:p>
        </w:tc>
      </w:tr>
      <w:tr w:rsidRPr="002451D0" w:rsidR="00DC3331" w:rsidTr="00A25109">
        <w:trPr>
          <w:cantSplit/>
          <w:jc w:val="center"/>
        </w:trPr>
        <w:tc>
          <w:tcPr>
            <w:tcW w:w="1710" w:type="dxa"/>
            <w:tcBorders>
              <w:top w:val="thinThickThinSmallGap" w:color="auto" w:sz="24" w:space="0"/>
              <w:bottom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Registration Process</w:t>
            </w:r>
          </w:p>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(for applicants for SEF registration)</w:t>
            </w:r>
          </w:p>
        </w:tc>
        <w:tc>
          <w:tcPr>
            <w:tcW w:w="1530" w:type="dxa"/>
            <w:tcBorders>
              <w:top w:val="thinThickThinSmallGap" w:color="auto" w:sz="24" w:space="0"/>
              <w:bottom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4</w:t>
            </w:r>
          </w:p>
        </w:tc>
        <w:tc>
          <w:tcPr>
            <w:tcW w:w="1242" w:type="dxa"/>
            <w:tcBorders>
              <w:top w:val="thinThickThinSmallGap" w:color="auto" w:sz="24" w:space="0"/>
              <w:bottom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1</w:t>
            </w:r>
          </w:p>
        </w:tc>
        <w:tc>
          <w:tcPr>
            <w:tcW w:w="1278" w:type="dxa"/>
            <w:tcBorders>
              <w:top w:val="thinThickThinSmallGap" w:color="auto" w:sz="24" w:space="0"/>
              <w:bottom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4</w:t>
            </w:r>
          </w:p>
        </w:tc>
        <w:tc>
          <w:tcPr>
            <w:tcW w:w="1530" w:type="dxa"/>
            <w:tcBorders>
              <w:top w:val="thinThickThinSmallGap" w:color="auto" w:sz="24" w:space="0"/>
              <w:bottom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300</w:t>
            </w:r>
          </w:p>
        </w:tc>
        <w:tc>
          <w:tcPr>
            <w:tcW w:w="1890" w:type="dxa"/>
            <w:tcBorders>
              <w:top w:val="thinThickThinSmallGap" w:color="auto" w:sz="24" w:space="0"/>
              <w:bottom w:val="single" w:color="auto" w:sz="4" w:space="0"/>
            </w:tcBorders>
          </w:tcPr>
          <w:p w:rsidRPr="002451D0" w:rsidR="00DC3331" w:rsidP="00DC3331" w:rsidRDefault="00DC3331">
            <w:pPr>
              <w:tabs>
                <w:tab w:val="left" w:pos="-720"/>
              </w:tabs>
              <w:suppressAutoHyphens/>
              <w:jc w:val="center"/>
              <w:rPr>
                <w:rFonts w:ascii="Times New Roman" w:hAnsi="Times New Roman"/>
                <w:b/>
              </w:rPr>
            </w:pPr>
            <w:r w:rsidRPr="002451D0">
              <w:rPr>
                <w:rFonts w:ascii="Times New Roman" w:hAnsi="Times New Roman"/>
                <w:b/>
              </w:rPr>
              <w:t>1,200</w:t>
            </w:r>
          </w:p>
        </w:tc>
      </w:tr>
    </w:tbl>
    <w:p w:rsidRPr="002451D0" w:rsidR="00DC3331" w:rsidP="00DC3331" w:rsidRDefault="00DC3331">
      <w:pPr>
        <w:tabs>
          <w:tab w:val="left" w:pos="-720"/>
        </w:tabs>
        <w:suppressAutoHyphens/>
        <w:jc w:val="center"/>
        <w:rPr>
          <w:rFonts w:ascii="Times New Roman" w:hAnsi="Times New Roman"/>
          <w:b/>
        </w:rPr>
      </w:pPr>
    </w:p>
    <w:p w:rsidRPr="002451D0" w:rsidR="00DC3331" w:rsidP="0048054D" w:rsidRDefault="00DC3331">
      <w:pPr>
        <w:tabs>
          <w:tab w:val="left" w:pos="-720"/>
        </w:tabs>
        <w:suppressAutoHyphens/>
        <w:jc w:val="center"/>
        <w:rPr>
          <w:rFonts w:ascii="Times New Roman" w:hAnsi="Times New Roman"/>
          <w:b/>
        </w:rPr>
      </w:pPr>
    </w:p>
    <w:p w:rsidRPr="002451D0" w:rsidR="00DC3331" w:rsidP="0048054D" w:rsidRDefault="00DC3331">
      <w:pPr>
        <w:tabs>
          <w:tab w:val="left" w:pos="-720"/>
        </w:tabs>
        <w:suppressAutoHyphens/>
        <w:jc w:val="center"/>
        <w:rPr>
          <w:rFonts w:ascii="Times New Roman" w:hAnsi="Times New Roman"/>
          <w:b/>
        </w:rPr>
      </w:pPr>
    </w:p>
    <w:p w:rsidRPr="002451D0" w:rsidR="00DC3331" w:rsidP="0048054D" w:rsidRDefault="00DC3331">
      <w:pPr>
        <w:tabs>
          <w:tab w:val="left" w:pos="-720"/>
        </w:tabs>
        <w:suppressAutoHyphens/>
        <w:jc w:val="center"/>
        <w:rPr>
          <w:rFonts w:ascii="Times New Roman" w:hAnsi="Times New Roman"/>
          <w:b/>
        </w:rPr>
      </w:pPr>
    </w:p>
    <w:p w:rsidRPr="002451D0" w:rsidR="00DC3331" w:rsidP="0048054D" w:rsidRDefault="00DC3331">
      <w:pPr>
        <w:tabs>
          <w:tab w:val="left" w:pos="-720"/>
        </w:tabs>
        <w:suppressAutoHyphens/>
        <w:jc w:val="center"/>
        <w:rPr>
          <w:rFonts w:ascii="Times New Roman" w:hAnsi="Times New Roman"/>
          <w:b/>
        </w:rPr>
      </w:pPr>
    </w:p>
    <w:p w:rsidRPr="002451D0" w:rsidR="00DC3331" w:rsidP="0048054D" w:rsidRDefault="00DC3331">
      <w:pPr>
        <w:tabs>
          <w:tab w:val="left" w:pos="-720"/>
        </w:tabs>
        <w:suppressAutoHyphens/>
        <w:jc w:val="center"/>
        <w:rPr>
          <w:rFonts w:ascii="Times New Roman" w:hAnsi="Times New Roman"/>
          <w:b/>
        </w:rPr>
      </w:pPr>
    </w:p>
    <w:p w:rsidRPr="002451D0" w:rsidR="00DC3331" w:rsidP="0048054D" w:rsidRDefault="00DC3331">
      <w:pPr>
        <w:tabs>
          <w:tab w:val="left" w:pos="-720"/>
        </w:tabs>
        <w:suppressAutoHyphens/>
        <w:jc w:val="center"/>
        <w:rPr>
          <w:rFonts w:ascii="Times New Roman" w:hAnsi="Times New Roman"/>
          <w:b/>
        </w:rPr>
      </w:pPr>
    </w:p>
    <w:p w:rsidRPr="002451D0" w:rsidR="00474DD5" w:rsidP="0048054D" w:rsidRDefault="00474DD5">
      <w:pPr>
        <w:tabs>
          <w:tab w:val="left" w:pos="-720"/>
        </w:tabs>
        <w:suppressAutoHyphens/>
        <w:jc w:val="center"/>
        <w:rPr>
          <w:rFonts w:ascii="Times New Roman" w:hAnsi="Times New Roman"/>
          <w:b/>
        </w:rPr>
      </w:pPr>
    </w:p>
    <w:p w:rsidRPr="002451D0" w:rsidR="00474DD5" w:rsidP="0048054D" w:rsidRDefault="00474DD5">
      <w:pPr>
        <w:tabs>
          <w:tab w:val="left" w:pos="-720"/>
        </w:tabs>
        <w:suppressAutoHyphens/>
        <w:jc w:val="center"/>
        <w:rPr>
          <w:rFonts w:ascii="Times New Roman" w:hAnsi="Times New Roman"/>
          <w:b/>
        </w:rPr>
      </w:pPr>
    </w:p>
    <w:p w:rsidRPr="002451D0" w:rsidR="00474DD5" w:rsidP="0048054D" w:rsidRDefault="00474DD5">
      <w:pPr>
        <w:tabs>
          <w:tab w:val="left" w:pos="-720"/>
        </w:tabs>
        <w:suppressAutoHyphens/>
        <w:jc w:val="center"/>
        <w:rPr>
          <w:rFonts w:ascii="Times New Roman" w:hAnsi="Times New Roman"/>
          <w:b/>
        </w:rPr>
      </w:pPr>
    </w:p>
    <w:p w:rsidRPr="002451D0" w:rsidR="00474DD5" w:rsidP="0048054D" w:rsidRDefault="00474DD5">
      <w:pPr>
        <w:tabs>
          <w:tab w:val="left" w:pos="-720"/>
        </w:tabs>
        <w:suppressAutoHyphens/>
        <w:jc w:val="center"/>
        <w:rPr>
          <w:rFonts w:ascii="Times New Roman" w:hAnsi="Times New Roman"/>
          <w:b/>
        </w:rPr>
      </w:pPr>
    </w:p>
    <w:p w:rsidRPr="002451D0" w:rsidR="004D4DE2" w:rsidP="0048054D" w:rsidRDefault="00AB6B03">
      <w:pPr>
        <w:tabs>
          <w:tab w:val="left" w:pos="-720"/>
        </w:tabs>
        <w:suppressAutoHyphens/>
        <w:jc w:val="center"/>
        <w:rPr>
          <w:rFonts w:ascii="Times New Roman" w:hAnsi="Times New Roman"/>
          <w:b/>
        </w:rPr>
      </w:pPr>
      <w:r w:rsidRPr="002451D0">
        <w:rPr>
          <w:rFonts w:ascii="Times New Roman" w:hAnsi="Times New Roman"/>
          <w:b/>
        </w:rPr>
        <w:t xml:space="preserve">Revised Table for </w:t>
      </w:r>
      <w:r w:rsidRPr="002451D0" w:rsidR="00644EA7">
        <w:rPr>
          <w:rFonts w:ascii="Times New Roman" w:hAnsi="Times New Roman"/>
          <w:b/>
        </w:rPr>
        <w:t>Estimated</w:t>
      </w:r>
      <w:r w:rsidRPr="002451D0" w:rsidR="00F84484">
        <w:rPr>
          <w:rFonts w:ascii="Times New Roman" w:hAnsi="Times New Roman"/>
          <w:b/>
        </w:rPr>
        <w:t xml:space="preserve"> Annual</w:t>
      </w:r>
      <w:r w:rsidRPr="002451D0" w:rsidR="00644EA7">
        <w:rPr>
          <w:rFonts w:ascii="Times New Roman" w:hAnsi="Times New Roman"/>
          <w:b/>
        </w:rPr>
        <w:t xml:space="preserve"> Burden</w:t>
      </w:r>
      <w:r w:rsidRPr="002451D0" w:rsidR="000A773C">
        <w:rPr>
          <w:rFonts w:ascii="Times New Roman" w:hAnsi="Times New Roman"/>
          <w:b/>
        </w:rPr>
        <w:t xml:space="preserve"> Hours</w:t>
      </w:r>
      <w:r w:rsidRPr="002451D0" w:rsidR="00BD67A6">
        <w:rPr>
          <w:rFonts w:ascii="Times New Roman" w:hAnsi="Times New Roman"/>
          <w:b/>
        </w:rPr>
        <w:t xml:space="preserve"> for Registered SEFs and Applicants for Permanent SEF Registration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42"/>
        <w:gridCol w:w="1683"/>
        <w:gridCol w:w="1197"/>
        <w:gridCol w:w="1346"/>
        <w:gridCol w:w="1462"/>
        <w:gridCol w:w="2025"/>
      </w:tblGrid>
      <w:tr w:rsidRPr="002451D0" w:rsidR="0027320B" w:rsidTr="00971B43">
        <w:trPr>
          <w:cantSplit/>
          <w:trHeight w:val="935"/>
          <w:jc w:val="center"/>
        </w:trPr>
        <w:tc>
          <w:tcPr>
            <w:tcW w:w="2142" w:type="dxa"/>
          </w:tcPr>
          <w:p w:rsidRPr="002451D0" w:rsidR="0027320B" w:rsidP="00F11BE8" w:rsidRDefault="0027320B">
            <w:pPr>
              <w:tabs>
                <w:tab w:val="left" w:pos="-720"/>
              </w:tabs>
              <w:suppressAutoHyphens/>
              <w:jc w:val="center"/>
              <w:rPr>
                <w:rFonts w:ascii="Times New Roman" w:hAnsi="Times New Roman"/>
                <w:b/>
                <w:szCs w:val="24"/>
              </w:rPr>
            </w:pPr>
            <w:r w:rsidRPr="002451D0">
              <w:rPr>
                <w:rFonts w:ascii="Times New Roman" w:hAnsi="Times New Roman"/>
                <w:b/>
                <w:szCs w:val="24"/>
              </w:rPr>
              <w:t>Report</w:t>
            </w:r>
          </w:p>
        </w:tc>
        <w:tc>
          <w:tcPr>
            <w:tcW w:w="1683" w:type="dxa"/>
          </w:tcPr>
          <w:p w:rsidRPr="002451D0" w:rsidR="0027320B" w:rsidP="00F11BE8" w:rsidRDefault="0027320B">
            <w:pPr>
              <w:tabs>
                <w:tab w:val="left" w:pos="-720"/>
              </w:tabs>
              <w:suppressAutoHyphens/>
              <w:jc w:val="center"/>
              <w:rPr>
                <w:rFonts w:ascii="Times New Roman" w:hAnsi="Times New Roman"/>
                <w:b/>
                <w:szCs w:val="24"/>
              </w:rPr>
            </w:pPr>
            <w:r w:rsidRPr="002451D0">
              <w:rPr>
                <w:rFonts w:ascii="Times New Roman" w:hAnsi="Times New Roman"/>
                <w:b/>
                <w:szCs w:val="24"/>
              </w:rPr>
              <w:t>Estimated Number of Respondents</w:t>
            </w:r>
            <w:r w:rsidRPr="002451D0" w:rsidR="00204844">
              <w:rPr>
                <w:rStyle w:val="FootnoteReference"/>
                <w:rFonts w:ascii="Times New Roman" w:hAnsi="Times New Roman"/>
                <w:b/>
                <w:szCs w:val="24"/>
              </w:rPr>
              <w:footnoteReference w:id="7"/>
            </w:r>
          </w:p>
        </w:tc>
        <w:tc>
          <w:tcPr>
            <w:tcW w:w="1197" w:type="dxa"/>
          </w:tcPr>
          <w:p w:rsidRPr="002451D0" w:rsidR="0027320B" w:rsidP="00F11BE8" w:rsidRDefault="00206C6D">
            <w:pPr>
              <w:tabs>
                <w:tab w:val="left" w:pos="-720"/>
              </w:tabs>
              <w:suppressAutoHyphens/>
              <w:jc w:val="center"/>
              <w:rPr>
                <w:rFonts w:ascii="Times New Roman" w:hAnsi="Times New Roman"/>
                <w:b/>
                <w:szCs w:val="24"/>
              </w:rPr>
            </w:pPr>
            <w:r w:rsidRPr="002451D0">
              <w:rPr>
                <w:rFonts w:ascii="Times New Roman" w:hAnsi="Times New Roman"/>
                <w:b/>
                <w:szCs w:val="24"/>
              </w:rPr>
              <w:t>Reports Annually by Each</w:t>
            </w:r>
          </w:p>
        </w:tc>
        <w:tc>
          <w:tcPr>
            <w:tcW w:w="1346" w:type="dxa"/>
          </w:tcPr>
          <w:p w:rsidRPr="002451D0" w:rsidR="0027320B" w:rsidP="00206C6D" w:rsidRDefault="00206C6D">
            <w:pPr>
              <w:tabs>
                <w:tab w:val="left" w:pos="-720"/>
              </w:tabs>
              <w:suppressAutoHyphens/>
              <w:jc w:val="center"/>
              <w:rPr>
                <w:rFonts w:ascii="Times New Roman" w:hAnsi="Times New Roman"/>
                <w:b/>
                <w:szCs w:val="24"/>
              </w:rPr>
            </w:pPr>
            <w:r w:rsidRPr="002451D0">
              <w:rPr>
                <w:rFonts w:ascii="Times New Roman" w:hAnsi="Times New Roman"/>
                <w:b/>
                <w:szCs w:val="24"/>
              </w:rPr>
              <w:t>Total Annual Responses</w:t>
            </w:r>
          </w:p>
        </w:tc>
        <w:tc>
          <w:tcPr>
            <w:tcW w:w="1462" w:type="dxa"/>
          </w:tcPr>
          <w:p w:rsidRPr="002451D0" w:rsidR="0027320B" w:rsidP="00F11BE8" w:rsidRDefault="0027320B">
            <w:pPr>
              <w:tabs>
                <w:tab w:val="left" w:pos="-720"/>
              </w:tabs>
              <w:suppressAutoHyphens/>
              <w:jc w:val="center"/>
              <w:rPr>
                <w:rFonts w:ascii="Times New Roman" w:hAnsi="Times New Roman"/>
                <w:b/>
                <w:szCs w:val="24"/>
              </w:rPr>
            </w:pPr>
            <w:r w:rsidRPr="002451D0">
              <w:rPr>
                <w:rFonts w:ascii="Times New Roman" w:hAnsi="Times New Roman"/>
                <w:b/>
                <w:szCs w:val="24"/>
              </w:rPr>
              <w:t>Estimated Average Number of Hours per year</w:t>
            </w:r>
          </w:p>
        </w:tc>
        <w:tc>
          <w:tcPr>
            <w:tcW w:w="2025" w:type="dxa"/>
          </w:tcPr>
          <w:p w:rsidRPr="002451D0" w:rsidR="0027320B" w:rsidP="00F11BE8" w:rsidRDefault="0027320B">
            <w:pPr>
              <w:tabs>
                <w:tab w:val="left" w:pos="-720"/>
              </w:tabs>
              <w:suppressAutoHyphens/>
              <w:jc w:val="center"/>
              <w:rPr>
                <w:rFonts w:ascii="Times New Roman" w:hAnsi="Times New Roman"/>
                <w:b/>
                <w:szCs w:val="24"/>
              </w:rPr>
            </w:pPr>
            <w:r w:rsidRPr="002451D0">
              <w:rPr>
                <w:rFonts w:ascii="Times New Roman" w:hAnsi="Times New Roman"/>
                <w:b/>
                <w:szCs w:val="24"/>
              </w:rPr>
              <w:t xml:space="preserve">Annual Reporting </w:t>
            </w:r>
            <w:r w:rsidRPr="002451D0" w:rsidR="002F43AF">
              <w:rPr>
                <w:rFonts w:ascii="Times New Roman" w:hAnsi="Times New Roman"/>
                <w:b/>
                <w:szCs w:val="24"/>
              </w:rPr>
              <w:t>&amp; recordkeeping</w:t>
            </w:r>
            <w:r w:rsidRPr="002451D0">
              <w:rPr>
                <w:rFonts w:ascii="Times New Roman" w:hAnsi="Times New Roman"/>
                <w:b/>
                <w:szCs w:val="24"/>
              </w:rPr>
              <w:t xml:space="preserve"> Burden</w:t>
            </w:r>
            <w:r w:rsidRPr="002451D0" w:rsidR="00F920A2">
              <w:rPr>
                <w:rFonts w:ascii="Times New Roman" w:hAnsi="Times New Roman"/>
                <w:b/>
                <w:szCs w:val="24"/>
              </w:rPr>
              <w:t xml:space="preserve"> Hours</w:t>
            </w:r>
          </w:p>
        </w:tc>
      </w:tr>
      <w:tr w:rsidRPr="002451D0" w:rsidR="0027320B" w:rsidTr="00971B43">
        <w:trPr>
          <w:cantSplit/>
          <w:trHeight w:val="836"/>
          <w:jc w:val="center"/>
        </w:trPr>
        <w:tc>
          <w:tcPr>
            <w:tcW w:w="2142" w:type="dxa"/>
          </w:tcPr>
          <w:p w:rsidRPr="002451D0" w:rsidR="0027320B" w:rsidP="00F11BE8" w:rsidRDefault="0027320B">
            <w:pPr>
              <w:tabs>
                <w:tab w:val="left" w:pos="-720"/>
              </w:tabs>
              <w:suppressAutoHyphens/>
              <w:jc w:val="center"/>
              <w:rPr>
                <w:rFonts w:ascii="Times New Roman" w:hAnsi="Times New Roman"/>
                <w:b/>
                <w:szCs w:val="24"/>
              </w:rPr>
            </w:pPr>
            <w:r w:rsidRPr="002451D0">
              <w:rPr>
                <w:rFonts w:ascii="Times New Roman" w:hAnsi="Times New Roman"/>
                <w:b/>
                <w:szCs w:val="24"/>
              </w:rPr>
              <w:t>Designation and Compliance</w:t>
            </w:r>
            <w:r w:rsidRPr="002451D0" w:rsidR="00A37A5F">
              <w:rPr>
                <w:rFonts w:ascii="Times New Roman" w:hAnsi="Times New Roman"/>
                <w:b/>
                <w:szCs w:val="24"/>
              </w:rPr>
              <w:t xml:space="preserve"> (for registered SEFs)</w:t>
            </w:r>
          </w:p>
        </w:tc>
        <w:tc>
          <w:tcPr>
            <w:tcW w:w="1683" w:type="dxa"/>
          </w:tcPr>
          <w:p w:rsidRPr="002451D0" w:rsidR="0027320B" w:rsidP="00F11BE8"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21</w:t>
            </w:r>
          </w:p>
        </w:tc>
        <w:tc>
          <w:tcPr>
            <w:tcW w:w="1197" w:type="dxa"/>
          </w:tcPr>
          <w:p w:rsidRPr="002451D0" w:rsidR="0027320B"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NA</w:t>
            </w:r>
          </w:p>
        </w:tc>
        <w:tc>
          <w:tcPr>
            <w:tcW w:w="1346" w:type="dxa"/>
          </w:tcPr>
          <w:p w:rsidRPr="002451D0" w:rsidR="0027320B"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NA</w:t>
            </w:r>
          </w:p>
        </w:tc>
        <w:tc>
          <w:tcPr>
            <w:tcW w:w="1462" w:type="dxa"/>
          </w:tcPr>
          <w:p w:rsidRPr="002451D0" w:rsidR="0027320B" w:rsidP="00F11BE8" w:rsidRDefault="00F84484">
            <w:pPr>
              <w:tabs>
                <w:tab w:val="left" w:pos="-720"/>
              </w:tabs>
              <w:suppressAutoHyphens/>
              <w:jc w:val="center"/>
              <w:rPr>
                <w:rFonts w:ascii="Times New Roman" w:hAnsi="Times New Roman"/>
                <w:b/>
                <w:szCs w:val="24"/>
              </w:rPr>
            </w:pPr>
            <w:r w:rsidRPr="002451D0">
              <w:rPr>
                <w:rFonts w:ascii="Times New Roman" w:hAnsi="Times New Roman"/>
                <w:b/>
                <w:szCs w:val="24"/>
              </w:rPr>
              <w:t>437</w:t>
            </w:r>
          </w:p>
        </w:tc>
        <w:tc>
          <w:tcPr>
            <w:tcW w:w="2025" w:type="dxa"/>
          </w:tcPr>
          <w:p w:rsidRPr="002451D0" w:rsidR="0027320B" w:rsidP="00F11BE8"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9,177</w:t>
            </w:r>
          </w:p>
        </w:tc>
      </w:tr>
      <w:tr w:rsidRPr="002451D0" w:rsidR="0027320B" w:rsidTr="00971B43">
        <w:trPr>
          <w:cantSplit/>
          <w:trHeight w:val="620"/>
          <w:jc w:val="center"/>
        </w:trPr>
        <w:tc>
          <w:tcPr>
            <w:tcW w:w="2142" w:type="dxa"/>
          </w:tcPr>
          <w:p w:rsidRPr="002451D0" w:rsidR="00A37A5F" w:rsidP="00206C6D" w:rsidRDefault="00206C6D">
            <w:pPr>
              <w:tabs>
                <w:tab w:val="left" w:pos="-720"/>
              </w:tabs>
              <w:suppressAutoHyphens/>
              <w:jc w:val="center"/>
              <w:rPr>
                <w:rFonts w:ascii="Times New Roman" w:hAnsi="Times New Roman"/>
                <w:b/>
                <w:szCs w:val="24"/>
              </w:rPr>
            </w:pPr>
            <w:r w:rsidRPr="002451D0">
              <w:rPr>
                <w:rFonts w:ascii="Times New Roman" w:hAnsi="Times New Roman"/>
                <w:b/>
                <w:szCs w:val="24"/>
              </w:rPr>
              <w:t>Annual</w:t>
            </w:r>
            <w:r w:rsidRPr="002451D0" w:rsidR="00A37A5F">
              <w:rPr>
                <w:rFonts w:ascii="Times New Roman" w:hAnsi="Times New Roman"/>
                <w:b/>
                <w:szCs w:val="24"/>
              </w:rPr>
              <w:t xml:space="preserve"> </w:t>
            </w:r>
          </w:p>
          <w:p w:rsidRPr="002451D0" w:rsidR="0027320B" w:rsidP="00206C6D"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(for registered SEFs)</w:t>
            </w:r>
          </w:p>
        </w:tc>
        <w:tc>
          <w:tcPr>
            <w:tcW w:w="1683" w:type="dxa"/>
          </w:tcPr>
          <w:p w:rsidRPr="002451D0" w:rsidR="0027320B" w:rsidP="00065F19"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21</w:t>
            </w:r>
          </w:p>
        </w:tc>
        <w:tc>
          <w:tcPr>
            <w:tcW w:w="1197" w:type="dxa"/>
          </w:tcPr>
          <w:p w:rsidRPr="002451D0" w:rsidR="0027320B" w:rsidP="00F11BE8" w:rsidRDefault="00C63CAF">
            <w:pPr>
              <w:tabs>
                <w:tab w:val="left" w:pos="-720"/>
              </w:tabs>
              <w:suppressAutoHyphens/>
              <w:jc w:val="center"/>
              <w:rPr>
                <w:rFonts w:ascii="Times New Roman" w:hAnsi="Times New Roman"/>
                <w:b/>
                <w:szCs w:val="24"/>
              </w:rPr>
            </w:pPr>
            <w:r w:rsidRPr="002451D0">
              <w:rPr>
                <w:rFonts w:ascii="Times New Roman" w:hAnsi="Times New Roman"/>
                <w:b/>
                <w:szCs w:val="24"/>
              </w:rPr>
              <w:t>1</w:t>
            </w:r>
          </w:p>
        </w:tc>
        <w:tc>
          <w:tcPr>
            <w:tcW w:w="1346" w:type="dxa"/>
          </w:tcPr>
          <w:p w:rsidRPr="002451D0" w:rsidR="0027320B" w:rsidP="001F4491" w:rsidRDefault="001F4491">
            <w:pPr>
              <w:tabs>
                <w:tab w:val="left" w:pos="-720"/>
                <w:tab w:val="center" w:pos="486"/>
              </w:tabs>
              <w:suppressAutoHyphens/>
              <w:jc w:val="center"/>
              <w:rPr>
                <w:rFonts w:ascii="Times New Roman" w:hAnsi="Times New Roman"/>
                <w:b/>
                <w:szCs w:val="24"/>
              </w:rPr>
            </w:pPr>
            <w:r w:rsidRPr="002451D0">
              <w:rPr>
                <w:rFonts w:ascii="Times New Roman" w:hAnsi="Times New Roman"/>
                <w:b/>
                <w:szCs w:val="24"/>
              </w:rPr>
              <w:t>21</w:t>
            </w:r>
          </w:p>
        </w:tc>
        <w:tc>
          <w:tcPr>
            <w:tcW w:w="1462" w:type="dxa"/>
          </w:tcPr>
          <w:p w:rsidRPr="002451D0" w:rsidR="0027320B" w:rsidP="00F11BE8" w:rsidRDefault="00C63CAF">
            <w:pPr>
              <w:tabs>
                <w:tab w:val="left" w:pos="-720"/>
              </w:tabs>
              <w:suppressAutoHyphens/>
              <w:jc w:val="center"/>
              <w:rPr>
                <w:rFonts w:ascii="Times New Roman" w:hAnsi="Times New Roman"/>
                <w:b/>
                <w:szCs w:val="24"/>
              </w:rPr>
            </w:pPr>
            <w:r w:rsidRPr="002451D0">
              <w:rPr>
                <w:rFonts w:ascii="Times New Roman" w:hAnsi="Times New Roman"/>
                <w:b/>
                <w:szCs w:val="24"/>
              </w:rPr>
              <w:t>Included in average above</w:t>
            </w:r>
          </w:p>
        </w:tc>
        <w:tc>
          <w:tcPr>
            <w:tcW w:w="2025" w:type="dxa"/>
          </w:tcPr>
          <w:p w:rsidRPr="002451D0" w:rsidR="0027320B" w:rsidP="00F11BE8" w:rsidRDefault="00C30C40">
            <w:pPr>
              <w:tabs>
                <w:tab w:val="left" w:pos="-720"/>
              </w:tabs>
              <w:suppressAutoHyphens/>
              <w:jc w:val="center"/>
              <w:rPr>
                <w:rFonts w:ascii="Times New Roman" w:hAnsi="Times New Roman"/>
                <w:b/>
                <w:szCs w:val="24"/>
              </w:rPr>
            </w:pPr>
            <w:r w:rsidRPr="002451D0">
              <w:rPr>
                <w:rFonts w:ascii="Times New Roman" w:hAnsi="Times New Roman"/>
                <w:b/>
                <w:szCs w:val="24"/>
              </w:rPr>
              <w:t>Included in average above</w:t>
            </w:r>
          </w:p>
        </w:tc>
      </w:tr>
      <w:tr w:rsidRPr="002451D0" w:rsidR="0027320B" w:rsidTr="00971B43">
        <w:trPr>
          <w:cantSplit/>
          <w:trHeight w:val="620"/>
          <w:jc w:val="center"/>
        </w:trPr>
        <w:tc>
          <w:tcPr>
            <w:tcW w:w="2142" w:type="dxa"/>
            <w:tcBorders>
              <w:bottom w:val="double" w:color="auto" w:sz="4" w:space="0"/>
            </w:tcBorders>
          </w:tcPr>
          <w:p w:rsidRPr="002451D0" w:rsidR="00A37A5F" w:rsidP="00F11BE8" w:rsidRDefault="00206C6D">
            <w:pPr>
              <w:tabs>
                <w:tab w:val="left" w:pos="-720"/>
              </w:tabs>
              <w:suppressAutoHyphens/>
              <w:jc w:val="center"/>
              <w:rPr>
                <w:rFonts w:ascii="Times New Roman" w:hAnsi="Times New Roman"/>
                <w:b/>
                <w:szCs w:val="24"/>
              </w:rPr>
            </w:pPr>
            <w:r w:rsidRPr="002451D0">
              <w:rPr>
                <w:rFonts w:ascii="Times New Roman" w:hAnsi="Times New Roman"/>
                <w:b/>
                <w:szCs w:val="24"/>
              </w:rPr>
              <w:t>Quarterly</w:t>
            </w:r>
          </w:p>
          <w:p w:rsidRPr="002451D0" w:rsidR="0027320B"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 xml:space="preserve"> (for registered SEFs)</w:t>
            </w:r>
          </w:p>
        </w:tc>
        <w:tc>
          <w:tcPr>
            <w:tcW w:w="1683" w:type="dxa"/>
            <w:tcBorders>
              <w:bottom w:val="double" w:color="auto" w:sz="4" w:space="0"/>
            </w:tcBorders>
          </w:tcPr>
          <w:p w:rsidRPr="002451D0" w:rsidR="0027320B" w:rsidP="00065F19"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21</w:t>
            </w:r>
          </w:p>
        </w:tc>
        <w:tc>
          <w:tcPr>
            <w:tcW w:w="1197" w:type="dxa"/>
            <w:tcBorders>
              <w:bottom w:val="double" w:color="auto" w:sz="4" w:space="0"/>
            </w:tcBorders>
          </w:tcPr>
          <w:p w:rsidRPr="002451D0" w:rsidR="0027320B" w:rsidP="00F11BE8" w:rsidRDefault="00C63CAF">
            <w:pPr>
              <w:tabs>
                <w:tab w:val="left" w:pos="-720"/>
              </w:tabs>
              <w:suppressAutoHyphens/>
              <w:jc w:val="center"/>
              <w:rPr>
                <w:rFonts w:ascii="Times New Roman" w:hAnsi="Times New Roman"/>
                <w:b/>
                <w:szCs w:val="24"/>
              </w:rPr>
            </w:pPr>
            <w:r w:rsidRPr="002451D0">
              <w:rPr>
                <w:rFonts w:ascii="Times New Roman" w:hAnsi="Times New Roman"/>
                <w:b/>
                <w:szCs w:val="24"/>
              </w:rPr>
              <w:t>4</w:t>
            </w:r>
          </w:p>
        </w:tc>
        <w:tc>
          <w:tcPr>
            <w:tcW w:w="1346" w:type="dxa"/>
            <w:tcBorders>
              <w:bottom w:val="double" w:color="auto" w:sz="4" w:space="0"/>
            </w:tcBorders>
          </w:tcPr>
          <w:p w:rsidRPr="002451D0" w:rsidR="0027320B" w:rsidP="00065F19"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84</w:t>
            </w:r>
          </w:p>
        </w:tc>
        <w:tc>
          <w:tcPr>
            <w:tcW w:w="1462" w:type="dxa"/>
            <w:tcBorders>
              <w:bottom w:val="double" w:color="auto" w:sz="4" w:space="0"/>
            </w:tcBorders>
          </w:tcPr>
          <w:p w:rsidRPr="002451D0" w:rsidR="0027320B" w:rsidP="00F11BE8" w:rsidRDefault="00C63CAF">
            <w:pPr>
              <w:tabs>
                <w:tab w:val="left" w:pos="-720"/>
              </w:tabs>
              <w:suppressAutoHyphens/>
              <w:jc w:val="center"/>
              <w:rPr>
                <w:rFonts w:ascii="Times New Roman" w:hAnsi="Times New Roman"/>
                <w:b/>
                <w:szCs w:val="24"/>
              </w:rPr>
            </w:pPr>
            <w:r w:rsidRPr="002451D0">
              <w:rPr>
                <w:rFonts w:ascii="Times New Roman" w:hAnsi="Times New Roman"/>
                <w:b/>
                <w:szCs w:val="24"/>
              </w:rPr>
              <w:t>Included in average above</w:t>
            </w:r>
          </w:p>
        </w:tc>
        <w:tc>
          <w:tcPr>
            <w:tcW w:w="2025" w:type="dxa"/>
            <w:tcBorders>
              <w:bottom w:val="double" w:color="auto" w:sz="4" w:space="0"/>
            </w:tcBorders>
          </w:tcPr>
          <w:p w:rsidRPr="002451D0" w:rsidR="0027320B" w:rsidP="00F11BE8" w:rsidRDefault="00C30C40">
            <w:pPr>
              <w:tabs>
                <w:tab w:val="left" w:pos="-720"/>
              </w:tabs>
              <w:suppressAutoHyphens/>
              <w:jc w:val="center"/>
              <w:rPr>
                <w:rFonts w:ascii="Times New Roman" w:hAnsi="Times New Roman"/>
                <w:b/>
                <w:szCs w:val="24"/>
              </w:rPr>
            </w:pPr>
            <w:r w:rsidRPr="002451D0">
              <w:rPr>
                <w:rFonts w:ascii="Times New Roman" w:hAnsi="Times New Roman"/>
                <w:b/>
                <w:szCs w:val="24"/>
              </w:rPr>
              <w:t>Included in average above</w:t>
            </w:r>
          </w:p>
        </w:tc>
      </w:tr>
      <w:tr w:rsidRPr="002451D0" w:rsidR="00EC3A05" w:rsidTr="00971B43">
        <w:trPr>
          <w:cantSplit/>
          <w:trHeight w:val="510"/>
          <w:jc w:val="center"/>
        </w:trPr>
        <w:tc>
          <w:tcPr>
            <w:tcW w:w="2142" w:type="dxa"/>
            <w:tcBorders>
              <w:top w:val="double" w:color="auto" w:sz="4" w:space="0"/>
              <w:left w:val="single" w:color="auto" w:sz="4" w:space="0"/>
              <w:bottom w:val="double" w:color="auto" w:sz="4" w:space="0"/>
              <w:right w:val="single" w:color="auto" w:sz="4" w:space="0"/>
            </w:tcBorders>
          </w:tcPr>
          <w:p w:rsidRPr="002451D0" w:rsidR="007503AD"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Sub-Total</w:t>
            </w:r>
          </w:p>
        </w:tc>
        <w:tc>
          <w:tcPr>
            <w:tcW w:w="1683" w:type="dxa"/>
            <w:tcBorders>
              <w:top w:val="double" w:color="auto" w:sz="4" w:space="0"/>
              <w:left w:val="single" w:color="auto" w:sz="4" w:space="0"/>
              <w:bottom w:val="double" w:color="auto" w:sz="4" w:space="0"/>
              <w:right w:val="single" w:color="auto" w:sz="4" w:space="0"/>
            </w:tcBorders>
          </w:tcPr>
          <w:p w:rsidRPr="002451D0" w:rsidR="007503AD" w:rsidDel="00F84484" w:rsidP="00065F19"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21</w:t>
            </w:r>
          </w:p>
        </w:tc>
        <w:tc>
          <w:tcPr>
            <w:tcW w:w="1197" w:type="dxa"/>
            <w:tcBorders>
              <w:top w:val="double" w:color="auto" w:sz="4" w:space="0"/>
              <w:left w:val="single" w:color="auto" w:sz="4" w:space="0"/>
              <w:bottom w:val="double" w:color="auto" w:sz="4" w:space="0"/>
              <w:right w:val="single" w:color="auto" w:sz="4" w:space="0"/>
            </w:tcBorders>
          </w:tcPr>
          <w:p w:rsidRPr="002451D0" w:rsidR="007503AD"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5</w:t>
            </w:r>
          </w:p>
        </w:tc>
        <w:tc>
          <w:tcPr>
            <w:tcW w:w="1346" w:type="dxa"/>
            <w:tcBorders>
              <w:top w:val="double" w:color="auto" w:sz="4" w:space="0"/>
              <w:left w:val="single" w:color="auto" w:sz="4" w:space="0"/>
              <w:bottom w:val="double" w:color="auto" w:sz="4" w:space="0"/>
              <w:right w:val="single" w:color="auto" w:sz="4" w:space="0"/>
            </w:tcBorders>
          </w:tcPr>
          <w:p w:rsidRPr="002451D0" w:rsidR="007503AD" w:rsidDel="00F84484" w:rsidP="007E59E5" w:rsidRDefault="001F4491">
            <w:pPr>
              <w:tabs>
                <w:tab w:val="left" w:pos="-720"/>
              </w:tabs>
              <w:suppressAutoHyphens/>
              <w:jc w:val="center"/>
              <w:rPr>
                <w:rFonts w:ascii="Times New Roman" w:hAnsi="Times New Roman"/>
                <w:b/>
                <w:szCs w:val="24"/>
              </w:rPr>
            </w:pPr>
            <w:bookmarkStart w:name="_Ref457481522" w:id="3"/>
            <w:r w:rsidRPr="002451D0">
              <w:rPr>
                <w:rFonts w:ascii="Times New Roman" w:hAnsi="Times New Roman"/>
                <w:b/>
                <w:szCs w:val="24"/>
              </w:rPr>
              <w:t>105</w:t>
            </w:r>
            <w:r w:rsidRPr="002451D0" w:rsidR="00D0705F">
              <w:rPr>
                <w:rStyle w:val="FootnoteReference"/>
                <w:rFonts w:ascii="Times New Roman" w:hAnsi="Times New Roman"/>
                <w:b/>
                <w:szCs w:val="24"/>
              </w:rPr>
              <w:footnoteReference w:id="8"/>
            </w:r>
            <w:bookmarkEnd w:id="3"/>
          </w:p>
        </w:tc>
        <w:tc>
          <w:tcPr>
            <w:tcW w:w="1462" w:type="dxa"/>
            <w:tcBorders>
              <w:top w:val="double" w:color="auto" w:sz="4" w:space="0"/>
              <w:left w:val="single" w:color="auto" w:sz="4" w:space="0"/>
              <w:bottom w:val="double" w:color="auto" w:sz="4" w:space="0"/>
              <w:right w:val="single" w:color="auto" w:sz="4" w:space="0"/>
            </w:tcBorders>
          </w:tcPr>
          <w:p w:rsidRPr="002451D0" w:rsidR="007503AD"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437</w:t>
            </w:r>
          </w:p>
        </w:tc>
        <w:tc>
          <w:tcPr>
            <w:tcW w:w="2025" w:type="dxa"/>
            <w:tcBorders>
              <w:top w:val="double" w:color="auto" w:sz="4" w:space="0"/>
              <w:left w:val="single" w:color="auto" w:sz="4" w:space="0"/>
              <w:bottom w:val="double" w:color="auto" w:sz="4" w:space="0"/>
              <w:right w:val="single" w:color="auto" w:sz="4" w:space="0"/>
            </w:tcBorders>
          </w:tcPr>
          <w:p w:rsidRPr="002451D0" w:rsidR="007503AD" w:rsidP="00F11BE8"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9,177</w:t>
            </w:r>
          </w:p>
        </w:tc>
      </w:tr>
      <w:tr w:rsidRPr="002451D0" w:rsidR="00D45F45" w:rsidTr="00971B43">
        <w:trPr>
          <w:cantSplit/>
          <w:trHeight w:val="1617"/>
          <w:jc w:val="center"/>
        </w:trPr>
        <w:tc>
          <w:tcPr>
            <w:tcW w:w="2142" w:type="dxa"/>
            <w:tcBorders>
              <w:top w:val="double" w:color="auto" w:sz="4" w:space="0"/>
              <w:bottom w:val="double" w:color="auto" w:sz="4" w:space="0"/>
            </w:tcBorders>
          </w:tcPr>
          <w:p w:rsidRPr="002451D0" w:rsidR="00F84484" w:rsidP="00F11BE8" w:rsidRDefault="00F84484">
            <w:pPr>
              <w:tabs>
                <w:tab w:val="left" w:pos="-720"/>
              </w:tabs>
              <w:suppressAutoHyphens/>
              <w:jc w:val="center"/>
              <w:rPr>
                <w:rFonts w:ascii="Times New Roman" w:hAnsi="Times New Roman"/>
                <w:b/>
                <w:szCs w:val="24"/>
              </w:rPr>
            </w:pPr>
            <w:r w:rsidRPr="002451D0">
              <w:rPr>
                <w:rFonts w:ascii="Times New Roman" w:hAnsi="Times New Roman"/>
                <w:b/>
                <w:szCs w:val="24"/>
              </w:rPr>
              <w:t>§</w:t>
            </w:r>
            <w:r w:rsidRPr="002451D0" w:rsidR="00F54B10">
              <w:rPr>
                <w:rFonts w:ascii="Times New Roman" w:hAnsi="Times New Roman"/>
                <w:b/>
                <w:szCs w:val="24"/>
              </w:rPr>
              <w:t xml:space="preserve"> </w:t>
            </w:r>
            <w:r w:rsidRPr="002451D0">
              <w:rPr>
                <w:rFonts w:ascii="Times New Roman" w:hAnsi="Times New Roman"/>
                <w:b/>
                <w:szCs w:val="24"/>
              </w:rPr>
              <w:t>37.6(b) Confirmation Requirement</w:t>
            </w:r>
            <w:r w:rsidRPr="002451D0">
              <w:rPr>
                <w:rStyle w:val="FootnoteReference"/>
                <w:rFonts w:ascii="Times New Roman" w:hAnsi="Times New Roman"/>
                <w:b/>
                <w:szCs w:val="24"/>
              </w:rPr>
              <w:footnoteReference w:id="9"/>
            </w:r>
          </w:p>
          <w:p w:rsidRPr="002451D0" w:rsidR="00A37A5F"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(for registered SEFs)</w:t>
            </w:r>
          </w:p>
        </w:tc>
        <w:tc>
          <w:tcPr>
            <w:tcW w:w="1683" w:type="dxa"/>
            <w:tcBorders>
              <w:top w:val="double" w:color="auto" w:sz="4" w:space="0"/>
              <w:bottom w:val="double" w:color="auto" w:sz="4" w:space="0"/>
            </w:tcBorders>
          </w:tcPr>
          <w:p w:rsidRPr="002451D0" w:rsidR="00F84484" w:rsidDel="00F84484" w:rsidP="00065F19" w:rsidRDefault="001F4491">
            <w:pPr>
              <w:tabs>
                <w:tab w:val="left" w:pos="-720"/>
              </w:tabs>
              <w:suppressAutoHyphens/>
              <w:jc w:val="center"/>
              <w:rPr>
                <w:rFonts w:ascii="Times New Roman" w:hAnsi="Times New Roman"/>
                <w:b/>
                <w:szCs w:val="24"/>
              </w:rPr>
            </w:pPr>
            <w:r w:rsidRPr="002451D0">
              <w:rPr>
                <w:rFonts w:ascii="Times New Roman" w:hAnsi="Times New Roman"/>
                <w:b/>
                <w:szCs w:val="24"/>
              </w:rPr>
              <w:t>21</w:t>
            </w:r>
          </w:p>
        </w:tc>
        <w:tc>
          <w:tcPr>
            <w:tcW w:w="1197" w:type="dxa"/>
            <w:tcBorders>
              <w:top w:val="double" w:color="auto" w:sz="4" w:space="0"/>
              <w:bottom w:val="double" w:color="auto" w:sz="4" w:space="0"/>
            </w:tcBorders>
          </w:tcPr>
          <w:p w:rsidRPr="002451D0" w:rsidR="00F84484" w:rsidP="00B13CE9" w:rsidRDefault="00E4192A">
            <w:pPr>
              <w:tabs>
                <w:tab w:val="left" w:pos="-720"/>
              </w:tabs>
              <w:suppressAutoHyphens/>
              <w:jc w:val="center"/>
              <w:rPr>
                <w:rFonts w:ascii="Times New Roman" w:hAnsi="Times New Roman"/>
                <w:b/>
                <w:szCs w:val="24"/>
              </w:rPr>
            </w:pPr>
            <w:r w:rsidRPr="002451D0">
              <w:rPr>
                <w:rFonts w:ascii="Times New Roman" w:hAnsi="Times New Roman"/>
                <w:b/>
                <w:szCs w:val="24"/>
              </w:rPr>
              <w:t>35,21</w:t>
            </w:r>
            <w:r w:rsidRPr="002451D0" w:rsidR="00B13CE9">
              <w:rPr>
                <w:rFonts w:ascii="Times New Roman" w:hAnsi="Times New Roman"/>
                <w:b/>
                <w:szCs w:val="24"/>
              </w:rPr>
              <w:t>7</w:t>
            </w:r>
            <w:r w:rsidRPr="002451D0" w:rsidR="00814002">
              <w:rPr>
                <w:rStyle w:val="FootnoteReference"/>
                <w:rFonts w:ascii="Times New Roman" w:hAnsi="Times New Roman"/>
                <w:b/>
                <w:szCs w:val="24"/>
              </w:rPr>
              <w:footnoteReference w:id="10"/>
            </w:r>
          </w:p>
        </w:tc>
        <w:tc>
          <w:tcPr>
            <w:tcW w:w="1346" w:type="dxa"/>
            <w:tcBorders>
              <w:top w:val="double" w:color="auto" w:sz="4" w:space="0"/>
              <w:bottom w:val="double" w:color="auto" w:sz="4" w:space="0"/>
            </w:tcBorders>
          </w:tcPr>
          <w:p w:rsidRPr="002451D0" w:rsidR="00F84484" w:rsidDel="00F84484" w:rsidP="00C04071" w:rsidRDefault="00BD503F">
            <w:pPr>
              <w:tabs>
                <w:tab w:val="left" w:pos="-720"/>
              </w:tabs>
              <w:suppressAutoHyphens/>
              <w:jc w:val="center"/>
              <w:rPr>
                <w:rFonts w:ascii="Times New Roman" w:hAnsi="Times New Roman"/>
                <w:b/>
                <w:szCs w:val="24"/>
              </w:rPr>
            </w:pPr>
            <w:r w:rsidRPr="002451D0">
              <w:rPr>
                <w:rFonts w:ascii="Times New Roman" w:hAnsi="Times New Roman"/>
                <w:b/>
                <w:szCs w:val="24"/>
              </w:rPr>
              <w:t>739,555</w:t>
            </w:r>
            <w:bookmarkStart w:name="_Ref457480782" w:id="4"/>
            <w:r w:rsidRPr="002451D0" w:rsidR="00D0705F">
              <w:rPr>
                <w:rStyle w:val="FootnoteReference"/>
                <w:rFonts w:ascii="Times New Roman" w:hAnsi="Times New Roman"/>
                <w:b/>
                <w:szCs w:val="24"/>
              </w:rPr>
              <w:footnoteReference w:id="11"/>
            </w:r>
            <w:bookmarkEnd w:id="4"/>
          </w:p>
        </w:tc>
        <w:tc>
          <w:tcPr>
            <w:tcW w:w="1462" w:type="dxa"/>
            <w:tcBorders>
              <w:top w:val="double" w:color="auto" w:sz="4" w:space="0"/>
              <w:bottom w:val="double" w:color="auto" w:sz="4" w:space="0"/>
            </w:tcBorders>
          </w:tcPr>
          <w:p w:rsidRPr="002451D0" w:rsidR="00F84484"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563</w:t>
            </w:r>
            <w:r w:rsidRPr="002451D0" w:rsidR="001C49F6">
              <w:rPr>
                <w:rStyle w:val="FootnoteReference"/>
                <w:rFonts w:ascii="Times New Roman" w:hAnsi="Times New Roman"/>
                <w:b/>
                <w:szCs w:val="24"/>
              </w:rPr>
              <w:footnoteReference w:id="12"/>
            </w:r>
          </w:p>
        </w:tc>
        <w:tc>
          <w:tcPr>
            <w:tcW w:w="2025" w:type="dxa"/>
            <w:tcBorders>
              <w:top w:val="double" w:color="auto" w:sz="4" w:space="0"/>
              <w:bottom w:val="double" w:color="auto" w:sz="4" w:space="0"/>
            </w:tcBorders>
          </w:tcPr>
          <w:p w:rsidRPr="002451D0" w:rsidR="00F84484" w:rsidP="00065F19" w:rsidRDefault="00EC485A">
            <w:pPr>
              <w:tabs>
                <w:tab w:val="left" w:pos="-720"/>
              </w:tabs>
              <w:suppressAutoHyphens/>
              <w:jc w:val="center"/>
              <w:rPr>
                <w:rFonts w:ascii="Times New Roman" w:hAnsi="Times New Roman"/>
                <w:b/>
                <w:szCs w:val="24"/>
              </w:rPr>
            </w:pPr>
            <w:r w:rsidRPr="002451D0">
              <w:rPr>
                <w:rFonts w:ascii="Times New Roman" w:hAnsi="Times New Roman"/>
                <w:b/>
                <w:szCs w:val="24"/>
              </w:rPr>
              <w:t>11,823</w:t>
            </w:r>
          </w:p>
        </w:tc>
      </w:tr>
      <w:tr w:rsidRPr="002451D0" w:rsidR="00206C6D" w:rsidTr="00971B43">
        <w:trPr>
          <w:cantSplit/>
          <w:trHeight w:val="942"/>
          <w:jc w:val="center"/>
        </w:trPr>
        <w:tc>
          <w:tcPr>
            <w:tcW w:w="2142" w:type="dxa"/>
            <w:tcBorders>
              <w:top w:val="double" w:color="auto" w:sz="4" w:space="0"/>
              <w:bottom w:val="thinThickThinSmallGap" w:color="auto" w:sz="24" w:space="0"/>
            </w:tcBorders>
          </w:tcPr>
          <w:p w:rsidRPr="002451D0" w:rsidR="00BD35CF" w:rsidP="00F11BE8" w:rsidRDefault="00206C6D">
            <w:pPr>
              <w:tabs>
                <w:tab w:val="left" w:pos="-720"/>
              </w:tabs>
              <w:suppressAutoHyphens/>
              <w:jc w:val="center"/>
              <w:rPr>
                <w:rFonts w:ascii="Times New Roman" w:hAnsi="Times New Roman"/>
                <w:b/>
                <w:szCs w:val="24"/>
              </w:rPr>
            </w:pPr>
            <w:r w:rsidRPr="002451D0">
              <w:rPr>
                <w:rFonts w:ascii="Times New Roman" w:hAnsi="Times New Roman"/>
                <w:b/>
                <w:szCs w:val="24"/>
              </w:rPr>
              <w:t>Total</w:t>
            </w:r>
            <w:r w:rsidRPr="002451D0" w:rsidR="00BD35CF">
              <w:rPr>
                <w:rFonts w:ascii="Times New Roman" w:hAnsi="Times New Roman"/>
                <w:b/>
                <w:szCs w:val="24"/>
              </w:rPr>
              <w:t xml:space="preserve"> </w:t>
            </w:r>
          </w:p>
          <w:p w:rsidRPr="002451D0" w:rsidR="00206C6D" w:rsidP="00F11BE8" w:rsidRDefault="00BD35CF">
            <w:pPr>
              <w:tabs>
                <w:tab w:val="left" w:pos="-720"/>
              </w:tabs>
              <w:suppressAutoHyphens/>
              <w:jc w:val="center"/>
              <w:rPr>
                <w:rFonts w:ascii="Times New Roman" w:hAnsi="Times New Roman"/>
                <w:b/>
                <w:szCs w:val="24"/>
              </w:rPr>
            </w:pPr>
            <w:r w:rsidRPr="002451D0">
              <w:rPr>
                <w:rFonts w:ascii="Times New Roman" w:hAnsi="Times New Roman"/>
                <w:b/>
                <w:szCs w:val="24"/>
              </w:rPr>
              <w:t>(for registered SEFs)</w:t>
            </w:r>
          </w:p>
        </w:tc>
        <w:tc>
          <w:tcPr>
            <w:tcW w:w="1683" w:type="dxa"/>
            <w:tcBorders>
              <w:top w:val="double" w:color="auto" w:sz="4" w:space="0"/>
              <w:bottom w:val="thinThickThinSmallGap" w:color="auto" w:sz="24" w:space="0"/>
            </w:tcBorders>
          </w:tcPr>
          <w:p w:rsidRPr="002451D0" w:rsidR="00206C6D" w:rsidP="007E59E5" w:rsidRDefault="00EC485A">
            <w:pPr>
              <w:tabs>
                <w:tab w:val="left" w:pos="-720"/>
              </w:tabs>
              <w:suppressAutoHyphens/>
              <w:jc w:val="center"/>
              <w:rPr>
                <w:rFonts w:ascii="Times New Roman" w:hAnsi="Times New Roman"/>
                <w:b/>
                <w:szCs w:val="24"/>
              </w:rPr>
            </w:pPr>
            <w:r w:rsidRPr="002451D0">
              <w:rPr>
                <w:rFonts w:ascii="Times New Roman" w:hAnsi="Times New Roman"/>
                <w:b/>
                <w:szCs w:val="24"/>
              </w:rPr>
              <w:t>21</w:t>
            </w:r>
          </w:p>
        </w:tc>
        <w:tc>
          <w:tcPr>
            <w:tcW w:w="1197" w:type="dxa"/>
            <w:tcBorders>
              <w:top w:val="double" w:color="auto" w:sz="4" w:space="0"/>
              <w:bottom w:val="thinThickThinSmallGap" w:color="auto" w:sz="24" w:space="0"/>
            </w:tcBorders>
          </w:tcPr>
          <w:p w:rsidRPr="002451D0" w:rsidR="00206C6D"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3</w:t>
            </w:r>
            <w:r w:rsidRPr="002451D0" w:rsidR="00070B97">
              <w:rPr>
                <w:rFonts w:ascii="Times New Roman" w:hAnsi="Times New Roman"/>
                <w:b/>
                <w:szCs w:val="24"/>
              </w:rPr>
              <w:t>5,222</w:t>
            </w:r>
            <w:bookmarkStart w:name="_Ref457480975" w:id="5"/>
            <w:r w:rsidRPr="002451D0" w:rsidR="00D0705F">
              <w:rPr>
                <w:rStyle w:val="FootnoteReference"/>
                <w:rFonts w:ascii="Times New Roman" w:hAnsi="Times New Roman"/>
                <w:b/>
                <w:szCs w:val="24"/>
              </w:rPr>
              <w:footnoteReference w:id="13"/>
            </w:r>
            <w:bookmarkEnd w:id="5"/>
          </w:p>
        </w:tc>
        <w:tc>
          <w:tcPr>
            <w:tcW w:w="1346" w:type="dxa"/>
            <w:tcBorders>
              <w:top w:val="double" w:color="auto" w:sz="4" w:space="0"/>
              <w:bottom w:val="thinThickThinSmallGap" w:color="auto" w:sz="24" w:space="0"/>
            </w:tcBorders>
          </w:tcPr>
          <w:p w:rsidRPr="002451D0" w:rsidR="00206C6D" w:rsidP="00882ED9" w:rsidRDefault="000A2C0C">
            <w:pPr>
              <w:tabs>
                <w:tab w:val="left" w:pos="-720"/>
              </w:tabs>
              <w:suppressAutoHyphens/>
              <w:jc w:val="center"/>
              <w:rPr>
                <w:rFonts w:ascii="Times New Roman" w:hAnsi="Times New Roman"/>
                <w:b/>
                <w:szCs w:val="24"/>
              </w:rPr>
            </w:pPr>
            <w:r w:rsidRPr="002451D0">
              <w:rPr>
                <w:rFonts w:ascii="Times New Roman" w:hAnsi="Times New Roman"/>
                <w:b/>
                <w:szCs w:val="24"/>
              </w:rPr>
              <w:t>739,6</w:t>
            </w:r>
            <w:r w:rsidRPr="002451D0" w:rsidR="00A5050E">
              <w:rPr>
                <w:rFonts w:ascii="Times New Roman" w:hAnsi="Times New Roman"/>
                <w:b/>
                <w:szCs w:val="24"/>
              </w:rPr>
              <w:t>6</w:t>
            </w:r>
            <w:r w:rsidRPr="002451D0">
              <w:rPr>
                <w:rFonts w:ascii="Times New Roman" w:hAnsi="Times New Roman"/>
                <w:b/>
                <w:szCs w:val="24"/>
              </w:rPr>
              <w:t>0</w:t>
            </w:r>
            <w:r w:rsidRPr="002451D0" w:rsidR="00470533">
              <w:rPr>
                <w:rStyle w:val="FootnoteReference"/>
                <w:rFonts w:ascii="Times New Roman" w:hAnsi="Times New Roman"/>
                <w:b/>
                <w:szCs w:val="24"/>
              </w:rPr>
              <w:footnoteReference w:id="14"/>
            </w:r>
          </w:p>
        </w:tc>
        <w:tc>
          <w:tcPr>
            <w:tcW w:w="1462" w:type="dxa"/>
            <w:tcBorders>
              <w:top w:val="double" w:color="auto" w:sz="4" w:space="0"/>
              <w:bottom w:val="thinThickThinSmallGap" w:color="auto" w:sz="24" w:space="0"/>
            </w:tcBorders>
          </w:tcPr>
          <w:p w:rsidRPr="002451D0" w:rsidR="00206C6D" w:rsidP="00F11BE8" w:rsidRDefault="007503AD">
            <w:pPr>
              <w:tabs>
                <w:tab w:val="left" w:pos="-720"/>
              </w:tabs>
              <w:suppressAutoHyphens/>
              <w:jc w:val="center"/>
              <w:rPr>
                <w:rFonts w:ascii="Times New Roman" w:hAnsi="Times New Roman"/>
                <w:b/>
                <w:szCs w:val="24"/>
              </w:rPr>
            </w:pPr>
            <w:r w:rsidRPr="002451D0">
              <w:rPr>
                <w:rFonts w:ascii="Times New Roman" w:hAnsi="Times New Roman"/>
                <w:b/>
                <w:szCs w:val="24"/>
              </w:rPr>
              <w:t>1000</w:t>
            </w:r>
          </w:p>
        </w:tc>
        <w:tc>
          <w:tcPr>
            <w:tcW w:w="2025" w:type="dxa"/>
            <w:tcBorders>
              <w:top w:val="double" w:color="auto" w:sz="4" w:space="0"/>
              <w:bottom w:val="thinThickThinSmallGap" w:color="auto" w:sz="24" w:space="0"/>
            </w:tcBorders>
          </w:tcPr>
          <w:p w:rsidRPr="002451D0" w:rsidR="00206C6D" w:rsidP="007E59E5" w:rsidRDefault="00EC485A">
            <w:pPr>
              <w:tabs>
                <w:tab w:val="left" w:pos="-720"/>
              </w:tabs>
              <w:suppressAutoHyphens/>
              <w:jc w:val="center"/>
              <w:rPr>
                <w:rFonts w:ascii="Times New Roman" w:hAnsi="Times New Roman"/>
                <w:b/>
                <w:szCs w:val="24"/>
              </w:rPr>
            </w:pPr>
            <w:r w:rsidRPr="002451D0">
              <w:rPr>
                <w:rFonts w:ascii="Times New Roman" w:hAnsi="Times New Roman"/>
                <w:b/>
                <w:szCs w:val="24"/>
              </w:rPr>
              <w:t>21</w:t>
            </w:r>
            <w:r w:rsidRPr="002451D0" w:rsidR="007503AD">
              <w:rPr>
                <w:rFonts w:ascii="Times New Roman" w:hAnsi="Times New Roman"/>
                <w:b/>
                <w:szCs w:val="24"/>
              </w:rPr>
              <w:t>,000</w:t>
            </w:r>
            <w:r w:rsidRPr="002451D0" w:rsidR="001C49F6">
              <w:rPr>
                <w:rStyle w:val="FootnoteReference"/>
                <w:rFonts w:ascii="Times New Roman" w:hAnsi="Times New Roman"/>
                <w:b/>
                <w:szCs w:val="24"/>
              </w:rPr>
              <w:footnoteReference w:id="15"/>
            </w:r>
          </w:p>
        </w:tc>
      </w:tr>
      <w:tr w:rsidRPr="002451D0" w:rsidR="00A37A5F" w:rsidTr="00971B43">
        <w:trPr>
          <w:cantSplit/>
          <w:trHeight w:val="1140"/>
          <w:jc w:val="center"/>
        </w:trPr>
        <w:tc>
          <w:tcPr>
            <w:tcW w:w="2142" w:type="dxa"/>
            <w:tcBorders>
              <w:top w:val="thinThickThinSmallGap" w:color="auto" w:sz="24" w:space="0"/>
              <w:bottom w:val="single" w:color="auto" w:sz="4" w:space="0"/>
            </w:tcBorders>
          </w:tcPr>
          <w:p w:rsidRPr="002451D0" w:rsidR="00A37A5F"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Registration Process</w:t>
            </w:r>
          </w:p>
          <w:p w:rsidRPr="002451D0" w:rsidR="00A37A5F" w:rsidP="000A773C"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(for applicants for SEF registration)</w:t>
            </w:r>
            <w:r w:rsidRPr="002451D0">
              <w:rPr>
                <w:rStyle w:val="FootnoteReference"/>
                <w:rFonts w:ascii="Times New Roman" w:hAnsi="Times New Roman"/>
                <w:b/>
                <w:szCs w:val="24"/>
              </w:rPr>
              <w:footnoteReference w:id="16"/>
            </w:r>
          </w:p>
        </w:tc>
        <w:tc>
          <w:tcPr>
            <w:tcW w:w="1683" w:type="dxa"/>
            <w:tcBorders>
              <w:top w:val="thinThickThinSmallGap" w:color="auto" w:sz="24" w:space="0"/>
              <w:bottom w:val="single" w:color="auto" w:sz="4" w:space="0"/>
            </w:tcBorders>
          </w:tcPr>
          <w:p w:rsidRPr="002451D0" w:rsidR="00A37A5F"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4</w:t>
            </w:r>
            <w:r w:rsidRPr="002451D0">
              <w:rPr>
                <w:rFonts w:ascii="Times New Roman" w:hAnsi="Times New Roman"/>
                <w:szCs w:val="24"/>
                <w:vertAlign w:val="superscript"/>
              </w:rPr>
              <w:footnoteReference w:id="17"/>
            </w:r>
          </w:p>
        </w:tc>
        <w:tc>
          <w:tcPr>
            <w:tcW w:w="1197" w:type="dxa"/>
            <w:tcBorders>
              <w:top w:val="thinThickThinSmallGap" w:color="auto" w:sz="24" w:space="0"/>
              <w:bottom w:val="single" w:color="auto" w:sz="4" w:space="0"/>
            </w:tcBorders>
          </w:tcPr>
          <w:p w:rsidRPr="002451D0" w:rsidR="00A37A5F"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1</w:t>
            </w:r>
            <w:r w:rsidRPr="002451D0" w:rsidR="00BD35CF">
              <w:rPr>
                <w:rStyle w:val="FootnoteReference"/>
                <w:rFonts w:ascii="Times New Roman" w:hAnsi="Times New Roman"/>
                <w:b/>
                <w:szCs w:val="24"/>
              </w:rPr>
              <w:footnoteReference w:id="18"/>
            </w:r>
          </w:p>
        </w:tc>
        <w:tc>
          <w:tcPr>
            <w:tcW w:w="1346" w:type="dxa"/>
            <w:tcBorders>
              <w:top w:val="thinThickThinSmallGap" w:color="auto" w:sz="24" w:space="0"/>
              <w:bottom w:val="single" w:color="auto" w:sz="4" w:space="0"/>
            </w:tcBorders>
          </w:tcPr>
          <w:p w:rsidRPr="002451D0" w:rsidR="00A37A5F" w:rsidP="00902334"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4</w:t>
            </w:r>
          </w:p>
        </w:tc>
        <w:tc>
          <w:tcPr>
            <w:tcW w:w="1462" w:type="dxa"/>
            <w:tcBorders>
              <w:top w:val="thinThickThinSmallGap" w:color="auto" w:sz="24" w:space="0"/>
              <w:bottom w:val="single" w:color="auto" w:sz="4" w:space="0"/>
            </w:tcBorders>
          </w:tcPr>
          <w:p w:rsidRPr="002451D0" w:rsidR="00A37A5F"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300</w:t>
            </w:r>
          </w:p>
        </w:tc>
        <w:tc>
          <w:tcPr>
            <w:tcW w:w="2025" w:type="dxa"/>
            <w:tcBorders>
              <w:top w:val="thinThickThinSmallGap" w:color="auto" w:sz="24" w:space="0"/>
              <w:bottom w:val="single" w:color="auto" w:sz="4" w:space="0"/>
            </w:tcBorders>
          </w:tcPr>
          <w:p w:rsidRPr="002451D0" w:rsidR="00A37A5F" w:rsidP="00F11BE8" w:rsidRDefault="00A37A5F">
            <w:pPr>
              <w:tabs>
                <w:tab w:val="left" w:pos="-720"/>
              </w:tabs>
              <w:suppressAutoHyphens/>
              <w:jc w:val="center"/>
              <w:rPr>
                <w:rFonts w:ascii="Times New Roman" w:hAnsi="Times New Roman"/>
                <w:b/>
                <w:szCs w:val="24"/>
              </w:rPr>
            </w:pPr>
            <w:r w:rsidRPr="002451D0">
              <w:rPr>
                <w:rFonts w:ascii="Times New Roman" w:hAnsi="Times New Roman"/>
                <w:b/>
                <w:szCs w:val="24"/>
              </w:rPr>
              <w:t>1,200</w:t>
            </w:r>
            <w:r w:rsidRPr="002451D0">
              <w:rPr>
                <w:rFonts w:ascii="Times New Roman" w:hAnsi="Times New Roman"/>
                <w:b/>
                <w:szCs w:val="24"/>
                <w:vertAlign w:val="superscript"/>
              </w:rPr>
              <w:footnoteReference w:id="19"/>
            </w:r>
          </w:p>
        </w:tc>
      </w:tr>
    </w:tbl>
    <w:p w:rsidRPr="002451D0" w:rsidR="00644EA7" w:rsidP="00644EA7" w:rsidRDefault="00644EA7">
      <w:pPr>
        <w:tabs>
          <w:tab w:val="left" w:pos="-720"/>
        </w:tabs>
        <w:suppressAutoHyphens/>
        <w:jc w:val="center"/>
        <w:rPr>
          <w:rFonts w:ascii="Times New Roman" w:hAnsi="Times New Roman"/>
        </w:rPr>
      </w:pPr>
    </w:p>
    <w:sectPr w:rsidRPr="002451D0" w:rsidR="00644EA7" w:rsidSect="00CB452E">
      <w:headerReference w:type="default" r:id="rId12"/>
      <w:endnotePr>
        <w:numFmt w:val="decimal"/>
      </w:endnotePr>
      <w:pgSz w:w="12240" w:h="15840"/>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F05" w:rsidRDefault="00042F05">
      <w:pPr>
        <w:spacing w:line="20" w:lineRule="exact"/>
      </w:pPr>
    </w:p>
  </w:endnote>
  <w:endnote w:type="continuationSeparator" w:id="0">
    <w:p w:rsidR="00042F05" w:rsidRDefault="00042F05">
      <w:r>
        <w:t xml:space="preserve"> </w:t>
      </w:r>
    </w:p>
  </w:endnote>
  <w:endnote w:type="continuationNotice" w:id="1">
    <w:p w:rsidR="00042F05" w:rsidRDefault="00042F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3EF" w:rsidRDefault="003D63EF">
    <w:pPr>
      <w:pStyle w:val="Footer"/>
      <w:jc w:val="center"/>
    </w:pPr>
    <w:r>
      <w:fldChar w:fldCharType="begin"/>
    </w:r>
    <w:r>
      <w:instrText xml:space="preserve"> PAGE   \* MERGEFORMAT </w:instrText>
    </w:r>
    <w:r>
      <w:fldChar w:fldCharType="separate"/>
    </w:r>
    <w:r w:rsidR="00E33A9B">
      <w:rPr>
        <w:noProof/>
      </w:rPr>
      <w:t>1</w:t>
    </w:r>
    <w:r>
      <w:rPr>
        <w:noProof/>
      </w:rPr>
      <w:fldChar w:fldCharType="end"/>
    </w:r>
  </w:p>
  <w:p w:rsidR="003D63EF" w:rsidRDefault="003D6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F05" w:rsidRDefault="00042F05">
      <w:r>
        <w:separator/>
      </w:r>
    </w:p>
  </w:footnote>
  <w:footnote w:type="continuationSeparator" w:id="0">
    <w:p w:rsidR="00042F05" w:rsidRDefault="00042F05">
      <w:r>
        <w:t>(..continued)</w:t>
      </w:r>
    </w:p>
  </w:footnote>
  <w:footnote w:id="1">
    <w:p w:rsidR="00B77740" w:rsidRPr="00460629" w:rsidRDefault="00B77740" w:rsidP="00A525EB">
      <w:pPr>
        <w:pStyle w:val="FootnoteText"/>
        <w:spacing w:before="120" w:after="120"/>
        <w:rPr>
          <w:rFonts w:ascii="Times New Roman" w:hAnsi="Times New Roman"/>
          <w:b/>
        </w:rPr>
      </w:pPr>
      <w:r w:rsidRPr="00460629">
        <w:rPr>
          <w:rStyle w:val="FootnoteReference"/>
          <w:rFonts w:ascii="Times New Roman" w:hAnsi="Times New Roman"/>
        </w:rPr>
        <w:footnoteRef/>
      </w:r>
      <w:r w:rsidRPr="00460629">
        <w:rPr>
          <w:rFonts w:ascii="Times New Roman" w:hAnsi="Times New Roman"/>
        </w:rPr>
        <w:t xml:space="preserve"> </w:t>
      </w:r>
      <w:r w:rsidR="0010528B" w:rsidRPr="00460629">
        <w:rPr>
          <w:rFonts w:ascii="Times New Roman" w:hAnsi="Times New Roman"/>
          <w:sz w:val="20"/>
        </w:rPr>
        <w:t>In general, this OMB C</w:t>
      </w:r>
      <w:r w:rsidRPr="00460629">
        <w:rPr>
          <w:rFonts w:ascii="Times New Roman" w:hAnsi="Times New Roman"/>
          <w:sz w:val="20"/>
        </w:rPr>
        <w:t xml:space="preserve">ontrol </w:t>
      </w:r>
      <w:r w:rsidR="0010528B" w:rsidRPr="00460629">
        <w:rPr>
          <w:rFonts w:ascii="Times New Roman" w:hAnsi="Times New Roman"/>
          <w:sz w:val="20"/>
        </w:rPr>
        <w:t>N</w:t>
      </w:r>
      <w:r w:rsidRPr="00460629">
        <w:rPr>
          <w:rFonts w:ascii="Times New Roman" w:hAnsi="Times New Roman"/>
          <w:sz w:val="20"/>
        </w:rPr>
        <w:t xml:space="preserve">umber covers </w:t>
      </w:r>
      <w:r w:rsidR="000F3AA2" w:rsidRPr="00460629">
        <w:rPr>
          <w:rFonts w:ascii="Times New Roman" w:hAnsi="Times New Roman"/>
          <w:sz w:val="20"/>
        </w:rPr>
        <w:t>all</w:t>
      </w:r>
      <w:r w:rsidRPr="00460629">
        <w:rPr>
          <w:rFonts w:ascii="Times New Roman" w:hAnsi="Times New Roman"/>
          <w:sz w:val="20"/>
        </w:rPr>
        <w:t xml:space="preserve"> information collections in part 37 of the Commission’s regulations, including </w:t>
      </w:r>
      <w:r w:rsidR="005755F8" w:rsidRPr="00460629">
        <w:rPr>
          <w:rFonts w:ascii="Times New Roman" w:hAnsi="Times New Roman"/>
          <w:sz w:val="20"/>
        </w:rPr>
        <w:t>the</w:t>
      </w:r>
      <w:r w:rsidR="00D733C2" w:rsidRPr="00460629">
        <w:rPr>
          <w:rFonts w:ascii="Times New Roman" w:hAnsi="Times New Roman"/>
          <w:sz w:val="20"/>
        </w:rPr>
        <w:t xml:space="preserve"> </w:t>
      </w:r>
      <w:r w:rsidR="005C49BF" w:rsidRPr="00460629">
        <w:rPr>
          <w:rFonts w:ascii="Times New Roman" w:hAnsi="Times New Roman"/>
          <w:sz w:val="20"/>
        </w:rPr>
        <w:t xml:space="preserve">information collections in </w:t>
      </w:r>
      <w:r w:rsidRPr="00460629">
        <w:rPr>
          <w:rFonts w:ascii="Times New Roman" w:hAnsi="Times New Roman"/>
          <w:sz w:val="20"/>
        </w:rPr>
        <w:t>Subpart A and the SEF core principles (</w:t>
      </w:r>
      <w:r w:rsidRPr="00460629">
        <w:rPr>
          <w:rFonts w:ascii="Times New Roman" w:hAnsi="Times New Roman"/>
          <w:i/>
          <w:sz w:val="20"/>
        </w:rPr>
        <w:t>i.e.</w:t>
      </w:r>
      <w:r w:rsidRPr="00460629">
        <w:rPr>
          <w:rFonts w:ascii="Times New Roman" w:hAnsi="Times New Roman"/>
          <w:sz w:val="20"/>
        </w:rPr>
        <w:t>, Subparts B and C).  However, any information collections related to § 37.10 of the Commission’s regulations are subject to a separate information collection with OMB control number 3038-0099 (Process for a Swap Execution Facility or Designated Contract Market to Make a Swap Available to Trade).</w:t>
      </w:r>
      <w:r w:rsidR="005755F8" w:rsidRPr="00460629">
        <w:rPr>
          <w:rFonts w:ascii="Times New Roman" w:hAnsi="Times New Roman"/>
          <w:sz w:val="20"/>
        </w:rPr>
        <w:t xml:space="preserve">  </w:t>
      </w:r>
    </w:p>
  </w:footnote>
  <w:footnote w:id="2">
    <w:p w:rsidR="00B134B4" w:rsidRPr="00460629" w:rsidRDefault="00B134B4" w:rsidP="00A525EB">
      <w:pPr>
        <w:pStyle w:val="FootnoteText"/>
        <w:spacing w:before="120"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Among other requirements, part 37 of the Commission’s regulations imposes SEF registration requirements for a trading platform or system, obligates SEFs to provide transaction confirmations to swap counterparties, and requires SEFs to continually be in compliance with 15</w:t>
      </w:r>
      <w:r w:rsidR="0002718F">
        <w:rPr>
          <w:rFonts w:ascii="Times New Roman" w:hAnsi="Times New Roman"/>
          <w:sz w:val="20"/>
        </w:rPr>
        <w:t xml:space="preserve"> enumerated</w:t>
      </w:r>
      <w:r w:rsidRPr="00460629">
        <w:rPr>
          <w:rFonts w:ascii="Times New Roman" w:hAnsi="Times New Roman"/>
          <w:sz w:val="20"/>
        </w:rPr>
        <w:t xml:space="preserve"> core principles.  The 15 core principles </w:t>
      </w:r>
      <w:r w:rsidR="0002718F">
        <w:rPr>
          <w:rFonts w:ascii="Times New Roman" w:hAnsi="Times New Roman"/>
          <w:sz w:val="20"/>
        </w:rPr>
        <w:t>establish standards with respect to SEFs</w:t>
      </w:r>
      <w:r w:rsidRPr="00460629">
        <w:rPr>
          <w:rFonts w:ascii="Times New Roman" w:hAnsi="Times New Roman"/>
          <w:sz w:val="20"/>
        </w:rPr>
        <w:t>: enforcing rules; listing contracts for trading that are not readily susceptible to manipulation; monitoring trading to prevent market manipulation; obtaining information; adopting position limits or position accountability levels; adopting rules to enforce financial integrity of swaps transactions entered on or through the SEF; adopting rules to provide for the exercise of emergency authority, in consultation with the Commission; making public information regarding prices and volume on a timely basis; maintaining records of all activities of the business of the contract market in a form and manner acceptable to the Commission for five years; avoiding rules that result in unreasonable restraints of trade or anticompetitive burden on trading; enforcing rules to minimize conflicts of interest in its decision-making process; maintaining adequate financial resources; establishing system safeguards; and designating a chief compliance officer</w:t>
      </w:r>
      <w:r w:rsidR="007A74CD">
        <w:rPr>
          <w:rFonts w:ascii="Times New Roman" w:hAnsi="Times New Roman"/>
          <w:sz w:val="20"/>
        </w:rPr>
        <w:t>.</w:t>
      </w:r>
    </w:p>
  </w:footnote>
  <w:footnote w:id="3">
    <w:p w:rsidR="00C33D03" w:rsidRPr="00C33D03" w:rsidRDefault="00C33D03">
      <w:pPr>
        <w:pStyle w:val="FootnoteText"/>
        <w:rPr>
          <w:rFonts w:ascii="Times New Roman" w:hAnsi="Times New Roman"/>
          <w:sz w:val="20"/>
        </w:rPr>
      </w:pPr>
      <w:r w:rsidRPr="00C33D03">
        <w:rPr>
          <w:rStyle w:val="FootnoteReference"/>
          <w:rFonts w:ascii="Times New Roman" w:hAnsi="Times New Roman"/>
          <w:sz w:val="20"/>
        </w:rPr>
        <w:footnoteRef/>
      </w:r>
      <w:r w:rsidRPr="00C33D03">
        <w:rPr>
          <w:rFonts w:ascii="Times New Roman" w:hAnsi="Times New Roman"/>
          <w:sz w:val="20"/>
        </w:rPr>
        <w:t xml:space="preserve"> This includes </w:t>
      </w:r>
      <w:bookmarkStart w:id="2" w:name="_Hlk58845494"/>
      <w:r w:rsidR="00767829">
        <w:rPr>
          <w:rFonts w:ascii="Times New Roman" w:hAnsi="Times New Roman"/>
          <w:sz w:val="20"/>
        </w:rPr>
        <w:t xml:space="preserve">20 </w:t>
      </w:r>
      <w:r w:rsidR="003535AF">
        <w:rPr>
          <w:rFonts w:ascii="Times New Roman" w:hAnsi="Times New Roman"/>
          <w:sz w:val="20"/>
        </w:rPr>
        <w:t xml:space="preserve">SEFs that </w:t>
      </w:r>
      <w:r w:rsidR="003535AF" w:rsidRPr="00460629">
        <w:rPr>
          <w:rFonts w:ascii="Times New Roman" w:hAnsi="Times New Roman"/>
          <w:sz w:val="20"/>
        </w:rPr>
        <w:t>are currently registered with the Commission</w:t>
      </w:r>
      <w:r w:rsidR="00767829">
        <w:rPr>
          <w:rFonts w:ascii="Times New Roman" w:hAnsi="Times New Roman"/>
          <w:sz w:val="20"/>
        </w:rPr>
        <w:t xml:space="preserve"> and </w:t>
      </w:r>
      <w:bookmarkEnd w:id="2"/>
      <w:r w:rsidRPr="00C33D03">
        <w:rPr>
          <w:rFonts w:ascii="Times New Roman" w:hAnsi="Times New Roman"/>
          <w:sz w:val="20"/>
        </w:rPr>
        <w:t xml:space="preserve">one dormant SEF that is in the process of filing for reinstatement in accordance with Commission regulation 37.3(d) and is currently operating under staff no-action relief. </w:t>
      </w:r>
      <w:r w:rsidR="002B18BF">
        <w:rPr>
          <w:rFonts w:ascii="Times New Roman" w:hAnsi="Times New Roman"/>
          <w:sz w:val="20"/>
        </w:rPr>
        <w:t xml:space="preserve"> </w:t>
      </w:r>
      <w:r w:rsidRPr="00C33D03">
        <w:rPr>
          <w:rFonts w:ascii="Times New Roman" w:hAnsi="Times New Roman"/>
          <w:sz w:val="20"/>
        </w:rPr>
        <w:t>See CFTC Letter No. 20-29, available at https://www.cftc.gov/csl/20-29/download.</w:t>
      </w:r>
    </w:p>
  </w:footnote>
  <w:footnote w:id="4">
    <w:p w:rsidR="00F95BE1" w:rsidRPr="00EC0063" w:rsidRDefault="00F95BE1" w:rsidP="00F95BE1">
      <w:pPr>
        <w:pStyle w:val="FootnoteText"/>
        <w:rPr>
          <w:rFonts w:ascii="Times New Roman" w:eastAsia="Calibri" w:hAnsi="Times New Roman"/>
          <w:sz w:val="20"/>
        </w:rPr>
      </w:pPr>
      <w:r w:rsidRPr="00EC0063">
        <w:rPr>
          <w:rStyle w:val="FootnoteReference"/>
          <w:rFonts w:ascii="Times New Roman" w:hAnsi="Times New Roman"/>
          <w:sz w:val="20"/>
        </w:rPr>
        <w:footnoteRef/>
      </w:r>
      <w:r w:rsidR="00231278" w:rsidRPr="00EC0063">
        <w:rPr>
          <w:rFonts w:ascii="Times New Roman" w:eastAsia="Calibri" w:hAnsi="Times New Roman"/>
          <w:sz w:val="20"/>
        </w:rPr>
        <w:t xml:space="preserve"> </w:t>
      </w:r>
      <w:r w:rsidRPr="00EC0063">
        <w:rPr>
          <w:rFonts w:ascii="Times New Roman" w:eastAsia="Calibri" w:hAnsi="Times New Roman"/>
          <w:sz w:val="20"/>
        </w:rPr>
        <w:t xml:space="preserve">The Commission notes that there is an additional 1,200 burden hours for SEF registration </w:t>
      </w:r>
      <w:r w:rsidR="00E74783" w:rsidRPr="00EC0063">
        <w:rPr>
          <w:rFonts w:ascii="Times New Roman" w:eastAsia="Calibri" w:hAnsi="Times New Roman"/>
          <w:sz w:val="20"/>
        </w:rPr>
        <w:t xml:space="preserve">applicants </w:t>
      </w:r>
      <w:r w:rsidRPr="00EC0063">
        <w:rPr>
          <w:rFonts w:ascii="Times New Roman" w:eastAsia="Calibri" w:hAnsi="Times New Roman"/>
          <w:sz w:val="20"/>
        </w:rPr>
        <w:t>that have not been affected by this amendment.</w:t>
      </w:r>
      <w:r w:rsidR="00231278" w:rsidRPr="00EC0063">
        <w:rPr>
          <w:rFonts w:ascii="Times New Roman" w:eastAsia="Calibri" w:hAnsi="Times New Roman"/>
          <w:sz w:val="20"/>
        </w:rPr>
        <w:t xml:space="preserve">  Therefore, the total burden for 3038-0074 is </w:t>
      </w:r>
      <w:r w:rsidR="003535AF" w:rsidRPr="00EC0063">
        <w:rPr>
          <w:rFonts w:ascii="Times New Roman" w:eastAsia="Calibri" w:hAnsi="Times New Roman"/>
          <w:sz w:val="20"/>
        </w:rPr>
        <w:t>22</w:t>
      </w:r>
      <w:r w:rsidR="00231278" w:rsidRPr="00EC0063">
        <w:rPr>
          <w:rFonts w:ascii="Times New Roman" w:eastAsia="Calibri" w:hAnsi="Times New Roman"/>
          <w:sz w:val="20"/>
        </w:rPr>
        <w:t>,200 hours.</w:t>
      </w:r>
      <w:r w:rsidRPr="00EC0063">
        <w:rPr>
          <w:rFonts w:ascii="Times New Roman" w:eastAsia="Calibri" w:hAnsi="Times New Roman"/>
          <w:sz w:val="20"/>
        </w:rPr>
        <w:t xml:space="preserve"> </w:t>
      </w:r>
    </w:p>
    <w:p w:rsidR="00F95BE1" w:rsidRPr="00EC0063" w:rsidRDefault="00F95BE1">
      <w:pPr>
        <w:pStyle w:val="FootnoteText"/>
        <w:rPr>
          <w:rFonts w:ascii="Times New Roman" w:hAnsi="Times New Roman"/>
          <w:sz w:val="20"/>
        </w:rPr>
      </w:pPr>
    </w:p>
  </w:footnote>
  <w:footnote w:id="5">
    <w:p w:rsidR="00046594" w:rsidRPr="00460629" w:rsidRDefault="00046594" w:rsidP="00A525EB">
      <w:pPr>
        <w:pStyle w:val="FootnoteText"/>
        <w:spacing w:after="120"/>
        <w:rPr>
          <w:rFonts w:ascii="Times New Roman" w:hAnsi="Times New Roman"/>
        </w:rPr>
      </w:pPr>
      <w:r w:rsidRPr="00EC0063">
        <w:rPr>
          <w:rStyle w:val="FootnoteReference"/>
          <w:rFonts w:ascii="Times New Roman" w:hAnsi="Times New Roman"/>
          <w:sz w:val="20"/>
        </w:rPr>
        <w:footnoteRef/>
      </w:r>
      <w:r w:rsidRPr="00EC0063">
        <w:rPr>
          <w:rFonts w:ascii="Times New Roman" w:hAnsi="Times New Roman"/>
          <w:sz w:val="20"/>
        </w:rPr>
        <w:t xml:space="preserve"> </w:t>
      </w:r>
      <w:r w:rsidR="00317653" w:rsidRPr="00317653">
        <w:rPr>
          <w:rFonts w:ascii="Times New Roman" w:hAnsi="Times New Roman"/>
          <w:sz w:val="20"/>
        </w:rPr>
        <w:t>In support of this determination, the Commission notes that the salary estimate is based upon May 2019 National Occupational Employment and Wage Estimates, United States, including the mean hourly wage of an employee under occupation code 23-1011, “Lawyers,” that is employed by the “Securities, Commodity Contracts, and Other Financial Investments and Related Activities Industry,” which is $92.59; the mean hourly wage of an employee under occupation code 11-3031, “Financial Managers,” in the same industry, which is $90.41; and the mean hourly wage of an employee under occupation code-13-1041, “Compliance Officers” in the same industry, which is $38.29.</w:t>
      </w:r>
      <w:r w:rsidR="00BC2384">
        <w:rPr>
          <w:rFonts w:ascii="Times New Roman" w:hAnsi="Times New Roman"/>
          <w:sz w:val="20"/>
        </w:rPr>
        <w:t xml:space="preserve">  </w:t>
      </w:r>
      <w:r w:rsidR="00317653" w:rsidRPr="00317653">
        <w:rPr>
          <w:rFonts w:ascii="Times New Roman" w:hAnsi="Times New Roman"/>
          <w:sz w:val="20"/>
        </w:rPr>
        <w:t>The Commission also notes that it took the foregoing data and then increased its hourly wage estimate in recognition of the fact that some respondents may be large financial institutions whose employees’ salaries may exceed the mean wage.  In addition,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footnote>
  <w:footnote w:id="6">
    <w:p w:rsidR="00E8482C" w:rsidRPr="00460629" w:rsidRDefault="00E8482C" w:rsidP="00A525EB">
      <w:pPr>
        <w:pStyle w:val="FootnoteText"/>
        <w:spacing w:after="120"/>
        <w:rPr>
          <w:rFonts w:ascii="Times New Roman" w:hAnsi="Times New Roman"/>
          <w:u w:val="single"/>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As noted above in footnote </w:t>
      </w:r>
      <w:r w:rsidRPr="00460629">
        <w:rPr>
          <w:rFonts w:ascii="Times New Roman" w:hAnsi="Times New Roman"/>
          <w:sz w:val="20"/>
        </w:rPr>
        <w:fldChar w:fldCharType="begin"/>
      </w:r>
      <w:r w:rsidRPr="00460629">
        <w:rPr>
          <w:rFonts w:ascii="Times New Roman" w:hAnsi="Times New Roman"/>
          <w:sz w:val="20"/>
        </w:rPr>
        <w:instrText xml:space="preserve"> NOTEREF _Ref458433695 \h </w:instrText>
      </w:r>
      <w:r w:rsidRPr="00460629">
        <w:rPr>
          <w:rFonts w:ascii="Times New Roman" w:hAnsi="Times New Roman"/>
          <w:sz w:val="20"/>
        </w:rPr>
      </w:r>
      <w:r w:rsidR="00460629">
        <w:rPr>
          <w:rFonts w:ascii="Times New Roman" w:hAnsi="Times New Roman"/>
          <w:sz w:val="20"/>
        </w:rPr>
        <w:instrText xml:space="preserve"> \* MERGEFORMAT </w:instrText>
      </w:r>
      <w:r w:rsidRPr="00460629">
        <w:rPr>
          <w:rFonts w:ascii="Times New Roman" w:hAnsi="Times New Roman"/>
          <w:sz w:val="20"/>
        </w:rPr>
        <w:fldChar w:fldCharType="separate"/>
      </w:r>
      <w:r w:rsidR="006138FA">
        <w:rPr>
          <w:rFonts w:ascii="Times New Roman" w:hAnsi="Times New Roman"/>
          <w:sz w:val="20"/>
        </w:rPr>
        <w:t>1</w:t>
      </w:r>
      <w:r w:rsidRPr="00460629">
        <w:rPr>
          <w:rFonts w:ascii="Times New Roman" w:hAnsi="Times New Roman"/>
          <w:sz w:val="20"/>
        </w:rPr>
        <w:fldChar w:fldCharType="end"/>
      </w:r>
      <w:r w:rsidRPr="00460629">
        <w:rPr>
          <w:rFonts w:ascii="Times New Roman" w:hAnsi="Times New Roman"/>
          <w:sz w:val="20"/>
        </w:rPr>
        <w:t xml:space="preserve">, this OMB Control Number 3038-0074 covers </w:t>
      </w:r>
      <w:r w:rsidR="005755F8" w:rsidRPr="00460629">
        <w:rPr>
          <w:rFonts w:ascii="Times New Roman" w:hAnsi="Times New Roman"/>
          <w:sz w:val="20"/>
        </w:rPr>
        <w:t xml:space="preserve">all </w:t>
      </w:r>
      <w:r w:rsidRPr="00460629">
        <w:rPr>
          <w:rFonts w:ascii="Times New Roman" w:hAnsi="Times New Roman"/>
          <w:sz w:val="20"/>
        </w:rPr>
        <w:t xml:space="preserve">information collections in part 37 of the Commission’s regulations, including </w:t>
      </w:r>
      <w:r w:rsidR="005755F8" w:rsidRPr="00460629">
        <w:rPr>
          <w:rFonts w:ascii="Times New Roman" w:hAnsi="Times New Roman"/>
          <w:sz w:val="20"/>
        </w:rPr>
        <w:t>the</w:t>
      </w:r>
      <w:r w:rsidRPr="00460629">
        <w:rPr>
          <w:rFonts w:ascii="Times New Roman" w:hAnsi="Times New Roman"/>
          <w:sz w:val="20"/>
        </w:rPr>
        <w:t xml:space="preserve"> information collection in Subpart A and the SEF core principles (</w:t>
      </w:r>
      <w:r w:rsidRPr="00460629">
        <w:rPr>
          <w:rFonts w:ascii="Times New Roman" w:hAnsi="Times New Roman"/>
          <w:i/>
          <w:sz w:val="20"/>
        </w:rPr>
        <w:t>i.e.</w:t>
      </w:r>
      <w:r w:rsidRPr="00460629">
        <w:rPr>
          <w:rFonts w:ascii="Times New Roman" w:hAnsi="Times New Roman"/>
          <w:sz w:val="20"/>
        </w:rPr>
        <w:t>, Subparts B and C), other than the information collections related to § 37.10</w:t>
      </w:r>
      <w:r w:rsidR="005755F8" w:rsidRPr="00460629">
        <w:rPr>
          <w:rFonts w:ascii="Times New Roman" w:hAnsi="Times New Roman"/>
          <w:sz w:val="20"/>
        </w:rPr>
        <w:t xml:space="preserve">, which are covered </w:t>
      </w:r>
      <w:r w:rsidR="001D0B9B" w:rsidRPr="00460629">
        <w:rPr>
          <w:rFonts w:ascii="Times New Roman" w:hAnsi="Times New Roman"/>
          <w:sz w:val="20"/>
        </w:rPr>
        <w:t xml:space="preserve">separately </w:t>
      </w:r>
      <w:r w:rsidR="005755F8" w:rsidRPr="00460629">
        <w:rPr>
          <w:rFonts w:ascii="Times New Roman" w:hAnsi="Times New Roman"/>
          <w:sz w:val="20"/>
        </w:rPr>
        <w:t>under OMB Control Number 3038-0099.</w:t>
      </w:r>
    </w:p>
  </w:footnote>
  <w:footnote w:id="7">
    <w:p w:rsidR="00204844" w:rsidRPr="00460629" w:rsidRDefault="00D0705F" w:rsidP="00A525EB">
      <w:pPr>
        <w:pStyle w:val="FootnoteText"/>
        <w:spacing w:after="120"/>
        <w:rPr>
          <w:rFonts w:ascii="Times New Roman" w:hAnsi="Times New Roman"/>
          <w:b/>
        </w:rPr>
      </w:pPr>
      <w:r w:rsidRPr="00460629">
        <w:rPr>
          <w:rStyle w:val="FootnoteReference"/>
          <w:rFonts w:ascii="Times New Roman" w:hAnsi="Times New Roman"/>
        </w:rPr>
        <w:footnoteRef/>
      </w:r>
      <w:r w:rsidR="00204844" w:rsidRPr="00460629">
        <w:rPr>
          <w:rFonts w:ascii="Times New Roman" w:hAnsi="Times New Roman"/>
        </w:rPr>
        <w:t xml:space="preserve"> </w:t>
      </w:r>
      <w:r w:rsidR="00204844" w:rsidRPr="00460629">
        <w:rPr>
          <w:rFonts w:ascii="Times New Roman" w:hAnsi="Times New Roman"/>
          <w:sz w:val="20"/>
        </w:rPr>
        <w:t>In the part 37 final rule release, the Commission estimated that there would be 35 SEFs.  The Commission, however, notes that</w:t>
      </w:r>
      <w:r w:rsidR="002322F3">
        <w:rPr>
          <w:rFonts w:ascii="Times New Roman" w:hAnsi="Times New Roman"/>
          <w:sz w:val="20"/>
        </w:rPr>
        <w:t xml:space="preserve"> the current number of respondents includes</w:t>
      </w:r>
      <w:r w:rsidR="00204844" w:rsidRPr="00460629">
        <w:rPr>
          <w:rFonts w:ascii="Times New Roman" w:hAnsi="Times New Roman"/>
          <w:sz w:val="20"/>
        </w:rPr>
        <w:t xml:space="preserve"> </w:t>
      </w:r>
      <w:r w:rsidR="001F4491" w:rsidRPr="00460629">
        <w:rPr>
          <w:rFonts w:ascii="Times New Roman" w:hAnsi="Times New Roman"/>
          <w:sz w:val="20"/>
        </w:rPr>
        <w:t>2</w:t>
      </w:r>
      <w:r w:rsidR="001F4491">
        <w:rPr>
          <w:rFonts w:ascii="Times New Roman" w:hAnsi="Times New Roman"/>
          <w:sz w:val="20"/>
        </w:rPr>
        <w:t>0</w:t>
      </w:r>
      <w:r w:rsidR="001F4491" w:rsidRPr="00460629">
        <w:rPr>
          <w:rFonts w:ascii="Times New Roman" w:hAnsi="Times New Roman"/>
          <w:sz w:val="20"/>
        </w:rPr>
        <w:t xml:space="preserve"> </w:t>
      </w:r>
      <w:r w:rsidR="00204844" w:rsidRPr="00460629">
        <w:rPr>
          <w:rFonts w:ascii="Times New Roman" w:hAnsi="Times New Roman"/>
          <w:sz w:val="20"/>
        </w:rPr>
        <w:t xml:space="preserve">SEFs </w:t>
      </w:r>
      <w:r w:rsidR="002322F3">
        <w:rPr>
          <w:rFonts w:ascii="Times New Roman" w:hAnsi="Times New Roman"/>
          <w:sz w:val="20"/>
        </w:rPr>
        <w:t xml:space="preserve">that </w:t>
      </w:r>
      <w:r w:rsidR="00204844" w:rsidRPr="00460629">
        <w:rPr>
          <w:rFonts w:ascii="Times New Roman" w:hAnsi="Times New Roman"/>
          <w:sz w:val="20"/>
        </w:rPr>
        <w:t>are currently registered with the Commission</w:t>
      </w:r>
      <w:r w:rsidR="001F4491">
        <w:rPr>
          <w:rFonts w:ascii="Times New Roman" w:hAnsi="Times New Roman"/>
          <w:sz w:val="20"/>
        </w:rPr>
        <w:t xml:space="preserve"> and </w:t>
      </w:r>
      <w:r w:rsidR="001F4491" w:rsidRPr="001F4491">
        <w:rPr>
          <w:rFonts w:ascii="Times New Roman" w:hAnsi="Times New Roman"/>
          <w:sz w:val="20"/>
        </w:rPr>
        <w:t xml:space="preserve">one dormant SEF that is in the process of filing for reinstatement in accordance with Commission regulation 37.3(d) and is currently operating under staff no-action relief. </w:t>
      </w:r>
      <w:r w:rsidR="002B18BF">
        <w:rPr>
          <w:rFonts w:ascii="Times New Roman" w:hAnsi="Times New Roman"/>
          <w:sz w:val="20"/>
        </w:rPr>
        <w:t xml:space="preserve"> </w:t>
      </w:r>
      <w:r w:rsidR="001F4491" w:rsidRPr="001F4491">
        <w:rPr>
          <w:rFonts w:ascii="Times New Roman" w:hAnsi="Times New Roman"/>
          <w:i/>
          <w:sz w:val="20"/>
        </w:rPr>
        <w:t xml:space="preserve">See </w:t>
      </w:r>
      <w:r w:rsidR="001F4491" w:rsidRPr="001F4491">
        <w:rPr>
          <w:rFonts w:ascii="Times New Roman" w:hAnsi="Times New Roman"/>
          <w:sz w:val="20"/>
        </w:rPr>
        <w:t>CFTC Letter No. 20-29, available at https://www.cftc.gov/csl/20-29/download.</w:t>
      </w:r>
    </w:p>
  </w:footnote>
  <w:footnote w:id="8">
    <w:p w:rsidR="00D0705F" w:rsidRPr="00460629" w:rsidRDefault="00D0705F" w:rsidP="00A525EB">
      <w:pPr>
        <w:pStyle w:val="FootnoteText"/>
        <w:spacing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The PRA analysis for the part 37 final rules initially estimated that each SEF would have 5 fixed annual reporting obligations (4 quarterly responses + 1 annual compliance report = 5 responses).  Because the Commission is updating the number of SEF respondents to </w:t>
      </w:r>
      <w:r w:rsidR="001F4491" w:rsidRPr="00460629">
        <w:rPr>
          <w:rFonts w:ascii="Times New Roman" w:hAnsi="Times New Roman"/>
          <w:sz w:val="20"/>
        </w:rPr>
        <w:t>2</w:t>
      </w:r>
      <w:r w:rsidR="001F4491">
        <w:rPr>
          <w:rFonts w:ascii="Times New Roman" w:hAnsi="Times New Roman"/>
          <w:sz w:val="20"/>
        </w:rPr>
        <w:t>1</w:t>
      </w:r>
      <w:r w:rsidRPr="00460629">
        <w:rPr>
          <w:rFonts w:ascii="Times New Roman" w:hAnsi="Times New Roman"/>
          <w:sz w:val="20"/>
        </w:rPr>
        <w:t xml:space="preserve">, the Commission </w:t>
      </w:r>
      <w:r w:rsidR="00D23BB3" w:rsidRPr="00460629">
        <w:rPr>
          <w:rFonts w:ascii="Times New Roman" w:hAnsi="Times New Roman"/>
          <w:sz w:val="20"/>
        </w:rPr>
        <w:t>notes</w:t>
      </w:r>
      <w:r w:rsidRPr="00460629">
        <w:rPr>
          <w:rFonts w:ascii="Times New Roman" w:hAnsi="Times New Roman"/>
          <w:sz w:val="20"/>
        </w:rPr>
        <w:t xml:space="preserve"> that in the aggregate</w:t>
      </w:r>
      <w:r w:rsidR="00D23BB3" w:rsidRPr="00460629">
        <w:rPr>
          <w:rFonts w:ascii="Times New Roman" w:hAnsi="Times New Roman"/>
          <w:sz w:val="20"/>
        </w:rPr>
        <w:t>, all</w:t>
      </w:r>
      <w:r w:rsidRPr="00460629">
        <w:rPr>
          <w:rFonts w:ascii="Times New Roman" w:hAnsi="Times New Roman"/>
          <w:sz w:val="20"/>
        </w:rPr>
        <w:t xml:space="preserve"> SEFs </w:t>
      </w:r>
      <w:r w:rsidR="00D23BB3" w:rsidRPr="00460629">
        <w:rPr>
          <w:rFonts w:ascii="Times New Roman" w:hAnsi="Times New Roman"/>
          <w:sz w:val="20"/>
        </w:rPr>
        <w:t xml:space="preserve">together </w:t>
      </w:r>
      <w:r w:rsidRPr="00460629">
        <w:rPr>
          <w:rFonts w:ascii="Times New Roman" w:hAnsi="Times New Roman"/>
          <w:sz w:val="20"/>
        </w:rPr>
        <w:t xml:space="preserve">provide </w:t>
      </w:r>
      <w:r w:rsidR="00F54B10" w:rsidRPr="00460629">
        <w:rPr>
          <w:rFonts w:ascii="Times New Roman" w:hAnsi="Times New Roman"/>
          <w:sz w:val="20"/>
        </w:rPr>
        <w:t xml:space="preserve">annually </w:t>
      </w:r>
      <w:r w:rsidR="001F4491" w:rsidRPr="00460629">
        <w:rPr>
          <w:rFonts w:ascii="Times New Roman" w:hAnsi="Times New Roman"/>
          <w:sz w:val="20"/>
        </w:rPr>
        <w:t>1</w:t>
      </w:r>
      <w:r w:rsidR="001F4491">
        <w:rPr>
          <w:rFonts w:ascii="Times New Roman" w:hAnsi="Times New Roman"/>
          <w:sz w:val="20"/>
        </w:rPr>
        <w:t>05</w:t>
      </w:r>
      <w:r w:rsidR="001F4491" w:rsidRPr="00460629">
        <w:rPr>
          <w:rFonts w:ascii="Times New Roman" w:hAnsi="Times New Roman"/>
          <w:sz w:val="20"/>
        </w:rPr>
        <w:t xml:space="preserve"> </w:t>
      </w:r>
      <w:r w:rsidR="00F54B10" w:rsidRPr="00460629">
        <w:rPr>
          <w:rFonts w:ascii="Times New Roman" w:hAnsi="Times New Roman"/>
          <w:sz w:val="20"/>
        </w:rPr>
        <w:t>reports</w:t>
      </w:r>
      <w:r w:rsidRPr="00460629">
        <w:rPr>
          <w:rFonts w:ascii="Times New Roman" w:hAnsi="Times New Roman"/>
          <w:sz w:val="20"/>
        </w:rPr>
        <w:t xml:space="preserve"> (5 responses x </w:t>
      </w:r>
      <w:r w:rsidR="001F4491" w:rsidRPr="00460629">
        <w:rPr>
          <w:rFonts w:ascii="Times New Roman" w:hAnsi="Times New Roman"/>
          <w:sz w:val="20"/>
        </w:rPr>
        <w:t>2</w:t>
      </w:r>
      <w:r w:rsidR="001F4491">
        <w:rPr>
          <w:rFonts w:ascii="Times New Roman" w:hAnsi="Times New Roman"/>
          <w:sz w:val="20"/>
        </w:rPr>
        <w:t>1</w:t>
      </w:r>
      <w:r w:rsidR="001F4491" w:rsidRPr="00460629">
        <w:rPr>
          <w:rFonts w:ascii="Times New Roman" w:hAnsi="Times New Roman"/>
          <w:sz w:val="20"/>
        </w:rPr>
        <w:t xml:space="preserve"> </w:t>
      </w:r>
      <w:r w:rsidRPr="00460629">
        <w:rPr>
          <w:rFonts w:ascii="Times New Roman" w:hAnsi="Times New Roman"/>
          <w:sz w:val="20"/>
        </w:rPr>
        <w:t xml:space="preserve">SEFs = </w:t>
      </w:r>
      <w:r w:rsidR="001F4491" w:rsidRPr="00460629">
        <w:rPr>
          <w:rFonts w:ascii="Times New Roman" w:hAnsi="Times New Roman"/>
          <w:sz w:val="20"/>
        </w:rPr>
        <w:t>1</w:t>
      </w:r>
      <w:r w:rsidR="001F4491">
        <w:rPr>
          <w:rFonts w:ascii="Times New Roman" w:hAnsi="Times New Roman"/>
          <w:sz w:val="20"/>
        </w:rPr>
        <w:t>05</w:t>
      </w:r>
      <w:r w:rsidR="001F4491" w:rsidRPr="00460629">
        <w:rPr>
          <w:rFonts w:ascii="Times New Roman" w:hAnsi="Times New Roman"/>
          <w:sz w:val="20"/>
        </w:rPr>
        <w:t xml:space="preserve"> </w:t>
      </w:r>
      <w:r w:rsidRPr="00460629">
        <w:rPr>
          <w:rFonts w:ascii="Times New Roman" w:hAnsi="Times New Roman"/>
          <w:sz w:val="20"/>
        </w:rPr>
        <w:t>responses).</w:t>
      </w:r>
    </w:p>
  </w:footnote>
  <w:footnote w:id="9">
    <w:p w:rsidR="00F84484" w:rsidRPr="00460629" w:rsidRDefault="00F84484" w:rsidP="00A525EB">
      <w:pPr>
        <w:pStyle w:val="FootnoteText"/>
        <w:spacing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The Commission notes that </w:t>
      </w:r>
      <w:r w:rsidR="00187445" w:rsidRPr="00460629">
        <w:rPr>
          <w:rFonts w:ascii="Times New Roman" w:hAnsi="Times New Roman"/>
          <w:sz w:val="20"/>
        </w:rPr>
        <w:t xml:space="preserve">information collections resulting from </w:t>
      </w:r>
      <w:r w:rsidR="00F54B10" w:rsidRPr="00460629">
        <w:rPr>
          <w:rFonts w:ascii="Times New Roman" w:hAnsi="Times New Roman"/>
          <w:sz w:val="20"/>
        </w:rPr>
        <w:t>§ 37.6(b)’s</w:t>
      </w:r>
      <w:r w:rsidRPr="00460629">
        <w:rPr>
          <w:rFonts w:ascii="Times New Roman" w:hAnsi="Times New Roman"/>
          <w:sz w:val="20"/>
        </w:rPr>
        <w:t xml:space="preserve"> requirement to provide</w:t>
      </w:r>
      <w:r w:rsidR="007503AD" w:rsidRPr="00460629">
        <w:rPr>
          <w:rFonts w:ascii="Times New Roman" w:hAnsi="Times New Roman"/>
          <w:sz w:val="20"/>
        </w:rPr>
        <w:t xml:space="preserve"> counterparties with transaction</w:t>
      </w:r>
      <w:r w:rsidR="00F54B10" w:rsidRPr="00460629">
        <w:rPr>
          <w:rFonts w:ascii="Times New Roman" w:hAnsi="Times New Roman"/>
          <w:sz w:val="20"/>
        </w:rPr>
        <w:t xml:space="preserve"> confirmation</w:t>
      </w:r>
      <w:r w:rsidR="00187445" w:rsidRPr="00460629">
        <w:rPr>
          <w:rFonts w:ascii="Times New Roman" w:hAnsi="Times New Roman"/>
          <w:sz w:val="20"/>
        </w:rPr>
        <w:t>s and obtain copies of the applicable underlying swap agreements and documents</w:t>
      </w:r>
      <w:r w:rsidR="00F54B10" w:rsidRPr="00460629">
        <w:rPr>
          <w:rFonts w:ascii="Times New Roman" w:hAnsi="Times New Roman"/>
          <w:sz w:val="20"/>
        </w:rPr>
        <w:t xml:space="preserve"> is a</w:t>
      </w:r>
      <w:r w:rsidR="004A5371">
        <w:rPr>
          <w:rFonts w:ascii="Times New Roman" w:hAnsi="Times New Roman"/>
          <w:sz w:val="20"/>
        </w:rPr>
        <w:t>n existing</w:t>
      </w:r>
      <w:r w:rsidR="00F54B10" w:rsidRPr="00460629">
        <w:rPr>
          <w:rFonts w:ascii="Times New Roman" w:hAnsi="Times New Roman"/>
          <w:sz w:val="20"/>
        </w:rPr>
        <w:t xml:space="preserve"> component of a SEF’s “Designation and Compliance” information obligations.  However, for the sake of clarity, the Commission is including</w:t>
      </w:r>
      <w:r w:rsidR="004A5371">
        <w:rPr>
          <w:rFonts w:ascii="Times New Roman" w:hAnsi="Times New Roman"/>
          <w:sz w:val="20"/>
        </w:rPr>
        <w:t xml:space="preserve"> this requirement as</w:t>
      </w:r>
      <w:r w:rsidR="00F54B10" w:rsidRPr="00460629">
        <w:rPr>
          <w:rFonts w:ascii="Times New Roman" w:hAnsi="Times New Roman"/>
          <w:sz w:val="20"/>
        </w:rPr>
        <w:t xml:space="preserve"> a separate line item</w:t>
      </w:r>
      <w:r w:rsidR="00187445" w:rsidRPr="00460629">
        <w:rPr>
          <w:rFonts w:ascii="Times New Roman" w:hAnsi="Times New Roman"/>
          <w:sz w:val="20"/>
        </w:rPr>
        <w:t xml:space="preserve"> to allow the reader to understand </w:t>
      </w:r>
      <w:r w:rsidR="005443C8" w:rsidRPr="00460629">
        <w:rPr>
          <w:rFonts w:ascii="Times New Roman" w:hAnsi="Times New Roman"/>
          <w:sz w:val="20"/>
        </w:rPr>
        <w:t xml:space="preserve">more clearly </w:t>
      </w:r>
      <w:r w:rsidR="00187445" w:rsidRPr="00460629">
        <w:rPr>
          <w:rFonts w:ascii="Times New Roman" w:hAnsi="Times New Roman"/>
          <w:sz w:val="20"/>
        </w:rPr>
        <w:t>the nature of a SEF’s information collection obligations</w:t>
      </w:r>
      <w:r w:rsidR="00F54B10" w:rsidRPr="00460629">
        <w:rPr>
          <w:rFonts w:ascii="Times New Roman" w:hAnsi="Times New Roman"/>
          <w:sz w:val="20"/>
        </w:rPr>
        <w:t>.</w:t>
      </w:r>
      <w:r w:rsidR="002F43AF" w:rsidRPr="00460629">
        <w:rPr>
          <w:rFonts w:ascii="Times New Roman" w:hAnsi="Times New Roman"/>
          <w:sz w:val="20"/>
        </w:rPr>
        <w:t xml:space="preserve">  By creating a separate line item, the Commission does not mean to imply that SEFs’ information collection obligations under § 37.6(b) are </w:t>
      </w:r>
      <w:r w:rsidR="008E00FF" w:rsidRPr="00460629">
        <w:rPr>
          <w:rFonts w:ascii="Times New Roman" w:hAnsi="Times New Roman"/>
          <w:sz w:val="20"/>
        </w:rPr>
        <w:t xml:space="preserve">new </w:t>
      </w:r>
      <w:r w:rsidR="002F43AF" w:rsidRPr="00460629">
        <w:rPr>
          <w:rFonts w:ascii="Times New Roman" w:hAnsi="Times New Roman"/>
          <w:sz w:val="20"/>
        </w:rPr>
        <w:t xml:space="preserve">or </w:t>
      </w:r>
      <w:r w:rsidR="000906B2" w:rsidRPr="00460629">
        <w:rPr>
          <w:rFonts w:ascii="Times New Roman" w:hAnsi="Times New Roman"/>
          <w:sz w:val="20"/>
        </w:rPr>
        <w:t>not</w:t>
      </w:r>
      <w:r w:rsidR="00AC1451" w:rsidRPr="00460629">
        <w:rPr>
          <w:rFonts w:ascii="Times New Roman" w:hAnsi="Times New Roman"/>
          <w:sz w:val="20"/>
        </w:rPr>
        <w:t xml:space="preserve"> otherwise</w:t>
      </w:r>
      <w:r w:rsidR="000906B2" w:rsidRPr="00460629">
        <w:rPr>
          <w:rFonts w:ascii="Times New Roman" w:hAnsi="Times New Roman"/>
          <w:sz w:val="20"/>
        </w:rPr>
        <w:t xml:space="preserve"> </w:t>
      </w:r>
      <w:r w:rsidR="004A5371">
        <w:rPr>
          <w:rFonts w:ascii="Times New Roman" w:hAnsi="Times New Roman"/>
          <w:sz w:val="20"/>
        </w:rPr>
        <w:t xml:space="preserve">already </w:t>
      </w:r>
      <w:r w:rsidR="000906B2" w:rsidRPr="00460629">
        <w:rPr>
          <w:rFonts w:ascii="Times New Roman" w:hAnsi="Times New Roman"/>
          <w:sz w:val="20"/>
        </w:rPr>
        <w:t>part of the general Designation and Compliance obligations.</w:t>
      </w:r>
    </w:p>
  </w:footnote>
  <w:footnote w:id="10">
    <w:p w:rsidR="00814002" w:rsidRPr="00460629" w:rsidRDefault="00814002" w:rsidP="00A525EB">
      <w:pPr>
        <w:pStyle w:val="FootnoteText"/>
        <w:spacing w:after="120"/>
        <w:rPr>
          <w:rFonts w:ascii="Times New Roman" w:hAnsi="Times New Roman"/>
          <w:i/>
        </w:rPr>
      </w:pPr>
      <w:r w:rsidRPr="00460629">
        <w:rPr>
          <w:rStyle w:val="FootnoteReference"/>
          <w:rFonts w:ascii="Times New Roman" w:hAnsi="Times New Roman"/>
        </w:rPr>
        <w:footnoteRef/>
      </w:r>
      <w:r w:rsidRPr="00460629">
        <w:rPr>
          <w:rFonts w:ascii="Times New Roman" w:hAnsi="Times New Roman"/>
        </w:rPr>
        <w:t xml:space="preserve"> </w:t>
      </w:r>
      <w:r w:rsidR="00EC485A" w:rsidRPr="00EC485A">
        <w:rPr>
          <w:rFonts w:ascii="Times New Roman" w:hAnsi="Times New Roman"/>
          <w:sz w:val="20"/>
        </w:rPr>
        <w:t>739</w:t>
      </w:r>
      <w:r w:rsidR="00EC485A">
        <w:rPr>
          <w:rFonts w:ascii="Times New Roman" w:hAnsi="Times New Roman"/>
          <w:sz w:val="20"/>
        </w:rPr>
        <w:t>,</w:t>
      </w:r>
      <w:r w:rsidR="00EC485A" w:rsidRPr="00EC485A">
        <w:rPr>
          <w:rFonts w:ascii="Times New Roman" w:hAnsi="Times New Roman"/>
          <w:sz w:val="20"/>
        </w:rPr>
        <w:t>55</w:t>
      </w:r>
      <w:r w:rsidR="000A2C0C">
        <w:rPr>
          <w:rFonts w:ascii="Times New Roman" w:hAnsi="Times New Roman"/>
          <w:sz w:val="20"/>
        </w:rPr>
        <w:t>5</w:t>
      </w:r>
      <w:r w:rsidRPr="00460629">
        <w:rPr>
          <w:rFonts w:ascii="Times New Roman" w:hAnsi="Times New Roman"/>
          <w:sz w:val="20"/>
        </w:rPr>
        <w:t xml:space="preserve"> total annual responses / </w:t>
      </w:r>
      <w:r w:rsidR="001F4491" w:rsidRPr="00460629">
        <w:rPr>
          <w:rFonts w:ascii="Times New Roman" w:hAnsi="Times New Roman"/>
          <w:sz w:val="20"/>
        </w:rPr>
        <w:t>2</w:t>
      </w:r>
      <w:r w:rsidR="001F4491">
        <w:rPr>
          <w:rFonts w:ascii="Times New Roman" w:hAnsi="Times New Roman"/>
          <w:sz w:val="20"/>
        </w:rPr>
        <w:t>1</w:t>
      </w:r>
      <w:r w:rsidR="001F4491" w:rsidRPr="00460629">
        <w:rPr>
          <w:rFonts w:ascii="Times New Roman" w:hAnsi="Times New Roman"/>
          <w:sz w:val="20"/>
        </w:rPr>
        <w:t xml:space="preserve"> </w:t>
      </w:r>
      <w:r w:rsidRPr="00460629">
        <w:rPr>
          <w:rFonts w:ascii="Times New Roman" w:hAnsi="Times New Roman"/>
          <w:sz w:val="20"/>
        </w:rPr>
        <w:t xml:space="preserve">SEF respondents = </w:t>
      </w:r>
      <w:r w:rsidR="00E4192A">
        <w:rPr>
          <w:rFonts w:ascii="Times New Roman" w:hAnsi="Times New Roman"/>
          <w:sz w:val="20"/>
        </w:rPr>
        <w:t>35,21</w:t>
      </w:r>
      <w:r w:rsidR="00C04071">
        <w:rPr>
          <w:rFonts w:ascii="Times New Roman" w:hAnsi="Times New Roman"/>
          <w:sz w:val="20"/>
        </w:rPr>
        <w:t>7</w:t>
      </w:r>
      <w:r w:rsidRPr="00460629">
        <w:rPr>
          <w:rFonts w:ascii="Times New Roman" w:hAnsi="Times New Roman"/>
          <w:sz w:val="20"/>
        </w:rPr>
        <w:t xml:space="preserve"> </w:t>
      </w:r>
      <w:r w:rsidR="00471E97">
        <w:rPr>
          <w:rFonts w:ascii="Times New Roman" w:hAnsi="Times New Roman"/>
          <w:sz w:val="20"/>
        </w:rPr>
        <w:t>a</w:t>
      </w:r>
      <w:r w:rsidRPr="00460629">
        <w:rPr>
          <w:rFonts w:ascii="Times New Roman" w:hAnsi="Times New Roman"/>
          <w:sz w:val="20"/>
        </w:rPr>
        <w:t xml:space="preserve">nnual responses per SEF.  </w:t>
      </w:r>
      <w:r w:rsidRPr="00460629">
        <w:rPr>
          <w:rFonts w:ascii="Times New Roman" w:hAnsi="Times New Roman"/>
          <w:i/>
          <w:sz w:val="20"/>
        </w:rPr>
        <w:t>See</w:t>
      </w:r>
      <w:r w:rsidRPr="00460629">
        <w:rPr>
          <w:rFonts w:ascii="Times New Roman" w:hAnsi="Times New Roman"/>
          <w:sz w:val="20"/>
        </w:rPr>
        <w:t xml:space="preserve"> footnote </w:t>
      </w:r>
      <w:r w:rsidR="004D6696">
        <w:rPr>
          <w:rFonts w:ascii="Times New Roman" w:hAnsi="Times New Roman"/>
          <w:sz w:val="20"/>
        </w:rPr>
        <w:fldChar w:fldCharType="begin"/>
      </w:r>
      <w:r w:rsidR="004D6696">
        <w:rPr>
          <w:rFonts w:ascii="Times New Roman" w:hAnsi="Times New Roman"/>
          <w:sz w:val="20"/>
        </w:rPr>
        <w:instrText xml:space="preserve"> NOTEREF _Ref457480782 \h </w:instrText>
      </w:r>
      <w:r w:rsidR="004D6696">
        <w:rPr>
          <w:rFonts w:ascii="Times New Roman" w:hAnsi="Times New Roman"/>
          <w:sz w:val="20"/>
        </w:rPr>
      </w:r>
      <w:r w:rsidR="004D6696">
        <w:rPr>
          <w:rFonts w:ascii="Times New Roman" w:hAnsi="Times New Roman"/>
          <w:sz w:val="20"/>
        </w:rPr>
        <w:fldChar w:fldCharType="separate"/>
      </w:r>
      <w:r w:rsidR="006138FA">
        <w:rPr>
          <w:rFonts w:ascii="Times New Roman" w:hAnsi="Times New Roman"/>
          <w:sz w:val="20"/>
        </w:rPr>
        <w:t>10</w:t>
      </w:r>
      <w:r w:rsidR="004D6696">
        <w:rPr>
          <w:rFonts w:ascii="Times New Roman" w:hAnsi="Times New Roman"/>
          <w:sz w:val="20"/>
        </w:rPr>
        <w:fldChar w:fldCharType="end"/>
      </w:r>
      <w:r w:rsidR="003D5313" w:rsidRPr="00460629">
        <w:rPr>
          <w:rFonts w:ascii="Times New Roman" w:hAnsi="Times New Roman"/>
          <w:sz w:val="20"/>
        </w:rPr>
        <w:t xml:space="preserve"> </w:t>
      </w:r>
      <w:r w:rsidRPr="00460629">
        <w:rPr>
          <w:rFonts w:ascii="Times New Roman" w:hAnsi="Times New Roman"/>
          <w:sz w:val="20"/>
        </w:rPr>
        <w:t xml:space="preserve">for the explanation regarding the calculation of </w:t>
      </w:r>
      <w:r w:rsidR="000A2C0C">
        <w:rPr>
          <w:rFonts w:ascii="Times New Roman" w:hAnsi="Times New Roman"/>
          <w:sz w:val="20"/>
        </w:rPr>
        <w:t>739,555</w:t>
      </w:r>
      <w:r w:rsidRPr="00460629">
        <w:rPr>
          <w:rFonts w:ascii="Times New Roman" w:hAnsi="Times New Roman"/>
          <w:sz w:val="20"/>
        </w:rPr>
        <w:t xml:space="preserve"> total annual responses.</w:t>
      </w:r>
      <w:r w:rsidRPr="00460629">
        <w:rPr>
          <w:rFonts w:ascii="Times New Roman" w:hAnsi="Times New Roman"/>
        </w:rPr>
        <w:t xml:space="preserve"> </w:t>
      </w:r>
    </w:p>
  </w:footnote>
  <w:footnote w:id="11">
    <w:p w:rsidR="00D0705F" w:rsidRPr="00460629" w:rsidRDefault="00D0705F" w:rsidP="00A525EB">
      <w:pPr>
        <w:pStyle w:val="FootnoteText"/>
        <w:spacing w:after="120"/>
        <w:rPr>
          <w:rFonts w:ascii="Times New Roman" w:hAnsi="Times New Roman"/>
          <w:sz w:val="20"/>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In addition to the fixed reporting obligations referred to in the “Annual” and “Quarterly” rows, the Commission </w:t>
      </w:r>
      <w:r w:rsidR="005443C8" w:rsidRPr="00460629">
        <w:rPr>
          <w:rFonts w:ascii="Times New Roman" w:hAnsi="Times New Roman"/>
          <w:sz w:val="20"/>
        </w:rPr>
        <w:t>further</w:t>
      </w:r>
      <w:r w:rsidRPr="00460629">
        <w:rPr>
          <w:rFonts w:ascii="Times New Roman" w:hAnsi="Times New Roman"/>
          <w:sz w:val="20"/>
        </w:rPr>
        <w:t xml:space="preserve"> notes that a SEF has additional reporting obligations that vary depending on the volume of transactions executed on the SEF, such as a SEF’s obligation to provide swap confirmations to each counterparty.  Based on industry data, the Commission estimates that from January 1, 2016 to May 31, 2016 approximately 168,000 (rounded amount) swap transactions were executed across all SEFs.  Annualized, this means that the Commission expects approximately 4</w:t>
      </w:r>
      <w:r w:rsidR="00C04071">
        <w:rPr>
          <w:rFonts w:ascii="Times New Roman" w:hAnsi="Times New Roman"/>
          <w:sz w:val="20"/>
        </w:rPr>
        <w:t>05</w:t>
      </w:r>
      <w:r w:rsidRPr="00460629">
        <w:rPr>
          <w:rFonts w:ascii="Times New Roman" w:hAnsi="Times New Roman"/>
          <w:sz w:val="20"/>
        </w:rPr>
        <w:t>,</w:t>
      </w:r>
      <w:r w:rsidR="00C04071">
        <w:rPr>
          <w:rFonts w:ascii="Times New Roman" w:hAnsi="Times New Roman"/>
          <w:sz w:val="20"/>
        </w:rPr>
        <w:t>000</w:t>
      </w:r>
      <w:r w:rsidRPr="00460629">
        <w:rPr>
          <w:rFonts w:ascii="Times New Roman" w:hAnsi="Times New Roman"/>
          <w:sz w:val="20"/>
        </w:rPr>
        <w:t xml:space="preserve"> swap transactions across all SEFs for 2016.  </w:t>
      </w:r>
      <w:r w:rsidR="00C04071">
        <w:rPr>
          <w:rFonts w:ascii="Times New Roman" w:hAnsi="Times New Roman"/>
          <w:sz w:val="20"/>
        </w:rPr>
        <w:t xml:space="preserve">To account for the </w:t>
      </w:r>
      <w:r w:rsidR="001F4491">
        <w:rPr>
          <w:rFonts w:ascii="Times New Roman" w:hAnsi="Times New Roman"/>
          <w:sz w:val="20"/>
        </w:rPr>
        <w:t xml:space="preserve">four fewer </w:t>
      </w:r>
      <w:r w:rsidR="00C04071">
        <w:rPr>
          <w:rFonts w:ascii="Times New Roman" w:hAnsi="Times New Roman"/>
          <w:sz w:val="20"/>
        </w:rPr>
        <w:t xml:space="preserve">SEFs registered with the Commission since the </w:t>
      </w:r>
      <w:r w:rsidR="00883677">
        <w:rPr>
          <w:rFonts w:ascii="Times New Roman" w:hAnsi="Times New Roman"/>
          <w:sz w:val="20"/>
        </w:rPr>
        <w:t>30</w:t>
      </w:r>
      <w:r w:rsidR="00C04071">
        <w:rPr>
          <w:rFonts w:ascii="Times New Roman" w:hAnsi="Times New Roman"/>
          <w:sz w:val="20"/>
        </w:rPr>
        <w:t xml:space="preserve">-Day renewal in </w:t>
      </w:r>
      <w:r w:rsidR="001F4491">
        <w:rPr>
          <w:rFonts w:ascii="Times New Roman" w:hAnsi="Times New Roman"/>
          <w:sz w:val="20"/>
        </w:rPr>
        <w:t>2018</w:t>
      </w:r>
      <w:r w:rsidR="00C04071">
        <w:rPr>
          <w:rFonts w:ascii="Times New Roman" w:hAnsi="Times New Roman"/>
          <w:sz w:val="20"/>
        </w:rPr>
        <w:t xml:space="preserve">, the Commission is </w:t>
      </w:r>
      <w:r w:rsidR="001F4491">
        <w:rPr>
          <w:rFonts w:ascii="Times New Roman" w:hAnsi="Times New Roman"/>
          <w:sz w:val="20"/>
        </w:rPr>
        <w:t xml:space="preserve">decreasing </w:t>
      </w:r>
      <w:r w:rsidR="00C04071">
        <w:rPr>
          <w:rFonts w:ascii="Times New Roman" w:hAnsi="Times New Roman"/>
          <w:sz w:val="20"/>
        </w:rPr>
        <w:t xml:space="preserve">this estimate by </w:t>
      </w:r>
      <w:r w:rsidR="001F4491">
        <w:rPr>
          <w:rFonts w:ascii="Times New Roman" w:hAnsi="Times New Roman"/>
          <w:sz w:val="20"/>
        </w:rPr>
        <w:t>140,870</w:t>
      </w:r>
      <w:r w:rsidR="00C04071">
        <w:rPr>
          <w:rFonts w:ascii="Times New Roman" w:hAnsi="Times New Roman"/>
          <w:sz w:val="20"/>
        </w:rPr>
        <w:t xml:space="preserve"> </w:t>
      </w:r>
      <w:r w:rsidR="00964EA9">
        <w:rPr>
          <w:rFonts w:ascii="Times New Roman" w:hAnsi="Times New Roman"/>
          <w:sz w:val="20"/>
        </w:rPr>
        <w:t>(rounded amount)</w:t>
      </w:r>
      <w:r w:rsidR="002148A2">
        <w:rPr>
          <w:rFonts w:ascii="Times New Roman" w:hAnsi="Times New Roman"/>
          <w:sz w:val="20"/>
        </w:rPr>
        <w:t xml:space="preserve"> </w:t>
      </w:r>
      <w:r w:rsidR="00C04071">
        <w:rPr>
          <w:rFonts w:ascii="Times New Roman" w:hAnsi="Times New Roman"/>
          <w:sz w:val="20"/>
        </w:rPr>
        <w:t>swap transactions (</w:t>
      </w:r>
      <w:r w:rsidR="001F4491">
        <w:rPr>
          <w:rFonts w:ascii="Times New Roman" w:hAnsi="Times New Roman"/>
          <w:sz w:val="20"/>
        </w:rPr>
        <w:t xml:space="preserve">4 </w:t>
      </w:r>
      <w:r w:rsidR="00C04071">
        <w:rPr>
          <w:rFonts w:ascii="Times New Roman" w:hAnsi="Times New Roman"/>
          <w:sz w:val="20"/>
        </w:rPr>
        <w:t xml:space="preserve">x 35,217 = </w:t>
      </w:r>
      <w:r w:rsidR="001F4491" w:rsidRPr="001F4491">
        <w:rPr>
          <w:rFonts w:ascii="Times New Roman" w:hAnsi="Times New Roman"/>
          <w:sz w:val="20"/>
        </w:rPr>
        <w:t>140</w:t>
      </w:r>
      <w:r w:rsidR="001F4491">
        <w:rPr>
          <w:rFonts w:ascii="Times New Roman" w:hAnsi="Times New Roman"/>
          <w:sz w:val="20"/>
        </w:rPr>
        <w:t>,</w:t>
      </w:r>
      <w:r w:rsidR="001F4491" w:rsidRPr="001F4491">
        <w:rPr>
          <w:rFonts w:ascii="Times New Roman" w:hAnsi="Times New Roman"/>
          <w:sz w:val="20"/>
        </w:rPr>
        <w:t>868</w:t>
      </w:r>
      <w:r w:rsidR="00C04071">
        <w:rPr>
          <w:rFonts w:ascii="Times New Roman" w:hAnsi="Times New Roman"/>
          <w:sz w:val="20"/>
        </w:rPr>
        <w:t xml:space="preserve">).  </w:t>
      </w:r>
      <w:r w:rsidRPr="00460629">
        <w:rPr>
          <w:rFonts w:ascii="Times New Roman" w:hAnsi="Times New Roman"/>
          <w:sz w:val="20"/>
        </w:rPr>
        <w:t>Because each swap transaction requires a SEF to provide 2 responses (</w:t>
      </w:r>
      <w:r w:rsidRPr="00460629">
        <w:rPr>
          <w:rFonts w:ascii="Times New Roman" w:hAnsi="Times New Roman"/>
          <w:i/>
          <w:sz w:val="20"/>
        </w:rPr>
        <w:t>i.e.</w:t>
      </w:r>
      <w:r w:rsidRPr="00460629">
        <w:rPr>
          <w:rFonts w:ascii="Times New Roman" w:hAnsi="Times New Roman"/>
          <w:sz w:val="20"/>
        </w:rPr>
        <w:t xml:space="preserve">, a SEF must provide a confirmation to both swap counterparties), the Commission estimates that in the aggregate SEFs will provide approximately </w:t>
      </w:r>
      <w:r w:rsidR="000A2C0C" w:rsidRPr="000A2C0C">
        <w:rPr>
          <w:rFonts w:ascii="Times New Roman" w:hAnsi="Times New Roman"/>
          <w:sz w:val="20"/>
        </w:rPr>
        <w:t>739</w:t>
      </w:r>
      <w:r w:rsidR="000A2C0C">
        <w:rPr>
          <w:rFonts w:ascii="Times New Roman" w:hAnsi="Times New Roman"/>
          <w:sz w:val="20"/>
        </w:rPr>
        <w:t>,</w:t>
      </w:r>
      <w:r w:rsidR="000A2C0C" w:rsidRPr="000A2C0C">
        <w:rPr>
          <w:rFonts w:ascii="Times New Roman" w:hAnsi="Times New Roman"/>
          <w:sz w:val="20"/>
        </w:rPr>
        <w:t>555</w:t>
      </w:r>
      <w:r w:rsidRPr="00460629">
        <w:rPr>
          <w:rFonts w:ascii="Times New Roman" w:hAnsi="Times New Roman"/>
          <w:sz w:val="20"/>
        </w:rPr>
        <w:t xml:space="preserve"> swap confirmations (</w:t>
      </w:r>
      <w:r w:rsidR="000A2C0C" w:rsidRPr="000A2C0C">
        <w:rPr>
          <w:rFonts w:ascii="Times New Roman" w:hAnsi="Times New Roman"/>
          <w:sz w:val="20"/>
        </w:rPr>
        <w:t>369</w:t>
      </w:r>
      <w:r w:rsidR="000A2C0C">
        <w:rPr>
          <w:rFonts w:ascii="Times New Roman" w:hAnsi="Times New Roman"/>
          <w:sz w:val="20"/>
        </w:rPr>
        <w:t>,</w:t>
      </w:r>
      <w:r w:rsidR="000A2C0C" w:rsidRPr="000A2C0C">
        <w:rPr>
          <w:rFonts w:ascii="Times New Roman" w:hAnsi="Times New Roman"/>
          <w:sz w:val="20"/>
        </w:rPr>
        <w:t>777</w:t>
      </w:r>
      <w:r w:rsidRPr="00460629">
        <w:rPr>
          <w:rFonts w:ascii="Times New Roman" w:hAnsi="Times New Roman"/>
          <w:sz w:val="20"/>
        </w:rPr>
        <w:t xml:space="preserve"> swaps x 2 counterparties = </w:t>
      </w:r>
      <w:r w:rsidR="000A2C0C">
        <w:rPr>
          <w:rFonts w:ascii="Times New Roman" w:hAnsi="Times New Roman"/>
          <w:sz w:val="20"/>
        </w:rPr>
        <w:t>735,554</w:t>
      </w:r>
      <w:r w:rsidRPr="00460629">
        <w:rPr>
          <w:rFonts w:ascii="Times New Roman" w:hAnsi="Times New Roman"/>
          <w:sz w:val="20"/>
        </w:rPr>
        <w:t xml:space="preserve"> swap confirmations</w:t>
      </w:r>
      <w:r w:rsidR="00522DA9">
        <w:rPr>
          <w:rFonts w:ascii="Times New Roman" w:hAnsi="Times New Roman"/>
          <w:sz w:val="20"/>
        </w:rPr>
        <w:t xml:space="preserve"> (which the Commission rounds to </w:t>
      </w:r>
      <w:r w:rsidR="000A2C0C">
        <w:rPr>
          <w:rFonts w:ascii="Times New Roman" w:hAnsi="Times New Roman"/>
          <w:sz w:val="20"/>
        </w:rPr>
        <w:t>735,555</w:t>
      </w:r>
      <w:r w:rsidR="000A2C0C" w:rsidRPr="00460629">
        <w:rPr>
          <w:rFonts w:ascii="Times New Roman" w:hAnsi="Times New Roman"/>
          <w:sz w:val="20"/>
        </w:rPr>
        <w:t xml:space="preserve"> </w:t>
      </w:r>
      <w:r w:rsidR="00522DA9">
        <w:rPr>
          <w:rFonts w:ascii="Times New Roman" w:hAnsi="Times New Roman"/>
          <w:sz w:val="20"/>
        </w:rPr>
        <w:t>for these purposes)</w:t>
      </w:r>
      <w:r w:rsidRPr="00460629">
        <w:rPr>
          <w:rFonts w:ascii="Times New Roman" w:hAnsi="Times New Roman"/>
          <w:sz w:val="20"/>
        </w:rPr>
        <w:t xml:space="preserve">).  </w:t>
      </w:r>
    </w:p>
  </w:footnote>
  <w:footnote w:id="12">
    <w:p w:rsidR="001C49F6" w:rsidRPr="00460629" w:rsidRDefault="001C49F6" w:rsidP="00A525EB">
      <w:pPr>
        <w:pStyle w:val="FootnoteText"/>
        <w:spacing w:after="120"/>
        <w:rPr>
          <w:rFonts w:ascii="Times New Roman" w:hAnsi="Times New Roman"/>
          <w:sz w:val="20"/>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Based on its own observation as well as feedback from market participants, the Commission estimates that the process for a SEF to obtain, review, incorporate, and maintain the previously-negotiated agreements or documents, as well as to update such agreements or documents to reflect any applicable </w:t>
      </w:r>
      <w:r w:rsidR="005443C8" w:rsidRPr="00460629">
        <w:rPr>
          <w:rFonts w:ascii="Times New Roman" w:hAnsi="Times New Roman"/>
          <w:sz w:val="20"/>
        </w:rPr>
        <w:t xml:space="preserve">counterparty </w:t>
      </w:r>
      <w:r w:rsidRPr="00460629">
        <w:rPr>
          <w:rFonts w:ascii="Times New Roman" w:hAnsi="Times New Roman"/>
          <w:sz w:val="20"/>
        </w:rPr>
        <w:t xml:space="preserve">amendments, takes approximately 1.5 hour per SEF participant per year, and that on average a SEF has approximately 375 participants.  Accordingly, 375 participants x 1.5 hours per participant = 562.5 estimated burden hours (which the Commission rounds to 563 hours for these purposes).  The Commission also notes that this estimate of 563 burden hours includes the recordkeeping information collection burden estimate in connection with § 37.1001, which establishes a SEF’s recordkeeping obligations.  </w:t>
      </w:r>
    </w:p>
  </w:footnote>
  <w:footnote w:id="13">
    <w:p w:rsidR="00D0705F" w:rsidRPr="00460629" w:rsidRDefault="00D0705F" w:rsidP="00A525EB">
      <w:pPr>
        <w:pStyle w:val="FootnoteText"/>
        <w:spacing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The Commission estimates that SEFs must provide approximately </w:t>
      </w:r>
      <w:r w:rsidR="00A5050E" w:rsidRPr="000A2C0C">
        <w:rPr>
          <w:rFonts w:ascii="Times New Roman" w:hAnsi="Times New Roman"/>
          <w:sz w:val="20"/>
        </w:rPr>
        <w:t>739</w:t>
      </w:r>
      <w:r w:rsidR="00A5050E">
        <w:rPr>
          <w:rFonts w:ascii="Times New Roman" w:hAnsi="Times New Roman"/>
          <w:sz w:val="20"/>
        </w:rPr>
        <w:t>,</w:t>
      </w:r>
      <w:r w:rsidR="00A5050E" w:rsidRPr="000A2C0C">
        <w:rPr>
          <w:rFonts w:ascii="Times New Roman" w:hAnsi="Times New Roman"/>
          <w:sz w:val="20"/>
        </w:rPr>
        <w:t>6</w:t>
      </w:r>
      <w:r w:rsidR="00A5050E">
        <w:rPr>
          <w:rFonts w:ascii="Times New Roman" w:hAnsi="Times New Roman"/>
          <w:sz w:val="20"/>
        </w:rPr>
        <w:t>6</w:t>
      </w:r>
      <w:r w:rsidR="00A5050E" w:rsidRPr="000A2C0C">
        <w:rPr>
          <w:rFonts w:ascii="Times New Roman" w:hAnsi="Times New Roman"/>
          <w:sz w:val="20"/>
        </w:rPr>
        <w:t>0</w:t>
      </w:r>
      <w:r w:rsidRPr="00460629">
        <w:rPr>
          <w:rFonts w:ascii="Times New Roman" w:hAnsi="Times New Roman"/>
          <w:sz w:val="20"/>
        </w:rPr>
        <w:t xml:space="preserve"> total annual responses (</w:t>
      </w:r>
      <w:r w:rsidR="000A2C0C" w:rsidRPr="00460629">
        <w:rPr>
          <w:rFonts w:ascii="Times New Roman" w:hAnsi="Times New Roman"/>
          <w:sz w:val="20"/>
        </w:rPr>
        <w:t>1</w:t>
      </w:r>
      <w:r w:rsidR="000A2C0C">
        <w:rPr>
          <w:rFonts w:ascii="Times New Roman" w:hAnsi="Times New Roman"/>
          <w:sz w:val="20"/>
        </w:rPr>
        <w:t>05</w:t>
      </w:r>
      <w:r w:rsidR="000A2C0C" w:rsidRPr="00460629">
        <w:rPr>
          <w:rFonts w:ascii="Times New Roman" w:hAnsi="Times New Roman"/>
          <w:sz w:val="20"/>
        </w:rPr>
        <w:t xml:space="preserve"> </w:t>
      </w:r>
      <w:r w:rsidRPr="00460629">
        <w:rPr>
          <w:rFonts w:ascii="Times New Roman" w:hAnsi="Times New Roman"/>
          <w:sz w:val="20"/>
        </w:rPr>
        <w:t xml:space="preserve">fixed responses + </w:t>
      </w:r>
      <w:r w:rsidR="000A2C0C" w:rsidRPr="000A2C0C">
        <w:rPr>
          <w:rFonts w:ascii="Times New Roman" w:hAnsi="Times New Roman"/>
          <w:sz w:val="20"/>
        </w:rPr>
        <w:t>739,555</w:t>
      </w:r>
      <w:r w:rsidR="000A2C0C">
        <w:rPr>
          <w:rFonts w:ascii="Times New Roman" w:hAnsi="Times New Roman"/>
          <w:sz w:val="20"/>
        </w:rPr>
        <w:t xml:space="preserve"> </w:t>
      </w:r>
      <w:r w:rsidRPr="00460629">
        <w:rPr>
          <w:rFonts w:ascii="Times New Roman" w:hAnsi="Times New Roman"/>
          <w:sz w:val="20"/>
        </w:rPr>
        <w:t xml:space="preserve">confirmations = </w:t>
      </w:r>
      <w:r w:rsidR="000A2C0C" w:rsidRPr="000A2C0C">
        <w:rPr>
          <w:rFonts w:ascii="Times New Roman" w:hAnsi="Times New Roman"/>
          <w:sz w:val="20"/>
        </w:rPr>
        <w:t>739</w:t>
      </w:r>
      <w:r w:rsidR="000A2C0C">
        <w:rPr>
          <w:rFonts w:ascii="Times New Roman" w:hAnsi="Times New Roman"/>
          <w:sz w:val="20"/>
        </w:rPr>
        <w:t>,</w:t>
      </w:r>
      <w:r w:rsidR="000A2C0C" w:rsidRPr="000A2C0C">
        <w:rPr>
          <w:rFonts w:ascii="Times New Roman" w:hAnsi="Times New Roman"/>
          <w:sz w:val="20"/>
        </w:rPr>
        <w:t>6</w:t>
      </w:r>
      <w:r w:rsidR="000A2C0C">
        <w:rPr>
          <w:rFonts w:ascii="Times New Roman" w:hAnsi="Times New Roman"/>
          <w:sz w:val="20"/>
        </w:rPr>
        <w:t>6</w:t>
      </w:r>
      <w:r w:rsidR="000A2C0C" w:rsidRPr="000A2C0C">
        <w:rPr>
          <w:rFonts w:ascii="Times New Roman" w:hAnsi="Times New Roman"/>
          <w:sz w:val="20"/>
        </w:rPr>
        <w:t>0</w:t>
      </w:r>
      <w:r w:rsidRPr="00460629">
        <w:rPr>
          <w:rFonts w:ascii="Times New Roman" w:hAnsi="Times New Roman"/>
          <w:sz w:val="20"/>
        </w:rPr>
        <w:t>).  As a result, the Commission expects each SEF to provide an average of 3</w:t>
      </w:r>
      <w:r w:rsidR="0029400B">
        <w:rPr>
          <w:rFonts w:ascii="Times New Roman" w:hAnsi="Times New Roman"/>
          <w:sz w:val="20"/>
        </w:rPr>
        <w:t>5</w:t>
      </w:r>
      <w:r w:rsidRPr="00460629">
        <w:rPr>
          <w:rFonts w:ascii="Times New Roman" w:hAnsi="Times New Roman"/>
          <w:sz w:val="20"/>
        </w:rPr>
        <w:t>,</w:t>
      </w:r>
      <w:r w:rsidR="0029400B">
        <w:rPr>
          <w:rFonts w:ascii="Times New Roman" w:hAnsi="Times New Roman"/>
          <w:sz w:val="20"/>
        </w:rPr>
        <w:t>222</w:t>
      </w:r>
      <w:r w:rsidRPr="00460629">
        <w:rPr>
          <w:rFonts w:ascii="Times New Roman" w:hAnsi="Times New Roman"/>
          <w:sz w:val="20"/>
        </w:rPr>
        <w:t xml:space="preserve"> responses (</w:t>
      </w:r>
      <w:r w:rsidR="000A2C0C" w:rsidRPr="000A2C0C">
        <w:rPr>
          <w:rFonts w:ascii="Times New Roman" w:hAnsi="Times New Roman"/>
          <w:sz w:val="20"/>
        </w:rPr>
        <w:t>739</w:t>
      </w:r>
      <w:r w:rsidR="000A2C0C">
        <w:rPr>
          <w:rFonts w:ascii="Times New Roman" w:hAnsi="Times New Roman"/>
          <w:sz w:val="20"/>
        </w:rPr>
        <w:t>,</w:t>
      </w:r>
      <w:r w:rsidR="000A2C0C" w:rsidRPr="000A2C0C">
        <w:rPr>
          <w:rFonts w:ascii="Times New Roman" w:hAnsi="Times New Roman"/>
          <w:sz w:val="20"/>
        </w:rPr>
        <w:t>680</w:t>
      </w:r>
      <w:r w:rsidRPr="00460629">
        <w:rPr>
          <w:rFonts w:ascii="Times New Roman" w:hAnsi="Times New Roman"/>
          <w:sz w:val="20"/>
        </w:rPr>
        <w:t xml:space="preserve"> responses / </w:t>
      </w:r>
      <w:r w:rsidR="000A2C0C" w:rsidRPr="00460629">
        <w:rPr>
          <w:rFonts w:ascii="Times New Roman" w:hAnsi="Times New Roman"/>
          <w:sz w:val="20"/>
        </w:rPr>
        <w:t>2</w:t>
      </w:r>
      <w:r w:rsidR="000A2C0C">
        <w:rPr>
          <w:rFonts w:ascii="Times New Roman" w:hAnsi="Times New Roman"/>
          <w:sz w:val="20"/>
        </w:rPr>
        <w:t>1</w:t>
      </w:r>
      <w:r w:rsidR="000A2C0C" w:rsidRPr="00460629">
        <w:rPr>
          <w:rFonts w:ascii="Times New Roman" w:hAnsi="Times New Roman"/>
          <w:sz w:val="20"/>
        </w:rPr>
        <w:t xml:space="preserve"> </w:t>
      </w:r>
      <w:r w:rsidRPr="00460629">
        <w:rPr>
          <w:rFonts w:ascii="Times New Roman" w:hAnsi="Times New Roman"/>
          <w:sz w:val="20"/>
        </w:rPr>
        <w:t xml:space="preserve">SEFs = </w:t>
      </w:r>
      <w:r w:rsidR="00070B97">
        <w:rPr>
          <w:rFonts w:ascii="Times New Roman" w:hAnsi="Times New Roman"/>
          <w:sz w:val="20"/>
        </w:rPr>
        <w:t>35,222</w:t>
      </w:r>
      <w:r w:rsidRPr="00460629">
        <w:rPr>
          <w:rFonts w:ascii="Times New Roman" w:hAnsi="Times New Roman"/>
          <w:sz w:val="20"/>
        </w:rPr>
        <w:t xml:space="preserve"> responses per SEF).  </w:t>
      </w:r>
    </w:p>
  </w:footnote>
  <w:footnote w:id="14">
    <w:p w:rsidR="00470533" w:rsidRPr="00460629" w:rsidRDefault="00470533" w:rsidP="00A525EB">
      <w:pPr>
        <w:pStyle w:val="FootnoteText"/>
        <w:spacing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000A2C0C" w:rsidRPr="00460629">
        <w:rPr>
          <w:rFonts w:ascii="Times New Roman" w:hAnsi="Times New Roman"/>
          <w:sz w:val="20"/>
        </w:rPr>
        <w:t>1</w:t>
      </w:r>
      <w:r w:rsidR="000A2C0C">
        <w:rPr>
          <w:rFonts w:ascii="Times New Roman" w:hAnsi="Times New Roman"/>
          <w:sz w:val="20"/>
        </w:rPr>
        <w:t>05</w:t>
      </w:r>
      <w:r w:rsidR="000A2C0C" w:rsidRPr="00460629">
        <w:rPr>
          <w:rFonts w:ascii="Times New Roman" w:hAnsi="Times New Roman"/>
          <w:sz w:val="20"/>
        </w:rPr>
        <w:t xml:space="preserve"> </w:t>
      </w:r>
      <w:r w:rsidR="00EF6996" w:rsidRPr="00460629">
        <w:rPr>
          <w:rFonts w:ascii="Times New Roman" w:hAnsi="Times New Roman"/>
          <w:sz w:val="20"/>
        </w:rPr>
        <w:t xml:space="preserve">fixed responses + </w:t>
      </w:r>
      <w:r w:rsidR="00A5050E" w:rsidRPr="000A2C0C">
        <w:rPr>
          <w:rFonts w:ascii="Times New Roman" w:hAnsi="Times New Roman"/>
          <w:sz w:val="20"/>
        </w:rPr>
        <w:t>739,555</w:t>
      </w:r>
      <w:r w:rsidR="00EF6996" w:rsidRPr="00460629">
        <w:rPr>
          <w:rFonts w:ascii="Times New Roman" w:hAnsi="Times New Roman"/>
          <w:sz w:val="20"/>
        </w:rPr>
        <w:t xml:space="preserve"> confirmations = </w:t>
      </w:r>
      <w:r w:rsidR="000A2C0C" w:rsidRPr="000A2C0C">
        <w:rPr>
          <w:rFonts w:ascii="Times New Roman" w:hAnsi="Times New Roman"/>
          <w:sz w:val="20"/>
        </w:rPr>
        <w:t>739</w:t>
      </w:r>
      <w:r w:rsidR="000A2C0C">
        <w:rPr>
          <w:rFonts w:ascii="Times New Roman" w:hAnsi="Times New Roman"/>
          <w:sz w:val="20"/>
        </w:rPr>
        <w:t>,</w:t>
      </w:r>
      <w:r w:rsidR="000A2C0C" w:rsidRPr="000A2C0C">
        <w:rPr>
          <w:rFonts w:ascii="Times New Roman" w:hAnsi="Times New Roman"/>
          <w:sz w:val="20"/>
        </w:rPr>
        <w:t>6</w:t>
      </w:r>
      <w:r w:rsidR="00A5050E">
        <w:rPr>
          <w:rFonts w:ascii="Times New Roman" w:hAnsi="Times New Roman"/>
          <w:sz w:val="20"/>
        </w:rPr>
        <w:t>6</w:t>
      </w:r>
      <w:r w:rsidR="000A2C0C" w:rsidRPr="000A2C0C">
        <w:rPr>
          <w:rFonts w:ascii="Times New Roman" w:hAnsi="Times New Roman"/>
          <w:sz w:val="20"/>
        </w:rPr>
        <w:t>0</w:t>
      </w:r>
      <w:r w:rsidR="00882ED9">
        <w:rPr>
          <w:rFonts w:ascii="Times New Roman" w:hAnsi="Times New Roman"/>
          <w:sz w:val="20"/>
        </w:rPr>
        <w:t xml:space="preserve"> </w:t>
      </w:r>
      <w:r w:rsidR="00EF6996" w:rsidRPr="00460629">
        <w:rPr>
          <w:rFonts w:ascii="Times New Roman" w:hAnsi="Times New Roman"/>
          <w:sz w:val="20"/>
        </w:rPr>
        <w:t>total annual responses</w:t>
      </w:r>
      <w:r w:rsidRPr="00460629">
        <w:rPr>
          <w:rFonts w:ascii="Times New Roman" w:hAnsi="Times New Roman"/>
          <w:sz w:val="20"/>
        </w:rPr>
        <w:t>.</w:t>
      </w:r>
    </w:p>
  </w:footnote>
  <w:footnote w:id="15">
    <w:p w:rsidR="001C49F6" w:rsidRPr="00460629" w:rsidRDefault="001C49F6" w:rsidP="00A525EB">
      <w:pPr>
        <w:pStyle w:val="FootnoteText"/>
        <w:spacing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Pr="00460629">
        <w:rPr>
          <w:rFonts w:ascii="Times New Roman" w:hAnsi="Times New Roman"/>
          <w:sz w:val="20"/>
        </w:rPr>
        <w:t xml:space="preserve">1000 average </w:t>
      </w:r>
      <w:r w:rsidR="001F47DE">
        <w:rPr>
          <w:rFonts w:ascii="Times New Roman" w:hAnsi="Times New Roman"/>
          <w:sz w:val="20"/>
        </w:rPr>
        <w:t>annual</w:t>
      </w:r>
      <w:r w:rsidR="001F47DE" w:rsidRPr="00460629">
        <w:rPr>
          <w:rFonts w:ascii="Times New Roman" w:hAnsi="Times New Roman"/>
          <w:sz w:val="20"/>
        </w:rPr>
        <w:t xml:space="preserve"> </w:t>
      </w:r>
      <w:r w:rsidR="00D14261" w:rsidRPr="00460629">
        <w:rPr>
          <w:rFonts w:ascii="Times New Roman" w:hAnsi="Times New Roman"/>
          <w:sz w:val="20"/>
        </w:rPr>
        <w:t>burden</w:t>
      </w:r>
      <w:r w:rsidRPr="00460629">
        <w:rPr>
          <w:rFonts w:ascii="Times New Roman" w:hAnsi="Times New Roman"/>
          <w:sz w:val="20"/>
        </w:rPr>
        <w:t xml:space="preserve"> hours per respondent SEF x </w:t>
      </w:r>
      <w:r w:rsidR="00A5050E" w:rsidRPr="00460629">
        <w:rPr>
          <w:rFonts w:ascii="Times New Roman" w:hAnsi="Times New Roman"/>
          <w:sz w:val="20"/>
        </w:rPr>
        <w:t>2</w:t>
      </w:r>
      <w:r w:rsidR="00A5050E">
        <w:rPr>
          <w:rFonts w:ascii="Times New Roman" w:hAnsi="Times New Roman"/>
          <w:sz w:val="20"/>
        </w:rPr>
        <w:t>1</w:t>
      </w:r>
      <w:r w:rsidR="00A5050E" w:rsidRPr="00460629">
        <w:rPr>
          <w:rFonts w:ascii="Times New Roman" w:hAnsi="Times New Roman"/>
          <w:sz w:val="20"/>
        </w:rPr>
        <w:t xml:space="preserve"> </w:t>
      </w:r>
      <w:r w:rsidRPr="00460629">
        <w:rPr>
          <w:rFonts w:ascii="Times New Roman" w:hAnsi="Times New Roman"/>
          <w:sz w:val="20"/>
        </w:rPr>
        <w:t xml:space="preserve">registered SEFs = </w:t>
      </w:r>
      <w:r w:rsidR="00A5050E" w:rsidRPr="00460629">
        <w:rPr>
          <w:rFonts w:ascii="Times New Roman" w:hAnsi="Times New Roman"/>
          <w:sz w:val="20"/>
        </w:rPr>
        <w:t>2</w:t>
      </w:r>
      <w:r w:rsidR="00A5050E">
        <w:rPr>
          <w:rFonts w:ascii="Times New Roman" w:hAnsi="Times New Roman"/>
          <w:sz w:val="20"/>
        </w:rPr>
        <w:t>1</w:t>
      </w:r>
      <w:r w:rsidRPr="00460629">
        <w:rPr>
          <w:rFonts w:ascii="Times New Roman" w:hAnsi="Times New Roman"/>
          <w:sz w:val="20"/>
        </w:rPr>
        <w:t>,000 total burden hours for all registered SEFs.</w:t>
      </w:r>
    </w:p>
  </w:footnote>
  <w:footnote w:id="16">
    <w:p w:rsidR="00A37A5F" w:rsidRPr="00460629" w:rsidRDefault="00A37A5F" w:rsidP="007B0D2E">
      <w:pPr>
        <w:pStyle w:val="FootnoteText"/>
        <w:spacing w:after="120"/>
        <w:rPr>
          <w:rFonts w:ascii="Times New Roman" w:hAnsi="Times New Roman"/>
        </w:rPr>
      </w:pPr>
      <w:r w:rsidRPr="00460629">
        <w:rPr>
          <w:rStyle w:val="FootnoteReference"/>
          <w:rFonts w:ascii="Times New Roman" w:hAnsi="Times New Roman"/>
        </w:rPr>
        <w:footnoteRef/>
      </w:r>
      <w:r w:rsidRPr="00460629">
        <w:rPr>
          <w:rFonts w:ascii="Times New Roman" w:hAnsi="Times New Roman"/>
        </w:rPr>
        <w:t xml:space="preserve"> </w:t>
      </w:r>
      <w:r w:rsidR="007B0D2E">
        <w:rPr>
          <w:rFonts w:ascii="Times New Roman" w:hAnsi="Times New Roman"/>
          <w:sz w:val="20"/>
        </w:rPr>
        <w:t>This estimate that applicants for</w:t>
      </w:r>
      <w:r w:rsidR="001D4ECD">
        <w:rPr>
          <w:rFonts w:ascii="Times New Roman" w:hAnsi="Times New Roman"/>
          <w:sz w:val="20"/>
        </w:rPr>
        <w:t xml:space="preserve"> permanent </w:t>
      </w:r>
      <w:r w:rsidR="007B0D2E">
        <w:rPr>
          <w:rFonts w:ascii="Times New Roman" w:hAnsi="Times New Roman"/>
          <w:sz w:val="20"/>
        </w:rPr>
        <w:t xml:space="preserve">SEF registration incur approximately 300 burden hours does not represent a new information collection burden or adjustment.  </w:t>
      </w:r>
      <w:r w:rsidR="007C0D90">
        <w:rPr>
          <w:rFonts w:ascii="Times New Roman" w:hAnsi="Times New Roman"/>
          <w:sz w:val="20"/>
        </w:rPr>
        <w:t xml:space="preserve">While </w:t>
      </w:r>
      <w:r w:rsidRPr="00460629">
        <w:rPr>
          <w:rFonts w:ascii="Times New Roman" w:hAnsi="Times New Roman"/>
          <w:sz w:val="20"/>
        </w:rPr>
        <w:t xml:space="preserve">the Commission did consider the burden hours related to the SEF application process in </w:t>
      </w:r>
      <w:r w:rsidR="001F47DE">
        <w:rPr>
          <w:rFonts w:ascii="Times New Roman" w:hAnsi="Times New Roman"/>
          <w:sz w:val="20"/>
        </w:rPr>
        <w:t>the</w:t>
      </w:r>
      <w:r w:rsidRPr="00460629">
        <w:rPr>
          <w:rFonts w:ascii="Times New Roman" w:hAnsi="Times New Roman"/>
          <w:sz w:val="20"/>
        </w:rPr>
        <w:t xml:space="preserve"> original submission for this OMB Control Number, the Commission did not explicitly distinguish the burden hours related to the registration process</w:t>
      </w:r>
      <w:r w:rsidR="00BD35CF">
        <w:rPr>
          <w:rFonts w:ascii="Times New Roman" w:hAnsi="Times New Roman"/>
          <w:sz w:val="20"/>
        </w:rPr>
        <w:t xml:space="preserve"> for SEF applicants</w:t>
      </w:r>
      <w:r w:rsidRPr="00460629">
        <w:rPr>
          <w:rFonts w:ascii="Times New Roman" w:hAnsi="Times New Roman"/>
          <w:sz w:val="20"/>
        </w:rPr>
        <w:t xml:space="preserve"> from the Commission’s estimate of the </w:t>
      </w:r>
      <w:r w:rsidR="00BD35CF">
        <w:rPr>
          <w:rFonts w:ascii="Times New Roman" w:hAnsi="Times New Roman"/>
          <w:sz w:val="20"/>
        </w:rPr>
        <w:t>on-going</w:t>
      </w:r>
      <w:r w:rsidRPr="00460629">
        <w:rPr>
          <w:rFonts w:ascii="Times New Roman" w:hAnsi="Times New Roman"/>
          <w:sz w:val="20"/>
        </w:rPr>
        <w:t xml:space="preserve"> annual burden hours</w:t>
      </w:r>
      <w:r w:rsidR="00BD35CF">
        <w:rPr>
          <w:rFonts w:ascii="Times New Roman" w:hAnsi="Times New Roman"/>
          <w:sz w:val="20"/>
        </w:rPr>
        <w:t xml:space="preserve"> for registered SEFs</w:t>
      </w:r>
      <w:r w:rsidRPr="00460629">
        <w:rPr>
          <w:rFonts w:ascii="Times New Roman" w:hAnsi="Times New Roman"/>
          <w:sz w:val="20"/>
        </w:rPr>
        <w:t xml:space="preserve">, but rather provided an aggregate number.  </w:t>
      </w:r>
    </w:p>
  </w:footnote>
  <w:footnote w:id="17">
    <w:p w:rsidR="00A37A5F" w:rsidRPr="00EC0063" w:rsidRDefault="00A37A5F" w:rsidP="00A37A5F">
      <w:pPr>
        <w:pStyle w:val="FootnoteText"/>
        <w:spacing w:after="120"/>
        <w:rPr>
          <w:rFonts w:ascii="Times New Roman" w:hAnsi="Times New Roman"/>
          <w:b/>
          <w:sz w:val="20"/>
        </w:rPr>
      </w:pPr>
      <w:r w:rsidRPr="00EC0063">
        <w:rPr>
          <w:rStyle w:val="FootnoteReference"/>
          <w:rFonts w:ascii="Times New Roman" w:hAnsi="Times New Roman"/>
          <w:sz w:val="20"/>
        </w:rPr>
        <w:footnoteRef/>
      </w:r>
      <w:r w:rsidRPr="00EC0063">
        <w:rPr>
          <w:rFonts w:ascii="Times New Roman" w:hAnsi="Times New Roman"/>
          <w:sz w:val="20"/>
        </w:rPr>
        <w:t xml:space="preserve"> Based on the number of applicants that have applied for permanent SEF registration since the Commission first granted permanent registration status to SEFs on January 22, 2016, the Commission expects to receive 4 applications per year for permanent SEF registration.</w:t>
      </w:r>
    </w:p>
  </w:footnote>
  <w:footnote w:id="18">
    <w:p w:rsidR="00BD35CF" w:rsidRPr="00EC0063" w:rsidRDefault="00BD35CF" w:rsidP="00BD35CF">
      <w:pPr>
        <w:pStyle w:val="FootnoteText"/>
        <w:spacing w:after="120"/>
        <w:rPr>
          <w:rFonts w:ascii="Times New Roman" w:hAnsi="Times New Roman"/>
          <w:sz w:val="20"/>
        </w:rPr>
      </w:pPr>
      <w:r w:rsidRPr="00EC0063">
        <w:rPr>
          <w:rStyle w:val="FootnoteReference"/>
          <w:rFonts w:ascii="Times New Roman" w:hAnsi="Times New Roman"/>
          <w:sz w:val="20"/>
        </w:rPr>
        <w:footnoteRef/>
      </w:r>
      <w:r w:rsidR="00605951" w:rsidRPr="00EC0063">
        <w:rPr>
          <w:rFonts w:ascii="Times New Roman" w:hAnsi="Times New Roman"/>
          <w:sz w:val="20"/>
        </w:rPr>
        <w:t xml:space="preserve"> </w:t>
      </w:r>
      <w:r w:rsidRPr="00EC0063">
        <w:rPr>
          <w:rFonts w:ascii="Times New Roman" w:hAnsi="Times New Roman"/>
          <w:sz w:val="20"/>
        </w:rPr>
        <w:t>For this purpose, the Commission considers the entire SEF application process to constitute a single information collection.</w:t>
      </w:r>
    </w:p>
  </w:footnote>
  <w:footnote w:id="19">
    <w:p w:rsidR="00A37A5F" w:rsidRPr="00460629" w:rsidRDefault="00A37A5F" w:rsidP="00A37A5F">
      <w:pPr>
        <w:pStyle w:val="FootnoteText"/>
        <w:spacing w:after="120"/>
        <w:rPr>
          <w:rFonts w:ascii="Times New Roman" w:hAnsi="Times New Roman"/>
        </w:rPr>
      </w:pPr>
      <w:r w:rsidRPr="00EC0063">
        <w:rPr>
          <w:rStyle w:val="FootnoteReference"/>
          <w:rFonts w:ascii="Times New Roman" w:hAnsi="Times New Roman"/>
          <w:sz w:val="20"/>
        </w:rPr>
        <w:footnoteRef/>
      </w:r>
      <w:r w:rsidRPr="00EC0063">
        <w:rPr>
          <w:rFonts w:ascii="Times New Roman" w:hAnsi="Times New Roman"/>
          <w:sz w:val="20"/>
        </w:rPr>
        <w:t xml:space="preserve"> 300 average initial burden hours per respondent SEF x 4 anticipated SEF applicants = 1,200 total burden hours incurred for all anticipated SEF applicants.</w:t>
      </w:r>
      <w:r w:rsidR="006138FA" w:rsidRPr="00EC0063">
        <w:rPr>
          <w:rFonts w:ascii="Times New Roman" w:hAnsi="Times New Roman"/>
          <w:sz w:val="20"/>
        </w:rPr>
        <w:t xml:space="preserve">  The Commission notes that the 1,200 burden hours for </w:t>
      </w:r>
      <w:r w:rsidR="00E74783" w:rsidRPr="00EC0063">
        <w:rPr>
          <w:rFonts w:ascii="Times New Roman" w:hAnsi="Times New Roman"/>
          <w:sz w:val="20"/>
        </w:rPr>
        <w:t xml:space="preserve">SEF </w:t>
      </w:r>
      <w:r w:rsidR="006138FA" w:rsidRPr="00EC0063">
        <w:rPr>
          <w:rFonts w:ascii="Times New Roman" w:hAnsi="Times New Roman"/>
          <w:sz w:val="20"/>
        </w:rPr>
        <w:t xml:space="preserve">registration </w:t>
      </w:r>
      <w:r w:rsidR="00E74783" w:rsidRPr="00EC0063">
        <w:rPr>
          <w:rFonts w:ascii="Times New Roman" w:hAnsi="Times New Roman"/>
          <w:sz w:val="20"/>
        </w:rPr>
        <w:t xml:space="preserve">applicants </w:t>
      </w:r>
      <w:r w:rsidR="006138FA" w:rsidRPr="00EC0063">
        <w:rPr>
          <w:rFonts w:ascii="Times New Roman" w:hAnsi="Times New Roman"/>
          <w:sz w:val="20"/>
        </w:rPr>
        <w:t>have not been affected by th</w:t>
      </w:r>
      <w:r w:rsidR="00093178" w:rsidRPr="00EC0063">
        <w:rPr>
          <w:rFonts w:ascii="Times New Roman" w:hAnsi="Times New Roman"/>
          <w:sz w:val="20"/>
        </w:rPr>
        <w:t>is</w:t>
      </w:r>
      <w:r w:rsidR="006138FA" w:rsidRPr="00EC0063">
        <w:rPr>
          <w:rFonts w:ascii="Times New Roman" w:hAnsi="Times New Roman"/>
          <w:sz w:val="20"/>
        </w:rPr>
        <w:t xml:space="preserve"> amendment</w:t>
      </w:r>
      <w:r w:rsidR="00093178" w:rsidRPr="00EC0063">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F75" w:rsidRPr="00DC1F75" w:rsidRDefault="00DC1F75" w:rsidP="00DC1F75">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3038-0074</w:t>
    </w:r>
  </w:p>
  <w:p w:rsidR="00DC1F75" w:rsidRPr="00DC1F75" w:rsidRDefault="00DC1F75" w:rsidP="00DC1F75">
    <w:pPr>
      <w:tabs>
        <w:tab w:val="left" w:pos="-720"/>
      </w:tabs>
      <w:suppressAutoHyphen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6A8A"/>
    <w:multiLevelType w:val="hybridMultilevel"/>
    <w:tmpl w:val="0DDAC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507B51"/>
    <w:multiLevelType w:val="hybridMultilevel"/>
    <w:tmpl w:val="04546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64"/>
    <w:rsid w:val="0001071A"/>
    <w:rsid w:val="000165B4"/>
    <w:rsid w:val="0002718F"/>
    <w:rsid w:val="000351C0"/>
    <w:rsid w:val="00042F05"/>
    <w:rsid w:val="00043C98"/>
    <w:rsid w:val="00046594"/>
    <w:rsid w:val="00065F19"/>
    <w:rsid w:val="00070B97"/>
    <w:rsid w:val="0007214E"/>
    <w:rsid w:val="000729F1"/>
    <w:rsid w:val="000856B9"/>
    <w:rsid w:val="000906B2"/>
    <w:rsid w:val="000908EF"/>
    <w:rsid w:val="00093178"/>
    <w:rsid w:val="00094C5E"/>
    <w:rsid w:val="000A2C0C"/>
    <w:rsid w:val="000A5DD9"/>
    <w:rsid w:val="000A6197"/>
    <w:rsid w:val="000A773C"/>
    <w:rsid w:val="000A7F3C"/>
    <w:rsid w:val="000B3C7A"/>
    <w:rsid w:val="000C071E"/>
    <w:rsid w:val="000C12E0"/>
    <w:rsid w:val="000C7C20"/>
    <w:rsid w:val="000C7CD7"/>
    <w:rsid w:val="000D3BB7"/>
    <w:rsid w:val="000D7284"/>
    <w:rsid w:val="000E3840"/>
    <w:rsid w:val="000E4044"/>
    <w:rsid w:val="000F1718"/>
    <w:rsid w:val="000F3AA2"/>
    <w:rsid w:val="000F4228"/>
    <w:rsid w:val="00101169"/>
    <w:rsid w:val="00102ACA"/>
    <w:rsid w:val="0010528B"/>
    <w:rsid w:val="00110AE5"/>
    <w:rsid w:val="001210E8"/>
    <w:rsid w:val="00135FAA"/>
    <w:rsid w:val="00141085"/>
    <w:rsid w:val="00142EA5"/>
    <w:rsid w:val="00160098"/>
    <w:rsid w:val="00172A5A"/>
    <w:rsid w:val="00185E11"/>
    <w:rsid w:val="00187445"/>
    <w:rsid w:val="00194B79"/>
    <w:rsid w:val="00196484"/>
    <w:rsid w:val="00197193"/>
    <w:rsid w:val="001A3C49"/>
    <w:rsid w:val="001A5DAC"/>
    <w:rsid w:val="001A6616"/>
    <w:rsid w:val="001B47FB"/>
    <w:rsid w:val="001B7DBE"/>
    <w:rsid w:val="001C1C8D"/>
    <w:rsid w:val="001C2CEE"/>
    <w:rsid w:val="001C3722"/>
    <w:rsid w:val="001C49F6"/>
    <w:rsid w:val="001D0B9B"/>
    <w:rsid w:val="001D4ECD"/>
    <w:rsid w:val="001E22D1"/>
    <w:rsid w:val="001E533F"/>
    <w:rsid w:val="001F0B27"/>
    <w:rsid w:val="001F42C0"/>
    <w:rsid w:val="001F4491"/>
    <w:rsid w:val="001F47DE"/>
    <w:rsid w:val="001F665D"/>
    <w:rsid w:val="00204277"/>
    <w:rsid w:val="00204844"/>
    <w:rsid w:val="00206C6D"/>
    <w:rsid w:val="002148A2"/>
    <w:rsid w:val="00222121"/>
    <w:rsid w:val="00223BB2"/>
    <w:rsid w:val="00231278"/>
    <w:rsid w:val="002322F3"/>
    <w:rsid w:val="0023315C"/>
    <w:rsid w:val="00237E45"/>
    <w:rsid w:val="00244E60"/>
    <w:rsid w:val="002451D0"/>
    <w:rsid w:val="00255AB6"/>
    <w:rsid w:val="00260717"/>
    <w:rsid w:val="00265A81"/>
    <w:rsid w:val="0027320B"/>
    <w:rsid w:val="0028386A"/>
    <w:rsid w:val="0029388A"/>
    <w:rsid w:val="0029400B"/>
    <w:rsid w:val="002A1C2C"/>
    <w:rsid w:val="002A2489"/>
    <w:rsid w:val="002A35BF"/>
    <w:rsid w:val="002A6EAD"/>
    <w:rsid w:val="002B0D56"/>
    <w:rsid w:val="002B18BF"/>
    <w:rsid w:val="002C31D4"/>
    <w:rsid w:val="002C6925"/>
    <w:rsid w:val="002D0F64"/>
    <w:rsid w:val="002D133A"/>
    <w:rsid w:val="002D271D"/>
    <w:rsid w:val="002E3249"/>
    <w:rsid w:val="002E4013"/>
    <w:rsid w:val="002E6DBA"/>
    <w:rsid w:val="002F17B9"/>
    <w:rsid w:val="002F43AF"/>
    <w:rsid w:val="00300F81"/>
    <w:rsid w:val="00304F53"/>
    <w:rsid w:val="00307075"/>
    <w:rsid w:val="0031123A"/>
    <w:rsid w:val="00317653"/>
    <w:rsid w:val="00331A5B"/>
    <w:rsid w:val="003449D0"/>
    <w:rsid w:val="003535AF"/>
    <w:rsid w:val="00353E69"/>
    <w:rsid w:val="00354456"/>
    <w:rsid w:val="00357130"/>
    <w:rsid w:val="0036331A"/>
    <w:rsid w:val="00366416"/>
    <w:rsid w:val="00372F77"/>
    <w:rsid w:val="00373201"/>
    <w:rsid w:val="003771C5"/>
    <w:rsid w:val="003835B5"/>
    <w:rsid w:val="0038502E"/>
    <w:rsid w:val="003979EC"/>
    <w:rsid w:val="003A3696"/>
    <w:rsid w:val="003B6DC4"/>
    <w:rsid w:val="003C1EE4"/>
    <w:rsid w:val="003D5313"/>
    <w:rsid w:val="003D63EF"/>
    <w:rsid w:val="003F0BA6"/>
    <w:rsid w:val="003F2025"/>
    <w:rsid w:val="003F7946"/>
    <w:rsid w:val="00400E84"/>
    <w:rsid w:val="00403637"/>
    <w:rsid w:val="00407099"/>
    <w:rsid w:val="004150E3"/>
    <w:rsid w:val="00424A91"/>
    <w:rsid w:val="004274FC"/>
    <w:rsid w:val="0044280E"/>
    <w:rsid w:val="004456FB"/>
    <w:rsid w:val="0045131C"/>
    <w:rsid w:val="00460629"/>
    <w:rsid w:val="00464BDB"/>
    <w:rsid w:val="00465557"/>
    <w:rsid w:val="00465A70"/>
    <w:rsid w:val="00470533"/>
    <w:rsid w:val="004710D8"/>
    <w:rsid w:val="00471D74"/>
    <w:rsid w:val="00471E97"/>
    <w:rsid w:val="00474DD5"/>
    <w:rsid w:val="00476B85"/>
    <w:rsid w:val="004773A2"/>
    <w:rsid w:val="00477787"/>
    <w:rsid w:val="0048054D"/>
    <w:rsid w:val="0048097B"/>
    <w:rsid w:val="00493D46"/>
    <w:rsid w:val="00495FF6"/>
    <w:rsid w:val="0049660F"/>
    <w:rsid w:val="004A0C2D"/>
    <w:rsid w:val="004A0F8E"/>
    <w:rsid w:val="004A2BC5"/>
    <w:rsid w:val="004A5371"/>
    <w:rsid w:val="004B7E5B"/>
    <w:rsid w:val="004C67B6"/>
    <w:rsid w:val="004D4DE2"/>
    <w:rsid w:val="004D6696"/>
    <w:rsid w:val="004D7FC6"/>
    <w:rsid w:val="004E30EB"/>
    <w:rsid w:val="004F06E5"/>
    <w:rsid w:val="004F16E2"/>
    <w:rsid w:val="004F3F6E"/>
    <w:rsid w:val="004F774D"/>
    <w:rsid w:val="00506B9A"/>
    <w:rsid w:val="005110B9"/>
    <w:rsid w:val="00511AF8"/>
    <w:rsid w:val="00522DA9"/>
    <w:rsid w:val="005236F4"/>
    <w:rsid w:val="00523B58"/>
    <w:rsid w:val="005270DD"/>
    <w:rsid w:val="005324F6"/>
    <w:rsid w:val="005443C8"/>
    <w:rsid w:val="00546471"/>
    <w:rsid w:val="0055104D"/>
    <w:rsid w:val="005568AB"/>
    <w:rsid w:val="00562429"/>
    <w:rsid w:val="00564C43"/>
    <w:rsid w:val="005651CF"/>
    <w:rsid w:val="005664FA"/>
    <w:rsid w:val="00567E2B"/>
    <w:rsid w:val="005705D1"/>
    <w:rsid w:val="0057064A"/>
    <w:rsid w:val="005706EF"/>
    <w:rsid w:val="00573864"/>
    <w:rsid w:val="0057413E"/>
    <w:rsid w:val="005755F8"/>
    <w:rsid w:val="005956A4"/>
    <w:rsid w:val="005B3986"/>
    <w:rsid w:val="005B58DD"/>
    <w:rsid w:val="005C49BF"/>
    <w:rsid w:val="005C5C3F"/>
    <w:rsid w:val="005D2567"/>
    <w:rsid w:val="005D70B7"/>
    <w:rsid w:val="005E0CF1"/>
    <w:rsid w:val="005F2FFA"/>
    <w:rsid w:val="00605951"/>
    <w:rsid w:val="006109F4"/>
    <w:rsid w:val="006138FA"/>
    <w:rsid w:val="006170ED"/>
    <w:rsid w:val="00623843"/>
    <w:rsid w:val="006330FF"/>
    <w:rsid w:val="00633B53"/>
    <w:rsid w:val="00634953"/>
    <w:rsid w:val="00635AFD"/>
    <w:rsid w:val="00635E72"/>
    <w:rsid w:val="006441D4"/>
    <w:rsid w:val="006446AC"/>
    <w:rsid w:val="00644EA7"/>
    <w:rsid w:val="00645BF8"/>
    <w:rsid w:val="00645FBF"/>
    <w:rsid w:val="00655497"/>
    <w:rsid w:val="00660117"/>
    <w:rsid w:val="00661626"/>
    <w:rsid w:val="00662495"/>
    <w:rsid w:val="006638F8"/>
    <w:rsid w:val="00664352"/>
    <w:rsid w:val="00683708"/>
    <w:rsid w:val="00690089"/>
    <w:rsid w:val="00690529"/>
    <w:rsid w:val="006A7589"/>
    <w:rsid w:val="006C0E6B"/>
    <w:rsid w:val="006C20E2"/>
    <w:rsid w:val="006E19BC"/>
    <w:rsid w:val="006E3A83"/>
    <w:rsid w:val="006E3B43"/>
    <w:rsid w:val="006F08EB"/>
    <w:rsid w:val="006F1D77"/>
    <w:rsid w:val="006F230E"/>
    <w:rsid w:val="007009B3"/>
    <w:rsid w:val="00717A56"/>
    <w:rsid w:val="007216B2"/>
    <w:rsid w:val="007503AD"/>
    <w:rsid w:val="0075158B"/>
    <w:rsid w:val="00754A12"/>
    <w:rsid w:val="00767829"/>
    <w:rsid w:val="00771F4C"/>
    <w:rsid w:val="00785990"/>
    <w:rsid w:val="0079145B"/>
    <w:rsid w:val="00794D70"/>
    <w:rsid w:val="007A0A19"/>
    <w:rsid w:val="007A17FC"/>
    <w:rsid w:val="007A74CD"/>
    <w:rsid w:val="007B0BFB"/>
    <w:rsid w:val="007B0D2E"/>
    <w:rsid w:val="007B38AA"/>
    <w:rsid w:val="007C0D90"/>
    <w:rsid w:val="007C1D44"/>
    <w:rsid w:val="007C39D9"/>
    <w:rsid w:val="007D7BB0"/>
    <w:rsid w:val="007E2CBC"/>
    <w:rsid w:val="007E59E5"/>
    <w:rsid w:val="00812E8E"/>
    <w:rsid w:val="00814002"/>
    <w:rsid w:val="00816254"/>
    <w:rsid w:val="00816584"/>
    <w:rsid w:val="008253C6"/>
    <w:rsid w:val="00850BA2"/>
    <w:rsid w:val="0085555B"/>
    <w:rsid w:val="0085700D"/>
    <w:rsid w:val="00857490"/>
    <w:rsid w:val="00857EA1"/>
    <w:rsid w:val="00866C6A"/>
    <w:rsid w:val="00881CB7"/>
    <w:rsid w:val="00882ED9"/>
    <w:rsid w:val="00883677"/>
    <w:rsid w:val="008862B1"/>
    <w:rsid w:val="00896D63"/>
    <w:rsid w:val="008A14B9"/>
    <w:rsid w:val="008A199F"/>
    <w:rsid w:val="008A4D94"/>
    <w:rsid w:val="008B2D73"/>
    <w:rsid w:val="008D3E01"/>
    <w:rsid w:val="008D57D9"/>
    <w:rsid w:val="008E00FF"/>
    <w:rsid w:val="008E0C62"/>
    <w:rsid w:val="008E0E00"/>
    <w:rsid w:val="008E6932"/>
    <w:rsid w:val="008F1C66"/>
    <w:rsid w:val="008F799A"/>
    <w:rsid w:val="00902334"/>
    <w:rsid w:val="0090416C"/>
    <w:rsid w:val="009072C5"/>
    <w:rsid w:val="0091434A"/>
    <w:rsid w:val="00915156"/>
    <w:rsid w:val="00916DA4"/>
    <w:rsid w:val="00921394"/>
    <w:rsid w:val="009227C1"/>
    <w:rsid w:val="00940D47"/>
    <w:rsid w:val="00951B43"/>
    <w:rsid w:val="009565C9"/>
    <w:rsid w:val="00964EA9"/>
    <w:rsid w:val="00966402"/>
    <w:rsid w:val="00967CA1"/>
    <w:rsid w:val="00971B43"/>
    <w:rsid w:val="00981B08"/>
    <w:rsid w:val="00983A9A"/>
    <w:rsid w:val="00983AC5"/>
    <w:rsid w:val="0098429E"/>
    <w:rsid w:val="009853CD"/>
    <w:rsid w:val="0099367D"/>
    <w:rsid w:val="009B1375"/>
    <w:rsid w:val="009B5DEB"/>
    <w:rsid w:val="009C3B4D"/>
    <w:rsid w:val="009C4144"/>
    <w:rsid w:val="009C4F33"/>
    <w:rsid w:val="009D22C4"/>
    <w:rsid w:val="009E419F"/>
    <w:rsid w:val="009F213B"/>
    <w:rsid w:val="009F659B"/>
    <w:rsid w:val="00A22008"/>
    <w:rsid w:val="00A2378F"/>
    <w:rsid w:val="00A25109"/>
    <w:rsid w:val="00A275E8"/>
    <w:rsid w:val="00A32493"/>
    <w:rsid w:val="00A37A5F"/>
    <w:rsid w:val="00A5050E"/>
    <w:rsid w:val="00A51412"/>
    <w:rsid w:val="00A525EB"/>
    <w:rsid w:val="00A569B0"/>
    <w:rsid w:val="00A71A55"/>
    <w:rsid w:val="00A86B27"/>
    <w:rsid w:val="00A976AD"/>
    <w:rsid w:val="00A9775E"/>
    <w:rsid w:val="00AA1B7A"/>
    <w:rsid w:val="00AA71A6"/>
    <w:rsid w:val="00AB4931"/>
    <w:rsid w:val="00AB6B03"/>
    <w:rsid w:val="00AC1451"/>
    <w:rsid w:val="00AC3609"/>
    <w:rsid w:val="00AD00FE"/>
    <w:rsid w:val="00AD04B4"/>
    <w:rsid w:val="00AD5413"/>
    <w:rsid w:val="00AD674B"/>
    <w:rsid w:val="00AF51B1"/>
    <w:rsid w:val="00B030E3"/>
    <w:rsid w:val="00B10A55"/>
    <w:rsid w:val="00B1278A"/>
    <w:rsid w:val="00B13305"/>
    <w:rsid w:val="00B134B4"/>
    <w:rsid w:val="00B136C8"/>
    <w:rsid w:val="00B13CE9"/>
    <w:rsid w:val="00B16828"/>
    <w:rsid w:val="00B207E5"/>
    <w:rsid w:val="00B21470"/>
    <w:rsid w:val="00B2590C"/>
    <w:rsid w:val="00B31898"/>
    <w:rsid w:val="00B34B16"/>
    <w:rsid w:val="00B46B64"/>
    <w:rsid w:val="00B556C0"/>
    <w:rsid w:val="00B60E09"/>
    <w:rsid w:val="00B77740"/>
    <w:rsid w:val="00B80D7C"/>
    <w:rsid w:val="00B938FF"/>
    <w:rsid w:val="00BA449F"/>
    <w:rsid w:val="00BA79B6"/>
    <w:rsid w:val="00BB06F0"/>
    <w:rsid w:val="00BB2ED0"/>
    <w:rsid w:val="00BB3C36"/>
    <w:rsid w:val="00BB54A1"/>
    <w:rsid w:val="00BB664B"/>
    <w:rsid w:val="00BB6C07"/>
    <w:rsid w:val="00BC1E9E"/>
    <w:rsid w:val="00BC2384"/>
    <w:rsid w:val="00BC39B3"/>
    <w:rsid w:val="00BC598A"/>
    <w:rsid w:val="00BC63E8"/>
    <w:rsid w:val="00BD2A92"/>
    <w:rsid w:val="00BD35CF"/>
    <w:rsid w:val="00BD503F"/>
    <w:rsid w:val="00BD67A6"/>
    <w:rsid w:val="00BD732F"/>
    <w:rsid w:val="00BE4E93"/>
    <w:rsid w:val="00BE5172"/>
    <w:rsid w:val="00C01400"/>
    <w:rsid w:val="00C04071"/>
    <w:rsid w:val="00C1799A"/>
    <w:rsid w:val="00C22D53"/>
    <w:rsid w:val="00C30C40"/>
    <w:rsid w:val="00C32D72"/>
    <w:rsid w:val="00C33A9E"/>
    <w:rsid w:val="00C33D03"/>
    <w:rsid w:val="00C379CB"/>
    <w:rsid w:val="00C449F0"/>
    <w:rsid w:val="00C44F1B"/>
    <w:rsid w:val="00C57728"/>
    <w:rsid w:val="00C60F97"/>
    <w:rsid w:val="00C62A31"/>
    <w:rsid w:val="00C63CAF"/>
    <w:rsid w:val="00C67FFE"/>
    <w:rsid w:val="00C722D6"/>
    <w:rsid w:val="00C73E37"/>
    <w:rsid w:val="00C81361"/>
    <w:rsid w:val="00C95491"/>
    <w:rsid w:val="00C96F88"/>
    <w:rsid w:val="00CA5E83"/>
    <w:rsid w:val="00CA6FE7"/>
    <w:rsid w:val="00CB27FB"/>
    <w:rsid w:val="00CB452E"/>
    <w:rsid w:val="00CB7B06"/>
    <w:rsid w:val="00CC08B0"/>
    <w:rsid w:val="00CC222E"/>
    <w:rsid w:val="00CC44D9"/>
    <w:rsid w:val="00CD431D"/>
    <w:rsid w:val="00CE6A58"/>
    <w:rsid w:val="00CF03EF"/>
    <w:rsid w:val="00CF13B9"/>
    <w:rsid w:val="00CF3750"/>
    <w:rsid w:val="00CF3C92"/>
    <w:rsid w:val="00D043CF"/>
    <w:rsid w:val="00D04978"/>
    <w:rsid w:val="00D0705F"/>
    <w:rsid w:val="00D110DE"/>
    <w:rsid w:val="00D14261"/>
    <w:rsid w:val="00D17A99"/>
    <w:rsid w:val="00D23BB3"/>
    <w:rsid w:val="00D3405A"/>
    <w:rsid w:val="00D377B0"/>
    <w:rsid w:val="00D41B9B"/>
    <w:rsid w:val="00D45F45"/>
    <w:rsid w:val="00D525DA"/>
    <w:rsid w:val="00D6266E"/>
    <w:rsid w:val="00D635C6"/>
    <w:rsid w:val="00D67853"/>
    <w:rsid w:val="00D70D0C"/>
    <w:rsid w:val="00D72D09"/>
    <w:rsid w:val="00D733C2"/>
    <w:rsid w:val="00D822F5"/>
    <w:rsid w:val="00D97D5A"/>
    <w:rsid w:val="00DB15E2"/>
    <w:rsid w:val="00DB1D30"/>
    <w:rsid w:val="00DB7916"/>
    <w:rsid w:val="00DB7F7A"/>
    <w:rsid w:val="00DC17ED"/>
    <w:rsid w:val="00DC1F75"/>
    <w:rsid w:val="00DC3331"/>
    <w:rsid w:val="00DD2A30"/>
    <w:rsid w:val="00DE035E"/>
    <w:rsid w:val="00E00A30"/>
    <w:rsid w:val="00E33A9B"/>
    <w:rsid w:val="00E409B1"/>
    <w:rsid w:val="00E4192A"/>
    <w:rsid w:val="00E42AEA"/>
    <w:rsid w:val="00E45797"/>
    <w:rsid w:val="00E60360"/>
    <w:rsid w:val="00E631A0"/>
    <w:rsid w:val="00E6419D"/>
    <w:rsid w:val="00E64D39"/>
    <w:rsid w:val="00E6598A"/>
    <w:rsid w:val="00E6769A"/>
    <w:rsid w:val="00E72DA3"/>
    <w:rsid w:val="00E74783"/>
    <w:rsid w:val="00E75480"/>
    <w:rsid w:val="00E758A2"/>
    <w:rsid w:val="00E80CB2"/>
    <w:rsid w:val="00E8482C"/>
    <w:rsid w:val="00E90D88"/>
    <w:rsid w:val="00E93F78"/>
    <w:rsid w:val="00E96E18"/>
    <w:rsid w:val="00EA4A38"/>
    <w:rsid w:val="00EA5320"/>
    <w:rsid w:val="00EB3668"/>
    <w:rsid w:val="00EC0063"/>
    <w:rsid w:val="00EC3A05"/>
    <w:rsid w:val="00EC485A"/>
    <w:rsid w:val="00ED1239"/>
    <w:rsid w:val="00ED1521"/>
    <w:rsid w:val="00ED2920"/>
    <w:rsid w:val="00ED6C64"/>
    <w:rsid w:val="00EE2F6D"/>
    <w:rsid w:val="00EE5BF9"/>
    <w:rsid w:val="00EF6996"/>
    <w:rsid w:val="00F00F78"/>
    <w:rsid w:val="00F0333B"/>
    <w:rsid w:val="00F04BE6"/>
    <w:rsid w:val="00F07558"/>
    <w:rsid w:val="00F10ACE"/>
    <w:rsid w:val="00F11BE8"/>
    <w:rsid w:val="00F22A22"/>
    <w:rsid w:val="00F30B08"/>
    <w:rsid w:val="00F4791C"/>
    <w:rsid w:val="00F54280"/>
    <w:rsid w:val="00F54B10"/>
    <w:rsid w:val="00F55E79"/>
    <w:rsid w:val="00F6292B"/>
    <w:rsid w:val="00F74FBE"/>
    <w:rsid w:val="00F76BAA"/>
    <w:rsid w:val="00F772CE"/>
    <w:rsid w:val="00F778E7"/>
    <w:rsid w:val="00F826EA"/>
    <w:rsid w:val="00F84484"/>
    <w:rsid w:val="00F86E36"/>
    <w:rsid w:val="00F920A2"/>
    <w:rsid w:val="00F9530D"/>
    <w:rsid w:val="00F95BE1"/>
    <w:rsid w:val="00FB17CD"/>
    <w:rsid w:val="00FB1D43"/>
    <w:rsid w:val="00FB1DF5"/>
    <w:rsid w:val="00FB2FBC"/>
    <w:rsid w:val="00FC1B98"/>
    <w:rsid w:val="00FC684C"/>
    <w:rsid w:val="00FD077A"/>
    <w:rsid w:val="00FD2536"/>
    <w:rsid w:val="00FD394B"/>
    <w:rsid w:val="00FD7209"/>
    <w:rsid w:val="00FE2CCA"/>
    <w:rsid w:val="00FE4719"/>
    <w:rsid w:val="00FF2B7F"/>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99D7C08-759C-4D4D-9CD3-D4BB0792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style>
  <w:style w:type="character" w:styleId="FootnoteReference">
    <w:name w:val="footnote reference"/>
    <w:aliases w:val="fr,Style 35,Style 19,Style 16"/>
    <w:uiPriority w:val="99"/>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A9775E"/>
    <w:rPr>
      <w:rFonts w:ascii="Courier" w:hAnsi="Courier"/>
      <w:sz w:val="24"/>
    </w:rPr>
  </w:style>
  <w:style w:type="table" w:styleId="TableGrid">
    <w:name w:val="Table Grid"/>
    <w:basedOn w:val="TableNormal"/>
    <w:uiPriority w:val="59"/>
    <w:rsid w:val="0064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3BB2"/>
    <w:rPr>
      <w:rFonts w:ascii="Tahoma" w:hAnsi="Tahoma" w:cs="Tahoma"/>
      <w:sz w:val="16"/>
      <w:szCs w:val="16"/>
    </w:rPr>
  </w:style>
  <w:style w:type="character" w:customStyle="1" w:styleId="BalloonTextChar">
    <w:name w:val="Balloon Text Char"/>
    <w:link w:val="BalloonText"/>
    <w:uiPriority w:val="99"/>
    <w:semiHidden/>
    <w:rsid w:val="00223BB2"/>
    <w:rPr>
      <w:rFonts w:ascii="Tahoma" w:hAnsi="Tahoma" w:cs="Tahoma"/>
      <w:sz w:val="16"/>
      <w:szCs w:val="16"/>
    </w:rPr>
  </w:style>
  <w:style w:type="character" w:styleId="CommentReference">
    <w:name w:val="annotation reference"/>
    <w:uiPriority w:val="99"/>
    <w:semiHidden/>
    <w:unhideWhenUsed/>
    <w:rsid w:val="00EE2F6D"/>
    <w:rPr>
      <w:sz w:val="16"/>
      <w:szCs w:val="16"/>
    </w:rPr>
  </w:style>
  <w:style w:type="paragraph" w:styleId="CommentText">
    <w:name w:val="annotation text"/>
    <w:basedOn w:val="Normal"/>
    <w:link w:val="CommentTextChar"/>
    <w:unhideWhenUsed/>
    <w:rsid w:val="00EE2F6D"/>
    <w:rPr>
      <w:sz w:val="20"/>
    </w:rPr>
  </w:style>
  <w:style w:type="character" w:customStyle="1" w:styleId="CommentTextChar">
    <w:name w:val="Comment Text Char"/>
    <w:link w:val="CommentText"/>
    <w:uiPriority w:val="99"/>
    <w:rsid w:val="00EE2F6D"/>
    <w:rPr>
      <w:rFonts w:ascii="Courier" w:hAnsi="Courier"/>
    </w:rPr>
  </w:style>
  <w:style w:type="paragraph" w:styleId="CommentSubject">
    <w:name w:val="annotation subject"/>
    <w:basedOn w:val="CommentText"/>
    <w:next w:val="CommentText"/>
    <w:link w:val="CommentSubjectChar"/>
    <w:uiPriority w:val="99"/>
    <w:semiHidden/>
    <w:unhideWhenUsed/>
    <w:rsid w:val="00EE2F6D"/>
    <w:rPr>
      <w:b/>
      <w:bCs/>
    </w:rPr>
  </w:style>
  <w:style w:type="character" w:customStyle="1" w:styleId="CommentSubjectChar">
    <w:name w:val="Comment Subject Char"/>
    <w:link w:val="CommentSubject"/>
    <w:uiPriority w:val="99"/>
    <w:semiHidden/>
    <w:rsid w:val="00EE2F6D"/>
    <w:rPr>
      <w:rFonts w:ascii="Courier" w:hAnsi="Courier"/>
      <w:b/>
      <w:bCs/>
    </w:rPr>
  </w:style>
  <w:style w:type="paragraph" w:styleId="Header">
    <w:name w:val="header"/>
    <w:basedOn w:val="Normal"/>
    <w:link w:val="HeaderChar"/>
    <w:uiPriority w:val="99"/>
    <w:unhideWhenUsed/>
    <w:rsid w:val="00D45F45"/>
    <w:pPr>
      <w:tabs>
        <w:tab w:val="center" w:pos="4680"/>
        <w:tab w:val="right" w:pos="9360"/>
      </w:tabs>
    </w:pPr>
  </w:style>
  <w:style w:type="character" w:customStyle="1" w:styleId="HeaderChar">
    <w:name w:val="Header Char"/>
    <w:link w:val="Header"/>
    <w:uiPriority w:val="99"/>
    <w:rsid w:val="00D45F45"/>
    <w:rPr>
      <w:rFonts w:ascii="Courier" w:hAnsi="Courier"/>
      <w:sz w:val="24"/>
    </w:rPr>
  </w:style>
  <w:style w:type="paragraph" w:styleId="Footer">
    <w:name w:val="footer"/>
    <w:basedOn w:val="Normal"/>
    <w:link w:val="FooterChar"/>
    <w:uiPriority w:val="99"/>
    <w:unhideWhenUsed/>
    <w:rsid w:val="00D45F45"/>
    <w:pPr>
      <w:tabs>
        <w:tab w:val="center" w:pos="4680"/>
        <w:tab w:val="right" w:pos="9360"/>
      </w:tabs>
    </w:pPr>
  </w:style>
  <w:style w:type="character" w:customStyle="1" w:styleId="FooterChar">
    <w:name w:val="Footer Char"/>
    <w:link w:val="Footer"/>
    <w:uiPriority w:val="99"/>
    <w:rsid w:val="00D45F45"/>
    <w:rPr>
      <w:rFonts w:ascii="Courier" w:hAnsi="Courier"/>
      <w:sz w:val="24"/>
    </w:rPr>
  </w:style>
  <w:style w:type="paragraph" w:styleId="Revision">
    <w:name w:val="Revision"/>
    <w:hidden/>
    <w:uiPriority w:val="99"/>
    <w:semiHidden/>
    <w:rsid w:val="00767829"/>
    <w:rPr>
      <w:rFonts w:ascii="Courier" w:hAnsi="Courier"/>
      <w:sz w:val="24"/>
    </w:rPr>
  </w:style>
  <w:style w:type="character" w:styleId="Hyperlink">
    <w:name w:val="Hyperlink"/>
    <w:uiPriority w:val="99"/>
    <w:semiHidden/>
    <w:unhideWhenUsed/>
    <w:rsid w:val="00354456"/>
    <w:rPr>
      <w:strike w:val="0"/>
      <w:dstrike w:val="0"/>
      <w:color w:val="00717C"/>
      <w:u w:val="none"/>
      <w:effect w:val="none"/>
      <w:bdr w:val="none" w:sz="0" w:space="0" w:color="auto" w:frame="1"/>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7144">
      <w:bodyDiv w:val="1"/>
      <w:marLeft w:val="0"/>
      <w:marRight w:val="0"/>
      <w:marTop w:val="0"/>
      <w:marBottom w:val="0"/>
      <w:divBdr>
        <w:top w:val="none" w:sz="0" w:space="0" w:color="auto"/>
        <w:left w:val="none" w:sz="0" w:space="0" w:color="auto"/>
        <w:bottom w:val="none" w:sz="0" w:space="0" w:color="auto"/>
        <w:right w:val="none" w:sz="0" w:space="0" w:color="auto"/>
      </w:divBdr>
    </w:div>
    <w:div w:id="120240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B030B4F61904CA190E5A8FEF038DA" ma:contentTypeVersion="" ma:contentTypeDescription="Create a new document." ma:contentTypeScope="" ma:versionID="dd04c81211391ba05fda2323b6c561eb">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1463B-0C10-40D7-BFAA-729B0C64E772}">
  <ds:schemaRefs>
    <ds:schemaRef ds:uri="http://schemas.microsoft.com/sharepoint/v3/contenttype/forms"/>
  </ds:schemaRefs>
</ds:datastoreItem>
</file>

<file path=customXml/itemProps2.xml><?xml version="1.0" encoding="utf-8"?>
<ds:datastoreItem xmlns:ds="http://schemas.openxmlformats.org/officeDocument/2006/customXml" ds:itemID="{0431B7C0-14A8-45FF-8AE2-3AEFC152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C6B0AD-35F8-421C-A513-9B75D67E4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106433B-AD22-4348-BFA2-F6626E53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2651</Words>
  <Characters>15112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subject/>
  <dc:creator>cftc</dc:creator>
  <cp:keywords/>
  <cp:lastModifiedBy>Scott, Gail B.</cp:lastModifiedBy>
  <cp:revision>2</cp:revision>
  <cp:lastPrinted>2018-04-03T13:48:00Z</cp:lastPrinted>
  <dcterms:created xsi:type="dcterms:W3CDTF">2021-04-15T23:16:00Z</dcterms:created>
  <dcterms:modified xsi:type="dcterms:W3CDTF">2021-04-15T23:16:00Z</dcterms:modified>
</cp:coreProperties>
</file>