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7630" w:rsidR="0034795C" w:rsidP="0034795C" w:rsidRDefault="0034795C" w14:paraId="434BD878" w14:textId="4E94EE91">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r>
      <w:r w:rsidR="0034015F">
        <w:rPr>
          <w:b/>
          <w:sz w:val="22"/>
          <w:szCs w:val="22"/>
        </w:rPr>
        <w:t>April</w:t>
      </w:r>
      <w:r w:rsidR="009F3EAF">
        <w:rPr>
          <w:b/>
          <w:sz w:val="22"/>
          <w:szCs w:val="22"/>
        </w:rPr>
        <w:t xml:space="preserve"> </w:t>
      </w:r>
      <w:r>
        <w:rPr>
          <w:b/>
          <w:sz w:val="22"/>
          <w:szCs w:val="22"/>
        </w:rPr>
        <w:t>202</w:t>
      </w:r>
      <w:r w:rsidR="007678F0">
        <w:rPr>
          <w:b/>
          <w:sz w:val="22"/>
          <w:szCs w:val="22"/>
        </w:rPr>
        <w:t>1</w:t>
      </w:r>
    </w:p>
    <w:p w:rsidRPr="0034795C" w:rsidR="0034795C" w:rsidP="0034795C" w:rsidRDefault="0034795C" w14:paraId="7F24C598" w14:textId="77777777">
      <w:pPr>
        <w:rPr>
          <w:b/>
          <w:bCs/>
        </w:rPr>
      </w:pPr>
      <w:r w:rsidRPr="0034795C">
        <w:rPr>
          <w:b/>
          <w:bCs/>
          <w:sz w:val="22"/>
          <w:szCs w:val="22"/>
        </w:rPr>
        <w:t>Legacy High-Cost Support Usage Flexibility Certification</w:t>
      </w:r>
    </w:p>
    <w:p w:rsidRPr="00A07630" w:rsidR="0034795C" w:rsidP="0034795C" w:rsidRDefault="0034795C" w14:paraId="4FBC54C6" w14:textId="5329A17B">
      <w:pPr>
        <w:pStyle w:val="Header"/>
        <w:rPr>
          <w:b/>
          <w:sz w:val="22"/>
          <w:szCs w:val="22"/>
        </w:rPr>
      </w:pPr>
    </w:p>
    <w:p w:rsidRPr="007D39F6" w:rsidR="00BB6DAD" w:rsidP="007A3812" w:rsidRDefault="00BB6DAD" w14:paraId="2143AB58" w14:textId="53857E51">
      <w:pPr>
        <w:tabs>
          <w:tab w:val="center" w:pos="4320"/>
          <w:tab w:val="right" w:pos="8640"/>
        </w:tabs>
        <w:jc w:val="both"/>
        <w:rPr>
          <w:b/>
        </w:rPr>
      </w:pPr>
      <w:r w:rsidRPr="007D39F6">
        <w:tab/>
      </w:r>
    </w:p>
    <w:p w:rsidRPr="00491393" w:rsidR="00536D74" w:rsidP="00536D74" w:rsidRDefault="00536D74" w14:paraId="77B6919F" w14:textId="77777777">
      <w:pPr>
        <w:jc w:val="center"/>
        <w:rPr>
          <w:sz w:val="22"/>
          <w:szCs w:val="22"/>
          <w:u w:val="single"/>
        </w:rPr>
      </w:pPr>
      <w:r w:rsidRPr="00491393">
        <w:rPr>
          <w:sz w:val="22"/>
          <w:szCs w:val="22"/>
          <w:u w:val="single"/>
        </w:rPr>
        <w:t>SUPPORTING STATEMENT</w:t>
      </w:r>
    </w:p>
    <w:p w:rsidRPr="00491393" w:rsidR="00E953EA" w:rsidP="00E953EA" w:rsidRDefault="00E953EA" w14:paraId="31FD7042" w14:textId="77777777">
      <w:pPr>
        <w:jc w:val="center"/>
        <w:rPr>
          <w:sz w:val="22"/>
          <w:szCs w:val="22"/>
        </w:rPr>
      </w:pPr>
    </w:p>
    <w:p w:rsidRPr="00491393" w:rsidR="0034795C" w:rsidP="0034795C" w:rsidRDefault="0034795C" w14:paraId="6A44CF30" w14:textId="74839C34">
      <w:pPr>
        <w:rPr>
          <w:sz w:val="22"/>
          <w:szCs w:val="22"/>
        </w:rPr>
      </w:pPr>
      <w:r w:rsidRPr="00491393">
        <w:rPr>
          <w:i/>
          <w:sz w:val="22"/>
          <w:szCs w:val="22"/>
        </w:rPr>
        <w:t xml:space="preserve">New Collection Titled: </w:t>
      </w:r>
      <w:r w:rsidRPr="000C5E35">
        <w:rPr>
          <w:sz w:val="22"/>
          <w:szCs w:val="22"/>
        </w:rPr>
        <w:t>Legacy High-Cost Support Usage Flexibility Certification</w:t>
      </w:r>
      <w:r w:rsidRPr="00491393">
        <w:rPr>
          <w:sz w:val="22"/>
          <w:szCs w:val="22"/>
        </w:rPr>
        <w:t xml:space="preserve">. </w:t>
      </w:r>
      <w:r w:rsidRPr="00B15467">
        <w:rPr>
          <w:sz w:val="22"/>
          <w:szCs w:val="22"/>
        </w:rPr>
        <w:t xml:space="preserve">The Federal Communications Commission (Commission) requests approval from the Office of Management and Budget (OMB) for a </w:t>
      </w:r>
      <w:r w:rsidRPr="00491393">
        <w:rPr>
          <w:sz w:val="22"/>
          <w:szCs w:val="22"/>
        </w:rPr>
        <w:t>new</w:t>
      </w:r>
      <w:r>
        <w:rPr>
          <w:sz w:val="22"/>
          <w:szCs w:val="22"/>
        </w:rPr>
        <w:t>, one-time</w:t>
      </w:r>
      <w:r w:rsidRPr="00491393">
        <w:rPr>
          <w:sz w:val="22"/>
          <w:szCs w:val="22"/>
        </w:rPr>
        <w:t xml:space="preserve"> information collection requirement </w:t>
      </w:r>
      <w:r w:rsidRPr="008F17B7">
        <w:rPr>
          <w:sz w:val="22"/>
          <w:szCs w:val="22"/>
        </w:rPr>
        <w:t xml:space="preserve">necessary to implement </w:t>
      </w:r>
      <w:proofErr w:type="gramStart"/>
      <w:r w:rsidRPr="00101F6A">
        <w:rPr>
          <w:sz w:val="22"/>
          <w:szCs w:val="22"/>
        </w:rPr>
        <w:t>recently-adopted</w:t>
      </w:r>
      <w:proofErr w:type="gramEnd"/>
      <w:r w:rsidRPr="00101F6A">
        <w:rPr>
          <w:sz w:val="22"/>
          <w:szCs w:val="22"/>
        </w:rPr>
        <w:t xml:space="preserve"> requirements for competitive </w:t>
      </w:r>
      <w:r w:rsidRPr="00101F6A" w:rsidR="005C1275">
        <w:rPr>
          <w:sz w:val="22"/>
          <w:szCs w:val="22"/>
        </w:rPr>
        <w:t>eligible telecommunications carriers (</w:t>
      </w:r>
      <w:r w:rsidRPr="00101F6A">
        <w:rPr>
          <w:sz w:val="22"/>
          <w:szCs w:val="22"/>
        </w:rPr>
        <w:t>ETCs</w:t>
      </w:r>
      <w:r w:rsidRPr="00101F6A" w:rsidR="005C1275">
        <w:rPr>
          <w:sz w:val="22"/>
          <w:szCs w:val="22"/>
        </w:rPr>
        <w:t>)</w:t>
      </w:r>
      <w:r w:rsidRPr="00101F6A">
        <w:rPr>
          <w:sz w:val="22"/>
          <w:szCs w:val="22"/>
        </w:rPr>
        <w:t xml:space="preserve"> receiving legacy high-cost support for mobile </w:t>
      </w:r>
      <w:r w:rsidRPr="00101F6A" w:rsidR="005C1275">
        <w:rPr>
          <w:sz w:val="22"/>
          <w:szCs w:val="22"/>
        </w:rPr>
        <w:t xml:space="preserve">wireless </w:t>
      </w:r>
      <w:r w:rsidRPr="00101F6A">
        <w:rPr>
          <w:sz w:val="22"/>
          <w:szCs w:val="22"/>
        </w:rPr>
        <w:t>services, as explained below.</w:t>
      </w:r>
    </w:p>
    <w:p w:rsidRPr="00491393" w:rsidR="0034795C" w:rsidP="0034795C" w:rsidRDefault="0034795C" w14:paraId="6CCD53DA" w14:textId="77777777">
      <w:pPr>
        <w:jc w:val="center"/>
        <w:rPr>
          <w:b/>
          <w:sz w:val="22"/>
          <w:szCs w:val="22"/>
        </w:rPr>
      </w:pPr>
    </w:p>
    <w:p w:rsidRPr="00491393" w:rsidR="0034795C" w:rsidP="0034795C" w:rsidRDefault="0034795C" w14:paraId="1C16D639" w14:textId="77777777">
      <w:pPr>
        <w:pStyle w:val="Heading1"/>
        <w:rPr>
          <w:bCs w:val="0"/>
          <w:sz w:val="22"/>
          <w:szCs w:val="22"/>
        </w:rPr>
      </w:pPr>
      <w:r w:rsidRPr="00491393">
        <w:rPr>
          <w:bCs w:val="0"/>
          <w:sz w:val="22"/>
          <w:szCs w:val="22"/>
        </w:rPr>
        <w:t>Justification</w:t>
      </w:r>
      <w:r w:rsidRPr="00491393">
        <w:rPr>
          <w:bCs w:val="0"/>
          <w:sz w:val="22"/>
          <w:szCs w:val="22"/>
          <w:u w:val="none"/>
        </w:rPr>
        <w:t>:</w:t>
      </w:r>
    </w:p>
    <w:p w:rsidRPr="00491393" w:rsidR="0034795C" w:rsidP="0034795C" w:rsidRDefault="0034795C" w14:paraId="3324FE48" w14:textId="77777777">
      <w:pPr>
        <w:rPr>
          <w:sz w:val="22"/>
          <w:szCs w:val="22"/>
        </w:rPr>
      </w:pPr>
    </w:p>
    <w:p w:rsidR="00C37CD3" w:rsidP="00C37CD3" w:rsidRDefault="0034795C" w14:paraId="14B7729C" w14:textId="42910DA9">
      <w:pPr>
        <w:rPr>
          <w:sz w:val="22"/>
          <w:szCs w:val="22"/>
        </w:rPr>
      </w:pPr>
      <w:r w:rsidRPr="00491393">
        <w:rPr>
          <w:iCs/>
          <w:sz w:val="22"/>
          <w:szCs w:val="22"/>
        </w:rPr>
        <w:t>1.</w:t>
      </w:r>
      <w:r w:rsidRPr="00491393">
        <w:rPr>
          <w:i/>
          <w:iCs/>
          <w:sz w:val="22"/>
          <w:szCs w:val="22"/>
        </w:rPr>
        <w:tab/>
        <w:t>Circumstances that make this collection necessary.</w:t>
      </w:r>
      <w:r w:rsidRPr="00491393">
        <w:rPr>
          <w:sz w:val="22"/>
          <w:szCs w:val="22"/>
        </w:rPr>
        <w:t xml:space="preserve">  </w:t>
      </w:r>
      <w:r w:rsidRPr="00491393" w:rsidR="00C37CD3">
        <w:rPr>
          <w:sz w:val="22"/>
          <w:szCs w:val="22"/>
        </w:rPr>
        <w:t>Under this new</w:t>
      </w:r>
      <w:r w:rsidR="00B71E2F">
        <w:rPr>
          <w:sz w:val="22"/>
          <w:szCs w:val="22"/>
        </w:rPr>
        <w:t>, one-time</w:t>
      </w:r>
      <w:r w:rsidRPr="00491393" w:rsidR="00C37CD3">
        <w:rPr>
          <w:sz w:val="22"/>
          <w:szCs w:val="22"/>
        </w:rPr>
        <w:t xml:space="preserve"> </w:t>
      </w:r>
      <w:r w:rsidR="00C37CD3">
        <w:rPr>
          <w:sz w:val="22"/>
          <w:szCs w:val="22"/>
        </w:rPr>
        <w:t>information</w:t>
      </w:r>
      <w:r w:rsidRPr="00491393" w:rsidR="00C37CD3">
        <w:rPr>
          <w:sz w:val="22"/>
          <w:szCs w:val="22"/>
        </w:rPr>
        <w:t xml:space="preserve"> collection, the Commission will collect </w:t>
      </w:r>
      <w:r w:rsidR="00C37CD3">
        <w:rPr>
          <w:sz w:val="22"/>
          <w:szCs w:val="22"/>
        </w:rPr>
        <w:t>a certification</w:t>
      </w:r>
      <w:r w:rsidRPr="00491393" w:rsidR="00C37CD3">
        <w:rPr>
          <w:sz w:val="22"/>
          <w:szCs w:val="22"/>
        </w:rPr>
        <w:t xml:space="preserve"> from</w:t>
      </w:r>
      <w:r w:rsidR="00C37CD3">
        <w:rPr>
          <w:sz w:val="22"/>
          <w:szCs w:val="22"/>
        </w:rPr>
        <w:t xml:space="preserve"> </w:t>
      </w:r>
      <w:r w:rsidR="00B85A46">
        <w:rPr>
          <w:sz w:val="22"/>
          <w:szCs w:val="22"/>
        </w:rPr>
        <w:t xml:space="preserve">any </w:t>
      </w:r>
      <w:r w:rsidRPr="00101F6A" w:rsidR="00707E7E">
        <w:rPr>
          <w:sz w:val="22"/>
          <w:szCs w:val="22"/>
        </w:rPr>
        <w:t>competitive ETC</w:t>
      </w:r>
      <w:r w:rsidR="00B85A46">
        <w:rPr>
          <w:sz w:val="22"/>
          <w:szCs w:val="22"/>
        </w:rPr>
        <w:t xml:space="preserve"> </w:t>
      </w:r>
      <w:r w:rsidRPr="002C318C" w:rsidR="00707E7E">
        <w:rPr>
          <w:sz w:val="22"/>
          <w:szCs w:val="22"/>
        </w:rPr>
        <w:t xml:space="preserve">receiving legacy high-cost support for mobile wireless services </w:t>
      </w:r>
      <w:r w:rsidR="00B85A46">
        <w:rPr>
          <w:sz w:val="22"/>
          <w:szCs w:val="22"/>
        </w:rPr>
        <w:t xml:space="preserve">that </w:t>
      </w:r>
      <w:r w:rsidR="00C37CD3">
        <w:rPr>
          <w:sz w:val="22"/>
          <w:szCs w:val="22"/>
        </w:rPr>
        <w:t>wish</w:t>
      </w:r>
      <w:r w:rsidR="00B85A46">
        <w:rPr>
          <w:sz w:val="22"/>
          <w:szCs w:val="22"/>
        </w:rPr>
        <w:t>es</w:t>
      </w:r>
      <w:r w:rsidR="00C37CD3">
        <w:rPr>
          <w:sz w:val="22"/>
          <w:szCs w:val="22"/>
        </w:rPr>
        <w:t xml:space="preserve"> to avail </w:t>
      </w:r>
      <w:r w:rsidR="00B85A46">
        <w:rPr>
          <w:sz w:val="22"/>
          <w:szCs w:val="22"/>
        </w:rPr>
        <w:t>itself</w:t>
      </w:r>
      <w:r w:rsidR="00C37CD3">
        <w:rPr>
          <w:sz w:val="22"/>
          <w:szCs w:val="22"/>
        </w:rPr>
        <w:t xml:space="preserve"> of the flexibility adopted in the </w:t>
      </w:r>
      <w:r w:rsidRPr="003F6AB9" w:rsidR="00C37CD3">
        <w:rPr>
          <w:i/>
          <w:iCs/>
          <w:color w:val="000000"/>
          <w:sz w:val="22"/>
          <w:szCs w:val="22"/>
        </w:rPr>
        <w:t>5G Fund Report and Order</w:t>
      </w:r>
      <w:r w:rsidR="00C37CD3">
        <w:rPr>
          <w:color w:val="000000"/>
          <w:sz w:val="22"/>
          <w:szCs w:val="22"/>
        </w:rPr>
        <w:t xml:space="preserve"> </w:t>
      </w:r>
      <w:r w:rsidR="00C37CD3">
        <w:rPr>
          <w:sz w:val="22"/>
          <w:szCs w:val="22"/>
        </w:rPr>
        <w:t xml:space="preserve">concerning </w:t>
      </w:r>
      <w:r w:rsidR="00B85A46">
        <w:rPr>
          <w:sz w:val="22"/>
          <w:szCs w:val="22"/>
        </w:rPr>
        <w:t>its</w:t>
      </w:r>
      <w:r w:rsidR="00C37CD3">
        <w:rPr>
          <w:sz w:val="22"/>
          <w:szCs w:val="22"/>
        </w:rPr>
        <w:t xml:space="preserve"> 2021 and 2022 l</w:t>
      </w:r>
      <w:r w:rsidRPr="000C5E35" w:rsidR="00C37CD3">
        <w:rPr>
          <w:sz w:val="22"/>
          <w:szCs w:val="22"/>
        </w:rPr>
        <w:t xml:space="preserve">egacy </w:t>
      </w:r>
      <w:r w:rsidR="00C37CD3">
        <w:rPr>
          <w:sz w:val="22"/>
          <w:szCs w:val="22"/>
        </w:rPr>
        <w:t>h</w:t>
      </w:r>
      <w:r w:rsidRPr="000C5E35" w:rsidR="00C37CD3">
        <w:rPr>
          <w:sz w:val="22"/>
          <w:szCs w:val="22"/>
        </w:rPr>
        <w:t>igh-</w:t>
      </w:r>
      <w:r w:rsidR="00C37CD3">
        <w:rPr>
          <w:sz w:val="22"/>
          <w:szCs w:val="22"/>
        </w:rPr>
        <w:t>c</w:t>
      </w:r>
      <w:r w:rsidRPr="000C5E35" w:rsidR="00C37CD3">
        <w:rPr>
          <w:sz w:val="22"/>
          <w:szCs w:val="22"/>
        </w:rPr>
        <w:t xml:space="preserve">ost </w:t>
      </w:r>
      <w:r w:rsidR="00C37CD3">
        <w:rPr>
          <w:sz w:val="22"/>
          <w:szCs w:val="22"/>
        </w:rPr>
        <w:t>s</w:t>
      </w:r>
      <w:r w:rsidRPr="000C5E35" w:rsidR="00C37CD3">
        <w:rPr>
          <w:sz w:val="22"/>
          <w:szCs w:val="22"/>
        </w:rPr>
        <w:t xml:space="preserve">upport </w:t>
      </w:r>
      <w:r w:rsidR="00C37CD3">
        <w:rPr>
          <w:sz w:val="22"/>
          <w:szCs w:val="22"/>
        </w:rPr>
        <w:t>u</w:t>
      </w:r>
      <w:r w:rsidRPr="000C5E35" w:rsidR="00C37CD3">
        <w:rPr>
          <w:sz w:val="22"/>
          <w:szCs w:val="22"/>
        </w:rPr>
        <w:t xml:space="preserve">sage </w:t>
      </w:r>
      <w:r w:rsidR="00C37CD3">
        <w:rPr>
          <w:sz w:val="22"/>
          <w:szCs w:val="22"/>
        </w:rPr>
        <w:t>requirements.</w:t>
      </w:r>
      <w:r w:rsidR="00C37CD3">
        <w:rPr>
          <w:color w:val="000000"/>
          <w:sz w:val="22"/>
          <w:szCs w:val="22"/>
        </w:rPr>
        <w:t xml:space="preserve">  </w:t>
      </w:r>
      <w:r w:rsidR="00C37CD3">
        <w:rPr>
          <w:sz w:val="22"/>
          <w:szCs w:val="22"/>
        </w:rPr>
        <w:t xml:space="preserve"> </w:t>
      </w:r>
    </w:p>
    <w:p w:rsidR="00C37CD3" w:rsidP="0034795C" w:rsidRDefault="00C37CD3" w14:paraId="1D432584" w14:textId="77777777">
      <w:pPr>
        <w:rPr>
          <w:sz w:val="22"/>
          <w:szCs w:val="22"/>
        </w:rPr>
      </w:pPr>
    </w:p>
    <w:p w:rsidRPr="00290A43" w:rsidR="008D6F29" w:rsidP="0034795C" w:rsidRDefault="0034795C" w14:paraId="2DE4C4EC" w14:textId="54BCE86D">
      <w:pPr>
        <w:rPr>
          <w:i/>
          <w:sz w:val="22"/>
          <w:szCs w:val="22"/>
        </w:rPr>
      </w:pPr>
      <w:r w:rsidRPr="00290A43">
        <w:rPr>
          <w:sz w:val="22"/>
          <w:szCs w:val="22"/>
        </w:rPr>
        <w:t xml:space="preserve">On November 18, 2011, the Commission released </w:t>
      </w:r>
      <w:r w:rsidR="00852677">
        <w:rPr>
          <w:sz w:val="22"/>
          <w:szCs w:val="22"/>
        </w:rPr>
        <w:t xml:space="preserve">the </w:t>
      </w:r>
      <w:r w:rsidRPr="005F4E0C" w:rsidR="00852677">
        <w:rPr>
          <w:i/>
          <w:sz w:val="22"/>
          <w:szCs w:val="22"/>
        </w:rPr>
        <w:t>USF/ICC Transformation Order</w:t>
      </w:r>
      <w:r w:rsidRPr="005F4E0C" w:rsidR="00852677">
        <w:rPr>
          <w:iCs/>
          <w:sz w:val="22"/>
          <w:szCs w:val="22"/>
        </w:rPr>
        <w:t xml:space="preserve"> </w:t>
      </w:r>
      <w:r w:rsidR="00C37CD3">
        <w:rPr>
          <w:iCs/>
          <w:sz w:val="22"/>
          <w:szCs w:val="22"/>
        </w:rPr>
        <w:t xml:space="preserve">(FCC 11-161) </w:t>
      </w:r>
      <w:r w:rsidRPr="005F4E0C" w:rsidR="00852677">
        <w:rPr>
          <w:iCs/>
          <w:sz w:val="22"/>
          <w:szCs w:val="22"/>
        </w:rPr>
        <w:t>in which it</w:t>
      </w:r>
      <w:r w:rsidR="00CA0A50">
        <w:rPr>
          <w:sz w:val="22"/>
          <w:szCs w:val="22"/>
        </w:rPr>
        <w:t xml:space="preserve"> </w:t>
      </w:r>
      <w:r w:rsidRPr="00290A43">
        <w:rPr>
          <w:sz w:val="22"/>
          <w:szCs w:val="22"/>
        </w:rPr>
        <w:t>comprehensively reform</w:t>
      </w:r>
      <w:r w:rsidR="00852677">
        <w:rPr>
          <w:sz w:val="22"/>
          <w:szCs w:val="22"/>
        </w:rPr>
        <w:t>ed</w:t>
      </w:r>
      <w:r w:rsidRPr="00290A43">
        <w:rPr>
          <w:sz w:val="22"/>
          <w:szCs w:val="22"/>
        </w:rPr>
        <w:t xml:space="preserve"> and moderniz</w:t>
      </w:r>
      <w:r w:rsidR="00852677">
        <w:rPr>
          <w:sz w:val="22"/>
          <w:szCs w:val="22"/>
        </w:rPr>
        <w:t>ed</w:t>
      </w:r>
      <w:r w:rsidRPr="00290A43">
        <w:rPr>
          <w:sz w:val="22"/>
          <w:szCs w:val="22"/>
        </w:rPr>
        <w:t xml:space="preserve"> the universal service and intercarrier compensation systems to ensure that robust, affordable voice and broadband service, both fixed and mobile, are available to Americans throughout the nation.  In the </w:t>
      </w:r>
      <w:r w:rsidRPr="00290A43">
        <w:rPr>
          <w:i/>
          <w:sz w:val="22"/>
          <w:szCs w:val="22"/>
        </w:rPr>
        <w:t>USF/ICC Transformation Order</w:t>
      </w:r>
      <w:r w:rsidRPr="00290A43">
        <w:rPr>
          <w:sz w:val="22"/>
          <w:szCs w:val="22"/>
        </w:rPr>
        <w:t>, the Commission</w:t>
      </w:r>
      <w:r w:rsidR="00C37CD3">
        <w:rPr>
          <w:sz w:val="22"/>
          <w:szCs w:val="22"/>
        </w:rPr>
        <w:t>, among other things,</w:t>
      </w:r>
      <w:r w:rsidRPr="00290A43" w:rsidR="00290A43">
        <w:rPr>
          <w:sz w:val="22"/>
          <w:szCs w:val="22"/>
        </w:rPr>
        <w:t xml:space="preserve"> </w:t>
      </w:r>
      <w:r w:rsidR="00596FBA">
        <w:rPr>
          <w:sz w:val="22"/>
          <w:szCs w:val="22"/>
        </w:rPr>
        <w:t xml:space="preserve">adopted a requirement </w:t>
      </w:r>
      <w:r w:rsidRPr="00290A43" w:rsidR="00290A43">
        <w:rPr>
          <w:sz w:val="22"/>
          <w:szCs w:val="22"/>
        </w:rPr>
        <w:t>that</w:t>
      </w:r>
      <w:r w:rsidRPr="00290A43" w:rsidR="008D6F29">
        <w:rPr>
          <w:color w:val="000000"/>
          <w:sz w:val="22"/>
          <w:szCs w:val="22"/>
        </w:rPr>
        <w:t xml:space="preserve"> all ETCs offer broadband service in their supported area that meets certain basic performance requirements and report regularly on associated performance measures</w:t>
      </w:r>
      <w:r w:rsidR="00596FBA">
        <w:rPr>
          <w:color w:val="000000"/>
          <w:sz w:val="22"/>
          <w:szCs w:val="22"/>
        </w:rPr>
        <w:t xml:space="preserve"> </w:t>
      </w:r>
      <w:r w:rsidRPr="00290A43" w:rsidR="00596FBA">
        <w:rPr>
          <w:sz w:val="22"/>
          <w:szCs w:val="22"/>
        </w:rPr>
        <w:t xml:space="preserve">as </w:t>
      </w:r>
      <w:r w:rsidRPr="00290A43" w:rsidR="00596FBA">
        <w:rPr>
          <w:color w:val="000000"/>
          <w:sz w:val="22"/>
          <w:szCs w:val="22"/>
        </w:rPr>
        <w:t xml:space="preserve">a condition of receiving federal high-cost universal service </w:t>
      </w:r>
      <w:r w:rsidRPr="00290A43" w:rsidR="00596FBA">
        <w:rPr>
          <w:color w:val="000000"/>
          <w:sz w:val="22"/>
          <w:szCs w:val="22"/>
          <w:lang w:eastAsia="ja-JP"/>
        </w:rPr>
        <w:t>support</w:t>
      </w:r>
      <w:r w:rsidRPr="00290A43" w:rsidR="008D6F29">
        <w:rPr>
          <w:color w:val="000000"/>
          <w:sz w:val="22"/>
          <w:szCs w:val="22"/>
        </w:rPr>
        <w:t xml:space="preserve">.  </w:t>
      </w:r>
    </w:p>
    <w:p w:rsidR="0034795C" w:rsidP="00867722" w:rsidRDefault="0034795C" w14:paraId="2BBB2C15" w14:textId="77777777">
      <w:pPr>
        <w:rPr>
          <w:i/>
          <w:sz w:val="22"/>
          <w:szCs w:val="22"/>
        </w:rPr>
      </w:pPr>
    </w:p>
    <w:p w:rsidRPr="002C318C" w:rsidR="00B85A46" w:rsidP="0034795C" w:rsidRDefault="0034795C" w14:paraId="23ABC38D" w14:textId="3282A1EC">
      <w:pPr>
        <w:rPr>
          <w:sz w:val="22"/>
          <w:szCs w:val="22"/>
        </w:rPr>
      </w:pPr>
      <w:r w:rsidRPr="00086097">
        <w:rPr>
          <w:sz w:val="22"/>
          <w:szCs w:val="22"/>
        </w:rPr>
        <w:t xml:space="preserve">On October 27, 2020, the Commission adopted </w:t>
      </w:r>
      <w:r w:rsidRPr="00086097" w:rsidR="00852677">
        <w:rPr>
          <w:sz w:val="22"/>
          <w:szCs w:val="22"/>
        </w:rPr>
        <w:t xml:space="preserve">the </w:t>
      </w:r>
      <w:r w:rsidRPr="00086097" w:rsidR="00852677">
        <w:rPr>
          <w:i/>
          <w:iCs/>
          <w:color w:val="000000"/>
          <w:sz w:val="22"/>
          <w:szCs w:val="22"/>
        </w:rPr>
        <w:t>5G Fund Report and Order</w:t>
      </w:r>
      <w:r w:rsidR="009C729A">
        <w:rPr>
          <w:i/>
          <w:iCs/>
          <w:color w:val="000000"/>
          <w:sz w:val="22"/>
          <w:szCs w:val="22"/>
        </w:rPr>
        <w:t xml:space="preserve"> </w:t>
      </w:r>
      <w:r w:rsidRPr="00FF2AC9" w:rsidR="009C729A">
        <w:rPr>
          <w:color w:val="000000"/>
          <w:sz w:val="22"/>
          <w:szCs w:val="22"/>
        </w:rPr>
        <w:t>(FCC 20-150)</w:t>
      </w:r>
      <w:r w:rsidR="009C729A">
        <w:rPr>
          <w:i/>
          <w:iCs/>
          <w:color w:val="000000"/>
          <w:sz w:val="22"/>
          <w:szCs w:val="22"/>
        </w:rPr>
        <w:t xml:space="preserve"> </w:t>
      </w:r>
      <w:r w:rsidRPr="00086097">
        <w:rPr>
          <w:sz w:val="22"/>
          <w:szCs w:val="22"/>
        </w:rPr>
        <w:t>in which it</w:t>
      </w:r>
      <w:r w:rsidRPr="00086097" w:rsidR="005C1275">
        <w:rPr>
          <w:sz w:val="22"/>
          <w:szCs w:val="22"/>
        </w:rPr>
        <w:t xml:space="preserve">, among other things, </w:t>
      </w:r>
      <w:r w:rsidRPr="002C318C" w:rsidR="00784B19">
        <w:rPr>
          <w:sz w:val="22"/>
          <w:szCs w:val="22"/>
        </w:rPr>
        <w:t xml:space="preserve">helped to complete the reform of the high-cost program </w:t>
      </w:r>
      <w:r w:rsidRPr="002C318C" w:rsidR="005F4E0C">
        <w:rPr>
          <w:sz w:val="22"/>
          <w:szCs w:val="22"/>
        </w:rPr>
        <w:t>begun</w:t>
      </w:r>
      <w:r w:rsidRPr="002C318C" w:rsidR="00784B19">
        <w:rPr>
          <w:sz w:val="22"/>
          <w:szCs w:val="22"/>
        </w:rPr>
        <w:t xml:space="preserve"> in the </w:t>
      </w:r>
      <w:r w:rsidRPr="002C318C" w:rsidR="00784B19">
        <w:rPr>
          <w:i/>
          <w:sz w:val="22"/>
          <w:szCs w:val="22"/>
        </w:rPr>
        <w:t>USF/ICC Transformation Order</w:t>
      </w:r>
      <w:r w:rsidRPr="002C318C" w:rsidR="00784B19">
        <w:rPr>
          <w:sz w:val="22"/>
          <w:szCs w:val="22"/>
        </w:rPr>
        <w:t xml:space="preserve"> </w:t>
      </w:r>
      <w:r w:rsidRPr="002C318C" w:rsidR="00852677">
        <w:rPr>
          <w:sz w:val="22"/>
          <w:szCs w:val="22"/>
        </w:rPr>
        <w:t xml:space="preserve">by adopting additional public interest obligations and performance requirements </w:t>
      </w:r>
      <w:r w:rsidRPr="002C318C" w:rsidR="00784B19">
        <w:rPr>
          <w:sz w:val="22"/>
          <w:szCs w:val="22"/>
        </w:rPr>
        <w:t xml:space="preserve">for legacy high-cost support recipients, whose broadband-specific public interest obligations for mobile </w:t>
      </w:r>
      <w:r w:rsidRPr="002C318C" w:rsidR="00C37CD3">
        <w:rPr>
          <w:sz w:val="22"/>
          <w:szCs w:val="22"/>
        </w:rPr>
        <w:t xml:space="preserve">wireless </w:t>
      </w:r>
      <w:r w:rsidRPr="002C318C" w:rsidR="00784B19">
        <w:rPr>
          <w:sz w:val="22"/>
          <w:szCs w:val="22"/>
        </w:rPr>
        <w:t>services were not previously detailed.</w:t>
      </w:r>
      <w:r w:rsidRPr="002C318C">
        <w:rPr>
          <w:i/>
          <w:iCs/>
          <w:color w:val="000000"/>
          <w:sz w:val="22"/>
          <w:szCs w:val="22"/>
        </w:rPr>
        <w:t xml:space="preserve"> </w:t>
      </w:r>
      <w:r w:rsidRPr="002C318C" w:rsidR="005F4E0C">
        <w:rPr>
          <w:color w:val="000000"/>
          <w:sz w:val="22"/>
          <w:szCs w:val="22"/>
        </w:rPr>
        <w:t xml:space="preserve"> </w:t>
      </w:r>
      <w:r w:rsidRPr="002C318C" w:rsidR="00C37CD3">
        <w:rPr>
          <w:color w:val="000000"/>
          <w:sz w:val="22"/>
          <w:szCs w:val="22"/>
        </w:rPr>
        <w:t xml:space="preserve">The public interest obligations </w:t>
      </w:r>
      <w:r w:rsidRPr="002C318C" w:rsidR="006F4D18">
        <w:rPr>
          <w:sz w:val="22"/>
          <w:szCs w:val="22"/>
        </w:rPr>
        <w:t xml:space="preserve">adopted in the </w:t>
      </w:r>
      <w:r w:rsidRPr="002C318C" w:rsidR="006F4D18">
        <w:rPr>
          <w:i/>
          <w:iCs/>
          <w:color w:val="000000"/>
          <w:sz w:val="22"/>
          <w:szCs w:val="22"/>
        </w:rPr>
        <w:t>5G Fund Report and Order</w:t>
      </w:r>
      <w:r w:rsidRPr="002C318C" w:rsidR="006F4D18">
        <w:rPr>
          <w:color w:val="000000"/>
          <w:sz w:val="22"/>
          <w:szCs w:val="22"/>
        </w:rPr>
        <w:t xml:space="preserve"> </w:t>
      </w:r>
      <w:r w:rsidRPr="002C318C" w:rsidR="00C37CD3">
        <w:rPr>
          <w:color w:val="000000"/>
          <w:sz w:val="22"/>
          <w:szCs w:val="22"/>
        </w:rPr>
        <w:t xml:space="preserve">for </w:t>
      </w:r>
      <w:r w:rsidRPr="002C318C" w:rsidR="006F4D18">
        <w:rPr>
          <w:color w:val="000000"/>
          <w:sz w:val="22"/>
          <w:szCs w:val="22"/>
        </w:rPr>
        <w:t>each</w:t>
      </w:r>
      <w:r w:rsidRPr="002C318C" w:rsidR="00C37CD3">
        <w:rPr>
          <w:color w:val="000000"/>
          <w:sz w:val="22"/>
          <w:szCs w:val="22"/>
        </w:rPr>
        <w:t xml:space="preserve"> </w:t>
      </w:r>
      <w:r w:rsidRPr="002C318C" w:rsidR="006F4D18">
        <w:rPr>
          <w:sz w:val="22"/>
          <w:szCs w:val="22"/>
        </w:rPr>
        <w:t xml:space="preserve">competitive ETC receiving legacy high-cost support for mobile wireless services </w:t>
      </w:r>
      <w:r w:rsidRPr="002C318C" w:rsidR="00420E1A">
        <w:rPr>
          <w:color w:val="000000"/>
          <w:sz w:val="22"/>
          <w:szCs w:val="22"/>
        </w:rPr>
        <w:t>require</w:t>
      </w:r>
      <w:r w:rsidRPr="002C318C" w:rsidR="00C37CD3">
        <w:rPr>
          <w:color w:val="000000"/>
          <w:sz w:val="22"/>
          <w:szCs w:val="22"/>
        </w:rPr>
        <w:t xml:space="preserve"> </w:t>
      </w:r>
      <w:r w:rsidRPr="002C318C" w:rsidR="006F4D18">
        <w:rPr>
          <w:color w:val="000000"/>
          <w:sz w:val="22"/>
          <w:szCs w:val="22"/>
        </w:rPr>
        <w:t xml:space="preserve">that </w:t>
      </w:r>
      <w:r w:rsidRPr="002C318C" w:rsidR="00420E1A">
        <w:rPr>
          <w:color w:val="000000"/>
          <w:sz w:val="22"/>
          <w:szCs w:val="22"/>
        </w:rPr>
        <w:t xml:space="preserve">such a </w:t>
      </w:r>
      <w:r w:rsidRPr="002C318C" w:rsidR="006F4D18">
        <w:rPr>
          <w:color w:val="000000"/>
          <w:sz w:val="22"/>
          <w:szCs w:val="22"/>
        </w:rPr>
        <w:t>carrier</w:t>
      </w:r>
      <w:r w:rsidRPr="002C318C" w:rsidR="00C37CD3">
        <w:rPr>
          <w:color w:val="000000"/>
          <w:sz w:val="22"/>
          <w:szCs w:val="22"/>
        </w:rPr>
        <w:t xml:space="preserve"> </w:t>
      </w:r>
      <w:r w:rsidRPr="002C318C" w:rsidR="00420E1A">
        <w:rPr>
          <w:color w:val="000000"/>
          <w:sz w:val="22"/>
          <w:szCs w:val="22"/>
        </w:rPr>
        <w:t xml:space="preserve">(1) </w:t>
      </w:r>
      <w:r w:rsidRPr="002C318C" w:rsidR="00C37CD3">
        <w:rPr>
          <w:sz w:val="22"/>
          <w:szCs w:val="22"/>
        </w:rPr>
        <w:t xml:space="preserve">use an increasing percentage of </w:t>
      </w:r>
      <w:r w:rsidRPr="002C318C" w:rsidR="006F4D18">
        <w:rPr>
          <w:sz w:val="22"/>
          <w:szCs w:val="22"/>
        </w:rPr>
        <w:t>its</w:t>
      </w:r>
      <w:r w:rsidRPr="002C318C" w:rsidR="00C37CD3">
        <w:rPr>
          <w:sz w:val="22"/>
          <w:szCs w:val="22"/>
        </w:rPr>
        <w:t xml:space="preserve"> legacy support toward the deployment, maintenance, and operation of voice and broadband networks that support 5G meeting the </w:t>
      </w:r>
      <w:r w:rsidRPr="002C318C" w:rsidR="00420E1A">
        <w:rPr>
          <w:sz w:val="22"/>
          <w:szCs w:val="22"/>
        </w:rPr>
        <w:t xml:space="preserve">adopted </w:t>
      </w:r>
      <w:r w:rsidRPr="002C318C" w:rsidR="00C37CD3">
        <w:rPr>
          <w:sz w:val="22"/>
          <w:szCs w:val="22"/>
        </w:rPr>
        <w:t xml:space="preserve">performance requirements within </w:t>
      </w:r>
      <w:r w:rsidRPr="002C318C" w:rsidR="006F4D18">
        <w:rPr>
          <w:sz w:val="22"/>
          <w:szCs w:val="22"/>
        </w:rPr>
        <w:t>its</w:t>
      </w:r>
      <w:r w:rsidRPr="002C318C" w:rsidR="00C37CD3">
        <w:rPr>
          <w:sz w:val="22"/>
          <w:szCs w:val="22"/>
        </w:rPr>
        <w:t xml:space="preserve"> subsidized service area</w:t>
      </w:r>
      <w:r w:rsidRPr="002C318C" w:rsidR="006F4D18">
        <w:rPr>
          <w:sz w:val="22"/>
          <w:szCs w:val="22"/>
        </w:rPr>
        <w:t>(</w:t>
      </w:r>
      <w:r w:rsidRPr="002C318C" w:rsidR="00C37CD3">
        <w:rPr>
          <w:sz w:val="22"/>
          <w:szCs w:val="22"/>
        </w:rPr>
        <w:t>s</w:t>
      </w:r>
      <w:r w:rsidRPr="002C318C" w:rsidR="006F4D18">
        <w:rPr>
          <w:sz w:val="22"/>
          <w:szCs w:val="22"/>
        </w:rPr>
        <w:t xml:space="preserve">), and (2) </w:t>
      </w:r>
      <w:r w:rsidRPr="002C318C" w:rsidR="00420E1A">
        <w:rPr>
          <w:sz w:val="22"/>
          <w:szCs w:val="22"/>
        </w:rPr>
        <w:t xml:space="preserve">meet </w:t>
      </w:r>
      <w:r w:rsidRPr="002C318C" w:rsidR="006F4D18">
        <w:rPr>
          <w:sz w:val="22"/>
          <w:szCs w:val="22"/>
        </w:rPr>
        <w:t>specific 5G broadband service deployment coverage requirements and service deployment milestone deadlines that take into consideration the amount of legacy support the carrier receives.</w:t>
      </w:r>
      <w:r w:rsidR="00707E7E">
        <w:rPr>
          <w:sz w:val="22"/>
          <w:szCs w:val="22"/>
        </w:rPr>
        <w:t xml:space="preserve">  </w:t>
      </w:r>
      <w:r w:rsidRPr="002C318C" w:rsidR="00420E1A">
        <w:rPr>
          <w:sz w:val="22"/>
          <w:szCs w:val="22"/>
        </w:rPr>
        <w:t>With respect to the require</w:t>
      </w:r>
      <w:r w:rsidRPr="002C318C" w:rsidR="00086097">
        <w:rPr>
          <w:sz w:val="22"/>
          <w:szCs w:val="22"/>
        </w:rPr>
        <w:t>ment</w:t>
      </w:r>
      <w:r w:rsidRPr="002C318C" w:rsidR="00420E1A">
        <w:rPr>
          <w:sz w:val="22"/>
          <w:szCs w:val="22"/>
        </w:rPr>
        <w:t xml:space="preserve"> to use an increasing percentage of its legacy support toward the deployment, maintenance, and operation of voice and broadband networks that support 5G, the rules adopted in the </w:t>
      </w:r>
      <w:r w:rsidRPr="002C318C" w:rsidR="00420E1A">
        <w:rPr>
          <w:i/>
          <w:iCs/>
          <w:color w:val="000000"/>
          <w:sz w:val="22"/>
          <w:szCs w:val="22"/>
        </w:rPr>
        <w:t>5G Fund Report and Order</w:t>
      </w:r>
      <w:r w:rsidRPr="002C318C" w:rsidR="00420E1A">
        <w:rPr>
          <w:sz w:val="22"/>
          <w:szCs w:val="22"/>
        </w:rPr>
        <w:t xml:space="preserve"> specify that</w:t>
      </w:r>
      <w:r w:rsidRPr="002C318C" w:rsidR="00852677">
        <w:rPr>
          <w:sz w:val="22"/>
          <w:szCs w:val="22"/>
        </w:rPr>
        <w:t xml:space="preserve"> </w:t>
      </w:r>
      <w:r w:rsidRPr="002C318C" w:rsidR="0044754A">
        <w:rPr>
          <w:sz w:val="22"/>
          <w:szCs w:val="22"/>
        </w:rPr>
        <w:t xml:space="preserve">each </w:t>
      </w:r>
      <w:r w:rsidRPr="002C318C" w:rsidR="00852677">
        <w:rPr>
          <w:sz w:val="22"/>
          <w:szCs w:val="22"/>
        </w:rPr>
        <w:t xml:space="preserve">legacy support recipient must use at least one-third of the legacy support </w:t>
      </w:r>
      <w:r w:rsidRPr="002C318C" w:rsidR="0044754A">
        <w:rPr>
          <w:sz w:val="22"/>
          <w:szCs w:val="22"/>
        </w:rPr>
        <w:t>it</w:t>
      </w:r>
      <w:r w:rsidRPr="002C318C" w:rsidR="00852677">
        <w:rPr>
          <w:sz w:val="22"/>
          <w:szCs w:val="22"/>
        </w:rPr>
        <w:t xml:space="preserve"> receive</w:t>
      </w:r>
      <w:r w:rsidRPr="002C318C" w:rsidR="0044754A">
        <w:rPr>
          <w:sz w:val="22"/>
          <w:szCs w:val="22"/>
        </w:rPr>
        <w:t>s</w:t>
      </w:r>
      <w:r w:rsidRPr="002C318C" w:rsidR="00852677">
        <w:rPr>
          <w:sz w:val="22"/>
          <w:szCs w:val="22"/>
        </w:rPr>
        <w:t xml:space="preserve"> in 2021</w:t>
      </w:r>
      <w:r w:rsidRPr="002C318C" w:rsidR="0044754A">
        <w:rPr>
          <w:sz w:val="22"/>
          <w:szCs w:val="22"/>
        </w:rPr>
        <w:t xml:space="preserve">, </w:t>
      </w:r>
      <w:r w:rsidRPr="002C318C" w:rsidR="00852677">
        <w:rPr>
          <w:sz w:val="22"/>
          <w:szCs w:val="22"/>
        </w:rPr>
        <w:t xml:space="preserve">at least two-thirds of the legacy support </w:t>
      </w:r>
      <w:r w:rsidRPr="002C318C" w:rsidR="0044754A">
        <w:rPr>
          <w:sz w:val="22"/>
          <w:szCs w:val="22"/>
        </w:rPr>
        <w:t>it</w:t>
      </w:r>
      <w:r w:rsidRPr="002C318C" w:rsidR="00852677">
        <w:rPr>
          <w:sz w:val="22"/>
          <w:szCs w:val="22"/>
        </w:rPr>
        <w:t xml:space="preserve"> receive</w:t>
      </w:r>
      <w:r w:rsidRPr="002C318C" w:rsidR="00BE0E0B">
        <w:rPr>
          <w:sz w:val="22"/>
          <w:szCs w:val="22"/>
        </w:rPr>
        <w:t>s</w:t>
      </w:r>
      <w:r w:rsidRPr="002C318C" w:rsidR="00852677">
        <w:rPr>
          <w:sz w:val="22"/>
          <w:szCs w:val="22"/>
        </w:rPr>
        <w:t xml:space="preserve"> in 2022</w:t>
      </w:r>
      <w:r w:rsidRPr="002C318C" w:rsidR="0044754A">
        <w:rPr>
          <w:sz w:val="22"/>
          <w:szCs w:val="22"/>
        </w:rPr>
        <w:t xml:space="preserve">, and all of the legacy support in 2023 and </w:t>
      </w:r>
      <w:r w:rsidRPr="002C318C" w:rsidR="00F044C2">
        <w:rPr>
          <w:sz w:val="22"/>
          <w:szCs w:val="22"/>
        </w:rPr>
        <w:t>beyond</w:t>
      </w:r>
      <w:r w:rsidRPr="002C318C" w:rsidR="00852677">
        <w:rPr>
          <w:sz w:val="22"/>
          <w:szCs w:val="22"/>
        </w:rPr>
        <w:t xml:space="preserve"> for these purposes.  </w:t>
      </w:r>
    </w:p>
    <w:p w:rsidRPr="002C318C" w:rsidR="00B85A46" w:rsidP="0034795C" w:rsidRDefault="00B85A46" w14:paraId="4AAB58F7" w14:textId="77777777">
      <w:pPr>
        <w:rPr>
          <w:sz w:val="22"/>
          <w:szCs w:val="22"/>
        </w:rPr>
      </w:pPr>
    </w:p>
    <w:p w:rsidR="00707E7E" w:rsidP="00707E7E" w:rsidRDefault="00B85A46" w14:paraId="3ED76D57" w14:textId="6EF2D60D">
      <w:pPr>
        <w:rPr>
          <w:sz w:val="22"/>
          <w:szCs w:val="22"/>
        </w:rPr>
      </w:pPr>
      <w:r w:rsidRPr="002C318C">
        <w:rPr>
          <w:sz w:val="22"/>
          <w:szCs w:val="22"/>
        </w:rPr>
        <w:t>To address</w:t>
      </w:r>
      <w:r w:rsidRPr="002C318C" w:rsidR="00852677">
        <w:rPr>
          <w:sz w:val="22"/>
          <w:szCs w:val="22"/>
        </w:rPr>
        <w:t xml:space="preserve"> </w:t>
      </w:r>
      <w:r w:rsidRPr="002C318C">
        <w:rPr>
          <w:sz w:val="22"/>
          <w:szCs w:val="22"/>
        </w:rPr>
        <w:t xml:space="preserve">a </w:t>
      </w:r>
      <w:r w:rsidRPr="002C318C" w:rsidR="00852677">
        <w:rPr>
          <w:sz w:val="22"/>
          <w:szCs w:val="22"/>
        </w:rPr>
        <w:t xml:space="preserve">concern that budgets and deployment plans for 2021 are largely complete, which could make it difficult for some </w:t>
      </w:r>
      <w:r w:rsidRPr="00101F6A" w:rsidR="00707E7E">
        <w:rPr>
          <w:sz w:val="22"/>
          <w:szCs w:val="22"/>
        </w:rPr>
        <w:t>competitive ETC</w:t>
      </w:r>
      <w:r w:rsidR="00707E7E">
        <w:rPr>
          <w:sz w:val="22"/>
          <w:szCs w:val="22"/>
        </w:rPr>
        <w:t xml:space="preserve">s </w:t>
      </w:r>
      <w:r w:rsidRPr="002C318C" w:rsidR="00852677">
        <w:rPr>
          <w:sz w:val="22"/>
          <w:szCs w:val="22"/>
        </w:rPr>
        <w:t>to achieve the 2021</w:t>
      </w:r>
      <w:r w:rsidRPr="002C318C">
        <w:rPr>
          <w:sz w:val="22"/>
          <w:szCs w:val="22"/>
        </w:rPr>
        <w:t xml:space="preserve"> support usage</w:t>
      </w:r>
      <w:r w:rsidRPr="002C318C" w:rsidR="00852677">
        <w:rPr>
          <w:sz w:val="22"/>
          <w:szCs w:val="22"/>
        </w:rPr>
        <w:t xml:space="preserve"> requirement</w:t>
      </w:r>
      <w:r w:rsidRPr="002C318C" w:rsidR="005F4E0C">
        <w:rPr>
          <w:sz w:val="22"/>
          <w:szCs w:val="22"/>
        </w:rPr>
        <w:t>, the Commission</w:t>
      </w:r>
      <w:r w:rsidRPr="002C318C" w:rsidR="00852677">
        <w:rPr>
          <w:sz w:val="22"/>
          <w:szCs w:val="22"/>
        </w:rPr>
        <w:t xml:space="preserve"> </w:t>
      </w:r>
      <w:r w:rsidR="00A55487">
        <w:rPr>
          <w:sz w:val="22"/>
          <w:szCs w:val="22"/>
        </w:rPr>
        <w:t xml:space="preserve">adopted a rule that </w:t>
      </w:r>
      <w:r w:rsidR="00707E7E">
        <w:rPr>
          <w:sz w:val="22"/>
          <w:szCs w:val="22"/>
        </w:rPr>
        <w:t xml:space="preserve">affords such </w:t>
      </w:r>
      <w:r w:rsidRPr="00101F6A" w:rsidR="00707E7E">
        <w:rPr>
          <w:sz w:val="22"/>
          <w:szCs w:val="22"/>
        </w:rPr>
        <w:t>competitive ETC</w:t>
      </w:r>
      <w:r w:rsidR="00707E7E">
        <w:rPr>
          <w:sz w:val="22"/>
          <w:szCs w:val="22"/>
        </w:rPr>
        <w:t>s the</w:t>
      </w:r>
      <w:r w:rsidRPr="002C318C" w:rsidR="00852677">
        <w:rPr>
          <w:sz w:val="22"/>
          <w:szCs w:val="22"/>
        </w:rPr>
        <w:t xml:space="preserve"> flexibility to use less than one</w:t>
      </w:r>
      <w:r w:rsidRPr="002C318C" w:rsidR="00086097">
        <w:rPr>
          <w:sz w:val="22"/>
          <w:szCs w:val="22"/>
        </w:rPr>
        <w:t>-</w:t>
      </w:r>
      <w:r w:rsidRPr="002C318C" w:rsidR="00852677">
        <w:rPr>
          <w:sz w:val="22"/>
          <w:szCs w:val="22"/>
        </w:rPr>
        <w:t xml:space="preserve">third of </w:t>
      </w:r>
      <w:r w:rsidRPr="002C318C">
        <w:rPr>
          <w:sz w:val="22"/>
          <w:szCs w:val="22"/>
        </w:rPr>
        <w:t>their</w:t>
      </w:r>
      <w:r w:rsidRPr="002C318C" w:rsidR="00852677">
        <w:rPr>
          <w:sz w:val="22"/>
          <w:szCs w:val="22"/>
        </w:rPr>
        <w:t xml:space="preserve"> legacy support in 2021 and make up for any shortfall in 2021 by proportionally increasing the requirement in 2022 (above the two-thirds of its support the </w:t>
      </w:r>
      <w:r w:rsidRPr="00101F6A" w:rsidR="00812ABA">
        <w:rPr>
          <w:sz w:val="22"/>
          <w:szCs w:val="22"/>
        </w:rPr>
        <w:t>competitive ETC</w:t>
      </w:r>
      <w:r w:rsidRPr="002C318C" w:rsidR="00852677">
        <w:rPr>
          <w:sz w:val="22"/>
          <w:szCs w:val="22"/>
        </w:rPr>
        <w:t xml:space="preserve"> is required to spend on 5G in that year).  </w:t>
      </w:r>
      <w:bookmarkStart w:name="_Hlk58434606" w:id="0"/>
      <w:r w:rsidR="00D618C6">
        <w:rPr>
          <w:i/>
          <w:iCs/>
          <w:sz w:val="22"/>
          <w:szCs w:val="22"/>
        </w:rPr>
        <w:t xml:space="preserve">See </w:t>
      </w:r>
      <w:r w:rsidRPr="00D618C6" w:rsidR="00D618C6">
        <w:rPr>
          <w:sz w:val="22"/>
          <w:szCs w:val="22"/>
        </w:rPr>
        <w:t>47 CFR § 54.322(c)(4)</w:t>
      </w:r>
      <w:r w:rsidR="00D618C6">
        <w:rPr>
          <w:sz w:val="22"/>
          <w:szCs w:val="22"/>
        </w:rPr>
        <w:t xml:space="preserve">.  </w:t>
      </w:r>
      <w:bookmarkEnd w:id="0"/>
      <w:r w:rsidRPr="002C318C" w:rsidR="00086097">
        <w:rPr>
          <w:sz w:val="22"/>
          <w:szCs w:val="22"/>
        </w:rPr>
        <w:t>In order to</w:t>
      </w:r>
      <w:r w:rsidRPr="002C318C" w:rsidR="00852677">
        <w:rPr>
          <w:sz w:val="22"/>
          <w:szCs w:val="22"/>
        </w:rPr>
        <w:t xml:space="preserve"> take advantage of this flexibility, a </w:t>
      </w:r>
      <w:r w:rsidRPr="00101F6A" w:rsidR="00707E7E">
        <w:rPr>
          <w:sz w:val="22"/>
          <w:szCs w:val="22"/>
        </w:rPr>
        <w:t>competitive ETC</w:t>
      </w:r>
      <w:r w:rsidRPr="002C318C" w:rsidR="00852677">
        <w:rPr>
          <w:sz w:val="22"/>
          <w:szCs w:val="22"/>
        </w:rPr>
        <w:t xml:space="preserve"> receiving </w:t>
      </w:r>
      <w:r w:rsidRPr="002C318C" w:rsidR="00852677">
        <w:rPr>
          <w:sz w:val="22"/>
          <w:szCs w:val="22"/>
        </w:rPr>
        <w:lastRenderedPageBreak/>
        <w:t>legacy support</w:t>
      </w:r>
      <w:r w:rsidRPr="002C318C">
        <w:rPr>
          <w:sz w:val="22"/>
          <w:szCs w:val="22"/>
        </w:rPr>
        <w:t xml:space="preserve"> for mobile wireless services</w:t>
      </w:r>
      <w:r w:rsidRPr="002C318C" w:rsidR="00852677">
        <w:rPr>
          <w:sz w:val="22"/>
          <w:szCs w:val="22"/>
        </w:rPr>
        <w:t xml:space="preserve"> must </w:t>
      </w:r>
      <w:r w:rsidR="00707E7E">
        <w:rPr>
          <w:sz w:val="22"/>
          <w:szCs w:val="22"/>
        </w:rPr>
        <w:t xml:space="preserve">submit a completed </w:t>
      </w:r>
      <w:r w:rsidRPr="00AF6464" w:rsidR="00707E7E">
        <w:rPr>
          <w:sz w:val="22"/>
          <w:szCs w:val="22"/>
        </w:rPr>
        <w:t>“Legacy High-Cost Support Usage Flexibility Certification”</w:t>
      </w:r>
      <w:r w:rsidR="00A46C25">
        <w:rPr>
          <w:sz w:val="22"/>
          <w:szCs w:val="22"/>
        </w:rPr>
        <w:t xml:space="preserve"> </w:t>
      </w:r>
      <w:r w:rsidR="005E3319">
        <w:rPr>
          <w:sz w:val="22"/>
          <w:szCs w:val="22"/>
        </w:rPr>
        <w:t xml:space="preserve">form </w:t>
      </w:r>
      <w:r w:rsidR="00707E7E">
        <w:rPr>
          <w:sz w:val="22"/>
          <w:szCs w:val="22"/>
        </w:rPr>
        <w:t>in which it provides:</w:t>
      </w:r>
    </w:p>
    <w:p w:rsidR="00707E7E" w:rsidP="00707E7E" w:rsidRDefault="00707E7E" w14:paraId="698A7865" w14:textId="77777777">
      <w:pPr>
        <w:rPr>
          <w:sz w:val="22"/>
          <w:szCs w:val="22"/>
        </w:rPr>
      </w:pPr>
    </w:p>
    <w:p w:rsidR="00707E7E" w:rsidP="00707E7E" w:rsidRDefault="00707E7E" w14:paraId="0039BA13" w14:textId="598D6BEA">
      <w:pPr>
        <w:pStyle w:val="ListParagraph"/>
        <w:numPr>
          <w:ilvl w:val="0"/>
          <w:numId w:val="31"/>
        </w:numPr>
        <w:rPr>
          <w:iCs/>
          <w:sz w:val="22"/>
          <w:szCs w:val="22"/>
        </w:rPr>
      </w:pPr>
      <w:bookmarkStart w:name="_Hlk58433694" w:id="1"/>
      <w:r w:rsidRPr="00015F28">
        <w:rPr>
          <w:sz w:val="22"/>
          <w:szCs w:val="22"/>
        </w:rPr>
        <w:t xml:space="preserve">Information regarding the service area(s) for which the competitive ETC </w:t>
      </w:r>
      <w:bookmarkStart w:name="_Hlk58433931" w:id="2"/>
      <w:r w:rsidRPr="00015F28">
        <w:rPr>
          <w:sz w:val="22"/>
          <w:szCs w:val="22"/>
        </w:rPr>
        <w:t xml:space="preserve">and any </w:t>
      </w:r>
      <w:r w:rsidRPr="00611E51" w:rsidR="00611E51">
        <w:rPr>
          <w:iCs/>
          <w:sz w:val="22"/>
          <w:szCs w:val="22"/>
        </w:rPr>
        <w:t>affiliated mobile competitive ETC(s)</w:t>
      </w:r>
      <w:r w:rsidRPr="00D50C9A" w:rsidR="00611E51">
        <w:rPr>
          <w:rFonts w:ascii="Calibri" w:hAnsi="Calibri" w:cs="Calibri"/>
          <w:i/>
          <w:szCs w:val="22"/>
        </w:rPr>
        <w:t xml:space="preserve"> </w:t>
      </w:r>
      <w:bookmarkEnd w:id="2"/>
      <w:r w:rsidRPr="00015F28">
        <w:rPr>
          <w:sz w:val="22"/>
          <w:szCs w:val="22"/>
        </w:rPr>
        <w:t>receive legacy support and the</w:t>
      </w:r>
      <w:r w:rsidRPr="00015F28">
        <w:rPr>
          <w:iCs/>
          <w:sz w:val="22"/>
          <w:szCs w:val="22"/>
        </w:rPr>
        <w:t xml:space="preserve"> annual amount of support they receive in each area;</w:t>
      </w:r>
    </w:p>
    <w:p w:rsidR="00707E7E" w:rsidP="00707E7E" w:rsidRDefault="00707E7E" w14:paraId="41A41649" w14:textId="77777777">
      <w:pPr>
        <w:pStyle w:val="ListParagraph"/>
        <w:rPr>
          <w:iCs/>
          <w:sz w:val="22"/>
          <w:szCs w:val="22"/>
        </w:rPr>
      </w:pPr>
    </w:p>
    <w:p w:rsidRPr="00015F28" w:rsidR="00707E7E" w:rsidP="00707E7E" w:rsidRDefault="00707E7E" w14:paraId="4EF7CEE1" w14:textId="77777777">
      <w:pPr>
        <w:pStyle w:val="ListParagraph"/>
        <w:numPr>
          <w:ilvl w:val="0"/>
          <w:numId w:val="31"/>
        </w:numPr>
        <w:rPr>
          <w:iCs/>
          <w:sz w:val="22"/>
          <w:szCs w:val="22"/>
        </w:rPr>
      </w:pPr>
      <w:r w:rsidRPr="00015F28">
        <w:rPr>
          <w:sz w:val="22"/>
          <w:szCs w:val="22"/>
        </w:rPr>
        <w:t>The total amount of legacy high-cost support that the competitive ETC and/or its affiliates will spend on the deployment, maintenance, and operation of mobile networks that provide 5G service in calendar year 2021 across the identified service areas</w:t>
      </w:r>
      <w:bookmarkEnd w:id="1"/>
      <w:r w:rsidRPr="00015F28">
        <w:rPr>
          <w:sz w:val="22"/>
          <w:szCs w:val="22"/>
        </w:rPr>
        <w:t>;</w:t>
      </w:r>
      <w:r>
        <w:rPr>
          <w:sz w:val="22"/>
          <w:szCs w:val="22"/>
        </w:rPr>
        <w:t xml:space="preserve"> and</w:t>
      </w:r>
    </w:p>
    <w:p w:rsidRPr="001F0457" w:rsidR="00707E7E" w:rsidP="00707E7E" w:rsidRDefault="00707E7E" w14:paraId="13C8663B" w14:textId="77777777">
      <w:pPr>
        <w:pStyle w:val="ListParagraph"/>
        <w:rPr>
          <w:sz w:val="22"/>
          <w:szCs w:val="22"/>
        </w:rPr>
      </w:pPr>
    </w:p>
    <w:p w:rsidRPr="00985ED3" w:rsidR="00707E7E" w:rsidP="00707E7E" w:rsidRDefault="00707E7E" w14:paraId="0A06ACC5" w14:textId="776AD712">
      <w:pPr>
        <w:pStyle w:val="ListParagraph"/>
        <w:numPr>
          <w:ilvl w:val="0"/>
          <w:numId w:val="31"/>
        </w:numPr>
        <w:rPr>
          <w:sz w:val="22"/>
          <w:szCs w:val="22"/>
        </w:rPr>
      </w:pPr>
      <w:r w:rsidRPr="00985ED3">
        <w:rPr>
          <w:sz w:val="22"/>
          <w:szCs w:val="22"/>
        </w:rPr>
        <w:t xml:space="preserve">Various certifications, including a certification that </w:t>
      </w:r>
      <w:r w:rsidRPr="00985ED3">
        <w:rPr>
          <w:rFonts w:eastAsiaTheme="minorHAnsi"/>
          <w:sz w:val="22"/>
          <w:szCs w:val="22"/>
        </w:rPr>
        <w:t xml:space="preserve">the competitive ETC(s) identified on the form will make up for any shortfall in the amount of legacy support required to be spent on 5G in calendar year 2021 by proportionally increasing the amount of legacy support spent on 5G in calendar year 2022 above the </w:t>
      </w:r>
      <w:r w:rsidRPr="00985ED3" w:rsidR="00F23C15">
        <w:rPr>
          <w:rFonts w:eastAsiaTheme="minorHAnsi"/>
          <w:sz w:val="22"/>
          <w:szCs w:val="22"/>
        </w:rPr>
        <w:t xml:space="preserve">level </w:t>
      </w:r>
      <w:r w:rsidRPr="00985ED3" w:rsidR="00A62B46">
        <w:rPr>
          <w:rFonts w:eastAsiaTheme="minorHAnsi"/>
          <w:sz w:val="22"/>
          <w:szCs w:val="22"/>
        </w:rPr>
        <w:t xml:space="preserve">required </w:t>
      </w:r>
      <w:r w:rsidRPr="00985ED3" w:rsidR="00F23C15">
        <w:rPr>
          <w:rFonts w:eastAsiaTheme="minorHAnsi"/>
          <w:sz w:val="22"/>
          <w:szCs w:val="22"/>
        </w:rPr>
        <w:t>for 2022</w:t>
      </w:r>
      <w:r w:rsidRPr="00985ED3">
        <w:rPr>
          <w:rFonts w:eastAsiaTheme="minorHAnsi"/>
          <w:sz w:val="22"/>
          <w:szCs w:val="22"/>
        </w:rPr>
        <w:t>.</w:t>
      </w:r>
      <w:r w:rsidRPr="00985ED3">
        <w:rPr>
          <w:sz w:val="22"/>
          <w:szCs w:val="22"/>
        </w:rPr>
        <w:t xml:space="preserve">   </w:t>
      </w:r>
    </w:p>
    <w:p w:rsidRPr="001F0457" w:rsidR="00707E7E" w:rsidP="00707E7E" w:rsidRDefault="00707E7E" w14:paraId="3D1EB20C" w14:textId="77777777">
      <w:pPr>
        <w:rPr>
          <w:sz w:val="22"/>
          <w:szCs w:val="22"/>
        </w:rPr>
      </w:pPr>
    </w:p>
    <w:p w:rsidR="00707E7E" w:rsidP="00707E7E" w:rsidRDefault="00707E7E" w14:paraId="53B76CD8" w14:textId="14380FB8">
      <w:pPr>
        <w:rPr>
          <w:sz w:val="22"/>
          <w:szCs w:val="22"/>
        </w:rPr>
      </w:pPr>
      <w:bookmarkStart w:name="_Hlk58434354" w:id="3"/>
      <w:r w:rsidRPr="00A55487">
        <w:rPr>
          <w:sz w:val="22"/>
          <w:szCs w:val="22"/>
        </w:rPr>
        <w:t xml:space="preserve">Only those </w:t>
      </w:r>
      <w:r w:rsidRPr="001F0457">
        <w:rPr>
          <w:rFonts w:eastAsiaTheme="minorHAnsi"/>
          <w:sz w:val="22"/>
          <w:szCs w:val="22"/>
        </w:rPr>
        <w:t>competitive ETC</w:t>
      </w:r>
      <w:r>
        <w:rPr>
          <w:rFonts w:eastAsiaTheme="minorHAnsi"/>
          <w:sz w:val="22"/>
          <w:szCs w:val="22"/>
        </w:rPr>
        <w:t>s</w:t>
      </w:r>
      <w:r w:rsidRPr="00A55487">
        <w:rPr>
          <w:sz w:val="22"/>
          <w:szCs w:val="22"/>
        </w:rPr>
        <w:t xml:space="preserve"> </w:t>
      </w:r>
      <w:r w:rsidR="00B71E2F">
        <w:rPr>
          <w:sz w:val="22"/>
          <w:szCs w:val="22"/>
        </w:rPr>
        <w:t>receiving</w:t>
      </w:r>
      <w:r w:rsidRPr="00A55487">
        <w:rPr>
          <w:sz w:val="22"/>
          <w:szCs w:val="22"/>
        </w:rPr>
        <w:t xml:space="preserve"> legacy high-cost support for mobile wireless services </w:t>
      </w:r>
      <w:r w:rsidR="00B71E2F">
        <w:rPr>
          <w:sz w:val="22"/>
          <w:szCs w:val="22"/>
        </w:rPr>
        <w:t>that</w:t>
      </w:r>
      <w:r w:rsidRPr="00A55487">
        <w:rPr>
          <w:sz w:val="22"/>
          <w:szCs w:val="22"/>
        </w:rPr>
        <w:t xml:space="preserve"> wish to avail themselves of the flexibility concerning their 2021 and 2022 legacy high-cost support usage requirements will be required to </w:t>
      </w:r>
      <w:r w:rsidR="00B71E2F">
        <w:rPr>
          <w:sz w:val="22"/>
          <w:szCs w:val="22"/>
        </w:rPr>
        <w:t xml:space="preserve">submit a completed </w:t>
      </w:r>
      <w:r w:rsidRPr="00AF6464" w:rsidR="00B71E2F">
        <w:rPr>
          <w:sz w:val="22"/>
          <w:szCs w:val="22"/>
        </w:rPr>
        <w:t xml:space="preserve">“Legacy High-Cost Support Usage Flexibility Certification” </w:t>
      </w:r>
      <w:r w:rsidR="00B71E2F">
        <w:rPr>
          <w:sz w:val="22"/>
          <w:szCs w:val="22"/>
        </w:rPr>
        <w:t xml:space="preserve">in response to </w:t>
      </w:r>
      <w:r w:rsidRPr="00A55487">
        <w:rPr>
          <w:sz w:val="22"/>
          <w:szCs w:val="22"/>
        </w:rPr>
        <w:t>this information collection</w:t>
      </w:r>
      <w:bookmarkEnd w:id="3"/>
      <w:r w:rsidRPr="00A55487">
        <w:rPr>
          <w:sz w:val="22"/>
          <w:szCs w:val="22"/>
        </w:rPr>
        <w:t>.</w:t>
      </w:r>
      <w:r w:rsidRPr="00491393">
        <w:rPr>
          <w:sz w:val="22"/>
          <w:szCs w:val="22"/>
        </w:rPr>
        <w:t xml:space="preserve">  </w:t>
      </w:r>
    </w:p>
    <w:p w:rsidR="00707E7E" w:rsidP="0034795C" w:rsidRDefault="00707E7E" w14:paraId="302012AC" w14:textId="77777777">
      <w:pPr>
        <w:rPr>
          <w:sz w:val="22"/>
          <w:szCs w:val="22"/>
        </w:rPr>
      </w:pPr>
    </w:p>
    <w:p w:rsidRPr="00FB527B" w:rsidR="0034795C" w:rsidP="0034795C" w:rsidRDefault="0034795C" w14:paraId="4708F34F" w14:textId="240D8320">
      <w:pPr>
        <w:rPr>
          <w:color w:val="000000"/>
          <w:sz w:val="22"/>
          <w:szCs w:val="22"/>
        </w:rPr>
      </w:pPr>
      <w:r w:rsidRPr="00B71E2F">
        <w:rPr>
          <w:color w:val="000000"/>
          <w:sz w:val="22"/>
          <w:szCs w:val="22"/>
        </w:rPr>
        <w:t xml:space="preserve">The Commission seeks </w:t>
      </w:r>
      <w:r w:rsidRPr="00B71E2F" w:rsidR="00B71E2F">
        <w:rPr>
          <w:color w:val="000000"/>
          <w:sz w:val="22"/>
          <w:szCs w:val="22"/>
        </w:rPr>
        <w:t xml:space="preserve">OMB </w:t>
      </w:r>
      <w:r w:rsidRPr="00B71E2F">
        <w:rPr>
          <w:color w:val="000000"/>
          <w:sz w:val="22"/>
          <w:szCs w:val="22"/>
        </w:rPr>
        <w:t xml:space="preserve">approval </w:t>
      </w:r>
      <w:r w:rsidR="00B71E2F">
        <w:rPr>
          <w:color w:val="000000"/>
          <w:sz w:val="22"/>
          <w:szCs w:val="22"/>
        </w:rPr>
        <w:t>for</w:t>
      </w:r>
      <w:r w:rsidRPr="00B71E2F" w:rsidR="00B71E2F">
        <w:rPr>
          <w:color w:val="000000"/>
          <w:sz w:val="22"/>
          <w:szCs w:val="22"/>
        </w:rPr>
        <w:t xml:space="preserve"> this new, one-time information collection to permit it </w:t>
      </w:r>
      <w:r w:rsidRPr="00B71E2F">
        <w:rPr>
          <w:color w:val="000000"/>
          <w:sz w:val="22"/>
          <w:szCs w:val="22"/>
        </w:rPr>
        <w:t xml:space="preserve">to </w:t>
      </w:r>
      <w:r w:rsidRPr="00B71E2F" w:rsidR="00086097">
        <w:rPr>
          <w:color w:val="000000"/>
          <w:sz w:val="22"/>
          <w:szCs w:val="22"/>
        </w:rPr>
        <w:t xml:space="preserve">collect this certification from a </w:t>
      </w:r>
      <w:r w:rsidRPr="00B71E2F" w:rsidR="00707E7E">
        <w:rPr>
          <w:sz w:val="22"/>
          <w:szCs w:val="22"/>
        </w:rPr>
        <w:t>competitive ETC</w:t>
      </w:r>
      <w:r w:rsidRPr="00B71E2F" w:rsidR="00086097">
        <w:rPr>
          <w:color w:val="000000"/>
          <w:sz w:val="22"/>
          <w:szCs w:val="22"/>
        </w:rPr>
        <w:t xml:space="preserve"> </w:t>
      </w:r>
      <w:r w:rsidR="00B71E2F">
        <w:rPr>
          <w:sz w:val="22"/>
          <w:szCs w:val="22"/>
        </w:rPr>
        <w:t>receiving</w:t>
      </w:r>
      <w:r w:rsidRPr="00A55487" w:rsidR="00B71E2F">
        <w:rPr>
          <w:sz w:val="22"/>
          <w:szCs w:val="22"/>
        </w:rPr>
        <w:t xml:space="preserve"> legacy high-cost support for mobile wireless services </w:t>
      </w:r>
      <w:r w:rsidRPr="00B71E2F" w:rsidR="00086097">
        <w:rPr>
          <w:color w:val="000000"/>
          <w:sz w:val="22"/>
          <w:szCs w:val="22"/>
        </w:rPr>
        <w:t xml:space="preserve">that wishes to </w:t>
      </w:r>
      <w:r w:rsidRPr="00B71E2F" w:rsidR="00086097">
        <w:rPr>
          <w:sz w:val="22"/>
          <w:szCs w:val="22"/>
        </w:rPr>
        <w:t>avail itself of the flexibility adopted by the Commission concerning its 2021and 2022 legacy high-cost support usage requirements</w:t>
      </w:r>
      <w:r w:rsidRPr="00B71E2F">
        <w:rPr>
          <w:color w:val="000000"/>
          <w:sz w:val="22"/>
          <w:szCs w:val="22"/>
        </w:rPr>
        <w:t>.</w:t>
      </w:r>
      <w:r w:rsidRPr="003F6AB9">
        <w:rPr>
          <w:color w:val="000000"/>
          <w:sz w:val="22"/>
          <w:szCs w:val="22"/>
        </w:rPr>
        <w:t xml:space="preserve">  </w:t>
      </w:r>
    </w:p>
    <w:p w:rsidRPr="00F211FD" w:rsidR="0034795C" w:rsidP="0034795C" w:rsidRDefault="0034795C" w14:paraId="3D6AF6CA" w14:textId="77777777">
      <w:pPr>
        <w:rPr>
          <w:color w:val="000000"/>
          <w:sz w:val="22"/>
          <w:szCs w:val="22"/>
        </w:rPr>
      </w:pPr>
    </w:p>
    <w:p w:rsidRPr="00F211FD" w:rsidR="0034795C" w:rsidP="0034795C" w:rsidRDefault="0034795C" w14:paraId="4B8A7C19" w14:textId="77777777">
      <w:pPr>
        <w:rPr>
          <w:sz w:val="22"/>
          <w:szCs w:val="22"/>
        </w:rPr>
      </w:pPr>
      <w:r w:rsidRPr="00F211FD">
        <w:rPr>
          <w:sz w:val="22"/>
          <w:szCs w:val="22"/>
        </w:rPr>
        <w:t>Statutory authority for this information collection is contained in 47 U.S.C. 154, 254 and 303(r).</w:t>
      </w:r>
    </w:p>
    <w:p w:rsidRPr="00F211FD" w:rsidR="0034795C" w:rsidP="0034795C" w:rsidRDefault="0034795C" w14:paraId="1AC7A752" w14:textId="77777777">
      <w:pPr>
        <w:rPr>
          <w:sz w:val="22"/>
          <w:szCs w:val="22"/>
        </w:rPr>
      </w:pPr>
    </w:p>
    <w:p w:rsidR="0034795C" w:rsidP="0034795C" w:rsidRDefault="0034795C" w14:paraId="786ABF44" w14:textId="77777777">
      <w:pPr>
        <w:rPr>
          <w:sz w:val="22"/>
          <w:szCs w:val="22"/>
        </w:rPr>
      </w:pPr>
      <w:r w:rsidRPr="00F211FD">
        <w:rPr>
          <w:sz w:val="22"/>
          <w:szCs w:val="22"/>
        </w:rPr>
        <w:t>This information does not affect individuals or households; thus, there are no impacts under the Privacy Act.</w:t>
      </w:r>
    </w:p>
    <w:p w:rsidRPr="00491393" w:rsidR="00A02291" w:rsidP="0034795C" w:rsidRDefault="00A02291" w14:paraId="566338AF" w14:textId="01F4A868">
      <w:pPr>
        <w:rPr>
          <w:i/>
          <w:sz w:val="22"/>
          <w:szCs w:val="22"/>
        </w:rPr>
      </w:pPr>
    </w:p>
    <w:p w:rsidR="00242039" w:rsidP="00B47C02" w:rsidRDefault="00C97852" w14:paraId="3EA2CE32" w14:textId="67C80D21">
      <w:pPr>
        <w:rPr>
          <w:sz w:val="22"/>
          <w:szCs w:val="22"/>
        </w:rPr>
      </w:pPr>
      <w:r w:rsidRPr="00491393">
        <w:rPr>
          <w:sz w:val="22"/>
          <w:szCs w:val="22"/>
        </w:rPr>
        <w:t>2.</w:t>
      </w:r>
      <w:r w:rsidRPr="00491393">
        <w:rPr>
          <w:sz w:val="22"/>
          <w:szCs w:val="22"/>
        </w:rPr>
        <w:tab/>
      </w:r>
      <w:r w:rsidRPr="00A17E3D" w:rsidR="0058594C">
        <w:rPr>
          <w:i/>
          <w:sz w:val="22"/>
          <w:szCs w:val="22"/>
        </w:rPr>
        <w:t>Use of Information</w:t>
      </w:r>
      <w:r w:rsidRPr="00491393" w:rsidR="0058594C">
        <w:rPr>
          <w:i/>
          <w:sz w:val="22"/>
          <w:szCs w:val="22"/>
        </w:rPr>
        <w:t>.</w:t>
      </w:r>
      <w:r w:rsidRPr="00491393" w:rsidR="00836022">
        <w:rPr>
          <w:sz w:val="22"/>
          <w:szCs w:val="22"/>
        </w:rPr>
        <w:t xml:space="preserve"> </w:t>
      </w:r>
      <w:r w:rsidRPr="00491393" w:rsidR="00821583">
        <w:rPr>
          <w:sz w:val="22"/>
          <w:szCs w:val="22"/>
        </w:rPr>
        <w:t xml:space="preserve"> </w:t>
      </w:r>
      <w:r w:rsidR="00F568E0">
        <w:rPr>
          <w:sz w:val="22"/>
          <w:szCs w:val="22"/>
        </w:rPr>
        <w:t>Under this new</w:t>
      </w:r>
      <w:r w:rsidR="00B47C02">
        <w:rPr>
          <w:sz w:val="22"/>
          <w:szCs w:val="22"/>
        </w:rPr>
        <w:t>, one-time</w:t>
      </w:r>
      <w:r w:rsidR="00F568E0">
        <w:rPr>
          <w:sz w:val="22"/>
          <w:szCs w:val="22"/>
        </w:rPr>
        <w:t xml:space="preserve"> information collection, the Commission will collect a </w:t>
      </w:r>
      <w:r w:rsidR="00015ED0">
        <w:rPr>
          <w:sz w:val="22"/>
          <w:szCs w:val="22"/>
        </w:rPr>
        <w:t xml:space="preserve">certification </w:t>
      </w:r>
      <w:r w:rsidRPr="00491393" w:rsidR="00015ED0">
        <w:rPr>
          <w:sz w:val="22"/>
          <w:szCs w:val="22"/>
        </w:rPr>
        <w:t>from</w:t>
      </w:r>
      <w:r w:rsidR="00015ED0">
        <w:rPr>
          <w:sz w:val="22"/>
          <w:szCs w:val="22"/>
        </w:rPr>
        <w:t xml:space="preserve"> </w:t>
      </w:r>
      <w:r w:rsidRPr="001F0457" w:rsidR="002A3D74">
        <w:rPr>
          <w:rFonts w:eastAsiaTheme="minorHAnsi"/>
          <w:sz w:val="22"/>
          <w:szCs w:val="22"/>
        </w:rPr>
        <w:t>competitive ETC</w:t>
      </w:r>
      <w:r w:rsidR="002A3D74">
        <w:rPr>
          <w:rFonts w:eastAsiaTheme="minorHAnsi"/>
          <w:sz w:val="22"/>
          <w:szCs w:val="22"/>
        </w:rPr>
        <w:t>s</w:t>
      </w:r>
      <w:r w:rsidR="00015ED0">
        <w:rPr>
          <w:sz w:val="22"/>
          <w:szCs w:val="22"/>
        </w:rPr>
        <w:t xml:space="preserve"> that wish to avail themselves of the flexibility concerning their </w:t>
      </w:r>
      <w:r w:rsidR="00F568E0">
        <w:rPr>
          <w:sz w:val="22"/>
          <w:szCs w:val="22"/>
        </w:rPr>
        <w:t xml:space="preserve">2021 and 2022 </w:t>
      </w:r>
      <w:r w:rsidR="00015ED0">
        <w:rPr>
          <w:sz w:val="22"/>
          <w:szCs w:val="22"/>
        </w:rPr>
        <w:t>l</w:t>
      </w:r>
      <w:r w:rsidRPr="000C5E35" w:rsidR="00015ED0">
        <w:rPr>
          <w:sz w:val="22"/>
          <w:szCs w:val="22"/>
        </w:rPr>
        <w:t xml:space="preserve">egacy </w:t>
      </w:r>
      <w:r w:rsidR="00015ED0">
        <w:rPr>
          <w:sz w:val="22"/>
          <w:szCs w:val="22"/>
        </w:rPr>
        <w:t>h</w:t>
      </w:r>
      <w:r w:rsidRPr="000C5E35" w:rsidR="00015ED0">
        <w:rPr>
          <w:sz w:val="22"/>
          <w:szCs w:val="22"/>
        </w:rPr>
        <w:t>igh-</w:t>
      </w:r>
      <w:r w:rsidR="00015ED0">
        <w:rPr>
          <w:sz w:val="22"/>
          <w:szCs w:val="22"/>
        </w:rPr>
        <w:t>c</w:t>
      </w:r>
      <w:r w:rsidRPr="000C5E35" w:rsidR="00015ED0">
        <w:rPr>
          <w:sz w:val="22"/>
          <w:szCs w:val="22"/>
        </w:rPr>
        <w:t xml:space="preserve">ost </w:t>
      </w:r>
      <w:r w:rsidR="00015ED0">
        <w:rPr>
          <w:sz w:val="22"/>
          <w:szCs w:val="22"/>
        </w:rPr>
        <w:t>s</w:t>
      </w:r>
      <w:r w:rsidRPr="000C5E35" w:rsidR="00015ED0">
        <w:rPr>
          <w:sz w:val="22"/>
          <w:szCs w:val="22"/>
        </w:rPr>
        <w:t xml:space="preserve">upport </w:t>
      </w:r>
      <w:r w:rsidR="00015ED0">
        <w:rPr>
          <w:sz w:val="22"/>
          <w:szCs w:val="22"/>
        </w:rPr>
        <w:t>u</w:t>
      </w:r>
      <w:r w:rsidRPr="000C5E35" w:rsidR="00015ED0">
        <w:rPr>
          <w:sz w:val="22"/>
          <w:szCs w:val="22"/>
        </w:rPr>
        <w:t xml:space="preserve">sage </w:t>
      </w:r>
      <w:r w:rsidR="00015ED0">
        <w:rPr>
          <w:sz w:val="22"/>
          <w:szCs w:val="22"/>
        </w:rPr>
        <w:t>requirement</w:t>
      </w:r>
      <w:r w:rsidR="00F568E0">
        <w:rPr>
          <w:sz w:val="22"/>
          <w:szCs w:val="22"/>
        </w:rPr>
        <w:t>s.</w:t>
      </w:r>
      <w:r w:rsidR="00876FCD">
        <w:rPr>
          <w:sz w:val="22"/>
          <w:szCs w:val="22"/>
        </w:rPr>
        <w:t xml:space="preserve">  </w:t>
      </w:r>
      <w:bookmarkStart w:name="_Hlk58434800" w:id="4"/>
      <w:r w:rsidR="00B47C02">
        <w:rPr>
          <w:sz w:val="22"/>
          <w:szCs w:val="22"/>
        </w:rPr>
        <w:t xml:space="preserve">The certification </w:t>
      </w:r>
      <w:r w:rsidR="00015ED0">
        <w:rPr>
          <w:sz w:val="22"/>
          <w:szCs w:val="22"/>
        </w:rPr>
        <w:t xml:space="preserve">will be used by the Commission to </w:t>
      </w:r>
      <w:r w:rsidR="002A3D74">
        <w:rPr>
          <w:sz w:val="22"/>
          <w:szCs w:val="22"/>
        </w:rPr>
        <w:t xml:space="preserve">identify how much a </w:t>
      </w:r>
      <w:r w:rsidRPr="001F0457" w:rsidR="002A3D74">
        <w:rPr>
          <w:rFonts w:eastAsiaTheme="minorHAnsi"/>
          <w:sz w:val="22"/>
          <w:szCs w:val="22"/>
        </w:rPr>
        <w:t>competitive ETC</w:t>
      </w:r>
      <w:r w:rsidR="002A3D74">
        <w:rPr>
          <w:rFonts w:eastAsiaTheme="minorHAnsi"/>
          <w:sz w:val="22"/>
          <w:szCs w:val="22"/>
        </w:rPr>
        <w:t xml:space="preserve"> </w:t>
      </w:r>
      <w:r w:rsidR="00BA024F">
        <w:rPr>
          <w:sz w:val="22"/>
          <w:szCs w:val="22"/>
        </w:rPr>
        <w:t>that chooses to avail itself of the flexibility concerning its 2021 and 2022 l</w:t>
      </w:r>
      <w:r w:rsidRPr="000C5E35" w:rsidR="00BA024F">
        <w:rPr>
          <w:sz w:val="22"/>
          <w:szCs w:val="22"/>
        </w:rPr>
        <w:t xml:space="preserve">egacy </w:t>
      </w:r>
      <w:r w:rsidR="00BA024F">
        <w:rPr>
          <w:sz w:val="22"/>
          <w:szCs w:val="22"/>
        </w:rPr>
        <w:t>h</w:t>
      </w:r>
      <w:r w:rsidRPr="000C5E35" w:rsidR="00BA024F">
        <w:rPr>
          <w:sz w:val="22"/>
          <w:szCs w:val="22"/>
        </w:rPr>
        <w:t>igh-</w:t>
      </w:r>
      <w:r w:rsidR="00BA024F">
        <w:rPr>
          <w:sz w:val="22"/>
          <w:szCs w:val="22"/>
        </w:rPr>
        <w:t>c</w:t>
      </w:r>
      <w:r w:rsidRPr="000C5E35" w:rsidR="00BA024F">
        <w:rPr>
          <w:sz w:val="22"/>
          <w:szCs w:val="22"/>
        </w:rPr>
        <w:t xml:space="preserve">ost </w:t>
      </w:r>
      <w:r w:rsidR="00BA024F">
        <w:rPr>
          <w:sz w:val="22"/>
          <w:szCs w:val="22"/>
        </w:rPr>
        <w:t>s</w:t>
      </w:r>
      <w:r w:rsidRPr="000C5E35" w:rsidR="00BA024F">
        <w:rPr>
          <w:sz w:val="22"/>
          <w:szCs w:val="22"/>
        </w:rPr>
        <w:t xml:space="preserve">upport </w:t>
      </w:r>
      <w:r w:rsidR="00BA024F">
        <w:rPr>
          <w:sz w:val="22"/>
          <w:szCs w:val="22"/>
        </w:rPr>
        <w:t>u</w:t>
      </w:r>
      <w:r w:rsidRPr="000C5E35" w:rsidR="00BA024F">
        <w:rPr>
          <w:sz w:val="22"/>
          <w:szCs w:val="22"/>
        </w:rPr>
        <w:t xml:space="preserve">sage </w:t>
      </w:r>
      <w:r w:rsidR="00BA024F">
        <w:rPr>
          <w:sz w:val="22"/>
          <w:szCs w:val="22"/>
        </w:rPr>
        <w:t xml:space="preserve">requirements </w:t>
      </w:r>
      <w:r w:rsidR="002A3D74">
        <w:rPr>
          <w:rFonts w:eastAsiaTheme="minorHAnsi"/>
          <w:sz w:val="22"/>
          <w:szCs w:val="22"/>
        </w:rPr>
        <w:t>will</w:t>
      </w:r>
      <w:r w:rsidR="002A3D74">
        <w:rPr>
          <w:sz w:val="22"/>
          <w:szCs w:val="22"/>
        </w:rPr>
        <w:t xml:space="preserve"> spend on 5G in 2021 and the spending shortfall it must make up in 2022, and to </w:t>
      </w:r>
      <w:r w:rsidR="00BA024F">
        <w:rPr>
          <w:sz w:val="22"/>
          <w:szCs w:val="22"/>
        </w:rPr>
        <w:t>confirm the</w:t>
      </w:r>
      <w:r w:rsidR="00A55487">
        <w:rPr>
          <w:sz w:val="22"/>
          <w:szCs w:val="22"/>
        </w:rPr>
        <w:t xml:space="preserve"> </w:t>
      </w:r>
      <w:r w:rsidRPr="001F0457" w:rsidR="002A3D74">
        <w:rPr>
          <w:rFonts w:eastAsiaTheme="minorHAnsi"/>
          <w:sz w:val="22"/>
          <w:szCs w:val="22"/>
        </w:rPr>
        <w:t>competitive ETC</w:t>
      </w:r>
      <w:r w:rsidR="00BA024F">
        <w:rPr>
          <w:rFonts w:eastAsiaTheme="minorHAnsi"/>
          <w:sz w:val="22"/>
          <w:szCs w:val="22"/>
        </w:rPr>
        <w:t>’s commitment</w:t>
      </w:r>
      <w:r w:rsidR="00B47C02">
        <w:rPr>
          <w:sz w:val="22"/>
          <w:szCs w:val="22"/>
        </w:rPr>
        <w:t xml:space="preserve"> </w:t>
      </w:r>
      <w:r w:rsidR="00BA024F">
        <w:rPr>
          <w:sz w:val="22"/>
          <w:szCs w:val="22"/>
        </w:rPr>
        <w:t>to make</w:t>
      </w:r>
      <w:r w:rsidR="00A55487">
        <w:rPr>
          <w:sz w:val="22"/>
          <w:szCs w:val="22"/>
        </w:rPr>
        <w:t xml:space="preserve"> up its 2021 spending shortfall in 2022 in accordance with its certification and the Commission’s rules</w:t>
      </w:r>
      <w:r w:rsidRPr="00491393" w:rsidR="006F787B">
        <w:rPr>
          <w:sz w:val="22"/>
          <w:szCs w:val="22"/>
        </w:rPr>
        <w:t xml:space="preserve">. </w:t>
      </w:r>
      <w:bookmarkEnd w:id="4"/>
    </w:p>
    <w:p w:rsidR="00086097" w:rsidP="005C41AD" w:rsidRDefault="00086097" w14:paraId="18E0AE68" w14:textId="7E8F7A3C">
      <w:pPr>
        <w:ind w:left="360"/>
        <w:rPr>
          <w:sz w:val="22"/>
          <w:szCs w:val="22"/>
        </w:rPr>
      </w:pPr>
    </w:p>
    <w:p w:rsidRPr="00DE0940" w:rsidR="00D25811" w:rsidP="00A55487" w:rsidRDefault="00C97852" w14:paraId="0836F05E" w14:textId="32DF6C20">
      <w:pPr>
        <w:rPr>
          <w:sz w:val="22"/>
          <w:szCs w:val="22"/>
        </w:rPr>
      </w:pPr>
      <w:r w:rsidRPr="00491393">
        <w:rPr>
          <w:sz w:val="22"/>
          <w:szCs w:val="22"/>
        </w:rPr>
        <w:t>3.</w:t>
      </w:r>
      <w:r w:rsidRPr="00491393">
        <w:rPr>
          <w:sz w:val="22"/>
          <w:szCs w:val="22"/>
        </w:rPr>
        <w:tab/>
      </w:r>
      <w:r w:rsidRPr="00491393" w:rsidR="00C73014">
        <w:rPr>
          <w:i/>
          <w:sz w:val="22"/>
          <w:szCs w:val="22"/>
        </w:rPr>
        <w:t xml:space="preserve">Technological collection techniques. </w:t>
      </w:r>
      <w:r w:rsidRPr="00491393" w:rsidR="00821583">
        <w:rPr>
          <w:i/>
          <w:sz w:val="22"/>
          <w:szCs w:val="22"/>
        </w:rPr>
        <w:t xml:space="preserve"> </w:t>
      </w:r>
      <w:r w:rsidR="007648C4">
        <w:rPr>
          <w:rFonts w:eastAsiaTheme="minorHAnsi"/>
          <w:sz w:val="22"/>
          <w:szCs w:val="22"/>
        </w:rPr>
        <w:t>C</w:t>
      </w:r>
      <w:r w:rsidRPr="001F0457" w:rsidR="007648C4">
        <w:rPr>
          <w:rFonts w:eastAsiaTheme="minorHAnsi"/>
          <w:sz w:val="22"/>
          <w:szCs w:val="22"/>
        </w:rPr>
        <w:t>ompetitive ETC</w:t>
      </w:r>
      <w:r w:rsidR="007648C4">
        <w:rPr>
          <w:rFonts w:eastAsiaTheme="minorHAnsi"/>
          <w:sz w:val="22"/>
          <w:szCs w:val="22"/>
        </w:rPr>
        <w:t>s that</w:t>
      </w:r>
      <w:r w:rsidRPr="00491393" w:rsidR="00DE0940">
        <w:rPr>
          <w:sz w:val="22"/>
          <w:szCs w:val="22"/>
        </w:rPr>
        <w:t xml:space="preserve"> submit information under this new, one-time </w:t>
      </w:r>
      <w:r w:rsidR="002A3D74">
        <w:rPr>
          <w:sz w:val="22"/>
          <w:szCs w:val="22"/>
        </w:rPr>
        <w:t>information</w:t>
      </w:r>
      <w:r w:rsidRPr="00491393" w:rsidR="00DE0940">
        <w:rPr>
          <w:sz w:val="22"/>
          <w:szCs w:val="22"/>
        </w:rPr>
        <w:t xml:space="preserve"> collection will </w:t>
      </w:r>
      <w:r w:rsidR="002A3D74">
        <w:rPr>
          <w:sz w:val="22"/>
          <w:szCs w:val="22"/>
        </w:rPr>
        <w:t>submit their</w:t>
      </w:r>
      <w:r w:rsidRPr="00491393" w:rsidR="00DE0940">
        <w:rPr>
          <w:sz w:val="22"/>
          <w:szCs w:val="22"/>
        </w:rPr>
        <w:t xml:space="preserve"> </w:t>
      </w:r>
      <w:r w:rsidRPr="00AF6464" w:rsidR="002A3D74">
        <w:rPr>
          <w:sz w:val="22"/>
          <w:szCs w:val="22"/>
        </w:rPr>
        <w:t xml:space="preserve">“Legacy High-Cost Support Usage Flexibility Certification” </w:t>
      </w:r>
      <w:r w:rsidR="002A3D74">
        <w:rPr>
          <w:sz w:val="22"/>
          <w:szCs w:val="22"/>
        </w:rPr>
        <w:t xml:space="preserve">forms </w:t>
      </w:r>
      <w:r w:rsidR="00DE0940">
        <w:rPr>
          <w:sz w:val="22"/>
          <w:szCs w:val="22"/>
        </w:rPr>
        <w:t xml:space="preserve">electronically.  </w:t>
      </w:r>
      <w:r w:rsidRPr="00491393" w:rsidR="00821583">
        <w:rPr>
          <w:sz w:val="22"/>
          <w:szCs w:val="22"/>
        </w:rPr>
        <w:t xml:space="preserve">This collection mechanism is being used to reduce the technological burden on the public and the Commission.  </w:t>
      </w:r>
    </w:p>
    <w:p w:rsidRPr="00491393" w:rsidR="002C644E" w:rsidP="00C97852" w:rsidRDefault="002C644E" w14:paraId="3EAFF6A1" w14:textId="77777777">
      <w:pPr>
        <w:ind w:left="360"/>
        <w:rPr>
          <w:color w:val="000000"/>
          <w:sz w:val="22"/>
          <w:szCs w:val="22"/>
        </w:rPr>
      </w:pPr>
    </w:p>
    <w:p w:rsidRPr="00A55487" w:rsidR="00540323" w:rsidP="00A55487" w:rsidRDefault="00540323" w14:paraId="7F9545F7" w14:textId="7055D11A">
      <w:pPr>
        <w:pStyle w:val="ListParagraph"/>
        <w:numPr>
          <w:ilvl w:val="0"/>
          <w:numId w:val="26"/>
        </w:numPr>
        <w:ind w:left="0" w:firstLine="0"/>
        <w:rPr>
          <w:sz w:val="22"/>
          <w:szCs w:val="22"/>
        </w:rPr>
      </w:pPr>
      <w:r w:rsidRPr="00A55487">
        <w:rPr>
          <w:i/>
          <w:sz w:val="22"/>
          <w:szCs w:val="22"/>
        </w:rPr>
        <w:t>Efforts to identify duplication.</w:t>
      </w:r>
      <w:r w:rsidRPr="00A55487" w:rsidR="00836022">
        <w:rPr>
          <w:i/>
          <w:sz w:val="22"/>
          <w:szCs w:val="22"/>
        </w:rPr>
        <w:t xml:space="preserve"> </w:t>
      </w:r>
      <w:r w:rsidRPr="00A55487" w:rsidR="00146D4A">
        <w:rPr>
          <w:i/>
          <w:sz w:val="22"/>
          <w:szCs w:val="22"/>
        </w:rPr>
        <w:t xml:space="preserve"> </w:t>
      </w:r>
      <w:r w:rsidRPr="00A55487" w:rsidR="00B1109B">
        <w:rPr>
          <w:sz w:val="22"/>
          <w:szCs w:val="22"/>
        </w:rPr>
        <w:t>There will be no duplicative information collected.</w:t>
      </w:r>
      <w:r w:rsidRPr="00A55487" w:rsidR="00836022">
        <w:rPr>
          <w:sz w:val="22"/>
          <w:szCs w:val="22"/>
        </w:rPr>
        <w:t xml:space="preserve"> </w:t>
      </w:r>
      <w:r w:rsidRPr="00A55487" w:rsidR="00146D4A">
        <w:rPr>
          <w:sz w:val="22"/>
          <w:szCs w:val="22"/>
        </w:rPr>
        <w:t xml:space="preserve"> </w:t>
      </w:r>
      <w:r w:rsidRPr="00A55487" w:rsidR="00DE0940">
        <w:rPr>
          <w:sz w:val="22"/>
          <w:szCs w:val="22"/>
        </w:rPr>
        <w:t xml:space="preserve">This information collection is a new, one-time </w:t>
      </w:r>
      <w:r w:rsidR="00A55487">
        <w:rPr>
          <w:sz w:val="22"/>
          <w:szCs w:val="22"/>
        </w:rPr>
        <w:t xml:space="preserve">certification that will be submitted by </w:t>
      </w:r>
      <w:r w:rsidR="00A55487">
        <w:rPr>
          <w:color w:val="000000"/>
          <w:sz w:val="22"/>
          <w:szCs w:val="22"/>
        </w:rPr>
        <w:t xml:space="preserve">a </w:t>
      </w:r>
      <w:r w:rsidRPr="001F0457" w:rsidR="00812ABA">
        <w:rPr>
          <w:rFonts w:eastAsiaTheme="minorHAnsi"/>
          <w:sz w:val="22"/>
          <w:szCs w:val="22"/>
        </w:rPr>
        <w:t>competitive ETC</w:t>
      </w:r>
      <w:r w:rsidRPr="00A55487" w:rsidR="00812ABA">
        <w:rPr>
          <w:sz w:val="22"/>
          <w:szCs w:val="22"/>
        </w:rPr>
        <w:t xml:space="preserve"> </w:t>
      </w:r>
      <w:r w:rsidR="00812ABA">
        <w:rPr>
          <w:sz w:val="22"/>
          <w:szCs w:val="22"/>
        </w:rPr>
        <w:t>receiving</w:t>
      </w:r>
      <w:r w:rsidRPr="00A55487" w:rsidR="00812ABA">
        <w:rPr>
          <w:sz w:val="22"/>
          <w:szCs w:val="22"/>
        </w:rPr>
        <w:t xml:space="preserve"> legacy high-cost support for mobile wireless services</w:t>
      </w:r>
      <w:r w:rsidR="00A55487">
        <w:rPr>
          <w:color w:val="000000"/>
          <w:sz w:val="22"/>
          <w:szCs w:val="22"/>
        </w:rPr>
        <w:t xml:space="preserve"> that wishes to </w:t>
      </w:r>
      <w:r w:rsidR="00A55487">
        <w:rPr>
          <w:sz w:val="22"/>
          <w:szCs w:val="22"/>
        </w:rPr>
        <w:t>avail itself of the flexibility adopted by the Commission concerning its 2021and 2022 l</w:t>
      </w:r>
      <w:r w:rsidRPr="000C5E35" w:rsidR="00A55487">
        <w:rPr>
          <w:sz w:val="22"/>
          <w:szCs w:val="22"/>
        </w:rPr>
        <w:t xml:space="preserve">egacy </w:t>
      </w:r>
      <w:r w:rsidR="00A55487">
        <w:rPr>
          <w:sz w:val="22"/>
          <w:szCs w:val="22"/>
        </w:rPr>
        <w:t>h</w:t>
      </w:r>
      <w:r w:rsidRPr="000C5E35" w:rsidR="00A55487">
        <w:rPr>
          <w:sz w:val="22"/>
          <w:szCs w:val="22"/>
        </w:rPr>
        <w:t>igh-</w:t>
      </w:r>
      <w:r w:rsidR="00A55487">
        <w:rPr>
          <w:sz w:val="22"/>
          <w:szCs w:val="22"/>
        </w:rPr>
        <w:t>c</w:t>
      </w:r>
      <w:r w:rsidRPr="000C5E35" w:rsidR="00A55487">
        <w:rPr>
          <w:sz w:val="22"/>
          <w:szCs w:val="22"/>
        </w:rPr>
        <w:t xml:space="preserve">ost </w:t>
      </w:r>
      <w:r w:rsidR="00A55487">
        <w:rPr>
          <w:sz w:val="22"/>
          <w:szCs w:val="22"/>
        </w:rPr>
        <w:t>s</w:t>
      </w:r>
      <w:r w:rsidRPr="000C5E35" w:rsidR="00A55487">
        <w:rPr>
          <w:sz w:val="22"/>
          <w:szCs w:val="22"/>
        </w:rPr>
        <w:t xml:space="preserve">upport </w:t>
      </w:r>
      <w:r w:rsidR="00A55487">
        <w:rPr>
          <w:sz w:val="22"/>
          <w:szCs w:val="22"/>
        </w:rPr>
        <w:t>u</w:t>
      </w:r>
      <w:r w:rsidRPr="000C5E35" w:rsidR="00A55487">
        <w:rPr>
          <w:sz w:val="22"/>
          <w:szCs w:val="22"/>
        </w:rPr>
        <w:t xml:space="preserve">sage </w:t>
      </w:r>
      <w:r w:rsidR="00A55487">
        <w:rPr>
          <w:sz w:val="22"/>
          <w:szCs w:val="22"/>
        </w:rPr>
        <w:t>requirements</w:t>
      </w:r>
      <w:r w:rsidRPr="00A55487" w:rsidR="00DE0940">
        <w:rPr>
          <w:sz w:val="22"/>
          <w:szCs w:val="22"/>
        </w:rPr>
        <w:t>.  Thus, the information being collected under this collection is</w:t>
      </w:r>
      <w:r w:rsidRPr="00A55487" w:rsidR="00026BAB">
        <w:rPr>
          <w:sz w:val="22"/>
          <w:szCs w:val="22"/>
        </w:rPr>
        <w:t xml:space="preserve"> not already available.  </w:t>
      </w:r>
    </w:p>
    <w:p w:rsidRPr="00A55487" w:rsidR="00C714F6" w:rsidP="00CE3B1E" w:rsidRDefault="00C714F6" w14:paraId="1CAA1FE0" w14:textId="77777777">
      <w:pPr>
        <w:ind w:left="360" w:hanging="360"/>
        <w:rPr>
          <w:sz w:val="22"/>
          <w:szCs w:val="22"/>
        </w:rPr>
      </w:pPr>
    </w:p>
    <w:p w:rsidRPr="00E46163" w:rsidR="002C644E" w:rsidP="00E46163" w:rsidRDefault="00C73014" w14:paraId="459593B0" w14:textId="06FF65FA">
      <w:pPr>
        <w:pStyle w:val="ListParagraph"/>
        <w:numPr>
          <w:ilvl w:val="0"/>
          <w:numId w:val="26"/>
        </w:numPr>
        <w:ind w:left="0" w:firstLine="0"/>
        <w:rPr>
          <w:sz w:val="22"/>
          <w:szCs w:val="22"/>
        </w:rPr>
      </w:pPr>
      <w:r w:rsidRPr="00A55487">
        <w:rPr>
          <w:i/>
          <w:sz w:val="22"/>
          <w:szCs w:val="22"/>
        </w:rPr>
        <w:lastRenderedPageBreak/>
        <w:t>Impact on small entities</w:t>
      </w:r>
      <w:r w:rsidRPr="00A55487">
        <w:rPr>
          <w:sz w:val="22"/>
          <w:szCs w:val="22"/>
        </w:rPr>
        <w:t>.</w:t>
      </w:r>
      <w:r w:rsidRPr="00A55487" w:rsidR="00836022">
        <w:rPr>
          <w:sz w:val="22"/>
          <w:szCs w:val="22"/>
        </w:rPr>
        <w:t xml:space="preserve"> </w:t>
      </w:r>
      <w:r w:rsidRPr="00A55487" w:rsidR="00146D4A">
        <w:rPr>
          <w:sz w:val="22"/>
          <w:szCs w:val="22"/>
        </w:rPr>
        <w:t xml:space="preserve"> </w:t>
      </w:r>
      <w:r w:rsidRPr="00A55487" w:rsidR="00B1109B">
        <w:rPr>
          <w:sz w:val="22"/>
          <w:szCs w:val="22"/>
        </w:rPr>
        <w:t>In conformance with the Paper</w:t>
      </w:r>
      <w:r w:rsidRPr="00A55487" w:rsidR="00A522EC">
        <w:rPr>
          <w:sz w:val="22"/>
          <w:szCs w:val="22"/>
        </w:rPr>
        <w:t xml:space="preserve">work Reduction Act of 1995, the </w:t>
      </w:r>
      <w:r w:rsidRPr="00A55487" w:rsidR="00B1109B">
        <w:rPr>
          <w:sz w:val="22"/>
          <w:szCs w:val="22"/>
        </w:rPr>
        <w:t>Commission has made an effort to minimize the burden on all respondents regardless of size by</w:t>
      </w:r>
      <w:r w:rsidRPr="00491393" w:rsidR="00B1109B">
        <w:rPr>
          <w:sz w:val="22"/>
          <w:szCs w:val="22"/>
        </w:rPr>
        <w:t xml:space="preserve"> limiting the information </w:t>
      </w:r>
      <w:r w:rsidRPr="00491393" w:rsidR="00863B17">
        <w:rPr>
          <w:sz w:val="22"/>
          <w:szCs w:val="22"/>
        </w:rPr>
        <w:t>collected</w:t>
      </w:r>
      <w:r w:rsidRPr="00491393" w:rsidR="00B1109B">
        <w:rPr>
          <w:sz w:val="22"/>
          <w:szCs w:val="22"/>
        </w:rPr>
        <w:t xml:space="preserve"> </w:t>
      </w:r>
      <w:r w:rsidR="00346F5F">
        <w:rPr>
          <w:sz w:val="22"/>
          <w:szCs w:val="22"/>
        </w:rPr>
        <w:t xml:space="preserve">under this collection </w:t>
      </w:r>
      <w:r w:rsidRPr="00491393" w:rsidR="00B1109B">
        <w:rPr>
          <w:sz w:val="22"/>
          <w:szCs w:val="22"/>
        </w:rPr>
        <w:t>to that which is necessary to</w:t>
      </w:r>
      <w:r w:rsidR="00E46163">
        <w:rPr>
          <w:sz w:val="22"/>
          <w:szCs w:val="22"/>
        </w:rPr>
        <w:t xml:space="preserve"> </w:t>
      </w:r>
      <w:r w:rsidR="002A3D74">
        <w:rPr>
          <w:sz w:val="22"/>
          <w:szCs w:val="22"/>
        </w:rPr>
        <w:t xml:space="preserve">identify how much a </w:t>
      </w:r>
      <w:r w:rsidRPr="001F0457" w:rsidR="002A3D74">
        <w:rPr>
          <w:rFonts w:eastAsiaTheme="minorHAnsi"/>
          <w:sz w:val="22"/>
          <w:szCs w:val="22"/>
        </w:rPr>
        <w:t>competitive ETC</w:t>
      </w:r>
      <w:r w:rsidR="002A3D74">
        <w:rPr>
          <w:rFonts w:eastAsiaTheme="minorHAnsi"/>
          <w:sz w:val="22"/>
          <w:szCs w:val="22"/>
        </w:rPr>
        <w:t xml:space="preserve"> </w:t>
      </w:r>
      <w:r w:rsidR="00BA024F">
        <w:rPr>
          <w:sz w:val="22"/>
          <w:szCs w:val="22"/>
        </w:rPr>
        <w:t>that chooses to avail itself of the flexibility concerning its 2021 and 2022 l</w:t>
      </w:r>
      <w:r w:rsidRPr="000C5E35" w:rsidR="00BA024F">
        <w:rPr>
          <w:sz w:val="22"/>
          <w:szCs w:val="22"/>
        </w:rPr>
        <w:t xml:space="preserve">egacy </w:t>
      </w:r>
      <w:r w:rsidR="00BA024F">
        <w:rPr>
          <w:sz w:val="22"/>
          <w:szCs w:val="22"/>
        </w:rPr>
        <w:t>h</w:t>
      </w:r>
      <w:r w:rsidRPr="000C5E35" w:rsidR="00BA024F">
        <w:rPr>
          <w:sz w:val="22"/>
          <w:szCs w:val="22"/>
        </w:rPr>
        <w:t>igh-</w:t>
      </w:r>
      <w:r w:rsidR="00BA024F">
        <w:rPr>
          <w:sz w:val="22"/>
          <w:szCs w:val="22"/>
        </w:rPr>
        <w:t>c</w:t>
      </w:r>
      <w:r w:rsidRPr="000C5E35" w:rsidR="00BA024F">
        <w:rPr>
          <w:sz w:val="22"/>
          <w:szCs w:val="22"/>
        </w:rPr>
        <w:t xml:space="preserve">ost </w:t>
      </w:r>
      <w:r w:rsidR="00BA024F">
        <w:rPr>
          <w:sz w:val="22"/>
          <w:szCs w:val="22"/>
        </w:rPr>
        <w:t>s</w:t>
      </w:r>
      <w:r w:rsidRPr="000C5E35" w:rsidR="00BA024F">
        <w:rPr>
          <w:sz w:val="22"/>
          <w:szCs w:val="22"/>
        </w:rPr>
        <w:t xml:space="preserve">upport </w:t>
      </w:r>
      <w:r w:rsidR="00BA024F">
        <w:rPr>
          <w:sz w:val="22"/>
          <w:szCs w:val="22"/>
        </w:rPr>
        <w:t>u</w:t>
      </w:r>
      <w:r w:rsidRPr="000C5E35" w:rsidR="00BA024F">
        <w:rPr>
          <w:sz w:val="22"/>
          <w:szCs w:val="22"/>
        </w:rPr>
        <w:t xml:space="preserve">sage </w:t>
      </w:r>
      <w:r w:rsidR="00BA024F">
        <w:rPr>
          <w:sz w:val="22"/>
          <w:szCs w:val="22"/>
        </w:rPr>
        <w:t xml:space="preserve">requirements </w:t>
      </w:r>
      <w:r w:rsidR="002A3D74">
        <w:rPr>
          <w:rFonts w:eastAsiaTheme="minorHAnsi"/>
          <w:sz w:val="22"/>
          <w:szCs w:val="22"/>
        </w:rPr>
        <w:t>will</w:t>
      </w:r>
      <w:r w:rsidR="002A3D74">
        <w:rPr>
          <w:sz w:val="22"/>
          <w:szCs w:val="22"/>
        </w:rPr>
        <w:t xml:space="preserve"> spend on 5G in 2021 and the spending shortfall it must make up in 2022, and to </w:t>
      </w:r>
      <w:r w:rsidR="00BA024F">
        <w:rPr>
          <w:sz w:val="22"/>
          <w:szCs w:val="22"/>
        </w:rPr>
        <w:t>confirm the</w:t>
      </w:r>
      <w:r w:rsidR="002A3D74">
        <w:rPr>
          <w:sz w:val="22"/>
          <w:szCs w:val="22"/>
        </w:rPr>
        <w:t xml:space="preserve"> </w:t>
      </w:r>
      <w:r w:rsidRPr="001F0457" w:rsidR="002A3D74">
        <w:rPr>
          <w:rFonts w:eastAsiaTheme="minorHAnsi"/>
          <w:sz w:val="22"/>
          <w:szCs w:val="22"/>
        </w:rPr>
        <w:t>competitive ETC</w:t>
      </w:r>
      <w:r w:rsidR="00BA024F">
        <w:rPr>
          <w:rFonts w:eastAsiaTheme="minorHAnsi"/>
          <w:sz w:val="22"/>
          <w:szCs w:val="22"/>
        </w:rPr>
        <w:t>’s commitment to</w:t>
      </w:r>
      <w:r w:rsidR="002A3D74">
        <w:rPr>
          <w:sz w:val="22"/>
          <w:szCs w:val="22"/>
        </w:rPr>
        <w:t xml:space="preserve"> make up its 2021 spending shortfall in 2022 in accordance with its certification and the Commission’s rules</w:t>
      </w:r>
      <w:r w:rsidRPr="00491393" w:rsidR="00863B17">
        <w:rPr>
          <w:sz w:val="22"/>
          <w:szCs w:val="22"/>
        </w:rPr>
        <w:t xml:space="preserve">. </w:t>
      </w:r>
      <w:r w:rsidRPr="00491393" w:rsidR="00146D4A">
        <w:rPr>
          <w:sz w:val="22"/>
          <w:szCs w:val="22"/>
        </w:rPr>
        <w:t xml:space="preserve"> </w:t>
      </w:r>
      <w:r w:rsidR="00EA249A">
        <w:rPr>
          <w:sz w:val="22"/>
          <w:szCs w:val="22"/>
        </w:rPr>
        <w:t>Moreover, t</w:t>
      </w:r>
      <w:r w:rsidRPr="00491393" w:rsidR="00D25811">
        <w:rPr>
          <w:sz w:val="22"/>
          <w:szCs w:val="22"/>
        </w:rPr>
        <w:t xml:space="preserve">he </w:t>
      </w:r>
      <w:r w:rsidR="00B10248">
        <w:rPr>
          <w:sz w:val="22"/>
          <w:szCs w:val="22"/>
        </w:rPr>
        <w:t>requirement to submit information under this collection is limited to o</w:t>
      </w:r>
      <w:r w:rsidRPr="00491393" w:rsidR="00B10248">
        <w:rPr>
          <w:sz w:val="22"/>
          <w:szCs w:val="22"/>
        </w:rPr>
        <w:t xml:space="preserve">nly </w:t>
      </w:r>
      <w:r w:rsidR="00B10248">
        <w:rPr>
          <w:sz w:val="22"/>
          <w:szCs w:val="22"/>
        </w:rPr>
        <w:t xml:space="preserve">those </w:t>
      </w:r>
      <w:r w:rsidRPr="001F0457" w:rsidR="00A36E2F">
        <w:rPr>
          <w:rFonts w:eastAsiaTheme="minorHAnsi"/>
          <w:sz w:val="22"/>
          <w:szCs w:val="22"/>
        </w:rPr>
        <w:t>competitive ETC</w:t>
      </w:r>
      <w:r w:rsidR="00A36E2F">
        <w:rPr>
          <w:rFonts w:eastAsiaTheme="minorHAnsi"/>
          <w:sz w:val="22"/>
          <w:szCs w:val="22"/>
        </w:rPr>
        <w:t>s</w:t>
      </w:r>
      <w:r w:rsidRPr="00491393" w:rsidR="00B10248">
        <w:rPr>
          <w:sz w:val="22"/>
          <w:szCs w:val="22"/>
        </w:rPr>
        <w:t xml:space="preserve"> that </w:t>
      </w:r>
      <w:r w:rsidR="00E46163">
        <w:rPr>
          <w:sz w:val="22"/>
          <w:szCs w:val="22"/>
        </w:rPr>
        <w:t>wish to avail themselves of the flexibility concerning their 2021 and 2022 l</w:t>
      </w:r>
      <w:r w:rsidRPr="000C5E35" w:rsidR="00E46163">
        <w:rPr>
          <w:sz w:val="22"/>
          <w:szCs w:val="22"/>
        </w:rPr>
        <w:t xml:space="preserve">egacy </w:t>
      </w:r>
      <w:r w:rsidR="00E46163">
        <w:rPr>
          <w:sz w:val="22"/>
          <w:szCs w:val="22"/>
        </w:rPr>
        <w:t>h</w:t>
      </w:r>
      <w:r w:rsidRPr="000C5E35" w:rsidR="00E46163">
        <w:rPr>
          <w:sz w:val="22"/>
          <w:szCs w:val="22"/>
        </w:rPr>
        <w:t>igh-</w:t>
      </w:r>
      <w:r w:rsidR="00E46163">
        <w:rPr>
          <w:sz w:val="22"/>
          <w:szCs w:val="22"/>
        </w:rPr>
        <w:t>c</w:t>
      </w:r>
      <w:r w:rsidRPr="000C5E35" w:rsidR="00E46163">
        <w:rPr>
          <w:sz w:val="22"/>
          <w:szCs w:val="22"/>
        </w:rPr>
        <w:t xml:space="preserve">ost </w:t>
      </w:r>
      <w:r w:rsidR="00E46163">
        <w:rPr>
          <w:sz w:val="22"/>
          <w:szCs w:val="22"/>
        </w:rPr>
        <w:t>s</w:t>
      </w:r>
      <w:r w:rsidRPr="000C5E35" w:rsidR="00E46163">
        <w:rPr>
          <w:sz w:val="22"/>
          <w:szCs w:val="22"/>
        </w:rPr>
        <w:t xml:space="preserve">upport </w:t>
      </w:r>
      <w:r w:rsidR="00E46163">
        <w:rPr>
          <w:sz w:val="22"/>
          <w:szCs w:val="22"/>
        </w:rPr>
        <w:t>u</w:t>
      </w:r>
      <w:r w:rsidRPr="000C5E35" w:rsidR="00E46163">
        <w:rPr>
          <w:sz w:val="22"/>
          <w:szCs w:val="22"/>
        </w:rPr>
        <w:t xml:space="preserve">sage </w:t>
      </w:r>
      <w:r w:rsidR="00E46163">
        <w:rPr>
          <w:sz w:val="22"/>
          <w:szCs w:val="22"/>
        </w:rPr>
        <w:t>requirements</w:t>
      </w:r>
      <w:r w:rsidRPr="00491393" w:rsidR="00B10248">
        <w:rPr>
          <w:sz w:val="22"/>
          <w:szCs w:val="22"/>
        </w:rPr>
        <w:t xml:space="preserve">. </w:t>
      </w:r>
      <w:r w:rsidR="00A27F8F">
        <w:rPr>
          <w:sz w:val="22"/>
          <w:szCs w:val="22"/>
        </w:rPr>
        <w:t xml:space="preserve"> </w:t>
      </w:r>
      <w:r w:rsidR="00473F12">
        <w:rPr>
          <w:sz w:val="22"/>
          <w:szCs w:val="22"/>
        </w:rPr>
        <w:t xml:space="preserve">In addition, </w:t>
      </w:r>
      <w:r w:rsidRPr="00E46163" w:rsidR="00E46163">
        <w:rPr>
          <w:sz w:val="22"/>
          <w:szCs w:val="22"/>
        </w:rPr>
        <w:t xml:space="preserve">the Commission has developed a </w:t>
      </w:r>
      <w:bookmarkStart w:name="_Hlk58334673" w:id="5"/>
      <w:r w:rsidRPr="00AF6464" w:rsidR="00E46163">
        <w:rPr>
          <w:sz w:val="22"/>
          <w:szCs w:val="22"/>
        </w:rPr>
        <w:t xml:space="preserve">“Legacy High-Cost Support Usage Flexibility Certification” </w:t>
      </w:r>
      <w:r w:rsidR="00E46163">
        <w:rPr>
          <w:sz w:val="22"/>
          <w:szCs w:val="22"/>
        </w:rPr>
        <w:t xml:space="preserve">form </w:t>
      </w:r>
      <w:bookmarkEnd w:id="5"/>
      <w:r w:rsidR="00E46163">
        <w:rPr>
          <w:sz w:val="22"/>
          <w:szCs w:val="22"/>
        </w:rPr>
        <w:t xml:space="preserve">for </w:t>
      </w:r>
      <w:r w:rsidR="00BA024F">
        <w:rPr>
          <w:sz w:val="22"/>
          <w:szCs w:val="22"/>
        </w:rPr>
        <w:t xml:space="preserve">a </w:t>
      </w:r>
      <w:r w:rsidRPr="001F0457" w:rsidR="00BA024F">
        <w:rPr>
          <w:rFonts w:eastAsiaTheme="minorHAnsi"/>
          <w:sz w:val="22"/>
          <w:szCs w:val="22"/>
        </w:rPr>
        <w:t>competitive ETC</w:t>
      </w:r>
      <w:r w:rsidRPr="00491393" w:rsidR="00BA024F">
        <w:rPr>
          <w:sz w:val="22"/>
          <w:szCs w:val="22"/>
        </w:rPr>
        <w:t xml:space="preserve"> </w:t>
      </w:r>
      <w:r w:rsidR="00BA024F">
        <w:rPr>
          <w:sz w:val="22"/>
          <w:szCs w:val="22"/>
        </w:rPr>
        <w:t xml:space="preserve">to </w:t>
      </w:r>
      <w:r w:rsidR="00E46163">
        <w:rPr>
          <w:sz w:val="22"/>
          <w:szCs w:val="22"/>
        </w:rPr>
        <w:t xml:space="preserve">use in making </w:t>
      </w:r>
      <w:r w:rsidR="00BA024F">
        <w:rPr>
          <w:sz w:val="22"/>
          <w:szCs w:val="22"/>
        </w:rPr>
        <w:t>its</w:t>
      </w:r>
      <w:r w:rsidR="00E46163">
        <w:rPr>
          <w:sz w:val="22"/>
          <w:szCs w:val="22"/>
        </w:rPr>
        <w:t xml:space="preserve"> certification</w:t>
      </w:r>
      <w:r w:rsidR="00BA024F">
        <w:rPr>
          <w:sz w:val="22"/>
          <w:szCs w:val="22"/>
        </w:rPr>
        <w:t>,</w:t>
      </w:r>
      <w:r w:rsidR="00E46163">
        <w:rPr>
          <w:sz w:val="22"/>
          <w:szCs w:val="22"/>
        </w:rPr>
        <w:t xml:space="preserve"> which will </w:t>
      </w:r>
      <w:r w:rsidR="00BA024F">
        <w:rPr>
          <w:sz w:val="22"/>
          <w:szCs w:val="22"/>
        </w:rPr>
        <w:t xml:space="preserve">be </w:t>
      </w:r>
      <w:r w:rsidR="00E46163">
        <w:rPr>
          <w:sz w:val="22"/>
          <w:szCs w:val="22"/>
        </w:rPr>
        <w:t>submit</w:t>
      </w:r>
      <w:r w:rsidR="00BA024F">
        <w:rPr>
          <w:sz w:val="22"/>
          <w:szCs w:val="22"/>
        </w:rPr>
        <w:t>ted</w:t>
      </w:r>
      <w:r w:rsidR="00E46163">
        <w:rPr>
          <w:sz w:val="22"/>
          <w:szCs w:val="22"/>
        </w:rPr>
        <w:t xml:space="preserve"> </w:t>
      </w:r>
      <w:r w:rsidR="00424B59">
        <w:rPr>
          <w:rFonts w:eastAsiaTheme="minorHAnsi"/>
          <w:iCs/>
          <w:sz w:val="22"/>
          <w:szCs w:val="22"/>
        </w:rPr>
        <w:t>electronically</w:t>
      </w:r>
      <w:r w:rsidRPr="00DA2BB0" w:rsidR="00B10248">
        <w:rPr>
          <w:sz w:val="22"/>
          <w:szCs w:val="22"/>
        </w:rPr>
        <w:t>,</w:t>
      </w:r>
      <w:r w:rsidRPr="00DA2BB0" w:rsidR="00D25811">
        <w:rPr>
          <w:sz w:val="22"/>
          <w:szCs w:val="22"/>
        </w:rPr>
        <w:t xml:space="preserve"> </w:t>
      </w:r>
      <w:r w:rsidRPr="00DA2BB0" w:rsidR="00DA2BB0">
        <w:rPr>
          <w:sz w:val="22"/>
          <w:szCs w:val="22"/>
        </w:rPr>
        <w:t>and will allow a competitive ETC that receives legacy support for multiple service areas or is affiliated with other competitive ETCs that receive legacy support (for example, where such competitive ETCs share a common holding company) to submit a single certification</w:t>
      </w:r>
      <w:r w:rsidR="008409B0">
        <w:rPr>
          <w:sz w:val="22"/>
          <w:szCs w:val="22"/>
        </w:rPr>
        <w:t>—</w:t>
      </w:r>
      <w:r w:rsidRPr="00DA2BB0" w:rsidR="00D25811">
        <w:rPr>
          <w:sz w:val="22"/>
          <w:szCs w:val="22"/>
        </w:rPr>
        <w:t xml:space="preserve">thereby </w:t>
      </w:r>
      <w:r w:rsidRPr="00DA2BB0" w:rsidR="006C4797">
        <w:rPr>
          <w:sz w:val="22"/>
          <w:szCs w:val="22"/>
        </w:rPr>
        <w:t xml:space="preserve">further </w:t>
      </w:r>
      <w:r w:rsidRPr="00DA2BB0" w:rsidR="00D25811">
        <w:rPr>
          <w:sz w:val="22"/>
          <w:szCs w:val="22"/>
        </w:rPr>
        <w:t>m</w:t>
      </w:r>
      <w:r w:rsidRPr="00E46163" w:rsidR="00D25811">
        <w:rPr>
          <w:sz w:val="22"/>
          <w:szCs w:val="22"/>
        </w:rPr>
        <w:t>i</w:t>
      </w:r>
      <w:r w:rsidRPr="00E46163" w:rsidR="009152B7">
        <w:rPr>
          <w:sz w:val="22"/>
          <w:szCs w:val="22"/>
        </w:rPr>
        <w:t>nimizing the burden on all respondent</w:t>
      </w:r>
      <w:r w:rsidRPr="00E46163" w:rsidR="00D25811">
        <w:rPr>
          <w:sz w:val="22"/>
          <w:szCs w:val="22"/>
        </w:rPr>
        <w:t xml:space="preserve">s, including small entities, related to this new, one-time </w:t>
      </w:r>
      <w:r w:rsidR="00E46163">
        <w:rPr>
          <w:sz w:val="22"/>
          <w:szCs w:val="22"/>
        </w:rPr>
        <w:t>information</w:t>
      </w:r>
      <w:r w:rsidRPr="00E46163" w:rsidR="00D25811">
        <w:rPr>
          <w:sz w:val="22"/>
          <w:szCs w:val="22"/>
        </w:rPr>
        <w:t xml:space="preserve"> collection. </w:t>
      </w:r>
    </w:p>
    <w:p w:rsidRPr="00491393" w:rsidR="002C644E" w:rsidP="002C644E" w:rsidRDefault="002C644E" w14:paraId="164FB370" w14:textId="77777777">
      <w:pPr>
        <w:rPr>
          <w:sz w:val="22"/>
          <w:szCs w:val="22"/>
        </w:rPr>
      </w:pPr>
    </w:p>
    <w:p w:rsidRPr="004A38AE" w:rsidR="00B453A5" w:rsidP="00EC7313" w:rsidRDefault="00C73014" w14:paraId="0AA383C4" w14:textId="1C165ED3">
      <w:pPr>
        <w:numPr>
          <w:ilvl w:val="0"/>
          <w:numId w:val="5"/>
        </w:numPr>
        <w:tabs>
          <w:tab w:val="clear" w:pos="1080"/>
        </w:tabs>
        <w:ind w:left="0" w:firstLine="0"/>
        <w:rPr>
          <w:sz w:val="22"/>
          <w:szCs w:val="22"/>
        </w:rPr>
      </w:pPr>
      <w:r w:rsidRPr="00B453A5">
        <w:rPr>
          <w:i/>
          <w:sz w:val="22"/>
          <w:szCs w:val="22"/>
        </w:rPr>
        <w:t>Consequences if information is not collected.</w:t>
      </w:r>
      <w:r w:rsidRPr="00B453A5" w:rsidR="00836022">
        <w:rPr>
          <w:i/>
          <w:sz w:val="22"/>
          <w:szCs w:val="22"/>
        </w:rPr>
        <w:t xml:space="preserve"> </w:t>
      </w:r>
      <w:r w:rsidRPr="00B453A5" w:rsidR="00146D4A">
        <w:rPr>
          <w:i/>
          <w:sz w:val="22"/>
          <w:szCs w:val="22"/>
        </w:rPr>
        <w:t xml:space="preserve"> </w:t>
      </w:r>
      <w:r w:rsidRPr="00B453A5" w:rsidR="00B453A5">
        <w:rPr>
          <w:sz w:val="22"/>
          <w:szCs w:val="22"/>
        </w:rPr>
        <w:t xml:space="preserve">Without </w:t>
      </w:r>
      <w:r w:rsidR="00A36E2F">
        <w:rPr>
          <w:sz w:val="22"/>
          <w:szCs w:val="22"/>
        </w:rPr>
        <w:t xml:space="preserve">the information and </w:t>
      </w:r>
      <w:r w:rsidR="002A3D74">
        <w:rPr>
          <w:sz w:val="22"/>
          <w:szCs w:val="22"/>
        </w:rPr>
        <w:t>certification</w:t>
      </w:r>
      <w:r w:rsidR="00A36E2F">
        <w:rPr>
          <w:sz w:val="22"/>
          <w:szCs w:val="22"/>
        </w:rPr>
        <w:t>s</w:t>
      </w:r>
      <w:r w:rsidRPr="00B453A5" w:rsidR="00B453A5">
        <w:rPr>
          <w:sz w:val="22"/>
          <w:szCs w:val="22"/>
        </w:rPr>
        <w:t xml:space="preserve"> </w:t>
      </w:r>
      <w:r w:rsidR="00A36E2F">
        <w:rPr>
          <w:sz w:val="22"/>
          <w:szCs w:val="22"/>
        </w:rPr>
        <w:t xml:space="preserve">provided under this information collection, the Commission will not be able to identify how much a </w:t>
      </w:r>
      <w:r w:rsidRPr="001F0457" w:rsidR="00A36E2F">
        <w:rPr>
          <w:rFonts w:eastAsiaTheme="minorHAnsi"/>
          <w:sz w:val="22"/>
          <w:szCs w:val="22"/>
        </w:rPr>
        <w:t>competitive ETC</w:t>
      </w:r>
      <w:r w:rsidR="00A36E2F">
        <w:rPr>
          <w:rFonts w:eastAsiaTheme="minorHAnsi"/>
          <w:sz w:val="22"/>
          <w:szCs w:val="22"/>
        </w:rPr>
        <w:t xml:space="preserve"> </w:t>
      </w:r>
      <w:r w:rsidRPr="00DA2BB0" w:rsidR="00BA024F">
        <w:rPr>
          <w:sz w:val="22"/>
          <w:szCs w:val="22"/>
        </w:rPr>
        <w:t>receiv</w:t>
      </w:r>
      <w:r w:rsidR="00BA024F">
        <w:rPr>
          <w:sz w:val="22"/>
          <w:szCs w:val="22"/>
        </w:rPr>
        <w:t>ing</w:t>
      </w:r>
      <w:r w:rsidRPr="00DA2BB0" w:rsidR="00BA024F">
        <w:rPr>
          <w:sz w:val="22"/>
          <w:szCs w:val="22"/>
        </w:rPr>
        <w:t xml:space="preserve"> legacy support</w:t>
      </w:r>
      <w:r w:rsidR="00BA024F">
        <w:rPr>
          <w:rFonts w:eastAsiaTheme="minorHAnsi"/>
          <w:sz w:val="22"/>
          <w:szCs w:val="22"/>
        </w:rPr>
        <w:t xml:space="preserve"> for mobile wireless services </w:t>
      </w:r>
      <w:r w:rsidRPr="004A38AE" w:rsidR="00675ED2">
        <w:rPr>
          <w:sz w:val="22"/>
          <w:szCs w:val="22"/>
        </w:rPr>
        <w:t>that chooses to avail itself of the flexibility concerning its 2021 and 2022 legacy high-cost support usage requirements</w:t>
      </w:r>
      <w:r w:rsidR="00675ED2">
        <w:rPr>
          <w:rFonts w:eastAsiaTheme="minorHAnsi"/>
          <w:sz w:val="22"/>
          <w:szCs w:val="22"/>
        </w:rPr>
        <w:t xml:space="preserve"> </w:t>
      </w:r>
      <w:r w:rsidR="00A36E2F">
        <w:rPr>
          <w:rFonts w:eastAsiaTheme="minorHAnsi"/>
          <w:sz w:val="22"/>
          <w:szCs w:val="22"/>
        </w:rPr>
        <w:t>will</w:t>
      </w:r>
      <w:r w:rsidR="00A36E2F">
        <w:rPr>
          <w:sz w:val="22"/>
          <w:szCs w:val="22"/>
        </w:rPr>
        <w:t xml:space="preserve"> spend on 5G in 2021 and</w:t>
      </w:r>
      <w:r w:rsidR="00BA024F">
        <w:rPr>
          <w:sz w:val="22"/>
          <w:szCs w:val="22"/>
        </w:rPr>
        <w:t>,</w:t>
      </w:r>
      <w:r w:rsidR="00A36E2F">
        <w:rPr>
          <w:sz w:val="22"/>
          <w:szCs w:val="22"/>
        </w:rPr>
        <w:t xml:space="preserve"> in turn</w:t>
      </w:r>
      <w:r w:rsidR="00BA024F">
        <w:rPr>
          <w:sz w:val="22"/>
          <w:szCs w:val="22"/>
        </w:rPr>
        <w:t>,</w:t>
      </w:r>
      <w:r w:rsidR="00A36E2F">
        <w:rPr>
          <w:sz w:val="22"/>
          <w:szCs w:val="22"/>
        </w:rPr>
        <w:t xml:space="preserve"> </w:t>
      </w:r>
      <w:r w:rsidRPr="004A38AE" w:rsidR="00A36E2F">
        <w:rPr>
          <w:sz w:val="22"/>
          <w:szCs w:val="22"/>
        </w:rPr>
        <w:t xml:space="preserve">the spending shortfall it must make up in 2022, and will not be able to </w:t>
      </w:r>
      <w:r w:rsidR="00675ED2">
        <w:rPr>
          <w:sz w:val="22"/>
          <w:szCs w:val="22"/>
        </w:rPr>
        <w:t>confirm</w:t>
      </w:r>
      <w:r w:rsidRPr="004A38AE" w:rsidR="00675ED2">
        <w:rPr>
          <w:sz w:val="22"/>
          <w:szCs w:val="22"/>
        </w:rPr>
        <w:t xml:space="preserve"> </w:t>
      </w:r>
      <w:r w:rsidR="00675ED2">
        <w:rPr>
          <w:sz w:val="22"/>
          <w:szCs w:val="22"/>
        </w:rPr>
        <w:t>the</w:t>
      </w:r>
      <w:r w:rsidRPr="004A38AE" w:rsidR="00675ED2">
        <w:rPr>
          <w:sz w:val="22"/>
          <w:szCs w:val="22"/>
        </w:rPr>
        <w:t xml:space="preserve"> </w:t>
      </w:r>
      <w:r w:rsidRPr="004A38AE" w:rsidR="00675ED2">
        <w:rPr>
          <w:rFonts w:eastAsiaTheme="minorHAnsi"/>
          <w:sz w:val="22"/>
          <w:szCs w:val="22"/>
        </w:rPr>
        <w:t>competitive ETC</w:t>
      </w:r>
      <w:r w:rsidR="00675ED2">
        <w:rPr>
          <w:rFonts w:eastAsiaTheme="minorHAnsi"/>
          <w:sz w:val="22"/>
          <w:szCs w:val="22"/>
        </w:rPr>
        <w:t>’s commitment to</w:t>
      </w:r>
      <w:r w:rsidRPr="004A38AE" w:rsidR="00675ED2">
        <w:rPr>
          <w:sz w:val="22"/>
          <w:szCs w:val="22"/>
        </w:rPr>
        <w:t xml:space="preserve"> </w:t>
      </w:r>
      <w:r w:rsidRPr="004A38AE" w:rsidR="00A36E2F">
        <w:rPr>
          <w:sz w:val="22"/>
          <w:szCs w:val="22"/>
        </w:rPr>
        <w:t>make up its 2021 spending shortfall in 2022 in accordance with its certification and the Commission’s rules</w:t>
      </w:r>
      <w:r w:rsidRPr="004A38AE" w:rsidR="00B453A5">
        <w:rPr>
          <w:bCs/>
          <w:sz w:val="22"/>
          <w:szCs w:val="22"/>
        </w:rPr>
        <w:t>—</w:t>
      </w:r>
      <w:r w:rsidRPr="004A38AE" w:rsidR="000D77B1">
        <w:rPr>
          <w:bCs/>
          <w:sz w:val="22"/>
          <w:szCs w:val="22"/>
        </w:rPr>
        <w:t>which could hinder the Commission’s efforts to</w:t>
      </w:r>
      <w:r w:rsidRPr="004A38AE" w:rsidR="000D77B1">
        <w:rPr>
          <w:sz w:val="22"/>
          <w:szCs w:val="22"/>
        </w:rPr>
        <w:t xml:space="preserve"> bring accountability and ensure deployment of 5G in legacy high-cost support recipients’ subsidized service areas and result in</w:t>
      </w:r>
      <w:r w:rsidRPr="004A38AE" w:rsidR="000D77B1">
        <w:rPr>
          <w:bCs/>
          <w:sz w:val="22"/>
          <w:szCs w:val="22"/>
        </w:rPr>
        <w:t xml:space="preserve"> </w:t>
      </w:r>
      <w:r w:rsidRPr="004A38AE" w:rsidR="00A36E2F">
        <w:rPr>
          <w:bCs/>
          <w:sz w:val="22"/>
          <w:szCs w:val="22"/>
        </w:rPr>
        <w:t xml:space="preserve">potential </w:t>
      </w:r>
      <w:r w:rsidRPr="004A38AE" w:rsidR="00B453A5">
        <w:rPr>
          <w:bCs/>
          <w:sz w:val="22"/>
          <w:szCs w:val="22"/>
        </w:rPr>
        <w:t xml:space="preserve">harm to the </w:t>
      </w:r>
      <w:r w:rsidRPr="004A38AE" w:rsidR="00A36E2F">
        <w:rPr>
          <w:bCs/>
          <w:sz w:val="22"/>
          <w:szCs w:val="22"/>
        </w:rPr>
        <w:t xml:space="preserve">universal service </w:t>
      </w:r>
      <w:r w:rsidRPr="004A38AE" w:rsidR="00B453A5">
        <w:rPr>
          <w:bCs/>
          <w:sz w:val="22"/>
          <w:szCs w:val="22"/>
        </w:rPr>
        <w:t>program and the public.</w:t>
      </w:r>
    </w:p>
    <w:p w:rsidRPr="004A38AE" w:rsidR="00C71F39" w:rsidP="00CE3B1E" w:rsidRDefault="00C71F39" w14:paraId="3E02B2E5" w14:textId="77777777">
      <w:pPr>
        <w:tabs>
          <w:tab w:val="num" w:pos="360"/>
        </w:tabs>
        <w:ind w:left="360" w:hanging="360"/>
        <w:rPr>
          <w:sz w:val="22"/>
          <w:szCs w:val="22"/>
        </w:rPr>
      </w:pPr>
    </w:p>
    <w:p w:rsidRPr="00491393" w:rsidR="002C644E" w:rsidP="004A38AE" w:rsidRDefault="002C644E" w14:paraId="0895D9FB" w14:textId="07B51F19">
      <w:pPr>
        <w:rPr>
          <w:sz w:val="22"/>
          <w:szCs w:val="22"/>
        </w:rPr>
      </w:pPr>
      <w:r w:rsidRPr="00491393">
        <w:rPr>
          <w:sz w:val="22"/>
          <w:szCs w:val="22"/>
        </w:rPr>
        <w:t>7.</w:t>
      </w:r>
      <w:r w:rsidRPr="00491393" w:rsidR="006B7D65">
        <w:rPr>
          <w:sz w:val="22"/>
          <w:szCs w:val="22"/>
        </w:rPr>
        <w:tab/>
      </w:r>
      <w:r w:rsidRPr="00491393" w:rsidR="00C73014">
        <w:rPr>
          <w:i/>
          <w:sz w:val="22"/>
          <w:szCs w:val="22"/>
        </w:rPr>
        <w:t>Special circumstances.</w:t>
      </w:r>
      <w:r w:rsidRPr="00491393" w:rsidR="00836022">
        <w:rPr>
          <w:sz w:val="22"/>
          <w:szCs w:val="22"/>
        </w:rPr>
        <w:t xml:space="preserve"> </w:t>
      </w:r>
      <w:r w:rsidRPr="00491393" w:rsidR="00146D4A">
        <w:rPr>
          <w:sz w:val="22"/>
          <w:szCs w:val="22"/>
        </w:rPr>
        <w:t xml:space="preserve"> </w:t>
      </w:r>
      <w:r w:rsidRPr="00491393" w:rsidR="00E34D9A">
        <w:rPr>
          <w:sz w:val="22"/>
          <w:szCs w:val="22"/>
        </w:rPr>
        <w:t xml:space="preserve">The </w:t>
      </w:r>
      <w:r w:rsidRPr="00491393" w:rsidR="00414DB5">
        <w:rPr>
          <w:sz w:val="22"/>
          <w:szCs w:val="22"/>
        </w:rPr>
        <w:t xml:space="preserve">new </w:t>
      </w:r>
      <w:r w:rsidRPr="00491393" w:rsidR="004F4367">
        <w:rPr>
          <w:sz w:val="22"/>
          <w:szCs w:val="22"/>
        </w:rPr>
        <w:t>collection</w:t>
      </w:r>
      <w:r w:rsidRPr="00491393" w:rsidR="00E34D9A">
        <w:rPr>
          <w:sz w:val="22"/>
          <w:szCs w:val="22"/>
        </w:rPr>
        <w:t xml:space="preserve"> does not have any of the characteristics that would require separate justification under 5 CFR § 1320.5(d)(2).</w:t>
      </w:r>
    </w:p>
    <w:p w:rsidRPr="00491393" w:rsidR="00C73014" w:rsidP="00CE3B1E" w:rsidRDefault="00C73014" w14:paraId="77D81D0A" w14:textId="77777777">
      <w:pPr>
        <w:tabs>
          <w:tab w:val="num" w:pos="360"/>
        </w:tabs>
        <w:ind w:left="360" w:hanging="360"/>
        <w:rPr>
          <w:sz w:val="22"/>
          <w:szCs w:val="22"/>
        </w:rPr>
      </w:pPr>
    </w:p>
    <w:p w:rsidRPr="0063510E" w:rsidR="00EC775C" w:rsidP="0063510E" w:rsidRDefault="00971F8A" w14:paraId="05D7D875" w14:textId="117F34FB">
      <w:pPr>
        <w:tabs>
          <w:tab w:val="num" w:pos="360"/>
        </w:tabs>
        <w:rPr>
          <w:color w:val="000000"/>
          <w:sz w:val="22"/>
          <w:szCs w:val="22"/>
        </w:rPr>
      </w:pPr>
      <w:r w:rsidRPr="00491393">
        <w:rPr>
          <w:sz w:val="22"/>
          <w:szCs w:val="22"/>
        </w:rPr>
        <w:t>8.</w:t>
      </w:r>
      <w:r w:rsidRPr="00491393">
        <w:rPr>
          <w:sz w:val="22"/>
          <w:szCs w:val="22"/>
        </w:rPr>
        <w:tab/>
      </w:r>
      <w:r w:rsidRPr="00491393" w:rsidR="00EC775C">
        <w:rPr>
          <w:i/>
          <w:iCs/>
          <w:sz w:val="22"/>
          <w:szCs w:val="22"/>
        </w:rPr>
        <w:t>Federal Register notice; efforts to consult with persons outside the</w:t>
      </w:r>
      <w:r w:rsidRPr="00491393" w:rsidR="003F5EB6">
        <w:rPr>
          <w:i/>
          <w:iCs/>
          <w:sz w:val="22"/>
          <w:szCs w:val="22"/>
        </w:rPr>
        <w:t xml:space="preserve"> Commission</w:t>
      </w:r>
      <w:r w:rsidRPr="0063510E" w:rsidR="003F5EB6">
        <w:rPr>
          <w:i/>
          <w:iCs/>
          <w:sz w:val="22"/>
          <w:szCs w:val="22"/>
        </w:rPr>
        <w:t>.</w:t>
      </w:r>
      <w:r w:rsidRPr="0063510E" w:rsidR="00146D4A">
        <w:rPr>
          <w:iCs/>
          <w:sz w:val="22"/>
          <w:szCs w:val="22"/>
        </w:rPr>
        <w:t xml:space="preserve"> </w:t>
      </w:r>
      <w:r w:rsidRPr="0063510E" w:rsidR="00836022">
        <w:rPr>
          <w:i/>
          <w:iCs/>
          <w:sz w:val="22"/>
          <w:szCs w:val="22"/>
        </w:rPr>
        <w:t xml:space="preserve"> </w:t>
      </w:r>
      <w:r w:rsidRPr="003D120E" w:rsidR="0063510E">
        <w:rPr>
          <w:sz w:val="22"/>
          <w:szCs w:val="22"/>
        </w:rPr>
        <w:t xml:space="preserve">Pursuant to 5 CFR § 1320.8, the Commission published a 60-day notice in the Federal Register on </w:t>
      </w:r>
      <w:r w:rsidR="00945319">
        <w:rPr>
          <w:sz w:val="22"/>
          <w:szCs w:val="22"/>
        </w:rPr>
        <w:t>February 26, 2021 (</w:t>
      </w:r>
      <w:r w:rsidR="00913526">
        <w:rPr>
          <w:sz w:val="22"/>
          <w:szCs w:val="22"/>
        </w:rPr>
        <w:t>86</w:t>
      </w:r>
      <w:r w:rsidRPr="003D120E" w:rsidR="0063510E">
        <w:rPr>
          <w:sz w:val="22"/>
          <w:szCs w:val="22"/>
        </w:rPr>
        <w:t xml:space="preserve"> FR </w:t>
      </w:r>
      <w:r w:rsidR="00945319">
        <w:rPr>
          <w:sz w:val="22"/>
          <w:szCs w:val="22"/>
        </w:rPr>
        <w:t>11765</w:t>
      </w:r>
      <w:r w:rsidRPr="008B7D8B" w:rsidR="0063510E">
        <w:rPr>
          <w:sz w:val="22"/>
          <w:szCs w:val="22"/>
        </w:rPr>
        <w:t xml:space="preserve">) </w:t>
      </w:r>
      <w:r w:rsidRPr="003D120E" w:rsidR="0063510E">
        <w:rPr>
          <w:sz w:val="22"/>
          <w:szCs w:val="22"/>
        </w:rPr>
        <w:t xml:space="preserve">regarding the extension of this information collection.  No comments were received </w:t>
      </w:r>
      <w:r w:rsidRPr="008B7D8B" w:rsidR="0063510E">
        <w:rPr>
          <w:sz w:val="22"/>
          <w:szCs w:val="22"/>
        </w:rPr>
        <w:t>in response to this notice.</w:t>
      </w:r>
    </w:p>
    <w:p w:rsidRPr="00491393" w:rsidR="00CE3B1E" w:rsidP="00CE3B1E" w:rsidRDefault="00CE3B1E" w14:paraId="4497B720" w14:textId="77777777">
      <w:pPr>
        <w:ind w:left="360"/>
        <w:rPr>
          <w:color w:val="000000"/>
          <w:sz w:val="22"/>
          <w:szCs w:val="22"/>
        </w:rPr>
      </w:pPr>
    </w:p>
    <w:p w:rsidRPr="00491393" w:rsidR="002C644E" w:rsidP="0063510E" w:rsidRDefault="002C644E" w14:paraId="0B59306D" w14:textId="1078B48B">
      <w:pPr>
        <w:rPr>
          <w:sz w:val="22"/>
          <w:szCs w:val="22"/>
        </w:rPr>
      </w:pPr>
      <w:r w:rsidRPr="00491393">
        <w:rPr>
          <w:sz w:val="22"/>
          <w:szCs w:val="22"/>
        </w:rPr>
        <w:t>9.</w:t>
      </w:r>
      <w:r w:rsidRPr="00491393">
        <w:rPr>
          <w:sz w:val="22"/>
          <w:szCs w:val="22"/>
        </w:rPr>
        <w:tab/>
      </w:r>
      <w:r w:rsidRPr="00491393" w:rsidR="00C73014">
        <w:rPr>
          <w:i/>
          <w:sz w:val="22"/>
          <w:szCs w:val="22"/>
        </w:rPr>
        <w:t>Payments or gifts to respondents.</w:t>
      </w:r>
      <w:r w:rsidRPr="00491393" w:rsidR="00836022">
        <w:rPr>
          <w:i/>
          <w:sz w:val="22"/>
          <w:szCs w:val="22"/>
        </w:rPr>
        <w:t xml:space="preserve"> </w:t>
      </w:r>
      <w:r w:rsidRPr="00491393" w:rsidR="00CE3B1E">
        <w:rPr>
          <w:sz w:val="22"/>
          <w:szCs w:val="22"/>
        </w:rPr>
        <w:t xml:space="preserve">The Commission </w:t>
      </w:r>
      <w:r w:rsidR="0063510E">
        <w:rPr>
          <w:sz w:val="22"/>
          <w:szCs w:val="22"/>
        </w:rPr>
        <w:t>will</w:t>
      </w:r>
      <w:r w:rsidRPr="00491393" w:rsidR="00CE3B1E">
        <w:rPr>
          <w:sz w:val="22"/>
          <w:szCs w:val="22"/>
        </w:rPr>
        <w:t xml:space="preserve"> not </w:t>
      </w:r>
      <w:r w:rsidR="0063510E">
        <w:rPr>
          <w:sz w:val="22"/>
          <w:szCs w:val="22"/>
        </w:rPr>
        <w:t>provide</w:t>
      </w:r>
      <w:r w:rsidRPr="00491393" w:rsidR="00CE3B1E">
        <w:rPr>
          <w:sz w:val="22"/>
          <w:szCs w:val="22"/>
        </w:rPr>
        <w:t xml:space="preserve"> any payment or gifts to respondents.</w:t>
      </w:r>
    </w:p>
    <w:p w:rsidRPr="00491393" w:rsidR="002C644E" w:rsidP="00CE3B1E" w:rsidRDefault="002C644E" w14:paraId="77A38B5A" w14:textId="77777777">
      <w:pPr>
        <w:ind w:left="360" w:hanging="360"/>
        <w:rPr>
          <w:sz w:val="22"/>
          <w:szCs w:val="22"/>
        </w:rPr>
      </w:pPr>
    </w:p>
    <w:p w:rsidRPr="00491393" w:rsidR="00E34D9A" w:rsidP="0063510E" w:rsidRDefault="00820FF8" w14:paraId="58260004" w14:textId="712DAD9D">
      <w:pPr>
        <w:numPr>
          <w:ilvl w:val="0"/>
          <w:numId w:val="4"/>
        </w:numPr>
        <w:tabs>
          <w:tab w:val="clear" w:pos="1080"/>
        </w:tabs>
        <w:ind w:left="0" w:firstLine="0"/>
        <w:rPr>
          <w:sz w:val="22"/>
          <w:szCs w:val="22"/>
        </w:rPr>
      </w:pPr>
      <w:r w:rsidRPr="00491393">
        <w:rPr>
          <w:i/>
          <w:sz w:val="22"/>
          <w:szCs w:val="22"/>
        </w:rPr>
        <w:t xml:space="preserve"> </w:t>
      </w:r>
      <w:r w:rsidRPr="00491393" w:rsidR="00C7376A">
        <w:rPr>
          <w:i/>
          <w:sz w:val="22"/>
          <w:szCs w:val="22"/>
        </w:rPr>
        <w:t>Assurance of confidentiality.</w:t>
      </w:r>
      <w:r w:rsidRPr="00491393" w:rsidR="00C73014">
        <w:rPr>
          <w:i/>
          <w:sz w:val="22"/>
          <w:szCs w:val="22"/>
        </w:rPr>
        <w:t xml:space="preserve"> </w:t>
      </w:r>
      <w:r w:rsidRPr="00491393" w:rsidR="00146D4A">
        <w:rPr>
          <w:i/>
          <w:sz w:val="22"/>
          <w:szCs w:val="22"/>
        </w:rPr>
        <w:t xml:space="preserve"> </w:t>
      </w:r>
      <w:r w:rsidRPr="000D722C" w:rsidR="00206AE9">
        <w:rPr>
          <w:sz w:val="22"/>
          <w:szCs w:val="22"/>
        </w:rPr>
        <w:t xml:space="preserve">The information </w:t>
      </w:r>
      <w:r w:rsidR="00206AE9">
        <w:rPr>
          <w:sz w:val="22"/>
          <w:szCs w:val="22"/>
        </w:rPr>
        <w:t>collected</w:t>
      </w:r>
      <w:r w:rsidRPr="000D722C" w:rsidR="00206AE9">
        <w:rPr>
          <w:sz w:val="22"/>
          <w:szCs w:val="22"/>
        </w:rPr>
        <w:t xml:space="preserve"> under this collection will </w:t>
      </w:r>
      <w:r w:rsidR="00206AE9">
        <w:rPr>
          <w:sz w:val="22"/>
          <w:szCs w:val="22"/>
        </w:rPr>
        <w:t xml:space="preserve">be </w:t>
      </w:r>
      <w:r w:rsidRPr="000D722C" w:rsidR="00206AE9">
        <w:rPr>
          <w:sz w:val="22"/>
          <w:szCs w:val="22"/>
        </w:rPr>
        <w:t>made public</w:t>
      </w:r>
      <w:r w:rsidR="00467CB2">
        <w:rPr>
          <w:sz w:val="22"/>
          <w:szCs w:val="22"/>
        </w:rPr>
        <w:t>ly available</w:t>
      </w:r>
      <w:r w:rsidR="00206AE9">
        <w:rPr>
          <w:sz w:val="22"/>
          <w:szCs w:val="22"/>
        </w:rPr>
        <w:t>.</w:t>
      </w:r>
      <w:r w:rsidRPr="000D722C" w:rsidR="00206AE9">
        <w:rPr>
          <w:sz w:val="22"/>
          <w:szCs w:val="22"/>
        </w:rPr>
        <w:t xml:space="preserve"> </w:t>
      </w:r>
      <w:r w:rsidR="00206AE9">
        <w:rPr>
          <w:sz w:val="22"/>
          <w:szCs w:val="22"/>
        </w:rPr>
        <w:t xml:space="preserve"> </w:t>
      </w:r>
      <w:r w:rsidRPr="00F211FD" w:rsidR="0063510E">
        <w:rPr>
          <w:sz w:val="22"/>
          <w:szCs w:val="22"/>
        </w:rPr>
        <w:t xml:space="preserve">However, to the extent that a respondent seeks to have certain information </w:t>
      </w:r>
      <w:bookmarkStart w:name="_Hlk56166439" w:id="6"/>
      <w:r w:rsidRPr="00F211FD" w:rsidR="0063510E">
        <w:rPr>
          <w:sz w:val="22"/>
          <w:szCs w:val="22"/>
        </w:rPr>
        <w:t xml:space="preserve">collected </w:t>
      </w:r>
      <w:r w:rsidR="0063510E">
        <w:rPr>
          <w:sz w:val="22"/>
          <w:szCs w:val="22"/>
        </w:rPr>
        <w:t>i</w:t>
      </w:r>
      <w:r w:rsidRPr="00F211FD" w:rsidR="0063510E">
        <w:rPr>
          <w:sz w:val="22"/>
          <w:szCs w:val="22"/>
        </w:rPr>
        <w:t xml:space="preserve">n </w:t>
      </w:r>
      <w:r w:rsidR="0063510E">
        <w:rPr>
          <w:sz w:val="22"/>
          <w:szCs w:val="22"/>
        </w:rPr>
        <w:t>response to this information collection</w:t>
      </w:r>
      <w:r w:rsidRPr="00F211FD" w:rsidR="0063510E">
        <w:rPr>
          <w:sz w:val="22"/>
          <w:szCs w:val="22"/>
        </w:rPr>
        <w:t xml:space="preserve"> withheld from public inspection, the respondent may request confidential treatment pursuant to 47 CFR § 0.459 of the Commission’s rules</w:t>
      </w:r>
      <w:bookmarkEnd w:id="6"/>
      <w:r w:rsidRPr="00F211FD" w:rsidR="0063510E">
        <w:rPr>
          <w:sz w:val="22"/>
          <w:szCs w:val="22"/>
        </w:rPr>
        <w:t>.</w:t>
      </w:r>
    </w:p>
    <w:p w:rsidRPr="00491393" w:rsidR="00C7376A" w:rsidP="00CE3B1E" w:rsidRDefault="00C7376A" w14:paraId="44DB9143" w14:textId="77777777">
      <w:pPr>
        <w:tabs>
          <w:tab w:val="left" w:pos="-720"/>
        </w:tabs>
        <w:suppressAutoHyphens/>
        <w:ind w:left="360" w:hanging="360"/>
        <w:rPr>
          <w:sz w:val="22"/>
          <w:szCs w:val="22"/>
        </w:rPr>
      </w:pPr>
    </w:p>
    <w:p w:rsidRPr="00491393" w:rsidR="002C644E" w:rsidP="0063510E" w:rsidRDefault="00820FF8" w14:paraId="3660A230" w14:textId="77777777">
      <w:pPr>
        <w:numPr>
          <w:ilvl w:val="0"/>
          <w:numId w:val="3"/>
        </w:numPr>
        <w:tabs>
          <w:tab w:val="clear" w:pos="1080"/>
        </w:tabs>
        <w:ind w:left="0" w:firstLine="0"/>
        <w:rPr>
          <w:sz w:val="22"/>
          <w:szCs w:val="22"/>
        </w:rPr>
      </w:pPr>
      <w:r w:rsidRPr="00491393">
        <w:rPr>
          <w:i/>
          <w:sz w:val="22"/>
          <w:szCs w:val="22"/>
        </w:rPr>
        <w:t xml:space="preserve"> </w:t>
      </w:r>
      <w:r w:rsidRPr="00491393" w:rsidR="00C7376A">
        <w:rPr>
          <w:i/>
          <w:sz w:val="22"/>
          <w:szCs w:val="22"/>
        </w:rPr>
        <w:t>Questions of a sensitive nature</w:t>
      </w:r>
      <w:r w:rsidRPr="00491393" w:rsidR="00C7376A">
        <w:rPr>
          <w:sz w:val="22"/>
          <w:szCs w:val="22"/>
        </w:rPr>
        <w:t>.</w:t>
      </w:r>
      <w:r w:rsidRPr="00491393" w:rsidR="003F5CE3">
        <w:rPr>
          <w:sz w:val="22"/>
          <w:szCs w:val="22"/>
        </w:rPr>
        <w:t xml:space="preserve"> </w:t>
      </w:r>
      <w:r w:rsidRPr="00491393" w:rsidR="00146D4A">
        <w:rPr>
          <w:sz w:val="22"/>
          <w:szCs w:val="22"/>
        </w:rPr>
        <w:t xml:space="preserve"> </w:t>
      </w:r>
      <w:r w:rsidRPr="00491393" w:rsidR="00CE3B1E">
        <w:rPr>
          <w:sz w:val="22"/>
          <w:szCs w:val="22"/>
        </w:rPr>
        <w:t>The</w:t>
      </w:r>
      <w:r w:rsidRPr="00491393" w:rsidR="00E9553C">
        <w:rPr>
          <w:sz w:val="22"/>
          <w:szCs w:val="22"/>
        </w:rPr>
        <w:t xml:space="preserve"> information collection </w:t>
      </w:r>
      <w:r w:rsidRPr="00491393" w:rsidR="00414DB5">
        <w:rPr>
          <w:sz w:val="22"/>
          <w:szCs w:val="22"/>
        </w:rPr>
        <w:t xml:space="preserve">requirements </w:t>
      </w:r>
      <w:r w:rsidRPr="00491393" w:rsidR="00E9553C">
        <w:rPr>
          <w:sz w:val="22"/>
          <w:szCs w:val="22"/>
        </w:rPr>
        <w:t xml:space="preserve">do not </w:t>
      </w:r>
      <w:r w:rsidR="00585220">
        <w:rPr>
          <w:sz w:val="22"/>
          <w:szCs w:val="22"/>
        </w:rPr>
        <w:t xml:space="preserve">ask questions </w:t>
      </w:r>
      <w:r w:rsidRPr="00491393" w:rsidR="00E9553C">
        <w:rPr>
          <w:sz w:val="22"/>
          <w:szCs w:val="22"/>
        </w:rPr>
        <w:t>of a sensitive nature</w:t>
      </w:r>
      <w:r w:rsidRPr="00491393" w:rsidR="00CE3B1E">
        <w:rPr>
          <w:sz w:val="22"/>
          <w:szCs w:val="22"/>
        </w:rPr>
        <w:t>.</w:t>
      </w:r>
    </w:p>
    <w:p w:rsidRPr="00491393" w:rsidR="008B410E" w:rsidP="00CE3B1E" w:rsidRDefault="008B410E" w14:paraId="343AE607" w14:textId="77777777">
      <w:pPr>
        <w:ind w:left="360" w:hanging="360"/>
        <w:rPr>
          <w:sz w:val="22"/>
          <w:szCs w:val="22"/>
        </w:rPr>
      </w:pPr>
    </w:p>
    <w:p w:rsidRPr="00491393" w:rsidR="004D61C1" w:rsidP="0063510E" w:rsidRDefault="00C7376A" w14:paraId="5297652C" w14:textId="39A09D5C">
      <w:pPr>
        <w:numPr>
          <w:ilvl w:val="0"/>
          <w:numId w:val="3"/>
        </w:numPr>
        <w:tabs>
          <w:tab w:val="clear" w:pos="1080"/>
        </w:tabs>
        <w:ind w:left="0" w:firstLine="0"/>
        <w:rPr>
          <w:sz w:val="22"/>
          <w:szCs w:val="22"/>
        </w:rPr>
      </w:pPr>
      <w:r w:rsidRPr="00491393">
        <w:rPr>
          <w:i/>
          <w:sz w:val="22"/>
          <w:szCs w:val="22"/>
        </w:rPr>
        <w:t xml:space="preserve">Estimates of the hour burden of the </w:t>
      </w:r>
      <w:r w:rsidR="0081701A">
        <w:rPr>
          <w:i/>
          <w:sz w:val="22"/>
          <w:szCs w:val="22"/>
        </w:rPr>
        <w:t xml:space="preserve">information </w:t>
      </w:r>
      <w:r w:rsidRPr="00491393">
        <w:rPr>
          <w:i/>
          <w:sz w:val="22"/>
          <w:szCs w:val="22"/>
        </w:rPr>
        <w:t>collection to respondents.</w:t>
      </w:r>
      <w:r w:rsidRPr="00491393" w:rsidR="00836022">
        <w:rPr>
          <w:i/>
          <w:sz w:val="22"/>
          <w:szCs w:val="22"/>
        </w:rPr>
        <w:t xml:space="preserve"> </w:t>
      </w:r>
      <w:r w:rsidRPr="00491393" w:rsidR="00146D4A">
        <w:rPr>
          <w:i/>
          <w:sz w:val="22"/>
          <w:szCs w:val="22"/>
        </w:rPr>
        <w:t xml:space="preserve"> </w:t>
      </w:r>
      <w:r w:rsidRPr="00585220" w:rsidR="00585220">
        <w:rPr>
          <w:sz w:val="22"/>
          <w:szCs w:val="22"/>
        </w:rPr>
        <w:t>T</w:t>
      </w:r>
      <w:r w:rsidRPr="00491393" w:rsidR="00CE3B1E">
        <w:rPr>
          <w:sz w:val="22"/>
          <w:szCs w:val="22"/>
        </w:rPr>
        <w:t xml:space="preserve">he following represents the hour burden </w:t>
      </w:r>
      <w:r w:rsidR="00027BF0">
        <w:rPr>
          <w:sz w:val="22"/>
          <w:szCs w:val="22"/>
        </w:rPr>
        <w:t xml:space="preserve">for </w:t>
      </w:r>
      <w:r w:rsidRPr="00491393" w:rsidR="00CE3B1E">
        <w:rPr>
          <w:sz w:val="22"/>
          <w:szCs w:val="22"/>
        </w:rPr>
        <w:t xml:space="preserve">the </w:t>
      </w:r>
      <w:r w:rsidRPr="00491393" w:rsidR="003F5CE3">
        <w:rPr>
          <w:sz w:val="22"/>
          <w:szCs w:val="22"/>
        </w:rPr>
        <w:t xml:space="preserve">proposed new </w:t>
      </w:r>
      <w:r w:rsidRPr="00491393" w:rsidR="00CE3B1E">
        <w:rPr>
          <w:sz w:val="22"/>
          <w:szCs w:val="22"/>
        </w:rPr>
        <w:t>collection of information:</w:t>
      </w:r>
      <w:r w:rsidRPr="00491393" w:rsidR="00836022">
        <w:rPr>
          <w:i/>
          <w:sz w:val="22"/>
          <w:szCs w:val="22"/>
        </w:rPr>
        <w:t xml:space="preserve"> </w:t>
      </w:r>
    </w:p>
    <w:p w:rsidRPr="00491393" w:rsidR="001237B4" w:rsidP="001237B4" w:rsidRDefault="001237B4" w14:paraId="15111F88" w14:textId="77777777">
      <w:pPr>
        <w:rPr>
          <w:sz w:val="22"/>
          <w:szCs w:val="22"/>
        </w:rPr>
      </w:pPr>
    </w:p>
    <w:p w:rsidRPr="00491393" w:rsidR="00A9718E" w:rsidP="00242B6D" w:rsidRDefault="00A9718E" w14:paraId="4CF35004" w14:textId="170E465D">
      <w:pPr>
        <w:pStyle w:val="ListParagraph"/>
        <w:numPr>
          <w:ilvl w:val="1"/>
          <w:numId w:val="7"/>
        </w:numPr>
        <w:ind w:left="720"/>
        <w:rPr>
          <w:sz w:val="22"/>
          <w:szCs w:val="22"/>
        </w:rPr>
      </w:pPr>
      <w:r w:rsidRPr="0081701A">
        <w:rPr>
          <w:i/>
          <w:iCs/>
          <w:sz w:val="22"/>
          <w:szCs w:val="22"/>
          <w:u w:val="single"/>
        </w:rPr>
        <w:t xml:space="preserve">Number of </w:t>
      </w:r>
      <w:r w:rsidRPr="0081701A" w:rsidR="005205D8">
        <w:rPr>
          <w:i/>
          <w:iCs/>
          <w:sz w:val="22"/>
          <w:szCs w:val="22"/>
          <w:u w:val="single"/>
        </w:rPr>
        <w:t>estimated</w:t>
      </w:r>
      <w:r w:rsidRPr="0081701A" w:rsidR="00027BF0">
        <w:rPr>
          <w:i/>
          <w:iCs/>
          <w:sz w:val="22"/>
          <w:szCs w:val="22"/>
          <w:u w:val="single"/>
        </w:rPr>
        <w:t xml:space="preserve"> </w:t>
      </w:r>
      <w:r w:rsidR="0081701A">
        <w:rPr>
          <w:i/>
          <w:iCs/>
          <w:sz w:val="22"/>
          <w:szCs w:val="22"/>
          <w:u w:val="single"/>
        </w:rPr>
        <w:t xml:space="preserve">annual </w:t>
      </w:r>
      <w:r w:rsidRPr="0081701A">
        <w:rPr>
          <w:i/>
          <w:iCs/>
          <w:sz w:val="22"/>
          <w:szCs w:val="22"/>
          <w:u w:val="single"/>
        </w:rPr>
        <w:t>respondents</w:t>
      </w:r>
      <w:r w:rsidRPr="003B029C">
        <w:rPr>
          <w:i/>
          <w:iCs/>
          <w:sz w:val="22"/>
          <w:szCs w:val="22"/>
        </w:rPr>
        <w:t>:</w:t>
      </w:r>
      <w:r w:rsidRPr="00491393" w:rsidR="00836022">
        <w:rPr>
          <w:sz w:val="22"/>
          <w:szCs w:val="22"/>
        </w:rPr>
        <w:t xml:space="preserve"> </w:t>
      </w:r>
      <w:r w:rsidR="0081701A">
        <w:rPr>
          <w:sz w:val="22"/>
          <w:szCs w:val="22"/>
        </w:rPr>
        <w:t>Up to</w:t>
      </w:r>
      <w:r w:rsidRPr="00491393">
        <w:rPr>
          <w:sz w:val="22"/>
          <w:szCs w:val="22"/>
        </w:rPr>
        <w:t xml:space="preserve"> </w:t>
      </w:r>
      <w:r w:rsidR="0081701A">
        <w:rPr>
          <w:sz w:val="22"/>
          <w:szCs w:val="22"/>
        </w:rPr>
        <w:t>110 respondents</w:t>
      </w:r>
      <w:r w:rsidR="00A65767">
        <w:rPr>
          <w:sz w:val="22"/>
          <w:szCs w:val="22"/>
        </w:rPr>
        <w:t>.</w:t>
      </w:r>
      <w:r w:rsidRPr="0081701A" w:rsidR="0081701A">
        <w:rPr>
          <w:sz w:val="22"/>
          <w:szCs w:val="22"/>
        </w:rPr>
        <w:t xml:space="preserve"> </w:t>
      </w:r>
      <w:r w:rsidRPr="00A55487" w:rsidR="0081701A">
        <w:rPr>
          <w:sz w:val="22"/>
          <w:szCs w:val="22"/>
        </w:rPr>
        <w:t xml:space="preserve">Only those </w:t>
      </w:r>
      <w:r w:rsidRPr="001F0457" w:rsidR="0081701A">
        <w:rPr>
          <w:rFonts w:eastAsiaTheme="minorHAnsi"/>
          <w:sz w:val="22"/>
          <w:szCs w:val="22"/>
        </w:rPr>
        <w:t>competitive ETC</w:t>
      </w:r>
      <w:r w:rsidR="0081701A">
        <w:rPr>
          <w:rFonts w:eastAsiaTheme="minorHAnsi"/>
          <w:sz w:val="22"/>
          <w:szCs w:val="22"/>
        </w:rPr>
        <w:t>s</w:t>
      </w:r>
      <w:r w:rsidRPr="00A55487" w:rsidR="0081701A">
        <w:rPr>
          <w:sz w:val="22"/>
          <w:szCs w:val="22"/>
        </w:rPr>
        <w:t xml:space="preserve"> </w:t>
      </w:r>
      <w:r w:rsidR="00A65767">
        <w:rPr>
          <w:sz w:val="22"/>
          <w:szCs w:val="22"/>
        </w:rPr>
        <w:t>receiving</w:t>
      </w:r>
      <w:r w:rsidRPr="00A55487" w:rsidR="0081701A">
        <w:rPr>
          <w:sz w:val="22"/>
          <w:szCs w:val="22"/>
        </w:rPr>
        <w:t xml:space="preserve"> legacy high-cost support for mobile wireless services </w:t>
      </w:r>
      <w:r w:rsidR="00A65767">
        <w:rPr>
          <w:sz w:val="22"/>
          <w:szCs w:val="22"/>
        </w:rPr>
        <w:t>that</w:t>
      </w:r>
      <w:r w:rsidRPr="00A55487" w:rsidR="0081701A">
        <w:rPr>
          <w:sz w:val="22"/>
          <w:szCs w:val="22"/>
        </w:rPr>
        <w:t xml:space="preserve"> wish to avail themselves of </w:t>
      </w:r>
      <w:r w:rsidRPr="00A55487" w:rsidR="0081701A">
        <w:rPr>
          <w:sz w:val="22"/>
          <w:szCs w:val="22"/>
        </w:rPr>
        <w:lastRenderedPageBreak/>
        <w:t xml:space="preserve">the flexibility concerning their 2021 and 2022 legacy high-cost support usage requirements will be required to respond to this </w:t>
      </w:r>
      <w:r w:rsidR="0081701A">
        <w:rPr>
          <w:sz w:val="22"/>
          <w:szCs w:val="22"/>
        </w:rPr>
        <w:t xml:space="preserve">one-time </w:t>
      </w:r>
      <w:r w:rsidRPr="00A55487" w:rsidR="0081701A">
        <w:rPr>
          <w:sz w:val="22"/>
          <w:szCs w:val="22"/>
        </w:rPr>
        <w:t>information collection</w:t>
      </w:r>
      <w:r w:rsidRPr="00491393" w:rsidR="003F5CE3">
        <w:rPr>
          <w:sz w:val="22"/>
          <w:szCs w:val="22"/>
        </w:rPr>
        <w:t>.</w:t>
      </w:r>
    </w:p>
    <w:p w:rsidRPr="00491393" w:rsidR="00A9718E" w:rsidP="00242B6D" w:rsidRDefault="00A9718E" w14:paraId="2D51785B" w14:textId="77777777">
      <w:pPr>
        <w:ind w:left="720"/>
        <w:rPr>
          <w:sz w:val="22"/>
          <w:szCs w:val="22"/>
        </w:rPr>
      </w:pPr>
    </w:p>
    <w:p w:rsidRPr="003B029C" w:rsidR="003B029C" w:rsidP="00242B6D" w:rsidRDefault="003B029C" w14:paraId="7DC8A72E" w14:textId="74DF0816">
      <w:pPr>
        <w:pStyle w:val="ListParagraph"/>
        <w:numPr>
          <w:ilvl w:val="1"/>
          <w:numId w:val="7"/>
        </w:numPr>
        <w:ind w:left="720"/>
        <w:rPr>
          <w:sz w:val="22"/>
          <w:szCs w:val="22"/>
        </w:rPr>
      </w:pPr>
      <w:r>
        <w:rPr>
          <w:i/>
          <w:iCs/>
          <w:sz w:val="22"/>
          <w:szCs w:val="22"/>
          <w:u w:val="single"/>
        </w:rPr>
        <w:t xml:space="preserve">Total number of </w:t>
      </w:r>
      <w:r w:rsidRPr="003B029C">
        <w:rPr>
          <w:i/>
          <w:iCs/>
          <w:sz w:val="22"/>
          <w:szCs w:val="22"/>
          <w:u w:val="single"/>
        </w:rPr>
        <w:t>responses</w:t>
      </w:r>
      <w:r>
        <w:rPr>
          <w:i/>
          <w:iCs/>
          <w:sz w:val="22"/>
          <w:szCs w:val="22"/>
        </w:rPr>
        <w:t xml:space="preserve">: </w:t>
      </w:r>
      <w:r>
        <w:rPr>
          <w:sz w:val="22"/>
          <w:szCs w:val="22"/>
        </w:rPr>
        <w:t>Up to</w:t>
      </w:r>
      <w:r w:rsidRPr="00491393">
        <w:rPr>
          <w:sz w:val="22"/>
          <w:szCs w:val="22"/>
        </w:rPr>
        <w:t xml:space="preserve"> </w:t>
      </w:r>
      <w:r>
        <w:rPr>
          <w:sz w:val="22"/>
          <w:szCs w:val="22"/>
        </w:rPr>
        <w:t>110 responses.</w:t>
      </w:r>
    </w:p>
    <w:p w:rsidRPr="003B029C" w:rsidR="003B029C" w:rsidP="00242B6D" w:rsidRDefault="003B029C" w14:paraId="15C28A85" w14:textId="77777777">
      <w:pPr>
        <w:pStyle w:val="ListParagraph"/>
        <w:rPr>
          <w:i/>
          <w:iCs/>
          <w:sz w:val="22"/>
          <w:szCs w:val="22"/>
        </w:rPr>
      </w:pPr>
    </w:p>
    <w:p w:rsidRPr="00491393" w:rsidR="0061354B" w:rsidP="00242B6D" w:rsidRDefault="00A9718E" w14:paraId="2982F8CD" w14:textId="35684FC2">
      <w:pPr>
        <w:pStyle w:val="ListParagraph"/>
        <w:numPr>
          <w:ilvl w:val="1"/>
          <w:numId w:val="7"/>
        </w:numPr>
        <w:ind w:left="720"/>
        <w:rPr>
          <w:sz w:val="22"/>
          <w:szCs w:val="22"/>
        </w:rPr>
      </w:pPr>
      <w:r w:rsidRPr="000873F9">
        <w:rPr>
          <w:i/>
          <w:iCs/>
          <w:sz w:val="22"/>
          <w:szCs w:val="22"/>
          <w:u w:val="single"/>
        </w:rPr>
        <w:t>Frequency o</w:t>
      </w:r>
      <w:r w:rsidRPr="003B029C">
        <w:rPr>
          <w:i/>
          <w:iCs/>
          <w:sz w:val="22"/>
          <w:szCs w:val="22"/>
          <w:u w:val="single"/>
        </w:rPr>
        <w:t>f response</w:t>
      </w:r>
      <w:r w:rsidRPr="003B029C">
        <w:rPr>
          <w:i/>
          <w:iCs/>
          <w:sz w:val="22"/>
          <w:szCs w:val="22"/>
        </w:rPr>
        <w:t>:</w:t>
      </w:r>
      <w:r w:rsidRPr="00491393" w:rsidR="00836022">
        <w:rPr>
          <w:sz w:val="22"/>
          <w:szCs w:val="22"/>
        </w:rPr>
        <w:t xml:space="preserve"> </w:t>
      </w:r>
      <w:r w:rsidRPr="00491393" w:rsidR="00CE3B1E">
        <w:rPr>
          <w:sz w:val="22"/>
          <w:szCs w:val="22"/>
        </w:rPr>
        <w:t>One-time.</w:t>
      </w:r>
      <w:r w:rsidRPr="00491393" w:rsidR="003F5CE3">
        <w:rPr>
          <w:sz w:val="22"/>
          <w:szCs w:val="22"/>
        </w:rPr>
        <w:t xml:space="preserve"> A</w:t>
      </w:r>
      <w:r w:rsidRPr="00491393" w:rsidR="00185DA7">
        <w:rPr>
          <w:sz w:val="22"/>
          <w:szCs w:val="22"/>
        </w:rPr>
        <w:t xml:space="preserve"> </w:t>
      </w:r>
      <w:r w:rsidRPr="00491393" w:rsidR="003F5CE3">
        <w:rPr>
          <w:sz w:val="22"/>
          <w:szCs w:val="22"/>
        </w:rPr>
        <w:t>respondent</w:t>
      </w:r>
      <w:r w:rsidRPr="00491393" w:rsidR="00185DA7">
        <w:rPr>
          <w:sz w:val="22"/>
          <w:szCs w:val="22"/>
        </w:rPr>
        <w:t xml:space="preserve"> will </w:t>
      </w:r>
      <w:r w:rsidRPr="00491393" w:rsidR="00CE3B1E">
        <w:rPr>
          <w:sz w:val="22"/>
          <w:szCs w:val="22"/>
        </w:rPr>
        <w:t xml:space="preserve">submit </w:t>
      </w:r>
      <w:r w:rsidR="0081701A">
        <w:rPr>
          <w:sz w:val="22"/>
          <w:szCs w:val="22"/>
        </w:rPr>
        <w:t>information</w:t>
      </w:r>
      <w:r w:rsidRPr="00491393" w:rsidR="003F5CE3">
        <w:rPr>
          <w:sz w:val="22"/>
          <w:szCs w:val="22"/>
        </w:rPr>
        <w:t xml:space="preserve"> once</w:t>
      </w:r>
      <w:r w:rsidR="0081701A">
        <w:rPr>
          <w:sz w:val="22"/>
          <w:szCs w:val="22"/>
        </w:rPr>
        <w:t xml:space="preserve"> in response to this information collection</w:t>
      </w:r>
      <w:r w:rsidRPr="00491393" w:rsidR="00CE3B1E">
        <w:rPr>
          <w:sz w:val="22"/>
          <w:szCs w:val="22"/>
        </w:rPr>
        <w:t>.</w:t>
      </w:r>
    </w:p>
    <w:p w:rsidRPr="00491393" w:rsidR="0061354B" w:rsidP="00242B6D" w:rsidRDefault="0061354B" w14:paraId="208F9DBA" w14:textId="77777777">
      <w:pPr>
        <w:ind w:left="720"/>
        <w:rPr>
          <w:sz w:val="22"/>
          <w:szCs w:val="22"/>
        </w:rPr>
      </w:pPr>
    </w:p>
    <w:p w:rsidR="00832795" w:rsidP="00242B6D" w:rsidRDefault="005205D8" w14:paraId="39E79814" w14:textId="4F4374F3">
      <w:pPr>
        <w:pStyle w:val="ListParagraph"/>
        <w:numPr>
          <w:ilvl w:val="1"/>
          <w:numId w:val="7"/>
        </w:numPr>
        <w:ind w:left="720"/>
        <w:rPr>
          <w:sz w:val="22"/>
          <w:szCs w:val="22"/>
        </w:rPr>
      </w:pPr>
      <w:r w:rsidRPr="003B029C">
        <w:rPr>
          <w:i/>
          <w:iCs/>
          <w:sz w:val="22"/>
          <w:szCs w:val="22"/>
          <w:u w:val="single"/>
        </w:rPr>
        <w:t xml:space="preserve">Total estimated </w:t>
      </w:r>
      <w:r w:rsidRPr="003B029C" w:rsidR="00027BF0">
        <w:rPr>
          <w:i/>
          <w:iCs/>
          <w:sz w:val="22"/>
          <w:szCs w:val="22"/>
          <w:u w:val="single"/>
        </w:rPr>
        <w:t>annual</w:t>
      </w:r>
      <w:r w:rsidR="0034015F">
        <w:rPr>
          <w:i/>
          <w:iCs/>
          <w:sz w:val="22"/>
          <w:szCs w:val="22"/>
          <w:u w:val="single"/>
        </w:rPr>
        <w:t xml:space="preserve"> burden hours</w:t>
      </w:r>
      <w:r w:rsidRPr="003B029C" w:rsidR="00856633">
        <w:rPr>
          <w:i/>
          <w:iCs/>
          <w:sz w:val="22"/>
          <w:szCs w:val="22"/>
        </w:rPr>
        <w:t>:</w:t>
      </w:r>
      <w:r w:rsidR="00856633">
        <w:rPr>
          <w:sz w:val="22"/>
          <w:szCs w:val="22"/>
        </w:rPr>
        <w:t xml:space="preserve"> </w:t>
      </w:r>
      <w:r w:rsidR="00832795">
        <w:rPr>
          <w:sz w:val="22"/>
          <w:szCs w:val="22"/>
        </w:rPr>
        <w:t>192.5</w:t>
      </w:r>
      <w:r w:rsidR="00F62FE9">
        <w:rPr>
          <w:sz w:val="22"/>
          <w:szCs w:val="22"/>
        </w:rPr>
        <w:t>,</w:t>
      </w:r>
      <w:r w:rsidR="009C729A">
        <w:rPr>
          <w:sz w:val="22"/>
          <w:szCs w:val="22"/>
        </w:rPr>
        <w:t xml:space="preserve"> rounded to 193 hours</w:t>
      </w:r>
      <w:r w:rsidR="00832795">
        <w:rPr>
          <w:sz w:val="22"/>
          <w:szCs w:val="22"/>
        </w:rPr>
        <w:t>.</w:t>
      </w:r>
    </w:p>
    <w:p w:rsidRPr="00832795" w:rsidR="00832795" w:rsidP="00832795" w:rsidRDefault="00832795" w14:paraId="04C21228" w14:textId="77777777">
      <w:pPr>
        <w:pStyle w:val="ListParagraph"/>
        <w:rPr>
          <w:sz w:val="22"/>
          <w:szCs w:val="22"/>
        </w:rPr>
      </w:pPr>
    </w:p>
    <w:p w:rsidRPr="00491393" w:rsidR="005205D8" w:rsidP="00832795" w:rsidRDefault="000577C8" w14:paraId="40A2A676" w14:textId="7B07ABB8">
      <w:pPr>
        <w:pStyle w:val="ListParagraph"/>
        <w:rPr>
          <w:sz w:val="22"/>
          <w:szCs w:val="22"/>
        </w:rPr>
      </w:pPr>
      <w:r>
        <w:rPr>
          <w:sz w:val="22"/>
          <w:szCs w:val="22"/>
        </w:rPr>
        <w:t>1.</w:t>
      </w:r>
      <w:r w:rsidR="004E66D5">
        <w:rPr>
          <w:sz w:val="22"/>
          <w:szCs w:val="22"/>
        </w:rPr>
        <w:t>7</w:t>
      </w:r>
      <w:r>
        <w:rPr>
          <w:sz w:val="22"/>
          <w:szCs w:val="22"/>
        </w:rPr>
        <w:t xml:space="preserve">5 </w:t>
      </w:r>
      <w:r w:rsidRPr="00A65767" w:rsidR="00A9718E">
        <w:rPr>
          <w:sz w:val="22"/>
          <w:szCs w:val="22"/>
        </w:rPr>
        <w:t>hours</w:t>
      </w:r>
      <w:r w:rsidRPr="00A65767" w:rsidR="00CE3B1E">
        <w:rPr>
          <w:sz w:val="22"/>
          <w:szCs w:val="22"/>
        </w:rPr>
        <w:t xml:space="preserve"> per </w:t>
      </w:r>
      <w:r w:rsidRPr="00A65767" w:rsidR="005205D8">
        <w:rPr>
          <w:sz w:val="22"/>
          <w:szCs w:val="22"/>
        </w:rPr>
        <w:t xml:space="preserve">respondent for </w:t>
      </w:r>
      <w:r w:rsidRPr="00A65767" w:rsidR="00A65767">
        <w:rPr>
          <w:sz w:val="22"/>
          <w:szCs w:val="22"/>
        </w:rPr>
        <w:t>up to 110</w:t>
      </w:r>
      <w:r w:rsidRPr="00A65767" w:rsidR="00CE3B1E">
        <w:rPr>
          <w:sz w:val="22"/>
          <w:szCs w:val="22"/>
        </w:rPr>
        <w:t xml:space="preserve"> </w:t>
      </w:r>
      <w:r w:rsidRPr="00A65767" w:rsidR="003F5CE3">
        <w:rPr>
          <w:sz w:val="22"/>
          <w:szCs w:val="22"/>
        </w:rPr>
        <w:t>respondents</w:t>
      </w:r>
      <w:r w:rsidRPr="00A65767" w:rsidR="00CE3B1E">
        <w:rPr>
          <w:sz w:val="22"/>
          <w:szCs w:val="22"/>
        </w:rPr>
        <w:t xml:space="preserve"> </w:t>
      </w:r>
      <w:r w:rsidR="00832795">
        <w:rPr>
          <w:sz w:val="22"/>
          <w:szCs w:val="22"/>
        </w:rPr>
        <w:t>filing on an annual basis</w:t>
      </w:r>
      <w:r w:rsidRPr="00A65767" w:rsidR="00CE3B1E">
        <w:rPr>
          <w:sz w:val="22"/>
          <w:szCs w:val="22"/>
        </w:rPr>
        <w:t>.</w:t>
      </w:r>
      <w:r w:rsidRPr="00491393" w:rsidR="00836022">
        <w:rPr>
          <w:sz w:val="22"/>
          <w:szCs w:val="22"/>
        </w:rPr>
        <w:t xml:space="preserve"> </w:t>
      </w:r>
      <w:r w:rsidR="00832795">
        <w:rPr>
          <w:sz w:val="22"/>
          <w:szCs w:val="22"/>
        </w:rPr>
        <w:t>T</w:t>
      </w:r>
      <w:r w:rsidRPr="00200007">
        <w:rPr>
          <w:sz w:val="22"/>
          <w:szCs w:val="22"/>
        </w:rPr>
        <w:t>he</w:t>
      </w:r>
      <w:r>
        <w:rPr>
          <w:sz w:val="22"/>
          <w:szCs w:val="22"/>
        </w:rPr>
        <w:t xml:space="preserve"> t</w:t>
      </w:r>
      <w:r w:rsidRPr="00491393" w:rsidR="00CE3B1E">
        <w:rPr>
          <w:sz w:val="22"/>
          <w:szCs w:val="22"/>
        </w:rPr>
        <w:t xml:space="preserve">otal </w:t>
      </w:r>
      <w:r w:rsidRPr="00491393" w:rsidR="005205D8">
        <w:rPr>
          <w:sz w:val="22"/>
          <w:szCs w:val="22"/>
        </w:rPr>
        <w:t xml:space="preserve">estimated </w:t>
      </w:r>
      <w:r w:rsidR="007D0577">
        <w:rPr>
          <w:sz w:val="22"/>
          <w:szCs w:val="22"/>
        </w:rPr>
        <w:t xml:space="preserve">annual </w:t>
      </w:r>
      <w:r w:rsidRPr="00491393" w:rsidR="00CE3B1E">
        <w:rPr>
          <w:sz w:val="22"/>
          <w:szCs w:val="22"/>
        </w:rPr>
        <w:t xml:space="preserve">hour burden is calculated as follows: </w:t>
      </w:r>
    </w:p>
    <w:p w:rsidRPr="00491393" w:rsidR="005205D8" w:rsidP="00242B6D" w:rsidRDefault="005205D8" w14:paraId="3AD8D80E" w14:textId="77777777">
      <w:pPr>
        <w:ind w:left="720"/>
        <w:rPr>
          <w:sz w:val="22"/>
          <w:szCs w:val="22"/>
        </w:rPr>
      </w:pPr>
    </w:p>
    <w:p w:rsidRPr="00832795" w:rsidR="00A9718E" w:rsidP="00242B6D" w:rsidRDefault="00F70C46" w14:paraId="2BE56D19" w14:textId="60E4388D">
      <w:pPr>
        <w:ind w:left="720"/>
        <w:rPr>
          <w:bCs/>
          <w:sz w:val="22"/>
          <w:szCs w:val="22"/>
        </w:rPr>
      </w:pPr>
      <w:r w:rsidRPr="00832795">
        <w:rPr>
          <w:bCs/>
          <w:sz w:val="22"/>
          <w:szCs w:val="22"/>
        </w:rPr>
        <w:t xml:space="preserve">Up to </w:t>
      </w:r>
      <w:r w:rsidRPr="00832795" w:rsidR="00A65767">
        <w:rPr>
          <w:bCs/>
          <w:sz w:val="22"/>
          <w:szCs w:val="22"/>
        </w:rPr>
        <w:t>11</w:t>
      </w:r>
      <w:r w:rsidRPr="00832795" w:rsidR="00D52898">
        <w:rPr>
          <w:bCs/>
          <w:sz w:val="22"/>
          <w:szCs w:val="22"/>
        </w:rPr>
        <w:t>0</w:t>
      </w:r>
      <w:r w:rsidRPr="00832795" w:rsidR="00484562">
        <w:rPr>
          <w:bCs/>
          <w:sz w:val="22"/>
          <w:szCs w:val="22"/>
        </w:rPr>
        <w:t xml:space="preserve"> </w:t>
      </w:r>
      <w:r w:rsidRPr="00832795" w:rsidR="00832795">
        <w:rPr>
          <w:bCs/>
          <w:sz w:val="22"/>
          <w:szCs w:val="22"/>
        </w:rPr>
        <w:t>responses x 1 response per respondent</w:t>
      </w:r>
      <w:r w:rsidRPr="00832795" w:rsidR="00484562">
        <w:rPr>
          <w:bCs/>
          <w:sz w:val="22"/>
          <w:szCs w:val="22"/>
        </w:rPr>
        <w:t xml:space="preserve"> x </w:t>
      </w:r>
      <w:r w:rsidRPr="00832795" w:rsidR="000577C8">
        <w:rPr>
          <w:bCs/>
          <w:sz w:val="22"/>
          <w:szCs w:val="22"/>
        </w:rPr>
        <w:t>1.</w:t>
      </w:r>
      <w:r w:rsidRPr="00832795" w:rsidR="004E66D5">
        <w:rPr>
          <w:bCs/>
          <w:sz w:val="22"/>
          <w:szCs w:val="22"/>
        </w:rPr>
        <w:t>7</w:t>
      </w:r>
      <w:r w:rsidRPr="00832795" w:rsidR="000577C8">
        <w:rPr>
          <w:bCs/>
          <w:sz w:val="22"/>
          <w:szCs w:val="22"/>
        </w:rPr>
        <w:t>5</w:t>
      </w:r>
      <w:r w:rsidRPr="00832795" w:rsidR="00CE3B1E">
        <w:rPr>
          <w:bCs/>
          <w:sz w:val="22"/>
          <w:szCs w:val="22"/>
        </w:rPr>
        <w:t xml:space="preserve"> hours</w:t>
      </w:r>
      <w:r w:rsidRPr="00832795" w:rsidR="005205D8">
        <w:rPr>
          <w:bCs/>
          <w:sz w:val="22"/>
          <w:szCs w:val="22"/>
        </w:rPr>
        <w:t xml:space="preserve"> per response</w:t>
      </w:r>
      <w:r w:rsidRPr="00832795" w:rsidR="00CE3B1E">
        <w:rPr>
          <w:bCs/>
          <w:sz w:val="22"/>
          <w:szCs w:val="22"/>
        </w:rPr>
        <w:t xml:space="preserve"> = </w:t>
      </w:r>
      <w:r w:rsidRPr="00832795" w:rsidR="004E66D5">
        <w:rPr>
          <w:b/>
          <w:sz w:val="22"/>
          <w:szCs w:val="22"/>
        </w:rPr>
        <w:t>192.5</w:t>
      </w:r>
      <w:r w:rsidRPr="00832795" w:rsidR="00CE3B1E">
        <w:rPr>
          <w:b/>
          <w:sz w:val="22"/>
          <w:szCs w:val="22"/>
        </w:rPr>
        <w:t xml:space="preserve"> total </w:t>
      </w:r>
      <w:r w:rsidRPr="00832795" w:rsidR="005205D8">
        <w:rPr>
          <w:b/>
          <w:sz w:val="22"/>
          <w:szCs w:val="22"/>
        </w:rPr>
        <w:t xml:space="preserve">estimated </w:t>
      </w:r>
      <w:r w:rsidR="00832795">
        <w:rPr>
          <w:b/>
          <w:sz w:val="22"/>
          <w:szCs w:val="22"/>
        </w:rPr>
        <w:t xml:space="preserve">annual </w:t>
      </w:r>
      <w:r w:rsidRPr="00832795" w:rsidR="00C5161F">
        <w:rPr>
          <w:b/>
          <w:sz w:val="22"/>
          <w:szCs w:val="22"/>
        </w:rPr>
        <w:t xml:space="preserve">burden </w:t>
      </w:r>
      <w:r w:rsidRPr="00832795" w:rsidR="00CE3B1E">
        <w:rPr>
          <w:b/>
          <w:sz w:val="22"/>
          <w:szCs w:val="22"/>
        </w:rPr>
        <w:t>hours</w:t>
      </w:r>
      <w:r w:rsidR="00F62FE9">
        <w:rPr>
          <w:b/>
          <w:sz w:val="22"/>
          <w:szCs w:val="22"/>
        </w:rPr>
        <w:t>,</w:t>
      </w:r>
      <w:r w:rsidR="009C729A">
        <w:rPr>
          <w:b/>
          <w:sz w:val="22"/>
          <w:szCs w:val="22"/>
        </w:rPr>
        <w:t xml:space="preserve"> rounded to 193 hours</w:t>
      </w:r>
      <w:r w:rsidRPr="00832795" w:rsidR="00C5161F">
        <w:rPr>
          <w:bCs/>
          <w:sz w:val="22"/>
          <w:szCs w:val="22"/>
        </w:rPr>
        <w:t>.</w:t>
      </w:r>
      <w:r w:rsidRPr="00832795" w:rsidR="00836022">
        <w:rPr>
          <w:bCs/>
          <w:sz w:val="22"/>
          <w:szCs w:val="22"/>
        </w:rPr>
        <w:t xml:space="preserve"> </w:t>
      </w:r>
    </w:p>
    <w:p w:rsidR="000577C8" w:rsidP="00242B6D" w:rsidRDefault="000577C8" w14:paraId="6CE4D7F4" w14:textId="223D8E66">
      <w:pPr>
        <w:ind w:left="720"/>
        <w:rPr>
          <w:sz w:val="22"/>
          <w:szCs w:val="22"/>
        </w:rPr>
      </w:pPr>
    </w:p>
    <w:p w:rsidRPr="005D258B" w:rsidR="00A9718E" w:rsidP="00242B6D" w:rsidRDefault="005D258B" w14:paraId="12B378CA" w14:textId="0FC8CBF3">
      <w:pPr>
        <w:pStyle w:val="ListParagraph"/>
        <w:numPr>
          <w:ilvl w:val="1"/>
          <w:numId w:val="7"/>
        </w:numPr>
        <w:ind w:left="720"/>
        <w:rPr>
          <w:sz w:val="22"/>
          <w:szCs w:val="22"/>
        </w:rPr>
      </w:pPr>
      <w:r w:rsidRPr="005D258B">
        <w:rPr>
          <w:i/>
          <w:sz w:val="22"/>
          <w:szCs w:val="22"/>
          <w:u w:val="single"/>
        </w:rPr>
        <w:t xml:space="preserve">Total estimate of </w:t>
      </w:r>
      <w:r w:rsidRPr="005D258B">
        <w:rPr>
          <w:i/>
          <w:iCs/>
          <w:sz w:val="22"/>
          <w:szCs w:val="22"/>
          <w:u w:val="single"/>
        </w:rPr>
        <w:t>annualized “in-house” cost to respondents</w:t>
      </w:r>
      <w:r w:rsidRPr="005D258B">
        <w:rPr>
          <w:i/>
          <w:sz w:val="22"/>
          <w:szCs w:val="22"/>
          <w:u w:val="single"/>
        </w:rPr>
        <w:t xml:space="preserve"> for the hour burden</w:t>
      </w:r>
      <w:r w:rsidRPr="005D258B" w:rsidR="0061354B">
        <w:rPr>
          <w:i/>
          <w:iCs/>
          <w:sz w:val="22"/>
          <w:szCs w:val="22"/>
        </w:rPr>
        <w:t>:</w:t>
      </w:r>
      <w:r w:rsidRPr="004E66D5" w:rsidR="004E66D5">
        <w:rPr>
          <w:b/>
          <w:sz w:val="22"/>
          <w:szCs w:val="22"/>
        </w:rPr>
        <w:t xml:space="preserve"> </w:t>
      </w:r>
      <w:r w:rsidRPr="00897F33" w:rsidR="004E66D5">
        <w:rPr>
          <w:b/>
          <w:sz w:val="22"/>
          <w:szCs w:val="22"/>
        </w:rPr>
        <w:t>$</w:t>
      </w:r>
      <w:r w:rsidR="00913526">
        <w:rPr>
          <w:b/>
          <w:sz w:val="22"/>
          <w:szCs w:val="22"/>
        </w:rPr>
        <w:t>10,762.13</w:t>
      </w:r>
      <w:r w:rsidRPr="005D258B" w:rsidR="00484562">
        <w:rPr>
          <w:b/>
          <w:bCs/>
          <w:sz w:val="22"/>
          <w:szCs w:val="22"/>
        </w:rPr>
        <w:t>.</w:t>
      </w:r>
      <w:r w:rsidRPr="005D258B" w:rsidR="00836022">
        <w:rPr>
          <w:sz w:val="22"/>
          <w:szCs w:val="22"/>
        </w:rPr>
        <w:t xml:space="preserve"> </w:t>
      </w:r>
    </w:p>
    <w:p w:rsidRPr="00491393" w:rsidR="00484562" w:rsidP="00242B6D" w:rsidRDefault="00484562" w14:paraId="0A2D901D" w14:textId="77777777">
      <w:pPr>
        <w:tabs>
          <w:tab w:val="left" w:pos="-720"/>
        </w:tabs>
        <w:suppressAutoHyphens/>
        <w:ind w:left="720"/>
        <w:rPr>
          <w:spacing w:val="-3"/>
          <w:sz w:val="22"/>
          <w:szCs w:val="22"/>
        </w:rPr>
      </w:pPr>
    </w:p>
    <w:p w:rsidRPr="00242B6D" w:rsidR="00242B6D" w:rsidP="00242B6D" w:rsidRDefault="00484562" w14:paraId="45067EF8" w14:textId="16690F9E">
      <w:pPr>
        <w:pStyle w:val="ListParagraph"/>
        <w:numPr>
          <w:ilvl w:val="1"/>
          <w:numId w:val="7"/>
        </w:numPr>
        <w:tabs>
          <w:tab w:val="left" w:pos="-720"/>
        </w:tabs>
        <w:suppressAutoHyphens/>
        <w:ind w:left="720" w:right="-540"/>
        <w:rPr>
          <w:color w:val="000000"/>
          <w:sz w:val="22"/>
          <w:szCs w:val="22"/>
        </w:rPr>
      </w:pPr>
      <w:r w:rsidRPr="00242B6D">
        <w:rPr>
          <w:i/>
          <w:iCs/>
          <w:spacing w:val="-3"/>
          <w:sz w:val="22"/>
          <w:szCs w:val="22"/>
          <w:u w:val="single"/>
        </w:rPr>
        <w:t>Explanation of calculation</w:t>
      </w:r>
      <w:r w:rsidRPr="00242B6D">
        <w:rPr>
          <w:i/>
          <w:iCs/>
          <w:spacing w:val="-3"/>
          <w:sz w:val="22"/>
          <w:szCs w:val="22"/>
        </w:rPr>
        <w:t>:</w:t>
      </w:r>
      <w:r w:rsidRPr="00242B6D">
        <w:rPr>
          <w:spacing w:val="-3"/>
          <w:sz w:val="22"/>
          <w:szCs w:val="22"/>
        </w:rPr>
        <w:t xml:space="preserve"> </w:t>
      </w:r>
      <w:r w:rsidRPr="00242B6D" w:rsidR="001D7AE8">
        <w:rPr>
          <w:sz w:val="22"/>
          <w:szCs w:val="22"/>
        </w:rPr>
        <w:t xml:space="preserve">The Commission estimates that it will take each respondent a total of 1.75 </w:t>
      </w:r>
      <w:r w:rsidRPr="00242B6D" w:rsidR="001D7AE8">
        <w:rPr>
          <w:bCs/>
          <w:sz w:val="22"/>
          <w:szCs w:val="22"/>
        </w:rPr>
        <w:t>hours</w:t>
      </w:r>
      <w:r w:rsidRPr="00242B6D" w:rsidR="001D7AE8">
        <w:rPr>
          <w:sz w:val="22"/>
          <w:szCs w:val="22"/>
        </w:rPr>
        <w:t xml:space="preserve"> to respond to this information collection, with .5 hours of that time needed to obtain the information required to complete the “Legacy High-Cost Support Usage Flexibility Certification” form and 1.25 hour needed to complete, review, sign, and submit the form.  </w:t>
      </w:r>
      <w:r w:rsidRPr="00242B6D" w:rsidR="001D7AE8">
        <w:rPr>
          <w:color w:val="000000"/>
          <w:sz w:val="22"/>
          <w:szCs w:val="22"/>
        </w:rPr>
        <w:t xml:space="preserve">The Commission estimates that half of the </w:t>
      </w:r>
      <w:r w:rsidR="00DB50EA">
        <w:rPr>
          <w:color w:val="000000"/>
          <w:sz w:val="22"/>
          <w:szCs w:val="22"/>
        </w:rPr>
        <w:t xml:space="preserve">estimated 110 </w:t>
      </w:r>
      <w:r w:rsidRPr="00242B6D" w:rsidR="001D7AE8">
        <w:rPr>
          <w:color w:val="000000"/>
          <w:sz w:val="22"/>
          <w:szCs w:val="22"/>
        </w:rPr>
        <w:t xml:space="preserve">respondents </w:t>
      </w:r>
      <w:r w:rsidR="00DB50EA">
        <w:rPr>
          <w:color w:val="000000"/>
          <w:sz w:val="22"/>
          <w:szCs w:val="22"/>
        </w:rPr>
        <w:t xml:space="preserve">(i.e., 55 respondents) </w:t>
      </w:r>
      <w:r w:rsidRPr="00242B6D" w:rsidR="001D7AE8">
        <w:rPr>
          <w:color w:val="000000"/>
          <w:sz w:val="22"/>
          <w:szCs w:val="22"/>
        </w:rPr>
        <w:t>will rely exclusively on in-house staff</w:t>
      </w:r>
      <w:r w:rsidRPr="00242B6D" w:rsidR="001D7AE8">
        <w:rPr>
          <w:sz w:val="22"/>
          <w:szCs w:val="22"/>
        </w:rPr>
        <w:t xml:space="preserve"> to respond to this information collection</w:t>
      </w:r>
      <w:r w:rsidR="00F62FE9">
        <w:rPr>
          <w:sz w:val="22"/>
          <w:szCs w:val="22"/>
        </w:rPr>
        <w:t xml:space="preserve"> (with the </w:t>
      </w:r>
      <w:r w:rsidR="00BF4D20">
        <w:rPr>
          <w:sz w:val="22"/>
          <w:szCs w:val="22"/>
        </w:rPr>
        <w:t>total</w:t>
      </w:r>
      <w:r w:rsidR="00F62FE9">
        <w:rPr>
          <w:sz w:val="22"/>
          <w:szCs w:val="22"/>
        </w:rPr>
        <w:t xml:space="preserve"> 1.75 hours of estimated response time </w:t>
      </w:r>
      <w:r w:rsidR="00BF4D20">
        <w:rPr>
          <w:sz w:val="22"/>
          <w:szCs w:val="22"/>
        </w:rPr>
        <w:t xml:space="preserve">per response </w:t>
      </w:r>
      <w:r w:rsidR="00F62FE9">
        <w:rPr>
          <w:sz w:val="22"/>
          <w:szCs w:val="22"/>
        </w:rPr>
        <w:t>attributable solely to in-house staff)</w:t>
      </w:r>
      <w:r w:rsidRPr="00242B6D" w:rsidR="001D7AE8">
        <w:rPr>
          <w:sz w:val="22"/>
          <w:szCs w:val="22"/>
        </w:rPr>
        <w:t xml:space="preserve">, </w:t>
      </w:r>
      <w:r w:rsidRPr="00242B6D" w:rsidR="001D7AE8">
        <w:rPr>
          <w:color w:val="000000"/>
          <w:sz w:val="22"/>
          <w:szCs w:val="22"/>
        </w:rPr>
        <w:t xml:space="preserve">and that the other half will use a combination of in-house staff and outside counsel </w:t>
      </w:r>
      <w:r w:rsidRPr="00242B6D" w:rsidR="001D7AE8">
        <w:rPr>
          <w:sz w:val="22"/>
          <w:szCs w:val="22"/>
        </w:rPr>
        <w:t>to do so</w:t>
      </w:r>
      <w:r w:rsidR="00F62FE9">
        <w:rPr>
          <w:sz w:val="22"/>
          <w:szCs w:val="22"/>
        </w:rPr>
        <w:t xml:space="preserve"> (with </w:t>
      </w:r>
      <w:r w:rsidR="00BF4D20">
        <w:rPr>
          <w:sz w:val="22"/>
          <w:szCs w:val="22"/>
        </w:rPr>
        <w:t>.75 hours of the total estimated 1.75 hours per response time attributable to in-house staff, and 1 hour of the total estimated 1.75 hours per response time attributable to outside counsel, as explained below</w:t>
      </w:r>
      <w:r w:rsidR="00EC7A76">
        <w:rPr>
          <w:sz w:val="22"/>
          <w:szCs w:val="22"/>
        </w:rPr>
        <w:t xml:space="preserve"> and in Item 13</w:t>
      </w:r>
      <w:r w:rsidR="00BF4D20">
        <w:rPr>
          <w:sz w:val="22"/>
          <w:szCs w:val="22"/>
        </w:rPr>
        <w:t>)</w:t>
      </w:r>
      <w:r w:rsidRPr="00242B6D" w:rsidR="001D7AE8">
        <w:rPr>
          <w:color w:val="000000"/>
          <w:sz w:val="22"/>
          <w:szCs w:val="22"/>
        </w:rPr>
        <w:t xml:space="preserve">.  </w:t>
      </w:r>
    </w:p>
    <w:p w:rsidR="00242B6D" w:rsidP="00242B6D" w:rsidRDefault="00242B6D" w14:paraId="69E3B0DD" w14:textId="77777777">
      <w:pPr>
        <w:tabs>
          <w:tab w:val="left" w:pos="-720"/>
        </w:tabs>
        <w:suppressAutoHyphens/>
        <w:ind w:left="720" w:right="-540"/>
        <w:rPr>
          <w:color w:val="000000"/>
          <w:sz w:val="22"/>
          <w:szCs w:val="22"/>
        </w:rPr>
      </w:pPr>
    </w:p>
    <w:p w:rsidR="00242B6D" w:rsidP="00242B6D" w:rsidRDefault="001D7AE8" w14:paraId="289C8D65" w14:textId="69EA6318">
      <w:pPr>
        <w:tabs>
          <w:tab w:val="left" w:pos="-720"/>
        </w:tabs>
        <w:suppressAutoHyphens/>
        <w:ind w:left="720" w:right="-540"/>
        <w:rPr>
          <w:color w:val="000000"/>
          <w:sz w:val="22"/>
          <w:szCs w:val="22"/>
        </w:rPr>
      </w:pPr>
      <w:r w:rsidRPr="00897F33">
        <w:rPr>
          <w:color w:val="000000"/>
          <w:sz w:val="22"/>
          <w:szCs w:val="22"/>
        </w:rPr>
        <w:t>Where a respondent relies exclusively on in-house staff to respond to this information collection,</w:t>
      </w:r>
      <w:r w:rsidR="00BF4D20">
        <w:rPr>
          <w:color w:val="000000"/>
          <w:sz w:val="22"/>
          <w:szCs w:val="22"/>
        </w:rPr>
        <w:t xml:space="preserve"> </w:t>
      </w:r>
      <w:r w:rsidR="00BF4D20">
        <w:rPr>
          <w:sz w:val="22"/>
          <w:szCs w:val="22"/>
        </w:rPr>
        <w:t xml:space="preserve">the total 1.75 hours of estimated response time per response will attributable solely to in-house staff.  </w:t>
      </w:r>
      <w:r w:rsidRPr="00897F33">
        <w:rPr>
          <w:color w:val="000000"/>
          <w:sz w:val="22"/>
          <w:szCs w:val="22"/>
        </w:rPr>
        <w:t xml:space="preserve"> </w:t>
      </w:r>
      <w:r w:rsidR="00BF4D20">
        <w:rPr>
          <w:color w:val="000000"/>
          <w:sz w:val="22"/>
          <w:szCs w:val="22"/>
        </w:rPr>
        <w:t>A</w:t>
      </w:r>
      <w:r w:rsidRPr="00897F33">
        <w:rPr>
          <w:color w:val="000000"/>
          <w:sz w:val="22"/>
          <w:szCs w:val="22"/>
        </w:rPr>
        <w:t xml:space="preserve">ssuming </w:t>
      </w:r>
      <w:r w:rsidRPr="00897F33">
        <w:rPr>
          <w:sz w:val="22"/>
          <w:szCs w:val="22"/>
        </w:rPr>
        <w:t>a rate equivalent to the hourly rate of a GS-15, Step 5 government staff member ($</w:t>
      </w:r>
      <w:r w:rsidR="00DE20ED">
        <w:rPr>
          <w:sz w:val="22"/>
          <w:szCs w:val="22"/>
        </w:rPr>
        <w:t>78.27</w:t>
      </w:r>
      <w:r w:rsidRPr="00897F33">
        <w:rPr>
          <w:sz w:val="22"/>
          <w:szCs w:val="22"/>
        </w:rPr>
        <w:t>/hour), the estimated annual in-house cost to respond to this</w:t>
      </w:r>
      <w:r w:rsidR="00F00F41">
        <w:rPr>
          <w:sz w:val="22"/>
          <w:szCs w:val="22"/>
        </w:rPr>
        <w:t xml:space="preserve"> information</w:t>
      </w:r>
      <w:r w:rsidRPr="00897F33">
        <w:rPr>
          <w:sz w:val="22"/>
          <w:szCs w:val="22"/>
        </w:rPr>
        <w:t xml:space="preserve"> collection</w:t>
      </w:r>
      <w:r w:rsidRPr="00897F33">
        <w:rPr>
          <w:color w:val="000000"/>
          <w:sz w:val="22"/>
          <w:szCs w:val="22"/>
        </w:rPr>
        <w:t xml:space="preserve"> </w:t>
      </w:r>
      <w:r w:rsidR="00BF4D20">
        <w:rPr>
          <w:color w:val="000000"/>
          <w:sz w:val="22"/>
          <w:szCs w:val="22"/>
        </w:rPr>
        <w:t>w</w:t>
      </w:r>
      <w:r w:rsidRPr="00897F33" w:rsidR="00BF4D20">
        <w:rPr>
          <w:color w:val="000000"/>
          <w:sz w:val="22"/>
          <w:szCs w:val="22"/>
        </w:rPr>
        <w:t xml:space="preserve">here a respondent relies exclusively on in-house staff to respond to this information collection </w:t>
      </w:r>
      <w:r w:rsidRPr="00897F33">
        <w:rPr>
          <w:color w:val="000000"/>
          <w:sz w:val="22"/>
          <w:szCs w:val="22"/>
        </w:rPr>
        <w:t xml:space="preserve">will be: </w:t>
      </w:r>
    </w:p>
    <w:p w:rsidR="00242B6D" w:rsidP="00242B6D" w:rsidRDefault="00242B6D" w14:paraId="43AC4B9E" w14:textId="77777777">
      <w:pPr>
        <w:tabs>
          <w:tab w:val="left" w:pos="-720"/>
        </w:tabs>
        <w:suppressAutoHyphens/>
        <w:ind w:left="720" w:right="-540"/>
        <w:rPr>
          <w:color w:val="000000"/>
          <w:sz w:val="22"/>
          <w:szCs w:val="22"/>
        </w:rPr>
      </w:pPr>
    </w:p>
    <w:p w:rsidR="00242B6D" w:rsidP="00242B6D" w:rsidRDefault="001D7AE8" w14:paraId="201CCFC1" w14:textId="7F77BDEA">
      <w:pPr>
        <w:tabs>
          <w:tab w:val="left" w:pos="-720"/>
        </w:tabs>
        <w:suppressAutoHyphens/>
        <w:ind w:left="720" w:right="-540"/>
        <w:rPr>
          <w:b/>
          <w:sz w:val="22"/>
          <w:szCs w:val="22"/>
        </w:rPr>
      </w:pPr>
      <w:r w:rsidRPr="00897F33">
        <w:rPr>
          <w:sz w:val="22"/>
          <w:szCs w:val="22"/>
        </w:rPr>
        <w:t xml:space="preserve">55 respondents x </w:t>
      </w:r>
      <w:r w:rsidR="00EC7A76">
        <w:rPr>
          <w:sz w:val="22"/>
          <w:szCs w:val="22"/>
        </w:rPr>
        <w:t xml:space="preserve">.5 hours of time to </w:t>
      </w:r>
      <w:r w:rsidRPr="00897F33" w:rsidR="00EC7A76">
        <w:rPr>
          <w:sz w:val="22"/>
          <w:szCs w:val="22"/>
        </w:rPr>
        <w:t xml:space="preserve">obtain </w:t>
      </w:r>
      <w:r w:rsidR="00EC7A76">
        <w:rPr>
          <w:sz w:val="22"/>
          <w:szCs w:val="22"/>
        </w:rPr>
        <w:t xml:space="preserve">required </w:t>
      </w:r>
      <w:r w:rsidRPr="00897F33" w:rsidR="00EC7A76">
        <w:rPr>
          <w:sz w:val="22"/>
          <w:szCs w:val="22"/>
        </w:rPr>
        <w:t xml:space="preserve">information </w:t>
      </w:r>
      <w:r w:rsidR="00EC7A76">
        <w:rPr>
          <w:sz w:val="22"/>
          <w:szCs w:val="22"/>
        </w:rPr>
        <w:t xml:space="preserve">x </w:t>
      </w:r>
      <w:r w:rsidRPr="00897F33">
        <w:rPr>
          <w:sz w:val="22"/>
          <w:szCs w:val="22"/>
        </w:rPr>
        <w:t>1.</w:t>
      </w:r>
      <w:r w:rsidR="00EC7A76">
        <w:rPr>
          <w:sz w:val="22"/>
          <w:szCs w:val="22"/>
        </w:rPr>
        <w:t>2</w:t>
      </w:r>
      <w:r w:rsidRPr="00897F33">
        <w:rPr>
          <w:sz w:val="22"/>
          <w:szCs w:val="22"/>
        </w:rPr>
        <w:t>5 hours to</w:t>
      </w:r>
      <w:r w:rsidR="00242B6D">
        <w:rPr>
          <w:sz w:val="22"/>
          <w:szCs w:val="22"/>
        </w:rPr>
        <w:t xml:space="preserve"> </w:t>
      </w:r>
      <w:r w:rsidRPr="00897F33">
        <w:rPr>
          <w:sz w:val="22"/>
          <w:szCs w:val="22"/>
        </w:rPr>
        <w:t>review, sign, and submit form</w:t>
      </w:r>
      <w:r w:rsidR="00BF4D20">
        <w:rPr>
          <w:sz w:val="22"/>
          <w:szCs w:val="22"/>
        </w:rPr>
        <w:t xml:space="preserve"> using only in-house staff</w:t>
      </w:r>
      <w:r w:rsidRPr="00897F33">
        <w:rPr>
          <w:sz w:val="22"/>
          <w:szCs w:val="22"/>
        </w:rPr>
        <w:t xml:space="preserve"> x $</w:t>
      </w:r>
      <w:r w:rsidR="00DE20ED">
        <w:rPr>
          <w:sz w:val="22"/>
          <w:szCs w:val="22"/>
        </w:rPr>
        <w:t>78.27</w:t>
      </w:r>
      <w:r w:rsidRPr="00897F33">
        <w:rPr>
          <w:sz w:val="22"/>
          <w:szCs w:val="22"/>
        </w:rPr>
        <w:t xml:space="preserve">/hour = </w:t>
      </w:r>
      <w:r w:rsidRPr="00897F33">
        <w:rPr>
          <w:b/>
          <w:sz w:val="22"/>
          <w:szCs w:val="22"/>
        </w:rPr>
        <w:t>$</w:t>
      </w:r>
      <w:r w:rsidR="00DE20ED">
        <w:rPr>
          <w:b/>
          <w:sz w:val="22"/>
          <w:szCs w:val="22"/>
        </w:rPr>
        <w:t>7,533.49</w:t>
      </w:r>
      <w:r w:rsidRPr="00897F33">
        <w:rPr>
          <w:b/>
          <w:sz w:val="22"/>
          <w:szCs w:val="22"/>
        </w:rPr>
        <w:t>.</w:t>
      </w:r>
    </w:p>
    <w:p w:rsidR="00242B6D" w:rsidP="00242B6D" w:rsidRDefault="00242B6D" w14:paraId="14591081" w14:textId="77777777">
      <w:pPr>
        <w:tabs>
          <w:tab w:val="left" w:pos="-720"/>
        </w:tabs>
        <w:suppressAutoHyphens/>
        <w:ind w:left="720" w:right="-540"/>
        <w:rPr>
          <w:color w:val="000000"/>
          <w:sz w:val="22"/>
          <w:szCs w:val="22"/>
        </w:rPr>
      </w:pPr>
    </w:p>
    <w:p w:rsidR="00242B6D" w:rsidP="00242B6D" w:rsidRDefault="001D7AE8" w14:paraId="1C5D827B" w14:textId="2FBDB2B8">
      <w:pPr>
        <w:tabs>
          <w:tab w:val="left" w:pos="-720"/>
        </w:tabs>
        <w:suppressAutoHyphens/>
        <w:ind w:left="720" w:right="-540"/>
        <w:rPr>
          <w:color w:val="000000"/>
          <w:sz w:val="22"/>
          <w:szCs w:val="22"/>
        </w:rPr>
      </w:pPr>
      <w:r w:rsidRPr="00897F33">
        <w:rPr>
          <w:color w:val="000000"/>
          <w:sz w:val="22"/>
          <w:szCs w:val="22"/>
        </w:rPr>
        <w:t xml:space="preserve">Where a respondent uses a combination of in-house staff and outside counsel </w:t>
      </w:r>
      <w:r w:rsidRPr="00897F33">
        <w:rPr>
          <w:sz w:val="22"/>
          <w:szCs w:val="22"/>
        </w:rPr>
        <w:t>to r</w:t>
      </w:r>
      <w:r w:rsidRPr="00897F33">
        <w:rPr>
          <w:color w:val="000000"/>
          <w:sz w:val="22"/>
          <w:szCs w:val="22"/>
        </w:rPr>
        <w:t xml:space="preserve">espond to this information collection, </w:t>
      </w:r>
      <w:r w:rsidR="00BF4D20">
        <w:rPr>
          <w:sz w:val="22"/>
          <w:szCs w:val="22"/>
        </w:rPr>
        <w:t xml:space="preserve">.75 hours of the total estimated 1.75 hours per response time will be attributable to in-house staff, and 1 hour of the total estimated 1.75 hours per response time will be attributable to outside counsel (as more fully explained </w:t>
      </w:r>
      <w:r w:rsidR="00EC7A76">
        <w:rPr>
          <w:sz w:val="22"/>
          <w:szCs w:val="22"/>
        </w:rPr>
        <w:t xml:space="preserve">below and </w:t>
      </w:r>
      <w:r w:rsidR="00BF4D20">
        <w:rPr>
          <w:sz w:val="22"/>
          <w:szCs w:val="22"/>
        </w:rPr>
        <w:t xml:space="preserve">in Item 13).  </w:t>
      </w:r>
      <w:r w:rsidR="00BF4D20">
        <w:rPr>
          <w:color w:val="000000"/>
          <w:sz w:val="22"/>
          <w:szCs w:val="22"/>
        </w:rPr>
        <w:t>A</w:t>
      </w:r>
      <w:r w:rsidRPr="00897F33">
        <w:rPr>
          <w:color w:val="000000"/>
          <w:sz w:val="22"/>
          <w:szCs w:val="22"/>
        </w:rPr>
        <w:t xml:space="preserve">ssuming </w:t>
      </w:r>
      <w:r w:rsidRPr="00897F33">
        <w:rPr>
          <w:sz w:val="22"/>
          <w:szCs w:val="22"/>
        </w:rPr>
        <w:t>a rate equivalent to the hourly rate of a GS-15, Step 5 government staff member ($</w:t>
      </w:r>
      <w:r w:rsidR="00DE20ED">
        <w:rPr>
          <w:sz w:val="22"/>
          <w:szCs w:val="22"/>
        </w:rPr>
        <w:t>78.27</w:t>
      </w:r>
      <w:r w:rsidRPr="00897F33">
        <w:rPr>
          <w:sz w:val="22"/>
          <w:szCs w:val="22"/>
        </w:rPr>
        <w:t xml:space="preserve">/hour), </w:t>
      </w:r>
      <w:r w:rsidR="00BF4D20">
        <w:rPr>
          <w:color w:val="000000"/>
          <w:sz w:val="22"/>
          <w:szCs w:val="22"/>
        </w:rPr>
        <w:t>w</w:t>
      </w:r>
      <w:r w:rsidRPr="00897F33" w:rsidR="00BF4D20">
        <w:rPr>
          <w:color w:val="000000"/>
          <w:sz w:val="22"/>
          <w:szCs w:val="22"/>
        </w:rPr>
        <w:t xml:space="preserve">here a respondent uses a combination of in-house staff and outside counsel </w:t>
      </w:r>
      <w:r w:rsidRPr="00897F33" w:rsidR="00BF4D20">
        <w:rPr>
          <w:sz w:val="22"/>
          <w:szCs w:val="22"/>
        </w:rPr>
        <w:t>to r</w:t>
      </w:r>
      <w:r w:rsidRPr="00897F33" w:rsidR="00BF4D20">
        <w:rPr>
          <w:color w:val="000000"/>
          <w:sz w:val="22"/>
          <w:szCs w:val="22"/>
        </w:rPr>
        <w:t>espond to this information collection</w:t>
      </w:r>
      <w:r w:rsidR="00BF4D20">
        <w:rPr>
          <w:color w:val="000000"/>
          <w:sz w:val="22"/>
          <w:szCs w:val="22"/>
        </w:rPr>
        <w:t>,</w:t>
      </w:r>
      <w:r w:rsidRPr="00897F33" w:rsidR="00BF4D20">
        <w:rPr>
          <w:sz w:val="22"/>
          <w:szCs w:val="22"/>
        </w:rPr>
        <w:t xml:space="preserve"> </w:t>
      </w:r>
      <w:r w:rsidRPr="00897F33">
        <w:rPr>
          <w:sz w:val="22"/>
          <w:szCs w:val="22"/>
        </w:rPr>
        <w:t xml:space="preserve">the estimated annual in-house cost to respond to this </w:t>
      </w:r>
      <w:r w:rsidR="00F00F41">
        <w:rPr>
          <w:sz w:val="22"/>
          <w:szCs w:val="22"/>
        </w:rPr>
        <w:t xml:space="preserve">information </w:t>
      </w:r>
      <w:r w:rsidRPr="00897F33">
        <w:rPr>
          <w:sz w:val="22"/>
          <w:szCs w:val="22"/>
        </w:rPr>
        <w:t>collection</w:t>
      </w:r>
      <w:r w:rsidRPr="00897F33">
        <w:rPr>
          <w:color w:val="000000"/>
          <w:sz w:val="22"/>
          <w:szCs w:val="22"/>
        </w:rPr>
        <w:t xml:space="preserve"> </w:t>
      </w:r>
      <w:r w:rsidR="00EC7A76">
        <w:rPr>
          <w:color w:val="000000"/>
          <w:sz w:val="22"/>
          <w:szCs w:val="22"/>
        </w:rPr>
        <w:t xml:space="preserve">for the portion of time attributable to the use of </w:t>
      </w:r>
      <w:r w:rsidRPr="00897F33" w:rsidR="00EC7A76">
        <w:rPr>
          <w:color w:val="000000"/>
          <w:sz w:val="22"/>
          <w:szCs w:val="22"/>
        </w:rPr>
        <w:t xml:space="preserve">in-house staff </w:t>
      </w:r>
      <w:r w:rsidRPr="00897F33">
        <w:rPr>
          <w:color w:val="000000"/>
          <w:sz w:val="22"/>
          <w:szCs w:val="22"/>
        </w:rPr>
        <w:t xml:space="preserve">will be: </w:t>
      </w:r>
    </w:p>
    <w:p w:rsidR="00242B6D" w:rsidP="00242B6D" w:rsidRDefault="00242B6D" w14:paraId="62B92CB5" w14:textId="77777777">
      <w:pPr>
        <w:tabs>
          <w:tab w:val="left" w:pos="-720"/>
        </w:tabs>
        <w:suppressAutoHyphens/>
        <w:ind w:left="720" w:right="-540"/>
        <w:rPr>
          <w:color w:val="000000"/>
          <w:sz w:val="22"/>
          <w:szCs w:val="22"/>
        </w:rPr>
      </w:pPr>
    </w:p>
    <w:p w:rsidR="00242B6D" w:rsidP="00242B6D" w:rsidRDefault="001D7AE8" w14:paraId="2755389C" w14:textId="22E51C21">
      <w:pPr>
        <w:tabs>
          <w:tab w:val="left" w:pos="-720"/>
        </w:tabs>
        <w:suppressAutoHyphens/>
        <w:ind w:left="720" w:right="-540"/>
        <w:rPr>
          <w:b/>
          <w:sz w:val="22"/>
          <w:szCs w:val="22"/>
        </w:rPr>
      </w:pPr>
      <w:r w:rsidRPr="00897F33">
        <w:rPr>
          <w:sz w:val="22"/>
          <w:szCs w:val="22"/>
        </w:rPr>
        <w:t xml:space="preserve">55 respondents x .5 hours </w:t>
      </w:r>
      <w:r w:rsidR="00EC7A76">
        <w:rPr>
          <w:sz w:val="22"/>
          <w:szCs w:val="22"/>
        </w:rPr>
        <w:t xml:space="preserve">of in-house staff time </w:t>
      </w:r>
      <w:r w:rsidRPr="00897F33">
        <w:rPr>
          <w:sz w:val="22"/>
          <w:szCs w:val="22"/>
        </w:rPr>
        <w:t xml:space="preserve">to obtain information required to complete form x .25 hours </w:t>
      </w:r>
      <w:r w:rsidR="00EC7A76">
        <w:rPr>
          <w:sz w:val="22"/>
          <w:szCs w:val="22"/>
        </w:rPr>
        <w:t>of in-house staff</w:t>
      </w:r>
      <w:r w:rsidRPr="00897F33" w:rsidR="00EC7A76">
        <w:rPr>
          <w:sz w:val="22"/>
          <w:szCs w:val="22"/>
        </w:rPr>
        <w:t xml:space="preserve"> </w:t>
      </w:r>
      <w:r w:rsidRPr="00897F33">
        <w:rPr>
          <w:sz w:val="22"/>
          <w:szCs w:val="22"/>
        </w:rPr>
        <w:t>to review</w:t>
      </w:r>
      <w:r w:rsidR="00242B6D">
        <w:rPr>
          <w:sz w:val="22"/>
          <w:szCs w:val="22"/>
        </w:rPr>
        <w:t xml:space="preserve"> and </w:t>
      </w:r>
      <w:r w:rsidRPr="00897F33">
        <w:rPr>
          <w:sz w:val="22"/>
          <w:szCs w:val="22"/>
        </w:rPr>
        <w:t>sign completed form x $</w:t>
      </w:r>
      <w:r w:rsidR="00DE20ED">
        <w:rPr>
          <w:sz w:val="22"/>
          <w:szCs w:val="22"/>
        </w:rPr>
        <w:t>78.27</w:t>
      </w:r>
      <w:r w:rsidRPr="00897F33">
        <w:rPr>
          <w:sz w:val="22"/>
          <w:szCs w:val="22"/>
        </w:rPr>
        <w:t xml:space="preserve">/hour = </w:t>
      </w:r>
      <w:r w:rsidRPr="00897F33">
        <w:rPr>
          <w:b/>
          <w:sz w:val="22"/>
          <w:szCs w:val="22"/>
        </w:rPr>
        <w:t>$</w:t>
      </w:r>
      <w:r w:rsidR="0035553D">
        <w:rPr>
          <w:b/>
          <w:sz w:val="22"/>
          <w:szCs w:val="22"/>
        </w:rPr>
        <w:t>3,228.64</w:t>
      </w:r>
      <w:r w:rsidRPr="00897F33">
        <w:rPr>
          <w:b/>
          <w:sz w:val="22"/>
          <w:szCs w:val="22"/>
        </w:rPr>
        <w:t>.</w:t>
      </w:r>
    </w:p>
    <w:p w:rsidR="00242B6D" w:rsidP="00242B6D" w:rsidRDefault="00242B6D" w14:paraId="66B17C1D" w14:textId="77777777">
      <w:pPr>
        <w:tabs>
          <w:tab w:val="left" w:pos="-720"/>
        </w:tabs>
        <w:suppressAutoHyphens/>
        <w:ind w:left="720" w:right="-540"/>
        <w:rPr>
          <w:b/>
          <w:sz w:val="22"/>
          <w:szCs w:val="22"/>
        </w:rPr>
      </w:pPr>
    </w:p>
    <w:p w:rsidRPr="00897F33" w:rsidR="001D7AE8" w:rsidP="00242B6D" w:rsidRDefault="001D7AE8" w14:paraId="2E473DD1" w14:textId="4E5D3E16">
      <w:pPr>
        <w:tabs>
          <w:tab w:val="left" w:pos="-720"/>
        </w:tabs>
        <w:suppressAutoHyphens/>
        <w:ind w:left="720" w:right="-540"/>
        <w:rPr>
          <w:b/>
          <w:sz w:val="22"/>
          <w:szCs w:val="22"/>
        </w:rPr>
      </w:pPr>
      <w:r w:rsidRPr="00897F33">
        <w:rPr>
          <w:b/>
          <w:sz w:val="22"/>
          <w:szCs w:val="22"/>
        </w:rPr>
        <w:t>Total In-House Cost:  $</w:t>
      </w:r>
      <w:r w:rsidR="0035553D">
        <w:rPr>
          <w:b/>
          <w:sz w:val="22"/>
          <w:szCs w:val="22"/>
        </w:rPr>
        <w:t>7,533.49</w:t>
      </w:r>
      <w:r w:rsidRPr="00897F33">
        <w:rPr>
          <w:b/>
          <w:sz w:val="22"/>
          <w:szCs w:val="22"/>
        </w:rPr>
        <w:t xml:space="preserve"> + $</w:t>
      </w:r>
      <w:r w:rsidR="0035553D">
        <w:rPr>
          <w:b/>
          <w:sz w:val="22"/>
          <w:szCs w:val="22"/>
        </w:rPr>
        <w:t>3,228.64</w:t>
      </w:r>
      <w:r w:rsidRPr="00897F33">
        <w:rPr>
          <w:b/>
          <w:sz w:val="22"/>
          <w:szCs w:val="22"/>
        </w:rPr>
        <w:t xml:space="preserve"> = $</w:t>
      </w:r>
      <w:r w:rsidR="0035553D">
        <w:rPr>
          <w:b/>
          <w:sz w:val="22"/>
          <w:szCs w:val="22"/>
        </w:rPr>
        <w:t>10,762.13</w:t>
      </w:r>
      <w:r w:rsidRPr="00897F33">
        <w:rPr>
          <w:b/>
          <w:sz w:val="22"/>
          <w:szCs w:val="22"/>
        </w:rPr>
        <w:t>.</w:t>
      </w:r>
      <w:r w:rsidR="00DC2E08">
        <w:rPr>
          <w:b/>
          <w:sz w:val="22"/>
          <w:szCs w:val="22"/>
        </w:rPr>
        <w:t xml:space="preserve"> </w:t>
      </w:r>
    </w:p>
    <w:p w:rsidRPr="00491393" w:rsidR="00C55C6A" w:rsidP="00242B6D" w:rsidRDefault="00836022" w14:paraId="53C784F4" w14:textId="647C93F9">
      <w:pPr>
        <w:tabs>
          <w:tab w:val="left" w:pos="-720"/>
        </w:tabs>
        <w:suppressAutoHyphens/>
        <w:rPr>
          <w:b/>
          <w:sz w:val="22"/>
          <w:szCs w:val="22"/>
        </w:rPr>
      </w:pPr>
      <w:r w:rsidRPr="00491393">
        <w:rPr>
          <w:b/>
          <w:sz w:val="22"/>
          <w:szCs w:val="22"/>
        </w:rPr>
        <w:lastRenderedPageBreak/>
        <w:t xml:space="preserve">     </w:t>
      </w:r>
    </w:p>
    <w:p w:rsidRPr="003160E4" w:rsidR="003160E4" w:rsidP="003160E4" w:rsidRDefault="00031818" w14:paraId="2B6EC6C7" w14:textId="4D112213">
      <w:pPr>
        <w:numPr>
          <w:ilvl w:val="0"/>
          <w:numId w:val="3"/>
        </w:numPr>
        <w:tabs>
          <w:tab w:val="clear" w:pos="1080"/>
          <w:tab w:val="num" w:pos="180"/>
        </w:tabs>
        <w:suppressAutoHyphens/>
        <w:ind w:left="360" w:hanging="360"/>
        <w:rPr>
          <w:sz w:val="22"/>
          <w:szCs w:val="22"/>
        </w:rPr>
      </w:pPr>
      <w:r w:rsidRPr="003160E4">
        <w:rPr>
          <w:i/>
          <w:sz w:val="22"/>
          <w:szCs w:val="22"/>
        </w:rPr>
        <w:t>Estimates of the cost burden of the collection to respondents</w:t>
      </w:r>
      <w:r w:rsidRPr="003160E4">
        <w:rPr>
          <w:sz w:val="22"/>
          <w:szCs w:val="22"/>
        </w:rPr>
        <w:t>.</w:t>
      </w:r>
      <w:r w:rsidRPr="003160E4" w:rsidR="00942C70">
        <w:rPr>
          <w:sz w:val="22"/>
          <w:szCs w:val="22"/>
        </w:rPr>
        <w:t xml:space="preserve"> </w:t>
      </w:r>
      <w:r w:rsidRPr="003160E4">
        <w:rPr>
          <w:sz w:val="22"/>
          <w:szCs w:val="22"/>
        </w:rPr>
        <w:t xml:space="preserve"> </w:t>
      </w:r>
      <w:r w:rsidR="00200616">
        <w:rPr>
          <w:sz w:val="22"/>
          <w:szCs w:val="22"/>
        </w:rPr>
        <w:t xml:space="preserve">As the Commission </w:t>
      </w:r>
      <w:r w:rsidRPr="00242B6D" w:rsidR="00200616">
        <w:rPr>
          <w:sz w:val="22"/>
          <w:szCs w:val="22"/>
        </w:rPr>
        <w:t xml:space="preserve">estimates that it will take each respondent a total of 1.75 </w:t>
      </w:r>
      <w:r w:rsidRPr="00242B6D" w:rsidR="00200616">
        <w:rPr>
          <w:bCs/>
          <w:sz w:val="22"/>
          <w:szCs w:val="22"/>
        </w:rPr>
        <w:t>hours</w:t>
      </w:r>
      <w:r w:rsidRPr="00242B6D" w:rsidR="00200616">
        <w:rPr>
          <w:sz w:val="22"/>
          <w:szCs w:val="22"/>
        </w:rPr>
        <w:t xml:space="preserve"> to respond to this information collection, with .5 hours of that time needed to obtain the information required to complete the “Legacy High-Cost Support Usage Flexibility Certification” form and 1.25 hour needed to complete, review, sign, and submit the form.  </w:t>
      </w:r>
      <w:r w:rsidR="00D36153">
        <w:rPr>
          <w:sz w:val="22"/>
          <w:szCs w:val="22"/>
        </w:rPr>
        <w:t xml:space="preserve">As noted in Item 12.f., </w:t>
      </w:r>
      <w:r w:rsidR="00200616">
        <w:rPr>
          <w:color w:val="000000"/>
          <w:sz w:val="22"/>
          <w:szCs w:val="22"/>
        </w:rPr>
        <w:t>T</w:t>
      </w:r>
      <w:r w:rsidRPr="003160E4" w:rsidR="003160E4">
        <w:rPr>
          <w:color w:val="000000"/>
          <w:sz w:val="22"/>
          <w:szCs w:val="22"/>
        </w:rPr>
        <w:t xml:space="preserve">he Commission estimates that half of the </w:t>
      </w:r>
      <w:r w:rsidR="00DB50EA">
        <w:rPr>
          <w:color w:val="000000"/>
          <w:sz w:val="22"/>
          <w:szCs w:val="22"/>
        </w:rPr>
        <w:t xml:space="preserve">estimated 110 </w:t>
      </w:r>
      <w:r w:rsidRPr="003160E4" w:rsidR="003160E4">
        <w:rPr>
          <w:color w:val="000000"/>
          <w:sz w:val="22"/>
          <w:szCs w:val="22"/>
        </w:rPr>
        <w:t xml:space="preserve">respondents </w:t>
      </w:r>
      <w:r w:rsidR="00DB50EA">
        <w:rPr>
          <w:color w:val="000000"/>
          <w:sz w:val="22"/>
          <w:szCs w:val="22"/>
        </w:rPr>
        <w:t xml:space="preserve">(i.e., 55 respondents) </w:t>
      </w:r>
      <w:r w:rsidRPr="003160E4" w:rsidR="003160E4">
        <w:rPr>
          <w:color w:val="000000"/>
          <w:sz w:val="22"/>
          <w:szCs w:val="22"/>
        </w:rPr>
        <w:t>will rely exclusively on in-house staff</w:t>
      </w:r>
      <w:r w:rsidRPr="003160E4" w:rsidR="003160E4">
        <w:rPr>
          <w:sz w:val="22"/>
          <w:szCs w:val="22"/>
        </w:rPr>
        <w:t xml:space="preserve"> to respond to this information collection, </w:t>
      </w:r>
      <w:r w:rsidRPr="003160E4" w:rsidR="003160E4">
        <w:rPr>
          <w:color w:val="000000"/>
          <w:sz w:val="22"/>
          <w:szCs w:val="22"/>
        </w:rPr>
        <w:t xml:space="preserve">and that the other half will use a combination of in-house staff and outside counsel </w:t>
      </w:r>
      <w:r w:rsidRPr="003160E4" w:rsidR="003160E4">
        <w:rPr>
          <w:sz w:val="22"/>
          <w:szCs w:val="22"/>
        </w:rPr>
        <w:t xml:space="preserve">to do so.  </w:t>
      </w:r>
      <w:r w:rsidRPr="003160E4" w:rsidR="003160E4">
        <w:rPr>
          <w:color w:val="000000"/>
          <w:sz w:val="22"/>
          <w:szCs w:val="22"/>
        </w:rPr>
        <w:t xml:space="preserve">Where a respondent uses a combination of in-house staff and outside counsel </w:t>
      </w:r>
      <w:r w:rsidRPr="003160E4" w:rsidR="003160E4">
        <w:rPr>
          <w:sz w:val="22"/>
          <w:szCs w:val="22"/>
        </w:rPr>
        <w:t>to r</w:t>
      </w:r>
      <w:r w:rsidRPr="003160E4" w:rsidR="003160E4">
        <w:rPr>
          <w:color w:val="000000"/>
          <w:sz w:val="22"/>
          <w:szCs w:val="22"/>
        </w:rPr>
        <w:t>espond to this information collection, the Commission estimates that it will take outside counsel approximately 1 hour</w:t>
      </w:r>
      <w:r w:rsidRPr="003160E4" w:rsidR="003160E4">
        <w:rPr>
          <w:b/>
          <w:color w:val="000000"/>
          <w:sz w:val="22"/>
          <w:szCs w:val="22"/>
        </w:rPr>
        <w:t xml:space="preserve"> </w:t>
      </w:r>
      <w:r w:rsidRPr="003160E4" w:rsidR="003160E4">
        <w:rPr>
          <w:sz w:val="22"/>
          <w:szCs w:val="22"/>
        </w:rPr>
        <w:t xml:space="preserve">to complete, review, obtain the signature of an </w:t>
      </w:r>
      <w:r w:rsidRPr="003160E4" w:rsidR="003160E4">
        <w:rPr>
          <w:rFonts w:eastAsiaTheme="minorHAnsi"/>
          <w:sz w:val="22"/>
          <w:szCs w:val="22"/>
        </w:rPr>
        <w:t>officer or other authorized representative,</w:t>
      </w:r>
      <w:r w:rsidRPr="003160E4" w:rsidR="003160E4">
        <w:rPr>
          <w:sz w:val="22"/>
          <w:szCs w:val="22"/>
        </w:rPr>
        <w:t xml:space="preserve"> and submit the “Legacy High-Cost Support Usage Flexibility Certification” form</w:t>
      </w:r>
      <w:r w:rsidRPr="003160E4" w:rsidR="003160E4">
        <w:rPr>
          <w:color w:val="000000"/>
          <w:sz w:val="22"/>
          <w:szCs w:val="22"/>
        </w:rPr>
        <w:t>.</w:t>
      </w:r>
      <w:r w:rsidRPr="003160E4" w:rsidR="003160E4">
        <w:rPr>
          <w:sz w:val="22"/>
          <w:szCs w:val="22"/>
        </w:rPr>
        <w:t xml:space="preserve">  </w:t>
      </w:r>
      <w:r w:rsidR="00200616">
        <w:rPr>
          <w:sz w:val="22"/>
          <w:szCs w:val="22"/>
        </w:rPr>
        <w:t xml:space="preserve">In that case, </w:t>
      </w:r>
      <w:r w:rsidR="00EC7A76">
        <w:rPr>
          <w:sz w:val="22"/>
          <w:szCs w:val="22"/>
        </w:rPr>
        <w:t>.75 hours of the total estimated 1.75 hours per response time will be attributable to in-house staff</w:t>
      </w:r>
      <w:r w:rsidR="00090C2A">
        <w:rPr>
          <w:sz w:val="22"/>
          <w:szCs w:val="22"/>
        </w:rPr>
        <w:t xml:space="preserve"> (as explained in Item 12.f)</w:t>
      </w:r>
      <w:r w:rsidR="00EC7A76">
        <w:rPr>
          <w:sz w:val="22"/>
          <w:szCs w:val="22"/>
        </w:rPr>
        <w:t>, and 1 hour of the total estimated 1.75 hours per response time will be attributable to outside counsel</w:t>
      </w:r>
      <w:r w:rsidR="00090C2A">
        <w:rPr>
          <w:sz w:val="22"/>
          <w:szCs w:val="22"/>
        </w:rPr>
        <w:t xml:space="preserve"> </w:t>
      </w:r>
      <w:r w:rsidR="00200616">
        <w:rPr>
          <w:sz w:val="22"/>
          <w:szCs w:val="22"/>
        </w:rPr>
        <w:t>(</w:t>
      </w:r>
      <w:r w:rsidR="00090C2A">
        <w:rPr>
          <w:sz w:val="22"/>
          <w:szCs w:val="22"/>
        </w:rPr>
        <w:t>as explained below and in Item 12.f)</w:t>
      </w:r>
      <w:r w:rsidR="00EC7A76">
        <w:rPr>
          <w:sz w:val="22"/>
          <w:szCs w:val="22"/>
        </w:rPr>
        <w:t xml:space="preserve">.  </w:t>
      </w:r>
      <w:r w:rsidRPr="003160E4" w:rsidR="003160E4">
        <w:rPr>
          <w:color w:val="000000"/>
          <w:sz w:val="22"/>
          <w:szCs w:val="22"/>
        </w:rPr>
        <w:t xml:space="preserve">Assuming a rate of </w:t>
      </w:r>
      <w:r w:rsidRPr="003160E4" w:rsidR="003160E4">
        <w:rPr>
          <w:bCs/>
          <w:color w:val="000000"/>
          <w:sz w:val="22"/>
          <w:szCs w:val="22"/>
        </w:rPr>
        <w:t>$300 an hour</w:t>
      </w:r>
      <w:r w:rsidRPr="003160E4" w:rsidR="003160E4">
        <w:rPr>
          <w:color w:val="000000"/>
          <w:sz w:val="22"/>
          <w:szCs w:val="22"/>
        </w:rPr>
        <w:t xml:space="preserve"> for outside counsel, the external cost to respondents </w:t>
      </w:r>
      <w:r w:rsidR="00200616">
        <w:rPr>
          <w:color w:val="000000"/>
          <w:sz w:val="22"/>
          <w:szCs w:val="22"/>
        </w:rPr>
        <w:t>w</w:t>
      </w:r>
      <w:r w:rsidRPr="003160E4" w:rsidR="00200616">
        <w:rPr>
          <w:color w:val="000000"/>
          <w:sz w:val="22"/>
          <w:szCs w:val="22"/>
        </w:rPr>
        <w:t xml:space="preserve">here a respondent uses outside counsel approximately </w:t>
      </w:r>
      <w:r w:rsidRPr="003160E4" w:rsidR="00200616">
        <w:rPr>
          <w:sz w:val="22"/>
          <w:szCs w:val="22"/>
        </w:rPr>
        <w:t xml:space="preserve">to complete, review, obtain the signature of an </w:t>
      </w:r>
      <w:r w:rsidRPr="003160E4" w:rsidR="00200616">
        <w:rPr>
          <w:rFonts w:eastAsiaTheme="minorHAnsi"/>
          <w:sz w:val="22"/>
          <w:szCs w:val="22"/>
        </w:rPr>
        <w:t>officer or other authorized representative,</w:t>
      </w:r>
      <w:r w:rsidRPr="003160E4" w:rsidR="00200616">
        <w:rPr>
          <w:sz w:val="22"/>
          <w:szCs w:val="22"/>
        </w:rPr>
        <w:t xml:space="preserve"> and submit the “Legacy High-Cost Support Usage Flexibility Certification” form</w:t>
      </w:r>
      <w:r w:rsidR="00200616">
        <w:rPr>
          <w:sz w:val="22"/>
          <w:szCs w:val="22"/>
        </w:rPr>
        <w:t xml:space="preserve"> </w:t>
      </w:r>
      <w:r w:rsidRPr="003160E4" w:rsidR="003160E4">
        <w:rPr>
          <w:color w:val="000000"/>
          <w:sz w:val="22"/>
          <w:szCs w:val="22"/>
        </w:rPr>
        <w:t xml:space="preserve">will be: </w:t>
      </w:r>
    </w:p>
    <w:p w:rsidR="003160E4" w:rsidP="003160E4" w:rsidRDefault="003160E4" w14:paraId="69001604" w14:textId="77777777">
      <w:pPr>
        <w:suppressAutoHyphens/>
        <w:ind w:left="360"/>
        <w:rPr>
          <w:sz w:val="22"/>
          <w:szCs w:val="22"/>
        </w:rPr>
      </w:pPr>
    </w:p>
    <w:p w:rsidR="003160E4" w:rsidP="003160E4" w:rsidRDefault="003160E4" w14:paraId="2D58B94A" w14:textId="40D7868A">
      <w:pPr>
        <w:suppressAutoHyphens/>
        <w:ind w:left="360"/>
        <w:rPr>
          <w:b/>
          <w:sz w:val="22"/>
          <w:szCs w:val="22"/>
        </w:rPr>
      </w:pPr>
      <w:r w:rsidRPr="003160E4">
        <w:rPr>
          <w:sz w:val="22"/>
          <w:szCs w:val="22"/>
        </w:rPr>
        <w:t xml:space="preserve">55 respondents x 1 hour </w:t>
      </w:r>
      <w:r w:rsidR="00BD4547">
        <w:rPr>
          <w:sz w:val="22"/>
          <w:szCs w:val="22"/>
        </w:rPr>
        <w:t xml:space="preserve">of outside counsel time </w:t>
      </w:r>
      <w:r w:rsidRPr="003160E4">
        <w:rPr>
          <w:sz w:val="22"/>
          <w:szCs w:val="22"/>
        </w:rPr>
        <w:t xml:space="preserve">to complete, review, obtain the signature of an </w:t>
      </w:r>
      <w:r w:rsidRPr="003160E4">
        <w:rPr>
          <w:rFonts w:eastAsiaTheme="minorHAnsi"/>
          <w:sz w:val="22"/>
          <w:szCs w:val="22"/>
        </w:rPr>
        <w:t>officer or other authorized representative,</w:t>
      </w:r>
      <w:r w:rsidRPr="003160E4">
        <w:rPr>
          <w:sz w:val="22"/>
          <w:szCs w:val="22"/>
        </w:rPr>
        <w:t xml:space="preserve"> and submit the “Legacy High-Cost Support Usage Flexibility Certification” form x $300/hour = </w:t>
      </w:r>
      <w:r w:rsidRPr="003160E4">
        <w:rPr>
          <w:b/>
          <w:sz w:val="22"/>
          <w:szCs w:val="22"/>
        </w:rPr>
        <w:t>$16,500.</w:t>
      </w:r>
    </w:p>
    <w:p w:rsidR="003160E4" w:rsidP="003160E4" w:rsidRDefault="003160E4" w14:paraId="2068D686" w14:textId="77777777">
      <w:pPr>
        <w:suppressAutoHyphens/>
        <w:ind w:left="360"/>
        <w:rPr>
          <w:b/>
          <w:sz w:val="22"/>
          <w:szCs w:val="22"/>
        </w:rPr>
      </w:pPr>
    </w:p>
    <w:p w:rsidRPr="003160E4" w:rsidR="003160E4" w:rsidP="003160E4" w:rsidRDefault="003160E4" w14:paraId="22867F49" w14:textId="3FC91649">
      <w:pPr>
        <w:suppressAutoHyphens/>
        <w:ind w:left="360"/>
        <w:rPr>
          <w:sz w:val="22"/>
          <w:szCs w:val="22"/>
        </w:rPr>
      </w:pPr>
      <w:r w:rsidRPr="00897F33">
        <w:rPr>
          <w:b/>
          <w:sz w:val="22"/>
          <w:szCs w:val="22"/>
        </w:rPr>
        <w:t>Total Annual Cost:  $16,500.</w:t>
      </w:r>
    </w:p>
    <w:p w:rsidRPr="00491393" w:rsidR="003160E4" w:rsidP="00AE464E" w:rsidRDefault="003160E4" w14:paraId="3AE2C444" w14:textId="77777777">
      <w:pPr>
        <w:suppressAutoHyphens/>
        <w:ind w:left="360"/>
        <w:rPr>
          <w:sz w:val="22"/>
          <w:szCs w:val="22"/>
        </w:rPr>
      </w:pPr>
    </w:p>
    <w:p w:rsidRPr="00E42F81" w:rsidR="009A75ED" w:rsidP="00EB7CC0" w:rsidRDefault="00031818" w14:paraId="0362F472" w14:textId="4381DB47">
      <w:pPr>
        <w:numPr>
          <w:ilvl w:val="0"/>
          <w:numId w:val="3"/>
        </w:numPr>
        <w:tabs>
          <w:tab w:val="clear" w:pos="1080"/>
          <w:tab w:val="num" w:pos="180"/>
        </w:tabs>
        <w:suppressAutoHyphens/>
        <w:ind w:left="360" w:hanging="360"/>
        <w:rPr>
          <w:sz w:val="22"/>
          <w:szCs w:val="22"/>
        </w:rPr>
      </w:pPr>
      <w:r w:rsidRPr="009A75ED">
        <w:rPr>
          <w:i/>
          <w:sz w:val="22"/>
          <w:szCs w:val="22"/>
        </w:rPr>
        <w:t xml:space="preserve">Estimates of the </w:t>
      </w:r>
      <w:r w:rsidRPr="009A75ED" w:rsidR="00C270B1">
        <w:rPr>
          <w:i/>
          <w:sz w:val="22"/>
          <w:szCs w:val="22"/>
        </w:rPr>
        <w:t xml:space="preserve">annual </w:t>
      </w:r>
      <w:r w:rsidRPr="009A75ED">
        <w:rPr>
          <w:i/>
          <w:sz w:val="22"/>
          <w:szCs w:val="22"/>
        </w:rPr>
        <w:t>cost burden to the Commission.</w:t>
      </w:r>
      <w:r w:rsidRPr="009A75ED" w:rsidR="00836022">
        <w:rPr>
          <w:i/>
          <w:sz w:val="22"/>
          <w:szCs w:val="22"/>
        </w:rPr>
        <w:t xml:space="preserve"> </w:t>
      </w:r>
      <w:r w:rsidRPr="009A75ED" w:rsidR="00942C70">
        <w:rPr>
          <w:i/>
          <w:sz w:val="22"/>
          <w:szCs w:val="22"/>
        </w:rPr>
        <w:t xml:space="preserve"> </w:t>
      </w:r>
      <w:bookmarkStart w:name="_Hlk58345315" w:id="7"/>
      <w:r w:rsidRPr="00E42F81" w:rsidR="00EB7CC0">
        <w:rPr>
          <w:sz w:val="22"/>
          <w:szCs w:val="22"/>
        </w:rPr>
        <w:t xml:space="preserve">The Commission estimates that it will take one </w:t>
      </w:r>
      <w:bookmarkEnd w:id="7"/>
      <w:r w:rsidRPr="00E42F81" w:rsidR="00EB7CC0">
        <w:rPr>
          <w:sz w:val="22"/>
          <w:szCs w:val="22"/>
        </w:rPr>
        <w:t>staff attorney (GS-1</w:t>
      </w:r>
      <w:r w:rsidRPr="00E42F81" w:rsidR="00287DD2">
        <w:rPr>
          <w:sz w:val="22"/>
          <w:szCs w:val="22"/>
        </w:rPr>
        <w:t>3</w:t>
      </w:r>
      <w:r w:rsidRPr="00E42F81" w:rsidR="00EB7CC0">
        <w:rPr>
          <w:sz w:val="22"/>
          <w:szCs w:val="22"/>
        </w:rPr>
        <w:t>, Step 5, at $</w:t>
      </w:r>
      <w:r w:rsidR="00741951">
        <w:rPr>
          <w:sz w:val="22"/>
          <w:szCs w:val="22"/>
        </w:rPr>
        <w:t>56.31</w:t>
      </w:r>
      <w:r w:rsidRPr="00E42F81" w:rsidR="00EB7CC0">
        <w:rPr>
          <w:sz w:val="22"/>
          <w:szCs w:val="22"/>
        </w:rPr>
        <w:t xml:space="preserve">/hour) approximately .5 </w:t>
      </w:r>
      <w:r w:rsidRPr="00E42F81" w:rsidR="00EB7CC0">
        <w:rPr>
          <w:color w:val="000000"/>
          <w:sz w:val="22"/>
          <w:szCs w:val="22"/>
        </w:rPr>
        <w:t>hours</w:t>
      </w:r>
      <w:r w:rsidRPr="00E42F81" w:rsidR="00EB7CC0">
        <w:rPr>
          <w:sz w:val="22"/>
          <w:szCs w:val="22"/>
        </w:rPr>
        <w:t xml:space="preserve"> </w:t>
      </w:r>
      <w:bookmarkStart w:name="_Hlk58345258" w:id="8"/>
      <w:r w:rsidRPr="00E42F81" w:rsidR="00EB7CC0">
        <w:rPr>
          <w:sz w:val="22"/>
          <w:szCs w:val="22"/>
        </w:rPr>
        <w:t>to review each response</w:t>
      </w:r>
      <w:bookmarkEnd w:id="8"/>
      <w:r w:rsidRPr="00E42F81" w:rsidR="00EB7CC0">
        <w:rPr>
          <w:sz w:val="22"/>
          <w:szCs w:val="22"/>
        </w:rPr>
        <w:t>.</w:t>
      </w:r>
    </w:p>
    <w:p w:rsidRPr="00E42F81" w:rsidR="009A75ED" w:rsidP="009A75ED" w:rsidRDefault="009A75ED" w14:paraId="2304DE52" w14:textId="77777777">
      <w:pPr>
        <w:suppressAutoHyphens/>
        <w:ind w:left="360"/>
        <w:rPr>
          <w:sz w:val="22"/>
          <w:szCs w:val="22"/>
        </w:rPr>
      </w:pPr>
    </w:p>
    <w:p w:rsidRPr="00E42F81" w:rsidR="00EB7CC0" w:rsidP="009A75ED" w:rsidRDefault="00EB7CC0" w14:paraId="34594846" w14:textId="349A4C1E">
      <w:pPr>
        <w:suppressAutoHyphens/>
        <w:ind w:left="360"/>
        <w:rPr>
          <w:sz w:val="22"/>
          <w:szCs w:val="22"/>
        </w:rPr>
      </w:pPr>
      <w:r w:rsidRPr="00E42F81">
        <w:rPr>
          <w:b/>
          <w:bCs/>
          <w:sz w:val="22"/>
          <w:szCs w:val="22"/>
        </w:rPr>
        <w:t>Total Estimated Annual Cost to the Federal Government:</w:t>
      </w:r>
      <w:r w:rsidRPr="00E42F81">
        <w:rPr>
          <w:sz w:val="22"/>
          <w:szCs w:val="22"/>
        </w:rPr>
        <w:t xml:space="preserve">  110 responses x .5 hours per response x $</w:t>
      </w:r>
      <w:r w:rsidR="00741951">
        <w:rPr>
          <w:sz w:val="22"/>
          <w:szCs w:val="22"/>
        </w:rPr>
        <w:t>56.31</w:t>
      </w:r>
      <w:r w:rsidRPr="00E42F81" w:rsidR="00E42F81">
        <w:rPr>
          <w:sz w:val="22"/>
          <w:szCs w:val="22"/>
        </w:rPr>
        <w:t xml:space="preserve"> </w:t>
      </w:r>
      <w:r w:rsidRPr="00E42F81">
        <w:rPr>
          <w:sz w:val="22"/>
          <w:szCs w:val="22"/>
        </w:rPr>
        <w:t>(Attorney, GS-1</w:t>
      </w:r>
      <w:r w:rsidRPr="00E42F81" w:rsidR="00287DD2">
        <w:rPr>
          <w:sz w:val="22"/>
          <w:szCs w:val="22"/>
        </w:rPr>
        <w:t>3</w:t>
      </w:r>
      <w:r w:rsidRPr="00E42F81">
        <w:rPr>
          <w:sz w:val="22"/>
          <w:szCs w:val="22"/>
        </w:rPr>
        <w:t xml:space="preserve">/Step 5) = </w:t>
      </w:r>
      <w:r w:rsidRPr="00E42F81">
        <w:rPr>
          <w:b/>
          <w:bCs/>
          <w:sz w:val="22"/>
          <w:szCs w:val="22"/>
        </w:rPr>
        <w:t>$</w:t>
      </w:r>
      <w:r w:rsidR="00741951">
        <w:rPr>
          <w:b/>
          <w:bCs/>
          <w:sz w:val="22"/>
          <w:szCs w:val="22"/>
        </w:rPr>
        <w:t>3,097.05</w:t>
      </w:r>
      <w:r w:rsidRPr="00E42F81">
        <w:rPr>
          <w:b/>
          <w:bCs/>
          <w:sz w:val="22"/>
          <w:szCs w:val="22"/>
        </w:rPr>
        <w:t>.</w:t>
      </w:r>
    </w:p>
    <w:p w:rsidRPr="00491393" w:rsidR="004801B6" w:rsidP="004801B6" w:rsidRDefault="004801B6" w14:paraId="1E1A5146" w14:textId="77777777">
      <w:pPr>
        <w:suppressAutoHyphens/>
        <w:ind w:left="360"/>
        <w:rPr>
          <w:sz w:val="22"/>
          <w:szCs w:val="22"/>
        </w:rPr>
      </w:pPr>
    </w:p>
    <w:p w:rsidRPr="00491393" w:rsidR="00325BCE" w:rsidP="00BF53B9" w:rsidRDefault="00031818" w14:paraId="72ACB7FA" w14:textId="59CFD647">
      <w:pPr>
        <w:numPr>
          <w:ilvl w:val="0"/>
          <w:numId w:val="3"/>
        </w:numPr>
        <w:tabs>
          <w:tab w:val="clear" w:pos="1080"/>
          <w:tab w:val="num" w:pos="180"/>
        </w:tabs>
        <w:suppressAutoHyphens/>
        <w:ind w:left="360" w:hanging="360"/>
        <w:rPr>
          <w:sz w:val="22"/>
          <w:szCs w:val="22"/>
        </w:rPr>
      </w:pPr>
      <w:r w:rsidRPr="00491393">
        <w:rPr>
          <w:i/>
          <w:sz w:val="22"/>
          <w:szCs w:val="22"/>
        </w:rPr>
        <w:t>Program changes or adjustment.</w:t>
      </w:r>
      <w:r w:rsidRPr="00491393" w:rsidR="00836022">
        <w:rPr>
          <w:i/>
          <w:sz w:val="22"/>
          <w:szCs w:val="22"/>
        </w:rPr>
        <w:t xml:space="preserve"> </w:t>
      </w:r>
      <w:r w:rsidRPr="00491393" w:rsidR="00942C70">
        <w:rPr>
          <w:i/>
          <w:sz w:val="22"/>
          <w:szCs w:val="22"/>
        </w:rPr>
        <w:t xml:space="preserve"> </w:t>
      </w:r>
      <w:r w:rsidRPr="00491393">
        <w:rPr>
          <w:sz w:val="22"/>
          <w:szCs w:val="22"/>
        </w:rPr>
        <w:t xml:space="preserve">This is a new information collection resulting in </w:t>
      </w:r>
      <w:r w:rsidRPr="00491393" w:rsidR="00325BCE">
        <w:rPr>
          <w:sz w:val="22"/>
          <w:szCs w:val="22"/>
        </w:rPr>
        <w:t xml:space="preserve">a program change increase of </w:t>
      </w:r>
      <w:r w:rsidR="006856B4">
        <w:rPr>
          <w:sz w:val="22"/>
          <w:szCs w:val="22"/>
        </w:rPr>
        <w:t>110</w:t>
      </w:r>
      <w:r w:rsidRPr="00491393" w:rsidR="002F62A3">
        <w:rPr>
          <w:sz w:val="22"/>
          <w:szCs w:val="22"/>
        </w:rPr>
        <w:t xml:space="preserve"> </w:t>
      </w:r>
      <w:r w:rsidR="003E6FDC">
        <w:rPr>
          <w:sz w:val="22"/>
          <w:szCs w:val="22"/>
        </w:rPr>
        <w:t xml:space="preserve">annual </w:t>
      </w:r>
      <w:r w:rsidRPr="00491393" w:rsidR="002F62A3">
        <w:rPr>
          <w:sz w:val="22"/>
          <w:szCs w:val="22"/>
        </w:rPr>
        <w:t xml:space="preserve">respondents, </w:t>
      </w:r>
      <w:r w:rsidR="006856B4">
        <w:rPr>
          <w:sz w:val="22"/>
          <w:szCs w:val="22"/>
        </w:rPr>
        <w:t>110</w:t>
      </w:r>
      <w:r w:rsidRPr="00491393" w:rsidR="002F62A3">
        <w:rPr>
          <w:sz w:val="22"/>
          <w:szCs w:val="22"/>
        </w:rPr>
        <w:t xml:space="preserve"> </w:t>
      </w:r>
      <w:r w:rsidR="00832795">
        <w:rPr>
          <w:sz w:val="22"/>
          <w:szCs w:val="22"/>
        </w:rPr>
        <w:t xml:space="preserve">annual </w:t>
      </w:r>
      <w:r w:rsidRPr="00491393" w:rsidR="002F62A3">
        <w:rPr>
          <w:sz w:val="22"/>
          <w:szCs w:val="22"/>
        </w:rPr>
        <w:t>responses</w:t>
      </w:r>
      <w:r w:rsidR="003E6FDC">
        <w:rPr>
          <w:sz w:val="22"/>
          <w:szCs w:val="22"/>
        </w:rPr>
        <w:t>,</w:t>
      </w:r>
      <w:r w:rsidR="00302047">
        <w:rPr>
          <w:sz w:val="22"/>
          <w:szCs w:val="22"/>
        </w:rPr>
        <w:t xml:space="preserve"> </w:t>
      </w:r>
      <w:bookmarkStart w:name="_GoBack" w:id="9"/>
      <w:bookmarkEnd w:id="9"/>
      <w:r w:rsidR="003160E4">
        <w:rPr>
          <w:sz w:val="22"/>
          <w:szCs w:val="22"/>
        </w:rPr>
        <w:t>192.5</w:t>
      </w:r>
      <w:r w:rsidRPr="00491393">
        <w:rPr>
          <w:sz w:val="22"/>
          <w:szCs w:val="22"/>
        </w:rPr>
        <w:t xml:space="preserve"> </w:t>
      </w:r>
      <w:r w:rsidR="003E6FDC">
        <w:rPr>
          <w:sz w:val="22"/>
          <w:szCs w:val="22"/>
        </w:rPr>
        <w:t xml:space="preserve">annual </w:t>
      </w:r>
      <w:r w:rsidR="000C40B5">
        <w:rPr>
          <w:sz w:val="22"/>
          <w:szCs w:val="22"/>
        </w:rPr>
        <w:t>b</w:t>
      </w:r>
      <w:r w:rsidRPr="00491393">
        <w:rPr>
          <w:sz w:val="22"/>
          <w:szCs w:val="22"/>
        </w:rPr>
        <w:t>urden hours</w:t>
      </w:r>
      <w:r w:rsidR="002D1BA4">
        <w:rPr>
          <w:sz w:val="22"/>
          <w:szCs w:val="22"/>
        </w:rPr>
        <w:t>, rounded to 193 hours</w:t>
      </w:r>
      <w:r w:rsidR="00302047">
        <w:rPr>
          <w:sz w:val="22"/>
          <w:szCs w:val="22"/>
        </w:rPr>
        <w:t xml:space="preserve"> and $16,500.</w:t>
      </w:r>
    </w:p>
    <w:p w:rsidRPr="00491393" w:rsidR="00325BCE" w:rsidP="00325BCE" w:rsidRDefault="00325BCE" w14:paraId="671AF1F2" w14:textId="77777777">
      <w:pPr>
        <w:pStyle w:val="ListParagraph"/>
        <w:rPr>
          <w:i/>
          <w:sz w:val="22"/>
          <w:szCs w:val="22"/>
        </w:rPr>
      </w:pPr>
    </w:p>
    <w:p w:rsidRPr="00491393" w:rsidR="00624353" w:rsidP="00BF53B9" w:rsidRDefault="00031818" w14:paraId="0FC0C222" w14:textId="77777777">
      <w:pPr>
        <w:numPr>
          <w:ilvl w:val="0"/>
          <w:numId w:val="3"/>
        </w:numPr>
        <w:tabs>
          <w:tab w:val="clear" w:pos="1080"/>
          <w:tab w:val="num" w:pos="180"/>
        </w:tabs>
        <w:suppressAutoHyphens/>
        <w:ind w:left="360" w:hanging="360"/>
        <w:rPr>
          <w:sz w:val="22"/>
          <w:szCs w:val="22"/>
        </w:rPr>
      </w:pPr>
      <w:r w:rsidRPr="00491393">
        <w:rPr>
          <w:i/>
          <w:sz w:val="22"/>
          <w:szCs w:val="22"/>
        </w:rPr>
        <w:t>Collections of information whose results will be published.</w:t>
      </w:r>
      <w:r w:rsidRPr="00491393" w:rsidR="00836022">
        <w:rPr>
          <w:i/>
          <w:sz w:val="22"/>
          <w:szCs w:val="22"/>
        </w:rPr>
        <w:t xml:space="preserve"> </w:t>
      </w:r>
      <w:r w:rsidRPr="00491393" w:rsidR="00D867D2">
        <w:rPr>
          <w:sz w:val="22"/>
          <w:szCs w:val="22"/>
        </w:rPr>
        <w:t xml:space="preserve">The information collection will not be published for statistical use. </w:t>
      </w:r>
      <w:r w:rsidRPr="00491393" w:rsidR="00942C70">
        <w:rPr>
          <w:sz w:val="22"/>
          <w:szCs w:val="22"/>
        </w:rPr>
        <w:t xml:space="preserve"> </w:t>
      </w:r>
    </w:p>
    <w:p w:rsidRPr="00491393" w:rsidR="00624353" w:rsidP="00624353" w:rsidRDefault="00624353" w14:paraId="70E4576F" w14:textId="77777777">
      <w:pPr>
        <w:pStyle w:val="ListParagraph"/>
        <w:rPr>
          <w:i/>
          <w:sz w:val="22"/>
          <w:szCs w:val="22"/>
        </w:rPr>
      </w:pPr>
    </w:p>
    <w:p w:rsidRPr="003E6FDC" w:rsidR="00624353" w:rsidP="00BF53B9" w:rsidRDefault="00031818" w14:paraId="02FB294D" w14:textId="77777777">
      <w:pPr>
        <w:numPr>
          <w:ilvl w:val="0"/>
          <w:numId w:val="3"/>
        </w:numPr>
        <w:tabs>
          <w:tab w:val="clear" w:pos="1080"/>
          <w:tab w:val="num" w:pos="180"/>
        </w:tabs>
        <w:suppressAutoHyphens/>
        <w:ind w:left="360" w:hanging="360"/>
        <w:rPr>
          <w:sz w:val="22"/>
          <w:szCs w:val="22"/>
        </w:rPr>
      </w:pPr>
      <w:r w:rsidRPr="003E6FDC">
        <w:rPr>
          <w:i/>
          <w:sz w:val="22"/>
          <w:szCs w:val="22"/>
        </w:rPr>
        <w:t>Display of expiration date for OMB approval of information collection.</w:t>
      </w:r>
      <w:r w:rsidRPr="003E6FDC" w:rsidR="00942C70">
        <w:rPr>
          <w:i/>
          <w:sz w:val="22"/>
          <w:szCs w:val="22"/>
        </w:rPr>
        <w:t xml:space="preserve"> </w:t>
      </w:r>
      <w:r w:rsidRPr="003E6FDC" w:rsidR="00836022">
        <w:rPr>
          <w:i/>
          <w:sz w:val="22"/>
          <w:szCs w:val="22"/>
        </w:rPr>
        <w:t xml:space="preserve"> </w:t>
      </w:r>
      <w:r w:rsidRPr="003E6FDC" w:rsidR="00624353">
        <w:rPr>
          <w:sz w:val="22"/>
          <w:szCs w:val="22"/>
        </w:rPr>
        <w:t xml:space="preserve">The Commission seeks an exemption from the requirement to display the OMB expiration date </w:t>
      </w:r>
      <w:r w:rsidRPr="003E6FDC" w:rsidR="00B06DB6">
        <w:rPr>
          <w:sz w:val="22"/>
          <w:szCs w:val="22"/>
        </w:rPr>
        <w:t>for this information</w:t>
      </w:r>
      <w:r w:rsidRPr="003E6FDC" w:rsidR="00624353">
        <w:rPr>
          <w:sz w:val="22"/>
          <w:szCs w:val="22"/>
        </w:rPr>
        <w:t xml:space="preserve"> collection.</w:t>
      </w:r>
      <w:r w:rsidRPr="003E6FDC" w:rsidR="00836022">
        <w:rPr>
          <w:sz w:val="22"/>
          <w:szCs w:val="22"/>
        </w:rPr>
        <w:t xml:space="preserve"> </w:t>
      </w:r>
      <w:r w:rsidRPr="003E6FDC" w:rsidR="00942C70">
        <w:rPr>
          <w:sz w:val="22"/>
          <w:szCs w:val="22"/>
        </w:rPr>
        <w:t xml:space="preserve"> </w:t>
      </w:r>
      <w:r w:rsidRPr="003E6FDC" w:rsidR="00624353">
        <w:rPr>
          <w:sz w:val="22"/>
          <w:szCs w:val="22"/>
        </w:rPr>
        <w:t>The Commission publishes a list of all OMB-approved information collections</w:t>
      </w:r>
      <w:r w:rsidRPr="003E6FDC" w:rsidR="005E252E">
        <w:rPr>
          <w:sz w:val="22"/>
          <w:szCs w:val="22"/>
        </w:rPr>
        <w:t xml:space="preserve"> and their corresponding expiration dates</w:t>
      </w:r>
      <w:r w:rsidRPr="003E6FDC" w:rsidR="00624353">
        <w:rPr>
          <w:sz w:val="22"/>
          <w:szCs w:val="22"/>
        </w:rPr>
        <w:t xml:space="preserve"> in 47 C.F.R. 0.408 of the Commission’s rules</w:t>
      </w:r>
      <w:r w:rsidRPr="003E6FDC" w:rsidR="0010531B">
        <w:rPr>
          <w:sz w:val="22"/>
          <w:szCs w:val="22"/>
        </w:rPr>
        <w:t>, 47 C.F.R. § 0.408</w:t>
      </w:r>
      <w:r w:rsidRPr="003E6FDC" w:rsidR="005E252E">
        <w:rPr>
          <w:sz w:val="22"/>
          <w:szCs w:val="22"/>
        </w:rPr>
        <w:t>, and will publish the OMB control number and OMB expiration date for this collection in the list contained in section 0.408 of its rules.</w:t>
      </w:r>
    </w:p>
    <w:p w:rsidRPr="00491393" w:rsidR="00624353" w:rsidP="0010531B" w:rsidRDefault="00624353" w14:paraId="786C18B4" w14:textId="77777777">
      <w:pPr>
        <w:rPr>
          <w:i/>
          <w:sz w:val="22"/>
          <w:szCs w:val="22"/>
        </w:rPr>
      </w:pPr>
    </w:p>
    <w:p w:rsidR="00031818" w:rsidP="00BF53B9" w:rsidRDefault="00031818" w14:paraId="65FCB843" w14:textId="6A23B5B8">
      <w:pPr>
        <w:numPr>
          <w:ilvl w:val="0"/>
          <w:numId w:val="3"/>
        </w:numPr>
        <w:tabs>
          <w:tab w:val="clear" w:pos="1080"/>
          <w:tab w:val="num" w:pos="180"/>
        </w:tabs>
        <w:suppressAutoHyphens/>
        <w:ind w:left="360" w:hanging="360"/>
        <w:rPr>
          <w:sz w:val="22"/>
          <w:szCs w:val="22"/>
        </w:rPr>
      </w:pPr>
      <w:r w:rsidRPr="00491393">
        <w:rPr>
          <w:i/>
          <w:sz w:val="22"/>
          <w:szCs w:val="22"/>
        </w:rPr>
        <w:t>Exception to certification statement for Paperwork Reduction Act submissions</w:t>
      </w:r>
      <w:r w:rsidRPr="00491393">
        <w:rPr>
          <w:sz w:val="22"/>
          <w:szCs w:val="22"/>
        </w:rPr>
        <w:t>.</w:t>
      </w:r>
      <w:r w:rsidRPr="00491393" w:rsidR="00836022">
        <w:rPr>
          <w:sz w:val="22"/>
          <w:szCs w:val="22"/>
        </w:rPr>
        <w:t xml:space="preserve"> </w:t>
      </w:r>
      <w:r w:rsidRPr="00491393" w:rsidR="00942C70">
        <w:rPr>
          <w:sz w:val="22"/>
          <w:szCs w:val="22"/>
        </w:rPr>
        <w:t xml:space="preserve"> </w:t>
      </w:r>
      <w:r w:rsidRPr="00491393" w:rsidR="00624353">
        <w:rPr>
          <w:sz w:val="22"/>
          <w:szCs w:val="22"/>
        </w:rPr>
        <w:t xml:space="preserve">There are </w:t>
      </w:r>
      <w:r w:rsidR="00C070DC">
        <w:rPr>
          <w:sz w:val="22"/>
          <w:szCs w:val="22"/>
        </w:rPr>
        <w:t xml:space="preserve">no </w:t>
      </w:r>
      <w:r w:rsidRPr="00491393" w:rsidR="00624353">
        <w:rPr>
          <w:sz w:val="22"/>
          <w:szCs w:val="22"/>
        </w:rPr>
        <w:t xml:space="preserve">exceptions to </w:t>
      </w:r>
      <w:r w:rsidRPr="00491393" w:rsidR="00CB4CAA">
        <w:rPr>
          <w:sz w:val="22"/>
          <w:szCs w:val="22"/>
        </w:rPr>
        <w:t xml:space="preserve">the </w:t>
      </w:r>
      <w:r w:rsidRPr="00491393" w:rsidR="00C6435B">
        <w:rPr>
          <w:sz w:val="22"/>
          <w:szCs w:val="22"/>
        </w:rPr>
        <w:t>certification statement</w:t>
      </w:r>
      <w:r w:rsidRPr="00491393" w:rsidR="00624353">
        <w:rPr>
          <w:sz w:val="22"/>
          <w:szCs w:val="22"/>
        </w:rPr>
        <w:t>.</w:t>
      </w:r>
      <w:r w:rsidRPr="00491393" w:rsidR="00836022">
        <w:rPr>
          <w:sz w:val="22"/>
          <w:szCs w:val="22"/>
        </w:rPr>
        <w:t xml:space="preserve"> </w:t>
      </w:r>
    </w:p>
    <w:p w:rsidR="00FF2AC9" w:rsidP="00FF2AC9" w:rsidRDefault="00FF2AC9" w14:paraId="76FF4AFA" w14:textId="3AEC51AE">
      <w:pPr>
        <w:suppressAutoHyphens/>
        <w:rPr>
          <w:sz w:val="22"/>
          <w:szCs w:val="22"/>
        </w:rPr>
      </w:pPr>
    </w:p>
    <w:p w:rsidRPr="00491393" w:rsidR="00FF2AC9" w:rsidP="00FF2AC9" w:rsidRDefault="00FF2AC9" w14:paraId="1706599A" w14:textId="77777777">
      <w:pPr>
        <w:suppressAutoHyphens/>
        <w:rPr>
          <w:sz w:val="22"/>
          <w:szCs w:val="22"/>
        </w:rPr>
      </w:pPr>
    </w:p>
    <w:p w:rsidRPr="00491393" w:rsidR="000D4817" w:rsidP="000D4817" w:rsidRDefault="000D4817" w14:paraId="2B35D176" w14:textId="77777777">
      <w:pPr>
        <w:ind w:left="720"/>
        <w:rPr>
          <w:sz w:val="22"/>
          <w:szCs w:val="22"/>
        </w:rPr>
      </w:pPr>
    </w:p>
    <w:p w:rsidRPr="00491393" w:rsidR="002C644E" w:rsidP="000D4817" w:rsidRDefault="002C644E" w14:paraId="4AB15DA7" w14:textId="7C52CF21">
      <w:pPr>
        <w:pStyle w:val="Heading1"/>
        <w:rPr>
          <w:sz w:val="22"/>
          <w:szCs w:val="22"/>
        </w:rPr>
      </w:pPr>
      <w:r w:rsidRPr="00491393">
        <w:rPr>
          <w:sz w:val="22"/>
          <w:szCs w:val="22"/>
        </w:rPr>
        <w:lastRenderedPageBreak/>
        <w:t>Collections of Information Employing Statistical Methods:</w:t>
      </w:r>
    </w:p>
    <w:p w:rsidRPr="00491393" w:rsidR="002C644E" w:rsidP="002C644E" w:rsidRDefault="002C644E" w14:paraId="1162BBF1" w14:textId="77777777">
      <w:pPr>
        <w:rPr>
          <w:sz w:val="22"/>
          <w:szCs w:val="22"/>
        </w:rPr>
      </w:pPr>
    </w:p>
    <w:p w:rsidRPr="00491393" w:rsidR="00484562" w:rsidP="00B048EA" w:rsidRDefault="00624353" w14:paraId="13D0D216" w14:textId="77777777">
      <w:pPr>
        <w:ind w:left="360"/>
        <w:rPr>
          <w:sz w:val="22"/>
          <w:szCs w:val="22"/>
        </w:rPr>
      </w:pPr>
      <w:r w:rsidRPr="00491393">
        <w:rPr>
          <w:sz w:val="22"/>
          <w:szCs w:val="22"/>
        </w:rPr>
        <w:t>The Commission does not anticipate that th</w:t>
      </w:r>
      <w:r w:rsidRPr="00491393" w:rsidR="00DE312B">
        <w:rPr>
          <w:sz w:val="22"/>
          <w:szCs w:val="22"/>
        </w:rPr>
        <w:t>is new</w:t>
      </w:r>
      <w:r w:rsidRPr="00491393">
        <w:rPr>
          <w:sz w:val="22"/>
          <w:szCs w:val="22"/>
        </w:rPr>
        <w:t xml:space="preserve"> collection of information will employ statistical methods</w:t>
      </w:r>
      <w:r w:rsidRPr="00491393" w:rsidR="00DE312B">
        <w:rPr>
          <w:sz w:val="22"/>
          <w:szCs w:val="22"/>
        </w:rPr>
        <w:t>, and the use of such methods would not reduce the burden or improve accuracy of results</w:t>
      </w:r>
      <w:r w:rsidRPr="00491393">
        <w:rPr>
          <w:sz w:val="22"/>
          <w:szCs w:val="22"/>
        </w:rPr>
        <w:t>.</w:t>
      </w:r>
    </w:p>
    <w:sectPr w:rsidRPr="00491393" w:rsidR="00484562" w:rsidSect="007A3812">
      <w:footerReference w:type="even" r:id="rId8"/>
      <w:footerReference w:type="default" r:id="rId9"/>
      <w:pgSz w:w="12240" w:h="15840"/>
      <w:pgMar w:top="1440" w:right="1440" w:bottom="1440" w:left="144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8C4A" w16cex:dateUtc="2021-02-08T15:09:00Z"/>
  <w16cex:commentExtensible w16cex:durableId="23CB912E" w16cex:dateUtc="2021-02-08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0CF7" w14:textId="77777777" w:rsidR="007A419A" w:rsidRDefault="007A419A">
      <w:r>
        <w:separator/>
      </w:r>
    </w:p>
  </w:endnote>
  <w:endnote w:type="continuationSeparator" w:id="0">
    <w:p w14:paraId="65FA592B" w14:textId="77777777" w:rsidR="007A419A" w:rsidRDefault="007A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7C54" w14:textId="77777777" w:rsidR="00E60172" w:rsidRDefault="00E60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88771" w14:textId="77777777" w:rsidR="00E60172" w:rsidRDefault="00E60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974B" w14:textId="4457F42A" w:rsidR="00E60172" w:rsidRPr="00491393" w:rsidRDefault="00E60172">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sidR="00F72B1C">
      <w:rPr>
        <w:rStyle w:val="PageNumber"/>
        <w:noProof/>
        <w:sz w:val="22"/>
        <w:szCs w:val="22"/>
      </w:rPr>
      <w:t>2</w:t>
    </w:r>
    <w:r w:rsidRPr="00491393">
      <w:rPr>
        <w:rStyle w:val="PageNumber"/>
        <w:sz w:val="22"/>
        <w:szCs w:val="22"/>
      </w:rPr>
      <w:fldChar w:fldCharType="end"/>
    </w:r>
  </w:p>
  <w:p w14:paraId="16C3DF22" w14:textId="77777777" w:rsidR="00E60172" w:rsidRDefault="00E60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15102" w14:textId="77777777" w:rsidR="007A419A" w:rsidRDefault="007A419A">
      <w:r>
        <w:separator/>
      </w:r>
    </w:p>
  </w:footnote>
  <w:footnote w:type="continuationSeparator" w:id="0">
    <w:p w14:paraId="405CCC1C" w14:textId="77777777" w:rsidR="007A419A" w:rsidRDefault="007A4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1B69"/>
    <w:multiLevelType w:val="hybridMultilevel"/>
    <w:tmpl w:val="71321542"/>
    <w:lvl w:ilvl="0" w:tplc="6310CCB6">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E1978"/>
    <w:multiLevelType w:val="hybridMultilevel"/>
    <w:tmpl w:val="06487A50"/>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A1342"/>
    <w:multiLevelType w:val="hybridMultilevel"/>
    <w:tmpl w:val="EBF6F79C"/>
    <w:lvl w:ilvl="0" w:tplc="B3EAA3EA">
      <w:start w:val="5"/>
      <w:numFmt w:val="decimal"/>
      <w:lvlText w:val="%1."/>
      <w:lvlJc w:val="left"/>
      <w:pPr>
        <w:ind w:left="117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427C9"/>
    <w:multiLevelType w:val="hybridMultilevel"/>
    <w:tmpl w:val="0F60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C84D40"/>
    <w:multiLevelType w:val="hybridMultilevel"/>
    <w:tmpl w:val="CBC0127C"/>
    <w:lvl w:ilvl="0" w:tplc="9F2A97F8">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53CC2"/>
    <w:multiLevelType w:val="hybridMultilevel"/>
    <w:tmpl w:val="B7CA4918"/>
    <w:lvl w:ilvl="0" w:tplc="1BD04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1" w15:restartNumberingAfterBreak="0">
    <w:nsid w:val="61182925"/>
    <w:multiLevelType w:val="singleLevel"/>
    <w:tmpl w:val="5CFC88CC"/>
    <w:lvl w:ilvl="0">
      <w:start w:val="1"/>
      <w:numFmt w:val="decimal"/>
      <w:lvlText w:val="%1."/>
      <w:lvlJc w:val="left"/>
      <w:pPr>
        <w:tabs>
          <w:tab w:val="num" w:pos="1080"/>
        </w:tabs>
        <w:ind w:left="0" w:firstLine="720"/>
      </w:pPr>
      <w:rPr>
        <w:b w:val="0"/>
        <w:bCs/>
      </w:rPr>
    </w:lvl>
  </w:abstractNum>
  <w:abstractNum w:abstractNumId="22" w15:restartNumberingAfterBreak="0">
    <w:nsid w:val="63173CCE"/>
    <w:multiLevelType w:val="hybridMultilevel"/>
    <w:tmpl w:val="C136A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EA2D50"/>
    <w:multiLevelType w:val="hybridMultilevel"/>
    <w:tmpl w:val="3614E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A16F4"/>
    <w:multiLevelType w:val="hybridMultilevel"/>
    <w:tmpl w:val="BCB2A8EA"/>
    <w:lvl w:ilvl="0" w:tplc="8390D42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15:restartNumberingAfterBreak="0">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7EEF6D4E"/>
    <w:multiLevelType w:val="hybridMultilevel"/>
    <w:tmpl w:val="ACEC69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EC5966"/>
    <w:multiLevelType w:val="hybridMultilevel"/>
    <w:tmpl w:val="D464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4"/>
  </w:num>
  <w:num w:numId="5">
    <w:abstractNumId w:val="7"/>
  </w:num>
  <w:num w:numId="6">
    <w:abstractNumId w:val="31"/>
  </w:num>
  <w:num w:numId="7">
    <w:abstractNumId w:val="10"/>
  </w:num>
  <w:num w:numId="8">
    <w:abstractNumId w:val="30"/>
  </w:num>
  <w:num w:numId="9">
    <w:abstractNumId w:val="6"/>
  </w:num>
  <w:num w:numId="10">
    <w:abstractNumId w:val="19"/>
  </w:num>
  <w:num w:numId="11">
    <w:abstractNumId w:val="23"/>
  </w:num>
  <w:num w:numId="12">
    <w:abstractNumId w:val="9"/>
  </w:num>
  <w:num w:numId="13">
    <w:abstractNumId w:val="29"/>
  </w:num>
  <w:num w:numId="14">
    <w:abstractNumId w:val="0"/>
  </w:num>
  <w:num w:numId="15">
    <w:abstractNumId w:val="28"/>
  </w:num>
  <w:num w:numId="16">
    <w:abstractNumId w:val="20"/>
  </w:num>
  <w:num w:numId="17">
    <w:abstractNumId w:val="16"/>
  </w:num>
  <w:num w:numId="18">
    <w:abstractNumId w:val="15"/>
  </w:num>
  <w:num w:numId="19">
    <w:abstractNumId w:val="14"/>
  </w:num>
  <w:num w:numId="20">
    <w:abstractNumId w:val="13"/>
  </w:num>
  <w:num w:numId="21">
    <w:abstractNumId w:val="1"/>
  </w:num>
  <w:num w:numId="22">
    <w:abstractNumId w:val="22"/>
  </w:num>
  <w:num w:numId="23">
    <w:abstractNumId w:val="12"/>
  </w:num>
  <w:num w:numId="24">
    <w:abstractNumId w:val="27"/>
  </w:num>
  <w:num w:numId="25">
    <w:abstractNumId w:val="2"/>
  </w:num>
  <w:num w:numId="26">
    <w:abstractNumId w:val="17"/>
  </w:num>
  <w:num w:numId="27">
    <w:abstractNumId w:val="25"/>
  </w:num>
  <w:num w:numId="28">
    <w:abstractNumId w:val="8"/>
  </w:num>
  <w:num w:numId="29">
    <w:abstractNumId w:val="21"/>
  </w:num>
  <w:num w:numId="30">
    <w:abstractNumId w:val="18"/>
  </w:num>
  <w:num w:numId="31">
    <w:abstractNumId w:val="32"/>
  </w:num>
  <w:num w:numId="32">
    <w:abstractNumId w:val="26"/>
  </w:num>
  <w:num w:numId="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6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003B"/>
    <w:rsid w:val="00003C43"/>
    <w:rsid w:val="00004BB1"/>
    <w:rsid w:val="00011462"/>
    <w:rsid w:val="00014B0C"/>
    <w:rsid w:val="00014F58"/>
    <w:rsid w:val="00014F8E"/>
    <w:rsid w:val="00015710"/>
    <w:rsid w:val="00015ED0"/>
    <w:rsid w:val="00015F28"/>
    <w:rsid w:val="00016D3B"/>
    <w:rsid w:val="000207B7"/>
    <w:rsid w:val="00021FF2"/>
    <w:rsid w:val="000246C1"/>
    <w:rsid w:val="00025636"/>
    <w:rsid w:val="000260A1"/>
    <w:rsid w:val="00026138"/>
    <w:rsid w:val="00026BAB"/>
    <w:rsid w:val="00027BF0"/>
    <w:rsid w:val="00030C6A"/>
    <w:rsid w:val="00031818"/>
    <w:rsid w:val="00034456"/>
    <w:rsid w:val="0004463B"/>
    <w:rsid w:val="0005107E"/>
    <w:rsid w:val="00052197"/>
    <w:rsid w:val="00054A9F"/>
    <w:rsid w:val="0005607C"/>
    <w:rsid w:val="000577C8"/>
    <w:rsid w:val="00057D93"/>
    <w:rsid w:val="000655CE"/>
    <w:rsid w:val="00065A9C"/>
    <w:rsid w:val="000669EE"/>
    <w:rsid w:val="00067D15"/>
    <w:rsid w:val="00076F5F"/>
    <w:rsid w:val="00077E76"/>
    <w:rsid w:val="000829D2"/>
    <w:rsid w:val="00086097"/>
    <w:rsid w:val="000873F9"/>
    <w:rsid w:val="00090C2A"/>
    <w:rsid w:val="0009216A"/>
    <w:rsid w:val="00092D01"/>
    <w:rsid w:val="00097AAE"/>
    <w:rsid w:val="000A0543"/>
    <w:rsid w:val="000A2BC0"/>
    <w:rsid w:val="000A3410"/>
    <w:rsid w:val="000A4BA1"/>
    <w:rsid w:val="000A7878"/>
    <w:rsid w:val="000B05AB"/>
    <w:rsid w:val="000B31E2"/>
    <w:rsid w:val="000B4F54"/>
    <w:rsid w:val="000B78A7"/>
    <w:rsid w:val="000C1FFA"/>
    <w:rsid w:val="000C40B5"/>
    <w:rsid w:val="000C6946"/>
    <w:rsid w:val="000D0B06"/>
    <w:rsid w:val="000D4817"/>
    <w:rsid w:val="000D77B1"/>
    <w:rsid w:val="000E1641"/>
    <w:rsid w:val="000E196F"/>
    <w:rsid w:val="000E2B77"/>
    <w:rsid w:val="000E43B8"/>
    <w:rsid w:val="000E5642"/>
    <w:rsid w:val="000E5F01"/>
    <w:rsid w:val="000E5F5D"/>
    <w:rsid w:val="000E63EB"/>
    <w:rsid w:val="000E7935"/>
    <w:rsid w:val="000F07AE"/>
    <w:rsid w:val="000F27E5"/>
    <w:rsid w:val="000F34CF"/>
    <w:rsid w:val="000F34EB"/>
    <w:rsid w:val="000F5D4C"/>
    <w:rsid w:val="00101F6A"/>
    <w:rsid w:val="00102CCC"/>
    <w:rsid w:val="00102F1D"/>
    <w:rsid w:val="00104058"/>
    <w:rsid w:val="0010531B"/>
    <w:rsid w:val="001106F4"/>
    <w:rsid w:val="00111527"/>
    <w:rsid w:val="001143F6"/>
    <w:rsid w:val="00116C39"/>
    <w:rsid w:val="00120CB2"/>
    <w:rsid w:val="00121F1A"/>
    <w:rsid w:val="00122AE6"/>
    <w:rsid w:val="001237B4"/>
    <w:rsid w:val="00133E68"/>
    <w:rsid w:val="001343B4"/>
    <w:rsid w:val="00134832"/>
    <w:rsid w:val="00135491"/>
    <w:rsid w:val="00146D4A"/>
    <w:rsid w:val="00151B7B"/>
    <w:rsid w:val="00154041"/>
    <w:rsid w:val="00156B52"/>
    <w:rsid w:val="00160114"/>
    <w:rsid w:val="0017212C"/>
    <w:rsid w:val="00172350"/>
    <w:rsid w:val="0017360E"/>
    <w:rsid w:val="001738AF"/>
    <w:rsid w:val="001746C4"/>
    <w:rsid w:val="0017776A"/>
    <w:rsid w:val="001826A8"/>
    <w:rsid w:val="001826D1"/>
    <w:rsid w:val="00185DA7"/>
    <w:rsid w:val="0018703A"/>
    <w:rsid w:val="0018760E"/>
    <w:rsid w:val="00190F11"/>
    <w:rsid w:val="0019106A"/>
    <w:rsid w:val="001919C8"/>
    <w:rsid w:val="00193C1F"/>
    <w:rsid w:val="00195AAF"/>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D11F3"/>
    <w:rsid w:val="001D5D4B"/>
    <w:rsid w:val="001D7AE8"/>
    <w:rsid w:val="001E53CA"/>
    <w:rsid w:val="001E74AF"/>
    <w:rsid w:val="001F0457"/>
    <w:rsid w:val="001F1F98"/>
    <w:rsid w:val="001F3052"/>
    <w:rsid w:val="001F6F2F"/>
    <w:rsid w:val="00200616"/>
    <w:rsid w:val="00206AE9"/>
    <w:rsid w:val="002107B7"/>
    <w:rsid w:val="0021170E"/>
    <w:rsid w:val="0021230A"/>
    <w:rsid w:val="0021468D"/>
    <w:rsid w:val="002148F6"/>
    <w:rsid w:val="00216CF7"/>
    <w:rsid w:val="00217B5F"/>
    <w:rsid w:val="00220257"/>
    <w:rsid w:val="00222578"/>
    <w:rsid w:val="002255B3"/>
    <w:rsid w:val="00233772"/>
    <w:rsid w:val="00234808"/>
    <w:rsid w:val="00234DDB"/>
    <w:rsid w:val="00240E9B"/>
    <w:rsid w:val="002417F8"/>
    <w:rsid w:val="00242039"/>
    <w:rsid w:val="00242B6D"/>
    <w:rsid w:val="00243A58"/>
    <w:rsid w:val="00244DD1"/>
    <w:rsid w:val="002525B3"/>
    <w:rsid w:val="00252F54"/>
    <w:rsid w:val="00255E9A"/>
    <w:rsid w:val="0026029D"/>
    <w:rsid w:val="00260AF4"/>
    <w:rsid w:val="00260C3E"/>
    <w:rsid w:val="00261DA4"/>
    <w:rsid w:val="002679ED"/>
    <w:rsid w:val="00275026"/>
    <w:rsid w:val="00276B7D"/>
    <w:rsid w:val="0028263F"/>
    <w:rsid w:val="00287DD2"/>
    <w:rsid w:val="00290A43"/>
    <w:rsid w:val="00292382"/>
    <w:rsid w:val="002A129E"/>
    <w:rsid w:val="002A3D74"/>
    <w:rsid w:val="002A5B1B"/>
    <w:rsid w:val="002B1016"/>
    <w:rsid w:val="002C318C"/>
    <w:rsid w:val="002C5022"/>
    <w:rsid w:val="002C644E"/>
    <w:rsid w:val="002D1BA4"/>
    <w:rsid w:val="002D72FF"/>
    <w:rsid w:val="002E2BF0"/>
    <w:rsid w:val="002E6E50"/>
    <w:rsid w:val="002E76F9"/>
    <w:rsid w:val="002F07FD"/>
    <w:rsid w:val="002F19B5"/>
    <w:rsid w:val="002F220A"/>
    <w:rsid w:val="002F361B"/>
    <w:rsid w:val="002F514D"/>
    <w:rsid w:val="002F566F"/>
    <w:rsid w:val="002F62A3"/>
    <w:rsid w:val="002F7CF0"/>
    <w:rsid w:val="00302047"/>
    <w:rsid w:val="00302ED3"/>
    <w:rsid w:val="003037A8"/>
    <w:rsid w:val="00305A31"/>
    <w:rsid w:val="00310C58"/>
    <w:rsid w:val="00312D9B"/>
    <w:rsid w:val="00314D65"/>
    <w:rsid w:val="003160E4"/>
    <w:rsid w:val="00316A62"/>
    <w:rsid w:val="0031783D"/>
    <w:rsid w:val="00322CBA"/>
    <w:rsid w:val="00325BCE"/>
    <w:rsid w:val="00327F4A"/>
    <w:rsid w:val="0033326C"/>
    <w:rsid w:val="0033359D"/>
    <w:rsid w:val="00334988"/>
    <w:rsid w:val="0034015F"/>
    <w:rsid w:val="00346BB8"/>
    <w:rsid w:val="00346F5F"/>
    <w:rsid w:val="0034756D"/>
    <w:rsid w:val="0034795C"/>
    <w:rsid w:val="00354176"/>
    <w:rsid w:val="0035553D"/>
    <w:rsid w:val="00355990"/>
    <w:rsid w:val="00355EE9"/>
    <w:rsid w:val="00357078"/>
    <w:rsid w:val="00364B54"/>
    <w:rsid w:val="00366826"/>
    <w:rsid w:val="00366FAE"/>
    <w:rsid w:val="00367F5D"/>
    <w:rsid w:val="00370BB3"/>
    <w:rsid w:val="00373455"/>
    <w:rsid w:val="00377AB5"/>
    <w:rsid w:val="00380BC0"/>
    <w:rsid w:val="003831CD"/>
    <w:rsid w:val="0038370D"/>
    <w:rsid w:val="00387EF8"/>
    <w:rsid w:val="003960C1"/>
    <w:rsid w:val="00396212"/>
    <w:rsid w:val="003B029C"/>
    <w:rsid w:val="003B0505"/>
    <w:rsid w:val="003B5440"/>
    <w:rsid w:val="003B726D"/>
    <w:rsid w:val="003B729F"/>
    <w:rsid w:val="003C0752"/>
    <w:rsid w:val="003C2022"/>
    <w:rsid w:val="003C2A40"/>
    <w:rsid w:val="003D0671"/>
    <w:rsid w:val="003D15EA"/>
    <w:rsid w:val="003E1A85"/>
    <w:rsid w:val="003E1D99"/>
    <w:rsid w:val="003E3C47"/>
    <w:rsid w:val="003E3D5C"/>
    <w:rsid w:val="003E5961"/>
    <w:rsid w:val="003E6FDC"/>
    <w:rsid w:val="003E75F1"/>
    <w:rsid w:val="003F0641"/>
    <w:rsid w:val="003F301F"/>
    <w:rsid w:val="003F4C24"/>
    <w:rsid w:val="003F4EE8"/>
    <w:rsid w:val="003F5CE3"/>
    <w:rsid w:val="003F5EB6"/>
    <w:rsid w:val="003F73D9"/>
    <w:rsid w:val="00401037"/>
    <w:rsid w:val="00402F37"/>
    <w:rsid w:val="00405204"/>
    <w:rsid w:val="00405932"/>
    <w:rsid w:val="00406F40"/>
    <w:rsid w:val="00411C8F"/>
    <w:rsid w:val="004148B5"/>
    <w:rsid w:val="00414DB5"/>
    <w:rsid w:val="00420E1A"/>
    <w:rsid w:val="00424B59"/>
    <w:rsid w:val="00425951"/>
    <w:rsid w:val="00430C9B"/>
    <w:rsid w:val="004320D6"/>
    <w:rsid w:val="00432150"/>
    <w:rsid w:val="004329A5"/>
    <w:rsid w:val="0043649E"/>
    <w:rsid w:val="004401CF"/>
    <w:rsid w:val="0044169D"/>
    <w:rsid w:val="00442D5C"/>
    <w:rsid w:val="004432FB"/>
    <w:rsid w:val="0044587A"/>
    <w:rsid w:val="0044754A"/>
    <w:rsid w:val="00451D79"/>
    <w:rsid w:val="00453D4A"/>
    <w:rsid w:val="00456BB5"/>
    <w:rsid w:val="0045712E"/>
    <w:rsid w:val="0045716F"/>
    <w:rsid w:val="00457F8C"/>
    <w:rsid w:val="00463F44"/>
    <w:rsid w:val="004657BC"/>
    <w:rsid w:val="00466B2D"/>
    <w:rsid w:val="00467CB2"/>
    <w:rsid w:val="00473F12"/>
    <w:rsid w:val="004801B6"/>
    <w:rsid w:val="00481A6F"/>
    <w:rsid w:val="00484223"/>
    <w:rsid w:val="00484562"/>
    <w:rsid w:val="004900DA"/>
    <w:rsid w:val="00491393"/>
    <w:rsid w:val="00491E1A"/>
    <w:rsid w:val="0049280D"/>
    <w:rsid w:val="00494212"/>
    <w:rsid w:val="00497DAA"/>
    <w:rsid w:val="004A03A3"/>
    <w:rsid w:val="004A0BC1"/>
    <w:rsid w:val="004A1168"/>
    <w:rsid w:val="004A38AE"/>
    <w:rsid w:val="004A675C"/>
    <w:rsid w:val="004C3783"/>
    <w:rsid w:val="004C3D4F"/>
    <w:rsid w:val="004C6243"/>
    <w:rsid w:val="004C64CC"/>
    <w:rsid w:val="004D130A"/>
    <w:rsid w:val="004D6140"/>
    <w:rsid w:val="004D61C1"/>
    <w:rsid w:val="004D6757"/>
    <w:rsid w:val="004E1E54"/>
    <w:rsid w:val="004E1FE8"/>
    <w:rsid w:val="004E66D5"/>
    <w:rsid w:val="004E6870"/>
    <w:rsid w:val="004F1612"/>
    <w:rsid w:val="004F2F76"/>
    <w:rsid w:val="004F4367"/>
    <w:rsid w:val="004F7159"/>
    <w:rsid w:val="0050020E"/>
    <w:rsid w:val="005007B8"/>
    <w:rsid w:val="00505CC4"/>
    <w:rsid w:val="005070E2"/>
    <w:rsid w:val="005117BC"/>
    <w:rsid w:val="005118A0"/>
    <w:rsid w:val="00512B46"/>
    <w:rsid w:val="00515C46"/>
    <w:rsid w:val="00515E99"/>
    <w:rsid w:val="005205D8"/>
    <w:rsid w:val="00520C60"/>
    <w:rsid w:val="00521104"/>
    <w:rsid w:val="00524E3E"/>
    <w:rsid w:val="005256CB"/>
    <w:rsid w:val="0052665E"/>
    <w:rsid w:val="0053100B"/>
    <w:rsid w:val="005325EA"/>
    <w:rsid w:val="00534A10"/>
    <w:rsid w:val="00534C85"/>
    <w:rsid w:val="00536800"/>
    <w:rsid w:val="00536D74"/>
    <w:rsid w:val="00540323"/>
    <w:rsid w:val="0054070E"/>
    <w:rsid w:val="005408A8"/>
    <w:rsid w:val="005437CC"/>
    <w:rsid w:val="00544D01"/>
    <w:rsid w:val="00546BC4"/>
    <w:rsid w:val="00547693"/>
    <w:rsid w:val="00552181"/>
    <w:rsid w:val="00553572"/>
    <w:rsid w:val="0055614C"/>
    <w:rsid w:val="00556710"/>
    <w:rsid w:val="00556B93"/>
    <w:rsid w:val="00557A8F"/>
    <w:rsid w:val="00561061"/>
    <w:rsid w:val="00562F11"/>
    <w:rsid w:val="00573B06"/>
    <w:rsid w:val="00574BE9"/>
    <w:rsid w:val="00575F87"/>
    <w:rsid w:val="0057639E"/>
    <w:rsid w:val="005803A5"/>
    <w:rsid w:val="0058074E"/>
    <w:rsid w:val="005821B3"/>
    <w:rsid w:val="00585220"/>
    <w:rsid w:val="00585410"/>
    <w:rsid w:val="0058594C"/>
    <w:rsid w:val="00587D6C"/>
    <w:rsid w:val="00590D86"/>
    <w:rsid w:val="00590DD9"/>
    <w:rsid w:val="00596FBA"/>
    <w:rsid w:val="005B0B33"/>
    <w:rsid w:val="005B1989"/>
    <w:rsid w:val="005B1D03"/>
    <w:rsid w:val="005B4DBB"/>
    <w:rsid w:val="005B5665"/>
    <w:rsid w:val="005B7CA8"/>
    <w:rsid w:val="005C1275"/>
    <w:rsid w:val="005C41AD"/>
    <w:rsid w:val="005C4498"/>
    <w:rsid w:val="005C4A88"/>
    <w:rsid w:val="005C4CF0"/>
    <w:rsid w:val="005D1B1B"/>
    <w:rsid w:val="005D258B"/>
    <w:rsid w:val="005D495C"/>
    <w:rsid w:val="005D5029"/>
    <w:rsid w:val="005E23D9"/>
    <w:rsid w:val="005E252E"/>
    <w:rsid w:val="005E3319"/>
    <w:rsid w:val="005E3A4E"/>
    <w:rsid w:val="005E7728"/>
    <w:rsid w:val="005F262B"/>
    <w:rsid w:val="005F2B8C"/>
    <w:rsid w:val="005F2BF5"/>
    <w:rsid w:val="005F4E0C"/>
    <w:rsid w:val="005F6AF4"/>
    <w:rsid w:val="005F6E97"/>
    <w:rsid w:val="00606081"/>
    <w:rsid w:val="0060663B"/>
    <w:rsid w:val="0060767A"/>
    <w:rsid w:val="006116D0"/>
    <w:rsid w:val="00611E51"/>
    <w:rsid w:val="0061354B"/>
    <w:rsid w:val="0062379A"/>
    <w:rsid w:val="00624353"/>
    <w:rsid w:val="0062638C"/>
    <w:rsid w:val="006304B2"/>
    <w:rsid w:val="0063073C"/>
    <w:rsid w:val="00632749"/>
    <w:rsid w:val="00634BC4"/>
    <w:rsid w:val="0063510E"/>
    <w:rsid w:val="00640F7A"/>
    <w:rsid w:val="00643472"/>
    <w:rsid w:val="006446B1"/>
    <w:rsid w:val="0064753E"/>
    <w:rsid w:val="00647C1F"/>
    <w:rsid w:val="0065096D"/>
    <w:rsid w:val="006523B1"/>
    <w:rsid w:val="00653C62"/>
    <w:rsid w:val="006555C7"/>
    <w:rsid w:val="006716E7"/>
    <w:rsid w:val="00675ED2"/>
    <w:rsid w:val="006760FF"/>
    <w:rsid w:val="0068491B"/>
    <w:rsid w:val="00684E15"/>
    <w:rsid w:val="006856B4"/>
    <w:rsid w:val="00686E74"/>
    <w:rsid w:val="00687D4A"/>
    <w:rsid w:val="006950B4"/>
    <w:rsid w:val="00696611"/>
    <w:rsid w:val="0069793D"/>
    <w:rsid w:val="006A0AA8"/>
    <w:rsid w:val="006A1F0E"/>
    <w:rsid w:val="006A25D7"/>
    <w:rsid w:val="006A2D4F"/>
    <w:rsid w:val="006A35A9"/>
    <w:rsid w:val="006A36F9"/>
    <w:rsid w:val="006A3B56"/>
    <w:rsid w:val="006A67A5"/>
    <w:rsid w:val="006B148D"/>
    <w:rsid w:val="006B1575"/>
    <w:rsid w:val="006B2CB2"/>
    <w:rsid w:val="006B6D01"/>
    <w:rsid w:val="006B7D65"/>
    <w:rsid w:val="006C1A8A"/>
    <w:rsid w:val="006C3E50"/>
    <w:rsid w:val="006C4797"/>
    <w:rsid w:val="006C6B29"/>
    <w:rsid w:val="006C6FFD"/>
    <w:rsid w:val="006D0BFA"/>
    <w:rsid w:val="006D4246"/>
    <w:rsid w:val="006D5BD8"/>
    <w:rsid w:val="006D64B1"/>
    <w:rsid w:val="006D761F"/>
    <w:rsid w:val="006E129D"/>
    <w:rsid w:val="006E1922"/>
    <w:rsid w:val="006E6E55"/>
    <w:rsid w:val="006F0888"/>
    <w:rsid w:val="006F08EE"/>
    <w:rsid w:val="006F0FC0"/>
    <w:rsid w:val="006F1636"/>
    <w:rsid w:val="006F1C6E"/>
    <w:rsid w:val="006F4CA6"/>
    <w:rsid w:val="006F4D18"/>
    <w:rsid w:val="006F7348"/>
    <w:rsid w:val="006F787B"/>
    <w:rsid w:val="00703CD3"/>
    <w:rsid w:val="00704347"/>
    <w:rsid w:val="00707E7E"/>
    <w:rsid w:val="0071056F"/>
    <w:rsid w:val="007113F0"/>
    <w:rsid w:val="0071306A"/>
    <w:rsid w:val="00713393"/>
    <w:rsid w:val="00713F57"/>
    <w:rsid w:val="00715DCD"/>
    <w:rsid w:val="0072226F"/>
    <w:rsid w:val="00723553"/>
    <w:rsid w:val="007239C9"/>
    <w:rsid w:val="00726408"/>
    <w:rsid w:val="00733CCF"/>
    <w:rsid w:val="00734289"/>
    <w:rsid w:val="00741951"/>
    <w:rsid w:val="00742B38"/>
    <w:rsid w:val="0074475D"/>
    <w:rsid w:val="00744A24"/>
    <w:rsid w:val="00746172"/>
    <w:rsid w:val="007466B0"/>
    <w:rsid w:val="00750133"/>
    <w:rsid w:val="0075364B"/>
    <w:rsid w:val="007631B4"/>
    <w:rsid w:val="007645E9"/>
    <w:rsid w:val="007648C4"/>
    <w:rsid w:val="007678F0"/>
    <w:rsid w:val="00770FEA"/>
    <w:rsid w:val="00771E00"/>
    <w:rsid w:val="00774711"/>
    <w:rsid w:val="0078233A"/>
    <w:rsid w:val="00784B19"/>
    <w:rsid w:val="0079068A"/>
    <w:rsid w:val="007915A6"/>
    <w:rsid w:val="007920F2"/>
    <w:rsid w:val="0079647D"/>
    <w:rsid w:val="0079777A"/>
    <w:rsid w:val="007A3203"/>
    <w:rsid w:val="007A3812"/>
    <w:rsid w:val="007A419A"/>
    <w:rsid w:val="007B087E"/>
    <w:rsid w:val="007B16A5"/>
    <w:rsid w:val="007B3370"/>
    <w:rsid w:val="007B3FAE"/>
    <w:rsid w:val="007B641E"/>
    <w:rsid w:val="007B65F5"/>
    <w:rsid w:val="007B70B8"/>
    <w:rsid w:val="007B7786"/>
    <w:rsid w:val="007C34F2"/>
    <w:rsid w:val="007C39A6"/>
    <w:rsid w:val="007C6F5E"/>
    <w:rsid w:val="007C7B6B"/>
    <w:rsid w:val="007D0577"/>
    <w:rsid w:val="007D1166"/>
    <w:rsid w:val="007D2BB4"/>
    <w:rsid w:val="007D39F6"/>
    <w:rsid w:val="007D4B92"/>
    <w:rsid w:val="007D6973"/>
    <w:rsid w:val="007E0640"/>
    <w:rsid w:val="007E0DEC"/>
    <w:rsid w:val="007E10B1"/>
    <w:rsid w:val="007E4E13"/>
    <w:rsid w:val="007E5779"/>
    <w:rsid w:val="007F2BD0"/>
    <w:rsid w:val="007F3DDD"/>
    <w:rsid w:val="007F4BC2"/>
    <w:rsid w:val="007F7E33"/>
    <w:rsid w:val="008061B1"/>
    <w:rsid w:val="00812ABA"/>
    <w:rsid w:val="00813C35"/>
    <w:rsid w:val="00815133"/>
    <w:rsid w:val="008161CB"/>
    <w:rsid w:val="0081701A"/>
    <w:rsid w:val="008173E6"/>
    <w:rsid w:val="00820420"/>
    <w:rsid w:val="00820FF8"/>
    <w:rsid w:val="00821103"/>
    <w:rsid w:val="00821583"/>
    <w:rsid w:val="00825F14"/>
    <w:rsid w:val="0083211E"/>
    <w:rsid w:val="00832795"/>
    <w:rsid w:val="00832AE2"/>
    <w:rsid w:val="00832CDC"/>
    <w:rsid w:val="008348B3"/>
    <w:rsid w:val="00836022"/>
    <w:rsid w:val="00836988"/>
    <w:rsid w:val="00837FCE"/>
    <w:rsid w:val="008409B0"/>
    <w:rsid w:val="0084126E"/>
    <w:rsid w:val="00850D60"/>
    <w:rsid w:val="0085179D"/>
    <w:rsid w:val="00852677"/>
    <w:rsid w:val="00855438"/>
    <w:rsid w:val="00855D51"/>
    <w:rsid w:val="00856633"/>
    <w:rsid w:val="00861B78"/>
    <w:rsid w:val="00861E1B"/>
    <w:rsid w:val="008630DE"/>
    <w:rsid w:val="00863B17"/>
    <w:rsid w:val="008649DE"/>
    <w:rsid w:val="00864D89"/>
    <w:rsid w:val="00867242"/>
    <w:rsid w:val="00867722"/>
    <w:rsid w:val="00872529"/>
    <w:rsid w:val="00873EBD"/>
    <w:rsid w:val="008752C3"/>
    <w:rsid w:val="00876220"/>
    <w:rsid w:val="00876FCD"/>
    <w:rsid w:val="00877FBE"/>
    <w:rsid w:val="008809BF"/>
    <w:rsid w:val="00883AFC"/>
    <w:rsid w:val="008922A9"/>
    <w:rsid w:val="00892BCF"/>
    <w:rsid w:val="00893A49"/>
    <w:rsid w:val="00894AAB"/>
    <w:rsid w:val="00895CD0"/>
    <w:rsid w:val="00896E69"/>
    <w:rsid w:val="008A0E56"/>
    <w:rsid w:val="008A4E35"/>
    <w:rsid w:val="008A4E37"/>
    <w:rsid w:val="008A7557"/>
    <w:rsid w:val="008A7889"/>
    <w:rsid w:val="008B400E"/>
    <w:rsid w:val="008B410E"/>
    <w:rsid w:val="008C27ED"/>
    <w:rsid w:val="008C2DBB"/>
    <w:rsid w:val="008C3A8F"/>
    <w:rsid w:val="008D19AC"/>
    <w:rsid w:val="008D5486"/>
    <w:rsid w:val="008D5B28"/>
    <w:rsid w:val="008D6F29"/>
    <w:rsid w:val="008D7168"/>
    <w:rsid w:val="008E10EA"/>
    <w:rsid w:val="008E16BC"/>
    <w:rsid w:val="008E4B50"/>
    <w:rsid w:val="008E5B6C"/>
    <w:rsid w:val="008F3A8F"/>
    <w:rsid w:val="008F7FD6"/>
    <w:rsid w:val="009000CD"/>
    <w:rsid w:val="009016A2"/>
    <w:rsid w:val="0090295C"/>
    <w:rsid w:val="009037DD"/>
    <w:rsid w:val="00904464"/>
    <w:rsid w:val="00905057"/>
    <w:rsid w:val="0090638A"/>
    <w:rsid w:val="0091299A"/>
    <w:rsid w:val="0091314F"/>
    <w:rsid w:val="00913526"/>
    <w:rsid w:val="009152B7"/>
    <w:rsid w:val="00915B8B"/>
    <w:rsid w:val="00916852"/>
    <w:rsid w:val="00916C9D"/>
    <w:rsid w:val="00920804"/>
    <w:rsid w:val="009249AC"/>
    <w:rsid w:val="009273F5"/>
    <w:rsid w:val="009275BF"/>
    <w:rsid w:val="00931511"/>
    <w:rsid w:val="00936623"/>
    <w:rsid w:val="009376E1"/>
    <w:rsid w:val="0094244B"/>
    <w:rsid w:val="00942C70"/>
    <w:rsid w:val="00945319"/>
    <w:rsid w:val="0095187B"/>
    <w:rsid w:val="00954841"/>
    <w:rsid w:val="00954FDF"/>
    <w:rsid w:val="00960D03"/>
    <w:rsid w:val="00961DEE"/>
    <w:rsid w:val="009658C9"/>
    <w:rsid w:val="00971F8A"/>
    <w:rsid w:val="00973B47"/>
    <w:rsid w:val="009765BD"/>
    <w:rsid w:val="009774B1"/>
    <w:rsid w:val="00977C6B"/>
    <w:rsid w:val="00981935"/>
    <w:rsid w:val="00985ED3"/>
    <w:rsid w:val="009863FD"/>
    <w:rsid w:val="009910E6"/>
    <w:rsid w:val="00997094"/>
    <w:rsid w:val="009970A9"/>
    <w:rsid w:val="009A2A5C"/>
    <w:rsid w:val="009A3C6D"/>
    <w:rsid w:val="009A75ED"/>
    <w:rsid w:val="009B6259"/>
    <w:rsid w:val="009C1DDD"/>
    <w:rsid w:val="009C5AB4"/>
    <w:rsid w:val="009C716B"/>
    <w:rsid w:val="009C729A"/>
    <w:rsid w:val="009D28B6"/>
    <w:rsid w:val="009D5C90"/>
    <w:rsid w:val="009D708D"/>
    <w:rsid w:val="009E1ECD"/>
    <w:rsid w:val="009E279A"/>
    <w:rsid w:val="009E63CD"/>
    <w:rsid w:val="009F01E8"/>
    <w:rsid w:val="009F0E29"/>
    <w:rsid w:val="009F1EDC"/>
    <w:rsid w:val="009F3EAF"/>
    <w:rsid w:val="00A01C08"/>
    <w:rsid w:val="00A02291"/>
    <w:rsid w:val="00A02514"/>
    <w:rsid w:val="00A032DE"/>
    <w:rsid w:val="00A03402"/>
    <w:rsid w:val="00A04E44"/>
    <w:rsid w:val="00A05E52"/>
    <w:rsid w:val="00A06A9E"/>
    <w:rsid w:val="00A06C36"/>
    <w:rsid w:val="00A07630"/>
    <w:rsid w:val="00A10E19"/>
    <w:rsid w:val="00A14D80"/>
    <w:rsid w:val="00A17E3D"/>
    <w:rsid w:val="00A20C1A"/>
    <w:rsid w:val="00A27F8F"/>
    <w:rsid w:val="00A31E57"/>
    <w:rsid w:val="00A3343B"/>
    <w:rsid w:val="00A355FC"/>
    <w:rsid w:val="00A358B0"/>
    <w:rsid w:val="00A36E2F"/>
    <w:rsid w:val="00A454BF"/>
    <w:rsid w:val="00A46C25"/>
    <w:rsid w:val="00A50FE9"/>
    <w:rsid w:val="00A522EC"/>
    <w:rsid w:val="00A53402"/>
    <w:rsid w:val="00A537C7"/>
    <w:rsid w:val="00A55068"/>
    <w:rsid w:val="00A55487"/>
    <w:rsid w:val="00A56C21"/>
    <w:rsid w:val="00A56DCE"/>
    <w:rsid w:val="00A574DA"/>
    <w:rsid w:val="00A62B46"/>
    <w:rsid w:val="00A64EAF"/>
    <w:rsid w:val="00A651A4"/>
    <w:rsid w:val="00A65767"/>
    <w:rsid w:val="00A66EA0"/>
    <w:rsid w:val="00A675A2"/>
    <w:rsid w:val="00A7014D"/>
    <w:rsid w:val="00A800CA"/>
    <w:rsid w:val="00A816A3"/>
    <w:rsid w:val="00A83AF6"/>
    <w:rsid w:val="00A84CBE"/>
    <w:rsid w:val="00A86781"/>
    <w:rsid w:val="00A97136"/>
    <w:rsid w:val="00A9718E"/>
    <w:rsid w:val="00AA2249"/>
    <w:rsid w:val="00AA46BC"/>
    <w:rsid w:val="00AA5617"/>
    <w:rsid w:val="00AA5FE8"/>
    <w:rsid w:val="00AB1C81"/>
    <w:rsid w:val="00AB65B6"/>
    <w:rsid w:val="00AB7289"/>
    <w:rsid w:val="00AC4384"/>
    <w:rsid w:val="00AC628D"/>
    <w:rsid w:val="00AC7A6F"/>
    <w:rsid w:val="00AD48AB"/>
    <w:rsid w:val="00AD5DF7"/>
    <w:rsid w:val="00AE26B6"/>
    <w:rsid w:val="00AE464E"/>
    <w:rsid w:val="00AE511F"/>
    <w:rsid w:val="00AF5A33"/>
    <w:rsid w:val="00AF5AAD"/>
    <w:rsid w:val="00AF6464"/>
    <w:rsid w:val="00B00DAB"/>
    <w:rsid w:val="00B01D72"/>
    <w:rsid w:val="00B0265A"/>
    <w:rsid w:val="00B048EA"/>
    <w:rsid w:val="00B06DB6"/>
    <w:rsid w:val="00B07CFD"/>
    <w:rsid w:val="00B10248"/>
    <w:rsid w:val="00B1109B"/>
    <w:rsid w:val="00B123DC"/>
    <w:rsid w:val="00B14D58"/>
    <w:rsid w:val="00B21D1E"/>
    <w:rsid w:val="00B23D23"/>
    <w:rsid w:val="00B243F9"/>
    <w:rsid w:val="00B30646"/>
    <w:rsid w:val="00B31C14"/>
    <w:rsid w:val="00B31FFD"/>
    <w:rsid w:val="00B34C0B"/>
    <w:rsid w:val="00B3538E"/>
    <w:rsid w:val="00B40D3F"/>
    <w:rsid w:val="00B4410A"/>
    <w:rsid w:val="00B453A5"/>
    <w:rsid w:val="00B46051"/>
    <w:rsid w:val="00B46891"/>
    <w:rsid w:val="00B47C02"/>
    <w:rsid w:val="00B51A8B"/>
    <w:rsid w:val="00B566E2"/>
    <w:rsid w:val="00B656FE"/>
    <w:rsid w:val="00B67B42"/>
    <w:rsid w:val="00B71E2F"/>
    <w:rsid w:val="00B762DB"/>
    <w:rsid w:val="00B766DB"/>
    <w:rsid w:val="00B836A5"/>
    <w:rsid w:val="00B83D70"/>
    <w:rsid w:val="00B85A46"/>
    <w:rsid w:val="00B92C67"/>
    <w:rsid w:val="00B96F78"/>
    <w:rsid w:val="00BA024F"/>
    <w:rsid w:val="00BA14AC"/>
    <w:rsid w:val="00BA3615"/>
    <w:rsid w:val="00BA5D2E"/>
    <w:rsid w:val="00BA6259"/>
    <w:rsid w:val="00BB164B"/>
    <w:rsid w:val="00BB6DAD"/>
    <w:rsid w:val="00BB7142"/>
    <w:rsid w:val="00BC1960"/>
    <w:rsid w:val="00BC4323"/>
    <w:rsid w:val="00BC7169"/>
    <w:rsid w:val="00BC7C47"/>
    <w:rsid w:val="00BD0037"/>
    <w:rsid w:val="00BD2659"/>
    <w:rsid w:val="00BD4547"/>
    <w:rsid w:val="00BE096A"/>
    <w:rsid w:val="00BE0E0B"/>
    <w:rsid w:val="00BE333E"/>
    <w:rsid w:val="00BE3525"/>
    <w:rsid w:val="00BE5A72"/>
    <w:rsid w:val="00BE5F21"/>
    <w:rsid w:val="00BE617A"/>
    <w:rsid w:val="00BE6DB6"/>
    <w:rsid w:val="00BF17E4"/>
    <w:rsid w:val="00BF4D20"/>
    <w:rsid w:val="00BF53B9"/>
    <w:rsid w:val="00BF6B0A"/>
    <w:rsid w:val="00C004B2"/>
    <w:rsid w:val="00C059C3"/>
    <w:rsid w:val="00C070DC"/>
    <w:rsid w:val="00C10E0F"/>
    <w:rsid w:val="00C1443C"/>
    <w:rsid w:val="00C15247"/>
    <w:rsid w:val="00C20652"/>
    <w:rsid w:val="00C2316C"/>
    <w:rsid w:val="00C25FB0"/>
    <w:rsid w:val="00C270B1"/>
    <w:rsid w:val="00C308E0"/>
    <w:rsid w:val="00C3202C"/>
    <w:rsid w:val="00C32F3A"/>
    <w:rsid w:val="00C37CD3"/>
    <w:rsid w:val="00C41CAE"/>
    <w:rsid w:val="00C4427F"/>
    <w:rsid w:val="00C509E6"/>
    <w:rsid w:val="00C5161F"/>
    <w:rsid w:val="00C52078"/>
    <w:rsid w:val="00C52E40"/>
    <w:rsid w:val="00C5408B"/>
    <w:rsid w:val="00C55C6A"/>
    <w:rsid w:val="00C609F4"/>
    <w:rsid w:val="00C61D05"/>
    <w:rsid w:val="00C63795"/>
    <w:rsid w:val="00C6435B"/>
    <w:rsid w:val="00C665BE"/>
    <w:rsid w:val="00C66683"/>
    <w:rsid w:val="00C714F6"/>
    <w:rsid w:val="00C71F39"/>
    <w:rsid w:val="00C72630"/>
    <w:rsid w:val="00C73014"/>
    <w:rsid w:val="00C7376A"/>
    <w:rsid w:val="00C80232"/>
    <w:rsid w:val="00C8194D"/>
    <w:rsid w:val="00C83330"/>
    <w:rsid w:val="00C85D0A"/>
    <w:rsid w:val="00C869F6"/>
    <w:rsid w:val="00C91CBF"/>
    <w:rsid w:val="00C932FE"/>
    <w:rsid w:val="00C933D2"/>
    <w:rsid w:val="00C93E53"/>
    <w:rsid w:val="00C96511"/>
    <w:rsid w:val="00C97048"/>
    <w:rsid w:val="00C975C6"/>
    <w:rsid w:val="00C97852"/>
    <w:rsid w:val="00CA0709"/>
    <w:rsid w:val="00CA0A50"/>
    <w:rsid w:val="00CA5AF5"/>
    <w:rsid w:val="00CA6DFD"/>
    <w:rsid w:val="00CA7E38"/>
    <w:rsid w:val="00CB3543"/>
    <w:rsid w:val="00CB40F0"/>
    <w:rsid w:val="00CB4CAA"/>
    <w:rsid w:val="00CB70D6"/>
    <w:rsid w:val="00CB7B71"/>
    <w:rsid w:val="00CC0726"/>
    <w:rsid w:val="00CC0CFB"/>
    <w:rsid w:val="00CD1647"/>
    <w:rsid w:val="00CD1E41"/>
    <w:rsid w:val="00CD284F"/>
    <w:rsid w:val="00CD2A6B"/>
    <w:rsid w:val="00CD53A5"/>
    <w:rsid w:val="00CE123E"/>
    <w:rsid w:val="00CE3B1E"/>
    <w:rsid w:val="00CE3F50"/>
    <w:rsid w:val="00CE53A4"/>
    <w:rsid w:val="00CE6D03"/>
    <w:rsid w:val="00CF107F"/>
    <w:rsid w:val="00CF18DA"/>
    <w:rsid w:val="00CF19C0"/>
    <w:rsid w:val="00CF2798"/>
    <w:rsid w:val="00CF5DC7"/>
    <w:rsid w:val="00CF6B5E"/>
    <w:rsid w:val="00CF7521"/>
    <w:rsid w:val="00D00C18"/>
    <w:rsid w:val="00D030DC"/>
    <w:rsid w:val="00D036C3"/>
    <w:rsid w:val="00D11011"/>
    <w:rsid w:val="00D12C58"/>
    <w:rsid w:val="00D135F3"/>
    <w:rsid w:val="00D13715"/>
    <w:rsid w:val="00D14A4C"/>
    <w:rsid w:val="00D17064"/>
    <w:rsid w:val="00D214E3"/>
    <w:rsid w:val="00D22A44"/>
    <w:rsid w:val="00D23108"/>
    <w:rsid w:val="00D25811"/>
    <w:rsid w:val="00D31AC3"/>
    <w:rsid w:val="00D32E55"/>
    <w:rsid w:val="00D35130"/>
    <w:rsid w:val="00D36153"/>
    <w:rsid w:val="00D42D51"/>
    <w:rsid w:val="00D449B3"/>
    <w:rsid w:val="00D44F20"/>
    <w:rsid w:val="00D45D83"/>
    <w:rsid w:val="00D47D6C"/>
    <w:rsid w:val="00D5066C"/>
    <w:rsid w:val="00D52898"/>
    <w:rsid w:val="00D53250"/>
    <w:rsid w:val="00D55B8E"/>
    <w:rsid w:val="00D618C6"/>
    <w:rsid w:val="00D66A6D"/>
    <w:rsid w:val="00D6772C"/>
    <w:rsid w:val="00D718AF"/>
    <w:rsid w:val="00D73E06"/>
    <w:rsid w:val="00D740FC"/>
    <w:rsid w:val="00D75275"/>
    <w:rsid w:val="00D80D8D"/>
    <w:rsid w:val="00D8547F"/>
    <w:rsid w:val="00D867D2"/>
    <w:rsid w:val="00D87718"/>
    <w:rsid w:val="00D87F89"/>
    <w:rsid w:val="00D9021B"/>
    <w:rsid w:val="00DA2BB0"/>
    <w:rsid w:val="00DA5F08"/>
    <w:rsid w:val="00DB440E"/>
    <w:rsid w:val="00DB50EA"/>
    <w:rsid w:val="00DB747F"/>
    <w:rsid w:val="00DC2675"/>
    <w:rsid w:val="00DC2E08"/>
    <w:rsid w:val="00DC3478"/>
    <w:rsid w:val="00DC6CB4"/>
    <w:rsid w:val="00DC7125"/>
    <w:rsid w:val="00DD05D7"/>
    <w:rsid w:val="00DD4D0B"/>
    <w:rsid w:val="00DD7E7E"/>
    <w:rsid w:val="00DE0940"/>
    <w:rsid w:val="00DE20ED"/>
    <w:rsid w:val="00DE312B"/>
    <w:rsid w:val="00DE444D"/>
    <w:rsid w:val="00DE49B4"/>
    <w:rsid w:val="00DE67A9"/>
    <w:rsid w:val="00DE7D6B"/>
    <w:rsid w:val="00DF013F"/>
    <w:rsid w:val="00DF1D8D"/>
    <w:rsid w:val="00DF26FB"/>
    <w:rsid w:val="00DF4447"/>
    <w:rsid w:val="00E01735"/>
    <w:rsid w:val="00E17150"/>
    <w:rsid w:val="00E17558"/>
    <w:rsid w:val="00E34D9A"/>
    <w:rsid w:val="00E35A09"/>
    <w:rsid w:val="00E37B40"/>
    <w:rsid w:val="00E413E4"/>
    <w:rsid w:val="00E42F81"/>
    <w:rsid w:val="00E46163"/>
    <w:rsid w:val="00E4722B"/>
    <w:rsid w:val="00E47913"/>
    <w:rsid w:val="00E47E3F"/>
    <w:rsid w:val="00E50EE9"/>
    <w:rsid w:val="00E53F6B"/>
    <w:rsid w:val="00E545FC"/>
    <w:rsid w:val="00E60172"/>
    <w:rsid w:val="00E61701"/>
    <w:rsid w:val="00E67327"/>
    <w:rsid w:val="00E7270F"/>
    <w:rsid w:val="00E84920"/>
    <w:rsid w:val="00E90CC3"/>
    <w:rsid w:val="00E93B48"/>
    <w:rsid w:val="00E953EA"/>
    <w:rsid w:val="00E9553C"/>
    <w:rsid w:val="00EA20EB"/>
    <w:rsid w:val="00EA249A"/>
    <w:rsid w:val="00EA34F8"/>
    <w:rsid w:val="00EA5138"/>
    <w:rsid w:val="00EA636D"/>
    <w:rsid w:val="00EB207F"/>
    <w:rsid w:val="00EB7CC0"/>
    <w:rsid w:val="00EC12B1"/>
    <w:rsid w:val="00EC21B7"/>
    <w:rsid w:val="00EC6474"/>
    <w:rsid w:val="00EC6889"/>
    <w:rsid w:val="00EC7313"/>
    <w:rsid w:val="00EC775C"/>
    <w:rsid w:val="00EC7A76"/>
    <w:rsid w:val="00ED01F6"/>
    <w:rsid w:val="00ED641B"/>
    <w:rsid w:val="00ED674A"/>
    <w:rsid w:val="00EE13B6"/>
    <w:rsid w:val="00EE7DE2"/>
    <w:rsid w:val="00F00125"/>
    <w:rsid w:val="00F00F41"/>
    <w:rsid w:val="00F0222C"/>
    <w:rsid w:val="00F044C2"/>
    <w:rsid w:val="00F04EAD"/>
    <w:rsid w:val="00F1146C"/>
    <w:rsid w:val="00F11719"/>
    <w:rsid w:val="00F119E6"/>
    <w:rsid w:val="00F13693"/>
    <w:rsid w:val="00F14D74"/>
    <w:rsid w:val="00F15897"/>
    <w:rsid w:val="00F23C15"/>
    <w:rsid w:val="00F3276C"/>
    <w:rsid w:val="00F369DC"/>
    <w:rsid w:val="00F37B27"/>
    <w:rsid w:val="00F404E0"/>
    <w:rsid w:val="00F43514"/>
    <w:rsid w:val="00F51403"/>
    <w:rsid w:val="00F568E0"/>
    <w:rsid w:val="00F60F84"/>
    <w:rsid w:val="00F62B3C"/>
    <w:rsid w:val="00F62FE9"/>
    <w:rsid w:val="00F65BC5"/>
    <w:rsid w:val="00F66405"/>
    <w:rsid w:val="00F66597"/>
    <w:rsid w:val="00F66773"/>
    <w:rsid w:val="00F667A7"/>
    <w:rsid w:val="00F70C46"/>
    <w:rsid w:val="00F72B1C"/>
    <w:rsid w:val="00F72D06"/>
    <w:rsid w:val="00F73489"/>
    <w:rsid w:val="00F73F8E"/>
    <w:rsid w:val="00F74263"/>
    <w:rsid w:val="00F76CC3"/>
    <w:rsid w:val="00F82962"/>
    <w:rsid w:val="00F829C9"/>
    <w:rsid w:val="00F856F4"/>
    <w:rsid w:val="00F8632A"/>
    <w:rsid w:val="00F86C40"/>
    <w:rsid w:val="00F93504"/>
    <w:rsid w:val="00F94720"/>
    <w:rsid w:val="00F948CD"/>
    <w:rsid w:val="00F95270"/>
    <w:rsid w:val="00F97584"/>
    <w:rsid w:val="00FA16B1"/>
    <w:rsid w:val="00FA1FF4"/>
    <w:rsid w:val="00FA61B9"/>
    <w:rsid w:val="00FA7166"/>
    <w:rsid w:val="00FB1663"/>
    <w:rsid w:val="00FB1DD1"/>
    <w:rsid w:val="00FB3EE9"/>
    <w:rsid w:val="00FB7CBF"/>
    <w:rsid w:val="00FC1441"/>
    <w:rsid w:val="00FC3919"/>
    <w:rsid w:val="00FC3C35"/>
    <w:rsid w:val="00FD1825"/>
    <w:rsid w:val="00FD5088"/>
    <w:rsid w:val="00FD523F"/>
    <w:rsid w:val="00FD65EE"/>
    <w:rsid w:val="00FE7EF3"/>
    <w:rsid w:val="00FF2AC9"/>
    <w:rsid w:val="00FF2BE4"/>
    <w:rsid w:val="00FF3B93"/>
    <w:rsid w:val="00FF6C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324175"/>
  <w15:docId w15:val="{2F4C3533-63C9-4BF5-A86D-133F37A9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qFormat/>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A,Ref,Style 1"/>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1">
    <w:name w:val="Mention1"/>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character" w:customStyle="1" w:styleId="FooterChar">
    <w:name w:val="Footer Char"/>
    <w:basedOn w:val="DefaultParagraphFont"/>
    <w:link w:val="Footer"/>
    <w:rsid w:val="001D7AE8"/>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67367447">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1977176954">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9F49-5951-4921-B19E-9FE7F8F7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2726</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cp:lastModifiedBy>
  <cp:revision>4</cp:revision>
  <cp:lastPrinted>2017-08-10T17:58:00Z</cp:lastPrinted>
  <dcterms:created xsi:type="dcterms:W3CDTF">2021-04-29T20:59:00Z</dcterms:created>
  <dcterms:modified xsi:type="dcterms:W3CDTF">2021-04-29T21:17:00Z</dcterms:modified>
</cp:coreProperties>
</file>