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C2" w:rsidRDefault="004C5CC2">
      <w:pPr>
        <w:pStyle w:val="BodyText"/>
        <w:rPr>
          <w:rFonts w:ascii="Times New Roman"/>
          <w:sz w:val="26"/>
        </w:rPr>
      </w:pPr>
    </w:p>
    <w:p w:rsidR="004C5CC2" w:rsidRDefault="004C5CC2">
      <w:pPr>
        <w:pStyle w:val="BodyText"/>
        <w:spacing w:before="9"/>
        <w:rPr>
          <w:rFonts w:ascii="Times New Roman"/>
          <w:sz w:val="20"/>
        </w:rPr>
      </w:pPr>
    </w:p>
    <w:p w:rsidR="004C5CC2" w:rsidRDefault="00D6045E">
      <w:pPr>
        <w:spacing w:before="1"/>
        <w:ind w:left="2870"/>
        <w:jc w:val="center"/>
        <w:rPr>
          <w:sz w:val="24"/>
        </w:rPr>
      </w:pPr>
      <w:r>
        <w:rPr>
          <w:noProof/>
        </w:rPr>
        <mc:AlternateContent>
          <mc:Choice Requires="wps">
            <w:drawing>
              <wp:anchor distT="0" distB="0" distL="114300" distR="114300" simplePos="0" relativeHeight="251646464" behindDoc="0" locked="0" layoutInCell="1" allowOverlap="1">
                <wp:simplePos x="0" y="0"/>
                <wp:positionH relativeFrom="page">
                  <wp:posOffset>533400</wp:posOffset>
                </wp:positionH>
                <wp:positionV relativeFrom="paragraph">
                  <wp:posOffset>-12700</wp:posOffset>
                </wp:positionV>
                <wp:extent cx="6705600" cy="0"/>
                <wp:effectExtent l="19050" t="22860" r="19050" b="15240"/>
                <wp:wrapNone/>
                <wp:docPr id="5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25pt" from="42pt,-1pt" to="570pt,-1pt" w14:anchorId="7083D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BvIA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">
                <w10:wrap anchorx="page"/>
              </v:line>
            </w:pict>
          </mc:Fallback>
        </mc:AlternateContent>
      </w:r>
      <w:r w:rsidR="0001360C">
        <w:rPr>
          <w:sz w:val="24"/>
        </w:rPr>
        <w:t>Federal Deposit Insurance Corporation</w:t>
      </w:r>
    </w:p>
    <w:p w:rsidR="004C5CC2" w:rsidRDefault="0001360C">
      <w:pPr>
        <w:spacing w:before="11"/>
        <w:ind w:left="2869"/>
        <w:jc w:val="center"/>
        <w:rPr>
          <w:b/>
          <w:sz w:val="30"/>
        </w:rPr>
      </w:pPr>
      <w:r>
        <w:rPr>
          <w:b/>
          <w:sz w:val="30"/>
        </w:rPr>
        <w:t>DIVERSITY SELF-ASSESSMENT OF</w:t>
      </w:r>
    </w:p>
    <w:p w:rsidR="004C5CC2" w:rsidRDefault="0001360C">
      <w:pPr>
        <w:pStyle w:val="BodyText"/>
        <w:spacing w:before="78"/>
        <w:ind w:left="69" w:right="99" w:firstLine="420"/>
      </w:pPr>
      <w:r>
        <w:br w:type="column"/>
      </w:r>
      <w:r>
        <w:t>OMB NUMBER: 3064-0200 EXPIRATION DATE: 01/31/2023</w:t>
      </w:r>
    </w:p>
    <w:p w:rsidR="004C5CC2" w:rsidRDefault="004C5CC2">
      <w:pPr>
        <w:sectPr w:rsidR="004C5CC2">
          <w:headerReference w:type="even" r:id="rId7"/>
          <w:headerReference w:type="default" r:id="rId8"/>
          <w:footerReference w:type="even" r:id="rId9"/>
          <w:footerReference w:type="default" r:id="rId10"/>
          <w:headerReference w:type="first" r:id="rId11"/>
          <w:footerReference w:type="first" r:id="rId12"/>
          <w:type w:val="continuous"/>
          <w:pgSz w:w="12240" w:h="15840"/>
          <w:pgMar w:top="880" w:right="720" w:bottom="1080" w:left="700" w:header="720" w:footer="893" w:gutter="0"/>
          <w:cols w:equalWidth="0" w:space="720" w:num="2">
            <w:col w:w="7970" w:space="40"/>
            <w:col w:w="2810"/>
          </w:cols>
        </w:sectPr>
      </w:pPr>
    </w:p>
    <w:p w:rsidR="004C5CC2" w:rsidRDefault="0001360C">
      <w:pPr>
        <w:pStyle w:val="Heading1"/>
        <w:spacing w:before="13" w:after="4"/>
      </w:pPr>
      <w:r>
        <w:t>FDIC REGULATED FINANCIAL 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635" r="19685" b="8890"/>
                <wp:docPr id="5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52" name="Line 45"/>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 style="width:528pt;height:2.25pt;mso-position-horizontal-relative:char;mso-position-vertical-relative:line" coordsize="10560,45" o:spid="_x0000_s1026" w14:anchorId="2BD16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">
                <v:line id="Line 45"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"/>
                <w10:anchorlock/>
              </v:group>
            </w:pict>
          </mc:Fallback>
        </mc:AlternateContent>
      </w:r>
    </w:p>
    <w:p w:rsidR="004C5CC2" w:rsidRDefault="004C5CC2">
      <w:pPr>
        <w:pStyle w:val="BodyText"/>
        <w:rPr>
          <w:b/>
          <w:sz w:val="34"/>
        </w:rPr>
      </w:pPr>
    </w:p>
    <w:p w:rsidR="004C5CC2" w:rsidRDefault="004C5CC2">
      <w:pPr>
        <w:pStyle w:val="BodyText"/>
        <w:spacing w:before="9"/>
        <w:rPr>
          <w:b/>
          <w:sz w:val="38"/>
        </w:rPr>
      </w:pPr>
    </w:p>
    <w:p w:rsidR="004C5CC2" w:rsidRDefault="0001360C">
      <w:pPr>
        <w:ind w:left="2848" w:right="2829"/>
        <w:jc w:val="center"/>
        <w:rPr>
          <w:b/>
          <w:sz w:val="21"/>
        </w:rPr>
      </w:pPr>
      <w:r>
        <w:rPr>
          <w:b/>
          <w:sz w:val="21"/>
        </w:rPr>
        <w:t>ESTIMATED REPORTING BURDEN</w:t>
      </w:r>
    </w:p>
    <w:p w:rsidR="004C5CC2" w:rsidRDefault="004C5CC2">
      <w:pPr>
        <w:pStyle w:val="BodyText"/>
        <w:spacing w:before="3"/>
        <w:rPr>
          <w:b/>
          <w:sz w:val="24"/>
        </w:rPr>
      </w:pPr>
    </w:p>
    <w:p w:rsidR="004C5CC2" w:rsidRDefault="0001360C">
      <w:pPr>
        <w:pStyle w:val="BodyText"/>
        <w:ind w:left="140" w:right="144"/>
      </w:pPr>
      <w:r>
        <w:t>Public reporting burden for this collection is estimated to average seven (7)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w:t>
      </w:r>
    </w:p>
    <w:p w:rsidR="004C5CC2" w:rsidRDefault="0001360C">
      <w:pPr>
        <w:pStyle w:val="BodyText"/>
        <w:spacing w:before="3"/>
        <w:ind w:left="140" w:right="134"/>
      </w:pPr>
      <w:r>
        <w:t>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D6045E">
      <w:pPr>
        <w:pStyle w:val="BodyText"/>
        <w:spacing w:before="4"/>
        <w:rPr>
          <w:sz w:val="13"/>
        </w:rPr>
      </w:pPr>
      <w:r>
        <w:rPr>
          <w:noProof/>
        </w:rPr>
        <mc:AlternateContent>
          <mc:Choice Requires="wps">
            <w:drawing>
              <wp:anchor distT="0" distB="0" distL="0" distR="0" simplePos="0" relativeHeight="251650560" behindDoc="1" locked="0" layoutInCell="1" allowOverlap="1">
                <wp:simplePos x="0" y="0"/>
                <wp:positionH relativeFrom="page">
                  <wp:posOffset>533400</wp:posOffset>
                </wp:positionH>
                <wp:positionV relativeFrom="paragraph">
                  <wp:posOffset>137160</wp:posOffset>
                </wp:positionV>
                <wp:extent cx="6705600" cy="0"/>
                <wp:effectExtent l="19050" t="14605" r="19050" b="23495"/>
                <wp:wrapTopAndBottom/>
                <wp:docPr id="5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5pt" from="42pt,10.8pt" to="570pt,10.8pt" w14:anchorId="2EF1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eHw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">
                <w10:wrap type="topAndBottom" anchorx="page"/>
              </v:line>
            </w:pict>
          </mc:Fallback>
        </mc:AlternateContent>
      </w:r>
    </w:p>
    <w:p w:rsidR="004C5CC2" w:rsidRDefault="004C5CC2">
      <w:pPr>
        <w:rPr>
          <w:sz w:val="13"/>
        </w:rPr>
        <w:sectPr w:rsidR="004C5CC2">
          <w:type w:val="continuous"/>
          <w:pgSz w:w="12240" w:h="15840"/>
          <w:pgMar w:top="880" w:right="720" w:bottom="1080" w:left="700" w:header="720" w:footer="720" w:gutter="0"/>
          <w:cols w:space="720"/>
        </w:sectPr>
      </w:pPr>
    </w:p>
    <w:p w:rsidR="004C5CC2" w:rsidRDefault="00D6045E">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18415" t="2540" r="19685" b="6985"/>
                <wp:docPr id="4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49" name="Line 42"/>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 style="width:528pt;height:2.25pt;mso-position-horizontal-relative:char;mso-position-vertical-relative:line" coordsize="10560,45" o:spid="_x0000_s1026" w14:anchorId="4A598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">
                <v:line id="Line 42"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w10:anchorlock/>
              </v:group>
            </w:pict>
          </mc:Fallback>
        </mc:AlternateContent>
      </w:r>
    </w:p>
    <w:p w:rsidR="004C5CC2" w:rsidRDefault="0001360C">
      <w:pPr>
        <w:ind w:left="3352"/>
        <w:rPr>
          <w:sz w:val="24"/>
        </w:rPr>
      </w:pPr>
      <w:r>
        <w:rPr>
          <w:sz w:val="24"/>
        </w:rPr>
        <w:t>Federal Deposit Insurance Corporation</w:t>
      </w:r>
    </w:p>
    <w:p w:rsidR="004C5CC2" w:rsidRDefault="0001360C">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1270" r="19685" b="8255"/>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47" name="Line 40"/>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528pt;height:2.25pt;mso-position-horizontal-relative:char;mso-position-vertical-relative:line" coordsize="10560,45" o:spid="_x0000_s1026" w14:anchorId="57DFD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">
                <v:line id="Line 40"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"/>
                <w10:anchorlock/>
              </v:group>
            </w:pict>
          </mc:Fallback>
        </mc:AlternateContent>
      </w:r>
    </w:p>
    <w:p w:rsidR="004C5CC2" w:rsidRDefault="0001360C">
      <w:pPr>
        <w:ind w:left="140" w:right="185"/>
        <w:rPr>
          <w:sz w:val="18"/>
        </w:rPr>
      </w:pPr>
      <w:r>
        <w:rPr>
          <w:sz w:val="18"/>
        </w:rPr>
        <w:t xml:space="preserve">The Federal Deposit Insurance Corporation (FDIC) provides this self-assessment instrument in support of the </w:t>
      </w:r>
      <w:r>
        <w:rPr>
          <w:i/>
          <w:sz w:val="18"/>
        </w:rPr>
        <w:t xml:space="preserve">Interagency Policy Statement Establishing Joint Standards for Assessing Diversity Policies and Practices of Regulated Entities </w:t>
      </w:r>
      <w:r>
        <w:rPr>
          <w:sz w:val="18"/>
        </w:rPr>
        <w:t>dated June 10, 2015. Pursuant to the Policy Statement, a self-assessment is voluntary. However, financial institutions conducting self-assessment of their diversity policies and practices against the Standards contained in the Policy Statement may use this instrument or its own assessment tool.</w:t>
      </w:r>
    </w:p>
    <w:p w:rsidR="004C5CC2" w:rsidRDefault="004C5CC2">
      <w:pPr>
        <w:pStyle w:val="BodyText"/>
        <w:spacing w:before="5"/>
        <w:rPr>
          <w:sz w:val="24"/>
        </w:rPr>
      </w:pPr>
    </w:p>
    <w:p w:rsidR="004C5CC2" w:rsidRDefault="0001360C">
      <w:pPr>
        <w:pStyle w:val="BodyText"/>
        <w:spacing w:line="242" w:lineRule="auto"/>
        <w:ind w:left="140" w:right="305"/>
      </w:pPr>
      <w:r>
        <w:t>The FDIC may use information submitted by financial institutions to monitor progress and trends in the financial services industry with regard to diversity and inclusion in employment and contracting activities. This information may also be used to identify and highlight successful policies and practices. The FDIC may publish leading practices, in any form that does not identify a particular organization, financial institution or individual</w:t>
      </w:r>
      <w:r w:rsidR="00031F75">
        <w:t>, and does not</w:t>
      </w:r>
      <w:r>
        <w:t xml:space="preserve"> disclose</w:t>
      </w:r>
      <w:r w:rsidR="00031F75">
        <w:t xml:space="preserve"> any</w:t>
      </w:r>
      <w:r>
        <w:t xml:space="preserve"> confidential business information</w:t>
      </w:r>
      <w:r w:rsidR="00031F75">
        <w:t xml:space="preserve"> or trade secrets</w:t>
      </w:r>
      <w:r>
        <w:t xml:space="preserve">. </w:t>
      </w:r>
      <w:r w:rsidR="00031F75">
        <w:t>The FDIC will treat the</w:t>
      </w:r>
      <w:r>
        <w:t xml:space="preserve"> information as </w:t>
      </w:r>
      <w:r>
        <w:rPr>
          <w:b/>
          <w:i/>
        </w:rPr>
        <w:t xml:space="preserve">confidential </w:t>
      </w:r>
      <w:r w:rsidR="00031F75">
        <w:t>to the extent permitted by law and will not disclose it unless required by law</w:t>
      </w:r>
      <w:r>
        <w:t>.</w:t>
      </w:r>
    </w:p>
    <w:p w:rsidR="004C5CC2" w:rsidRDefault="004C5CC2">
      <w:pPr>
        <w:pStyle w:val="BodyText"/>
        <w:rPr>
          <w:sz w:val="24"/>
        </w:rPr>
      </w:pPr>
    </w:p>
    <w:p w:rsidR="004C5CC2" w:rsidRDefault="0001360C">
      <w:pPr>
        <w:pStyle w:val="BodyText"/>
        <w:spacing w:before="1"/>
        <w:ind w:left="140" w:right="624"/>
      </w:pPr>
      <w:r>
        <w:t>The FDIC will continue to reach out to financial organizations, financial institutions, other federal financial regulators, and other interested parties to discuss diversity and inclusion in the financial services industry and share leading practices.</w:t>
      </w:r>
    </w:p>
    <w:p w:rsidR="004C5CC2" w:rsidRDefault="00D6045E">
      <w:pPr>
        <w:pStyle w:val="BodyText"/>
        <w:spacing w:before="10"/>
        <w:rPr>
          <w:sz w:val="14"/>
        </w:rPr>
      </w:pPr>
      <w:r>
        <w:rPr>
          <w:noProof/>
        </w:rPr>
        <mc:AlternateContent>
          <mc:Choice Requires="wps">
            <w:drawing>
              <wp:anchor distT="0" distB="0" distL="0" distR="0" simplePos="0" relativeHeight="251651584" behindDoc="1" locked="0" layoutInCell="1" allowOverlap="1">
                <wp:simplePos x="0" y="0"/>
                <wp:positionH relativeFrom="page">
                  <wp:posOffset>533400</wp:posOffset>
                </wp:positionH>
                <wp:positionV relativeFrom="paragraph">
                  <wp:posOffset>147955</wp:posOffset>
                </wp:positionV>
                <wp:extent cx="6705600" cy="0"/>
                <wp:effectExtent l="19050" t="22860" r="19050" b="15240"/>
                <wp:wrapTopAndBottom/>
                <wp:docPr id="4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5pt" from="42pt,11.65pt" to="570pt,11.65pt" w14:anchorId="6361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8IA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">
                <w10:wrap type="topAndBottom" anchorx="page"/>
              </v:line>
            </w:pict>
          </mc:Fallback>
        </mc:AlternateContent>
      </w:r>
    </w:p>
    <w:p w:rsidR="004C5CC2" w:rsidRDefault="0001360C">
      <w:pPr>
        <w:pStyle w:val="Heading2"/>
        <w:spacing w:after="5"/>
      </w:pPr>
      <w:r>
        <w:rPr>
          <w:w w:val="105"/>
        </w:rPr>
        <w:t>SECTION I - FINANCIAL INSTITUTION INFORMATION</w:t>
      </w:r>
    </w:p>
    <w:tbl>
      <w:tblPr>
        <w:tblW w:w="0" w:type="auto"/>
        <w:tblInd w:w="147" w:type="dxa"/>
        <w:tblLayout w:type="fixed"/>
        <w:tblCellMar>
          <w:left w:w="0" w:type="dxa"/>
          <w:right w:w="0" w:type="dxa"/>
        </w:tblCellMar>
        <w:tblLook w:val="01E0" w:firstRow="1" w:lastRow="1" w:firstColumn="1" w:lastColumn="1" w:noHBand="0" w:noVBand="0"/>
      </w:tblPr>
      <w:tblGrid>
        <w:gridCol w:w="5280"/>
        <w:gridCol w:w="2112"/>
        <w:gridCol w:w="1056"/>
        <w:gridCol w:w="2112"/>
      </w:tblGrid>
      <w:tr w:rsidR="004C5CC2">
        <w:trPr>
          <w:trHeight w:val="237"/>
        </w:trPr>
        <w:tc>
          <w:tcPr>
            <w:tcW w:w="5280" w:type="dxa"/>
            <w:tcBorders>
              <w:top w:val="single" w:color="000000" w:sz="18" w:space="0"/>
              <w:right w:val="single" w:color="000000" w:sz="6" w:space="0"/>
            </w:tcBorders>
          </w:tcPr>
          <w:p w:rsidR="004C5CC2" w:rsidRDefault="0001360C">
            <w:pPr>
              <w:pStyle w:val="TableParagraph"/>
              <w:spacing w:before="13" w:line="204" w:lineRule="exact"/>
              <w:ind w:left="15"/>
              <w:rPr>
                <w:sz w:val="18"/>
              </w:rPr>
            </w:pPr>
            <w:r>
              <w:rPr>
                <w:sz w:val="18"/>
              </w:rPr>
              <w:t>Name of Financial Institution</w:t>
            </w:r>
          </w:p>
        </w:tc>
        <w:tc>
          <w:tcPr>
            <w:tcW w:w="3168" w:type="dxa"/>
            <w:gridSpan w:val="2"/>
            <w:tcBorders>
              <w:top w:val="single" w:color="000000" w:sz="18" w:space="0"/>
              <w:left w:val="single" w:color="000000" w:sz="6" w:space="0"/>
              <w:right w:val="single" w:color="000000" w:sz="6" w:space="0"/>
            </w:tcBorders>
          </w:tcPr>
          <w:p w:rsidR="004C5CC2" w:rsidRDefault="0001360C">
            <w:pPr>
              <w:pStyle w:val="TableParagraph"/>
              <w:spacing w:before="13" w:line="204" w:lineRule="exact"/>
              <w:ind w:left="15"/>
              <w:rPr>
                <w:sz w:val="18"/>
              </w:rPr>
            </w:pPr>
            <w:r>
              <w:rPr>
                <w:sz w:val="18"/>
              </w:rPr>
              <w:t>Period Covered by the Assessment</w:t>
            </w:r>
          </w:p>
        </w:tc>
        <w:tc>
          <w:tcPr>
            <w:tcW w:w="2112" w:type="dxa"/>
            <w:tcBorders>
              <w:top w:val="single" w:color="000000" w:sz="18" w:space="0"/>
              <w:left w:val="single" w:color="000000" w:sz="6" w:space="0"/>
            </w:tcBorders>
          </w:tcPr>
          <w:p w:rsidR="004C5CC2" w:rsidRDefault="0001360C">
            <w:pPr>
              <w:pStyle w:val="TableParagraph"/>
              <w:spacing w:before="13" w:line="204" w:lineRule="exact"/>
              <w:ind w:left="15"/>
              <w:rPr>
                <w:sz w:val="18"/>
              </w:rPr>
            </w:pPr>
            <w:r>
              <w:rPr>
                <w:sz w:val="18"/>
              </w:rPr>
              <w:t>Date Submitted</w:t>
            </w:r>
          </w:p>
        </w:tc>
      </w:tr>
      <w:tr w:rsidR="004C5CC2">
        <w:trPr>
          <w:trHeight w:val="237"/>
        </w:trPr>
        <w:tc>
          <w:tcPr>
            <w:tcW w:w="5280" w:type="dxa"/>
            <w:tcBorders>
              <w:bottom w:val="single" w:color="000000" w:sz="6" w:space="0"/>
              <w:right w:val="single" w:color="000000" w:sz="6" w:space="0"/>
            </w:tcBorders>
            <w:shd w:val="clear" w:color="auto" w:fill="DEE5FD"/>
          </w:tcPr>
          <w:p w:rsidR="004C5CC2" w:rsidRDefault="0001360C">
            <w:pPr>
              <w:pStyle w:val="TableParagraph"/>
              <w:spacing w:before="13" w:line="204" w:lineRule="exact"/>
              <w:ind w:left="15"/>
              <w:rPr>
                <w:sz w:val="18"/>
              </w:rPr>
            </w:pPr>
            <w:r>
              <w:rPr>
                <w:sz w:val="18"/>
              </w:rPr>
              <w:t>Test Bank</w:t>
            </w:r>
          </w:p>
        </w:tc>
        <w:tc>
          <w:tcPr>
            <w:tcW w:w="3168" w:type="dxa"/>
            <w:gridSpan w:val="2"/>
            <w:tcBorders>
              <w:left w:val="single" w:color="000000" w:sz="6" w:space="0"/>
              <w:bottom w:val="single" w:color="000000" w:sz="6" w:space="0"/>
              <w:right w:val="single" w:color="000000" w:sz="6" w:space="0"/>
            </w:tcBorders>
            <w:shd w:val="clear" w:color="auto" w:fill="DEE5FD"/>
          </w:tcPr>
          <w:p w:rsidR="004C5CC2" w:rsidRDefault="0001360C">
            <w:pPr>
              <w:pStyle w:val="TableParagraph"/>
              <w:spacing w:before="13" w:line="204" w:lineRule="exact"/>
              <w:ind w:left="15"/>
              <w:rPr>
                <w:sz w:val="18"/>
              </w:rPr>
            </w:pPr>
            <w:r>
              <w:rPr>
                <w:sz w:val="18"/>
              </w:rPr>
              <w:t>2020</w:t>
            </w:r>
          </w:p>
        </w:tc>
        <w:tc>
          <w:tcPr>
            <w:tcW w:w="2112" w:type="dxa"/>
            <w:tcBorders>
              <w:left w:val="single" w:color="000000" w:sz="6" w:space="0"/>
              <w:bottom w:val="single" w:color="000000" w:sz="6" w:space="0"/>
            </w:tcBorders>
            <w:shd w:val="clear" w:color="auto" w:fill="DEE5FD"/>
          </w:tcPr>
          <w:p w:rsidR="004C5CC2" w:rsidRDefault="004C5CC2">
            <w:pPr>
              <w:pStyle w:val="TableParagraph"/>
              <w:rPr>
                <w:rFonts w:ascii="Times New Roman"/>
                <w:sz w:val="16"/>
              </w:rPr>
            </w:pPr>
          </w:p>
        </w:tc>
      </w:tr>
      <w:tr w:rsidR="004C5CC2">
        <w:trPr>
          <w:trHeight w:val="230"/>
        </w:trPr>
        <w:tc>
          <w:tcPr>
            <w:tcW w:w="5280" w:type="dxa"/>
            <w:tcBorders>
              <w:top w:val="single" w:color="000000" w:sz="6" w:space="0"/>
              <w:right w:val="single" w:color="000000" w:sz="6" w:space="0"/>
            </w:tcBorders>
          </w:tcPr>
          <w:p w:rsidR="004C5CC2" w:rsidRDefault="0001360C">
            <w:pPr>
              <w:pStyle w:val="TableParagraph"/>
              <w:spacing w:before="6" w:line="204" w:lineRule="exact"/>
              <w:ind w:left="15"/>
              <w:rPr>
                <w:sz w:val="18"/>
              </w:rPr>
            </w:pPr>
            <w:r>
              <w:rPr>
                <w:sz w:val="18"/>
              </w:rPr>
              <w:t>Address</w:t>
            </w:r>
          </w:p>
        </w:tc>
        <w:tc>
          <w:tcPr>
            <w:tcW w:w="2112" w:type="dxa"/>
            <w:tcBorders>
              <w:top w:val="single" w:color="000000" w:sz="6" w:space="0"/>
              <w:left w:val="single" w:color="000000" w:sz="6" w:space="0"/>
              <w:right w:val="single" w:color="000000" w:sz="6" w:space="0"/>
            </w:tcBorders>
          </w:tcPr>
          <w:p w:rsidR="004C5CC2" w:rsidRDefault="0001360C">
            <w:pPr>
              <w:pStyle w:val="TableParagraph"/>
              <w:spacing w:before="6" w:line="204" w:lineRule="exact"/>
              <w:ind w:left="15"/>
              <w:rPr>
                <w:sz w:val="18"/>
              </w:rPr>
            </w:pPr>
            <w:r>
              <w:rPr>
                <w:sz w:val="18"/>
              </w:rPr>
              <w:t>City</w:t>
            </w:r>
          </w:p>
        </w:tc>
        <w:tc>
          <w:tcPr>
            <w:tcW w:w="1056" w:type="dxa"/>
            <w:tcBorders>
              <w:top w:val="single" w:color="000000" w:sz="6" w:space="0"/>
              <w:left w:val="single" w:color="000000" w:sz="6" w:space="0"/>
              <w:right w:val="single" w:color="000000" w:sz="6" w:space="0"/>
            </w:tcBorders>
          </w:tcPr>
          <w:p w:rsidR="004C5CC2" w:rsidRDefault="0001360C">
            <w:pPr>
              <w:pStyle w:val="TableParagraph"/>
              <w:spacing w:before="6" w:line="204" w:lineRule="exact"/>
              <w:ind w:left="15"/>
              <w:rPr>
                <w:sz w:val="18"/>
              </w:rPr>
            </w:pPr>
            <w:r>
              <w:rPr>
                <w:sz w:val="18"/>
              </w:rPr>
              <w:t>State</w:t>
            </w:r>
          </w:p>
        </w:tc>
        <w:tc>
          <w:tcPr>
            <w:tcW w:w="2112" w:type="dxa"/>
            <w:tcBorders>
              <w:top w:val="single" w:color="000000" w:sz="6" w:space="0"/>
              <w:left w:val="single" w:color="000000" w:sz="6" w:space="0"/>
            </w:tcBorders>
          </w:tcPr>
          <w:p w:rsidR="004C5CC2" w:rsidRDefault="0001360C">
            <w:pPr>
              <w:pStyle w:val="TableParagraph"/>
              <w:spacing w:before="6" w:line="204" w:lineRule="exact"/>
              <w:ind w:left="15"/>
              <w:rPr>
                <w:sz w:val="18"/>
              </w:rPr>
            </w:pPr>
            <w:r>
              <w:rPr>
                <w:sz w:val="18"/>
              </w:rPr>
              <w:t>Zip Code</w:t>
            </w:r>
          </w:p>
        </w:tc>
      </w:tr>
      <w:tr w:rsidR="004C5CC2">
        <w:trPr>
          <w:trHeight w:val="217"/>
        </w:trPr>
        <w:tc>
          <w:tcPr>
            <w:tcW w:w="5280" w:type="dxa"/>
            <w:tcBorders>
              <w:bottom w:val="single" w:color="000000" w:sz="6" w:space="0"/>
              <w:right w:val="single" w:color="000000" w:sz="6" w:space="0"/>
            </w:tcBorders>
            <w:shd w:val="clear" w:color="auto" w:fill="DEE5FD"/>
          </w:tcPr>
          <w:p w:rsidR="004C5CC2" w:rsidRDefault="004C5CC2">
            <w:pPr>
              <w:pStyle w:val="TableParagraph"/>
              <w:rPr>
                <w:rFonts w:ascii="Times New Roman"/>
                <w:sz w:val="14"/>
              </w:rPr>
            </w:pPr>
          </w:p>
        </w:tc>
        <w:tc>
          <w:tcPr>
            <w:tcW w:w="2112" w:type="dxa"/>
            <w:tcBorders>
              <w:left w:val="single" w:color="000000" w:sz="6" w:space="0"/>
              <w:bottom w:val="single" w:color="000000" w:sz="6" w:space="0"/>
              <w:right w:val="single" w:color="000000" w:sz="6" w:space="0"/>
            </w:tcBorders>
            <w:shd w:val="clear" w:color="auto" w:fill="DEE5FD"/>
          </w:tcPr>
          <w:p w:rsidR="004C5CC2" w:rsidRDefault="004C5CC2">
            <w:pPr>
              <w:pStyle w:val="TableParagraph"/>
              <w:rPr>
                <w:rFonts w:ascii="Times New Roman"/>
                <w:sz w:val="14"/>
              </w:rPr>
            </w:pPr>
          </w:p>
        </w:tc>
        <w:tc>
          <w:tcPr>
            <w:tcW w:w="1056" w:type="dxa"/>
            <w:tcBorders>
              <w:left w:val="single" w:color="000000" w:sz="6" w:space="0"/>
              <w:bottom w:val="single" w:color="000000" w:sz="6" w:space="0"/>
              <w:right w:val="single" w:color="000000" w:sz="6" w:space="0"/>
            </w:tcBorders>
            <w:shd w:val="clear" w:color="auto" w:fill="DEE5FD"/>
          </w:tcPr>
          <w:p w:rsidR="004C5CC2" w:rsidRDefault="004C5CC2">
            <w:pPr>
              <w:pStyle w:val="TableParagraph"/>
              <w:rPr>
                <w:rFonts w:ascii="Times New Roman"/>
                <w:sz w:val="14"/>
              </w:rPr>
            </w:pPr>
          </w:p>
        </w:tc>
        <w:tc>
          <w:tcPr>
            <w:tcW w:w="2112" w:type="dxa"/>
            <w:tcBorders>
              <w:left w:val="single" w:color="000000" w:sz="6" w:space="0"/>
              <w:bottom w:val="single" w:color="000000" w:sz="6" w:space="0"/>
            </w:tcBorders>
            <w:shd w:val="clear" w:color="auto" w:fill="DEE5FD"/>
          </w:tcPr>
          <w:p w:rsidR="004C5CC2" w:rsidRDefault="004C5CC2">
            <w:pPr>
              <w:pStyle w:val="TableParagraph"/>
              <w:rPr>
                <w:rFonts w:ascii="Times New Roman"/>
                <w:sz w:val="14"/>
              </w:rPr>
            </w:pPr>
          </w:p>
        </w:tc>
      </w:tr>
      <w:tr w:rsidR="004C5CC2">
        <w:trPr>
          <w:trHeight w:val="467"/>
        </w:trPr>
        <w:tc>
          <w:tcPr>
            <w:tcW w:w="5280" w:type="dxa"/>
            <w:tcBorders>
              <w:top w:val="single" w:color="000000" w:sz="6" w:space="0"/>
              <w:right w:val="single" w:color="000000" w:sz="6" w:space="0"/>
            </w:tcBorders>
          </w:tcPr>
          <w:p w:rsidR="004C5CC2" w:rsidRDefault="0001360C">
            <w:pPr>
              <w:pStyle w:val="TableParagraph"/>
              <w:spacing w:before="5"/>
              <w:ind w:left="15"/>
              <w:rPr>
                <w:sz w:val="18"/>
              </w:rPr>
            </w:pPr>
            <w:r>
              <w:rPr>
                <w:sz w:val="18"/>
              </w:rPr>
              <w:t>Diversity and Inclusion Officer or Equivalent:</w:t>
            </w:r>
          </w:p>
          <w:p w:rsidR="004C5CC2" w:rsidRDefault="0001360C">
            <w:pPr>
              <w:pStyle w:val="TableParagraph"/>
              <w:spacing w:before="31" w:line="204" w:lineRule="exact"/>
              <w:ind w:left="15"/>
              <w:rPr>
                <w:sz w:val="18"/>
              </w:rPr>
            </w:pPr>
            <w:r>
              <w:rPr>
                <w:sz w:val="18"/>
              </w:rPr>
              <w:t>Name</w:t>
            </w:r>
          </w:p>
        </w:tc>
        <w:tc>
          <w:tcPr>
            <w:tcW w:w="5280" w:type="dxa"/>
            <w:gridSpan w:val="3"/>
            <w:tcBorders>
              <w:top w:val="single" w:color="000000" w:sz="6" w:space="0"/>
              <w:left w:val="single" w:color="000000" w:sz="6" w:space="0"/>
            </w:tcBorders>
          </w:tcPr>
          <w:p w:rsidR="004C5CC2" w:rsidRDefault="0001360C">
            <w:pPr>
              <w:pStyle w:val="TableParagraph"/>
              <w:spacing w:before="5"/>
              <w:ind w:left="15"/>
              <w:rPr>
                <w:sz w:val="18"/>
              </w:rPr>
            </w:pPr>
            <w:r>
              <w:rPr>
                <w:sz w:val="18"/>
              </w:rPr>
              <w:t>Supplier Diversity Officer or Equivalent:</w:t>
            </w:r>
            <w:bookmarkStart w:name="_GoBack" w:id="0"/>
            <w:bookmarkEnd w:id="0"/>
          </w:p>
          <w:p w:rsidR="004C5CC2" w:rsidRDefault="0001360C">
            <w:pPr>
              <w:pStyle w:val="TableParagraph"/>
              <w:spacing w:before="31" w:line="204" w:lineRule="exact"/>
              <w:ind w:left="15"/>
              <w:rPr>
                <w:sz w:val="18"/>
              </w:rPr>
            </w:pPr>
            <w:r>
              <w:rPr>
                <w:sz w:val="18"/>
              </w:rPr>
              <w:t>Name</w:t>
            </w:r>
          </w:p>
        </w:tc>
      </w:tr>
      <w:tr w:rsidR="004C5CC2">
        <w:trPr>
          <w:trHeight w:val="225"/>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1360C">
            <w:pPr>
              <w:pStyle w:val="TableParagraph"/>
              <w:spacing w:before="13" w:line="204" w:lineRule="exact"/>
              <w:ind w:left="15"/>
              <w:rPr>
                <w:sz w:val="18"/>
              </w:rPr>
            </w:pPr>
            <w:r>
              <w:rPr>
                <w:sz w:val="18"/>
              </w:rPr>
              <w:t>Title</w:t>
            </w:r>
          </w:p>
        </w:tc>
        <w:tc>
          <w:tcPr>
            <w:tcW w:w="5280" w:type="dxa"/>
            <w:gridSpan w:val="3"/>
            <w:tcBorders>
              <w:left w:val="single" w:color="000000" w:sz="6" w:space="0"/>
            </w:tcBorders>
          </w:tcPr>
          <w:p w:rsidR="004C5CC2" w:rsidRDefault="0001360C">
            <w:pPr>
              <w:pStyle w:val="TableParagraph"/>
              <w:spacing w:before="13" w:line="204" w:lineRule="exact"/>
              <w:ind w:left="15"/>
              <w:rPr>
                <w:sz w:val="18"/>
              </w:rPr>
            </w:pPr>
            <w:r>
              <w:rPr>
                <w:sz w:val="18"/>
              </w:rPr>
              <w:t>Title</w:t>
            </w:r>
          </w:p>
        </w:tc>
      </w:tr>
      <w:tr w:rsidR="004C5CC2">
        <w:trPr>
          <w:trHeight w:val="225"/>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1360C">
            <w:pPr>
              <w:pStyle w:val="TableParagraph"/>
              <w:spacing w:before="13" w:line="204" w:lineRule="exact"/>
              <w:ind w:left="15"/>
              <w:rPr>
                <w:sz w:val="18"/>
              </w:rPr>
            </w:pPr>
            <w:r>
              <w:rPr>
                <w:sz w:val="18"/>
              </w:rPr>
              <w:t>Email</w:t>
            </w:r>
          </w:p>
        </w:tc>
        <w:tc>
          <w:tcPr>
            <w:tcW w:w="5280" w:type="dxa"/>
            <w:gridSpan w:val="3"/>
            <w:tcBorders>
              <w:left w:val="single" w:color="000000" w:sz="6" w:space="0"/>
            </w:tcBorders>
          </w:tcPr>
          <w:p w:rsidR="004C5CC2" w:rsidRDefault="0001360C">
            <w:pPr>
              <w:pStyle w:val="TableParagraph"/>
              <w:spacing w:before="13" w:line="204" w:lineRule="exact"/>
              <w:ind w:left="15"/>
              <w:rPr>
                <w:sz w:val="18"/>
              </w:rPr>
            </w:pPr>
            <w:r>
              <w:rPr>
                <w:sz w:val="18"/>
              </w:rPr>
              <w:t>Email</w:t>
            </w:r>
          </w:p>
        </w:tc>
      </w:tr>
      <w:tr w:rsidR="004C5CC2">
        <w:trPr>
          <w:trHeight w:val="237"/>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1360C">
            <w:pPr>
              <w:pStyle w:val="TableParagraph"/>
              <w:spacing w:before="13" w:line="204" w:lineRule="exact"/>
              <w:ind w:left="15"/>
              <w:rPr>
                <w:sz w:val="18"/>
              </w:rPr>
            </w:pPr>
            <w:r>
              <w:rPr>
                <w:sz w:val="18"/>
              </w:rPr>
              <w:t>Telephone</w:t>
            </w:r>
          </w:p>
        </w:tc>
        <w:tc>
          <w:tcPr>
            <w:tcW w:w="5280" w:type="dxa"/>
            <w:gridSpan w:val="3"/>
            <w:tcBorders>
              <w:left w:val="single" w:color="000000" w:sz="6" w:space="0"/>
            </w:tcBorders>
          </w:tcPr>
          <w:p w:rsidR="004C5CC2" w:rsidRDefault="0001360C">
            <w:pPr>
              <w:pStyle w:val="TableParagraph"/>
              <w:spacing w:before="13" w:line="204" w:lineRule="exact"/>
              <w:ind w:left="15"/>
              <w:rPr>
                <w:sz w:val="18"/>
              </w:rPr>
            </w:pPr>
            <w:r>
              <w:rPr>
                <w:sz w:val="18"/>
              </w:rPr>
              <w:t>Telephone</w:t>
            </w:r>
          </w:p>
        </w:tc>
      </w:tr>
      <w:tr w:rsidR="004C5CC2">
        <w:trPr>
          <w:trHeight w:val="237"/>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1360C">
            <w:pPr>
              <w:pStyle w:val="TableParagraph"/>
              <w:spacing w:before="13" w:line="204" w:lineRule="exact"/>
              <w:ind w:left="15"/>
              <w:rPr>
                <w:sz w:val="18"/>
              </w:rPr>
            </w:pPr>
            <w:r>
              <w:rPr>
                <w:sz w:val="18"/>
              </w:rPr>
              <w:t>Fax</w:t>
            </w:r>
          </w:p>
        </w:tc>
        <w:tc>
          <w:tcPr>
            <w:tcW w:w="5280" w:type="dxa"/>
            <w:gridSpan w:val="3"/>
            <w:tcBorders>
              <w:left w:val="single" w:color="000000" w:sz="6" w:space="0"/>
            </w:tcBorders>
          </w:tcPr>
          <w:p w:rsidR="004C5CC2" w:rsidRDefault="0001360C">
            <w:pPr>
              <w:pStyle w:val="TableParagraph"/>
              <w:spacing w:before="13" w:line="204" w:lineRule="exact"/>
              <w:ind w:left="15"/>
              <w:rPr>
                <w:sz w:val="18"/>
              </w:rPr>
            </w:pPr>
            <w:r>
              <w:rPr>
                <w:sz w:val="18"/>
              </w:rPr>
              <w:t>Fax</w:t>
            </w:r>
          </w:p>
        </w:tc>
      </w:tr>
      <w:tr w:rsidR="004C5CC2">
        <w:trPr>
          <w:trHeight w:val="237"/>
        </w:trPr>
        <w:tc>
          <w:tcPr>
            <w:tcW w:w="5280" w:type="dxa"/>
            <w:tcBorders>
              <w:bottom w:val="single" w:color="000000" w:sz="6" w:space="0"/>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bottom w:val="single" w:color="000000" w:sz="6" w:space="0"/>
            </w:tcBorders>
            <w:shd w:val="clear" w:color="auto" w:fill="DEE5FD"/>
          </w:tcPr>
          <w:p w:rsidR="004C5CC2" w:rsidRDefault="004C5CC2">
            <w:pPr>
              <w:pStyle w:val="TableParagraph"/>
              <w:rPr>
                <w:rFonts w:ascii="Times New Roman"/>
                <w:sz w:val="16"/>
              </w:rPr>
            </w:pPr>
          </w:p>
        </w:tc>
      </w:tr>
    </w:tbl>
    <w:p w:rsidR="004C5CC2" w:rsidRDefault="00D6045E">
      <w:pPr>
        <w:pStyle w:val="BodyText"/>
        <w:spacing w:before="43"/>
        <w:ind w:left="185"/>
      </w:pPr>
      <w:r>
        <w:rPr>
          <w:noProof/>
        </w:rPr>
        <mc:AlternateContent>
          <mc:Choice Requires="wpg">
            <w:drawing>
              <wp:anchor distT="0" distB="0" distL="0" distR="0" simplePos="0" relativeHeight="251652608" behindDoc="1" locked="0" layoutInCell="1" allowOverlap="1">
                <wp:simplePos x="0" y="0"/>
                <wp:positionH relativeFrom="page">
                  <wp:posOffset>533400</wp:posOffset>
                </wp:positionH>
                <wp:positionV relativeFrom="paragraph">
                  <wp:posOffset>188595</wp:posOffset>
                </wp:positionV>
                <wp:extent cx="6705600" cy="171450"/>
                <wp:effectExtent l="9525" t="0" r="9525" b="1270"/>
                <wp:wrapTopAndBottom/>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71450"/>
                          <a:chOff x="840" y="297"/>
                          <a:chExt cx="10560" cy="270"/>
                        </a:xfrm>
                      </wpg:grpSpPr>
                      <wps:wsp>
                        <wps:cNvPr id="43" name="Rectangle 37"/>
                        <wps:cNvSpPr>
                          <a:spLocks noChangeArrowheads="1"/>
                        </wps:cNvSpPr>
                        <wps:spPr bwMode="auto">
                          <a:xfrm>
                            <a:off x="870" y="297"/>
                            <a:ext cx="10500" cy="225"/>
                          </a:xfrm>
                          <a:prstGeom prst="rect">
                            <a:avLst/>
                          </a:prstGeom>
                          <a:solidFill>
                            <a:srgbClr val="DEE5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6"/>
                        <wps:cNvCnPr>
                          <a:cxnSpLocks noChangeShapeType="1"/>
                        </wps:cNvCnPr>
                        <wps:spPr bwMode="auto">
                          <a:xfrm>
                            <a:off x="840" y="560"/>
                            <a:ext cx="105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42pt;margin-top:14.85pt;width:528pt;height:13.5pt;z-index:-251663872;mso-wrap-distance-left:0;mso-wrap-distance-right:0;mso-position-horizontal-relative:page" coordsize="10560,270" coordorigin="840,297" o:spid="_x0000_s1026" w14:anchorId="398AE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">
                <v:rect id="Rectangle 37" style="position:absolute;left:870;top:297;width:10500;height:225;visibility:visible;mso-wrap-style:square;v-text-anchor:top" o:spid="_x0000_s1027" fillcolor="#dee5f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"/>
                <v:line id="Line 36" style="position:absolute;visibility:visible;mso-wrap-style:square" o:spid="_x0000_s1028" o:connectortype="straight" from="840,560" to="1140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w10:wrap type="topAndBottom" anchorx="page"/>
              </v:group>
            </w:pict>
          </mc:Fallback>
        </mc:AlternateContent>
      </w:r>
      <w:r>
        <w:rPr>
          <w:noProof/>
        </w:rPr>
        <mc:AlternateContent>
          <mc:Choice Requires="wpg">
            <w:drawing>
              <wp:anchor distT="0" distB="0" distL="114300" distR="114300" simplePos="0" relativeHeight="251647488" behindDoc="0" locked="0" layoutInCell="1" allowOverlap="1">
                <wp:simplePos x="0" y="0"/>
                <wp:positionH relativeFrom="page">
                  <wp:posOffset>533400</wp:posOffset>
                </wp:positionH>
                <wp:positionV relativeFrom="paragraph">
                  <wp:posOffset>624205</wp:posOffset>
                </wp:positionV>
                <wp:extent cx="6705600" cy="2253615"/>
                <wp:effectExtent l="19050" t="0" r="19050" b="762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253615"/>
                          <a:chOff x="840" y="983"/>
                          <a:chExt cx="10560" cy="3549"/>
                        </a:xfrm>
                      </wpg:grpSpPr>
                      <wps:wsp>
                        <wps:cNvPr id="40" name="Line 34"/>
                        <wps:cNvCnPr>
                          <a:cxnSpLocks noChangeShapeType="1"/>
                        </wps:cNvCnPr>
                        <wps:spPr bwMode="auto">
                          <a:xfrm>
                            <a:off x="840" y="4509"/>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33"/>
                        <wps:cNvSpPr>
                          <a:spLocks noChangeArrowheads="1"/>
                        </wps:cNvSpPr>
                        <wps:spPr bwMode="auto">
                          <a:xfrm>
                            <a:off x="840" y="982"/>
                            <a:ext cx="10560" cy="3450"/>
                          </a:xfrm>
                          <a:prstGeom prst="rect">
                            <a:avLst/>
                          </a:prstGeom>
                          <a:solidFill>
                            <a:srgbClr val="DEE5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2pt;margin-top:49.15pt;width:528pt;height:177.45pt;z-index:251647488;mso-position-horizontal-relative:page" coordsize="10560,3549" coordorigin="840,983" o:spid="_x0000_s1026" w14:anchorId="4CA9E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">
                <v:line id="Line 34" style="position:absolute;visibility:visible;mso-wrap-style:square" o:spid="_x0000_s1027" strokeweight="2.25pt" o:connectortype="straight" from="840,4509" to="11400,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"/>
                <v:rect id="Rectangle 33" style="position:absolute;left:840;top:982;width:10560;height:3450;visibility:visible;mso-wrap-style:square;v-text-anchor:top" o:spid="_x0000_s1028" fillcolor="#dee5f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"/>
                <w10:wrap anchorx="page"/>
              </v:group>
            </w:pict>
          </mc:Fallback>
        </mc:AlternateContent>
      </w:r>
      <w:r w:rsidR="0001360C">
        <w:t>Diversity and Inclusion Website</w:t>
      </w:r>
    </w:p>
    <w:p w:rsidR="004C5CC2" w:rsidRDefault="0001360C">
      <w:pPr>
        <w:pStyle w:val="BodyText"/>
        <w:ind w:left="140" w:right="395"/>
      </w:pPr>
      <w:r>
        <w:t>Provide a brief description of the financial institution covered by this assessment (e.g., governance structure, workforce size, total assets and community characteristics) below.</w:t>
      </w:r>
    </w:p>
    <w:p w:rsidR="004C5CC2" w:rsidRDefault="004C5CC2">
      <w:pPr>
        <w:sectPr w:rsidR="004C5CC2">
          <w:headerReference w:type="default" r:id="rId13"/>
          <w:footerReference w:type="default" r:id="rId14"/>
          <w:pgSz w:w="12240" w:h="15840"/>
          <w:pgMar w:top="1120" w:right="720" w:bottom="1740" w:left="700" w:header="724" w:footer="1542" w:gutter="0"/>
          <w:cols w:space="720"/>
        </w:sectPr>
      </w:pPr>
    </w:p>
    <w:p w:rsidR="004C5CC2" w:rsidRDefault="00D6045E">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18415" t="2540" r="19685" b="6985"/>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8" name="Line 31"/>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528pt;height:2.25pt;mso-position-horizontal-relative:char;mso-position-vertical-relative:line" coordsize="10560,45" o:spid="_x0000_s1026" w14:anchorId="4A243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">
                <v:line id="Line 31"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"/>
                <w10:anchorlock/>
              </v:group>
            </w:pict>
          </mc:Fallback>
        </mc:AlternateContent>
      </w:r>
    </w:p>
    <w:p w:rsidR="004C5CC2" w:rsidRDefault="0001360C">
      <w:pPr>
        <w:ind w:left="3352"/>
        <w:rPr>
          <w:sz w:val="24"/>
        </w:rPr>
      </w:pPr>
      <w:r>
        <w:rPr>
          <w:sz w:val="24"/>
        </w:rPr>
        <w:t>Federal Deposit Insurance Corporation</w:t>
      </w:r>
    </w:p>
    <w:p w:rsidR="004C5CC2" w:rsidRDefault="0001360C">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1270" r="19685" b="8255"/>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6" name="Line 29"/>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528pt;height:2.25pt;mso-position-horizontal-relative:char;mso-position-vertical-relative:line" coordsize="10560,45" o:spid="_x0000_s1026" w14:anchorId="4EB6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">
                <v:line id="Line 29"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"/>
                <w10:anchorlock/>
              </v:group>
            </w:pict>
          </mc:Fallback>
        </mc:AlternateContent>
      </w:r>
    </w:p>
    <w:p w:rsidR="004C5CC2" w:rsidRDefault="0001360C">
      <w:pPr>
        <w:pStyle w:val="Heading2"/>
        <w:spacing w:after="4"/>
      </w:pPr>
      <w:r>
        <w:rPr>
          <w:w w:val="105"/>
        </w:rPr>
        <w:t>SECTION II - ASSESSMENT OF THE FINANCIAL INSTITUTION'S DIVERSITY POLICIES AND PRACTICES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8255" r="19685" b="1270"/>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4" name="Line 27"/>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528pt;height:2.25pt;mso-position-horizontal-relative:char;mso-position-vertical-relative:line" coordsize="10560,45" o:spid="_x0000_s1026" w14:anchorId="34628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">
                <v:line id="Line 27"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"/>
                <w10:anchorlock/>
              </v:group>
            </w:pict>
          </mc:Fallback>
        </mc:AlternateContent>
      </w:r>
    </w:p>
    <w:p w:rsidR="004C5CC2" w:rsidRDefault="0001360C">
      <w:pPr>
        <w:pStyle w:val="Heading3"/>
        <w:numPr>
          <w:ilvl w:val="0"/>
          <w:numId w:val="2"/>
        </w:numPr>
        <w:tabs>
          <w:tab w:val="left" w:pos="341"/>
        </w:tabs>
        <w:spacing w:before="4"/>
        <w:ind w:hanging="200"/>
      </w:pPr>
      <w:r>
        <w:t>Organizational Commitment to Diversity and Inclusion</w:t>
      </w:r>
    </w:p>
    <w:p w:rsidR="004C5CC2" w:rsidRDefault="0001360C">
      <w:pPr>
        <w:pStyle w:val="BodyText"/>
        <w:spacing w:before="1" w:after="5"/>
        <w:ind w:left="140" w:right="314"/>
      </w:pPr>
      <w:r>
        <w:t>The leadership of an organization with successful diversity policies and practices demonstrates its commitment to diversity and inclusion. Leadership comes from the governing body, such as a board of directors, as well as senior officials and those managing the organization on a day-to-day basis. These Standards inform how a financial institution promotes diversity and inclusion in both employment and contracting and how it fosters a corporate culture that embraces diversity and inclusion.</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1360C">
            <w:pPr>
              <w:pStyle w:val="TableParagraph"/>
              <w:spacing w:before="116"/>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1360C">
            <w:pPr>
              <w:pStyle w:val="TableParagraph"/>
              <w:spacing w:before="116"/>
              <w:ind w:left="225"/>
              <w:rPr>
                <w:sz w:val="18"/>
              </w:rPr>
            </w:pPr>
            <w:r>
              <w:rPr>
                <w:sz w:val="18"/>
              </w:rPr>
              <w:t>Yes/No</w:t>
            </w:r>
          </w:p>
        </w:tc>
        <w:tc>
          <w:tcPr>
            <w:tcW w:w="4224" w:type="dxa"/>
            <w:tcBorders>
              <w:left w:val="single" w:color="000000" w:sz="6" w:space="0"/>
              <w:right w:val="nil"/>
            </w:tcBorders>
            <w:shd w:val="clear" w:color="auto" w:fill="BFBFBF"/>
          </w:tcPr>
          <w:p w:rsidR="004C5CC2" w:rsidRDefault="0001360C">
            <w:pPr>
              <w:pStyle w:val="TableParagraph"/>
              <w:spacing w:before="13" w:line="200" w:lineRule="atLeast"/>
              <w:ind w:left="15" w:right="49"/>
              <w:rPr>
                <w:sz w:val="18"/>
              </w:rPr>
            </w:pPr>
            <w:r>
              <w:rPr>
                <w:sz w:val="18"/>
              </w:rPr>
              <w:t>Activities that support Program Success or Program Challenges</w:t>
            </w:r>
          </w:p>
        </w:tc>
      </w:tr>
    </w:tbl>
    <w:p w:rsidR="004C5CC2" w:rsidRDefault="0001360C">
      <w:pPr>
        <w:pStyle w:val="BodyText"/>
        <w:ind w:left="140"/>
      </w:pPr>
      <w:r>
        <w:t>In a manner reflective of the individual financial institution's size and other characteristics,</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650"/>
        </w:trPr>
        <w:tc>
          <w:tcPr>
            <w:tcW w:w="5280" w:type="dxa"/>
            <w:tcBorders>
              <w:left w:val="nil"/>
            </w:tcBorders>
          </w:tcPr>
          <w:p w:rsidR="004C5CC2" w:rsidRDefault="0001360C">
            <w:pPr>
              <w:pStyle w:val="TableParagraph"/>
              <w:spacing w:before="8"/>
              <w:ind w:left="22" w:right="128"/>
              <w:rPr>
                <w:sz w:val="18"/>
              </w:rPr>
            </w:pPr>
            <w:r>
              <w:rPr>
                <w:sz w:val="18"/>
              </w:rPr>
              <w:t>1.1 The financial institution includes diversity and inclusion considerations in both employment and contracting as an important part of its strategic plan for recruiting, hiring, retention, and promotion.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1360C">
            <w:pPr>
              <w:pStyle w:val="TableParagraph"/>
              <w:spacing w:before="8"/>
              <w:ind w:left="22" w:right="294"/>
              <w:jc w:val="both"/>
              <w:rPr>
                <w:sz w:val="18"/>
              </w:rPr>
            </w:pPr>
            <w:r>
              <w:rPr>
                <w:sz w:val="18"/>
              </w:rPr>
              <w:t>1.2 The financial institution has a diversity and inclusion policy that is approved and supported by senior leadership, including senior management and the board of directors.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1360C">
            <w:pPr>
              <w:pStyle w:val="TableParagraph"/>
              <w:spacing w:before="8"/>
              <w:ind w:left="22" w:right="197"/>
              <w:rPr>
                <w:sz w:val="18"/>
              </w:rPr>
            </w:pPr>
            <w:r>
              <w:rPr>
                <w:sz w:val="18"/>
              </w:rPr>
              <w:t>1.3 The financial institution provides regular progress reports to the board and senior management.</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1360C">
            <w:pPr>
              <w:pStyle w:val="TableParagraph"/>
              <w:spacing w:before="8"/>
              <w:ind w:left="22" w:right="597"/>
              <w:rPr>
                <w:sz w:val="18"/>
              </w:rPr>
            </w:pPr>
            <w:r>
              <w:rPr>
                <w:sz w:val="18"/>
              </w:rPr>
              <w:t>1.4 The financial institution regularly conducts training and provides educational opportunities on equal employment opportunity and on diversity and inclusion.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1360C">
            <w:pPr>
              <w:pStyle w:val="TableParagraph"/>
              <w:spacing w:before="8"/>
              <w:ind w:left="22" w:right="187"/>
              <w:rPr>
                <w:sz w:val="18"/>
              </w:rPr>
            </w:pPr>
            <w:r>
              <w:rPr>
                <w:sz w:val="18"/>
              </w:rPr>
              <w:t>1.5 The financial institution has a senior level official, preferably with knowledge of and experience in diversity and inclusion policies and practices, who oversees and directs the financial institution's diversity and inclusion efforts.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7"/>
        </w:trPr>
        <w:tc>
          <w:tcPr>
            <w:tcW w:w="5280" w:type="dxa"/>
            <w:tcBorders>
              <w:left w:val="nil"/>
              <w:bottom w:val="single" w:color="000000" w:sz="18" w:space="0"/>
            </w:tcBorders>
          </w:tcPr>
          <w:p w:rsidR="004C5CC2" w:rsidRDefault="0001360C">
            <w:pPr>
              <w:pStyle w:val="TableParagraph"/>
              <w:spacing w:before="8"/>
              <w:ind w:left="22" w:right="57"/>
              <w:rPr>
                <w:sz w:val="18"/>
              </w:rPr>
            </w:pPr>
            <w:r>
              <w:rPr>
                <w:sz w:val="18"/>
              </w:rPr>
              <w:t>1.6 The financial institution takes proactive steps to promote a diverse pool of candidates, including women and minorities, in its hiring, recruiting, retention, and promotion, as well as in its selection of board members, senior management, and other senior leadership positions.</w:t>
            </w:r>
          </w:p>
        </w:tc>
        <w:tc>
          <w:tcPr>
            <w:tcW w:w="1056" w:type="dxa"/>
            <w:tcBorders>
              <w:bottom w:val="single" w:color="000000" w:sz="18" w:space="0"/>
            </w:tcBorders>
          </w:tcPr>
          <w:p w:rsidR="004C5CC2" w:rsidRDefault="004C5CC2">
            <w:pPr>
              <w:pStyle w:val="TableParagraph"/>
              <w:rPr>
                <w:rFonts w:ascii="Times New Roman"/>
                <w:sz w:val="18"/>
              </w:rPr>
            </w:pPr>
          </w:p>
        </w:tc>
        <w:tc>
          <w:tcPr>
            <w:tcW w:w="4224" w:type="dxa"/>
            <w:tcBorders>
              <w:bottom w:val="single" w:color="000000" w:sz="18"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footerReference w:type="default" r:id="rId15"/>
          <w:pgSz w:w="12240" w:h="15840"/>
          <w:pgMar w:top="1120" w:right="720" w:bottom="1460" w:left="700" w:header="724" w:footer="1263" w:gutter="0"/>
          <w:cols w:space="720"/>
        </w:sectPr>
      </w:pPr>
    </w:p>
    <w:p w:rsidR="004C5CC2" w:rsidRDefault="00D6045E">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18415" t="2540" r="19685" b="6985"/>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2" name="Line 25"/>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528pt;height:2.25pt;mso-position-horizontal-relative:char;mso-position-vertical-relative:line" coordsize="10560,45" o:spid="_x0000_s1026" w14:anchorId="75B9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">
                <v:line id="Line 25"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w10:anchorlock/>
              </v:group>
            </w:pict>
          </mc:Fallback>
        </mc:AlternateContent>
      </w:r>
    </w:p>
    <w:p w:rsidR="004C5CC2" w:rsidRDefault="0001360C">
      <w:pPr>
        <w:ind w:left="3352"/>
        <w:rPr>
          <w:sz w:val="24"/>
        </w:rPr>
      </w:pPr>
      <w:r>
        <w:rPr>
          <w:sz w:val="24"/>
        </w:rPr>
        <w:t>Federal Deposit Insurance Corporation</w:t>
      </w:r>
    </w:p>
    <w:p w:rsidR="004C5CC2" w:rsidRDefault="0001360C">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1270" r="19685" b="8255"/>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0" name="Line 23"/>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 style="width:528pt;height:2.25pt;mso-position-horizontal-relative:char;mso-position-vertical-relative:line" coordsize="10560,45" o:spid="_x0000_s1026" w14:anchorId="02C8A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">
                <v:line id="Line 23"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"/>
                <w10:anchorlock/>
              </v:group>
            </w:pict>
          </mc:Fallback>
        </mc:AlternateContent>
      </w:r>
    </w:p>
    <w:p w:rsidR="004C5CC2" w:rsidRDefault="0001360C">
      <w:pPr>
        <w:pStyle w:val="Heading3"/>
        <w:numPr>
          <w:ilvl w:val="0"/>
          <w:numId w:val="2"/>
        </w:numPr>
        <w:tabs>
          <w:tab w:val="left" w:pos="341"/>
        </w:tabs>
        <w:ind w:hanging="200"/>
      </w:pPr>
      <w:r>
        <w:t>Workforce Profile and Employment Practices</w:t>
      </w:r>
    </w:p>
    <w:p w:rsidR="004C5CC2" w:rsidRDefault="0001360C">
      <w:pPr>
        <w:pStyle w:val="BodyText"/>
        <w:spacing w:before="1" w:after="6"/>
        <w:ind w:left="140" w:right="193"/>
      </w:pPr>
      <w:r>
        <w:t>Many financial institutions promote the fair inclusion of minorities and women in their workforce by publicizing employment opportunities, creating relationships with minority and women professional organizations and educational institutions, creating a culture that values the contribution of all employees, and encouraging a focus on these objectives when evaluating the performance of managers. Financial institutions with successful diversity and inclusion programs also regularly evaluate their programs and identify areas to be improved.</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1360C">
            <w:pPr>
              <w:pStyle w:val="TableParagraph"/>
              <w:spacing w:before="116"/>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1360C">
            <w:pPr>
              <w:pStyle w:val="TableParagraph"/>
              <w:spacing w:before="116"/>
              <w:ind w:left="225"/>
              <w:rPr>
                <w:sz w:val="18"/>
              </w:rPr>
            </w:pPr>
            <w:r>
              <w:rPr>
                <w:sz w:val="18"/>
              </w:rPr>
              <w:t>Yes/No</w:t>
            </w:r>
          </w:p>
        </w:tc>
        <w:tc>
          <w:tcPr>
            <w:tcW w:w="4224" w:type="dxa"/>
            <w:tcBorders>
              <w:left w:val="single" w:color="000000" w:sz="6" w:space="0"/>
              <w:right w:val="nil"/>
            </w:tcBorders>
            <w:shd w:val="clear" w:color="auto" w:fill="BFBFBF"/>
          </w:tcPr>
          <w:p w:rsidR="004C5CC2" w:rsidRDefault="0001360C">
            <w:pPr>
              <w:pStyle w:val="TableParagraph"/>
              <w:spacing w:before="13" w:line="200" w:lineRule="atLeast"/>
              <w:ind w:left="15" w:right="49"/>
              <w:rPr>
                <w:sz w:val="18"/>
              </w:rPr>
            </w:pPr>
            <w:r>
              <w:rPr>
                <w:sz w:val="18"/>
              </w:rPr>
              <w:t>Activities that support Program Success or Program Challenges</w:t>
            </w:r>
          </w:p>
        </w:tc>
      </w:tr>
    </w:tbl>
    <w:p w:rsidR="004C5CC2" w:rsidRDefault="0001360C">
      <w:pPr>
        <w:pStyle w:val="BodyText"/>
        <w:ind w:left="140"/>
      </w:pPr>
      <w:r>
        <w:t>In a manner reflective of the individual financial institution's size and other characteristics,</w:t>
      </w:r>
    </w:p>
    <w:tbl>
      <w:tblPr>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10"/>
        </w:trPr>
        <w:tc>
          <w:tcPr>
            <w:tcW w:w="5280" w:type="dxa"/>
            <w:tcBorders>
              <w:left w:val="nil"/>
            </w:tcBorders>
          </w:tcPr>
          <w:p w:rsidR="004C5CC2" w:rsidRDefault="0001360C">
            <w:pPr>
              <w:pStyle w:val="TableParagraph"/>
              <w:spacing w:before="8"/>
              <w:ind w:left="7" w:right="373"/>
              <w:rPr>
                <w:sz w:val="18"/>
              </w:rPr>
            </w:pPr>
            <w:r>
              <w:rPr>
                <w:sz w:val="18"/>
              </w:rPr>
              <w:t>2.1 The financial institution implements policies and practices related to workforce diversity and inclusion in a manner that complies with all applicable laws.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10"/>
        </w:trPr>
        <w:tc>
          <w:tcPr>
            <w:tcW w:w="5280" w:type="dxa"/>
            <w:tcBorders>
              <w:left w:val="nil"/>
            </w:tcBorders>
          </w:tcPr>
          <w:p w:rsidR="004C5CC2" w:rsidRDefault="0001360C">
            <w:pPr>
              <w:pStyle w:val="TableParagraph"/>
              <w:spacing w:before="8"/>
              <w:ind w:left="7" w:right="-8"/>
              <w:rPr>
                <w:sz w:val="18"/>
              </w:rPr>
            </w:pPr>
            <w:r>
              <w:rPr>
                <w:sz w:val="18"/>
              </w:rPr>
              <w:t>2.2 The financial institution ensures equal employment opportunit</w:t>
            </w:r>
            <w:r w:rsidR="009516B0">
              <w:rPr>
                <w:sz w:val="18"/>
              </w:rPr>
              <w:t>i</w:t>
            </w:r>
            <w:r>
              <w:rPr>
                <w:sz w:val="18"/>
              </w:rPr>
              <w:t>es for all employees and applicants for employment and does not engage in unlawful employment discrimination based on gender, race, or ethnicity.</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bl>
    <w:p w:rsidR="004C5CC2" w:rsidRDefault="009516B0">
      <w:pPr>
        <w:pStyle w:val="BodyText"/>
        <w:ind w:left="140" w:right="263"/>
      </w:pPr>
      <w:r>
        <w:t>2.3 The financial ins</w:t>
      </w:r>
      <w:r w:rsidR="0001360C">
        <w:t>t</w:t>
      </w:r>
      <w:r>
        <w:t>it</w:t>
      </w:r>
      <w:r w:rsidR="0001360C">
        <w:t>ution has policies and practices that create diverse applicant pools for both internal and external opportunities that may include:</w:t>
      </w:r>
    </w:p>
    <w:tbl>
      <w:tblPr>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10"/>
        </w:trPr>
        <w:tc>
          <w:tcPr>
            <w:tcW w:w="5280" w:type="dxa"/>
            <w:tcBorders>
              <w:left w:val="nil"/>
            </w:tcBorders>
          </w:tcPr>
          <w:p w:rsidR="004C5CC2" w:rsidRDefault="0001360C">
            <w:pPr>
              <w:pStyle w:val="TableParagraph"/>
              <w:spacing w:before="9"/>
              <w:ind w:left="386"/>
              <w:rPr>
                <w:sz w:val="18"/>
              </w:rPr>
            </w:pPr>
            <w:r>
              <w:rPr>
                <w:sz w:val="18"/>
              </w:rPr>
              <w:t>2.3(a) Outreach to minority and women organizations.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10"/>
        </w:trPr>
        <w:tc>
          <w:tcPr>
            <w:tcW w:w="5280" w:type="dxa"/>
            <w:tcBorders>
              <w:left w:val="nil"/>
            </w:tcBorders>
          </w:tcPr>
          <w:p w:rsidR="004C5CC2" w:rsidRDefault="0001360C">
            <w:pPr>
              <w:pStyle w:val="TableParagraph"/>
              <w:spacing w:before="9"/>
              <w:ind w:left="386" w:right="103"/>
              <w:rPr>
                <w:sz w:val="18"/>
              </w:rPr>
            </w:pPr>
            <w:r>
              <w:rPr>
                <w:sz w:val="18"/>
              </w:rPr>
              <w:t xml:space="preserve">2.3(b) </w:t>
            </w:r>
            <w:r w:rsidRPr="009516B0">
              <w:rPr>
                <w:sz w:val="18"/>
                <w:szCs w:val="18"/>
              </w:rPr>
              <w:t xml:space="preserve">Outreach to educational </w:t>
            </w:r>
            <w:r w:rsidRPr="009516B0" w:rsidR="009516B0">
              <w:rPr>
                <w:sz w:val="18"/>
                <w:szCs w:val="18"/>
              </w:rPr>
              <w:t>institution</w:t>
            </w:r>
            <w:r w:rsidRPr="009516B0" w:rsidR="009516B0">
              <w:rPr>
                <w:sz w:val="18"/>
                <w:szCs w:val="18"/>
              </w:rPr>
              <w:t>s</w:t>
            </w:r>
            <w:r w:rsidRPr="009516B0">
              <w:rPr>
                <w:sz w:val="18"/>
                <w:szCs w:val="18"/>
              </w:rPr>
              <w:t xml:space="preserve"> serving significant minority and women student populations</w:t>
            </w:r>
            <w:r>
              <w:rPr>
                <w:sz w:val="18"/>
              </w:rPr>
              <w:t>.</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10"/>
        </w:trPr>
        <w:tc>
          <w:tcPr>
            <w:tcW w:w="5280" w:type="dxa"/>
            <w:tcBorders>
              <w:left w:val="nil"/>
            </w:tcBorders>
          </w:tcPr>
          <w:p w:rsidR="004C5CC2" w:rsidRDefault="0001360C">
            <w:pPr>
              <w:pStyle w:val="TableParagraph"/>
              <w:spacing w:before="9"/>
              <w:ind w:left="386" w:right="34"/>
              <w:rPr>
                <w:sz w:val="18"/>
              </w:rPr>
            </w:pPr>
            <w:r>
              <w:rPr>
                <w:sz w:val="18"/>
              </w:rPr>
              <w:t>2.3(c) Participation in conferences, workshops, and other events to attract minorities and women and to inform them of employment and promotion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69"/>
        </w:trPr>
        <w:tc>
          <w:tcPr>
            <w:tcW w:w="5280" w:type="dxa"/>
            <w:tcBorders>
              <w:left w:val="nil"/>
            </w:tcBorders>
          </w:tcPr>
          <w:p w:rsidR="004C5CC2" w:rsidRDefault="0001360C">
            <w:pPr>
              <w:pStyle w:val="TableParagraph"/>
              <w:spacing w:before="9" w:line="200" w:lineRule="atLeast"/>
              <w:ind w:left="26" w:right="-27"/>
              <w:rPr>
                <w:sz w:val="18"/>
              </w:rPr>
            </w:pPr>
            <w:r>
              <w:rPr>
                <w:sz w:val="18"/>
              </w:rPr>
              <w:t>2.4 The financial institution uses both quantitative and qualitative measurements to assess its workforce diversity and inclusion efforts. These efforts may be reflected, for example, in applicant tracking, hiring, promotions, separations (voluntary and involuntary), career development, and retention across all levels and occupations of the financial institution, including the executive and managerial ranks.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06"/>
        </w:trPr>
        <w:tc>
          <w:tcPr>
            <w:tcW w:w="5280" w:type="dxa"/>
            <w:tcBorders>
              <w:left w:val="nil"/>
              <w:bottom w:val="single" w:color="000000" w:sz="24" w:space="0"/>
            </w:tcBorders>
          </w:tcPr>
          <w:p w:rsidR="004C5CC2" w:rsidRDefault="0001360C">
            <w:pPr>
              <w:pStyle w:val="TableParagraph"/>
              <w:spacing w:before="9"/>
              <w:ind w:left="26" w:right="304"/>
              <w:rPr>
                <w:sz w:val="18"/>
              </w:rPr>
            </w:pPr>
            <w:r>
              <w:rPr>
                <w:sz w:val="18"/>
              </w:rPr>
              <w:t xml:space="preserve">2.5 </w:t>
            </w:r>
            <w:r w:rsidRPr="009516B0">
              <w:rPr>
                <w:sz w:val="18"/>
                <w:szCs w:val="18"/>
              </w:rPr>
              <w:t xml:space="preserve">The financial </w:t>
            </w:r>
            <w:r w:rsidRPr="009516B0" w:rsidR="009516B0">
              <w:rPr>
                <w:sz w:val="18"/>
                <w:szCs w:val="18"/>
              </w:rPr>
              <w:t>institution</w:t>
            </w:r>
            <w:r w:rsidRPr="009516B0">
              <w:rPr>
                <w:sz w:val="18"/>
                <w:szCs w:val="18"/>
              </w:rPr>
              <w:t xml:space="preserve"> holds management at all levels accountable for diversity and inclusion efforts, for example, by ensuring that such efforts align with business strategies and individual performance plans.</w:t>
            </w:r>
          </w:p>
        </w:tc>
        <w:tc>
          <w:tcPr>
            <w:tcW w:w="1056" w:type="dxa"/>
            <w:tcBorders>
              <w:bottom w:val="single" w:color="000000" w:sz="24" w:space="0"/>
            </w:tcBorders>
          </w:tcPr>
          <w:p w:rsidR="004C5CC2" w:rsidRDefault="004C5CC2">
            <w:pPr>
              <w:pStyle w:val="TableParagraph"/>
              <w:rPr>
                <w:rFonts w:ascii="Times New Roman"/>
                <w:sz w:val="18"/>
              </w:rPr>
            </w:pPr>
          </w:p>
        </w:tc>
        <w:tc>
          <w:tcPr>
            <w:tcW w:w="4224" w:type="dxa"/>
            <w:tcBorders>
              <w:bottom w:val="single" w:color="000000" w:sz="24"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footerReference w:type="default" r:id="rId16"/>
          <w:pgSz w:w="12240" w:h="15840"/>
          <w:pgMar w:top="1120" w:right="720" w:bottom="1060" w:left="700" w:header="724" w:footer="877" w:gutter="0"/>
          <w:cols w:space="720"/>
        </w:sectPr>
      </w:pPr>
    </w:p>
    <w:p w:rsidR="004C5CC2" w:rsidRDefault="00D6045E">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18415" t="2540" r="19685" b="6985"/>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8" name="Line 21"/>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528pt;height:2.25pt;mso-position-horizontal-relative:char;mso-position-vertical-relative:line" coordsize="10560,45" o:spid="_x0000_s1026" w14:anchorId="66891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">
                <v:line id="Line 21"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"/>
                <w10:anchorlock/>
              </v:group>
            </w:pict>
          </mc:Fallback>
        </mc:AlternateContent>
      </w:r>
    </w:p>
    <w:p w:rsidR="004C5CC2" w:rsidRDefault="0001360C">
      <w:pPr>
        <w:ind w:left="3352"/>
        <w:rPr>
          <w:sz w:val="24"/>
        </w:rPr>
      </w:pPr>
      <w:r>
        <w:rPr>
          <w:sz w:val="24"/>
        </w:rPr>
        <w:t>Federal Deposit Insurance Corporation</w:t>
      </w:r>
    </w:p>
    <w:p w:rsidR="004C5CC2" w:rsidRDefault="0001360C">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1270" r="19685" b="8255"/>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6" name="Line 19"/>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style="width:528pt;height:2.25pt;mso-position-horizontal-relative:char;mso-position-vertical-relative:line" coordsize="10560,45" o:spid="_x0000_s1026" w14:anchorId="3EEE7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">
                <v:line id="Line 19"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"/>
                <w10:anchorlock/>
              </v:group>
            </w:pict>
          </mc:Fallback>
        </mc:AlternateContent>
      </w:r>
    </w:p>
    <w:p w:rsidR="004C5CC2" w:rsidRDefault="0001360C">
      <w:pPr>
        <w:pStyle w:val="Heading3"/>
        <w:numPr>
          <w:ilvl w:val="0"/>
          <w:numId w:val="2"/>
        </w:numPr>
        <w:tabs>
          <w:tab w:val="left" w:pos="341"/>
        </w:tabs>
        <w:ind w:hanging="200"/>
      </w:pPr>
      <w:r>
        <w:t>Procurement and Business Practices - Supplier Diversity</w:t>
      </w:r>
    </w:p>
    <w:p w:rsidR="004C5CC2" w:rsidRDefault="0001360C">
      <w:pPr>
        <w:pStyle w:val="BodyText"/>
        <w:spacing w:before="1" w:after="10"/>
        <w:ind w:left="140" w:right="109"/>
      </w:pPr>
      <w:r>
        <w:t>Companies increasingly understand the competitive advantage of having a broad selection of available suppliers to choose from with respect to factors such as price, quality, attention to detail, and future relationship building. A number of financial institutions have achieved success at expanding available business options by increasing outreach to minority-owned and women-owned businesses. As in the employment context, financial institutions often use metrics to identify the baseline of how much they spend procuring and contracting for goods and services, how much they spend with minority-owned and women-owned businesses, and the availability of relevant minority-owned and women-owned businesses, as well as changes over time. Similarly, financial institutions may use outreach to inform minority-owned and women-owned businesses (and affinity groups representing these constituencies) of these opportunities and of the procurement process. In addition, financial institutions' prime contractors often use subcontractors to fulfill the obligations of various contracts. The use of minority-owned and women-owned businesses as subcontractors provides valuable opportunities for both the minority-owned and women-owned businesses and the prime contractor. Financial institutions may encourage the use of minority-owned and women-owned subcontractors by incorporating this objective in their business contracts.</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1360C">
            <w:pPr>
              <w:pStyle w:val="TableParagraph"/>
              <w:spacing w:before="117"/>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1360C">
            <w:pPr>
              <w:pStyle w:val="TableParagraph"/>
              <w:spacing w:before="117"/>
              <w:ind w:left="225"/>
              <w:rPr>
                <w:sz w:val="18"/>
              </w:rPr>
            </w:pPr>
            <w:r>
              <w:rPr>
                <w:sz w:val="18"/>
              </w:rPr>
              <w:t>Yes/No</w:t>
            </w:r>
          </w:p>
        </w:tc>
        <w:tc>
          <w:tcPr>
            <w:tcW w:w="4224" w:type="dxa"/>
            <w:tcBorders>
              <w:left w:val="single" w:color="000000" w:sz="6" w:space="0"/>
              <w:right w:val="nil"/>
            </w:tcBorders>
            <w:shd w:val="clear" w:color="auto" w:fill="BFBFBF"/>
          </w:tcPr>
          <w:p w:rsidR="004C5CC2" w:rsidRDefault="0001360C">
            <w:pPr>
              <w:pStyle w:val="TableParagraph"/>
              <w:spacing w:before="13" w:line="200" w:lineRule="atLeast"/>
              <w:ind w:left="15" w:right="49"/>
              <w:rPr>
                <w:sz w:val="18"/>
              </w:rPr>
            </w:pPr>
            <w:r>
              <w:rPr>
                <w:sz w:val="18"/>
              </w:rPr>
              <w:t>Activities that support Program Success or Program Challenges</w:t>
            </w:r>
          </w:p>
        </w:tc>
      </w:tr>
    </w:tbl>
    <w:p w:rsidR="004C5CC2" w:rsidRDefault="0001360C">
      <w:pPr>
        <w:pStyle w:val="BodyText"/>
        <w:ind w:left="140"/>
      </w:pPr>
      <w:r>
        <w:t>In a manner reflective of the individual financial institution's size and other characteristics,</w:t>
      </w:r>
    </w:p>
    <w:tbl>
      <w:tblPr>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676"/>
        </w:trPr>
        <w:tc>
          <w:tcPr>
            <w:tcW w:w="5280" w:type="dxa"/>
            <w:tcBorders>
              <w:left w:val="nil"/>
            </w:tcBorders>
          </w:tcPr>
          <w:p w:rsidR="004C5CC2" w:rsidRDefault="0001360C">
            <w:pPr>
              <w:pStyle w:val="TableParagraph"/>
              <w:spacing w:before="8"/>
              <w:ind w:left="7" w:right="372"/>
              <w:rPr>
                <w:sz w:val="18"/>
              </w:rPr>
            </w:pPr>
            <w:r>
              <w:rPr>
                <w:sz w:val="18"/>
              </w:rPr>
              <w:t>3.1 The financial institution has a supplier diversity policy that provides for a fair opportunity for minority-owned and</w:t>
            </w:r>
          </w:p>
          <w:p w:rsidR="004C5CC2" w:rsidRDefault="0001360C">
            <w:pPr>
              <w:pStyle w:val="TableParagraph"/>
              <w:spacing w:before="4" w:line="208" w:lineRule="exact"/>
              <w:ind w:left="7" w:right="42"/>
              <w:rPr>
                <w:sz w:val="18"/>
              </w:rPr>
            </w:pPr>
            <w:proofErr w:type="gramStart"/>
            <w:r>
              <w:rPr>
                <w:sz w:val="18"/>
              </w:rPr>
              <w:t>women-owned</w:t>
            </w:r>
            <w:proofErr w:type="gramEnd"/>
            <w:r>
              <w:rPr>
                <w:sz w:val="18"/>
              </w:rPr>
              <w:t xml:space="preserve"> businesses to compete for procurement of business goods and services. This includes contracts of all types, including contracts for the issuance or guarantee of any debt, equity, or security, the sale of assets, the management of the financial institution's assets, and the development of the financial institution's equity investments.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bl>
    <w:p w:rsidR="004C5CC2" w:rsidRDefault="0001360C">
      <w:pPr>
        <w:pStyle w:val="ListParagraph"/>
        <w:numPr>
          <w:ilvl w:val="1"/>
          <w:numId w:val="2"/>
        </w:numPr>
        <w:tabs>
          <w:tab w:val="left" w:pos="456"/>
        </w:tabs>
        <w:spacing w:before="1" w:after="10"/>
        <w:ind w:hanging="300"/>
        <w:rPr>
          <w:sz w:val="18"/>
        </w:rPr>
      </w:pPr>
      <w:r>
        <w:rPr>
          <w:sz w:val="18"/>
        </w:rPr>
        <w:t>The financial institution has methods to evaluate its supplier diversity, which may include metrics and analysis related to:</w:t>
      </w:r>
    </w:p>
    <w:tbl>
      <w:tblPr>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080"/>
        </w:trPr>
        <w:tc>
          <w:tcPr>
            <w:tcW w:w="5280" w:type="dxa"/>
            <w:tcBorders>
              <w:left w:val="nil"/>
            </w:tcBorders>
          </w:tcPr>
          <w:p w:rsidR="004C5CC2" w:rsidRDefault="0001360C">
            <w:pPr>
              <w:pStyle w:val="TableParagraph"/>
              <w:spacing w:before="13"/>
              <w:ind w:left="367"/>
              <w:rPr>
                <w:sz w:val="18"/>
              </w:rPr>
            </w:pPr>
            <w:r>
              <w:rPr>
                <w:sz w:val="18"/>
              </w:rPr>
              <w:t>3.2(a) Annual Procurement Spending.</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0"/>
        </w:trPr>
        <w:tc>
          <w:tcPr>
            <w:tcW w:w="5280" w:type="dxa"/>
            <w:tcBorders>
              <w:left w:val="nil"/>
            </w:tcBorders>
          </w:tcPr>
          <w:p w:rsidR="004C5CC2" w:rsidRDefault="0001360C">
            <w:pPr>
              <w:pStyle w:val="TableParagraph"/>
              <w:spacing w:before="13"/>
              <w:ind w:left="367" w:right="470"/>
              <w:rPr>
                <w:sz w:val="18"/>
              </w:rPr>
            </w:pPr>
            <w:r>
              <w:rPr>
                <w:sz w:val="18"/>
              </w:rPr>
              <w:t>3.2(b) Percentage of contract dollars awarded to minority-owned and women-owned businesses by race, ethnicity, and gender.</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7"/>
        </w:trPr>
        <w:tc>
          <w:tcPr>
            <w:tcW w:w="5280" w:type="dxa"/>
            <w:tcBorders>
              <w:left w:val="nil"/>
            </w:tcBorders>
          </w:tcPr>
          <w:p w:rsidR="004C5CC2" w:rsidRDefault="0001360C">
            <w:pPr>
              <w:pStyle w:val="TableParagraph"/>
              <w:spacing w:before="13"/>
              <w:ind w:left="367" w:right="500"/>
              <w:rPr>
                <w:sz w:val="18"/>
              </w:rPr>
            </w:pPr>
            <w:r>
              <w:rPr>
                <w:sz w:val="18"/>
              </w:rPr>
              <w:t>3.2(c) Percentage of contracts with minority-owned and women-owned business subcontractors.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bl>
    <w:p w:rsidR="004C5CC2" w:rsidRDefault="0001360C">
      <w:pPr>
        <w:pStyle w:val="ListParagraph"/>
        <w:numPr>
          <w:ilvl w:val="1"/>
          <w:numId w:val="2"/>
        </w:numPr>
        <w:tabs>
          <w:tab w:val="left" w:pos="456"/>
        </w:tabs>
        <w:spacing w:before="13" w:after="10"/>
        <w:ind w:hanging="300"/>
        <w:rPr>
          <w:sz w:val="18"/>
        </w:rPr>
      </w:pPr>
      <w:r>
        <w:rPr>
          <w:sz w:val="18"/>
        </w:rPr>
        <w:t>The financial institution has practices to promote a diverse supplier pool, which may include:</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080"/>
        </w:trPr>
        <w:tc>
          <w:tcPr>
            <w:tcW w:w="5280" w:type="dxa"/>
            <w:tcBorders>
              <w:left w:val="nil"/>
            </w:tcBorders>
          </w:tcPr>
          <w:p w:rsidR="004C5CC2" w:rsidRDefault="0001360C">
            <w:pPr>
              <w:pStyle w:val="TableParagraph"/>
              <w:spacing w:before="13"/>
              <w:ind w:left="382" w:right="568"/>
              <w:rPr>
                <w:sz w:val="18"/>
              </w:rPr>
            </w:pPr>
            <w:r>
              <w:rPr>
                <w:sz w:val="18"/>
              </w:rPr>
              <w:t>3.3(a) Outreach to minority-owned and women-owned contractors and representative organizations.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0"/>
        </w:trPr>
        <w:tc>
          <w:tcPr>
            <w:tcW w:w="5280" w:type="dxa"/>
            <w:tcBorders>
              <w:left w:val="nil"/>
            </w:tcBorders>
          </w:tcPr>
          <w:p w:rsidR="004C5CC2" w:rsidRDefault="0001360C">
            <w:pPr>
              <w:pStyle w:val="TableParagraph"/>
              <w:spacing w:before="13"/>
              <w:ind w:left="382" w:right="326"/>
              <w:jc w:val="both"/>
              <w:rPr>
                <w:sz w:val="18"/>
              </w:rPr>
            </w:pPr>
            <w:r>
              <w:rPr>
                <w:sz w:val="18"/>
              </w:rPr>
              <w:t>3.3(b) Participation in conferences, workshops, and other events to attract minority-owned and women-owned firms and inform them of contracting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7"/>
        </w:trPr>
        <w:tc>
          <w:tcPr>
            <w:tcW w:w="5280" w:type="dxa"/>
            <w:tcBorders>
              <w:left w:val="nil"/>
              <w:bottom w:val="single" w:color="000000" w:sz="18" w:space="0"/>
            </w:tcBorders>
          </w:tcPr>
          <w:p w:rsidR="004C5CC2" w:rsidRDefault="0001360C">
            <w:pPr>
              <w:pStyle w:val="TableParagraph"/>
              <w:spacing w:before="13"/>
              <w:ind w:left="382" w:right="528"/>
              <w:rPr>
                <w:sz w:val="18"/>
              </w:rPr>
            </w:pPr>
            <w:r>
              <w:rPr>
                <w:sz w:val="18"/>
              </w:rPr>
              <w:t>3.3(c) An ongoing process to publicize its procurement opportunities.</w:t>
            </w:r>
          </w:p>
        </w:tc>
        <w:tc>
          <w:tcPr>
            <w:tcW w:w="1056" w:type="dxa"/>
            <w:tcBorders>
              <w:bottom w:val="single" w:color="000000" w:sz="18" w:space="0"/>
            </w:tcBorders>
          </w:tcPr>
          <w:p w:rsidR="004C5CC2" w:rsidRDefault="004C5CC2">
            <w:pPr>
              <w:pStyle w:val="TableParagraph"/>
              <w:rPr>
                <w:rFonts w:ascii="Times New Roman"/>
                <w:sz w:val="18"/>
              </w:rPr>
            </w:pPr>
          </w:p>
        </w:tc>
        <w:tc>
          <w:tcPr>
            <w:tcW w:w="4224" w:type="dxa"/>
            <w:tcBorders>
              <w:bottom w:val="single" w:color="000000" w:sz="18"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footerReference w:type="default" r:id="rId17"/>
          <w:pgSz w:w="12240" w:h="15840"/>
          <w:pgMar w:top="1120" w:right="720" w:bottom="1140" w:left="700" w:header="724" w:footer="943" w:gutter="0"/>
          <w:cols w:space="720"/>
        </w:sectPr>
      </w:pPr>
    </w:p>
    <w:p w:rsidR="004C5CC2" w:rsidRDefault="00D6045E">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18415" t="2540" r="19685" b="6985"/>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4" name="Line 17"/>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528pt;height:2.25pt;mso-position-horizontal-relative:char;mso-position-vertical-relative:line" coordsize="10560,45" o:spid="_x0000_s1026" w14:anchorId="3B03B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">
                <v:line id="Line 17"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"/>
                <w10:anchorlock/>
              </v:group>
            </w:pict>
          </mc:Fallback>
        </mc:AlternateContent>
      </w:r>
    </w:p>
    <w:p w:rsidR="004C5CC2" w:rsidRDefault="0001360C">
      <w:pPr>
        <w:ind w:left="3352"/>
        <w:rPr>
          <w:sz w:val="24"/>
        </w:rPr>
      </w:pPr>
      <w:r>
        <w:rPr>
          <w:sz w:val="24"/>
        </w:rPr>
        <w:t>Federal Deposit Insurance Corporation</w:t>
      </w:r>
    </w:p>
    <w:p w:rsidR="004C5CC2" w:rsidRDefault="0001360C">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1270" r="19685" b="8255"/>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2" name="Line 15"/>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528pt;height:2.25pt;mso-position-horizontal-relative:char;mso-position-vertical-relative:line" coordsize="10560,45" o:spid="_x0000_s1026" w14:anchorId="378D2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">
                <v:line id="Line 15"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"/>
                <w10:anchorlock/>
              </v:group>
            </w:pict>
          </mc:Fallback>
        </mc:AlternateContent>
      </w:r>
    </w:p>
    <w:p w:rsidR="004C5CC2" w:rsidRDefault="0001360C">
      <w:pPr>
        <w:pStyle w:val="Heading3"/>
        <w:numPr>
          <w:ilvl w:val="0"/>
          <w:numId w:val="2"/>
        </w:numPr>
        <w:tabs>
          <w:tab w:val="left" w:pos="341"/>
        </w:tabs>
        <w:ind w:hanging="200"/>
      </w:pPr>
      <w:r>
        <w:t>Practice to Promote Transparency of Organizational Diversity and Inclusion</w:t>
      </w:r>
    </w:p>
    <w:p w:rsidR="004C5CC2" w:rsidRDefault="0001360C">
      <w:pPr>
        <w:pStyle w:val="BodyText"/>
        <w:spacing w:before="31" w:after="38"/>
        <w:ind w:left="170" w:right="158"/>
      </w:pPr>
      <w:r>
        <w:t xml:space="preserve">Transparency and publicity are important aspects of assessing diversity policies and practices. Greater awareness and transparency give the public information to assess those policies and practices. Financial </w:t>
      </w:r>
      <w:r w:rsidR="009516B0">
        <w:t>institution</w:t>
      </w:r>
      <w:r w:rsidR="009516B0">
        <w:t>s</w:t>
      </w:r>
      <w:r>
        <w:t xml:space="preserve"> publicize information about their diversity and inclusion efforts through normal business methods, which include displaying information on their websites, in </w:t>
      </w:r>
      <w:r>
        <w:rPr>
          <w:spacing w:val="-3"/>
        </w:rPr>
        <w:t xml:space="preserve">their </w:t>
      </w:r>
      <w:r>
        <w:t xml:space="preserve">promotional materials, and in their annual reports to shareholders, if applicable. By making public a financial </w:t>
      </w:r>
      <w:r w:rsidR="009516B0">
        <w:t>institution</w:t>
      </w:r>
      <w:r w:rsidR="009516B0">
        <w:t>’s</w:t>
      </w:r>
      <w:r>
        <w:t xml:space="preserve"> commitment to diversity and inclusion, its plans for achieving diversity and inclusion, and the metrics it uses to measure success in both workplace and supplier diversity, a financial institution informs a broad constituency of investors, employees, potential employees, suppliers, customers, and the general community about its efforts. The publication of this information can make new markets accessible for minorities and women and illustrate the progress made toward an important business goal.</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1360C">
            <w:pPr>
              <w:pStyle w:val="TableParagraph"/>
              <w:spacing w:before="117"/>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1360C">
            <w:pPr>
              <w:pStyle w:val="TableParagraph"/>
              <w:spacing w:before="117"/>
              <w:ind w:left="225"/>
              <w:rPr>
                <w:sz w:val="18"/>
              </w:rPr>
            </w:pPr>
            <w:r>
              <w:rPr>
                <w:sz w:val="18"/>
              </w:rPr>
              <w:t>Yes/No</w:t>
            </w:r>
          </w:p>
        </w:tc>
        <w:tc>
          <w:tcPr>
            <w:tcW w:w="4224" w:type="dxa"/>
            <w:tcBorders>
              <w:left w:val="single" w:color="000000" w:sz="6" w:space="0"/>
              <w:right w:val="nil"/>
            </w:tcBorders>
            <w:shd w:val="clear" w:color="auto" w:fill="BFBFBF"/>
          </w:tcPr>
          <w:p w:rsidR="004C5CC2" w:rsidRDefault="0001360C">
            <w:pPr>
              <w:pStyle w:val="TableParagraph"/>
              <w:spacing w:before="13" w:line="200" w:lineRule="atLeast"/>
              <w:ind w:left="15" w:right="49"/>
              <w:rPr>
                <w:sz w:val="18"/>
              </w:rPr>
            </w:pPr>
            <w:r>
              <w:rPr>
                <w:sz w:val="18"/>
              </w:rPr>
              <w:t>Activities that support Program Success or Program Challenges</w:t>
            </w:r>
          </w:p>
        </w:tc>
      </w:tr>
    </w:tbl>
    <w:p w:rsidR="004C5CC2" w:rsidRDefault="0001360C">
      <w:pPr>
        <w:pStyle w:val="BodyText"/>
        <w:ind w:left="140" w:right="124"/>
      </w:pPr>
      <w:r>
        <w:t xml:space="preserve">In a manner reflective of the individual financial institution's size and other characteristics, the financial institution is transparent with respect to its diversity and inclusion </w:t>
      </w:r>
      <w:r w:rsidR="009516B0">
        <w:t>acti</w:t>
      </w:r>
      <w:r>
        <w:t>v</w:t>
      </w:r>
      <w:r w:rsidR="009516B0">
        <w:t>i</w:t>
      </w:r>
      <w:r>
        <w:t>ties by making the following information available to the public annually through its website or other appropriate communication methods.</w:t>
      </w:r>
    </w:p>
    <w:tbl>
      <w:tblPr>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55"/>
        </w:trPr>
        <w:tc>
          <w:tcPr>
            <w:tcW w:w="5280" w:type="dxa"/>
            <w:tcBorders>
              <w:left w:val="nil"/>
            </w:tcBorders>
          </w:tcPr>
          <w:p w:rsidR="004C5CC2" w:rsidRDefault="0001360C">
            <w:pPr>
              <w:pStyle w:val="TableParagraph"/>
              <w:spacing w:before="9"/>
              <w:ind w:left="11" w:right="228"/>
              <w:rPr>
                <w:sz w:val="18"/>
              </w:rPr>
            </w:pPr>
            <w:r>
              <w:rPr>
                <w:sz w:val="18"/>
              </w:rPr>
              <w:t>4.1 The financial institution publicizes its diversity and inclusion strategic plan.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55"/>
        </w:trPr>
        <w:tc>
          <w:tcPr>
            <w:tcW w:w="5280" w:type="dxa"/>
            <w:tcBorders>
              <w:left w:val="nil"/>
            </w:tcBorders>
          </w:tcPr>
          <w:p w:rsidR="004C5CC2" w:rsidRDefault="0001360C">
            <w:pPr>
              <w:pStyle w:val="TableParagraph"/>
              <w:spacing w:before="10"/>
              <w:ind w:left="11" w:right="19"/>
              <w:rPr>
                <w:sz w:val="18"/>
              </w:rPr>
            </w:pPr>
            <w:r>
              <w:rPr>
                <w:sz w:val="18"/>
              </w:rPr>
              <w:t>4.2 The financial institution publicizes its policy on its commitment to diversity and inclusion.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51"/>
        </w:trPr>
        <w:tc>
          <w:tcPr>
            <w:tcW w:w="5280" w:type="dxa"/>
            <w:tcBorders>
              <w:left w:val="nil"/>
              <w:bottom w:val="single" w:color="000000" w:sz="12" w:space="0"/>
            </w:tcBorders>
          </w:tcPr>
          <w:p w:rsidR="004C5CC2" w:rsidRDefault="0001360C">
            <w:pPr>
              <w:pStyle w:val="TableParagraph"/>
              <w:spacing w:before="10"/>
              <w:ind w:left="11" w:right="-26"/>
              <w:rPr>
                <w:sz w:val="18"/>
              </w:rPr>
            </w:pPr>
            <w:r>
              <w:rPr>
                <w:sz w:val="18"/>
              </w:rPr>
              <w:t>4.3 The financial institution is transparent about its progress toward achieving diversity and inclusion in its workforce and procurement activities, which may include the financial institution's current workforce and supplier demographic profiles.</w:t>
            </w:r>
          </w:p>
        </w:tc>
        <w:tc>
          <w:tcPr>
            <w:tcW w:w="1056" w:type="dxa"/>
            <w:tcBorders>
              <w:bottom w:val="single" w:color="000000" w:sz="12" w:space="0"/>
            </w:tcBorders>
          </w:tcPr>
          <w:p w:rsidR="004C5CC2" w:rsidRDefault="004C5CC2">
            <w:pPr>
              <w:pStyle w:val="TableParagraph"/>
              <w:rPr>
                <w:rFonts w:ascii="Times New Roman"/>
                <w:sz w:val="18"/>
              </w:rPr>
            </w:pPr>
          </w:p>
        </w:tc>
        <w:tc>
          <w:tcPr>
            <w:tcW w:w="4224" w:type="dxa"/>
            <w:tcBorders>
              <w:bottom w:val="single" w:color="000000" w:sz="12" w:space="0"/>
              <w:right w:val="nil"/>
            </w:tcBorders>
            <w:shd w:val="clear" w:color="auto" w:fill="DEE5FD"/>
          </w:tcPr>
          <w:p w:rsidR="004C5CC2" w:rsidRDefault="004C5CC2">
            <w:pPr>
              <w:pStyle w:val="TableParagraph"/>
              <w:rPr>
                <w:rFonts w:ascii="Times New Roman"/>
                <w:sz w:val="18"/>
              </w:rPr>
            </w:pPr>
          </w:p>
        </w:tc>
      </w:tr>
    </w:tbl>
    <w:p w:rsidR="004C5CC2" w:rsidRDefault="0001360C">
      <w:pPr>
        <w:pStyle w:val="BodyText"/>
        <w:ind w:left="155"/>
      </w:pPr>
      <w:r>
        <w:t>4.4 The financial institution publicizes its opportunities to promote diversity, which may include:</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55"/>
        </w:trPr>
        <w:tc>
          <w:tcPr>
            <w:tcW w:w="5280" w:type="dxa"/>
            <w:tcBorders>
              <w:left w:val="nil"/>
            </w:tcBorders>
          </w:tcPr>
          <w:p w:rsidR="004C5CC2" w:rsidRDefault="0001360C">
            <w:pPr>
              <w:pStyle w:val="TableParagraph"/>
              <w:spacing w:before="8"/>
              <w:ind w:left="382"/>
              <w:rPr>
                <w:sz w:val="18"/>
              </w:rPr>
            </w:pPr>
            <w:r>
              <w:rPr>
                <w:sz w:val="18"/>
              </w:rPr>
              <w:t>4.4(a) Current employment and procurement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55"/>
        </w:trPr>
        <w:tc>
          <w:tcPr>
            <w:tcW w:w="5280" w:type="dxa"/>
            <w:tcBorders>
              <w:left w:val="nil"/>
            </w:tcBorders>
          </w:tcPr>
          <w:p w:rsidR="004C5CC2" w:rsidRDefault="0001360C">
            <w:pPr>
              <w:pStyle w:val="TableParagraph"/>
              <w:spacing w:before="8"/>
              <w:ind w:left="382" w:right="188"/>
              <w:rPr>
                <w:sz w:val="18"/>
              </w:rPr>
            </w:pPr>
            <w:r>
              <w:rPr>
                <w:sz w:val="18"/>
              </w:rPr>
              <w:t>4.4(b) Forecasts of potential employment and procurement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62"/>
        </w:trPr>
        <w:tc>
          <w:tcPr>
            <w:tcW w:w="5280" w:type="dxa"/>
            <w:tcBorders>
              <w:left w:val="nil"/>
              <w:bottom w:val="single" w:color="000000" w:sz="18" w:space="0"/>
            </w:tcBorders>
          </w:tcPr>
          <w:p w:rsidR="004C5CC2" w:rsidRDefault="0001360C">
            <w:pPr>
              <w:pStyle w:val="TableParagraph"/>
              <w:spacing w:before="8"/>
              <w:ind w:left="382" w:right="368"/>
              <w:rPr>
                <w:sz w:val="18"/>
              </w:rPr>
            </w:pPr>
            <w:r>
              <w:rPr>
                <w:sz w:val="18"/>
              </w:rPr>
              <w:t>4.4(c) The availability and use of mentorship and developmental programs for employees and contractors.</w:t>
            </w:r>
          </w:p>
        </w:tc>
        <w:tc>
          <w:tcPr>
            <w:tcW w:w="1056" w:type="dxa"/>
            <w:tcBorders>
              <w:bottom w:val="single" w:color="000000" w:sz="18" w:space="0"/>
            </w:tcBorders>
          </w:tcPr>
          <w:p w:rsidR="004C5CC2" w:rsidRDefault="004C5CC2">
            <w:pPr>
              <w:pStyle w:val="TableParagraph"/>
              <w:rPr>
                <w:rFonts w:ascii="Times New Roman"/>
                <w:sz w:val="18"/>
              </w:rPr>
            </w:pPr>
          </w:p>
        </w:tc>
        <w:tc>
          <w:tcPr>
            <w:tcW w:w="4224" w:type="dxa"/>
            <w:tcBorders>
              <w:bottom w:val="single" w:color="000000" w:sz="18"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pgSz w:w="12240" w:h="15840"/>
          <w:pgMar w:top="1120" w:right="720" w:bottom="1380" w:left="700" w:header="724" w:footer="943" w:gutter="0"/>
          <w:cols w:space="720"/>
        </w:sectPr>
      </w:pPr>
    </w:p>
    <w:p w:rsidR="004C5CC2" w:rsidRDefault="0001360C">
      <w:pPr>
        <w:pStyle w:val="BodyText"/>
        <w:spacing w:before="66" w:after="3"/>
        <w:ind w:left="8078" w:right="118" w:firstLine="420"/>
        <w:jc w:val="right"/>
      </w:pPr>
      <w:r>
        <w:lastRenderedPageBreak/>
        <w:t>OMB NUMBER: 3064-0200 EXPIRATION DATE: 01/31/2023</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0" r="19685" b="9525"/>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0" name="Line 13"/>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528pt;height:2.25pt;mso-position-horizontal-relative:char;mso-position-vertical-relative:line" coordsize="10560,45" o:spid="_x0000_s1026" w14:anchorId="69310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">
                <v:line id="Line 13"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"/>
                <w10:anchorlock/>
              </v:group>
            </w:pict>
          </mc:Fallback>
        </mc:AlternateContent>
      </w:r>
    </w:p>
    <w:p w:rsidR="004C5CC2" w:rsidRDefault="0001360C">
      <w:pPr>
        <w:ind w:left="2848" w:right="2829"/>
        <w:jc w:val="center"/>
        <w:rPr>
          <w:sz w:val="24"/>
        </w:rPr>
      </w:pPr>
      <w:r>
        <w:rPr>
          <w:sz w:val="24"/>
        </w:rPr>
        <w:t>Federal Deposit Insurance Corporation</w:t>
      </w:r>
    </w:p>
    <w:p w:rsidR="004C5CC2" w:rsidRDefault="0001360C">
      <w:pPr>
        <w:spacing w:before="11"/>
        <w:ind w:left="2848" w:right="2830"/>
        <w:jc w:val="center"/>
        <w:rPr>
          <w:b/>
          <w:sz w:val="30"/>
        </w:rPr>
      </w:pPr>
      <w:r>
        <w:rPr>
          <w:b/>
          <w:sz w:val="30"/>
        </w:rPr>
        <w:t>DIVERSITY SELF-ASSESSMENT OF</w:t>
      </w:r>
    </w:p>
    <w:p w:rsidR="004C5CC2" w:rsidRDefault="0001360C">
      <w:pPr>
        <w:spacing w:before="13" w:after="4"/>
        <w:ind w:left="2162"/>
        <w:rPr>
          <w:b/>
          <w:sz w:val="30"/>
        </w:rPr>
      </w:pPr>
      <w:r>
        <w:rPr>
          <w:b/>
          <w:sz w:val="30"/>
        </w:rPr>
        <w:t>FDIC REGULATED FINANCIAL 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6350" r="19685" b="3175"/>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18" name="Line 11"/>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528pt;height:2.25pt;mso-position-horizontal-relative:char;mso-position-vertical-relative:line" coordsize="10560,45" o:spid="_x0000_s1026" w14:anchorId="098D5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">
                <v:line id="Line 11"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w10:anchorlock/>
              </v:group>
            </w:pict>
          </mc:Fallback>
        </mc:AlternateContent>
      </w:r>
    </w:p>
    <w:p w:rsidR="004C5CC2" w:rsidRDefault="0001360C">
      <w:pPr>
        <w:pStyle w:val="Heading3"/>
        <w:numPr>
          <w:ilvl w:val="0"/>
          <w:numId w:val="2"/>
        </w:numPr>
        <w:tabs>
          <w:tab w:val="left" w:pos="341"/>
        </w:tabs>
        <w:spacing w:before="4"/>
        <w:ind w:hanging="200"/>
      </w:pPr>
      <w:r>
        <w:t xml:space="preserve">Financial Institutions' </w:t>
      </w:r>
      <w:proofErr w:type="spellStart"/>
      <w:r>
        <w:t>Self Assessment</w:t>
      </w:r>
      <w:proofErr w:type="spellEnd"/>
    </w:p>
    <w:p w:rsidR="004C5CC2" w:rsidRDefault="0001360C">
      <w:pPr>
        <w:pStyle w:val="BodyText"/>
        <w:spacing w:before="31" w:after="34"/>
        <w:ind w:left="170" w:right="252"/>
        <w:jc w:val="both"/>
      </w:pPr>
      <w:r>
        <w:t>Financial institutions that have successful diversity policies and practices allocate time and resources to monitoring and evaluating performance under their diversity policies and practices on an ongoing basis. Financial institutions are encouraged to disclose their diversity policies and practices, as well as information related to their assessments, to the FDIC and the public.</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1360C">
            <w:pPr>
              <w:pStyle w:val="TableParagraph"/>
              <w:spacing w:before="117"/>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1360C">
            <w:pPr>
              <w:pStyle w:val="TableParagraph"/>
              <w:spacing w:before="117"/>
              <w:ind w:left="225"/>
              <w:rPr>
                <w:sz w:val="18"/>
              </w:rPr>
            </w:pPr>
            <w:r>
              <w:rPr>
                <w:sz w:val="18"/>
              </w:rPr>
              <w:t>Yes/No</w:t>
            </w:r>
          </w:p>
        </w:tc>
        <w:tc>
          <w:tcPr>
            <w:tcW w:w="4224" w:type="dxa"/>
            <w:tcBorders>
              <w:left w:val="single" w:color="000000" w:sz="6" w:space="0"/>
              <w:right w:val="nil"/>
            </w:tcBorders>
            <w:shd w:val="clear" w:color="auto" w:fill="BFBFBF"/>
          </w:tcPr>
          <w:p w:rsidR="004C5CC2" w:rsidRDefault="0001360C">
            <w:pPr>
              <w:pStyle w:val="TableParagraph"/>
              <w:spacing w:before="13" w:line="200" w:lineRule="atLeast"/>
              <w:ind w:left="15" w:right="49"/>
              <w:rPr>
                <w:sz w:val="18"/>
              </w:rPr>
            </w:pPr>
            <w:r>
              <w:rPr>
                <w:sz w:val="18"/>
              </w:rPr>
              <w:t>Activities that support Program Success or Program Challenges</w:t>
            </w:r>
          </w:p>
        </w:tc>
      </w:tr>
    </w:tbl>
    <w:p w:rsidR="004C5CC2" w:rsidRDefault="0001360C">
      <w:pPr>
        <w:pStyle w:val="BodyText"/>
        <w:ind w:left="140"/>
      </w:pPr>
      <w:r>
        <w:t>In a manner reflective of the individual financial institution's size and other characteristics,</w:t>
      </w:r>
    </w:p>
    <w:tbl>
      <w:tblPr>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365"/>
        </w:trPr>
        <w:tc>
          <w:tcPr>
            <w:tcW w:w="5280" w:type="dxa"/>
            <w:tcBorders>
              <w:left w:val="nil"/>
            </w:tcBorders>
          </w:tcPr>
          <w:p w:rsidR="004C5CC2" w:rsidRDefault="0001360C">
            <w:pPr>
              <w:pStyle w:val="TableParagraph"/>
              <w:spacing w:before="8"/>
              <w:ind w:left="26" w:right="634"/>
              <w:rPr>
                <w:sz w:val="18"/>
              </w:rPr>
            </w:pPr>
            <w:r>
              <w:rPr>
                <w:sz w:val="18"/>
              </w:rPr>
              <w:t>5.1 The financial institution conducts an assessment of its diversity policies and practices annually.</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365"/>
        </w:trPr>
        <w:tc>
          <w:tcPr>
            <w:tcW w:w="5280" w:type="dxa"/>
            <w:tcBorders>
              <w:left w:val="nil"/>
            </w:tcBorders>
          </w:tcPr>
          <w:p w:rsidR="004C5CC2" w:rsidRDefault="0001360C">
            <w:pPr>
              <w:pStyle w:val="TableParagraph"/>
              <w:spacing w:before="8"/>
              <w:ind w:left="26" w:right="494"/>
              <w:rPr>
                <w:sz w:val="18"/>
              </w:rPr>
            </w:pPr>
            <w:r>
              <w:rPr>
                <w:sz w:val="18"/>
              </w:rPr>
              <w:t>5.2 The financial institution monitors and evaluates its performance under its diversity policies and practices on an ongoing basis.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361"/>
        </w:trPr>
        <w:tc>
          <w:tcPr>
            <w:tcW w:w="5280" w:type="dxa"/>
            <w:tcBorders>
              <w:left w:val="nil"/>
              <w:bottom w:val="single" w:color="000000" w:sz="24" w:space="0"/>
            </w:tcBorders>
          </w:tcPr>
          <w:p w:rsidR="004C5CC2" w:rsidRDefault="0001360C">
            <w:pPr>
              <w:pStyle w:val="TableParagraph"/>
              <w:spacing w:before="8"/>
              <w:ind w:left="26" w:right="73"/>
              <w:rPr>
                <w:sz w:val="18"/>
              </w:rPr>
            </w:pPr>
            <w:r>
              <w:rPr>
                <w:sz w:val="18"/>
              </w:rPr>
              <w:t>5.3 The financial institution publishes information pertaining to its assessment of its diversity policies and practices.</w:t>
            </w:r>
          </w:p>
        </w:tc>
        <w:tc>
          <w:tcPr>
            <w:tcW w:w="1056" w:type="dxa"/>
            <w:tcBorders>
              <w:bottom w:val="single" w:color="000000" w:sz="24" w:space="0"/>
            </w:tcBorders>
          </w:tcPr>
          <w:p w:rsidR="004C5CC2" w:rsidRDefault="004C5CC2">
            <w:pPr>
              <w:pStyle w:val="TableParagraph"/>
              <w:rPr>
                <w:rFonts w:ascii="Times New Roman"/>
                <w:sz w:val="18"/>
              </w:rPr>
            </w:pPr>
          </w:p>
        </w:tc>
        <w:tc>
          <w:tcPr>
            <w:tcW w:w="4224" w:type="dxa"/>
            <w:tcBorders>
              <w:bottom w:val="single" w:color="000000" w:sz="24" w:space="0"/>
              <w:right w:val="nil"/>
            </w:tcBorders>
            <w:shd w:val="clear" w:color="auto" w:fill="DEE5FD"/>
          </w:tcPr>
          <w:p w:rsidR="004C5CC2" w:rsidRDefault="004C5CC2">
            <w:pPr>
              <w:pStyle w:val="TableParagraph"/>
              <w:rPr>
                <w:rFonts w:ascii="Times New Roman"/>
                <w:sz w:val="18"/>
              </w:rPr>
            </w:pPr>
          </w:p>
        </w:tc>
      </w:tr>
    </w:tbl>
    <w:p w:rsidR="004C5CC2" w:rsidRDefault="0001360C">
      <w:pPr>
        <w:spacing w:before="4"/>
        <w:ind w:left="140"/>
        <w:rPr>
          <w:b/>
          <w:sz w:val="19"/>
        </w:rPr>
      </w:pPr>
      <w:r>
        <w:rPr>
          <w:b/>
          <w:w w:val="105"/>
          <w:sz w:val="19"/>
        </w:rPr>
        <w:t>SECTION III - DIVERSITY DATA</w:t>
      </w:r>
    </w:p>
    <w:p w:rsidR="004C5CC2" w:rsidRDefault="0001360C">
      <w:pPr>
        <w:tabs>
          <w:tab w:val="left" w:pos="4669"/>
          <w:tab w:val="left" w:pos="10699"/>
        </w:tabs>
        <w:spacing w:before="69"/>
        <w:ind w:left="140"/>
        <w:rPr>
          <w:b/>
          <w:sz w:val="18"/>
        </w:rPr>
      </w:pPr>
      <w:r>
        <w:rPr>
          <w:b/>
          <w:color w:val="FFFFFF"/>
          <w:sz w:val="18"/>
          <w:shd w:val="clear" w:color="auto" w:fill="000000"/>
        </w:rPr>
        <w:t xml:space="preserve"> </w:t>
      </w:r>
      <w:r>
        <w:rPr>
          <w:b/>
          <w:color w:val="FFFFFF"/>
          <w:sz w:val="18"/>
          <w:shd w:val="clear" w:color="auto" w:fill="000000"/>
        </w:rPr>
        <w:tab/>
        <w:t>Workforce Profile</w:t>
      </w:r>
      <w:r>
        <w:rPr>
          <w:b/>
          <w:color w:val="FFFFFF"/>
          <w:sz w:val="18"/>
          <w:shd w:val="clear" w:color="auto" w:fill="000000"/>
        </w:rPr>
        <w:tab/>
      </w:r>
    </w:p>
    <w:p w:rsidR="004C5CC2" w:rsidRDefault="0001360C">
      <w:pPr>
        <w:pStyle w:val="ListParagraph"/>
        <w:numPr>
          <w:ilvl w:val="0"/>
          <w:numId w:val="1"/>
        </w:numPr>
        <w:tabs>
          <w:tab w:val="left" w:pos="356"/>
        </w:tabs>
        <w:spacing w:before="32" w:after="10"/>
        <w:ind w:right="823" w:firstLine="0"/>
        <w:rPr>
          <w:sz w:val="18"/>
        </w:rPr>
      </w:pPr>
      <w:r>
        <w:rPr>
          <w:sz w:val="18"/>
        </w:rPr>
        <w:t xml:space="preserve">What are the numbers and percentages of women and minorities in the financial institution's total workforce for the </w:t>
      </w:r>
      <w:r>
        <w:rPr>
          <w:spacing w:val="-3"/>
          <w:sz w:val="18"/>
        </w:rPr>
        <w:t xml:space="preserve">period </w:t>
      </w:r>
      <w:r>
        <w:rPr>
          <w:sz w:val="18"/>
        </w:rPr>
        <w:t>covered by this assessment?</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0"/>
        <w:gridCol w:w="951"/>
        <w:gridCol w:w="951"/>
        <w:gridCol w:w="634"/>
        <w:gridCol w:w="739"/>
        <w:gridCol w:w="1161"/>
        <w:gridCol w:w="1267"/>
        <w:gridCol w:w="1584"/>
        <w:gridCol w:w="1584"/>
      </w:tblGrid>
      <w:tr w:rsidR="004C5CC2">
        <w:trPr>
          <w:trHeight w:val="237"/>
        </w:trPr>
        <w:tc>
          <w:tcPr>
            <w:tcW w:w="1690" w:type="dxa"/>
            <w:tcBorders>
              <w:left w:val="nil"/>
            </w:tcBorders>
            <w:shd w:val="clear" w:color="auto" w:fill="BFBFBF"/>
          </w:tcPr>
          <w:p w:rsidR="004C5CC2" w:rsidRDefault="0001360C">
            <w:pPr>
              <w:pStyle w:val="TableParagraph"/>
              <w:spacing w:before="13" w:line="204" w:lineRule="exact"/>
              <w:ind w:left="15"/>
              <w:rPr>
                <w:sz w:val="18"/>
              </w:rPr>
            </w:pPr>
            <w:r>
              <w:rPr>
                <w:sz w:val="18"/>
              </w:rPr>
              <w:t>Total Workforce #</w:t>
            </w:r>
          </w:p>
        </w:tc>
        <w:tc>
          <w:tcPr>
            <w:tcW w:w="951" w:type="dxa"/>
            <w:shd w:val="clear" w:color="auto" w:fill="BFBFBF"/>
          </w:tcPr>
          <w:p w:rsidR="004C5CC2" w:rsidRDefault="0001360C">
            <w:pPr>
              <w:pStyle w:val="TableParagraph"/>
              <w:spacing w:before="13" w:line="204" w:lineRule="exact"/>
              <w:ind w:left="14"/>
              <w:rPr>
                <w:sz w:val="18"/>
              </w:rPr>
            </w:pPr>
            <w:r>
              <w:rPr>
                <w:sz w:val="18"/>
              </w:rPr>
              <w:t>Women #</w:t>
            </w:r>
          </w:p>
        </w:tc>
        <w:tc>
          <w:tcPr>
            <w:tcW w:w="951" w:type="dxa"/>
            <w:shd w:val="clear" w:color="auto" w:fill="BFBFBF"/>
          </w:tcPr>
          <w:p w:rsidR="004C5CC2" w:rsidRDefault="0001360C">
            <w:pPr>
              <w:pStyle w:val="TableParagraph"/>
              <w:spacing w:before="13" w:line="204" w:lineRule="exact"/>
              <w:ind w:right="74"/>
              <w:jc w:val="center"/>
              <w:rPr>
                <w:sz w:val="18"/>
              </w:rPr>
            </w:pPr>
            <w:r>
              <w:rPr>
                <w:sz w:val="18"/>
              </w:rPr>
              <w:t>Women %</w:t>
            </w:r>
          </w:p>
        </w:tc>
        <w:tc>
          <w:tcPr>
            <w:tcW w:w="634" w:type="dxa"/>
            <w:shd w:val="clear" w:color="auto" w:fill="BFBFBF"/>
          </w:tcPr>
          <w:p w:rsidR="004C5CC2" w:rsidRDefault="0001360C">
            <w:pPr>
              <w:pStyle w:val="TableParagraph"/>
              <w:spacing w:before="13" w:line="204" w:lineRule="exact"/>
              <w:ind w:left="14"/>
              <w:rPr>
                <w:sz w:val="18"/>
              </w:rPr>
            </w:pPr>
            <w:r>
              <w:rPr>
                <w:sz w:val="18"/>
              </w:rPr>
              <w:t>Men #</w:t>
            </w:r>
          </w:p>
        </w:tc>
        <w:tc>
          <w:tcPr>
            <w:tcW w:w="739" w:type="dxa"/>
            <w:shd w:val="clear" w:color="auto" w:fill="BFBFBF"/>
          </w:tcPr>
          <w:p w:rsidR="004C5CC2" w:rsidRDefault="0001360C">
            <w:pPr>
              <w:pStyle w:val="TableParagraph"/>
              <w:spacing w:before="13" w:line="204" w:lineRule="exact"/>
              <w:ind w:right="147"/>
              <w:jc w:val="right"/>
              <w:rPr>
                <w:sz w:val="18"/>
              </w:rPr>
            </w:pPr>
            <w:r>
              <w:rPr>
                <w:sz w:val="18"/>
              </w:rPr>
              <w:t>Men %</w:t>
            </w:r>
          </w:p>
        </w:tc>
        <w:tc>
          <w:tcPr>
            <w:tcW w:w="1161" w:type="dxa"/>
            <w:shd w:val="clear" w:color="auto" w:fill="BFBFBF"/>
          </w:tcPr>
          <w:p w:rsidR="004C5CC2" w:rsidRDefault="0001360C">
            <w:pPr>
              <w:pStyle w:val="TableParagraph"/>
              <w:spacing w:before="13" w:line="204" w:lineRule="exact"/>
              <w:ind w:left="14"/>
              <w:rPr>
                <w:sz w:val="18"/>
              </w:rPr>
            </w:pPr>
            <w:r>
              <w:rPr>
                <w:sz w:val="18"/>
              </w:rPr>
              <w:t>Minorities #</w:t>
            </w:r>
          </w:p>
        </w:tc>
        <w:tc>
          <w:tcPr>
            <w:tcW w:w="1267" w:type="dxa"/>
            <w:shd w:val="clear" w:color="auto" w:fill="BFBFBF"/>
          </w:tcPr>
          <w:p w:rsidR="004C5CC2" w:rsidRDefault="0001360C">
            <w:pPr>
              <w:pStyle w:val="TableParagraph"/>
              <w:spacing w:before="13" w:line="204" w:lineRule="exact"/>
              <w:ind w:left="14"/>
              <w:rPr>
                <w:sz w:val="18"/>
              </w:rPr>
            </w:pPr>
            <w:r>
              <w:rPr>
                <w:sz w:val="18"/>
              </w:rPr>
              <w:t>Minorities %</w:t>
            </w:r>
          </w:p>
        </w:tc>
        <w:tc>
          <w:tcPr>
            <w:tcW w:w="1584" w:type="dxa"/>
            <w:shd w:val="clear" w:color="auto" w:fill="BFBFBF"/>
          </w:tcPr>
          <w:p w:rsidR="004C5CC2" w:rsidRDefault="0001360C">
            <w:pPr>
              <w:pStyle w:val="TableParagraph"/>
              <w:spacing w:before="13" w:line="204" w:lineRule="exact"/>
              <w:ind w:left="14"/>
              <w:rPr>
                <w:sz w:val="18"/>
              </w:rPr>
            </w:pPr>
            <w:r>
              <w:rPr>
                <w:sz w:val="18"/>
              </w:rPr>
              <w:t>Non-Minorities #</w:t>
            </w:r>
          </w:p>
        </w:tc>
        <w:tc>
          <w:tcPr>
            <w:tcW w:w="1584" w:type="dxa"/>
            <w:tcBorders>
              <w:right w:val="nil"/>
            </w:tcBorders>
            <w:shd w:val="clear" w:color="auto" w:fill="BFBFBF"/>
          </w:tcPr>
          <w:p w:rsidR="004C5CC2" w:rsidRDefault="0001360C">
            <w:pPr>
              <w:pStyle w:val="TableParagraph"/>
              <w:spacing w:before="13" w:line="204" w:lineRule="exact"/>
              <w:ind w:left="14"/>
              <w:rPr>
                <w:sz w:val="18"/>
              </w:rPr>
            </w:pPr>
            <w:r>
              <w:rPr>
                <w:sz w:val="18"/>
              </w:rPr>
              <w:t>Non-Minorities %</w:t>
            </w:r>
          </w:p>
        </w:tc>
      </w:tr>
      <w:tr w:rsidR="004C5CC2">
        <w:trPr>
          <w:trHeight w:val="525"/>
        </w:trPr>
        <w:tc>
          <w:tcPr>
            <w:tcW w:w="1690" w:type="dxa"/>
            <w:tcBorders>
              <w:left w:val="nil"/>
            </w:tcBorders>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01360C">
            <w:pPr>
              <w:pStyle w:val="TableParagraph"/>
              <w:spacing w:before="156"/>
              <w:jc w:val="center"/>
              <w:rPr>
                <w:sz w:val="18"/>
              </w:rPr>
            </w:pPr>
            <w:r>
              <w:rPr>
                <w:sz w:val="18"/>
              </w:rPr>
              <w:t>0.0%</w:t>
            </w:r>
          </w:p>
        </w:tc>
        <w:tc>
          <w:tcPr>
            <w:tcW w:w="634" w:type="dxa"/>
            <w:shd w:val="clear" w:color="auto" w:fill="DEE5FD"/>
          </w:tcPr>
          <w:p w:rsidR="004C5CC2" w:rsidRDefault="004C5CC2">
            <w:pPr>
              <w:pStyle w:val="TableParagraph"/>
              <w:rPr>
                <w:rFonts w:ascii="Times New Roman"/>
                <w:sz w:val="18"/>
              </w:rPr>
            </w:pPr>
          </w:p>
        </w:tc>
        <w:tc>
          <w:tcPr>
            <w:tcW w:w="739" w:type="dxa"/>
            <w:shd w:val="clear" w:color="auto" w:fill="DEE5FD"/>
          </w:tcPr>
          <w:p w:rsidR="004C5CC2" w:rsidRDefault="0001360C">
            <w:pPr>
              <w:pStyle w:val="TableParagraph"/>
              <w:spacing w:before="156"/>
              <w:ind w:right="155"/>
              <w:jc w:val="right"/>
              <w:rPr>
                <w:sz w:val="18"/>
              </w:rPr>
            </w:pPr>
            <w:r>
              <w:rPr>
                <w:sz w:val="18"/>
              </w:rPr>
              <w:t>0.0%</w:t>
            </w:r>
          </w:p>
        </w:tc>
        <w:tc>
          <w:tcPr>
            <w:tcW w:w="1161" w:type="dxa"/>
            <w:shd w:val="clear" w:color="auto" w:fill="DEE5FD"/>
          </w:tcPr>
          <w:p w:rsidR="004C5CC2" w:rsidRDefault="004C5CC2">
            <w:pPr>
              <w:pStyle w:val="TableParagraph"/>
              <w:rPr>
                <w:rFonts w:ascii="Times New Roman"/>
                <w:sz w:val="18"/>
              </w:rPr>
            </w:pPr>
          </w:p>
        </w:tc>
        <w:tc>
          <w:tcPr>
            <w:tcW w:w="1267" w:type="dxa"/>
            <w:shd w:val="clear" w:color="auto" w:fill="DEE5FD"/>
          </w:tcPr>
          <w:p w:rsidR="004C5CC2" w:rsidRDefault="0001360C">
            <w:pPr>
              <w:pStyle w:val="TableParagraph"/>
              <w:spacing w:before="156"/>
              <w:ind w:left="400" w:right="401"/>
              <w:jc w:val="center"/>
              <w:rPr>
                <w:sz w:val="18"/>
              </w:rPr>
            </w:pPr>
            <w:r>
              <w:rPr>
                <w:sz w:val="18"/>
              </w:rPr>
              <w:t>0.0%</w:t>
            </w:r>
          </w:p>
        </w:tc>
        <w:tc>
          <w:tcPr>
            <w:tcW w:w="1584" w:type="dxa"/>
            <w:shd w:val="clear" w:color="auto" w:fill="DEE5FD"/>
          </w:tcPr>
          <w:p w:rsidR="004C5CC2" w:rsidRDefault="004C5CC2">
            <w:pPr>
              <w:pStyle w:val="TableParagraph"/>
              <w:rPr>
                <w:rFonts w:ascii="Times New Roman"/>
                <w:sz w:val="18"/>
              </w:rPr>
            </w:pPr>
          </w:p>
        </w:tc>
        <w:tc>
          <w:tcPr>
            <w:tcW w:w="1584" w:type="dxa"/>
            <w:tcBorders>
              <w:right w:val="nil"/>
            </w:tcBorders>
            <w:shd w:val="clear" w:color="auto" w:fill="DEE5FD"/>
          </w:tcPr>
          <w:p w:rsidR="004C5CC2" w:rsidRDefault="0001360C">
            <w:pPr>
              <w:pStyle w:val="TableParagraph"/>
              <w:spacing w:before="156"/>
              <w:ind w:left="562" w:right="563"/>
              <w:jc w:val="center"/>
              <w:rPr>
                <w:sz w:val="18"/>
              </w:rPr>
            </w:pPr>
            <w:r>
              <w:rPr>
                <w:sz w:val="18"/>
              </w:rPr>
              <w:t>0.0%</w:t>
            </w:r>
          </w:p>
        </w:tc>
      </w:tr>
    </w:tbl>
    <w:p w:rsidR="004C5CC2" w:rsidRDefault="0001360C">
      <w:pPr>
        <w:pStyle w:val="ListParagraph"/>
        <w:numPr>
          <w:ilvl w:val="0"/>
          <w:numId w:val="1"/>
        </w:numPr>
        <w:tabs>
          <w:tab w:val="left" w:pos="356"/>
        </w:tabs>
        <w:spacing w:before="6" w:after="11"/>
        <w:ind w:right="233" w:firstLine="0"/>
        <w:rPr>
          <w:sz w:val="18"/>
        </w:rPr>
      </w:pPr>
      <w:r>
        <w:rPr>
          <w:sz w:val="18"/>
        </w:rPr>
        <w:t xml:space="preserve">What are the numbers and percentages of women and minorities in the financial institution's Executive/Senior Level Officials </w:t>
      </w:r>
      <w:r>
        <w:rPr>
          <w:spacing w:val="-6"/>
          <w:sz w:val="18"/>
        </w:rPr>
        <w:t xml:space="preserve">and </w:t>
      </w:r>
      <w:r>
        <w:rPr>
          <w:sz w:val="18"/>
        </w:rPr>
        <w:t>Managers job category for the period covered by this assessment?</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0"/>
        <w:gridCol w:w="951"/>
        <w:gridCol w:w="951"/>
        <w:gridCol w:w="634"/>
        <w:gridCol w:w="739"/>
        <w:gridCol w:w="1161"/>
        <w:gridCol w:w="1267"/>
        <w:gridCol w:w="1584"/>
        <w:gridCol w:w="1584"/>
      </w:tblGrid>
      <w:tr w:rsidR="004C5CC2">
        <w:trPr>
          <w:trHeight w:val="237"/>
        </w:trPr>
        <w:tc>
          <w:tcPr>
            <w:tcW w:w="1690" w:type="dxa"/>
            <w:tcBorders>
              <w:left w:val="nil"/>
            </w:tcBorders>
            <w:shd w:val="clear" w:color="auto" w:fill="BFBFBF"/>
          </w:tcPr>
          <w:p w:rsidR="004C5CC2" w:rsidRDefault="0001360C">
            <w:pPr>
              <w:pStyle w:val="TableParagraph"/>
              <w:spacing w:before="13" w:line="204" w:lineRule="exact"/>
              <w:ind w:left="15"/>
              <w:rPr>
                <w:sz w:val="18"/>
              </w:rPr>
            </w:pPr>
            <w:r>
              <w:rPr>
                <w:sz w:val="18"/>
              </w:rPr>
              <w:t>Total Management #</w:t>
            </w:r>
          </w:p>
        </w:tc>
        <w:tc>
          <w:tcPr>
            <w:tcW w:w="951" w:type="dxa"/>
            <w:shd w:val="clear" w:color="auto" w:fill="BFBFBF"/>
          </w:tcPr>
          <w:p w:rsidR="004C5CC2" w:rsidRDefault="0001360C">
            <w:pPr>
              <w:pStyle w:val="TableParagraph"/>
              <w:spacing w:before="13" w:line="204" w:lineRule="exact"/>
              <w:ind w:left="14"/>
              <w:rPr>
                <w:sz w:val="18"/>
              </w:rPr>
            </w:pPr>
            <w:r>
              <w:rPr>
                <w:sz w:val="18"/>
              </w:rPr>
              <w:t>Women #</w:t>
            </w:r>
          </w:p>
        </w:tc>
        <w:tc>
          <w:tcPr>
            <w:tcW w:w="951" w:type="dxa"/>
            <w:shd w:val="clear" w:color="auto" w:fill="BFBFBF"/>
          </w:tcPr>
          <w:p w:rsidR="004C5CC2" w:rsidRDefault="0001360C">
            <w:pPr>
              <w:pStyle w:val="TableParagraph"/>
              <w:spacing w:before="13" w:line="204" w:lineRule="exact"/>
              <w:ind w:right="74"/>
              <w:jc w:val="center"/>
              <w:rPr>
                <w:sz w:val="18"/>
              </w:rPr>
            </w:pPr>
            <w:r>
              <w:rPr>
                <w:sz w:val="18"/>
              </w:rPr>
              <w:t>Women %</w:t>
            </w:r>
          </w:p>
        </w:tc>
        <w:tc>
          <w:tcPr>
            <w:tcW w:w="634" w:type="dxa"/>
            <w:shd w:val="clear" w:color="auto" w:fill="BFBFBF"/>
          </w:tcPr>
          <w:p w:rsidR="004C5CC2" w:rsidRDefault="0001360C">
            <w:pPr>
              <w:pStyle w:val="TableParagraph"/>
              <w:spacing w:before="13" w:line="204" w:lineRule="exact"/>
              <w:ind w:left="14"/>
              <w:rPr>
                <w:sz w:val="18"/>
              </w:rPr>
            </w:pPr>
            <w:r>
              <w:rPr>
                <w:sz w:val="18"/>
              </w:rPr>
              <w:t>Men #</w:t>
            </w:r>
          </w:p>
        </w:tc>
        <w:tc>
          <w:tcPr>
            <w:tcW w:w="739" w:type="dxa"/>
            <w:shd w:val="clear" w:color="auto" w:fill="BFBFBF"/>
          </w:tcPr>
          <w:p w:rsidR="004C5CC2" w:rsidRDefault="0001360C">
            <w:pPr>
              <w:pStyle w:val="TableParagraph"/>
              <w:spacing w:before="13" w:line="204" w:lineRule="exact"/>
              <w:ind w:right="147"/>
              <w:jc w:val="right"/>
              <w:rPr>
                <w:sz w:val="18"/>
              </w:rPr>
            </w:pPr>
            <w:r>
              <w:rPr>
                <w:sz w:val="18"/>
              </w:rPr>
              <w:t>Men %</w:t>
            </w:r>
          </w:p>
        </w:tc>
        <w:tc>
          <w:tcPr>
            <w:tcW w:w="1161" w:type="dxa"/>
            <w:shd w:val="clear" w:color="auto" w:fill="BFBFBF"/>
          </w:tcPr>
          <w:p w:rsidR="004C5CC2" w:rsidRDefault="0001360C">
            <w:pPr>
              <w:pStyle w:val="TableParagraph"/>
              <w:spacing w:before="13" w:line="204" w:lineRule="exact"/>
              <w:ind w:left="14"/>
              <w:rPr>
                <w:sz w:val="18"/>
              </w:rPr>
            </w:pPr>
            <w:r>
              <w:rPr>
                <w:sz w:val="18"/>
              </w:rPr>
              <w:t>Minorities #</w:t>
            </w:r>
          </w:p>
        </w:tc>
        <w:tc>
          <w:tcPr>
            <w:tcW w:w="1267" w:type="dxa"/>
            <w:shd w:val="clear" w:color="auto" w:fill="BFBFBF"/>
          </w:tcPr>
          <w:p w:rsidR="004C5CC2" w:rsidRDefault="0001360C">
            <w:pPr>
              <w:pStyle w:val="TableParagraph"/>
              <w:spacing w:before="13" w:line="204" w:lineRule="exact"/>
              <w:ind w:left="14"/>
              <w:rPr>
                <w:sz w:val="18"/>
              </w:rPr>
            </w:pPr>
            <w:r>
              <w:rPr>
                <w:sz w:val="18"/>
              </w:rPr>
              <w:t>Minorities %</w:t>
            </w:r>
          </w:p>
        </w:tc>
        <w:tc>
          <w:tcPr>
            <w:tcW w:w="1584" w:type="dxa"/>
            <w:shd w:val="clear" w:color="auto" w:fill="BFBFBF"/>
          </w:tcPr>
          <w:p w:rsidR="004C5CC2" w:rsidRDefault="0001360C">
            <w:pPr>
              <w:pStyle w:val="TableParagraph"/>
              <w:spacing w:before="13" w:line="204" w:lineRule="exact"/>
              <w:ind w:left="14"/>
              <w:rPr>
                <w:sz w:val="18"/>
              </w:rPr>
            </w:pPr>
            <w:r>
              <w:rPr>
                <w:sz w:val="18"/>
              </w:rPr>
              <w:t>Non-Minorities #</w:t>
            </w:r>
          </w:p>
        </w:tc>
        <w:tc>
          <w:tcPr>
            <w:tcW w:w="1584" w:type="dxa"/>
            <w:tcBorders>
              <w:right w:val="nil"/>
            </w:tcBorders>
            <w:shd w:val="clear" w:color="auto" w:fill="BFBFBF"/>
          </w:tcPr>
          <w:p w:rsidR="004C5CC2" w:rsidRDefault="0001360C">
            <w:pPr>
              <w:pStyle w:val="TableParagraph"/>
              <w:spacing w:before="13" w:line="204" w:lineRule="exact"/>
              <w:ind w:left="14"/>
              <w:rPr>
                <w:sz w:val="18"/>
              </w:rPr>
            </w:pPr>
            <w:r>
              <w:rPr>
                <w:sz w:val="18"/>
              </w:rPr>
              <w:t>Non-Minorities %</w:t>
            </w:r>
          </w:p>
        </w:tc>
      </w:tr>
      <w:tr w:rsidR="004C5CC2">
        <w:trPr>
          <w:trHeight w:val="525"/>
        </w:trPr>
        <w:tc>
          <w:tcPr>
            <w:tcW w:w="1690" w:type="dxa"/>
            <w:tcBorders>
              <w:left w:val="nil"/>
            </w:tcBorders>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01360C">
            <w:pPr>
              <w:pStyle w:val="TableParagraph"/>
              <w:spacing w:before="156"/>
              <w:jc w:val="center"/>
              <w:rPr>
                <w:sz w:val="18"/>
              </w:rPr>
            </w:pPr>
            <w:r>
              <w:rPr>
                <w:sz w:val="18"/>
              </w:rPr>
              <w:t>0.0%</w:t>
            </w:r>
          </w:p>
        </w:tc>
        <w:tc>
          <w:tcPr>
            <w:tcW w:w="634" w:type="dxa"/>
            <w:shd w:val="clear" w:color="auto" w:fill="DEE5FD"/>
          </w:tcPr>
          <w:p w:rsidR="004C5CC2" w:rsidRDefault="004C5CC2">
            <w:pPr>
              <w:pStyle w:val="TableParagraph"/>
              <w:rPr>
                <w:rFonts w:ascii="Times New Roman"/>
                <w:sz w:val="18"/>
              </w:rPr>
            </w:pPr>
          </w:p>
        </w:tc>
        <w:tc>
          <w:tcPr>
            <w:tcW w:w="739" w:type="dxa"/>
            <w:shd w:val="clear" w:color="auto" w:fill="DEE5FD"/>
          </w:tcPr>
          <w:p w:rsidR="004C5CC2" w:rsidRDefault="0001360C">
            <w:pPr>
              <w:pStyle w:val="TableParagraph"/>
              <w:spacing w:before="156"/>
              <w:ind w:right="155"/>
              <w:jc w:val="right"/>
              <w:rPr>
                <w:sz w:val="18"/>
              </w:rPr>
            </w:pPr>
            <w:r>
              <w:rPr>
                <w:sz w:val="18"/>
              </w:rPr>
              <w:t>0.0%</w:t>
            </w:r>
          </w:p>
        </w:tc>
        <w:tc>
          <w:tcPr>
            <w:tcW w:w="1161" w:type="dxa"/>
            <w:shd w:val="clear" w:color="auto" w:fill="DEE5FD"/>
          </w:tcPr>
          <w:p w:rsidR="004C5CC2" w:rsidRDefault="004C5CC2">
            <w:pPr>
              <w:pStyle w:val="TableParagraph"/>
              <w:rPr>
                <w:rFonts w:ascii="Times New Roman"/>
                <w:sz w:val="18"/>
              </w:rPr>
            </w:pPr>
          </w:p>
        </w:tc>
        <w:tc>
          <w:tcPr>
            <w:tcW w:w="1267" w:type="dxa"/>
            <w:shd w:val="clear" w:color="auto" w:fill="DEE5FD"/>
          </w:tcPr>
          <w:p w:rsidR="004C5CC2" w:rsidRDefault="0001360C">
            <w:pPr>
              <w:pStyle w:val="TableParagraph"/>
              <w:spacing w:before="156"/>
              <w:ind w:left="400" w:right="401"/>
              <w:jc w:val="center"/>
              <w:rPr>
                <w:sz w:val="18"/>
              </w:rPr>
            </w:pPr>
            <w:r>
              <w:rPr>
                <w:sz w:val="18"/>
              </w:rPr>
              <w:t>0.0%</w:t>
            </w:r>
          </w:p>
        </w:tc>
        <w:tc>
          <w:tcPr>
            <w:tcW w:w="1584" w:type="dxa"/>
            <w:shd w:val="clear" w:color="auto" w:fill="DEE5FD"/>
          </w:tcPr>
          <w:p w:rsidR="004C5CC2" w:rsidRDefault="004C5CC2">
            <w:pPr>
              <w:pStyle w:val="TableParagraph"/>
              <w:rPr>
                <w:rFonts w:ascii="Times New Roman"/>
                <w:sz w:val="18"/>
              </w:rPr>
            </w:pPr>
          </w:p>
        </w:tc>
        <w:tc>
          <w:tcPr>
            <w:tcW w:w="1584" w:type="dxa"/>
            <w:tcBorders>
              <w:right w:val="nil"/>
            </w:tcBorders>
            <w:shd w:val="clear" w:color="auto" w:fill="DEE5FD"/>
          </w:tcPr>
          <w:p w:rsidR="004C5CC2" w:rsidRDefault="0001360C">
            <w:pPr>
              <w:pStyle w:val="TableParagraph"/>
              <w:spacing w:before="156"/>
              <w:ind w:left="562" w:right="563"/>
              <w:jc w:val="center"/>
              <w:rPr>
                <w:sz w:val="18"/>
              </w:rPr>
            </w:pPr>
            <w:r>
              <w:rPr>
                <w:sz w:val="18"/>
              </w:rPr>
              <w:t>0.0%</w:t>
            </w:r>
          </w:p>
        </w:tc>
      </w:tr>
    </w:tbl>
    <w:p w:rsidR="004C5CC2" w:rsidRDefault="0001360C">
      <w:pPr>
        <w:pStyle w:val="ListParagraph"/>
        <w:numPr>
          <w:ilvl w:val="0"/>
          <w:numId w:val="1"/>
        </w:numPr>
        <w:tabs>
          <w:tab w:val="left" w:pos="356"/>
        </w:tabs>
        <w:spacing w:before="6" w:after="11"/>
        <w:ind w:right="533" w:firstLine="0"/>
        <w:rPr>
          <w:sz w:val="18"/>
        </w:rPr>
      </w:pPr>
      <w:r>
        <w:rPr>
          <w:sz w:val="18"/>
        </w:rPr>
        <w:t xml:space="preserve">What are the numbers and percentages of women and minorities of the financial institution's Board of Directors for the </w:t>
      </w:r>
      <w:r>
        <w:rPr>
          <w:spacing w:val="-3"/>
          <w:sz w:val="18"/>
        </w:rPr>
        <w:t xml:space="preserve">period </w:t>
      </w:r>
      <w:r>
        <w:rPr>
          <w:sz w:val="18"/>
        </w:rPr>
        <w:t>covered by this assessment?</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0"/>
        <w:gridCol w:w="951"/>
        <w:gridCol w:w="951"/>
        <w:gridCol w:w="634"/>
        <w:gridCol w:w="739"/>
        <w:gridCol w:w="1161"/>
        <w:gridCol w:w="1267"/>
        <w:gridCol w:w="1584"/>
        <w:gridCol w:w="1584"/>
      </w:tblGrid>
      <w:tr w:rsidR="004C5CC2">
        <w:trPr>
          <w:trHeight w:val="237"/>
        </w:trPr>
        <w:tc>
          <w:tcPr>
            <w:tcW w:w="1690" w:type="dxa"/>
            <w:tcBorders>
              <w:left w:val="nil"/>
            </w:tcBorders>
            <w:shd w:val="clear" w:color="auto" w:fill="BFBFBF"/>
          </w:tcPr>
          <w:p w:rsidR="004C5CC2" w:rsidRDefault="0001360C">
            <w:pPr>
              <w:pStyle w:val="TableParagraph"/>
              <w:spacing w:before="31"/>
              <w:ind w:left="15"/>
              <w:rPr>
                <w:sz w:val="15"/>
              </w:rPr>
            </w:pPr>
            <w:r>
              <w:rPr>
                <w:sz w:val="15"/>
              </w:rPr>
              <w:t>Total Board Members #</w:t>
            </w:r>
          </w:p>
        </w:tc>
        <w:tc>
          <w:tcPr>
            <w:tcW w:w="951" w:type="dxa"/>
            <w:shd w:val="clear" w:color="auto" w:fill="BFBFBF"/>
          </w:tcPr>
          <w:p w:rsidR="004C5CC2" w:rsidRDefault="0001360C">
            <w:pPr>
              <w:pStyle w:val="TableParagraph"/>
              <w:spacing w:before="13" w:line="204" w:lineRule="exact"/>
              <w:ind w:left="14"/>
              <w:rPr>
                <w:sz w:val="18"/>
              </w:rPr>
            </w:pPr>
            <w:r>
              <w:rPr>
                <w:sz w:val="18"/>
              </w:rPr>
              <w:t>Women #</w:t>
            </w:r>
          </w:p>
        </w:tc>
        <w:tc>
          <w:tcPr>
            <w:tcW w:w="951" w:type="dxa"/>
            <w:shd w:val="clear" w:color="auto" w:fill="BFBFBF"/>
          </w:tcPr>
          <w:p w:rsidR="004C5CC2" w:rsidRDefault="0001360C">
            <w:pPr>
              <w:pStyle w:val="TableParagraph"/>
              <w:spacing w:before="13" w:line="204" w:lineRule="exact"/>
              <w:ind w:right="74"/>
              <w:jc w:val="center"/>
              <w:rPr>
                <w:sz w:val="18"/>
              </w:rPr>
            </w:pPr>
            <w:r>
              <w:rPr>
                <w:sz w:val="18"/>
              </w:rPr>
              <w:t>Women %</w:t>
            </w:r>
          </w:p>
        </w:tc>
        <w:tc>
          <w:tcPr>
            <w:tcW w:w="634" w:type="dxa"/>
            <w:shd w:val="clear" w:color="auto" w:fill="BFBFBF"/>
          </w:tcPr>
          <w:p w:rsidR="004C5CC2" w:rsidRDefault="0001360C">
            <w:pPr>
              <w:pStyle w:val="TableParagraph"/>
              <w:spacing w:before="13" w:line="204" w:lineRule="exact"/>
              <w:ind w:left="14"/>
              <w:rPr>
                <w:sz w:val="18"/>
              </w:rPr>
            </w:pPr>
            <w:r>
              <w:rPr>
                <w:sz w:val="18"/>
              </w:rPr>
              <w:t>Men #</w:t>
            </w:r>
          </w:p>
        </w:tc>
        <w:tc>
          <w:tcPr>
            <w:tcW w:w="739" w:type="dxa"/>
            <w:shd w:val="clear" w:color="auto" w:fill="BFBFBF"/>
          </w:tcPr>
          <w:p w:rsidR="004C5CC2" w:rsidRDefault="0001360C">
            <w:pPr>
              <w:pStyle w:val="TableParagraph"/>
              <w:spacing w:before="13" w:line="204" w:lineRule="exact"/>
              <w:ind w:right="147"/>
              <w:jc w:val="right"/>
              <w:rPr>
                <w:sz w:val="18"/>
              </w:rPr>
            </w:pPr>
            <w:r>
              <w:rPr>
                <w:sz w:val="18"/>
              </w:rPr>
              <w:t>Men %</w:t>
            </w:r>
          </w:p>
        </w:tc>
        <w:tc>
          <w:tcPr>
            <w:tcW w:w="1161" w:type="dxa"/>
            <w:shd w:val="clear" w:color="auto" w:fill="BFBFBF"/>
          </w:tcPr>
          <w:p w:rsidR="004C5CC2" w:rsidRDefault="0001360C">
            <w:pPr>
              <w:pStyle w:val="TableParagraph"/>
              <w:spacing w:before="13" w:line="204" w:lineRule="exact"/>
              <w:ind w:left="14"/>
              <w:rPr>
                <w:sz w:val="18"/>
              </w:rPr>
            </w:pPr>
            <w:r>
              <w:rPr>
                <w:sz w:val="18"/>
              </w:rPr>
              <w:t>Minorities #</w:t>
            </w:r>
          </w:p>
        </w:tc>
        <w:tc>
          <w:tcPr>
            <w:tcW w:w="1267" w:type="dxa"/>
            <w:shd w:val="clear" w:color="auto" w:fill="BFBFBF"/>
          </w:tcPr>
          <w:p w:rsidR="004C5CC2" w:rsidRDefault="0001360C">
            <w:pPr>
              <w:pStyle w:val="TableParagraph"/>
              <w:spacing w:before="13" w:line="204" w:lineRule="exact"/>
              <w:ind w:left="14"/>
              <w:rPr>
                <w:sz w:val="18"/>
              </w:rPr>
            </w:pPr>
            <w:r>
              <w:rPr>
                <w:sz w:val="18"/>
              </w:rPr>
              <w:t>Minorities %</w:t>
            </w:r>
          </w:p>
        </w:tc>
        <w:tc>
          <w:tcPr>
            <w:tcW w:w="1584" w:type="dxa"/>
            <w:shd w:val="clear" w:color="auto" w:fill="BFBFBF"/>
          </w:tcPr>
          <w:p w:rsidR="004C5CC2" w:rsidRDefault="0001360C">
            <w:pPr>
              <w:pStyle w:val="TableParagraph"/>
              <w:spacing w:before="13" w:line="204" w:lineRule="exact"/>
              <w:ind w:left="14"/>
              <w:rPr>
                <w:sz w:val="18"/>
              </w:rPr>
            </w:pPr>
            <w:r>
              <w:rPr>
                <w:sz w:val="18"/>
              </w:rPr>
              <w:t>Non-Minorities #</w:t>
            </w:r>
          </w:p>
        </w:tc>
        <w:tc>
          <w:tcPr>
            <w:tcW w:w="1584" w:type="dxa"/>
            <w:tcBorders>
              <w:right w:val="nil"/>
            </w:tcBorders>
            <w:shd w:val="clear" w:color="auto" w:fill="BFBFBF"/>
          </w:tcPr>
          <w:p w:rsidR="004C5CC2" w:rsidRDefault="0001360C">
            <w:pPr>
              <w:pStyle w:val="TableParagraph"/>
              <w:spacing w:before="13" w:line="204" w:lineRule="exact"/>
              <w:ind w:left="14"/>
              <w:rPr>
                <w:sz w:val="18"/>
              </w:rPr>
            </w:pPr>
            <w:r>
              <w:rPr>
                <w:sz w:val="18"/>
              </w:rPr>
              <w:t>Non-Minorities %</w:t>
            </w:r>
          </w:p>
        </w:tc>
      </w:tr>
      <w:tr w:rsidR="004C5CC2">
        <w:trPr>
          <w:trHeight w:val="532"/>
        </w:trPr>
        <w:tc>
          <w:tcPr>
            <w:tcW w:w="1690" w:type="dxa"/>
            <w:tcBorders>
              <w:left w:val="nil"/>
              <w:bottom w:val="nil"/>
            </w:tcBorders>
            <w:shd w:val="clear" w:color="auto" w:fill="DEE5FD"/>
          </w:tcPr>
          <w:p w:rsidR="004C5CC2" w:rsidRDefault="004C5CC2">
            <w:pPr>
              <w:pStyle w:val="TableParagraph"/>
              <w:rPr>
                <w:rFonts w:ascii="Times New Roman"/>
                <w:sz w:val="18"/>
              </w:rPr>
            </w:pPr>
          </w:p>
        </w:tc>
        <w:tc>
          <w:tcPr>
            <w:tcW w:w="951" w:type="dxa"/>
            <w:tcBorders>
              <w:bottom w:val="nil"/>
            </w:tcBorders>
            <w:shd w:val="clear" w:color="auto" w:fill="DEE5FD"/>
          </w:tcPr>
          <w:p w:rsidR="004C5CC2" w:rsidRDefault="004C5CC2">
            <w:pPr>
              <w:pStyle w:val="TableParagraph"/>
              <w:rPr>
                <w:rFonts w:ascii="Times New Roman"/>
                <w:sz w:val="18"/>
              </w:rPr>
            </w:pPr>
          </w:p>
        </w:tc>
        <w:tc>
          <w:tcPr>
            <w:tcW w:w="951" w:type="dxa"/>
            <w:tcBorders>
              <w:bottom w:val="nil"/>
            </w:tcBorders>
            <w:shd w:val="clear" w:color="auto" w:fill="DEE5FD"/>
          </w:tcPr>
          <w:p w:rsidR="004C5CC2" w:rsidRDefault="0001360C">
            <w:pPr>
              <w:pStyle w:val="TableParagraph"/>
              <w:spacing w:before="156"/>
              <w:jc w:val="center"/>
              <w:rPr>
                <w:sz w:val="18"/>
              </w:rPr>
            </w:pPr>
            <w:r>
              <w:rPr>
                <w:sz w:val="18"/>
              </w:rPr>
              <w:t>0.0%</w:t>
            </w:r>
          </w:p>
        </w:tc>
        <w:tc>
          <w:tcPr>
            <w:tcW w:w="634" w:type="dxa"/>
            <w:tcBorders>
              <w:bottom w:val="nil"/>
            </w:tcBorders>
            <w:shd w:val="clear" w:color="auto" w:fill="DEE5FD"/>
          </w:tcPr>
          <w:p w:rsidR="004C5CC2" w:rsidRDefault="004C5CC2">
            <w:pPr>
              <w:pStyle w:val="TableParagraph"/>
              <w:rPr>
                <w:rFonts w:ascii="Times New Roman"/>
                <w:sz w:val="18"/>
              </w:rPr>
            </w:pPr>
          </w:p>
        </w:tc>
        <w:tc>
          <w:tcPr>
            <w:tcW w:w="739" w:type="dxa"/>
            <w:tcBorders>
              <w:bottom w:val="nil"/>
            </w:tcBorders>
            <w:shd w:val="clear" w:color="auto" w:fill="DEE5FD"/>
          </w:tcPr>
          <w:p w:rsidR="004C5CC2" w:rsidRDefault="0001360C">
            <w:pPr>
              <w:pStyle w:val="TableParagraph"/>
              <w:spacing w:before="156"/>
              <w:ind w:right="155"/>
              <w:jc w:val="right"/>
              <w:rPr>
                <w:sz w:val="18"/>
              </w:rPr>
            </w:pPr>
            <w:r>
              <w:rPr>
                <w:sz w:val="18"/>
              </w:rPr>
              <w:t>0.0%</w:t>
            </w:r>
          </w:p>
        </w:tc>
        <w:tc>
          <w:tcPr>
            <w:tcW w:w="1161" w:type="dxa"/>
            <w:tcBorders>
              <w:bottom w:val="nil"/>
            </w:tcBorders>
            <w:shd w:val="clear" w:color="auto" w:fill="DEE5FD"/>
          </w:tcPr>
          <w:p w:rsidR="004C5CC2" w:rsidRDefault="004C5CC2">
            <w:pPr>
              <w:pStyle w:val="TableParagraph"/>
              <w:rPr>
                <w:rFonts w:ascii="Times New Roman"/>
                <w:sz w:val="18"/>
              </w:rPr>
            </w:pPr>
          </w:p>
        </w:tc>
        <w:tc>
          <w:tcPr>
            <w:tcW w:w="1267" w:type="dxa"/>
            <w:tcBorders>
              <w:bottom w:val="nil"/>
            </w:tcBorders>
            <w:shd w:val="clear" w:color="auto" w:fill="DEE5FD"/>
          </w:tcPr>
          <w:p w:rsidR="004C5CC2" w:rsidRDefault="0001360C">
            <w:pPr>
              <w:pStyle w:val="TableParagraph"/>
              <w:spacing w:before="156"/>
              <w:ind w:left="400" w:right="401"/>
              <w:jc w:val="center"/>
              <w:rPr>
                <w:sz w:val="18"/>
              </w:rPr>
            </w:pPr>
            <w:r>
              <w:rPr>
                <w:sz w:val="18"/>
              </w:rPr>
              <w:t>0.0%</w:t>
            </w:r>
          </w:p>
        </w:tc>
        <w:tc>
          <w:tcPr>
            <w:tcW w:w="1584" w:type="dxa"/>
            <w:tcBorders>
              <w:bottom w:val="nil"/>
            </w:tcBorders>
            <w:shd w:val="clear" w:color="auto" w:fill="DEE5FD"/>
          </w:tcPr>
          <w:p w:rsidR="004C5CC2" w:rsidRDefault="004C5CC2">
            <w:pPr>
              <w:pStyle w:val="TableParagraph"/>
              <w:rPr>
                <w:rFonts w:ascii="Times New Roman"/>
                <w:sz w:val="18"/>
              </w:rPr>
            </w:pPr>
          </w:p>
        </w:tc>
        <w:tc>
          <w:tcPr>
            <w:tcW w:w="1584" w:type="dxa"/>
            <w:tcBorders>
              <w:bottom w:val="nil"/>
              <w:right w:val="nil"/>
            </w:tcBorders>
            <w:shd w:val="clear" w:color="auto" w:fill="DEE5FD"/>
          </w:tcPr>
          <w:p w:rsidR="004C5CC2" w:rsidRDefault="0001360C">
            <w:pPr>
              <w:pStyle w:val="TableParagraph"/>
              <w:spacing w:before="156"/>
              <w:ind w:left="562" w:right="563"/>
              <w:jc w:val="center"/>
              <w:rPr>
                <w:sz w:val="18"/>
              </w:rPr>
            </w:pPr>
            <w:r>
              <w:rPr>
                <w:sz w:val="18"/>
              </w:rPr>
              <w:t>0.0%</w:t>
            </w:r>
          </w:p>
        </w:tc>
      </w:tr>
      <w:tr w:rsidR="004C5CC2">
        <w:trPr>
          <w:trHeight w:val="244"/>
        </w:trPr>
        <w:tc>
          <w:tcPr>
            <w:tcW w:w="10561" w:type="dxa"/>
            <w:gridSpan w:val="9"/>
            <w:tcBorders>
              <w:top w:val="nil"/>
              <w:left w:val="nil"/>
              <w:bottom w:val="nil"/>
              <w:right w:val="nil"/>
            </w:tcBorders>
            <w:shd w:val="clear" w:color="auto" w:fill="000000"/>
          </w:tcPr>
          <w:p w:rsidR="004C5CC2" w:rsidRDefault="0001360C">
            <w:pPr>
              <w:pStyle w:val="TableParagraph"/>
              <w:spacing w:before="19" w:line="205" w:lineRule="exact"/>
              <w:ind w:left="3860" w:right="3860"/>
              <w:jc w:val="center"/>
              <w:rPr>
                <w:b/>
                <w:sz w:val="18"/>
              </w:rPr>
            </w:pPr>
            <w:r>
              <w:rPr>
                <w:b/>
                <w:color w:val="FFFFFF"/>
                <w:sz w:val="18"/>
              </w:rPr>
              <w:t>Procurement - Supplier Diversity</w:t>
            </w:r>
          </w:p>
        </w:tc>
      </w:tr>
    </w:tbl>
    <w:p w:rsidR="004C5CC2" w:rsidRDefault="0001360C">
      <w:pPr>
        <w:pStyle w:val="ListParagraph"/>
        <w:numPr>
          <w:ilvl w:val="0"/>
          <w:numId w:val="1"/>
        </w:numPr>
        <w:tabs>
          <w:tab w:val="left" w:pos="356"/>
        </w:tabs>
        <w:spacing w:before="13" w:after="11"/>
        <w:ind w:right="553" w:firstLine="0"/>
        <w:rPr>
          <w:sz w:val="18"/>
        </w:rPr>
      </w:pPr>
      <w:r>
        <w:rPr>
          <w:sz w:val="18"/>
        </w:rPr>
        <w:t xml:space="preserve">What is the financial institution's total annual procurement spend for the period covered by this assessment with minority </w:t>
      </w:r>
      <w:r>
        <w:rPr>
          <w:spacing w:val="-6"/>
          <w:sz w:val="18"/>
        </w:rPr>
        <w:t xml:space="preserve">and </w:t>
      </w:r>
      <w:r>
        <w:rPr>
          <w:sz w:val="18"/>
        </w:rPr>
        <w:t>women-owned businesses compared to the total procurement spend with all vendors and suppliers?</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17"/>
        <w:gridCol w:w="949"/>
        <w:gridCol w:w="789"/>
        <w:gridCol w:w="813"/>
        <w:gridCol w:w="767"/>
        <w:gridCol w:w="954"/>
        <w:gridCol w:w="794"/>
        <w:gridCol w:w="1192"/>
        <w:gridCol w:w="1192"/>
        <w:gridCol w:w="1151"/>
        <w:gridCol w:w="1143"/>
      </w:tblGrid>
      <w:tr w:rsidR="004C5CC2">
        <w:trPr>
          <w:trHeight w:val="707"/>
        </w:trPr>
        <w:tc>
          <w:tcPr>
            <w:tcW w:w="817" w:type="dxa"/>
            <w:tcBorders>
              <w:left w:val="nil"/>
            </w:tcBorders>
            <w:shd w:val="clear" w:color="auto" w:fill="BFBFBF"/>
          </w:tcPr>
          <w:p w:rsidR="004C5CC2" w:rsidRDefault="0001360C">
            <w:pPr>
              <w:pStyle w:val="TableParagraph"/>
              <w:spacing w:before="143"/>
              <w:ind w:left="15" w:right="103"/>
              <w:rPr>
                <w:sz w:val="18"/>
              </w:rPr>
            </w:pPr>
            <w:r>
              <w:rPr>
                <w:sz w:val="18"/>
              </w:rPr>
              <w:t>Total Spend $</w:t>
            </w:r>
          </w:p>
        </w:tc>
        <w:tc>
          <w:tcPr>
            <w:tcW w:w="949" w:type="dxa"/>
            <w:shd w:val="clear" w:color="auto" w:fill="BFBFBF"/>
          </w:tcPr>
          <w:p w:rsidR="004C5CC2" w:rsidRDefault="0001360C">
            <w:pPr>
              <w:pStyle w:val="TableParagraph"/>
              <w:spacing w:before="16" w:line="220" w:lineRule="atLeast"/>
              <w:ind w:left="14" w:right="190"/>
              <w:jc w:val="both"/>
              <w:rPr>
                <w:sz w:val="19"/>
              </w:rPr>
            </w:pPr>
            <w:r>
              <w:rPr>
                <w:w w:val="105"/>
                <w:sz w:val="19"/>
              </w:rPr>
              <w:t xml:space="preserve">Women Owned Spend </w:t>
            </w:r>
            <w:r>
              <w:rPr>
                <w:spacing w:val="-17"/>
                <w:w w:val="105"/>
                <w:sz w:val="19"/>
              </w:rPr>
              <w:t>$</w:t>
            </w:r>
          </w:p>
        </w:tc>
        <w:tc>
          <w:tcPr>
            <w:tcW w:w="789" w:type="dxa"/>
            <w:shd w:val="clear" w:color="auto" w:fill="BFBFBF"/>
          </w:tcPr>
          <w:p w:rsidR="004C5CC2" w:rsidRDefault="0001360C">
            <w:pPr>
              <w:pStyle w:val="TableParagraph"/>
              <w:spacing w:before="70" w:line="249" w:lineRule="auto"/>
              <w:ind w:left="14"/>
              <w:rPr>
                <w:sz w:val="16"/>
              </w:rPr>
            </w:pPr>
            <w:r>
              <w:rPr>
                <w:w w:val="105"/>
                <w:sz w:val="16"/>
              </w:rPr>
              <w:t>Women Owned Spend %</w:t>
            </w:r>
          </w:p>
        </w:tc>
        <w:tc>
          <w:tcPr>
            <w:tcW w:w="813" w:type="dxa"/>
            <w:shd w:val="clear" w:color="auto" w:fill="BFBFBF"/>
          </w:tcPr>
          <w:p w:rsidR="004C5CC2" w:rsidRDefault="0001360C">
            <w:pPr>
              <w:pStyle w:val="TableParagraph"/>
              <w:spacing w:before="16" w:line="220" w:lineRule="atLeast"/>
              <w:ind w:left="14"/>
              <w:rPr>
                <w:sz w:val="19"/>
              </w:rPr>
            </w:pPr>
            <w:r>
              <w:rPr>
                <w:w w:val="105"/>
                <w:sz w:val="19"/>
              </w:rPr>
              <w:t>Men Owned Spend $</w:t>
            </w:r>
          </w:p>
        </w:tc>
        <w:tc>
          <w:tcPr>
            <w:tcW w:w="767" w:type="dxa"/>
            <w:shd w:val="clear" w:color="auto" w:fill="BFBFBF"/>
          </w:tcPr>
          <w:p w:rsidR="004C5CC2" w:rsidRDefault="0001360C">
            <w:pPr>
              <w:pStyle w:val="TableParagraph"/>
              <w:spacing w:before="70" w:line="249" w:lineRule="auto"/>
              <w:ind w:left="14"/>
              <w:rPr>
                <w:sz w:val="16"/>
              </w:rPr>
            </w:pPr>
            <w:r>
              <w:rPr>
                <w:w w:val="105"/>
                <w:sz w:val="16"/>
              </w:rPr>
              <w:t>Men Owned Spend %</w:t>
            </w:r>
          </w:p>
        </w:tc>
        <w:tc>
          <w:tcPr>
            <w:tcW w:w="954" w:type="dxa"/>
            <w:shd w:val="clear" w:color="auto" w:fill="BFBFBF"/>
          </w:tcPr>
          <w:p w:rsidR="004C5CC2" w:rsidRDefault="0001360C">
            <w:pPr>
              <w:pStyle w:val="TableParagraph"/>
              <w:spacing w:before="16" w:line="220" w:lineRule="atLeast"/>
              <w:ind w:left="14"/>
              <w:rPr>
                <w:sz w:val="19"/>
              </w:rPr>
            </w:pPr>
            <w:r>
              <w:rPr>
                <w:w w:val="105"/>
                <w:sz w:val="19"/>
              </w:rPr>
              <w:t>Minority Owned Spend $</w:t>
            </w:r>
          </w:p>
        </w:tc>
        <w:tc>
          <w:tcPr>
            <w:tcW w:w="794" w:type="dxa"/>
            <w:shd w:val="clear" w:color="auto" w:fill="BFBFBF"/>
          </w:tcPr>
          <w:p w:rsidR="004C5CC2" w:rsidRDefault="0001360C">
            <w:pPr>
              <w:pStyle w:val="TableParagraph"/>
              <w:spacing w:before="70" w:line="249" w:lineRule="auto"/>
              <w:ind w:left="14"/>
              <w:rPr>
                <w:sz w:val="16"/>
              </w:rPr>
            </w:pPr>
            <w:r>
              <w:rPr>
                <w:w w:val="105"/>
                <w:sz w:val="16"/>
              </w:rPr>
              <w:t>Minority Owned Spend %</w:t>
            </w:r>
          </w:p>
        </w:tc>
        <w:tc>
          <w:tcPr>
            <w:tcW w:w="1192" w:type="dxa"/>
            <w:shd w:val="clear" w:color="auto" w:fill="BFBFBF"/>
          </w:tcPr>
          <w:p w:rsidR="004C5CC2" w:rsidRDefault="0001360C">
            <w:pPr>
              <w:pStyle w:val="TableParagraph"/>
              <w:spacing w:before="70" w:line="249" w:lineRule="auto"/>
              <w:ind w:left="14" w:right="13"/>
              <w:rPr>
                <w:sz w:val="16"/>
              </w:rPr>
            </w:pPr>
            <w:r>
              <w:rPr>
                <w:w w:val="105"/>
                <w:sz w:val="16"/>
              </w:rPr>
              <w:t xml:space="preserve">Minority- and </w:t>
            </w:r>
            <w:r>
              <w:rPr>
                <w:sz w:val="16"/>
              </w:rPr>
              <w:t xml:space="preserve">Women-Owned </w:t>
            </w:r>
            <w:r>
              <w:rPr>
                <w:w w:val="105"/>
                <w:sz w:val="16"/>
              </w:rPr>
              <w:t>Spend $</w:t>
            </w:r>
          </w:p>
        </w:tc>
        <w:tc>
          <w:tcPr>
            <w:tcW w:w="1192" w:type="dxa"/>
            <w:shd w:val="clear" w:color="auto" w:fill="BFBFBF"/>
          </w:tcPr>
          <w:p w:rsidR="004C5CC2" w:rsidRDefault="0001360C">
            <w:pPr>
              <w:pStyle w:val="TableParagraph"/>
              <w:spacing w:before="70" w:line="249" w:lineRule="auto"/>
              <w:ind w:left="14" w:right="14"/>
              <w:rPr>
                <w:sz w:val="16"/>
              </w:rPr>
            </w:pPr>
            <w:r>
              <w:rPr>
                <w:w w:val="105"/>
                <w:sz w:val="16"/>
              </w:rPr>
              <w:t xml:space="preserve">Minority- and </w:t>
            </w:r>
            <w:r>
              <w:rPr>
                <w:sz w:val="16"/>
              </w:rPr>
              <w:t xml:space="preserve">Women-Owned </w:t>
            </w:r>
            <w:r>
              <w:rPr>
                <w:w w:val="105"/>
                <w:sz w:val="16"/>
              </w:rPr>
              <w:t>Spend %</w:t>
            </w:r>
          </w:p>
        </w:tc>
        <w:tc>
          <w:tcPr>
            <w:tcW w:w="1151" w:type="dxa"/>
            <w:shd w:val="clear" w:color="auto" w:fill="BFBFBF"/>
          </w:tcPr>
          <w:p w:rsidR="004C5CC2" w:rsidRDefault="0001360C">
            <w:pPr>
              <w:pStyle w:val="TableParagraph"/>
              <w:spacing w:before="16" w:line="220" w:lineRule="atLeast"/>
              <w:ind w:left="14"/>
              <w:rPr>
                <w:sz w:val="19"/>
              </w:rPr>
            </w:pPr>
            <w:r>
              <w:rPr>
                <w:sz w:val="19"/>
              </w:rPr>
              <w:t xml:space="preserve">Non-Minority </w:t>
            </w:r>
            <w:r>
              <w:rPr>
                <w:w w:val="105"/>
                <w:sz w:val="19"/>
              </w:rPr>
              <w:t>Owned Spend $</w:t>
            </w:r>
          </w:p>
        </w:tc>
        <w:tc>
          <w:tcPr>
            <w:tcW w:w="1143" w:type="dxa"/>
            <w:tcBorders>
              <w:right w:val="nil"/>
            </w:tcBorders>
            <w:shd w:val="clear" w:color="auto" w:fill="BFBFBF"/>
          </w:tcPr>
          <w:p w:rsidR="004C5CC2" w:rsidRDefault="0001360C">
            <w:pPr>
              <w:pStyle w:val="TableParagraph"/>
              <w:spacing w:before="16" w:line="220" w:lineRule="atLeast"/>
              <w:ind w:left="14"/>
              <w:rPr>
                <w:sz w:val="19"/>
              </w:rPr>
            </w:pPr>
            <w:r>
              <w:rPr>
                <w:sz w:val="19"/>
              </w:rPr>
              <w:t xml:space="preserve">Non-Minority </w:t>
            </w:r>
            <w:r>
              <w:rPr>
                <w:w w:val="105"/>
                <w:sz w:val="19"/>
              </w:rPr>
              <w:t>Owned Spend%</w:t>
            </w:r>
          </w:p>
        </w:tc>
      </w:tr>
      <w:tr w:rsidR="004C5CC2">
        <w:trPr>
          <w:trHeight w:val="521"/>
        </w:trPr>
        <w:tc>
          <w:tcPr>
            <w:tcW w:w="817" w:type="dxa"/>
            <w:tcBorders>
              <w:left w:val="nil"/>
              <w:bottom w:val="single" w:color="000000" w:sz="24" w:space="0"/>
            </w:tcBorders>
            <w:shd w:val="clear" w:color="auto" w:fill="DEE5FD"/>
          </w:tcPr>
          <w:p w:rsidR="004C5CC2" w:rsidRDefault="004C5CC2">
            <w:pPr>
              <w:pStyle w:val="TableParagraph"/>
              <w:rPr>
                <w:rFonts w:ascii="Times New Roman"/>
                <w:sz w:val="18"/>
              </w:rPr>
            </w:pPr>
          </w:p>
        </w:tc>
        <w:tc>
          <w:tcPr>
            <w:tcW w:w="949" w:type="dxa"/>
            <w:tcBorders>
              <w:bottom w:val="single" w:color="000000" w:sz="24" w:space="0"/>
            </w:tcBorders>
            <w:shd w:val="clear" w:color="auto" w:fill="DEE5FD"/>
          </w:tcPr>
          <w:p w:rsidR="004C5CC2" w:rsidRDefault="004C5CC2">
            <w:pPr>
              <w:pStyle w:val="TableParagraph"/>
              <w:rPr>
                <w:rFonts w:ascii="Times New Roman"/>
                <w:sz w:val="18"/>
              </w:rPr>
            </w:pPr>
          </w:p>
        </w:tc>
        <w:tc>
          <w:tcPr>
            <w:tcW w:w="789" w:type="dxa"/>
            <w:tcBorders>
              <w:bottom w:val="single" w:color="000000" w:sz="24" w:space="0"/>
            </w:tcBorders>
            <w:shd w:val="clear" w:color="auto" w:fill="DEE5FD"/>
          </w:tcPr>
          <w:p w:rsidR="004C5CC2" w:rsidRDefault="0001360C">
            <w:pPr>
              <w:pStyle w:val="TableParagraph"/>
              <w:spacing w:before="152"/>
              <w:ind w:left="164"/>
              <w:rPr>
                <w:sz w:val="19"/>
              </w:rPr>
            </w:pPr>
            <w:r>
              <w:rPr>
                <w:w w:val="105"/>
                <w:sz w:val="19"/>
              </w:rPr>
              <w:t>0.0%</w:t>
            </w:r>
          </w:p>
        </w:tc>
        <w:tc>
          <w:tcPr>
            <w:tcW w:w="813" w:type="dxa"/>
            <w:tcBorders>
              <w:bottom w:val="single" w:color="000000" w:sz="24" w:space="0"/>
            </w:tcBorders>
            <w:shd w:val="clear" w:color="auto" w:fill="DEE5FD"/>
          </w:tcPr>
          <w:p w:rsidR="004C5CC2" w:rsidRDefault="004C5CC2">
            <w:pPr>
              <w:pStyle w:val="TableParagraph"/>
              <w:rPr>
                <w:rFonts w:ascii="Times New Roman"/>
                <w:sz w:val="18"/>
              </w:rPr>
            </w:pPr>
          </w:p>
        </w:tc>
        <w:tc>
          <w:tcPr>
            <w:tcW w:w="767" w:type="dxa"/>
            <w:tcBorders>
              <w:bottom w:val="single" w:color="000000" w:sz="24" w:space="0"/>
            </w:tcBorders>
            <w:shd w:val="clear" w:color="auto" w:fill="DEE5FD"/>
          </w:tcPr>
          <w:p w:rsidR="004C5CC2" w:rsidRDefault="0001360C">
            <w:pPr>
              <w:pStyle w:val="TableParagraph"/>
              <w:spacing w:before="152"/>
              <w:ind w:left="153"/>
              <w:rPr>
                <w:sz w:val="19"/>
              </w:rPr>
            </w:pPr>
            <w:r>
              <w:rPr>
                <w:w w:val="105"/>
                <w:sz w:val="19"/>
              </w:rPr>
              <w:t>0.0%</w:t>
            </w:r>
          </w:p>
        </w:tc>
        <w:tc>
          <w:tcPr>
            <w:tcW w:w="954" w:type="dxa"/>
            <w:tcBorders>
              <w:bottom w:val="single" w:color="000000" w:sz="24" w:space="0"/>
            </w:tcBorders>
            <w:shd w:val="clear" w:color="auto" w:fill="DEE5FD"/>
          </w:tcPr>
          <w:p w:rsidR="004C5CC2" w:rsidRDefault="004C5CC2">
            <w:pPr>
              <w:pStyle w:val="TableParagraph"/>
              <w:rPr>
                <w:rFonts w:ascii="Times New Roman"/>
                <w:sz w:val="18"/>
              </w:rPr>
            </w:pPr>
          </w:p>
        </w:tc>
        <w:tc>
          <w:tcPr>
            <w:tcW w:w="794" w:type="dxa"/>
            <w:tcBorders>
              <w:bottom w:val="single" w:color="000000" w:sz="24" w:space="0"/>
            </w:tcBorders>
            <w:shd w:val="clear" w:color="auto" w:fill="DEE5FD"/>
          </w:tcPr>
          <w:p w:rsidR="004C5CC2" w:rsidRDefault="0001360C">
            <w:pPr>
              <w:pStyle w:val="TableParagraph"/>
              <w:spacing w:before="152"/>
              <w:ind w:left="167"/>
              <w:rPr>
                <w:sz w:val="19"/>
              </w:rPr>
            </w:pPr>
            <w:r>
              <w:rPr>
                <w:w w:val="105"/>
                <w:sz w:val="19"/>
              </w:rPr>
              <w:t>0.0%</w:t>
            </w:r>
          </w:p>
        </w:tc>
        <w:tc>
          <w:tcPr>
            <w:tcW w:w="1192" w:type="dxa"/>
            <w:tcBorders>
              <w:bottom w:val="single" w:color="000000" w:sz="24" w:space="0"/>
            </w:tcBorders>
            <w:shd w:val="clear" w:color="auto" w:fill="DEE5FD"/>
          </w:tcPr>
          <w:p w:rsidR="004C5CC2" w:rsidRDefault="004C5CC2">
            <w:pPr>
              <w:pStyle w:val="TableParagraph"/>
              <w:rPr>
                <w:rFonts w:ascii="Times New Roman"/>
                <w:sz w:val="18"/>
              </w:rPr>
            </w:pPr>
          </w:p>
        </w:tc>
        <w:tc>
          <w:tcPr>
            <w:tcW w:w="1192" w:type="dxa"/>
            <w:tcBorders>
              <w:bottom w:val="single" w:color="000000" w:sz="24" w:space="0"/>
            </w:tcBorders>
            <w:shd w:val="clear" w:color="auto" w:fill="DEE5FD"/>
          </w:tcPr>
          <w:p w:rsidR="004C5CC2" w:rsidRDefault="0001360C">
            <w:pPr>
              <w:pStyle w:val="TableParagraph"/>
              <w:spacing w:before="152"/>
              <w:ind w:left="365"/>
              <w:rPr>
                <w:sz w:val="19"/>
              </w:rPr>
            </w:pPr>
            <w:r>
              <w:rPr>
                <w:w w:val="105"/>
                <w:sz w:val="19"/>
              </w:rPr>
              <w:t>0.0%</w:t>
            </w:r>
          </w:p>
        </w:tc>
        <w:tc>
          <w:tcPr>
            <w:tcW w:w="1151" w:type="dxa"/>
            <w:tcBorders>
              <w:bottom w:val="single" w:color="000000" w:sz="24" w:space="0"/>
            </w:tcBorders>
            <w:shd w:val="clear" w:color="auto" w:fill="DEE5FD"/>
          </w:tcPr>
          <w:p w:rsidR="004C5CC2" w:rsidRDefault="004C5CC2">
            <w:pPr>
              <w:pStyle w:val="TableParagraph"/>
              <w:rPr>
                <w:rFonts w:ascii="Times New Roman"/>
                <w:sz w:val="18"/>
              </w:rPr>
            </w:pPr>
          </w:p>
        </w:tc>
        <w:tc>
          <w:tcPr>
            <w:tcW w:w="1143" w:type="dxa"/>
            <w:tcBorders>
              <w:bottom w:val="single" w:color="000000" w:sz="24" w:space="0"/>
              <w:right w:val="nil"/>
            </w:tcBorders>
            <w:shd w:val="clear" w:color="auto" w:fill="DEE5FD"/>
          </w:tcPr>
          <w:p w:rsidR="004C5CC2" w:rsidRDefault="0001360C">
            <w:pPr>
              <w:pStyle w:val="TableParagraph"/>
              <w:spacing w:before="152"/>
              <w:ind w:left="344"/>
              <w:rPr>
                <w:sz w:val="19"/>
              </w:rPr>
            </w:pPr>
            <w:r>
              <w:rPr>
                <w:w w:val="105"/>
                <w:sz w:val="19"/>
              </w:rPr>
              <w:t>0.0%</w:t>
            </w:r>
          </w:p>
        </w:tc>
      </w:tr>
    </w:tbl>
    <w:p w:rsidR="004C5CC2" w:rsidRDefault="004C5CC2">
      <w:pPr>
        <w:rPr>
          <w:sz w:val="19"/>
        </w:rPr>
        <w:sectPr w:rsidR="004C5CC2">
          <w:headerReference w:type="default" r:id="rId18"/>
          <w:footerReference w:type="default" r:id="rId19"/>
          <w:pgSz w:w="12240" w:h="15840"/>
          <w:pgMar w:top="920" w:right="720" w:bottom="1240" w:left="700" w:header="0" w:footer="1040" w:gutter="0"/>
          <w:cols w:space="720"/>
        </w:sectPr>
      </w:pPr>
    </w:p>
    <w:p w:rsidR="004C5CC2" w:rsidRDefault="004C5CC2">
      <w:pPr>
        <w:pStyle w:val="BodyText"/>
        <w:rPr>
          <w:sz w:val="26"/>
        </w:rPr>
      </w:pPr>
    </w:p>
    <w:p w:rsidR="004C5CC2" w:rsidRDefault="004C5CC2">
      <w:pPr>
        <w:pStyle w:val="BodyText"/>
        <w:spacing w:before="9"/>
        <w:rPr>
          <w:sz w:val="20"/>
        </w:rPr>
      </w:pPr>
    </w:p>
    <w:p w:rsidR="004C5CC2" w:rsidRDefault="00D6045E">
      <w:pPr>
        <w:spacing w:before="1"/>
        <w:ind w:left="2870"/>
        <w:jc w:val="center"/>
        <w:rPr>
          <w:sz w:val="24"/>
        </w:rPr>
      </w:pPr>
      <w:r>
        <w:rPr>
          <w:noProof/>
        </w:rPr>
        <mc:AlternateContent>
          <mc:Choice Requires="wps">
            <w:drawing>
              <wp:anchor distT="0" distB="0" distL="114300" distR="114300" simplePos="0" relativeHeight="251648512" behindDoc="0" locked="0" layoutInCell="1" allowOverlap="1">
                <wp:simplePos x="0" y="0"/>
                <wp:positionH relativeFrom="page">
                  <wp:posOffset>533400</wp:posOffset>
                </wp:positionH>
                <wp:positionV relativeFrom="paragraph">
                  <wp:posOffset>-12700</wp:posOffset>
                </wp:positionV>
                <wp:extent cx="6705600" cy="0"/>
                <wp:effectExtent l="19050" t="20955" r="19050"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25pt" from="42pt,-1pt" to="570pt,-1pt" w14:anchorId="0326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SEHgIAAEM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">
                <w10:wrap anchorx="page"/>
              </v:line>
            </w:pict>
          </mc:Fallback>
        </mc:AlternateContent>
      </w:r>
      <w:r w:rsidR="0001360C">
        <w:rPr>
          <w:sz w:val="24"/>
        </w:rPr>
        <w:t>Federal Deposit Insurance Corporation</w:t>
      </w:r>
    </w:p>
    <w:p w:rsidR="004C5CC2" w:rsidRDefault="0001360C">
      <w:pPr>
        <w:spacing w:before="11"/>
        <w:ind w:left="2869"/>
        <w:jc w:val="center"/>
        <w:rPr>
          <w:b/>
          <w:sz w:val="30"/>
        </w:rPr>
      </w:pPr>
      <w:r>
        <w:rPr>
          <w:b/>
          <w:sz w:val="30"/>
        </w:rPr>
        <w:t>DIVERSITY SELF-ASSESSMENT OF</w:t>
      </w:r>
    </w:p>
    <w:p w:rsidR="004C5CC2" w:rsidRDefault="0001360C">
      <w:pPr>
        <w:pStyle w:val="BodyText"/>
        <w:spacing w:before="78"/>
        <w:ind w:left="69" w:right="99" w:firstLine="420"/>
      </w:pPr>
      <w:r>
        <w:br w:type="column"/>
      </w:r>
      <w:r>
        <w:t>OMB NUMBER: 3064-0200 EXPIRATION DATE: 01/31/2023</w:t>
      </w:r>
    </w:p>
    <w:p w:rsidR="004C5CC2" w:rsidRDefault="004C5CC2">
      <w:pPr>
        <w:sectPr w:rsidR="004C5CC2">
          <w:headerReference w:type="default" r:id="rId20"/>
          <w:footerReference w:type="default" r:id="rId21"/>
          <w:pgSz w:w="12240" w:h="15840"/>
          <w:pgMar w:top="640" w:right="720" w:bottom="1140" w:left="700" w:header="0" w:footer="943" w:gutter="0"/>
          <w:cols w:equalWidth="0" w:space="720" w:num="2">
            <w:col w:w="7970" w:space="40"/>
            <w:col w:w="2810"/>
          </w:cols>
        </w:sectPr>
      </w:pPr>
    </w:p>
    <w:p w:rsidR="004C5CC2" w:rsidRDefault="0001360C">
      <w:pPr>
        <w:pStyle w:val="Heading1"/>
        <w:spacing w:before="13" w:after="4"/>
      </w:pPr>
      <w:r>
        <w:t>FDIC REGULATED FINANCIAL INSTITUTIONS</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6350" r="19685" b="3175"/>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15" name="Line 8"/>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style="width:528pt;height:2.25pt;mso-position-horizontal-relative:char;mso-position-vertical-relative:line" coordsize="10560,45" o:spid="_x0000_s1026" w14:anchorId="7731C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">
                <v:line id="Line 8"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"/>
                <w10:anchorlock/>
              </v:group>
            </w:pict>
          </mc:Fallback>
        </mc:AlternateContent>
      </w:r>
    </w:p>
    <w:p w:rsidR="004C5CC2" w:rsidRDefault="0001360C">
      <w:pPr>
        <w:pStyle w:val="Heading2"/>
        <w:spacing w:before="9" w:after="4"/>
      </w:pPr>
      <w:r>
        <w:rPr>
          <w:w w:val="105"/>
        </w:rPr>
        <w:t>SECTION IV - ADDITIONAL INFORMATION</w:t>
      </w:r>
    </w:p>
    <w:p w:rsidR="004C5CC2" w:rsidRDefault="00D6045E">
      <w:pPr>
        <w:pStyle w:val="BodyText"/>
        <w:spacing w:line="46" w:lineRule="exact"/>
        <w:ind w:left="117"/>
        <w:rPr>
          <w:sz w:val="4"/>
        </w:rPr>
      </w:pPr>
      <w:r>
        <w:rPr>
          <w:noProof/>
          <w:sz w:val="4"/>
        </w:rPr>
        <mc:AlternateContent>
          <mc:Choice Requires="wpg">
            <w:drawing>
              <wp:inline distT="0" distB="0" distL="0" distR="0">
                <wp:extent cx="6705600" cy="28575"/>
                <wp:effectExtent l="18415" t="5715" r="19685" b="381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13" name="Line 6"/>
                        <wps:cNvCnPr>
                          <a:cxnSpLocks noChangeShapeType="1"/>
                        </wps:cNvCnPr>
                        <wps:spPr bwMode="auto">
                          <a:xfrm>
                            <a:off x="0" y="23"/>
                            <a:ext cx="105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28pt;height:2.25pt;mso-position-horizontal-relative:char;mso-position-vertical-relative:line" coordsize="10560,45" o:spid="_x0000_s1026" w14:anchorId="09094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">
                <v:line id="Line 6"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"/>
                <w10:anchorlock/>
              </v:group>
            </w:pict>
          </mc:Fallback>
        </mc:AlternateContent>
      </w:r>
    </w:p>
    <w:p w:rsidR="004C5CC2" w:rsidRDefault="00D6045E">
      <w:pPr>
        <w:spacing w:before="2" w:line="247" w:lineRule="auto"/>
        <w:ind w:left="140" w:right="344"/>
        <w:rPr>
          <w:sz w:val="19"/>
        </w:rPr>
      </w:pPr>
      <w:r>
        <w:rPr>
          <w:noProof/>
        </w:rPr>
        <mc:AlternateContent>
          <mc:Choice Requires="wpg">
            <w:drawing>
              <wp:anchor distT="0" distB="0" distL="114300" distR="114300" simplePos="0" relativeHeight="251649536" behindDoc="0" locked="0" layoutInCell="1" allowOverlap="1">
                <wp:simplePos x="0" y="0"/>
                <wp:positionH relativeFrom="page">
                  <wp:posOffset>533400</wp:posOffset>
                </wp:positionH>
                <wp:positionV relativeFrom="paragraph">
                  <wp:posOffset>285750</wp:posOffset>
                </wp:positionV>
                <wp:extent cx="6705600" cy="7458075"/>
                <wp:effectExtent l="0" t="381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7458075"/>
                          <a:chOff x="840" y="450"/>
                          <a:chExt cx="10560" cy="11745"/>
                        </a:xfrm>
                      </wpg:grpSpPr>
                      <wps:wsp>
                        <wps:cNvPr id="10" name="Rectangle 4"/>
                        <wps:cNvSpPr>
                          <a:spLocks noChangeArrowheads="1"/>
                        </wps:cNvSpPr>
                        <wps:spPr bwMode="auto">
                          <a:xfrm>
                            <a:off x="840" y="450"/>
                            <a:ext cx="10560" cy="11700"/>
                          </a:xfrm>
                          <a:prstGeom prst="rect">
                            <a:avLst/>
                          </a:prstGeom>
                          <a:solidFill>
                            <a:srgbClr val="DEE5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
                        <wps:cNvSpPr>
                          <a:spLocks noChangeArrowheads="1"/>
                        </wps:cNvSpPr>
                        <wps:spPr bwMode="auto">
                          <a:xfrm>
                            <a:off x="840" y="12150"/>
                            <a:ext cx="10560"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2pt;margin-top:22.5pt;width:528pt;height:587.25pt;z-index:251649536;mso-position-horizontal-relative:page" coordsize="10560,11745" coordorigin="840,450" o:spid="_x0000_s1026" w14:anchorId="5A58C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">
                <v:rect id="Rectangle 4" style="position:absolute;left:840;top:450;width:10560;height:11700;visibility:visible;mso-wrap-style:square;v-text-anchor:top" o:spid="_x0000_s1027" fillcolor="#dee5f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"/>
                <v:rect id="Rectangle 3" style="position:absolute;left:840;top:12150;width:10560;height:45;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w10:wrap anchorx="page"/>
              </v:group>
            </w:pict>
          </mc:Fallback>
        </mc:AlternateContent>
      </w:r>
      <w:r w:rsidR="0001360C">
        <w:rPr>
          <w:w w:val="105"/>
          <w:sz w:val="19"/>
        </w:rPr>
        <w:t>Other</w:t>
      </w:r>
      <w:r w:rsidR="0001360C">
        <w:rPr>
          <w:spacing w:val="-17"/>
          <w:w w:val="105"/>
          <w:sz w:val="19"/>
        </w:rPr>
        <w:t xml:space="preserve"> </w:t>
      </w:r>
      <w:r w:rsidR="0001360C">
        <w:rPr>
          <w:w w:val="105"/>
          <w:sz w:val="19"/>
        </w:rPr>
        <w:t>information</w:t>
      </w:r>
      <w:r w:rsidR="0001360C">
        <w:rPr>
          <w:spacing w:val="-17"/>
          <w:w w:val="105"/>
          <w:sz w:val="19"/>
        </w:rPr>
        <w:t xml:space="preserve"> </w:t>
      </w:r>
      <w:r w:rsidR="0001360C">
        <w:rPr>
          <w:w w:val="105"/>
          <w:sz w:val="19"/>
        </w:rPr>
        <w:t>or</w:t>
      </w:r>
      <w:r w:rsidR="0001360C">
        <w:rPr>
          <w:spacing w:val="-17"/>
          <w:w w:val="105"/>
          <w:sz w:val="19"/>
        </w:rPr>
        <w:t xml:space="preserve"> </w:t>
      </w:r>
      <w:r w:rsidR="0001360C">
        <w:rPr>
          <w:w w:val="105"/>
          <w:sz w:val="19"/>
        </w:rPr>
        <w:t>comments</w:t>
      </w:r>
      <w:r w:rsidR="0001360C">
        <w:rPr>
          <w:spacing w:val="-16"/>
          <w:w w:val="105"/>
          <w:sz w:val="19"/>
        </w:rPr>
        <w:t xml:space="preserve"> </w:t>
      </w:r>
      <w:r w:rsidR="0001360C">
        <w:rPr>
          <w:w w:val="105"/>
          <w:sz w:val="19"/>
        </w:rPr>
        <w:t>the</w:t>
      </w:r>
      <w:r w:rsidR="0001360C">
        <w:rPr>
          <w:spacing w:val="-17"/>
          <w:w w:val="105"/>
          <w:sz w:val="19"/>
        </w:rPr>
        <w:t xml:space="preserve"> </w:t>
      </w:r>
      <w:r w:rsidR="0001360C">
        <w:rPr>
          <w:w w:val="105"/>
          <w:sz w:val="19"/>
        </w:rPr>
        <w:t>financial</w:t>
      </w:r>
      <w:r w:rsidR="0001360C">
        <w:rPr>
          <w:spacing w:val="-17"/>
          <w:w w:val="105"/>
          <w:sz w:val="19"/>
        </w:rPr>
        <w:t xml:space="preserve"> </w:t>
      </w:r>
      <w:r w:rsidR="0001360C">
        <w:rPr>
          <w:w w:val="105"/>
          <w:sz w:val="19"/>
        </w:rPr>
        <w:t>institution</w:t>
      </w:r>
      <w:r w:rsidR="0001360C">
        <w:rPr>
          <w:spacing w:val="-16"/>
          <w:w w:val="105"/>
          <w:sz w:val="19"/>
        </w:rPr>
        <w:t xml:space="preserve"> </w:t>
      </w:r>
      <w:r w:rsidR="0001360C">
        <w:rPr>
          <w:w w:val="105"/>
          <w:sz w:val="19"/>
        </w:rPr>
        <w:t>deems</w:t>
      </w:r>
      <w:r w:rsidR="0001360C">
        <w:rPr>
          <w:spacing w:val="-17"/>
          <w:w w:val="105"/>
          <w:sz w:val="19"/>
        </w:rPr>
        <w:t xml:space="preserve"> </w:t>
      </w:r>
      <w:r w:rsidR="0001360C">
        <w:rPr>
          <w:w w:val="105"/>
          <w:sz w:val="19"/>
        </w:rPr>
        <w:t>important</w:t>
      </w:r>
      <w:r w:rsidR="0001360C">
        <w:rPr>
          <w:spacing w:val="-17"/>
          <w:w w:val="105"/>
          <w:sz w:val="19"/>
        </w:rPr>
        <w:t xml:space="preserve"> </w:t>
      </w:r>
      <w:r w:rsidR="0001360C">
        <w:rPr>
          <w:w w:val="105"/>
          <w:sz w:val="19"/>
        </w:rPr>
        <w:t>regarding</w:t>
      </w:r>
      <w:r w:rsidR="0001360C">
        <w:rPr>
          <w:spacing w:val="-16"/>
          <w:w w:val="105"/>
          <w:sz w:val="19"/>
        </w:rPr>
        <w:t xml:space="preserve"> </w:t>
      </w:r>
      <w:r w:rsidR="0001360C">
        <w:rPr>
          <w:w w:val="105"/>
          <w:sz w:val="19"/>
        </w:rPr>
        <w:t>its</w:t>
      </w:r>
      <w:r w:rsidR="0001360C">
        <w:rPr>
          <w:spacing w:val="-17"/>
          <w:w w:val="105"/>
          <w:sz w:val="19"/>
        </w:rPr>
        <w:t xml:space="preserve"> </w:t>
      </w:r>
      <w:r w:rsidR="0001360C">
        <w:rPr>
          <w:w w:val="105"/>
          <w:sz w:val="19"/>
        </w:rPr>
        <w:t>assessment</w:t>
      </w:r>
      <w:r w:rsidR="0001360C">
        <w:rPr>
          <w:spacing w:val="-17"/>
          <w:w w:val="105"/>
          <w:sz w:val="19"/>
        </w:rPr>
        <w:t xml:space="preserve"> </w:t>
      </w:r>
      <w:r w:rsidR="0001360C">
        <w:rPr>
          <w:w w:val="105"/>
          <w:sz w:val="19"/>
        </w:rPr>
        <w:t>of</w:t>
      </w:r>
      <w:r w:rsidR="0001360C">
        <w:rPr>
          <w:spacing w:val="-16"/>
          <w:w w:val="105"/>
          <w:sz w:val="19"/>
        </w:rPr>
        <w:t xml:space="preserve"> </w:t>
      </w:r>
      <w:r w:rsidR="0001360C">
        <w:rPr>
          <w:w w:val="105"/>
          <w:sz w:val="19"/>
        </w:rPr>
        <w:t>its</w:t>
      </w:r>
      <w:r w:rsidR="0001360C">
        <w:rPr>
          <w:spacing w:val="-17"/>
          <w:w w:val="105"/>
          <w:sz w:val="19"/>
        </w:rPr>
        <w:t xml:space="preserve"> </w:t>
      </w:r>
      <w:r w:rsidR="0001360C">
        <w:rPr>
          <w:w w:val="105"/>
          <w:sz w:val="19"/>
        </w:rPr>
        <w:t>diversity</w:t>
      </w:r>
      <w:r w:rsidR="0001360C">
        <w:rPr>
          <w:spacing w:val="-17"/>
          <w:w w:val="105"/>
          <w:sz w:val="19"/>
        </w:rPr>
        <w:t xml:space="preserve"> </w:t>
      </w:r>
      <w:r w:rsidR="0001360C">
        <w:rPr>
          <w:w w:val="105"/>
          <w:sz w:val="19"/>
        </w:rPr>
        <w:t>policies and</w:t>
      </w:r>
      <w:r w:rsidR="0001360C">
        <w:rPr>
          <w:spacing w:val="-2"/>
          <w:w w:val="105"/>
          <w:sz w:val="19"/>
        </w:rPr>
        <w:t xml:space="preserve"> </w:t>
      </w:r>
      <w:r w:rsidR="0001360C">
        <w:rPr>
          <w:w w:val="105"/>
          <w:sz w:val="19"/>
        </w:rPr>
        <w:t>practices:</w:t>
      </w:r>
    </w:p>
    <w:sectPr w:rsidR="004C5CC2">
      <w:type w:val="continuous"/>
      <w:pgSz w:w="12240" w:h="15840"/>
      <w:pgMar w:top="880" w:right="720" w:bottom="10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37A" w:rsidRDefault="0001360C">
      <w:r>
        <w:separator/>
      </w:r>
    </w:p>
  </w:endnote>
  <w:endnote w:type="continuationSeparator" w:id="0">
    <w:p w:rsidR="00B4437A" w:rsidRDefault="0001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456" behindDoc="1" locked="0" layoutInCell="1" allowOverlap="1">
              <wp:simplePos x="0" y="0"/>
              <wp:positionH relativeFrom="page">
                <wp:posOffset>520700</wp:posOffset>
              </wp:positionH>
              <wp:positionV relativeFrom="page">
                <wp:posOffset>9351645</wp:posOffset>
              </wp:positionV>
              <wp:extent cx="986790" cy="14287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1pt;margin-top:736.35pt;width:77.7pt;height:11.25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qSqgIAAKg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504" behindDoc="1" locked="0" layoutInCell="1" allowOverlap="1">
              <wp:simplePos x="0" y="0"/>
              <wp:positionH relativeFrom="page">
                <wp:posOffset>520700</wp:posOffset>
              </wp:positionH>
              <wp:positionV relativeFrom="page">
                <wp:posOffset>8939530</wp:posOffset>
              </wp:positionV>
              <wp:extent cx="986790" cy="14287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1pt;margin-top:703.9pt;width:77.7pt;height:11.25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r1rgIAAK8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528" behindDoc="1" locked="0" layoutInCell="1" allowOverlap="1">
              <wp:simplePos x="0" y="0"/>
              <wp:positionH relativeFrom="page">
                <wp:posOffset>520700</wp:posOffset>
              </wp:positionH>
              <wp:positionV relativeFrom="page">
                <wp:posOffset>9083040</wp:posOffset>
              </wp:positionV>
              <wp:extent cx="986790" cy="142875"/>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1pt;margin-top:715.2pt;width:77.7pt;height:11.25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0TsQ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552" behindDoc="1" locked="0" layoutInCell="1" allowOverlap="1">
              <wp:simplePos x="0" y="0"/>
              <wp:positionH relativeFrom="page">
                <wp:posOffset>520700</wp:posOffset>
              </wp:positionH>
              <wp:positionV relativeFrom="page">
                <wp:posOffset>9330690</wp:posOffset>
              </wp:positionV>
              <wp:extent cx="986790" cy="14287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1pt;margin-top:734.7pt;width:77.7pt;height:11.2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
      </w:rPr>
    </w:pPr>
    <w:r>
      <w:rPr>
        <w:noProof/>
      </w:rPr>
      <mc:AlternateContent>
        <mc:Choice Requires="wps">
          <w:drawing>
            <wp:anchor distT="0" distB="0" distL="114300" distR="114300" simplePos="0" relativeHeight="503291576" behindDoc="1" locked="0" layoutInCell="1" allowOverlap="1">
              <wp:simplePos x="0" y="0"/>
              <wp:positionH relativeFrom="page">
                <wp:posOffset>520700</wp:posOffset>
              </wp:positionH>
              <wp:positionV relativeFrom="page">
                <wp:posOffset>9319895</wp:posOffset>
              </wp:positionV>
              <wp:extent cx="986790" cy="142875"/>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1pt;margin-top:733.85pt;width:77.7pt;height:11.25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mIrgIAAK8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600" behindDoc="1" locked="0" layoutInCell="1" allowOverlap="1">
              <wp:simplePos x="0" y="0"/>
              <wp:positionH relativeFrom="page">
                <wp:posOffset>520700</wp:posOffset>
              </wp:positionH>
              <wp:positionV relativeFrom="page">
                <wp:posOffset>9227185</wp:posOffset>
              </wp:positionV>
              <wp:extent cx="986790" cy="14287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41pt;margin-top:726.55pt;width:77.7pt;height:11.25pt;z-index:-2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IYrgIAAK8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624" behindDoc="1" locked="0" layoutInCell="1" allowOverlap="1">
              <wp:simplePos x="0" y="0"/>
              <wp:positionH relativeFrom="page">
                <wp:posOffset>520700</wp:posOffset>
              </wp:positionH>
              <wp:positionV relativeFrom="page">
                <wp:posOffset>9319895</wp:posOffset>
              </wp:positionV>
              <wp:extent cx="986790" cy="14287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1pt;margin-top:733.85pt;width:77.7pt;height:11.2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X+rgIAAK8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" filled="f" stroked="f">
              <v:textbox inset="0,0,0,0">
                <w:txbxContent>
                  <w:p w:rsidR="004C5CC2" w:rsidRDefault="0001360C">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37A" w:rsidRDefault="0001360C">
      <w:r>
        <w:separator/>
      </w:r>
    </w:p>
  </w:footnote>
  <w:footnote w:type="continuationSeparator" w:id="0">
    <w:p w:rsidR="00B4437A" w:rsidRDefault="0001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D6045E">
    <w:pPr>
      <w:pStyle w:val="BodyText"/>
      <w:spacing w:line="14" w:lineRule="auto"/>
      <w:rPr>
        <w:sz w:val="20"/>
      </w:rPr>
    </w:pPr>
    <w:r>
      <w:rPr>
        <w:noProof/>
      </w:rPr>
      <mc:AlternateContent>
        <mc:Choice Requires="wps">
          <w:drawing>
            <wp:anchor distT="0" distB="0" distL="114300" distR="114300" simplePos="0" relativeHeight="503291480" behindDoc="1" locked="0" layoutInCell="1" allowOverlap="1">
              <wp:simplePos x="0" y="0"/>
              <wp:positionH relativeFrom="page">
                <wp:posOffset>5561965</wp:posOffset>
              </wp:positionH>
              <wp:positionV relativeFrom="page">
                <wp:posOffset>447040</wp:posOffset>
              </wp:positionV>
              <wp:extent cx="1690370" cy="285115"/>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1360C">
                          <w:pPr>
                            <w:pStyle w:val="BodyText"/>
                            <w:spacing w:before="14"/>
                            <w:ind w:left="20" w:firstLine="420"/>
                          </w:pPr>
                          <w:r>
                            <w:t>OMB NUMBER: 3064-0200 EXPIRATION DATE: 01/31/2023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437.95pt;margin-top:35.2pt;width:133.1pt;height:22.4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8Z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" filled="f" stroked="f">
              <v:textbox inset="0,0,0,0">
                <w:txbxContent>
                  <w:p w:rsidR="004C5CC2" w:rsidRDefault="0001360C">
                    <w:pPr>
                      <w:pStyle w:val="BodyText"/>
                      <w:spacing w:before="14"/>
                      <w:ind w:left="20" w:firstLine="420"/>
                    </w:pPr>
                    <w:r>
                      <w:t>OMB NUMBER: 3064-0200 EXPIRATION DATE: 01/31/2023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4C5CC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4C5CC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A6F32"/>
    <w:multiLevelType w:val="hybridMultilevel"/>
    <w:tmpl w:val="27CE7CF8"/>
    <w:lvl w:ilvl="0" w:tplc="CC52E6B0">
      <w:start w:val="1"/>
      <w:numFmt w:val="decimal"/>
      <w:lvlText w:val="%1."/>
      <w:lvlJc w:val="left"/>
      <w:pPr>
        <w:ind w:left="155" w:hanging="201"/>
        <w:jc w:val="left"/>
      </w:pPr>
      <w:rPr>
        <w:rFonts w:ascii="Arial" w:eastAsia="Arial" w:hAnsi="Arial" w:cs="Arial" w:hint="default"/>
        <w:spacing w:val="-3"/>
        <w:w w:val="100"/>
        <w:sz w:val="18"/>
        <w:szCs w:val="18"/>
      </w:rPr>
    </w:lvl>
    <w:lvl w:ilvl="1" w:tplc="69C2C322">
      <w:numFmt w:val="bullet"/>
      <w:lvlText w:val="•"/>
      <w:lvlJc w:val="left"/>
      <w:pPr>
        <w:ind w:left="1226" w:hanging="201"/>
      </w:pPr>
      <w:rPr>
        <w:rFonts w:hint="default"/>
      </w:rPr>
    </w:lvl>
    <w:lvl w:ilvl="2" w:tplc="87B84922">
      <w:numFmt w:val="bullet"/>
      <w:lvlText w:val="•"/>
      <w:lvlJc w:val="left"/>
      <w:pPr>
        <w:ind w:left="2292" w:hanging="201"/>
      </w:pPr>
      <w:rPr>
        <w:rFonts w:hint="default"/>
      </w:rPr>
    </w:lvl>
    <w:lvl w:ilvl="3" w:tplc="FC4EC03A">
      <w:numFmt w:val="bullet"/>
      <w:lvlText w:val="•"/>
      <w:lvlJc w:val="left"/>
      <w:pPr>
        <w:ind w:left="3358" w:hanging="201"/>
      </w:pPr>
      <w:rPr>
        <w:rFonts w:hint="default"/>
      </w:rPr>
    </w:lvl>
    <w:lvl w:ilvl="4" w:tplc="1AE4E7FE">
      <w:numFmt w:val="bullet"/>
      <w:lvlText w:val="•"/>
      <w:lvlJc w:val="left"/>
      <w:pPr>
        <w:ind w:left="4424" w:hanging="201"/>
      </w:pPr>
      <w:rPr>
        <w:rFonts w:hint="default"/>
      </w:rPr>
    </w:lvl>
    <w:lvl w:ilvl="5" w:tplc="8D268B88">
      <w:numFmt w:val="bullet"/>
      <w:lvlText w:val="•"/>
      <w:lvlJc w:val="left"/>
      <w:pPr>
        <w:ind w:left="5490" w:hanging="201"/>
      </w:pPr>
      <w:rPr>
        <w:rFonts w:hint="default"/>
      </w:rPr>
    </w:lvl>
    <w:lvl w:ilvl="6" w:tplc="726048F4">
      <w:numFmt w:val="bullet"/>
      <w:lvlText w:val="•"/>
      <w:lvlJc w:val="left"/>
      <w:pPr>
        <w:ind w:left="6556" w:hanging="201"/>
      </w:pPr>
      <w:rPr>
        <w:rFonts w:hint="default"/>
      </w:rPr>
    </w:lvl>
    <w:lvl w:ilvl="7" w:tplc="1018CE92">
      <w:numFmt w:val="bullet"/>
      <w:lvlText w:val="•"/>
      <w:lvlJc w:val="left"/>
      <w:pPr>
        <w:ind w:left="7622" w:hanging="201"/>
      </w:pPr>
      <w:rPr>
        <w:rFonts w:hint="default"/>
      </w:rPr>
    </w:lvl>
    <w:lvl w:ilvl="8" w:tplc="57BEA4C0">
      <w:numFmt w:val="bullet"/>
      <w:lvlText w:val="•"/>
      <w:lvlJc w:val="left"/>
      <w:pPr>
        <w:ind w:left="8688" w:hanging="201"/>
      </w:pPr>
      <w:rPr>
        <w:rFonts w:hint="default"/>
      </w:rPr>
    </w:lvl>
  </w:abstractNum>
  <w:abstractNum w:abstractNumId="1" w15:restartNumberingAfterBreak="0">
    <w:nsid w:val="779A33B9"/>
    <w:multiLevelType w:val="multilevel"/>
    <w:tmpl w:val="F3EE945C"/>
    <w:lvl w:ilvl="0">
      <w:start w:val="1"/>
      <w:numFmt w:val="decimal"/>
      <w:lvlText w:val="%1."/>
      <w:lvlJc w:val="left"/>
      <w:pPr>
        <w:ind w:left="340" w:hanging="201"/>
        <w:jc w:val="left"/>
      </w:pPr>
      <w:rPr>
        <w:rFonts w:ascii="Arial" w:eastAsia="Arial" w:hAnsi="Arial" w:cs="Arial" w:hint="default"/>
        <w:b/>
        <w:bCs/>
        <w:w w:val="100"/>
        <w:sz w:val="18"/>
        <w:szCs w:val="18"/>
      </w:rPr>
    </w:lvl>
    <w:lvl w:ilvl="1">
      <w:start w:val="2"/>
      <w:numFmt w:val="decimal"/>
      <w:lvlText w:val="%1.%2"/>
      <w:lvlJc w:val="left"/>
      <w:pPr>
        <w:ind w:left="455" w:hanging="301"/>
        <w:jc w:val="left"/>
      </w:pPr>
      <w:rPr>
        <w:rFonts w:ascii="Arial" w:eastAsia="Arial" w:hAnsi="Arial" w:cs="Arial" w:hint="default"/>
        <w:w w:val="100"/>
        <w:sz w:val="18"/>
        <w:szCs w:val="18"/>
      </w:rPr>
    </w:lvl>
    <w:lvl w:ilvl="2">
      <w:numFmt w:val="bullet"/>
      <w:lvlText w:val="•"/>
      <w:lvlJc w:val="left"/>
      <w:pPr>
        <w:ind w:left="460" w:hanging="301"/>
      </w:pPr>
      <w:rPr>
        <w:rFonts w:hint="default"/>
      </w:rPr>
    </w:lvl>
    <w:lvl w:ilvl="3">
      <w:numFmt w:val="bullet"/>
      <w:lvlText w:val="•"/>
      <w:lvlJc w:val="left"/>
      <w:pPr>
        <w:ind w:left="1755" w:hanging="301"/>
      </w:pPr>
      <w:rPr>
        <w:rFonts w:hint="default"/>
      </w:rPr>
    </w:lvl>
    <w:lvl w:ilvl="4">
      <w:numFmt w:val="bullet"/>
      <w:lvlText w:val="•"/>
      <w:lvlJc w:val="left"/>
      <w:pPr>
        <w:ind w:left="3050" w:hanging="301"/>
      </w:pPr>
      <w:rPr>
        <w:rFonts w:hint="default"/>
      </w:rPr>
    </w:lvl>
    <w:lvl w:ilvl="5">
      <w:numFmt w:val="bullet"/>
      <w:lvlText w:val="•"/>
      <w:lvlJc w:val="left"/>
      <w:pPr>
        <w:ind w:left="4345" w:hanging="301"/>
      </w:pPr>
      <w:rPr>
        <w:rFonts w:hint="default"/>
      </w:rPr>
    </w:lvl>
    <w:lvl w:ilvl="6">
      <w:numFmt w:val="bullet"/>
      <w:lvlText w:val="•"/>
      <w:lvlJc w:val="left"/>
      <w:pPr>
        <w:ind w:left="5640" w:hanging="301"/>
      </w:pPr>
      <w:rPr>
        <w:rFonts w:hint="default"/>
      </w:rPr>
    </w:lvl>
    <w:lvl w:ilvl="7">
      <w:numFmt w:val="bullet"/>
      <w:lvlText w:val="•"/>
      <w:lvlJc w:val="left"/>
      <w:pPr>
        <w:ind w:left="6935" w:hanging="301"/>
      </w:pPr>
      <w:rPr>
        <w:rFonts w:hint="default"/>
      </w:rPr>
    </w:lvl>
    <w:lvl w:ilvl="8">
      <w:numFmt w:val="bullet"/>
      <w:lvlText w:val="•"/>
      <w:lvlJc w:val="left"/>
      <w:pPr>
        <w:ind w:left="8230" w:hanging="30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C2"/>
    <w:rsid w:val="0001360C"/>
    <w:rsid w:val="00031F75"/>
    <w:rsid w:val="004C5CC2"/>
    <w:rsid w:val="006E29E8"/>
    <w:rsid w:val="009516B0"/>
    <w:rsid w:val="00B4437A"/>
    <w:rsid w:val="00D6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D1EC1"/>
  <w15:docId w15:val="{AEA9F325-5074-4A25-8689-D88E4A0D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
      <w:ind w:left="2162"/>
      <w:outlineLvl w:val="0"/>
    </w:pPr>
    <w:rPr>
      <w:b/>
      <w:bCs/>
      <w:sz w:val="30"/>
      <w:szCs w:val="30"/>
    </w:rPr>
  </w:style>
  <w:style w:type="paragraph" w:styleId="Heading2">
    <w:name w:val="heading 2"/>
    <w:basedOn w:val="Normal"/>
    <w:uiPriority w:val="1"/>
    <w:qFormat/>
    <w:pPr>
      <w:ind w:left="140"/>
      <w:outlineLvl w:val="1"/>
    </w:pPr>
    <w:rPr>
      <w:b/>
      <w:bCs/>
      <w:sz w:val="19"/>
      <w:szCs w:val="19"/>
    </w:rPr>
  </w:style>
  <w:style w:type="paragraph" w:styleId="Heading3">
    <w:name w:val="heading 3"/>
    <w:basedOn w:val="Normal"/>
    <w:uiPriority w:val="1"/>
    <w:qFormat/>
    <w:pPr>
      <w:ind w:left="340" w:hanging="20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40" w:hanging="2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1F75"/>
    <w:pPr>
      <w:tabs>
        <w:tab w:val="center" w:pos="4680"/>
        <w:tab w:val="right" w:pos="9360"/>
      </w:tabs>
    </w:pPr>
  </w:style>
  <w:style w:type="character" w:customStyle="1" w:styleId="HeaderChar">
    <w:name w:val="Header Char"/>
    <w:basedOn w:val="DefaultParagraphFont"/>
    <w:link w:val="Header"/>
    <w:uiPriority w:val="99"/>
    <w:rsid w:val="00031F75"/>
    <w:rPr>
      <w:rFonts w:ascii="Arial" w:eastAsia="Arial" w:hAnsi="Arial" w:cs="Arial"/>
    </w:rPr>
  </w:style>
  <w:style w:type="paragraph" w:styleId="Footer">
    <w:name w:val="footer"/>
    <w:basedOn w:val="Normal"/>
    <w:link w:val="FooterChar"/>
    <w:uiPriority w:val="99"/>
    <w:unhideWhenUsed/>
    <w:rsid w:val="00031F75"/>
    <w:pPr>
      <w:tabs>
        <w:tab w:val="center" w:pos="4680"/>
        <w:tab w:val="right" w:pos="9360"/>
      </w:tabs>
    </w:pPr>
  </w:style>
  <w:style w:type="character" w:customStyle="1" w:styleId="FooterChar">
    <w:name w:val="Footer Char"/>
    <w:basedOn w:val="DefaultParagraphFont"/>
    <w:link w:val="Footer"/>
    <w:uiPriority w:val="99"/>
    <w:rsid w:val="00031F7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2409</Words>
  <Characters>13737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McConkey, Angela</dc:creator>
  <cp:lastModifiedBy>Herring, Angela M.</cp:lastModifiedBy>
  <cp:revision>2</cp:revision>
  <dcterms:created xsi:type="dcterms:W3CDTF">2021-04-07T17:03:00Z</dcterms:created>
  <dcterms:modified xsi:type="dcterms:W3CDTF">2021-04-07T17:03:00Z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LastSaved">
    <vt:filetime>2021-04-07T00:00:00Z</vt:filetime>
  </property>
</Properties>
</file>