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34FA" w:rsidR="005366DA" w:rsidP="005366DA" w:rsidRDefault="005366DA" w14:paraId="0C052D4C" w14:textId="77777777">
      <w:pPr>
        <w:tabs>
          <w:tab w:val="center" w:pos="4680"/>
        </w:tabs>
        <w:jc w:val="center"/>
        <w:rPr>
          <w:rFonts w:ascii="Times New Roman" w:hAnsi="Times New Roman" w:eastAsia="Calibri"/>
          <w:b/>
          <w:snapToGrid/>
          <w:szCs w:val="24"/>
        </w:rPr>
      </w:pPr>
      <w:r w:rsidRPr="00CF34FA">
        <w:rPr>
          <w:rFonts w:ascii="Times New Roman" w:hAnsi="Times New Roman" w:eastAsia="Calibri"/>
          <w:b/>
          <w:snapToGrid/>
          <w:szCs w:val="24"/>
        </w:rPr>
        <w:t>SUPPORTING STATEMENT</w:t>
      </w:r>
    </w:p>
    <w:p w:rsidRPr="00CF34FA" w:rsidR="005366DA" w:rsidP="005366DA" w:rsidRDefault="00450218" w14:paraId="5BEB4902" w14:textId="05E489A9">
      <w:pPr>
        <w:widowControl/>
        <w:tabs>
          <w:tab w:val="center" w:pos="4680"/>
        </w:tabs>
        <w:jc w:val="center"/>
        <w:rPr>
          <w:rFonts w:ascii="Times New Roman" w:hAnsi="Times New Roman" w:eastAsia="Calibri"/>
          <w:snapToGrid/>
          <w:szCs w:val="24"/>
        </w:rPr>
      </w:pPr>
      <w:r w:rsidRPr="00450218">
        <w:rPr>
          <w:rFonts w:ascii="Times New Roman" w:hAnsi="Times New Roman" w:eastAsia="Calibri"/>
          <w:snapToGrid/>
          <w:szCs w:val="24"/>
        </w:rPr>
        <w:t>INTERAGENCY BANK MERGER ACT APPLICATION</w:t>
      </w:r>
    </w:p>
    <w:p w:rsidRPr="00CF34FA" w:rsidR="005366DA" w:rsidP="005366DA" w:rsidRDefault="005366DA" w14:paraId="6C5CB035" w14:textId="00A5391F">
      <w:pPr>
        <w:widowControl/>
        <w:tabs>
          <w:tab w:val="center" w:pos="4680"/>
        </w:tabs>
        <w:jc w:val="center"/>
        <w:rPr>
          <w:rFonts w:ascii="Times New Roman" w:hAnsi="Times New Roman" w:eastAsia="Calibri"/>
          <w:snapToGrid/>
          <w:szCs w:val="24"/>
        </w:rPr>
      </w:pPr>
      <w:r w:rsidRPr="00CF34FA">
        <w:rPr>
          <w:rFonts w:ascii="Times New Roman" w:hAnsi="Times New Roman" w:eastAsia="Calibri"/>
          <w:snapToGrid/>
          <w:szCs w:val="24"/>
        </w:rPr>
        <w:t>(OMB No. 3064</w:t>
      </w:r>
      <w:r w:rsidRPr="00CF34FA">
        <w:rPr>
          <w:rFonts w:ascii="Times New Roman" w:hAnsi="Times New Roman" w:eastAsia="Calibri"/>
          <w:snapToGrid/>
          <w:szCs w:val="24"/>
        </w:rPr>
        <w:noBreakHyphen/>
        <w:t>0</w:t>
      </w:r>
      <w:r w:rsidR="00450218">
        <w:rPr>
          <w:rFonts w:ascii="Times New Roman" w:hAnsi="Times New Roman" w:eastAsia="Calibri"/>
          <w:snapToGrid/>
          <w:szCs w:val="24"/>
        </w:rPr>
        <w:t>015</w:t>
      </w:r>
      <w:r w:rsidRPr="00CF34FA">
        <w:rPr>
          <w:rFonts w:ascii="Times New Roman" w:hAnsi="Times New Roman" w:eastAsia="Calibri"/>
          <w:snapToGrid/>
          <w:szCs w:val="24"/>
        </w:rPr>
        <w:t>)</w:t>
      </w:r>
    </w:p>
    <w:p w:rsidRPr="00CF34FA" w:rsidR="00994EDE" w:rsidP="005366DA" w:rsidRDefault="00994EDE" w14:paraId="3AE0E354" w14:textId="77777777">
      <w:pPr>
        <w:widowControl/>
        <w:tabs>
          <w:tab w:val="center" w:pos="4680"/>
          <w:tab w:val="left" w:pos="4896"/>
        </w:tabs>
        <w:rPr>
          <w:rFonts w:ascii="Times New Roman" w:hAnsi="Times New Roman"/>
        </w:rPr>
      </w:pPr>
    </w:p>
    <w:p w:rsidRPr="00CF34FA" w:rsidR="00994EDE" w:rsidRDefault="00994EDE" w14:paraId="607DF3F1"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Pr="00CF34FA" w:rsidR="00994EDE" w:rsidRDefault="00994EDE" w14:paraId="4E97DFF4" w14:textId="77777777">
      <w:pPr>
        <w:widowControl/>
        <w:tabs>
          <w:tab w:val="left" w:pos="432"/>
          <w:tab w:val="left" w:pos="1152"/>
          <w:tab w:val="left" w:pos="1872"/>
          <w:tab w:val="left" w:pos="2448"/>
          <w:tab w:val="left" w:pos="4896"/>
        </w:tabs>
        <w:rPr>
          <w:rFonts w:ascii="Times New Roman" w:hAnsi="Times New Roman"/>
        </w:rPr>
      </w:pPr>
    </w:p>
    <w:p w:rsidRPr="008E47C7" w:rsidR="008E47C7" w:rsidP="008E47C7" w:rsidRDefault="007057AF" w14:paraId="57AB39DF" w14:textId="78069AAD">
      <w:pPr>
        <w:widowControl/>
        <w:tabs>
          <w:tab w:val="left" w:pos="432"/>
          <w:tab w:val="left" w:pos="1152"/>
          <w:tab w:val="left" w:pos="1872"/>
          <w:tab w:val="left" w:pos="2448"/>
          <w:tab w:val="left" w:pos="4896"/>
        </w:tabs>
        <w:rPr>
          <w:rFonts w:ascii="Times New Roman" w:hAnsi="Times New Roman"/>
        </w:rPr>
      </w:pPr>
      <w:r w:rsidRPr="007057AF">
        <w:rPr>
          <w:rFonts w:ascii="Times New Roman" w:hAnsi="Times New Roman"/>
        </w:rPr>
        <w:t xml:space="preserve">The FDIC is requesting OMB approval to extend, without change, the information </w:t>
      </w:r>
      <w:bookmarkStart w:name="_GoBack" w:id="0"/>
      <w:bookmarkEnd w:id="0"/>
      <w:r w:rsidRPr="007057AF" w:rsidR="00443EAF">
        <w:rPr>
          <w:rFonts w:ascii="Times New Roman" w:hAnsi="Times New Roman"/>
        </w:rPr>
        <w:t>collection entitled</w:t>
      </w:r>
      <w:r w:rsidRPr="008E47C7" w:rsidR="008E47C7">
        <w:rPr>
          <w:rFonts w:ascii="Times New Roman" w:hAnsi="Times New Roman"/>
        </w:rPr>
        <w:t xml:space="preserve"> “</w:t>
      </w:r>
      <w:r w:rsidRPr="00450218" w:rsidR="00450218">
        <w:rPr>
          <w:rFonts w:ascii="Times New Roman" w:hAnsi="Times New Roman"/>
        </w:rPr>
        <w:t>Interagency Bank Merger Act Application</w:t>
      </w:r>
      <w:r w:rsidRPr="008E47C7" w:rsidR="008E47C7">
        <w:rPr>
          <w:rFonts w:ascii="Times New Roman" w:hAnsi="Times New Roman"/>
        </w:rPr>
        <w:t>” (OMB Control</w:t>
      </w:r>
      <w:r w:rsidR="00450218">
        <w:rPr>
          <w:rFonts w:ascii="Times New Roman" w:hAnsi="Times New Roman"/>
        </w:rPr>
        <w:t xml:space="preserve"> No. 3064-0015</w:t>
      </w:r>
      <w:r w:rsidRPr="008E47C7" w:rsidR="008E47C7">
        <w:rPr>
          <w:rFonts w:ascii="Times New Roman" w:hAnsi="Times New Roman"/>
        </w:rPr>
        <w:t xml:space="preserve">).  </w:t>
      </w:r>
      <w:r w:rsidR="00450218">
        <w:rPr>
          <w:rFonts w:ascii="Times New Roman" w:hAnsi="Times New Roman"/>
        </w:rPr>
        <w:t>The current clearance for this</w:t>
      </w:r>
      <w:r w:rsidRPr="003043C2" w:rsidR="003043C2">
        <w:rPr>
          <w:rFonts w:ascii="Times New Roman" w:hAnsi="Times New Roman"/>
        </w:rPr>
        <w:t xml:space="preserve"> collection expires on </w:t>
      </w:r>
      <w:r w:rsidR="003043C2">
        <w:rPr>
          <w:rFonts w:ascii="Times New Roman" w:hAnsi="Times New Roman"/>
        </w:rPr>
        <w:t>June</w:t>
      </w:r>
      <w:r w:rsidRPr="003043C2" w:rsidR="003043C2">
        <w:rPr>
          <w:rFonts w:ascii="Times New Roman" w:hAnsi="Times New Roman"/>
        </w:rPr>
        <w:t xml:space="preserve"> 30</w:t>
      </w:r>
      <w:r w:rsidR="003043C2">
        <w:rPr>
          <w:rFonts w:ascii="Times New Roman" w:hAnsi="Times New Roman"/>
        </w:rPr>
        <w:t>, 2021</w:t>
      </w:r>
      <w:r w:rsidRPr="003043C2" w:rsidR="003043C2">
        <w:rPr>
          <w:rFonts w:ascii="Times New Roman" w:hAnsi="Times New Roman"/>
        </w:rPr>
        <w:t>.</w:t>
      </w:r>
    </w:p>
    <w:p w:rsidRPr="00CF34FA" w:rsidR="00797DDC" w:rsidRDefault="00797DDC" w14:paraId="09A122FC" w14:textId="2D6C2ADC">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Pr="00CF34FA" w:rsidR="00994EDE" w:rsidRDefault="00994EDE" w14:paraId="5FFDAA14"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Pr="00CF34FA" w:rsidR="00994EDE" w:rsidRDefault="00994EDE" w14:paraId="4907DAB1" w14:textId="77777777">
      <w:pPr>
        <w:widowControl/>
        <w:tabs>
          <w:tab w:val="left" w:pos="432"/>
          <w:tab w:val="left" w:pos="1152"/>
          <w:tab w:val="left" w:pos="1872"/>
          <w:tab w:val="left" w:pos="2448"/>
          <w:tab w:val="left" w:pos="4896"/>
        </w:tabs>
        <w:rPr>
          <w:rFonts w:ascii="Times New Roman" w:hAnsi="Times New Roman"/>
        </w:rPr>
      </w:pPr>
    </w:p>
    <w:p w:rsidRPr="00450218" w:rsidR="00450218" w:rsidP="00450218" w:rsidRDefault="00450218" w14:paraId="2B83DB26" w14:textId="633969C2">
      <w:pPr>
        <w:tabs>
          <w:tab w:val="left" w:pos="480"/>
          <w:tab w:val="left" w:pos="1080"/>
          <w:tab w:val="left" w:pos="1680"/>
          <w:tab w:val="left" w:pos="2280"/>
          <w:tab w:val="left" w:pos="3000"/>
          <w:tab w:val="left" w:pos="3720"/>
          <w:tab w:val="left" w:pos="4440"/>
        </w:tabs>
        <w:suppressAutoHyphens/>
        <w:ind w:left="1080" w:hanging="1080"/>
        <w:rPr>
          <w:rFonts w:ascii="Times New Roman" w:hAnsi="Times New Roman"/>
        </w:rPr>
      </w:pPr>
      <w:r>
        <w:rPr>
          <w:rFonts w:ascii="Times New Roman" w:hAnsi="Times New Roman"/>
        </w:rPr>
        <w:tab/>
      </w:r>
      <w:r>
        <w:rPr>
          <w:rFonts w:ascii="Times New Roman" w:hAnsi="Times New Roman"/>
        </w:rPr>
        <w:tab/>
      </w:r>
      <w:r w:rsidRPr="00450218">
        <w:rPr>
          <w:rFonts w:ascii="Times New Roman" w:hAnsi="Times New Roman"/>
        </w:rPr>
        <w:t>Section 18(c) of the Federal Deposit Insurance Act (12 USC 1828(c)) requires an insured depository institution that wishes to merge or consolidate with any other insured depository institution or, either directly or indirectly, acquire the assets of, or assume liability to pay any deposits made in, any other insured depository institution, to apply for the prior written approval of the responsible agency (FDIC, OCC, FRB).  The responsible agency is required by the Act to request reports on the competitive factors involved from the Attorney General and the other two banking agencies.  The FDIC is the responsible agency if the acquiring, assuming, or resulting bank is to be a State nonmember insured bank (except a District bank) or a State savings association.</w:t>
      </w:r>
    </w:p>
    <w:p w:rsidRPr="00450218" w:rsidR="00450218" w:rsidP="00450218" w:rsidRDefault="00450218" w14:paraId="7C7B13BF" w14:textId="77777777">
      <w:pPr>
        <w:tabs>
          <w:tab w:val="left" w:pos="480"/>
          <w:tab w:val="left" w:pos="1080"/>
          <w:tab w:val="left" w:pos="1680"/>
          <w:tab w:val="left" w:pos="2280"/>
          <w:tab w:val="left" w:pos="3000"/>
          <w:tab w:val="left" w:pos="3720"/>
          <w:tab w:val="left" w:pos="4440"/>
        </w:tabs>
        <w:suppressAutoHyphens/>
        <w:rPr>
          <w:rFonts w:ascii="Times New Roman" w:hAnsi="Times New Roman"/>
        </w:rPr>
      </w:pPr>
    </w:p>
    <w:p w:rsidRPr="00450218" w:rsidR="00450218" w:rsidP="00450218" w:rsidRDefault="00450218" w14:paraId="18B18984" w14:textId="77777777">
      <w:pPr>
        <w:tabs>
          <w:tab w:val="left" w:pos="480"/>
          <w:tab w:val="left" w:pos="1080"/>
          <w:tab w:val="left" w:pos="1680"/>
          <w:tab w:val="left" w:pos="2280"/>
          <w:tab w:val="left" w:pos="3000"/>
          <w:tab w:val="left" w:pos="3720"/>
          <w:tab w:val="left" w:pos="4440"/>
        </w:tabs>
        <w:suppressAutoHyphens/>
        <w:ind w:left="1080" w:hanging="1080"/>
        <w:rPr>
          <w:rFonts w:ascii="Times New Roman" w:hAnsi="Times New Roman"/>
        </w:rPr>
      </w:pPr>
      <w:r w:rsidRPr="00450218">
        <w:rPr>
          <w:rFonts w:ascii="Times New Roman" w:hAnsi="Times New Roman"/>
        </w:rPr>
        <w:tab/>
      </w:r>
      <w:r w:rsidRPr="00450218">
        <w:rPr>
          <w:rFonts w:ascii="Times New Roman" w:hAnsi="Times New Roman"/>
        </w:rPr>
        <w:tab/>
        <w:t>According to the Act, in reviewing an application, the responsible agency is required to consider the following factors:</w:t>
      </w:r>
    </w:p>
    <w:p w:rsidRPr="00450218" w:rsidR="00450218" w:rsidP="00450218" w:rsidRDefault="00450218" w14:paraId="6DF53BA2" w14:textId="77777777">
      <w:pPr>
        <w:tabs>
          <w:tab w:val="left" w:pos="480"/>
          <w:tab w:val="left" w:pos="1080"/>
          <w:tab w:val="left" w:pos="1680"/>
          <w:tab w:val="left" w:pos="2280"/>
          <w:tab w:val="left" w:pos="3000"/>
          <w:tab w:val="left" w:pos="3720"/>
          <w:tab w:val="left" w:pos="4440"/>
        </w:tabs>
        <w:suppressAutoHyphens/>
        <w:rPr>
          <w:rFonts w:ascii="Times New Roman" w:hAnsi="Times New Roman"/>
        </w:rPr>
      </w:pPr>
    </w:p>
    <w:p w:rsidRPr="00450218" w:rsidR="00450218" w:rsidP="00450218" w:rsidRDefault="00450218" w14:paraId="73FD95E8" w14:textId="77777777">
      <w:pPr>
        <w:tabs>
          <w:tab w:val="left" w:pos="480"/>
          <w:tab w:val="left" w:pos="1080"/>
          <w:tab w:val="left" w:pos="1680"/>
          <w:tab w:val="left" w:pos="2280"/>
          <w:tab w:val="left" w:pos="3000"/>
          <w:tab w:val="left" w:pos="3720"/>
          <w:tab w:val="left" w:pos="4440"/>
        </w:tabs>
        <w:suppressAutoHyphens/>
        <w:ind w:left="1680" w:hanging="1680"/>
        <w:rPr>
          <w:rFonts w:ascii="Times New Roman" w:hAnsi="Times New Roman"/>
        </w:rPr>
      </w:pPr>
      <w:r w:rsidRPr="00450218">
        <w:rPr>
          <w:rFonts w:ascii="Times New Roman" w:hAnsi="Times New Roman"/>
        </w:rPr>
        <w:tab/>
      </w:r>
      <w:r w:rsidRPr="00450218">
        <w:rPr>
          <w:rFonts w:ascii="Times New Roman" w:hAnsi="Times New Roman"/>
        </w:rPr>
        <w:tab/>
        <w:t>(a)</w:t>
      </w:r>
      <w:r w:rsidRPr="00450218">
        <w:rPr>
          <w:rFonts w:ascii="Times New Roman" w:hAnsi="Times New Roman"/>
        </w:rPr>
        <w:tab/>
        <w:t xml:space="preserve">Competitive Factors </w:t>
      </w:r>
      <w:r w:rsidRPr="00450218">
        <w:rPr>
          <w:rFonts w:ascii="Times New Roman" w:hAnsi="Times New Roman"/>
        </w:rPr>
        <w:noBreakHyphen/>
        <w:t xml:space="preserve"> the responsible agency cannot approve any proposed merger transaction whose effect in any section of the country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transaction in meeting the convenience and needs of the community to be served.</w:t>
      </w:r>
    </w:p>
    <w:p w:rsidRPr="00450218" w:rsidR="00450218" w:rsidP="00450218" w:rsidRDefault="00450218" w14:paraId="626CE063" w14:textId="77777777">
      <w:pPr>
        <w:tabs>
          <w:tab w:val="left" w:pos="480"/>
          <w:tab w:val="left" w:pos="1080"/>
          <w:tab w:val="left" w:pos="1680"/>
          <w:tab w:val="left" w:pos="2280"/>
          <w:tab w:val="left" w:pos="3000"/>
          <w:tab w:val="left" w:pos="3720"/>
          <w:tab w:val="left" w:pos="4440"/>
        </w:tabs>
        <w:suppressAutoHyphens/>
        <w:rPr>
          <w:rFonts w:ascii="Times New Roman" w:hAnsi="Times New Roman"/>
        </w:rPr>
      </w:pPr>
    </w:p>
    <w:p w:rsidRPr="00450218" w:rsidR="00450218" w:rsidP="00450218" w:rsidRDefault="00450218" w14:paraId="05E92097" w14:textId="77777777">
      <w:pPr>
        <w:numPr>
          <w:ilvl w:val="0"/>
          <w:numId w:val="2"/>
        </w:numPr>
        <w:tabs>
          <w:tab w:val="left" w:pos="480"/>
          <w:tab w:val="left" w:pos="1080"/>
          <w:tab w:val="left" w:pos="2280"/>
          <w:tab w:val="left" w:pos="3000"/>
          <w:tab w:val="left" w:pos="3720"/>
          <w:tab w:val="left" w:pos="4440"/>
        </w:tabs>
        <w:suppressAutoHyphens/>
        <w:rPr>
          <w:rFonts w:ascii="Times New Roman" w:hAnsi="Times New Roman"/>
        </w:rPr>
      </w:pPr>
      <w:r w:rsidRPr="00450218">
        <w:rPr>
          <w:rFonts w:ascii="Times New Roman" w:hAnsi="Times New Roman"/>
        </w:rPr>
        <w:t xml:space="preserve">Banking Factors </w:t>
      </w:r>
      <w:r w:rsidRPr="00450218">
        <w:rPr>
          <w:rFonts w:ascii="Times New Roman" w:hAnsi="Times New Roman"/>
        </w:rPr>
        <w:noBreakHyphen/>
        <w:t xml:space="preserve"> an evaluation of the financial and managerial resources and future prospects of the existing and proposed institutions.</w:t>
      </w:r>
    </w:p>
    <w:p w:rsidRPr="00450218" w:rsidR="00450218" w:rsidP="00450218" w:rsidRDefault="00450218" w14:paraId="5B94068A" w14:textId="77777777">
      <w:pPr>
        <w:tabs>
          <w:tab w:val="left" w:pos="480"/>
          <w:tab w:val="left" w:pos="1080"/>
          <w:tab w:val="left" w:pos="2280"/>
          <w:tab w:val="left" w:pos="3000"/>
          <w:tab w:val="left" w:pos="3720"/>
          <w:tab w:val="left" w:pos="4440"/>
        </w:tabs>
        <w:suppressAutoHyphens/>
        <w:ind w:left="1080"/>
        <w:rPr>
          <w:rFonts w:ascii="Times New Roman" w:hAnsi="Times New Roman"/>
        </w:rPr>
      </w:pPr>
    </w:p>
    <w:p w:rsidR="00994EDE" w:rsidP="00450218" w:rsidRDefault="00450218" w14:paraId="7C10B1CD" w14:textId="1CD25DA2">
      <w:pPr>
        <w:widowControl/>
        <w:tabs>
          <w:tab w:val="left" w:pos="432"/>
          <w:tab w:val="left" w:pos="1152"/>
          <w:tab w:val="left" w:pos="1872"/>
          <w:tab w:val="left" w:pos="2448"/>
          <w:tab w:val="left" w:pos="4896"/>
        </w:tabs>
        <w:ind w:left="1152"/>
        <w:rPr>
          <w:rFonts w:ascii="Times New Roman" w:hAnsi="Times New Roman"/>
        </w:rPr>
      </w:pPr>
      <w:r w:rsidRPr="00450218">
        <w:rPr>
          <w:rFonts w:ascii="Times New Roman" w:hAnsi="Times New Roman"/>
        </w:rPr>
        <w:t xml:space="preserve">Community Factors </w:t>
      </w:r>
      <w:r w:rsidRPr="00450218">
        <w:rPr>
          <w:rFonts w:ascii="Times New Roman" w:hAnsi="Times New Roman"/>
        </w:rPr>
        <w:noBreakHyphen/>
        <w:t xml:space="preserve"> the consideration of the convenience and needs of the community to be served, including compliance with the Community Reinvestment Act.</w:t>
      </w:r>
    </w:p>
    <w:p w:rsidR="00450218" w:rsidP="00450218" w:rsidRDefault="00450218" w14:paraId="4D5ED802" w14:textId="4A919B7E">
      <w:pPr>
        <w:widowControl/>
        <w:tabs>
          <w:tab w:val="left" w:pos="432"/>
          <w:tab w:val="left" w:pos="1152"/>
          <w:tab w:val="left" w:pos="1872"/>
          <w:tab w:val="left" w:pos="2448"/>
          <w:tab w:val="left" w:pos="4896"/>
        </w:tabs>
        <w:ind w:left="1152"/>
        <w:rPr>
          <w:rFonts w:ascii="Times New Roman" w:hAnsi="Times New Roman"/>
        </w:rPr>
      </w:pPr>
    </w:p>
    <w:p w:rsidR="00450218" w:rsidP="00450218" w:rsidRDefault="00450218" w14:paraId="4F0717A6" w14:textId="77777777">
      <w:pPr>
        <w:widowControl/>
        <w:tabs>
          <w:tab w:val="left" w:pos="432"/>
          <w:tab w:val="left" w:pos="1152"/>
          <w:tab w:val="left" w:pos="1872"/>
          <w:tab w:val="left" w:pos="2448"/>
          <w:tab w:val="left" w:pos="4896"/>
        </w:tabs>
        <w:ind w:left="1152"/>
        <w:rPr>
          <w:rFonts w:ascii="Times New Roman" w:hAnsi="Times New Roman"/>
          <w:bCs/>
        </w:rPr>
      </w:pPr>
    </w:p>
    <w:p w:rsidR="00994EDE" w:rsidRDefault="00994EDE" w14:paraId="2781FFFB"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CF34FA" w:rsidRDefault="00CF34FA" w14:paraId="6D5C1A75"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lastRenderedPageBreak/>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rsidRDefault="00CF34FA"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P="00366F1B" w:rsidRDefault="00450218" w14:paraId="78F28EB9" w14:textId="350DA629">
      <w:pPr>
        <w:widowControl/>
        <w:tabs>
          <w:tab w:val="left" w:pos="288"/>
          <w:tab w:val="left" w:pos="1008"/>
          <w:tab w:val="left" w:pos="1728"/>
          <w:tab w:val="left" w:pos="2448"/>
          <w:tab w:val="left" w:pos="3168"/>
          <w:tab w:val="left" w:pos="3888"/>
        </w:tabs>
        <w:ind w:left="1008"/>
        <w:rPr>
          <w:rFonts w:ascii="Times New Roman" w:hAnsi="Times New Roman"/>
        </w:rPr>
      </w:pPr>
      <w:r w:rsidRPr="00450218">
        <w:rPr>
          <w:rFonts w:ascii="Times New Roman" w:hAnsi="Times New Roman"/>
        </w:rPr>
        <w:t>The information collected is used by the FDIC as a basis for evaluating the statutory factors mentioned in item 1 above.  Copies of the completed application submitted by an FDIC</w:t>
      </w:r>
      <w:r w:rsidRPr="00450218">
        <w:rPr>
          <w:rFonts w:ascii="Times New Roman" w:hAnsi="Times New Roman"/>
        </w:rPr>
        <w:noBreakHyphen/>
        <w:t>supervised bank are forwarded by the FDIC to the Comptroller of the Currency, the Federal Reserve Board and the Attorney General, together with a request for their opinion on the competitive aspects of the application, as required by 12 USC 1828(c)).</w:t>
      </w:r>
    </w:p>
    <w:p w:rsidRPr="00CF34FA" w:rsidR="00994EDE" w:rsidRDefault="00994EDE"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Pr="00CF34FA" w:rsidR="00994EDE" w:rsidRDefault="00994EDE"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450218" w14:paraId="0CDAD476" w14:textId="719A6E7E">
      <w:pPr>
        <w:widowControl/>
        <w:ind w:left="1008"/>
        <w:rPr>
          <w:rFonts w:ascii="Times New Roman" w:hAnsi="Times New Roman"/>
        </w:rPr>
      </w:pPr>
      <w:r w:rsidRPr="00450218">
        <w:rPr>
          <w:rFonts w:ascii="Times New Roman" w:hAnsi="Times New Roman"/>
        </w:rPr>
        <w:t>Although the FDIC continues to review conversion of hard copy collections to electronic collections, this collection continues to require submission of hard copies of the interagency bank merger applications.</w:t>
      </w:r>
    </w:p>
    <w:p w:rsidRPr="00CF34FA" w:rsidR="00994EDE" w:rsidRDefault="00994EDE"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Pr="00CF34FA" w:rsidR="00994EDE" w:rsidRDefault="00994EDE"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450218" w14:paraId="7098947A" w14:textId="0199950C">
      <w:pPr>
        <w:widowControl/>
        <w:tabs>
          <w:tab w:val="left" w:pos="288"/>
          <w:tab w:val="left" w:pos="1008"/>
          <w:tab w:val="left" w:pos="1728"/>
          <w:tab w:val="left" w:pos="2448"/>
          <w:tab w:val="left" w:pos="3168"/>
          <w:tab w:val="left" w:pos="3888"/>
        </w:tabs>
        <w:ind w:left="1008"/>
        <w:rPr>
          <w:rFonts w:ascii="Times New Roman" w:hAnsi="Times New Roman"/>
        </w:rPr>
      </w:pPr>
      <w:r w:rsidRPr="00450218">
        <w:rPr>
          <w:rFonts w:ascii="Times New Roman" w:hAnsi="Times New Roman"/>
        </w:rPr>
        <w:t>The information collected is unique to the transaction that the applicant bank is proposing.  Therefore the information does not exist at any location other than at the source, which is the applicant bank.</w:t>
      </w:r>
    </w:p>
    <w:p w:rsidRPr="00CF34FA" w:rsidR="00994EDE" w:rsidRDefault="00994EDE"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Pr="00CF34FA" w:rsidR="00994EDE" w:rsidRDefault="00994EDE"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1212D0" w14:paraId="0641ADCD" w14:textId="02856A27">
      <w:pPr>
        <w:widowControl/>
        <w:tabs>
          <w:tab w:val="left" w:pos="288"/>
          <w:tab w:val="left" w:pos="1008"/>
          <w:tab w:val="left" w:pos="1728"/>
          <w:tab w:val="left" w:pos="2448"/>
          <w:tab w:val="left" w:pos="3168"/>
          <w:tab w:val="left" w:pos="3888"/>
        </w:tabs>
        <w:ind w:left="1008"/>
        <w:rPr>
          <w:rFonts w:ascii="Times New Roman" w:hAnsi="Times New Roman"/>
        </w:rPr>
      </w:pPr>
      <w:r w:rsidRPr="001212D0">
        <w:rPr>
          <w:rFonts w:ascii="Times New Roman" w:hAnsi="Times New Roman"/>
        </w:rPr>
        <w:t>The collection requirement is the same for all banks, regardless of size.  The burden in preparing the application form is considered to be minimal.  The information collected is only that necessary to evaluate the transaction, giving consideration to the statutory factors of 12 USC 1828(c).</w:t>
      </w:r>
      <w:r w:rsidRPr="00CF34FA" w:rsidR="00994EDE">
        <w:rPr>
          <w:rFonts w:ascii="Times New Roman" w:hAnsi="Times New Roman"/>
        </w:rPr>
        <w:t xml:space="preserve">  </w:t>
      </w:r>
    </w:p>
    <w:p w:rsidRPr="00CF34FA" w:rsidR="00994EDE" w:rsidRDefault="00994EDE"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Pr="00CF34FA" w:rsidR="00994EDE" w:rsidRDefault="00994EDE"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1212D0" w14:paraId="1FD161C9" w14:textId="232252CD">
      <w:pPr>
        <w:widowControl/>
        <w:tabs>
          <w:tab w:val="left" w:pos="288"/>
          <w:tab w:val="left" w:pos="1008"/>
          <w:tab w:val="left" w:pos="1728"/>
          <w:tab w:val="left" w:pos="2448"/>
          <w:tab w:val="left" w:pos="3168"/>
          <w:tab w:val="left" w:pos="3888"/>
        </w:tabs>
        <w:ind w:left="1008"/>
        <w:rPr>
          <w:rFonts w:ascii="Times New Roman" w:hAnsi="Times New Roman"/>
        </w:rPr>
      </w:pPr>
      <w:r w:rsidRPr="001212D0">
        <w:rPr>
          <w:rFonts w:ascii="Times New Roman" w:hAnsi="Times New Roman"/>
        </w:rPr>
        <w:t>The statute requires the banking agencies to evaluate a covered merger transaction before it can legally take place.  The information is collected only on the occasion of a covered merger and less frequent collection is not possible without violating statutory requirements.</w:t>
      </w:r>
    </w:p>
    <w:p w:rsidRPr="00CF34FA" w:rsidR="00994EDE" w:rsidRDefault="00994EDE"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1320.5(d)(2):</w:t>
      </w:r>
    </w:p>
    <w:p w:rsidRPr="00CF34FA" w:rsidR="00994EDE" w:rsidRDefault="00994EDE"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1212D0" w14:paraId="74905569" w14:textId="33621BC7">
      <w:pPr>
        <w:widowControl/>
        <w:tabs>
          <w:tab w:val="left" w:pos="288"/>
          <w:tab w:val="left" w:pos="1008"/>
          <w:tab w:val="left" w:pos="1728"/>
          <w:tab w:val="left" w:pos="2448"/>
          <w:tab w:val="left" w:pos="3168"/>
          <w:tab w:val="left" w:pos="3888"/>
        </w:tabs>
        <w:ind w:left="1008"/>
        <w:rPr>
          <w:rFonts w:ascii="Times New Roman" w:hAnsi="Times New Roman"/>
        </w:rPr>
      </w:pPr>
      <w:r w:rsidRPr="001212D0">
        <w:rPr>
          <w:rFonts w:ascii="Times New Roman" w:hAnsi="Times New Roman"/>
        </w:rPr>
        <w:t>The applicant bank is required to prepare more than an original and two copies of the application because copies of merger transactions must be reviewed by each of the three banking agencies, FDIC, OCC, FRB and the Attorney General.  Some state banking departments also require a copy of the application pertaining to their banks.</w:t>
      </w:r>
    </w:p>
    <w:p w:rsidRPr="00CF34FA" w:rsidR="00994EDE" w:rsidRDefault="00994EDE"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Pr="00CF34FA" w:rsidR="00994EDE" w:rsidRDefault="00994EDE"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1C7588" w:rsidP="001C7588" w:rsidRDefault="001C7588" w14:paraId="171146EA" w14:textId="4F48D819">
      <w:pPr>
        <w:widowControl/>
        <w:ind w:left="1008"/>
        <w:rPr>
          <w:rFonts w:ascii="Times New Roman" w:hAnsi="Times New Roman"/>
        </w:rPr>
      </w:pPr>
      <w:r w:rsidRPr="00CF34FA">
        <w:rPr>
          <w:rFonts w:ascii="Times New Roman" w:hAnsi="Times New Roman"/>
        </w:rPr>
        <w:lastRenderedPageBreak/>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w:t>
      </w:r>
      <w:r w:rsidR="008E47C7">
        <w:rPr>
          <w:rFonts w:ascii="Times New Roman" w:hAnsi="Times New Roman"/>
        </w:rPr>
        <w:t>April 13</w:t>
      </w:r>
      <w:r w:rsidRPr="00CF34FA">
        <w:rPr>
          <w:rFonts w:ascii="Times New Roman" w:hAnsi="Times New Roman"/>
        </w:rPr>
        <w:t xml:space="preserve">, 2021 (86 FR </w:t>
      </w:r>
      <w:r w:rsidR="008E47C7">
        <w:rPr>
          <w:rFonts w:ascii="Times New Roman" w:hAnsi="Times New Roman"/>
        </w:rPr>
        <w:t>19265</w:t>
      </w:r>
      <w:r w:rsidRPr="00CF34FA">
        <w:rPr>
          <w:rFonts w:ascii="Times New Roman" w:hAnsi="Times New Roman"/>
        </w:rPr>
        <w:t xml:space="preserve">).  No comments were received. </w:t>
      </w:r>
    </w:p>
    <w:p w:rsidRPr="00CF34FA" w:rsidR="00994EDE" w:rsidRDefault="00994EDE"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Pr="00CF34FA" w:rsidR="00994EDE" w:rsidRDefault="00994EDE"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Pr="00CF34FA" w:rsidR="00994EDE" w:rsidRDefault="00994EDE"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Pr="00CF34FA" w:rsidR="00994EDE" w:rsidRDefault="00994EDE"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1C7588" w14:paraId="57B9ED5E"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reported is kept private to the extent allowed by law. Any information deemed to be of a confidential nature is exempt from public disclosure in accordance with the provisions of the Freedom of Information Act (5 U.S.C. 552).</w:t>
      </w:r>
    </w:p>
    <w:p w:rsidRPr="00CF34FA" w:rsidR="00994EDE" w:rsidRDefault="00994EDE"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Pr="00CF34FA" w:rsidR="00994EDE" w:rsidRDefault="00994EDE"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Default="001212D0" w14:paraId="17EEA175" w14:textId="5ACFA94F">
      <w:pPr>
        <w:widowControl/>
        <w:tabs>
          <w:tab w:val="left" w:pos="288"/>
          <w:tab w:val="left" w:pos="1008"/>
          <w:tab w:val="left" w:pos="1728"/>
          <w:tab w:val="left" w:pos="2448"/>
          <w:tab w:val="left" w:pos="3168"/>
          <w:tab w:val="left" w:pos="3888"/>
        </w:tabs>
        <w:rPr>
          <w:rFonts w:ascii="Times New Roman" w:hAnsi="Times New Roman"/>
        </w:rPr>
      </w:pPr>
      <w:r>
        <w:rPr>
          <w:rFonts w:ascii="Times New Roman" w:hAnsi="Times New Roman"/>
        </w:rPr>
        <w:tab/>
      </w:r>
      <w:r>
        <w:rPr>
          <w:rFonts w:ascii="Times New Roman" w:hAnsi="Times New Roman"/>
        </w:rPr>
        <w:tab/>
      </w:r>
      <w:r w:rsidRPr="001212D0">
        <w:rPr>
          <w:rFonts w:ascii="Times New Roman" w:hAnsi="Times New Roman"/>
        </w:rPr>
        <w:t>No information of a sensitive nature is required</w:t>
      </w:r>
    </w:p>
    <w:p w:rsidRPr="00CF34FA" w:rsidR="001212D0" w:rsidRDefault="001212D0" w14:paraId="42E55E44"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4A784F" w:rsidR="001C7588">
        <w:rPr>
          <w:rFonts w:ascii="Times New Roman" w:hAnsi="Times New Roman"/>
          <w:u w:val="single"/>
        </w:rPr>
        <w:t xml:space="preserve">Estimate of </w:t>
      </w:r>
      <w:r w:rsidRPr="004A784F" w:rsidR="002701C6">
        <w:rPr>
          <w:rFonts w:ascii="Times New Roman" w:hAnsi="Times New Roman"/>
          <w:u w:val="single"/>
        </w:rPr>
        <w:t>hour b</w:t>
      </w:r>
      <w:r w:rsidRPr="004A784F">
        <w:rPr>
          <w:rFonts w:ascii="Times New Roman" w:hAnsi="Times New Roman"/>
          <w:u w:val="single"/>
        </w:rPr>
        <w:t>urden</w:t>
      </w:r>
      <w:r w:rsidRPr="004A784F" w:rsidR="002701C6">
        <w:rPr>
          <w:rFonts w:ascii="Times New Roman" w:hAnsi="Times New Roman"/>
          <w:u w:val="single"/>
        </w:rPr>
        <w:t xml:space="preserve"> including annualized hourly costs:</w:t>
      </w:r>
    </w:p>
    <w:p w:rsidRPr="00CF34FA" w:rsidR="00FC035F" w:rsidRDefault="00FC035F" w14:paraId="0CAFB2BE"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Pr="00CF34FA" w:rsidR="00994EDE" w:rsidRDefault="00994EDE"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firstRow="1" w:lastRow="0" w:firstColumn="1" w:lastColumn="0" w:noHBand="0" w:noVBand="1"/>
      </w:tblPr>
      <w:tblGrid>
        <w:gridCol w:w="2621"/>
        <w:gridCol w:w="1477"/>
        <w:gridCol w:w="1027"/>
        <w:gridCol w:w="1260"/>
        <w:gridCol w:w="1230"/>
        <w:gridCol w:w="1035"/>
        <w:gridCol w:w="880"/>
      </w:tblGrid>
      <w:tr w:rsidRPr="00CF34FA" w:rsidR="00FC035F" w:rsidTr="009350E1" w14:paraId="731F4CE8" w14:textId="77777777">
        <w:trPr>
          <w:trHeight w:val="432"/>
        </w:trPr>
        <w:tc>
          <w:tcPr>
            <w:tcW w:w="9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CF34FA" w:rsidR="00FC035F" w:rsidP="001212D0" w:rsidRDefault="00FC035F" w14:paraId="150EC81A" w14:textId="317FFB26">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t>Summary of Estimated Annual Burdens (OMB No. 3064-0</w:t>
            </w:r>
            <w:r w:rsidR="008E47C7">
              <w:rPr>
                <w:rFonts w:ascii="Times New Roman" w:hAnsi="Times New Roman"/>
                <w:b/>
                <w:bCs/>
                <w:snapToGrid/>
                <w:color w:val="000000"/>
                <w:sz w:val="20"/>
              </w:rPr>
              <w:t>0</w:t>
            </w:r>
            <w:r w:rsidR="001212D0">
              <w:rPr>
                <w:rFonts w:ascii="Times New Roman" w:hAnsi="Times New Roman"/>
                <w:b/>
                <w:bCs/>
                <w:snapToGrid/>
                <w:color w:val="000000"/>
                <w:sz w:val="20"/>
              </w:rPr>
              <w:t>15</w:t>
            </w:r>
            <w:r w:rsidRPr="00CF34FA">
              <w:rPr>
                <w:rFonts w:ascii="Times New Roman" w:hAnsi="Times New Roman"/>
                <w:b/>
                <w:bCs/>
                <w:snapToGrid/>
                <w:color w:val="000000"/>
                <w:sz w:val="20"/>
              </w:rPr>
              <w:t>)</w:t>
            </w:r>
          </w:p>
        </w:tc>
      </w:tr>
      <w:tr w:rsidRPr="00CF34FA" w:rsidR="00FC035F" w:rsidTr="009350E1" w14:paraId="09BED8D0" w14:textId="77777777">
        <w:trPr>
          <w:trHeight w:val="1056"/>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color="auto" w:sz="4" w:space="0"/>
              <w:right w:val="single" w:color="auto" w:sz="4" w:space="0"/>
            </w:tcBorders>
            <w:vAlign w:val="center"/>
          </w:tcPr>
          <w:p w:rsidRPr="00CF34FA" w:rsidR="00FC035F" w:rsidP="00FC035F" w:rsidRDefault="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37E2D0ED"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1375E6BF"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 xml:space="preserve">Hours per Response </w:t>
            </w:r>
          </w:p>
        </w:tc>
        <w:tc>
          <w:tcPr>
            <w:tcW w:w="88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rsidRPr="00CF34FA" w:rsidR="00FC035F" w:rsidTr="009350E1" w14:paraId="3B1A34FF" w14:textId="77777777">
        <w:trPr>
          <w:trHeight w:val="288"/>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1212D0" w14:paraId="79904DD2" w14:textId="1B6B74F8">
            <w:pPr>
              <w:widowControl/>
              <w:rPr>
                <w:rFonts w:ascii="Times New Roman" w:hAnsi="Times New Roman" w:eastAsia="Source Sans Pro"/>
                <w:snapToGrid/>
                <w:color w:val="000000"/>
                <w:sz w:val="18"/>
                <w:szCs w:val="18"/>
                <w:lang w:bidi="en-US"/>
              </w:rPr>
            </w:pPr>
            <w:r w:rsidRPr="001212D0">
              <w:rPr>
                <w:rFonts w:ascii="Times New Roman" w:hAnsi="Times New Roman" w:eastAsia="Source Sans Pro"/>
                <w:snapToGrid/>
                <w:color w:val="000000"/>
                <w:sz w:val="18"/>
                <w:szCs w:val="18"/>
                <w:lang w:bidi="en-US"/>
              </w:rPr>
              <w:t>Interagency Bank Merger Act Application – Affiliated</w:t>
            </w:r>
          </w:p>
        </w:tc>
        <w:tc>
          <w:tcPr>
            <w:tcW w:w="1477"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FC035F" w14:paraId="30065C37" w14:textId="7CD95465">
            <w:pPr>
              <w:widowControl/>
              <w:jc w:val="center"/>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lang w:bidi="en-US"/>
              </w:rPr>
              <w:t>Re</w:t>
            </w:r>
            <w:r w:rsidR="00AA7C8E">
              <w:rPr>
                <w:rFonts w:ascii="Times New Roman" w:hAnsi="Times New Roman" w:eastAsia="Source Sans Pro"/>
                <w:snapToGrid/>
                <w:color w:val="000000"/>
                <w:sz w:val="18"/>
                <w:szCs w:val="18"/>
                <w:lang w:bidi="en-US"/>
              </w:rPr>
              <w:t>porting</w:t>
            </w:r>
            <w:r w:rsidRPr="00CF34FA">
              <w:rPr>
                <w:rFonts w:ascii="Times New Roman" w:hAnsi="Times New Roman" w:eastAsia="Source Sans Pro"/>
                <w:snapToGrid/>
                <w:color w:val="000000"/>
                <w:sz w:val="18"/>
                <w:szCs w:val="18"/>
                <w:lang w:bidi="en-US"/>
              </w:rPr>
              <w:t xml:space="preserve"> (Mandatory)</w:t>
            </w:r>
          </w:p>
        </w:tc>
        <w:tc>
          <w:tcPr>
            <w:tcW w:w="1027" w:type="dxa"/>
            <w:tcBorders>
              <w:top w:val="single" w:color="auto" w:sz="4" w:space="0"/>
              <w:left w:val="nil"/>
              <w:bottom w:val="single" w:color="auto" w:sz="4" w:space="0"/>
              <w:right w:val="single" w:color="auto" w:sz="4" w:space="0"/>
            </w:tcBorders>
            <w:vAlign w:val="center"/>
          </w:tcPr>
          <w:p w:rsidRPr="00CF34FA" w:rsidR="00FC035F" w:rsidP="00FC035F" w:rsidRDefault="00FC035F" w14:paraId="7F0C653F" w14:textId="77777777">
            <w:pPr>
              <w:widowControl/>
              <w:jc w:val="center"/>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On occasion</w:t>
            </w:r>
          </w:p>
        </w:tc>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CF34FA" w:rsidR="00FC035F" w:rsidP="00AA7C8E" w:rsidRDefault="001212D0" w14:paraId="199515BB" w14:textId="2FEBD920">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103</w:t>
            </w:r>
          </w:p>
        </w:tc>
        <w:tc>
          <w:tcPr>
            <w:tcW w:w="1230"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AA7C8E" w14:paraId="076F5385" w14:textId="21569A1E">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w:t>
            </w:r>
          </w:p>
        </w:tc>
        <w:tc>
          <w:tcPr>
            <w:tcW w:w="1035"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1212D0" w14:paraId="54E3CBB7" w14:textId="550E258F">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lang w:bidi="en-US"/>
              </w:rPr>
              <w:t>19</w:t>
            </w:r>
          </w:p>
        </w:tc>
        <w:tc>
          <w:tcPr>
            <w:tcW w:w="880"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1212D0" w14:paraId="420B0060" w14:textId="594DDB5C">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1,957</w:t>
            </w:r>
          </w:p>
        </w:tc>
      </w:tr>
      <w:tr w:rsidRPr="00CF34FA" w:rsidR="001212D0" w:rsidTr="009350E1" w14:paraId="7FB7C536" w14:textId="77777777">
        <w:trPr>
          <w:trHeight w:val="288"/>
        </w:trPr>
        <w:tc>
          <w:tcPr>
            <w:tcW w:w="2621" w:type="dxa"/>
            <w:tcBorders>
              <w:top w:val="nil"/>
              <w:left w:val="single" w:color="auto" w:sz="4" w:space="0"/>
              <w:bottom w:val="single" w:color="auto" w:sz="4" w:space="0"/>
              <w:right w:val="single" w:color="auto" w:sz="4" w:space="0"/>
            </w:tcBorders>
            <w:shd w:val="clear" w:color="auto" w:fill="auto"/>
            <w:vAlign w:val="center"/>
          </w:tcPr>
          <w:p w:rsidRPr="001212D0" w:rsidR="001212D0" w:rsidP="00FC035F" w:rsidRDefault="001212D0" w14:paraId="14C458A5" w14:textId="60A8D1E3">
            <w:pPr>
              <w:widowControl/>
              <w:rPr>
                <w:rFonts w:ascii="Times New Roman" w:hAnsi="Times New Roman" w:eastAsia="Source Sans Pro"/>
                <w:snapToGrid/>
                <w:color w:val="000000"/>
                <w:sz w:val="18"/>
                <w:szCs w:val="18"/>
                <w:lang w:bidi="en-US"/>
              </w:rPr>
            </w:pPr>
            <w:r w:rsidRPr="001212D0">
              <w:rPr>
                <w:rFonts w:ascii="Times New Roman" w:hAnsi="Times New Roman" w:eastAsia="Source Sans Pro"/>
                <w:snapToGrid/>
                <w:color w:val="000000"/>
                <w:sz w:val="18"/>
                <w:szCs w:val="18"/>
                <w:lang w:bidi="en-US"/>
              </w:rPr>
              <w:t>Interagency Bank Merger Act Application – Nonaffiliated</w:t>
            </w:r>
          </w:p>
        </w:tc>
        <w:tc>
          <w:tcPr>
            <w:tcW w:w="1477" w:type="dxa"/>
            <w:tcBorders>
              <w:top w:val="nil"/>
              <w:left w:val="nil"/>
              <w:bottom w:val="single" w:color="auto" w:sz="4" w:space="0"/>
              <w:right w:val="single" w:color="auto" w:sz="4" w:space="0"/>
            </w:tcBorders>
            <w:shd w:val="clear" w:color="auto" w:fill="auto"/>
            <w:noWrap/>
            <w:vAlign w:val="center"/>
          </w:tcPr>
          <w:p w:rsidRPr="00CF34FA" w:rsidR="001212D0" w:rsidP="00AA7C8E" w:rsidRDefault="001212D0" w14:paraId="4B896FC2" w14:textId="24CE13AA">
            <w:pPr>
              <w:widowControl/>
              <w:jc w:val="center"/>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Re</w:t>
            </w:r>
            <w:r>
              <w:rPr>
                <w:rFonts w:ascii="Times New Roman" w:hAnsi="Times New Roman" w:eastAsia="Source Sans Pro"/>
                <w:snapToGrid/>
                <w:color w:val="000000"/>
                <w:sz w:val="18"/>
                <w:szCs w:val="18"/>
                <w:lang w:bidi="en-US"/>
              </w:rPr>
              <w:t>porting</w:t>
            </w:r>
            <w:r w:rsidRPr="00CF34FA">
              <w:rPr>
                <w:rFonts w:ascii="Times New Roman" w:hAnsi="Times New Roman" w:eastAsia="Source Sans Pro"/>
                <w:snapToGrid/>
                <w:color w:val="000000"/>
                <w:sz w:val="18"/>
                <w:szCs w:val="18"/>
                <w:lang w:bidi="en-US"/>
              </w:rPr>
              <w:t xml:space="preserve"> (Mandatory)</w:t>
            </w:r>
          </w:p>
        </w:tc>
        <w:tc>
          <w:tcPr>
            <w:tcW w:w="1027" w:type="dxa"/>
            <w:tcBorders>
              <w:top w:val="single" w:color="auto" w:sz="4" w:space="0"/>
              <w:left w:val="nil"/>
              <w:bottom w:val="single" w:color="auto" w:sz="4" w:space="0"/>
              <w:right w:val="single" w:color="auto" w:sz="4" w:space="0"/>
            </w:tcBorders>
            <w:vAlign w:val="center"/>
          </w:tcPr>
          <w:p w:rsidRPr="00CF34FA" w:rsidR="001212D0" w:rsidP="00FC035F" w:rsidRDefault="004A784F" w14:paraId="729139B1" w14:textId="5EB9BF9D">
            <w:pPr>
              <w:widowControl/>
              <w:jc w:val="center"/>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On occasion</w:t>
            </w:r>
          </w:p>
        </w:tc>
        <w:tc>
          <w:tcPr>
            <w:tcW w:w="1260" w:type="dxa"/>
            <w:tcBorders>
              <w:top w:val="nil"/>
              <w:left w:val="single" w:color="auto" w:sz="4" w:space="0"/>
              <w:bottom w:val="single" w:color="auto" w:sz="4" w:space="0"/>
              <w:right w:val="single" w:color="auto" w:sz="4" w:space="0"/>
            </w:tcBorders>
            <w:shd w:val="clear" w:color="auto" w:fill="auto"/>
            <w:noWrap/>
            <w:vAlign w:val="center"/>
          </w:tcPr>
          <w:p w:rsidR="001212D0" w:rsidP="00AA7C8E" w:rsidRDefault="001212D0" w14:paraId="485F41CC" w14:textId="716020D7">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119</w:t>
            </w:r>
          </w:p>
        </w:tc>
        <w:tc>
          <w:tcPr>
            <w:tcW w:w="1230" w:type="dxa"/>
            <w:tcBorders>
              <w:top w:val="nil"/>
              <w:left w:val="nil"/>
              <w:bottom w:val="single" w:color="auto" w:sz="4" w:space="0"/>
              <w:right w:val="single" w:color="auto" w:sz="4" w:space="0"/>
            </w:tcBorders>
            <w:shd w:val="clear" w:color="auto" w:fill="auto"/>
            <w:noWrap/>
            <w:vAlign w:val="center"/>
          </w:tcPr>
          <w:p w:rsidR="001212D0" w:rsidP="00AA7C8E" w:rsidRDefault="001212D0" w14:paraId="096C0AC0" w14:textId="0FD8C607">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w:t>
            </w:r>
          </w:p>
        </w:tc>
        <w:tc>
          <w:tcPr>
            <w:tcW w:w="1035" w:type="dxa"/>
            <w:tcBorders>
              <w:top w:val="nil"/>
              <w:left w:val="nil"/>
              <w:bottom w:val="single" w:color="auto" w:sz="4" w:space="0"/>
              <w:right w:val="single" w:color="auto" w:sz="4" w:space="0"/>
            </w:tcBorders>
            <w:shd w:val="clear" w:color="auto" w:fill="auto"/>
            <w:noWrap/>
            <w:vAlign w:val="center"/>
          </w:tcPr>
          <w:p w:rsidR="001212D0" w:rsidP="00AA7C8E" w:rsidRDefault="001212D0" w14:paraId="10E520D9" w14:textId="61D14C56">
            <w:pPr>
              <w:widowControl/>
              <w:jc w:val="center"/>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31</w:t>
            </w:r>
          </w:p>
        </w:tc>
        <w:tc>
          <w:tcPr>
            <w:tcW w:w="880" w:type="dxa"/>
            <w:tcBorders>
              <w:top w:val="nil"/>
              <w:left w:val="nil"/>
              <w:bottom w:val="single" w:color="auto" w:sz="4" w:space="0"/>
              <w:right w:val="single" w:color="auto" w:sz="4" w:space="0"/>
            </w:tcBorders>
            <w:shd w:val="clear" w:color="auto" w:fill="auto"/>
            <w:noWrap/>
            <w:vAlign w:val="center"/>
          </w:tcPr>
          <w:p w:rsidR="001212D0" w:rsidP="00AA7C8E" w:rsidRDefault="001212D0" w14:paraId="4129E80B" w14:textId="0B8024D5">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3,689</w:t>
            </w:r>
          </w:p>
        </w:tc>
      </w:tr>
      <w:tr w:rsidRPr="00CF34FA" w:rsidR="00FC035F" w:rsidTr="009350E1" w14:paraId="48401E70" w14:textId="77777777">
        <w:trPr>
          <w:trHeight w:val="288"/>
        </w:trPr>
        <w:tc>
          <w:tcPr>
            <w:tcW w:w="8650" w:type="dxa"/>
            <w:gridSpan w:val="6"/>
            <w:tcBorders>
              <w:top w:val="single" w:color="auto" w:sz="4" w:space="0"/>
              <w:left w:val="single" w:color="auto" w:sz="4" w:space="0"/>
              <w:bottom w:val="single" w:color="auto" w:sz="4" w:space="0"/>
            </w:tcBorders>
            <w:shd w:val="clear" w:color="auto" w:fill="auto"/>
            <w:vAlign w:val="center"/>
          </w:tcPr>
          <w:p w:rsidRPr="00CF34FA" w:rsidR="00FC035F" w:rsidP="00FC035F" w:rsidRDefault="00FC035F" w14:paraId="776FF778" w14:textId="77777777">
            <w:pPr>
              <w:widowControl/>
              <w:jc w:val="right"/>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Total Annual Burden Hours:</w:t>
            </w:r>
          </w:p>
        </w:tc>
        <w:tc>
          <w:tcPr>
            <w:tcW w:w="880" w:type="dxa"/>
            <w:tcBorders>
              <w:top w:val="nil"/>
              <w:left w:val="nil"/>
              <w:bottom w:val="single" w:color="auto" w:sz="4" w:space="0"/>
              <w:right w:val="single" w:color="auto" w:sz="4" w:space="0"/>
            </w:tcBorders>
            <w:shd w:val="clear" w:color="auto" w:fill="auto"/>
            <w:noWrap/>
            <w:vAlign w:val="center"/>
          </w:tcPr>
          <w:p w:rsidRPr="00CF34FA" w:rsidR="00FC035F" w:rsidP="00FC035F" w:rsidRDefault="001212D0" w14:paraId="1D75B8D2" w14:textId="68F63806">
            <w:pPr>
              <w:widowControl/>
              <w:jc w:val="right"/>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5,646</w:t>
            </w:r>
          </w:p>
        </w:tc>
      </w:tr>
      <w:tr w:rsidRPr="00CF34FA" w:rsidR="00FC035F" w:rsidTr="009350E1" w14:paraId="500676D7" w14:textId="77777777">
        <w:trPr>
          <w:trHeight w:val="288"/>
        </w:trPr>
        <w:tc>
          <w:tcPr>
            <w:tcW w:w="9530" w:type="dxa"/>
            <w:gridSpan w:val="7"/>
            <w:tcBorders>
              <w:top w:val="nil"/>
              <w:left w:val="single" w:color="auto" w:sz="4" w:space="0"/>
              <w:bottom w:val="single" w:color="auto" w:sz="4" w:space="0"/>
              <w:right w:val="single" w:color="auto" w:sz="4" w:space="0"/>
            </w:tcBorders>
            <w:shd w:val="clear" w:color="auto" w:fill="auto"/>
            <w:vAlign w:val="center"/>
          </w:tcPr>
          <w:p w:rsidRPr="00CF34FA" w:rsidR="00FC035F" w:rsidP="00FC035F" w:rsidRDefault="00FC035F" w14:paraId="5EDC99D5" w14:textId="77777777">
            <w:pPr>
              <w:widowControl/>
              <w:rPr>
                <w:rFonts w:ascii="Times New Roman" w:hAnsi="Times New Roman" w:eastAsia="Source Sans Pro"/>
                <w:snapToGrid/>
                <w:color w:val="000000"/>
                <w:sz w:val="20"/>
                <w:lang w:bidi="en-US"/>
              </w:rPr>
            </w:pPr>
            <w:r w:rsidRPr="00CF34FA">
              <w:rPr>
                <w:rFonts w:ascii="Times New Roman" w:hAnsi="Times New Roman"/>
                <w:snapToGrid/>
                <w:color w:val="000000"/>
                <w:sz w:val="18"/>
                <w:szCs w:val="18"/>
              </w:rPr>
              <w:t>Source: FDIC.</w:t>
            </w:r>
          </w:p>
        </w:tc>
      </w:tr>
    </w:tbl>
    <w:p w:rsidR="00E9015C" w:rsidP="00E47A40" w:rsidRDefault="001C7588" w14:paraId="2309F69D" w14:textId="10DD56D5">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p w:rsidRPr="00377132" w:rsidR="00AA7C8E" w:rsidP="00AA7C8E" w:rsidRDefault="00AA7C8E" w14:paraId="69B8F3C1" w14:textId="691D600C">
      <w:pPr>
        <w:tabs>
          <w:tab w:val="left" w:pos="-1440"/>
        </w:tabs>
        <w:spacing w:line="360"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sidR="001212D0">
        <w:rPr>
          <w:rFonts w:ascii="Times New Roman" w:hAnsi="Times New Roman"/>
        </w:rPr>
        <w:t>5,646</w:t>
      </w:r>
      <w:r w:rsidRPr="00377132">
        <w:rPr>
          <w:rFonts w:ascii="Times New Roman" w:hAnsi="Times New Roman"/>
        </w:rPr>
        <w:t xml:space="preserve"> hours</w:t>
      </w:r>
    </w:p>
    <w:p w:rsidRPr="00377132" w:rsidR="00AA7C8E" w:rsidP="00AA7C8E" w:rsidRDefault="00AA7C8E" w14:paraId="776C29A6" w14:textId="0C6AB0A3">
      <w:pPr>
        <w:tabs>
          <w:tab w:val="left" w:pos="-1440"/>
        </w:tabs>
        <w:spacing w:line="360" w:lineRule="auto"/>
        <w:ind w:left="1440"/>
        <w:contextualSpacing/>
        <w:rPr>
          <w:rFonts w:ascii="Times New Roman" w:hAnsi="Times New Roman"/>
        </w:rPr>
      </w:pPr>
      <w:r w:rsidRPr="00377132">
        <w:rPr>
          <w:rFonts w:ascii="Times New Roman" w:hAnsi="Times New Roman"/>
        </w:rPr>
        <w:t xml:space="preserve">The total estimated annual cost for </w:t>
      </w:r>
      <w:r w:rsidR="001212D0">
        <w:rPr>
          <w:rFonts w:ascii="Times New Roman" w:hAnsi="Times New Roman"/>
        </w:rPr>
        <w:t>affiliated mergers</w:t>
      </w:r>
      <w:r w:rsidRPr="00377132">
        <w:rPr>
          <w:rFonts w:ascii="Times New Roman" w:hAnsi="Times New Roman"/>
        </w:rPr>
        <w:t xml:space="preserve"> is:</w:t>
      </w:r>
    </w:p>
    <w:p w:rsidR="00AA7C8E" w:rsidP="00AA7C8E" w:rsidRDefault="001212D0" w14:paraId="0B86ACC9" w14:textId="133290D9">
      <w:pPr>
        <w:tabs>
          <w:tab w:val="left" w:pos="-1440"/>
        </w:tabs>
        <w:spacing w:line="360" w:lineRule="auto"/>
        <w:ind w:left="1440"/>
        <w:contextualSpacing/>
        <w:rPr>
          <w:rFonts w:ascii="Times New Roman" w:hAnsi="Times New Roman"/>
        </w:rPr>
      </w:pPr>
      <w:r>
        <w:rPr>
          <w:rFonts w:ascii="Times New Roman" w:hAnsi="Times New Roman"/>
        </w:rPr>
        <w:t>1,957</w:t>
      </w:r>
      <w:r w:rsidRPr="00377132" w:rsidR="00AA7C8E">
        <w:rPr>
          <w:rFonts w:ascii="Times New Roman" w:hAnsi="Times New Roman"/>
        </w:rPr>
        <w:t xml:space="preserve"> hours x $</w:t>
      </w:r>
      <w:r w:rsidR="009E7132">
        <w:rPr>
          <w:rFonts w:ascii="Times New Roman" w:hAnsi="Times New Roman"/>
        </w:rPr>
        <w:t>113.42</w:t>
      </w:r>
      <w:r w:rsidRPr="00377132" w:rsidR="00AA7C8E">
        <w:rPr>
          <w:rFonts w:ascii="Times New Roman" w:hAnsi="Times New Roman"/>
        </w:rPr>
        <w:t xml:space="preserve"> = $</w:t>
      </w:r>
      <w:r w:rsidR="009E7132">
        <w:rPr>
          <w:rFonts w:ascii="Times New Roman" w:hAnsi="Times New Roman"/>
        </w:rPr>
        <w:t>221,963</w:t>
      </w:r>
    </w:p>
    <w:p w:rsidRPr="00377132" w:rsidR="009E7132" w:rsidP="009E7132" w:rsidRDefault="009E7132" w14:paraId="046B6072" w14:textId="7E13607A">
      <w:pPr>
        <w:tabs>
          <w:tab w:val="left" w:pos="-1440"/>
        </w:tabs>
        <w:spacing w:line="360" w:lineRule="auto"/>
        <w:ind w:left="1440"/>
        <w:contextualSpacing/>
        <w:rPr>
          <w:rFonts w:ascii="Times New Roman" w:hAnsi="Times New Roman"/>
        </w:rPr>
      </w:pPr>
      <w:r w:rsidRPr="00377132">
        <w:rPr>
          <w:rFonts w:ascii="Times New Roman" w:hAnsi="Times New Roman"/>
        </w:rPr>
        <w:t xml:space="preserve">The total estimated annual cost for </w:t>
      </w:r>
      <w:r>
        <w:rPr>
          <w:rFonts w:ascii="Times New Roman" w:hAnsi="Times New Roman"/>
        </w:rPr>
        <w:t>unaffiliated mergers</w:t>
      </w:r>
      <w:r w:rsidRPr="00377132">
        <w:rPr>
          <w:rFonts w:ascii="Times New Roman" w:hAnsi="Times New Roman"/>
        </w:rPr>
        <w:t xml:space="preserve"> is:</w:t>
      </w:r>
    </w:p>
    <w:p w:rsidR="009E7132" w:rsidP="009E7132" w:rsidRDefault="009E7132" w14:paraId="265FA140" w14:textId="1E488CB1">
      <w:pPr>
        <w:tabs>
          <w:tab w:val="left" w:pos="-1440"/>
        </w:tabs>
        <w:spacing w:line="360" w:lineRule="auto"/>
        <w:ind w:left="1440"/>
        <w:contextualSpacing/>
        <w:rPr>
          <w:rFonts w:ascii="Times New Roman" w:hAnsi="Times New Roman"/>
        </w:rPr>
      </w:pPr>
      <w:r>
        <w:rPr>
          <w:rFonts w:ascii="Times New Roman" w:hAnsi="Times New Roman"/>
        </w:rPr>
        <w:t>3,689</w:t>
      </w:r>
      <w:r w:rsidRPr="00377132">
        <w:rPr>
          <w:rFonts w:ascii="Times New Roman" w:hAnsi="Times New Roman"/>
        </w:rPr>
        <w:t xml:space="preserve"> hours x $</w:t>
      </w:r>
      <w:r>
        <w:rPr>
          <w:rFonts w:ascii="Times New Roman" w:hAnsi="Times New Roman"/>
        </w:rPr>
        <w:t>109.67</w:t>
      </w:r>
      <w:r w:rsidRPr="00377132">
        <w:rPr>
          <w:rFonts w:ascii="Times New Roman" w:hAnsi="Times New Roman"/>
        </w:rPr>
        <w:t xml:space="preserve"> = $</w:t>
      </w:r>
      <w:r>
        <w:rPr>
          <w:rFonts w:ascii="Times New Roman" w:hAnsi="Times New Roman"/>
        </w:rPr>
        <w:t>404,573</w:t>
      </w:r>
    </w:p>
    <w:p w:rsidR="009E7132" w:rsidP="009E7132" w:rsidRDefault="009E7132" w14:paraId="604A3612" w14:textId="46AB3D1D">
      <w:pPr>
        <w:tabs>
          <w:tab w:val="left" w:pos="-1440"/>
        </w:tabs>
        <w:spacing w:line="360" w:lineRule="auto"/>
        <w:ind w:left="1440"/>
        <w:contextualSpacing/>
        <w:rPr>
          <w:rFonts w:ascii="Times New Roman" w:hAnsi="Times New Roman"/>
        </w:rPr>
      </w:pPr>
      <w:r>
        <w:rPr>
          <w:rFonts w:ascii="Times New Roman" w:hAnsi="Times New Roman"/>
        </w:rPr>
        <w:t>The combined total burden cost is:</w:t>
      </w:r>
    </w:p>
    <w:p w:rsidR="009E7132" w:rsidP="009E7132" w:rsidRDefault="009E7132" w14:paraId="325461F8" w14:textId="55D2302B">
      <w:pPr>
        <w:tabs>
          <w:tab w:val="left" w:pos="-1440"/>
        </w:tabs>
        <w:spacing w:line="360" w:lineRule="auto"/>
        <w:ind w:left="1440"/>
        <w:contextualSpacing/>
        <w:rPr>
          <w:rFonts w:ascii="Times New Roman" w:hAnsi="Times New Roman"/>
        </w:rPr>
      </w:pPr>
      <w:r>
        <w:rPr>
          <w:rFonts w:ascii="Times New Roman" w:hAnsi="Times New Roman"/>
        </w:rPr>
        <w:t>$221,963 + $404,573 = $626,536</w:t>
      </w:r>
    </w:p>
    <w:p w:rsidR="009E7132" w:rsidP="00AA7C8E" w:rsidRDefault="009E7132" w14:paraId="15EB8D08" w14:textId="63418A25">
      <w:pPr>
        <w:tabs>
          <w:tab w:val="left" w:pos="-1440"/>
        </w:tabs>
        <w:spacing w:line="360" w:lineRule="auto"/>
        <w:ind w:left="1440"/>
        <w:contextualSpacing/>
        <w:rPr>
          <w:rFonts w:ascii="Times New Roman" w:hAnsi="Times New Roman"/>
        </w:rPr>
      </w:pPr>
    </w:p>
    <w:p w:rsidR="009E7132" w:rsidP="00AA7C8E" w:rsidRDefault="009E7132" w14:paraId="645D9CB5" w14:textId="77777777">
      <w:pPr>
        <w:tabs>
          <w:tab w:val="left" w:pos="-1440"/>
        </w:tabs>
        <w:spacing w:line="360" w:lineRule="auto"/>
        <w:ind w:left="1440"/>
        <w:contextualSpacing/>
        <w:rPr>
          <w:rFonts w:ascii="Times New Roman" w:hAnsi="Times New Roman"/>
        </w:rPr>
      </w:pPr>
    </w:p>
    <w:p w:rsidR="00AA7C8E" w:rsidP="00AA7C8E" w:rsidRDefault="00AA7C8E" w14:paraId="385A6B69" w14:textId="4552BD5F">
      <w:pPr>
        <w:tabs>
          <w:tab w:val="left" w:pos="-1440"/>
        </w:tabs>
        <w:spacing w:line="360" w:lineRule="auto"/>
        <w:ind w:left="1440"/>
        <w:contextualSpacing/>
        <w:rPr>
          <w:rFonts w:ascii="Times New Roman" w:hAnsi="Times New Roman"/>
        </w:rPr>
      </w:pPr>
    </w:p>
    <w:tbl>
      <w:tblPr>
        <w:tblStyle w:val="TableGrid"/>
        <w:tblW w:w="9735" w:type="dxa"/>
        <w:tblLook w:val="04A0" w:firstRow="1" w:lastRow="0" w:firstColumn="1" w:lastColumn="0" w:noHBand="0" w:noVBand="1"/>
      </w:tblPr>
      <w:tblGrid>
        <w:gridCol w:w="1914"/>
        <w:gridCol w:w="1779"/>
        <w:gridCol w:w="1536"/>
        <w:gridCol w:w="1515"/>
        <w:gridCol w:w="1488"/>
        <w:gridCol w:w="1503"/>
      </w:tblGrid>
      <w:tr w:rsidRPr="009E7132" w:rsidR="009E7132" w:rsidTr="009E7132" w14:paraId="39E3AB19" w14:textId="77777777">
        <w:trPr>
          <w:trHeight w:val="126"/>
        </w:trPr>
        <w:tc>
          <w:tcPr>
            <w:tcW w:w="1914" w:type="dxa"/>
            <w:vAlign w:val="center"/>
          </w:tcPr>
          <w:p w:rsidRPr="009E7132" w:rsidR="009E7132" w:rsidP="004625B5" w:rsidRDefault="009E7132" w14:paraId="6CE7C74B" w14:textId="77777777">
            <w:pPr>
              <w:jc w:val="center"/>
              <w:rPr>
                <w:rFonts w:ascii="Times New Roman" w:hAnsi="Times New Roman"/>
                <w:sz w:val="18"/>
                <w:szCs w:val="18"/>
              </w:rPr>
            </w:pPr>
            <w:r w:rsidRPr="009E7132">
              <w:rPr>
                <w:rFonts w:ascii="Times New Roman" w:hAnsi="Times New Roman"/>
                <w:color w:val="000000"/>
                <w:sz w:val="18"/>
                <w:szCs w:val="18"/>
              </w:rPr>
              <w:lastRenderedPageBreak/>
              <w:t>Estimated Category of Personnel Responsible for Complying with the PRA Burden</w:t>
            </w:r>
          </w:p>
        </w:tc>
        <w:tc>
          <w:tcPr>
            <w:tcW w:w="1779" w:type="dxa"/>
            <w:vAlign w:val="center"/>
          </w:tcPr>
          <w:p w:rsidRPr="009E7132" w:rsidR="009E7132" w:rsidP="004625B5" w:rsidRDefault="009E7132" w14:paraId="12D56B9B" w14:textId="77777777">
            <w:pPr>
              <w:jc w:val="center"/>
              <w:rPr>
                <w:rFonts w:ascii="Times New Roman" w:hAnsi="Times New Roman"/>
                <w:sz w:val="18"/>
                <w:szCs w:val="18"/>
              </w:rPr>
            </w:pPr>
            <w:r w:rsidRPr="009E7132">
              <w:rPr>
                <w:rFonts w:ascii="Times New Roman" w:hAnsi="Times New Roman"/>
                <w:color w:val="000000"/>
                <w:sz w:val="18"/>
                <w:szCs w:val="18"/>
              </w:rPr>
              <w:t>Total Estimated Hourly Compensation</w:t>
            </w:r>
          </w:p>
        </w:tc>
        <w:tc>
          <w:tcPr>
            <w:tcW w:w="1536" w:type="dxa"/>
            <w:vAlign w:val="center"/>
          </w:tcPr>
          <w:p w:rsidRPr="009E7132" w:rsidR="009E7132" w:rsidP="004625B5" w:rsidRDefault="009E7132" w14:paraId="208DC764" w14:textId="77777777">
            <w:pPr>
              <w:jc w:val="center"/>
              <w:rPr>
                <w:rFonts w:ascii="Times New Roman" w:hAnsi="Times New Roman"/>
                <w:sz w:val="18"/>
                <w:szCs w:val="18"/>
              </w:rPr>
            </w:pPr>
            <w:r w:rsidRPr="009E7132">
              <w:rPr>
                <w:rFonts w:ascii="Times New Roman" w:hAnsi="Times New Roman"/>
                <w:color w:val="000000"/>
                <w:sz w:val="18"/>
                <w:szCs w:val="18"/>
              </w:rPr>
              <w:t>Estimated Weights (Affiliated)</w:t>
            </w:r>
          </w:p>
        </w:tc>
        <w:tc>
          <w:tcPr>
            <w:tcW w:w="1515" w:type="dxa"/>
            <w:vAlign w:val="center"/>
          </w:tcPr>
          <w:p w:rsidRPr="009E7132" w:rsidR="009E7132" w:rsidP="004625B5" w:rsidRDefault="009E7132" w14:paraId="7A271600" w14:textId="77777777">
            <w:pPr>
              <w:jc w:val="center"/>
              <w:rPr>
                <w:rFonts w:ascii="Times New Roman" w:hAnsi="Times New Roman"/>
                <w:sz w:val="18"/>
                <w:szCs w:val="18"/>
              </w:rPr>
            </w:pPr>
            <w:r w:rsidRPr="009E7132">
              <w:rPr>
                <w:rFonts w:ascii="Times New Roman" w:hAnsi="Times New Roman"/>
                <w:color w:val="000000"/>
                <w:sz w:val="18"/>
                <w:szCs w:val="18"/>
              </w:rPr>
              <w:t>Weighted Hourly Compensation</w:t>
            </w:r>
            <w:r w:rsidRPr="009E7132" w:rsidDel="006806AA">
              <w:rPr>
                <w:rFonts w:ascii="Times New Roman" w:hAnsi="Times New Roman"/>
                <w:color w:val="000000"/>
                <w:sz w:val="18"/>
                <w:szCs w:val="18"/>
              </w:rPr>
              <w:t xml:space="preserve"> </w:t>
            </w:r>
            <w:r w:rsidRPr="009E7132">
              <w:rPr>
                <w:rFonts w:ascii="Times New Roman" w:hAnsi="Times New Roman"/>
                <w:color w:val="000000"/>
                <w:sz w:val="18"/>
                <w:szCs w:val="18"/>
              </w:rPr>
              <w:t>(Affiliated)</w:t>
            </w:r>
          </w:p>
        </w:tc>
        <w:tc>
          <w:tcPr>
            <w:tcW w:w="1488" w:type="dxa"/>
            <w:vAlign w:val="center"/>
          </w:tcPr>
          <w:p w:rsidRPr="009E7132" w:rsidR="009E7132" w:rsidP="004625B5" w:rsidRDefault="009E7132" w14:paraId="4883F390" w14:textId="77777777">
            <w:pPr>
              <w:jc w:val="center"/>
              <w:rPr>
                <w:rFonts w:ascii="Times New Roman" w:hAnsi="Times New Roman"/>
                <w:color w:val="000000"/>
                <w:sz w:val="18"/>
                <w:szCs w:val="18"/>
              </w:rPr>
            </w:pPr>
            <w:r w:rsidRPr="009E7132">
              <w:rPr>
                <w:rFonts w:ascii="Times New Roman" w:hAnsi="Times New Roman"/>
                <w:color w:val="000000"/>
                <w:sz w:val="18"/>
                <w:szCs w:val="18"/>
              </w:rPr>
              <w:t>Estimated Weights (Nonaffiliated)</w:t>
            </w:r>
          </w:p>
        </w:tc>
        <w:tc>
          <w:tcPr>
            <w:tcW w:w="1503" w:type="dxa"/>
            <w:vAlign w:val="center"/>
          </w:tcPr>
          <w:p w:rsidRPr="009E7132" w:rsidR="009E7132" w:rsidP="004625B5" w:rsidRDefault="009E7132" w14:paraId="0923B501" w14:textId="77777777">
            <w:pPr>
              <w:jc w:val="center"/>
              <w:rPr>
                <w:rFonts w:ascii="Times New Roman" w:hAnsi="Times New Roman"/>
                <w:color w:val="000000"/>
                <w:sz w:val="18"/>
                <w:szCs w:val="18"/>
              </w:rPr>
            </w:pPr>
            <w:r w:rsidRPr="009E7132">
              <w:rPr>
                <w:rFonts w:ascii="Times New Roman" w:hAnsi="Times New Roman"/>
                <w:color w:val="000000"/>
                <w:sz w:val="18"/>
                <w:szCs w:val="18"/>
              </w:rPr>
              <w:t>Weighted Hourly Compensation</w:t>
            </w:r>
            <w:r w:rsidRPr="009E7132" w:rsidDel="006806AA">
              <w:rPr>
                <w:rFonts w:ascii="Times New Roman" w:hAnsi="Times New Roman"/>
                <w:color w:val="000000"/>
                <w:sz w:val="18"/>
                <w:szCs w:val="18"/>
              </w:rPr>
              <w:t xml:space="preserve"> </w:t>
            </w:r>
            <w:r w:rsidRPr="009E7132">
              <w:rPr>
                <w:rFonts w:ascii="Times New Roman" w:hAnsi="Times New Roman"/>
                <w:color w:val="000000"/>
                <w:sz w:val="18"/>
                <w:szCs w:val="18"/>
              </w:rPr>
              <w:t>(Nonaffiliated)</w:t>
            </w:r>
          </w:p>
        </w:tc>
      </w:tr>
      <w:tr w:rsidRPr="009E7132" w:rsidR="009E7132" w:rsidTr="009E7132" w14:paraId="5E6F9418" w14:textId="77777777">
        <w:trPr>
          <w:trHeight w:val="253"/>
        </w:trPr>
        <w:tc>
          <w:tcPr>
            <w:tcW w:w="1914" w:type="dxa"/>
            <w:vAlign w:val="center"/>
          </w:tcPr>
          <w:p w:rsidRPr="009E7132" w:rsidR="009E7132" w:rsidP="009E7132" w:rsidRDefault="009E7132" w14:paraId="6E27BFB6" w14:textId="5CC5772E">
            <w:pPr>
              <w:rPr>
                <w:rFonts w:ascii="Times New Roman" w:hAnsi="Times New Roman"/>
                <w:color w:val="000000"/>
                <w:sz w:val="18"/>
                <w:szCs w:val="18"/>
              </w:rPr>
            </w:pPr>
            <w:r w:rsidRPr="009E7132">
              <w:rPr>
                <w:rFonts w:ascii="Times New Roman" w:hAnsi="Times New Roman"/>
                <w:color w:val="000000"/>
                <w:sz w:val="18"/>
                <w:szCs w:val="18"/>
              </w:rPr>
              <w:t>Executives and Managers</w:t>
            </w:r>
            <w:r w:rsidRPr="007E30B1" w:rsidR="00260D86">
              <w:rPr>
                <w:rStyle w:val="FootnoteReference"/>
                <w:rFonts w:ascii="Times New Roman" w:hAnsi="Times New Roman"/>
                <w:color w:val="000000"/>
                <w:sz w:val="18"/>
                <w:szCs w:val="18"/>
                <w:vertAlign w:val="superscript"/>
              </w:rPr>
              <w:footnoteReference w:id="1"/>
            </w:r>
          </w:p>
        </w:tc>
        <w:tc>
          <w:tcPr>
            <w:tcW w:w="1779" w:type="dxa"/>
            <w:vAlign w:val="center"/>
          </w:tcPr>
          <w:p w:rsidRPr="009E7132" w:rsidR="009E7132" w:rsidP="004625B5" w:rsidRDefault="009E7132" w14:paraId="05F29CF6" w14:textId="77777777">
            <w:pPr>
              <w:jc w:val="center"/>
              <w:rPr>
                <w:rFonts w:ascii="Times New Roman" w:hAnsi="Times New Roman"/>
                <w:color w:val="000000"/>
                <w:sz w:val="18"/>
                <w:szCs w:val="18"/>
              </w:rPr>
            </w:pPr>
            <w:r w:rsidRPr="009E7132">
              <w:rPr>
                <w:rFonts w:ascii="Times New Roman" w:hAnsi="Times New Roman"/>
                <w:sz w:val="18"/>
                <w:szCs w:val="18"/>
              </w:rPr>
              <w:t>$123.30</w:t>
            </w:r>
          </w:p>
        </w:tc>
        <w:tc>
          <w:tcPr>
            <w:tcW w:w="1536" w:type="dxa"/>
            <w:vAlign w:val="center"/>
          </w:tcPr>
          <w:p w:rsidRPr="009E7132" w:rsidR="009E7132" w:rsidP="004625B5" w:rsidRDefault="009E7132" w14:paraId="477C35F3" w14:textId="77777777">
            <w:pPr>
              <w:jc w:val="center"/>
              <w:rPr>
                <w:rFonts w:ascii="Times New Roman" w:hAnsi="Times New Roman"/>
                <w:color w:val="000000"/>
                <w:sz w:val="18"/>
                <w:szCs w:val="18"/>
              </w:rPr>
            </w:pPr>
            <w:r w:rsidRPr="009E7132">
              <w:rPr>
                <w:rFonts w:ascii="Times New Roman" w:hAnsi="Times New Roman"/>
                <w:sz w:val="18"/>
                <w:szCs w:val="18"/>
              </w:rPr>
              <w:t>40%</w:t>
            </w:r>
          </w:p>
        </w:tc>
        <w:tc>
          <w:tcPr>
            <w:tcW w:w="1515" w:type="dxa"/>
            <w:vAlign w:val="center"/>
          </w:tcPr>
          <w:p w:rsidRPr="009E7132" w:rsidR="009E7132" w:rsidP="004625B5" w:rsidRDefault="009E7132" w14:paraId="032E880B" w14:textId="77777777">
            <w:pPr>
              <w:jc w:val="center"/>
              <w:rPr>
                <w:rFonts w:ascii="Times New Roman" w:hAnsi="Times New Roman"/>
                <w:color w:val="000000"/>
                <w:sz w:val="18"/>
                <w:szCs w:val="18"/>
              </w:rPr>
            </w:pPr>
            <w:r w:rsidRPr="009E7132">
              <w:rPr>
                <w:rFonts w:ascii="Times New Roman" w:hAnsi="Times New Roman"/>
                <w:sz w:val="18"/>
                <w:szCs w:val="18"/>
              </w:rPr>
              <w:t>$49.32</w:t>
            </w:r>
          </w:p>
        </w:tc>
        <w:tc>
          <w:tcPr>
            <w:tcW w:w="1488" w:type="dxa"/>
            <w:vAlign w:val="center"/>
          </w:tcPr>
          <w:p w:rsidRPr="009E7132" w:rsidR="009E7132" w:rsidP="004625B5" w:rsidRDefault="009E7132" w14:paraId="2B25BC87" w14:textId="77777777">
            <w:pPr>
              <w:jc w:val="center"/>
              <w:rPr>
                <w:rFonts w:ascii="Times New Roman" w:hAnsi="Times New Roman"/>
                <w:color w:val="000000" w:themeColor="text1"/>
                <w:sz w:val="18"/>
                <w:szCs w:val="18"/>
              </w:rPr>
            </w:pPr>
            <w:r w:rsidRPr="009E7132">
              <w:rPr>
                <w:rFonts w:ascii="Times New Roman" w:hAnsi="Times New Roman"/>
                <w:color w:val="000000"/>
                <w:sz w:val="18"/>
                <w:szCs w:val="18"/>
              </w:rPr>
              <w:t>30%</w:t>
            </w:r>
          </w:p>
        </w:tc>
        <w:tc>
          <w:tcPr>
            <w:tcW w:w="1503" w:type="dxa"/>
            <w:vAlign w:val="center"/>
          </w:tcPr>
          <w:p w:rsidRPr="009E7132" w:rsidR="009E7132" w:rsidP="004625B5" w:rsidRDefault="009E7132" w14:paraId="61BE592A" w14:textId="77777777">
            <w:pPr>
              <w:jc w:val="center"/>
              <w:rPr>
                <w:rFonts w:ascii="Times New Roman" w:hAnsi="Times New Roman"/>
                <w:color w:val="000000" w:themeColor="text1"/>
                <w:sz w:val="18"/>
                <w:szCs w:val="18"/>
              </w:rPr>
            </w:pPr>
            <w:r w:rsidRPr="009E7132">
              <w:rPr>
                <w:rFonts w:ascii="Times New Roman" w:hAnsi="Times New Roman"/>
                <w:color w:val="000000"/>
                <w:sz w:val="18"/>
                <w:szCs w:val="18"/>
              </w:rPr>
              <w:t>$36.99</w:t>
            </w:r>
          </w:p>
        </w:tc>
      </w:tr>
      <w:tr w:rsidRPr="009E7132" w:rsidR="009E7132" w:rsidTr="009E7132" w14:paraId="4B824CC6" w14:textId="77777777">
        <w:trPr>
          <w:trHeight w:val="126"/>
        </w:trPr>
        <w:tc>
          <w:tcPr>
            <w:tcW w:w="1914" w:type="dxa"/>
            <w:vAlign w:val="center"/>
          </w:tcPr>
          <w:p w:rsidRPr="009E7132" w:rsidR="009E7132" w:rsidP="00260D86" w:rsidRDefault="009E7132" w14:paraId="799155E0" w14:textId="7214BA4B">
            <w:pPr>
              <w:rPr>
                <w:rFonts w:ascii="Times New Roman" w:hAnsi="Times New Roman"/>
                <w:color w:val="000000"/>
                <w:sz w:val="18"/>
                <w:szCs w:val="18"/>
              </w:rPr>
            </w:pPr>
            <w:r w:rsidRPr="009E7132">
              <w:rPr>
                <w:rFonts w:ascii="Times New Roman" w:hAnsi="Times New Roman"/>
                <w:sz w:val="18"/>
                <w:szCs w:val="18"/>
              </w:rPr>
              <w:t>Lawyers</w:t>
            </w:r>
            <w:r w:rsidRPr="007E30B1" w:rsidR="00260D86">
              <w:rPr>
                <w:rStyle w:val="FootnoteReference"/>
                <w:rFonts w:ascii="Times New Roman" w:hAnsi="Times New Roman"/>
                <w:sz w:val="18"/>
                <w:szCs w:val="18"/>
                <w:vertAlign w:val="superscript"/>
              </w:rPr>
              <w:footnoteReference w:id="2"/>
            </w:r>
          </w:p>
        </w:tc>
        <w:tc>
          <w:tcPr>
            <w:tcW w:w="1779" w:type="dxa"/>
            <w:vAlign w:val="center"/>
          </w:tcPr>
          <w:p w:rsidRPr="009E7132" w:rsidR="009E7132" w:rsidP="004625B5" w:rsidRDefault="009E7132" w14:paraId="57986790" w14:textId="77777777">
            <w:pPr>
              <w:jc w:val="center"/>
              <w:rPr>
                <w:rFonts w:ascii="Times New Roman" w:hAnsi="Times New Roman"/>
                <w:color w:val="000000" w:themeColor="text1"/>
                <w:sz w:val="18"/>
                <w:szCs w:val="18"/>
              </w:rPr>
            </w:pPr>
            <w:r w:rsidRPr="009E7132">
              <w:rPr>
                <w:rFonts w:ascii="Times New Roman" w:hAnsi="Times New Roman"/>
                <w:sz w:val="18"/>
                <w:szCs w:val="18"/>
              </w:rPr>
              <w:t>$151.44</w:t>
            </w:r>
          </w:p>
        </w:tc>
        <w:tc>
          <w:tcPr>
            <w:tcW w:w="1536" w:type="dxa"/>
            <w:vAlign w:val="center"/>
          </w:tcPr>
          <w:p w:rsidRPr="009E7132" w:rsidR="009E7132" w:rsidP="004625B5" w:rsidRDefault="009E7132" w14:paraId="0CC9DC74" w14:textId="77777777">
            <w:pPr>
              <w:jc w:val="center"/>
              <w:rPr>
                <w:rFonts w:ascii="Times New Roman" w:hAnsi="Times New Roman"/>
                <w:color w:val="000000" w:themeColor="text1"/>
                <w:sz w:val="18"/>
                <w:szCs w:val="18"/>
              </w:rPr>
            </w:pPr>
            <w:r w:rsidRPr="009E7132">
              <w:rPr>
                <w:rFonts w:ascii="Times New Roman" w:hAnsi="Times New Roman"/>
                <w:sz w:val="18"/>
                <w:szCs w:val="18"/>
              </w:rPr>
              <w:t>30%</w:t>
            </w:r>
          </w:p>
        </w:tc>
        <w:tc>
          <w:tcPr>
            <w:tcW w:w="1515" w:type="dxa"/>
            <w:vAlign w:val="center"/>
          </w:tcPr>
          <w:p w:rsidRPr="009E7132" w:rsidR="009E7132" w:rsidP="004625B5" w:rsidRDefault="009E7132" w14:paraId="371AF926" w14:textId="77777777">
            <w:pPr>
              <w:jc w:val="center"/>
              <w:rPr>
                <w:rFonts w:ascii="Times New Roman" w:hAnsi="Times New Roman"/>
                <w:color w:val="000000" w:themeColor="text1"/>
                <w:sz w:val="18"/>
                <w:szCs w:val="18"/>
              </w:rPr>
            </w:pPr>
            <w:r w:rsidRPr="009E7132">
              <w:rPr>
                <w:rFonts w:ascii="Times New Roman" w:hAnsi="Times New Roman"/>
                <w:sz w:val="18"/>
                <w:szCs w:val="18"/>
              </w:rPr>
              <w:t>$45.43</w:t>
            </w:r>
          </w:p>
        </w:tc>
        <w:tc>
          <w:tcPr>
            <w:tcW w:w="1488" w:type="dxa"/>
            <w:vAlign w:val="center"/>
          </w:tcPr>
          <w:p w:rsidRPr="009E7132" w:rsidR="009E7132" w:rsidP="004625B5" w:rsidRDefault="009E7132" w14:paraId="20D50AB0" w14:textId="77777777">
            <w:pPr>
              <w:jc w:val="center"/>
              <w:rPr>
                <w:rFonts w:ascii="Times New Roman" w:hAnsi="Times New Roman"/>
                <w:color w:val="000000" w:themeColor="text1"/>
                <w:sz w:val="18"/>
                <w:szCs w:val="18"/>
              </w:rPr>
            </w:pPr>
            <w:r w:rsidRPr="009E7132">
              <w:rPr>
                <w:rFonts w:ascii="Times New Roman" w:hAnsi="Times New Roman"/>
                <w:color w:val="000000"/>
                <w:sz w:val="18"/>
                <w:szCs w:val="18"/>
              </w:rPr>
              <w:t>30%</w:t>
            </w:r>
          </w:p>
        </w:tc>
        <w:tc>
          <w:tcPr>
            <w:tcW w:w="1503" w:type="dxa"/>
            <w:vAlign w:val="center"/>
          </w:tcPr>
          <w:p w:rsidRPr="009E7132" w:rsidR="009E7132" w:rsidP="004625B5" w:rsidRDefault="009E7132" w14:paraId="2807BA49" w14:textId="77777777">
            <w:pPr>
              <w:jc w:val="center"/>
              <w:rPr>
                <w:rFonts w:ascii="Times New Roman" w:hAnsi="Times New Roman"/>
                <w:color w:val="000000" w:themeColor="text1"/>
                <w:sz w:val="18"/>
                <w:szCs w:val="18"/>
              </w:rPr>
            </w:pPr>
            <w:r w:rsidRPr="009E7132">
              <w:rPr>
                <w:rFonts w:ascii="Times New Roman" w:hAnsi="Times New Roman"/>
                <w:color w:val="000000"/>
                <w:sz w:val="18"/>
                <w:szCs w:val="18"/>
              </w:rPr>
              <w:t>$45.43</w:t>
            </w:r>
          </w:p>
        </w:tc>
      </w:tr>
      <w:tr w:rsidRPr="009E7132" w:rsidR="009E7132" w:rsidTr="009E7132" w14:paraId="3365A4F3" w14:textId="77777777">
        <w:trPr>
          <w:trHeight w:val="253"/>
        </w:trPr>
        <w:tc>
          <w:tcPr>
            <w:tcW w:w="1914" w:type="dxa"/>
            <w:vAlign w:val="center"/>
          </w:tcPr>
          <w:p w:rsidRPr="009E7132" w:rsidR="009E7132" w:rsidP="009E7132" w:rsidRDefault="009E7132" w14:paraId="60C821FE" w14:textId="1257C280">
            <w:pPr>
              <w:rPr>
                <w:rFonts w:ascii="Times New Roman" w:hAnsi="Times New Roman"/>
                <w:color w:val="000000"/>
                <w:sz w:val="18"/>
                <w:szCs w:val="18"/>
              </w:rPr>
            </w:pPr>
            <w:r w:rsidRPr="009E7132">
              <w:rPr>
                <w:rFonts w:ascii="Times New Roman" w:hAnsi="Times New Roman"/>
                <w:sz w:val="18"/>
                <w:szCs w:val="18"/>
              </w:rPr>
              <w:t>Compliance Officers</w:t>
            </w:r>
            <w:r w:rsidRPr="007E30B1" w:rsidR="00260D86">
              <w:rPr>
                <w:rStyle w:val="FootnoteReference"/>
                <w:rFonts w:ascii="Times New Roman" w:hAnsi="Times New Roman"/>
                <w:color w:val="000000"/>
                <w:sz w:val="18"/>
                <w:szCs w:val="18"/>
                <w:vertAlign w:val="superscript"/>
              </w:rPr>
              <w:footnoteReference w:id="3"/>
            </w:r>
          </w:p>
        </w:tc>
        <w:tc>
          <w:tcPr>
            <w:tcW w:w="1779" w:type="dxa"/>
            <w:vAlign w:val="center"/>
          </w:tcPr>
          <w:p w:rsidRPr="009E7132" w:rsidR="009E7132" w:rsidP="004625B5" w:rsidRDefault="009E7132" w14:paraId="78CCF3D9" w14:textId="77777777">
            <w:pPr>
              <w:jc w:val="center"/>
              <w:rPr>
                <w:rFonts w:ascii="Times New Roman" w:hAnsi="Times New Roman"/>
                <w:color w:val="000000"/>
                <w:sz w:val="18"/>
                <w:szCs w:val="18"/>
              </w:rPr>
            </w:pPr>
            <w:r w:rsidRPr="009E7132">
              <w:rPr>
                <w:rFonts w:ascii="Times New Roman" w:hAnsi="Times New Roman"/>
                <w:sz w:val="18"/>
                <w:szCs w:val="18"/>
              </w:rPr>
              <w:t>$67.35</w:t>
            </w:r>
          </w:p>
        </w:tc>
        <w:tc>
          <w:tcPr>
            <w:tcW w:w="1536" w:type="dxa"/>
            <w:vAlign w:val="center"/>
          </w:tcPr>
          <w:p w:rsidRPr="009E7132" w:rsidR="009E7132" w:rsidP="004625B5" w:rsidRDefault="009E7132" w14:paraId="69B3BF38" w14:textId="77777777">
            <w:pPr>
              <w:jc w:val="center"/>
              <w:rPr>
                <w:rFonts w:ascii="Times New Roman" w:hAnsi="Times New Roman"/>
                <w:color w:val="000000"/>
                <w:sz w:val="18"/>
                <w:szCs w:val="18"/>
              </w:rPr>
            </w:pPr>
            <w:r w:rsidRPr="009E7132">
              <w:rPr>
                <w:rFonts w:ascii="Times New Roman" w:hAnsi="Times New Roman"/>
                <w:sz w:val="18"/>
                <w:szCs w:val="18"/>
              </w:rPr>
              <w:t>10%</w:t>
            </w:r>
          </w:p>
        </w:tc>
        <w:tc>
          <w:tcPr>
            <w:tcW w:w="1515" w:type="dxa"/>
            <w:vAlign w:val="center"/>
          </w:tcPr>
          <w:p w:rsidRPr="009E7132" w:rsidR="009E7132" w:rsidP="004625B5" w:rsidRDefault="009E7132" w14:paraId="2FBBBD0F" w14:textId="77777777">
            <w:pPr>
              <w:jc w:val="center"/>
              <w:rPr>
                <w:rFonts w:ascii="Times New Roman" w:hAnsi="Times New Roman"/>
                <w:color w:val="000000"/>
                <w:sz w:val="18"/>
                <w:szCs w:val="18"/>
              </w:rPr>
            </w:pPr>
            <w:r w:rsidRPr="009E7132">
              <w:rPr>
                <w:rFonts w:ascii="Times New Roman" w:hAnsi="Times New Roman"/>
                <w:sz w:val="18"/>
                <w:szCs w:val="18"/>
              </w:rPr>
              <w:t>$6.73</w:t>
            </w:r>
          </w:p>
        </w:tc>
        <w:tc>
          <w:tcPr>
            <w:tcW w:w="1488" w:type="dxa"/>
            <w:vAlign w:val="center"/>
          </w:tcPr>
          <w:p w:rsidRPr="009E7132" w:rsidR="009E7132" w:rsidP="004625B5" w:rsidRDefault="009E7132" w14:paraId="5050A9A3" w14:textId="77777777">
            <w:pPr>
              <w:jc w:val="center"/>
              <w:rPr>
                <w:rFonts w:ascii="Times New Roman" w:hAnsi="Times New Roman"/>
                <w:color w:val="000000" w:themeColor="text1"/>
                <w:sz w:val="18"/>
                <w:szCs w:val="18"/>
              </w:rPr>
            </w:pPr>
            <w:r w:rsidRPr="009E7132">
              <w:rPr>
                <w:rFonts w:ascii="Times New Roman" w:hAnsi="Times New Roman"/>
                <w:color w:val="000000"/>
                <w:sz w:val="18"/>
                <w:szCs w:val="18"/>
              </w:rPr>
              <w:t>10%</w:t>
            </w:r>
          </w:p>
        </w:tc>
        <w:tc>
          <w:tcPr>
            <w:tcW w:w="1503" w:type="dxa"/>
            <w:vAlign w:val="center"/>
          </w:tcPr>
          <w:p w:rsidRPr="009E7132" w:rsidR="009E7132" w:rsidP="004625B5" w:rsidRDefault="009E7132" w14:paraId="4188AD1A" w14:textId="77777777">
            <w:pPr>
              <w:jc w:val="center"/>
              <w:rPr>
                <w:rFonts w:ascii="Times New Roman" w:hAnsi="Times New Roman"/>
                <w:color w:val="000000" w:themeColor="text1"/>
                <w:sz w:val="18"/>
                <w:szCs w:val="18"/>
              </w:rPr>
            </w:pPr>
            <w:r w:rsidRPr="009E7132">
              <w:rPr>
                <w:rFonts w:ascii="Times New Roman" w:hAnsi="Times New Roman"/>
                <w:color w:val="000000"/>
                <w:sz w:val="18"/>
                <w:szCs w:val="18"/>
              </w:rPr>
              <w:t>$6.73</w:t>
            </w:r>
          </w:p>
        </w:tc>
      </w:tr>
      <w:tr w:rsidRPr="009E7132" w:rsidR="009E7132" w:rsidTr="009E7132" w14:paraId="4E1D5A66" w14:textId="77777777">
        <w:trPr>
          <w:trHeight w:val="131"/>
        </w:trPr>
        <w:tc>
          <w:tcPr>
            <w:tcW w:w="1914" w:type="dxa"/>
            <w:vAlign w:val="center"/>
          </w:tcPr>
          <w:p w:rsidRPr="009E7132" w:rsidR="009E7132" w:rsidP="00260D86" w:rsidRDefault="009E7132" w14:paraId="5D75C455" w14:textId="6ED57975">
            <w:pPr>
              <w:rPr>
                <w:rFonts w:ascii="Times New Roman" w:hAnsi="Times New Roman"/>
                <w:sz w:val="18"/>
                <w:szCs w:val="18"/>
              </w:rPr>
            </w:pPr>
            <w:r w:rsidRPr="009E7132">
              <w:rPr>
                <w:rFonts w:ascii="Times New Roman" w:hAnsi="Times New Roman"/>
                <w:sz w:val="18"/>
                <w:szCs w:val="18"/>
              </w:rPr>
              <w:t>IT Specialists</w:t>
            </w:r>
            <w:r w:rsidRPr="007E30B1" w:rsidR="00260D86">
              <w:rPr>
                <w:rStyle w:val="FootnoteReference"/>
                <w:rFonts w:ascii="Times New Roman" w:hAnsi="Times New Roman"/>
                <w:sz w:val="18"/>
                <w:szCs w:val="18"/>
                <w:vertAlign w:val="superscript"/>
              </w:rPr>
              <w:footnoteReference w:id="4"/>
            </w:r>
          </w:p>
        </w:tc>
        <w:tc>
          <w:tcPr>
            <w:tcW w:w="1779" w:type="dxa"/>
            <w:vAlign w:val="center"/>
          </w:tcPr>
          <w:p w:rsidRPr="009E7132" w:rsidR="009E7132" w:rsidP="004625B5" w:rsidRDefault="009E7132" w14:paraId="09F9EAB7" w14:textId="77777777">
            <w:pPr>
              <w:jc w:val="center"/>
              <w:rPr>
                <w:rFonts w:ascii="Times New Roman" w:hAnsi="Times New Roman"/>
                <w:color w:val="000000" w:themeColor="text1"/>
                <w:sz w:val="18"/>
                <w:szCs w:val="18"/>
              </w:rPr>
            </w:pPr>
            <w:r w:rsidRPr="009E7132">
              <w:rPr>
                <w:rFonts w:ascii="Times New Roman" w:hAnsi="Times New Roman"/>
                <w:sz w:val="18"/>
                <w:szCs w:val="18"/>
              </w:rPr>
              <w:t>$92.30</w:t>
            </w:r>
          </w:p>
        </w:tc>
        <w:tc>
          <w:tcPr>
            <w:tcW w:w="1536" w:type="dxa"/>
            <w:vAlign w:val="center"/>
          </w:tcPr>
          <w:p w:rsidRPr="009E7132" w:rsidR="009E7132" w:rsidP="004625B5" w:rsidRDefault="009E7132" w14:paraId="53AE2F4B" w14:textId="77777777">
            <w:pPr>
              <w:jc w:val="center"/>
              <w:rPr>
                <w:rFonts w:ascii="Times New Roman" w:hAnsi="Times New Roman"/>
                <w:color w:val="000000" w:themeColor="text1"/>
                <w:sz w:val="18"/>
                <w:szCs w:val="18"/>
              </w:rPr>
            </w:pPr>
            <w:r w:rsidRPr="009E7132">
              <w:rPr>
                <w:rFonts w:ascii="Times New Roman" w:hAnsi="Times New Roman"/>
                <w:sz w:val="18"/>
                <w:szCs w:val="18"/>
              </w:rPr>
              <w:t>5%</w:t>
            </w:r>
          </w:p>
        </w:tc>
        <w:tc>
          <w:tcPr>
            <w:tcW w:w="1515" w:type="dxa"/>
            <w:vAlign w:val="center"/>
          </w:tcPr>
          <w:p w:rsidRPr="009E7132" w:rsidR="009E7132" w:rsidP="004625B5" w:rsidRDefault="009E7132" w14:paraId="5C592EA8" w14:textId="77777777">
            <w:pPr>
              <w:jc w:val="center"/>
              <w:rPr>
                <w:rFonts w:ascii="Times New Roman" w:hAnsi="Times New Roman"/>
                <w:color w:val="000000" w:themeColor="text1"/>
                <w:sz w:val="18"/>
                <w:szCs w:val="18"/>
              </w:rPr>
            </w:pPr>
            <w:r w:rsidRPr="009E7132">
              <w:rPr>
                <w:rFonts w:ascii="Times New Roman" w:hAnsi="Times New Roman"/>
                <w:sz w:val="18"/>
                <w:szCs w:val="18"/>
              </w:rPr>
              <w:t>$4.61</w:t>
            </w:r>
          </w:p>
        </w:tc>
        <w:tc>
          <w:tcPr>
            <w:tcW w:w="1488" w:type="dxa"/>
            <w:vAlign w:val="center"/>
          </w:tcPr>
          <w:p w:rsidRPr="009E7132" w:rsidR="009E7132" w:rsidP="004625B5" w:rsidRDefault="009E7132" w14:paraId="645FB7C6" w14:textId="77777777">
            <w:pPr>
              <w:jc w:val="center"/>
              <w:rPr>
                <w:rFonts w:ascii="Times New Roman" w:hAnsi="Times New Roman"/>
                <w:color w:val="000000" w:themeColor="text1"/>
                <w:sz w:val="18"/>
                <w:szCs w:val="18"/>
              </w:rPr>
            </w:pPr>
            <w:r w:rsidRPr="009E7132">
              <w:rPr>
                <w:rFonts w:ascii="Times New Roman" w:hAnsi="Times New Roman"/>
                <w:color w:val="000000"/>
                <w:sz w:val="18"/>
                <w:szCs w:val="18"/>
              </w:rPr>
              <w:t>10%</w:t>
            </w:r>
          </w:p>
        </w:tc>
        <w:tc>
          <w:tcPr>
            <w:tcW w:w="1503" w:type="dxa"/>
            <w:vAlign w:val="center"/>
          </w:tcPr>
          <w:p w:rsidRPr="009E7132" w:rsidR="009E7132" w:rsidP="004625B5" w:rsidRDefault="009E7132" w14:paraId="471A117A" w14:textId="77777777">
            <w:pPr>
              <w:jc w:val="center"/>
              <w:rPr>
                <w:rFonts w:ascii="Times New Roman" w:hAnsi="Times New Roman"/>
                <w:color w:val="000000" w:themeColor="text1"/>
                <w:sz w:val="18"/>
                <w:szCs w:val="18"/>
              </w:rPr>
            </w:pPr>
            <w:r w:rsidRPr="009E7132">
              <w:rPr>
                <w:rFonts w:ascii="Times New Roman" w:hAnsi="Times New Roman"/>
                <w:color w:val="000000"/>
                <w:sz w:val="18"/>
                <w:szCs w:val="18"/>
              </w:rPr>
              <w:t>$9.23</w:t>
            </w:r>
          </w:p>
        </w:tc>
      </w:tr>
      <w:tr w:rsidRPr="009E7132" w:rsidR="009E7132" w:rsidTr="009E7132" w14:paraId="6E74A53B" w14:textId="77777777">
        <w:trPr>
          <w:trHeight w:val="126"/>
        </w:trPr>
        <w:tc>
          <w:tcPr>
            <w:tcW w:w="1914" w:type="dxa"/>
            <w:vAlign w:val="center"/>
          </w:tcPr>
          <w:p w:rsidRPr="009E7132" w:rsidR="009E7132" w:rsidP="00260D86" w:rsidRDefault="009E7132" w14:paraId="5721D62B" w14:textId="628A3216">
            <w:pPr>
              <w:rPr>
                <w:rFonts w:ascii="Times New Roman" w:hAnsi="Times New Roman"/>
                <w:color w:val="000000"/>
                <w:sz w:val="18"/>
                <w:szCs w:val="18"/>
              </w:rPr>
            </w:pPr>
            <w:r w:rsidRPr="009E7132">
              <w:rPr>
                <w:rFonts w:ascii="Times New Roman" w:hAnsi="Times New Roman"/>
                <w:color w:val="000000"/>
                <w:sz w:val="18"/>
                <w:szCs w:val="18"/>
              </w:rPr>
              <w:t>Financial Analysts</w:t>
            </w:r>
            <w:r w:rsidRPr="007E30B1" w:rsidR="00260D86">
              <w:rPr>
                <w:rStyle w:val="FootnoteReference"/>
                <w:rFonts w:ascii="Times New Roman" w:hAnsi="Times New Roman"/>
                <w:color w:val="000000"/>
                <w:sz w:val="18"/>
                <w:szCs w:val="18"/>
                <w:vertAlign w:val="superscript"/>
              </w:rPr>
              <w:footnoteReference w:id="5"/>
            </w:r>
          </w:p>
        </w:tc>
        <w:tc>
          <w:tcPr>
            <w:tcW w:w="1779" w:type="dxa"/>
            <w:vAlign w:val="center"/>
          </w:tcPr>
          <w:p w:rsidRPr="009E7132" w:rsidR="009E7132" w:rsidP="004625B5" w:rsidRDefault="009E7132" w14:paraId="482204AA" w14:textId="77777777">
            <w:pPr>
              <w:jc w:val="center"/>
              <w:rPr>
                <w:rFonts w:ascii="Times New Roman" w:hAnsi="Times New Roman"/>
                <w:color w:val="000000"/>
                <w:sz w:val="18"/>
                <w:szCs w:val="18"/>
              </w:rPr>
            </w:pPr>
            <w:r w:rsidRPr="009E7132">
              <w:rPr>
                <w:rFonts w:ascii="Times New Roman" w:hAnsi="Times New Roman"/>
                <w:sz w:val="18"/>
                <w:szCs w:val="18"/>
              </w:rPr>
              <w:t>$79.40</w:t>
            </w:r>
          </w:p>
        </w:tc>
        <w:tc>
          <w:tcPr>
            <w:tcW w:w="1536" w:type="dxa"/>
            <w:vAlign w:val="center"/>
          </w:tcPr>
          <w:p w:rsidRPr="009E7132" w:rsidR="009E7132" w:rsidP="004625B5" w:rsidRDefault="009E7132" w14:paraId="5C19CDD1" w14:textId="77777777">
            <w:pPr>
              <w:jc w:val="center"/>
              <w:rPr>
                <w:rFonts w:ascii="Times New Roman" w:hAnsi="Times New Roman"/>
                <w:sz w:val="18"/>
                <w:szCs w:val="18"/>
              </w:rPr>
            </w:pPr>
            <w:r w:rsidRPr="009E7132">
              <w:rPr>
                <w:rFonts w:ascii="Times New Roman" w:hAnsi="Times New Roman"/>
                <w:sz w:val="18"/>
                <w:szCs w:val="18"/>
              </w:rPr>
              <w:t>5%</w:t>
            </w:r>
          </w:p>
        </w:tc>
        <w:tc>
          <w:tcPr>
            <w:tcW w:w="1515" w:type="dxa"/>
            <w:vAlign w:val="center"/>
          </w:tcPr>
          <w:p w:rsidRPr="009E7132" w:rsidR="009E7132" w:rsidP="004625B5" w:rsidRDefault="009E7132" w14:paraId="64F99F85" w14:textId="77777777">
            <w:pPr>
              <w:jc w:val="center"/>
              <w:rPr>
                <w:rFonts w:ascii="Times New Roman" w:hAnsi="Times New Roman"/>
                <w:sz w:val="18"/>
                <w:szCs w:val="18"/>
              </w:rPr>
            </w:pPr>
            <w:r w:rsidRPr="009E7132">
              <w:rPr>
                <w:rFonts w:ascii="Times New Roman" w:hAnsi="Times New Roman"/>
                <w:sz w:val="18"/>
                <w:szCs w:val="18"/>
              </w:rPr>
              <w:t>$3.97</w:t>
            </w:r>
          </w:p>
        </w:tc>
        <w:tc>
          <w:tcPr>
            <w:tcW w:w="1488" w:type="dxa"/>
            <w:vAlign w:val="center"/>
          </w:tcPr>
          <w:p w:rsidRPr="009E7132" w:rsidR="009E7132" w:rsidP="004625B5" w:rsidRDefault="009E7132" w14:paraId="57698DED" w14:textId="77777777">
            <w:pPr>
              <w:jc w:val="center"/>
              <w:rPr>
                <w:rFonts w:ascii="Times New Roman" w:hAnsi="Times New Roman"/>
                <w:sz w:val="18"/>
                <w:szCs w:val="18"/>
              </w:rPr>
            </w:pPr>
            <w:r w:rsidRPr="009E7132">
              <w:rPr>
                <w:rFonts w:ascii="Times New Roman" w:hAnsi="Times New Roman"/>
                <w:color w:val="000000"/>
                <w:sz w:val="18"/>
                <w:szCs w:val="18"/>
              </w:rPr>
              <w:t>10%</w:t>
            </w:r>
          </w:p>
        </w:tc>
        <w:tc>
          <w:tcPr>
            <w:tcW w:w="1503" w:type="dxa"/>
            <w:vAlign w:val="center"/>
          </w:tcPr>
          <w:p w:rsidRPr="009E7132" w:rsidR="009E7132" w:rsidP="004625B5" w:rsidRDefault="009E7132" w14:paraId="0776AA6C" w14:textId="77777777">
            <w:pPr>
              <w:jc w:val="center"/>
              <w:rPr>
                <w:rFonts w:ascii="Times New Roman" w:hAnsi="Times New Roman"/>
                <w:sz w:val="18"/>
                <w:szCs w:val="18"/>
              </w:rPr>
            </w:pPr>
            <w:r w:rsidRPr="009E7132">
              <w:rPr>
                <w:rFonts w:ascii="Times New Roman" w:hAnsi="Times New Roman"/>
                <w:color w:val="000000"/>
                <w:sz w:val="18"/>
                <w:szCs w:val="18"/>
              </w:rPr>
              <w:t>$7.94</w:t>
            </w:r>
          </w:p>
        </w:tc>
      </w:tr>
      <w:tr w:rsidRPr="009E7132" w:rsidR="009E7132" w:rsidTr="009E7132" w14:paraId="4151BEF3" w14:textId="77777777">
        <w:trPr>
          <w:trHeight w:val="126"/>
        </w:trPr>
        <w:tc>
          <w:tcPr>
            <w:tcW w:w="1914" w:type="dxa"/>
            <w:vAlign w:val="center"/>
          </w:tcPr>
          <w:p w:rsidRPr="009E7132" w:rsidR="009E7132" w:rsidP="009E7132" w:rsidRDefault="009E7132" w14:paraId="0BF3CAE3" w14:textId="735BBDE1">
            <w:pPr>
              <w:rPr>
                <w:rFonts w:ascii="Times New Roman" w:hAnsi="Times New Roman"/>
                <w:color w:val="000000"/>
                <w:sz w:val="18"/>
                <w:szCs w:val="18"/>
              </w:rPr>
            </w:pPr>
            <w:r w:rsidRPr="009E7132">
              <w:rPr>
                <w:rFonts w:ascii="Times New Roman" w:hAnsi="Times New Roman"/>
                <w:color w:val="000000"/>
                <w:sz w:val="18"/>
                <w:szCs w:val="18"/>
              </w:rPr>
              <w:t>Clerical</w:t>
            </w:r>
            <w:r w:rsidRPr="007E30B1" w:rsidR="00260D86">
              <w:rPr>
                <w:rStyle w:val="FootnoteReference"/>
                <w:rFonts w:ascii="Times New Roman" w:hAnsi="Times New Roman"/>
                <w:color w:val="000000"/>
                <w:sz w:val="18"/>
                <w:szCs w:val="18"/>
                <w:vertAlign w:val="superscript"/>
              </w:rPr>
              <w:footnoteReference w:id="6"/>
            </w:r>
          </w:p>
        </w:tc>
        <w:tc>
          <w:tcPr>
            <w:tcW w:w="1779" w:type="dxa"/>
            <w:vAlign w:val="center"/>
          </w:tcPr>
          <w:p w:rsidRPr="009E7132" w:rsidR="009E7132" w:rsidP="004625B5" w:rsidRDefault="009E7132" w14:paraId="22BB2315" w14:textId="77777777">
            <w:pPr>
              <w:jc w:val="center"/>
              <w:rPr>
                <w:rFonts w:ascii="Times New Roman" w:hAnsi="Times New Roman"/>
                <w:color w:val="000000" w:themeColor="text1"/>
                <w:sz w:val="18"/>
                <w:szCs w:val="18"/>
              </w:rPr>
            </w:pPr>
            <w:r w:rsidRPr="009E7132">
              <w:rPr>
                <w:rFonts w:ascii="Times New Roman" w:hAnsi="Times New Roman"/>
                <w:sz w:val="18"/>
                <w:szCs w:val="18"/>
              </w:rPr>
              <w:t>$33.44</w:t>
            </w:r>
          </w:p>
        </w:tc>
        <w:tc>
          <w:tcPr>
            <w:tcW w:w="1536" w:type="dxa"/>
            <w:vAlign w:val="center"/>
          </w:tcPr>
          <w:p w:rsidRPr="009E7132" w:rsidR="009E7132" w:rsidP="004625B5" w:rsidRDefault="009E7132" w14:paraId="003DB473" w14:textId="77777777">
            <w:pPr>
              <w:jc w:val="center"/>
              <w:rPr>
                <w:rFonts w:ascii="Times New Roman" w:hAnsi="Times New Roman"/>
                <w:sz w:val="18"/>
                <w:szCs w:val="18"/>
              </w:rPr>
            </w:pPr>
            <w:r w:rsidRPr="009E7132">
              <w:rPr>
                <w:rFonts w:ascii="Times New Roman" w:hAnsi="Times New Roman"/>
                <w:sz w:val="18"/>
                <w:szCs w:val="18"/>
              </w:rPr>
              <w:t>10%</w:t>
            </w:r>
          </w:p>
        </w:tc>
        <w:tc>
          <w:tcPr>
            <w:tcW w:w="1515" w:type="dxa"/>
            <w:vAlign w:val="center"/>
          </w:tcPr>
          <w:p w:rsidRPr="009E7132" w:rsidR="009E7132" w:rsidP="004625B5" w:rsidRDefault="009E7132" w14:paraId="5A404EC2" w14:textId="77777777">
            <w:pPr>
              <w:jc w:val="center"/>
              <w:rPr>
                <w:rFonts w:ascii="Times New Roman" w:hAnsi="Times New Roman"/>
                <w:sz w:val="18"/>
                <w:szCs w:val="18"/>
              </w:rPr>
            </w:pPr>
            <w:r w:rsidRPr="009E7132">
              <w:rPr>
                <w:rFonts w:ascii="Times New Roman" w:hAnsi="Times New Roman"/>
                <w:sz w:val="18"/>
                <w:szCs w:val="18"/>
              </w:rPr>
              <w:t>$3.34</w:t>
            </w:r>
          </w:p>
        </w:tc>
        <w:tc>
          <w:tcPr>
            <w:tcW w:w="1488" w:type="dxa"/>
            <w:vAlign w:val="center"/>
          </w:tcPr>
          <w:p w:rsidRPr="009E7132" w:rsidR="009E7132" w:rsidP="004625B5" w:rsidRDefault="009E7132" w14:paraId="701A3E0B" w14:textId="77777777">
            <w:pPr>
              <w:jc w:val="center"/>
              <w:rPr>
                <w:rFonts w:ascii="Times New Roman" w:hAnsi="Times New Roman"/>
                <w:sz w:val="18"/>
                <w:szCs w:val="18"/>
              </w:rPr>
            </w:pPr>
            <w:r w:rsidRPr="009E7132">
              <w:rPr>
                <w:rFonts w:ascii="Times New Roman" w:hAnsi="Times New Roman"/>
                <w:color w:val="000000"/>
                <w:sz w:val="18"/>
                <w:szCs w:val="18"/>
              </w:rPr>
              <w:t>10%</w:t>
            </w:r>
          </w:p>
        </w:tc>
        <w:tc>
          <w:tcPr>
            <w:tcW w:w="1503" w:type="dxa"/>
            <w:vAlign w:val="center"/>
          </w:tcPr>
          <w:p w:rsidRPr="009E7132" w:rsidR="009E7132" w:rsidP="004625B5" w:rsidRDefault="009E7132" w14:paraId="39CB24DB" w14:textId="77777777">
            <w:pPr>
              <w:jc w:val="center"/>
              <w:rPr>
                <w:rFonts w:ascii="Times New Roman" w:hAnsi="Times New Roman"/>
                <w:sz w:val="18"/>
                <w:szCs w:val="18"/>
              </w:rPr>
            </w:pPr>
            <w:r w:rsidRPr="009E7132">
              <w:rPr>
                <w:rFonts w:ascii="Times New Roman" w:hAnsi="Times New Roman"/>
                <w:color w:val="000000"/>
                <w:sz w:val="18"/>
                <w:szCs w:val="18"/>
              </w:rPr>
              <w:t>$3.34</w:t>
            </w:r>
          </w:p>
        </w:tc>
      </w:tr>
      <w:tr w:rsidRPr="009E7132" w:rsidR="009E7132" w:rsidTr="009E7132" w14:paraId="1984F863" w14:textId="77777777">
        <w:trPr>
          <w:trHeight w:val="126"/>
        </w:trPr>
        <w:tc>
          <w:tcPr>
            <w:tcW w:w="1914" w:type="dxa"/>
            <w:vAlign w:val="bottom"/>
          </w:tcPr>
          <w:p w:rsidRPr="009E7132" w:rsidR="009E7132" w:rsidP="004625B5" w:rsidRDefault="009E7132" w14:paraId="78173E80" w14:textId="77777777">
            <w:pPr>
              <w:rPr>
                <w:rFonts w:ascii="Times New Roman" w:hAnsi="Times New Roman"/>
                <w:sz w:val="18"/>
                <w:szCs w:val="18"/>
              </w:rPr>
            </w:pPr>
            <w:r w:rsidRPr="009E7132">
              <w:rPr>
                <w:rFonts w:ascii="Times New Roman" w:hAnsi="Times New Roman"/>
                <w:b/>
                <w:bCs/>
                <w:color w:val="000000"/>
                <w:sz w:val="18"/>
                <w:szCs w:val="18"/>
              </w:rPr>
              <w:t>Weighted Average</w:t>
            </w:r>
          </w:p>
        </w:tc>
        <w:tc>
          <w:tcPr>
            <w:tcW w:w="1779" w:type="dxa"/>
            <w:vAlign w:val="center"/>
          </w:tcPr>
          <w:p w:rsidRPr="009E7132" w:rsidR="009E7132" w:rsidP="004625B5" w:rsidRDefault="009E7132" w14:paraId="2EC5A69E" w14:textId="77777777">
            <w:pPr>
              <w:jc w:val="center"/>
              <w:rPr>
                <w:rFonts w:ascii="Times New Roman" w:hAnsi="Times New Roman"/>
                <w:sz w:val="18"/>
                <w:szCs w:val="18"/>
              </w:rPr>
            </w:pPr>
          </w:p>
        </w:tc>
        <w:tc>
          <w:tcPr>
            <w:tcW w:w="1536" w:type="dxa"/>
            <w:vAlign w:val="center"/>
          </w:tcPr>
          <w:p w:rsidRPr="009E7132" w:rsidR="009E7132" w:rsidP="004625B5" w:rsidRDefault="009E7132" w14:paraId="6F95C773" w14:textId="77777777">
            <w:pPr>
              <w:jc w:val="center"/>
              <w:rPr>
                <w:rFonts w:ascii="Times New Roman" w:hAnsi="Times New Roman"/>
                <w:sz w:val="18"/>
                <w:szCs w:val="18"/>
              </w:rPr>
            </w:pPr>
          </w:p>
        </w:tc>
        <w:tc>
          <w:tcPr>
            <w:tcW w:w="1515" w:type="dxa"/>
            <w:vAlign w:val="center"/>
          </w:tcPr>
          <w:p w:rsidRPr="009E7132" w:rsidR="009E7132" w:rsidP="004625B5" w:rsidRDefault="009E7132" w14:paraId="60116EA0" w14:textId="77777777">
            <w:pPr>
              <w:jc w:val="center"/>
              <w:rPr>
                <w:rFonts w:ascii="Times New Roman" w:hAnsi="Times New Roman"/>
                <w:color w:val="000000" w:themeColor="text1"/>
                <w:sz w:val="18"/>
                <w:szCs w:val="18"/>
              </w:rPr>
            </w:pPr>
            <w:r w:rsidRPr="009E7132">
              <w:rPr>
                <w:rFonts w:ascii="Times New Roman" w:hAnsi="Times New Roman"/>
                <w:color w:val="000000" w:themeColor="text1"/>
                <w:sz w:val="18"/>
                <w:szCs w:val="18"/>
              </w:rPr>
              <w:t>$113.42</w:t>
            </w:r>
          </w:p>
        </w:tc>
        <w:tc>
          <w:tcPr>
            <w:tcW w:w="1488" w:type="dxa"/>
            <w:vAlign w:val="center"/>
          </w:tcPr>
          <w:p w:rsidRPr="009E7132" w:rsidR="009E7132" w:rsidP="004625B5" w:rsidRDefault="009E7132" w14:paraId="17CDE70A" w14:textId="77777777">
            <w:pPr>
              <w:jc w:val="center"/>
              <w:rPr>
                <w:rFonts w:ascii="Times New Roman" w:hAnsi="Times New Roman"/>
                <w:color w:val="000000" w:themeColor="text1"/>
                <w:sz w:val="18"/>
                <w:szCs w:val="18"/>
              </w:rPr>
            </w:pPr>
          </w:p>
        </w:tc>
        <w:tc>
          <w:tcPr>
            <w:tcW w:w="1503" w:type="dxa"/>
            <w:vAlign w:val="center"/>
          </w:tcPr>
          <w:p w:rsidRPr="009E7132" w:rsidR="009E7132" w:rsidP="004625B5" w:rsidRDefault="009E7132" w14:paraId="51252839" w14:textId="77777777">
            <w:pPr>
              <w:jc w:val="center"/>
              <w:rPr>
                <w:rFonts w:ascii="Times New Roman" w:hAnsi="Times New Roman"/>
                <w:color w:val="000000" w:themeColor="text1"/>
                <w:sz w:val="18"/>
                <w:szCs w:val="18"/>
              </w:rPr>
            </w:pPr>
            <w:r w:rsidRPr="009E7132">
              <w:rPr>
                <w:rFonts w:ascii="Times New Roman" w:hAnsi="Times New Roman"/>
                <w:color w:val="000000" w:themeColor="text1"/>
                <w:sz w:val="18"/>
                <w:szCs w:val="18"/>
              </w:rPr>
              <w:t>$109.67</w:t>
            </w:r>
          </w:p>
        </w:tc>
      </w:tr>
    </w:tbl>
    <w:p w:rsidRPr="009E7132" w:rsidR="009E7132" w:rsidP="009E7132" w:rsidRDefault="009E7132" w14:paraId="207195B3" w14:textId="77777777">
      <w:pPr>
        <w:widowControl/>
        <w:rPr>
          <w:rFonts w:ascii="Times New Roman" w:hAnsi="Times New Roman"/>
          <w:snapToGrid/>
          <w:sz w:val="20"/>
        </w:rPr>
      </w:pPr>
      <w:r w:rsidRPr="009E7132">
        <w:rPr>
          <w:rFonts w:ascii="Times New Roman" w:hAnsi="Times New Roman"/>
          <w:snapToGrid/>
          <w:sz w:val="20"/>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p w:rsidRPr="009E7132" w:rsidR="009E7132" w:rsidP="009E7132" w:rsidRDefault="009E7132" w14:paraId="4088BC7C" w14:textId="77777777">
      <w:pPr>
        <w:widowControl/>
        <w:rPr>
          <w:rFonts w:ascii="Times New Roman" w:hAnsi="Times New Roman"/>
          <w:snapToGrid/>
          <w:sz w:val="20"/>
        </w:rPr>
      </w:pPr>
    </w:p>
    <w:p w:rsidRPr="009E7132" w:rsidR="009E7132" w:rsidP="009E7132" w:rsidRDefault="009E7132" w14:paraId="58B3AD53" w14:textId="0E725EF6">
      <w:pPr>
        <w:widowControl/>
        <w:rPr>
          <w:rFonts w:ascii="Times New Roman" w:hAnsi="Times New Roman"/>
          <w:snapToGrid/>
          <w:sz w:val="20"/>
        </w:rPr>
      </w:pPr>
      <w:r w:rsidRPr="009E7132">
        <w:rPr>
          <w:rFonts w:ascii="Times New Roman" w:hAnsi="Times New Roman"/>
          <w:snapToGrid/>
          <w:sz w:val="20"/>
        </w:rPr>
        <w:t>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according BLS data on the Consumer Price Index for Urban Consumers (CPI-U) so that it is contemporaneous with the non-wage compensation statistic. The inflation rate was 1.71 percent between May 2019 and December 2020.</w:t>
      </w:r>
    </w:p>
    <w:p w:rsidR="009E7132" w:rsidP="009E7132" w:rsidRDefault="009E7132" w14:paraId="246A8FC9" w14:textId="271AE557">
      <w:pPr>
        <w:widowControl/>
        <w:rPr>
          <w:rFonts w:ascii="Source Sans Pro" w:hAnsi="Source Sans Pro"/>
          <w:snapToGrid/>
          <w:sz w:val="20"/>
        </w:rPr>
      </w:pPr>
    </w:p>
    <w:p w:rsidRPr="00CF34FA" w:rsidR="00994EDE" w:rsidRDefault="00994EDE"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Pr="00CF34FA" w:rsidR="00994EDE" w:rsidRDefault="00994EDE"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Pr="00CF34FA" w:rsidR="00994EDE" w:rsidRDefault="00994EDE"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C522CC4"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Pr="00CF34FA" w:rsidR="00994EDE" w:rsidRDefault="00994EDE" w14:paraId="378C417B" w14:textId="77777777">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Pr="00CF34FA" w:rsidR="00994EDE" w:rsidRDefault="00994EDE" w14:paraId="1AB8E334"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15.</w:t>
      </w:r>
      <w:r w:rsidRPr="00CF34FA">
        <w:rPr>
          <w:rFonts w:ascii="Times New Roman" w:hAnsi="Times New Roman"/>
        </w:rPr>
        <w:tab/>
      </w:r>
      <w:r w:rsidRPr="003043C2" w:rsidR="00586542">
        <w:rPr>
          <w:rFonts w:ascii="Times New Roman" w:hAnsi="Times New Roman"/>
          <w:u w:val="single"/>
        </w:rPr>
        <w:t>Analysis of change in b</w:t>
      </w:r>
      <w:r w:rsidRPr="003043C2">
        <w:rPr>
          <w:rFonts w:ascii="Times New Roman" w:hAnsi="Times New Roman"/>
          <w:u w:val="single"/>
        </w:rPr>
        <w:t>urden</w:t>
      </w:r>
      <w:r w:rsidRPr="003043C2" w:rsidR="00586542">
        <w:rPr>
          <w:rFonts w:ascii="Times New Roman" w:hAnsi="Times New Roman"/>
          <w:u w:val="single"/>
        </w:rPr>
        <w:t>:</w:t>
      </w:r>
    </w:p>
    <w:p w:rsidRPr="00CF34FA" w:rsidR="00994EDE" w:rsidRDefault="00994EDE"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F07A0C" w:rsidP="003043C2" w:rsidRDefault="003043C2" w14:paraId="4D169C43" w14:textId="058827DC">
      <w:pPr>
        <w:widowControl/>
        <w:tabs>
          <w:tab w:val="left" w:pos="288"/>
          <w:tab w:val="left" w:pos="1008"/>
          <w:tab w:val="left" w:pos="1440"/>
          <w:tab w:val="left" w:pos="1872"/>
          <w:tab w:val="left" w:pos="3168"/>
          <w:tab w:val="left" w:pos="3888"/>
          <w:tab w:val="left" w:pos="7344"/>
        </w:tabs>
        <w:ind w:left="1008"/>
        <w:rPr>
          <w:rFonts w:ascii="Times New Roman" w:hAnsi="Times New Roman"/>
          <w:iCs/>
          <w:lang w:bidi="en-US"/>
        </w:rPr>
      </w:pPr>
      <w:r w:rsidRPr="003043C2">
        <w:rPr>
          <w:rFonts w:ascii="Times New Roman" w:hAnsi="Times New Roman"/>
          <w:iCs/>
        </w:rPr>
        <w:t xml:space="preserve">There is no change in the method or substance of the collection.  </w:t>
      </w:r>
      <w:r w:rsidRPr="00A51FAC" w:rsidR="00A51FAC">
        <w:rPr>
          <w:rFonts w:ascii="Times New Roman" w:hAnsi="Times New Roman"/>
          <w:iCs/>
        </w:rPr>
        <w:t xml:space="preserve">The overall reduction in burden is the result </w:t>
      </w:r>
      <w:r>
        <w:rPr>
          <w:rFonts w:ascii="Times New Roman" w:hAnsi="Times New Roman"/>
          <w:iCs/>
          <w:lang w:bidi="en-US"/>
        </w:rPr>
        <w:t>of</w:t>
      </w:r>
      <w:r w:rsidRPr="003043C2">
        <w:rPr>
          <w:rFonts w:ascii="Times New Roman" w:hAnsi="Times New Roman"/>
          <w:iCs/>
          <w:lang w:bidi="en-US"/>
        </w:rPr>
        <w:t xml:space="preserve"> a </w:t>
      </w:r>
      <w:r w:rsidR="0071625B">
        <w:rPr>
          <w:rFonts w:ascii="Times New Roman" w:hAnsi="Times New Roman"/>
          <w:iCs/>
          <w:lang w:bidi="en-US"/>
        </w:rPr>
        <w:t xml:space="preserve">reduction in </w:t>
      </w:r>
      <w:r w:rsidR="007057AF">
        <w:rPr>
          <w:rFonts w:ascii="Times New Roman" w:hAnsi="Times New Roman"/>
          <w:iCs/>
          <w:lang w:bidi="en-US"/>
        </w:rPr>
        <w:t xml:space="preserve">the estimated number of </w:t>
      </w:r>
      <w:r w:rsidR="0071625B">
        <w:rPr>
          <w:rFonts w:ascii="Times New Roman" w:hAnsi="Times New Roman"/>
          <w:iCs/>
          <w:lang w:bidi="en-US"/>
        </w:rPr>
        <w:t>responses</w:t>
      </w:r>
      <w:r w:rsidR="007057AF">
        <w:rPr>
          <w:rFonts w:ascii="Times New Roman" w:hAnsi="Times New Roman"/>
          <w:iCs/>
          <w:lang w:bidi="en-US"/>
        </w:rPr>
        <w:t>.</w:t>
      </w:r>
      <w:r w:rsidR="0071625B">
        <w:rPr>
          <w:rFonts w:ascii="Times New Roman" w:hAnsi="Times New Roman"/>
          <w:iCs/>
          <w:lang w:bidi="en-US"/>
        </w:rPr>
        <w:t xml:space="preserve"> </w:t>
      </w:r>
    </w:p>
    <w:p w:rsidRPr="00CF34FA" w:rsidR="003043C2" w:rsidP="003043C2" w:rsidRDefault="003043C2" w14:paraId="50320C47"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Pr="00CF34FA" w:rsidR="00994EDE" w:rsidRDefault="00994EDE"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1C7588"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Pr="00CF34FA" w:rsidR="001C7588" w:rsidRDefault="001C7588"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Pr="00CF34FA" w:rsidR="00994EDE" w:rsidRDefault="001C7588"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Pr="00CF34FA" w:rsidR="00994EDE" w:rsidRDefault="00994EDE"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Pr="00CF34FA" w:rsidR="00994EDE" w:rsidRDefault="007057AF" w14:paraId="26AFD99C" w14:textId="1EB489A2">
      <w:pPr>
        <w:widowControl/>
        <w:tabs>
          <w:tab w:val="left" w:pos="288"/>
          <w:tab w:val="left" w:pos="1008"/>
          <w:tab w:val="left" w:pos="1440"/>
          <w:tab w:val="left" w:pos="1872"/>
          <w:tab w:val="left" w:pos="3168"/>
          <w:tab w:val="left" w:pos="3888"/>
          <w:tab w:val="left" w:pos="7344"/>
        </w:tabs>
        <w:ind w:left="1008"/>
        <w:rPr>
          <w:rFonts w:ascii="Times New Roman" w:hAnsi="Times New Roman"/>
        </w:rPr>
      </w:pPr>
      <w:r>
        <w:rPr>
          <w:rFonts w:ascii="Times New Roman" w:hAnsi="Times New Roman"/>
          <w:szCs w:val="24"/>
        </w:rPr>
        <w:lastRenderedPageBreak/>
        <w:t xml:space="preserve">None. </w:t>
      </w:r>
      <w:r w:rsidRPr="001212D0" w:rsidR="001212D0">
        <w:rPr>
          <w:rFonts w:ascii="Times New Roman" w:hAnsi="Times New Roman"/>
          <w:szCs w:val="24"/>
        </w:rPr>
        <w:t>The OMB expiration date is displayed on the Interagency Bank Merger Act Application form.</w:t>
      </w:r>
    </w:p>
    <w:p w:rsidRPr="00CF34FA" w:rsidR="00994EDE" w:rsidRDefault="00994EDE"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Pr="00CF34FA" w:rsidR="00994EDE" w:rsidRDefault="00994EDE"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Pr="00CF34FA" w:rsidR="00994EDE" w:rsidRDefault="00994EDE"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Pr="00CF34FA" w:rsidR="00994EDE" w:rsidRDefault="00994EDE"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rsidRPr="00CF34FA" w:rsidR="00994ED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4A725" w14:textId="77777777" w:rsidR="00810DBE" w:rsidRDefault="00810DBE">
      <w:r>
        <w:separator/>
      </w:r>
    </w:p>
  </w:endnote>
  <w:endnote w:type="continuationSeparator" w:id="0">
    <w:p w14:paraId="14B330B0" w14:textId="77777777" w:rsidR="00810DBE" w:rsidRDefault="0081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D05A" w14:textId="77777777" w:rsidR="00994EDE" w:rsidRDefault="00994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54E52F" w14:textId="77777777" w:rsidR="00994EDE" w:rsidRDefault="0099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4168" w14:textId="77777777" w:rsidR="00994EDE" w:rsidRDefault="0099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A90B" w14:textId="77777777" w:rsidR="00994EDE" w:rsidRDefault="0099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059F6" w14:textId="77777777" w:rsidR="00810DBE" w:rsidRDefault="00810DBE">
      <w:r>
        <w:separator/>
      </w:r>
    </w:p>
  </w:footnote>
  <w:footnote w:type="continuationSeparator" w:id="0">
    <w:p w14:paraId="4D983092" w14:textId="77777777" w:rsidR="00810DBE" w:rsidRDefault="00810DBE">
      <w:r>
        <w:continuationSeparator/>
      </w:r>
    </w:p>
  </w:footnote>
  <w:footnote w:id="1">
    <w:p w14:paraId="1E7A0F95" w14:textId="37D25F09" w:rsidR="00260D86" w:rsidRDefault="00260D86">
      <w:pPr>
        <w:pStyle w:val="FootnoteText"/>
      </w:pPr>
      <w:r>
        <w:rPr>
          <w:rStyle w:val="FootnoteReference"/>
        </w:rPr>
        <w:footnoteRef/>
      </w:r>
      <w:r>
        <w:t xml:space="preserve"> </w:t>
      </w:r>
      <w:r w:rsidRPr="002852D2">
        <w:rPr>
          <w:rFonts w:ascii="Source Sans Pro" w:hAnsi="Source Sans Pro"/>
          <w:sz w:val="18"/>
          <w:szCs w:val="18"/>
        </w:rPr>
        <w:t>Occupation (SOC Code): Management Occupations (110000).</w:t>
      </w:r>
    </w:p>
  </w:footnote>
  <w:footnote w:id="2">
    <w:p w14:paraId="203BB47A" w14:textId="0B103786" w:rsidR="00260D86" w:rsidRDefault="00260D86">
      <w:pPr>
        <w:pStyle w:val="FootnoteText"/>
      </w:pPr>
      <w:r>
        <w:rPr>
          <w:rStyle w:val="FootnoteReference"/>
        </w:rPr>
        <w:footnoteRef/>
      </w:r>
      <w:r>
        <w:t xml:space="preserve"> </w:t>
      </w:r>
      <w:r w:rsidRPr="002852D2">
        <w:rPr>
          <w:rFonts w:ascii="Source Sans Pro" w:hAnsi="Source Sans Pro" w:cs="Calibri"/>
          <w:sz w:val="18"/>
          <w:szCs w:val="18"/>
          <w:shd w:val="clear" w:color="auto" w:fill="FFFFFF"/>
        </w:rPr>
        <w:t>Occupation (SOC Code): Legal Occupations (230000).</w:t>
      </w:r>
    </w:p>
  </w:footnote>
  <w:footnote w:id="3">
    <w:p w14:paraId="056642AE" w14:textId="0DB8AB82" w:rsidR="00260D86" w:rsidRDefault="00260D86">
      <w:pPr>
        <w:pStyle w:val="FootnoteText"/>
      </w:pPr>
      <w:r>
        <w:rPr>
          <w:rStyle w:val="FootnoteReference"/>
        </w:rPr>
        <w:footnoteRef/>
      </w:r>
      <w:r>
        <w:t xml:space="preserve"> </w:t>
      </w:r>
      <w:r w:rsidRPr="002852D2">
        <w:rPr>
          <w:rFonts w:ascii="Source Sans Pro" w:hAnsi="Source Sans Pro"/>
          <w:sz w:val="18"/>
          <w:szCs w:val="18"/>
        </w:rPr>
        <w:t>Occupation (SOC Code): Compliance Officers (131040).</w:t>
      </w:r>
    </w:p>
  </w:footnote>
  <w:footnote w:id="4">
    <w:p w14:paraId="0EA15E3E" w14:textId="2B850D82" w:rsidR="00260D86" w:rsidRPr="00260D86" w:rsidRDefault="00260D86">
      <w:pPr>
        <w:pStyle w:val="FootnoteText"/>
        <w:rPr>
          <w:rFonts w:ascii="Source Sans Pro" w:hAnsi="Source Sans Pro"/>
          <w:sz w:val="18"/>
          <w:szCs w:val="18"/>
        </w:rPr>
      </w:pPr>
      <w:r>
        <w:rPr>
          <w:rStyle w:val="FootnoteReference"/>
        </w:rPr>
        <w:footnoteRef/>
      </w:r>
      <w:r>
        <w:t xml:space="preserve"> </w:t>
      </w:r>
      <w:r w:rsidRPr="002852D2">
        <w:rPr>
          <w:rFonts w:ascii="Source Sans Pro" w:hAnsi="Source Sans Pro" w:cs="Calibri"/>
          <w:sz w:val="18"/>
          <w:szCs w:val="18"/>
          <w:shd w:val="clear" w:color="auto" w:fill="FFFFFF"/>
        </w:rPr>
        <w:t>Occupation (SOC Code): Computer and Mathematical Occupations (150000).</w:t>
      </w:r>
    </w:p>
  </w:footnote>
  <w:footnote w:id="5">
    <w:p w14:paraId="6AB06E66" w14:textId="03653330" w:rsidR="00260D86" w:rsidRDefault="00260D86">
      <w:pPr>
        <w:pStyle w:val="FootnoteText"/>
      </w:pPr>
      <w:r>
        <w:rPr>
          <w:rStyle w:val="FootnoteReference"/>
        </w:rPr>
        <w:footnoteRef/>
      </w:r>
      <w:r>
        <w:t xml:space="preserve"> </w:t>
      </w:r>
      <w:r w:rsidRPr="002852D2">
        <w:rPr>
          <w:rStyle w:val="FootnoteReference"/>
          <w:rFonts w:ascii="Source Sans Pro" w:hAnsi="Source Sans Pro"/>
          <w:sz w:val="18"/>
          <w:szCs w:val="18"/>
        </w:rPr>
        <w:footnoteRef/>
      </w:r>
      <w:r w:rsidRPr="002852D2">
        <w:rPr>
          <w:rFonts w:ascii="Source Sans Pro" w:hAnsi="Source Sans Pro"/>
          <w:sz w:val="18"/>
          <w:szCs w:val="18"/>
        </w:rPr>
        <w:t xml:space="preserve"> Occupation (SOC Code): Financial and Investment Analysts, Financial Risk Specialists, and Financial Specialists, All Other (132098).</w:t>
      </w:r>
    </w:p>
  </w:footnote>
  <w:footnote w:id="6">
    <w:p w14:paraId="219053FB" w14:textId="2C2B280B" w:rsidR="00260D86" w:rsidRDefault="00260D86">
      <w:pPr>
        <w:pStyle w:val="FootnoteText"/>
      </w:pPr>
      <w:r>
        <w:rPr>
          <w:rStyle w:val="FootnoteReference"/>
        </w:rPr>
        <w:footnoteRef/>
      </w:r>
      <w:r>
        <w:t xml:space="preserve"> </w:t>
      </w:r>
      <w:r w:rsidRPr="002852D2">
        <w:rPr>
          <w:rFonts w:ascii="Source Sans Pro" w:hAnsi="Source Sans Pro"/>
          <w:sz w:val="18"/>
          <w:szCs w:val="18"/>
        </w:rPr>
        <w:t>Occupation (SOC Code): Office and Administrative Support Occupations (430000).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B3C4" w14:textId="77777777" w:rsidR="00994EDE" w:rsidRDefault="0099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121C" w14:textId="77777777" w:rsidR="00994EDE" w:rsidRDefault="0099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5EC7" w14:textId="77777777" w:rsidR="00994EDE" w:rsidRDefault="0099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abstractNum w:abstractNumId="1" w15:restartNumberingAfterBreak="0">
    <w:nsid w:val="601E2F6A"/>
    <w:multiLevelType w:val="singleLevel"/>
    <w:tmpl w:val="4C4A27CC"/>
    <w:lvl w:ilvl="0">
      <w:start w:val="2"/>
      <w:numFmt w:val="lowerLetter"/>
      <w:lvlText w:val="(%1)"/>
      <w:lvlJc w:val="left"/>
      <w:pPr>
        <w:tabs>
          <w:tab w:val="num" w:pos="1680"/>
        </w:tabs>
        <w:ind w:left="1680" w:hanging="6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24EB3"/>
    <w:rsid w:val="000863D6"/>
    <w:rsid w:val="000F577B"/>
    <w:rsid w:val="001212D0"/>
    <w:rsid w:val="001A1B02"/>
    <w:rsid w:val="001C7588"/>
    <w:rsid w:val="00260D86"/>
    <w:rsid w:val="002701C6"/>
    <w:rsid w:val="003043C2"/>
    <w:rsid w:val="00366F1B"/>
    <w:rsid w:val="004122AC"/>
    <w:rsid w:val="00443EAF"/>
    <w:rsid w:val="00450218"/>
    <w:rsid w:val="00483A02"/>
    <w:rsid w:val="004A784F"/>
    <w:rsid w:val="005029F1"/>
    <w:rsid w:val="00505FF6"/>
    <w:rsid w:val="0051235C"/>
    <w:rsid w:val="00520F64"/>
    <w:rsid w:val="005366DA"/>
    <w:rsid w:val="00547707"/>
    <w:rsid w:val="00551535"/>
    <w:rsid w:val="00563A78"/>
    <w:rsid w:val="00586542"/>
    <w:rsid w:val="0063384E"/>
    <w:rsid w:val="006505EA"/>
    <w:rsid w:val="00664F7F"/>
    <w:rsid w:val="00680823"/>
    <w:rsid w:val="006F2449"/>
    <w:rsid w:val="007057AF"/>
    <w:rsid w:val="0071625B"/>
    <w:rsid w:val="007757D7"/>
    <w:rsid w:val="00797DDC"/>
    <w:rsid w:val="007B72BD"/>
    <w:rsid w:val="007D7E3F"/>
    <w:rsid w:val="007E30B1"/>
    <w:rsid w:val="00810DBE"/>
    <w:rsid w:val="00823A18"/>
    <w:rsid w:val="0084189F"/>
    <w:rsid w:val="008426CB"/>
    <w:rsid w:val="00845C62"/>
    <w:rsid w:val="008D0235"/>
    <w:rsid w:val="008E47C7"/>
    <w:rsid w:val="008E4EB0"/>
    <w:rsid w:val="00945A45"/>
    <w:rsid w:val="00994EDE"/>
    <w:rsid w:val="009D7CBB"/>
    <w:rsid w:val="009E7132"/>
    <w:rsid w:val="00A51FAC"/>
    <w:rsid w:val="00A907C9"/>
    <w:rsid w:val="00AA7C8E"/>
    <w:rsid w:val="00AD1170"/>
    <w:rsid w:val="00BB1AA5"/>
    <w:rsid w:val="00C07C2D"/>
    <w:rsid w:val="00C36DBB"/>
    <w:rsid w:val="00C81EE6"/>
    <w:rsid w:val="00CE2D0F"/>
    <w:rsid w:val="00CF34FA"/>
    <w:rsid w:val="00D17E74"/>
    <w:rsid w:val="00D566F2"/>
    <w:rsid w:val="00DD0259"/>
    <w:rsid w:val="00DD39B4"/>
    <w:rsid w:val="00E13550"/>
    <w:rsid w:val="00E47A40"/>
    <w:rsid w:val="00E9015C"/>
    <w:rsid w:val="00E90A8F"/>
    <w:rsid w:val="00F07A0C"/>
    <w:rsid w:val="00F36609"/>
    <w:rsid w:val="00F76371"/>
    <w:rsid w:val="00FC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3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unhideWhenUsed/>
    <w:qFormat/>
    <w:rsid w:val="000863D6"/>
    <w:pPr>
      <w:widowControl/>
    </w:pPr>
    <w:rPr>
      <w:rFonts w:ascii="Times New Roman" w:hAnsi="Times New Roman"/>
      <w:snapToGrid/>
      <w:sz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uiPriority w:val="99"/>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E80FA-DC46-4B0C-8587-BCCEBA2F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6807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7984</CharactersWithSpaces>
  <SharedDoc>false</SharedDoc>
  <HLinks>
    <vt:vector size="6" baseType="variant">
      <vt:variant>
        <vt:i4>4718674</vt:i4>
      </vt:variant>
      <vt:variant>
        <vt:i4>0</vt:i4>
      </vt:variant>
      <vt:variant>
        <vt:i4>0</vt:i4>
      </vt:variant>
      <vt:variant>
        <vt:i4>5</vt:i4>
      </vt:variant>
      <vt:variant>
        <vt:lpwstr>http://www.fdic.gov/forms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2011-11-15T15:59:00Z</cp:lastPrinted>
  <dcterms:created xsi:type="dcterms:W3CDTF">2021-06-10T17:15:00Z</dcterms:created>
  <dcterms:modified xsi:type="dcterms:W3CDTF">2021-06-10T17:15:00Z</dcterms:modified>
</cp:coreProperties>
</file>