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34FA" w:rsidR="005366DA" w:rsidP="005366DA" w:rsidRDefault="005366DA" w14:paraId="0C052D4C" w14:textId="77777777">
      <w:pPr>
        <w:tabs>
          <w:tab w:val="center" w:pos="4680"/>
        </w:tabs>
        <w:jc w:val="center"/>
        <w:rPr>
          <w:rFonts w:ascii="Times New Roman" w:hAnsi="Times New Roman" w:eastAsia="Calibri"/>
          <w:b/>
          <w:snapToGrid/>
          <w:szCs w:val="24"/>
        </w:rPr>
      </w:pPr>
      <w:bookmarkStart w:name="_GoBack" w:id="0"/>
      <w:bookmarkEnd w:id="0"/>
      <w:r w:rsidRPr="00CF34FA">
        <w:rPr>
          <w:rFonts w:ascii="Times New Roman" w:hAnsi="Times New Roman" w:eastAsia="Calibri"/>
          <w:b/>
          <w:snapToGrid/>
          <w:szCs w:val="24"/>
        </w:rPr>
        <w:t>SUPPORTING STATEMENT</w:t>
      </w:r>
    </w:p>
    <w:p w:rsidRPr="00F924E3" w:rsidR="00F924E3" w:rsidP="00F924E3" w:rsidRDefault="00F924E3" w14:paraId="168BE7FF" w14:textId="77777777">
      <w:pPr>
        <w:widowControl/>
        <w:tabs>
          <w:tab w:val="center" w:pos="4680"/>
        </w:tabs>
        <w:jc w:val="center"/>
        <w:rPr>
          <w:rFonts w:ascii="Times New Roman" w:hAnsi="Times New Roman" w:eastAsia="Calibri"/>
          <w:snapToGrid/>
          <w:szCs w:val="24"/>
        </w:rPr>
      </w:pPr>
      <w:r w:rsidRPr="00F924E3">
        <w:rPr>
          <w:rFonts w:ascii="Times New Roman" w:hAnsi="Times New Roman" w:eastAsia="Calibri"/>
          <w:snapToGrid/>
          <w:szCs w:val="24"/>
        </w:rPr>
        <w:t>INTERAGENCY NOTICE OF CHANGE IN CONTROL</w:t>
      </w:r>
    </w:p>
    <w:p w:rsidRPr="00CF34FA" w:rsidR="005366DA" w:rsidP="00F924E3" w:rsidRDefault="00F924E3" w14:paraId="6C5CB035" w14:textId="104FEB5F">
      <w:pPr>
        <w:widowControl/>
        <w:tabs>
          <w:tab w:val="center" w:pos="4680"/>
        </w:tabs>
        <w:jc w:val="center"/>
        <w:rPr>
          <w:rFonts w:ascii="Times New Roman" w:hAnsi="Times New Roman" w:eastAsia="Calibri"/>
          <w:snapToGrid/>
          <w:szCs w:val="24"/>
        </w:rPr>
      </w:pPr>
      <w:r w:rsidRPr="00F924E3">
        <w:rPr>
          <w:rFonts w:ascii="Times New Roman" w:hAnsi="Times New Roman" w:eastAsia="Calibri"/>
          <w:snapToGrid/>
          <w:szCs w:val="24"/>
        </w:rPr>
        <w:t xml:space="preserve"> </w:t>
      </w:r>
      <w:r w:rsidRPr="00CF34FA" w:rsidR="005366DA">
        <w:rPr>
          <w:rFonts w:ascii="Times New Roman" w:hAnsi="Times New Roman" w:eastAsia="Calibri"/>
          <w:snapToGrid/>
          <w:szCs w:val="24"/>
        </w:rPr>
        <w:t>(OMB No. 3064</w:t>
      </w:r>
      <w:r w:rsidRPr="00CF34FA" w:rsidR="005366DA">
        <w:rPr>
          <w:rFonts w:ascii="Times New Roman" w:hAnsi="Times New Roman" w:eastAsia="Calibri"/>
          <w:snapToGrid/>
          <w:szCs w:val="24"/>
        </w:rPr>
        <w:noBreakHyphen/>
        <w:t>0</w:t>
      </w:r>
      <w:r>
        <w:rPr>
          <w:rFonts w:ascii="Times New Roman" w:hAnsi="Times New Roman" w:eastAsia="Calibri"/>
          <w:snapToGrid/>
          <w:szCs w:val="24"/>
        </w:rPr>
        <w:t>019</w:t>
      </w:r>
      <w:r w:rsidRPr="00CF34FA" w:rsidR="005366DA">
        <w:rPr>
          <w:rFonts w:ascii="Times New Roman" w:hAnsi="Times New Roman" w:eastAsia="Calibri"/>
          <w:snapToGrid/>
          <w:szCs w:val="24"/>
        </w:rPr>
        <w:t>)</w:t>
      </w:r>
    </w:p>
    <w:p w:rsidRPr="00CF34FA" w:rsidR="00994EDE" w:rsidP="005366DA" w:rsidRDefault="00994EDE" w14:paraId="3AE0E354" w14:textId="77777777">
      <w:pPr>
        <w:widowControl/>
        <w:tabs>
          <w:tab w:val="center" w:pos="4680"/>
          <w:tab w:val="left" w:pos="4896"/>
        </w:tabs>
        <w:rPr>
          <w:rFonts w:ascii="Times New Roman" w:hAnsi="Times New Roman"/>
        </w:rPr>
      </w:pPr>
    </w:p>
    <w:p w:rsidRPr="00CF34FA" w:rsidR="00994EDE" w:rsidRDefault="00994EDE" w14:paraId="607DF3F1" w14:textId="77777777">
      <w:pPr>
        <w:widowControl/>
        <w:tabs>
          <w:tab w:val="left" w:pos="432"/>
          <w:tab w:val="left" w:pos="1152"/>
          <w:tab w:val="left" w:pos="1872"/>
          <w:tab w:val="left" w:pos="2448"/>
          <w:tab w:val="left" w:pos="4896"/>
        </w:tabs>
        <w:rPr>
          <w:rFonts w:ascii="Times New Roman" w:hAnsi="Times New Roman"/>
        </w:rPr>
      </w:pPr>
    </w:p>
    <w:p w:rsidRPr="00CF34FA" w:rsidR="00994EDE" w:rsidRDefault="00994EDE" w14:paraId="5B044A01"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u w:val="single"/>
        </w:rPr>
        <w:t>INTRODUCTION</w:t>
      </w:r>
    </w:p>
    <w:p w:rsidRPr="00CF34FA" w:rsidR="00994EDE" w:rsidRDefault="00994EDE" w14:paraId="4E97DFF4" w14:textId="77777777">
      <w:pPr>
        <w:widowControl/>
        <w:tabs>
          <w:tab w:val="left" w:pos="432"/>
          <w:tab w:val="left" w:pos="1152"/>
          <w:tab w:val="left" w:pos="1872"/>
          <w:tab w:val="left" w:pos="2448"/>
          <w:tab w:val="left" w:pos="4896"/>
        </w:tabs>
        <w:rPr>
          <w:rFonts w:ascii="Times New Roman" w:hAnsi="Times New Roman"/>
        </w:rPr>
      </w:pPr>
    </w:p>
    <w:p w:rsidRPr="008E47C7" w:rsidR="008E47C7" w:rsidP="008E47C7" w:rsidRDefault="00E34974" w14:paraId="57AB39DF" w14:textId="2B835688">
      <w:pPr>
        <w:widowControl/>
        <w:tabs>
          <w:tab w:val="left" w:pos="432"/>
          <w:tab w:val="left" w:pos="1152"/>
          <w:tab w:val="left" w:pos="1872"/>
          <w:tab w:val="left" w:pos="2448"/>
          <w:tab w:val="left" w:pos="4896"/>
        </w:tabs>
        <w:rPr>
          <w:rFonts w:ascii="Times New Roman" w:hAnsi="Times New Roman"/>
        </w:rPr>
      </w:pPr>
      <w:r w:rsidRPr="00E34974">
        <w:rPr>
          <w:rFonts w:ascii="Times New Roman" w:hAnsi="Times New Roman"/>
        </w:rPr>
        <w:t xml:space="preserve">The FDIC is requesting OMB approval to extend, without change, the information collection </w:t>
      </w:r>
      <w:r w:rsidRPr="008E47C7" w:rsidR="008E47C7">
        <w:rPr>
          <w:rFonts w:ascii="Times New Roman" w:hAnsi="Times New Roman"/>
        </w:rPr>
        <w:t>entitled “</w:t>
      </w:r>
      <w:r w:rsidRPr="00F924E3" w:rsidR="00F924E3">
        <w:rPr>
          <w:rFonts w:ascii="Times New Roman" w:hAnsi="Times New Roman"/>
        </w:rPr>
        <w:t>Interagency Notice of Change in Control</w:t>
      </w:r>
      <w:r w:rsidRPr="008E47C7" w:rsidR="008E47C7">
        <w:rPr>
          <w:rFonts w:ascii="Times New Roman" w:hAnsi="Times New Roman"/>
        </w:rPr>
        <w:t>” (OMB Control</w:t>
      </w:r>
      <w:r w:rsidR="00F924E3">
        <w:rPr>
          <w:rFonts w:ascii="Times New Roman" w:hAnsi="Times New Roman"/>
        </w:rPr>
        <w:t xml:space="preserve"> No. 3064-0019</w:t>
      </w:r>
      <w:r w:rsidRPr="008E47C7" w:rsidR="008E47C7">
        <w:rPr>
          <w:rFonts w:ascii="Times New Roman" w:hAnsi="Times New Roman"/>
        </w:rPr>
        <w:t xml:space="preserve">).  </w:t>
      </w:r>
      <w:r w:rsidR="00450218">
        <w:rPr>
          <w:rFonts w:ascii="Times New Roman" w:hAnsi="Times New Roman"/>
        </w:rPr>
        <w:t>The current clearance for this</w:t>
      </w:r>
      <w:r w:rsidRPr="003043C2" w:rsidR="003043C2">
        <w:rPr>
          <w:rFonts w:ascii="Times New Roman" w:hAnsi="Times New Roman"/>
        </w:rPr>
        <w:t xml:space="preserve"> collection expires on </w:t>
      </w:r>
      <w:r w:rsidR="003043C2">
        <w:rPr>
          <w:rFonts w:ascii="Times New Roman" w:hAnsi="Times New Roman"/>
        </w:rPr>
        <w:t>June</w:t>
      </w:r>
      <w:r w:rsidRPr="003043C2" w:rsidR="003043C2">
        <w:rPr>
          <w:rFonts w:ascii="Times New Roman" w:hAnsi="Times New Roman"/>
        </w:rPr>
        <w:t xml:space="preserve"> 30</w:t>
      </w:r>
      <w:r w:rsidR="003043C2">
        <w:rPr>
          <w:rFonts w:ascii="Times New Roman" w:hAnsi="Times New Roman"/>
        </w:rPr>
        <w:t>, 2021</w:t>
      </w:r>
      <w:r w:rsidRPr="003043C2" w:rsidR="003043C2">
        <w:rPr>
          <w:rFonts w:ascii="Times New Roman" w:hAnsi="Times New Roman"/>
        </w:rPr>
        <w:t>.</w:t>
      </w:r>
    </w:p>
    <w:p w:rsidRPr="00CF34FA" w:rsidR="00797DDC" w:rsidRDefault="00797DDC" w14:paraId="09A122FC" w14:textId="2D6C2ADC">
      <w:pPr>
        <w:widowControl/>
        <w:tabs>
          <w:tab w:val="left" w:pos="432"/>
          <w:tab w:val="left" w:pos="1152"/>
          <w:tab w:val="left" w:pos="1872"/>
          <w:tab w:val="left" w:pos="2448"/>
          <w:tab w:val="left" w:pos="4896"/>
        </w:tabs>
        <w:rPr>
          <w:rFonts w:ascii="Times New Roman" w:hAnsi="Times New Roman"/>
        </w:rPr>
      </w:pPr>
    </w:p>
    <w:p w:rsidRPr="00CF34FA" w:rsidR="00994EDE" w:rsidRDefault="00994EDE" w14:paraId="05C7E089"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rPr>
        <w:t>A.</w:t>
      </w:r>
      <w:r w:rsidRPr="00CF34FA">
        <w:rPr>
          <w:rFonts w:ascii="Times New Roman" w:hAnsi="Times New Roman"/>
        </w:rPr>
        <w:tab/>
      </w:r>
      <w:r w:rsidRPr="00CF34FA">
        <w:rPr>
          <w:rFonts w:ascii="Times New Roman" w:hAnsi="Times New Roman"/>
          <w:u w:val="single"/>
        </w:rPr>
        <w:t>JUSTIFICATION</w:t>
      </w:r>
    </w:p>
    <w:p w:rsidRPr="00CF34FA" w:rsidR="00994EDE" w:rsidRDefault="00994EDE" w14:paraId="5FFDAA14" w14:textId="77777777">
      <w:pPr>
        <w:widowControl/>
        <w:tabs>
          <w:tab w:val="left" w:pos="432"/>
          <w:tab w:val="left" w:pos="1152"/>
          <w:tab w:val="left" w:pos="1872"/>
          <w:tab w:val="left" w:pos="2448"/>
          <w:tab w:val="left" w:pos="4896"/>
        </w:tabs>
        <w:rPr>
          <w:rFonts w:ascii="Times New Roman" w:hAnsi="Times New Roman"/>
        </w:rPr>
      </w:pPr>
    </w:p>
    <w:p w:rsidRPr="00CF34FA" w:rsidR="00994EDE" w:rsidRDefault="00994EDE" w14:paraId="2172B7F4" w14:textId="77777777">
      <w:pPr>
        <w:widowControl/>
        <w:tabs>
          <w:tab w:val="left" w:pos="432"/>
          <w:tab w:val="left" w:pos="1152"/>
          <w:tab w:val="left" w:pos="1872"/>
          <w:tab w:val="left" w:pos="2448"/>
          <w:tab w:val="left" w:pos="4896"/>
        </w:tabs>
        <w:ind w:firstLine="432"/>
        <w:rPr>
          <w:rFonts w:ascii="Times New Roman" w:hAnsi="Times New Roman"/>
        </w:rPr>
      </w:pPr>
      <w:r w:rsidRPr="00CF34FA">
        <w:rPr>
          <w:rFonts w:ascii="Times New Roman" w:hAnsi="Times New Roman"/>
        </w:rPr>
        <w:t>1.</w:t>
      </w:r>
      <w:r w:rsidRPr="00CF34FA">
        <w:rPr>
          <w:rFonts w:ascii="Times New Roman" w:hAnsi="Times New Roman"/>
        </w:rPr>
        <w:tab/>
      </w:r>
      <w:r w:rsidRPr="00CF34FA" w:rsidR="002701C6">
        <w:rPr>
          <w:rFonts w:ascii="Times New Roman" w:hAnsi="Times New Roman"/>
          <w:bCs/>
          <w:iCs/>
          <w:u w:val="single"/>
        </w:rPr>
        <w:t>Circumstances that make the collection necessary:</w:t>
      </w:r>
    </w:p>
    <w:p w:rsidRPr="00CF34FA" w:rsidR="00994EDE" w:rsidRDefault="00994EDE" w14:paraId="4907DAB1" w14:textId="77777777">
      <w:pPr>
        <w:widowControl/>
        <w:tabs>
          <w:tab w:val="left" w:pos="432"/>
          <w:tab w:val="left" w:pos="1152"/>
          <w:tab w:val="left" w:pos="1872"/>
          <w:tab w:val="left" w:pos="2448"/>
          <w:tab w:val="left" w:pos="4896"/>
        </w:tabs>
        <w:rPr>
          <w:rFonts w:ascii="Times New Roman" w:hAnsi="Times New Roman"/>
        </w:rPr>
      </w:pPr>
    </w:p>
    <w:p w:rsidR="00994EDE" w:rsidP="00F924E3" w:rsidRDefault="00450218" w14:paraId="2781FFFB" w14:textId="27F808C0">
      <w:pPr>
        <w:tabs>
          <w:tab w:val="left" w:pos="480"/>
          <w:tab w:val="left" w:pos="1080"/>
          <w:tab w:val="left" w:pos="1680"/>
          <w:tab w:val="left" w:pos="2280"/>
          <w:tab w:val="left" w:pos="3000"/>
          <w:tab w:val="left" w:pos="3720"/>
          <w:tab w:val="left" w:pos="4440"/>
        </w:tabs>
        <w:suppressAutoHyphens/>
        <w:ind w:left="1080" w:hanging="1080"/>
        <w:rPr>
          <w:rFonts w:ascii="Times New Roman" w:hAnsi="Times New Roman"/>
        </w:rPr>
      </w:pPr>
      <w:r>
        <w:rPr>
          <w:rFonts w:ascii="Times New Roman" w:hAnsi="Times New Roman"/>
        </w:rPr>
        <w:tab/>
      </w:r>
      <w:r>
        <w:rPr>
          <w:rFonts w:ascii="Times New Roman" w:hAnsi="Times New Roman"/>
        </w:rPr>
        <w:tab/>
      </w:r>
      <w:r w:rsidRPr="00F924E3" w:rsidR="00F924E3">
        <w:rPr>
          <w:rFonts w:ascii="Times New Roman" w:hAnsi="Times New Roman"/>
        </w:rPr>
        <w:t>Section 7(j) of the Federal Deposit Insurance Act (Change in Bank Control Act of 1978, 12 U.S.C. 1817(j)) and section 303.4 of the FDIC Rules and Regulations (12 CFR 303.4) require that any person proposing to acquire control of an insured bank provide 60 days prior written notice of the proposed acquisition to the appropriate Federal banking agency.  Such written notice which pertains to the acquisition of control of an insured State nonmember bank is filed with the regional director of the FDIC region in which the bank is located.</w:t>
      </w:r>
    </w:p>
    <w:p w:rsidRPr="00CF34FA" w:rsidR="00CF34FA" w:rsidRDefault="00CF34FA" w14:paraId="6D5C1A75"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016FEC19"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2.</w:t>
      </w:r>
      <w:r w:rsidRPr="00CF34FA">
        <w:rPr>
          <w:rFonts w:ascii="Times New Roman" w:hAnsi="Times New Roman"/>
        </w:rPr>
        <w:tab/>
      </w:r>
      <w:r w:rsidRPr="00CF34FA">
        <w:rPr>
          <w:rFonts w:ascii="Times New Roman" w:hAnsi="Times New Roman"/>
          <w:u w:val="single"/>
        </w:rPr>
        <w:t xml:space="preserve">Use of </w:t>
      </w:r>
      <w:r w:rsidRPr="00CF34FA" w:rsidR="002701C6">
        <w:rPr>
          <w:rFonts w:ascii="Times New Roman" w:hAnsi="Times New Roman"/>
          <w:u w:val="single"/>
        </w:rPr>
        <w:t>the information:</w:t>
      </w:r>
    </w:p>
    <w:p w:rsidR="00CF34FA" w:rsidP="00366F1B" w:rsidRDefault="00CF34FA" w14:paraId="3DC13CA5"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Pr="00CF34FA" w:rsidR="00994EDE" w:rsidP="00366F1B" w:rsidRDefault="00F924E3" w14:paraId="78F28EB9" w14:textId="1617A608">
      <w:pPr>
        <w:widowControl/>
        <w:tabs>
          <w:tab w:val="left" w:pos="288"/>
          <w:tab w:val="left" w:pos="1008"/>
          <w:tab w:val="left" w:pos="1728"/>
          <w:tab w:val="left" w:pos="2448"/>
          <w:tab w:val="left" w:pos="3168"/>
          <w:tab w:val="left" w:pos="3888"/>
        </w:tabs>
        <w:ind w:left="1008"/>
        <w:rPr>
          <w:rFonts w:ascii="Times New Roman" w:hAnsi="Times New Roman"/>
        </w:rPr>
      </w:pPr>
      <w:r w:rsidRPr="00F924E3">
        <w:rPr>
          <w:rFonts w:ascii="Times New Roman" w:hAnsi="Times New Roman"/>
        </w:rPr>
        <w:t>The Federal Deposit Insurance Corporation reviews the information reported in the Notice to assess any anticompetitive and monopolistic effects of the proposed acquisition, to determine if the financial condition of any acquiring person is such as might jeopardize the financial stability of the bank or prejudice the interests of the depositors of the bank, and to determine whether the competence, experience, or integrity of any acquiring person, or of any of the proposed management personnel, indicates that it would not be in the interest of the depositors of the bank, or in the interest of the public, to permit such persons to control the bank.  The Federal Deposit Insurance Corporation must also make an independent determination of the accuracy and completeness of all of the information required to be filed in conjunction with a Notice.</w:t>
      </w:r>
    </w:p>
    <w:p w:rsidRPr="00CF34FA" w:rsidR="00994EDE" w:rsidRDefault="00994EDE" w14:paraId="0C5A4D2A"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Pr="00CF34FA" w:rsidR="00994EDE" w:rsidRDefault="00994EDE" w14:paraId="7F4F04C4"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3.</w:t>
      </w:r>
      <w:r w:rsidRPr="00CF34FA">
        <w:rPr>
          <w:rFonts w:ascii="Times New Roman" w:hAnsi="Times New Roman"/>
        </w:rPr>
        <w:tab/>
      </w:r>
      <w:r w:rsidRPr="00CF34FA" w:rsidR="002701C6">
        <w:rPr>
          <w:rFonts w:ascii="Times New Roman" w:hAnsi="Times New Roman"/>
          <w:u w:val="single"/>
        </w:rPr>
        <w:t>Consideration of the use of improved information technology:</w:t>
      </w:r>
    </w:p>
    <w:p w:rsidRPr="00CF34FA" w:rsidR="00994EDE" w:rsidRDefault="00994EDE" w14:paraId="1576E278"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F924E3" w14:paraId="0CDAD476" w14:textId="6CCF3BD3">
      <w:pPr>
        <w:widowControl/>
        <w:ind w:left="1008"/>
        <w:rPr>
          <w:rFonts w:ascii="Times New Roman" w:hAnsi="Times New Roman"/>
        </w:rPr>
      </w:pPr>
      <w:r w:rsidRPr="00F924E3">
        <w:rPr>
          <w:rFonts w:ascii="Times New Roman" w:hAnsi="Times New Roman"/>
        </w:rPr>
        <w:t>No technology is involved in the preparation of the Notice.</w:t>
      </w:r>
    </w:p>
    <w:p w:rsidRPr="00CF34FA" w:rsidR="00994EDE" w:rsidRDefault="00994EDE" w14:paraId="4215758E"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p>
    <w:p w:rsidRPr="00CF34FA" w:rsidR="00994EDE" w:rsidRDefault="00994EDE" w14:paraId="4C4B9563"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4.</w:t>
      </w:r>
      <w:r w:rsidRPr="00CF34FA">
        <w:rPr>
          <w:rFonts w:ascii="Times New Roman" w:hAnsi="Times New Roman"/>
        </w:rPr>
        <w:tab/>
      </w:r>
      <w:r w:rsidRPr="00CF34FA">
        <w:rPr>
          <w:rFonts w:ascii="Times New Roman" w:hAnsi="Times New Roman"/>
          <w:u w:val="single"/>
        </w:rPr>
        <w:t>Efforts to Identify Duplication</w:t>
      </w:r>
    </w:p>
    <w:p w:rsidRPr="00CF34FA" w:rsidR="00994EDE" w:rsidRDefault="00994EDE" w14:paraId="0AAED7C7"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F924E3" w14:paraId="7098947A" w14:textId="07441860">
      <w:pPr>
        <w:widowControl/>
        <w:tabs>
          <w:tab w:val="left" w:pos="288"/>
          <w:tab w:val="left" w:pos="1008"/>
          <w:tab w:val="left" w:pos="1728"/>
          <w:tab w:val="left" w:pos="2448"/>
          <w:tab w:val="left" w:pos="3168"/>
          <w:tab w:val="left" w:pos="3888"/>
        </w:tabs>
        <w:ind w:left="1008"/>
        <w:rPr>
          <w:rFonts w:ascii="Times New Roman" w:hAnsi="Times New Roman"/>
        </w:rPr>
      </w:pPr>
      <w:r w:rsidRPr="00F924E3">
        <w:rPr>
          <w:rFonts w:ascii="Times New Roman" w:hAnsi="Times New Roman"/>
        </w:rPr>
        <w:t>There is no duplication of reporting.  Each Notice is unique to the particular proposed acquisition.</w:t>
      </w:r>
    </w:p>
    <w:p w:rsidRPr="00CF34FA" w:rsidR="00994EDE" w:rsidRDefault="00994EDE" w14:paraId="28850C73"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P="002701C6" w:rsidRDefault="00994EDE" w14:paraId="133B62A2"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lastRenderedPageBreak/>
        <w:t>5.</w:t>
      </w:r>
      <w:r w:rsidRPr="00CF34FA">
        <w:rPr>
          <w:rFonts w:ascii="Times New Roman" w:hAnsi="Times New Roman"/>
        </w:rPr>
        <w:tab/>
      </w:r>
      <w:r w:rsidRPr="00CF34FA" w:rsidR="002701C6">
        <w:rPr>
          <w:rFonts w:ascii="Times New Roman" w:hAnsi="Times New Roman"/>
          <w:u w:val="single"/>
        </w:rPr>
        <w:t>Methods used to minimize burden if the collection has a significant impact on a substantial number of small entities:</w:t>
      </w:r>
    </w:p>
    <w:p w:rsidRPr="00CF34FA" w:rsidR="00994EDE" w:rsidRDefault="00994EDE" w14:paraId="6843A5EF"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P="00745787" w:rsidRDefault="001212D0" w14:paraId="0641ADCD" w14:textId="597A47D7">
      <w:pPr>
        <w:widowControl/>
        <w:tabs>
          <w:tab w:val="left" w:pos="288"/>
          <w:tab w:val="left" w:pos="1008"/>
          <w:tab w:val="left" w:pos="1728"/>
          <w:tab w:val="left" w:pos="2448"/>
          <w:tab w:val="left" w:pos="3168"/>
          <w:tab w:val="left" w:pos="3888"/>
        </w:tabs>
        <w:ind w:left="1008"/>
        <w:rPr>
          <w:rFonts w:ascii="Times New Roman" w:hAnsi="Times New Roman"/>
        </w:rPr>
      </w:pPr>
      <w:r w:rsidRPr="001212D0">
        <w:rPr>
          <w:rFonts w:ascii="Times New Roman" w:hAnsi="Times New Roman"/>
        </w:rPr>
        <w:t xml:space="preserve">The collection requirement is the same for </w:t>
      </w:r>
      <w:r w:rsidR="00745787">
        <w:rPr>
          <w:rFonts w:ascii="Times New Roman" w:hAnsi="Times New Roman"/>
        </w:rPr>
        <w:t xml:space="preserve">all banks, regardless of size. </w:t>
      </w:r>
      <w:r w:rsidRPr="001212D0">
        <w:rPr>
          <w:rFonts w:ascii="Times New Roman" w:hAnsi="Times New Roman"/>
        </w:rPr>
        <w:t xml:space="preserve">The information collected is </w:t>
      </w:r>
      <w:r w:rsidRPr="00745787" w:rsidR="00745787">
        <w:rPr>
          <w:rFonts w:ascii="Times New Roman" w:hAnsi="Times New Roman"/>
        </w:rPr>
        <w:t>the minimum needed by the FDIC to evaluate the proposed acquisition</w:t>
      </w:r>
      <w:r w:rsidRPr="001212D0">
        <w:rPr>
          <w:rFonts w:ascii="Times New Roman" w:hAnsi="Times New Roman"/>
        </w:rPr>
        <w:t>, giving consideration to the statutory factors of 12 USC 1828(c).</w:t>
      </w:r>
      <w:r w:rsidRPr="00CF34FA" w:rsidR="00994EDE">
        <w:rPr>
          <w:rFonts w:ascii="Times New Roman" w:hAnsi="Times New Roman"/>
        </w:rPr>
        <w:t xml:space="preserve">  </w:t>
      </w:r>
    </w:p>
    <w:p w:rsidRPr="00CF34FA" w:rsidR="00994EDE" w:rsidRDefault="00994EDE" w14:paraId="20B53B23"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Pr="00CF34FA" w:rsidR="00994EDE" w:rsidRDefault="00994EDE" w14:paraId="63AA60E4"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6.</w:t>
      </w:r>
      <w:r w:rsidRPr="00CF34FA">
        <w:rPr>
          <w:rFonts w:ascii="Times New Roman" w:hAnsi="Times New Roman"/>
        </w:rPr>
        <w:tab/>
      </w:r>
      <w:r w:rsidRPr="00CF34FA" w:rsidR="002701C6">
        <w:rPr>
          <w:rFonts w:ascii="Times New Roman" w:hAnsi="Times New Roman"/>
          <w:u w:val="single"/>
        </w:rPr>
        <w:t>Consequences to the Federal program if the collection were conducted less frequently:</w:t>
      </w:r>
    </w:p>
    <w:p w:rsidRPr="00CF34FA" w:rsidR="00994EDE" w:rsidRDefault="00994EDE" w14:paraId="1A53E6FE"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745787" w14:paraId="1FD161C9" w14:textId="492BCC8D">
      <w:pPr>
        <w:widowControl/>
        <w:tabs>
          <w:tab w:val="left" w:pos="288"/>
          <w:tab w:val="left" w:pos="1008"/>
          <w:tab w:val="left" w:pos="1728"/>
          <w:tab w:val="left" w:pos="2448"/>
          <w:tab w:val="left" w:pos="3168"/>
          <w:tab w:val="left" w:pos="3888"/>
        </w:tabs>
        <w:ind w:left="1008"/>
        <w:rPr>
          <w:rFonts w:ascii="Times New Roman" w:hAnsi="Times New Roman"/>
        </w:rPr>
      </w:pPr>
      <w:r w:rsidRPr="00745787">
        <w:rPr>
          <w:rFonts w:ascii="Times New Roman" w:hAnsi="Times New Roman"/>
        </w:rPr>
        <w:t>The information is collected only once in relation to each proposed change in ownership or control.</w:t>
      </w:r>
    </w:p>
    <w:p w:rsidRPr="00CF34FA" w:rsidR="00994EDE" w:rsidRDefault="00994EDE" w14:paraId="3EA128BF"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P="002701C6" w:rsidRDefault="00994EDE" w14:paraId="47A5013A"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7.</w:t>
      </w:r>
      <w:r w:rsidRPr="00CF34FA">
        <w:rPr>
          <w:rFonts w:ascii="Times New Roman" w:hAnsi="Times New Roman"/>
        </w:rPr>
        <w:tab/>
      </w:r>
      <w:r w:rsidRPr="00CF34FA" w:rsidR="002701C6">
        <w:rPr>
          <w:rFonts w:ascii="Times New Roman" w:hAnsi="Times New Roman"/>
          <w:u w:val="single"/>
        </w:rPr>
        <w:t>Special circumstances necessitating collection inconsistent with 5 CFR Part 1320.5(d)(2):</w:t>
      </w:r>
    </w:p>
    <w:p w:rsidRPr="00CF34FA" w:rsidR="00994EDE" w:rsidRDefault="00994EDE" w14:paraId="202CDFBF"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745787" w14:paraId="74905569" w14:textId="121ECA3F">
      <w:pPr>
        <w:widowControl/>
        <w:tabs>
          <w:tab w:val="left" w:pos="288"/>
          <w:tab w:val="left" w:pos="1008"/>
          <w:tab w:val="left" w:pos="1728"/>
          <w:tab w:val="left" w:pos="2448"/>
          <w:tab w:val="left" w:pos="3168"/>
          <w:tab w:val="left" w:pos="3888"/>
        </w:tabs>
        <w:ind w:left="1008"/>
        <w:rPr>
          <w:rFonts w:ascii="Times New Roman" w:hAnsi="Times New Roman"/>
        </w:rPr>
      </w:pPr>
      <w:r>
        <w:rPr>
          <w:rFonts w:ascii="Times New Roman" w:hAnsi="Times New Roman"/>
        </w:rPr>
        <w:t>None</w:t>
      </w:r>
      <w:r w:rsidRPr="001212D0" w:rsidR="001212D0">
        <w:rPr>
          <w:rFonts w:ascii="Times New Roman" w:hAnsi="Times New Roman"/>
        </w:rPr>
        <w:t>.</w:t>
      </w:r>
      <w:r w:rsidR="00E34974">
        <w:rPr>
          <w:rFonts w:ascii="Times New Roman" w:hAnsi="Times New Roman"/>
        </w:rPr>
        <w:t xml:space="preserve">  </w:t>
      </w:r>
      <w:r w:rsidRPr="00E34974" w:rsidR="00E34974">
        <w:rPr>
          <w:rFonts w:ascii="Times New Roman" w:hAnsi="Times New Roman"/>
        </w:rPr>
        <w:t>The</w:t>
      </w:r>
      <w:r w:rsidRPr="00E34974" w:rsidR="00E34974">
        <w:rPr>
          <w:rFonts w:ascii="Times New Roman" w:hAnsi="Times New Roman"/>
          <w:bCs/>
          <w:iCs/>
        </w:rPr>
        <w:t xml:space="preserve"> information is collected in a manner consistent with 5 CFR 1320.5(d)(2).</w:t>
      </w:r>
    </w:p>
    <w:p w:rsidRPr="00CF34FA" w:rsidR="00994EDE" w:rsidRDefault="00994EDE" w14:paraId="602991BB"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35C8A50D"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8.</w:t>
      </w:r>
      <w:r w:rsidRPr="00CF34FA">
        <w:rPr>
          <w:rFonts w:ascii="Times New Roman" w:hAnsi="Times New Roman"/>
        </w:rPr>
        <w:tab/>
      </w:r>
      <w:r w:rsidRPr="00CF34FA" w:rsidR="002701C6">
        <w:rPr>
          <w:rFonts w:ascii="Times New Roman" w:hAnsi="Times New Roman"/>
          <w:u w:val="single"/>
        </w:rPr>
        <w:t>Efforts to consult with persons outside the agency:</w:t>
      </w:r>
    </w:p>
    <w:p w:rsidRPr="00CF34FA" w:rsidR="00994EDE" w:rsidRDefault="00994EDE" w14:paraId="6D70AFB3"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1C7588" w:rsidP="001C7588" w:rsidRDefault="001C7588" w14:paraId="171146EA" w14:textId="4F48D819">
      <w:pPr>
        <w:widowControl/>
        <w:ind w:left="1008"/>
        <w:rPr>
          <w:rFonts w:ascii="Times New Roman" w:hAnsi="Times New Roman"/>
        </w:rPr>
      </w:pPr>
      <w:r w:rsidRPr="00CF34FA">
        <w:rPr>
          <w:rFonts w:ascii="Times New Roman" w:hAnsi="Times New Roman"/>
        </w:rPr>
        <w:t xml:space="preserve">A notice seeking public comment for a 60-day period was published in the </w:t>
      </w:r>
      <w:r w:rsidRPr="00CF34FA">
        <w:rPr>
          <w:rFonts w:ascii="Times New Roman" w:hAnsi="Times New Roman"/>
          <w:i/>
        </w:rPr>
        <w:t>Federal Register</w:t>
      </w:r>
      <w:r w:rsidRPr="00CF34FA">
        <w:rPr>
          <w:rFonts w:ascii="Times New Roman" w:hAnsi="Times New Roman"/>
        </w:rPr>
        <w:t xml:space="preserve"> on </w:t>
      </w:r>
      <w:r w:rsidR="008E47C7">
        <w:rPr>
          <w:rFonts w:ascii="Times New Roman" w:hAnsi="Times New Roman"/>
        </w:rPr>
        <w:t>April 13</w:t>
      </w:r>
      <w:r w:rsidRPr="00CF34FA">
        <w:rPr>
          <w:rFonts w:ascii="Times New Roman" w:hAnsi="Times New Roman"/>
        </w:rPr>
        <w:t xml:space="preserve">, 2021 (86 FR </w:t>
      </w:r>
      <w:r w:rsidR="008E47C7">
        <w:rPr>
          <w:rFonts w:ascii="Times New Roman" w:hAnsi="Times New Roman"/>
        </w:rPr>
        <w:t>19265</w:t>
      </w:r>
      <w:r w:rsidRPr="00CF34FA">
        <w:rPr>
          <w:rFonts w:ascii="Times New Roman" w:hAnsi="Times New Roman"/>
        </w:rPr>
        <w:t xml:space="preserve">).  No comments were received. </w:t>
      </w:r>
    </w:p>
    <w:p w:rsidRPr="00CF34FA" w:rsidR="00994EDE" w:rsidRDefault="00994EDE" w14:paraId="0CDA2D3E"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290659C6" w14:textId="77777777">
      <w:pPr>
        <w:keepNext/>
        <w:keepLines/>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9.</w:t>
      </w:r>
      <w:r w:rsidRPr="00CF34FA">
        <w:rPr>
          <w:rFonts w:ascii="Times New Roman" w:hAnsi="Times New Roman"/>
        </w:rPr>
        <w:tab/>
      </w:r>
      <w:r w:rsidRPr="00CF34FA" w:rsidR="002701C6">
        <w:rPr>
          <w:rFonts w:ascii="Times New Roman" w:hAnsi="Times New Roman"/>
          <w:u w:val="single"/>
        </w:rPr>
        <w:t>Payment or g</w:t>
      </w:r>
      <w:r w:rsidRPr="00CF34FA">
        <w:rPr>
          <w:rFonts w:ascii="Times New Roman" w:hAnsi="Times New Roman"/>
          <w:u w:val="single"/>
        </w:rPr>
        <w:t>ift</w:t>
      </w:r>
      <w:r w:rsidRPr="00CF34FA" w:rsidR="002701C6">
        <w:rPr>
          <w:rFonts w:ascii="Times New Roman" w:hAnsi="Times New Roman"/>
          <w:u w:val="single"/>
        </w:rPr>
        <w:t>s to r</w:t>
      </w:r>
      <w:r w:rsidRPr="00CF34FA">
        <w:rPr>
          <w:rFonts w:ascii="Times New Roman" w:hAnsi="Times New Roman"/>
          <w:u w:val="single"/>
        </w:rPr>
        <w:t>espondents</w:t>
      </w:r>
      <w:r w:rsidRPr="00CF34FA" w:rsidR="002701C6">
        <w:rPr>
          <w:rFonts w:ascii="Times New Roman" w:hAnsi="Times New Roman"/>
          <w:u w:val="single"/>
        </w:rPr>
        <w:t>:</w:t>
      </w:r>
    </w:p>
    <w:p w:rsidRPr="00CF34FA" w:rsidR="00994EDE" w:rsidRDefault="00994EDE" w14:paraId="73AEC7E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133729D5"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None.</w:t>
      </w:r>
    </w:p>
    <w:p w:rsidRPr="00CF34FA" w:rsidR="00994EDE" w:rsidRDefault="00994EDE" w14:paraId="464C8641"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00C73619"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10.</w:t>
      </w:r>
      <w:r w:rsidRPr="00CF34FA">
        <w:rPr>
          <w:rFonts w:ascii="Times New Roman" w:hAnsi="Times New Roman"/>
        </w:rPr>
        <w:tab/>
      </w:r>
      <w:r w:rsidRPr="00CF34FA" w:rsidR="002701C6">
        <w:rPr>
          <w:rFonts w:ascii="Times New Roman" w:hAnsi="Times New Roman"/>
          <w:u w:val="single"/>
        </w:rPr>
        <w:t>Any assurance of confidentiality:</w:t>
      </w:r>
    </w:p>
    <w:p w:rsidRPr="00CF34FA" w:rsidR="00994EDE" w:rsidRDefault="00994EDE" w14:paraId="7572FF5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745787" w14:paraId="57B9ED5E" w14:textId="3283B903">
      <w:pPr>
        <w:keepNext/>
        <w:keepLines/>
        <w:widowControl/>
        <w:tabs>
          <w:tab w:val="left" w:pos="288"/>
          <w:tab w:val="left" w:pos="1008"/>
          <w:tab w:val="left" w:pos="1728"/>
          <w:tab w:val="left" w:pos="2448"/>
          <w:tab w:val="left" w:pos="3168"/>
          <w:tab w:val="left" w:pos="3888"/>
        </w:tabs>
        <w:ind w:left="1008"/>
        <w:rPr>
          <w:rFonts w:ascii="Times New Roman" w:hAnsi="Times New Roman"/>
        </w:rPr>
      </w:pPr>
      <w:r w:rsidRPr="00745787">
        <w:rPr>
          <w:rFonts w:ascii="Times New Roman" w:hAnsi="Times New Roman"/>
        </w:rPr>
        <w:t>Page ii of the Notice advises a person who files a notice with the FDIC to publish an announcement of the notice’s acceptance in a newspaper.  The newspaper publication and public disclosure is necessary to increase the amount of timely and useful information available to the public and to increase the FDIC’s sources of information in connection with its statutory review of acquisitions and changes in control, thereby enhancing the FDIC’s ability to carry out the purposes of the Change in Bank Control Act, namely, to prevent dishonest or unqualified persons from acquiring control of federally-insured banks.</w:t>
      </w:r>
    </w:p>
    <w:p w:rsidRPr="00CF34FA" w:rsidR="00994EDE" w:rsidRDefault="00994EDE" w14:paraId="12D408D7"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Pr="00CF34FA" w:rsidR="00994EDE" w:rsidRDefault="00994EDE" w14:paraId="6B63E3D7"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11.</w:t>
      </w:r>
      <w:r w:rsidRPr="00CF34FA">
        <w:rPr>
          <w:rFonts w:ascii="Times New Roman" w:hAnsi="Times New Roman"/>
        </w:rPr>
        <w:tab/>
      </w:r>
      <w:r w:rsidRPr="00CF34FA" w:rsidR="002701C6">
        <w:rPr>
          <w:rFonts w:ascii="Times New Roman" w:hAnsi="Times New Roman"/>
          <w:u w:val="single"/>
        </w:rPr>
        <w:t>Justification for questions of a sensitive nature:</w:t>
      </w:r>
    </w:p>
    <w:p w:rsidRPr="00CF34FA" w:rsidR="00994EDE" w:rsidRDefault="00994EDE" w14:paraId="722890BC"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Default="001212D0" w14:paraId="17EEA175" w14:textId="5ACFA94F">
      <w:pPr>
        <w:widowControl/>
        <w:tabs>
          <w:tab w:val="left" w:pos="288"/>
          <w:tab w:val="left" w:pos="1008"/>
          <w:tab w:val="left" w:pos="1728"/>
          <w:tab w:val="left" w:pos="2448"/>
          <w:tab w:val="left" w:pos="3168"/>
          <w:tab w:val="left" w:pos="3888"/>
        </w:tabs>
        <w:rPr>
          <w:rFonts w:ascii="Times New Roman" w:hAnsi="Times New Roman"/>
        </w:rPr>
      </w:pPr>
      <w:r>
        <w:rPr>
          <w:rFonts w:ascii="Times New Roman" w:hAnsi="Times New Roman"/>
        </w:rPr>
        <w:tab/>
      </w:r>
      <w:r>
        <w:rPr>
          <w:rFonts w:ascii="Times New Roman" w:hAnsi="Times New Roman"/>
        </w:rPr>
        <w:tab/>
      </w:r>
      <w:r w:rsidRPr="001212D0">
        <w:rPr>
          <w:rFonts w:ascii="Times New Roman" w:hAnsi="Times New Roman"/>
        </w:rPr>
        <w:t>No information of a sensitive nature is required</w:t>
      </w:r>
    </w:p>
    <w:p w:rsidR="00745787" w:rsidRDefault="00745787" w14:paraId="42E55E44" w14:textId="54016AAA">
      <w:pPr>
        <w:widowControl/>
        <w:rPr>
          <w:rFonts w:ascii="Times New Roman" w:hAnsi="Times New Roman"/>
        </w:rPr>
      </w:pPr>
      <w:r>
        <w:rPr>
          <w:rFonts w:ascii="Times New Roman" w:hAnsi="Times New Roman"/>
        </w:rPr>
        <w:br w:type="page"/>
      </w:r>
    </w:p>
    <w:p w:rsidRPr="00CF34FA" w:rsidR="001212D0" w:rsidRDefault="001212D0" w14:paraId="5565DA9E"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38B4D72D"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r w:rsidRPr="00CF34FA">
        <w:rPr>
          <w:rFonts w:ascii="Times New Roman" w:hAnsi="Times New Roman"/>
        </w:rPr>
        <w:t>12.</w:t>
      </w:r>
      <w:r w:rsidRPr="00CF34FA">
        <w:rPr>
          <w:rFonts w:ascii="Times New Roman" w:hAnsi="Times New Roman"/>
        </w:rPr>
        <w:tab/>
      </w:r>
      <w:r w:rsidRPr="004A784F" w:rsidR="001C7588">
        <w:rPr>
          <w:rFonts w:ascii="Times New Roman" w:hAnsi="Times New Roman"/>
          <w:u w:val="single"/>
        </w:rPr>
        <w:t xml:space="preserve">Estimate of </w:t>
      </w:r>
      <w:r w:rsidRPr="004A784F" w:rsidR="002701C6">
        <w:rPr>
          <w:rFonts w:ascii="Times New Roman" w:hAnsi="Times New Roman"/>
          <w:u w:val="single"/>
        </w:rPr>
        <w:t>hour b</w:t>
      </w:r>
      <w:r w:rsidRPr="004A784F">
        <w:rPr>
          <w:rFonts w:ascii="Times New Roman" w:hAnsi="Times New Roman"/>
          <w:u w:val="single"/>
        </w:rPr>
        <w:t>urden</w:t>
      </w:r>
      <w:r w:rsidRPr="004A784F" w:rsidR="002701C6">
        <w:rPr>
          <w:rFonts w:ascii="Times New Roman" w:hAnsi="Times New Roman"/>
          <w:u w:val="single"/>
        </w:rPr>
        <w:t xml:space="preserve"> including annualized hourly costs:</w:t>
      </w:r>
    </w:p>
    <w:p w:rsidRPr="00CF34FA" w:rsidR="00FC035F" w:rsidRDefault="00FC035F" w14:paraId="0CAFB2BE"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p>
    <w:p w:rsidRPr="00CF34FA" w:rsidR="00994EDE" w:rsidRDefault="00994EDE" w14:paraId="2F9C2A4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tbl>
      <w:tblPr>
        <w:tblW w:w="9530" w:type="dxa"/>
        <w:tblLook w:val="04A0" w:firstRow="1" w:lastRow="0" w:firstColumn="1" w:lastColumn="0" w:noHBand="0" w:noVBand="1"/>
      </w:tblPr>
      <w:tblGrid>
        <w:gridCol w:w="2621"/>
        <w:gridCol w:w="1477"/>
        <w:gridCol w:w="1027"/>
        <w:gridCol w:w="1260"/>
        <w:gridCol w:w="1230"/>
        <w:gridCol w:w="1035"/>
        <w:gridCol w:w="880"/>
      </w:tblGrid>
      <w:tr w:rsidRPr="00CF34FA" w:rsidR="00FC035F" w:rsidTr="009350E1" w14:paraId="731F4CE8" w14:textId="77777777">
        <w:trPr>
          <w:trHeight w:val="432"/>
        </w:trPr>
        <w:tc>
          <w:tcPr>
            <w:tcW w:w="953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CF34FA" w:rsidR="00FC035F" w:rsidP="001212D0" w:rsidRDefault="00FC035F" w14:paraId="150EC81A" w14:textId="648EE99B">
            <w:pPr>
              <w:widowControl/>
              <w:jc w:val="center"/>
              <w:rPr>
                <w:rFonts w:ascii="Times New Roman" w:hAnsi="Times New Roman"/>
                <w:snapToGrid/>
                <w:color w:val="000000"/>
                <w:sz w:val="18"/>
                <w:szCs w:val="18"/>
              </w:rPr>
            </w:pPr>
            <w:r w:rsidRPr="00CF34FA">
              <w:rPr>
                <w:rFonts w:ascii="Times New Roman" w:hAnsi="Times New Roman"/>
                <w:b/>
                <w:bCs/>
                <w:snapToGrid/>
                <w:color w:val="000000"/>
                <w:sz w:val="20"/>
              </w:rPr>
              <w:t>Summary of Estimated Annual Burdens (OMB No. 3064-0</w:t>
            </w:r>
            <w:r w:rsidR="008E47C7">
              <w:rPr>
                <w:rFonts w:ascii="Times New Roman" w:hAnsi="Times New Roman"/>
                <w:b/>
                <w:bCs/>
                <w:snapToGrid/>
                <w:color w:val="000000"/>
                <w:sz w:val="20"/>
              </w:rPr>
              <w:t>0</w:t>
            </w:r>
            <w:r w:rsidR="00745787">
              <w:rPr>
                <w:rFonts w:ascii="Times New Roman" w:hAnsi="Times New Roman"/>
                <w:b/>
                <w:bCs/>
                <w:snapToGrid/>
                <w:color w:val="000000"/>
                <w:sz w:val="20"/>
              </w:rPr>
              <w:t>19</w:t>
            </w:r>
            <w:r w:rsidRPr="00CF34FA">
              <w:rPr>
                <w:rFonts w:ascii="Times New Roman" w:hAnsi="Times New Roman"/>
                <w:b/>
                <w:bCs/>
                <w:snapToGrid/>
                <w:color w:val="000000"/>
                <w:sz w:val="20"/>
              </w:rPr>
              <w:t>)</w:t>
            </w:r>
          </w:p>
        </w:tc>
      </w:tr>
      <w:tr w:rsidRPr="00CF34FA" w:rsidR="00FC035F" w:rsidTr="009350E1" w14:paraId="09BED8D0" w14:textId="77777777">
        <w:trPr>
          <w:trHeight w:val="1056"/>
        </w:trPr>
        <w:tc>
          <w:tcPr>
            <w:tcW w:w="2621" w:type="dxa"/>
            <w:tcBorders>
              <w:top w:val="nil"/>
              <w:left w:val="single" w:color="auto" w:sz="4" w:space="0"/>
              <w:bottom w:val="single" w:color="auto" w:sz="4" w:space="0"/>
              <w:right w:val="single" w:color="auto" w:sz="4" w:space="0"/>
            </w:tcBorders>
            <w:shd w:val="clear" w:color="auto" w:fill="auto"/>
            <w:vAlign w:val="center"/>
            <w:hideMark/>
          </w:tcPr>
          <w:p w:rsidRPr="00CF34FA" w:rsidR="00FC035F" w:rsidP="00FC035F" w:rsidRDefault="00FC035F" w14:paraId="12D65AB8" w14:textId="77777777">
            <w:pPr>
              <w:widowControl/>
              <w:rPr>
                <w:rFonts w:ascii="Times New Roman" w:hAnsi="Times New Roman"/>
                <w:snapToGrid/>
                <w:color w:val="000000"/>
                <w:sz w:val="18"/>
                <w:szCs w:val="18"/>
              </w:rPr>
            </w:pPr>
            <w:r w:rsidRPr="00CF34FA">
              <w:rPr>
                <w:rFonts w:ascii="Times New Roman" w:hAnsi="Times New Roman"/>
                <w:snapToGrid/>
                <w:color w:val="000000"/>
                <w:sz w:val="18"/>
                <w:szCs w:val="18"/>
              </w:rPr>
              <w:t>IC Description</w:t>
            </w:r>
          </w:p>
        </w:tc>
        <w:tc>
          <w:tcPr>
            <w:tcW w:w="1477"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4462F0D4"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Type of Burden (Obligation to Respond)</w:t>
            </w:r>
          </w:p>
        </w:tc>
        <w:tc>
          <w:tcPr>
            <w:tcW w:w="1027" w:type="dxa"/>
            <w:tcBorders>
              <w:top w:val="nil"/>
              <w:left w:val="nil"/>
              <w:bottom w:val="single" w:color="auto" w:sz="4" w:space="0"/>
              <w:right w:val="single" w:color="auto" w:sz="4" w:space="0"/>
            </w:tcBorders>
            <w:vAlign w:val="center"/>
          </w:tcPr>
          <w:p w:rsidRPr="00CF34FA" w:rsidR="00FC035F" w:rsidP="00FC035F" w:rsidRDefault="00FC035F" w14:paraId="22BDC065"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Frequency of Response</w:t>
            </w:r>
          </w:p>
        </w:tc>
        <w:tc>
          <w:tcPr>
            <w:tcW w:w="1260" w:type="dxa"/>
            <w:tcBorders>
              <w:top w:val="nil"/>
              <w:left w:val="single" w:color="auto" w:sz="4" w:space="0"/>
              <w:bottom w:val="single" w:color="auto" w:sz="4" w:space="0"/>
              <w:right w:val="single" w:color="auto" w:sz="4" w:space="0"/>
            </w:tcBorders>
            <w:shd w:val="clear" w:color="auto" w:fill="auto"/>
            <w:vAlign w:val="center"/>
            <w:hideMark/>
          </w:tcPr>
          <w:p w:rsidRPr="00CF34FA" w:rsidR="00FC035F" w:rsidP="00FC035F" w:rsidRDefault="00FC035F" w14:paraId="648AB230"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Number of Respondents</w:t>
            </w:r>
          </w:p>
        </w:tc>
        <w:tc>
          <w:tcPr>
            <w:tcW w:w="1230"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37E2D0ED"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Number of Responses / Respondent</w:t>
            </w:r>
          </w:p>
        </w:tc>
        <w:tc>
          <w:tcPr>
            <w:tcW w:w="1035"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1375E6BF"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 xml:space="preserve">Hours per Response </w:t>
            </w:r>
          </w:p>
        </w:tc>
        <w:tc>
          <w:tcPr>
            <w:tcW w:w="880"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2D21EE47"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Annual Burden (Hours)</w:t>
            </w:r>
          </w:p>
        </w:tc>
      </w:tr>
      <w:tr w:rsidRPr="00CF34FA" w:rsidR="00FC035F" w:rsidTr="009350E1" w14:paraId="3B1A34FF" w14:textId="77777777">
        <w:trPr>
          <w:trHeight w:val="288"/>
        </w:trPr>
        <w:tc>
          <w:tcPr>
            <w:tcW w:w="2621" w:type="dxa"/>
            <w:tcBorders>
              <w:top w:val="nil"/>
              <w:left w:val="single" w:color="auto" w:sz="4" w:space="0"/>
              <w:bottom w:val="single" w:color="auto" w:sz="4" w:space="0"/>
              <w:right w:val="single" w:color="auto" w:sz="4" w:space="0"/>
            </w:tcBorders>
            <w:shd w:val="clear" w:color="auto" w:fill="auto"/>
            <w:vAlign w:val="center"/>
            <w:hideMark/>
          </w:tcPr>
          <w:p w:rsidRPr="00CF34FA" w:rsidR="00FC035F" w:rsidP="00745787" w:rsidRDefault="001212D0" w14:paraId="79904DD2" w14:textId="0AF06B92">
            <w:pPr>
              <w:widowControl/>
              <w:rPr>
                <w:rFonts w:ascii="Times New Roman" w:hAnsi="Times New Roman" w:eastAsia="Source Sans Pro"/>
                <w:snapToGrid/>
                <w:color w:val="000000"/>
                <w:sz w:val="18"/>
                <w:szCs w:val="18"/>
                <w:lang w:bidi="en-US"/>
              </w:rPr>
            </w:pPr>
            <w:r w:rsidRPr="001212D0">
              <w:rPr>
                <w:rFonts w:ascii="Times New Roman" w:hAnsi="Times New Roman" w:eastAsia="Source Sans Pro"/>
                <w:snapToGrid/>
                <w:color w:val="000000"/>
                <w:sz w:val="18"/>
                <w:szCs w:val="18"/>
                <w:lang w:bidi="en-US"/>
              </w:rPr>
              <w:t xml:space="preserve">Interagency </w:t>
            </w:r>
            <w:r w:rsidR="00745787">
              <w:rPr>
                <w:rFonts w:ascii="Times New Roman" w:hAnsi="Times New Roman" w:eastAsia="Source Sans Pro"/>
                <w:snapToGrid/>
                <w:color w:val="000000"/>
                <w:sz w:val="18"/>
                <w:szCs w:val="18"/>
                <w:lang w:bidi="en-US"/>
              </w:rPr>
              <w:t>Notice of Change in Control</w:t>
            </w:r>
          </w:p>
        </w:tc>
        <w:tc>
          <w:tcPr>
            <w:tcW w:w="1477" w:type="dxa"/>
            <w:tcBorders>
              <w:top w:val="nil"/>
              <w:left w:val="nil"/>
              <w:bottom w:val="single" w:color="auto" w:sz="4" w:space="0"/>
              <w:right w:val="single" w:color="auto" w:sz="4" w:space="0"/>
            </w:tcBorders>
            <w:shd w:val="clear" w:color="auto" w:fill="auto"/>
            <w:noWrap/>
            <w:vAlign w:val="center"/>
            <w:hideMark/>
          </w:tcPr>
          <w:p w:rsidRPr="00CF34FA" w:rsidR="00FC035F" w:rsidP="00AA7C8E" w:rsidRDefault="00FC035F" w14:paraId="30065C37" w14:textId="7CD95465">
            <w:pPr>
              <w:widowControl/>
              <w:jc w:val="center"/>
              <w:rPr>
                <w:rFonts w:ascii="Times New Roman" w:hAnsi="Times New Roman" w:eastAsia="Source Sans Pro"/>
                <w:snapToGrid/>
                <w:color w:val="000000"/>
                <w:sz w:val="18"/>
                <w:szCs w:val="18"/>
              </w:rPr>
            </w:pPr>
            <w:r w:rsidRPr="00CF34FA">
              <w:rPr>
                <w:rFonts w:ascii="Times New Roman" w:hAnsi="Times New Roman" w:eastAsia="Source Sans Pro"/>
                <w:snapToGrid/>
                <w:color w:val="000000"/>
                <w:sz w:val="18"/>
                <w:szCs w:val="18"/>
                <w:lang w:bidi="en-US"/>
              </w:rPr>
              <w:t>Re</w:t>
            </w:r>
            <w:r w:rsidR="00AA7C8E">
              <w:rPr>
                <w:rFonts w:ascii="Times New Roman" w:hAnsi="Times New Roman" w:eastAsia="Source Sans Pro"/>
                <w:snapToGrid/>
                <w:color w:val="000000"/>
                <w:sz w:val="18"/>
                <w:szCs w:val="18"/>
                <w:lang w:bidi="en-US"/>
              </w:rPr>
              <w:t>porting</w:t>
            </w:r>
            <w:r w:rsidRPr="00CF34FA">
              <w:rPr>
                <w:rFonts w:ascii="Times New Roman" w:hAnsi="Times New Roman" w:eastAsia="Source Sans Pro"/>
                <w:snapToGrid/>
                <w:color w:val="000000"/>
                <w:sz w:val="18"/>
                <w:szCs w:val="18"/>
                <w:lang w:bidi="en-US"/>
              </w:rPr>
              <w:t xml:space="preserve"> (Mandatory)</w:t>
            </w:r>
          </w:p>
        </w:tc>
        <w:tc>
          <w:tcPr>
            <w:tcW w:w="1027" w:type="dxa"/>
            <w:tcBorders>
              <w:top w:val="single" w:color="auto" w:sz="4" w:space="0"/>
              <w:left w:val="nil"/>
              <w:bottom w:val="single" w:color="auto" w:sz="4" w:space="0"/>
              <w:right w:val="single" w:color="auto" w:sz="4" w:space="0"/>
            </w:tcBorders>
            <w:vAlign w:val="center"/>
          </w:tcPr>
          <w:p w:rsidRPr="00CF34FA" w:rsidR="00FC035F" w:rsidP="00FC035F" w:rsidRDefault="00FC035F" w14:paraId="7F0C653F" w14:textId="77777777">
            <w:pPr>
              <w:widowControl/>
              <w:jc w:val="center"/>
              <w:rPr>
                <w:rFonts w:ascii="Times New Roman" w:hAnsi="Times New Roman" w:eastAsia="Source Sans Pro"/>
                <w:snapToGrid/>
                <w:color w:val="000000"/>
                <w:sz w:val="18"/>
                <w:szCs w:val="18"/>
                <w:lang w:bidi="en-US"/>
              </w:rPr>
            </w:pPr>
            <w:r w:rsidRPr="00CF34FA">
              <w:rPr>
                <w:rFonts w:ascii="Times New Roman" w:hAnsi="Times New Roman" w:eastAsia="Source Sans Pro"/>
                <w:snapToGrid/>
                <w:color w:val="000000"/>
                <w:sz w:val="18"/>
                <w:szCs w:val="18"/>
                <w:lang w:bidi="en-US"/>
              </w:rPr>
              <w:t>On occasion</w:t>
            </w:r>
          </w:p>
        </w:tc>
        <w:tc>
          <w:tcPr>
            <w:tcW w:w="1260" w:type="dxa"/>
            <w:tcBorders>
              <w:top w:val="nil"/>
              <w:left w:val="single" w:color="auto" w:sz="4" w:space="0"/>
              <w:bottom w:val="single" w:color="auto" w:sz="4" w:space="0"/>
              <w:right w:val="single" w:color="auto" w:sz="4" w:space="0"/>
            </w:tcBorders>
            <w:shd w:val="clear" w:color="auto" w:fill="auto"/>
            <w:noWrap/>
            <w:vAlign w:val="center"/>
            <w:hideMark/>
          </w:tcPr>
          <w:p w:rsidRPr="00CF34FA" w:rsidR="00FC035F" w:rsidP="00745787" w:rsidRDefault="001212D0" w14:paraId="199515BB" w14:textId="155B2A54">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1</w:t>
            </w:r>
            <w:r w:rsidR="00745787">
              <w:rPr>
                <w:rFonts w:ascii="Times New Roman" w:hAnsi="Times New Roman" w:eastAsia="Source Sans Pro"/>
                <w:snapToGrid/>
                <w:color w:val="000000"/>
                <w:sz w:val="18"/>
                <w:szCs w:val="18"/>
              </w:rPr>
              <w:t>8</w:t>
            </w:r>
          </w:p>
        </w:tc>
        <w:tc>
          <w:tcPr>
            <w:tcW w:w="1230" w:type="dxa"/>
            <w:tcBorders>
              <w:top w:val="nil"/>
              <w:left w:val="nil"/>
              <w:bottom w:val="single" w:color="auto" w:sz="4" w:space="0"/>
              <w:right w:val="single" w:color="auto" w:sz="4" w:space="0"/>
            </w:tcBorders>
            <w:shd w:val="clear" w:color="auto" w:fill="auto"/>
            <w:noWrap/>
            <w:vAlign w:val="center"/>
            <w:hideMark/>
          </w:tcPr>
          <w:p w:rsidRPr="00CF34FA" w:rsidR="00FC035F" w:rsidP="00AA7C8E" w:rsidRDefault="00AA7C8E" w14:paraId="076F5385" w14:textId="21569A1E">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1</w:t>
            </w:r>
          </w:p>
        </w:tc>
        <w:tc>
          <w:tcPr>
            <w:tcW w:w="1035" w:type="dxa"/>
            <w:tcBorders>
              <w:top w:val="nil"/>
              <w:left w:val="nil"/>
              <w:bottom w:val="single" w:color="auto" w:sz="4" w:space="0"/>
              <w:right w:val="single" w:color="auto" w:sz="4" w:space="0"/>
            </w:tcBorders>
            <w:shd w:val="clear" w:color="auto" w:fill="auto"/>
            <w:noWrap/>
            <w:vAlign w:val="center"/>
            <w:hideMark/>
          </w:tcPr>
          <w:p w:rsidRPr="00CF34FA" w:rsidR="00FC035F" w:rsidP="00AA7C8E" w:rsidRDefault="00745787" w14:paraId="54E3CBB7" w14:textId="07E86A58">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lang w:bidi="en-US"/>
              </w:rPr>
              <w:t>30.5</w:t>
            </w:r>
          </w:p>
        </w:tc>
        <w:tc>
          <w:tcPr>
            <w:tcW w:w="880" w:type="dxa"/>
            <w:tcBorders>
              <w:top w:val="nil"/>
              <w:left w:val="nil"/>
              <w:bottom w:val="single" w:color="auto" w:sz="4" w:space="0"/>
              <w:right w:val="single" w:color="auto" w:sz="4" w:space="0"/>
            </w:tcBorders>
            <w:shd w:val="clear" w:color="auto" w:fill="auto"/>
            <w:noWrap/>
            <w:vAlign w:val="center"/>
            <w:hideMark/>
          </w:tcPr>
          <w:p w:rsidRPr="00CF34FA" w:rsidR="00FC035F" w:rsidP="00AA7C8E" w:rsidRDefault="00745787" w14:paraId="420B0060" w14:textId="41D618E9">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549</w:t>
            </w:r>
          </w:p>
        </w:tc>
      </w:tr>
      <w:tr w:rsidRPr="00CF34FA" w:rsidR="00FC035F" w:rsidTr="009350E1" w14:paraId="48401E70" w14:textId="77777777">
        <w:trPr>
          <w:trHeight w:val="288"/>
        </w:trPr>
        <w:tc>
          <w:tcPr>
            <w:tcW w:w="8650" w:type="dxa"/>
            <w:gridSpan w:val="6"/>
            <w:tcBorders>
              <w:top w:val="single" w:color="auto" w:sz="4" w:space="0"/>
              <w:left w:val="single" w:color="auto" w:sz="4" w:space="0"/>
              <w:bottom w:val="single" w:color="auto" w:sz="4" w:space="0"/>
            </w:tcBorders>
            <w:shd w:val="clear" w:color="auto" w:fill="auto"/>
            <w:vAlign w:val="center"/>
          </w:tcPr>
          <w:p w:rsidRPr="00CF34FA" w:rsidR="00FC035F" w:rsidP="00FC035F" w:rsidRDefault="00FC035F" w14:paraId="776FF778" w14:textId="77777777">
            <w:pPr>
              <w:widowControl/>
              <w:jc w:val="right"/>
              <w:rPr>
                <w:rFonts w:ascii="Times New Roman" w:hAnsi="Times New Roman" w:eastAsia="Source Sans Pro"/>
                <w:snapToGrid/>
                <w:color w:val="000000"/>
                <w:sz w:val="18"/>
                <w:szCs w:val="18"/>
                <w:lang w:bidi="en-US"/>
              </w:rPr>
            </w:pPr>
            <w:r w:rsidRPr="00CF34FA">
              <w:rPr>
                <w:rFonts w:ascii="Times New Roman" w:hAnsi="Times New Roman" w:eastAsia="Source Sans Pro"/>
                <w:snapToGrid/>
                <w:color w:val="000000"/>
                <w:sz w:val="18"/>
                <w:szCs w:val="18"/>
                <w:lang w:bidi="en-US"/>
              </w:rPr>
              <w:t>Total Annual Burden Hours:</w:t>
            </w:r>
          </w:p>
        </w:tc>
        <w:tc>
          <w:tcPr>
            <w:tcW w:w="880" w:type="dxa"/>
            <w:tcBorders>
              <w:top w:val="nil"/>
              <w:left w:val="nil"/>
              <w:bottom w:val="single" w:color="auto" w:sz="4" w:space="0"/>
              <w:right w:val="single" w:color="auto" w:sz="4" w:space="0"/>
            </w:tcBorders>
            <w:shd w:val="clear" w:color="auto" w:fill="auto"/>
            <w:noWrap/>
            <w:vAlign w:val="center"/>
          </w:tcPr>
          <w:p w:rsidRPr="00CF34FA" w:rsidR="00FC035F" w:rsidP="00FC035F" w:rsidRDefault="00745787" w14:paraId="1D75B8D2" w14:textId="1B255631">
            <w:pPr>
              <w:widowControl/>
              <w:jc w:val="right"/>
              <w:rPr>
                <w:rFonts w:ascii="Times New Roman" w:hAnsi="Times New Roman" w:eastAsia="Source Sans Pro"/>
                <w:snapToGrid/>
                <w:color w:val="000000"/>
                <w:sz w:val="18"/>
                <w:szCs w:val="18"/>
                <w:lang w:bidi="en-US"/>
              </w:rPr>
            </w:pPr>
            <w:r>
              <w:rPr>
                <w:rFonts w:ascii="Times New Roman" w:hAnsi="Times New Roman" w:eastAsia="Source Sans Pro"/>
                <w:snapToGrid/>
                <w:color w:val="000000"/>
                <w:sz w:val="18"/>
                <w:szCs w:val="18"/>
                <w:lang w:bidi="en-US"/>
              </w:rPr>
              <w:t>549</w:t>
            </w:r>
          </w:p>
        </w:tc>
      </w:tr>
      <w:tr w:rsidRPr="00CF34FA" w:rsidR="00FC035F" w:rsidTr="009350E1" w14:paraId="500676D7" w14:textId="77777777">
        <w:trPr>
          <w:trHeight w:val="288"/>
        </w:trPr>
        <w:tc>
          <w:tcPr>
            <w:tcW w:w="9530" w:type="dxa"/>
            <w:gridSpan w:val="7"/>
            <w:tcBorders>
              <w:top w:val="nil"/>
              <w:left w:val="single" w:color="auto" w:sz="4" w:space="0"/>
              <w:bottom w:val="single" w:color="auto" w:sz="4" w:space="0"/>
              <w:right w:val="single" w:color="auto" w:sz="4" w:space="0"/>
            </w:tcBorders>
            <w:shd w:val="clear" w:color="auto" w:fill="auto"/>
            <w:vAlign w:val="center"/>
          </w:tcPr>
          <w:p w:rsidRPr="00CF34FA" w:rsidR="00FC035F" w:rsidP="00FC035F" w:rsidRDefault="00FC035F" w14:paraId="5EDC99D5" w14:textId="77777777">
            <w:pPr>
              <w:widowControl/>
              <w:rPr>
                <w:rFonts w:ascii="Times New Roman" w:hAnsi="Times New Roman" w:eastAsia="Source Sans Pro"/>
                <w:snapToGrid/>
                <w:color w:val="000000"/>
                <w:sz w:val="20"/>
                <w:lang w:bidi="en-US"/>
              </w:rPr>
            </w:pPr>
            <w:r w:rsidRPr="00CF34FA">
              <w:rPr>
                <w:rFonts w:ascii="Times New Roman" w:hAnsi="Times New Roman"/>
                <w:snapToGrid/>
                <w:color w:val="000000"/>
                <w:sz w:val="18"/>
                <w:szCs w:val="18"/>
              </w:rPr>
              <w:t>Source: FDIC.</w:t>
            </w:r>
          </w:p>
        </w:tc>
      </w:tr>
    </w:tbl>
    <w:p w:rsidR="00E9015C" w:rsidP="00E47A40" w:rsidRDefault="001C7588" w14:paraId="2309F69D" w14:textId="10DD56D5">
      <w:pPr>
        <w:widowControl/>
        <w:tabs>
          <w:tab w:val="left" w:pos="-1440"/>
        </w:tabs>
        <w:rPr>
          <w:rFonts w:ascii="Times New Roman" w:hAnsi="Times New Roman"/>
        </w:rPr>
      </w:pPr>
      <w:r w:rsidRPr="00CF34FA">
        <w:rPr>
          <w:rFonts w:ascii="Times New Roman" w:hAnsi="Times New Roman"/>
        </w:rPr>
        <w:tab/>
      </w:r>
      <w:r w:rsidRPr="00CF34FA">
        <w:rPr>
          <w:rFonts w:ascii="Times New Roman" w:hAnsi="Times New Roman"/>
        </w:rPr>
        <w:tab/>
      </w:r>
      <w:r w:rsidRPr="00CF34FA">
        <w:rPr>
          <w:rFonts w:ascii="Times New Roman" w:hAnsi="Times New Roman"/>
        </w:rPr>
        <w:tab/>
      </w:r>
      <w:r w:rsidRPr="00CF34FA" w:rsidR="00E47A40">
        <w:rPr>
          <w:rFonts w:ascii="Times New Roman" w:hAnsi="Times New Roman"/>
        </w:rPr>
        <w:tab/>
      </w:r>
    </w:p>
    <w:p w:rsidRPr="00377132" w:rsidR="00AA7C8E" w:rsidP="00AA7C8E" w:rsidRDefault="00AA7C8E" w14:paraId="69B8F3C1" w14:textId="2FF80B34">
      <w:pPr>
        <w:tabs>
          <w:tab w:val="left" w:pos="-1440"/>
        </w:tabs>
        <w:spacing w:line="360" w:lineRule="auto"/>
        <w:ind w:left="1440"/>
        <w:contextualSpacing/>
        <w:rPr>
          <w:rFonts w:ascii="Times New Roman" w:hAnsi="Times New Roman"/>
        </w:rPr>
      </w:pPr>
      <w:r w:rsidRPr="00377132">
        <w:rPr>
          <w:rFonts w:ascii="Times New Roman" w:hAnsi="Times New Roman"/>
        </w:rPr>
        <w:t xml:space="preserve">Total </w:t>
      </w:r>
      <w:r>
        <w:rPr>
          <w:rFonts w:ascii="Times New Roman" w:hAnsi="Times New Roman"/>
        </w:rPr>
        <w:t>estimated</w:t>
      </w:r>
      <w:r w:rsidRPr="00377132">
        <w:rPr>
          <w:rFonts w:ascii="Times New Roman" w:hAnsi="Times New Roman"/>
        </w:rPr>
        <w:t xml:space="preserve"> </w:t>
      </w:r>
      <w:r>
        <w:rPr>
          <w:rFonts w:ascii="Times New Roman" w:hAnsi="Times New Roman"/>
        </w:rPr>
        <w:t>a</w:t>
      </w:r>
      <w:r w:rsidRPr="00377132">
        <w:rPr>
          <w:rFonts w:ascii="Times New Roman" w:hAnsi="Times New Roman"/>
        </w:rPr>
        <w:t xml:space="preserve">nnual </w:t>
      </w:r>
      <w:r>
        <w:rPr>
          <w:rFonts w:ascii="Times New Roman" w:hAnsi="Times New Roman"/>
        </w:rPr>
        <w:t>b</w:t>
      </w:r>
      <w:r w:rsidRPr="00377132">
        <w:rPr>
          <w:rFonts w:ascii="Times New Roman" w:hAnsi="Times New Roman"/>
        </w:rPr>
        <w:t xml:space="preserve">urden:  </w:t>
      </w:r>
      <w:r w:rsidR="001212D0">
        <w:rPr>
          <w:rFonts w:ascii="Times New Roman" w:hAnsi="Times New Roman"/>
        </w:rPr>
        <w:t>5</w:t>
      </w:r>
      <w:r w:rsidR="00745787">
        <w:rPr>
          <w:rFonts w:ascii="Times New Roman" w:hAnsi="Times New Roman"/>
        </w:rPr>
        <w:t>49</w:t>
      </w:r>
      <w:r w:rsidRPr="00377132">
        <w:rPr>
          <w:rFonts w:ascii="Times New Roman" w:hAnsi="Times New Roman"/>
        </w:rPr>
        <w:t xml:space="preserve"> hours</w:t>
      </w:r>
    </w:p>
    <w:p w:rsidRPr="00377132" w:rsidR="00AA7C8E" w:rsidP="00AA7C8E" w:rsidRDefault="00AA7C8E" w14:paraId="776C29A6" w14:textId="72543436">
      <w:pPr>
        <w:tabs>
          <w:tab w:val="left" w:pos="-1440"/>
        </w:tabs>
        <w:spacing w:line="360" w:lineRule="auto"/>
        <w:ind w:left="1440"/>
        <w:contextualSpacing/>
        <w:rPr>
          <w:rFonts w:ascii="Times New Roman" w:hAnsi="Times New Roman"/>
        </w:rPr>
      </w:pPr>
      <w:r w:rsidRPr="00377132">
        <w:rPr>
          <w:rFonts w:ascii="Times New Roman" w:hAnsi="Times New Roman"/>
        </w:rPr>
        <w:t xml:space="preserve">The </w:t>
      </w:r>
      <w:r w:rsidR="00745787">
        <w:rPr>
          <w:rFonts w:ascii="Times New Roman" w:hAnsi="Times New Roman"/>
        </w:rPr>
        <w:t>total estimated annual cost</w:t>
      </w:r>
      <w:r w:rsidRPr="00377132">
        <w:rPr>
          <w:rFonts w:ascii="Times New Roman" w:hAnsi="Times New Roman"/>
        </w:rPr>
        <w:t xml:space="preserve"> is:</w:t>
      </w:r>
    </w:p>
    <w:p w:rsidR="00AA7C8E" w:rsidP="00AA7C8E" w:rsidRDefault="00745787" w14:paraId="0B86ACC9" w14:textId="7ECC21C2">
      <w:pPr>
        <w:tabs>
          <w:tab w:val="left" w:pos="-1440"/>
        </w:tabs>
        <w:spacing w:line="360" w:lineRule="auto"/>
        <w:ind w:left="1440"/>
        <w:contextualSpacing/>
        <w:rPr>
          <w:rFonts w:ascii="Times New Roman" w:hAnsi="Times New Roman"/>
        </w:rPr>
      </w:pPr>
      <w:r>
        <w:rPr>
          <w:rFonts w:ascii="Times New Roman" w:hAnsi="Times New Roman"/>
        </w:rPr>
        <w:t>549</w:t>
      </w:r>
      <w:r w:rsidRPr="00377132" w:rsidR="00AA7C8E">
        <w:rPr>
          <w:rFonts w:ascii="Times New Roman" w:hAnsi="Times New Roman"/>
        </w:rPr>
        <w:t xml:space="preserve"> hours x $</w:t>
      </w:r>
      <w:r>
        <w:rPr>
          <w:rFonts w:ascii="Times New Roman" w:hAnsi="Times New Roman"/>
        </w:rPr>
        <w:t>119.97</w:t>
      </w:r>
      <w:r w:rsidRPr="00377132" w:rsidR="00AA7C8E">
        <w:rPr>
          <w:rFonts w:ascii="Times New Roman" w:hAnsi="Times New Roman"/>
        </w:rPr>
        <w:t xml:space="preserve"> = $</w:t>
      </w:r>
      <w:r>
        <w:rPr>
          <w:rFonts w:ascii="Times New Roman" w:hAnsi="Times New Roman"/>
        </w:rPr>
        <w:t>65,864</w:t>
      </w:r>
    </w:p>
    <w:p w:rsidR="00AA7C8E" w:rsidP="00AA7C8E" w:rsidRDefault="00AA7C8E" w14:paraId="385A6B69" w14:textId="4552BD5F">
      <w:pPr>
        <w:tabs>
          <w:tab w:val="left" w:pos="-1440"/>
        </w:tabs>
        <w:spacing w:line="360" w:lineRule="auto"/>
        <w:ind w:left="1440"/>
        <w:contextualSpacing/>
        <w:rPr>
          <w:rFonts w:ascii="Times New Roman" w:hAnsi="Times New Roman"/>
        </w:rPr>
      </w:pPr>
    </w:p>
    <w:tbl>
      <w:tblPr>
        <w:tblStyle w:val="TableGrid"/>
        <w:tblW w:w="0" w:type="auto"/>
        <w:tblLook w:val="04A0" w:firstRow="1" w:lastRow="0" w:firstColumn="1" w:lastColumn="0" w:noHBand="0" w:noVBand="1"/>
      </w:tblPr>
      <w:tblGrid>
        <w:gridCol w:w="2875"/>
        <w:gridCol w:w="2160"/>
        <w:gridCol w:w="2160"/>
        <w:gridCol w:w="2155"/>
      </w:tblGrid>
      <w:tr w:rsidRPr="00745787" w:rsidR="00745787" w:rsidTr="00B17CC4" w14:paraId="7F269D37" w14:textId="77777777">
        <w:tc>
          <w:tcPr>
            <w:tcW w:w="2875" w:type="dxa"/>
            <w:vAlign w:val="center"/>
          </w:tcPr>
          <w:p w:rsidRPr="00745787" w:rsidR="00745787" w:rsidP="00745787" w:rsidRDefault="00745787" w14:paraId="2502929F" w14:textId="77777777">
            <w:pPr>
              <w:widowControl/>
              <w:rPr>
                <w:rFonts w:ascii="Source Sans Pro" w:hAnsi="Source Sans Pro"/>
                <w:sz w:val="20"/>
              </w:rPr>
            </w:pPr>
            <w:r w:rsidRPr="00745787">
              <w:rPr>
                <w:rFonts w:ascii="Source Sans Pro" w:hAnsi="Source Sans Pro"/>
                <w:sz w:val="20"/>
              </w:rPr>
              <w:t>Estimated Category of Personnel Responsible for Complying with the PRA Burden</w:t>
            </w:r>
          </w:p>
        </w:tc>
        <w:tc>
          <w:tcPr>
            <w:tcW w:w="2160" w:type="dxa"/>
            <w:vAlign w:val="center"/>
          </w:tcPr>
          <w:p w:rsidRPr="00745787" w:rsidR="00745787" w:rsidP="00745787" w:rsidRDefault="00745787" w14:paraId="6EBF9E6C" w14:textId="77777777">
            <w:pPr>
              <w:widowControl/>
              <w:rPr>
                <w:rFonts w:ascii="Source Sans Pro" w:hAnsi="Source Sans Pro"/>
                <w:sz w:val="20"/>
              </w:rPr>
            </w:pPr>
            <w:r w:rsidRPr="00745787">
              <w:rPr>
                <w:rFonts w:ascii="Source Sans Pro" w:hAnsi="Source Sans Pro"/>
                <w:sz w:val="20"/>
              </w:rPr>
              <w:t>Total Estimated Hourly Compensation</w:t>
            </w:r>
          </w:p>
        </w:tc>
        <w:tc>
          <w:tcPr>
            <w:tcW w:w="2160" w:type="dxa"/>
            <w:vAlign w:val="center"/>
          </w:tcPr>
          <w:p w:rsidRPr="00745787" w:rsidR="00745787" w:rsidP="00745787" w:rsidRDefault="00745787" w14:paraId="482D8C12" w14:textId="77777777">
            <w:pPr>
              <w:widowControl/>
              <w:rPr>
                <w:rFonts w:ascii="Source Sans Pro" w:hAnsi="Source Sans Pro"/>
                <w:sz w:val="20"/>
              </w:rPr>
            </w:pPr>
            <w:r w:rsidRPr="00745787">
              <w:rPr>
                <w:rFonts w:ascii="Source Sans Pro" w:hAnsi="Source Sans Pro"/>
                <w:sz w:val="20"/>
              </w:rPr>
              <w:t>Estimated Weights</w:t>
            </w:r>
          </w:p>
        </w:tc>
        <w:tc>
          <w:tcPr>
            <w:tcW w:w="2155" w:type="dxa"/>
            <w:vAlign w:val="center"/>
          </w:tcPr>
          <w:p w:rsidRPr="00745787" w:rsidR="00745787" w:rsidP="00745787" w:rsidRDefault="00745787" w14:paraId="16636BAE" w14:textId="77777777">
            <w:pPr>
              <w:widowControl/>
              <w:rPr>
                <w:rFonts w:ascii="Source Sans Pro" w:hAnsi="Source Sans Pro"/>
                <w:sz w:val="20"/>
              </w:rPr>
            </w:pPr>
            <w:r w:rsidRPr="00745787">
              <w:rPr>
                <w:rFonts w:ascii="Source Sans Pro" w:hAnsi="Source Sans Pro"/>
                <w:sz w:val="20"/>
              </w:rPr>
              <w:t>Weighted Hourly Compensation</w:t>
            </w:r>
          </w:p>
        </w:tc>
      </w:tr>
      <w:tr w:rsidRPr="00745787" w:rsidR="00745787" w:rsidTr="00B17CC4" w14:paraId="519960B7" w14:textId="77777777">
        <w:tc>
          <w:tcPr>
            <w:tcW w:w="2875" w:type="dxa"/>
            <w:vAlign w:val="center"/>
          </w:tcPr>
          <w:p w:rsidRPr="00745787" w:rsidR="00745787" w:rsidP="00745787" w:rsidRDefault="00745787" w14:paraId="076A513A" w14:textId="77777777">
            <w:pPr>
              <w:widowControl/>
              <w:rPr>
                <w:rFonts w:ascii="Source Sans Pro" w:hAnsi="Source Sans Pro"/>
                <w:sz w:val="20"/>
              </w:rPr>
            </w:pPr>
            <w:r w:rsidRPr="00745787">
              <w:rPr>
                <w:rFonts w:ascii="Source Sans Pro" w:hAnsi="Source Sans Pro"/>
                <w:sz w:val="20"/>
              </w:rPr>
              <w:t>Executives and Managers</w:t>
            </w:r>
            <w:r w:rsidRPr="00745787">
              <w:rPr>
                <w:rFonts w:ascii="Source Sans Pro" w:hAnsi="Source Sans Pro"/>
                <w:sz w:val="20"/>
                <w:vertAlign w:val="superscript"/>
              </w:rPr>
              <w:footnoteReference w:id="1"/>
            </w:r>
          </w:p>
        </w:tc>
        <w:tc>
          <w:tcPr>
            <w:tcW w:w="2160" w:type="dxa"/>
            <w:vAlign w:val="center"/>
          </w:tcPr>
          <w:p w:rsidRPr="00745787" w:rsidR="00745787" w:rsidP="00745787" w:rsidRDefault="00745787" w14:paraId="14BAD67F" w14:textId="77777777">
            <w:pPr>
              <w:widowControl/>
              <w:rPr>
                <w:rFonts w:ascii="Source Sans Pro" w:hAnsi="Source Sans Pro"/>
                <w:sz w:val="20"/>
              </w:rPr>
            </w:pPr>
            <w:r w:rsidRPr="00745787">
              <w:rPr>
                <w:rFonts w:ascii="Source Sans Pro" w:hAnsi="Source Sans Pro"/>
                <w:sz w:val="20"/>
              </w:rPr>
              <w:t>$123.30</w:t>
            </w:r>
          </w:p>
        </w:tc>
        <w:tc>
          <w:tcPr>
            <w:tcW w:w="2160" w:type="dxa"/>
            <w:vAlign w:val="center"/>
          </w:tcPr>
          <w:p w:rsidRPr="00745787" w:rsidR="00745787" w:rsidP="00745787" w:rsidRDefault="00745787" w14:paraId="5EC370FF" w14:textId="77777777">
            <w:pPr>
              <w:widowControl/>
              <w:rPr>
                <w:rFonts w:ascii="Source Sans Pro" w:hAnsi="Source Sans Pro"/>
                <w:sz w:val="20"/>
              </w:rPr>
            </w:pPr>
            <w:r w:rsidRPr="00745787">
              <w:rPr>
                <w:rFonts w:ascii="Source Sans Pro" w:hAnsi="Source Sans Pro"/>
                <w:sz w:val="20"/>
              </w:rPr>
              <w:t>40%</w:t>
            </w:r>
          </w:p>
        </w:tc>
        <w:tc>
          <w:tcPr>
            <w:tcW w:w="2155" w:type="dxa"/>
            <w:vAlign w:val="center"/>
          </w:tcPr>
          <w:p w:rsidRPr="00745787" w:rsidR="00745787" w:rsidP="00745787" w:rsidRDefault="00745787" w14:paraId="0AD2BC95" w14:textId="77777777">
            <w:pPr>
              <w:widowControl/>
              <w:rPr>
                <w:rFonts w:ascii="Source Sans Pro" w:hAnsi="Source Sans Pro"/>
                <w:sz w:val="20"/>
              </w:rPr>
            </w:pPr>
            <w:r w:rsidRPr="00745787">
              <w:rPr>
                <w:rFonts w:ascii="Source Sans Pro" w:hAnsi="Source Sans Pro"/>
                <w:sz w:val="20"/>
              </w:rPr>
              <w:t>$49.32</w:t>
            </w:r>
          </w:p>
        </w:tc>
      </w:tr>
      <w:tr w:rsidRPr="00745787" w:rsidR="00745787" w:rsidTr="00B17CC4" w14:paraId="2DF5EC21" w14:textId="77777777">
        <w:tc>
          <w:tcPr>
            <w:tcW w:w="2875" w:type="dxa"/>
            <w:vAlign w:val="center"/>
          </w:tcPr>
          <w:p w:rsidRPr="00745787" w:rsidR="00745787" w:rsidP="00745787" w:rsidRDefault="00745787" w14:paraId="04203C5A" w14:textId="77777777">
            <w:pPr>
              <w:widowControl/>
              <w:rPr>
                <w:rFonts w:ascii="Source Sans Pro" w:hAnsi="Source Sans Pro"/>
                <w:sz w:val="20"/>
              </w:rPr>
            </w:pPr>
            <w:r w:rsidRPr="00745787">
              <w:rPr>
                <w:rFonts w:ascii="Source Sans Pro" w:hAnsi="Source Sans Pro"/>
                <w:sz w:val="20"/>
              </w:rPr>
              <w:t>Lawyers</w:t>
            </w:r>
            <w:r w:rsidRPr="00745787">
              <w:rPr>
                <w:rFonts w:ascii="Source Sans Pro" w:hAnsi="Source Sans Pro"/>
                <w:sz w:val="20"/>
                <w:vertAlign w:val="superscript"/>
              </w:rPr>
              <w:footnoteReference w:id="2"/>
            </w:r>
          </w:p>
        </w:tc>
        <w:tc>
          <w:tcPr>
            <w:tcW w:w="2160" w:type="dxa"/>
            <w:vAlign w:val="center"/>
          </w:tcPr>
          <w:p w:rsidRPr="00745787" w:rsidR="00745787" w:rsidP="00745787" w:rsidRDefault="00745787" w14:paraId="63B80370" w14:textId="77777777">
            <w:pPr>
              <w:widowControl/>
              <w:rPr>
                <w:rFonts w:ascii="Source Sans Pro" w:hAnsi="Source Sans Pro"/>
                <w:sz w:val="20"/>
              </w:rPr>
            </w:pPr>
            <w:r w:rsidRPr="00745787">
              <w:rPr>
                <w:rFonts w:ascii="Source Sans Pro" w:hAnsi="Source Sans Pro"/>
                <w:sz w:val="20"/>
              </w:rPr>
              <w:t>$151.44</w:t>
            </w:r>
          </w:p>
        </w:tc>
        <w:tc>
          <w:tcPr>
            <w:tcW w:w="2160" w:type="dxa"/>
            <w:vAlign w:val="center"/>
          </w:tcPr>
          <w:p w:rsidRPr="00745787" w:rsidR="00745787" w:rsidP="00745787" w:rsidRDefault="00745787" w14:paraId="2568C91D" w14:textId="77777777">
            <w:pPr>
              <w:widowControl/>
              <w:rPr>
                <w:rFonts w:ascii="Source Sans Pro" w:hAnsi="Source Sans Pro"/>
                <w:sz w:val="20"/>
              </w:rPr>
            </w:pPr>
            <w:r w:rsidRPr="00745787">
              <w:rPr>
                <w:rFonts w:ascii="Source Sans Pro" w:hAnsi="Source Sans Pro"/>
                <w:sz w:val="20"/>
              </w:rPr>
              <w:t>40%</w:t>
            </w:r>
          </w:p>
        </w:tc>
        <w:tc>
          <w:tcPr>
            <w:tcW w:w="2155" w:type="dxa"/>
            <w:vAlign w:val="center"/>
          </w:tcPr>
          <w:p w:rsidRPr="00745787" w:rsidR="00745787" w:rsidP="00745787" w:rsidRDefault="00745787" w14:paraId="3FF826D1" w14:textId="77777777">
            <w:pPr>
              <w:widowControl/>
              <w:rPr>
                <w:rFonts w:ascii="Source Sans Pro" w:hAnsi="Source Sans Pro"/>
                <w:sz w:val="20"/>
              </w:rPr>
            </w:pPr>
            <w:r w:rsidRPr="00745787">
              <w:rPr>
                <w:rFonts w:ascii="Source Sans Pro" w:hAnsi="Source Sans Pro"/>
                <w:sz w:val="20"/>
              </w:rPr>
              <w:t>$60.58</w:t>
            </w:r>
          </w:p>
        </w:tc>
      </w:tr>
      <w:tr w:rsidRPr="00745787" w:rsidR="00745787" w:rsidTr="00B17CC4" w14:paraId="1C048E7D" w14:textId="77777777">
        <w:tc>
          <w:tcPr>
            <w:tcW w:w="2875" w:type="dxa"/>
            <w:vAlign w:val="center"/>
          </w:tcPr>
          <w:p w:rsidRPr="00745787" w:rsidR="00745787" w:rsidP="00745787" w:rsidRDefault="00745787" w14:paraId="4E707D69" w14:textId="77777777">
            <w:pPr>
              <w:widowControl/>
              <w:rPr>
                <w:rFonts w:ascii="Source Sans Pro" w:hAnsi="Source Sans Pro"/>
                <w:sz w:val="20"/>
              </w:rPr>
            </w:pPr>
            <w:r w:rsidRPr="00745787">
              <w:rPr>
                <w:rFonts w:ascii="Source Sans Pro" w:hAnsi="Source Sans Pro"/>
                <w:sz w:val="20"/>
              </w:rPr>
              <w:t>Compliance Officers</w:t>
            </w:r>
            <w:r w:rsidRPr="00745787">
              <w:rPr>
                <w:rFonts w:ascii="Source Sans Pro" w:hAnsi="Source Sans Pro"/>
                <w:sz w:val="20"/>
                <w:vertAlign w:val="superscript"/>
              </w:rPr>
              <w:footnoteReference w:id="3"/>
            </w:r>
          </w:p>
        </w:tc>
        <w:tc>
          <w:tcPr>
            <w:tcW w:w="2160" w:type="dxa"/>
            <w:vAlign w:val="center"/>
          </w:tcPr>
          <w:p w:rsidRPr="00745787" w:rsidR="00745787" w:rsidP="00745787" w:rsidRDefault="00745787" w14:paraId="4C8813AA" w14:textId="77777777">
            <w:pPr>
              <w:widowControl/>
              <w:rPr>
                <w:rFonts w:ascii="Source Sans Pro" w:hAnsi="Source Sans Pro"/>
                <w:sz w:val="20"/>
              </w:rPr>
            </w:pPr>
            <w:r w:rsidRPr="00745787">
              <w:rPr>
                <w:rFonts w:ascii="Source Sans Pro" w:hAnsi="Source Sans Pro"/>
                <w:sz w:val="20"/>
              </w:rPr>
              <w:t>$67.35</w:t>
            </w:r>
          </w:p>
        </w:tc>
        <w:tc>
          <w:tcPr>
            <w:tcW w:w="2160" w:type="dxa"/>
            <w:vAlign w:val="center"/>
          </w:tcPr>
          <w:p w:rsidRPr="00745787" w:rsidR="00745787" w:rsidP="00745787" w:rsidRDefault="00745787" w14:paraId="1B673787" w14:textId="77777777">
            <w:pPr>
              <w:widowControl/>
              <w:rPr>
                <w:rFonts w:ascii="Source Sans Pro" w:hAnsi="Source Sans Pro"/>
                <w:sz w:val="20"/>
              </w:rPr>
            </w:pPr>
            <w:r w:rsidRPr="00745787">
              <w:rPr>
                <w:rFonts w:ascii="Source Sans Pro" w:hAnsi="Source Sans Pro"/>
                <w:sz w:val="20"/>
              </w:rPr>
              <w:t>10%</w:t>
            </w:r>
          </w:p>
        </w:tc>
        <w:tc>
          <w:tcPr>
            <w:tcW w:w="2155" w:type="dxa"/>
            <w:vAlign w:val="center"/>
          </w:tcPr>
          <w:p w:rsidRPr="00745787" w:rsidR="00745787" w:rsidP="00745787" w:rsidRDefault="00745787" w14:paraId="61C9F68E" w14:textId="77777777">
            <w:pPr>
              <w:widowControl/>
              <w:rPr>
                <w:rFonts w:ascii="Source Sans Pro" w:hAnsi="Source Sans Pro"/>
                <w:sz w:val="20"/>
              </w:rPr>
            </w:pPr>
            <w:r w:rsidRPr="00745787">
              <w:rPr>
                <w:rFonts w:ascii="Source Sans Pro" w:hAnsi="Source Sans Pro"/>
                <w:sz w:val="20"/>
              </w:rPr>
              <w:t>$6.73</w:t>
            </w:r>
          </w:p>
        </w:tc>
      </w:tr>
      <w:tr w:rsidRPr="00745787" w:rsidR="00745787" w:rsidTr="00B17CC4" w14:paraId="190A34C4" w14:textId="77777777">
        <w:tc>
          <w:tcPr>
            <w:tcW w:w="2875" w:type="dxa"/>
            <w:vAlign w:val="center"/>
          </w:tcPr>
          <w:p w:rsidRPr="00745787" w:rsidR="00745787" w:rsidP="00745787" w:rsidRDefault="00745787" w14:paraId="75DB1046" w14:textId="77777777">
            <w:pPr>
              <w:widowControl/>
              <w:rPr>
                <w:rFonts w:ascii="Source Sans Pro" w:hAnsi="Source Sans Pro"/>
                <w:sz w:val="20"/>
              </w:rPr>
            </w:pPr>
            <w:r w:rsidRPr="00745787">
              <w:rPr>
                <w:rFonts w:ascii="Source Sans Pro" w:hAnsi="Source Sans Pro"/>
                <w:sz w:val="20"/>
              </w:rPr>
              <w:t>Clerical</w:t>
            </w:r>
            <w:r w:rsidRPr="00745787">
              <w:rPr>
                <w:rFonts w:ascii="Source Sans Pro" w:hAnsi="Source Sans Pro"/>
                <w:sz w:val="20"/>
                <w:vertAlign w:val="superscript"/>
              </w:rPr>
              <w:footnoteReference w:id="4"/>
            </w:r>
          </w:p>
        </w:tc>
        <w:tc>
          <w:tcPr>
            <w:tcW w:w="2160" w:type="dxa"/>
            <w:vAlign w:val="center"/>
          </w:tcPr>
          <w:p w:rsidRPr="00745787" w:rsidR="00745787" w:rsidP="00745787" w:rsidRDefault="00745787" w14:paraId="700C367A" w14:textId="77777777">
            <w:pPr>
              <w:widowControl/>
              <w:rPr>
                <w:rFonts w:ascii="Source Sans Pro" w:hAnsi="Source Sans Pro"/>
                <w:sz w:val="20"/>
              </w:rPr>
            </w:pPr>
            <w:r w:rsidRPr="00745787">
              <w:rPr>
                <w:rFonts w:ascii="Source Sans Pro" w:hAnsi="Source Sans Pro"/>
                <w:sz w:val="20"/>
              </w:rPr>
              <w:t>$33.44</w:t>
            </w:r>
          </w:p>
        </w:tc>
        <w:tc>
          <w:tcPr>
            <w:tcW w:w="2160" w:type="dxa"/>
            <w:vAlign w:val="center"/>
          </w:tcPr>
          <w:p w:rsidRPr="00745787" w:rsidR="00745787" w:rsidP="00745787" w:rsidRDefault="00745787" w14:paraId="1F92D9A3" w14:textId="77777777">
            <w:pPr>
              <w:widowControl/>
              <w:rPr>
                <w:rFonts w:ascii="Source Sans Pro" w:hAnsi="Source Sans Pro"/>
                <w:sz w:val="20"/>
              </w:rPr>
            </w:pPr>
            <w:r w:rsidRPr="00745787">
              <w:rPr>
                <w:rFonts w:ascii="Source Sans Pro" w:hAnsi="Source Sans Pro"/>
                <w:sz w:val="20"/>
              </w:rPr>
              <w:t>10%</w:t>
            </w:r>
          </w:p>
        </w:tc>
        <w:tc>
          <w:tcPr>
            <w:tcW w:w="2155" w:type="dxa"/>
            <w:vAlign w:val="center"/>
          </w:tcPr>
          <w:p w:rsidRPr="00745787" w:rsidR="00745787" w:rsidP="00745787" w:rsidRDefault="00745787" w14:paraId="5FB40AAB" w14:textId="77777777">
            <w:pPr>
              <w:widowControl/>
              <w:rPr>
                <w:rFonts w:ascii="Source Sans Pro" w:hAnsi="Source Sans Pro"/>
                <w:sz w:val="20"/>
              </w:rPr>
            </w:pPr>
            <w:r w:rsidRPr="00745787">
              <w:rPr>
                <w:rFonts w:ascii="Source Sans Pro" w:hAnsi="Source Sans Pro"/>
                <w:sz w:val="20"/>
              </w:rPr>
              <w:t>$3.34</w:t>
            </w:r>
          </w:p>
        </w:tc>
      </w:tr>
      <w:tr w:rsidRPr="00745787" w:rsidR="00745787" w:rsidTr="00B17CC4" w14:paraId="0BAD01C8" w14:textId="77777777">
        <w:tc>
          <w:tcPr>
            <w:tcW w:w="2875" w:type="dxa"/>
            <w:vAlign w:val="bottom"/>
          </w:tcPr>
          <w:p w:rsidRPr="00745787" w:rsidR="00745787" w:rsidP="00745787" w:rsidRDefault="00745787" w14:paraId="3796F33C" w14:textId="77777777">
            <w:pPr>
              <w:widowControl/>
              <w:rPr>
                <w:rFonts w:ascii="Source Sans Pro" w:hAnsi="Source Sans Pro"/>
                <w:sz w:val="20"/>
              </w:rPr>
            </w:pPr>
            <w:r w:rsidRPr="00745787">
              <w:rPr>
                <w:rFonts w:ascii="Source Sans Pro" w:hAnsi="Source Sans Pro"/>
                <w:b/>
                <w:bCs/>
                <w:sz w:val="20"/>
              </w:rPr>
              <w:t>Weighted Average</w:t>
            </w:r>
          </w:p>
        </w:tc>
        <w:tc>
          <w:tcPr>
            <w:tcW w:w="2160" w:type="dxa"/>
            <w:vAlign w:val="center"/>
          </w:tcPr>
          <w:p w:rsidRPr="00745787" w:rsidR="00745787" w:rsidP="00745787" w:rsidRDefault="00745787" w14:paraId="34FE08D5" w14:textId="77777777">
            <w:pPr>
              <w:widowControl/>
              <w:rPr>
                <w:rFonts w:ascii="Source Sans Pro" w:hAnsi="Source Sans Pro"/>
                <w:sz w:val="20"/>
              </w:rPr>
            </w:pPr>
          </w:p>
        </w:tc>
        <w:tc>
          <w:tcPr>
            <w:tcW w:w="2160" w:type="dxa"/>
            <w:vAlign w:val="center"/>
          </w:tcPr>
          <w:p w:rsidRPr="00745787" w:rsidR="00745787" w:rsidP="00745787" w:rsidRDefault="00745787" w14:paraId="10A5AA86" w14:textId="77777777">
            <w:pPr>
              <w:widowControl/>
              <w:rPr>
                <w:rFonts w:ascii="Source Sans Pro" w:hAnsi="Source Sans Pro"/>
                <w:sz w:val="20"/>
              </w:rPr>
            </w:pPr>
          </w:p>
        </w:tc>
        <w:tc>
          <w:tcPr>
            <w:tcW w:w="2155" w:type="dxa"/>
            <w:vAlign w:val="center"/>
          </w:tcPr>
          <w:p w:rsidRPr="00745787" w:rsidR="00745787" w:rsidP="00745787" w:rsidRDefault="00745787" w14:paraId="3E8B93AC" w14:textId="77777777">
            <w:pPr>
              <w:widowControl/>
              <w:rPr>
                <w:rFonts w:ascii="Source Sans Pro" w:hAnsi="Source Sans Pro"/>
                <w:sz w:val="20"/>
              </w:rPr>
            </w:pPr>
            <w:r w:rsidRPr="00745787">
              <w:rPr>
                <w:rFonts w:ascii="Source Sans Pro" w:hAnsi="Source Sans Pro"/>
                <w:sz w:val="20"/>
              </w:rPr>
              <w:t>$119.97</w:t>
            </w:r>
          </w:p>
        </w:tc>
      </w:tr>
    </w:tbl>
    <w:p w:rsidR="009E7132" w:rsidP="009E7132" w:rsidRDefault="00745787" w14:paraId="246A8FC9" w14:textId="4864E3AD">
      <w:pPr>
        <w:widowControl/>
        <w:rPr>
          <w:rFonts w:ascii="Source Sans Pro" w:hAnsi="Source Sans Pro"/>
          <w:snapToGrid/>
          <w:sz w:val="20"/>
        </w:rPr>
      </w:pPr>
      <w:r w:rsidRPr="00745787">
        <w:rPr>
          <w:rFonts w:ascii="Source Sans Pro" w:hAnsi="Source Sans Pro"/>
          <w:snapToGrid/>
          <w:sz w:val="20"/>
        </w:rPr>
        <w:t>Source: Bureau of Labor Statistics: "National Industry-Specific Occupational Employment and Wage Estimates: Industry: Credit Intermediation and Related Activities (5221 And 5223 only)" (May 2019), Employer Cost of Employee Compensation (December 2020), Consumer Price Index (December 2020).</w:t>
      </w:r>
    </w:p>
    <w:p w:rsidR="00745787" w:rsidP="009E7132" w:rsidRDefault="00745787" w14:paraId="7F88E3E4" w14:textId="419B9E6F">
      <w:pPr>
        <w:widowControl/>
        <w:rPr>
          <w:rFonts w:ascii="Source Sans Pro" w:hAnsi="Source Sans Pro"/>
          <w:snapToGrid/>
          <w:sz w:val="20"/>
        </w:rPr>
      </w:pPr>
    </w:p>
    <w:p w:rsidR="00745787" w:rsidP="009E7132" w:rsidRDefault="00745787" w14:paraId="0A19F067" w14:textId="77777777">
      <w:pPr>
        <w:widowControl/>
        <w:rPr>
          <w:rFonts w:ascii="Source Sans Pro" w:hAnsi="Source Sans Pro"/>
          <w:snapToGrid/>
          <w:sz w:val="20"/>
        </w:rPr>
      </w:pPr>
    </w:p>
    <w:p w:rsidRPr="00CF34FA" w:rsidR="00994EDE" w:rsidRDefault="00994EDE" w14:paraId="4DCE12B7"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13.</w:t>
      </w:r>
      <w:r w:rsidRPr="00CF34FA">
        <w:rPr>
          <w:rFonts w:ascii="Times New Roman" w:hAnsi="Times New Roman"/>
        </w:rPr>
        <w:tab/>
      </w:r>
      <w:r w:rsidRPr="00CF34FA" w:rsidR="002701C6">
        <w:rPr>
          <w:rFonts w:ascii="Times New Roman" w:hAnsi="Times New Roman"/>
          <w:u w:val="single"/>
        </w:rPr>
        <w:t>Estimate of start-up cost to respondents:</w:t>
      </w:r>
    </w:p>
    <w:p w:rsidRPr="00CF34FA" w:rsidR="00994EDE" w:rsidRDefault="00994EDE" w14:paraId="75B0E49F"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1E3FA86A"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Pr="00CF34FA" w:rsidR="00994EDE" w:rsidRDefault="00994EDE" w14:paraId="0B2CBFB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4EC32406"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14.</w:t>
      </w:r>
      <w:r w:rsidRPr="00CF34FA">
        <w:rPr>
          <w:rFonts w:ascii="Times New Roman" w:hAnsi="Times New Roman"/>
        </w:rPr>
        <w:tab/>
      </w:r>
      <w:r w:rsidRPr="00CF34FA" w:rsidR="00586542">
        <w:rPr>
          <w:rFonts w:ascii="Times New Roman" w:hAnsi="Times New Roman"/>
          <w:u w:val="single"/>
        </w:rPr>
        <w:t>Estimate of annualized cost</w:t>
      </w:r>
      <w:r w:rsidRPr="00CF34FA" w:rsidR="002701C6">
        <w:rPr>
          <w:rFonts w:ascii="Times New Roman" w:hAnsi="Times New Roman"/>
          <w:u w:val="single"/>
        </w:rPr>
        <w:t>s</w:t>
      </w:r>
      <w:r w:rsidRPr="00CF34FA" w:rsidR="00586542">
        <w:rPr>
          <w:rFonts w:ascii="Times New Roman" w:hAnsi="Times New Roman"/>
          <w:u w:val="single"/>
        </w:rPr>
        <w:t xml:space="preserve"> to the g</w:t>
      </w:r>
      <w:r w:rsidRPr="00CF34FA">
        <w:rPr>
          <w:rFonts w:ascii="Times New Roman" w:hAnsi="Times New Roman"/>
          <w:u w:val="single"/>
        </w:rPr>
        <w:t>overnment</w:t>
      </w:r>
      <w:r w:rsidRPr="00CF34FA" w:rsidR="002701C6">
        <w:rPr>
          <w:rFonts w:ascii="Times New Roman" w:hAnsi="Times New Roman"/>
          <w:u w:val="single"/>
        </w:rPr>
        <w:t>:</w:t>
      </w:r>
    </w:p>
    <w:p w:rsidRPr="00CF34FA" w:rsidR="00994EDE" w:rsidRDefault="00994EDE" w14:paraId="2F49C68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3C522CC4"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ab/>
      </w:r>
      <w:r w:rsidRPr="00CF34FA">
        <w:rPr>
          <w:rFonts w:ascii="Times New Roman" w:hAnsi="Times New Roman"/>
        </w:rPr>
        <w:tab/>
        <w:t>None.</w:t>
      </w:r>
    </w:p>
    <w:p w:rsidR="00745787" w:rsidRDefault="00745787" w14:paraId="378C417B" w14:textId="5A106579">
      <w:pPr>
        <w:widowControl/>
        <w:rPr>
          <w:rFonts w:ascii="Times New Roman" w:hAnsi="Times New Roman"/>
        </w:rPr>
      </w:pPr>
      <w:r>
        <w:rPr>
          <w:rFonts w:ascii="Times New Roman" w:hAnsi="Times New Roman"/>
        </w:rPr>
        <w:br w:type="page"/>
      </w:r>
    </w:p>
    <w:p w:rsidRPr="00CF34FA" w:rsidR="00994EDE" w:rsidRDefault="00994EDE" w14:paraId="4211B184" w14:textId="77777777">
      <w:pPr>
        <w:widowControl/>
        <w:tabs>
          <w:tab w:val="left" w:pos="288"/>
          <w:tab w:val="left" w:pos="1008"/>
          <w:tab w:val="left" w:pos="1440"/>
          <w:tab w:val="left" w:pos="1872"/>
          <w:tab w:val="left" w:pos="3168"/>
          <w:tab w:val="left" w:pos="3888"/>
          <w:tab w:val="left" w:pos="7344"/>
        </w:tabs>
        <w:ind w:firstLine="1440"/>
        <w:rPr>
          <w:rFonts w:ascii="Times New Roman" w:hAnsi="Times New Roman"/>
        </w:rPr>
      </w:pPr>
    </w:p>
    <w:p w:rsidRPr="00CF34FA" w:rsidR="00994EDE" w:rsidRDefault="00994EDE" w14:paraId="1AB8E334"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15.</w:t>
      </w:r>
      <w:r w:rsidRPr="00CF34FA">
        <w:rPr>
          <w:rFonts w:ascii="Times New Roman" w:hAnsi="Times New Roman"/>
        </w:rPr>
        <w:tab/>
      </w:r>
      <w:r w:rsidRPr="003043C2" w:rsidR="00586542">
        <w:rPr>
          <w:rFonts w:ascii="Times New Roman" w:hAnsi="Times New Roman"/>
          <w:u w:val="single"/>
        </w:rPr>
        <w:t>Analysis of change in b</w:t>
      </w:r>
      <w:r w:rsidRPr="003043C2">
        <w:rPr>
          <w:rFonts w:ascii="Times New Roman" w:hAnsi="Times New Roman"/>
          <w:u w:val="single"/>
        </w:rPr>
        <w:t>urden</w:t>
      </w:r>
      <w:r w:rsidRPr="003043C2" w:rsidR="00586542">
        <w:rPr>
          <w:rFonts w:ascii="Times New Roman" w:hAnsi="Times New Roman"/>
          <w:u w:val="single"/>
        </w:rPr>
        <w:t>:</w:t>
      </w:r>
    </w:p>
    <w:p w:rsidRPr="00CF34FA" w:rsidR="00994EDE" w:rsidRDefault="00994EDE" w14:paraId="41F0FB5C"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F07A0C" w:rsidP="003043C2" w:rsidRDefault="003043C2" w14:paraId="4D169C43" w14:textId="31474313">
      <w:pPr>
        <w:widowControl/>
        <w:tabs>
          <w:tab w:val="left" w:pos="288"/>
          <w:tab w:val="left" w:pos="1008"/>
          <w:tab w:val="left" w:pos="1440"/>
          <w:tab w:val="left" w:pos="1872"/>
          <w:tab w:val="left" w:pos="3168"/>
          <w:tab w:val="left" w:pos="3888"/>
          <w:tab w:val="left" w:pos="7344"/>
        </w:tabs>
        <w:ind w:left="1008"/>
        <w:rPr>
          <w:rFonts w:ascii="Times New Roman" w:hAnsi="Times New Roman"/>
          <w:iCs/>
          <w:lang w:bidi="en-US"/>
        </w:rPr>
      </w:pPr>
      <w:r w:rsidRPr="003043C2">
        <w:rPr>
          <w:rFonts w:ascii="Times New Roman" w:hAnsi="Times New Roman"/>
          <w:iCs/>
        </w:rPr>
        <w:t xml:space="preserve">There is no change in the method or substance of the collection.  </w:t>
      </w:r>
      <w:r w:rsidRPr="00A51FAC" w:rsidR="00A51FAC">
        <w:rPr>
          <w:rFonts w:ascii="Times New Roman" w:hAnsi="Times New Roman"/>
          <w:iCs/>
        </w:rPr>
        <w:t xml:space="preserve">The overall reduction in burden is the result </w:t>
      </w:r>
      <w:r>
        <w:rPr>
          <w:rFonts w:ascii="Times New Roman" w:hAnsi="Times New Roman"/>
          <w:iCs/>
          <w:lang w:bidi="en-US"/>
        </w:rPr>
        <w:t>of</w:t>
      </w:r>
      <w:r w:rsidRPr="003043C2">
        <w:rPr>
          <w:rFonts w:ascii="Times New Roman" w:hAnsi="Times New Roman"/>
          <w:iCs/>
          <w:lang w:bidi="en-US"/>
        </w:rPr>
        <w:t xml:space="preserve"> a </w:t>
      </w:r>
      <w:r w:rsidR="0071625B">
        <w:rPr>
          <w:rFonts w:ascii="Times New Roman" w:hAnsi="Times New Roman"/>
          <w:iCs/>
          <w:lang w:bidi="en-US"/>
        </w:rPr>
        <w:t xml:space="preserve">reduction in </w:t>
      </w:r>
      <w:r w:rsidR="00E34974">
        <w:rPr>
          <w:rFonts w:ascii="Times New Roman" w:hAnsi="Times New Roman"/>
          <w:iCs/>
          <w:lang w:bidi="en-US"/>
        </w:rPr>
        <w:t xml:space="preserve">the estimated number of </w:t>
      </w:r>
      <w:r w:rsidR="0071625B">
        <w:rPr>
          <w:rFonts w:ascii="Times New Roman" w:hAnsi="Times New Roman"/>
          <w:iCs/>
          <w:lang w:bidi="en-US"/>
        </w:rPr>
        <w:t xml:space="preserve">responses. </w:t>
      </w:r>
    </w:p>
    <w:p w:rsidRPr="00CF34FA" w:rsidR="003043C2" w:rsidP="003043C2" w:rsidRDefault="003043C2" w14:paraId="50320C47"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Pr="00CF34FA" w:rsidR="00994EDE" w:rsidRDefault="00994EDE" w14:paraId="0BE686A9"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16.</w:t>
      </w:r>
      <w:r w:rsidRPr="00CF34FA">
        <w:rPr>
          <w:rFonts w:ascii="Times New Roman" w:hAnsi="Times New Roman"/>
        </w:rPr>
        <w:tab/>
      </w:r>
      <w:r w:rsidRPr="00CF34FA" w:rsidR="00586542">
        <w:rPr>
          <w:rFonts w:ascii="Times New Roman" w:hAnsi="Times New Roman"/>
          <w:u w:val="single"/>
        </w:rPr>
        <w:t>Information regarding collections whose results are planned to be published for statistical use:</w:t>
      </w:r>
    </w:p>
    <w:p w:rsidRPr="00CF34FA" w:rsidR="00994EDE" w:rsidRDefault="00994EDE" w14:paraId="25C8BFF6"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1C7588" w14:paraId="21790D8C"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r w:rsidRPr="00CF34FA">
        <w:rPr>
          <w:rFonts w:ascii="Times New Roman" w:hAnsi="Times New Roman"/>
        </w:rPr>
        <w:t xml:space="preserve">No publication is made of this collection of information.  </w:t>
      </w:r>
    </w:p>
    <w:p w:rsidRPr="00CF34FA" w:rsidR="001C7588" w:rsidRDefault="001C7588" w14:paraId="3C096AC8"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p>
    <w:p w:rsidRPr="00CF34FA" w:rsidR="00994EDE" w:rsidRDefault="001C7588" w14:paraId="505259F7" w14:textId="77777777">
      <w:pPr>
        <w:widowControl/>
        <w:numPr>
          <w:ilvl w:val="0"/>
          <w:numId w:val="1"/>
        </w:numPr>
        <w:tabs>
          <w:tab w:val="left" w:pos="288"/>
          <w:tab w:val="left" w:pos="1440"/>
          <w:tab w:val="left" w:pos="1872"/>
          <w:tab w:val="left" w:pos="3168"/>
          <w:tab w:val="left" w:pos="3888"/>
          <w:tab w:val="left" w:pos="7344"/>
        </w:tabs>
        <w:rPr>
          <w:rFonts w:ascii="Times New Roman" w:hAnsi="Times New Roman"/>
          <w:u w:val="single"/>
        </w:rPr>
      </w:pPr>
      <w:r w:rsidRPr="00CF34FA">
        <w:rPr>
          <w:rFonts w:ascii="Times New Roman" w:hAnsi="Times New Roman"/>
          <w:u w:val="single"/>
        </w:rPr>
        <w:t>Exceptions to Display of Expiration Date</w:t>
      </w:r>
    </w:p>
    <w:p w:rsidRPr="00CF34FA" w:rsidR="00994EDE" w:rsidRDefault="00994EDE" w14:paraId="0252345F" w14:textId="77777777">
      <w:pPr>
        <w:widowControl/>
        <w:tabs>
          <w:tab w:val="left" w:pos="288"/>
          <w:tab w:val="left" w:pos="1008"/>
          <w:tab w:val="left" w:pos="1440"/>
          <w:tab w:val="left" w:pos="1872"/>
          <w:tab w:val="left" w:pos="3168"/>
          <w:tab w:val="left" w:pos="3888"/>
          <w:tab w:val="left" w:pos="7344"/>
        </w:tabs>
        <w:rPr>
          <w:rFonts w:ascii="Times New Roman" w:hAnsi="Times New Roman"/>
          <w:u w:val="single"/>
        </w:rPr>
      </w:pPr>
    </w:p>
    <w:p w:rsidRPr="00CF34FA" w:rsidR="00994EDE" w:rsidRDefault="00745787" w14:paraId="26AFD99C" w14:textId="59494595">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745787">
        <w:rPr>
          <w:rFonts w:ascii="Times New Roman" w:hAnsi="Times New Roman"/>
          <w:szCs w:val="24"/>
        </w:rPr>
        <w:t>Not applicable.</w:t>
      </w:r>
    </w:p>
    <w:p w:rsidRPr="00CF34FA" w:rsidR="00994EDE" w:rsidRDefault="00994EDE" w14:paraId="433BF8E3"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p>
    <w:p w:rsidRPr="00CF34FA" w:rsidR="00994EDE" w:rsidRDefault="00994EDE" w14:paraId="6EC7E452"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18.</w:t>
      </w:r>
      <w:r w:rsidRPr="00CF34FA">
        <w:rPr>
          <w:rFonts w:ascii="Times New Roman" w:hAnsi="Times New Roman"/>
        </w:rPr>
        <w:tab/>
      </w:r>
      <w:r w:rsidRPr="00CF34FA">
        <w:rPr>
          <w:rFonts w:ascii="Times New Roman" w:hAnsi="Times New Roman"/>
          <w:u w:val="single"/>
        </w:rPr>
        <w:t>Exceptions to Certification</w:t>
      </w:r>
    </w:p>
    <w:p w:rsidRPr="00CF34FA" w:rsidR="00994EDE" w:rsidRDefault="00994EDE" w14:paraId="058EFF0D"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59DB4081"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Pr="00CF34FA" w:rsidR="00994EDE" w:rsidRDefault="00994EDE" w14:paraId="4B468A33"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Pr="00CF34FA" w:rsidR="00994EDE" w:rsidRDefault="00994EDE" w14:paraId="6C30B199"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B.</w:t>
      </w:r>
      <w:r w:rsidRPr="00CF34FA">
        <w:rPr>
          <w:rFonts w:ascii="Times New Roman" w:hAnsi="Times New Roman"/>
        </w:rPr>
        <w:tab/>
      </w:r>
      <w:r w:rsidRPr="00CF34FA">
        <w:rPr>
          <w:rFonts w:ascii="Times New Roman" w:hAnsi="Times New Roman"/>
          <w:u w:val="single"/>
        </w:rPr>
        <w:t>STATISTICAL METHODS</w:t>
      </w:r>
    </w:p>
    <w:p w:rsidRPr="00CF34FA" w:rsidR="00994EDE" w:rsidRDefault="00994EDE" w14:paraId="231A2A1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3DCCFF88"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N</w:t>
      </w:r>
      <w:r w:rsidRPr="00CF34FA" w:rsidR="008426CB">
        <w:rPr>
          <w:rFonts w:ascii="Times New Roman" w:hAnsi="Times New Roman"/>
        </w:rPr>
        <w:t>ot applicable</w:t>
      </w:r>
      <w:r w:rsidRPr="00CF34FA">
        <w:rPr>
          <w:rFonts w:ascii="Times New Roman" w:hAnsi="Times New Roman"/>
        </w:rPr>
        <w:t>.</w:t>
      </w:r>
    </w:p>
    <w:sectPr w:rsidRPr="00CF34FA" w:rsidR="00994EDE">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DCC56" w14:textId="77777777" w:rsidR="00611278" w:rsidRDefault="00611278">
      <w:r>
        <w:separator/>
      </w:r>
    </w:p>
  </w:endnote>
  <w:endnote w:type="continuationSeparator" w:id="0">
    <w:p w14:paraId="675A416F" w14:textId="77777777" w:rsidR="00611278" w:rsidRDefault="0061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D05A" w14:textId="77777777" w:rsidR="00994EDE" w:rsidRDefault="00994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54E52F" w14:textId="77777777" w:rsidR="00994EDE" w:rsidRDefault="00994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44168" w14:textId="77777777" w:rsidR="00994EDE" w:rsidRDefault="00994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0A90B" w14:textId="77777777" w:rsidR="00994EDE" w:rsidRDefault="00994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ABF1E" w14:textId="77777777" w:rsidR="00611278" w:rsidRDefault="00611278">
      <w:r>
        <w:separator/>
      </w:r>
    </w:p>
  </w:footnote>
  <w:footnote w:type="continuationSeparator" w:id="0">
    <w:p w14:paraId="2635BD3C" w14:textId="77777777" w:rsidR="00611278" w:rsidRDefault="00611278">
      <w:r>
        <w:continuationSeparator/>
      </w:r>
    </w:p>
  </w:footnote>
  <w:footnote w:id="1">
    <w:p w14:paraId="072A1666" w14:textId="77777777" w:rsidR="00745787" w:rsidRPr="002D7BD5" w:rsidRDefault="00745787" w:rsidP="00745787">
      <w:pPr>
        <w:pStyle w:val="FootnoteText"/>
        <w:rPr>
          <w:rFonts w:ascii="Source Sans Pro" w:hAnsi="Source Sans Pro"/>
          <w:sz w:val="18"/>
          <w:szCs w:val="18"/>
        </w:rPr>
      </w:pPr>
      <w:r w:rsidRPr="002D7BD5">
        <w:rPr>
          <w:rStyle w:val="FootnoteReference"/>
          <w:rFonts w:ascii="Source Sans Pro" w:hAnsi="Source Sans Pro"/>
          <w:sz w:val="18"/>
          <w:szCs w:val="18"/>
        </w:rPr>
        <w:footnoteRef/>
      </w:r>
      <w:r w:rsidRPr="002D7BD5">
        <w:rPr>
          <w:rFonts w:ascii="Source Sans Pro" w:hAnsi="Source Sans Pro"/>
          <w:sz w:val="18"/>
          <w:szCs w:val="18"/>
        </w:rPr>
        <w:t xml:space="preserve"> Occupation (SOC Code): Management Occupations (110000).</w:t>
      </w:r>
    </w:p>
  </w:footnote>
  <w:footnote w:id="2">
    <w:p w14:paraId="74A9F821" w14:textId="77777777" w:rsidR="00745787" w:rsidRPr="002D7BD5" w:rsidRDefault="00745787" w:rsidP="00745787">
      <w:pPr>
        <w:pStyle w:val="FootnoteText"/>
        <w:rPr>
          <w:rFonts w:ascii="Source Sans Pro" w:hAnsi="Source Sans Pro"/>
          <w:sz w:val="18"/>
          <w:szCs w:val="18"/>
        </w:rPr>
      </w:pPr>
      <w:r w:rsidRPr="002D7BD5">
        <w:rPr>
          <w:rStyle w:val="FootnoteReference"/>
          <w:rFonts w:ascii="Source Sans Pro" w:hAnsi="Source Sans Pro"/>
          <w:sz w:val="18"/>
          <w:szCs w:val="18"/>
        </w:rPr>
        <w:footnoteRef/>
      </w:r>
      <w:r w:rsidRPr="002D7BD5">
        <w:rPr>
          <w:rFonts w:ascii="Source Sans Pro" w:hAnsi="Source Sans Pro"/>
          <w:sz w:val="18"/>
          <w:szCs w:val="18"/>
        </w:rPr>
        <w:t xml:space="preserve"> </w:t>
      </w:r>
      <w:r w:rsidRPr="002D7BD5">
        <w:rPr>
          <w:rFonts w:ascii="Source Sans Pro" w:hAnsi="Source Sans Pro" w:cs="Calibri"/>
          <w:sz w:val="18"/>
          <w:szCs w:val="18"/>
          <w:shd w:val="clear" w:color="auto" w:fill="FFFFFF"/>
        </w:rPr>
        <w:t>Occupation (SOC Code): Legal Occupations (230000).</w:t>
      </w:r>
    </w:p>
  </w:footnote>
  <w:footnote w:id="3">
    <w:p w14:paraId="37A10938" w14:textId="77777777" w:rsidR="00745787" w:rsidRPr="002D7BD5" w:rsidRDefault="00745787" w:rsidP="00745787">
      <w:pPr>
        <w:pStyle w:val="FootnoteText"/>
        <w:rPr>
          <w:rFonts w:ascii="Source Sans Pro" w:hAnsi="Source Sans Pro"/>
          <w:sz w:val="18"/>
          <w:szCs w:val="18"/>
        </w:rPr>
      </w:pPr>
      <w:r w:rsidRPr="002D7BD5">
        <w:rPr>
          <w:rStyle w:val="FootnoteReference"/>
          <w:rFonts w:ascii="Source Sans Pro" w:hAnsi="Source Sans Pro"/>
          <w:sz w:val="18"/>
          <w:szCs w:val="18"/>
        </w:rPr>
        <w:footnoteRef/>
      </w:r>
      <w:r w:rsidRPr="002D7BD5">
        <w:rPr>
          <w:rFonts w:ascii="Source Sans Pro" w:hAnsi="Source Sans Pro"/>
          <w:sz w:val="18"/>
          <w:szCs w:val="18"/>
        </w:rPr>
        <w:t xml:space="preserve"> Occupation (SOC Code): Compliance Officers (131040). </w:t>
      </w:r>
    </w:p>
  </w:footnote>
  <w:footnote w:id="4">
    <w:p w14:paraId="37EB6D4E" w14:textId="77777777" w:rsidR="00745787" w:rsidRPr="002D7BD5" w:rsidRDefault="00745787" w:rsidP="00745787">
      <w:pPr>
        <w:pStyle w:val="FootnoteText"/>
        <w:rPr>
          <w:rFonts w:ascii="Source Sans Pro" w:hAnsi="Source Sans Pro"/>
          <w:sz w:val="18"/>
          <w:szCs w:val="18"/>
        </w:rPr>
      </w:pPr>
      <w:r w:rsidRPr="002D7BD5">
        <w:rPr>
          <w:rStyle w:val="FootnoteReference"/>
          <w:rFonts w:ascii="Source Sans Pro" w:hAnsi="Source Sans Pro"/>
          <w:sz w:val="18"/>
          <w:szCs w:val="18"/>
        </w:rPr>
        <w:footnoteRef/>
      </w:r>
      <w:r w:rsidRPr="002D7BD5">
        <w:rPr>
          <w:rFonts w:ascii="Source Sans Pro" w:hAnsi="Source Sans Pro"/>
          <w:sz w:val="18"/>
          <w:szCs w:val="18"/>
        </w:rPr>
        <w:t xml:space="preserve"> Occupation (SOC Code): Office and Administrative Support Occupations (430000).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9B3C4" w14:textId="77777777" w:rsidR="00994EDE" w:rsidRDefault="00994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D121C" w14:textId="77777777" w:rsidR="00994EDE" w:rsidRDefault="00994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5EC7" w14:textId="77777777" w:rsidR="00994EDE" w:rsidRDefault="00994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20537"/>
    <w:multiLevelType w:val="singleLevel"/>
    <w:tmpl w:val="90EAF164"/>
    <w:lvl w:ilvl="0">
      <w:start w:val="17"/>
      <w:numFmt w:val="decimal"/>
      <w:lvlText w:val="%1."/>
      <w:lvlJc w:val="left"/>
      <w:pPr>
        <w:tabs>
          <w:tab w:val="num" w:pos="1008"/>
        </w:tabs>
        <w:ind w:left="1008" w:hanging="720"/>
      </w:pPr>
      <w:rPr>
        <w:rFonts w:hint="default"/>
        <w:u w:val="none"/>
      </w:rPr>
    </w:lvl>
  </w:abstractNum>
  <w:abstractNum w:abstractNumId="1" w15:restartNumberingAfterBreak="0">
    <w:nsid w:val="601E2F6A"/>
    <w:multiLevelType w:val="singleLevel"/>
    <w:tmpl w:val="4C4A27CC"/>
    <w:lvl w:ilvl="0">
      <w:start w:val="2"/>
      <w:numFmt w:val="lowerLetter"/>
      <w:lvlText w:val="(%1)"/>
      <w:lvlJc w:val="left"/>
      <w:pPr>
        <w:tabs>
          <w:tab w:val="num" w:pos="1680"/>
        </w:tabs>
        <w:ind w:left="1680" w:hanging="6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74"/>
    <w:rsid w:val="00024EB3"/>
    <w:rsid w:val="000863D6"/>
    <w:rsid w:val="000F577B"/>
    <w:rsid w:val="001212D0"/>
    <w:rsid w:val="001A1B02"/>
    <w:rsid w:val="001C7588"/>
    <w:rsid w:val="00260D86"/>
    <w:rsid w:val="002701C6"/>
    <w:rsid w:val="003043C2"/>
    <w:rsid w:val="00366F1B"/>
    <w:rsid w:val="004122AC"/>
    <w:rsid w:val="00450218"/>
    <w:rsid w:val="00483A02"/>
    <w:rsid w:val="004A784F"/>
    <w:rsid w:val="005029F1"/>
    <w:rsid w:val="00505FF6"/>
    <w:rsid w:val="00520F64"/>
    <w:rsid w:val="005366DA"/>
    <w:rsid w:val="00547707"/>
    <w:rsid w:val="00551535"/>
    <w:rsid w:val="00563A78"/>
    <w:rsid w:val="00586542"/>
    <w:rsid w:val="00611278"/>
    <w:rsid w:val="0063384E"/>
    <w:rsid w:val="006505EA"/>
    <w:rsid w:val="00664F7F"/>
    <w:rsid w:val="00680823"/>
    <w:rsid w:val="006F2449"/>
    <w:rsid w:val="0071625B"/>
    <w:rsid w:val="00726B4D"/>
    <w:rsid w:val="00745787"/>
    <w:rsid w:val="007757D7"/>
    <w:rsid w:val="00797DDC"/>
    <w:rsid w:val="007B72BD"/>
    <w:rsid w:val="007D7E3F"/>
    <w:rsid w:val="007E30B1"/>
    <w:rsid w:val="00810DBE"/>
    <w:rsid w:val="00823A18"/>
    <w:rsid w:val="0084189F"/>
    <w:rsid w:val="008426CB"/>
    <w:rsid w:val="00845C62"/>
    <w:rsid w:val="008D0235"/>
    <w:rsid w:val="008E47C7"/>
    <w:rsid w:val="008E4EB0"/>
    <w:rsid w:val="00945A45"/>
    <w:rsid w:val="00994EDE"/>
    <w:rsid w:val="009D7CBB"/>
    <w:rsid w:val="009E7132"/>
    <w:rsid w:val="00A51FAC"/>
    <w:rsid w:val="00A907C9"/>
    <w:rsid w:val="00AA7C8E"/>
    <w:rsid w:val="00AD1170"/>
    <w:rsid w:val="00BB1AA5"/>
    <w:rsid w:val="00C07C2D"/>
    <w:rsid w:val="00C36DBB"/>
    <w:rsid w:val="00C81EE6"/>
    <w:rsid w:val="00CE2D0F"/>
    <w:rsid w:val="00CF34FA"/>
    <w:rsid w:val="00D17E74"/>
    <w:rsid w:val="00D566F2"/>
    <w:rsid w:val="00DD0259"/>
    <w:rsid w:val="00DD39B4"/>
    <w:rsid w:val="00E13550"/>
    <w:rsid w:val="00E34974"/>
    <w:rsid w:val="00E47A40"/>
    <w:rsid w:val="00E9015C"/>
    <w:rsid w:val="00E90A8F"/>
    <w:rsid w:val="00F07A0C"/>
    <w:rsid w:val="00F36609"/>
    <w:rsid w:val="00F76371"/>
    <w:rsid w:val="00F83DE4"/>
    <w:rsid w:val="00F924E3"/>
    <w:rsid w:val="00FC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39C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Nota,Footnote symbol,Footnote,Appel note de bas de p,BVI fnr,SUPERS,Footnote Reference Superscript,(Footnote Reference),Footnote reference number,note TESI,EN Footnote Reference,Voetnootverwijzing, BVI fnr"/>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uiPriority w:val="39"/>
    <w:rsid w:val="007D7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uiPriority w:val="99"/>
    <w:unhideWhenUsed/>
    <w:qFormat/>
    <w:rsid w:val="000863D6"/>
    <w:pPr>
      <w:widowControl/>
    </w:pPr>
    <w:rPr>
      <w:rFonts w:ascii="Times New Roman" w:hAnsi="Times New Roman"/>
      <w:snapToGrid/>
      <w:sz w:val="20"/>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uiPriority w:val="99"/>
    <w:rsid w:val="000863D6"/>
  </w:style>
  <w:style w:type="character" w:styleId="Hyperlink">
    <w:name w:val="Hyperlink"/>
    <w:unhideWhenUsed/>
    <w:rsid w:val="00C81EE6"/>
    <w:rPr>
      <w:color w:val="0000FF"/>
      <w:u w:val="single"/>
    </w:rPr>
  </w:style>
  <w:style w:type="character" w:styleId="FollowedHyperlink">
    <w:name w:val="FollowedHyperlink"/>
    <w:basedOn w:val="DefaultParagraphFont"/>
    <w:rsid w:val="00C07C2D"/>
    <w:rPr>
      <w:color w:val="954F72" w:themeColor="followedHyperlink"/>
      <w:u w:val="single"/>
    </w:rPr>
  </w:style>
  <w:style w:type="paragraph" w:styleId="BalloonText">
    <w:name w:val="Balloon Text"/>
    <w:basedOn w:val="Normal"/>
    <w:link w:val="BalloonTextChar"/>
    <w:rsid w:val="000F577B"/>
    <w:rPr>
      <w:rFonts w:ascii="Segoe UI" w:hAnsi="Segoe UI" w:cs="Segoe UI"/>
      <w:sz w:val="18"/>
      <w:szCs w:val="18"/>
    </w:rPr>
  </w:style>
  <w:style w:type="character" w:customStyle="1" w:styleId="BalloonTextChar">
    <w:name w:val="Balloon Text Char"/>
    <w:basedOn w:val="DefaultParagraphFont"/>
    <w:link w:val="BalloonText"/>
    <w:rsid w:val="000F577B"/>
    <w:rPr>
      <w:rFonts w:ascii="Segoe UI" w:hAnsi="Segoe UI" w:cs="Segoe UI"/>
      <w:snapToGrid w:val="0"/>
      <w:sz w:val="18"/>
      <w:szCs w:val="18"/>
    </w:rPr>
  </w:style>
  <w:style w:type="table" w:customStyle="1" w:styleId="TableGrid1">
    <w:name w:val="Table Grid1"/>
    <w:basedOn w:val="TableNormal"/>
    <w:next w:val="TableGrid"/>
    <w:uiPriority w:val="39"/>
    <w:rsid w:val="00E9015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A1B02"/>
    <w:rPr>
      <w:sz w:val="16"/>
      <w:szCs w:val="16"/>
    </w:rPr>
  </w:style>
  <w:style w:type="paragraph" w:styleId="CommentText">
    <w:name w:val="annotation text"/>
    <w:basedOn w:val="Normal"/>
    <w:link w:val="CommentTextChar"/>
    <w:rsid w:val="001A1B02"/>
    <w:rPr>
      <w:sz w:val="20"/>
    </w:rPr>
  </w:style>
  <w:style w:type="character" w:customStyle="1" w:styleId="CommentTextChar">
    <w:name w:val="Comment Text Char"/>
    <w:basedOn w:val="DefaultParagraphFont"/>
    <w:link w:val="CommentText"/>
    <w:rsid w:val="001A1B02"/>
    <w:rPr>
      <w:rFonts w:ascii="Courier" w:hAnsi="Courier"/>
      <w:snapToGrid w:val="0"/>
    </w:rPr>
  </w:style>
  <w:style w:type="paragraph" w:styleId="CommentSubject">
    <w:name w:val="annotation subject"/>
    <w:basedOn w:val="CommentText"/>
    <w:next w:val="CommentText"/>
    <w:link w:val="CommentSubjectChar"/>
    <w:rsid w:val="001A1B02"/>
    <w:rPr>
      <w:b/>
      <w:bCs/>
    </w:rPr>
  </w:style>
  <w:style w:type="character" w:customStyle="1" w:styleId="CommentSubjectChar">
    <w:name w:val="Comment Subject Char"/>
    <w:basedOn w:val="CommentTextChar"/>
    <w:link w:val="CommentSubject"/>
    <w:rsid w:val="001A1B02"/>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D996-BCE3-408F-86A8-3A9752C02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4790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5627</CharactersWithSpaces>
  <SharedDoc>false</SharedDoc>
  <HLinks>
    <vt:vector size="6" baseType="variant">
      <vt:variant>
        <vt:i4>4718674</vt:i4>
      </vt:variant>
      <vt:variant>
        <vt:i4>0</vt:i4>
      </vt:variant>
      <vt:variant>
        <vt:i4>0</vt:i4>
      </vt:variant>
      <vt:variant>
        <vt:i4>5</vt:i4>
      </vt:variant>
      <vt:variant>
        <vt:lpwstr>http://www.fdic.gov/forms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2011-11-15T15:59:00Z</cp:lastPrinted>
  <dcterms:created xsi:type="dcterms:W3CDTF">2021-06-10T17:14:00Z</dcterms:created>
  <dcterms:modified xsi:type="dcterms:W3CDTF">2021-06-10T17:14:00Z</dcterms:modified>
</cp:coreProperties>
</file>