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2220" w:rsidP="00D72220" w:rsidRDefault="00AD75CB" w14:paraId="0ADCCFE3" w14:textId="43185F04">
      <w:pPr>
        <w:widowControl/>
        <w:autoSpaceDE/>
        <w:autoSpaceDN/>
        <w:adjustRightInd/>
        <w:jc w:val="center"/>
        <w:rPr>
          <w:b/>
          <w:sz w:val="24"/>
          <w:szCs w:val="24"/>
          <w:lang w:val="en-CA"/>
        </w:rPr>
      </w:pPr>
      <w:r>
        <w:rPr>
          <w:b/>
          <w:sz w:val="24"/>
          <w:szCs w:val="24"/>
          <w:lang w:val="en-CA"/>
        </w:rPr>
        <w:t xml:space="preserve"> </w:t>
      </w:r>
      <w:r w:rsidRPr="00FC7ECD" w:rsidR="00D72220">
        <w:rPr>
          <w:b/>
          <w:sz w:val="24"/>
          <w:szCs w:val="24"/>
          <w:lang w:val="en-CA"/>
        </w:rPr>
        <w:t>BUREAU O</w:t>
      </w:r>
      <w:r w:rsidR="00D72220">
        <w:rPr>
          <w:b/>
          <w:sz w:val="24"/>
          <w:szCs w:val="24"/>
          <w:lang w:val="en-CA"/>
        </w:rPr>
        <w:t>F CONSUMER FINANCIAL PROTECTION</w:t>
      </w:r>
    </w:p>
    <w:p w:rsidR="0057065B" w:rsidP="00D72220" w:rsidRDefault="0057065B" w14:paraId="6D01AB08" w14:textId="77777777">
      <w:pPr>
        <w:widowControl/>
        <w:autoSpaceDE/>
        <w:autoSpaceDN/>
        <w:adjustRightInd/>
        <w:jc w:val="center"/>
        <w:rPr>
          <w:b/>
          <w:sz w:val="24"/>
          <w:szCs w:val="24"/>
          <w:lang w:val="en-CA"/>
        </w:rPr>
      </w:pPr>
    </w:p>
    <w:p w:rsidR="00D72220" w:rsidP="00D72220" w:rsidRDefault="00D72220" w14:paraId="541FE3AC" w14:textId="77777777">
      <w:pPr>
        <w:widowControl/>
        <w:autoSpaceDE/>
        <w:autoSpaceDN/>
        <w:adjustRightInd/>
        <w:jc w:val="center"/>
        <w:rPr>
          <w:b/>
          <w:sz w:val="24"/>
          <w:szCs w:val="24"/>
          <w:lang w:val="en-CA"/>
        </w:rPr>
      </w:pPr>
      <w:r w:rsidRPr="00FC7ECD">
        <w:rPr>
          <w:b/>
          <w:sz w:val="24"/>
          <w:szCs w:val="24"/>
          <w:lang w:val="en-CA"/>
        </w:rPr>
        <w:t xml:space="preserve">PAPERWORK </w:t>
      </w:r>
      <w:r w:rsidRPr="00FC7ECD" w:rsidR="00512E72">
        <w:rPr>
          <w:b/>
          <w:sz w:val="24"/>
          <w:szCs w:val="24"/>
          <w:lang w:val="en-CA"/>
        </w:rPr>
        <w:t>REDUCTION</w:t>
      </w:r>
      <w:r w:rsidRPr="00FC7ECD">
        <w:rPr>
          <w:b/>
          <w:sz w:val="24"/>
          <w:szCs w:val="24"/>
          <w:lang w:val="en-CA"/>
        </w:rPr>
        <w:t xml:space="preserve"> ACT </w:t>
      </w:r>
      <w:r w:rsidRPr="00FC7ECD" w:rsidR="00512E72">
        <w:rPr>
          <w:b/>
          <w:sz w:val="24"/>
          <w:szCs w:val="24"/>
          <w:lang w:val="en-CA"/>
        </w:rPr>
        <w:t>SUBMISSION</w:t>
      </w:r>
    </w:p>
    <w:p w:rsidR="00D72220" w:rsidP="00D72220" w:rsidRDefault="00D72220" w14:paraId="666E2B6C" w14:textId="5FCFADC2">
      <w:pPr>
        <w:pStyle w:val="CM12"/>
        <w:spacing w:line="276" w:lineRule="atLeast"/>
        <w:jc w:val="center"/>
        <w:rPr>
          <w:b/>
          <w:bCs/>
          <w:color w:val="000000"/>
        </w:rPr>
      </w:pPr>
      <w:r w:rsidRPr="00FC7ECD">
        <w:rPr>
          <w:b/>
          <w:lang w:val="en-CA"/>
        </w:rPr>
        <w:fldChar w:fldCharType="begin"/>
      </w:r>
      <w:r w:rsidRPr="00FC7ECD">
        <w:rPr>
          <w:b/>
          <w:lang w:val="en-CA"/>
        </w:rPr>
        <w:instrText xml:space="preserve"> SEQ CHAPTER \h \r 1</w:instrText>
      </w:r>
      <w:r w:rsidRPr="00FC7ECD">
        <w:rPr>
          <w:b/>
          <w:lang w:val="en-CA"/>
        </w:rPr>
        <w:fldChar w:fldCharType="end"/>
      </w:r>
      <w:r w:rsidRPr="00FC7ECD">
        <w:rPr>
          <w:b/>
          <w:bCs/>
          <w:color w:val="000000"/>
        </w:rPr>
        <w:t>I</w:t>
      </w:r>
      <w:r>
        <w:rPr>
          <w:b/>
          <w:bCs/>
          <w:color w:val="000000"/>
        </w:rPr>
        <w:t>NFORMATION COLLECTION REQUEST</w:t>
      </w:r>
    </w:p>
    <w:p w:rsidRPr="002A5B58" w:rsidR="0057065B" w:rsidP="002A5B58" w:rsidRDefault="0057065B" w14:paraId="740B3123" w14:textId="77777777"/>
    <w:p w:rsidR="00D72220" w:rsidP="00D72220" w:rsidRDefault="00D72220" w14:paraId="6F1AF823" w14:textId="77777777">
      <w:pPr>
        <w:pStyle w:val="CM12"/>
        <w:spacing w:line="276" w:lineRule="atLeast"/>
        <w:jc w:val="center"/>
        <w:rPr>
          <w:b/>
          <w:bCs/>
          <w:color w:val="000000"/>
        </w:rPr>
      </w:pPr>
      <w:r w:rsidRPr="00FC7ECD">
        <w:rPr>
          <w:b/>
          <w:bCs/>
          <w:color w:val="000000"/>
        </w:rPr>
        <w:t>SUPPORTING STATEMENT</w:t>
      </w:r>
      <w:r>
        <w:rPr>
          <w:b/>
          <w:bCs/>
          <w:color w:val="000000"/>
        </w:rPr>
        <w:t xml:space="preserve"> PART A</w:t>
      </w:r>
    </w:p>
    <w:p w:rsidRPr="002A5B58" w:rsidR="0057065B" w:rsidP="002A5B58" w:rsidRDefault="0057065B" w14:paraId="6C6906D2" w14:textId="77777777"/>
    <w:p w:rsidR="00D72220" w:rsidP="00D72220" w:rsidRDefault="00903E34" w14:paraId="78AE5724" w14:textId="5F1033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 xml:space="preserve">DEBT COLLECTION PRACTICES RULE </w:t>
      </w:r>
      <w:r w:rsidR="00D2716E">
        <w:rPr>
          <w:b/>
          <w:bCs/>
          <w:sz w:val="24"/>
          <w:szCs w:val="24"/>
        </w:rPr>
        <w:t xml:space="preserve">– 12 CFR 1006 </w:t>
      </w:r>
      <w:r>
        <w:rPr>
          <w:b/>
          <w:bCs/>
          <w:sz w:val="24"/>
          <w:szCs w:val="24"/>
        </w:rPr>
        <w:t>(REGULATION F)</w:t>
      </w:r>
    </w:p>
    <w:p w:rsidRPr="00FC7ECD" w:rsidR="00D72220" w:rsidP="00D72220" w:rsidRDefault="00D72220" w14:paraId="5351E6CE" w14:textId="398780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FC7ECD">
        <w:rPr>
          <w:b/>
          <w:bCs/>
          <w:sz w:val="24"/>
          <w:szCs w:val="24"/>
        </w:rPr>
        <w:t>(OMB CONTROL NUMBER: 3170-</w:t>
      </w:r>
      <w:r w:rsidR="00C629CB">
        <w:rPr>
          <w:b/>
          <w:bCs/>
          <w:sz w:val="24"/>
          <w:szCs w:val="24"/>
        </w:rPr>
        <w:t>XXXX</w:t>
      </w:r>
      <w:r w:rsidRPr="00FC7ECD">
        <w:rPr>
          <w:b/>
          <w:bCs/>
          <w:sz w:val="24"/>
          <w:szCs w:val="24"/>
        </w:rPr>
        <w:t>)</w:t>
      </w:r>
    </w:p>
    <w:p w:rsidR="00D72220" w:rsidP="00952B75" w:rsidRDefault="00D72220" w14:paraId="081047E1"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72220" w:rsidP="00952B75" w:rsidRDefault="00D72220" w14:paraId="73A22A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72220" w:rsidP="00952B75" w:rsidRDefault="00D72220" w14:paraId="2F4361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86278E" w:rsidR="0086278E" w:rsidP="0086278E" w:rsidRDefault="0086278E" w14:paraId="74A7A2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6278E">
        <w:rPr>
          <w:b/>
          <w:bCs/>
          <w:sz w:val="24"/>
          <w:szCs w:val="24"/>
          <w:u w:val="thick"/>
        </w:rPr>
        <w:t xml:space="preserve">EMERGENCY JUSTIFICATION </w:t>
      </w:r>
    </w:p>
    <w:p w:rsidRPr="0086278E" w:rsidR="0086278E" w:rsidP="0086278E" w:rsidRDefault="0086278E" w14:paraId="5E0281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86278E" w:rsidR="0086278E" w:rsidP="0086278E" w:rsidRDefault="0086278E" w14:paraId="2138BFE0" w14:textId="33E139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86278E">
        <w:rPr>
          <w:bCs/>
          <w:sz w:val="24"/>
          <w:szCs w:val="24"/>
        </w:rPr>
        <w:t>The Bureau of Consumer Financial Protection (</w:t>
      </w:r>
      <w:r w:rsidR="00E82728">
        <w:rPr>
          <w:bCs/>
          <w:sz w:val="24"/>
          <w:szCs w:val="24"/>
        </w:rPr>
        <w:t xml:space="preserve">the </w:t>
      </w:r>
      <w:r w:rsidRPr="0086278E">
        <w:rPr>
          <w:bCs/>
          <w:sz w:val="24"/>
          <w:szCs w:val="24"/>
        </w:rPr>
        <w:t>Bureau) respectfully requests emergency processing and approval of the collection of information discussed below because</w:t>
      </w:r>
      <w:r w:rsidR="00B60F36">
        <w:rPr>
          <w:bCs/>
          <w:sz w:val="24"/>
          <w:szCs w:val="24"/>
        </w:rPr>
        <w:t xml:space="preserve"> public harm (related to the COVID-19 pandemic) </w:t>
      </w:r>
      <w:r w:rsidR="0018348E">
        <w:rPr>
          <w:bCs/>
          <w:sz w:val="24"/>
          <w:szCs w:val="24"/>
        </w:rPr>
        <w:t>is likely to result due to</w:t>
      </w:r>
      <w:r w:rsidRPr="0086278E">
        <w:rPr>
          <w:bCs/>
          <w:sz w:val="24"/>
          <w:szCs w:val="24"/>
        </w:rPr>
        <w:t xml:space="preserve"> the use of normal clearance procedures</w:t>
      </w:r>
      <w:r w:rsidR="00916094">
        <w:rPr>
          <w:bCs/>
          <w:sz w:val="24"/>
          <w:szCs w:val="24"/>
        </w:rPr>
        <w:t>.</w:t>
      </w:r>
    </w:p>
    <w:p w:rsidR="0086278E" w:rsidP="0086278E" w:rsidRDefault="0086278E" w14:paraId="1925CA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915027" w:rsidR="00047AD4" w:rsidP="00047AD4" w:rsidRDefault="00047AD4" w14:paraId="508B0EC8" w14:textId="1B4294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FE6970">
        <w:rPr>
          <w:bCs/>
          <w:sz w:val="24"/>
          <w:szCs w:val="24"/>
        </w:rPr>
        <w:t xml:space="preserve">On March 29, 2021, the </w:t>
      </w:r>
      <w:r w:rsidRPr="007D03C1" w:rsidR="007D03C1">
        <w:rPr>
          <w:bCs/>
          <w:sz w:val="24"/>
          <w:szCs w:val="24"/>
        </w:rPr>
        <w:t>Centers for Disease Control and Prevention (CDC)</w:t>
      </w:r>
      <w:r w:rsidRPr="00FE6970">
        <w:rPr>
          <w:bCs/>
          <w:sz w:val="24"/>
          <w:szCs w:val="24"/>
        </w:rPr>
        <w:t xml:space="preserve"> extended an existing agency order that imposes a</w:t>
      </w:r>
      <w:r w:rsidR="007D03C1">
        <w:rPr>
          <w:bCs/>
          <w:sz w:val="24"/>
          <w:szCs w:val="24"/>
        </w:rPr>
        <w:t>n</w:t>
      </w:r>
      <w:r w:rsidRPr="00FE6970">
        <w:rPr>
          <w:bCs/>
          <w:sz w:val="24"/>
          <w:szCs w:val="24"/>
        </w:rPr>
        <w:t xml:space="preserve"> eviction moratorium that generally limits the circumstances in which certain persons may be evicted from residential property.  The Bureau is concerned that consumers are not aware of their protections under the CDC Order’s eviction moratorium </w:t>
      </w:r>
      <w:r w:rsidRPr="00915027">
        <w:rPr>
          <w:bCs/>
          <w:sz w:val="24"/>
          <w:szCs w:val="24"/>
        </w:rPr>
        <w:t xml:space="preserve">and that debt collectors </w:t>
      </w:r>
      <w:r w:rsidR="00834D87">
        <w:rPr>
          <w:bCs/>
          <w:sz w:val="24"/>
          <w:szCs w:val="24"/>
        </w:rPr>
        <w:t xml:space="preserve">covered by the Fair Debt Collection Practices Act (FDCPA) </w:t>
      </w:r>
      <w:r w:rsidRPr="00915027">
        <w:rPr>
          <w:bCs/>
          <w:sz w:val="24"/>
          <w:szCs w:val="24"/>
        </w:rPr>
        <w:t xml:space="preserve">may be engaging in eviction-related conduct that violates the FDCPA.         </w:t>
      </w:r>
    </w:p>
    <w:p w:rsidRPr="0086278E" w:rsidR="00047AD4" w:rsidP="0086278E" w:rsidRDefault="00047AD4" w14:paraId="5B6BC5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86278E" w:rsidR="0086278E" w:rsidP="0086278E" w:rsidRDefault="00144164" w14:paraId="167EE2DC" w14:textId="732AA6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This interim final rule </w:t>
      </w:r>
      <w:r w:rsidR="00EC0E3D">
        <w:rPr>
          <w:bCs/>
          <w:sz w:val="24"/>
          <w:szCs w:val="24"/>
        </w:rPr>
        <w:t>addresses</w:t>
      </w:r>
      <w:r w:rsidR="004A5D67">
        <w:rPr>
          <w:bCs/>
          <w:sz w:val="24"/>
          <w:szCs w:val="24"/>
        </w:rPr>
        <w:t xml:space="preserve"> </w:t>
      </w:r>
      <w:r w:rsidRPr="004A5D67" w:rsidR="004A5D67">
        <w:rPr>
          <w:bCs/>
          <w:sz w:val="24"/>
          <w:szCs w:val="24"/>
        </w:rPr>
        <w:t>the public health emergency caused by the COVID-19 pandemic and its effects on consumers</w:t>
      </w:r>
      <w:bookmarkStart w:name="_Hlk68695265" w:id="0"/>
      <w:r w:rsidRPr="004A5D67" w:rsidR="004A5D67">
        <w:rPr>
          <w:bCs/>
          <w:sz w:val="24"/>
          <w:szCs w:val="24"/>
        </w:rPr>
        <w:t>, particularly renters who may be vulnerable to the negative economic impacts of the pandemic, the risk of eviction, and the health and safety consequences that may ensue</w:t>
      </w:r>
      <w:bookmarkEnd w:id="0"/>
      <w:r w:rsidRPr="004A5D67" w:rsidR="004A5D67">
        <w:rPr>
          <w:bCs/>
          <w:sz w:val="24"/>
          <w:szCs w:val="24"/>
        </w:rPr>
        <w:t>.</w:t>
      </w:r>
      <w:r w:rsidRPr="004A5D67" w:rsidR="004A5D67">
        <w:rPr>
          <w:bCs/>
          <w:sz w:val="24"/>
          <w:szCs w:val="24"/>
          <w:vertAlign w:val="superscript"/>
        </w:rPr>
        <w:footnoteReference w:id="2"/>
      </w:r>
      <w:r w:rsidRPr="004A5D67" w:rsidR="004A5D67">
        <w:rPr>
          <w:bCs/>
          <w:sz w:val="24"/>
          <w:szCs w:val="24"/>
        </w:rPr>
        <w:t xml:space="preserve">  Citing the continuing health and safety risks posed by the COVID-19 pandemic, the CDC Order, as extended on March 29, 2021, maintains the eviction moratorium until June 30, 2021.  As the CDC Order extension noted, although COVID-19 transmission has decreased since a peak in January 2021, the current number of cases per day remains almost twice as high as the initial peak in April 2020 and transmission rates are similar to the second peak in July 2020.  Since the CDC Order’s eviction moratorium went into effect in September 2020, some debt collectors have engaged in evicting consumers from residential properties.  </w:t>
      </w:r>
      <w:r w:rsidR="006470EB">
        <w:rPr>
          <w:bCs/>
          <w:sz w:val="24"/>
          <w:szCs w:val="24"/>
        </w:rPr>
        <w:t>T</w:t>
      </w:r>
      <w:r w:rsidRPr="004A5D67" w:rsidR="004A5D67">
        <w:rPr>
          <w:bCs/>
          <w:sz w:val="24"/>
          <w:szCs w:val="24"/>
        </w:rPr>
        <w:t xml:space="preserve">he Bureau has become aware in the months following the initial institution of CDC Order’s eviction moratorium that consumers who interact with these debt collectors may not be </w:t>
      </w:r>
      <w:r w:rsidRPr="004A5D67" w:rsidR="004A5D67">
        <w:rPr>
          <w:bCs/>
          <w:sz w:val="24"/>
          <w:szCs w:val="24"/>
        </w:rPr>
        <w:lastRenderedPageBreak/>
        <w:t>aware of their protections under the CDC Order.</w:t>
      </w:r>
      <w:r w:rsidRPr="004A5D67" w:rsidR="004A5D67">
        <w:rPr>
          <w:bCs/>
          <w:sz w:val="24"/>
          <w:szCs w:val="24"/>
          <w:vertAlign w:val="superscript"/>
        </w:rPr>
        <w:footnoteReference w:id="3"/>
      </w:r>
      <w:r w:rsidRPr="004A5D67" w:rsidR="004A5D67">
        <w:rPr>
          <w:bCs/>
          <w:sz w:val="24"/>
          <w:szCs w:val="24"/>
        </w:rPr>
        <w:t xml:space="preserve">  As explained below, the failure of debt collectors to disclose these protections can violate the FDCPA with immediate consequences to health and safety.  These challenges have emerged only after the CDC Order initially took effect, and the temporary eviction moratorium effectuated by the CDC Order has recently been extended for a limited period of time.  To provide necessary protection for consumers, particularly in light of the health and safety consequences of eviction, as well as clarity for debt collectors, it is critical that the interim final rule take effect immediately.</w:t>
      </w:r>
    </w:p>
    <w:p w:rsidRPr="0086278E" w:rsidR="0086278E" w:rsidP="0086278E" w:rsidRDefault="0086278E" w14:paraId="1CD1CD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Pr="0086278E" w:rsidR="0086278E" w:rsidP="0086278E" w:rsidRDefault="0086278E" w14:paraId="37C7FDA1" w14:textId="6E9AEA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86278E">
        <w:rPr>
          <w:bCs/>
          <w:sz w:val="24"/>
          <w:szCs w:val="24"/>
        </w:rPr>
        <w:t xml:space="preserve">The Bureau respectfully requests OMB to approve this request by </w:t>
      </w:r>
      <w:r w:rsidR="0038782B">
        <w:rPr>
          <w:bCs/>
          <w:sz w:val="24"/>
          <w:szCs w:val="24"/>
        </w:rPr>
        <w:t>May 3</w:t>
      </w:r>
      <w:r w:rsidR="00423FB5">
        <w:rPr>
          <w:bCs/>
          <w:sz w:val="24"/>
          <w:szCs w:val="24"/>
        </w:rPr>
        <w:t>, 2021</w:t>
      </w:r>
      <w:r w:rsidRPr="0086278E">
        <w:rPr>
          <w:bCs/>
          <w:sz w:val="24"/>
          <w:szCs w:val="24"/>
        </w:rPr>
        <w:t xml:space="preserve">. Contemporaneously with this request for emergency processing, the Bureau is also initiating standard clearance procedures by publishing a notice in the </w:t>
      </w:r>
      <w:r w:rsidRPr="0086278E">
        <w:rPr>
          <w:bCs/>
          <w:i/>
          <w:sz w:val="24"/>
          <w:szCs w:val="24"/>
        </w:rPr>
        <w:t xml:space="preserve">Federal Register </w:t>
      </w:r>
      <w:r w:rsidRPr="0086278E">
        <w:rPr>
          <w:bCs/>
          <w:sz w:val="24"/>
          <w:szCs w:val="24"/>
        </w:rPr>
        <w:t>allowing the public</w:t>
      </w:r>
    </w:p>
    <w:p w:rsidRPr="0086278E" w:rsidR="0086278E" w:rsidP="0086278E" w:rsidRDefault="0086278E" w14:paraId="0E59EE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86278E">
        <w:rPr>
          <w:bCs/>
          <w:sz w:val="24"/>
          <w:szCs w:val="24"/>
        </w:rPr>
        <w:t>60 days to comment on this collection of information.  Accordingly, this request will also be resubmitted to OMB under standard clearance procedures.</w:t>
      </w:r>
    </w:p>
    <w:p w:rsidR="00952B75" w:rsidRDefault="00952B75" w14:paraId="4C3102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C3CC2" w:rsidRDefault="00BC3CC2" w14:paraId="70A915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77123" w:rsidR="00B32175" w:rsidRDefault="00B32175" w14:paraId="0F42CEFA" w14:textId="4331A0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32175">
        <w:rPr>
          <w:b/>
          <w:sz w:val="24"/>
          <w:szCs w:val="24"/>
        </w:rPr>
        <w:t xml:space="preserve">ABSTRACT: </w:t>
      </w:r>
      <w:r w:rsidR="0087237B">
        <w:rPr>
          <w:b/>
          <w:sz w:val="24"/>
          <w:szCs w:val="24"/>
        </w:rPr>
        <w:t xml:space="preserve"> </w:t>
      </w:r>
      <w:bookmarkStart w:name="_Hlk69128274" w:id="1"/>
      <w:r w:rsidRPr="00772E4C" w:rsidR="00772E4C">
        <w:rPr>
          <w:bCs/>
          <w:sz w:val="24"/>
          <w:szCs w:val="24"/>
        </w:rPr>
        <w:t xml:space="preserve">The Bureau of Consumer Financial Protection (Bureau) is issuing </w:t>
      </w:r>
      <w:r w:rsidR="00772E4C">
        <w:rPr>
          <w:bCs/>
          <w:sz w:val="24"/>
          <w:szCs w:val="24"/>
        </w:rPr>
        <w:t>an</w:t>
      </w:r>
      <w:r w:rsidRPr="00772E4C" w:rsidR="00772E4C">
        <w:rPr>
          <w:bCs/>
          <w:sz w:val="24"/>
          <w:szCs w:val="24"/>
        </w:rPr>
        <w:t xml:space="preserve"> interim final rule to amend Regulation F, which implements the Fair Debt Collection Practices Act (FDCPA) and currently contains the procedures for State application for exemption from the provisions of the FDCPA.  The interim final rule addresses certain debt collector conduct associated with a</w:t>
      </w:r>
      <w:r w:rsidR="00772E4C">
        <w:rPr>
          <w:bCs/>
          <w:sz w:val="24"/>
          <w:szCs w:val="24"/>
        </w:rPr>
        <w:t xml:space="preserve">n </w:t>
      </w:r>
      <w:r w:rsidRPr="00772E4C" w:rsidR="00772E4C">
        <w:rPr>
          <w:bCs/>
          <w:sz w:val="24"/>
          <w:szCs w:val="24"/>
        </w:rPr>
        <w:t xml:space="preserve">eviction moratorium issued by the Centers for Disease Control and Prevention (CDC) in response to the global COVID-19 pandemic.  The amendments </w:t>
      </w:r>
      <w:r w:rsidR="00B64464">
        <w:rPr>
          <w:bCs/>
          <w:sz w:val="24"/>
          <w:szCs w:val="24"/>
        </w:rPr>
        <w:t>prohibit debt collectors from taking certain covered eviction actions unless the</w:t>
      </w:r>
      <w:r w:rsidRPr="00772E4C" w:rsidR="00772E4C">
        <w:rPr>
          <w:bCs/>
          <w:sz w:val="24"/>
          <w:szCs w:val="24"/>
        </w:rPr>
        <w:t xml:space="preserve"> debt collectors provide written notice to certain consumers of their protections under the CDC temporary eviction moratorium and prohibit misrepresentations about consumers’ </w:t>
      </w:r>
      <w:r w:rsidR="006C7737">
        <w:rPr>
          <w:bCs/>
          <w:sz w:val="24"/>
          <w:szCs w:val="24"/>
        </w:rPr>
        <w:t>in</w:t>
      </w:r>
      <w:r w:rsidRPr="00772E4C" w:rsidR="00772E4C">
        <w:rPr>
          <w:bCs/>
          <w:sz w:val="24"/>
          <w:szCs w:val="24"/>
        </w:rPr>
        <w:t>eligibility for protection under such moratorium.</w:t>
      </w:r>
    </w:p>
    <w:p w:rsidR="00D72220" w:rsidP="00D72220" w:rsidRDefault="00D72220" w14:paraId="6CAA25B4" w14:textId="30AE549F">
      <w:pPr>
        <w:widowControl/>
        <w:autoSpaceDE/>
        <w:autoSpaceDN/>
        <w:adjustRightInd/>
        <w:rPr>
          <w:sz w:val="24"/>
          <w:szCs w:val="24"/>
        </w:rPr>
      </w:pPr>
    </w:p>
    <w:bookmarkEnd w:id="1"/>
    <w:p w:rsidR="00D72220" w:rsidP="00D72220" w:rsidRDefault="00D72220" w14:paraId="56755C6E" w14:textId="77777777">
      <w:pPr>
        <w:widowControl/>
        <w:autoSpaceDE/>
        <w:autoSpaceDN/>
        <w:adjustRightInd/>
        <w:rPr>
          <w:sz w:val="24"/>
          <w:szCs w:val="24"/>
        </w:rPr>
      </w:pPr>
    </w:p>
    <w:p w:rsidRPr="00BC5C20" w:rsidR="00295103" w:rsidP="00BC5C20" w:rsidRDefault="00BC5C20" w14:paraId="6F67D37B" w14:textId="5A81B5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BC5C20">
        <w:rPr>
          <w:b/>
          <w:bCs/>
          <w:sz w:val="24"/>
          <w:szCs w:val="24"/>
          <w:u w:val="single"/>
        </w:rPr>
        <w:t>JUSTIFICATION</w:t>
      </w:r>
    </w:p>
    <w:p w:rsidR="00295103" w:rsidRDefault="00295103" w14:paraId="7D2908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5C20" w:rsidRDefault="00295103" w14:paraId="2A3CAE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u w:val="single"/>
        </w:rPr>
      </w:pPr>
      <w:r w:rsidRPr="00BC5C20">
        <w:rPr>
          <w:b/>
          <w:sz w:val="24"/>
          <w:szCs w:val="24"/>
        </w:rPr>
        <w:t>1.</w:t>
      </w:r>
      <w:r w:rsidRPr="00BC5C20">
        <w:rPr>
          <w:b/>
          <w:sz w:val="24"/>
          <w:szCs w:val="24"/>
        </w:rPr>
        <w:tab/>
      </w:r>
      <w:r w:rsidRPr="00BC5C20" w:rsidR="00BC5C20">
        <w:rPr>
          <w:b/>
          <w:sz w:val="24"/>
          <w:szCs w:val="24"/>
          <w:u w:val="single"/>
        </w:rPr>
        <w:t>Circumstances Necessitating the Data Collection</w:t>
      </w:r>
    </w:p>
    <w:p w:rsidRPr="00BC5C20" w:rsidR="00BC5C20" w:rsidRDefault="00BC5C20" w14:paraId="74F2DC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13454F" w:rsidP="003D1D96" w:rsidRDefault="00111E44" w14:paraId="733B8978" w14:textId="483586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1E44">
        <w:rPr>
          <w:sz w:val="24"/>
          <w:szCs w:val="24"/>
        </w:rPr>
        <w:t>In 1977, Congress passed the Fair Debt Collection Practices Act (FDCPA) “to eliminate abusive debt collection practices by debt collectors, to insure that those debt collectors who refrain from using abusive debt collection practices are not competitively disadvantaged, and to promote consistent State action to protect consumers against debt collection abuses.”</w:t>
      </w:r>
      <w:r w:rsidRPr="00A960DF">
        <w:rPr>
          <w:rStyle w:val="FootnoteReference"/>
        </w:rPr>
        <w:footnoteReference w:id="4"/>
      </w:r>
      <w:r w:rsidRPr="00111E44">
        <w:rPr>
          <w:sz w:val="24"/>
          <w:szCs w:val="24"/>
        </w:rPr>
        <w:t xml:space="preserve">  The FDCPA established certain consumer protections but interpretative questions have arisen since its passage.  </w:t>
      </w:r>
      <w:r w:rsidR="00356704">
        <w:rPr>
          <w:sz w:val="24"/>
          <w:szCs w:val="24"/>
        </w:rPr>
        <w:t xml:space="preserve">The </w:t>
      </w:r>
      <w:r w:rsidR="00F34A82">
        <w:rPr>
          <w:sz w:val="24"/>
          <w:szCs w:val="24"/>
        </w:rPr>
        <w:t>Bureau’s</w:t>
      </w:r>
      <w:r w:rsidR="00356704">
        <w:rPr>
          <w:sz w:val="24"/>
          <w:szCs w:val="24"/>
        </w:rPr>
        <w:t xml:space="preserve"> </w:t>
      </w:r>
      <w:r w:rsidR="004F30AE">
        <w:rPr>
          <w:sz w:val="24"/>
          <w:szCs w:val="24"/>
        </w:rPr>
        <w:t>regulations</w:t>
      </w:r>
      <w:r w:rsidR="00356704">
        <w:rPr>
          <w:sz w:val="24"/>
          <w:szCs w:val="24"/>
        </w:rPr>
        <w:t xml:space="preserve"> </w:t>
      </w:r>
      <w:r w:rsidR="004F30AE">
        <w:rPr>
          <w:sz w:val="24"/>
          <w:szCs w:val="24"/>
        </w:rPr>
        <w:t>implementing</w:t>
      </w:r>
      <w:r w:rsidR="00356704">
        <w:rPr>
          <w:sz w:val="24"/>
          <w:szCs w:val="24"/>
        </w:rPr>
        <w:t xml:space="preserve"> </w:t>
      </w:r>
      <w:r w:rsidR="0095561C">
        <w:rPr>
          <w:sz w:val="24"/>
          <w:szCs w:val="24"/>
        </w:rPr>
        <w:t>the</w:t>
      </w:r>
      <w:r w:rsidRPr="00111E44">
        <w:rPr>
          <w:sz w:val="24"/>
          <w:szCs w:val="24"/>
        </w:rPr>
        <w:t xml:space="preserve"> </w:t>
      </w:r>
      <w:r w:rsidR="004F30AE">
        <w:rPr>
          <w:sz w:val="24"/>
          <w:szCs w:val="24"/>
        </w:rPr>
        <w:t>FDCPA are contained in 12 CFR 1006</w:t>
      </w:r>
      <w:r w:rsidR="00F34A82">
        <w:rPr>
          <w:sz w:val="24"/>
          <w:szCs w:val="24"/>
        </w:rPr>
        <w:t xml:space="preserve">, Regulation F. </w:t>
      </w:r>
    </w:p>
    <w:p w:rsidR="003326CB" w:rsidP="003D1D96" w:rsidRDefault="003326CB" w14:paraId="114DBF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50959" w:rsidP="00650959" w:rsidRDefault="00650959" w14:paraId="0EF22DFC" w14:textId="5FD401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w:t>
      </w:r>
      <w:r w:rsidRPr="00650959">
        <w:rPr>
          <w:sz w:val="24"/>
          <w:szCs w:val="24"/>
        </w:rPr>
        <w:t xml:space="preserve"> interim final rule address</w:t>
      </w:r>
      <w:r>
        <w:rPr>
          <w:sz w:val="24"/>
          <w:szCs w:val="24"/>
        </w:rPr>
        <w:t>es</w:t>
      </w:r>
      <w:r w:rsidRPr="00650959">
        <w:rPr>
          <w:sz w:val="24"/>
          <w:szCs w:val="24"/>
        </w:rPr>
        <w:t xml:space="preserve"> certain debt collector conduct associated with a</w:t>
      </w:r>
      <w:r>
        <w:rPr>
          <w:sz w:val="24"/>
          <w:szCs w:val="24"/>
        </w:rPr>
        <w:t>n</w:t>
      </w:r>
      <w:r w:rsidRPr="00650959">
        <w:rPr>
          <w:sz w:val="24"/>
          <w:szCs w:val="24"/>
        </w:rPr>
        <w:t xml:space="preserve"> eviction moratorium issued by the CDC.  This interim final rule applies to debt collectors, as that term is </w:t>
      </w:r>
      <w:r w:rsidRPr="00650959">
        <w:rPr>
          <w:sz w:val="24"/>
          <w:szCs w:val="24"/>
        </w:rPr>
        <w:lastRenderedPageBreak/>
        <w:t xml:space="preserve">defined in the FDCPA.  </w:t>
      </w:r>
    </w:p>
    <w:p w:rsidRPr="00650959" w:rsidR="00650959" w:rsidP="00650959" w:rsidRDefault="00650959" w14:paraId="730126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50959" w:rsidP="00650959" w:rsidRDefault="00650959" w14:paraId="7BDAD424" w14:textId="735F07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50959">
        <w:rPr>
          <w:sz w:val="24"/>
          <w:szCs w:val="24"/>
        </w:rPr>
        <w:t xml:space="preserve">On March 29, 2021, the CDC extended an existing agency order that imposes a temporary eviction moratorium that generally limits the circumstances in which certain persons may be evicted from residential property.  The Bureau is concerned that consumers are not aware of their protections under the CDC Order’s temporary eviction moratorium and that FDCPA-covered debt collectors may be engaging in eviction-related conduct that violates the FDCPA. </w:t>
      </w:r>
    </w:p>
    <w:p w:rsidRPr="00650959" w:rsidR="00650959" w:rsidP="00650959" w:rsidRDefault="00650959" w14:paraId="4918C8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51582" w:rsidP="00650959" w:rsidRDefault="00650959" w14:paraId="11CBB369" w14:textId="150960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50959">
        <w:rPr>
          <w:sz w:val="24"/>
          <w:szCs w:val="24"/>
        </w:rPr>
        <w:t>This interim final rule amends Regulation F, which implements the FDCPA, to require debt collectors to provide written notice to certain consumers of their protections under the CDC Order’s temporary eviction moratorium and to clarify that certain misrepresentations are prohibited.  More specifically, § 1006.9 prohibits certain acts by debt collectors that undermine the purpose and effectiveness of the CDC Order’s temporary eviction moratorium to prevent the further spread of COVID-19.  Section 1006.9(a) and (b) sets forth the purpose and coverage of subpart B and defines certain terms used in the subpart, and § 1006.9(c) identifies the prohibited acts.  The Bureau is adopting</w:t>
      </w:r>
      <w:r w:rsidRPr="00650959" w:rsidDel="004D6CA2">
        <w:rPr>
          <w:sz w:val="24"/>
          <w:szCs w:val="24"/>
        </w:rPr>
        <w:t xml:space="preserve"> </w:t>
      </w:r>
      <w:r w:rsidRPr="00650959">
        <w:rPr>
          <w:sz w:val="24"/>
          <w:szCs w:val="24"/>
        </w:rPr>
        <w:t xml:space="preserve">§ 1006.9 pursuant to its authority under FDCPA section 814(d) to write rules with respect to the collection of debts by debt collectors and, with respect to </w:t>
      </w:r>
      <w:r w:rsidRPr="00650959" w:rsidDel="004D6CA2">
        <w:rPr>
          <w:sz w:val="24"/>
          <w:szCs w:val="24"/>
        </w:rPr>
        <w:t>§</w:t>
      </w:r>
      <w:r w:rsidRPr="00650959">
        <w:rPr>
          <w:sz w:val="24"/>
          <w:szCs w:val="24"/>
        </w:rPr>
        <w:t> 1006.9(c), pursuant to its authority to interpret FDCPA sections 807 and 808.</w:t>
      </w:r>
    </w:p>
    <w:p w:rsidR="00385E23" w:rsidP="00111E44" w:rsidRDefault="00385E23" w14:paraId="4ED4B35C" w14:textId="519436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F33B4" w:rsidR="006F33B4" w:rsidP="00C725B9" w:rsidRDefault="006F33B4" w14:paraId="7270E5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202188" w:rsidR="00BC5C20" w:rsidP="00BC5C20" w:rsidRDefault="00BC5C20" w14:paraId="2C37A428" w14:textId="0D87DA73">
      <w:pPr>
        <w:pStyle w:val="CM12"/>
        <w:spacing w:line="276" w:lineRule="atLeast"/>
      </w:pPr>
      <w:r w:rsidRPr="00202188">
        <w:rPr>
          <w:b/>
          <w:bCs/>
        </w:rPr>
        <w:t xml:space="preserve">2. </w:t>
      </w:r>
      <w:r>
        <w:rPr>
          <w:b/>
          <w:bCs/>
        </w:rPr>
        <w:t xml:space="preserve"> </w:t>
      </w:r>
      <w:r w:rsidRPr="00202188">
        <w:rPr>
          <w:b/>
          <w:bCs/>
          <w:u w:val="single"/>
        </w:rPr>
        <w:t>Use of the Information</w:t>
      </w:r>
    </w:p>
    <w:p w:rsidR="00BC5C20" w:rsidP="00BC5C20" w:rsidRDefault="00BC5C20" w14:paraId="6DA16866" w14:textId="6FA62A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321E9" w:rsidR="00237D37" w:rsidP="00BC5C20" w:rsidRDefault="00237D37" w14:paraId="54AA276C" w14:textId="4CC229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385E23">
        <w:rPr>
          <w:sz w:val="24"/>
          <w:szCs w:val="24"/>
        </w:rPr>
        <w:t xml:space="preserve">interim final </w:t>
      </w:r>
      <w:r w:rsidR="00B7209F">
        <w:rPr>
          <w:sz w:val="24"/>
          <w:szCs w:val="24"/>
        </w:rPr>
        <w:t>rule contains</w:t>
      </w:r>
      <w:r>
        <w:rPr>
          <w:sz w:val="24"/>
          <w:szCs w:val="24"/>
        </w:rPr>
        <w:t xml:space="preserve"> information collection requirements that clarify the content of certain disclosures required by the FDCPA</w:t>
      </w:r>
      <w:r w:rsidR="00F35BCC">
        <w:rPr>
          <w:sz w:val="24"/>
          <w:szCs w:val="24"/>
        </w:rPr>
        <w:t xml:space="preserve">, prohibiting debt collectors from </w:t>
      </w:r>
      <w:r w:rsidR="003B3721">
        <w:rPr>
          <w:sz w:val="24"/>
          <w:szCs w:val="24"/>
        </w:rPr>
        <w:t xml:space="preserve">proceeding with certain steps in the eviction process without </w:t>
      </w:r>
      <w:r w:rsidRPr="00B321E9" w:rsidR="003B3721">
        <w:rPr>
          <w:sz w:val="24"/>
          <w:szCs w:val="24"/>
        </w:rPr>
        <w:t>i</w:t>
      </w:r>
      <w:r w:rsidRPr="00B321E9" w:rsidR="000B43A9">
        <w:rPr>
          <w:sz w:val="24"/>
          <w:szCs w:val="24"/>
        </w:rPr>
        <w:t>nforming consumers</w:t>
      </w:r>
      <w:r w:rsidRPr="00B321E9" w:rsidR="003B3721">
        <w:rPr>
          <w:sz w:val="24"/>
          <w:szCs w:val="24"/>
        </w:rPr>
        <w:t xml:space="preserve"> </w:t>
      </w:r>
      <w:r w:rsidRPr="00B321E9" w:rsidR="009B5A9D">
        <w:rPr>
          <w:sz w:val="24"/>
          <w:szCs w:val="24"/>
        </w:rPr>
        <w:t xml:space="preserve">about </w:t>
      </w:r>
      <w:r w:rsidRPr="00B321E9" w:rsidR="00B321E9">
        <w:rPr>
          <w:sz w:val="24"/>
          <w:szCs w:val="24"/>
        </w:rPr>
        <w:t>potential protection under the CDC Order.</w:t>
      </w:r>
    </w:p>
    <w:p w:rsidR="00295103" w:rsidRDefault="00295103" w14:paraId="642EF1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5C20" w:rsidP="00BC5C20" w:rsidRDefault="00BC5C20" w14:paraId="77E1DA55" w14:textId="77E6868A">
      <w:pPr>
        <w:pStyle w:val="Default"/>
        <w:rPr>
          <w:b/>
          <w:bCs/>
          <w:u w:val="single"/>
        </w:rPr>
      </w:pPr>
      <w:r w:rsidRPr="00202188">
        <w:rPr>
          <w:b/>
          <w:bCs/>
        </w:rPr>
        <w:t xml:space="preserve">3. </w:t>
      </w:r>
      <w:r>
        <w:rPr>
          <w:b/>
          <w:bCs/>
        </w:rPr>
        <w:t xml:space="preserve"> </w:t>
      </w:r>
      <w:r w:rsidRPr="00202188">
        <w:rPr>
          <w:b/>
          <w:bCs/>
          <w:u w:val="single"/>
        </w:rPr>
        <w:t>Use of Information Technology</w:t>
      </w:r>
    </w:p>
    <w:p w:rsidR="00E51CAD" w:rsidP="00BC5C20" w:rsidRDefault="00E51CAD" w14:paraId="61C45B82" w14:textId="5E93F677">
      <w:pPr>
        <w:pStyle w:val="Default"/>
        <w:rPr>
          <w:b/>
          <w:bCs/>
          <w:u w:val="single"/>
        </w:rPr>
      </w:pPr>
    </w:p>
    <w:p w:rsidRPr="00E51CAD" w:rsidR="00E51CAD" w:rsidP="00BC5C20" w:rsidRDefault="00F14BD5" w14:paraId="6D6309C5" w14:textId="6E492A53">
      <w:pPr>
        <w:pStyle w:val="Default"/>
        <w:rPr>
          <w:color w:val="auto"/>
        </w:rPr>
      </w:pPr>
      <w:r>
        <w:rPr>
          <w:bCs/>
        </w:rPr>
        <w:t>The interim final rule</w:t>
      </w:r>
      <w:r w:rsidRPr="00F14BD5">
        <w:rPr>
          <w:bCs/>
        </w:rPr>
        <w:t xml:space="preserve"> requires the debt collector to make the disclosure clearly and conspicuously in writing.  Requiring debt collectors to provide the disclosure to consumers clearly and conspicuously and in writing rather than electronically (such as by email) increases the likelihood in the context of eviction during the global COVID-19 pandemic that consumers will actually receive and understand the disclosure, since the Bureau expects that most debt collectors will provide the disclosure to the address that is the subject of eviction proceedings.</w:t>
      </w:r>
    </w:p>
    <w:p w:rsidRPr="00486080" w:rsidR="00BC5C20" w:rsidP="00486080" w:rsidRDefault="00486080" w14:paraId="4611D497" w14:textId="52BC54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p>
    <w:p w:rsidRPr="00202188" w:rsidR="00BC5C20" w:rsidP="00BC5C20" w:rsidRDefault="00BC5C20" w14:paraId="3515831E" w14:textId="77777777">
      <w:pPr>
        <w:pStyle w:val="CM12"/>
        <w:spacing w:line="276" w:lineRule="atLeast"/>
      </w:pPr>
      <w:r w:rsidRPr="00202188">
        <w:rPr>
          <w:b/>
          <w:bCs/>
        </w:rPr>
        <w:t xml:space="preserve">4. </w:t>
      </w:r>
      <w:r>
        <w:rPr>
          <w:b/>
          <w:bCs/>
        </w:rPr>
        <w:t xml:space="preserve"> </w:t>
      </w:r>
      <w:r w:rsidRPr="00202188">
        <w:rPr>
          <w:b/>
          <w:bCs/>
          <w:u w:val="single"/>
        </w:rPr>
        <w:t>Efforts to Identify Duplication</w:t>
      </w:r>
    </w:p>
    <w:p w:rsidR="00BC5C20" w:rsidRDefault="00BC5C20" w14:paraId="1553DCB5" w14:textId="24B63B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352BE" w:rsidP="004352BE" w:rsidRDefault="004352BE" w14:paraId="7E27B4DE" w14:textId="5959C6A6">
      <w:pPr>
        <w:pStyle w:val="Default"/>
      </w:pPr>
      <w:r w:rsidRPr="004352BE">
        <w:rPr>
          <w:bCs/>
        </w:rPr>
        <w:t>The</w:t>
      </w:r>
      <w:r>
        <w:t xml:space="preserve"> disclosure provisions in the proposed rule would not duplicate any other Federal information collection requirement.  The information collection requirements are unique to this </w:t>
      </w:r>
      <w:r w:rsidR="001309CD">
        <w:t xml:space="preserve">regulation and </w:t>
      </w:r>
      <w:r>
        <w:t>proposed rule.</w:t>
      </w:r>
    </w:p>
    <w:p w:rsidR="00295103" w:rsidRDefault="00295103" w14:paraId="4D46D8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A69C1" w:rsidR="00BC5C20" w:rsidP="00BC5C20" w:rsidRDefault="00BC5C20" w14:paraId="31E0410B" w14:textId="77777777">
      <w:pPr>
        <w:pStyle w:val="CM12"/>
        <w:spacing w:line="276" w:lineRule="atLeast"/>
      </w:pPr>
      <w:r w:rsidRPr="00202188">
        <w:rPr>
          <w:b/>
          <w:bCs/>
        </w:rPr>
        <w:t xml:space="preserve">5. </w:t>
      </w:r>
      <w:r>
        <w:rPr>
          <w:b/>
          <w:bCs/>
        </w:rPr>
        <w:t xml:space="preserve"> </w:t>
      </w:r>
      <w:r w:rsidRPr="00202188">
        <w:rPr>
          <w:b/>
          <w:bCs/>
          <w:u w:val="single"/>
        </w:rPr>
        <w:t>Efforts to Minimize Burdens on Small Entities</w:t>
      </w:r>
    </w:p>
    <w:p w:rsidR="00BC5C20" w:rsidRDefault="00BC5C20" w14:paraId="032BFECB" w14:textId="383978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352BE" w:rsidP="004352BE" w:rsidRDefault="004A60E7" w14:paraId="0FBF6BC2" w14:textId="2E658188">
      <w:pPr>
        <w:pStyle w:val="Default"/>
      </w:pPr>
      <w:r>
        <w:lastRenderedPageBreak/>
        <w:t>The disclosure and recordkeeping requirements of</w:t>
      </w:r>
      <w:r w:rsidR="007627A6">
        <w:t xml:space="preserve"> this </w:t>
      </w:r>
      <w:r>
        <w:t xml:space="preserve">rule would apply to all debt collectors as defined in the FDCPA.  The Bureau estimates that </w:t>
      </w:r>
      <w:r w:rsidR="00555346">
        <w:t>most</w:t>
      </w:r>
      <w:r>
        <w:t xml:space="preserve"> respondents are small entities.  </w:t>
      </w:r>
      <w:r w:rsidR="00102A44">
        <w:t xml:space="preserve">The required disclosure is short and must be provided only for a limited time before June 30, 2021, which </w:t>
      </w:r>
      <w:r w:rsidR="005A4523">
        <w:t>reduces the burden of the information collection.</w:t>
      </w:r>
      <w:r w:rsidR="008B530F">
        <w:t xml:space="preserve">  </w:t>
      </w:r>
    </w:p>
    <w:p w:rsidR="00295103" w:rsidRDefault="00295103" w14:paraId="49DA63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5A1F50BE" w14:textId="77777777">
      <w:pPr>
        <w:pStyle w:val="CM12"/>
        <w:spacing w:line="276" w:lineRule="atLeast"/>
      </w:pPr>
      <w:r w:rsidRPr="004D683B">
        <w:rPr>
          <w:b/>
          <w:bCs/>
        </w:rPr>
        <w:t xml:space="preserve">6.  </w:t>
      </w:r>
      <w:r w:rsidRPr="004D683B">
        <w:rPr>
          <w:b/>
          <w:bCs/>
          <w:u w:val="single"/>
        </w:rPr>
        <w:t>Consequences of Less Frequent Collection and Obstacles to Burden Reduction</w:t>
      </w:r>
    </w:p>
    <w:p w:rsidR="00BC5C20" w:rsidP="00BC5C20" w:rsidRDefault="00BC5C20" w14:paraId="7E6971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5A4523" w:rsidRDefault="0067272E" w14:paraId="2E3310BD" w14:textId="7EED6CBD">
      <w:pPr>
        <w:pStyle w:val="BodyText"/>
        <w:ind w:right="569"/>
      </w:pPr>
      <w:r>
        <w:t>The i</w:t>
      </w:r>
      <w:r w:rsidR="00753348">
        <w:t xml:space="preserve">nformation collections </w:t>
      </w:r>
      <w:r w:rsidR="00C0583C">
        <w:t>interpret the FDCPA’s requirements</w:t>
      </w:r>
      <w:r w:rsidR="00753348">
        <w:t>.  If the rule were not adopted, debt collectors and consumers would have less clarity about how the FDCPA applies to certain disclosures</w:t>
      </w:r>
      <w:r w:rsidR="00D41C0E">
        <w:t>, and consumers who are the subject of covered eviction actions might not learn about the availability of protection under the CDC Order</w:t>
      </w:r>
      <w:r w:rsidR="00753348">
        <w:t xml:space="preserve">.  </w:t>
      </w:r>
    </w:p>
    <w:p w:rsidR="00101ADE" w:rsidRDefault="00101ADE" w14:paraId="5AF969B7" w14:textId="58A9D9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7815FE25" w14:textId="77777777">
      <w:pPr>
        <w:pStyle w:val="Default"/>
        <w:rPr>
          <w:b/>
          <w:bCs/>
          <w:u w:val="single"/>
        </w:rPr>
      </w:pPr>
      <w:r w:rsidRPr="004D683B">
        <w:rPr>
          <w:b/>
          <w:bCs/>
        </w:rPr>
        <w:t xml:space="preserve">7.  </w:t>
      </w:r>
      <w:r w:rsidRPr="004D683B">
        <w:rPr>
          <w:b/>
          <w:bCs/>
          <w:u w:val="single"/>
        </w:rPr>
        <w:t>Circumstances Requiring Special Information Collection</w:t>
      </w:r>
    </w:p>
    <w:p w:rsidR="00BC5C20" w:rsidRDefault="00BC5C20" w14:paraId="7EC3C953" w14:textId="0CACCD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96A8D" w:rsidP="00F96A8D" w:rsidRDefault="00F96A8D" w14:paraId="5C63DE40" w14:textId="0244375E">
      <w:pPr>
        <w:pStyle w:val="Default"/>
      </w:pPr>
      <w:r>
        <w:t>There are no special circumstances.  The collection of information requirements are consistent with the applicable guidelines contained in 5 CFR § 1320.5(d)(2).</w:t>
      </w:r>
    </w:p>
    <w:p w:rsidR="00295103" w:rsidRDefault="00295103" w14:paraId="380F66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41EE0EA3" w14:textId="2F8DC587">
      <w:pPr>
        <w:pStyle w:val="CM12"/>
        <w:spacing w:line="276" w:lineRule="atLeast"/>
        <w:rPr>
          <w:b/>
          <w:bCs/>
          <w:u w:val="single"/>
        </w:rPr>
      </w:pPr>
      <w:r w:rsidRPr="004D683B">
        <w:rPr>
          <w:b/>
          <w:bCs/>
        </w:rPr>
        <w:t xml:space="preserve">8.  </w:t>
      </w:r>
      <w:r w:rsidRPr="004D683B">
        <w:rPr>
          <w:b/>
          <w:bCs/>
          <w:u w:val="single"/>
        </w:rPr>
        <w:t xml:space="preserve">Consultation </w:t>
      </w:r>
      <w:r w:rsidRPr="004D683B" w:rsidR="0054451B">
        <w:rPr>
          <w:b/>
          <w:bCs/>
          <w:u w:val="single"/>
        </w:rPr>
        <w:t>outside</w:t>
      </w:r>
      <w:r w:rsidRPr="004D683B">
        <w:rPr>
          <w:b/>
          <w:bCs/>
          <w:u w:val="single"/>
        </w:rPr>
        <w:t xml:space="preserve"> the Agency</w:t>
      </w:r>
    </w:p>
    <w:p w:rsidR="00002794" w:rsidP="00187384" w:rsidRDefault="00002794" w14:paraId="14994159" w14:textId="2B2755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C7354" w:rsidP="00187384" w:rsidRDefault="00CC7354" w14:paraId="391D32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7354">
        <w:rPr>
          <w:sz w:val="24"/>
          <w:szCs w:val="24"/>
        </w:rPr>
        <w:t xml:space="preserve">The Bureau consulted with appropriate prudential regulators and other Federal agencies regarding the consistency of this final rule with prudential, market, or systemic objectives administered by such agencies, as required by section 1022(b)(2)(B) of the Dodd-Frank Act. </w:t>
      </w:r>
    </w:p>
    <w:p w:rsidR="00CC7354" w:rsidP="00187384" w:rsidRDefault="00CC7354" w14:paraId="6E2924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5C20" w:rsidP="00BC5C20" w:rsidRDefault="00002794" w14:paraId="08B5845A" w14:textId="7303FD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Bureau has published </w:t>
      </w:r>
      <w:r w:rsidR="008126EB">
        <w:rPr>
          <w:sz w:val="24"/>
          <w:szCs w:val="24"/>
        </w:rPr>
        <w:t xml:space="preserve">a notice in the </w:t>
      </w:r>
      <w:r w:rsidRPr="0038782B" w:rsidR="00762D60">
        <w:rPr>
          <w:i/>
          <w:iCs/>
          <w:sz w:val="24"/>
          <w:szCs w:val="24"/>
        </w:rPr>
        <w:t>F</w:t>
      </w:r>
      <w:r w:rsidRPr="0038782B" w:rsidR="008126EB">
        <w:rPr>
          <w:i/>
          <w:iCs/>
          <w:sz w:val="24"/>
          <w:szCs w:val="24"/>
        </w:rPr>
        <w:t xml:space="preserve">ederal </w:t>
      </w:r>
      <w:r w:rsidRPr="0038782B" w:rsidR="00762D60">
        <w:rPr>
          <w:i/>
          <w:iCs/>
          <w:sz w:val="24"/>
          <w:szCs w:val="24"/>
        </w:rPr>
        <w:t>R</w:t>
      </w:r>
      <w:r w:rsidRPr="0038782B" w:rsidR="008126EB">
        <w:rPr>
          <w:i/>
          <w:iCs/>
          <w:sz w:val="24"/>
          <w:szCs w:val="24"/>
        </w:rPr>
        <w:t>egister</w:t>
      </w:r>
      <w:r w:rsidR="008126EB">
        <w:rPr>
          <w:sz w:val="24"/>
          <w:szCs w:val="24"/>
        </w:rPr>
        <w:t xml:space="preserve"> </w:t>
      </w:r>
      <w:r w:rsidR="00762D60">
        <w:rPr>
          <w:sz w:val="24"/>
          <w:szCs w:val="24"/>
        </w:rPr>
        <w:t>requesting an emergency approval for the information collections herein</w:t>
      </w:r>
      <w:r w:rsidR="00CE6C98">
        <w:rPr>
          <w:sz w:val="24"/>
          <w:szCs w:val="24"/>
        </w:rPr>
        <w:t>.</w:t>
      </w:r>
    </w:p>
    <w:p w:rsidR="00CE6C98" w:rsidP="00BC5C20" w:rsidRDefault="00CE6C98" w14:paraId="7B1DE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36A31796" w14:textId="77777777">
      <w:pPr>
        <w:pStyle w:val="Default"/>
        <w:tabs>
          <w:tab w:val="left" w:pos="720"/>
        </w:tabs>
        <w:rPr>
          <w:color w:val="auto"/>
        </w:rPr>
      </w:pPr>
      <w:r w:rsidRPr="004D683B">
        <w:rPr>
          <w:b/>
          <w:bCs/>
          <w:color w:val="auto"/>
        </w:rPr>
        <w:t xml:space="preserve">9. </w:t>
      </w:r>
      <w:r>
        <w:rPr>
          <w:b/>
          <w:bCs/>
          <w:color w:val="auto"/>
        </w:rPr>
        <w:t xml:space="preserve"> </w:t>
      </w:r>
      <w:r w:rsidRPr="004D683B">
        <w:rPr>
          <w:b/>
          <w:bCs/>
          <w:color w:val="auto"/>
          <w:u w:val="single"/>
        </w:rPr>
        <w:t>Payments or Gifts to Respondents</w:t>
      </w:r>
    </w:p>
    <w:p w:rsidR="00BC5C20" w:rsidP="00BC5C20" w:rsidRDefault="00BC5C20" w14:paraId="29CC9362" w14:textId="1952F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16191" w:rsidP="00BC5C20" w:rsidRDefault="00C16191" w14:paraId="1F374C19" w14:textId="215D23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Not applicable.  No payment, gifts, or other incentives are provided to respondents.</w:t>
      </w:r>
    </w:p>
    <w:p w:rsidR="00295103" w:rsidRDefault="00295103" w14:paraId="283EF1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5C20" w:rsidP="00BC5C20" w:rsidRDefault="00BC5C20" w14:paraId="11CEAE66" w14:textId="77777777">
      <w:pPr>
        <w:ind w:right="990"/>
        <w:rPr>
          <w:sz w:val="24"/>
          <w:szCs w:val="24"/>
        </w:rPr>
      </w:pPr>
      <w:r w:rsidRPr="00DB229D">
        <w:rPr>
          <w:b/>
          <w:bCs/>
          <w:sz w:val="24"/>
          <w:szCs w:val="24"/>
        </w:rPr>
        <w:t xml:space="preserve">10.  </w:t>
      </w:r>
      <w:r w:rsidRPr="004D683B">
        <w:rPr>
          <w:b/>
          <w:bCs/>
          <w:sz w:val="24"/>
          <w:szCs w:val="24"/>
          <w:u w:val="single"/>
        </w:rPr>
        <w:t>Assurances of Confidentiality</w:t>
      </w:r>
    </w:p>
    <w:p w:rsidR="00BC5C20" w:rsidRDefault="00BC5C20" w14:paraId="410534A1" w14:textId="6B1E29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16191" w:rsidRDefault="0064710C" w14:paraId="7F28D586" w14:textId="716D7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00AC01AB">
        <w:rPr>
          <w:sz w:val="24"/>
          <w:szCs w:val="24"/>
        </w:rPr>
        <w:t xml:space="preserve">he Bureau does not collect </w:t>
      </w:r>
      <w:r w:rsidR="00740B62">
        <w:rPr>
          <w:sz w:val="24"/>
          <w:szCs w:val="24"/>
        </w:rPr>
        <w:t xml:space="preserve">any information under this rule.  </w:t>
      </w:r>
    </w:p>
    <w:p w:rsidR="004A6DFA" w:rsidRDefault="004A6DFA" w14:paraId="7FC0D9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D683B" w:rsidR="00BC5C20" w:rsidP="00BC5C20" w:rsidRDefault="00BC5C20" w14:paraId="24633698" w14:textId="77777777">
      <w:pPr>
        <w:pStyle w:val="Default"/>
        <w:rPr>
          <w:color w:val="auto"/>
        </w:rPr>
      </w:pPr>
      <w:r w:rsidRPr="00DB229D">
        <w:rPr>
          <w:b/>
        </w:rPr>
        <w:t>11.</w:t>
      </w:r>
      <w:r>
        <w:rPr>
          <w:b/>
        </w:rPr>
        <w:t xml:space="preserve">  </w:t>
      </w:r>
      <w:r w:rsidRPr="004D683B">
        <w:rPr>
          <w:b/>
          <w:bCs/>
          <w:color w:val="auto"/>
          <w:u w:val="single"/>
        </w:rPr>
        <w:t>Justification for Sensitive Questions</w:t>
      </w:r>
    </w:p>
    <w:p w:rsidR="00BC5C20" w:rsidRDefault="00BC5C20" w14:paraId="0D323E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C5C20" w:rsidP="00BC5C20" w:rsidRDefault="00485D04" w14:paraId="5B81B5EE" w14:textId="56A180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is no information of a sensitive nature being requested by the Bureau under this information collection.</w:t>
      </w:r>
    </w:p>
    <w:p w:rsidR="00485D04" w:rsidP="00BC5C20" w:rsidRDefault="00485D04" w14:paraId="22C1843D" w14:textId="27B280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5C20" w:rsidP="00BC5C20" w:rsidRDefault="00BC5C20" w14:paraId="1A2D582F" w14:textId="77777777">
      <w:pPr>
        <w:pStyle w:val="Default"/>
        <w:rPr>
          <w:b/>
          <w:bCs/>
          <w:u w:val="single"/>
        </w:rPr>
      </w:pPr>
      <w:r w:rsidRPr="004D683B">
        <w:rPr>
          <w:b/>
          <w:bCs/>
        </w:rPr>
        <w:t xml:space="preserve">12.  </w:t>
      </w:r>
      <w:r w:rsidRPr="004D683B">
        <w:rPr>
          <w:b/>
          <w:bCs/>
          <w:u w:val="single"/>
        </w:rPr>
        <w:t>Estimated Burden of Information Collection</w:t>
      </w:r>
    </w:p>
    <w:p w:rsidR="00BC5C20" w:rsidRDefault="00BC5C20" w14:paraId="589CCC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A7177" w:rsidR="008959DA" w:rsidP="008959DA" w:rsidRDefault="00AF10F2" w14:paraId="124D0BC8" w14:textId="17980B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Total Hours</w:t>
      </w:r>
      <w:r w:rsidR="001A7177">
        <w:rPr>
          <w:sz w:val="24"/>
          <w:szCs w:val="24"/>
          <w:u w:val="single"/>
        </w:rPr>
        <w:t xml:space="preserve"> Allocated to CFPB</w:t>
      </w:r>
      <w:r>
        <w:rPr>
          <w:sz w:val="24"/>
          <w:szCs w:val="24"/>
          <w:u w:val="single"/>
        </w:rPr>
        <w:t>:</w:t>
      </w:r>
      <w:r w:rsidR="001A7177">
        <w:rPr>
          <w:sz w:val="24"/>
          <w:szCs w:val="24"/>
        </w:rPr>
        <w:t xml:space="preserve">  </w:t>
      </w:r>
      <w:r w:rsidRPr="00825849" w:rsidR="00A10966">
        <w:rPr>
          <w:b/>
          <w:bCs/>
          <w:sz w:val="24"/>
          <w:szCs w:val="24"/>
        </w:rPr>
        <w:t>3,000</w:t>
      </w:r>
    </w:p>
    <w:p w:rsidR="00AF10F2" w:rsidP="008959DA" w:rsidRDefault="00AF10F2" w14:paraId="30C9B1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A7177" w:rsidR="00AF10F2" w:rsidP="001A7177" w:rsidRDefault="00AF10F2" w14:paraId="449FDE8C" w14:textId="20C9C5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Total Associated Labor Costs</w:t>
      </w:r>
      <w:r w:rsidR="001A7177">
        <w:rPr>
          <w:sz w:val="24"/>
          <w:szCs w:val="24"/>
          <w:u w:val="single"/>
        </w:rPr>
        <w:t xml:space="preserve"> Allocated to CFPB</w:t>
      </w:r>
      <w:r>
        <w:rPr>
          <w:sz w:val="24"/>
          <w:szCs w:val="24"/>
          <w:u w:val="single"/>
        </w:rPr>
        <w:t>:</w:t>
      </w:r>
      <w:r w:rsidR="001A7177">
        <w:rPr>
          <w:sz w:val="24"/>
          <w:szCs w:val="24"/>
        </w:rPr>
        <w:t xml:space="preserve">  </w:t>
      </w:r>
      <w:r w:rsidRPr="008F0B76" w:rsidR="00595D29">
        <w:rPr>
          <w:b/>
          <w:bCs/>
          <w:color w:val="000000"/>
          <w:sz w:val="24"/>
          <w:szCs w:val="24"/>
        </w:rPr>
        <w:t>$</w:t>
      </w:r>
      <w:r w:rsidR="00A10966">
        <w:rPr>
          <w:b/>
          <w:bCs/>
          <w:color w:val="000000"/>
          <w:sz w:val="24"/>
          <w:szCs w:val="24"/>
        </w:rPr>
        <w:t>5</w:t>
      </w:r>
      <w:r w:rsidR="002A54E9">
        <w:rPr>
          <w:b/>
          <w:bCs/>
          <w:color w:val="000000"/>
          <w:sz w:val="24"/>
          <w:szCs w:val="24"/>
        </w:rPr>
        <w:t>3,500</w:t>
      </w:r>
    </w:p>
    <w:p w:rsidR="00AF10F2" w:rsidP="008959DA" w:rsidRDefault="00AF10F2" w14:paraId="442985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16118" w:rsidP="008959DA" w:rsidRDefault="00216118" w14:paraId="07FB83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Covered Entities</w:t>
      </w:r>
    </w:p>
    <w:p w:rsidR="00482420" w:rsidP="00216118" w:rsidRDefault="00482420" w14:paraId="506A2F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00A57A04" w:rsidP="00A57A04" w:rsidRDefault="00482420" w14:paraId="1678548C" w14:textId="36DE37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r w:rsidR="00216118">
        <w:rPr>
          <w:sz w:val="24"/>
          <w:szCs w:val="24"/>
        </w:rPr>
        <w:t>The rule</w:t>
      </w:r>
      <w:r w:rsidR="002928B0">
        <w:rPr>
          <w:sz w:val="24"/>
          <w:szCs w:val="24"/>
        </w:rPr>
        <w:t>s</w:t>
      </w:r>
      <w:r w:rsidR="00216118">
        <w:rPr>
          <w:sz w:val="24"/>
          <w:szCs w:val="24"/>
        </w:rPr>
        <w:t xml:space="preserve"> would apply to </w:t>
      </w:r>
      <w:r w:rsidR="004025A1">
        <w:rPr>
          <w:sz w:val="24"/>
          <w:szCs w:val="24"/>
        </w:rPr>
        <w:t>debt collectors</w:t>
      </w:r>
      <w:r w:rsidR="007D7C77">
        <w:rPr>
          <w:sz w:val="24"/>
          <w:szCs w:val="24"/>
        </w:rPr>
        <w:t xml:space="preserve"> as defined in the </w:t>
      </w:r>
      <w:proofErr w:type="spellStart"/>
      <w:r w:rsidR="007D7C77">
        <w:rPr>
          <w:sz w:val="24"/>
          <w:szCs w:val="24"/>
        </w:rPr>
        <w:t>FDCPA</w:t>
      </w:r>
      <w:r w:rsidRPr="004025A1" w:rsidR="004025A1">
        <w:rPr>
          <w:sz w:val="24"/>
          <w:szCs w:val="24"/>
        </w:rPr>
        <w:t>who</w:t>
      </w:r>
      <w:proofErr w:type="spellEnd"/>
      <w:r w:rsidRPr="004025A1" w:rsidR="004025A1">
        <w:rPr>
          <w:sz w:val="24"/>
          <w:szCs w:val="24"/>
        </w:rPr>
        <w:t xml:space="preserve"> engage in eviction proceedings on behalf of landlords or residential property owners to collect unpaid residential rent</w:t>
      </w:r>
      <w:r w:rsidR="00825849">
        <w:rPr>
          <w:sz w:val="24"/>
          <w:szCs w:val="24"/>
        </w:rPr>
        <w:t xml:space="preserve">, which the Bureau expects would generally be </w:t>
      </w:r>
      <w:r w:rsidRPr="004025A1" w:rsidR="00825849">
        <w:rPr>
          <w:sz w:val="24"/>
          <w:szCs w:val="24"/>
        </w:rPr>
        <w:t>attorneys</w:t>
      </w:r>
      <w:r w:rsidR="004025A1">
        <w:rPr>
          <w:sz w:val="24"/>
          <w:szCs w:val="24"/>
        </w:rPr>
        <w:t>.  The Bureau estimates that there are approximately 500 such</w:t>
      </w:r>
      <w:r w:rsidR="005F68D5">
        <w:rPr>
          <w:sz w:val="24"/>
          <w:szCs w:val="24"/>
        </w:rPr>
        <w:t xml:space="preserve"> firms primar</w:t>
      </w:r>
      <w:r w:rsidR="00960580">
        <w:rPr>
          <w:sz w:val="24"/>
          <w:szCs w:val="24"/>
        </w:rPr>
        <w:t>ily engaged in collecting consumer debt.</w:t>
      </w:r>
    </w:p>
    <w:p w:rsidR="00463812" w:rsidP="008959DA" w:rsidRDefault="00463812" w14:paraId="62A29E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4FBC" w:rsidP="009A4FBC" w:rsidRDefault="009A4FBC" w14:paraId="13AF28F9" w14:textId="0E232B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Exhibit 1: Burden Hour Summary</w:t>
      </w:r>
    </w:p>
    <w:p w:rsidR="00421979" w:rsidP="009A4FBC" w:rsidRDefault="00421979" w14:paraId="1945D3D7" w14:textId="696E39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EC39B9" w:rsidP="00EC39B9" w:rsidRDefault="00EC39B9" w14:paraId="6648E9D3" w14:textId="22D7CB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12020" w:type="dxa"/>
        <w:jc w:val="center"/>
        <w:tblLayout w:type="fixed"/>
        <w:tblLook w:val="04A0" w:firstRow="1" w:lastRow="0" w:firstColumn="1" w:lastColumn="0" w:noHBand="0" w:noVBand="1"/>
      </w:tblPr>
      <w:tblGrid>
        <w:gridCol w:w="1644"/>
        <w:gridCol w:w="1306"/>
        <w:gridCol w:w="1416"/>
        <w:gridCol w:w="1204"/>
        <w:gridCol w:w="1170"/>
        <w:gridCol w:w="1050"/>
        <w:gridCol w:w="1200"/>
        <w:gridCol w:w="1350"/>
        <w:gridCol w:w="1680"/>
      </w:tblGrid>
      <w:tr w:rsidRPr="003E1901" w:rsidR="0043249E" w:rsidTr="00525F87" w14:paraId="387B8BDC" w14:textId="77777777">
        <w:trPr>
          <w:trHeight w:val="760"/>
          <w:tblHeader/>
          <w:jc w:val="center"/>
        </w:trPr>
        <w:tc>
          <w:tcPr>
            <w:tcW w:w="164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303F1476" w14:textId="77777777">
            <w:pPr>
              <w:widowControl/>
              <w:autoSpaceDE/>
              <w:autoSpaceDN/>
              <w:adjustRightInd/>
              <w:rPr>
                <w:b/>
                <w:bCs/>
                <w:color w:val="000000"/>
              </w:rPr>
            </w:pPr>
            <w:r w:rsidRPr="003E1901">
              <w:rPr>
                <w:b/>
                <w:bCs/>
                <w:color w:val="000000"/>
              </w:rPr>
              <w:t>Information Collection Requirement</w:t>
            </w:r>
          </w:p>
        </w:tc>
        <w:tc>
          <w:tcPr>
            <w:tcW w:w="1306"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7F00AD4F" w14:textId="77777777">
            <w:pPr>
              <w:widowControl/>
              <w:autoSpaceDE/>
              <w:autoSpaceDN/>
              <w:adjustRightInd/>
              <w:rPr>
                <w:b/>
                <w:bCs/>
                <w:color w:val="000000"/>
              </w:rPr>
            </w:pPr>
            <w:r w:rsidRPr="003E1901">
              <w:rPr>
                <w:b/>
                <w:bCs/>
                <w:color w:val="000000"/>
              </w:rPr>
              <w:t>No. of Respondents</w:t>
            </w:r>
          </w:p>
        </w:tc>
        <w:tc>
          <w:tcPr>
            <w:tcW w:w="1416"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5805A39D" w14:textId="77777777">
            <w:pPr>
              <w:widowControl/>
              <w:autoSpaceDE/>
              <w:autoSpaceDN/>
              <w:adjustRightInd/>
              <w:jc w:val="center"/>
              <w:rPr>
                <w:b/>
                <w:bCs/>
                <w:color w:val="000000"/>
              </w:rPr>
            </w:pPr>
            <w:r w:rsidRPr="003E1901">
              <w:rPr>
                <w:b/>
                <w:bCs/>
                <w:color w:val="000000"/>
              </w:rPr>
              <w:t>Type of IC</w:t>
            </w:r>
          </w:p>
        </w:tc>
        <w:tc>
          <w:tcPr>
            <w:tcW w:w="1204" w:type="dxa"/>
            <w:tcBorders>
              <w:top w:val="single" w:color="auto" w:sz="8" w:space="0"/>
              <w:left w:val="nil"/>
              <w:bottom w:val="single" w:color="auto" w:sz="8" w:space="0"/>
              <w:right w:val="single" w:color="auto" w:sz="8" w:space="0"/>
            </w:tcBorders>
            <w:shd w:val="clear" w:color="auto" w:fill="auto"/>
            <w:vAlign w:val="center"/>
            <w:hideMark/>
          </w:tcPr>
          <w:p w:rsidR="003506B6" w:rsidP="003E1901" w:rsidRDefault="003506B6" w14:paraId="5BC2FC9A" w14:textId="77777777">
            <w:pPr>
              <w:widowControl/>
              <w:autoSpaceDE/>
              <w:autoSpaceDN/>
              <w:adjustRightInd/>
              <w:rPr>
                <w:b/>
                <w:bCs/>
                <w:color w:val="000000"/>
              </w:rPr>
            </w:pPr>
            <w:r>
              <w:rPr>
                <w:b/>
                <w:bCs/>
                <w:color w:val="000000"/>
              </w:rPr>
              <w:t>Annual</w:t>
            </w:r>
          </w:p>
          <w:p w:rsidRPr="003E1901" w:rsidR="003E1901" w:rsidP="003E1901" w:rsidRDefault="003E1901" w14:paraId="6B6297DF" w14:textId="477B2EE6">
            <w:pPr>
              <w:widowControl/>
              <w:autoSpaceDE/>
              <w:autoSpaceDN/>
              <w:adjustRightInd/>
              <w:rPr>
                <w:b/>
                <w:bCs/>
                <w:color w:val="000000"/>
              </w:rPr>
            </w:pPr>
            <w:r w:rsidRPr="003E1901">
              <w:rPr>
                <w:b/>
                <w:bCs/>
                <w:color w:val="000000"/>
              </w:rPr>
              <w:t xml:space="preserve">Frequency </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40693E0C" w14:textId="77777777">
            <w:pPr>
              <w:widowControl/>
              <w:autoSpaceDE/>
              <w:autoSpaceDN/>
              <w:adjustRightInd/>
              <w:rPr>
                <w:b/>
                <w:bCs/>
                <w:color w:val="000000"/>
              </w:rPr>
            </w:pPr>
            <w:r w:rsidRPr="003E1901">
              <w:rPr>
                <w:b/>
                <w:bCs/>
                <w:color w:val="000000"/>
              </w:rPr>
              <w:t>Annual Responses</w:t>
            </w:r>
          </w:p>
        </w:tc>
        <w:tc>
          <w:tcPr>
            <w:tcW w:w="1050"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207E2BE7" w14:textId="77777777">
            <w:pPr>
              <w:widowControl/>
              <w:autoSpaceDE/>
              <w:autoSpaceDN/>
              <w:adjustRightInd/>
              <w:rPr>
                <w:b/>
                <w:bCs/>
                <w:color w:val="000000"/>
              </w:rPr>
            </w:pPr>
            <w:r w:rsidRPr="003E1901">
              <w:rPr>
                <w:b/>
                <w:bCs/>
                <w:color w:val="000000"/>
              </w:rPr>
              <w:t>Average Response Time (hours)</w:t>
            </w:r>
          </w:p>
        </w:tc>
        <w:tc>
          <w:tcPr>
            <w:tcW w:w="1200"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2366F2B8" w14:textId="77777777">
            <w:pPr>
              <w:widowControl/>
              <w:autoSpaceDE/>
              <w:autoSpaceDN/>
              <w:adjustRightInd/>
              <w:rPr>
                <w:b/>
                <w:bCs/>
                <w:color w:val="000000"/>
              </w:rPr>
            </w:pPr>
            <w:r w:rsidRPr="003E1901">
              <w:rPr>
                <w:b/>
                <w:bCs/>
                <w:color w:val="000000"/>
              </w:rPr>
              <w:t>Annual Burden Hours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3F7A405B" w14:textId="77777777">
            <w:pPr>
              <w:widowControl/>
              <w:autoSpaceDE/>
              <w:autoSpaceDN/>
              <w:adjustRightInd/>
              <w:rPr>
                <w:b/>
                <w:bCs/>
                <w:color w:val="000000"/>
              </w:rPr>
            </w:pPr>
            <w:r w:rsidRPr="003E1901">
              <w:rPr>
                <w:b/>
                <w:bCs/>
                <w:color w:val="000000"/>
              </w:rPr>
              <w:t xml:space="preserve">Hourly Rate </w:t>
            </w:r>
          </w:p>
        </w:tc>
        <w:tc>
          <w:tcPr>
            <w:tcW w:w="1680"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5003AFC9" w14:textId="77777777">
            <w:pPr>
              <w:widowControl/>
              <w:autoSpaceDE/>
              <w:autoSpaceDN/>
              <w:adjustRightInd/>
              <w:rPr>
                <w:b/>
                <w:bCs/>
                <w:color w:val="000000"/>
              </w:rPr>
            </w:pPr>
            <w:r w:rsidRPr="003E1901">
              <w:rPr>
                <w:b/>
                <w:bCs/>
                <w:color w:val="000000"/>
              </w:rPr>
              <w:t>Hourly Costs</w:t>
            </w:r>
          </w:p>
        </w:tc>
      </w:tr>
      <w:tr w:rsidRPr="003E1901" w:rsidR="000747D2" w:rsidTr="00825849" w14:paraId="5E1EE837" w14:textId="77777777">
        <w:trPr>
          <w:trHeight w:val="331"/>
          <w:jc w:val="center"/>
        </w:trPr>
        <w:tc>
          <w:tcPr>
            <w:tcW w:w="1644" w:type="dxa"/>
            <w:tcBorders>
              <w:top w:val="nil"/>
              <w:left w:val="single" w:color="auto" w:sz="8" w:space="0"/>
              <w:bottom w:val="single" w:color="auto" w:sz="8" w:space="0"/>
              <w:right w:val="single" w:color="auto" w:sz="8" w:space="0"/>
            </w:tcBorders>
            <w:shd w:val="clear" w:color="auto" w:fill="auto"/>
            <w:vAlign w:val="center"/>
          </w:tcPr>
          <w:p w:rsidRPr="00825849" w:rsidR="000747D2" w:rsidP="00825849" w:rsidRDefault="00615320" w14:paraId="166BCD2D" w14:textId="59794DE8">
            <w:pPr>
              <w:widowControl/>
              <w:autoSpaceDE/>
              <w:autoSpaceDN/>
              <w:adjustRightInd/>
              <w:rPr>
                <w:i/>
                <w:iCs/>
                <w:color w:val="FF0000"/>
              </w:rPr>
            </w:pPr>
            <w:r>
              <w:rPr>
                <w:i/>
                <w:iCs/>
              </w:rPr>
              <w:t xml:space="preserve">Disclosures </w:t>
            </w:r>
            <w:r w:rsidR="00DE3B5D">
              <w:rPr>
                <w:i/>
                <w:iCs/>
              </w:rPr>
              <w:t xml:space="preserve">regarding </w:t>
            </w:r>
            <w:r w:rsidR="00687197">
              <w:rPr>
                <w:i/>
                <w:iCs/>
              </w:rPr>
              <w:t>temporary eviction moratorium</w:t>
            </w:r>
          </w:p>
        </w:tc>
        <w:tc>
          <w:tcPr>
            <w:tcW w:w="1306" w:type="dxa"/>
            <w:tcBorders>
              <w:top w:val="nil"/>
              <w:left w:val="nil"/>
              <w:bottom w:val="single" w:color="auto" w:sz="8" w:space="0"/>
              <w:right w:val="single" w:color="auto" w:sz="8" w:space="0"/>
            </w:tcBorders>
            <w:shd w:val="clear" w:color="auto" w:fill="auto"/>
            <w:vAlign w:val="center"/>
          </w:tcPr>
          <w:p w:rsidRPr="00825849" w:rsidR="000747D2" w:rsidP="003E1901" w:rsidRDefault="000747D2" w14:paraId="40AAFB3C" w14:textId="77777777">
            <w:pPr>
              <w:widowControl/>
              <w:autoSpaceDE/>
              <w:autoSpaceDN/>
              <w:adjustRightInd/>
              <w:jc w:val="right"/>
              <w:rPr>
                <w:i/>
                <w:iCs/>
                <w:color w:val="000000"/>
              </w:rPr>
            </w:pPr>
          </w:p>
        </w:tc>
        <w:tc>
          <w:tcPr>
            <w:tcW w:w="1416" w:type="dxa"/>
            <w:tcBorders>
              <w:top w:val="nil"/>
              <w:left w:val="nil"/>
              <w:bottom w:val="single" w:color="auto" w:sz="8" w:space="0"/>
              <w:right w:val="single" w:color="auto" w:sz="8" w:space="0"/>
            </w:tcBorders>
            <w:shd w:val="clear" w:color="auto" w:fill="auto"/>
            <w:vAlign w:val="center"/>
          </w:tcPr>
          <w:p w:rsidRPr="00825849" w:rsidR="000747D2" w:rsidP="00825849" w:rsidRDefault="000747D2" w14:paraId="7A74F600" w14:textId="58615998">
            <w:pPr>
              <w:widowControl/>
              <w:autoSpaceDE/>
              <w:autoSpaceDN/>
              <w:adjustRightInd/>
              <w:jc w:val="center"/>
              <w:rPr>
                <w:i/>
                <w:iCs/>
                <w:color w:val="000000"/>
              </w:rPr>
            </w:pPr>
            <w:r w:rsidRPr="00825849">
              <w:rPr>
                <w:i/>
                <w:iCs/>
                <w:color w:val="000000"/>
              </w:rPr>
              <w:t>Disclosure</w:t>
            </w:r>
          </w:p>
        </w:tc>
        <w:tc>
          <w:tcPr>
            <w:tcW w:w="1204" w:type="dxa"/>
            <w:tcBorders>
              <w:top w:val="nil"/>
              <w:left w:val="nil"/>
              <w:bottom w:val="single" w:color="auto" w:sz="8" w:space="0"/>
              <w:right w:val="single" w:color="auto" w:sz="8" w:space="0"/>
            </w:tcBorders>
            <w:shd w:val="clear" w:color="auto" w:fill="auto"/>
            <w:vAlign w:val="center"/>
          </w:tcPr>
          <w:p w:rsidR="000747D2" w:rsidP="003E1901" w:rsidRDefault="000747D2" w14:paraId="740E4998" w14:textId="77777777">
            <w:pPr>
              <w:widowControl/>
              <w:autoSpaceDE/>
              <w:autoSpaceDN/>
              <w:adjustRightInd/>
              <w:jc w:val="right"/>
              <w:rPr>
                <w:color w:val="000000"/>
              </w:rPr>
            </w:pPr>
          </w:p>
        </w:tc>
        <w:tc>
          <w:tcPr>
            <w:tcW w:w="1170" w:type="dxa"/>
            <w:tcBorders>
              <w:top w:val="nil"/>
              <w:left w:val="nil"/>
              <w:bottom w:val="single" w:color="auto" w:sz="8" w:space="0"/>
              <w:right w:val="single" w:color="auto" w:sz="8" w:space="0"/>
            </w:tcBorders>
            <w:shd w:val="clear" w:color="auto" w:fill="auto"/>
            <w:vAlign w:val="center"/>
          </w:tcPr>
          <w:p w:rsidRPr="003E1901" w:rsidR="000747D2" w:rsidP="003E1901" w:rsidRDefault="000747D2" w14:paraId="632A4620" w14:textId="77777777">
            <w:pPr>
              <w:widowControl/>
              <w:autoSpaceDE/>
              <w:autoSpaceDN/>
              <w:adjustRightInd/>
              <w:jc w:val="right"/>
              <w:rPr>
                <w:color w:val="000000"/>
              </w:rPr>
            </w:pPr>
          </w:p>
        </w:tc>
        <w:tc>
          <w:tcPr>
            <w:tcW w:w="1050" w:type="dxa"/>
            <w:tcBorders>
              <w:top w:val="nil"/>
              <w:left w:val="nil"/>
              <w:bottom w:val="single" w:color="auto" w:sz="8" w:space="0"/>
              <w:right w:val="single" w:color="auto" w:sz="8" w:space="0"/>
            </w:tcBorders>
            <w:shd w:val="clear" w:color="auto" w:fill="auto"/>
            <w:vAlign w:val="center"/>
          </w:tcPr>
          <w:p w:rsidRPr="003E1901" w:rsidR="000747D2" w:rsidP="003E1901" w:rsidRDefault="000747D2" w14:paraId="67D127D8" w14:textId="77777777">
            <w:pPr>
              <w:widowControl/>
              <w:autoSpaceDE/>
              <w:autoSpaceDN/>
              <w:adjustRightInd/>
              <w:jc w:val="right"/>
              <w:rPr>
                <w:color w:val="000000"/>
              </w:rPr>
            </w:pPr>
          </w:p>
        </w:tc>
        <w:tc>
          <w:tcPr>
            <w:tcW w:w="1200" w:type="dxa"/>
            <w:tcBorders>
              <w:top w:val="nil"/>
              <w:left w:val="nil"/>
              <w:bottom w:val="single" w:color="auto" w:sz="8" w:space="0"/>
              <w:right w:val="single" w:color="auto" w:sz="8" w:space="0"/>
            </w:tcBorders>
            <w:shd w:val="clear" w:color="auto" w:fill="auto"/>
            <w:vAlign w:val="center"/>
          </w:tcPr>
          <w:p w:rsidRPr="003E1901" w:rsidR="000747D2" w:rsidP="003E1901" w:rsidRDefault="000747D2" w14:paraId="5DF26AB9" w14:textId="77777777">
            <w:pPr>
              <w:widowControl/>
              <w:autoSpaceDE/>
              <w:autoSpaceDN/>
              <w:adjustRightInd/>
              <w:jc w:val="right"/>
              <w:rPr>
                <w:color w:val="000000"/>
              </w:rPr>
            </w:pPr>
          </w:p>
        </w:tc>
        <w:tc>
          <w:tcPr>
            <w:tcW w:w="1350" w:type="dxa"/>
            <w:tcBorders>
              <w:top w:val="nil"/>
              <w:left w:val="nil"/>
              <w:bottom w:val="single" w:color="auto" w:sz="8" w:space="0"/>
              <w:right w:val="single" w:color="auto" w:sz="8" w:space="0"/>
            </w:tcBorders>
            <w:shd w:val="clear" w:color="auto" w:fill="auto"/>
            <w:vAlign w:val="center"/>
          </w:tcPr>
          <w:p w:rsidRPr="003E1901" w:rsidR="000747D2" w:rsidP="003E1901" w:rsidRDefault="000747D2" w14:paraId="37F53292" w14:textId="77777777">
            <w:pPr>
              <w:widowControl/>
              <w:autoSpaceDE/>
              <w:autoSpaceDN/>
              <w:adjustRightInd/>
              <w:jc w:val="right"/>
              <w:rPr>
                <w:color w:val="000000"/>
              </w:rPr>
            </w:pPr>
          </w:p>
        </w:tc>
        <w:tc>
          <w:tcPr>
            <w:tcW w:w="1680" w:type="dxa"/>
            <w:tcBorders>
              <w:top w:val="nil"/>
              <w:left w:val="nil"/>
              <w:bottom w:val="single" w:color="auto" w:sz="8" w:space="0"/>
              <w:right w:val="single" w:color="auto" w:sz="8" w:space="0"/>
            </w:tcBorders>
            <w:shd w:val="clear" w:color="auto" w:fill="auto"/>
            <w:vAlign w:val="center"/>
          </w:tcPr>
          <w:p w:rsidRPr="003E1901" w:rsidR="000747D2" w:rsidP="003E1901" w:rsidRDefault="000747D2" w14:paraId="54A1CC13" w14:textId="77777777">
            <w:pPr>
              <w:widowControl/>
              <w:autoSpaceDE/>
              <w:autoSpaceDN/>
              <w:adjustRightInd/>
              <w:jc w:val="right"/>
              <w:rPr>
                <w:color w:val="000000"/>
              </w:rPr>
            </w:pPr>
          </w:p>
        </w:tc>
      </w:tr>
      <w:tr w:rsidRPr="003E1901" w:rsidR="000747D2" w:rsidTr="00525F87" w14:paraId="20ECF826" w14:textId="77777777">
        <w:trPr>
          <w:trHeight w:val="760"/>
          <w:jc w:val="center"/>
        </w:trPr>
        <w:tc>
          <w:tcPr>
            <w:tcW w:w="1644" w:type="dxa"/>
            <w:tcBorders>
              <w:top w:val="nil"/>
              <w:left w:val="single" w:color="auto" w:sz="8" w:space="0"/>
              <w:bottom w:val="single" w:color="auto" w:sz="8" w:space="0"/>
              <w:right w:val="single" w:color="auto" w:sz="8" w:space="0"/>
            </w:tcBorders>
            <w:shd w:val="clear" w:color="auto" w:fill="auto"/>
            <w:vAlign w:val="center"/>
          </w:tcPr>
          <w:p w:rsidRPr="00825849" w:rsidR="000747D2" w:rsidP="00825849" w:rsidRDefault="00687197" w14:paraId="62BF74B9" w14:textId="4A96DF37">
            <w:pPr>
              <w:widowControl/>
              <w:autoSpaceDE/>
              <w:autoSpaceDN/>
              <w:adjustRightInd/>
              <w:ind w:left="240"/>
              <w:rPr>
                <w:b/>
                <w:bCs/>
                <w:color w:val="FF0000"/>
              </w:rPr>
            </w:pPr>
            <w:r w:rsidRPr="00825849">
              <w:t>Disclosures regarding temporary eviction moratorium</w:t>
            </w:r>
          </w:p>
        </w:tc>
        <w:tc>
          <w:tcPr>
            <w:tcW w:w="1306" w:type="dxa"/>
            <w:tcBorders>
              <w:top w:val="nil"/>
              <w:left w:val="nil"/>
              <w:bottom w:val="single" w:color="auto" w:sz="8" w:space="0"/>
              <w:right w:val="single" w:color="auto" w:sz="8" w:space="0"/>
            </w:tcBorders>
            <w:shd w:val="clear" w:color="auto" w:fill="auto"/>
            <w:vAlign w:val="center"/>
          </w:tcPr>
          <w:p w:rsidRPr="003E1901" w:rsidR="000747D2" w:rsidP="003E1901" w:rsidRDefault="000747D2" w14:paraId="65EDC8E1" w14:textId="66C7E99A">
            <w:pPr>
              <w:widowControl/>
              <w:autoSpaceDE/>
              <w:autoSpaceDN/>
              <w:adjustRightInd/>
              <w:jc w:val="right"/>
              <w:rPr>
                <w:color w:val="000000"/>
              </w:rPr>
            </w:pPr>
            <w:r>
              <w:rPr>
                <w:color w:val="000000"/>
              </w:rPr>
              <w:t>500</w:t>
            </w:r>
          </w:p>
        </w:tc>
        <w:tc>
          <w:tcPr>
            <w:tcW w:w="1416" w:type="dxa"/>
            <w:tcBorders>
              <w:top w:val="nil"/>
              <w:left w:val="nil"/>
              <w:bottom w:val="single" w:color="auto" w:sz="8" w:space="0"/>
              <w:right w:val="single" w:color="auto" w:sz="8" w:space="0"/>
            </w:tcBorders>
            <w:shd w:val="clear" w:color="auto" w:fill="auto"/>
            <w:vAlign w:val="center"/>
          </w:tcPr>
          <w:p w:rsidRPr="003E1901" w:rsidR="000747D2" w:rsidP="003E1901" w:rsidRDefault="000747D2" w14:paraId="6E403A40" w14:textId="77777777">
            <w:pPr>
              <w:widowControl/>
              <w:autoSpaceDE/>
              <w:autoSpaceDN/>
              <w:adjustRightInd/>
              <w:jc w:val="right"/>
              <w:rPr>
                <w:color w:val="000000"/>
              </w:rPr>
            </w:pPr>
          </w:p>
        </w:tc>
        <w:tc>
          <w:tcPr>
            <w:tcW w:w="1204" w:type="dxa"/>
            <w:tcBorders>
              <w:top w:val="nil"/>
              <w:left w:val="nil"/>
              <w:bottom w:val="single" w:color="auto" w:sz="8" w:space="0"/>
              <w:right w:val="single" w:color="auto" w:sz="8" w:space="0"/>
            </w:tcBorders>
            <w:shd w:val="clear" w:color="auto" w:fill="auto"/>
            <w:vAlign w:val="center"/>
          </w:tcPr>
          <w:p w:rsidR="000747D2" w:rsidP="003E1901" w:rsidRDefault="00634787" w14:paraId="31079346" w14:textId="169FD282">
            <w:pPr>
              <w:widowControl/>
              <w:autoSpaceDE/>
              <w:autoSpaceDN/>
              <w:adjustRightInd/>
              <w:jc w:val="right"/>
              <w:rPr>
                <w:color w:val="000000"/>
              </w:rPr>
            </w:pPr>
            <w:r>
              <w:rPr>
                <w:color w:val="000000"/>
              </w:rPr>
              <w:t>2</w:t>
            </w:r>
            <w:r w:rsidR="00E80254">
              <w:rPr>
                <w:color w:val="000000"/>
              </w:rPr>
              <w:t>,</w:t>
            </w:r>
            <w:r>
              <w:rPr>
                <w:color w:val="000000"/>
              </w:rPr>
              <w:t>8</w:t>
            </w:r>
            <w:r w:rsidR="00E80254">
              <w:rPr>
                <w:color w:val="000000"/>
              </w:rPr>
              <w:t>80</w:t>
            </w:r>
          </w:p>
        </w:tc>
        <w:tc>
          <w:tcPr>
            <w:tcW w:w="1170" w:type="dxa"/>
            <w:tcBorders>
              <w:top w:val="nil"/>
              <w:left w:val="nil"/>
              <w:bottom w:val="single" w:color="auto" w:sz="8" w:space="0"/>
              <w:right w:val="single" w:color="auto" w:sz="8" w:space="0"/>
            </w:tcBorders>
            <w:shd w:val="clear" w:color="auto" w:fill="auto"/>
            <w:vAlign w:val="center"/>
          </w:tcPr>
          <w:p w:rsidRPr="003E1901" w:rsidR="000747D2" w:rsidP="003E1901" w:rsidRDefault="005B39EB" w14:paraId="0AA9BF2C" w14:textId="58BD23A5">
            <w:pPr>
              <w:widowControl/>
              <w:autoSpaceDE/>
              <w:autoSpaceDN/>
              <w:adjustRightInd/>
              <w:jc w:val="right"/>
              <w:rPr>
                <w:color w:val="000000"/>
              </w:rPr>
            </w:pPr>
            <w:r>
              <w:rPr>
                <w:color w:val="000000"/>
              </w:rPr>
              <w:t>1,440</w:t>
            </w:r>
            <w:r w:rsidR="000747D2">
              <w:rPr>
                <w:color w:val="000000"/>
              </w:rPr>
              <w:t>,000</w:t>
            </w:r>
          </w:p>
        </w:tc>
        <w:tc>
          <w:tcPr>
            <w:tcW w:w="1050" w:type="dxa"/>
            <w:tcBorders>
              <w:top w:val="nil"/>
              <w:left w:val="nil"/>
              <w:bottom w:val="single" w:color="auto" w:sz="8" w:space="0"/>
              <w:right w:val="single" w:color="auto" w:sz="8" w:space="0"/>
            </w:tcBorders>
            <w:shd w:val="clear" w:color="auto" w:fill="auto"/>
            <w:vAlign w:val="center"/>
          </w:tcPr>
          <w:p w:rsidRPr="003E1901" w:rsidR="000747D2" w:rsidP="003E1901" w:rsidRDefault="000747D2" w14:paraId="2D17AD30" w14:textId="70CAF497">
            <w:pPr>
              <w:widowControl/>
              <w:autoSpaceDE/>
              <w:autoSpaceDN/>
              <w:adjustRightInd/>
              <w:jc w:val="right"/>
              <w:rPr>
                <w:color w:val="000000"/>
              </w:rPr>
            </w:pPr>
            <w:r>
              <w:rPr>
                <w:color w:val="000000"/>
              </w:rPr>
              <w:t>.0042</w:t>
            </w:r>
            <w:r w:rsidR="00D24F21">
              <w:rPr>
                <w:rStyle w:val="FootnoteReference"/>
                <w:color w:val="000000"/>
              </w:rPr>
              <w:footnoteReference w:id="5"/>
            </w:r>
          </w:p>
        </w:tc>
        <w:tc>
          <w:tcPr>
            <w:tcW w:w="1200" w:type="dxa"/>
            <w:tcBorders>
              <w:top w:val="nil"/>
              <w:left w:val="nil"/>
              <w:bottom w:val="single" w:color="auto" w:sz="8" w:space="0"/>
              <w:right w:val="single" w:color="auto" w:sz="8" w:space="0"/>
            </w:tcBorders>
            <w:shd w:val="clear" w:color="auto" w:fill="auto"/>
            <w:vAlign w:val="center"/>
          </w:tcPr>
          <w:p w:rsidRPr="003E1901" w:rsidR="000747D2" w:rsidP="003E1901" w:rsidRDefault="000C5529" w14:paraId="005BD8BE" w14:textId="2F8C371E">
            <w:pPr>
              <w:widowControl/>
              <w:autoSpaceDE/>
              <w:autoSpaceDN/>
              <w:adjustRightInd/>
              <w:jc w:val="right"/>
              <w:rPr>
                <w:color w:val="000000"/>
              </w:rPr>
            </w:pPr>
            <w:r>
              <w:rPr>
                <w:color w:val="000000"/>
              </w:rPr>
              <w:t>6,000</w:t>
            </w:r>
          </w:p>
        </w:tc>
        <w:tc>
          <w:tcPr>
            <w:tcW w:w="1350" w:type="dxa"/>
            <w:tcBorders>
              <w:top w:val="nil"/>
              <w:left w:val="nil"/>
              <w:bottom w:val="single" w:color="auto" w:sz="8" w:space="0"/>
              <w:right w:val="single" w:color="auto" w:sz="8" w:space="0"/>
            </w:tcBorders>
            <w:shd w:val="clear" w:color="auto" w:fill="auto"/>
            <w:vAlign w:val="center"/>
          </w:tcPr>
          <w:p w:rsidRPr="003E1901" w:rsidR="000747D2" w:rsidP="003E1901" w:rsidRDefault="000747D2" w14:paraId="5E969D61" w14:textId="3FD7CF64">
            <w:pPr>
              <w:widowControl/>
              <w:autoSpaceDE/>
              <w:autoSpaceDN/>
              <w:adjustRightInd/>
              <w:jc w:val="right"/>
              <w:rPr>
                <w:color w:val="000000"/>
              </w:rPr>
            </w:pPr>
            <w:r>
              <w:rPr>
                <w:color w:val="000000"/>
              </w:rPr>
              <w:t>$17.79</w:t>
            </w:r>
          </w:p>
        </w:tc>
        <w:tc>
          <w:tcPr>
            <w:tcW w:w="1680" w:type="dxa"/>
            <w:tcBorders>
              <w:top w:val="nil"/>
              <w:left w:val="nil"/>
              <w:bottom w:val="single" w:color="auto" w:sz="8" w:space="0"/>
              <w:right w:val="single" w:color="auto" w:sz="8" w:space="0"/>
            </w:tcBorders>
            <w:shd w:val="clear" w:color="auto" w:fill="auto"/>
            <w:vAlign w:val="center"/>
          </w:tcPr>
          <w:p w:rsidRPr="003E1901" w:rsidR="000747D2" w:rsidP="003E1901" w:rsidRDefault="00B04F51" w14:paraId="53208075" w14:textId="4280B119">
            <w:pPr>
              <w:widowControl/>
              <w:autoSpaceDE/>
              <w:autoSpaceDN/>
              <w:adjustRightInd/>
              <w:jc w:val="right"/>
              <w:rPr>
                <w:color w:val="000000"/>
              </w:rPr>
            </w:pPr>
            <w:r>
              <w:rPr>
                <w:color w:val="000000"/>
              </w:rPr>
              <w:t>$</w:t>
            </w:r>
            <w:r w:rsidR="004759CB">
              <w:rPr>
                <w:color w:val="000000"/>
              </w:rPr>
              <w:t>107</w:t>
            </w:r>
            <w:r>
              <w:rPr>
                <w:color w:val="000000"/>
              </w:rPr>
              <w:t>,000</w:t>
            </w:r>
          </w:p>
        </w:tc>
      </w:tr>
      <w:tr w:rsidRPr="003E1901" w:rsidR="0043249E" w:rsidTr="00525F87" w14:paraId="1A7BDD17" w14:textId="77777777">
        <w:trPr>
          <w:trHeight w:val="321"/>
          <w:jc w:val="center"/>
        </w:trPr>
        <w:tc>
          <w:tcPr>
            <w:tcW w:w="1644" w:type="dxa"/>
            <w:tcBorders>
              <w:top w:val="nil"/>
              <w:left w:val="single" w:color="auto" w:sz="8" w:space="0"/>
              <w:bottom w:val="single" w:color="auto" w:sz="8" w:space="0"/>
              <w:right w:val="single" w:color="auto" w:sz="8" w:space="0"/>
            </w:tcBorders>
            <w:shd w:val="clear" w:color="auto" w:fill="auto"/>
            <w:vAlign w:val="bottom"/>
            <w:hideMark/>
          </w:tcPr>
          <w:p w:rsidRPr="003E1901" w:rsidR="003E1901" w:rsidP="003D1B2B" w:rsidRDefault="003E1901" w14:paraId="0E9A92B6" w14:textId="77777777">
            <w:pPr>
              <w:widowControl/>
              <w:autoSpaceDE/>
              <w:autoSpaceDN/>
              <w:adjustRightInd/>
              <w:jc w:val="right"/>
              <w:rPr>
                <w:b/>
                <w:bCs/>
                <w:color w:val="000000"/>
              </w:rPr>
            </w:pPr>
            <w:r w:rsidRPr="003E1901">
              <w:rPr>
                <w:b/>
                <w:bCs/>
                <w:color w:val="000000"/>
              </w:rPr>
              <w:t>Totals:</w:t>
            </w:r>
          </w:p>
        </w:tc>
        <w:tc>
          <w:tcPr>
            <w:tcW w:w="1306" w:type="dxa"/>
            <w:tcBorders>
              <w:top w:val="nil"/>
              <w:left w:val="nil"/>
              <w:bottom w:val="single" w:color="auto" w:sz="8" w:space="0"/>
              <w:right w:val="single" w:color="auto" w:sz="8" w:space="0"/>
            </w:tcBorders>
            <w:shd w:val="clear" w:color="auto" w:fill="auto"/>
            <w:vAlign w:val="bottom"/>
          </w:tcPr>
          <w:p w:rsidRPr="003E1901" w:rsidR="003E1901" w:rsidP="003D1B2B" w:rsidRDefault="000A4576" w14:paraId="5AFB12BA" w14:textId="5CC8A7E1">
            <w:pPr>
              <w:widowControl/>
              <w:autoSpaceDE/>
              <w:autoSpaceDN/>
              <w:adjustRightInd/>
              <w:jc w:val="right"/>
              <w:rPr>
                <w:b/>
                <w:bCs/>
                <w:color w:val="000000"/>
              </w:rPr>
            </w:pPr>
            <w:r>
              <w:rPr>
                <w:b/>
                <w:bCs/>
                <w:color w:val="000000"/>
              </w:rPr>
              <w:t>500</w:t>
            </w:r>
          </w:p>
        </w:tc>
        <w:tc>
          <w:tcPr>
            <w:tcW w:w="1416" w:type="dxa"/>
            <w:tcBorders>
              <w:top w:val="nil"/>
              <w:left w:val="nil"/>
              <w:bottom w:val="single" w:color="auto" w:sz="8" w:space="0"/>
              <w:right w:val="single" w:color="auto" w:sz="8" w:space="0"/>
            </w:tcBorders>
            <w:shd w:val="clear" w:color="auto" w:fill="auto"/>
            <w:vAlign w:val="bottom"/>
          </w:tcPr>
          <w:p w:rsidRPr="003E1901" w:rsidR="003E1901" w:rsidP="003D1B2B" w:rsidRDefault="003E1901" w14:paraId="6D0A55C4" w14:textId="14F517FA">
            <w:pPr>
              <w:widowControl/>
              <w:autoSpaceDE/>
              <w:autoSpaceDN/>
              <w:adjustRightInd/>
              <w:jc w:val="right"/>
              <w:rPr>
                <w:b/>
                <w:bCs/>
                <w:color w:val="000000"/>
              </w:rPr>
            </w:pPr>
          </w:p>
        </w:tc>
        <w:tc>
          <w:tcPr>
            <w:tcW w:w="1204"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3E1901" w14:paraId="40892522" w14:textId="77777777">
            <w:pPr>
              <w:widowControl/>
              <w:autoSpaceDE/>
              <w:autoSpaceDN/>
              <w:adjustRightInd/>
              <w:jc w:val="right"/>
              <w:rPr>
                <w:b/>
                <w:bCs/>
                <w:color w:val="000000"/>
              </w:rPr>
            </w:pPr>
            <w:r w:rsidRPr="003E1901">
              <w:rPr>
                <w:b/>
                <w:bCs/>
                <w:color w:val="000000"/>
              </w:rPr>
              <w:t>///////////////</w:t>
            </w:r>
          </w:p>
        </w:tc>
        <w:tc>
          <w:tcPr>
            <w:tcW w:w="1170"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BC59EA" w14:paraId="6862569A" w14:textId="3947BD88">
            <w:pPr>
              <w:widowControl/>
              <w:autoSpaceDE/>
              <w:autoSpaceDN/>
              <w:adjustRightInd/>
              <w:jc w:val="right"/>
              <w:rPr>
                <w:b/>
                <w:bCs/>
                <w:color w:val="000000"/>
              </w:rPr>
            </w:pPr>
            <w:r>
              <w:rPr>
                <w:b/>
                <w:bCs/>
                <w:color w:val="000000"/>
              </w:rPr>
              <w:t>1,440</w:t>
            </w:r>
            <w:r w:rsidR="00802E62">
              <w:rPr>
                <w:b/>
                <w:bCs/>
                <w:color w:val="000000"/>
              </w:rPr>
              <w:t>,000</w:t>
            </w:r>
          </w:p>
        </w:tc>
        <w:tc>
          <w:tcPr>
            <w:tcW w:w="1050"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3E1901" w14:paraId="1FA13634" w14:textId="77777777">
            <w:pPr>
              <w:widowControl/>
              <w:autoSpaceDE/>
              <w:autoSpaceDN/>
              <w:adjustRightInd/>
              <w:jc w:val="right"/>
              <w:rPr>
                <w:b/>
                <w:bCs/>
                <w:color w:val="000000"/>
              </w:rPr>
            </w:pPr>
            <w:r w:rsidRPr="003E1901">
              <w:rPr>
                <w:b/>
                <w:bCs/>
                <w:color w:val="000000"/>
              </w:rPr>
              <w:t>///////////////</w:t>
            </w:r>
          </w:p>
        </w:tc>
        <w:tc>
          <w:tcPr>
            <w:tcW w:w="1200"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3E1901" w14:paraId="06A91DB8" w14:textId="79C17503">
            <w:pPr>
              <w:widowControl/>
              <w:autoSpaceDE/>
              <w:autoSpaceDN/>
              <w:adjustRightInd/>
              <w:jc w:val="right"/>
              <w:rPr>
                <w:b/>
                <w:bCs/>
                <w:color w:val="000000"/>
              </w:rPr>
            </w:pPr>
            <w:r w:rsidRPr="003E1901">
              <w:rPr>
                <w:b/>
                <w:bCs/>
                <w:color w:val="000000"/>
              </w:rPr>
              <w:t xml:space="preserve">      </w:t>
            </w:r>
            <w:r w:rsidR="000C5529">
              <w:rPr>
                <w:b/>
                <w:bCs/>
                <w:color w:val="000000"/>
              </w:rPr>
              <w:t>6,000</w:t>
            </w:r>
          </w:p>
        </w:tc>
        <w:tc>
          <w:tcPr>
            <w:tcW w:w="1350"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3E1901" w14:paraId="20E5D17F" w14:textId="77777777">
            <w:pPr>
              <w:widowControl/>
              <w:autoSpaceDE/>
              <w:autoSpaceDN/>
              <w:adjustRightInd/>
              <w:jc w:val="right"/>
              <w:rPr>
                <w:b/>
                <w:bCs/>
                <w:color w:val="000000"/>
              </w:rPr>
            </w:pPr>
            <w:r w:rsidRPr="003E1901">
              <w:rPr>
                <w:b/>
                <w:bCs/>
                <w:color w:val="000000"/>
              </w:rPr>
              <w:t>//////////////</w:t>
            </w:r>
          </w:p>
        </w:tc>
        <w:tc>
          <w:tcPr>
            <w:tcW w:w="1680"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3E1901" w14:paraId="2BA2AAB6" w14:textId="622F028F">
            <w:pPr>
              <w:widowControl/>
              <w:autoSpaceDE/>
              <w:autoSpaceDN/>
              <w:adjustRightInd/>
              <w:jc w:val="right"/>
              <w:rPr>
                <w:b/>
                <w:bCs/>
                <w:color w:val="000000"/>
              </w:rPr>
            </w:pPr>
            <w:r w:rsidRPr="003E1901">
              <w:rPr>
                <w:b/>
                <w:bCs/>
                <w:color w:val="000000"/>
              </w:rPr>
              <w:t>$</w:t>
            </w:r>
            <w:r w:rsidR="004759CB">
              <w:rPr>
                <w:b/>
                <w:bCs/>
                <w:color w:val="000000"/>
              </w:rPr>
              <w:t>107</w:t>
            </w:r>
            <w:r w:rsidR="00BF05E8">
              <w:rPr>
                <w:b/>
                <w:bCs/>
                <w:color w:val="000000"/>
              </w:rPr>
              <w:t>,000</w:t>
            </w:r>
            <w:r w:rsidR="00AD7C68">
              <w:rPr>
                <w:rStyle w:val="FootnoteReference"/>
                <w:b/>
                <w:bCs/>
                <w:color w:val="000000"/>
              </w:rPr>
              <w:footnoteReference w:id="6"/>
            </w:r>
          </w:p>
        </w:tc>
      </w:tr>
      <w:tr w:rsidRPr="003E1901" w:rsidR="0043249E" w:rsidTr="00525F87" w14:paraId="24748DF4" w14:textId="77777777">
        <w:trPr>
          <w:trHeight w:val="321"/>
          <w:jc w:val="center"/>
        </w:trPr>
        <w:tc>
          <w:tcPr>
            <w:tcW w:w="1644" w:type="dxa"/>
            <w:tcBorders>
              <w:top w:val="nil"/>
              <w:left w:val="single" w:color="auto" w:sz="8" w:space="0"/>
              <w:bottom w:val="single" w:color="auto" w:sz="8" w:space="0"/>
              <w:right w:val="single" w:color="auto" w:sz="8" w:space="0"/>
            </w:tcBorders>
            <w:shd w:val="clear" w:color="auto" w:fill="auto"/>
            <w:vAlign w:val="bottom"/>
            <w:hideMark/>
          </w:tcPr>
          <w:p w:rsidRPr="003E1901" w:rsidR="00A6302C" w:rsidP="003D1B2B" w:rsidRDefault="00A6302C" w14:paraId="1CDD6E16" w14:textId="77C7CFE7">
            <w:pPr>
              <w:widowControl/>
              <w:autoSpaceDE/>
              <w:autoSpaceDN/>
              <w:adjustRightInd/>
              <w:jc w:val="right"/>
              <w:rPr>
                <w:b/>
                <w:bCs/>
                <w:color w:val="000000"/>
              </w:rPr>
            </w:pPr>
            <w:r w:rsidRPr="003E1901">
              <w:rPr>
                <w:b/>
                <w:bCs/>
                <w:color w:val="000000"/>
              </w:rPr>
              <w:t>CFPB Totals:</w:t>
            </w:r>
          </w:p>
        </w:tc>
        <w:tc>
          <w:tcPr>
            <w:tcW w:w="1306" w:type="dxa"/>
            <w:tcBorders>
              <w:top w:val="nil"/>
              <w:left w:val="nil"/>
              <w:bottom w:val="single" w:color="auto" w:sz="8" w:space="0"/>
              <w:right w:val="single" w:color="auto" w:sz="8" w:space="0"/>
            </w:tcBorders>
            <w:shd w:val="clear" w:color="auto" w:fill="auto"/>
            <w:vAlign w:val="bottom"/>
          </w:tcPr>
          <w:p w:rsidRPr="003E1901" w:rsidR="00A6302C" w:rsidP="003D1B2B" w:rsidRDefault="000A4576" w14:paraId="75D4F457" w14:textId="455CA3F1">
            <w:pPr>
              <w:widowControl/>
              <w:autoSpaceDE/>
              <w:autoSpaceDN/>
              <w:adjustRightInd/>
              <w:jc w:val="right"/>
              <w:rPr>
                <w:b/>
                <w:bCs/>
                <w:color w:val="000000"/>
              </w:rPr>
            </w:pPr>
            <w:r>
              <w:rPr>
                <w:b/>
                <w:bCs/>
                <w:color w:val="000000"/>
              </w:rPr>
              <w:t>500</w:t>
            </w:r>
          </w:p>
        </w:tc>
        <w:tc>
          <w:tcPr>
            <w:tcW w:w="1416" w:type="dxa"/>
            <w:tcBorders>
              <w:top w:val="nil"/>
              <w:left w:val="nil"/>
              <w:bottom w:val="single" w:color="auto" w:sz="8" w:space="0"/>
              <w:right w:val="single" w:color="auto" w:sz="8" w:space="0"/>
            </w:tcBorders>
            <w:shd w:val="clear" w:color="auto" w:fill="auto"/>
            <w:vAlign w:val="bottom"/>
          </w:tcPr>
          <w:p w:rsidRPr="003E1901" w:rsidR="00A6302C" w:rsidP="003D1B2B" w:rsidRDefault="00A6302C" w14:paraId="05AEB036" w14:textId="0072C9B4">
            <w:pPr>
              <w:widowControl/>
              <w:autoSpaceDE/>
              <w:autoSpaceDN/>
              <w:adjustRightInd/>
              <w:jc w:val="right"/>
              <w:rPr>
                <w:b/>
                <w:bCs/>
                <w:color w:val="000000"/>
              </w:rPr>
            </w:pPr>
          </w:p>
        </w:tc>
        <w:tc>
          <w:tcPr>
            <w:tcW w:w="1204"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6302C" w14:paraId="19AAABCF" w14:textId="766E98E5">
            <w:pPr>
              <w:widowControl/>
              <w:autoSpaceDE/>
              <w:autoSpaceDN/>
              <w:adjustRightInd/>
              <w:jc w:val="right"/>
              <w:rPr>
                <w:b/>
                <w:bCs/>
                <w:color w:val="000000"/>
              </w:rPr>
            </w:pPr>
            <w:r w:rsidRPr="003E1901">
              <w:rPr>
                <w:b/>
                <w:bCs/>
                <w:color w:val="000000"/>
              </w:rPr>
              <w:t>///////////////</w:t>
            </w:r>
          </w:p>
        </w:tc>
        <w:tc>
          <w:tcPr>
            <w:tcW w:w="1170"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6302C" w14:paraId="438DF3C6" w14:textId="3A5A24B4">
            <w:pPr>
              <w:widowControl/>
              <w:autoSpaceDE/>
              <w:autoSpaceDN/>
              <w:adjustRightInd/>
              <w:jc w:val="right"/>
              <w:rPr>
                <w:b/>
                <w:bCs/>
                <w:color w:val="000000"/>
              </w:rPr>
            </w:pPr>
            <w:r w:rsidRPr="003E1901">
              <w:rPr>
                <w:b/>
                <w:bCs/>
                <w:color w:val="000000"/>
              </w:rPr>
              <w:t xml:space="preserve">       </w:t>
            </w:r>
            <w:r w:rsidR="00352875">
              <w:rPr>
                <w:b/>
                <w:bCs/>
                <w:color w:val="000000"/>
              </w:rPr>
              <w:t>720</w:t>
            </w:r>
            <w:r w:rsidR="00802E62">
              <w:rPr>
                <w:b/>
                <w:bCs/>
                <w:color w:val="000000"/>
              </w:rPr>
              <w:t>,000</w:t>
            </w:r>
          </w:p>
        </w:tc>
        <w:tc>
          <w:tcPr>
            <w:tcW w:w="1050"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6302C" w14:paraId="37CDC906" w14:textId="0631489F">
            <w:pPr>
              <w:widowControl/>
              <w:autoSpaceDE/>
              <w:autoSpaceDN/>
              <w:adjustRightInd/>
              <w:jc w:val="right"/>
              <w:rPr>
                <w:b/>
                <w:bCs/>
                <w:color w:val="000000"/>
              </w:rPr>
            </w:pPr>
            <w:r w:rsidRPr="003E1901">
              <w:rPr>
                <w:b/>
                <w:bCs/>
                <w:color w:val="000000"/>
              </w:rPr>
              <w:t>///////////////</w:t>
            </w:r>
          </w:p>
        </w:tc>
        <w:tc>
          <w:tcPr>
            <w:tcW w:w="1200"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10966" w14:paraId="6CA5B9B4" w14:textId="74147563">
            <w:pPr>
              <w:widowControl/>
              <w:autoSpaceDE/>
              <w:autoSpaceDN/>
              <w:adjustRightInd/>
              <w:jc w:val="right"/>
              <w:rPr>
                <w:b/>
                <w:bCs/>
                <w:color w:val="000000"/>
              </w:rPr>
            </w:pPr>
            <w:r>
              <w:rPr>
                <w:b/>
                <w:bCs/>
                <w:color w:val="000000"/>
              </w:rPr>
              <w:t>3</w:t>
            </w:r>
            <w:r w:rsidR="000C5529">
              <w:rPr>
                <w:b/>
                <w:bCs/>
                <w:color w:val="000000"/>
              </w:rPr>
              <w:t>,000</w:t>
            </w:r>
          </w:p>
        </w:tc>
        <w:tc>
          <w:tcPr>
            <w:tcW w:w="1350"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6302C" w14:paraId="2CD21605" w14:textId="566786D3">
            <w:pPr>
              <w:widowControl/>
              <w:autoSpaceDE/>
              <w:autoSpaceDN/>
              <w:adjustRightInd/>
              <w:jc w:val="right"/>
              <w:rPr>
                <w:b/>
                <w:bCs/>
                <w:color w:val="000000"/>
              </w:rPr>
            </w:pPr>
            <w:r w:rsidRPr="003E1901">
              <w:rPr>
                <w:b/>
                <w:bCs/>
                <w:color w:val="000000"/>
              </w:rPr>
              <w:t>///////////////</w:t>
            </w:r>
          </w:p>
        </w:tc>
        <w:tc>
          <w:tcPr>
            <w:tcW w:w="1680"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6302C" w14:paraId="12A37963" w14:textId="3B50351F">
            <w:pPr>
              <w:widowControl/>
              <w:autoSpaceDE/>
              <w:autoSpaceDN/>
              <w:adjustRightInd/>
              <w:jc w:val="right"/>
              <w:rPr>
                <w:b/>
                <w:bCs/>
                <w:color w:val="000000"/>
              </w:rPr>
            </w:pPr>
            <w:r w:rsidRPr="003E1901">
              <w:rPr>
                <w:b/>
                <w:bCs/>
                <w:color w:val="000000"/>
              </w:rPr>
              <w:t>$</w:t>
            </w:r>
            <w:r w:rsidR="004759CB">
              <w:rPr>
                <w:b/>
                <w:bCs/>
                <w:color w:val="000000"/>
              </w:rPr>
              <w:t>5</w:t>
            </w:r>
            <w:r w:rsidR="004B09C6">
              <w:rPr>
                <w:b/>
                <w:bCs/>
                <w:color w:val="000000"/>
              </w:rPr>
              <w:t>3</w:t>
            </w:r>
            <w:r w:rsidR="00BF05E8">
              <w:rPr>
                <w:b/>
                <w:bCs/>
                <w:color w:val="000000"/>
              </w:rPr>
              <w:t>,</w:t>
            </w:r>
            <w:r w:rsidR="004B09C6">
              <w:rPr>
                <w:b/>
                <w:bCs/>
                <w:color w:val="000000"/>
              </w:rPr>
              <w:t>5</w:t>
            </w:r>
            <w:r w:rsidR="00BF05E8">
              <w:rPr>
                <w:b/>
                <w:bCs/>
                <w:color w:val="000000"/>
              </w:rPr>
              <w:t>00</w:t>
            </w:r>
          </w:p>
        </w:tc>
      </w:tr>
    </w:tbl>
    <w:p w:rsidR="003506B6" w:rsidP="00EC39B9" w:rsidRDefault="003506B6" w14:paraId="2B7AC0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27B9E" w:rsidP="00EC39B9" w:rsidRDefault="00D27B9E" w14:paraId="779C4A09" w14:textId="183573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3"/>
          <w:szCs w:val="23"/>
        </w:rPr>
      </w:pPr>
      <w:r>
        <w:rPr>
          <w:i/>
          <w:iCs/>
          <w:sz w:val="23"/>
          <w:szCs w:val="23"/>
        </w:rPr>
        <w:t>Burden Shared Between CFPB and the Federal Trade Commission</w:t>
      </w:r>
      <w:r>
        <w:rPr>
          <w:i/>
          <w:iCs/>
          <w:sz w:val="23"/>
          <w:szCs w:val="23"/>
        </w:rPr>
        <w:br/>
      </w:r>
    </w:p>
    <w:p w:rsidR="00D27B9E" w:rsidP="00EC39B9" w:rsidRDefault="00D27B9E" w14:paraId="55A78E8E" w14:textId="0D42F2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1B07D3">
        <w:rPr>
          <w:sz w:val="24"/>
        </w:rPr>
        <w:t>The CFPB shares administrative enforcement authority under the FDCPA with the Federal Trade Commission.  To avoid double-counting, the CFPB allocates to itself half of the estimated paperwork burden under the proposed rule by dividing the burden hours even</w:t>
      </w:r>
      <w:r w:rsidR="009737D8">
        <w:rPr>
          <w:sz w:val="24"/>
        </w:rPr>
        <w:t>ly</w:t>
      </w:r>
      <w:r w:rsidRPr="001B07D3">
        <w:rPr>
          <w:sz w:val="24"/>
        </w:rPr>
        <w:t xml:space="preserve"> between the agenc</w:t>
      </w:r>
      <w:r w:rsidR="009737D8">
        <w:rPr>
          <w:sz w:val="24"/>
        </w:rPr>
        <w:t>ies</w:t>
      </w:r>
      <w:r w:rsidRPr="001B07D3">
        <w:rPr>
          <w:sz w:val="24"/>
        </w:rPr>
        <w:t>. However</w:t>
      </w:r>
      <w:r w:rsidR="00FE300D">
        <w:rPr>
          <w:sz w:val="24"/>
        </w:rPr>
        <w:t>,</w:t>
      </w:r>
      <w:r w:rsidRPr="001B07D3">
        <w:rPr>
          <w:sz w:val="24"/>
        </w:rPr>
        <w:t xml:space="preserve"> since we have joint authority over the respondents themselves, we retain the entity count of all affected respondents as shown above</w:t>
      </w:r>
      <w:r>
        <w:rPr>
          <w:sz w:val="24"/>
        </w:rPr>
        <w:t>.</w:t>
      </w:r>
    </w:p>
    <w:p w:rsidRPr="009529F5" w:rsidR="00615320" w:rsidP="00EC39B9" w:rsidRDefault="00615320" w14:paraId="65358C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B69E2" w:rsidP="00EC39B9" w:rsidRDefault="0014048A" w14:paraId="52CC9AC1" w14:textId="131253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Requirement to make disclosures</w:t>
      </w:r>
      <w:r w:rsidR="004419F7">
        <w:rPr>
          <w:i/>
          <w:sz w:val="24"/>
          <w:szCs w:val="24"/>
        </w:rPr>
        <w:t xml:space="preserve"> </w:t>
      </w:r>
      <w:r w:rsidR="00A06B9F">
        <w:rPr>
          <w:i/>
          <w:sz w:val="24"/>
          <w:szCs w:val="24"/>
        </w:rPr>
        <w:t>regarding</w:t>
      </w:r>
      <w:r w:rsidRPr="004419F7" w:rsidR="004419F7">
        <w:rPr>
          <w:i/>
          <w:sz w:val="24"/>
          <w:szCs w:val="24"/>
        </w:rPr>
        <w:t xml:space="preserve"> the CDC Order’s temporary eviction moratorium</w:t>
      </w:r>
    </w:p>
    <w:p w:rsidR="000B69E2" w:rsidP="00EC39B9" w:rsidRDefault="000B69E2" w14:paraId="2204480C" w14:textId="411756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A65E71" w:rsidP="00A65E71" w:rsidRDefault="00A65E71" w14:paraId="7117FAAA" w14:textId="35416A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4"/>
          <w:szCs w:val="24"/>
        </w:rPr>
      </w:pPr>
      <w:r w:rsidRPr="005A4523">
        <w:rPr>
          <w:bCs/>
          <w:iCs/>
          <w:sz w:val="24"/>
          <w:szCs w:val="24"/>
        </w:rPr>
        <w:t>The interim final rule</w:t>
      </w:r>
      <w:r w:rsidRPr="005A4523" w:rsidDel="00E705BD">
        <w:rPr>
          <w:bCs/>
          <w:iCs/>
          <w:sz w:val="24"/>
          <w:szCs w:val="24"/>
        </w:rPr>
        <w:t xml:space="preserve"> </w:t>
      </w:r>
      <w:r w:rsidRPr="005A4523">
        <w:rPr>
          <w:bCs/>
          <w:iCs/>
          <w:sz w:val="24"/>
          <w:szCs w:val="24"/>
        </w:rPr>
        <w:t xml:space="preserve">addresses certain debt collector conduct associated with a temporary eviction moratorium issued by the Centers for Disease Control and Prevention (CDC) in response to the COVID-19 pandemic.  </w:t>
      </w:r>
      <w:r w:rsidR="009D7371">
        <w:rPr>
          <w:bCs/>
          <w:iCs/>
          <w:sz w:val="24"/>
          <w:szCs w:val="24"/>
        </w:rPr>
        <w:t>Section</w:t>
      </w:r>
      <w:r w:rsidRPr="009D7371" w:rsidR="009D7371">
        <w:rPr>
          <w:bCs/>
          <w:iCs/>
          <w:sz w:val="24"/>
          <w:szCs w:val="24"/>
        </w:rPr>
        <w:t xml:space="preserve"> 1006.9(c)(1) generally prohibits debt collectors from filing </w:t>
      </w:r>
      <w:r w:rsidR="00343661">
        <w:rPr>
          <w:bCs/>
          <w:iCs/>
          <w:sz w:val="24"/>
          <w:szCs w:val="24"/>
        </w:rPr>
        <w:t xml:space="preserve">certain </w:t>
      </w:r>
      <w:r w:rsidR="003D09F1">
        <w:rPr>
          <w:bCs/>
          <w:iCs/>
          <w:sz w:val="24"/>
          <w:szCs w:val="24"/>
        </w:rPr>
        <w:t>covered</w:t>
      </w:r>
      <w:r w:rsidRPr="009D7371" w:rsidR="009D7371">
        <w:rPr>
          <w:bCs/>
          <w:iCs/>
          <w:sz w:val="24"/>
          <w:szCs w:val="24"/>
        </w:rPr>
        <w:t xml:space="preserve"> eviction action</w:t>
      </w:r>
      <w:r w:rsidR="003D09F1">
        <w:rPr>
          <w:bCs/>
          <w:iCs/>
          <w:sz w:val="24"/>
          <w:szCs w:val="24"/>
        </w:rPr>
        <w:t>s</w:t>
      </w:r>
      <w:r w:rsidRPr="009D7371" w:rsidR="009D7371">
        <w:rPr>
          <w:bCs/>
          <w:iCs/>
          <w:sz w:val="24"/>
          <w:szCs w:val="24"/>
        </w:rPr>
        <w:t xml:space="preserve"> against a consumer without disclosing that the consumer may be eligible for temporary protection from eviction under the CDC Order.  </w:t>
      </w:r>
    </w:p>
    <w:p w:rsidR="00137E4E" w:rsidP="00A65E71" w:rsidRDefault="00137E4E" w14:paraId="2B8CFE29" w14:textId="5AFF30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4"/>
          <w:szCs w:val="24"/>
        </w:rPr>
      </w:pPr>
    </w:p>
    <w:p w:rsidRPr="005A4523" w:rsidR="00137E4E" w:rsidP="00A65E71" w:rsidRDefault="00DA3A63" w14:paraId="0AFD3481" w14:textId="071CE8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The Bureau estimates that 160,000 disclosures will be made each week under th</w:t>
      </w:r>
      <w:r w:rsidR="003B6759">
        <w:rPr>
          <w:iCs/>
          <w:sz w:val="24"/>
          <w:szCs w:val="24"/>
        </w:rPr>
        <w:t>is</w:t>
      </w:r>
      <w:r>
        <w:rPr>
          <w:iCs/>
          <w:sz w:val="24"/>
          <w:szCs w:val="24"/>
        </w:rPr>
        <w:t xml:space="preserve"> requirement </w:t>
      </w:r>
      <w:r w:rsidR="00080A6E">
        <w:rPr>
          <w:iCs/>
          <w:sz w:val="24"/>
          <w:szCs w:val="24"/>
        </w:rPr>
        <w:t xml:space="preserve">from </w:t>
      </w:r>
      <w:r>
        <w:rPr>
          <w:iCs/>
          <w:sz w:val="24"/>
          <w:szCs w:val="24"/>
        </w:rPr>
        <w:t xml:space="preserve">the time that the interim final rule is </w:t>
      </w:r>
      <w:r w:rsidR="00080A6E">
        <w:rPr>
          <w:iCs/>
          <w:sz w:val="24"/>
          <w:szCs w:val="24"/>
        </w:rPr>
        <w:t xml:space="preserve">effective until June 30, 2021, when the CDC Order is scheduled to expire.  </w:t>
      </w:r>
      <w:r w:rsidR="003B6759">
        <w:rPr>
          <w:iCs/>
          <w:sz w:val="24"/>
          <w:szCs w:val="24"/>
        </w:rPr>
        <w:t xml:space="preserve">The disclosure must be sent </w:t>
      </w:r>
      <w:r w:rsidR="00A14F2F">
        <w:rPr>
          <w:iCs/>
          <w:sz w:val="24"/>
          <w:szCs w:val="24"/>
        </w:rPr>
        <w:t>by debt collectors attempting to collect unpaid rent through an eviction proceeding</w:t>
      </w:r>
      <w:r w:rsidR="00273AE5">
        <w:rPr>
          <w:iCs/>
          <w:sz w:val="24"/>
          <w:szCs w:val="24"/>
        </w:rPr>
        <w:t>, which will generally be attorneys who are debt collectors for purposes of the FDCPA</w:t>
      </w:r>
      <w:r w:rsidR="00A14F2F">
        <w:rPr>
          <w:iCs/>
          <w:sz w:val="24"/>
          <w:szCs w:val="24"/>
        </w:rPr>
        <w:t>.  The Bure</w:t>
      </w:r>
      <w:r w:rsidR="00273AE5">
        <w:rPr>
          <w:iCs/>
          <w:sz w:val="24"/>
          <w:szCs w:val="24"/>
        </w:rPr>
        <w:t>au estimates that there are approximately 500 such debt collectors.</w:t>
      </w:r>
    </w:p>
    <w:p w:rsidR="0014048A" w:rsidP="00EC39B9" w:rsidRDefault="0014048A" w14:paraId="374D7902" w14:textId="322809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AF10F2" w:rsidP="005A4523" w:rsidRDefault="00AF10F2" w14:paraId="40AAF6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79B8ACB5" w14:textId="77777777">
      <w:pPr>
        <w:pStyle w:val="CM12"/>
        <w:spacing w:line="276" w:lineRule="atLeast"/>
      </w:pPr>
      <w:r w:rsidRPr="004D683B">
        <w:rPr>
          <w:b/>
          <w:bCs/>
        </w:rPr>
        <w:t xml:space="preserve">13.  </w:t>
      </w:r>
      <w:r w:rsidRPr="004D683B">
        <w:rPr>
          <w:b/>
          <w:bCs/>
          <w:u w:val="single"/>
        </w:rPr>
        <w:t xml:space="preserve">Estimated Total Annual Cost Burden to Respondents or Recordkeepers </w:t>
      </w:r>
    </w:p>
    <w:p w:rsidR="00EC39B9" w:rsidRDefault="00EC39B9" w14:paraId="27F3B1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23019A" w:rsidP="0023019A" w:rsidRDefault="0023019A" w14:paraId="1652B57A" w14:textId="2BD7AD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726A7" w:rsidP="00E726A7" w:rsidRDefault="00E726A7" w14:paraId="147904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Requirement to make disclosures regarding</w:t>
      </w:r>
      <w:r w:rsidRPr="004419F7">
        <w:rPr>
          <w:i/>
          <w:sz w:val="24"/>
          <w:szCs w:val="24"/>
        </w:rPr>
        <w:t xml:space="preserve"> the CDC Order’s temporary eviction moratorium</w:t>
      </w:r>
    </w:p>
    <w:p w:rsidR="00E726A7" w:rsidP="0023019A" w:rsidRDefault="00E726A7" w14:paraId="5C338B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726A7" w:rsidP="0023019A" w:rsidRDefault="009C38C3" w14:paraId="3CAFF22B" w14:textId="785609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Bureau estimates that 160,000 such disclosures will be made </w:t>
      </w:r>
      <w:r w:rsidR="001D6531">
        <w:rPr>
          <w:sz w:val="24"/>
          <w:szCs w:val="24"/>
        </w:rPr>
        <w:t>ever</w:t>
      </w:r>
      <w:r w:rsidR="006425EC">
        <w:rPr>
          <w:sz w:val="24"/>
          <w:szCs w:val="24"/>
        </w:rPr>
        <w:t xml:space="preserve">y week from the time the interim final rule is effective until June 30, 2021, for a total of </w:t>
      </w:r>
      <w:r w:rsidR="00C4099E">
        <w:rPr>
          <w:sz w:val="24"/>
          <w:szCs w:val="24"/>
        </w:rPr>
        <w:t>1,440,000 disclosures.  Because these disclosures will be delivered with eviction notices</w:t>
      </w:r>
      <w:r w:rsidR="007656C4">
        <w:rPr>
          <w:sz w:val="24"/>
          <w:szCs w:val="24"/>
        </w:rPr>
        <w:t>, the cost incurred is the paper and printing cost of this disclosure, which the Bureau estimates at $.1</w:t>
      </w:r>
      <w:r w:rsidR="005C2046">
        <w:rPr>
          <w:sz w:val="24"/>
          <w:szCs w:val="24"/>
        </w:rPr>
        <w:t>0</w:t>
      </w:r>
      <w:r w:rsidR="00AA5965">
        <w:rPr>
          <w:sz w:val="24"/>
          <w:szCs w:val="24"/>
        </w:rPr>
        <w:t xml:space="preserve"> per disclosure</w:t>
      </w:r>
      <w:r w:rsidR="007656C4">
        <w:rPr>
          <w:sz w:val="24"/>
          <w:szCs w:val="24"/>
        </w:rPr>
        <w:t>.  This places the tot</w:t>
      </w:r>
      <w:r w:rsidR="00BD2A95">
        <w:rPr>
          <w:sz w:val="24"/>
          <w:szCs w:val="24"/>
        </w:rPr>
        <w:t>al material cost at $</w:t>
      </w:r>
      <w:r w:rsidR="005C2046">
        <w:rPr>
          <w:sz w:val="24"/>
          <w:szCs w:val="24"/>
        </w:rPr>
        <w:t>144</w:t>
      </w:r>
      <w:r w:rsidR="00BD2A95">
        <w:rPr>
          <w:sz w:val="24"/>
          <w:szCs w:val="24"/>
        </w:rPr>
        <w:t>,000.</w:t>
      </w:r>
    </w:p>
    <w:p w:rsidR="009F1FD0" w:rsidP="00EC19CD" w:rsidRDefault="009F1FD0" w14:paraId="64FC8C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701220" w:rsidRDefault="00774746" w14:paraId="1FA6195A" w14:textId="0351D814">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Exhibit 2: </w:t>
      </w:r>
      <w:r w:rsidRPr="00952B75" w:rsidR="00952B75">
        <w:rPr>
          <w:b/>
          <w:sz w:val="24"/>
          <w:szCs w:val="24"/>
        </w:rPr>
        <w:t>Cost Burden Summary</w:t>
      </w:r>
    </w:p>
    <w:p w:rsidRPr="00952B75" w:rsidR="005D32F7" w:rsidP="00701220" w:rsidRDefault="005D32F7" w14:paraId="7D4D6620"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6300" w:type="dxa"/>
        <w:tblLook w:val="04A0" w:firstRow="1" w:lastRow="0" w:firstColumn="1" w:lastColumn="0" w:noHBand="0" w:noVBand="1"/>
      </w:tblPr>
      <w:tblGrid>
        <w:gridCol w:w="1967"/>
        <w:gridCol w:w="1439"/>
        <w:gridCol w:w="1466"/>
        <w:gridCol w:w="1428"/>
      </w:tblGrid>
      <w:tr w:rsidRPr="00382FE0" w:rsidR="00382FE0" w:rsidTr="005C2046" w14:paraId="20B0EA75" w14:textId="77777777">
        <w:trPr>
          <w:trHeight w:val="525"/>
          <w:tblHeader/>
        </w:trPr>
        <w:tc>
          <w:tcPr>
            <w:tcW w:w="196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65D5DEE9" w14:textId="77777777">
            <w:pPr>
              <w:widowControl/>
              <w:autoSpaceDE/>
              <w:autoSpaceDN/>
              <w:adjustRightInd/>
              <w:jc w:val="center"/>
              <w:rPr>
                <w:b/>
                <w:bCs/>
                <w:color w:val="000000"/>
              </w:rPr>
            </w:pPr>
            <w:r w:rsidRPr="00382FE0">
              <w:rPr>
                <w:b/>
                <w:bCs/>
                <w:color w:val="000000"/>
              </w:rPr>
              <w:t>Description of Costs (O&amp;M)</w:t>
            </w:r>
          </w:p>
        </w:tc>
        <w:tc>
          <w:tcPr>
            <w:tcW w:w="1439" w:type="dxa"/>
            <w:tcBorders>
              <w:top w:val="single" w:color="auto" w:sz="8" w:space="0"/>
              <w:left w:val="nil"/>
              <w:bottom w:val="single" w:color="auto" w:sz="8" w:space="0"/>
              <w:right w:val="single" w:color="auto" w:sz="8" w:space="0"/>
            </w:tcBorders>
            <w:shd w:val="clear" w:color="auto" w:fill="auto"/>
            <w:vAlign w:val="center"/>
            <w:hideMark/>
          </w:tcPr>
          <w:p w:rsidRPr="00382FE0" w:rsidR="00382FE0" w:rsidP="00382FE0" w:rsidRDefault="00382FE0" w14:paraId="58D58BE6" w14:textId="77777777">
            <w:pPr>
              <w:widowControl/>
              <w:autoSpaceDE/>
              <w:autoSpaceDN/>
              <w:adjustRightInd/>
              <w:jc w:val="center"/>
              <w:rPr>
                <w:b/>
                <w:bCs/>
                <w:color w:val="000000"/>
              </w:rPr>
            </w:pPr>
            <w:r w:rsidRPr="00382FE0">
              <w:rPr>
                <w:b/>
                <w:bCs/>
                <w:color w:val="000000"/>
              </w:rPr>
              <w:t>Per Unit Costs</w:t>
            </w:r>
          </w:p>
        </w:tc>
        <w:tc>
          <w:tcPr>
            <w:tcW w:w="1466" w:type="dxa"/>
            <w:tcBorders>
              <w:top w:val="single" w:color="auto" w:sz="8" w:space="0"/>
              <w:left w:val="nil"/>
              <w:bottom w:val="single" w:color="auto" w:sz="8" w:space="0"/>
              <w:right w:val="single" w:color="auto" w:sz="8" w:space="0"/>
            </w:tcBorders>
            <w:shd w:val="clear" w:color="auto" w:fill="auto"/>
            <w:vAlign w:val="center"/>
            <w:hideMark/>
          </w:tcPr>
          <w:p w:rsidRPr="00382FE0" w:rsidR="00382FE0" w:rsidP="00382FE0" w:rsidRDefault="00382FE0" w14:paraId="1364EF0B" w14:textId="77777777">
            <w:pPr>
              <w:widowControl/>
              <w:autoSpaceDE/>
              <w:autoSpaceDN/>
              <w:adjustRightInd/>
              <w:jc w:val="center"/>
              <w:rPr>
                <w:b/>
                <w:bCs/>
                <w:color w:val="000000"/>
              </w:rPr>
            </w:pPr>
            <w:r w:rsidRPr="00382FE0">
              <w:rPr>
                <w:b/>
                <w:bCs/>
                <w:color w:val="000000"/>
              </w:rPr>
              <w:t>Quantity</w:t>
            </w:r>
          </w:p>
        </w:tc>
        <w:tc>
          <w:tcPr>
            <w:tcW w:w="1428" w:type="dxa"/>
            <w:tcBorders>
              <w:top w:val="single" w:color="auto" w:sz="8" w:space="0"/>
              <w:left w:val="nil"/>
              <w:bottom w:val="single" w:color="auto" w:sz="8" w:space="0"/>
              <w:right w:val="single" w:color="auto" w:sz="8" w:space="0"/>
            </w:tcBorders>
            <w:shd w:val="clear" w:color="auto" w:fill="auto"/>
            <w:vAlign w:val="center"/>
            <w:hideMark/>
          </w:tcPr>
          <w:p w:rsidRPr="00382FE0" w:rsidR="00382FE0" w:rsidP="00382FE0" w:rsidRDefault="00382FE0" w14:paraId="22332F79" w14:textId="77777777">
            <w:pPr>
              <w:widowControl/>
              <w:autoSpaceDE/>
              <w:autoSpaceDN/>
              <w:adjustRightInd/>
              <w:jc w:val="center"/>
              <w:rPr>
                <w:b/>
                <w:bCs/>
                <w:color w:val="000000"/>
              </w:rPr>
            </w:pPr>
            <w:r w:rsidRPr="00382FE0">
              <w:rPr>
                <w:b/>
                <w:bCs/>
                <w:color w:val="000000"/>
              </w:rPr>
              <w:t>Costs</w:t>
            </w:r>
          </w:p>
        </w:tc>
      </w:tr>
      <w:tr w:rsidRPr="00382FE0" w:rsidR="00A51AC3" w:rsidTr="005C2046" w14:paraId="4DC3A29D" w14:textId="77777777">
        <w:trPr>
          <w:trHeight w:val="529"/>
        </w:trPr>
        <w:tc>
          <w:tcPr>
            <w:tcW w:w="1967" w:type="dxa"/>
            <w:tcBorders>
              <w:top w:val="nil"/>
              <w:left w:val="single" w:color="auto" w:sz="8" w:space="0"/>
              <w:bottom w:val="single" w:color="auto" w:sz="8" w:space="0"/>
              <w:right w:val="single" w:color="auto" w:sz="8" w:space="0"/>
            </w:tcBorders>
            <w:shd w:val="clear" w:color="auto" w:fill="auto"/>
            <w:vAlign w:val="center"/>
            <w:hideMark/>
          </w:tcPr>
          <w:p w:rsidRPr="00382FE0" w:rsidR="00A51AC3" w:rsidP="00DA137E" w:rsidRDefault="005C2046" w14:paraId="5FD8E773" w14:textId="600F8B7D">
            <w:pPr>
              <w:widowControl/>
              <w:autoSpaceDE/>
              <w:autoSpaceDN/>
              <w:adjustRightInd/>
              <w:rPr>
                <w:color w:val="000000"/>
              </w:rPr>
            </w:pPr>
            <w:r w:rsidRPr="00AE4EEA">
              <w:t>Disclosures regarding temporary eviction moratorium</w:t>
            </w:r>
          </w:p>
        </w:tc>
        <w:tc>
          <w:tcPr>
            <w:tcW w:w="1439" w:type="dxa"/>
            <w:tcBorders>
              <w:top w:val="nil"/>
              <w:left w:val="nil"/>
              <w:bottom w:val="single" w:color="auto" w:sz="8" w:space="0"/>
              <w:right w:val="single" w:color="auto" w:sz="8" w:space="0"/>
            </w:tcBorders>
            <w:shd w:val="clear" w:color="auto" w:fill="auto"/>
            <w:vAlign w:val="center"/>
            <w:hideMark/>
          </w:tcPr>
          <w:p w:rsidRPr="00382FE0" w:rsidR="00A51AC3" w:rsidP="00DA137E" w:rsidRDefault="00A51AC3" w14:paraId="1F3419B8" w14:textId="4F671778">
            <w:pPr>
              <w:widowControl/>
              <w:autoSpaceDE/>
              <w:autoSpaceDN/>
              <w:adjustRightInd/>
              <w:jc w:val="right"/>
              <w:rPr>
                <w:color w:val="000000"/>
              </w:rPr>
            </w:pPr>
            <w:r w:rsidRPr="00382FE0">
              <w:rPr>
                <w:color w:val="000000"/>
              </w:rPr>
              <w:t>$0.</w:t>
            </w:r>
            <w:r w:rsidR="005C2046">
              <w:rPr>
                <w:color w:val="000000"/>
              </w:rPr>
              <w:t>10</w:t>
            </w:r>
            <w:r w:rsidRPr="00382FE0">
              <w:rPr>
                <w:color w:val="000000"/>
              </w:rPr>
              <w:t xml:space="preserve"> </w:t>
            </w:r>
          </w:p>
        </w:tc>
        <w:tc>
          <w:tcPr>
            <w:tcW w:w="1466" w:type="dxa"/>
            <w:tcBorders>
              <w:top w:val="nil"/>
              <w:left w:val="nil"/>
              <w:bottom w:val="single" w:color="auto" w:sz="8" w:space="0"/>
              <w:right w:val="single" w:color="auto" w:sz="8" w:space="0"/>
            </w:tcBorders>
            <w:shd w:val="clear" w:color="auto" w:fill="auto"/>
            <w:vAlign w:val="center"/>
            <w:hideMark/>
          </w:tcPr>
          <w:p w:rsidRPr="00382FE0" w:rsidR="00A51AC3" w:rsidP="00DA137E" w:rsidRDefault="005C2046" w14:paraId="2CCB73BF" w14:textId="40FC475C">
            <w:pPr>
              <w:widowControl/>
              <w:autoSpaceDE/>
              <w:autoSpaceDN/>
              <w:adjustRightInd/>
              <w:jc w:val="right"/>
              <w:rPr>
                <w:color w:val="000000"/>
              </w:rPr>
            </w:pPr>
            <w:r>
              <w:rPr>
                <w:color w:val="000000"/>
              </w:rPr>
              <w:t>1,440</w:t>
            </w:r>
            <w:r w:rsidRPr="00382FE0" w:rsidR="00A51AC3">
              <w:rPr>
                <w:color w:val="000000"/>
              </w:rPr>
              <w:t>,000</w:t>
            </w:r>
          </w:p>
        </w:tc>
        <w:tc>
          <w:tcPr>
            <w:tcW w:w="1428" w:type="dxa"/>
            <w:tcBorders>
              <w:top w:val="nil"/>
              <w:left w:val="nil"/>
              <w:bottom w:val="single" w:color="auto" w:sz="8" w:space="0"/>
              <w:right w:val="single" w:color="auto" w:sz="8" w:space="0"/>
            </w:tcBorders>
            <w:shd w:val="clear" w:color="auto" w:fill="auto"/>
            <w:vAlign w:val="center"/>
            <w:hideMark/>
          </w:tcPr>
          <w:p w:rsidRPr="00382FE0" w:rsidR="00A51AC3" w:rsidP="00DA137E" w:rsidRDefault="00A51AC3" w14:paraId="1424404E" w14:textId="294A7C6D">
            <w:pPr>
              <w:widowControl/>
              <w:autoSpaceDE/>
              <w:autoSpaceDN/>
              <w:adjustRightInd/>
              <w:jc w:val="right"/>
              <w:rPr>
                <w:color w:val="000000"/>
              </w:rPr>
            </w:pPr>
            <w:r w:rsidRPr="00382FE0">
              <w:rPr>
                <w:color w:val="000000"/>
              </w:rPr>
              <w:t>$</w:t>
            </w:r>
            <w:r w:rsidR="005C2046">
              <w:rPr>
                <w:color w:val="000000"/>
              </w:rPr>
              <w:t>144</w:t>
            </w:r>
            <w:r w:rsidRPr="00382FE0">
              <w:rPr>
                <w:color w:val="000000"/>
              </w:rPr>
              <w:t xml:space="preserve">,000 </w:t>
            </w:r>
          </w:p>
        </w:tc>
      </w:tr>
      <w:tr w:rsidRPr="00382FE0" w:rsidR="00382FE0" w:rsidTr="005C2046" w14:paraId="57AD4B8A" w14:textId="77777777">
        <w:trPr>
          <w:trHeight w:val="330"/>
        </w:trPr>
        <w:tc>
          <w:tcPr>
            <w:tcW w:w="1967" w:type="dxa"/>
            <w:tcBorders>
              <w:top w:val="nil"/>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438D56CC" w14:textId="77777777">
            <w:pPr>
              <w:widowControl/>
              <w:autoSpaceDE/>
              <w:autoSpaceDN/>
              <w:adjustRightInd/>
              <w:jc w:val="right"/>
              <w:rPr>
                <w:b/>
                <w:bCs/>
                <w:color w:val="000000"/>
              </w:rPr>
            </w:pPr>
            <w:r w:rsidRPr="00382FE0">
              <w:rPr>
                <w:b/>
                <w:bCs/>
                <w:color w:val="000000"/>
              </w:rPr>
              <w:t>Total Burden Costs:</w:t>
            </w:r>
          </w:p>
        </w:tc>
        <w:tc>
          <w:tcPr>
            <w:tcW w:w="1439"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2047B80A" w14:textId="77777777">
            <w:pPr>
              <w:widowControl/>
              <w:autoSpaceDE/>
              <w:autoSpaceDN/>
              <w:adjustRightInd/>
              <w:jc w:val="right"/>
              <w:rPr>
                <w:b/>
                <w:bCs/>
                <w:color w:val="000000"/>
              </w:rPr>
            </w:pPr>
            <w:r w:rsidRPr="00382FE0">
              <w:rPr>
                <w:b/>
                <w:bCs/>
                <w:color w:val="000000"/>
              </w:rPr>
              <w:t>//////////////////////</w:t>
            </w:r>
          </w:p>
        </w:tc>
        <w:tc>
          <w:tcPr>
            <w:tcW w:w="1466"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7A6C08A2" w14:textId="77777777">
            <w:pPr>
              <w:widowControl/>
              <w:autoSpaceDE/>
              <w:autoSpaceDN/>
              <w:adjustRightInd/>
              <w:jc w:val="right"/>
              <w:rPr>
                <w:b/>
                <w:bCs/>
                <w:color w:val="000000"/>
              </w:rPr>
            </w:pPr>
            <w:r w:rsidRPr="00382FE0">
              <w:rPr>
                <w:b/>
                <w:bCs/>
                <w:color w:val="000000"/>
              </w:rPr>
              <w:t>//////////////////</w:t>
            </w:r>
          </w:p>
        </w:tc>
        <w:tc>
          <w:tcPr>
            <w:tcW w:w="1428"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1D94271D" w14:textId="5F144923">
            <w:pPr>
              <w:widowControl/>
              <w:autoSpaceDE/>
              <w:autoSpaceDN/>
              <w:adjustRightInd/>
              <w:jc w:val="right"/>
              <w:rPr>
                <w:b/>
                <w:bCs/>
                <w:color w:val="000000"/>
              </w:rPr>
            </w:pPr>
            <w:r w:rsidRPr="00382FE0">
              <w:rPr>
                <w:b/>
                <w:bCs/>
                <w:color w:val="000000"/>
              </w:rPr>
              <w:t>$</w:t>
            </w:r>
            <w:r w:rsidR="005C2046">
              <w:rPr>
                <w:b/>
                <w:bCs/>
                <w:color w:val="000000"/>
              </w:rPr>
              <w:t>144</w:t>
            </w:r>
            <w:r w:rsidR="00D85289">
              <w:rPr>
                <w:b/>
                <w:bCs/>
                <w:color w:val="000000"/>
              </w:rPr>
              <w:t>,000</w:t>
            </w:r>
          </w:p>
        </w:tc>
      </w:tr>
      <w:tr w:rsidRPr="00382FE0" w:rsidR="00382FE0" w:rsidTr="005C2046" w14:paraId="619BB325" w14:textId="77777777">
        <w:trPr>
          <w:trHeight w:val="330"/>
        </w:trPr>
        <w:tc>
          <w:tcPr>
            <w:tcW w:w="1967" w:type="dxa"/>
            <w:tcBorders>
              <w:top w:val="nil"/>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2E37DC54" w14:textId="77777777">
            <w:pPr>
              <w:widowControl/>
              <w:autoSpaceDE/>
              <w:autoSpaceDN/>
              <w:adjustRightInd/>
              <w:jc w:val="right"/>
              <w:rPr>
                <w:b/>
                <w:bCs/>
                <w:color w:val="000000"/>
              </w:rPr>
            </w:pPr>
            <w:r w:rsidRPr="00382FE0">
              <w:rPr>
                <w:b/>
                <w:bCs/>
                <w:color w:val="000000"/>
              </w:rPr>
              <w:t>CFPB Burden Costs:</w:t>
            </w:r>
          </w:p>
        </w:tc>
        <w:tc>
          <w:tcPr>
            <w:tcW w:w="1439"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300C4B46" w14:textId="77777777">
            <w:pPr>
              <w:widowControl/>
              <w:autoSpaceDE/>
              <w:autoSpaceDN/>
              <w:adjustRightInd/>
              <w:jc w:val="right"/>
              <w:rPr>
                <w:b/>
                <w:bCs/>
                <w:color w:val="000000"/>
              </w:rPr>
            </w:pPr>
            <w:r w:rsidRPr="00382FE0">
              <w:rPr>
                <w:b/>
                <w:bCs/>
                <w:color w:val="000000"/>
              </w:rPr>
              <w:t>//////////////////////</w:t>
            </w:r>
          </w:p>
        </w:tc>
        <w:tc>
          <w:tcPr>
            <w:tcW w:w="1466"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62B07E37" w14:textId="77777777">
            <w:pPr>
              <w:widowControl/>
              <w:autoSpaceDE/>
              <w:autoSpaceDN/>
              <w:adjustRightInd/>
              <w:jc w:val="right"/>
              <w:rPr>
                <w:b/>
                <w:bCs/>
                <w:color w:val="000000"/>
              </w:rPr>
            </w:pPr>
            <w:r w:rsidRPr="00382FE0">
              <w:rPr>
                <w:b/>
                <w:bCs/>
                <w:color w:val="000000"/>
              </w:rPr>
              <w:t>//////////////////</w:t>
            </w:r>
          </w:p>
        </w:tc>
        <w:tc>
          <w:tcPr>
            <w:tcW w:w="1428"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27E6F041" w14:textId="5C54E93E">
            <w:pPr>
              <w:widowControl/>
              <w:autoSpaceDE/>
              <w:autoSpaceDN/>
              <w:adjustRightInd/>
              <w:jc w:val="right"/>
              <w:rPr>
                <w:b/>
                <w:bCs/>
                <w:color w:val="000000"/>
              </w:rPr>
            </w:pPr>
            <w:r w:rsidRPr="00382FE0">
              <w:rPr>
                <w:b/>
                <w:bCs/>
                <w:color w:val="000000"/>
              </w:rPr>
              <w:t>$</w:t>
            </w:r>
            <w:r w:rsidR="005C2046">
              <w:rPr>
                <w:b/>
                <w:bCs/>
                <w:color w:val="000000"/>
              </w:rPr>
              <w:t>72</w:t>
            </w:r>
            <w:r w:rsidR="003C1594">
              <w:rPr>
                <w:b/>
                <w:bCs/>
                <w:color w:val="000000"/>
              </w:rPr>
              <w:t>,</w:t>
            </w:r>
            <w:r w:rsidR="005C2046">
              <w:rPr>
                <w:b/>
                <w:bCs/>
                <w:color w:val="000000"/>
              </w:rPr>
              <w:t>0</w:t>
            </w:r>
            <w:r w:rsidR="003C1594">
              <w:rPr>
                <w:b/>
                <w:bCs/>
                <w:color w:val="000000"/>
              </w:rPr>
              <w:t>00</w:t>
            </w:r>
            <w:r w:rsidRPr="00382FE0">
              <w:rPr>
                <w:b/>
                <w:bCs/>
                <w:color w:val="000000"/>
              </w:rPr>
              <w:t xml:space="preserve"> </w:t>
            </w:r>
          </w:p>
        </w:tc>
      </w:tr>
    </w:tbl>
    <w:p w:rsidR="00952B75" w:rsidRDefault="00952B75" w14:paraId="5BEF7E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0DD082FF" w14:textId="77777777">
      <w:pPr>
        <w:pStyle w:val="CM12"/>
        <w:spacing w:line="276" w:lineRule="atLeast"/>
      </w:pPr>
      <w:r w:rsidRPr="004D683B">
        <w:rPr>
          <w:b/>
          <w:bCs/>
        </w:rPr>
        <w:t xml:space="preserve">14.  </w:t>
      </w:r>
      <w:r w:rsidRPr="004D683B">
        <w:rPr>
          <w:b/>
          <w:bCs/>
          <w:u w:val="single"/>
        </w:rPr>
        <w:t>Estimated Cost to the Federal Government</w:t>
      </w:r>
    </w:p>
    <w:p w:rsidR="00BC5C20" w:rsidRDefault="00BC5C20" w14:paraId="133E1A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F5A14" w:rsidR="00D72220" w:rsidP="006C4996" w:rsidRDefault="002F5A14" w14:paraId="5094EE5F" w14:textId="61283303">
      <w:pPr>
        <w:rPr>
          <w:sz w:val="24"/>
          <w:szCs w:val="24"/>
        </w:rPr>
      </w:pPr>
      <w:r w:rsidRPr="002F5A14">
        <w:rPr>
          <w:sz w:val="24"/>
          <w:szCs w:val="24"/>
        </w:rPr>
        <w:t>There are no additional costs to the Federal Government.</w:t>
      </w:r>
    </w:p>
    <w:p w:rsidR="00BC5C20" w:rsidP="00BC5C20" w:rsidRDefault="00BC5C20" w14:paraId="463E6E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642E4C52" w14:textId="77777777">
      <w:pPr>
        <w:pStyle w:val="Default"/>
        <w:rPr>
          <w:b/>
          <w:bCs/>
          <w:u w:val="single"/>
        </w:rPr>
      </w:pPr>
      <w:r w:rsidRPr="004D683B">
        <w:rPr>
          <w:b/>
          <w:bCs/>
        </w:rPr>
        <w:t xml:space="preserve">15.  </w:t>
      </w:r>
      <w:r w:rsidRPr="004D683B">
        <w:rPr>
          <w:b/>
          <w:bCs/>
          <w:u w:val="single"/>
        </w:rPr>
        <w:t>Program Changes or Adjustments</w:t>
      </w:r>
    </w:p>
    <w:p w:rsidR="00D72220" w:rsidP="00BC5C20" w:rsidRDefault="00D72220" w14:paraId="2B52F79A" w14:textId="0EFA70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55C8" w:rsidP="0036136D" w:rsidRDefault="00DC0BBE" w14:paraId="4F0913FA" w14:textId="0156C600">
      <w:pPr>
        <w:pStyle w:val="CommentText"/>
        <w:rPr>
          <w:sz w:val="24"/>
          <w:szCs w:val="24"/>
        </w:rPr>
      </w:pPr>
      <w:r>
        <w:rPr>
          <w:sz w:val="24"/>
          <w:szCs w:val="24"/>
        </w:rPr>
        <w:t xml:space="preserve">This is a new information collection with </w:t>
      </w:r>
      <w:r w:rsidR="005B39EB">
        <w:rPr>
          <w:sz w:val="24"/>
          <w:szCs w:val="24"/>
        </w:rPr>
        <w:t xml:space="preserve">Bureau allocated totals of </w:t>
      </w:r>
      <w:r w:rsidR="00352875">
        <w:rPr>
          <w:sz w:val="24"/>
          <w:szCs w:val="24"/>
        </w:rPr>
        <w:t xml:space="preserve">720,000 responses, </w:t>
      </w:r>
      <w:r w:rsidR="00A10966">
        <w:rPr>
          <w:sz w:val="24"/>
          <w:szCs w:val="24"/>
        </w:rPr>
        <w:t>3,000</w:t>
      </w:r>
      <w:r w:rsidR="005B39EB">
        <w:rPr>
          <w:sz w:val="24"/>
          <w:szCs w:val="24"/>
        </w:rPr>
        <w:t xml:space="preserve"> burden hours, </w:t>
      </w:r>
      <w:r w:rsidR="00E354D5">
        <w:rPr>
          <w:sz w:val="24"/>
          <w:szCs w:val="24"/>
        </w:rPr>
        <w:t>$53,500 labor costs, and $72,000 burden costs.</w:t>
      </w:r>
    </w:p>
    <w:p w:rsidR="00BC5C20" w:rsidP="0036136D" w:rsidRDefault="00BC5C20" w14:paraId="2A503B08" w14:textId="77777777">
      <w:pPr>
        <w:pStyle w:val="CommentText"/>
        <w:rPr>
          <w:sz w:val="24"/>
          <w:szCs w:val="24"/>
        </w:rPr>
      </w:pPr>
    </w:p>
    <w:p w:rsidRPr="004D683B" w:rsidR="00BC5C20" w:rsidP="00BC5C20" w:rsidRDefault="00BC5C20" w14:paraId="62F57A3F" w14:textId="77777777">
      <w:pPr>
        <w:pStyle w:val="CM12"/>
        <w:spacing w:line="276" w:lineRule="atLeast"/>
      </w:pPr>
      <w:r w:rsidRPr="004D683B">
        <w:rPr>
          <w:b/>
          <w:bCs/>
        </w:rPr>
        <w:t xml:space="preserve">16.  </w:t>
      </w:r>
      <w:r w:rsidRPr="004D683B">
        <w:rPr>
          <w:b/>
          <w:bCs/>
          <w:u w:val="single"/>
        </w:rPr>
        <w:t>Plans for Tabulation, Statistical Analysis, and Publication</w:t>
      </w:r>
    </w:p>
    <w:p w:rsidR="00295103" w:rsidRDefault="00295103" w14:paraId="7E5FA2A4" w14:textId="1071BC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5A14" w:rsidRDefault="002F5A14" w14:paraId="7651C217" w14:textId="633499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plans to provide any publications based on the information collection of this regulation.</w:t>
      </w:r>
    </w:p>
    <w:p w:rsidR="00295103" w:rsidRDefault="00295103" w14:paraId="35EF73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263F4" w:rsidR="00BC5C20" w:rsidP="007263F4" w:rsidRDefault="00BC5C20" w14:paraId="6A5A3B1F" w14:textId="1511A360">
      <w:pPr>
        <w:pStyle w:val="Default"/>
        <w:rPr>
          <w:b/>
          <w:bCs/>
          <w:color w:val="auto"/>
          <w:u w:val="single"/>
        </w:rPr>
      </w:pPr>
      <w:r w:rsidRPr="004D683B">
        <w:rPr>
          <w:b/>
          <w:bCs/>
          <w:color w:val="auto"/>
        </w:rPr>
        <w:t>17.</w:t>
      </w:r>
      <w:r w:rsidR="002120E6">
        <w:rPr>
          <w:b/>
          <w:bCs/>
          <w:color w:val="auto"/>
        </w:rPr>
        <w:t xml:space="preserve">  </w:t>
      </w:r>
      <w:r w:rsidR="007263F4">
        <w:rPr>
          <w:b/>
          <w:bCs/>
          <w:color w:val="auto"/>
          <w:u w:val="single"/>
        </w:rPr>
        <w:t>Display of Expiration Date</w:t>
      </w:r>
    </w:p>
    <w:p w:rsidR="007263F4" w:rsidP="00BC5C20" w:rsidRDefault="007263F4" w14:paraId="7B66F3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263F4" w:rsidP="00BC5C20" w:rsidRDefault="007263F4" w14:paraId="139F2666" w14:textId="181558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OMB control number and expiration date associated with this PRA submission will be displayed on the Federal government’s electronic PRA docket at </w:t>
      </w:r>
      <w:hyperlink w:history="1" r:id="rId13">
        <w:r w:rsidRPr="006B6670">
          <w:rPr>
            <w:rStyle w:val="Hyperlink"/>
            <w:sz w:val="24"/>
            <w:szCs w:val="24"/>
          </w:rPr>
          <w:t>www.reginfo.gov</w:t>
        </w:r>
      </w:hyperlink>
      <w:r>
        <w:rPr>
          <w:sz w:val="24"/>
          <w:szCs w:val="24"/>
        </w:rPr>
        <w:t>, as well as in the Code of Federal Regulations.  There are no required forms or other documents upon which display of the control number and expira</w:t>
      </w:r>
      <w:r w:rsidR="002B3E76">
        <w:rPr>
          <w:sz w:val="24"/>
          <w:szCs w:val="24"/>
        </w:rPr>
        <w:t>tion date would be appropriate.</w:t>
      </w:r>
    </w:p>
    <w:p w:rsidRPr="00BC5C20" w:rsidR="00295103" w:rsidRDefault="00295103" w14:paraId="229AF8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C5C20" w:rsidR="00BC5C20" w:rsidRDefault="00BC5C20" w14:paraId="2E3F9B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BC5C20">
        <w:rPr>
          <w:b/>
          <w:bCs/>
          <w:sz w:val="24"/>
          <w:szCs w:val="24"/>
        </w:rPr>
        <w:t xml:space="preserve">18.  </w:t>
      </w:r>
      <w:r w:rsidRPr="00BC5C20">
        <w:rPr>
          <w:b/>
          <w:bCs/>
          <w:sz w:val="24"/>
          <w:szCs w:val="24"/>
          <w:u w:val="single"/>
        </w:rPr>
        <w:t>Exceptions to the Certification Requirement</w:t>
      </w:r>
    </w:p>
    <w:p w:rsidRPr="00BC5C20" w:rsidR="00BC5C20" w:rsidRDefault="00BC5C20" w14:paraId="592A99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B6C4B" w:rsidP="001B6C4B" w:rsidRDefault="00D24B4B" w14:paraId="52620E7F" w14:textId="2DCF0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Bureau certifies that this collection of information is consistent with the requirements of 5 CFR § 1320.9, and the related provisions of 5 CFR § 1320.8(b)(3) and is not seeking an exemption to th</w:t>
      </w:r>
      <w:r w:rsidR="00147164">
        <w:rPr>
          <w:sz w:val="24"/>
          <w:szCs w:val="24"/>
        </w:rPr>
        <w:t>ese certification requirements.</w:t>
      </w:r>
    </w:p>
    <w:p w:rsidR="00D24B4B" w:rsidP="001B6C4B" w:rsidRDefault="00D24B4B" w14:paraId="55AE1554" w14:textId="7AD014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24B4B" w:rsidP="001B6C4B" w:rsidRDefault="00D24B4B" w14:paraId="7DF1C58C" w14:textId="584DC0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24B4B">
        <w:rPr>
          <w:b/>
          <w:sz w:val="24"/>
          <w:szCs w:val="24"/>
        </w:rPr>
        <w:t>PART B: COLLECTIONS OF INFORMATION USING STATISTICAL METHODS</w:t>
      </w:r>
    </w:p>
    <w:p w:rsidR="00D24B4B" w:rsidP="001B6C4B" w:rsidRDefault="00D24B4B" w14:paraId="14A161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24B4B" w:rsidP="001B6C4B" w:rsidRDefault="00D24B4B" w14:paraId="1BA164F3" w14:textId="21D4F5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Not applicable.  The information collections contained in this proposed rule do not involve </w:t>
      </w:r>
      <w:r w:rsidR="00032780">
        <w:rPr>
          <w:sz w:val="24"/>
          <w:szCs w:val="24"/>
        </w:rPr>
        <w:t>the use of statistical methods.</w:t>
      </w:r>
    </w:p>
    <w:p w:rsidR="001B6C4B" w:rsidP="001B6C4B" w:rsidRDefault="001B6C4B" w14:paraId="16D2EF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C7ECD" w:rsidRDefault="00FC7ECD" w14:paraId="353E11FA" w14:textId="77777777">
      <w:pPr>
        <w:widowControl/>
        <w:autoSpaceDE/>
        <w:autoSpaceDN/>
        <w:adjustRightInd/>
        <w:rPr>
          <w:sz w:val="24"/>
          <w:szCs w:val="24"/>
        </w:rPr>
      </w:pPr>
    </w:p>
    <w:sectPr w:rsidR="00FC7ECD">
      <w:headerReference w:type="default" r:id="rId14"/>
      <w:footerReference w:type="default" r:id="rId15"/>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C1335" w14:textId="77777777" w:rsidR="009D7D0F" w:rsidRDefault="009D7D0F" w:rsidP="001B6C4B">
      <w:r>
        <w:separator/>
      </w:r>
    </w:p>
  </w:endnote>
  <w:endnote w:type="continuationSeparator" w:id="0">
    <w:p w14:paraId="1671DE7B" w14:textId="77777777" w:rsidR="009D7D0F" w:rsidRDefault="009D7D0F" w:rsidP="001B6C4B">
      <w:r>
        <w:continuationSeparator/>
      </w:r>
    </w:p>
  </w:endnote>
  <w:endnote w:type="continuationNotice" w:id="1">
    <w:p w14:paraId="68D80640" w14:textId="77777777" w:rsidR="009D7D0F" w:rsidRDefault="009D7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7145782"/>
      <w:docPartObj>
        <w:docPartGallery w:val="Page Numbers (Bottom of Page)"/>
        <w:docPartUnique/>
      </w:docPartObj>
    </w:sdtPr>
    <w:sdtEndPr/>
    <w:sdtContent>
      <w:sdt>
        <w:sdtPr>
          <w:id w:val="860082579"/>
          <w:docPartObj>
            <w:docPartGallery w:val="Page Numbers (Top of Page)"/>
            <w:docPartUnique/>
          </w:docPartObj>
        </w:sdtPr>
        <w:sdtEndPr/>
        <w:sdtContent>
          <w:p w14:paraId="18DBD75F" w14:textId="1AA157AB" w:rsidR="00DA137E" w:rsidRDefault="00DA137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14:paraId="44E209DD" w14:textId="77777777" w:rsidR="00DA137E" w:rsidRDefault="00DA1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B697C" w14:textId="77777777" w:rsidR="009D7D0F" w:rsidRDefault="009D7D0F" w:rsidP="001B6C4B">
      <w:r>
        <w:separator/>
      </w:r>
    </w:p>
  </w:footnote>
  <w:footnote w:type="continuationSeparator" w:id="0">
    <w:p w14:paraId="2A25F05A" w14:textId="77777777" w:rsidR="009D7D0F" w:rsidRDefault="009D7D0F" w:rsidP="001B6C4B">
      <w:r>
        <w:continuationSeparator/>
      </w:r>
    </w:p>
  </w:footnote>
  <w:footnote w:type="continuationNotice" w:id="1">
    <w:p w14:paraId="03B866BE" w14:textId="77777777" w:rsidR="009D7D0F" w:rsidRDefault="009D7D0F"/>
  </w:footnote>
  <w:footnote w:id="2">
    <w:p w14:paraId="0EBC787E" w14:textId="5E36BC83" w:rsidR="004A5D67" w:rsidRDefault="004A5D67" w:rsidP="004A5D67">
      <w:pPr>
        <w:pStyle w:val="FootnoteText"/>
        <w:spacing w:before="120" w:after="120"/>
      </w:pPr>
      <w:r>
        <w:rPr>
          <w:rStyle w:val="FootnoteReference"/>
        </w:rPr>
        <w:footnoteRef/>
      </w:r>
      <w:r>
        <w:t xml:space="preserve"> </w:t>
      </w:r>
      <w:r w:rsidRPr="00487683">
        <w:rPr>
          <w:i/>
          <w:iCs/>
        </w:rPr>
        <w:t>See</w:t>
      </w:r>
      <w:r w:rsidRPr="00BF5CEF">
        <w:rPr>
          <w:i/>
        </w:rPr>
        <w:t xml:space="preserve"> </w:t>
      </w:r>
      <w:r w:rsidRPr="002D5CFA">
        <w:t>86 FR 16731</w:t>
      </w:r>
      <w:r>
        <w:t>, 16737</w:t>
      </w:r>
      <w:r w:rsidRPr="002D5CFA">
        <w:t xml:space="preserve"> (Mar. 31, 2021</w:t>
      </w:r>
      <w:r>
        <w:t>) (in describing how it would be impracticable to provide notice and comment, the CDC wrote in the extension of the CDC Order that, “</w:t>
      </w:r>
      <w:r w:rsidRPr="00F031AE">
        <w:t>The rapidly changing nature of the pandemic requires not only that CDC act swiftly, but also deftly to ensure that its actions are commensurate with the threat.</w:t>
      </w:r>
      <w:r>
        <w:t xml:space="preserve">”).  </w:t>
      </w:r>
    </w:p>
  </w:footnote>
  <w:footnote w:id="3">
    <w:p w14:paraId="65483606" w14:textId="77777777" w:rsidR="004A5D67" w:rsidRDefault="004A5D67" w:rsidP="004A5D67">
      <w:pPr>
        <w:pStyle w:val="FootnoteText"/>
        <w:spacing w:before="120" w:after="120"/>
      </w:pPr>
      <w:r>
        <w:rPr>
          <w:rStyle w:val="FootnoteReference"/>
        </w:rPr>
        <w:footnoteRef/>
      </w:r>
      <w:r>
        <w:t xml:space="preserve"> </w:t>
      </w:r>
      <w:r>
        <w:rPr>
          <w:i/>
          <w:iCs/>
        </w:rPr>
        <w:t>See, e.g.</w:t>
      </w:r>
      <w:r w:rsidRPr="00C50376">
        <w:t xml:space="preserve">, </w:t>
      </w:r>
      <w:r>
        <w:t xml:space="preserve">Gov’t Accountability Office, </w:t>
      </w:r>
      <w:r w:rsidRPr="000F07AC">
        <w:rPr>
          <w:i/>
          <w:iCs/>
        </w:rPr>
        <w:t>Covid-19 Housing Protections: Moratoriums Have Helped Limit Evictions, but Further Outreach Is Needed</w:t>
      </w:r>
      <w:r>
        <w:t>, at 1</w:t>
      </w:r>
      <w:r>
        <w:rPr>
          <w:i/>
          <w:iCs/>
        </w:rPr>
        <w:t xml:space="preserve"> </w:t>
      </w:r>
      <w:r>
        <w:t xml:space="preserve">(Mar. 15, 2021), </w:t>
      </w:r>
      <w:r w:rsidRPr="00B826D3">
        <w:rPr>
          <w:i/>
          <w:iCs/>
        </w:rPr>
        <w:t>https://www.gao.gov/products/gao-21-370</w:t>
      </w:r>
      <w:r>
        <w:t>.</w:t>
      </w:r>
      <w:r w:rsidRPr="00CF61D1">
        <w:t xml:space="preserve"> </w:t>
      </w:r>
      <w:r>
        <w:t xml:space="preserve"> </w:t>
      </w:r>
    </w:p>
  </w:footnote>
  <w:footnote w:id="4">
    <w:p w14:paraId="0B2578E8" w14:textId="77777777" w:rsidR="00DA137E" w:rsidRDefault="00DA137E" w:rsidP="00111E44">
      <w:pPr>
        <w:pStyle w:val="FootnoteText"/>
      </w:pPr>
      <w:r>
        <w:rPr>
          <w:rStyle w:val="FootnoteReference"/>
        </w:rPr>
        <w:footnoteRef/>
      </w:r>
      <w:r>
        <w:t xml:space="preserve"> 15 U.S.C. 1692(e).</w:t>
      </w:r>
    </w:p>
  </w:footnote>
  <w:footnote w:id="5">
    <w:p w14:paraId="35164AD4" w14:textId="27FC131B" w:rsidR="00D24F21" w:rsidRDefault="00D24F21">
      <w:pPr>
        <w:pStyle w:val="FootnoteText"/>
      </w:pPr>
      <w:r>
        <w:rPr>
          <w:rStyle w:val="FootnoteReference"/>
        </w:rPr>
        <w:footnoteRef/>
      </w:r>
      <w:r>
        <w:t xml:space="preserve"> </w:t>
      </w:r>
      <w:r w:rsidR="00B5242E">
        <w:t xml:space="preserve">This figure is rounded </w:t>
      </w:r>
      <w:r w:rsidR="00E57259">
        <w:t xml:space="preserve">up </w:t>
      </w:r>
      <w:r w:rsidR="00B5242E">
        <w:t>from 0.0041</w:t>
      </w:r>
      <m:oMath>
        <m:acc>
          <m:accPr>
            <m:chr m:val="̅"/>
            <m:ctrlPr>
              <w:rPr>
                <w:rFonts w:ascii="Cambria Math" w:hAnsi="Cambria Math"/>
                <w:i/>
              </w:rPr>
            </m:ctrlPr>
          </m:accPr>
          <m:e>
            <m:r>
              <w:rPr>
                <w:rFonts w:ascii="Cambria Math" w:hAnsi="Cambria Math"/>
              </w:rPr>
              <m:t>6</m:t>
            </m:r>
          </m:e>
        </m:acc>
      </m:oMath>
      <w:r w:rsidR="00A41BFF">
        <w:t>.</w:t>
      </w:r>
    </w:p>
  </w:footnote>
  <w:footnote w:id="6">
    <w:p w14:paraId="408220F5" w14:textId="7113E585" w:rsidR="00AD7C68" w:rsidRDefault="00AD7C68">
      <w:pPr>
        <w:pStyle w:val="FootnoteText"/>
      </w:pPr>
      <w:r>
        <w:rPr>
          <w:rStyle w:val="FootnoteReference"/>
        </w:rPr>
        <w:footnoteRef/>
      </w:r>
      <w:r>
        <w:t xml:space="preserve"> </w:t>
      </w:r>
      <w:r w:rsidR="00E906C7">
        <w:t>This figure is rounded up from $106,740.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DC6D7" w14:textId="11A3885F" w:rsidR="00DA137E" w:rsidRDefault="00DA137E" w:rsidP="002A5B5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1B0D53"/>
    <w:multiLevelType w:val="hybridMultilevel"/>
    <w:tmpl w:val="A13A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73E66"/>
    <w:multiLevelType w:val="hybridMultilevel"/>
    <w:tmpl w:val="191819F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D643DA2"/>
    <w:multiLevelType w:val="hybridMultilevel"/>
    <w:tmpl w:val="259C2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A7FE5"/>
    <w:multiLevelType w:val="hybridMultilevel"/>
    <w:tmpl w:val="6E6E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841CF"/>
    <w:multiLevelType w:val="hybridMultilevel"/>
    <w:tmpl w:val="C976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863B8"/>
    <w:multiLevelType w:val="hybridMultilevel"/>
    <w:tmpl w:val="DF0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B1372"/>
    <w:multiLevelType w:val="hybridMultilevel"/>
    <w:tmpl w:val="4C32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07861"/>
    <w:multiLevelType w:val="hybridMultilevel"/>
    <w:tmpl w:val="0B1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B181C"/>
    <w:multiLevelType w:val="hybridMultilevel"/>
    <w:tmpl w:val="49500B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5A8776E"/>
    <w:multiLevelType w:val="hybridMultilevel"/>
    <w:tmpl w:val="FD28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86E41"/>
    <w:multiLevelType w:val="hybridMultilevel"/>
    <w:tmpl w:val="F74259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4B9970FD"/>
    <w:multiLevelType w:val="hybridMultilevel"/>
    <w:tmpl w:val="C964B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5D1506"/>
    <w:multiLevelType w:val="hybridMultilevel"/>
    <w:tmpl w:val="83D0697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4" w15:restartNumberingAfterBreak="0">
    <w:nsid w:val="58BA31A2"/>
    <w:multiLevelType w:val="hybridMultilevel"/>
    <w:tmpl w:val="FECE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4E0E3A"/>
    <w:multiLevelType w:val="hybridMultilevel"/>
    <w:tmpl w:val="F9C0E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D36D26"/>
    <w:multiLevelType w:val="hybridMultilevel"/>
    <w:tmpl w:val="0FEA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F0843"/>
    <w:multiLevelType w:val="hybridMultilevel"/>
    <w:tmpl w:val="90D4A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084A8C"/>
    <w:multiLevelType w:val="hybridMultilevel"/>
    <w:tmpl w:val="2EE45C7E"/>
    <w:lvl w:ilvl="0" w:tplc="42F40A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7271F"/>
    <w:multiLevelType w:val="hybridMultilevel"/>
    <w:tmpl w:val="1BD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55088"/>
    <w:multiLevelType w:val="hybridMultilevel"/>
    <w:tmpl w:val="5DECC0A4"/>
    <w:lvl w:ilvl="0" w:tplc="2FDEADC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4507998"/>
    <w:multiLevelType w:val="hybridMultilevel"/>
    <w:tmpl w:val="391C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184C0B"/>
    <w:multiLevelType w:val="hybridMultilevel"/>
    <w:tmpl w:val="F004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7443F2"/>
    <w:multiLevelType w:val="hybridMultilevel"/>
    <w:tmpl w:val="C7FE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7"/>
  </w:num>
  <w:num w:numId="4">
    <w:abstractNumId w:val="12"/>
  </w:num>
  <w:num w:numId="5">
    <w:abstractNumId w:val="8"/>
  </w:num>
  <w:num w:numId="6">
    <w:abstractNumId w:val="19"/>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1"/>
  </w:num>
  <w:num w:numId="9">
    <w:abstractNumId w:val="6"/>
  </w:num>
  <w:num w:numId="10">
    <w:abstractNumId w:val="9"/>
  </w:num>
  <w:num w:numId="11">
    <w:abstractNumId w:val="5"/>
  </w:num>
  <w:num w:numId="12">
    <w:abstractNumId w:val="2"/>
  </w:num>
  <w:num w:numId="13">
    <w:abstractNumId w:val="17"/>
  </w:num>
  <w:num w:numId="14">
    <w:abstractNumId w:val="22"/>
  </w:num>
  <w:num w:numId="15">
    <w:abstractNumId w:val="13"/>
  </w:num>
  <w:num w:numId="16">
    <w:abstractNumId w:val="4"/>
  </w:num>
  <w:num w:numId="17">
    <w:abstractNumId w:val="3"/>
  </w:num>
  <w:num w:numId="18">
    <w:abstractNumId w:val="10"/>
  </w:num>
  <w:num w:numId="19">
    <w:abstractNumId w:val="15"/>
  </w:num>
  <w:num w:numId="20">
    <w:abstractNumId w:val="14"/>
  </w:num>
  <w:num w:numId="21">
    <w:abstractNumId w:val="1"/>
  </w:num>
  <w:num w:numId="22">
    <w:abstractNumId w:val="16"/>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662"/>
    <w:rsid w:val="00002794"/>
    <w:rsid w:val="00002968"/>
    <w:rsid w:val="0000749A"/>
    <w:rsid w:val="00010280"/>
    <w:rsid w:val="00010885"/>
    <w:rsid w:val="00011808"/>
    <w:rsid w:val="00013CD4"/>
    <w:rsid w:val="000144EA"/>
    <w:rsid w:val="00014BCB"/>
    <w:rsid w:val="000174C7"/>
    <w:rsid w:val="00017C92"/>
    <w:rsid w:val="00020674"/>
    <w:rsid w:val="00021B2A"/>
    <w:rsid w:val="000222B1"/>
    <w:rsid w:val="00022742"/>
    <w:rsid w:val="00022F9A"/>
    <w:rsid w:val="00023DD3"/>
    <w:rsid w:val="00024522"/>
    <w:rsid w:val="000257C8"/>
    <w:rsid w:val="00025942"/>
    <w:rsid w:val="00025B0B"/>
    <w:rsid w:val="00026233"/>
    <w:rsid w:val="00026799"/>
    <w:rsid w:val="00027B2D"/>
    <w:rsid w:val="00030D96"/>
    <w:rsid w:val="00031A6D"/>
    <w:rsid w:val="00032780"/>
    <w:rsid w:val="0003732C"/>
    <w:rsid w:val="000400CB"/>
    <w:rsid w:val="00040A2C"/>
    <w:rsid w:val="00041D7C"/>
    <w:rsid w:val="00047AD4"/>
    <w:rsid w:val="00047FC5"/>
    <w:rsid w:val="00050EA6"/>
    <w:rsid w:val="0005438A"/>
    <w:rsid w:val="00057C01"/>
    <w:rsid w:val="00062376"/>
    <w:rsid w:val="00063BE0"/>
    <w:rsid w:val="000657C5"/>
    <w:rsid w:val="00065B48"/>
    <w:rsid w:val="000720C0"/>
    <w:rsid w:val="0007304A"/>
    <w:rsid w:val="000732D4"/>
    <w:rsid w:val="00073DE5"/>
    <w:rsid w:val="000747D2"/>
    <w:rsid w:val="00076315"/>
    <w:rsid w:val="0007703E"/>
    <w:rsid w:val="00080184"/>
    <w:rsid w:val="00080A6E"/>
    <w:rsid w:val="00087C9A"/>
    <w:rsid w:val="00090406"/>
    <w:rsid w:val="000939FA"/>
    <w:rsid w:val="000949A8"/>
    <w:rsid w:val="000950FB"/>
    <w:rsid w:val="000967A4"/>
    <w:rsid w:val="00096F86"/>
    <w:rsid w:val="000A07D7"/>
    <w:rsid w:val="000A0D78"/>
    <w:rsid w:val="000A29D9"/>
    <w:rsid w:val="000A4576"/>
    <w:rsid w:val="000A723C"/>
    <w:rsid w:val="000A7D8C"/>
    <w:rsid w:val="000B0523"/>
    <w:rsid w:val="000B0BC8"/>
    <w:rsid w:val="000B317E"/>
    <w:rsid w:val="000B43A9"/>
    <w:rsid w:val="000B45A6"/>
    <w:rsid w:val="000B543C"/>
    <w:rsid w:val="000B57B8"/>
    <w:rsid w:val="000B69E2"/>
    <w:rsid w:val="000C162E"/>
    <w:rsid w:val="000C37C7"/>
    <w:rsid w:val="000C5529"/>
    <w:rsid w:val="000C56DB"/>
    <w:rsid w:val="000C58A7"/>
    <w:rsid w:val="000C7CA0"/>
    <w:rsid w:val="000D08D8"/>
    <w:rsid w:val="000D0A4F"/>
    <w:rsid w:val="000D0AD9"/>
    <w:rsid w:val="000D2F9C"/>
    <w:rsid w:val="000D3598"/>
    <w:rsid w:val="000D5014"/>
    <w:rsid w:val="000D53AC"/>
    <w:rsid w:val="000D5B41"/>
    <w:rsid w:val="000D5F4A"/>
    <w:rsid w:val="000E01CC"/>
    <w:rsid w:val="000E1831"/>
    <w:rsid w:val="000E1DC5"/>
    <w:rsid w:val="000E431C"/>
    <w:rsid w:val="000E67A5"/>
    <w:rsid w:val="000E6C7A"/>
    <w:rsid w:val="000F1730"/>
    <w:rsid w:val="000F1C17"/>
    <w:rsid w:val="000F1EE8"/>
    <w:rsid w:val="000F3AF1"/>
    <w:rsid w:val="000F4C4A"/>
    <w:rsid w:val="000F523F"/>
    <w:rsid w:val="000F560D"/>
    <w:rsid w:val="000F5624"/>
    <w:rsid w:val="000F5792"/>
    <w:rsid w:val="000F5CD1"/>
    <w:rsid w:val="000F6B23"/>
    <w:rsid w:val="000F7D1B"/>
    <w:rsid w:val="00100227"/>
    <w:rsid w:val="00100608"/>
    <w:rsid w:val="0010086F"/>
    <w:rsid w:val="001013E7"/>
    <w:rsid w:val="00101ADE"/>
    <w:rsid w:val="001024CE"/>
    <w:rsid w:val="00102A44"/>
    <w:rsid w:val="00103B1C"/>
    <w:rsid w:val="00104728"/>
    <w:rsid w:val="00106442"/>
    <w:rsid w:val="00107917"/>
    <w:rsid w:val="00111620"/>
    <w:rsid w:val="00111B2D"/>
    <w:rsid w:val="00111E44"/>
    <w:rsid w:val="00113DE3"/>
    <w:rsid w:val="0012028E"/>
    <w:rsid w:val="00123122"/>
    <w:rsid w:val="00127519"/>
    <w:rsid w:val="00127781"/>
    <w:rsid w:val="001309CD"/>
    <w:rsid w:val="00130AF2"/>
    <w:rsid w:val="0013122E"/>
    <w:rsid w:val="00133D6C"/>
    <w:rsid w:val="0013454F"/>
    <w:rsid w:val="00137E4E"/>
    <w:rsid w:val="0014048A"/>
    <w:rsid w:val="00140A26"/>
    <w:rsid w:val="0014294D"/>
    <w:rsid w:val="00142968"/>
    <w:rsid w:val="00144164"/>
    <w:rsid w:val="00144D1C"/>
    <w:rsid w:val="00145B16"/>
    <w:rsid w:val="00147164"/>
    <w:rsid w:val="001509B0"/>
    <w:rsid w:val="001519F0"/>
    <w:rsid w:val="00152211"/>
    <w:rsid w:val="0015273D"/>
    <w:rsid w:val="00152ACF"/>
    <w:rsid w:val="00155D40"/>
    <w:rsid w:val="001564D1"/>
    <w:rsid w:val="00160C41"/>
    <w:rsid w:val="0016100A"/>
    <w:rsid w:val="00162B02"/>
    <w:rsid w:val="0016494C"/>
    <w:rsid w:val="00164B7C"/>
    <w:rsid w:val="00167C0D"/>
    <w:rsid w:val="00172E94"/>
    <w:rsid w:val="0017377A"/>
    <w:rsid w:val="00176747"/>
    <w:rsid w:val="00177B7A"/>
    <w:rsid w:val="00181C18"/>
    <w:rsid w:val="0018348E"/>
    <w:rsid w:val="00187384"/>
    <w:rsid w:val="00187BE1"/>
    <w:rsid w:val="00187CC4"/>
    <w:rsid w:val="001909D5"/>
    <w:rsid w:val="00190D92"/>
    <w:rsid w:val="0019401B"/>
    <w:rsid w:val="0019405D"/>
    <w:rsid w:val="00194EE3"/>
    <w:rsid w:val="00194F5B"/>
    <w:rsid w:val="0019580A"/>
    <w:rsid w:val="00197015"/>
    <w:rsid w:val="001A1BF5"/>
    <w:rsid w:val="001A7177"/>
    <w:rsid w:val="001B04F9"/>
    <w:rsid w:val="001B07D3"/>
    <w:rsid w:val="001B5CD8"/>
    <w:rsid w:val="001B6C4B"/>
    <w:rsid w:val="001C058A"/>
    <w:rsid w:val="001C0948"/>
    <w:rsid w:val="001C3AB9"/>
    <w:rsid w:val="001C3CCF"/>
    <w:rsid w:val="001C46F9"/>
    <w:rsid w:val="001C73A0"/>
    <w:rsid w:val="001D2F67"/>
    <w:rsid w:val="001D32AD"/>
    <w:rsid w:val="001D3779"/>
    <w:rsid w:val="001D6531"/>
    <w:rsid w:val="001E2B47"/>
    <w:rsid w:val="001E2C56"/>
    <w:rsid w:val="001E3FBE"/>
    <w:rsid w:val="001E5625"/>
    <w:rsid w:val="001E6124"/>
    <w:rsid w:val="001F33AA"/>
    <w:rsid w:val="001F4671"/>
    <w:rsid w:val="001F66B5"/>
    <w:rsid w:val="00200A22"/>
    <w:rsid w:val="002025E8"/>
    <w:rsid w:val="00203ED0"/>
    <w:rsid w:val="002041F8"/>
    <w:rsid w:val="00204768"/>
    <w:rsid w:val="00204BDD"/>
    <w:rsid w:val="00204D0F"/>
    <w:rsid w:val="002120E6"/>
    <w:rsid w:val="00213039"/>
    <w:rsid w:val="002136A7"/>
    <w:rsid w:val="0021390C"/>
    <w:rsid w:val="0021592D"/>
    <w:rsid w:val="00216118"/>
    <w:rsid w:val="00216C79"/>
    <w:rsid w:val="00216D9F"/>
    <w:rsid w:val="00217F9E"/>
    <w:rsid w:val="00220B13"/>
    <w:rsid w:val="00220C3B"/>
    <w:rsid w:val="00221C9B"/>
    <w:rsid w:val="0022681C"/>
    <w:rsid w:val="002275DA"/>
    <w:rsid w:val="0023019A"/>
    <w:rsid w:val="002309A6"/>
    <w:rsid w:val="002318E9"/>
    <w:rsid w:val="00234A1E"/>
    <w:rsid w:val="002352A6"/>
    <w:rsid w:val="0023602F"/>
    <w:rsid w:val="002363A1"/>
    <w:rsid w:val="00236A82"/>
    <w:rsid w:val="00237D37"/>
    <w:rsid w:val="0024148F"/>
    <w:rsid w:val="00244D6D"/>
    <w:rsid w:val="002455D2"/>
    <w:rsid w:val="00245C21"/>
    <w:rsid w:val="002477AC"/>
    <w:rsid w:val="002509B6"/>
    <w:rsid w:val="0025548F"/>
    <w:rsid w:val="00255BAF"/>
    <w:rsid w:val="00256301"/>
    <w:rsid w:val="0025637F"/>
    <w:rsid w:val="00262981"/>
    <w:rsid w:val="002637E0"/>
    <w:rsid w:val="002638E7"/>
    <w:rsid w:val="00264288"/>
    <w:rsid w:val="00266ADA"/>
    <w:rsid w:val="00267182"/>
    <w:rsid w:val="00273AE5"/>
    <w:rsid w:val="00280A8D"/>
    <w:rsid w:val="00282CE6"/>
    <w:rsid w:val="002850D0"/>
    <w:rsid w:val="00286F63"/>
    <w:rsid w:val="00287AA6"/>
    <w:rsid w:val="00291F51"/>
    <w:rsid w:val="002928B0"/>
    <w:rsid w:val="0029347E"/>
    <w:rsid w:val="00295000"/>
    <w:rsid w:val="00295103"/>
    <w:rsid w:val="002955D2"/>
    <w:rsid w:val="002962D3"/>
    <w:rsid w:val="002A33F8"/>
    <w:rsid w:val="002A4479"/>
    <w:rsid w:val="002A46BE"/>
    <w:rsid w:val="002A54E9"/>
    <w:rsid w:val="002A5B58"/>
    <w:rsid w:val="002B1AE0"/>
    <w:rsid w:val="002B1BD8"/>
    <w:rsid w:val="002B2F90"/>
    <w:rsid w:val="002B339A"/>
    <w:rsid w:val="002B3E76"/>
    <w:rsid w:val="002B4E1A"/>
    <w:rsid w:val="002B4FE8"/>
    <w:rsid w:val="002B6F19"/>
    <w:rsid w:val="002C02CF"/>
    <w:rsid w:val="002C0417"/>
    <w:rsid w:val="002C0678"/>
    <w:rsid w:val="002C0A53"/>
    <w:rsid w:val="002C0F04"/>
    <w:rsid w:val="002C151F"/>
    <w:rsid w:val="002C1BA7"/>
    <w:rsid w:val="002C1F27"/>
    <w:rsid w:val="002C4028"/>
    <w:rsid w:val="002C4131"/>
    <w:rsid w:val="002C626F"/>
    <w:rsid w:val="002C6B64"/>
    <w:rsid w:val="002C7570"/>
    <w:rsid w:val="002D7785"/>
    <w:rsid w:val="002E053E"/>
    <w:rsid w:val="002E0C16"/>
    <w:rsid w:val="002E5017"/>
    <w:rsid w:val="002E5354"/>
    <w:rsid w:val="002E55EE"/>
    <w:rsid w:val="002E6054"/>
    <w:rsid w:val="002E631B"/>
    <w:rsid w:val="002E63B0"/>
    <w:rsid w:val="002E6852"/>
    <w:rsid w:val="002E6F55"/>
    <w:rsid w:val="002F03C0"/>
    <w:rsid w:val="002F0939"/>
    <w:rsid w:val="002F2A04"/>
    <w:rsid w:val="002F4A64"/>
    <w:rsid w:val="002F5A14"/>
    <w:rsid w:val="002F6D02"/>
    <w:rsid w:val="002F750D"/>
    <w:rsid w:val="002F7C10"/>
    <w:rsid w:val="002F7D50"/>
    <w:rsid w:val="0030083C"/>
    <w:rsid w:val="0030159A"/>
    <w:rsid w:val="003017EC"/>
    <w:rsid w:val="003024B4"/>
    <w:rsid w:val="00302560"/>
    <w:rsid w:val="00302D5B"/>
    <w:rsid w:val="003032F7"/>
    <w:rsid w:val="00303499"/>
    <w:rsid w:val="003046B5"/>
    <w:rsid w:val="003074C4"/>
    <w:rsid w:val="0030797F"/>
    <w:rsid w:val="00313E38"/>
    <w:rsid w:val="0031427D"/>
    <w:rsid w:val="003160D7"/>
    <w:rsid w:val="00332431"/>
    <w:rsid w:val="003326CB"/>
    <w:rsid w:val="00333DAE"/>
    <w:rsid w:val="003346D9"/>
    <w:rsid w:val="00335CA7"/>
    <w:rsid w:val="003368A9"/>
    <w:rsid w:val="00340C53"/>
    <w:rsid w:val="0034183E"/>
    <w:rsid w:val="00343661"/>
    <w:rsid w:val="003442D1"/>
    <w:rsid w:val="00344A20"/>
    <w:rsid w:val="00344BC4"/>
    <w:rsid w:val="00346A9E"/>
    <w:rsid w:val="003506B6"/>
    <w:rsid w:val="00350B3B"/>
    <w:rsid w:val="0035147D"/>
    <w:rsid w:val="00352210"/>
    <w:rsid w:val="003524EF"/>
    <w:rsid w:val="0035284A"/>
    <w:rsid w:val="00352875"/>
    <w:rsid w:val="00352A3E"/>
    <w:rsid w:val="00352BEC"/>
    <w:rsid w:val="00353703"/>
    <w:rsid w:val="00354F63"/>
    <w:rsid w:val="00356704"/>
    <w:rsid w:val="00357E91"/>
    <w:rsid w:val="0036136D"/>
    <w:rsid w:val="003645E1"/>
    <w:rsid w:val="003647EC"/>
    <w:rsid w:val="0036516B"/>
    <w:rsid w:val="0036588A"/>
    <w:rsid w:val="00366C0B"/>
    <w:rsid w:val="0036738B"/>
    <w:rsid w:val="00367715"/>
    <w:rsid w:val="00371B07"/>
    <w:rsid w:val="003726F9"/>
    <w:rsid w:val="00372E68"/>
    <w:rsid w:val="00373294"/>
    <w:rsid w:val="00376346"/>
    <w:rsid w:val="00376485"/>
    <w:rsid w:val="00377123"/>
    <w:rsid w:val="00382FE0"/>
    <w:rsid w:val="0038583C"/>
    <w:rsid w:val="00385E23"/>
    <w:rsid w:val="00387438"/>
    <w:rsid w:val="00387822"/>
    <w:rsid w:val="0038782B"/>
    <w:rsid w:val="0039075D"/>
    <w:rsid w:val="003907A4"/>
    <w:rsid w:val="00393996"/>
    <w:rsid w:val="00395DFC"/>
    <w:rsid w:val="0039745E"/>
    <w:rsid w:val="00397EF0"/>
    <w:rsid w:val="003A0121"/>
    <w:rsid w:val="003A1C5D"/>
    <w:rsid w:val="003A3ADB"/>
    <w:rsid w:val="003A3EC5"/>
    <w:rsid w:val="003A4CB7"/>
    <w:rsid w:val="003A606D"/>
    <w:rsid w:val="003A65DC"/>
    <w:rsid w:val="003B156B"/>
    <w:rsid w:val="003B3721"/>
    <w:rsid w:val="003B59D6"/>
    <w:rsid w:val="003B601A"/>
    <w:rsid w:val="003B6759"/>
    <w:rsid w:val="003C1594"/>
    <w:rsid w:val="003C1880"/>
    <w:rsid w:val="003C1985"/>
    <w:rsid w:val="003C3292"/>
    <w:rsid w:val="003C3444"/>
    <w:rsid w:val="003C4EFE"/>
    <w:rsid w:val="003C5B19"/>
    <w:rsid w:val="003C73E5"/>
    <w:rsid w:val="003D09F1"/>
    <w:rsid w:val="003D1B2B"/>
    <w:rsid w:val="003D1D96"/>
    <w:rsid w:val="003D38AA"/>
    <w:rsid w:val="003D4CC6"/>
    <w:rsid w:val="003D761F"/>
    <w:rsid w:val="003D7E06"/>
    <w:rsid w:val="003E1901"/>
    <w:rsid w:val="003E2AC6"/>
    <w:rsid w:val="003E2AFD"/>
    <w:rsid w:val="003E414D"/>
    <w:rsid w:val="003E48A2"/>
    <w:rsid w:val="003E4CE5"/>
    <w:rsid w:val="003E56BE"/>
    <w:rsid w:val="003E63E9"/>
    <w:rsid w:val="003E6A33"/>
    <w:rsid w:val="003F15D7"/>
    <w:rsid w:val="003F1F5A"/>
    <w:rsid w:val="003F3C26"/>
    <w:rsid w:val="003F54B2"/>
    <w:rsid w:val="003F6BC5"/>
    <w:rsid w:val="003F6F6F"/>
    <w:rsid w:val="00401DEA"/>
    <w:rsid w:val="004022F9"/>
    <w:rsid w:val="004025A1"/>
    <w:rsid w:val="00402A9B"/>
    <w:rsid w:val="004059FF"/>
    <w:rsid w:val="00406101"/>
    <w:rsid w:val="00406B5B"/>
    <w:rsid w:val="00406EC7"/>
    <w:rsid w:val="00410EAC"/>
    <w:rsid w:val="00411CCF"/>
    <w:rsid w:val="00412439"/>
    <w:rsid w:val="00414133"/>
    <w:rsid w:val="00415A79"/>
    <w:rsid w:val="00421979"/>
    <w:rsid w:val="00422B93"/>
    <w:rsid w:val="00422F6F"/>
    <w:rsid w:val="00423FB5"/>
    <w:rsid w:val="004257B0"/>
    <w:rsid w:val="00426BB0"/>
    <w:rsid w:val="0043063A"/>
    <w:rsid w:val="0043249E"/>
    <w:rsid w:val="004352BE"/>
    <w:rsid w:val="00435CDB"/>
    <w:rsid w:val="004419F7"/>
    <w:rsid w:val="00441D3B"/>
    <w:rsid w:val="00442920"/>
    <w:rsid w:val="004461C9"/>
    <w:rsid w:val="004464DB"/>
    <w:rsid w:val="0045222A"/>
    <w:rsid w:val="0045225A"/>
    <w:rsid w:val="0045242E"/>
    <w:rsid w:val="00453611"/>
    <w:rsid w:val="00454DC0"/>
    <w:rsid w:val="00456EBD"/>
    <w:rsid w:val="00457F9A"/>
    <w:rsid w:val="004610E0"/>
    <w:rsid w:val="00463812"/>
    <w:rsid w:val="00465CC8"/>
    <w:rsid w:val="00466226"/>
    <w:rsid w:val="00471205"/>
    <w:rsid w:val="00471B35"/>
    <w:rsid w:val="00472069"/>
    <w:rsid w:val="00473512"/>
    <w:rsid w:val="00473620"/>
    <w:rsid w:val="004759CB"/>
    <w:rsid w:val="00477BDD"/>
    <w:rsid w:val="00482420"/>
    <w:rsid w:val="00482EB9"/>
    <w:rsid w:val="004833BE"/>
    <w:rsid w:val="0048363D"/>
    <w:rsid w:val="004838D6"/>
    <w:rsid w:val="00484A8F"/>
    <w:rsid w:val="00485D04"/>
    <w:rsid w:val="00486080"/>
    <w:rsid w:val="0048622E"/>
    <w:rsid w:val="00487B0C"/>
    <w:rsid w:val="004904BF"/>
    <w:rsid w:val="00491217"/>
    <w:rsid w:val="00491D96"/>
    <w:rsid w:val="00492798"/>
    <w:rsid w:val="00492ACF"/>
    <w:rsid w:val="00493FD9"/>
    <w:rsid w:val="00496847"/>
    <w:rsid w:val="004A0214"/>
    <w:rsid w:val="004A132B"/>
    <w:rsid w:val="004A1BA0"/>
    <w:rsid w:val="004A2450"/>
    <w:rsid w:val="004A2B90"/>
    <w:rsid w:val="004A5D67"/>
    <w:rsid w:val="004A60E7"/>
    <w:rsid w:val="004A6C4E"/>
    <w:rsid w:val="004A6DFA"/>
    <w:rsid w:val="004B09C6"/>
    <w:rsid w:val="004B30A0"/>
    <w:rsid w:val="004B40BF"/>
    <w:rsid w:val="004B4EF8"/>
    <w:rsid w:val="004B5840"/>
    <w:rsid w:val="004C0850"/>
    <w:rsid w:val="004C14F9"/>
    <w:rsid w:val="004C1F0C"/>
    <w:rsid w:val="004C2E69"/>
    <w:rsid w:val="004C3D33"/>
    <w:rsid w:val="004C5D88"/>
    <w:rsid w:val="004C77C5"/>
    <w:rsid w:val="004D0429"/>
    <w:rsid w:val="004D23A9"/>
    <w:rsid w:val="004D300F"/>
    <w:rsid w:val="004E040A"/>
    <w:rsid w:val="004E067B"/>
    <w:rsid w:val="004E1290"/>
    <w:rsid w:val="004E1A09"/>
    <w:rsid w:val="004E2917"/>
    <w:rsid w:val="004E3C5D"/>
    <w:rsid w:val="004E4460"/>
    <w:rsid w:val="004E5696"/>
    <w:rsid w:val="004E612C"/>
    <w:rsid w:val="004E62F8"/>
    <w:rsid w:val="004E64E4"/>
    <w:rsid w:val="004E72C8"/>
    <w:rsid w:val="004E7844"/>
    <w:rsid w:val="004E78E2"/>
    <w:rsid w:val="004F1408"/>
    <w:rsid w:val="004F1D1D"/>
    <w:rsid w:val="004F30AE"/>
    <w:rsid w:val="004F32BF"/>
    <w:rsid w:val="004F441F"/>
    <w:rsid w:val="004F71FC"/>
    <w:rsid w:val="004F7A92"/>
    <w:rsid w:val="005020DC"/>
    <w:rsid w:val="00504366"/>
    <w:rsid w:val="0050486E"/>
    <w:rsid w:val="00505BEC"/>
    <w:rsid w:val="00507F31"/>
    <w:rsid w:val="00507F50"/>
    <w:rsid w:val="0051075A"/>
    <w:rsid w:val="0051208F"/>
    <w:rsid w:val="00512B38"/>
    <w:rsid w:val="00512E72"/>
    <w:rsid w:val="00516F77"/>
    <w:rsid w:val="00517419"/>
    <w:rsid w:val="005200B7"/>
    <w:rsid w:val="00521376"/>
    <w:rsid w:val="00522014"/>
    <w:rsid w:val="00522F93"/>
    <w:rsid w:val="00524825"/>
    <w:rsid w:val="00525467"/>
    <w:rsid w:val="00525F87"/>
    <w:rsid w:val="0052720A"/>
    <w:rsid w:val="005279BD"/>
    <w:rsid w:val="00527D06"/>
    <w:rsid w:val="00533FA8"/>
    <w:rsid w:val="005353FD"/>
    <w:rsid w:val="0054001A"/>
    <w:rsid w:val="0054013A"/>
    <w:rsid w:val="00541E45"/>
    <w:rsid w:val="00542F28"/>
    <w:rsid w:val="005435B6"/>
    <w:rsid w:val="0054451B"/>
    <w:rsid w:val="00545DAD"/>
    <w:rsid w:val="00547998"/>
    <w:rsid w:val="0055424A"/>
    <w:rsid w:val="00555346"/>
    <w:rsid w:val="00560454"/>
    <w:rsid w:val="005607EE"/>
    <w:rsid w:val="005627A6"/>
    <w:rsid w:val="005652B7"/>
    <w:rsid w:val="00570413"/>
    <w:rsid w:val="0057065B"/>
    <w:rsid w:val="005758B2"/>
    <w:rsid w:val="005774B2"/>
    <w:rsid w:val="005775E9"/>
    <w:rsid w:val="00577B7E"/>
    <w:rsid w:val="00581CB3"/>
    <w:rsid w:val="00582C89"/>
    <w:rsid w:val="00583177"/>
    <w:rsid w:val="00583716"/>
    <w:rsid w:val="005837E8"/>
    <w:rsid w:val="00585FCE"/>
    <w:rsid w:val="00593E4C"/>
    <w:rsid w:val="00595D29"/>
    <w:rsid w:val="005962A5"/>
    <w:rsid w:val="005962F8"/>
    <w:rsid w:val="00597475"/>
    <w:rsid w:val="00597E47"/>
    <w:rsid w:val="005A16D9"/>
    <w:rsid w:val="005A4523"/>
    <w:rsid w:val="005A6531"/>
    <w:rsid w:val="005A7DDD"/>
    <w:rsid w:val="005B19CB"/>
    <w:rsid w:val="005B36CA"/>
    <w:rsid w:val="005B39EB"/>
    <w:rsid w:val="005C18EF"/>
    <w:rsid w:val="005C2046"/>
    <w:rsid w:val="005C2C23"/>
    <w:rsid w:val="005C4202"/>
    <w:rsid w:val="005D32F7"/>
    <w:rsid w:val="005D3942"/>
    <w:rsid w:val="005D39A7"/>
    <w:rsid w:val="005D5806"/>
    <w:rsid w:val="005D623F"/>
    <w:rsid w:val="005D6EBB"/>
    <w:rsid w:val="005E0031"/>
    <w:rsid w:val="005E1411"/>
    <w:rsid w:val="005E2EB4"/>
    <w:rsid w:val="005E2F31"/>
    <w:rsid w:val="005E55EB"/>
    <w:rsid w:val="005E5BEA"/>
    <w:rsid w:val="005E6469"/>
    <w:rsid w:val="005E6985"/>
    <w:rsid w:val="005F062F"/>
    <w:rsid w:val="005F22CB"/>
    <w:rsid w:val="005F352B"/>
    <w:rsid w:val="005F3736"/>
    <w:rsid w:val="005F3811"/>
    <w:rsid w:val="005F3864"/>
    <w:rsid w:val="005F3E30"/>
    <w:rsid w:val="005F4095"/>
    <w:rsid w:val="005F42E6"/>
    <w:rsid w:val="005F4530"/>
    <w:rsid w:val="005F4699"/>
    <w:rsid w:val="005F68D5"/>
    <w:rsid w:val="0060758B"/>
    <w:rsid w:val="00607A5F"/>
    <w:rsid w:val="006104C3"/>
    <w:rsid w:val="00612AA2"/>
    <w:rsid w:val="00615320"/>
    <w:rsid w:val="00615391"/>
    <w:rsid w:val="006167C0"/>
    <w:rsid w:val="00617AF9"/>
    <w:rsid w:val="00623F09"/>
    <w:rsid w:val="006252A6"/>
    <w:rsid w:val="0062615E"/>
    <w:rsid w:val="00626397"/>
    <w:rsid w:val="006269EC"/>
    <w:rsid w:val="00631035"/>
    <w:rsid w:val="00631728"/>
    <w:rsid w:val="006319D5"/>
    <w:rsid w:val="00631CBF"/>
    <w:rsid w:val="006325CB"/>
    <w:rsid w:val="006335D1"/>
    <w:rsid w:val="00634787"/>
    <w:rsid w:val="00634E39"/>
    <w:rsid w:val="00640549"/>
    <w:rsid w:val="00640B1D"/>
    <w:rsid w:val="006425EC"/>
    <w:rsid w:val="00646A05"/>
    <w:rsid w:val="006470EB"/>
    <w:rsid w:val="0064710C"/>
    <w:rsid w:val="006475A6"/>
    <w:rsid w:val="006502C0"/>
    <w:rsid w:val="00650959"/>
    <w:rsid w:val="00654D0E"/>
    <w:rsid w:val="00654D81"/>
    <w:rsid w:val="00656A3F"/>
    <w:rsid w:val="006659B3"/>
    <w:rsid w:val="00665DA0"/>
    <w:rsid w:val="00667BF0"/>
    <w:rsid w:val="00667CE7"/>
    <w:rsid w:val="006713A1"/>
    <w:rsid w:val="0067272E"/>
    <w:rsid w:val="006738E9"/>
    <w:rsid w:val="006741CF"/>
    <w:rsid w:val="006743A8"/>
    <w:rsid w:val="00674B66"/>
    <w:rsid w:val="006768AB"/>
    <w:rsid w:val="00676A96"/>
    <w:rsid w:val="00681CE3"/>
    <w:rsid w:val="00682193"/>
    <w:rsid w:val="006828B1"/>
    <w:rsid w:val="00683E43"/>
    <w:rsid w:val="00684A24"/>
    <w:rsid w:val="006856BD"/>
    <w:rsid w:val="00687197"/>
    <w:rsid w:val="00687E0F"/>
    <w:rsid w:val="006909E6"/>
    <w:rsid w:val="00691ED5"/>
    <w:rsid w:val="00692C10"/>
    <w:rsid w:val="0069398D"/>
    <w:rsid w:val="00696A1A"/>
    <w:rsid w:val="006A017F"/>
    <w:rsid w:val="006A25A0"/>
    <w:rsid w:val="006A2629"/>
    <w:rsid w:val="006A2678"/>
    <w:rsid w:val="006A43FE"/>
    <w:rsid w:val="006A4760"/>
    <w:rsid w:val="006A68B8"/>
    <w:rsid w:val="006B13E4"/>
    <w:rsid w:val="006B2ECE"/>
    <w:rsid w:val="006B456F"/>
    <w:rsid w:val="006B4914"/>
    <w:rsid w:val="006B5076"/>
    <w:rsid w:val="006B63E7"/>
    <w:rsid w:val="006B7E3E"/>
    <w:rsid w:val="006C0C46"/>
    <w:rsid w:val="006C4996"/>
    <w:rsid w:val="006C643E"/>
    <w:rsid w:val="006C731D"/>
    <w:rsid w:val="006C7737"/>
    <w:rsid w:val="006D0E40"/>
    <w:rsid w:val="006D2806"/>
    <w:rsid w:val="006D5933"/>
    <w:rsid w:val="006E0068"/>
    <w:rsid w:val="006E1131"/>
    <w:rsid w:val="006E339F"/>
    <w:rsid w:val="006E362B"/>
    <w:rsid w:val="006E5B8A"/>
    <w:rsid w:val="006E5FE5"/>
    <w:rsid w:val="006F120F"/>
    <w:rsid w:val="006F33B4"/>
    <w:rsid w:val="006F3CD2"/>
    <w:rsid w:val="006F4972"/>
    <w:rsid w:val="006F5012"/>
    <w:rsid w:val="007009FD"/>
    <w:rsid w:val="00701220"/>
    <w:rsid w:val="007018E0"/>
    <w:rsid w:val="0070196E"/>
    <w:rsid w:val="00701C0C"/>
    <w:rsid w:val="007041ED"/>
    <w:rsid w:val="00704CC9"/>
    <w:rsid w:val="00706D42"/>
    <w:rsid w:val="0070756B"/>
    <w:rsid w:val="00710441"/>
    <w:rsid w:val="00710A21"/>
    <w:rsid w:val="007119C9"/>
    <w:rsid w:val="00715018"/>
    <w:rsid w:val="0072020C"/>
    <w:rsid w:val="007233F7"/>
    <w:rsid w:val="007256C5"/>
    <w:rsid w:val="007260CB"/>
    <w:rsid w:val="007263F4"/>
    <w:rsid w:val="00727816"/>
    <w:rsid w:val="00730122"/>
    <w:rsid w:val="00730EA3"/>
    <w:rsid w:val="0073275F"/>
    <w:rsid w:val="00734050"/>
    <w:rsid w:val="00734EE7"/>
    <w:rsid w:val="0073541F"/>
    <w:rsid w:val="00735722"/>
    <w:rsid w:val="00736259"/>
    <w:rsid w:val="00740B62"/>
    <w:rsid w:val="0074220A"/>
    <w:rsid w:val="00743A4B"/>
    <w:rsid w:val="00743BA4"/>
    <w:rsid w:val="00744921"/>
    <w:rsid w:val="00745AAB"/>
    <w:rsid w:val="00746175"/>
    <w:rsid w:val="007476B8"/>
    <w:rsid w:val="00751122"/>
    <w:rsid w:val="007511A5"/>
    <w:rsid w:val="007520F2"/>
    <w:rsid w:val="00753348"/>
    <w:rsid w:val="0075464F"/>
    <w:rsid w:val="007560AB"/>
    <w:rsid w:val="00756D6F"/>
    <w:rsid w:val="0076007D"/>
    <w:rsid w:val="007627A6"/>
    <w:rsid w:val="00762AF1"/>
    <w:rsid w:val="00762D60"/>
    <w:rsid w:val="00763F2C"/>
    <w:rsid w:val="00764487"/>
    <w:rsid w:val="00764B75"/>
    <w:rsid w:val="007656C4"/>
    <w:rsid w:val="007702C4"/>
    <w:rsid w:val="00771C89"/>
    <w:rsid w:val="00772E4C"/>
    <w:rsid w:val="00774129"/>
    <w:rsid w:val="00774746"/>
    <w:rsid w:val="0077569A"/>
    <w:rsid w:val="00775FF5"/>
    <w:rsid w:val="00776A61"/>
    <w:rsid w:val="00777471"/>
    <w:rsid w:val="00780A6D"/>
    <w:rsid w:val="0078138E"/>
    <w:rsid w:val="00785149"/>
    <w:rsid w:val="007851E9"/>
    <w:rsid w:val="00787A38"/>
    <w:rsid w:val="00791E88"/>
    <w:rsid w:val="0079229B"/>
    <w:rsid w:val="00792D7F"/>
    <w:rsid w:val="00793805"/>
    <w:rsid w:val="0079401A"/>
    <w:rsid w:val="00794D99"/>
    <w:rsid w:val="00796829"/>
    <w:rsid w:val="007A0199"/>
    <w:rsid w:val="007A20B4"/>
    <w:rsid w:val="007A22A3"/>
    <w:rsid w:val="007A4200"/>
    <w:rsid w:val="007A6980"/>
    <w:rsid w:val="007B0A86"/>
    <w:rsid w:val="007B3174"/>
    <w:rsid w:val="007B784E"/>
    <w:rsid w:val="007B79C5"/>
    <w:rsid w:val="007C2464"/>
    <w:rsid w:val="007C461E"/>
    <w:rsid w:val="007C51E5"/>
    <w:rsid w:val="007D03C1"/>
    <w:rsid w:val="007D08F7"/>
    <w:rsid w:val="007D3BA0"/>
    <w:rsid w:val="007D525E"/>
    <w:rsid w:val="007D54EB"/>
    <w:rsid w:val="007D7C77"/>
    <w:rsid w:val="007E05D3"/>
    <w:rsid w:val="007E1AD4"/>
    <w:rsid w:val="007E21B5"/>
    <w:rsid w:val="007E2847"/>
    <w:rsid w:val="007F07AC"/>
    <w:rsid w:val="007F21B3"/>
    <w:rsid w:val="007F246B"/>
    <w:rsid w:val="007F3B2D"/>
    <w:rsid w:val="007F5702"/>
    <w:rsid w:val="007F5E88"/>
    <w:rsid w:val="007F6F32"/>
    <w:rsid w:val="00800531"/>
    <w:rsid w:val="008017B2"/>
    <w:rsid w:val="008020EB"/>
    <w:rsid w:val="00802C7D"/>
    <w:rsid w:val="00802E62"/>
    <w:rsid w:val="0080312B"/>
    <w:rsid w:val="008046BD"/>
    <w:rsid w:val="008068E6"/>
    <w:rsid w:val="008103B1"/>
    <w:rsid w:val="00811050"/>
    <w:rsid w:val="00811BBE"/>
    <w:rsid w:val="0081259F"/>
    <w:rsid w:val="0081266A"/>
    <w:rsid w:val="008126EB"/>
    <w:rsid w:val="00815A43"/>
    <w:rsid w:val="00816E2F"/>
    <w:rsid w:val="00821121"/>
    <w:rsid w:val="00821531"/>
    <w:rsid w:val="008228A7"/>
    <w:rsid w:val="008237D4"/>
    <w:rsid w:val="00823848"/>
    <w:rsid w:val="00823DE2"/>
    <w:rsid w:val="00824346"/>
    <w:rsid w:val="00825849"/>
    <w:rsid w:val="0082695A"/>
    <w:rsid w:val="00831EFF"/>
    <w:rsid w:val="00833438"/>
    <w:rsid w:val="008345EC"/>
    <w:rsid w:val="00834D87"/>
    <w:rsid w:val="00836FD9"/>
    <w:rsid w:val="00837ECC"/>
    <w:rsid w:val="00842CCC"/>
    <w:rsid w:val="0084380D"/>
    <w:rsid w:val="00843CCB"/>
    <w:rsid w:val="00845590"/>
    <w:rsid w:val="00846395"/>
    <w:rsid w:val="008474C5"/>
    <w:rsid w:val="008514BD"/>
    <w:rsid w:val="00851CCC"/>
    <w:rsid w:val="008530D4"/>
    <w:rsid w:val="008542D0"/>
    <w:rsid w:val="00857B50"/>
    <w:rsid w:val="008603CE"/>
    <w:rsid w:val="00861B94"/>
    <w:rsid w:val="0086278E"/>
    <w:rsid w:val="00865F53"/>
    <w:rsid w:val="0087237B"/>
    <w:rsid w:val="008736AF"/>
    <w:rsid w:val="00874D60"/>
    <w:rsid w:val="00874F78"/>
    <w:rsid w:val="0087513A"/>
    <w:rsid w:val="00876068"/>
    <w:rsid w:val="00877F2F"/>
    <w:rsid w:val="00880A1B"/>
    <w:rsid w:val="00881F50"/>
    <w:rsid w:val="008825BF"/>
    <w:rsid w:val="00884993"/>
    <w:rsid w:val="00885A9E"/>
    <w:rsid w:val="00885AE5"/>
    <w:rsid w:val="0089175D"/>
    <w:rsid w:val="008959DA"/>
    <w:rsid w:val="008A077B"/>
    <w:rsid w:val="008A1DB7"/>
    <w:rsid w:val="008A3415"/>
    <w:rsid w:val="008A39DA"/>
    <w:rsid w:val="008A6B33"/>
    <w:rsid w:val="008B0176"/>
    <w:rsid w:val="008B158B"/>
    <w:rsid w:val="008B18B9"/>
    <w:rsid w:val="008B34FC"/>
    <w:rsid w:val="008B3B78"/>
    <w:rsid w:val="008B3C0E"/>
    <w:rsid w:val="008B4EE0"/>
    <w:rsid w:val="008B530F"/>
    <w:rsid w:val="008C0033"/>
    <w:rsid w:val="008C1E6F"/>
    <w:rsid w:val="008C3494"/>
    <w:rsid w:val="008D140B"/>
    <w:rsid w:val="008D1617"/>
    <w:rsid w:val="008D3380"/>
    <w:rsid w:val="008D3381"/>
    <w:rsid w:val="008D3952"/>
    <w:rsid w:val="008D40BE"/>
    <w:rsid w:val="008D74BA"/>
    <w:rsid w:val="008E13F6"/>
    <w:rsid w:val="008E20A5"/>
    <w:rsid w:val="008E4063"/>
    <w:rsid w:val="008E4B59"/>
    <w:rsid w:val="008E5461"/>
    <w:rsid w:val="008E78D0"/>
    <w:rsid w:val="008F05EE"/>
    <w:rsid w:val="008F0B76"/>
    <w:rsid w:val="008F78E4"/>
    <w:rsid w:val="0090057B"/>
    <w:rsid w:val="0090256A"/>
    <w:rsid w:val="00903E34"/>
    <w:rsid w:val="009042F2"/>
    <w:rsid w:val="0090478C"/>
    <w:rsid w:val="00904E6E"/>
    <w:rsid w:val="00905C93"/>
    <w:rsid w:val="00906667"/>
    <w:rsid w:val="00906C5C"/>
    <w:rsid w:val="00910113"/>
    <w:rsid w:val="00910EA7"/>
    <w:rsid w:val="00912D48"/>
    <w:rsid w:val="00913DB6"/>
    <w:rsid w:val="00914777"/>
    <w:rsid w:val="00915027"/>
    <w:rsid w:val="00916094"/>
    <w:rsid w:val="0091636C"/>
    <w:rsid w:val="00916C0B"/>
    <w:rsid w:val="00920702"/>
    <w:rsid w:val="00923DEE"/>
    <w:rsid w:val="0092596F"/>
    <w:rsid w:val="0092761F"/>
    <w:rsid w:val="00927DDD"/>
    <w:rsid w:val="00930664"/>
    <w:rsid w:val="009338B7"/>
    <w:rsid w:val="00934A6C"/>
    <w:rsid w:val="00937E2F"/>
    <w:rsid w:val="00937E6A"/>
    <w:rsid w:val="0094008C"/>
    <w:rsid w:val="00940230"/>
    <w:rsid w:val="00944C21"/>
    <w:rsid w:val="00946D81"/>
    <w:rsid w:val="00951582"/>
    <w:rsid w:val="009529F5"/>
    <w:rsid w:val="00952B75"/>
    <w:rsid w:val="00952BFD"/>
    <w:rsid w:val="0095494A"/>
    <w:rsid w:val="0095561C"/>
    <w:rsid w:val="009569B4"/>
    <w:rsid w:val="00960580"/>
    <w:rsid w:val="0096186C"/>
    <w:rsid w:val="00963119"/>
    <w:rsid w:val="0096430B"/>
    <w:rsid w:val="00965130"/>
    <w:rsid w:val="009652F5"/>
    <w:rsid w:val="009737D8"/>
    <w:rsid w:val="00974E40"/>
    <w:rsid w:val="00975E69"/>
    <w:rsid w:val="00976512"/>
    <w:rsid w:val="009766D9"/>
    <w:rsid w:val="00977CF1"/>
    <w:rsid w:val="0098144A"/>
    <w:rsid w:val="009819D9"/>
    <w:rsid w:val="009828A4"/>
    <w:rsid w:val="00982FB6"/>
    <w:rsid w:val="0098589E"/>
    <w:rsid w:val="009858F4"/>
    <w:rsid w:val="00987294"/>
    <w:rsid w:val="009951F3"/>
    <w:rsid w:val="00997519"/>
    <w:rsid w:val="00997C47"/>
    <w:rsid w:val="009A21E0"/>
    <w:rsid w:val="009A2896"/>
    <w:rsid w:val="009A4993"/>
    <w:rsid w:val="009A4FBC"/>
    <w:rsid w:val="009A57FF"/>
    <w:rsid w:val="009A6D59"/>
    <w:rsid w:val="009B0325"/>
    <w:rsid w:val="009B2521"/>
    <w:rsid w:val="009B2606"/>
    <w:rsid w:val="009B359F"/>
    <w:rsid w:val="009B39D2"/>
    <w:rsid w:val="009B3A93"/>
    <w:rsid w:val="009B3DF2"/>
    <w:rsid w:val="009B581C"/>
    <w:rsid w:val="009B5917"/>
    <w:rsid w:val="009B5A9D"/>
    <w:rsid w:val="009B5B9A"/>
    <w:rsid w:val="009C3103"/>
    <w:rsid w:val="009C38C3"/>
    <w:rsid w:val="009C4BF6"/>
    <w:rsid w:val="009C5181"/>
    <w:rsid w:val="009C7D36"/>
    <w:rsid w:val="009C7FB0"/>
    <w:rsid w:val="009D03A0"/>
    <w:rsid w:val="009D1784"/>
    <w:rsid w:val="009D2CDB"/>
    <w:rsid w:val="009D3ABA"/>
    <w:rsid w:val="009D4E5B"/>
    <w:rsid w:val="009D5FF5"/>
    <w:rsid w:val="009D7371"/>
    <w:rsid w:val="009D7424"/>
    <w:rsid w:val="009D78B1"/>
    <w:rsid w:val="009D79F7"/>
    <w:rsid w:val="009D7D0F"/>
    <w:rsid w:val="009E204F"/>
    <w:rsid w:val="009E28ED"/>
    <w:rsid w:val="009E35E5"/>
    <w:rsid w:val="009E4212"/>
    <w:rsid w:val="009E614B"/>
    <w:rsid w:val="009E760D"/>
    <w:rsid w:val="009F077E"/>
    <w:rsid w:val="009F1B90"/>
    <w:rsid w:val="009F1FD0"/>
    <w:rsid w:val="009F4176"/>
    <w:rsid w:val="009F4D10"/>
    <w:rsid w:val="009F53ED"/>
    <w:rsid w:val="009F669B"/>
    <w:rsid w:val="009F7A04"/>
    <w:rsid w:val="00A002B7"/>
    <w:rsid w:val="00A02BB3"/>
    <w:rsid w:val="00A03E71"/>
    <w:rsid w:val="00A0550F"/>
    <w:rsid w:val="00A0645D"/>
    <w:rsid w:val="00A06B9F"/>
    <w:rsid w:val="00A10966"/>
    <w:rsid w:val="00A123A4"/>
    <w:rsid w:val="00A136E5"/>
    <w:rsid w:val="00A14600"/>
    <w:rsid w:val="00A149B2"/>
    <w:rsid w:val="00A14F2F"/>
    <w:rsid w:val="00A1539F"/>
    <w:rsid w:val="00A26803"/>
    <w:rsid w:val="00A31601"/>
    <w:rsid w:val="00A41710"/>
    <w:rsid w:val="00A41BFF"/>
    <w:rsid w:val="00A43C5E"/>
    <w:rsid w:val="00A45046"/>
    <w:rsid w:val="00A51AC3"/>
    <w:rsid w:val="00A51AF3"/>
    <w:rsid w:val="00A52B03"/>
    <w:rsid w:val="00A54250"/>
    <w:rsid w:val="00A55529"/>
    <w:rsid w:val="00A56B11"/>
    <w:rsid w:val="00A57A04"/>
    <w:rsid w:val="00A61EEC"/>
    <w:rsid w:val="00A6302C"/>
    <w:rsid w:val="00A64EE5"/>
    <w:rsid w:val="00A65741"/>
    <w:rsid w:val="00A65E71"/>
    <w:rsid w:val="00A73D98"/>
    <w:rsid w:val="00A74AD9"/>
    <w:rsid w:val="00A75304"/>
    <w:rsid w:val="00A7545D"/>
    <w:rsid w:val="00A76456"/>
    <w:rsid w:val="00A76AF7"/>
    <w:rsid w:val="00A825DF"/>
    <w:rsid w:val="00A82C24"/>
    <w:rsid w:val="00A82F7F"/>
    <w:rsid w:val="00A83149"/>
    <w:rsid w:val="00A8704A"/>
    <w:rsid w:val="00A87574"/>
    <w:rsid w:val="00A9036D"/>
    <w:rsid w:val="00A91944"/>
    <w:rsid w:val="00A93B25"/>
    <w:rsid w:val="00A95AD5"/>
    <w:rsid w:val="00A960DF"/>
    <w:rsid w:val="00A96762"/>
    <w:rsid w:val="00AA0F0E"/>
    <w:rsid w:val="00AA13BB"/>
    <w:rsid w:val="00AA5965"/>
    <w:rsid w:val="00AA5AEE"/>
    <w:rsid w:val="00AA69E8"/>
    <w:rsid w:val="00AA6BF8"/>
    <w:rsid w:val="00AB0F6E"/>
    <w:rsid w:val="00AB2396"/>
    <w:rsid w:val="00AB70B7"/>
    <w:rsid w:val="00AC01AB"/>
    <w:rsid w:val="00AC1BA9"/>
    <w:rsid w:val="00AC33DC"/>
    <w:rsid w:val="00AC34E4"/>
    <w:rsid w:val="00AC4174"/>
    <w:rsid w:val="00AC5319"/>
    <w:rsid w:val="00AC6630"/>
    <w:rsid w:val="00AD2351"/>
    <w:rsid w:val="00AD4E74"/>
    <w:rsid w:val="00AD51D0"/>
    <w:rsid w:val="00AD5541"/>
    <w:rsid w:val="00AD75CB"/>
    <w:rsid w:val="00AD7C68"/>
    <w:rsid w:val="00AE0B23"/>
    <w:rsid w:val="00AE2914"/>
    <w:rsid w:val="00AE52FF"/>
    <w:rsid w:val="00AE6091"/>
    <w:rsid w:val="00AE6202"/>
    <w:rsid w:val="00AE6EAF"/>
    <w:rsid w:val="00AF09E0"/>
    <w:rsid w:val="00AF10F2"/>
    <w:rsid w:val="00AF3304"/>
    <w:rsid w:val="00AF38D2"/>
    <w:rsid w:val="00AF5574"/>
    <w:rsid w:val="00AF557B"/>
    <w:rsid w:val="00AF6AB0"/>
    <w:rsid w:val="00AF77C7"/>
    <w:rsid w:val="00AF7A8C"/>
    <w:rsid w:val="00B01806"/>
    <w:rsid w:val="00B01DB1"/>
    <w:rsid w:val="00B01E72"/>
    <w:rsid w:val="00B0446B"/>
    <w:rsid w:val="00B04F51"/>
    <w:rsid w:val="00B059A8"/>
    <w:rsid w:val="00B14A7E"/>
    <w:rsid w:val="00B14B6E"/>
    <w:rsid w:val="00B153F4"/>
    <w:rsid w:val="00B17E99"/>
    <w:rsid w:val="00B203AB"/>
    <w:rsid w:val="00B20B16"/>
    <w:rsid w:val="00B21714"/>
    <w:rsid w:val="00B21946"/>
    <w:rsid w:val="00B22362"/>
    <w:rsid w:val="00B22678"/>
    <w:rsid w:val="00B257E5"/>
    <w:rsid w:val="00B26660"/>
    <w:rsid w:val="00B32175"/>
    <w:rsid w:val="00B321E9"/>
    <w:rsid w:val="00B32F3D"/>
    <w:rsid w:val="00B335AE"/>
    <w:rsid w:val="00B347EE"/>
    <w:rsid w:val="00B35608"/>
    <w:rsid w:val="00B35750"/>
    <w:rsid w:val="00B36AFA"/>
    <w:rsid w:val="00B37070"/>
    <w:rsid w:val="00B43654"/>
    <w:rsid w:val="00B46F49"/>
    <w:rsid w:val="00B50526"/>
    <w:rsid w:val="00B5242E"/>
    <w:rsid w:val="00B527EC"/>
    <w:rsid w:val="00B52A6B"/>
    <w:rsid w:val="00B53033"/>
    <w:rsid w:val="00B60D38"/>
    <w:rsid w:val="00B60F36"/>
    <w:rsid w:val="00B630CE"/>
    <w:rsid w:val="00B64464"/>
    <w:rsid w:val="00B65944"/>
    <w:rsid w:val="00B703D3"/>
    <w:rsid w:val="00B7209F"/>
    <w:rsid w:val="00B73B91"/>
    <w:rsid w:val="00B75913"/>
    <w:rsid w:val="00B76ED4"/>
    <w:rsid w:val="00B7711A"/>
    <w:rsid w:val="00B80C5E"/>
    <w:rsid w:val="00B81829"/>
    <w:rsid w:val="00B83734"/>
    <w:rsid w:val="00B854F2"/>
    <w:rsid w:val="00B86461"/>
    <w:rsid w:val="00B86A1D"/>
    <w:rsid w:val="00B872A3"/>
    <w:rsid w:val="00B901F0"/>
    <w:rsid w:val="00B90B08"/>
    <w:rsid w:val="00B910CF"/>
    <w:rsid w:val="00B9116E"/>
    <w:rsid w:val="00B927A0"/>
    <w:rsid w:val="00B94161"/>
    <w:rsid w:val="00B95CAC"/>
    <w:rsid w:val="00B96246"/>
    <w:rsid w:val="00B96295"/>
    <w:rsid w:val="00B970BD"/>
    <w:rsid w:val="00B973DC"/>
    <w:rsid w:val="00BA157C"/>
    <w:rsid w:val="00BA2BBA"/>
    <w:rsid w:val="00BA3A09"/>
    <w:rsid w:val="00BA3A8E"/>
    <w:rsid w:val="00BA565C"/>
    <w:rsid w:val="00BA5CE3"/>
    <w:rsid w:val="00BA719F"/>
    <w:rsid w:val="00BB1ACE"/>
    <w:rsid w:val="00BB3C64"/>
    <w:rsid w:val="00BB3C73"/>
    <w:rsid w:val="00BB5675"/>
    <w:rsid w:val="00BC0455"/>
    <w:rsid w:val="00BC14D7"/>
    <w:rsid w:val="00BC188A"/>
    <w:rsid w:val="00BC276B"/>
    <w:rsid w:val="00BC2BCC"/>
    <w:rsid w:val="00BC3CC2"/>
    <w:rsid w:val="00BC4331"/>
    <w:rsid w:val="00BC51A5"/>
    <w:rsid w:val="00BC59EA"/>
    <w:rsid w:val="00BC5C20"/>
    <w:rsid w:val="00BC6A9F"/>
    <w:rsid w:val="00BC6BB7"/>
    <w:rsid w:val="00BD0B1B"/>
    <w:rsid w:val="00BD19B9"/>
    <w:rsid w:val="00BD2A95"/>
    <w:rsid w:val="00BD5222"/>
    <w:rsid w:val="00BD5510"/>
    <w:rsid w:val="00BD7814"/>
    <w:rsid w:val="00BE271D"/>
    <w:rsid w:val="00BE3F7A"/>
    <w:rsid w:val="00BE6A5A"/>
    <w:rsid w:val="00BE7232"/>
    <w:rsid w:val="00BE73C8"/>
    <w:rsid w:val="00BE7AAA"/>
    <w:rsid w:val="00BF05E8"/>
    <w:rsid w:val="00BF1A84"/>
    <w:rsid w:val="00BF2FDB"/>
    <w:rsid w:val="00BF5603"/>
    <w:rsid w:val="00BF7728"/>
    <w:rsid w:val="00C0583C"/>
    <w:rsid w:val="00C05C07"/>
    <w:rsid w:val="00C1237B"/>
    <w:rsid w:val="00C12DEE"/>
    <w:rsid w:val="00C132C7"/>
    <w:rsid w:val="00C13A34"/>
    <w:rsid w:val="00C14D36"/>
    <w:rsid w:val="00C16191"/>
    <w:rsid w:val="00C16F7B"/>
    <w:rsid w:val="00C17DA2"/>
    <w:rsid w:val="00C241C4"/>
    <w:rsid w:val="00C27D04"/>
    <w:rsid w:val="00C30CB5"/>
    <w:rsid w:val="00C30CD5"/>
    <w:rsid w:val="00C30EE7"/>
    <w:rsid w:val="00C324EC"/>
    <w:rsid w:val="00C336B6"/>
    <w:rsid w:val="00C35B45"/>
    <w:rsid w:val="00C36C03"/>
    <w:rsid w:val="00C36C11"/>
    <w:rsid w:val="00C4099E"/>
    <w:rsid w:val="00C42ED4"/>
    <w:rsid w:val="00C4320A"/>
    <w:rsid w:val="00C473A5"/>
    <w:rsid w:val="00C50827"/>
    <w:rsid w:val="00C52349"/>
    <w:rsid w:val="00C54FA4"/>
    <w:rsid w:val="00C55826"/>
    <w:rsid w:val="00C57630"/>
    <w:rsid w:val="00C6108A"/>
    <w:rsid w:val="00C6222A"/>
    <w:rsid w:val="00C629CB"/>
    <w:rsid w:val="00C63D41"/>
    <w:rsid w:val="00C6521E"/>
    <w:rsid w:val="00C66618"/>
    <w:rsid w:val="00C7113B"/>
    <w:rsid w:val="00C714FF"/>
    <w:rsid w:val="00C725B9"/>
    <w:rsid w:val="00C72DB8"/>
    <w:rsid w:val="00C73CFA"/>
    <w:rsid w:val="00C832D6"/>
    <w:rsid w:val="00C84405"/>
    <w:rsid w:val="00C86F99"/>
    <w:rsid w:val="00C90581"/>
    <w:rsid w:val="00C952A8"/>
    <w:rsid w:val="00C95A04"/>
    <w:rsid w:val="00C95B6B"/>
    <w:rsid w:val="00C95BD8"/>
    <w:rsid w:val="00C96C3E"/>
    <w:rsid w:val="00C97F24"/>
    <w:rsid w:val="00CA1E24"/>
    <w:rsid w:val="00CA2E2F"/>
    <w:rsid w:val="00CA3482"/>
    <w:rsid w:val="00CA42FB"/>
    <w:rsid w:val="00CA60FC"/>
    <w:rsid w:val="00CB1A1E"/>
    <w:rsid w:val="00CB3F67"/>
    <w:rsid w:val="00CC01FC"/>
    <w:rsid w:val="00CC0BA9"/>
    <w:rsid w:val="00CC4672"/>
    <w:rsid w:val="00CC6E86"/>
    <w:rsid w:val="00CC7354"/>
    <w:rsid w:val="00CD0463"/>
    <w:rsid w:val="00CD16A8"/>
    <w:rsid w:val="00CD1D10"/>
    <w:rsid w:val="00CD6273"/>
    <w:rsid w:val="00CD678C"/>
    <w:rsid w:val="00CD78E6"/>
    <w:rsid w:val="00CE00E9"/>
    <w:rsid w:val="00CE0E21"/>
    <w:rsid w:val="00CE0F49"/>
    <w:rsid w:val="00CE2E63"/>
    <w:rsid w:val="00CE4BF4"/>
    <w:rsid w:val="00CE4F3A"/>
    <w:rsid w:val="00CE52A6"/>
    <w:rsid w:val="00CE5C1E"/>
    <w:rsid w:val="00CE5E39"/>
    <w:rsid w:val="00CE5FFE"/>
    <w:rsid w:val="00CE6C98"/>
    <w:rsid w:val="00CE6D9C"/>
    <w:rsid w:val="00CF039A"/>
    <w:rsid w:val="00CF24EC"/>
    <w:rsid w:val="00CF276A"/>
    <w:rsid w:val="00CF3325"/>
    <w:rsid w:val="00CF4005"/>
    <w:rsid w:val="00CF618F"/>
    <w:rsid w:val="00CF6DB8"/>
    <w:rsid w:val="00CF756F"/>
    <w:rsid w:val="00D00026"/>
    <w:rsid w:val="00D00CBC"/>
    <w:rsid w:val="00D02862"/>
    <w:rsid w:val="00D03326"/>
    <w:rsid w:val="00D04B1B"/>
    <w:rsid w:val="00D1091D"/>
    <w:rsid w:val="00D11079"/>
    <w:rsid w:val="00D114BE"/>
    <w:rsid w:val="00D12913"/>
    <w:rsid w:val="00D12A04"/>
    <w:rsid w:val="00D165C5"/>
    <w:rsid w:val="00D171CB"/>
    <w:rsid w:val="00D17438"/>
    <w:rsid w:val="00D244DE"/>
    <w:rsid w:val="00D24B4B"/>
    <w:rsid w:val="00D24F21"/>
    <w:rsid w:val="00D251FF"/>
    <w:rsid w:val="00D2716E"/>
    <w:rsid w:val="00D27B9E"/>
    <w:rsid w:val="00D27CDB"/>
    <w:rsid w:val="00D31BA2"/>
    <w:rsid w:val="00D32007"/>
    <w:rsid w:val="00D32540"/>
    <w:rsid w:val="00D3279E"/>
    <w:rsid w:val="00D33C4C"/>
    <w:rsid w:val="00D33D00"/>
    <w:rsid w:val="00D35CD0"/>
    <w:rsid w:val="00D3645E"/>
    <w:rsid w:val="00D36714"/>
    <w:rsid w:val="00D373A6"/>
    <w:rsid w:val="00D40365"/>
    <w:rsid w:val="00D41C0E"/>
    <w:rsid w:val="00D435DE"/>
    <w:rsid w:val="00D50024"/>
    <w:rsid w:val="00D507F1"/>
    <w:rsid w:val="00D509C5"/>
    <w:rsid w:val="00D53E0D"/>
    <w:rsid w:val="00D548C7"/>
    <w:rsid w:val="00D54BD2"/>
    <w:rsid w:val="00D562D7"/>
    <w:rsid w:val="00D569B9"/>
    <w:rsid w:val="00D64122"/>
    <w:rsid w:val="00D64F6B"/>
    <w:rsid w:val="00D66E7E"/>
    <w:rsid w:val="00D6763E"/>
    <w:rsid w:val="00D72220"/>
    <w:rsid w:val="00D73588"/>
    <w:rsid w:val="00D73E45"/>
    <w:rsid w:val="00D752A1"/>
    <w:rsid w:val="00D7565B"/>
    <w:rsid w:val="00D766DE"/>
    <w:rsid w:val="00D85289"/>
    <w:rsid w:val="00D90852"/>
    <w:rsid w:val="00D91320"/>
    <w:rsid w:val="00D91B5F"/>
    <w:rsid w:val="00D93180"/>
    <w:rsid w:val="00D94576"/>
    <w:rsid w:val="00D94FE5"/>
    <w:rsid w:val="00D95AEC"/>
    <w:rsid w:val="00D96F0B"/>
    <w:rsid w:val="00D973FF"/>
    <w:rsid w:val="00D97CAA"/>
    <w:rsid w:val="00DA0B06"/>
    <w:rsid w:val="00DA0ECA"/>
    <w:rsid w:val="00DA1315"/>
    <w:rsid w:val="00DA137E"/>
    <w:rsid w:val="00DA1C90"/>
    <w:rsid w:val="00DA1E1D"/>
    <w:rsid w:val="00DA3A63"/>
    <w:rsid w:val="00DA5E1B"/>
    <w:rsid w:val="00DA5E3F"/>
    <w:rsid w:val="00DA622F"/>
    <w:rsid w:val="00DA6D07"/>
    <w:rsid w:val="00DA7430"/>
    <w:rsid w:val="00DA7463"/>
    <w:rsid w:val="00DB0B2D"/>
    <w:rsid w:val="00DB14C5"/>
    <w:rsid w:val="00DB27AE"/>
    <w:rsid w:val="00DB326B"/>
    <w:rsid w:val="00DB516F"/>
    <w:rsid w:val="00DB6EE6"/>
    <w:rsid w:val="00DB7078"/>
    <w:rsid w:val="00DB7F20"/>
    <w:rsid w:val="00DC0BBE"/>
    <w:rsid w:val="00DC41C9"/>
    <w:rsid w:val="00DC63BB"/>
    <w:rsid w:val="00DD0511"/>
    <w:rsid w:val="00DD0E24"/>
    <w:rsid w:val="00DD22DA"/>
    <w:rsid w:val="00DD256C"/>
    <w:rsid w:val="00DD5EE8"/>
    <w:rsid w:val="00DD6ABD"/>
    <w:rsid w:val="00DD7AB9"/>
    <w:rsid w:val="00DE1FFE"/>
    <w:rsid w:val="00DE2665"/>
    <w:rsid w:val="00DE3B5D"/>
    <w:rsid w:val="00DE5EC8"/>
    <w:rsid w:val="00DE6834"/>
    <w:rsid w:val="00DE7630"/>
    <w:rsid w:val="00DF108A"/>
    <w:rsid w:val="00DF11F4"/>
    <w:rsid w:val="00DF1370"/>
    <w:rsid w:val="00DF15C5"/>
    <w:rsid w:val="00DF263F"/>
    <w:rsid w:val="00DF33F0"/>
    <w:rsid w:val="00DF4A52"/>
    <w:rsid w:val="00DF7B3B"/>
    <w:rsid w:val="00E00C0A"/>
    <w:rsid w:val="00E02388"/>
    <w:rsid w:val="00E06F62"/>
    <w:rsid w:val="00E079DD"/>
    <w:rsid w:val="00E07AC1"/>
    <w:rsid w:val="00E10079"/>
    <w:rsid w:val="00E10358"/>
    <w:rsid w:val="00E11B09"/>
    <w:rsid w:val="00E13431"/>
    <w:rsid w:val="00E14A4C"/>
    <w:rsid w:val="00E1590B"/>
    <w:rsid w:val="00E1779C"/>
    <w:rsid w:val="00E179D7"/>
    <w:rsid w:val="00E205A6"/>
    <w:rsid w:val="00E22E5F"/>
    <w:rsid w:val="00E24370"/>
    <w:rsid w:val="00E24D94"/>
    <w:rsid w:val="00E255C8"/>
    <w:rsid w:val="00E266C0"/>
    <w:rsid w:val="00E349C8"/>
    <w:rsid w:val="00E354D5"/>
    <w:rsid w:val="00E406BA"/>
    <w:rsid w:val="00E41D0F"/>
    <w:rsid w:val="00E44078"/>
    <w:rsid w:val="00E444A0"/>
    <w:rsid w:val="00E44B5D"/>
    <w:rsid w:val="00E4617B"/>
    <w:rsid w:val="00E47CD7"/>
    <w:rsid w:val="00E50C62"/>
    <w:rsid w:val="00E51CAD"/>
    <w:rsid w:val="00E532E5"/>
    <w:rsid w:val="00E54464"/>
    <w:rsid w:val="00E54B18"/>
    <w:rsid w:val="00E5526C"/>
    <w:rsid w:val="00E55CA8"/>
    <w:rsid w:val="00E57259"/>
    <w:rsid w:val="00E577C4"/>
    <w:rsid w:val="00E6013B"/>
    <w:rsid w:val="00E61F4B"/>
    <w:rsid w:val="00E6217C"/>
    <w:rsid w:val="00E668CC"/>
    <w:rsid w:val="00E67394"/>
    <w:rsid w:val="00E67A97"/>
    <w:rsid w:val="00E726A7"/>
    <w:rsid w:val="00E72F46"/>
    <w:rsid w:val="00E75585"/>
    <w:rsid w:val="00E80254"/>
    <w:rsid w:val="00E812CD"/>
    <w:rsid w:val="00E81862"/>
    <w:rsid w:val="00E82728"/>
    <w:rsid w:val="00E83C67"/>
    <w:rsid w:val="00E86539"/>
    <w:rsid w:val="00E86A4F"/>
    <w:rsid w:val="00E86F88"/>
    <w:rsid w:val="00E876D8"/>
    <w:rsid w:val="00E906BC"/>
    <w:rsid w:val="00E906C7"/>
    <w:rsid w:val="00E90AB1"/>
    <w:rsid w:val="00E90BC7"/>
    <w:rsid w:val="00E90EC5"/>
    <w:rsid w:val="00E93B94"/>
    <w:rsid w:val="00EA0F92"/>
    <w:rsid w:val="00EA0FEB"/>
    <w:rsid w:val="00EA25B3"/>
    <w:rsid w:val="00EA4A1A"/>
    <w:rsid w:val="00EA50BB"/>
    <w:rsid w:val="00EA6868"/>
    <w:rsid w:val="00EA7003"/>
    <w:rsid w:val="00EB1099"/>
    <w:rsid w:val="00EB218D"/>
    <w:rsid w:val="00EB2713"/>
    <w:rsid w:val="00EB3334"/>
    <w:rsid w:val="00EB56CD"/>
    <w:rsid w:val="00EB6D2A"/>
    <w:rsid w:val="00EC0E3D"/>
    <w:rsid w:val="00EC19CD"/>
    <w:rsid w:val="00EC382A"/>
    <w:rsid w:val="00EC39B9"/>
    <w:rsid w:val="00EC4182"/>
    <w:rsid w:val="00EC6E4A"/>
    <w:rsid w:val="00EC7300"/>
    <w:rsid w:val="00EC747D"/>
    <w:rsid w:val="00EC7682"/>
    <w:rsid w:val="00EC7F2B"/>
    <w:rsid w:val="00ED074A"/>
    <w:rsid w:val="00ED0C9F"/>
    <w:rsid w:val="00ED0CC1"/>
    <w:rsid w:val="00ED0FBE"/>
    <w:rsid w:val="00ED1156"/>
    <w:rsid w:val="00ED11BE"/>
    <w:rsid w:val="00ED2600"/>
    <w:rsid w:val="00ED45D1"/>
    <w:rsid w:val="00ED5245"/>
    <w:rsid w:val="00EE0BB6"/>
    <w:rsid w:val="00EE19CC"/>
    <w:rsid w:val="00EF1020"/>
    <w:rsid w:val="00EF24AA"/>
    <w:rsid w:val="00EF3B3B"/>
    <w:rsid w:val="00EF5B46"/>
    <w:rsid w:val="00EF5DE1"/>
    <w:rsid w:val="00EF6E4E"/>
    <w:rsid w:val="00F00489"/>
    <w:rsid w:val="00F00747"/>
    <w:rsid w:val="00F062FE"/>
    <w:rsid w:val="00F072BD"/>
    <w:rsid w:val="00F072FE"/>
    <w:rsid w:val="00F1077B"/>
    <w:rsid w:val="00F110B1"/>
    <w:rsid w:val="00F1193A"/>
    <w:rsid w:val="00F124A5"/>
    <w:rsid w:val="00F14BD5"/>
    <w:rsid w:val="00F165F0"/>
    <w:rsid w:val="00F16757"/>
    <w:rsid w:val="00F22F57"/>
    <w:rsid w:val="00F23568"/>
    <w:rsid w:val="00F24164"/>
    <w:rsid w:val="00F25112"/>
    <w:rsid w:val="00F257D3"/>
    <w:rsid w:val="00F25A73"/>
    <w:rsid w:val="00F25D1A"/>
    <w:rsid w:val="00F25DE1"/>
    <w:rsid w:val="00F3145B"/>
    <w:rsid w:val="00F3206C"/>
    <w:rsid w:val="00F32E69"/>
    <w:rsid w:val="00F34A82"/>
    <w:rsid w:val="00F3518F"/>
    <w:rsid w:val="00F35BCC"/>
    <w:rsid w:val="00F377AF"/>
    <w:rsid w:val="00F42E8C"/>
    <w:rsid w:val="00F45F7B"/>
    <w:rsid w:val="00F45F81"/>
    <w:rsid w:val="00F47361"/>
    <w:rsid w:val="00F5332B"/>
    <w:rsid w:val="00F54E37"/>
    <w:rsid w:val="00F561CA"/>
    <w:rsid w:val="00F56D81"/>
    <w:rsid w:val="00F63EC1"/>
    <w:rsid w:val="00F657AA"/>
    <w:rsid w:val="00F70232"/>
    <w:rsid w:val="00F70510"/>
    <w:rsid w:val="00F72FEF"/>
    <w:rsid w:val="00F73931"/>
    <w:rsid w:val="00F80321"/>
    <w:rsid w:val="00F80C72"/>
    <w:rsid w:val="00F82E1C"/>
    <w:rsid w:val="00F82F82"/>
    <w:rsid w:val="00F83081"/>
    <w:rsid w:val="00F8309B"/>
    <w:rsid w:val="00F83C51"/>
    <w:rsid w:val="00F851FE"/>
    <w:rsid w:val="00F85A5F"/>
    <w:rsid w:val="00F8619E"/>
    <w:rsid w:val="00F909EA"/>
    <w:rsid w:val="00F92182"/>
    <w:rsid w:val="00F92368"/>
    <w:rsid w:val="00F95A85"/>
    <w:rsid w:val="00F95CEA"/>
    <w:rsid w:val="00F96A8D"/>
    <w:rsid w:val="00F96F66"/>
    <w:rsid w:val="00F97774"/>
    <w:rsid w:val="00F97D6C"/>
    <w:rsid w:val="00FA17FF"/>
    <w:rsid w:val="00FA28F9"/>
    <w:rsid w:val="00FA2E1D"/>
    <w:rsid w:val="00FA527E"/>
    <w:rsid w:val="00FA52AC"/>
    <w:rsid w:val="00FA6908"/>
    <w:rsid w:val="00FB0B93"/>
    <w:rsid w:val="00FB0F9A"/>
    <w:rsid w:val="00FB126C"/>
    <w:rsid w:val="00FB1C6D"/>
    <w:rsid w:val="00FB1ECB"/>
    <w:rsid w:val="00FB3033"/>
    <w:rsid w:val="00FB351E"/>
    <w:rsid w:val="00FB4D7B"/>
    <w:rsid w:val="00FB5CFB"/>
    <w:rsid w:val="00FB6912"/>
    <w:rsid w:val="00FC0901"/>
    <w:rsid w:val="00FC3BB1"/>
    <w:rsid w:val="00FC44A8"/>
    <w:rsid w:val="00FC53E6"/>
    <w:rsid w:val="00FC6A78"/>
    <w:rsid w:val="00FC7094"/>
    <w:rsid w:val="00FC744D"/>
    <w:rsid w:val="00FC7ECD"/>
    <w:rsid w:val="00FD09CF"/>
    <w:rsid w:val="00FD484C"/>
    <w:rsid w:val="00FD4DD9"/>
    <w:rsid w:val="00FD616E"/>
    <w:rsid w:val="00FD728E"/>
    <w:rsid w:val="00FD7D87"/>
    <w:rsid w:val="00FD7E39"/>
    <w:rsid w:val="00FD7EA7"/>
    <w:rsid w:val="00FE0894"/>
    <w:rsid w:val="00FE300D"/>
    <w:rsid w:val="00FE3E3E"/>
    <w:rsid w:val="00FE4E6E"/>
    <w:rsid w:val="00FE66F8"/>
    <w:rsid w:val="00FE6970"/>
    <w:rsid w:val="00FE70D5"/>
    <w:rsid w:val="00FF3F69"/>
    <w:rsid w:val="00FF4917"/>
    <w:rsid w:val="00FF5070"/>
    <w:rsid w:val="00FF6D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6AB3F"/>
  <w15:docId w15:val="{09BED63F-0F4C-4E09-8901-B5493F3D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FB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CM12">
    <w:name w:val="CM12"/>
    <w:basedOn w:val="Normal"/>
    <w:next w:val="Normal"/>
    <w:uiPriority w:val="99"/>
    <w:rsid w:val="00BC5C20"/>
    <w:rPr>
      <w:sz w:val="24"/>
      <w:szCs w:val="24"/>
    </w:rPr>
  </w:style>
  <w:style w:type="paragraph" w:customStyle="1" w:styleId="Default">
    <w:name w:val="Default"/>
    <w:rsid w:val="00BC5C20"/>
    <w:pPr>
      <w:widowControl w:val="0"/>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B5076"/>
    <w:rPr>
      <w:color w:val="0000FF"/>
      <w:u w:val="single"/>
    </w:rPr>
  </w:style>
  <w:style w:type="paragraph" w:styleId="ListParagraph">
    <w:name w:val="List Paragraph"/>
    <w:basedOn w:val="Normal"/>
    <w:uiPriority w:val="34"/>
    <w:qFormat/>
    <w:rsid w:val="006B5076"/>
    <w:pPr>
      <w:ind w:left="720"/>
    </w:pPr>
  </w:style>
  <w:style w:type="paragraph" w:customStyle="1" w:styleId="Level1">
    <w:name w:val="Level 1"/>
    <w:basedOn w:val="Normal"/>
    <w:rsid w:val="000174C7"/>
    <w:pPr>
      <w:numPr>
        <w:numId w:val="7"/>
      </w:numPr>
      <w:autoSpaceDE/>
      <w:autoSpaceDN/>
      <w:adjustRightInd/>
      <w:ind w:left="474" w:hanging="186"/>
      <w:outlineLvl w:val="0"/>
    </w:pPr>
    <w:rPr>
      <w:snapToGrid w:val="0"/>
      <w:sz w:val="24"/>
    </w:rPr>
  </w:style>
  <w:style w:type="paragraph" w:styleId="Header">
    <w:name w:val="header"/>
    <w:basedOn w:val="Normal"/>
    <w:link w:val="HeaderChar"/>
    <w:uiPriority w:val="99"/>
    <w:unhideWhenUsed/>
    <w:rsid w:val="001B6C4B"/>
    <w:pPr>
      <w:tabs>
        <w:tab w:val="center" w:pos="4680"/>
        <w:tab w:val="right" w:pos="9360"/>
      </w:tabs>
    </w:pPr>
  </w:style>
  <w:style w:type="character" w:customStyle="1" w:styleId="HeaderChar">
    <w:name w:val="Header Char"/>
    <w:basedOn w:val="DefaultParagraphFont"/>
    <w:link w:val="Header"/>
    <w:uiPriority w:val="99"/>
    <w:rsid w:val="001B6C4B"/>
    <w:rPr>
      <w:rFonts w:ascii="Times New Roman" w:hAnsi="Times New Roman"/>
    </w:rPr>
  </w:style>
  <w:style w:type="paragraph" w:styleId="Footer">
    <w:name w:val="footer"/>
    <w:basedOn w:val="Normal"/>
    <w:link w:val="FooterChar"/>
    <w:uiPriority w:val="99"/>
    <w:unhideWhenUsed/>
    <w:rsid w:val="001B6C4B"/>
    <w:pPr>
      <w:tabs>
        <w:tab w:val="center" w:pos="4680"/>
        <w:tab w:val="right" w:pos="9360"/>
      </w:tabs>
    </w:pPr>
  </w:style>
  <w:style w:type="character" w:customStyle="1" w:styleId="FooterChar">
    <w:name w:val="Footer Char"/>
    <w:basedOn w:val="DefaultParagraphFont"/>
    <w:link w:val="Footer"/>
    <w:uiPriority w:val="99"/>
    <w:rsid w:val="001B6C4B"/>
    <w:rPr>
      <w:rFonts w:ascii="Times New Roman" w:hAnsi="Times New Roman"/>
    </w:rPr>
  </w:style>
  <w:style w:type="character" w:styleId="CommentReference">
    <w:name w:val="annotation reference"/>
    <w:basedOn w:val="DefaultParagraphFont"/>
    <w:uiPriority w:val="99"/>
    <w:unhideWhenUsed/>
    <w:rsid w:val="001B6C4B"/>
    <w:rPr>
      <w:sz w:val="16"/>
      <w:szCs w:val="16"/>
    </w:rPr>
  </w:style>
  <w:style w:type="paragraph" w:styleId="CommentText">
    <w:name w:val="annotation text"/>
    <w:basedOn w:val="Normal"/>
    <w:link w:val="CommentTextChar"/>
    <w:uiPriority w:val="99"/>
    <w:unhideWhenUsed/>
    <w:rsid w:val="001B6C4B"/>
  </w:style>
  <w:style w:type="character" w:customStyle="1" w:styleId="CommentTextChar">
    <w:name w:val="Comment Text Char"/>
    <w:basedOn w:val="DefaultParagraphFont"/>
    <w:link w:val="CommentText"/>
    <w:uiPriority w:val="99"/>
    <w:rsid w:val="001B6C4B"/>
    <w:rPr>
      <w:rFonts w:ascii="Times New Roman" w:hAnsi="Times New Roman"/>
    </w:rPr>
  </w:style>
  <w:style w:type="table" w:styleId="TableGrid">
    <w:name w:val="Table Grid"/>
    <w:basedOn w:val="TableNormal"/>
    <w:uiPriority w:val="59"/>
    <w:rsid w:val="00E25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
    <w:basedOn w:val="Normal"/>
    <w:link w:val="FootnoteTextChar"/>
    <w:uiPriority w:val="99"/>
    <w:unhideWhenUsed/>
    <w:rsid w:val="00F25A73"/>
  </w:style>
  <w:style w:type="character" w:customStyle="1" w:styleId="FootnoteTextChar">
    <w:name w:val="Footnote Text Char"/>
    <w:aliases w:val="Footnote Text Char1 Char1,Footnote Text Char Char Char1"/>
    <w:basedOn w:val="DefaultParagraphFont"/>
    <w:link w:val="FootnoteText"/>
    <w:uiPriority w:val="99"/>
    <w:semiHidden/>
    <w:rsid w:val="00F25A73"/>
    <w:rPr>
      <w:rFonts w:ascii="Times New Roman" w:hAnsi="Times New Roman"/>
    </w:rPr>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basedOn w:val="DefaultParagraphFont"/>
    <w:uiPriority w:val="99"/>
    <w:unhideWhenUsed/>
    <w:qFormat/>
    <w:rsid w:val="00F25A73"/>
    <w:rPr>
      <w:vertAlign w:val="superscript"/>
    </w:rPr>
  </w:style>
  <w:style w:type="paragraph" w:styleId="CommentSubject">
    <w:name w:val="annotation subject"/>
    <w:basedOn w:val="CommentText"/>
    <w:next w:val="CommentText"/>
    <w:link w:val="CommentSubjectChar"/>
    <w:uiPriority w:val="99"/>
    <w:semiHidden/>
    <w:unhideWhenUsed/>
    <w:rsid w:val="00463812"/>
    <w:rPr>
      <w:b/>
      <w:bCs/>
    </w:rPr>
  </w:style>
  <w:style w:type="character" w:customStyle="1" w:styleId="CommentSubjectChar">
    <w:name w:val="Comment Subject Char"/>
    <w:basedOn w:val="CommentTextChar"/>
    <w:link w:val="CommentSubject"/>
    <w:uiPriority w:val="99"/>
    <w:semiHidden/>
    <w:rsid w:val="00463812"/>
    <w:rPr>
      <w:rFonts w:ascii="Times New Roman" w:hAnsi="Times New Roman"/>
      <w:b/>
      <w:bCs/>
    </w:rPr>
  </w:style>
  <w:style w:type="character" w:customStyle="1" w:styleId="FootnoteTextChar2">
    <w:name w:val="Footnote Text Char2"/>
    <w:aliases w:val="Footnote Text Char1 Char,Footnote Text Char Char Char,Footnote Text Char Char1"/>
    <w:semiHidden/>
    <w:locked/>
    <w:rsid w:val="00F8619E"/>
    <w:rPr>
      <w:sz w:val="24"/>
      <w:szCs w:val="24"/>
      <w:lang w:val="en-US" w:eastAsia="en-US" w:bidi="ar-SA"/>
    </w:rPr>
  </w:style>
  <w:style w:type="character" w:styleId="FollowedHyperlink">
    <w:name w:val="FollowedHyperlink"/>
    <w:basedOn w:val="DefaultParagraphFont"/>
    <w:uiPriority w:val="99"/>
    <w:semiHidden/>
    <w:unhideWhenUsed/>
    <w:rsid w:val="00F8619E"/>
    <w:rPr>
      <w:color w:val="800080" w:themeColor="followedHyperlink"/>
      <w:u w:val="single"/>
    </w:rPr>
  </w:style>
  <w:style w:type="paragraph" w:styleId="BodyText">
    <w:name w:val="Body Text"/>
    <w:basedOn w:val="Normal"/>
    <w:link w:val="BodyTextChar"/>
    <w:uiPriority w:val="1"/>
    <w:qFormat/>
    <w:rsid w:val="007D525E"/>
    <w:pPr>
      <w:adjustRightInd/>
      <w:spacing w:before="90"/>
    </w:pPr>
    <w:rPr>
      <w:sz w:val="24"/>
      <w:szCs w:val="24"/>
      <w:lang w:bidi="en-US"/>
    </w:rPr>
  </w:style>
  <w:style w:type="character" w:customStyle="1" w:styleId="BodyTextChar">
    <w:name w:val="Body Text Char"/>
    <w:basedOn w:val="DefaultParagraphFont"/>
    <w:link w:val="BodyText"/>
    <w:uiPriority w:val="1"/>
    <w:rsid w:val="007D525E"/>
    <w:rPr>
      <w:rFonts w:ascii="Times New Roman" w:hAnsi="Times New Roman"/>
      <w:sz w:val="24"/>
      <w:szCs w:val="24"/>
      <w:lang w:bidi="en-US"/>
    </w:rPr>
  </w:style>
  <w:style w:type="paragraph" w:customStyle="1" w:styleId="TableParagraph">
    <w:name w:val="Table Paragraph"/>
    <w:basedOn w:val="Normal"/>
    <w:uiPriority w:val="1"/>
    <w:qFormat/>
    <w:rsid w:val="007F6F32"/>
    <w:pPr>
      <w:adjustRightInd/>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4014">
      <w:bodyDiv w:val="1"/>
      <w:marLeft w:val="0"/>
      <w:marRight w:val="0"/>
      <w:marTop w:val="0"/>
      <w:marBottom w:val="0"/>
      <w:divBdr>
        <w:top w:val="none" w:sz="0" w:space="0" w:color="auto"/>
        <w:left w:val="none" w:sz="0" w:space="0" w:color="auto"/>
        <w:bottom w:val="none" w:sz="0" w:space="0" w:color="auto"/>
        <w:right w:val="none" w:sz="0" w:space="0" w:color="auto"/>
      </w:divBdr>
    </w:div>
    <w:div w:id="179928269">
      <w:bodyDiv w:val="1"/>
      <w:marLeft w:val="0"/>
      <w:marRight w:val="0"/>
      <w:marTop w:val="0"/>
      <w:marBottom w:val="0"/>
      <w:divBdr>
        <w:top w:val="none" w:sz="0" w:space="0" w:color="auto"/>
        <w:left w:val="none" w:sz="0" w:space="0" w:color="auto"/>
        <w:bottom w:val="none" w:sz="0" w:space="0" w:color="auto"/>
        <w:right w:val="none" w:sz="0" w:space="0" w:color="auto"/>
      </w:divBdr>
    </w:div>
    <w:div w:id="190731173">
      <w:bodyDiv w:val="1"/>
      <w:marLeft w:val="0"/>
      <w:marRight w:val="0"/>
      <w:marTop w:val="0"/>
      <w:marBottom w:val="0"/>
      <w:divBdr>
        <w:top w:val="none" w:sz="0" w:space="0" w:color="auto"/>
        <w:left w:val="none" w:sz="0" w:space="0" w:color="auto"/>
        <w:bottom w:val="none" w:sz="0" w:space="0" w:color="auto"/>
        <w:right w:val="none" w:sz="0" w:space="0" w:color="auto"/>
      </w:divBdr>
    </w:div>
    <w:div w:id="198318404">
      <w:bodyDiv w:val="1"/>
      <w:marLeft w:val="0"/>
      <w:marRight w:val="0"/>
      <w:marTop w:val="0"/>
      <w:marBottom w:val="0"/>
      <w:divBdr>
        <w:top w:val="none" w:sz="0" w:space="0" w:color="auto"/>
        <w:left w:val="none" w:sz="0" w:space="0" w:color="auto"/>
        <w:bottom w:val="none" w:sz="0" w:space="0" w:color="auto"/>
        <w:right w:val="none" w:sz="0" w:space="0" w:color="auto"/>
      </w:divBdr>
    </w:div>
    <w:div w:id="316033660">
      <w:bodyDiv w:val="1"/>
      <w:marLeft w:val="0"/>
      <w:marRight w:val="0"/>
      <w:marTop w:val="0"/>
      <w:marBottom w:val="0"/>
      <w:divBdr>
        <w:top w:val="none" w:sz="0" w:space="0" w:color="auto"/>
        <w:left w:val="none" w:sz="0" w:space="0" w:color="auto"/>
        <w:bottom w:val="none" w:sz="0" w:space="0" w:color="auto"/>
        <w:right w:val="none" w:sz="0" w:space="0" w:color="auto"/>
      </w:divBdr>
    </w:div>
    <w:div w:id="360253321">
      <w:bodyDiv w:val="1"/>
      <w:marLeft w:val="0"/>
      <w:marRight w:val="0"/>
      <w:marTop w:val="0"/>
      <w:marBottom w:val="0"/>
      <w:divBdr>
        <w:top w:val="none" w:sz="0" w:space="0" w:color="auto"/>
        <w:left w:val="none" w:sz="0" w:space="0" w:color="auto"/>
        <w:bottom w:val="none" w:sz="0" w:space="0" w:color="auto"/>
        <w:right w:val="none" w:sz="0" w:space="0" w:color="auto"/>
      </w:divBdr>
    </w:div>
    <w:div w:id="389766974">
      <w:bodyDiv w:val="1"/>
      <w:marLeft w:val="0"/>
      <w:marRight w:val="0"/>
      <w:marTop w:val="0"/>
      <w:marBottom w:val="0"/>
      <w:divBdr>
        <w:top w:val="none" w:sz="0" w:space="0" w:color="auto"/>
        <w:left w:val="none" w:sz="0" w:space="0" w:color="auto"/>
        <w:bottom w:val="none" w:sz="0" w:space="0" w:color="auto"/>
        <w:right w:val="none" w:sz="0" w:space="0" w:color="auto"/>
      </w:divBdr>
    </w:div>
    <w:div w:id="543642259">
      <w:bodyDiv w:val="1"/>
      <w:marLeft w:val="0"/>
      <w:marRight w:val="0"/>
      <w:marTop w:val="0"/>
      <w:marBottom w:val="0"/>
      <w:divBdr>
        <w:top w:val="none" w:sz="0" w:space="0" w:color="auto"/>
        <w:left w:val="none" w:sz="0" w:space="0" w:color="auto"/>
        <w:bottom w:val="none" w:sz="0" w:space="0" w:color="auto"/>
        <w:right w:val="none" w:sz="0" w:space="0" w:color="auto"/>
      </w:divBdr>
    </w:div>
    <w:div w:id="633340011">
      <w:bodyDiv w:val="1"/>
      <w:marLeft w:val="0"/>
      <w:marRight w:val="0"/>
      <w:marTop w:val="0"/>
      <w:marBottom w:val="0"/>
      <w:divBdr>
        <w:top w:val="none" w:sz="0" w:space="0" w:color="auto"/>
        <w:left w:val="none" w:sz="0" w:space="0" w:color="auto"/>
        <w:bottom w:val="none" w:sz="0" w:space="0" w:color="auto"/>
        <w:right w:val="none" w:sz="0" w:space="0" w:color="auto"/>
      </w:divBdr>
    </w:div>
    <w:div w:id="700983484">
      <w:bodyDiv w:val="1"/>
      <w:marLeft w:val="0"/>
      <w:marRight w:val="0"/>
      <w:marTop w:val="0"/>
      <w:marBottom w:val="0"/>
      <w:divBdr>
        <w:top w:val="none" w:sz="0" w:space="0" w:color="auto"/>
        <w:left w:val="none" w:sz="0" w:space="0" w:color="auto"/>
        <w:bottom w:val="none" w:sz="0" w:space="0" w:color="auto"/>
        <w:right w:val="none" w:sz="0" w:space="0" w:color="auto"/>
      </w:divBdr>
    </w:div>
    <w:div w:id="780612816">
      <w:bodyDiv w:val="1"/>
      <w:marLeft w:val="0"/>
      <w:marRight w:val="0"/>
      <w:marTop w:val="0"/>
      <w:marBottom w:val="0"/>
      <w:divBdr>
        <w:top w:val="none" w:sz="0" w:space="0" w:color="auto"/>
        <w:left w:val="none" w:sz="0" w:space="0" w:color="auto"/>
        <w:bottom w:val="none" w:sz="0" w:space="0" w:color="auto"/>
        <w:right w:val="none" w:sz="0" w:space="0" w:color="auto"/>
      </w:divBdr>
    </w:div>
    <w:div w:id="811556717">
      <w:bodyDiv w:val="1"/>
      <w:marLeft w:val="0"/>
      <w:marRight w:val="0"/>
      <w:marTop w:val="0"/>
      <w:marBottom w:val="0"/>
      <w:divBdr>
        <w:top w:val="none" w:sz="0" w:space="0" w:color="auto"/>
        <w:left w:val="none" w:sz="0" w:space="0" w:color="auto"/>
        <w:bottom w:val="none" w:sz="0" w:space="0" w:color="auto"/>
        <w:right w:val="none" w:sz="0" w:space="0" w:color="auto"/>
      </w:divBdr>
    </w:div>
    <w:div w:id="1106077545">
      <w:bodyDiv w:val="1"/>
      <w:marLeft w:val="0"/>
      <w:marRight w:val="0"/>
      <w:marTop w:val="0"/>
      <w:marBottom w:val="0"/>
      <w:divBdr>
        <w:top w:val="none" w:sz="0" w:space="0" w:color="auto"/>
        <w:left w:val="none" w:sz="0" w:space="0" w:color="auto"/>
        <w:bottom w:val="none" w:sz="0" w:space="0" w:color="auto"/>
        <w:right w:val="none" w:sz="0" w:space="0" w:color="auto"/>
      </w:divBdr>
    </w:div>
    <w:div w:id="1159543326">
      <w:bodyDiv w:val="1"/>
      <w:marLeft w:val="0"/>
      <w:marRight w:val="0"/>
      <w:marTop w:val="0"/>
      <w:marBottom w:val="0"/>
      <w:divBdr>
        <w:top w:val="none" w:sz="0" w:space="0" w:color="auto"/>
        <w:left w:val="none" w:sz="0" w:space="0" w:color="auto"/>
        <w:bottom w:val="none" w:sz="0" w:space="0" w:color="auto"/>
        <w:right w:val="none" w:sz="0" w:space="0" w:color="auto"/>
      </w:divBdr>
    </w:div>
    <w:div w:id="1168716151">
      <w:bodyDiv w:val="1"/>
      <w:marLeft w:val="0"/>
      <w:marRight w:val="0"/>
      <w:marTop w:val="0"/>
      <w:marBottom w:val="0"/>
      <w:divBdr>
        <w:top w:val="none" w:sz="0" w:space="0" w:color="auto"/>
        <w:left w:val="none" w:sz="0" w:space="0" w:color="auto"/>
        <w:bottom w:val="none" w:sz="0" w:space="0" w:color="auto"/>
        <w:right w:val="none" w:sz="0" w:space="0" w:color="auto"/>
      </w:divBdr>
    </w:div>
    <w:div w:id="1527207543">
      <w:bodyDiv w:val="1"/>
      <w:marLeft w:val="0"/>
      <w:marRight w:val="0"/>
      <w:marTop w:val="0"/>
      <w:marBottom w:val="0"/>
      <w:divBdr>
        <w:top w:val="none" w:sz="0" w:space="0" w:color="auto"/>
        <w:left w:val="none" w:sz="0" w:space="0" w:color="auto"/>
        <w:bottom w:val="none" w:sz="0" w:space="0" w:color="auto"/>
        <w:right w:val="none" w:sz="0" w:space="0" w:color="auto"/>
      </w:divBdr>
    </w:div>
    <w:div w:id="1660035349">
      <w:bodyDiv w:val="1"/>
      <w:marLeft w:val="0"/>
      <w:marRight w:val="0"/>
      <w:marTop w:val="0"/>
      <w:marBottom w:val="0"/>
      <w:divBdr>
        <w:top w:val="none" w:sz="0" w:space="0" w:color="auto"/>
        <w:left w:val="none" w:sz="0" w:space="0" w:color="auto"/>
        <w:bottom w:val="none" w:sz="0" w:space="0" w:color="auto"/>
        <w:right w:val="none" w:sz="0" w:space="0" w:color="auto"/>
      </w:divBdr>
    </w:div>
    <w:div w:id="1668047040">
      <w:bodyDiv w:val="1"/>
      <w:marLeft w:val="0"/>
      <w:marRight w:val="0"/>
      <w:marTop w:val="0"/>
      <w:marBottom w:val="0"/>
      <w:divBdr>
        <w:top w:val="none" w:sz="0" w:space="0" w:color="auto"/>
        <w:left w:val="none" w:sz="0" w:space="0" w:color="auto"/>
        <w:bottom w:val="none" w:sz="0" w:space="0" w:color="auto"/>
        <w:right w:val="none" w:sz="0" w:space="0" w:color="auto"/>
      </w:divBdr>
    </w:div>
    <w:div w:id="1675765980">
      <w:bodyDiv w:val="1"/>
      <w:marLeft w:val="0"/>
      <w:marRight w:val="0"/>
      <w:marTop w:val="0"/>
      <w:marBottom w:val="0"/>
      <w:divBdr>
        <w:top w:val="none" w:sz="0" w:space="0" w:color="auto"/>
        <w:left w:val="none" w:sz="0" w:space="0" w:color="auto"/>
        <w:bottom w:val="none" w:sz="0" w:space="0" w:color="auto"/>
        <w:right w:val="none" w:sz="0" w:space="0" w:color="auto"/>
      </w:divBdr>
    </w:div>
    <w:div w:id="1775133578">
      <w:bodyDiv w:val="1"/>
      <w:marLeft w:val="0"/>
      <w:marRight w:val="0"/>
      <w:marTop w:val="0"/>
      <w:marBottom w:val="0"/>
      <w:divBdr>
        <w:top w:val="none" w:sz="0" w:space="0" w:color="auto"/>
        <w:left w:val="none" w:sz="0" w:space="0" w:color="auto"/>
        <w:bottom w:val="none" w:sz="0" w:space="0" w:color="auto"/>
        <w:right w:val="none" w:sz="0" w:space="0" w:color="auto"/>
      </w:divBdr>
    </w:div>
    <w:div w:id="1796560330">
      <w:bodyDiv w:val="1"/>
      <w:marLeft w:val="0"/>
      <w:marRight w:val="0"/>
      <w:marTop w:val="0"/>
      <w:marBottom w:val="0"/>
      <w:divBdr>
        <w:top w:val="none" w:sz="0" w:space="0" w:color="auto"/>
        <w:left w:val="none" w:sz="0" w:space="0" w:color="auto"/>
        <w:bottom w:val="none" w:sz="0" w:space="0" w:color="auto"/>
        <w:right w:val="none" w:sz="0" w:space="0" w:color="auto"/>
      </w:divBdr>
    </w:div>
    <w:div w:id="1803377598">
      <w:bodyDiv w:val="1"/>
      <w:marLeft w:val="0"/>
      <w:marRight w:val="0"/>
      <w:marTop w:val="0"/>
      <w:marBottom w:val="0"/>
      <w:divBdr>
        <w:top w:val="none" w:sz="0" w:space="0" w:color="auto"/>
        <w:left w:val="none" w:sz="0" w:space="0" w:color="auto"/>
        <w:bottom w:val="none" w:sz="0" w:space="0" w:color="auto"/>
        <w:right w:val="none" w:sz="0" w:space="0" w:color="auto"/>
      </w:divBdr>
    </w:div>
    <w:div w:id="1853450724">
      <w:bodyDiv w:val="1"/>
      <w:marLeft w:val="0"/>
      <w:marRight w:val="0"/>
      <w:marTop w:val="0"/>
      <w:marBottom w:val="0"/>
      <w:divBdr>
        <w:top w:val="none" w:sz="0" w:space="0" w:color="auto"/>
        <w:left w:val="none" w:sz="0" w:space="0" w:color="auto"/>
        <w:bottom w:val="none" w:sz="0" w:space="0" w:color="auto"/>
        <w:right w:val="none" w:sz="0" w:space="0" w:color="auto"/>
      </w:divBdr>
    </w:div>
    <w:div w:id="1907183738">
      <w:bodyDiv w:val="1"/>
      <w:marLeft w:val="0"/>
      <w:marRight w:val="0"/>
      <w:marTop w:val="0"/>
      <w:marBottom w:val="0"/>
      <w:divBdr>
        <w:top w:val="none" w:sz="0" w:space="0" w:color="auto"/>
        <w:left w:val="none" w:sz="0" w:space="0" w:color="auto"/>
        <w:bottom w:val="none" w:sz="0" w:space="0" w:color="auto"/>
        <w:right w:val="none" w:sz="0" w:space="0" w:color="auto"/>
      </w:divBdr>
    </w:div>
    <w:div w:id="1964263808">
      <w:bodyDiv w:val="1"/>
      <w:marLeft w:val="0"/>
      <w:marRight w:val="0"/>
      <w:marTop w:val="0"/>
      <w:marBottom w:val="0"/>
      <w:divBdr>
        <w:top w:val="none" w:sz="0" w:space="0" w:color="auto"/>
        <w:left w:val="none" w:sz="0" w:space="0" w:color="auto"/>
        <w:bottom w:val="none" w:sz="0" w:space="0" w:color="auto"/>
        <w:right w:val="none" w:sz="0" w:space="0" w:color="auto"/>
      </w:divBdr>
    </w:div>
    <w:div w:id="209921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f73781-70c4-4328-acc7-2aa385702a57"/>
    <TaxKeywordTaxHTField xmlns="f6f73781-70c4-4328-acc7-2aa385702a57">
      <Terms xmlns="http://schemas.microsoft.com/office/infopath/2007/PartnerControls"/>
    </TaxKeywordTaxHTField>
    <_dlc_DocId xmlns="5e6029f0-4cb2-4578-9dca-18ac3ce3eaca">CFPBCDO-2004683907-2125666</_dlc_DocId>
    <_dlc_DocIdUrl xmlns="5e6029f0-4cb2-4578-9dca-18ac3ce3eaca">
      <Url>https://bcfp365.sharepoint.com/sites/cdo/_layouts/15/DocIdRedir.aspx?ID=CFPBCDO-2004683907-2125666</Url>
      <Description>CFPBCDO-2004683907-2125666</Description>
    </_dlc_DocIdUrl>
  </documentManagement>
</p:properties>
</file>

<file path=customXml/item4.xml><?xml version="1.0" encoding="utf-8"?>
<?mso-contentType ?>
<SharedContentType xmlns="Microsoft.SharePoint.Taxonomy.ContentTypeSync" SourceId="05f0ae79-fa7d-42cd-a738-9aebccb3fb89" ContentTypeId="0x010100AF5D719A330BE9498B2C5974DBEAC038"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8851C-E7A9-44E2-AD44-0FD2A79CFC6C}">
  <ds:schemaRefs>
    <ds:schemaRef ds:uri="http://schemas.microsoft.com/sharepoint/events"/>
  </ds:schemaRefs>
</ds:datastoreItem>
</file>

<file path=customXml/itemProps2.xml><?xml version="1.0" encoding="utf-8"?>
<ds:datastoreItem xmlns:ds="http://schemas.openxmlformats.org/officeDocument/2006/customXml" ds:itemID="{CC21F979-78E5-4773-9C11-8ED457F6A285}">
  <ds:schemaRefs>
    <ds:schemaRef ds:uri="http://schemas.microsoft.com/sharepoint/v3/contenttype/forms"/>
  </ds:schemaRefs>
</ds:datastoreItem>
</file>

<file path=customXml/itemProps3.xml><?xml version="1.0" encoding="utf-8"?>
<ds:datastoreItem xmlns:ds="http://schemas.openxmlformats.org/officeDocument/2006/customXml" ds:itemID="{C306B94E-75CA-4B5D-926C-1C86B7F1148A}">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4.xml><?xml version="1.0" encoding="utf-8"?>
<ds:datastoreItem xmlns:ds="http://schemas.openxmlformats.org/officeDocument/2006/customXml" ds:itemID="{2F4F6CFC-3E86-4F36-9074-7FEFD9CCE548}">
  <ds:schemaRefs>
    <ds:schemaRef ds:uri="Microsoft.SharePoint.Taxonomy.ContentTypeSync"/>
  </ds:schemaRefs>
</ds:datastoreItem>
</file>

<file path=customXml/itemProps5.xml><?xml version="1.0" encoding="utf-8"?>
<ds:datastoreItem xmlns:ds="http://schemas.openxmlformats.org/officeDocument/2006/customXml" ds:itemID="{C2E4E0A6-4ABB-41FE-9319-AE0BFD9D96E6}">
  <ds:schemaRefs>
    <ds:schemaRef ds:uri="http://schemas.openxmlformats.org/officeDocument/2006/bibliography"/>
  </ds:schemaRefs>
</ds:datastoreItem>
</file>

<file path=customXml/itemProps6.xml><?xml version="1.0" encoding="utf-8"?>
<ds:datastoreItem xmlns:ds="http://schemas.openxmlformats.org/officeDocument/2006/customXml" ds:itemID="{3657D551-84F0-4B6D-B108-6EBC936A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14179</CharactersWithSpaces>
  <SharedDoc>false</SharedDoc>
  <HLinks>
    <vt:vector size="6" baseType="variant">
      <vt:variant>
        <vt:i4>3014779</vt:i4>
      </vt:variant>
      <vt:variant>
        <vt:i4>2</vt:i4>
      </vt:variant>
      <vt:variant>
        <vt:i4>0</vt:i4>
      </vt:variant>
      <vt:variant>
        <vt:i4>5</vt:i4>
      </vt:variant>
      <vt:variant>
        <vt:lpwstr>http://www.reginfo.gov/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May, Anthony (CFPB)</cp:lastModifiedBy>
  <cp:revision>2</cp:revision>
  <cp:lastPrinted>2019-03-26T19:33:00Z</cp:lastPrinted>
  <dcterms:created xsi:type="dcterms:W3CDTF">2021-04-22T14:49:00Z</dcterms:created>
  <dcterms:modified xsi:type="dcterms:W3CDTF">2021-04-22T14:49:00Z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TaxKeyword">
    <vt:lpwstr/>
  </property>
  <property fmtid="{D5CDD505-2E9C-101B-9397-08002B2CF9AE}" pid="4" name="_dlc_DocIdItemGuid">
    <vt:lpwstr>5222c7dc-36ac-4b44-94c5-3d3387eb7748</vt:lpwstr>
  </property>
</Properties>
</file>