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1F14" w:rsidRDefault="00241F36" w14:paraId="1FE6552D"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A11F14" w:rsidRDefault="00241F36" w14:paraId="625E4FC0"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A11F14" w:rsidRDefault="00241F36" w14:paraId="57265FA0" w14:textId="77777777">
      <w:pPr>
        <w:spacing w:line="240" w:lineRule="auto"/>
        <w:jc w:val="center"/>
        <w:rPr>
          <w:rFonts w:ascii="Courier New" w:hAnsi="Courier New" w:eastAsia="Courier New" w:cs="Courier New"/>
          <w:b/>
          <w:color w:val="000000"/>
          <w:sz w:val="24"/>
          <w:szCs w:val="24"/>
        </w:rPr>
      </w:pPr>
      <w:r>
        <w:rPr>
          <w:rFonts w:ascii="Courier New" w:hAnsi="Courier New" w:eastAsia="Courier New" w:cs="Courier New"/>
          <w:b/>
          <w:sz w:val="24"/>
          <w:szCs w:val="24"/>
        </w:rPr>
        <w:t>OMB CONTROL NO. 9000-</w:t>
      </w:r>
      <w:r>
        <w:rPr>
          <w:rFonts w:ascii="Courier New" w:hAnsi="Courier New" w:eastAsia="Courier New" w:cs="Courier New"/>
          <w:b/>
          <w:color w:val="000000"/>
          <w:sz w:val="24"/>
          <w:szCs w:val="24"/>
        </w:rPr>
        <w:t>0076</w:t>
      </w:r>
    </w:p>
    <w:p w:rsidR="00A11F14" w:rsidRDefault="00241F36" w14:paraId="762F6606" w14:textId="77777777">
      <w:pPr>
        <w:spacing w:line="240" w:lineRule="auto"/>
        <w:jc w:val="center"/>
        <w:rPr>
          <w:rFonts w:ascii="Courier New" w:hAnsi="Courier New" w:eastAsia="Courier New" w:cs="Courier New"/>
          <w:b/>
          <w:color w:val="000000"/>
          <w:sz w:val="24"/>
          <w:szCs w:val="24"/>
        </w:rPr>
      </w:pPr>
      <w:r>
        <w:rPr>
          <w:rFonts w:ascii="Courier New" w:hAnsi="Courier New" w:eastAsia="Courier New" w:cs="Courier New"/>
          <w:b/>
          <w:color w:val="000000"/>
          <w:sz w:val="24"/>
          <w:szCs w:val="24"/>
        </w:rPr>
        <w:t>Novation and Change-of-Name Agreements</w:t>
      </w:r>
    </w:p>
    <w:p w:rsidR="00A11F14" w:rsidRDefault="00A11F14" w14:paraId="1369D969" w14:textId="77777777">
      <w:pPr>
        <w:rPr>
          <w:rFonts w:ascii="Courier New" w:hAnsi="Courier New" w:eastAsia="Courier New" w:cs="Courier New"/>
          <w:b/>
          <w:sz w:val="24"/>
          <w:szCs w:val="24"/>
          <w:u w:val="single"/>
        </w:rPr>
      </w:pPr>
    </w:p>
    <w:p w:rsidR="00A11F14" w:rsidRDefault="00241F36" w14:paraId="5EC653E7"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FAR sections affected: </w:t>
      </w:r>
      <w:r>
        <w:rPr>
          <w:rFonts w:ascii="Courier New" w:hAnsi="Courier New" w:eastAsia="Courier New" w:cs="Courier New"/>
          <w:b/>
          <w:color w:val="000000"/>
          <w:sz w:val="24"/>
          <w:szCs w:val="24"/>
        </w:rPr>
        <w:t>42.1203(a), 42.1204(e) and (f), and 42.1205(a)</w:t>
      </w:r>
    </w:p>
    <w:p w:rsidR="00A11F14" w:rsidRDefault="00A11F14" w14:paraId="798DBF0C" w14:textId="77777777">
      <w:pPr>
        <w:rPr>
          <w:rFonts w:ascii="Courier New" w:hAnsi="Courier New" w:eastAsia="Courier New" w:cs="Courier New"/>
          <w:b/>
          <w:sz w:val="24"/>
          <w:szCs w:val="24"/>
        </w:rPr>
      </w:pPr>
    </w:p>
    <w:p w:rsidR="00A11F14" w:rsidRDefault="00241F36" w14:paraId="4DE73269" w14:textId="7777777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A11F14" w:rsidRDefault="00A11F14" w14:paraId="3985B425" w14:textId="77777777">
      <w:pPr>
        <w:rPr>
          <w:rFonts w:ascii="Courier New" w:hAnsi="Courier New" w:eastAsia="Courier New" w:cs="Courier New"/>
          <w:b/>
          <w:sz w:val="24"/>
          <w:szCs w:val="24"/>
        </w:rPr>
      </w:pPr>
    </w:p>
    <w:p w:rsidR="00A11F14" w:rsidRDefault="00241F36" w14:paraId="595CCCA7" w14:textId="77777777">
      <w:pPr>
        <w:rPr>
          <w:rFonts w:ascii="Courier New" w:hAnsi="Courier New" w:eastAsia="Courier New" w:cs="Courier New"/>
          <w:sz w:val="24"/>
          <w:szCs w:val="24"/>
        </w:rPr>
      </w:pPr>
      <w:bookmarkStart w:name="_heading=h.gjdgxs" w:colFirst="0" w:colLast="0" w:id="0"/>
      <w:bookmarkEnd w:id="0"/>
      <w:r>
        <w:rPr>
          <w:rFonts w:ascii="Courier New" w:hAnsi="Courier New" w:eastAsia="Courier New" w:cs="Courier New"/>
          <w:b/>
          <w:sz w:val="24"/>
          <w:szCs w:val="24"/>
        </w:rPr>
        <w:t>1.</w:t>
      </w:r>
      <w:r>
        <w:rPr>
          <w:rFonts w:ascii="Courier New" w:hAnsi="Courier New" w:eastAsia="Courier New" w:cs="Courier New"/>
          <w:sz w:val="24"/>
          <w:szCs w:val="24"/>
        </w:rPr>
        <w:t xml:space="preserve">  </w:t>
      </w:r>
      <w:r>
        <w:rPr>
          <w:rFonts w:ascii="Courier New" w:hAnsi="Courier New" w:eastAsia="Courier New" w:cs="Courier New"/>
          <w:b/>
          <w:sz w:val="24"/>
          <w:szCs w:val="24"/>
        </w:rPr>
        <w:t>Administrative requirements</w:t>
      </w:r>
      <w:r>
        <w:rPr>
          <w:rFonts w:ascii="Courier New" w:hAnsi="Courier New" w:eastAsia="Courier New" w:cs="Courier New"/>
          <w:sz w:val="24"/>
          <w:szCs w:val="24"/>
        </w:rPr>
        <w:t xml:space="preserve">.  This clearance covers the information that </w:t>
      </w:r>
      <w:r>
        <w:rPr>
          <w:rFonts w:ascii="Courier New" w:hAnsi="Courier New" w:eastAsia="Courier New" w:cs="Courier New"/>
          <w:color w:val="000000"/>
          <w:sz w:val="24"/>
          <w:szCs w:val="24"/>
        </w:rPr>
        <w:t xml:space="preserve">contractors </w:t>
      </w:r>
      <w:r>
        <w:rPr>
          <w:rFonts w:ascii="Courier New" w:hAnsi="Courier New" w:eastAsia="Courier New" w:cs="Courier New"/>
          <w:sz w:val="24"/>
          <w:szCs w:val="24"/>
        </w:rPr>
        <w:t>must submit to comply with the following requirements in Federal Acquisition Regulation (FAR) subpart 42.12:</w:t>
      </w:r>
    </w:p>
    <w:p w:rsidR="00A11F14" w:rsidRDefault="00A11F14" w14:paraId="5823FB02" w14:textId="77777777">
      <w:pPr>
        <w:rPr>
          <w:rFonts w:ascii="Courier New" w:hAnsi="Courier New" w:eastAsia="Courier New" w:cs="Courier New"/>
          <w:color w:val="0000FF"/>
          <w:sz w:val="24"/>
          <w:szCs w:val="24"/>
        </w:rPr>
      </w:pPr>
    </w:p>
    <w:p w:rsidR="00A11F14" w:rsidRDefault="00241F36" w14:paraId="77615B7B" w14:textId="77777777">
      <w:pPr>
        <w:numPr>
          <w:ilvl w:val="0"/>
          <w:numId w:val="3"/>
        </w:numPr>
        <w:pBdr>
          <w:top w:val="nil"/>
          <w:left w:val="nil"/>
          <w:bottom w:val="nil"/>
          <w:right w:val="nil"/>
          <w:between w:val="nil"/>
        </w:pBdr>
        <w:rPr>
          <w:rFonts w:ascii="Courier New" w:hAnsi="Courier New" w:eastAsia="Courier New" w:cs="Courier New"/>
          <w:color w:val="000000"/>
          <w:sz w:val="24"/>
          <w:szCs w:val="24"/>
        </w:rPr>
      </w:pPr>
      <w:bookmarkStart w:name="_heading=h.30j0zll" w:colFirst="0" w:colLast="0" w:id="1"/>
      <w:bookmarkEnd w:id="1"/>
      <w:r>
        <w:rPr>
          <w:rFonts w:ascii="Courier New" w:hAnsi="Courier New" w:eastAsia="Courier New" w:cs="Courier New"/>
          <w:b/>
          <w:sz w:val="24"/>
          <w:szCs w:val="24"/>
        </w:rPr>
        <w:t>FAR 42.1203(a), Written Request.</w:t>
      </w:r>
      <w:r>
        <w:rPr>
          <w:rFonts w:ascii="Courier New" w:hAnsi="Courier New" w:eastAsia="Courier New" w:cs="Courier New"/>
          <w:sz w:val="24"/>
          <w:szCs w:val="24"/>
        </w:rPr>
        <w:t xml:space="preserve">  </w:t>
      </w:r>
      <w:r>
        <w:rPr>
          <w:rFonts w:ascii="Courier New" w:hAnsi="Courier New" w:eastAsia="Courier New" w:cs="Courier New"/>
          <w:color w:val="000000"/>
          <w:sz w:val="24"/>
          <w:szCs w:val="24"/>
        </w:rPr>
        <w:t>If a contractor wishes the Government to recognize a successor in interest to its contracts or a name change, the contractor must submit a written request to the responsible contracting officer.</w:t>
      </w:r>
    </w:p>
    <w:p w:rsidR="00A11F14" w:rsidRDefault="00241F36" w14:paraId="6CFF8321" w14:textId="77777777">
      <w:pPr>
        <w:pBdr>
          <w:top w:val="nil"/>
          <w:left w:val="nil"/>
          <w:bottom w:val="nil"/>
          <w:right w:val="nil"/>
          <w:between w:val="nil"/>
        </w:pBdr>
        <w:ind w:left="720"/>
        <w:rPr>
          <w:rFonts w:ascii="Courier New" w:hAnsi="Courier New" w:eastAsia="Courier New" w:cs="Courier New"/>
          <w:color w:val="000000"/>
          <w:sz w:val="24"/>
          <w:szCs w:val="24"/>
        </w:rPr>
      </w:pPr>
      <w:r>
        <w:rPr>
          <w:rFonts w:ascii="Courier New" w:hAnsi="Courier New" w:eastAsia="Courier New" w:cs="Courier New"/>
          <w:color w:val="000000"/>
          <w:sz w:val="24"/>
          <w:szCs w:val="24"/>
        </w:rPr>
        <w:t xml:space="preserve">  </w:t>
      </w:r>
    </w:p>
    <w:p w:rsidR="00A11F14" w:rsidRDefault="00241F36" w14:paraId="21567629" w14:textId="77777777">
      <w:pPr>
        <w:numPr>
          <w:ilvl w:val="0"/>
          <w:numId w:val="3"/>
        </w:numPr>
        <w:pBdr>
          <w:top w:val="nil"/>
          <w:left w:val="nil"/>
          <w:bottom w:val="nil"/>
          <w:right w:val="nil"/>
          <w:between w:val="nil"/>
        </w:pBdr>
        <w:rPr>
          <w:rFonts w:ascii="Courier New" w:hAnsi="Courier New" w:eastAsia="Courier New" w:cs="Courier New"/>
          <w:color w:val="000000"/>
          <w:sz w:val="24"/>
          <w:szCs w:val="24"/>
        </w:rPr>
      </w:pPr>
      <w:r>
        <w:rPr>
          <w:rFonts w:ascii="Courier New" w:hAnsi="Courier New" w:eastAsia="Courier New" w:cs="Courier New"/>
          <w:b/>
          <w:sz w:val="24"/>
          <w:szCs w:val="24"/>
        </w:rPr>
        <w:t>FAR 42.1204(e) and (f), Novation Agreement.</w:t>
      </w:r>
      <w:r>
        <w:rPr>
          <w:rFonts w:ascii="Courier New" w:hAnsi="Courier New" w:eastAsia="Courier New" w:cs="Courier New"/>
          <w:sz w:val="24"/>
          <w:szCs w:val="24"/>
        </w:rPr>
        <w:t xml:space="preserve">  </w:t>
      </w:r>
      <w:r>
        <w:rPr>
          <w:rFonts w:ascii="Courier New" w:hAnsi="Courier New" w:eastAsia="Courier New" w:cs="Courier New"/>
          <w:color w:val="000000"/>
          <w:sz w:val="24"/>
          <w:szCs w:val="24"/>
        </w:rPr>
        <w:t xml:space="preserve">Pursuant to 42.1203(b)(1), upon request from the contracting officer, the contractor shall submit three signed copies of the proposed novation agreement, plus copies of the supporting documentation listed at 42.1204(e) and (f), as applicable. </w:t>
      </w:r>
    </w:p>
    <w:p w:rsidR="00A11F14" w:rsidRDefault="00A11F14" w14:paraId="0CFFCF66" w14:textId="77777777">
      <w:pPr>
        <w:pBdr>
          <w:top w:val="nil"/>
          <w:left w:val="nil"/>
          <w:bottom w:val="nil"/>
          <w:right w:val="nil"/>
          <w:between w:val="nil"/>
        </w:pBdr>
        <w:ind w:left="720"/>
        <w:rPr>
          <w:rFonts w:ascii="Courier New" w:hAnsi="Courier New" w:eastAsia="Courier New" w:cs="Courier New"/>
          <w:color w:val="000000"/>
          <w:sz w:val="24"/>
          <w:szCs w:val="24"/>
        </w:rPr>
      </w:pPr>
    </w:p>
    <w:p w:rsidR="00A11F14" w:rsidRDefault="00241F36" w14:paraId="4CC440FD" w14:textId="77777777">
      <w:pPr>
        <w:numPr>
          <w:ilvl w:val="0"/>
          <w:numId w:val="3"/>
        </w:numPr>
        <w:pBdr>
          <w:top w:val="nil"/>
          <w:left w:val="nil"/>
          <w:bottom w:val="nil"/>
          <w:right w:val="nil"/>
          <w:between w:val="nil"/>
        </w:pBdr>
        <w:rPr>
          <w:rFonts w:ascii="Courier New" w:hAnsi="Courier New" w:eastAsia="Courier New" w:cs="Courier New"/>
          <w:sz w:val="24"/>
          <w:szCs w:val="24"/>
        </w:rPr>
      </w:pPr>
      <w:r>
        <w:rPr>
          <w:rFonts w:ascii="Courier New" w:hAnsi="Courier New" w:eastAsia="Courier New" w:cs="Courier New"/>
          <w:b/>
          <w:sz w:val="24"/>
          <w:szCs w:val="24"/>
        </w:rPr>
        <w:t>FAR 42.1205(a), Change-of-Name Agreement.</w:t>
      </w:r>
      <w:r>
        <w:rPr>
          <w:rFonts w:ascii="Courier New" w:hAnsi="Courier New" w:eastAsia="Courier New" w:cs="Courier New"/>
          <w:sz w:val="24"/>
          <w:szCs w:val="24"/>
        </w:rPr>
        <w:t xml:space="preserve">  </w:t>
      </w:r>
      <w:r>
        <w:rPr>
          <w:rFonts w:ascii="Courier New" w:hAnsi="Courier New" w:eastAsia="Courier New" w:cs="Courier New"/>
          <w:color w:val="000000"/>
          <w:sz w:val="24"/>
          <w:szCs w:val="24"/>
        </w:rPr>
        <w:t>Pursuant to 42.1203(b)(1), upon request from the contracting officer, the contractor shall submit three signed copies of the proposed change-of-name agreement, plus copies of the supporting documentation listed at 42.1205(a), as applicable.</w:t>
      </w:r>
    </w:p>
    <w:p w:rsidR="00A11F14" w:rsidRDefault="00A11F14" w14:paraId="1FFE07F3" w14:textId="77777777">
      <w:pPr>
        <w:rPr>
          <w:rFonts w:ascii="Courier New" w:hAnsi="Courier New" w:eastAsia="Courier New" w:cs="Courier New"/>
          <w:color w:val="FF0000"/>
          <w:sz w:val="24"/>
          <w:szCs w:val="24"/>
          <w:highlight w:val="white"/>
        </w:rPr>
      </w:pPr>
    </w:p>
    <w:p w:rsidR="00A11F14" w:rsidRDefault="00241F36" w14:paraId="6F83A72D" w14:textId="77777777">
      <w:pPr>
        <w:rPr>
          <w:rFonts w:ascii="Courier New" w:hAnsi="Courier New" w:eastAsia="Courier New" w:cs="Courier New"/>
          <w:sz w:val="24"/>
          <w:szCs w:val="24"/>
        </w:rPr>
      </w:pPr>
      <w:bookmarkStart w:name="_heading=h.1fob9te" w:colFirst="0" w:colLast="0" w:id="2"/>
      <w:bookmarkEnd w:id="2"/>
      <w:r>
        <w:rPr>
          <w:rFonts w:ascii="Courier New" w:hAnsi="Courier New" w:eastAsia="Courier New" w:cs="Courier New"/>
          <w:b/>
          <w:sz w:val="24"/>
          <w:szCs w:val="24"/>
        </w:rPr>
        <w:t>2.</w:t>
      </w:r>
      <w:r>
        <w:rPr>
          <w:rFonts w:ascii="Courier New" w:hAnsi="Courier New" w:eastAsia="Courier New" w:cs="Courier New"/>
          <w:sz w:val="24"/>
          <w:szCs w:val="24"/>
        </w:rPr>
        <w:t xml:space="preserve">  </w:t>
      </w:r>
      <w:r>
        <w:rPr>
          <w:rFonts w:ascii="Courier New" w:hAnsi="Courier New" w:eastAsia="Courier New" w:cs="Courier New"/>
          <w:b/>
          <w:sz w:val="24"/>
          <w:szCs w:val="24"/>
        </w:rPr>
        <w:t>Uses of information.</w:t>
      </w:r>
      <w:r>
        <w:rPr>
          <w:rFonts w:ascii="Courier New" w:hAnsi="Courier New" w:eastAsia="Courier New" w:cs="Courier New"/>
          <w:sz w:val="24"/>
          <w:szCs w:val="24"/>
        </w:rPr>
        <w:t xml:space="preserve">  The information collected is used by the Government as follows:</w:t>
      </w:r>
    </w:p>
    <w:p w:rsidR="00A11F14" w:rsidRDefault="00A11F14" w14:paraId="28B16881" w14:textId="77777777">
      <w:pPr>
        <w:rPr>
          <w:rFonts w:ascii="Courier New" w:hAnsi="Courier New" w:eastAsia="Courier New" w:cs="Courier New"/>
          <w:sz w:val="24"/>
          <w:szCs w:val="24"/>
        </w:rPr>
      </w:pPr>
    </w:p>
    <w:p w:rsidR="00A11F14" w:rsidRDefault="00241F36" w14:paraId="3902D9C8" w14:textId="77777777">
      <w:pPr>
        <w:numPr>
          <w:ilvl w:val="0"/>
          <w:numId w:val="3"/>
        </w:numPr>
        <w:pBdr>
          <w:top w:val="nil"/>
          <w:left w:val="nil"/>
          <w:bottom w:val="nil"/>
          <w:right w:val="nil"/>
          <w:between w:val="nil"/>
        </w:pBdr>
        <w:rPr>
          <w:rFonts w:ascii="Courier New" w:hAnsi="Courier New" w:eastAsia="Courier New" w:cs="Courier New"/>
          <w:color w:val="000000"/>
          <w:sz w:val="24"/>
          <w:szCs w:val="24"/>
        </w:rPr>
      </w:pPr>
      <w:bookmarkStart w:name="_heading=h.3znysh7" w:colFirst="0" w:colLast="0" w:id="3"/>
      <w:bookmarkEnd w:id="3"/>
      <w:r>
        <w:rPr>
          <w:rFonts w:ascii="Courier New" w:hAnsi="Courier New" w:eastAsia="Courier New" w:cs="Courier New"/>
          <w:b/>
          <w:sz w:val="24"/>
          <w:szCs w:val="24"/>
        </w:rPr>
        <w:t>FAR 42.1203(a), Written Request.</w:t>
      </w:r>
      <w:r>
        <w:rPr>
          <w:rFonts w:ascii="Courier New" w:hAnsi="Courier New" w:eastAsia="Courier New" w:cs="Courier New"/>
          <w:sz w:val="24"/>
          <w:szCs w:val="24"/>
        </w:rPr>
        <w:t xml:space="preserve">  </w:t>
      </w:r>
      <w:r>
        <w:rPr>
          <w:rFonts w:ascii="Courier New" w:hAnsi="Courier New" w:eastAsia="Courier New" w:cs="Courier New"/>
          <w:color w:val="000000"/>
          <w:sz w:val="24"/>
          <w:szCs w:val="24"/>
        </w:rPr>
        <w:t xml:space="preserve">The written request is used by the contracting officer to determine what additional supporting documentation should be submitted by the contractor and to determine what other contract administration offices should be notified of the contractor’s request. </w:t>
      </w:r>
    </w:p>
    <w:p w:rsidR="00A11F14" w:rsidRDefault="00241F36" w14:paraId="3D699AFC" w14:textId="77777777">
      <w:pPr>
        <w:pBdr>
          <w:top w:val="nil"/>
          <w:left w:val="nil"/>
          <w:bottom w:val="nil"/>
          <w:right w:val="nil"/>
          <w:between w:val="nil"/>
        </w:pBdr>
        <w:ind w:left="720"/>
        <w:rPr>
          <w:rFonts w:ascii="Courier New" w:hAnsi="Courier New" w:eastAsia="Courier New" w:cs="Courier New"/>
          <w:color w:val="000000"/>
          <w:sz w:val="24"/>
          <w:szCs w:val="24"/>
        </w:rPr>
      </w:pPr>
      <w:r>
        <w:rPr>
          <w:rFonts w:ascii="Courier New" w:hAnsi="Courier New" w:eastAsia="Courier New" w:cs="Courier New"/>
          <w:color w:val="000000"/>
          <w:sz w:val="24"/>
          <w:szCs w:val="24"/>
        </w:rPr>
        <w:lastRenderedPageBreak/>
        <w:t xml:space="preserve">  </w:t>
      </w:r>
    </w:p>
    <w:p w:rsidR="00A11F14" w:rsidRDefault="00241F36" w14:paraId="176B7A69" w14:textId="77777777">
      <w:pPr>
        <w:numPr>
          <w:ilvl w:val="0"/>
          <w:numId w:val="3"/>
        </w:numPr>
        <w:pBdr>
          <w:top w:val="nil"/>
          <w:left w:val="nil"/>
          <w:bottom w:val="nil"/>
          <w:right w:val="nil"/>
          <w:between w:val="nil"/>
        </w:pBdr>
        <w:rPr>
          <w:rFonts w:ascii="Courier New" w:hAnsi="Courier New" w:eastAsia="Courier New" w:cs="Courier New"/>
          <w:color w:val="000000"/>
          <w:sz w:val="24"/>
          <w:szCs w:val="24"/>
        </w:rPr>
      </w:pPr>
      <w:bookmarkStart w:name="_heading=h.2et92p0" w:colFirst="0" w:colLast="0" w:id="4"/>
      <w:bookmarkEnd w:id="4"/>
      <w:r>
        <w:rPr>
          <w:rFonts w:ascii="Courier New" w:hAnsi="Courier New" w:eastAsia="Courier New" w:cs="Courier New"/>
          <w:b/>
          <w:sz w:val="24"/>
          <w:szCs w:val="24"/>
        </w:rPr>
        <w:t xml:space="preserve">FAR 42.1204(e) and (f), Novation Agreement.  </w:t>
      </w:r>
      <w:r>
        <w:t xml:space="preserve"> </w:t>
      </w:r>
      <w:r>
        <w:rPr>
          <w:rFonts w:ascii="Courier New" w:hAnsi="Courier New" w:eastAsia="Courier New" w:cs="Courier New"/>
          <w:sz w:val="24"/>
          <w:szCs w:val="24"/>
        </w:rPr>
        <w:t xml:space="preserve">The documentation is used by the contracting officer to evaluate and, if appropriate, execute a proposed agreement for recognizing </w:t>
      </w:r>
      <w:r>
        <w:rPr>
          <w:rFonts w:ascii="Courier New" w:hAnsi="Courier New" w:eastAsia="Courier New" w:cs="Courier New"/>
          <w:color w:val="000000"/>
          <w:sz w:val="24"/>
          <w:szCs w:val="24"/>
        </w:rPr>
        <w:t>a third party as a successor in interest.</w:t>
      </w:r>
    </w:p>
    <w:p w:rsidR="00A11F14" w:rsidRDefault="00A11F14" w14:paraId="1143BEDA" w14:textId="77777777">
      <w:pPr>
        <w:pBdr>
          <w:top w:val="nil"/>
          <w:left w:val="nil"/>
          <w:bottom w:val="nil"/>
          <w:right w:val="nil"/>
          <w:between w:val="nil"/>
        </w:pBdr>
        <w:ind w:left="720"/>
        <w:rPr>
          <w:rFonts w:ascii="Courier New" w:hAnsi="Courier New" w:eastAsia="Courier New" w:cs="Courier New"/>
          <w:color w:val="000000"/>
          <w:sz w:val="24"/>
          <w:szCs w:val="24"/>
        </w:rPr>
      </w:pPr>
    </w:p>
    <w:p w:rsidR="00A11F14" w:rsidRDefault="00241F36" w14:paraId="6EFD6737" w14:textId="77777777">
      <w:pPr>
        <w:numPr>
          <w:ilvl w:val="0"/>
          <w:numId w:val="3"/>
        </w:numPr>
        <w:pBdr>
          <w:top w:val="nil"/>
          <w:left w:val="nil"/>
          <w:bottom w:val="nil"/>
          <w:right w:val="nil"/>
          <w:between w:val="nil"/>
        </w:pBdr>
        <w:rPr>
          <w:rFonts w:ascii="Courier New" w:hAnsi="Courier New" w:eastAsia="Courier New" w:cs="Courier New"/>
          <w:color w:val="000000"/>
          <w:sz w:val="24"/>
          <w:szCs w:val="24"/>
        </w:rPr>
      </w:pPr>
      <w:bookmarkStart w:name="_heading=h.tyjcwt" w:colFirst="0" w:colLast="0" w:id="5"/>
      <w:bookmarkEnd w:id="5"/>
      <w:r>
        <w:rPr>
          <w:rFonts w:ascii="Courier New" w:hAnsi="Courier New" w:eastAsia="Courier New" w:cs="Courier New"/>
          <w:b/>
          <w:sz w:val="24"/>
          <w:szCs w:val="24"/>
        </w:rPr>
        <w:t>FAR 42.1205(a), Change-of-Name Agreement.</w:t>
      </w:r>
      <w:r>
        <w:rPr>
          <w:rFonts w:ascii="Courier New" w:hAnsi="Courier New" w:eastAsia="Courier New" w:cs="Courier New"/>
          <w:sz w:val="24"/>
          <w:szCs w:val="24"/>
        </w:rPr>
        <w:t xml:space="preserve">  The documentation is used by the contracting officer to evaluate and, if appropriate, execute a proposed agreement for recognizing a contractor’s name change.  </w:t>
      </w:r>
    </w:p>
    <w:p w:rsidR="00A11F14" w:rsidRDefault="00A11F14" w14:paraId="0A6DA7C3" w14:textId="77777777">
      <w:pPr>
        <w:rPr>
          <w:rFonts w:ascii="Courier New" w:hAnsi="Courier New" w:eastAsia="Courier New" w:cs="Courier New"/>
          <w:color w:val="000000"/>
          <w:sz w:val="24"/>
          <w:szCs w:val="24"/>
        </w:rPr>
      </w:pPr>
    </w:p>
    <w:p w:rsidR="00A11F14" w:rsidRDefault="00241F36" w14:paraId="2BC9A434" w14:textId="251B8ADF">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 xml:space="preserve">.  </w:t>
      </w:r>
      <w:r w:rsidR="008E356A">
        <w:rPr>
          <w:rFonts w:ascii="Courier New" w:hAnsi="Courier New" w:eastAsia="Courier New" w:cs="Courier New"/>
          <w:sz w:val="24"/>
          <w:szCs w:val="24"/>
        </w:rPr>
        <w:t>I</w:t>
      </w:r>
      <w:r>
        <w:rPr>
          <w:rFonts w:ascii="Courier New" w:hAnsi="Courier New" w:eastAsia="Courier New" w:cs="Courier New"/>
          <w:sz w:val="24"/>
          <w:szCs w:val="24"/>
        </w:rPr>
        <w:t xml:space="preserve">mproved information technology </w:t>
      </w:r>
      <w:r w:rsidR="008E356A">
        <w:rPr>
          <w:rFonts w:ascii="Courier New" w:hAnsi="Courier New" w:eastAsia="Courier New" w:cs="Courier New"/>
          <w:sz w:val="24"/>
          <w:szCs w:val="24"/>
        </w:rPr>
        <w:t xml:space="preserve">is used </w:t>
      </w:r>
      <w:r>
        <w:rPr>
          <w:rFonts w:ascii="Courier New" w:hAnsi="Courier New" w:eastAsia="Courier New" w:cs="Courier New"/>
          <w:sz w:val="24"/>
          <w:szCs w:val="24"/>
        </w:rPr>
        <w:t>to the maximum extent practicable.  Where both the Government agency and contractors are capable of electronic interchange, the contractors may submit this information collection requirement electronically.</w:t>
      </w:r>
    </w:p>
    <w:p w:rsidR="00A11F14" w:rsidRDefault="00241F36" w14:paraId="71AD39DA"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These requirements are issued under the FAR, which has been developed to standardize Federal procurement practices and eliminate unnecessary duplication.</w:t>
      </w:r>
      <w:r>
        <w:rPr>
          <w:rFonts w:ascii="Courier New" w:hAnsi="Courier New" w:eastAsia="Courier New" w:cs="Courier New"/>
          <w:color w:val="FF0000"/>
          <w:sz w:val="24"/>
          <w:szCs w:val="24"/>
        </w:rPr>
        <w:br/>
      </w:r>
    </w:p>
    <w:p w:rsidR="00A11F14" w:rsidRDefault="00241F36" w14:paraId="1D914DAB" w14:textId="77777777">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If the collection of information impacts small businesses or other entities, describe methods used to minimize burden.  </w:t>
      </w:r>
      <w:r>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00A11F14" w:rsidRDefault="00A11F14" w14:paraId="6A5D5B21" w14:textId="77777777">
      <w:pPr>
        <w:rPr>
          <w:rFonts w:ascii="Courier New" w:hAnsi="Courier New" w:eastAsia="Courier New" w:cs="Courier New"/>
          <w:color w:val="FF0000"/>
          <w:sz w:val="24"/>
          <w:szCs w:val="24"/>
        </w:rPr>
      </w:pPr>
    </w:p>
    <w:p w:rsidR="00A11F14" w:rsidRDefault="00241F36" w14:paraId="1A7E022B" w14:textId="77777777">
      <w:pPr>
        <w:rPr>
          <w:rFonts w:ascii="Courier New" w:hAnsi="Courier New" w:eastAsia="Courier New" w:cs="Courier New"/>
          <w:color w:val="0000FF"/>
          <w:sz w:val="24"/>
          <w:szCs w:val="24"/>
        </w:rPr>
      </w:pPr>
      <w:r>
        <w:rPr>
          <w:rFonts w:ascii="Courier New" w:hAnsi="Courier New" w:eastAsia="Courier New" w:cs="Courier New"/>
          <w:b/>
          <w:sz w:val="24"/>
          <w:szCs w:val="24"/>
        </w:rPr>
        <w:t>6.</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Describe consequence to Federal program or policy activities if the collection is not conducted or is conducted less frequently. </w:t>
      </w:r>
      <w:r>
        <w:rPr>
          <w:rFonts w:ascii="Courier New" w:hAnsi="Courier New" w:eastAsia="Courier New" w:cs="Courier New"/>
          <w:sz w:val="24"/>
          <w:szCs w:val="24"/>
        </w:rPr>
        <w:t xml:space="preserve"> Collection </w:t>
      </w:r>
      <w:r>
        <w:rPr>
          <w:rFonts w:ascii="Courier New" w:hAnsi="Courier New" w:eastAsia="Courier New" w:cs="Courier New"/>
          <w:color w:val="000000"/>
          <w:sz w:val="24"/>
          <w:szCs w:val="24"/>
        </w:rPr>
        <w:t xml:space="preserve">on a basis other than contract-by-contract is not practical. </w:t>
      </w:r>
    </w:p>
    <w:p w:rsidR="00A11F14" w:rsidRDefault="00A11F14" w14:paraId="6F25E4CA" w14:textId="77777777">
      <w:pPr>
        <w:rPr>
          <w:rFonts w:ascii="Courier New" w:hAnsi="Courier New" w:eastAsia="Courier New" w:cs="Courier New"/>
          <w:sz w:val="24"/>
          <w:szCs w:val="24"/>
        </w:rPr>
      </w:pPr>
    </w:p>
    <w:p w:rsidR="00A11F14" w:rsidRDefault="00241F36" w14:paraId="1BC709ED"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1320.6. </w:t>
      </w:r>
    </w:p>
    <w:p w:rsidR="00A11F14" w:rsidRDefault="00A11F14" w14:paraId="3DD49C58" w14:textId="77777777">
      <w:pPr>
        <w:rPr>
          <w:rFonts w:ascii="Courier New" w:hAnsi="Courier New" w:eastAsia="Courier New" w:cs="Courier New"/>
          <w:sz w:val="24"/>
          <w:szCs w:val="24"/>
        </w:rPr>
      </w:pPr>
    </w:p>
    <w:p w:rsidR="00A11F14" w:rsidRDefault="00241F36" w14:paraId="207EAE3E"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 xml:space="preserve">.  </w:t>
      </w:r>
    </w:p>
    <w:p w:rsidRPr="001D34F8" w:rsidR="00A11F14" w:rsidRDefault="001D34F8" w14:paraId="36EF44EF" w14:textId="063056A7">
      <w:pPr>
        <w:numPr>
          <w:ilvl w:val="0"/>
          <w:numId w:val="2"/>
        </w:numPr>
        <w:ind w:left="1080" w:hanging="540"/>
        <w:rPr>
          <w:rFonts w:ascii="Courier New" w:hAnsi="Courier New" w:eastAsia="Courier New" w:cs="Courier New"/>
          <w:sz w:val="24"/>
          <w:szCs w:val="24"/>
        </w:rPr>
      </w:pPr>
      <w:r w:rsidRPr="001D34F8">
        <w:rPr>
          <w:rFonts w:ascii="Courier New" w:hAnsi="Courier New" w:eastAsia="Courier New" w:cs="Courier New"/>
          <w:sz w:val="24"/>
          <w:szCs w:val="24"/>
        </w:rPr>
        <w:t xml:space="preserve">A 60-day notice was published in the </w:t>
      </w:r>
      <w:r w:rsidRPr="001D34F8">
        <w:rPr>
          <w:rFonts w:ascii="Courier New" w:hAnsi="Courier New" w:eastAsia="Courier New" w:cs="Courier New"/>
          <w:i/>
          <w:iCs/>
          <w:sz w:val="24"/>
          <w:szCs w:val="24"/>
        </w:rPr>
        <w:t>Federal Register</w:t>
      </w:r>
      <w:r w:rsidRPr="001D34F8">
        <w:rPr>
          <w:rFonts w:ascii="Courier New" w:hAnsi="Courier New" w:eastAsia="Courier New" w:cs="Courier New"/>
          <w:sz w:val="24"/>
          <w:szCs w:val="24"/>
        </w:rPr>
        <w:t xml:space="preserve"> at 86 FR 8017, on February 3, 2021</w:t>
      </w:r>
      <w:r w:rsidRPr="001D34F8" w:rsidR="00241F36">
        <w:rPr>
          <w:rFonts w:ascii="Courier New" w:hAnsi="Courier New" w:eastAsia="Courier New" w:cs="Courier New"/>
          <w:sz w:val="24"/>
          <w:szCs w:val="24"/>
        </w:rPr>
        <w:t xml:space="preserve">. </w:t>
      </w:r>
      <w:r w:rsidR="00597E9A">
        <w:rPr>
          <w:rFonts w:ascii="Courier New" w:hAnsi="Courier New" w:eastAsia="Courier New" w:cs="Courier New"/>
          <w:sz w:val="24"/>
          <w:szCs w:val="24"/>
        </w:rPr>
        <w:t>No comments were received.</w:t>
      </w:r>
    </w:p>
    <w:p w:rsidR="00A11F14" w:rsidRDefault="00241F36" w14:paraId="14345872" w14:textId="6CC8D0DE">
      <w:pPr>
        <w:numPr>
          <w:ilvl w:val="0"/>
          <w:numId w:val="2"/>
        </w:numPr>
        <w:ind w:left="1080" w:hanging="540"/>
        <w:rPr>
          <w:rFonts w:ascii="Courier New" w:hAnsi="Courier New" w:eastAsia="Courier New" w:cs="Courier New"/>
          <w:sz w:val="24"/>
          <w:szCs w:val="24"/>
        </w:rPr>
      </w:pPr>
      <w:r>
        <w:rPr>
          <w:rFonts w:ascii="Courier New" w:hAnsi="Courier New" w:eastAsia="Courier New" w:cs="Courier New"/>
          <w:sz w:val="24"/>
          <w:szCs w:val="24"/>
        </w:rPr>
        <w:t xml:space="preserve">A 30-day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w:t>
      </w:r>
      <w:r w:rsidRPr="00727FBC" w:rsidR="00727FBC">
        <w:rPr>
          <w:rFonts w:ascii="Courier New" w:hAnsi="Courier New" w:eastAsia="Courier New" w:cs="Courier New"/>
          <w:sz w:val="24"/>
          <w:szCs w:val="24"/>
        </w:rPr>
        <w:t>86</w:t>
      </w:r>
      <w:r w:rsidRPr="00727FBC">
        <w:rPr>
          <w:rFonts w:ascii="Courier New" w:hAnsi="Courier New" w:eastAsia="Courier New" w:cs="Courier New"/>
          <w:sz w:val="24"/>
          <w:szCs w:val="24"/>
        </w:rPr>
        <w:t xml:space="preserve"> FR </w:t>
      </w:r>
      <w:r w:rsidRPr="00727FBC" w:rsidR="00727FBC">
        <w:rPr>
          <w:rFonts w:ascii="Courier New" w:hAnsi="Courier New" w:eastAsia="Courier New" w:cs="Courier New"/>
          <w:sz w:val="24"/>
          <w:szCs w:val="24"/>
        </w:rPr>
        <w:t>19891</w:t>
      </w:r>
      <w:r w:rsidRPr="00727FBC">
        <w:rPr>
          <w:rFonts w:ascii="Courier New" w:hAnsi="Courier New" w:eastAsia="Courier New" w:cs="Courier New"/>
          <w:sz w:val="24"/>
          <w:szCs w:val="24"/>
        </w:rPr>
        <w:t xml:space="preserve">, on </w:t>
      </w:r>
      <w:r w:rsidRPr="00727FBC" w:rsidR="00727FBC">
        <w:rPr>
          <w:rFonts w:ascii="Courier New" w:hAnsi="Courier New" w:eastAsia="Courier New" w:cs="Courier New"/>
          <w:sz w:val="24"/>
          <w:szCs w:val="24"/>
        </w:rPr>
        <w:t>April 15, 2021</w:t>
      </w:r>
      <w:r>
        <w:rPr>
          <w:rFonts w:ascii="Courier New" w:hAnsi="Courier New" w:eastAsia="Courier New" w:cs="Courier New"/>
          <w:sz w:val="24"/>
          <w:szCs w:val="24"/>
        </w:rPr>
        <w:t>.</w:t>
      </w:r>
    </w:p>
    <w:p w:rsidR="00A11F14" w:rsidRDefault="00A11F14" w14:paraId="3731DC2A" w14:textId="77777777">
      <w:pPr>
        <w:rPr>
          <w:rFonts w:ascii="Courier New" w:hAnsi="Courier New" w:eastAsia="Courier New" w:cs="Courier New"/>
          <w:sz w:val="24"/>
          <w:szCs w:val="24"/>
        </w:rPr>
      </w:pPr>
    </w:p>
    <w:p w:rsidR="00A11F14" w:rsidRDefault="00241F36" w14:paraId="0ED80D6E"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A11F14" w:rsidRDefault="00241F36" w14:paraId="1187E418"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p>
    <w:p w:rsidR="00A11F14" w:rsidRDefault="00241F36" w14:paraId="254629DD"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A11F14" w:rsidRDefault="00A11F14" w14:paraId="0FC0BF28" w14:textId="77777777">
      <w:pPr>
        <w:rPr>
          <w:rFonts w:ascii="Courier New" w:hAnsi="Courier New" w:eastAsia="Courier New" w:cs="Courier New"/>
          <w:sz w:val="24"/>
          <w:szCs w:val="24"/>
        </w:rPr>
      </w:pPr>
    </w:p>
    <w:p w:rsidR="00A11F14" w:rsidRDefault="00241F36" w14:paraId="70721A06"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00A11F14" w:rsidRDefault="00A11F14" w14:paraId="645D56BB" w14:textId="77777777">
      <w:pPr>
        <w:rPr>
          <w:rFonts w:ascii="Courier New" w:hAnsi="Courier New" w:eastAsia="Courier New" w:cs="Courier New"/>
          <w:sz w:val="24"/>
          <w:szCs w:val="24"/>
        </w:rPr>
      </w:pPr>
    </w:p>
    <w:p w:rsidR="00A11F14" w:rsidRDefault="00241F36" w14:paraId="6BD53C31" w14:textId="249301E4">
      <w:pPr>
        <w:rPr>
          <w:rFonts w:ascii="Courier New" w:hAnsi="Courier New" w:eastAsia="Courier New" w:cs="Courier New"/>
          <w:sz w:val="24"/>
          <w:szCs w:val="24"/>
        </w:rPr>
      </w:pPr>
      <w:r>
        <w:rPr>
          <w:rFonts w:ascii="Courier New" w:hAnsi="Courier New" w:eastAsia="Courier New" w:cs="Courier New"/>
          <w:b/>
          <w:sz w:val="24"/>
          <w:szCs w:val="24"/>
        </w:rPr>
        <w:t>12 &amp; 13.</w:t>
      </w:r>
      <w:r>
        <w:rPr>
          <w:rFonts w:ascii="Courier New" w:hAnsi="Courier New" w:eastAsia="Courier New" w:cs="Courier New"/>
          <w:sz w:val="24"/>
          <w:szCs w:val="24"/>
        </w:rPr>
        <w:t xml:space="preserve">  </w:t>
      </w:r>
      <w:r>
        <w:rPr>
          <w:rFonts w:ascii="Courier New" w:hAnsi="Courier New" w:eastAsia="Courier New" w:cs="Courier New"/>
          <w:b/>
          <w:sz w:val="24"/>
          <w:szCs w:val="24"/>
        </w:rPr>
        <w:t>Estimated total annual public hour and cost burden</w:t>
      </w:r>
      <w:r>
        <w:rPr>
          <w:rFonts w:ascii="Courier New" w:hAnsi="Courier New" w:eastAsia="Courier New" w:cs="Courier New"/>
          <w:sz w:val="24"/>
          <w:szCs w:val="24"/>
        </w:rPr>
        <w:t xml:space="preserve">.  </w:t>
      </w:r>
    </w:p>
    <w:p w:rsidR="004E4510" w:rsidRDefault="004E4510" w14:paraId="36BC3BFB" w14:textId="77777777">
      <w:pPr>
        <w:rPr>
          <w:rFonts w:ascii="Courier New" w:hAnsi="Courier New" w:eastAsia="Courier New" w:cs="Courier New"/>
          <w:sz w:val="24"/>
          <w:szCs w:val="24"/>
        </w:rPr>
      </w:pPr>
    </w:p>
    <w:p w:rsidR="004E4510" w:rsidP="004E4510" w:rsidRDefault="004E4510" w14:paraId="63797B02" w14:textId="77777777">
      <w:pPr>
        <w:numPr>
          <w:ilvl w:val="0"/>
          <w:numId w:val="7"/>
        </w:numPr>
        <w:ind w:right="-40"/>
        <w:rPr>
          <w:rFonts w:ascii="Courier New" w:hAnsi="Courier New" w:eastAsia="Courier New" w:cs="Courier New"/>
          <w:color w:val="000000"/>
          <w:sz w:val="24"/>
          <w:szCs w:val="24"/>
        </w:rPr>
      </w:pPr>
      <w:r>
        <w:rPr>
          <w:rFonts w:ascii="Courier New" w:hAnsi="Courier New" w:eastAsia="Courier New" w:cs="Courier New"/>
          <w:b/>
          <w:color w:val="000000"/>
          <w:sz w:val="24"/>
          <w:szCs w:val="24"/>
        </w:rPr>
        <w:t>Total Public Burden.</w:t>
      </w:r>
      <w:r>
        <w:rPr>
          <w:rFonts w:ascii="Courier New" w:hAnsi="Courier New" w:eastAsia="Courier New" w:cs="Courier New"/>
          <w:color w:val="000000"/>
          <w:sz w:val="24"/>
          <w:szCs w:val="24"/>
        </w:rPr>
        <w:t xml:space="preserve">  The following is a summary of the total public burden for preparing and submitting novation and change-of-name agreements:</w:t>
      </w:r>
    </w:p>
    <w:p w:rsidR="004E4510" w:rsidP="004E4510" w:rsidRDefault="004E4510" w14:paraId="4670DC9C" w14:textId="77777777">
      <w:pPr>
        <w:spacing w:line="240" w:lineRule="auto"/>
        <w:rPr>
          <w:rFonts w:ascii="Courier New" w:hAnsi="Courier New" w:eastAsia="Courier New" w:cs="Courier New"/>
          <w:sz w:val="24"/>
          <w:szCs w:val="24"/>
        </w:rPr>
      </w:pPr>
    </w:p>
    <w:tbl>
      <w:tblPr>
        <w:tblStyle w:val="a1"/>
        <w:tblW w:w="828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2340"/>
        <w:gridCol w:w="1710"/>
        <w:gridCol w:w="2250"/>
        <w:gridCol w:w="1980"/>
      </w:tblGrid>
      <w:tr w:rsidR="004E4510" w:rsidTr="00E97759" w14:paraId="6E092356" w14:textId="77777777">
        <w:tc>
          <w:tcPr>
            <w:tcW w:w="2340" w:type="dxa"/>
          </w:tcPr>
          <w:p w:rsidR="004E4510" w:rsidP="00E97759" w:rsidRDefault="004E4510" w14:paraId="72CC2130" w14:textId="77777777">
            <w:pPr>
              <w:rPr>
                <w:rFonts w:ascii="Courier New" w:hAnsi="Courier New" w:eastAsia="Courier New" w:cs="Courier New"/>
                <w:sz w:val="24"/>
                <w:szCs w:val="24"/>
                <w:u w:val="single"/>
              </w:rPr>
            </w:pPr>
            <w:r>
              <w:rPr>
                <w:rFonts w:ascii="Courier New" w:hAnsi="Courier New" w:eastAsia="Courier New" w:cs="Courier New"/>
                <w:sz w:val="24"/>
                <w:szCs w:val="24"/>
                <w:u w:val="single"/>
              </w:rPr>
              <w:t>Requirement</w:t>
            </w:r>
          </w:p>
        </w:tc>
        <w:tc>
          <w:tcPr>
            <w:tcW w:w="1710" w:type="dxa"/>
          </w:tcPr>
          <w:p w:rsidR="004E4510" w:rsidP="00E97759" w:rsidRDefault="004E4510" w14:paraId="1C222A72" w14:textId="77777777">
            <w:pPr>
              <w:jc w:val="right"/>
              <w:rPr>
                <w:rFonts w:ascii="Courier New" w:hAnsi="Courier New" w:eastAsia="Courier New" w:cs="Courier New"/>
                <w:sz w:val="24"/>
                <w:szCs w:val="24"/>
                <w:u w:val="single"/>
              </w:rPr>
            </w:pPr>
            <w:r>
              <w:rPr>
                <w:rFonts w:ascii="Courier New" w:hAnsi="Courier New" w:eastAsia="Courier New" w:cs="Courier New"/>
                <w:sz w:val="24"/>
                <w:szCs w:val="24"/>
                <w:u w:val="single"/>
              </w:rPr>
              <w:t>Responses</w:t>
            </w:r>
          </w:p>
        </w:tc>
        <w:tc>
          <w:tcPr>
            <w:tcW w:w="2250" w:type="dxa"/>
          </w:tcPr>
          <w:p w:rsidR="004E4510" w:rsidP="00E97759" w:rsidRDefault="004E4510" w14:paraId="65C32291" w14:textId="77777777">
            <w:pPr>
              <w:ind w:left="-21"/>
              <w:jc w:val="right"/>
              <w:rPr>
                <w:rFonts w:ascii="Courier New" w:hAnsi="Courier New" w:eastAsia="Courier New" w:cs="Courier New"/>
                <w:sz w:val="24"/>
                <w:szCs w:val="24"/>
                <w:u w:val="single"/>
              </w:rPr>
            </w:pPr>
            <w:r>
              <w:rPr>
                <w:rFonts w:ascii="Courier New" w:hAnsi="Courier New" w:eastAsia="Courier New" w:cs="Courier New"/>
                <w:sz w:val="24"/>
                <w:szCs w:val="24"/>
                <w:u w:val="single"/>
              </w:rPr>
              <w:t>Burden Hours</w:t>
            </w:r>
          </w:p>
        </w:tc>
        <w:tc>
          <w:tcPr>
            <w:tcW w:w="1980" w:type="dxa"/>
          </w:tcPr>
          <w:p w:rsidR="004E4510" w:rsidP="00E97759" w:rsidRDefault="004E4510" w14:paraId="0A11F5A3" w14:textId="77777777">
            <w:pPr>
              <w:jc w:val="right"/>
              <w:rPr>
                <w:rFonts w:ascii="Courier New" w:hAnsi="Courier New" w:eastAsia="Courier New" w:cs="Courier New"/>
                <w:sz w:val="24"/>
                <w:szCs w:val="24"/>
                <w:u w:val="single"/>
              </w:rPr>
            </w:pPr>
            <w:r>
              <w:rPr>
                <w:rFonts w:ascii="Courier New" w:hAnsi="Courier New" w:eastAsia="Courier New" w:cs="Courier New"/>
                <w:sz w:val="24"/>
                <w:szCs w:val="24"/>
                <w:u w:val="single"/>
              </w:rPr>
              <w:t>Public Cost</w:t>
            </w:r>
          </w:p>
        </w:tc>
      </w:tr>
      <w:tr w:rsidR="004E4510" w:rsidTr="00E97759" w14:paraId="6EEC4BD9" w14:textId="77777777">
        <w:tc>
          <w:tcPr>
            <w:tcW w:w="2340" w:type="dxa"/>
          </w:tcPr>
          <w:p w:rsidR="004E4510" w:rsidP="00E97759" w:rsidRDefault="004E4510" w14:paraId="6F9D9220" w14:textId="77777777">
            <w:pPr>
              <w:rPr>
                <w:rFonts w:ascii="Courier New" w:hAnsi="Courier New" w:eastAsia="Courier New" w:cs="Courier New"/>
                <w:sz w:val="24"/>
                <w:szCs w:val="24"/>
              </w:rPr>
            </w:pPr>
            <w:r>
              <w:rPr>
                <w:rFonts w:ascii="Courier New" w:hAnsi="Courier New" w:eastAsia="Courier New" w:cs="Courier New"/>
                <w:sz w:val="24"/>
                <w:szCs w:val="24"/>
              </w:rPr>
              <w:t>Novation</w:t>
            </w:r>
          </w:p>
        </w:tc>
        <w:tc>
          <w:tcPr>
            <w:tcW w:w="1710" w:type="dxa"/>
          </w:tcPr>
          <w:p w:rsidR="004E4510" w:rsidP="00E97759" w:rsidRDefault="004E4510" w14:paraId="0AFBC772" w14:textId="77777777">
            <w:pPr>
              <w:jc w:val="right"/>
              <w:rPr>
                <w:rFonts w:ascii="Courier New" w:hAnsi="Courier New" w:eastAsia="Courier New" w:cs="Courier New"/>
                <w:sz w:val="24"/>
                <w:szCs w:val="24"/>
              </w:rPr>
            </w:pPr>
            <w:r>
              <w:rPr>
                <w:rFonts w:ascii="Courier New" w:hAnsi="Courier New" w:eastAsia="Courier New" w:cs="Courier New"/>
                <w:sz w:val="24"/>
                <w:szCs w:val="24"/>
              </w:rPr>
              <w:t>593</w:t>
            </w:r>
          </w:p>
        </w:tc>
        <w:tc>
          <w:tcPr>
            <w:tcW w:w="2250" w:type="dxa"/>
          </w:tcPr>
          <w:p w:rsidR="004E4510" w:rsidP="00E97759" w:rsidRDefault="004E4510" w14:paraId="781F1097" w14:textId="77777777">
            <w:pPr>
              <w:ind w:left="-21"/>
              <w:jc w:val="right"/>
              <w:rPr>
                <w:rFonts w:ascii="Courier New" w:hAnsi="Courier New" w:eastAsia="Courier New" w:cs="Courier New"/>
                <w:sz w:val="24"/>
                <w:szCs w:val="24"/>
              </w:rPr>
            </w:pPr>
            <w:r>
              <w:rPr>
                <w:rFonts w:ascii="Courier New" w:hAnsi="Courier New" w:eastAsia="Courier New" w:cs="Courier New"/>
                <w:sz w:val="24"/>
                <w:szCs w:val="24"/>
              </w:rPr>
              <w:t>1,779</w:t>
            </w:r>
          </w:p>
        </w:tc>
        <w:tc>
          <w:tcPr>
            <w:tcW w:w="1980" w:type="dxa"/>
          </w:tcPr>
          <w:p w:rsidR="004E4510" w:rsidP="00E97759" w:rsidRDefault="004E4510" w14:paraId="5ACC6930" w14:textId="77777777">
            <w:pPr>
              <w:jc w:val="right"/>
              <w:rPr>
                <w:rFonts w:ascii="Courier New" w:hAnsi="Courier New" w:eastAsia="Courier New" w:cs="Courier New"/>
                <w:sz w:val="24"/>
                <w:szCs w:val="24"/>
              </w:rPr>
            </w:pPr>
            <w:r>
              <w:rPr>
                <w:rFonts w:ascii="Courier New" w:hAnsi="Courier New" w:eastAsia="Courier New" w:cs="Courier New"/>
                <w:sz w:val="24"/>
                <w:szCs w:val="24"/>
              </w:rPr>
              <w:t>$128,088</w:t>
            </w:r>
          </w:p>
        </w:tc>
      </w:tr>
      <w:tr w:rsidR="004E4510" w:rsidTr="00E97759" w14:paraId="609A029A" w14:textId="77777777">
        <w:tc>
          <w:tcPr>
            <w:tcW w:w="2340" w:type="dxa"/>
            <w:tcBorders>
              <w:bottom w:val="single" w:color="000000" w:sz="4" w:space="0"/>
            </w:tcBorders>
          </w:tcPr>
          <w:p w:rsidR="004E4510" w:rsidP="00E97759" w:rsidRDefault="004E4510" w14:paraId="7A26B5DF" w14:textId="77777777">
            <w:pPr>
              <w:rPr>
                <w:rFonts w:ascii="Courier New" w:hAnsi="Courier New" w:eastAsia="Courier New" w:cs="Courier New"/>
                <w:sz w:val="24"/>
                <w:szCs w:val="24"/>
              </w:rPr>
            </w:pPr>
            <w:r>
              <w:rPr>
                <w:rFonts w:ascii="Courier New" w:hAnsi="Courier New" w:eastAsia="Courier New" w:cs="Courier New"/>
                <w:sz w:val="24"/>
                <w:szCs w:val="24"/>
              </w:rPr>
              <w:t>Change-of-Name</w:t>
            </w:r>
          </w:p>
        </w:tc>
        <w:tc>
          <w:tcPr>
            <w:tcW w:w="1710" w:type="dxa"/>
            <w:tcBorders>
              <w:bottom w:val="single" w:color="000000" w:sz="4" w:space="0"/>
            </w:tcBorders>
          </w:tcPr>
          <w:p w:rsidR="004E4510" w:rsidP="00E97759" w:rsidRDefault="004E4510" w14:paraId="3A1C1789" w14:textId="77777777">
            <w:pPr>
              <w:jc w:val="right"/>
              <w:rPr>
                <w:rFonts w:ascii="Courier New" w:hAnsi="Courier New" w:eastAsia="Courier New" w:cs="Courier New"/>
                <w:sz w:val="24"/>
                <w:szCs w:val="24"/>
              </w:rPr>
            </w:pPr>
            <w:r>
              <w:rPr>
                <w:rFonts w:ascii="Courier New" w:hAnsi="Courier New" w:eastAsia="Courier New" w:cs="Courier New"/>
                <w:sz w:val="24"/>
                <w:szCs w:val="24"/>
              </w:rPr>
              <w:t>922</w:t>
            </w:r>
          </w:p>
        </w:tc>
        <w:tc>
          <w:tcPr>
            <w:tcW w:w="2250" w:type="dxa"/>
            <w:tcBorders>
              <w:bottom w:val="single" w:color="000000" w:sz="4" w:space="0"/>
            </w:tcBorders>
          </w:tcPr>
          <w:p w:rsidR="004E4510" w:rsidP="00E97759" w:rsidRDefault="004E4510" w14:paraId="62BFAF6B" w14:textId="77777777">
            <w:pPr>
              <w:ind w:left="-21"/>
              <w:jc w:val="right"/>
              <w:rPr>
                <w:rFonts w:ascii="Courier New" w:hAnsi="Courier New" w:eastAsia="Courier New" w:cs="Courier New"/>
                <w:sz w:val="24"/>
                <w:szCs w:val="24"/>
              </w:rPr>
            </w:pPr>
            <w:r>
              <w:rPr>
                <w:rFonts w:ascii="Courier New" w:hAnsi="Courier New" w:eastAsia="Courier New" w:cs="Courier New"/>
                <w:sz w:val="24"/>
                <w:szCs w:val="24"/>
              </w:rPr>
              <w:t>922</w:t>
            </w:r>
          </w:p>
        </w:tc>
        <w:tc>
          <w:tcPr>
            <w:tcW w:w="1980" w:type="dxa"/>
            <w:tcBorders>
              <w:bottom w:val="single" w:color="000000" w:sz="4" w:space="0"/>
            </w:tcBorders>
          </w:tcPr>
          <w:p w:rsidR="004E4510" w:rsidP="00E97759" w:rsidRDefault="004E4510" w14:paraId="6EB9951A" w14:textId="77777777">
            <w:pPr>
              <w:jc w:val="right"/>
              <w:rPr>
                <w:rFonts w:ascii="Courier New" w:hAnsi="Courier New" w:eastAsia="Courier New" w:cs="Courier New"/>
                <w:sz w:val="24"/>
                <w:szCs w:val="24"/>
              </w:rPr>
            </w:pPr>
            <w:r>
              <w:rPr>
                <w:rFonts w:ascii="Courier New" w:hAnsi="Courier New" w:eastAsia="Courier New" w:cs="Courier New"/>
                <w:sz w:val="24"/>
                <w:szCs w:val="24"/>
              </w:rPr>
              <w:t>$68,384</w:t>
            </w:r>
          </w:p>
        </w:tc>
      </w:tr>
      <w:tr w:rsidR="004E4510" w:rsidTr="00E97759" w14:paraId="54B8BF1B" w14:textId="77777777">
        <w:tc>
          <w:tcPr>
            <w:tcW w:w="2340" w:type="dxa"/>
            <w:tcBorders>
              <w:top w:val="single" w:color="000000" w:sz="4" w:space="0"/>
            </w:tcBorders>
          </w:tcPr>
          <w:p w:rsidR="004E4510" w:rsidP="00E97759" w:rsidRDefault="004E4510" w14:paraId="0F62A70A" w14:textId="77777777">
            <w:pPr>
              <w:rPr>
                <w:rFonts w:ascii="Courier New" w:hAnsi="Courier New" w:eastAsia="Courier New" w:cs="Courier New"/>
                <w:sz w:val="24"/>
                <w:szCs w:val="24"/>
              </w:rPr>
            </w:pPr>
            <w:r>
              <w:rPr>
                <w:rFonts w:ascii="Courier New" w:hAnsi="Courier New" w:eastAsia="Courier New" w:cs="Courier New"/>
                <w:sz w:val="24"/>
                <w:szCs w:val="24"/>
              </w:rPr>
              <w:t>TOTAL</w:t>
            </w:r>
          </w:p>
        </w:tc>
        <w:tc>
          <w:tcPr>
            <w:tcW w:w="1710" w:type="dxa"/>
            <w:tcBorders>
              <w:top w:val="single" w:color="000000" w:sz="4" w:space="0"/>
            </w:tcBorders>
          </w:tcPr>
          <w:p w:rsidR="004E4510" w:rsidP="00E97759" w:rsidRDefault="004E4510" w14:paraId="56AEDCFC" w14:textId="77777777">
            <w:pPr>
              <w:jc w:val="right"/>
              <w:rPr>
                <w:rFonts w:ascii="Courier New" w:hAnsi="Courier New" w:eastAsia="Courier New" w:cs="Courier New"/>
                <w:sz w:val="24"/>
                <w:szCs w:val="24"/>
              </w:rPr>
            </w:pPr>
            <w:r>
              <w:rPr>
                <w:rFonts w:ascii="Courier New" w:hAnsi="Courier New" w:eastAsia="Courier New" w:cs="Courier New"/>
                <w:sz w:val="24"/>
                <w:szCs w:val="24"/>
              </w:rPr>
              <w:t>1,515</w:t>
            </w:r>
          </w:p>
        </w:tc>
        <w:tc>
          <w:tcPr>
            <w:tcW w:w="2250" w:type="dxa"/>
            <w:tcBorders>
              <w:top w:val="single" w:color="000000" w:sz="4" w:space="0"/>
            </w:tcBorders>
          </w:tcPr>
          <w:p w:rsidR="004E4510" w:rsidP="00E97759" w:rsidRDefault="004E4510" w14:paraId="0D608BC9" w14:textId="77777777">
            <w:pPr>
              <w:ind w:left="-21"/>
              <w:jc w:val="right"/>
              <w:rPr>
                <w:rFonts w:ascii="Courier New" w:hAnsi="Courier New" w:eastAsia="Courier New" w:cs="Courier New"/>
                <w:sz w:val="24"/>
                <w:szCs w:val="24"/>
              </w:rPr>
            </w:pPr>
            <w:r>
              <w:rPr>
                <w:rFonts w:ascii="Courier New" w:hAnsi="Courier New" w:eastAsia="Courier New" w:cs="Courier New"/>
                <w:sz w:val="24"/>
                <w:szCs w:val="24"/>
              </w:rPr>
              <w:t>2,701</w:t>
            </w:r>
          </w:p>
        </w:tc>
        <w:tc>
          <w:tcPr>
            <w:tcW w:w="1980" w:type="dxa"/>
            <w:tcBorders>
              <w:top w:val="single" w:color="000000" w:sz="4" w:space="0"/>
            </w:tcBorders>
          </w:tcPr>
          <w:p w:rsidR="004E4510" w:rsidP="00E97759" w:rsidRDefault="004E4510" w14:paraId="4BDF687F" w14:textId="77777777">
            <w:pPr>
              <w:jc w:val="right"/>
              <w:rPr>
                <w:rFonts w:ascii="Courier New" w:hAnsi="Courier New" w:eastAsia="Courier New" w:cs="Courier New"/>
                <w:sz w:val="24"/>
                <w:szCs w:val="24"/>
              </w:rPr>
            </w:pPr>
            <w:r>
              <w:rPr>
                <w:rFonts w:ascii="Courier New" w:hAnsi="Courier New" w:eastAsia="Courier New" w:cs="Courier New"/>
                <w:sz w:val="24"/>
                <w:szCs w:val="24"/>
              </w:rPr>
              <w:t>$194,472</w:t>
            </w:r>
          </w:p>
        </w:tc>
      </w:tr>
    </w:tbl>
    <w:p w:rsidR="004E4510" w:rsidRDefault="004E4510" w14:paraId="6DFB79B8" w14:textId="77777777">
      <w:pPr>
        <w:rPr>
          <w:rFonts w:ascii="Courier New" w:hAnsi="Courier New" w:eastAsia="Courier New" w:cs="Courier New"/>
          <w:sz w:val="24"/>
          <w:szCs w:val="24"/>
        </w:rPr>
      </w:pPr>
    </w:p>
    <w:p w:rsidR="00A11F14" w:rsidRDefault="00A11F14" w14:paraId="6E731218" w14:textId="77777777">
      <w:pPr>
        <w:rPr>
          <w:rFonts w:ascii="Courier New" w:hAnsi="Courier New" w:eastAsia="Courier New" w:cs="Courier New"/>
          <w:sz w:val="24"/>
          <w:szCs w:val="24"/>
          <w:u w:val="single"/>
        </w:rPr>
      </w:pPr>
    </w:p>
    <w:p w:rsidR="00A11F14" w:rsidRDefault="00241F36" w14:paraId="4F8A0AF2" w14:textId="7993AB8A">
      <w:pPr>
        <w:numPr>
          <w:ilvl w:val="0"/>
          <w:numId w:val="8"/>
        </w:numPr>
        <w:rPr>
          <w:rFonts w:ascii="Courier New" w:hAnsi="Courier New" w:eastAsia="Courier New" w:cs="Courier New"/>
          <w:b/>
          <w:sz w:val="24"/>
          <w:szCs w:val="24"/>
        </w:rPr>
      </w:pPr>
      <w:r>
        <w:rPr>
          <w:rFonts w:ascii="Courier New" w:hAnsi="Courier New" w:eastAsia="Courier New" w:cs="Courier New"/>
          <w:b/>
          <w:sz w:val="24"/>
          <w:szCs w:val="24"/>
        </w:rPr>
        <w:t>FAR 42.1203(a), Written Request.</w:t>
      </w:r>
      <w:r>
        <w:rPr>
          <w:rFonts w:ascii="Courier New" w:hAnsi="Courier New" w:eastAsia="Courier New" w:cs="Courier New"/>
          <w:sz w:val="24"/>
          <w:szCs w:val="24"/>
        </w:rPr>
        <w:t xml:space="preserve">  According to data available from the Federal Procurement Data System (FPDS) for fiscal years (FYs) </w:t>
      </w:r>
      <w:r w:rsidR="00655F85">
        <w:rPr>
          <w:rFonts w:ascii="Courier New" w:hAnsi="Courier New" w:eastAsia="Courier New" w:cs="Courier New"/>
          <w:sz w:val="24"/>
          <w:szCs w:val="24"/>
        </w:rPr>
        <w:t>201</w:t>
      </w:r>
      <w:r w:rsidR="00ED787A">
        <w:rPr>
          <w:rFonts w:ascii="Courier New" w:hAnsi="Courier New" w:eastAsia="Courier New" w:cs="Courier New"/>
          <w:sz w:val="24"/>
          <w:szCs w:val="24"/>
        </w:rPr>
        <w:t>7</w:t>
      </w:r>
      <w:r w:rsidR="00655F85">
        <w:rPr>
          <w:rFonts w:ascii="Courier New" w:hAnsi="Courier New" w:eastAsia="Courier New" w:cs="Courier New"/>
          <w:sz w:val="24"/>
          <w:szCs w:val="24"/>
        </w:rPr>
        <w:t xml:space="preserve"> </w:t>
      </w:r>
      <w:r>
        <w:rPr>
          <w:rFonts w:ascii="Courier New" w:hAnsi="Courier New" w:eastAsia="Courier New" w:cs="Courier New"/>
          <w:sz w:val="24"/>
          <w:szCs w:val="24"/>
        </w:rPr>
        <w:t xml:space="preserve">through </w:t>
      </w:r>
      <w:r w:rsidR="00655F85">
        <w:rPr>
          <w:rFonts w:ascii="Courier New" w:hAnsi="Courier New" w:eastAsia="Courier New" w:cs="Courier New"/>
          <w:sz w:val="24"/>
          <w:szCs w:val="24"/>
        </w:rPr>
        <w:t>2020</w:t>
      </w:r>
      <w:r>
        <w:rPr>
          <w:rFonts w:ascii="Courier New" w:hAnsi="Courier New" w:eastAsia="Courier New" w:cs="Courier New"/>
          <w:sz w:val="24"/>
          <w:szCs w:val="24"/>
        </w:rPr>
        <w:t>, an average of 4,</w:t>
      </w:r>
      <w:r w:rsidR="00ED787A">
        <w:rPr>
          <w:rFonts w:ascii="Courier New" w:hAnsi="Courier New" w:eastAsia="Courier New" w:cs="Courier New"/>
          <w:sz w:val="24"/>
          <w:szCs w:val="24"/>
        </w:rPr>
        <w:t>424</w:t>
      </w:r>
      <w:r>
        <w:rPr>
          <w:rFonts w:ascii="Courier New" w:hAnsi="Courier New" w:eastAsia="Courier New" w:cs="Courier New"/>
          <w:sz w:val="24"/>
          <w:szCs w:val="24"/>
        </w:rPr>
        <w:t xml:space="preserve"> modifications are issued to an average of 1,51</w:t>
      </w:r>
      <w:r w:rsidR="00ED787A">
        <w:rPr>
          <w:rFonts w:ascii="Courier New" w:hAnsi="Courier New" w:eastAsia="Courier New" w:cs="Courier New"/>
          <w:sz w:val="24"/>
          <w:szCs w:val="24"/>
        </w:rPr>
        <w:t>5</w:t>
      </w:r>
      <w:r>
        <w:rPr>
          <w:rFonts w:ascii="Courier New" w:hAnsi="Courier New" w:eastAsia="Courier New" w:cs="Courier New"/>
          <w:sz w:val="24"/>
          <w:szCs w:val="24"/>
        </w:rPr>
        <w:t xml:space="preserve"> unique vendors (respondents).  The burden associated with submission of the initial written request to recognize a successor in interest or name change is included in the public burden estimates for novation agreements and change-of-name agreements. </w:t>
      </w:r>
    </w:p>
    <w:p w:rsidR="00A11F14" w:rsidRDefault="00A11F14" w14:paraId="7DD2B2DD" w14:textId="77777777">
      <w:pPr>
        <w:ind w:left="720"/>
        <w:rPr>
          <w:rFonts w:ascii="Courier New" w:hAnsi="Courier New" w:eastAsia="Courier New" w:cs="Courier New"/>
          <w:b/>
          <w:sz w:val="24"/>
          <w:szCs w:val="24"/>
        </w:rPr>
      </w:pPr>
    </w:p>
    <w:p w:rsidR="00A11F14" w:rsidRDefault="00241F36" w14:paraId="1724B708" w14:textId="6BB010A8">
      <w:pPr>
        <w:numPr>
          <w:ilvl w:val="0"/>
          <w:numId w:val="8"/>
        </w:numPr>
        <w:rPr>
          <w:rFonts w:ascii="Courier New" w:hAnsi="Courier New" w:eastAsia="Courier New" w:cs="Courier New"/>
          <w:sz w:val="24"/>
          <w:szCs w:val="24"/>
        </w:rPr>
      </w:pPr>
      <w:r>
        <w:rPr>
          <w:rFonts w:ascii="Courier New" w:hAnsi="Courier New" w:eastAsia="Courier New" w:cs="Courier New"/>
          <w:b/>
          <w:sz w:val="24"/>
          <w:szCs w:val="24"/>
        </w:rPr>
        <w:t xml:space="preserve">FAR 42.1204(e) and (f), Novation Agreement.  </w:t>
      </w:r>
      <w:r>
        <w:rPr>
          <w:rFonts w:ascii="Courier New" w:hAnsi="Courier New" w:eastAsia="Courier New" w:cs="Courier New"/>
          <w:sz w:val="24"/>
          <w:szCs w:val="24"/>
        </w:rPr>
        <w:t xml:space="preserve">According to the FPDS data, an average of </w:t>
      </w:r>
      <w:r w:rsidR="00ED787A">
        <w:rPr>
          <w:rFonts w:ascii="Courier New" w:hAnsi="Courier New" w:eastAsia="Courier New" w:cs="Courier New"/>
          <w:sz w:val="24"/>
          <w:szCs w:val="24"/>
        </w:rPr>
        <w:t>1,596</w:t>
      </w:r>
      <w:r>
        <w:rPr>
          <w:rFonts w:ascii="Courier New" w:hAnsi="Courier New" w:eastAsia="Courier New" w:cs="Courier New"/>
          <w:sz w:val="24"/>
          <w:szCs w:val="24"/>
        </w:rPr>
        <w:t xml:space="preserve"> modifications citing “Novation Agreement” as the reason for the modification were issued annually on contracts with an average of </w:t>
      </w:r>
      <w:r w:rsidR="00ED787A">
        <w:rPr>
          <w:rFonts w:ascii="Courier New" w:hAnsi="Courier New" w:eastAsia="Courier New" w:cs="Courier New"/>
          <w:sz w:val="24"/>
          <w:szCs w:val="24"/>
        </w:rPr>
        <w:t>593</w:t>
      </w:r>
      <w:r>
        <w:rPr>
          <w:rFonts w:ascii="Courier New" w:hAnsi="Courier New" w:eastAsia="Courier New" w:cs="Courier New"/>
          <w:sz w:val="24"/>
          <w:szCs w:val="24"/>
        </w:rPr>
        <w:t xml:space="preserve"> unique vendors.  A contractor is only required to submit documentation once for a novation agreement, regardless of how many contracts may require modification to reflect the </w:t>
      </w:r>
      <w:r>
        <w:rPr>
          <w:rFonts w:ascii="Courier New" w:hAnsi="Courier New" w:eastAsia="Courier New" w:cs="Courier New"/>
          <w:sz w:val="24"/>
          <w:szCs w:val="24"/>
        </w:rPr>
        <w:lastRenderedPageBreak/>
        <w:t xml:space="preserve">agreement.  Based on reviews by subject matter experts, it is estimated that it takes a junior attorney three hours to prepare and submit the information.  </w:t>
      </w:r>
    </w:p>
    <w:p w:rsidR="00A11F14" w:rsidRDefault="00A11F14" w14:paraId="768E735D" w14:textId="77777777"/>
    <w:p w:rsidR="00A11F14" w:rsidRDefault="00241F36" w14:paraId="51EC9F3C" w14:textId="4C9960B0">
      <w:pPr>
        <w:spacing w:line="240" w:lineRule="auto"/>
        <w:ind w:firstLine="720"/>
        <w:rPr>
          <w:rFonts w:ascii="Courier New" w:hAnsi="Courier New" w:eastAsia="Courier New" w:cs="Courier New"/>
          <w:sz w:val="24"/>
          <w:szCs w:val="24"/>
        </w:rPr>
      </w:pPr>
      <w:r>
        <w:rPr>
          <w:rFonts w:ascii="Courier New" w:hAnsi="Courier New" w:eastAsia="Courier New" w:cs="Courier New"/>
          <w:sz w:val="24"/>
          <w:szCs w:val="24"/>
        </w:rPr>
        <w:t xml:space="preserve">Estimated respondents/year........................... </w:t>
      </w:r>
      <w:r w:rsidR="00ED787A">
        <w:rPr>
          <w:rFonts w:ascii="Courier New" w:hAnsi="Courier New" w:eastAsia="Courier New" w:cs="Courier New"/>
          <w:sz w:val="24"/>
          <w:szCs w:val="24"/>
        </w:rPr>
        <w:t>593</w:t>
      </w:r>
    </w:p>
    <w:p w:rsidR="00A11F14" w:rsidRDefault="00241F36" w14:paraId="7DA5A2BA" w14:textId="77777777">
      <w:pPr>
        <w:spacing w:line="240" w:lineRule="auto"/>
        <w:ind w:right="-80" w:firstLine="72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annually................................... </w:t>
      </w:r>
      <w:r>
        <w:rPr>
          <w:rFonts w:ascii="Courier New" w:hAnsi="Courier New" w:eastAsia="Courier New" w:cs="Courier New"/>
          <w:sz w:val="24"/>
          <w:szCs w:val="24"/>
          <w:u w:val="single"/>
        </w:rPr>
        <w:t>x 1</w:t>
      </w:r>
    </w:p>
    <w:p w:rsidR="00A11F14" w:rsidRDefault="00241F36" w14:paraId="5660A2EB" w14:textId="49E227D6">
      <w:pPr>
        <w:spacing w:line="240" w:lineRule="auto"/>
        <w:ind w:right="-80" w:firstLine="720"/>
        <w:rPr>
          <w:rFonts w:ascii="Courier New" w:hAnsi="Courier New" w:eastAsia="Courier New" w:cs="Courier New"/>
          <w:sz w:val="24"/>
          <w:szCs w:val="24"/>
        </w:rPr>
      </w:pPr>
      <w:r>
        <w:rPr>
          <w:rFonts w:ascii="Courier New" w:hAnsi="Courier New" w:eastAsia="Courier New" w:cs="Courier New"/>
          <w:sz w:val="24"/>
          <w:szCs w:val="24"/>
        </w:rPr>
        <w:t>Total annual responses............................... 5</w:t>
      </w:r>
      <w:r w:rsidR="00ED787A">
        <w:rPr>
          <w:rFonts w:ascii="Courier New" w:hAnsi="Courier New" w:eastAsia="Courier New" w:cs="Courier New"/>
          <w:sz w:val="24"/>
          <w:szCs w:val="24"/>
        </w:rPr>
        <w:t>9</w:t>
      </w:r>
      <w:r>
        <w:rPr>
          <w:rFonts w:ascii="Courier New" w:hAnsi="Courier New" w:eastAsia="Courier New" w:cs="Courier New"/>
          <w:sz w:val="24"/>
          <w:szCs w:val="24"/>
        </w:rPr>
        <w:t>3</w:t>
      </w:r>
    </w:p>
    <w:p w:rsidR="00A11F14" w:rsidRDefault="00241F36" w14:paraId="5456FA32" w14:textId="77777777">
      <w:pPr>
        <w:spacing w:line="240" w:lineRule="auto"/>
        <w:ind w:firstLine="720"/>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hours/response........................... </w:t>
      </w:r>
      <w:r>
        <w:rPr>
          <w:rFonts w:ascii="Courier New" w:hAnsi="Courier New" w:eastAsia="Courier New" w:cs="Courier New"/>
          <w:sz w:val="24"/>
          <w:szCs w:val="24"/>
          <w:u w:val="single"/>
        </w:rPr>
        <w:t xml:space="preserve">  x 3</w:t>
      </w:r>
    </w:p>
    <w:p w:rsidR="00A11F14" w:rsidRDefault="00241F36" w14:paraId="27C92E6D" w14:textId="39A92D2B">
      <w:pPr>
        <w:spacing w:line="240" w:lineRule="auto"/>
        <w:ind w:firstLine="720"/>
        <w:rPr>
          <w:rFonts w:ascii="Courier New" w:hAnsi="Courier New" w:eastAsia="Courier New" w:cs="Courier New"/>
          <w:sz w:val="24"/>
          <w:szCs w:val="24"/>
        </w:rPr>
      </w:pPr>
      <w:r>
        <w:rPr>
          <w:rFonts w:ascii="Courier New" w:hAnsi="Courier New" w:eastAsia="Courier New" w:cs="Courier New"/>
          <w:sz w:val="24"/>
          <w:szCs w:val="24"/>
        </w:rPr>
        <w:t>Estimated total burden/hours....................... 1,7</w:t>
      </w:r>
      <w:r w:rsidR="00ED787A">
        <w:rPr>
          <w:rFonts w:ascii="Courier New" w:hAnsi="Courier New" w:eastAsia="Courier New" w:cs="Courier New"/>
          <w:sz w:val="24"/>
          <w:szCs w:val="24"/>
        </w:rPr>
        <w:t>7</w:t>
      </w:r>
      <w:r>
        <w:rPr>
          <w:rFonts w:ascii="Courier New" w:hAnsi="Courier New" w:eastAsia="Courier New" w:cs="Courier New"/>
          <w:sz w:val="24"/>
          <w:szCs w:val="24"/>
        </w:rPr>
        <w:t xml:space="preserve">9 </w:t>
      </w:r>
    </w:p>
    <w:p w:rsidR="00A11F14" w:rsidRDefault="00241F36" w14:paraId="6C06D267" w14:textId="77777777">
      <w:pPr>
        <w:spacing w:line="240" w:lineRule="auto"/>
        <w:ind w:firstLine="720"/>
        <w:rPr>
          <w:rFonts w:ascii="Courier New" w:hAnsi="Courier New" w:eastAsia="Courier New" w:cs="Courier New"/>
          <w:sz w:val="24"/>
          <w:szCs w:val="24"/>
        </w:rPr>
      </w:pPr>
      <w:r>
        <w:rPr>
          <w:rFonts w:ascii="Courier New" w:hAnsi="Courier New" w:eastAsia="Courier New" w:cs="Courier New"/>
          <w:sz w:val="24"/>
          <w:szCs w:val="24"/>
        </w:rPr>
        <w:t xml:space="preserve">Hourly rate*.................................... </w:t>
      </w:r>
      <w:r>
        <w:rPr>
          <w:rFonts w:ascii="Courier New" w:hAnsi="Courier New" w:eastAsia="Courier New" w:cs="Courier New"/>
          <w:sz w:val="24"/>
          <w:szCs w:val="24"/>
          <w:u w:val="single"/>
        </w:rPr>
        <w:t xml:space="preserve">   x $72</w:t>
      </w:r>
    </w:p>
    <w:p w:rsidR="00A11F14" w:rsidRDefault="00241F36" w14:paraId="5CC2AC35" w14:textId="7D6EC87C">
      <w:pPr>
        <w:spacing w:line="240" w:lineRule="auto"/>
        <w:ind w:firstLine="720"/>
        <w:rPr>
          <w:rFonts w:ascii="Courier New" w:hAnsi="Courier New" w:eastAsia="Courier New" w:cs="Courier New"/>
          <w:sz w:val="24"/>
          <w:szCs w:val="24"/>
        </w:rPr>
      </w:pPr>
      <w:r>
        <w:rPr>
          <w:rFonts w:ascii="Courier New" w:hAnsi="Courier New" w:eastAsia="Courier New" w:cs="Courier New"/>
          <w:sz w:val="24"/>
          <w:szCs w:val="24"/>
        </w:rPr>
        <w:t>Estimated cost to public........................ $</w:t>
      </w:r>
      <w:r w:rsidR="00ED787A">
        <w:rPr>
          <w:rFonts w:ascii="Courier New" w:hAnsi="Courier New" w:eastAsia="Courier New" w:cs="Courier New"/>
          <w:sz w:val="24"/>
          <w:szCs w:val="24"/>
        </w:rPr>
        <w:t>128,088</w:t>
      </w:r>
    </w:p>
    <w:p w:rsidR="00A11F14" w:rsidRDefault="00A11F14" w14:paraId="33555196" w14:textId="77777777">
      <w:pPr>
        <w:spacing w:line="240" w:lineRule="auto"/>
        <w:rPr>
          <w:rFonts w:ascii="Courier New" w:hAnsi="Courier New" w:eastAsia="Courier New" w:cs="Courier New"/>
          <w:sz w:val="24"/>
          <w:szCs w:val="24"/>
        </w:rPr>
      </w:pPr>
    </w:p>
    <w:p w:rsidR="00A11F14" w:rsidRDefault="00241F36" w14:paraId="6B27A348" w14:textId="4F8BB956">
      <w:pPr>
        <w:numPr>
          <w:ilvl w:val="0"/>
          <w:numId w:val="1"/>
        </w:numPr>
        <w:rPr>
          <w:rFonts w:ascii="Courier New" w:hAnsi="Courier New" w:eastAsia="Courier New" w:cs="Courier New"/>
          <w:sz w:val="24"/>
          <w:szCs w:val="24"/>
        </w:rPr>
      </w:pPr>
      <w:r>
        <w:rPr>
          <w:rFonts w:ascii="Courier New" w:hAnsi="Courier New" w:eastAsia="Courier New" w:cs="Courier New"/>
          <w:b/>
          <w:sz w:val="24"/>
          <w:szCs w:val="24"/>
        </w:rPr>
        <w:t>FAR 42.1205(a), Change-of-Name Agreement</w:t>
      </w:r>
      <w:r>
        <w:rPr>
          <w:rFonts w:ascii="Courier New" w:hAnsi="Courier New" w:eastAsia="Courier New" w:cs="Courier New"/>
          <w:sz w:val="24"/>
          <w:szCs w:val="24"/>
        </w:rPr>
        <w:t xml:space="preserve">.  According to the FPDS data, an average of </w:t>
      </w:r>
      <w:r w:rsidR="00ED787A">
        <w:rPr>
          <w:rFonts w:ascii="Courier New" w:hAnsi="Courier New" w:eastAsia="Courier New" w:cs="Courier New"/>
          <w:sz w:val="24"/>
          <w:szCs w:val="24"/>
        </w:rPr>
        <w:t>2,828</w:t>
      </w:r>
      <w:r>
        <w:rPr>
          <w:rFonts w:ascii="Courier New" w:hAnsi="Courier New" w:eastAsia="Courier New" w:cs="Courier New"/>
          <w:sz w:val="24"/>
          <w:szCs w:val="24"/>
        </w:rPr>
        <w:t xml:space="preserve"> modifications citing “Vendor DUNS or Name Change – Non-Novation” as the reason for the modification were issued annually on contracts with an average of </w:t>
      </w:r>
      <w:r w:rsidR="00ED787A">
        <w:rPr>
          <w:rFonts w:ascii="Courier New" w:hAnsi="Courier New" w:eastAsia="Courier New" w:cs="Courier New"/>
          <w:sz w:val="24"/>
          <w:szCs w:val="24"/>
        </w:rPr>
        <w:t>922</w:t>
      </w:r>
      <w:r>
        <w:rPr>
          <w:rFonts w:ascii="Courier New" w:hAnsi="Courier New" w:eastAsia="Courier New" w:cs="Courier New"/>
          <w:sz w:val="24"/>
          <w:szCs w:val="24"/>
        </w:rPr>
        <w:t xml:space="preserve"> unique vendors.  A contractor is only required to submit documentation once for a change-of-name agreement, regardless of how many contracts may require modification to reflect the agreement.  Based on reviews by subject matter experts, it is estimated that it takes a junior attorney one hour to prepare and submit the information.  </w:t>
      </w:r>
    </w:p>
    <w:p w:rsidR="00A11F14" w:rsidRDefault="00A11F14" w14:paraId="6AAFFF68" w14:textId="77777777">
      <w:pPr>
        <w:rPr>
          <w:rFonts w:ascii="Courier New" w:hAnsi="Courier New" w:eastAsia="Courier New" w:cs="Courier New"/>
          <w:sz w:val="24"/>
          <w:szCs w:val="24"/>
        </w:rPr>
      </w:pPr>
    </w:p>
    <w:p w:rsidR="00A11F14" w:rsidRDefault="00241F36" w14:paraId="7CE63B87" w14:textId="6146221A">
      <w:pPr>
        <w:spacing w:line="240" w:lineRule="auto"/>
        <w:ind w:firstLine="720"/>
        <w:rPr>
          <w:rFonts w:ascii="Courier New" w:hAnsi="Courier New" w:eastAsia="Courier New" w:cs="Courier New"/>
          <w:sz w:val="24"/>
          <w:szCs w:val="24"/>
        </w:rPr>
      </w:pPr>
      <w:r>
        <w:rPr>
          <w:rFonts w:ascii="Courier New" w:hAnsi="Courier New" w:eastAsia="Courier New" w:cs="Courier New"/>
          <w:sz w:val="24"/>
          <w:szCs w:val="24"/>
        </w:rPr>
        <w:t>Estimated respondents/year........................... 9</w:t>
      </w:r>
      <w:r w:rsidR="00ED787A">
        <w:rPr>
          <w:rFonts w:ascii="Courier New" w:hAnsi="Courier New" w:eastAsia="Courier New" w:cs="Courier New"/>
          <w:sz w:val="24"/>
          <w:szCs w:val="24"/>
        </w:rPr>
        <w:t>22</w:t>
      </w:r>
    </w:p>
    <w:p w:rsidR="00A11F14" w:rsidRDefault="00241F36" w14:paraId="2786A8D3" w14:textId="77777777">
      <w:pPr>
        <w:spacing w:line="240" w:lineRule="auto"/>
        <w:ind w:right="-80" w:firstLine="72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annually................................... </w:t>
      </w:r>
      <w:r>
        <w:rPr>
          <w:rFonts w:ascii="Courier New" w:hAnsi="Courier New" w:eastAsia="Courier New" w:cs="Courier New"/>
          <w:sz w:val="24"/>
          <w:szCs w:val="24"/>
          <w:u w:val="single"/>
        </w:rPr>
        <w:t>x 1</w:t>
      </w:r>
    </w:p>
    <w:p w:rsidR="00A11F14" w:rsidRDefault="00241F36" w14:paraId="74076703" w14:textId="5F5C60EB">
      <w:pPr>
        <w:spacing w:line="240" w:lineRule="auto"/>
        <w:ind w:right="-80" w:firstLine="720"/>
        <w:rPr>
          <w:rFonts w:ascii="Courier New" w:hAnsi="Courier New" w:eastAsia="Courier New" w:cs="Courier New"/>
          <w:sz w:val="24"/>
          <w:szCs w:val="24"/>
        </w:rPr>
      </w:pPr>
      <w:r>
        <w:rPr>
          <w:rFonts w:ascii="Courier New" w:hAnsi="Courier New" w:eastAsia="Courier New" w:cs="Courier New"/>
          <w:sz w:val="24"/>
          <w:szCs w:val="24"/>
        </w:rPr>
        <w:t>Total annual responses............................... 9</w:t>
      </w:r>
      <w:r w:rsidR="00ED787A">
        <w:rPr>
          <w:rFonts w:ascii="Courier New" w:hAnsi="Courier New" w:eastAsia="Courier New" w:cs="Courier New"/>
          <w:sz w:val="24"/>
          <w:szCs w:val="24"/>
        </w:rPr>
        <w:t>22</w:t>
      </w:r>
    </w:p>
    <w:p w:rsidR="00A11F14" w:rsidRDefault="00241F36" w14:paraId="5B07DF6A" w14:textId="77777777">
      <w:pPr>
        <w:spacing w:line="240" w:lineRule="auto"/>
        <w:ind w:firstLine="720"/>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hours/response............................. </w:t>
      </w:r>
      <w:r>
        <w:rPr>
          <w:rFonts w:ascii="Courier New" w:hAnsi="Courier New" w:eastAsia="Courier New" w:cs="Courier New"/>
          <w:sz w:val="24"/>
          <w:szCs w:val="24"/>
          <w:u w:val="single"/>
        </w:rPr>
        <w:t>x 1</w:t>
      </w:r>
    </w:p>
    <w:p w:rsidR="00A11F14" w:rsidRDefault="00241F36" w14:paraId="5812D320" w14:textId="56952AF2">
      <w:pPr>
        <w:spacing w:line="240" w:lineRule="auto"/>
        <w:ind w:firstLine="720"/>
        <w:rPr>
          <w:rFonts w:ascii="Courier New" w:hAnsi="Courier New" w:eastAsia="Courier New" w:cs="Courier New"/>
          <w:sz w:val="24"/>
          <w:szCs w:val="24"/>
        </w:rPr>
      </w:pPr>
      <w:r>
        <w:rPr>
          <w:rFonts w:ascii="Courier New" w:hAnsi="Courier New" w:eastAsia="Courier New" w:cs="Courier New"/>
          <w:sz w:val="24"/>
          <w:szCs w:val="24"/>
        </w:rPr>
        <w:t>Estimated total burden/hours......................... 9</w:t>
      </w:r>
      <w:r w:rsidR="00ED787A">
        <w:rPr>
          <w:rFonts w:ascii="Courier New" w:hAnsi="Courier New" w:eastAsia="Courier New" w:cs="Courier New"/>
          <w:sz w:val="24"/>
          <w:szCs w:val="24"/>
        </w:rPr>
        <w:t>22</w:t>
      </w:r>
    </w:p>
    <w:p w:rsidR="00A11F14" w:rsidRDefault="00241F36" w14:paraId="653A68DC" w14:textId="77777777">
      <w:pPr>
        <w:spacing w:line="240" w:lineRule="auto"/>
        <w:ind w:firstLine="720"/>
        <w:rPr>
          <w:rFonts w:ascii="Courier New" w:hAnsi="Courier New" w:eastAsia="Courier New" w:cs="Courier New"/>
          <w:sz w:val="24"/>
          <w:szCs w:val="24"/>
        </w:rPr>
      </w:pPr>
      <w:r>
        <w:rPr>
          <w:rFonts w:ascii="Courier New" w:hAnsi="Courier New" w:eastAsia="Courier New" w:cs="Courier New"/>
          <w:sz w:val="24"/>
          <w:szCs w:val="24"/>
        </w:rPr>
        <w:t xml:space="preserve">Hourly rate*..................................... </w:t>
      </w:r>
      <w:r>
        <w:rPr>
          <w:rFonts w:ascii="Courier New" w:hAnsi="Courier New" w:eastAsia="Courier New" w:cs="Courier New"/>
          <w:sz w:val="24"/>
          <w:szCs w:val="24"/>
          <w:u w:val="single"/>
        </w:rPr>
        <w:t xml:space="preserve">  x $72</w:t>
      </w:r>
    </w:p>
    <w:p w:rsidR="00A11F14" w:rsidRDefault="00241F36" w14:paraId="0CD5B1E4" w14:textId="330BB57E">
      <w:pPr>
        <w:spacing w:line="240" w:lineRule="auto"/>
        <w:ind w:firstLine="720"/>
        <w:rPr>
          <w:rFonts w:ascii="Courier New" w:hAnsi="Courier New" w:eastAsia="Courier New" w:cs="Courier New"/>
          <w:sz w:val="24"/>
          <w:szCs w:val="24"/>
        </w:rPr>
      </w:pPr>
      <w:r>
        <w:rPr>
          <w:rFonts w:ascii="Courier New" w:hAnsi="Courier New" w:eastAsia="Courier New" w:cs="Courier New"/>
          <w:sz w:val="24"/>
          <w:szCs w:val="24"/>
        </w:rPr>
        <w:t>Estimated cost to public......................... $</w:t>
      </w:r>
      <w:r w:rsidR="00ED787A">
        <w:rPr>
          <w:rFonts w:ascii="Courier New" w:hAnsi="Courier New" w:eastAsia="Courier New" w:cs="Courier New"/>
          <w:sz w:val="24"/>
          <w:szCs w:val="24"/>
        </w:rPr>
        <w:t>66,384</w:t>
      </w:r>
    </w:p>
    <w:p w:rsidR="00A11F14" w:rsidRDefault="00A11F14" w14:paraId="7D1635DE" w14:textId="77777777">
      <w:pPr>
        <w:spacing w:line="240" w:lineRule="auto"/>
        <w:ind w:left="720"/>
        <w:rPr>
          <w:rFonts w:ascii="Courier New" w:hAnsi="Courier New" w:eastAsia="Courier New" w:cs="Courier New"/>
          <w:sz w:val="24"/>
          <w:szCs w:val="24"/>
        </w:rPr>
      </w:pPr>
    </w:p>
    <w:p w:rsidR="00A11F14" w:rsidRDefault="00241F36" w14:paraId="581D6EC6" w14:textId="77777777">
      <w:pPr>
        <w:ind w:left="720"/>
        <w:rPr>
          <w:rFonts w:ascii="Courier New" w:hAnsi="Courier New" w:eastAsia="Courier New" w:cs="Courier New"/>
          <w:color w:val="000000"/>
          <w:sz w:val="24"/>
          <w:szCs w:val="24"/>
        </w:rPr>
      </w:pPr>
      <w:r>
        <w:rPr>
          <w:rFonts w:ascii="Courier New" w:hAnsi="Courier New" w:eastAsia="Courier New" w:cs="Courier New"/>
          <w:b/>
          <w:color w:val="000000"/>
          <w:sz w:val="24"/>
          <w:szCs w:val="24"/>
        </w:rPr>
        <w:t>*</w:t>
      </w:r>
      <w:r>
        <w:rPr>
          <w:rFonts w:ascii="Courier New" w:hAnsi="Courier New" w:eastAsia="Courier New" w:cs="Courier New"/>
          <w:color w:val="000000"/>
          <w:sz w:val="24"/>
          <w:szCs w:val="24"/>
        </w:rPr>
        <w:t xml:space="preserve"> Based on the U.S. Bureau of Labor Statistics estimate, as of May 2019, of the average mean wage of $52.72 for “legal services” (reference </w:t>
      </w:r>
      <w:hyperlink r:id="rId8">
        <w:r>
          <w:rPr>
            <w:rFonts w:ascii="Courier New" w:hAnsi="Courier New" w:eastAsia="Courier New" w:cs="Courier New"/>
            <w:color w:val="0000FF"/>
            <w:sz w:val="24"/>
            <w:szCs w:val="24"/>
            <w:u w:val="single"/>
          </w:rPr>
          <w:t>https://www.bls.gov/oes/current/oes 230000.htm</w:t>
        </w:r>
      </w:hyperlink>
      <w:r>
        <w:rPr>
          <w:rFonts w:ascii="Courier New" w:hAnsi="Courier New" w:eastAsia="Courier New" w:cs="Courier New"/>
          <w:color w:val="000000"/>
          <w:sz w:val="24"/>
          <w:szCs w:val="24"/>
        </w:rPr>
        <w:t>) plus a 36.25 percent fringe factor, rounded to the nearest whole dollar. The fringe factor used is pursuant to the rate provided in OMB memorandum M-08-13 for use in public-private competition.</w:t>
      </w:r>
    </w:p>
    <w:p w:rsidR="00A11F14" w:rsidRDefault="00A11F14" w14:paraId="7C2F75C5" w14:textId="77777777">
      <w:pPr>
        <w:ind w:right="-40"/>
        <w:rPr>
          <w:rFonts w:ascii="Courier New" w:hAnsi="Courier New" w:eastAsia="Courier New" w:cs="Courier New"/>
          <w:color w:val="000000"/>
          <w:sz w:val="24"/>
          <w:szCs w:val="24"/>
        </w:rPr>
      </w:pPr>
    </w:p>
    <w:p w:rsidR="00A11F14" w:rsidRDefault="00241F36" w14:paraId="078168C2" w14:textId="77777777">
      <w:pPr>
        <w:rPr>
          <w:rFonts w:ascii="Courier New" w:hAnsi="Courier New" w:eastAsia="Courier New" w:cs="Courier New"/>
          <w:sz w:val="24"/>
          <w:szCs w:val="24"/>
        </w:rPr>
      </w:pPr>
      <w:r>
        <w:rPr>
          <w:rFonts w:ascii="Courier New" w:hAnsi="Courier New" w:eastAsia="Courier New" w:cs="Courier New"/>
          <w:b/>
          <w:sz w:val="24"/>
          <w:szCs w:val="24"/>
        </w:rPr>
        <w:t>14.  Estimated cost to the Government.</w:t>
      </w:r>
      <w:r>
        <w:rPr>
          <w:rFonts w:ascii="Courier New" w:hAnsi="Courier New" w:eastAsia="Courier New" w:cs="Courier New"/>
          <w:sz w:val="24"/>
          <w:szCs w:val="24"/>
        </w:rPr>
        <w:t xml:space="preserve"> </w:t>
      </w:r>
    </w:p>
    <w:p w:rsidR="00A11F14" w:rsidRDefault="00A11F14" w14:paraId="0A9C7F6B" w14:textId="24E9DA98">
      <w:pPr>
        <w:ind w:right="-40"/>
        <w:rPr>
          <w:rFonts w:ascii="Courier New" w:hAnsi="Courier New" w:eastAsia="Courier New" w:cs="Courier New"/>
          <w:color w:val="000000"/>
          <w:sz w:val="24"/>
          <w:szCs w:val="24"/>
        </w:rPr>
      </w:pPr>
    </w:p>
    <w:p w:rsidR="009F35B1" w:rsidP="009F35B1" w:rsidRDefault="009F35B1" w14:paraId="03A0AFBC" w14:textId="77777777">
      <w:pPr>
        <w:numPr>
          <w:ilvl w:val="0"/>
          <w:numId w:val="6"/>
        </w:numPr>
        <w:pBdr>
          <w:top w:val="nil"/>
          <w:left w:val="nil"/>
          <w:bottom w:val="nil"/>
          <w:right w:val="nil"/>
          <w:between w:val="nil"/>
        </w:pBdr>
        <w:ind w:right="-40"/>
        <w:rPr>
          <w:rFonts w:ascii="Courier New" w:hAnsi="Courier New" w:eastAsia="Courier New" w:cs="Courier New"/>
          <w:color w:val="000000"/>
          <w:sz w:val="24"/>
          <w:szCs w:val="24"/>
        </w:rPr>
      </w:pPr>
      <w:r>
        <w:rPr>
          <w:rFonts w:ascii="Courier New" w:hAnsi="Courier New" w:eastAsia="Courier New" w:cs="Courier New"/>
          <w:b/>
          <w:color w:val="000000"/>
          <w:sz w:val="24"/>
          <w:szCs w:val="24"/>
        </w:rPr>
        <w:lastRenderedPageBreak/>
        <w:t>Total Government Burden</w:t>
      </w:r>
      <w:r>
        <w:rPr>
          <w:rFonts w:ascii="Courier New" w:hAnsi="Courier New" w:eastAsia="Courier New" w:cs="Courier New"/>
          <w:color w:val="000000"/>
          <w:sz w:val="24"/>
          <w:szCs w:val="24"/>
        </w:rPr>
        <w:t>.  The following is a summary of the total Government burden for reviewing novation and change-of-name agreement documentation:</w:t>
      </w:r>
    </w:p>
    <w:p w:rsidR="009F35B1" w:rsidP="009F35B1" w:rsidRDefault="009F35B1" w14:paraId="468279AA" w14:textId="77777777">
      <w:pPr>
        <w:spacing w:line="240" w:lineRule="auto"/>
        <w:rPr>
          <w:rFonts w:ascii="Courier New" w:hAnsi="Courier New" w:eastAsia="Courier New" w:cs="Courier New"/>
          <w:sz w:val="24"/>
          <w:szCs w:val="24"/>
        </w:rPr>
      </w:pPr>
    </w:p>
    <w:p w:rsidR="009F35B1" w:rsidP="009F35B1" w:rsidRDefault="009F35B1" w14:paraId="16825BB5" w14:textId="77777777">
      <w:pPr>
        <w:spacing w:line="240" w:lineRule="auto"/>
        <w:rPr>
          <w:rFonts w:ascii="Courier New" w:hAnsi="Courier New" w:eastAsia="Courier New" w:cs="Courier New"/>
          <w:sz w:val="24"/>
          <w:szCs w:val="24"/>
        </w:rPr>
      </w:pPr>
    </w:p>
    <w:tbl>
      <w:tblPr>
        <w:tblStyle w:val="a2"/>
        <w:tblW w:w="828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2340"/>
        <w:gridCol w:w="1710"/>
        <w:gridCol w:w="2250"/>
        <w:gridCol w:w="1980"/>
      </w:tblGrid>
      <w:tr w:rsidR="009F35B1" w:rsidTr="00E97759" w14:paraId="30242BCB" w14:textId="77777777">
        <w:tc>
          <w:tcPr>
            <w:tcW w:w="2340" w:type="dxa"/>
          </w:tcPr>
          <w:p w:rsidR="009F35B1" w:rsidP="00E97759" w:rsidRDefault="009F35B1" w14:paraId="2204E647" w14:textId="77777777">
            <w:pPr>
              <w:rPr>
                <w:rFonts w:ascii="Courier New" w:hAnsi="Courier New" w:eastAsia="Courier New" w:cs="Courier New"/>
                <w:sz w:val="24"/>
                <w:szCs w:val="24"/>
                <w:u w:val="single"/>
              </w:rPr>
            </w:pPr>
            <w:r>
              <w:rPr>
                <w:rFonts w:ascii="Courier New" w:hAnsi="Courier New" w:eastAsia="Courier New" w:cs="Courier New"/>
                <w:sz w:val="24"/>
                <w:szCs w:val="24"/>
                <w:u w:val="single"/>
              </w:rPr>
              <w:t>Requirement</w:t>
            </w:r>
          </w:p>
        </w:tc>
        <w:tc>
          <w:tcPr>
            <w:tcW w:w="1710" w:type="dxa"/>
          </w:tcPr>
          <w:p w:rsidR="009F35B1" w:rsidP="00E97759" w:rsidRDefault="009F35B1" w14:paraId="3102FC20" w14:textId="77777777">
            <w:pPr>
              <w:jc w:val="right"/>
              <w:rPr>
                <w:rFonts w:ascii="Courier New" w:hAnsi="Courier New" w:eastAsia="Courier New" w:cs="Courier New"/>
                <w:sz w:val="24"/>
                <w:szCs w:val="24"/>
                <w:u w:val="single"/>
              </w:rPr>
            </w:pPr>
            <w:r>
              <w:rPr>
                <w:rFonts w:ascii="Courier New" w:hAnsi="Courier New" w:eastAsia="Courier New" w:cs="Courier New"/>
                <w:sz w:val="24"/>
                <w:szCs w:val="24"/>
                <w:u w:val="single"/>
              </w:rPr>
              <w:t>Responses</w:t>
            </w:r>
          </w:p>
        </w:tc>
        <w:tc>
          <w:tcPr>
            <w:tcW w:w="2250" w:type="dxa"/>
          </w:tcPr>
          <w:p w:rsidR="009F35B1" w:rsidP="00E97759" w:rsidRDefault="009F35B1" w14:paraId="5A8F124B" w14:textId="77777777">
            <w:pPr>
              <w:ind w:left="-21"/>
              <w:jc w:val="right"/>
              <w:rPr>
                <w:rFonts w:ascii="Courier New" w:hAnsi="Courier New" w:eastAsia="Courier New" w:cs="Courier New"/>
                <w:sz w:val="24"/>
                <w:szCs w:val="24"/>
                <w:u w:val="single"/>
              </w:rPr>
            </w:pPr>
            <w:r>
              <w:rPr>
                <w:rFonts w:ascii="Courier New" w:hAnsi="Courier New" w:eastAsia="Courier New" w:cs="Courier New"/>
                <w:sz w:val="24"/>
                <w:szCs w:val="24"/>
                <w:u w:val="single"/>
              </w:rPr>
              <w:t>Burden Hours</w:t>
            </w:r>
          </w:p>
        </w:tc>
        <w:tc>
          <w:tcPr>
            <w:tcW w:w="1980" w:type="dxa"/>
          </w:tcPr>
          <w:p w:rsidR="009F35B1" w:rsidP="00E97759" w:rsidRDefault="009F35B1" w14:paraId="3DBDA9B4" w14:textId="77777777">
            <w:pPr>
              <w:jc w:val="right"/>
              <w:rPr>
                <w:rFonts w:ascii="Courier New" w:hAnsi="Courier New" w:eastAsia="Courier New" w:cs="Courier New"/>
                <w:sz w:val="24"/>
                <w:szCs w:val="24"/>
                <w:u w:val="single"/>
              </w:rPr>
            </w:pPr>
            <w:r>
              <w:rPr>
                <w:rFonts w:ascii="Courier New" w:hAnsi="Courier New" w:eastAsia="Courier New" w:cs="Courier New"/>
                <w:sz w:val="24"/>
                <w:szCs w:val="24"/>
                <w:u w:val="single"/>
              </w:rPr>
              <w:t>Govt Cost</w:t>
            </w:r>
          </w:p>
        </w:tc>
      </w:tr>
      <w:tr w:rsidR="009F35B1" w:rsidTr="00E97759" w14:paraId="37433EEB" w14:textId="77777777">
        <w:tc>
          <w:tcPr>
            <w:tcW w:w="2340" w:type="dxa"/>
          </w:tcPr>
          <w:p w:rsidR="009F35B1" w:rsidP="00E97759" w:rsidRDefault="009F35B1" w14:paraId="76B0D692" w14:textId="77777777">
            <w:pPr>
              <w:rPr>
                <w:rFonts w:ascii="Courier New" w:hAnsi="Courier New" w:eastAsia="Courier New" w:cs="Courier New"/>
                <w:sz w:val="24"/>
                <w:szCs w:val="24"/>
              </w:rPr>
            </w:pPr>
            <w:r>
              <w:rPr>
                <w:rFonts w:ascii="Courier New" w:hAnsi="Courier New" w:eastAsia="Courier New" w:cs="Courier New"/>
                <w:sz w:val="24"/>
                <w:szCs w:val="24"/>
              </w:rPr>
              <w:t>Novation</w:t>
            </w:r>
          </w:p>
        </w:tc>
        <w:tc>
          <w:tcPr>
            <w:tcW w:w="1710" w:type="dxa"/>
          </w:tcPr>
          <w:p w:rsidR="009F35B1" w:rsidP="00E97759" w:rsidRDefault="009F35B1" w14:paraId="79249858" w14:textId="77777777">
            <w:pPr>
              <w:jc w:val="right"/>
              <w:rPr>
                <w:rFonts w:ascii="Courier New" w:hAnsi="Courier New" w:eastAsia="Courier New" w:cs="Courier New"/>
                <w:sz w:val="24"/>
                <w:szCs w:val="24"/>
              </w:rPr>
            </w:pPr>
            <w:r>
              <w:rPr>
                <w:rFonts w:ascii="Courier New" w:hAnsi="Courier New" w:eastAsia="Courier New" w:cs="Courier New"/>
                <w:sz w:val="24"/>
                <w:szCs w:val="24"/>
              </w:rPr>
              <w:t>593</w:t>
            </w:r>
          </w:p>
        </w:tc>
        <w:tc>
          <w:tcPr>
            <w:tcW w:w="2250" w:type="dxa"/>
          </w:tcPr>
          <w:p w:rsidR="009F35B1" w:rsidP="00E97759" w:rsidRDefault="009F35B1" w14:paraId="0BF56B2C" w14:textId="77777777">
            <w:pPr>
              <w:ind w:left="-21"/>
              <w:jc w:val="right"/>
              <w:rPr>
                <w:rFonts w:ascii="Courier New" w:hAnsi="Courier New" w:eastAsia="Courier New" w:cs="Courier New"/>
                <w:sz w:val="24"/>
                <w:szCs w:val="24"/>
              </w:rPr>
            </w:pPr>
            <w:r>
              <w:rPr>
                <w:rFonts w:ascii="Courier New" w:hAnsi="Courier New" w:eastAsia="Courier New" w:cs="Courier New"/>
                <w:sz w:val="24"/>
                <w:szCs w:val="24"/>
              </w:rPr>
              <w:t>1,779</w:t>
            </w:r>
          </w:p>
        </w:tc>
        <w:tc>
          <w:tcPr>
            <w:tcW w:w="1980" w:type="dxa"/>
          </w:tcPr>
          <w:p w:rsidR="009F35B1" w:rsidP="00E97759" w:rsidRDefault="009F35B1" w14:paraId="611D2C8E" w14:textId="77777777">
            <w:pPr>
              <w:jc w:val="right"/>
              <w:rPr>
                <w:rFonts w:ascii="Courier New" w:hAnsi="Courier New" w:eastAsia="Courier New" w:cs="Courier New"/>
                <w:sz w:val="24"/>
                <w:szCs w:val="24"/>
              </w:rPr>
            </w:pPr>
            <w:r>
              <w:rPr>
                <w:rFonts w:ascii="Courier New" w:hAnsi="Courier New" w:eastAsia="Courier New" w:cs="Courier New"/>
                <w:sz w:val="24"/>
                <w:szCs w:val="24"/>
              </w:rPr>
              <w:t>$101,403</w:t>
            </w:r>
          </w:p>
        </w:tc>
      </w:tr>
      <w:tr w:rsidR="009F35B1" w:rsidTr="00E97759" w14:paraId="67BF123E" w14:textId="77777777">
        <w:tc>
          <w:tcPr>
            <w:tcW w:w="2340" w:type="dxa"/>
            <w:tcBorders>
              <w:bottom w:val="single" w:color="000000" w:sz="4" w:space="0"/>
            </w:tcBorders>
          </w:tcPr>
          <w:p w:rsidR="009F35B1" w:rsidP="00E97759" w:rsidRDefault="009F35B1" w14:paraId="29D19676" w14:textId="77777777">
            <w:pPr>
              <w:rPr>
                <w:rFonts w:ascii="Courier New" w:hAnsi="Courier New" w:eastAsia="Courier New" w:cs="Courier New"/>
                <w:sz w:val="24"/>
                <w:szCs w:val="24"/>
              </w:rPr>
            </w:pPr>
            <w:r>
              <w:rPr>
                <w:rFonts w:ascii="Courier New" w:hAnsi="Courier New" w:eastAsia="Courier New" w:cs="Courier New"/>
                <w:sz w:val="24"/>
                <w:szCs w:val="24"/>
              </w:rPr>
              <w:t>Change-of-Name</w:t>
            </w:r>
          </w:p>
        </w:tc>
        <w:tc>
          <w:tcPr>
            <w:tcW w:w="1710" w:type="dxa"/>
            <w:tcBorders>
              <w:bottom w:val="single" w:color="000000" w:sz="4" w:space="0"/>
            </w:tcBorders>
          </w:tcPr>
          <w:p w:rsidR="009F35B1" w:rsidP="00E97759" w:rsidRDefault="009F35B1" w14:paraId="68860595" w14:textId="77777777">
            <w:pPr>
              <w:jc w:val="right"/>
              <w:rPr>
                <w:rFonts w:ascii="Courier New" w:hAnsi="Courier New" w:eastAsia="Courier New" w:cs="Courier New"/>
                <w:sz w:val="24"/>
                <w:szCs w:val="24"/>
              </w:rPr>
            </w:pPr>
            <w:r>
              <w:rPr>
                <w:rFonts w:ascii="Courier New" w:hAnsi="Courier New" w:eastAsia="Courier New" w:cs="Courier New"/>
                <w:sz w:val="24"/>
                <w:szCs w:val="24"/>
              </w:rPr>
              <w:t>922</w:t>
            </w:r>
          </w:p>
        </w:tc>
        <w:tc>
          <w:tcPr>
            <w:tcW w:w="2250" w:type="dxa"/>
            <w:tcBorders>
              <w:bottom w:val="single" w:color="000000" w:sz="4" w:space="0"/>
            </w:tcBorders>
          </w:tcPr>
          <w:p w:rsidR="009F35B1" w:rsidP="00E97759" w:rsidRDefault="009F35B1" w14:paraId="7891015D" w14:textId="77777777">
            <w:pPr>
              <w:ind w:left="-21"/>
              <w:jc w:val="right"/>
              <w:rPr>
                <w:rFonts w:ascii="Courier New" w:hAnsi="Courier New" w:eastAsia="Courier New" w:cs="Courier New"/>
                <w:sz w:val="24"/>
                <w:szCs w:val="24"/>
              </w:rPr>
            </w:pPr>
            <w:r>
              <w:rPr>
                <w:rFonts w:ascii="Courier New" w:hAnsi="Courier New" w:eastAsia="Courier New" w:cs="Courier New"/>
                <w:sz w:val="24"/>
                <w:szCs w:val="24"/>
              </w:rPr>
              <w:t>922</w:t>
            </w:r>
          </w:p>
        </w:tc>
        <w:tc>
          <w:tcPr>
            <w:tcW w:w="1980" w:type="dxa"/>
            <w:tcBorders>
              <w:bottom w:val="single" w:color="000000" w:sz="4" w:space="0"/>
            </w:tcBorders>
          </w:tcPr>
          <w:p w:rsidR="009F35B1" w:rsidP="00E97759" w:rsidRDefault="009F35B1" w14:paraId="6DEE3DA0" w14:textId="77777777">
            <w:pPr>
              <w:jc w:val="right"/>
              <w:rPr>
                <w:rFonts w:ascii="Courier New" w:hAnsi="Courier New" w:eastAsia="Courier New" w:cs="Courier New"/>
                <w:sz w:val="24"/>
                <w:szCs w:val="24"/>
              </w:rPr>
            </w:pPr>
            <w:r>
              <w:rPr>
                <w:rFonts w:ascii="Courier New" w:hAnsi="Courier New" w:eastAsia="Courier New" w:cs="Courier New"/>
                <w:sz w:val="24"/>
                <w:szCs w:val="24"/>
              </w:rPr>
              <w:t>$52,554</w:t>
            </w:r>
          </w:p>
        </w:tc>
      </w:tr>
      <w:tr w:rsidR="009F35B1" w:rsidTr="00E97759" w14:paraId="29E69A79" w14:textId="77777777">
        <w:tc>
          <w:tcPr>
            <w:tcW w:w="2340" w:type="dxa"/>
            <w:tcBorders>
              <w:top w:val="single" w:color="000000" w:sz="4" w:space="0"/>
            </w:tcBorders>
          </w:tcPr>
          <w:p w:rsidR="009F35B1" w:rsidP="00E97759" w:rsidRDefault="009F35B1" w14:paraId="282BBCC0" w14:textId="77777777">
            <w:pPr>
              <w:rPr>
                <w:rFonts w:ascii="Courier New" w:hAnsi="Courier New" w:eastAsia="Courier New" w:cs="Courier New"/>
                <w:sz w:val="24"/>
                <w:szCs w:val="24"/>
              </w:rPr>
            </w:pPr>
            <w:r>
              <w:rPr>
                <w:rFonts w:ascii="Courier New" w:hAnsi="Courier New" w:eastAsia="Courier New" w:cs="Courier New"/>
                <w:sz w:val="24"/>
                <w:szCs w:val="24"/>
              </w:rPr>
              <w:t>TOTAL</w:t>
            </w:r>
          </w:p>
        </w:tc>
        <w:tc>
          <w:tcPr>
            <w:tcW w:w="1710" w:type="dxa"/>
            <w:tcBorders>
              <w:top w:val="single" w:color="000000" w:sz="4" w:space="0"/>
            </w:tcBorders>
          </w:tcPr>
          <w:p w:rsidR="009F35B1" w:rsidP="00E97759" w:rsidRDefault="009F35B1" w14:paraId="30F4DEA1" w14:textId="77777777">
            <w:pPr>
              <w:jc w:val="right"/>
              <w:rPr>
                <w:rFonts w:ascii="Courier New" w:hAnsi="Courier New" w:eastAsia="Courier New" w:cs="Courier New"/>
                <w:sz w:val="24"/>
                <w:szCs w:val="24"/>
              </w:rPr>
            </w:pPr>
            <w:r>
              <w:rPr>
                <w:rFonts w:ascii="Courier New" w:hAnsi="Courier New" w:eastAsia="Courier New" w:cs="Courier New"/>
                <w:sz w:val="24"/>
                <w:szCs w:val="24"/>
              </w:rPr>
              <w:t>1,515</w:t>
            </w:r>
          </w:p>
        </w:tc>
        <w:tc>
          <w:tcPr>
            <w:tcW w:w="2250" w:type="dxa"/>
            <w:tcBorders>
              <w:top w:val="single" w:color="000000" w:sz="4" w:space="0"/>
            </w:tcBorders>
          </w:tcPr>
          <w:p w:rsidR="009F35B1" w:rsidP="00E97759" w:rsidRDefault="009F35B1" w14:paraId="3D0D87E7" w14:textId="77777777">
            <w:pPr>
              <w:ind w:left="-21"/>
              <w:jc w:val="right"/>
              <w:rPr>
                <w:rFonts w:ascii="Courier New" w:hAnsi="Courier New" w:eastAsia="Courier New" w:cs="Courier New"/>
                <w:sz w:val="24"/>
                <w:szCs w:val="24"/>
              </w:rPr>
            </w:pPr>
            <w:r>
              <w:rPr>
                <w:rFonts w:ascii="Courier New" w:hAnsi="Courier New" w:eastAsia="Courier New" w:cs="Courier New"/>
                <w:sz w:val="24"/>
                <w:szCs w:val="24"/>
              </w:rPr>
              <w:t>2,701</w:t>
            </w:r>
          </w:p>
        </w:tc>
        <w:tc>
          <w:tcPr>
            <w:tcW w:w="1980" w:type="dxa"/>
            <w:tcBorders>
              <w:top w:val="single" w:color="000000" w:sz="4" w:space="0"/>
            </w:tcBorders>
          </w:tcPr>
          <w:p w:rsidR="009F35B1" w:rsidP="00E97759" w:rsidRDefault="009F35B1" w14:paraId="4B237259" w14:textId="77777777">
            <w:pPr>
              <w:jc w:val="right"/>
              <w:rPr>
                <w:rFonts w:ascii="Courier New" w:hAnsi="Courier New" w:eastAsia="Courier New" w:cs="Courier New"/>
                <w:sz w:val="24"/>
                <w:szCs w:val="24"/>
              </w:rPr>
            </w:pPr>
            <w:r>
              <w:rPr>
                <w:rFonts w:ascii="Courier New" w:hAnsi="Courier New" w:eastAsia="Courier New" w:cs="Courier New"/>
                <w:sz w:val="24"/>
                <w:szCs w:val="24"/>
              </w:rPr>
              <w:t>$153,957</w:t>
            </w:r>
          </w:p>
        </w:tc>
      </w:tr>
    </w:tbl>
    <w:p w:rsidR="009F35B1" w:rsidRDefault="009F35B1" w14:paraId="3A73B2D7" w14:textId="77777777">
      <w:pPr>
        <w:ind w:right="-40"/>
        <w:rPr>
          <w:rFonts w:ascii="Courier New" w:hAnsi="Courier New" w:eastAsia="Courier New" w:cs="Courier New"/>
          <w:color w:val="000000"/>
          <w:sz w:val="24"/>
          <w:szCs w:val="24"/>
        </w:rPr>
      </w:pPr>
    </w:p>
    <w:p w:rsidR="00A11F14" w:rsidRDefault="00241F36" w14:paraId="30D0F467" w14:textId="77777777">
      <w:pPr>
        <w:numPr>
          <w:ilvl w:val="0"/>
          <w:numId w:val="5"/>
        </w:numPr>
        <w:pBdr>
          <w:top w:val="nil"/>
          <w:left w:val="nil"/>
          <w:bottom w:val="nil"/>
          <w:right w:val="nil"/>
          <w:between w:val="nil"/>
        </w:pBdr>
        <w:ind w:right="-40"/>
        <w:rPr>
          <w:rFonts w:ascii="Courier New" w:hAnsi="Courier New" w:eastAsia="Courier New" w:cs="Courier New"/>
          <w:color w:val="000000"/>
          <w:sz w:val="24"/>
          <w:szCs w:val="24"/>
        </w:rPr>
      </w:pPr>
      <w:r>
        <w:rPr>
          <w:rFonts w:ascii="Courier New" w:hAnsi="Courier New" w:eastAsia="Courier New" w:cs="Courier New"/>
          <w:b/>
          <w:sz w:val="24"/>
          <w:szCs w:val="24"/>
        </w:rPr>
        <w:t xml:space="preserve">FAR </w:t>
      </w:r>
      <w:r>
        <w:rPr>
          <w:rFonts w:ascii="Courier New" w:hAnsi="Courier New" w:eastAsia="Courier New" w:cs="Courier New"/>
          <w:b/>
          <w:color w:val="000000"/>
          <w:sz w:val="24"/>
          <w:szCs w:val="24"/>
        </w:rPr>
        <w:t>42.1203(a), Written Request</w:t>
      </w:r>
      <w:r>
        <w:rPr>
          <w:rFonts w:ascii="Courier New" w:hAnsi="Courier New" w:eastAsia="Courier New" w:cs="Courier New"/>
          <w:color w:val="000000"/>
          <w:sz w:val="24"/>
          <w:szCs w:val="24"/>
        </w:rPr>
        <w:t xml:space="preserve">.  Per </w:t>
      </w:r>
      <w:r>
        <w:rPr>
          <w:rFonts w:ascii="Courier New" w:hAnsi="Courier New" w:eastAsia="Courier New" w:cs="Courier New"/>
          <w:sz w:val="24"/>
          <w:szCs w:val="24"/>
        </w:rPr>
        <w:t>FAR</w:t>
      </w:r>
      <w:r>
        <w:rPr>
          <w:rFonts w:ascii="Courier New" w:hAnsi="Courier New" w:eastAsia="Courier New" w:cs="Courier New"/>
          <w:color w:val="000000"/>
          <w:sz w:val="24"/>
          <w:szCs w:val="24"/>
        </w:rPr>
        <w:t xml:space="preserve"> 42.1203(b)(1), the responsible contracting officer responsible for reviewing the written request and communicating to the contractor what documentation listed at 42.1204(e) and (f) or 42.1205(a) is necessary to evaluate the proposed agreement.  The burden associated with review of a contractor’s written request is included in the Government burden estimates for novation agreements and change-of-name agreements.</w:t>
      </w:r>
    </w:p>
    <w:p w:rsidR="00A11F14" w:rsidRDefault="00A11F14" w14:paraId="5B3CE6A9" w14:textId="77777777">
      <w:pPr>
        <w:pBdr>
          <w:top w:val="nil"/>
          <w:left w:val="nil"/>
          <w:bottom w:val="nil"/>
          <w:right w:val="nil"/>
          <w:between w:val="nil"/>
        </w:pBdr>
        <w:ind w:left="720" w:right="-40"/>
        <w:rPr>
          <w:rFonts w:ascii="Courier New" w:hAnsi="Courier New" w:eastAsia="Courier New" w:cs="Courier New"/>
          <w:color w:val="000000"/>
          <w:sz w:val="24"/>
          <w:szCs w:val="24"/>
        </w:rPr>
      </w:pPr>
    </w:p>
    <w:p w:rsidR="00A11F14" w:rsidRDefault="00241F36" w14:paraId="4A69DA07" w14:textId="77777777">
      <w:pPr>
        <w:numPr>
          <w:ilvl w:val="0"/>
          <w:numId w:val="5"/>
        </w:numPr>
        <w:pBdr>
          <w:top w:val="nil"/>
          <w:left w:val="nil"/>
          <w:bottom w:val="nil"/>
          <w:right w:val="nil"/>
          <w:between w:val="nil"/>
        </w:pBdr>
        <w:ind w:right="-40"/>
        <w:rPr>
          <w:rFonts w:ascii="Courier New" w:hAnsi="Courier New" w:eastAsia="Courier New" w:cs="Courier New"/>
          <w:color w:val="000000"/>
          <w:sz w:val="24"/>
          <w:szCs w:val="24"/>
        </w:rPr>
      </w:pPr>
      <w:r>
        <w:rPr>
          <w:rFonts w:ascii="Courier New" w:hAnsi="Courier New" w:eastAsia="Courier New" w:cs="Courier New"/>
          <w:b/>
          <w:sz w:val="24"/>
          <w:szCs w:val="24"/>
        </w:rPr>
        <w:t xml:space="preserve">FAR </w:t>
      </w:r>
      <w:r>
        <w:rPr>
          <w:rFonts w:ascii="Courier New" w:hAnsi="Courier New" w:eastAsia="Courier New" w:cs="Courier New"/>
          <w:b/>
          <w:color w:val="000000"/>
          <w:sz w:val="24"/>
          <w:szCs w:val="24"/>
        </w:rPr>
        <w:t>42.1204(e) and (f), Novation Agreement.</w:t>
      </w:r>
      <w:r>
        <w:rPr>
          <w:rFonts w:ascii="Courier New" w:hAnsi="Courier New" w:eastAsia="Courier New" w:cs="Courier New"/>
          <w:color w:val="000000"/>
          <w:sz w:val="24"/>
          <w:szCs w:val="24"/>
        </w:rPr>
        <w:t xml:space="preserve">  Per FAR 42.1203(f), the contracting officer shall ensure that Government counsel has reviewed the documentation for legal sufficiency. It is estimated that it will take the contracting officer and Government counsel on average three hours per response to review the information provided by the contractor. </w:t>
      </w:r>
    </w:p>
    <w:p w:rsidR="00A11F14" w:rsidRDefault="00A11F14" w14:paraId="59DE2951" w14:textId="77777777">
      <w:pPr>
        <w:ind w:right="-40"/>
        <w:rPr>
          <w:rFonts w:ascii="Courier New" w:hAnsi="Courier New" w:eastAsia="Courier New" w:cs="Courier New"/>
          <w:color w:val="0000FF"/>
          <w:sz w:val="24"/>
          <w:szCs w:val="24"/>
        </w:rPr>
      </w:pPr>
    </w:p>
    <w:p w:rsidR="00A11F14" w:rsidRDefault="00241F36" w14:paraId="3AE3DC0C" w14:textId="6F61AB44">
      <w:pPr>
        <w:spacing w:line="240" w:lineRule="auto"/>
        <w:ind w:right="-80" w:firstLine="72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ED787A">
        <w:rPr>
          <w:rFonts w:ascii="Courier New" w:hAnsi="Courier New" w:eastAsia="Courier New" w:cs="Courier New"/>
          <w:sz w:val="24"/>
          <w:szCs w:val="24"/>
        </w:rPr>
        <w:t>593</w:t>
      </w:r>
    </w:p>
    <w:p w:rsidR="00A11F14" w:rsidRDefault="00241F36" w14:paraId="527D871C" w14:textId="04E73B0A">
      <w:pPr>
        <w:spacing w:line="240" w:lineRule="auto"/>
        <w:ind w:firstLine="720"/>
        <w:rPr>
          <w:rFonts w:ascii="Courier New" w:hAnsi="Courier New" w:eastAsia="Courier New" w:cs="Courier New"/>
          <w:sz w:val="24"/>
          <w:szCs w:val="24"/>
          <w:u w:val="single"/>
        </w:rPr>
      </w:pPr>
      <w:r>
        <w:rPr>
          <w:rFonts w:ascii="Courier New" w:hAnsi="Courier New" w:eastAsia="Courier New" w:cs="Courier New"/>
          <w:sz w:val="24"/>
          <w:szCs w:val="24"/>
        </w:rPr>
        <w:t xml:space="preserve">Review time/response (hours)....................... </w:t>
      </w:r>
      <w:r w:rsidR="00ED787A">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x 3</w:t>
      </w:r>
    </w:p>
    <w:p w:rsidR="00A11F14" w:rsidRDefault="00241F36" w14:paraId="34B51357" w14:textId="0323DD13">
      <w:pPr>
        <w:spacing w:line="240" w:lineRule="auto"/>
        <w:ind w:firstLine="720"/>
        <w:rPr>
          <w:rFonts w:ascii="Courier New" w:hAnsi="Courier New" w:eastAsia="Courier New" w:cs="Courier New"/>
          <w:sz w:val="24"/>
          <w:szCs w:val="24"/>
        </w:rPr>
      </w:pPr>
      <w:r>
        <w:rPr>
          <w:rFonts w:ascii="Courier New" w:hAnsi="Courier New" w:eastAsia="Courier New" w:cs="Courier New"/>
          <w:sz w:val="24"/>
          <w:szCs w:val="24"/>
        </w:rPr>
        <w:t>Review time/year (hours)........................... 1,7</w:t>
      </w:r>
      <w:r w:rsidR="00ED787A">
        <w:rPr>
          <w:rFonts w:ascii="Courier New" w:hAnsi="Courier New" w:eastAsia="Courier New" w:cs="Courier New"/>
          <w:sz w:val="24"/>
          <w:szCs w:val="24"/>
        </w:rPr>
        <w:t>7</w:t>
      </w:r>
      <w:r>
        <w:rPr>
          <w:rFonts w:ascii="Courier New" w:hAnsi="Courier New" w:eastAsia="Courier New" w:cs="Courier New"/>
          <w:sz w:val="24"/>
          <w:szCs w:val="24"/>
        </w:rPr>
        <w:t>9</w:t>
      </w:r>
    </w:p>
    <w:p w:rsidR="00A11F14" w:rsidRDefault="00241F36" w14:paraId="21B3C61A" w14:textId="0384032D">
      <w:pPr>
        <w:spacing w:line="240" w:lineRule="auto"/>
        <w:ind w:firstLine="720"/>
        <w:rPr>
          <w:rFonts w:ascii="Courier New" w:hAnsi="Courier New" w:eastAsia="Courier New" w:cs="Courier New"/>
          <w:sz w:val="24"/>
          <w:szCs w:val="24"/>
        </w:rPr>
      </w:pPr>
      <w:r>
        <w:rPr>
          <w:rFonts w:ascii="Courier New" w:hAnsi="Courier New" w:eastAsia="Courier New" w:cs="Courier New"/>
          <w:sz w:val="24"/>
          <w:szCs w:val="24"/>
        </w:rPr>
        <w:t>Hourly rate*....................................</w:t>
      </w:r>
      <w:r w:rsidR="00ED787A">
        <w:rPr>
          <w:rFonts w:ascii="Courier New" w:hAnsi="Courier New" w:eastAsia="Courier New" w:cs="Courier New"/>
          <w:sz w:val="24"/>
          <w:szCs w:val="24"/>
        </w:rPr>
        <w:t xml:space="preserve"> </w:t>
      </w:r>
      <w:r w:rsidR="00ED787A">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x $57</w:t>
      </w:r>
    </w:p>
    <w:p w:rsidR="00A11F14" w:rsidRDefault="00241F36" w14:paraId="08C39097" w14:textId="01D681AA">
      <w:pPr>
        <w:spacing w:line="240" w:lineRule="auto"/>
        <w:ind w:firstLine="720"/>
        <w:rPr>
          <w:rFonts w:ascii="Courier New" w:hAnsi="Courier New" w:eastAsia="Courier New" w:cs="Courier New"/>
          <w:sz w:val="24"/>
          <w:szCs w:val="24"/>
        </w:rPr>
      </w:pPr>
      <w:r>
        <w:rPr>
          <w:rFonts w:ascii="Courier New" w:hAnsi="Courier New" w:eastAsia="Courier New" w:cs="Courier New"/>
          <w:sz w:val="24"/>
          <w:szCs w:val="24"/>
        </w:rPr>
        <w:t>Estimated cost to the Government................</w:t>
      </w:r>
      <w:r w:rsidR="00ED787A">
        <w:rPr>
          <w:rFonts w:ascii="Courier New" w:hAnsi="Courier New" w:eastAsia="Courier New" w:cs="Courier New"/>
          <w:sz w:val="24"/>
          <w:szCs w:val="24"/>
        </w:rPr>
        <w:t xml:space="preserve"> $101,403</w:t>
      </w:r>
    </w:p>
    <w:p w:rsidR="00A11F14" w:rsidRDefault="00A11F14" w14:paraId="518EACB9" w14:textId="77777777">
      <w:pPr>
        <w:ind w:right="-40"/>
        <w:rPr>
          <w:rFonts w:ascii="Courier New" w:hAnsi="Courier New" w:eastAsia="Courier New" w:cs="Courier New"/>
          <w:color w:val="0000FF"/>
          <w:sz w:val="24"/>
          <w:szCs w:val="24"/>
        </w:rPr>
      </w:pPr>
    </w:p>
    <w:p w:rsidR="00A11F14" w:rsidRDefault="00241F36" w14:paraId="69851410" w14:textId="77777777">
      <w:pPr>
        <w:numPr>
          <w:ilvl w:val="0"/>
          <w:numId w:val="6"/>
        </w:numPr>
        <w:pBdr>
          <w:top w:val="nil"/>
          <w:left w:val="nil"/>
          <w:bottom w:val="nil"/>
          <w:right w:val="nil"/>
          <w:between w:val="nil"/>
        </w:pBdr>
        <w:ind w:right="-40"/>
        <w:rPr>
          <w:rFonts w:ascii="Courier New" w:hAnsi="Courier New" w:eastAsia="Courier New" w:cs="Courier New"/>
          <w:color w:val="000000"/>
          <w:sz w:val="24"/>
          <w:szCs w:val="24"/>
        </w:rPr>
      </w:pPr>
      <w:r>
        <w:rPr>
          <w:rFonts w:ascii="Courier New" w:hAnsi="Courier New" w:eastAsia="Courier New" w:cs="Courier New"/>
          <w:b/>
          <w:sz w:val="24"/>
          <w:szCs w:val="24"/>
        </w:rPr>
        <w:t xml:space="preserve">FAR </w:t>
      </w:r>
      <w:r>
        <w:rPr>
          <w:rFonts w:ascii="Courier New" w:hAnsi="Courier New" w:eastAsia="Courier New" w:cs="Courier New"/>
          <w:b/>
          <w:color w:val="000000"/>
          <w:sz w:val="24"/>
          <w:szCs w:val="24"/>
        </w:rPr>
        <w:t>42.1205(a), Change-of-Name Agreement.</w:t>
      </w:r>
      <w:r>
        <w:rPr>
          <w:rFonts w:ascii="Courier New" w:hAnsi="Courier New" w:eastAsia="Courier New" w:cs="Courier New"/>
          <w:color w:val="000000"/>
          <w:sz w:val="24"/>
          <w:szCs w:val="24"/>
        </w:rPr>
        <w:t xml:space="preserve">  Per </w:t>
      </w:r>
      <w:r>
        <w:rPr>
          <w:rFonts w:ascii="Courier New" w:hAnsi="Courier New" w:eastAsia="Courier New" w:cs="Courier New"/>
          <w:sz w:val="24"/>
          <w:szCs w:val="24"/>
        </w:rPr>
        <w:t>FAR</w:t>
      </w:r>
      <w:r>
        <w:rPr>
          <w:rFonts w:ascii="Courier New" w:hAnsi="Courier New" w:eastAsia="Courier New" w:cs="Courier New"/>
          <w:color w:val="000000"/>
          <w:sz w:val="24"/>
          <w:szCs w:val="24"/>
        </w:rPr>
        <w:t xml:space="preserve"> 42.1203(f), the contracting officer shall ensure that Government counsel has reviewed the documentation for legal sufficiency.  Given that the documentation for a change-of-name agreement is less substantial, it is estimated that it will take the Government one hour per response to review the information provided by the contractor. </w:t>
      </w:r>
    </w:p>
    <w:p w:rsidR="00A11F14" w:rsidRDefault="00A11F14" w14:paraId="315FA85E" w14:textId="77777777">
      <w:pPr>
        <w:ind w:right="-40"/>
        <w:rPr>
          <w:rFonts w:ascii="Courier New" w:hAnsi="Courier New" w:eastAsia="Courier New" w:cs="Courier New"/>
          <w:color w:val="0000FF"/>
          <w:sz w:val="24"/>
          <w:szCs w:val="24"/>
        </w:rPr>
      </w:pPr>
    </w:p>
    <w:p w:rsidR="00A11F14" w:rsidRDefault="00241F36" w14:paraId="3DCAEFF8" w14:textId="79AF84E1">
      <w:pPr>
        <w:spacing w:line="240" w:lineRule="auto"/>
        <w:ind w:right="-80" w:firstLine="72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ED787A">
        <w:rPr>
          <w:rFonts w:ascii="Courier New" w:hAnsi="Courier New" w:eastAsia="Courier New" w:cs="Courier New"/>
          <w:sz w:val="24"/>
          <w:szCs w:val="24"/>
        </w:rPr>
        <w:t>922</w:t>
      </w:r>
    </w:p>
    <w:p w:rsidR="00A11F14" w:rsidRDefault="00241F36" w14:paraId="2D64E46C" w14:textId="77777777">
      <w:pPr>
        <w:spacing w:line="240" w:lineRule="auto"/>
        <w:ind w:left="720"/>
        <w:rPr>
          <w:rFonts w:ascii="Courier New" w:hAnsi="Courier New" w:eastAsia="Courier New" w:cs="Courier New"/>
          <w:sz w:val="24"/>
          <w:szCs w:val="24"/>
          <w:u w:val="single"/>
        </w:rPr>
      </w:pPr>
      <w:r>
        <w:rPr>
          <w:rFonts w:ascii="Courier New" w:hAnsi="Courier New" w:eastAsia="Courier New" w:cs="Courier New"/>
          <w:sz w:val="24"/>
          <w:szCs w:val="24"/>
        </w:rPr>
        <w:t xml:space="preserve">Review time/response (hours)......................... </w:t>
      </w:r>
      <w:r>
        <w:rPr>
          <w:rFonts w:ascii="Courier New" w:hAnsi="Courier New" w:eastAsia="Courier New" w:cs="Courier New"/>
          <w:sz w:val="24"/>
          <w:szCs w:val="24"/>
          <w:u w:val="single"/>
        </w:rPr>
        <w:t>x 1</w:t>
      </w:r>
    </w:p>
    <w:p w:rsidR="00A11F14" w:rsidRDefault="00241F36" w14:paraId="129BC938" w14:textId="6CBB5C4E">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lastRenderedPageBreak/>
        <w:t>Review time/year (hours)............................. 9</w:t>
      </w:r>
      <w:r w:rsidR="00ED787A">
        <w:rPr>
          <w:rFonts w:ascii="Courier New" w:hAnsi="Courier New" w:eastAsia="Courier New" w:cs="Courier New"/>
          <w:sz w:val="24"/>
          <w:szCs w:val="24"/>
        </w:rPr>
        <w:t>22</w:t>
      </w:r>
    </w:p>
    <w:p w:rsidR="00A11F14" w:rsidRDefault="00241F36" w14:paraId="7D8335D8"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 xml:space="preserve">Hourly rate*..................................... </w:t>
      </w:r>
      <w:r>
        <w:rPr>
          <w:rFonts w:ascii="Courier New" w:hAnsi="Courier New" w:eastAsia="Courier New" w:cs="Courier New"/>
          <w:sz w:val="24"/>
          <w:szCs w:val="24"/>
          <w:u w:val="single"/>
        </w:rPr>
        <w:t xml:space="preserve">  x $57</w:t>
      </w:r>
    </w:p>
    <w:p w:rsidR="00A11F14" w:rsidRDefault="00241F36" w14:paraId="2DB58AC4" w14:textId="1EB36D1B">
      <w:pPr>
        <w:spacing w:line="240" w:lineRule="auto"/>
        <w:ind w:firstLine="720"/>
        <w:rPr>
          <w:rFonts w:ascii="Courier New" w:hAnsi="Courier New" w:eastAsia="Courier New" w:cs="Courier New"/>
          <w:sz w:val="24"/>
          <w:szCs w:val="24"/>
        </w:rPr>
      </w:pPr>
      <w:r>
        <w:rPr>
          <w:rFonts w:ascii="Courier New" w:hAnsi="Courier New" w:eastAsia="Courier New" w:cs="Courier New"/>
          <w:sz w:val="24"/>
          <w:szCs w:val="24"/>
        </w:rPr>
        <w:t>Estimated cost to the Government................. $5</w:t>
      </w:r>
      <w:r w:rsidR="00ED787A">
        <w:rPr>
          <w:rFonts w:ascii="Courier New" w:hAnsi="Courier New" w:eastAsia="Courier New" w:cs="Courier New"/>
          <w:sz w:val="24"/>
          <w:szCs w:val="24"/>
        </w:rPr>
        <w:t>2,554</w:t>
      </w:r>
    </w:p>
    <w:p w:rsidR="00A11F14" w:rsidRDefault="00A11F14" w14:paraId="28995F3D" w14:textId="77777777">
      <w:pPr>
        <w:ind w:right="-40"/>
        <w:rPr>
          <w:rFonts w:ascii="Courier New" w:hAnsi="Courier New" w:eastAsia="Courier New" w:cs="Courier New"/>
          <w:color w:val="0000FF"/>
          <w:sz w:val="24"/>
          <w:szCs w:val="24"/>
        </w:rPr>
      </w:pPr>
    </w:p>
    <w:p w:rsidR="00A11F14" w:rsidRDefault="00241F36" w14:paraId="1EE77F6E" w14:textId="77777777">
      <w:pPr>
        <w:ind w:left="720" w:right="-40"/>
        <w:rPr>
          <w:rFonts w:ascii="Courier New" w:hAnsi="Courier New" w:eastAsia="Courier New" w:cs="Courier New"/>
          <w:sz w:val="24"/>
          <w:szCs w:val="24"/>
        </w:rPr>
      </w:pPr>
      <w:r>
        <w:rPr>
          <w:rFonts w:ascii="Courier New" w:hAnsi="Courier New" w:eastAsia="Courier New" w:cs="Courier New"/>
          <w:sz w:val="24"/>
          <w:szCs w:val="24"/>
        </w:rPr>
        <w:t xml:space="preserve">* Based on the Office of Personnel Management (OPM) 2021 General Schedule (GS) 12/step 5 salary for the rest of the United States ($42.08 per hour), plus the OMB M-08-13 36.25 percent fringe factor, rounded to the nearest whole dollar. </w:t>
      </w:r>
    </w:p>
    <w:p w:rsidR="00A11F14" w:rsidRDefault="00A11F14" w14:paraId="32105164" w14:textId="77777777">
      <w:pPr>
        <w:ind w:right="-40"/>
        <w:rPr>
          <w:rFonts w:ascii="Courier New" w:hAnsi="Courier New" w:eastAsia="Courier New" w:cs="Courier New"/>
          <w:sz w:val="24"/>
          <w:szCs w:val="24"/>
        </w:rPr>
      </w:pPr>
    </w:p>
    <w:p w:rsidR="00A11F14" w:rsidRDefault="00241F36" w14:paraId="2E1B21C5" w14:textId="77777777">
      <w:pPr>
        <w:ind w:right="-40"/>
        <w:rPr>
          <w:rFonts w:ascii="Courier New" w:hAnsi="Courier New" w:eastAsia="Courier New" w:cs="Courier New"/>
          <w:sz w:val="24"/>
          <w:szCs w:val="24"/>
        </w:rPr>
      </w:pPr>
      <w:r>
        <w:rPr>
          <w:rFonts w:ascii="Courier New" w:hAnsi="Courier New" w:eastAsia="Courier New" w:cs="Courier New"/>
          <w:b/>
          <w:sz w:val="24"/>
          <w:szCs w:val="24"/>
        </w:rPr>
        <w:t>15.</w:t>
      </w:r>
      <w:r>
        <w:rPr>
          <w:rFonts w:ascii="Courier New" w:hAnsi="Courier New" w:eastAsia="Courier New" w:cs="Courier New"/>
          <w:sz w:val="24"/>
          <w:szCs w:val="24"/>
        </w:rPr>
        <w:t xml:space="preserve">  </w:t>
      </w:r>
      <w:r>
        <w:rPr>
          <w:rFonts w:ascii="Courier New" w:hAnsi="Courier New" w:eastAsia="Courier New" w:cs="Courier New"/>
          <w:b/>
          <w:sz w:val="24"/>
          <w:szCs w:val="24"/>
        </w:rPr>
        <w:t>Explain reasons for program changes or adjustments reported in Item 13 or 14</w:t>
      </w:r>
      <w:r>
        <w:rPr>
          <w:rFonts w:ascii="Courier New" w:hAnsi="Courier New" w:eastAsia="Courier New" w:cs="Courier New"/>
          <w:sz w:val="24"/>
          <w:szCs w:val="24"/>
        </w:rPr>
        <w:t xml:space="preserve">.  </w:t>
      </w:r>
    </w:p>
    <w:p w:rsidR="00A11F14" w:rsidRDefault="00A11F14" w14:paraId="61EB4254" w14:textId="77777777">
      <w:pPr>
        <w:ind w:right="-40"/>
        <w:rPr>
          <w:rFonts w:ascii="Courier New" w:hAnsi="Courier New" w:eastAsia="Courier New" w:cs="Courier New"/>
          <w:sz w:val="24"/>
          <w:szCs w:val="24"/>
        </w:rPr>
      </w:pPr>
    </w:p>
    <w:p w:rsidR="00A11F14" w:rsidRDefault="00241F36" w14:paraId="195C8076" w14:textId="7E13860C">
      <w:pPr>
        <w:numPr>
          <w:ilvl w:val="0"/>
          <w:numId w:val="4"/>
        </w:numPr>
        <w:pBdr>
          <w:top w:val="nil"/>
          <w:left w:val="nil"/>
          <w:bottom w:val="nil"/>
          <w:right w:val="nil"/>
          <w:between w:val="nil"/>
        </w:pBdr>
        <w:ind w:left="1080" w:right="-40" w:hanging="540"/>
        <w:rPr>
          <w:rFonts w:ascii="Courier New" w:hAnsi="Courier New" w:eastAsia="Courier New" w:cs="Courier New"/>
          <w:color w:val="000000"/>
          <w:sz w:val="24"/>
          <w:szCs w:val="24"/>
        </w:rPr>
      </w:pPr>
      <w:r>
        <w:rPr>
          <w:rFonts w:ascii="Courier New" w:hAnsi="Courier New" w:eastAsia="Courier New" w:cs="Courier New"/>
          <w:color w:val="000000"/>
          <w:sz w:val="24"/>
          <w:szCs w:val="24"/>
        </w:rPr>
        <w:t>The increase of responses from 547 to 1,51</w:t>
      </w:r>
      <w:r w:rsidR="00ED787A">
        <w:rPr>
          <w:rFonts w:ascii="Courier New" w:hAnsi="Courier New" w:eastAsia="Courier New" w:cs="Courier New"/>
          <w:color w:val="000000"/>
          <w:sz w:val="24"/>
          <w:szCs w:val="24"/>
        </w:rPr>
        <w:t>5</w:t>
      </w:r>
      <w:r>
        <w:rPr>
          <w:rFonts w:ascii="Courier New" w:hAnsi="Courier New" w:eastAsia="Courier New" w:cs="Courier New"/>
          <w:color w:val="000000"/>
          <w:sz w:val="24"/>
          <w:szCs w:val="24"/>
        </w:rPr>
        <w:t xml:space="preserve"> and the associated increase in estimated burden hours from 1,094 to 2,</w:t>
      </w:r>
      <w:r w:rsidR="00ED787A">
        <w:rPr>
          <w:rFonts w:ascii="Courier New" w:hAnsi="Courier New" w:eastAsia="Courier New" w:cs="Courier New"/>
          <w:color w:val="000000"/>
          <w:sz w:val="24"/>
          <w:szCs w:val="24"/>
        </w:rPr>
        <w:t>701</w:t>
      </w:r>
      <w:r>
        <w:rPr>
          <w:rFonts w:ascii="Courier New" w:hAnsi="Courier New" w:eastAsia="Courier New" w:cs="Courier New"/>
          <w:color w:val="000000"/>
          <w:sz w:val="24"/>
          <w:szCs w:val="24"/>
        </w:rPr>
        <w:t xml:space="preserve"> is an adjustment based on the following:</w:t>
      </w:r>
    </w:p>
    <w:p w:rsidR="00A11F14" w:rsidRDefault="00A11F14" w14:paraId="0CB8F095" w14:textId="77777777">
      <w:pPr>
        <w:pBdr>
          <w:top w:val="nil"/>
          <w:left w:val="nil"/>
          <w:bottom w:val="nil"/>
          <w:right w:val="nil"/>
          <w:between w:val="nil"/>
        </w:pBdr>
        <w:ind w:left="720" w:right="-40"/>
        <w:rPr>
          <w:rFonts w:ascii="Courier New" w:hAnsi="Courier New" w:eastAsia="Courier New" w:cs="Courier New"/>
          <w:color w:val="000000"/>
          <w:sz w:val="24"/>
          <w:szCs w:val="24"/>
        </w:rPr>
      </w:pPr>
    </w:p>
    <w:p w:rsidR="00A11F14" w:rsidRDefault="00241F36" w14:paraId="2DF24312" w14:textId="77777777">
      <w:pPr>
        <w:numPr>
          <w:ilvl w:val="1"/>
          <w:numId w:val="3"/>
        </w:numPr>
        <w:pBdr>
          <w:top w:val="nil"/>
          <w:left w:val="nil"/>
          <w:bottom w:val="nil"/>
          <w:right w:val="nil"/>
          <w:between w:val="nil"/>
        </w:pBdr>
        <w:ind w:right="-40"/>
        <w:rPr>
          <w:rFonts w:ascii="Courier New" w:hAnsi="Courier New" w:eastAsia="Courier New" w:cs="Courier New"/>
          <w:color w:val="000000"/>
          <w:sz w:val="24"/>
          <w:szCs w:val="24"/>
        </w:rPr>
      </w:pPr>
      <w:r>
        <w:rPr>
          <w:rFonts w:ascii="Courier New" w:hAnsi="Courier New" w:eastAsia="Courier New" w:cs="Courier New"/>
          <w:color w:val="000000"/>
          <w:sz w:val="24"/>
          <w:szCs w:val="24"/>
        </w:rPr>
        <w:t xml:space="preserve">The burden associated with preparing and reviewing a novation agreement is treated separate from the burden for a change-of-name agreement.  The prior estimate assumed two hours for either type of agreement; however, given the complexity of and additional documentation needed for a novation agreement, it is estimated that novation agreements take more time (3 hours) than a name change (1 hour). </w:t>
      </w:r>
    </w:p>
    <w:p w:rsidR="00A11F14" w:rsidRDefault="00A11F14" w14:paraId="4203D332" w14:textId="77777777">
      <w:pPr>
        <w:pBdr>
          <w:top w:val="nil"/>
          <w:left w:val="nil"/>
          <w:bottom w:val="nil"/>
          <w:right w:val="nil"/>
          <w:between w:val="nil"/>
        </w:pBdr>
        <w:ind w:left="1440" w:right="-40"/>
        <w:rPr>
          <w:rFonts w:ascii="Courier New" w:hAnsi="Courier New" w:eastAsia="Courier New" w:cs="Courier New"/>
          <w:color w:val="000000"/>
          <w:sz w:val="24"/>
          <w:szCs w:val="24"/>
        </w:rPr>
      </w:pPr>
    </w:p>
    <w:p w:rsidR="00A11F14" w:rsidRDefault="00241F36" w14:paraId="27C9EDD9" w14:textId="1E5EF763">
      <w:pPr>
        <w:numPr>
          <w:ilvl w:val="1"/>
          <w:numId w:val="3"/>
        </w:numPr>
        <w:pBdr>
          <w:top w:val="nil"/>
          <w:left w:val="nil"/>
          <w:bottom w:val="nil"/>
          <w:right w:val="nil"/>
          <w:between w:val="nil"/>
        </w:pBdr>
        <w:ind w:right="-40"/>
        <w:rPr>
          <w:rFonts w:ascii="Courier New" w:hAnsi="Courier New" w:eastAsia="Courier New" w:cs="Courier New"/>
          <w:color w:val="000000"/>
          <w:sz w:val="24"/>
          <w:szCs w:val="24"/>
        </w:rPr>
      </w:pPr>
      <w:r>
        <w:rPr>
          <w:rFonts w:ascii="Courier New" w:hAnsi="Courier New" w:eastAsia="Courier New" w:cs="Courier New"/>
          <w:color w:val="000000"/>
          <w:sz w:val="24"/>
          <w:szCs w:val="24"/>
        </w:rPr>
        <w:t xml:space="preserve">FPDS data on modifications for </w:t>
      </w:r>
      <w:r w:rsidR="002F5F57">
        <w:rPr>
          <w:rFonts w:ascii="Courier New" w:hAnsi="Courier New" w:eastAsia="Courier New" w:cs="Courier New"/>
          <w:color w:val="000000"/>
          <w:sz w:val="24"/>
          <w:szCs w:val="24"/>
        </w:rPr>
        <w:t>the four most</w:t>
      </w:r>
      <w:r>
        <w:rPr>
          <w:rFonts w:ascii="Courier New" w:hAnsi="Courier New" w:eastAsia="Courier New" w:cs="Courier New"/>
          <w:color w:val="000000"/>
          <w:sz w:val="24"/>
          <w:szCs w:val="24"/>
        </w:rPr>
        <w:t xml:space="preserve"> recent fiscal years was used to develop the estimates. </w:t>
      </w:r>
    </w:p>
    <w:p w:rsidR="00A11F14" w:rsidRDefault="00A11F14" w14:paraId="08B658A8" w14:textId="77777777">
      <w:pPr>
        <w:pBdr>
          <w:top w:val="nil"/>
          <w:left w:val="nil"/>
          <w:bottom w:val="nil"/>
          <w:right w:val="nil"/>
          <w:between w:val="nil"/>
        </w:pBdr>
        <w:ind w:right="-40"/>
        <w:rPr>
          <w:rFonts w:ascii="Courier New" w:hAnsi="Courier New" w:eastAsia="Courier New" w:cs="Courier New"/>
          <w:color w:val="000000"/>
          <w:sz w:val="24"/>
          <w:szCs w:val="24"/>
        </w:rPr>
      </w:pPr>
    </w:p>
    <w:p w:rsidR="00A11F14" w:rsidRDefault="00241F36" w14:paraId="5673C8B2" w14:textId="77777777">
      <w:pPr>
        <w:numPr>
          <w:ilvl w:val="0"/>
          <w:numId w:val="4"/>
        </w:numPr>
        <w:pBdr>
          <w:top w:val="nil"/>
          <w:left w:val="nil"/>
          <w:bottom w:val="nil"/>
          <w:right w:val="nil"/>
          <w:between w:val="nil"/>
        </w:pBdr>
        <w:ind w:left="1080" w:right="-40" w:hanging="540"/>
        <w:rPr>
          <w:rFonts w:ascii="Courier New" w:hAnsi="Courier New" w:eastAsia="Courier New" w:cs="Courier New"/>
          <w:color w:val="000000"/>
          <w:sz w:val="24"/>
          <w:szCs w:val="24"/>
        </w:rPr>
      </w:pPr>
      <w:r>
        <w:rPr>
          <w:rFonts w:ascii="Courier New" w:hAnsi="Courier New" w:eastAsia="Courier New" w:cs="Courier New"/>
          <w:color w:val="000000"/>
          <w:sz w:val="24"/>
          <w:szCs w:val="24"/>
        </w:rPr>
        <w:t>The estimated cost to the public and the Government has increased slightly based on the following:</w:t>
      </w:r>
    </w:p>
    <w:p w:rsidR="00A11F14" w:rsidRDefault="00A11F14" w14:paraId="32E74030" w14:textId="77777777">
      <w:pPr>
        <w:pBdr>
          <w:top w:val="nil"/>
          <w:left w:val="nil"/>
          <w:bottom w:val="nil"/>
          <w:right w:val="nil"/>
          <w:between w:val="nil"/>
        </w:pBdr>
        <w:ind w:left="720" w:right="-40"/>
        <w:rPr>
          <w:rFonts w:ascii="Courier New" w:hAnsi="Courier New" w:eastAsia="Courier New" w:cs="Courier New"/>
          <w:color w:val="000000"/>
          <w:sz w:val="24"/>
          <w:szCs w:val="24"/>
        </w:rPr>
      </w:pPr>
    </w:p>
    <w:p w:rsidR="00A11F14" w:rsidRDefault="00241F36" w14:paraId="6C963E03" w14:textId="77777777">
      <w:pPr>
        <w:numPr>
          <w:ilvl w:val="1"/>
          <w:numId w:val="3"/>
        </w:numPr>
        <w:pBdr>
          <w:top w:val="nil"/>
          <w:left w:val="nil"/>
          <w:bottom w:val="nil"/>
          <w:right w:val="nil"/>
          <w:between w:val="nil"/>
        </w:pBdr>
        <w:ind w:right="-40"/>
        <w:rPr>
          <w:rFonts w:ascii="Courier New" w:hAnsi="Courier New" w:eastAsia="Courier New" w:cs="Courier New"/>
          <w:color w:val="000000"/>
          <w:sz w:val="24"/>
          <w:szCs w:val="24"/>
        </w:rPr>
      </w:pPr>
      <w:r>
        <w:rPr>
          <w:rFonts w:ascii="Courier New" w:hAnsi="Courier New" w:eastAsia="Courier New" w:cs="Courier New"/>
          <w:color w:val="000000"/>
          <w:sz w:val="24"/>
          <w:szCs w:val="24"/>
        </w:rPr>
        <w:t xml:space="preserve">The Bureau of Labor Statistics most recent estimate of the average mean wage for “legal services” was used to calculate public costs, in lieu of a national survey salary that is converted into a GS hourly rate. </w:t>
      </w:r>
    </w:p>
    <w:p w:rsidR="00A11F14" w:rsidRDefault="00A11F14" w14:paraId="5AD5EB5B" w14:textId="77777777">
      <w:pPr>
        <w:pBdr>
          <w:top w:val="nil"/>
          <w:left w:val="nil"/>
          <w:bottom w:val="nil"/>
          <w:right w:val="nil"/>
          <w:between w:val="nil"/>
        </w:pBdr>
        <w:ind w:left="1440" w:right="-40"/>
        <w:rPr>
          <w:rFonts w:ascii="Courier New" w:hAnsi="Courier New" w:eastAsia="Courier New" w:cs="Courier New"/>
          <w:color w:val="000000"/>
          <w:sz w:val="24"/>
          <w:szCs w:val="24"/>
        </w:rPr>
      </w:pPr>
    </w:p>
    <w:p w:rsidR="00A11F14" w:rsidRDefault="00241F36" w14:paraId="5BB2DC0C" w14:textId="77777777">
      <w:pPr>
        <w:numPr>
          <w:ilvl w:val="1"/>
          <w:numId w:val="3"/>
        </w:numPr>
        <w:pBdr>
          <w:top w:val="nil"/>
          <w:left w:val="nil"/>
          <w:bottom w:val="nil"/>
          <w:right w:val="nil"/>
          <w:between w:val="nil"/>
        </w:pBdr>
        <w:ind w:right="-40"/>
        <w:rPr>
          <w:rFonts w:ascii="Courier New" w:hAnsi="Courier New" w:eastAsia="Courier New" w:cs="Courier New"/>
          <w:color w:val="000000"/>
          <w:sz w:val="24"/>
          <w:szCs w:val="24"/>
        </w:rPr>
      </w:pPr>
      <w:r>
        <w:rPr>
          <w:rFonts w:ascii="Courier New" w:hAnsi="Courier New" w:eastAsia="Courier New" w:cs="Courier New"/>
          <w:color w:val="000000"/>
          <w:sz w:val="24"/>
          <w:szCs w:val="24"/>
        </w:rPr>
        <w:t xml:space="preserve">The OPM 2021 hourly rate for a GS-12, step 5, employee was used in lieu of the 2018 hourly rate, to calculate the Government costs. </w:t>
      </w:r>
    </w:p>
    <w:p w:rsidR="00A11F14" w:rsidRDefault="00A11F14" w14:paraId="77B097F7" w14:textId="77777777">
      <w:pPr>
        <w:rPr>
          <w:rFonts w:ascii="Courier New" w:hAnsi="Courier New" w:eastAsia="Courier New" w:cs="Courier New"/>
          <w:sz w:val="24"/>
          <w:szCs w:val="24"/>
        </w:rPr>
      </w:pPr>
    </w:p>
    <w:p w:rsidR="00A11F14" w:rsidRDefault="00241F36" w14:paraId="4CC2D63E"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A11F14" w:rsidRDefault="00241F36" w14:paraId="69A1D792" w14:textId="77777777">
      <w:pPr>
        <w:rPr>
          <w:rFonts w:ascii="Courier New" w:hAnsi="Courier New" w:eastAsia="Courier New" w:cs="Courier New"/>
          <w:sz w:val="24"/>
          <w:szCs w:val="24"/>
        </w:rPr>
      </w:pPr>
      <w:r>
        <w:rPr>
          <w:rFonts w:ascii="Courier New" w:hAnsi="Courier New" w:eastAsia="Courier New" w:cs="Courier New"/>
          <w:sz w:val="24"/>
          <w:szCs w:val="24"/>
        </w:rPr>
        <w:lastRenderedPageBreak/>
        <w:t xml:space="preserve"> </w:t>
      </w:r>
    </w:p>
    <w:p w:rsidR="00A11F14" w:rsidRDefault="00241F36" w14:paraId="00D7EE16"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A11F14" w:rsidRDefault="00241F36" w14:paraId="76D560A3"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A11F14" w:rsidRDefault="00241F36" w14:paraId="72E93237"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A11F14" w:rsidRDefault="00241F36" w14:paraId="77386E06"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A11F14" w:rsidRDefault="00241F36" w14:paraId="4AE1DABC"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A11F14" w:rsidRDefault="00241F36" w14:paraId="55913031" w14:textId="77777777">
      <w:pPr>
        <w:rPr>
          <w:rFonts w:ascii="Courier New" w:hAnsi="Courier New" w:eastAsia="Courier New" w:cs="Courier New"/>
          <w:b/>
          <w:sz w:val="24"/>
          <w:szCs w:val="24"/>
        </w:rPr>
      </w:pPr>
      <w:r>
        <w:rPr>
          <w:rFonts w:ascii="Courier New" w:hAnsi="Courier New" w:eastAsia="Courier New" w:cs="Courier New"/>
          <w:sz w:val="24"/>
          <w:szCs w:val="24"/>
        </w:rPr>
        <w:t>Statistical methods are not used in this information collection.</w:t>
      </w:r>
    </w:p>
    <w:sectPr w:rsidR="00A11F14">
      <w:footerReference w:type="default" r:id="rId9"/>
      <w:pgSz w:w="12240" w:h="15840"/>
      <w:pgMar w:top="1440" w:right="1440" w:bottom="1080" w:left="1440" w:header="0" w:footer="4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F6F9E" w14:textId="77777777" w:rsidR="006F7890" w:rsidRDefault="006F7890">
      <w:pPr>
        <w:spacing w:line="240" w:lineRule="auto"/>
      </w:pPr>
      <w:r>
        <w:separator/>
      </w:r>
    </w:p>
  </w:endnote>
  <w:endnote w:type="continuationSeparator" w:id="0">
    <w:p w14:paraId="58BF3F92" w14:textId="77777777" w:rsidR="006F7890" w:rsidRDefault="006F7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F2772" w14:textId="77777777" w:rsidR="00A11F14" w:rsidRDefault="00A11F14">
    <w:pPr>
      <w:pBdr>
        <w:top w:val="nil"/>
        <w:left w:val="nil"/>
        <w:bottom w:val="nil"/>
        <w:right w:val="nil"/>
        <w:between w:val="nil"/>
      </w:pBdr>
      <w:tabs>
        <w:tab w:val="center" w:pos="4680"/>
        <w:tab w:val="right" w:pos="9360"/>
      </w:tabs>
      <w:spacing w:line="240" w:lineRule="auto"/>
      <w:jc w:val="center"/>
      <w:rPr>
        <w:color w:val="000000"/>
      </w:rPr>
    </w:pPr>
  </w:p>
  <w:p w14:paraId="2718FAC9" w14:textId="471F1D45" w:rsidR="00A11F14" w:rsidRDefault="00241F36">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8E356A">
      <w:rPr>
        <w:noProof/>
        <w:color w:val="000000"/>
      </w:rPr>
      <w:t>7</w:t>
    </w:r>
    <w:r>
      <w:rPr>
        <w:color w:val="000000"/>
      </w:rPr>
      <w:fldChar w:fldCharType="end"/>
    </w:r>
  </w:p>
  <w:p w14:paraId="0459B79B" w14:textId="77777777" w:rsidR="00A11F14" w:rsidRDefault="00A11F1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61F09" w14:textId="77777777" w:rsidR="006F7890" w:rsidRDefault="006F7890">
      <w:pPr>
        <w:spacing w:line="240" w:lineRule="auto"/>
      </w:pPr>
      <w:r>
        <w:separator/>
      </w:r>
    </w:p>
  </w:footnote>
  <w:footnote w:type="continuationSeparator" w:id="0">
    <w:p w14:paraId="0AF3D055" w14:textId="77777777" w:rsidR="006F7890" w:rsidRDefault="006F78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C387A"/>
    <w:multiLevelType w:val="multilevel"/>
    <w:tmpl w:val="AF3401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980548"/>
    <w:multiLevelType w:val="multilevel"/>
    <w:tmpl w:val="9D66D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92403D"/>
    <w:multiLevelType w:val="multilevel"/>
    <w:tmpl w:val="3CF4A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A32B4B"/>
    <w:multiLevelType w:val="multilevel"/>
    <w:tmpl w:val="0DFE3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C9163F"/>
    <w:multiLevelType w:val="multilevel"/>
    <w:tmpl w:val="2EA6DD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B100C06"/>
    <w:multiLevelType w:val="multilevel"/>
    <w:tmpl w:val="D1D8F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5C6F12"/>
    <w:multiLevelType w:val="multilevel"/>
    <w:tmpl w:val="C56692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6C071E"/>
    <w:multiLevelType w:val="multilevel"/>
    <w:tmpl w:val="73F29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4"/>
  </w:num>
  <w:num w:numId="3">
    <w:abstractNumId w:val="1"/>
  </w:num>
  <w:num w:numId="4">
    <w:abstractNumId w:val="6"/>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F14"/>
    <w:rsid w:val="001D34F8"/>
    <w:rsid w:val="001E0093"/>
    <w:rsid w:val="00241F36"/>
    <w:rsid w:val="002F5F57"/>
    <w:rsid w:val="004E4510"/>
    <w:rsid w:val="00597E9A"/>
    <w:rsid w:val="00655F85"/>
    <w:rsid w:val="006F7890"/>
    <w:rsid w:val="00727FBC"/>
    <w:rsid w:val="008E356A"/>
    <w:rsid w:val="009F35B1"/>
    <w:rsid w:val="00A11F14"/>
    <w:rsid w:val="00A21891"/>
    <w:rsid w:val="00B63714"/>
    <w:rsid w:val="00E3634D"/>
    <w:rsid w:val="00ED787A"/>
    <w:rsid w:val="00F6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4618"/>
  <w15:docId w15:val="{3914BE07-EC9A-4610-8ACA-6DAA3294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17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24B4F"/>
    <w:pPr>
      <w:ind w:left="720"/>
      <w:contextualSpacing/>
    </w:pPr>
  </w:style>
  <w:style w:type="character" w:styleId="Hyperlink">
    <w:name w:val="Hyperlink"/>
    <w:basedOn w:val="DefaultParagraphFont"/>
    <w:uiPriority w:val="99"/>
    <w:unhideWhenUsed/>
    <w:rsid w:val="00DA685F"/>
    <w:rPr>
      <w:color w:val="0000FF" w:themeColor="hyperlink"/>
      <w:u w:val="single"/>
    </w:rPr>
  </w:style>
  <w:style w:type="paragraph" w:styleId="EndnoteText">
    <w:name w:val="endnote text"/>
    <w:basedOn w:val="Normal"/>
    <w:link w:val="EndnoteTextChar"/>
    <w:uiPriority w:val="99"/>
    <w:semiHidden/>
    <w:unhideWhenUsed/>
    <w:rsid w:val="003C3B95"/>
    <w:pPr>
      <w:spacing w:line="240" w:lineRule="auto"/>
    </w:pPr>
    <w:rPr>
      <w:sz w:val="20"/>
      <w:szCs w:val="20"/>
    </w:rPr>
  </w:style>
  <w:style w:type="character" w:customStyle="1" w:styleId="EndnoteTextChar">
    <w:name w:val="Endnote Text Char"/>
    <w:basedOn w:val="DefaultParagraphFont"/>
    <w:link w:val="EndnoteText"/>
    <w:uiPriority w:val="99"/>
    <w:semiHidden/>
    <w:rsid w:val="003C3B95"/>
    <w:rPr>
      <w:sz w:val="20"/>
      <w:szCs w:val="20"/>
    </w:rPr>
  </w:style>
  <w:style w:type="character" w:styleId="EndnoteReference">
    <w:name w:val="endnote reference"/>
    <w:basedOn w:val="DefaultParagraphFont"/>
    <w:uiPriority w:val="99"/>
    <w:semiHidden/>
    <w:unhideWhenUsed/>
    <w:rsid w:val="003C3B95"/>
    <w:rPr>
      <w:vertAlign w:val="superscript"/>
    </w:rPr>
  </w:style>
  <w:style w:type="paragraph" w:styleId="FootnoteText">
    <w:name w:val="footnote text"/>
    <w:basedOn w:val="Normal"/>
    <w:link w:val="FootnoteTextChar"/>
    <w:uiPriority w:val="99"/>
    <w:semiHidden/>
    <w:unhideWhenUsed/>
    <w:rsid w:val="003C3B95"/>
    <w:pPr>
      <w:spacing w:line="240" w:lineRule="auto"/>
    </w:pPr>
    <w:rPr>
      <w:sz w:val="20"/>
      <w:szCs w:val="20"/>
    </w:rPr>
  </w:style>
  <w:style w:type="character" w:customStyle="1" w:styleId="FootnoteTextChar">
    <w:name w:val="Footnote Text Char"/>
    <w:basedOn w:val="DefaultParagraphFont"/>
    <w:link w:val="FootnoteText"/>
    <w:uiPriority w:val="99"/>
    <w:semiHidden/>
    <w:rsid w:val="003C3B95"/>
    <w:rPr>
      <w:sz w:val="20"/>
      <w:szCs w:val="20"/>
    </w:rPr>
  </w:style>
  <w:style w:type="character" w:styleId="FootnoteReference">
    <w:name w:val="footnote reference"/>
    <w:basedOn w:val="DefaultParagraphFont"/>
    <w:uiPriority w:val="99"/>
    <w:semiHidden/>
    <w:unhideWhenUsed/>
    <w:rsid w:val="003C3B95"/>
    <w:rPr>
      <w:vertAlign w:val="superscript"/>
    </w:rPr>
  </w:style>
  <w:style w:type="paragraph" w:styleId="Header">
    <w:name w:val="header"/>
    <w:basedOn w:val="Normal"/>
    <w:link w:val="HeaderChar"/>
    <w:uiPriority w:val="99"/>
    <w:unhideWhenUsed/>
    <w:rsid w:val="00B82159"/>
    <w:pPr>
      <w:tabs>
        <w:tab w:val="center" w:pos="4680"/>
        <w:tab w:val="right" w:pos="9360"/>
      </w:tabs>
      <w:spacing w:line="240" w:lineRule="auto"/>
    </w:pPr>
  </w:style>
  <w:style w:type="character" w:customStyle="1" w:styleId="HeaderChar">
    <w:name w:val="Header Char"/>
    <w:basedOn w:val="DefaultParagraphFont"/>
    <w:link w:val="Header"/>
    <w:uiPriority w:val="99"/>
    <w:rsid w:val="00B82159"/>
  </w:style>
  <w:style w:type="paragraph" w:styleId="Footer">
    <w:name w:val="footer"/>
    <w:basedOn w:val="Normal"/>
    <w:link w:val="FooterChar"/>
    <w:uiPriority w:val="99"/>
    <w:unhideWhenUsed/>
    <w:rsid w:val="00B82159"/>
    <w:pPr>
      <w:tabs>
        <w:tab w:val="center" w:pos="4680"/>
        <w:tab w:val="right" w:pos="9360"/>
      </w:tabs>
      <w:spacing w:line="240" w:lineRule="auto"/>
    </w:pPr>
  </w:style>
  <w:style w:type="character" w:customStyle="1" w:styleId="FooterChar">
    <w:name w:val="Footer Char"/>
    <w:basedOn w:val="DefaultParagraphFont"/>
    <w:link w:val="Footer"/>
    <w:uiPriority w:val="99"/>
    <w:rsid w:val="00B82159"/>
  </w:style>
  <w:style w:type="character" w:styleId="FollowedHyperlink">
    <w:name w:val="FollowedHyperlink"/>
    <w:basedOn w:val="DefaultParagraphFont"/>
    <w:uiPriority w:val="99"/>
    <w:semiHidden/>
    <w:unhideWhenUsed/>
    <w:rsid w:val="00B16615"/>
    <w:rPr>
      <w:color w:val="800080" w:themeColor="followedHyperlink"/>
      <w:u w:val="single"/>
    </w:rPr>
  </w:style>
  <w:style w:type="character" w:styleId="CommentReference">
    <w:name w:val="annotation reference"/>
    <w:basedOn w:val="DefaultParagraphFont"/>
    <w:uiPriority w:val="99"/>
    <w:semiHidden/>
    <w:unhideWhenUsed/>
    <w:rsid w:val="00D44AB3"/>
    <w:rPr>
      <w:sz w:val="16"/>
      <w:szCs w:val="16"/>
    </w:rPr>
  </w:style>
  <w:style w:type="paragraph" w:styleId="CommentText">
    <w:name w:val="annotation text"/>
    <w:basedOn w:val="Normal"/>
    <w:link w:val="CommentTextChar"/>
    <w:uiPriority w:val="99"/>
    <w:semiHidden/>
    <w:unhideWhenUsed/>
    <w:rsid w:val="00D44AB3"/>
    <w:pPr>
      <w:spacing w:line="240" w:lineRule="auto"/>
    </w:pPr>
    <w:rPr>
      <w:sz w:val="20"/>
      <w:szCs w:val="20"/>
    </w:rPr>
  </w:style>
  <w:style w:type="character" w:customStyle="1" w:styleId="CommentTextChar">
    <w:name w:val="Comment Text Char"/>
    <w:basedOn w:val="DefaultParagraphFont"/>
    <w:link w:val="CommentText"/>
    <w:uiPriority w:val="99"/>
    <w:semiHidden/>
    <w:rsid w:val="00D44AB3"/>
    <w:rPr>
      <w:sz w:val="20"/>
      <w:szCs w:val="20"/>
    </w:rPr>
  </w:style>
  <w:style w:type="paragraph" w:styleId="CommentSubject">
    <w:name w:val="annotation subject"/>
    <w:basedOn w:val="CommentText"/>
    <w:next w:val="CommentText"/>
    <w:link w:val="CommentSubjectChar"/>
    <w:uiPriority w:val="99"/>
    <w:semiHidden/>
    <w:unhideWhenUsed/>
    <w:rsid w:val="00D44AB3"/>
    <w:rPr>
      <w:b/>
      <w:bCs/>
    </w:rPr>
  </w:style>
  <w:style w:type="character" w:customStyle="1" w:styleId="CommentSubjectChar">
    <w:name w:val="Comment Subject Char"/>
    <w:basedOn w:val="CommentTextChar"/>
    <w:link w:val="CommentSubject"/>
    <w:uiPriority w:val="99"/>
    <w:semiHidden/>
    <w:rsid w:val="00D44AB3"/>
    <w:rPr>
      <w:b/>
      <w:bCs/>
      <w:sz w:val="20"/>
      <w:szCs w:val="20"/>
    </w:rPr>
  </w:style>
  <w:style w:type="paragraph" w:styleId="BalloonText">
    <w:name w:val="Balloon Text"/>
    <w:basedOn w:val="Normal"/>
    <w:link w:val="BalloonTextChar"/>
    <w:uiPriority w:val="99"/>
    <w:semiHidden/>
    <w:unhideWhenUsed/>
    <w:rsid w:val="00D44A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AB3"/>
    <w:rPr>
      <w:rFonts w:ascii="Tahoma" w:hAnsi="Tahoma" w:cs="Tahoma"/>
      <w:sz w:val="16"/>
      <w:szCs w:val="16"/>
    </w:rPr>
  </w:style>
  <w:style w:type="character" w:customStyle="1" w:styleId="UnresolvedMention1">
    <w:name w:val="Unresolved Mention1"/>
    <w:basedOn w:val="DefaultParagraphFont"/>
    <w:uiPriority w:val="99"/>
    <w:semiHidden/>
    <w:unhideWhenUsed/>
    <w:rsid w:val="001505DF"/>
    <w:rPr>
      <w:color w:val="605E5C"/>
      <w:shd w:val="clear" w:color="auto" w:fill="E1DFDD"/>
    </w:rPr>
  </w:style>
  <w:style w:type="table" w:styleId="TableGrid">
    <w:name w:val="Table Grid"/>
    <w:basedOn w:val="TableNormal"/>
    <w:uiPriority w:val="59"/>
    <w:rsid w:val="00181C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paragraph" w:styleId="Revision">
    <w:name w:val="Revision"/>
    <w:hidden/>
    <w:uiPriority w:val="99"/>
    <w:semiHidden/>
    <w:rsid w:val="005234AF"/>
    <w:pPr>
      <w:spacing w:line="240" w:lineRule="auto"/>
    </w:p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ls.gov/oes/current/oes2300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Qf/l53yEirCNVOGfC9kwOfrsCw==">AMUW2mV+Fy5z/Jpy/Y+LAYwJ5L9CUBGuppSdNdZTiJThBgI9PMIKiXLPUJfv7DNsgEkPzZ83c/9MNqp/p4Ik7NX9PT0BU8Q3NIzyNEEVGI55LCvOu9T9DNrR16a4Q0RECji7oYiTPfpNKhNRKsDwuYR/LKi9eQoIvotz1UPi8V0NMDKKds7DJYdcD+4R9LjPRNsWDM7Q0YukcwYBuRfAAoboH0PmYguolUJP8RK//PrfwsGe8+scg75CgAUpxtZuqkp5GLR9PnCoV4xel01ayZmE7NqD74e3YSsCjhA4Zzq3z1A5l0IcPV9iK9GW9I7/GdNOOoVRI8uopF1tvUu6O7MMFswY0JM5AexAY0dEwL5/APrmRP3Qf30C9VbgPUtsRhE0vt93Yzufs7/OqADZQPCkOZe5jLg/Jy5Q48AVM6Q360E1IImGDxYbhld1EecF4u8KECc9vXsBBdMD9GXfA3qkgXtEX/q6jM+SHWliHVnEj1x3lPhMVT3EKIKF+YnhN1oGHJ3ivfWo1ixk2QupDYXkegd6LQcKCyIPxSgJLnC5tOcjUmJgsk/69fyvEQtcy8fDohkDGOENOB7d/aT3sv6YLvDt9Lrwym2+SfTvhaM15xLblhSW5RpAn1Zz9ExFoPSKyZJ7X4wAOjf0uztm+ppIRFBL15xg8xBbbIGNN798FxWbI9rTvNylmBOWWB2AVW1sTJ8/QqLw8LEqLqlulBSkrspdr2XuDS+YCEQItwN6sEAeYY9j5/k6wnlR5kByz2H+m+7KkVqipTct6BgMnwfbxJsH5Yz2xQZkegenfOeGdOKK6sWcTTAgE7b1+QMNxOxV9uYscmYm9XF9tiercY0D8aTNKa/RO5CruC2mcf0q8kjo59ndjvNRyrfzVztMYgfhQYhqIIQHso1ZqdWX08yo9uBrpsyg9CMYYYWZ0G3+kqpQQOwhdtFlI7uIf86mBbfz+/LBg52Qk+KCrcg29Tkk9sK3Zrv7Us98rBAhh62sw2PIzjTYDU5rE6C0UCkPxumZE+SrwmJTVg3jXFErS/NS5y8O2DZvbXBIDHm70+86RBrT2WynsSd+Ag92zsJsPNSPdEfKVq47jo794Rm24Wjtabq4eTWyPyqBjfc+q8axH2QwH7zEIoswZIux74X5regw4mk8GHKSVvkQlNvJrFrlOs7mxB30OoQEQHnh3PwplDRcUWdt/rjNHYxPG5/+UABGetR409ZHI8aEAZkXxyEbH50LZAfFpULtNIEQAVM27zZc0mUprirtVl8dJqZqvOFD51WZKUJA70qsll4Kd7AK2HwctZQGSqso5Kvth7t2NTlWQysUh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NicoleDBynum</cp:lastModifiedBy>
  <cp:revision>8</cp:revision>
  <dcterms:created xsi:type="dcterms:W3CDTF">2021-04-08T18:45:00Z</dcterms:created>
  <dcterms:modified xsi:type="dcterms:W3CDTF">2021-04-16T18:23:00Z</dcterms:modified>
</cp:coreProperties>
</file>