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02" w:rsidP="00C240B9" w:rsidRDefault="00F63D02" w14:paraId="3B2410B0" w14:textId="77777777">
      <w:pPr>
        <w:jc w:val="center"/>
        <w:outlineLvl w:val="0"/>
        <w:rPr>
          <w:rFonts w:asciiTheme="minorHAnsi" w:hAnsiTheme="minorHAnsi" w:cstheme="minorHAnsi"/>
          <w:b/>
          <w:bCs/>
        </w:rPr>
      </w:pPr>
      <w:bookmarkStart w:name="_GoBack" w:id="0"/>
      <w:bookmarkEnd w:id="0"/>
      <w:r w:rsidRPr="00AE5F2F">
        <w:rPr>
          <w:rFonts w:asciiTheme="minorHAnsi" w:hAnsiTheme="minorHAnsi" w:cstheme="minorHAnsi"/>
          <w:b/>
          <w:bCs/>
        </w:rPr>
        <w:t>Memorandum</w:t>
      </w:r>
    </w:p>
    <w:p w:rsidRPr="00AE5F2F" w:rsidR="00C240B9" w:rsidP="00C240B9" w:rsidRDefault="00C240B9" w14:paraId="71A10C06" w14:textId="77777777">
      <w:pPr>
        <w:jc w:val="center"/>
        <w:outlineLvl w:val="0"/>
        <w:rPr>
          <w:rFonts w:asciiTheme="minorHAnsi" w:hAnsiTheme="minorHAnsi" w:cstheme="minorHAnsi"/>
          <w:b/>
          <w:bCs/>
        </w:rPr>
      </w:pPr>
    </w:p>
    <w:p w:rsidRPr="00494A68" w:rsidR="00F63D02" w:rsidP="00494A68" w:rsidRDefault="00F63D02" w14:paraId="4A572516" w14:textId="4110B4B4">
      <w:pPr>
        <w:spacing w:after="240"/>
        <w:rPr>
          <w:rFonts w:asciiTheme="minorHAnsi" w:hAnsiTheme="minorHAnsi" w:cstheme="minorHAnsi"/>
          <w:b/>
          <w:bCs/>
        </w:rPr>
      </w:pPr>
      <w:r w:rsidRPr="00AE5F2F">
        <w:rPr>
          <w:rFonts w:asciiTheme="minorHAnsi" w:hAnsiTheme="minorHAnsi" w:cstheme="minorHAnsi"/>
          <w:b/>
          <w:bCs/>
        </w:rPr>
        <w:t>Date:</w:t>
      </w:r>
      <w:r w:rsidRPr="00AE5F2F">
        <w:rPr>
          <w:rFonts w:asciiTheme="minorHAnsi" w:hAnsiTheme="minorHAnsi" w:cstheme="minorHAnsi"/>
          <w:b/>
          <w:bCs/>
        </w:rPr>
        <w:tab/>
      </w:r>
      <w:r w:rsidRPr="00AE5F2F">
        <w:rPr>
          <w:rFonts w:asciiTheme="minorHAnsi" w:hAnsiTheme="minorHAnsi" w:cstheme="minorHAnsi"/>
          <w:b/>
          <w:bCs/>
        </w:rPr>
        <w:tab/>
      </w:r>
      <w:r w:rsidR="004C3D47">
        <w:rPr>
          <w:rFonts w:asciiTheme="minorHAnsi" w:hAnsiTheme="minorHAnsi" w:cstheme="minorHAnsi"/>
          <w:b/>
          <w:bCs/>
        </w:rPr>
        <w:t xml:space="preserve">25 </w:t>
      </w:r>
      <w:r w:rsidR="000A35CB">
        <w:rPr>
          <w:rFonts w:asciiTheme="minorHAnsi" w:hAnsiTheme="minorHAnsi" w:cstheme="minorHAnsi"/>
          <w:b/>
          <w:bCs/>
        </w:rPr>
        <w:t xml:space="preserve">June </w:t>
      </w:r>
      <w:r w:rsidR="00CD4224">
        <w:rPr>
          <w:rFonts w:asciiTheme="minorHAnsi" w:hAnsiTheme="minorHAnsi" w:cstheme="minorHAnsi"/>
          <w:b/>
          <w:bCs/>
        </w:rPr>
        <w:t>2020</w:t>
      </w:r>
    </w:p>
    <w:p w:rsidRPr="00AE5F2F" w:rsidR="00F63D02" w:rsidP="00F63D02" w:rsidRDefault="00F63D02" w14:paraId="0C368DD8" w14:textId="77777777">
      <w:pPr>
        <w:rPr>
          <w:rFonts w:asciiTheme="minorHAnsi" w:hAnsiTheme="minorHAnsi" w:cstheme="minorHAnsi"/>
          <w:b/>
          <w:bCs/>
          <w:sz w:val="22"/>
          <w:szCs w:val="22"/>
        </w:rPr>
      </w:pPr>
      <w:r w:rsidRPr="00AE5F2F">
        <w:rPr>
          <w:rFonts w:asciiTheme="minorHAnsi" w:hAnsiTheme="minorHAnsi" w:cstheme="minorHAnsi"/>
          <w:b/>
          <w:bCs/>
          <w:szCs w:val="22"/>
        </w:rPr>
        <w:t>To:</w:t>
      </w:r>
      <w:r w:rsidRPr="00AE5F2F">
        <w:rPr>
          <w:rFonts w:asciiTheme="minorHAnsi" w:hAnsiTheme="minorHAnsi" w:cstheme="minorHAnsi"/>
          <w:b/>
          <w:bCs/>
          <w:szCs w:val="22"/>
        </w:rPr>
        <w:tab/>
      </w:r>
      <w:r w:rsidRPr="00AE5F2F">
        <w:rPr>
          <w:rFonts w:asciiTheme="minorHAnsi" w:hAnsiTheme="minorHAnsi" w:cstheme="minorHAnsi"/>
          <w:b/>
          <w:bCs/>
          <w:szCs w:val="22"/>
        </w:rPr>
        <w:tab/>
      </w:r>
      <w:r w:rsidR="00480FFE">
        <w:rPr>
          <w:rFonts w:asciiTheme="minorHAnsi" w:hAnsiTheme="minorHAnsi" w:eastAsiaTheme="minorEastAsia" w:cstheme="minorHAnsi"/>
          <w:b/>
          <w:bCs/>
          <w:szCs w:val="22"/>
        </w:rPr>
        <w:t>James Crowe</w:t>
      </w:r>
      <w:r w:rsidRPr="00AE5F2F">
        <w:rPr>
          <w:rFonts w:asciiTheme="minorHAnsi" w:hAnsiTheme="minorHAnsi" w:eastAsiaTheme="minorEastAsia" w:cstheme="minorHAnsi"/>
          <w:b/>
          <w:bCs/>
          <w:szCs w:val="22"/>
        </w:rPr>
        <w:t>, OMB Desk Officer</w:t>
      </w:r>
    </w:p>
    <w:p w:rsidRPr="00AE5F2F" w:rsidR="00F63D02" w:rsidP="00F63D02" w:rsidRDefault="00F63D02" w14:paraId="23EC4A92" w14:textId="77777777">
      <w:pPr>
        <w:rPr>
          <w:rFonts w:asciiTheme="minorHAnsi" w:hAnsiTheme="minorHAnsi" w:cstheme="minorHAnsi"/>
          <w:b/>
          <w:bCs/>
          <w:sz w:val="22"/>
          <w:szCs w:val="22"/>
        </w:rPr>
      </w:pPr>
    </w:p>
    <w:p w:rsidRPr="00AE5F2F" w:rsidR="00F63D02" w:rsidP="00F63D02" w:rsidRDefault="00F63D02" w14:paraId="3AF5983C" w14:textId="77777777">
      <w:pPr>
        <w:autoSpaceDE w:val="0"/>
        <w:autoSpaceDN w:val="0"/>
        <w:adjustRightInd w:val="0"/>
        <w:rPr>
          <w:rFonts w:asciiTheme="minorHAnsi" w:hAnsiTheme="minorHAnsi" w:eastAsiaTheme="minorEastAsia" w:cstheme="minorHAnsi"/>
          <w:b/>
          <w:bCs/>
        </w:rPr>
      </w:pPr>
      <w:r w:rsidRPr="00AE5F2F">
        <w:rPr>
          <w:rFonts w:asciiTheme="minorHAnsi" w:hAnsiTheme="minorHAnsi" w:cstheme="minorHAnsi"/>
          <w:b/>
          <w:bCs/>
        </w:rPr>
        <w:t>Through:</w:t>
      </w:r>
      <w:r w:rsidRPr="00AE5F2F">
        <w:rPr>
          <w:rFonts w:asciiTheme="minorHAnsi" w:hAnsiTheme="minorHAnsi" w:cstheme="minorHAnsi"/>
          <w:b/>
          <w:bCs/>
        </w:rPr>
        <w:tab/>
      </w:r>
      <w:r w:rsidRPr="00AE5F2F">
        <w:rPr>
          <w:rFonts w:asciiTheme="minorHAnsi" w:hAnsiTheme="minorHAnsi" w:eastAsiaTheme="minorEastAsia" w:cstheme="minorHAnsi"/>
          <w:b/>
          <w:bCs/>
        </w:rPr>
        <w:t>Ruth Brown, United States Department of Agriculture, Office of the Chief</w:t>
      </w:r>
    </w:p>
    <w:p w:rsidRPr="00AE5F2F" w:rsidR="00F63D02" w:rsidP="00F63D02" w:rsidRDefault="00F63D02" w14:paraId="7ADDFD6D" w14:textId="77777777">
      <w:pPr>
        <w:ind w:left="1440"/>
        <w:rPr>
          <w:rFonts w:asciiTheme="minorHAnsi" w:hAnsiTheme="minorHAnsi" w:eastAsiaTheme="minorEastAsia" w:cstheme="minorHAnsi"/>
          <w:b/>
          <w:bCs/>
        </w:rPr>
      </w:pPr>
      <w:r w:rsidRPr="00AE5F2F">
        <w:rPr>
          <w:rFonts w:asciiTheme="minorHAnsi" w:hAnsiTheme="minorHAnsi" w:eastAsiaTheme="minorEastAsia" w:cstheme="minorHAnsi"/>
          <w:b/>
          <w:bCs/>
        </w:rPr>
        <w:t>Information Officer</w:t>
      </w:r>
    </w:p>
    <w:p w:rsidRPr="00AE5F2F" w:rsidR="00F63D02" w:rsidP="00F63D02" w:rsidRDefault="00F63D02" w14:paraId="31503150" w14:textId="77777777">
      <w:pPr>
        <w:ind w:left="1440"/>
        <w:rPr>
          <w:rFonts w:asciiTheme="minorHAnsi" w:hAnsiTheme="minorHAnsi" w:cstheme="minorHAnsi"/>
          <w:b/>
          <w:bCs/>
        </w:rPr>
      </w:pPr>
    </w:p>
    <w:p w:rsidRPr="00AE5F2F" w:rsidR="00F63D02" w:rsidP="00F63D02" w:rsidRDefault="00F63D02" w14:paraId="6C80A77F" w14:textId="0775A4D2">
      <w:pPr>
        <w:autoSpaceDE w:val="0"/>
        <w:autoSpaceDN w:val="0"/>
        <w:adjustRightInd w:val="0"/>
        <w:ind w:left="1440" w:hanging="1440"/>
        <w:rPr>
          <w:rFonts w:asciiTheme="minorHAnsi" w:hAnsiTheme="minorHAnsi" w:eastAsiaTheme="minorEastAsia" w:cstheme="minorHAnsi"/>
          <w:b/>
          <w:bCs/>
        </w:rPr>
      </w:pPr>
      <w:r w:rsidRPr="00AE5F2F">
        <w:rPr>
          <w:rFonts w:asciiTheme="minorHAnsi" w:hAnsiTheme="minorHAnsi" w:cstheme="minorHAnsi"/>
          <w:b/>
          <w:bCs/>
        </w:rPr>
        <w:t xml:space="preserve">From:  </w:t>
      </w:r>
      <w:r w:rsidRPr="00AE5F2F">
        <w:rPr>
          <w:rFonts w:asciiTheme="minorHAnsi" w:hAnsiTheme="minorHAnsi" w:cstheme="minorHAnsi"/>
          <w:b/>
          <w:bCs/>
        </w:rPr>
        <w:tab/>
      </w:r>
      <w:r w:rsidR="00CA2049">
        <w:rPr>
          <w:rFonts w:asciiTheme="minorHAnsi" w:hAnsiTheme="minorHAnsi" w:eastAsiaTheme="minorEastAsia" w:cstheme="minorHAnsi"/>
          <w:b/>
          <w:bCs/>
        </w:rPr>
        <w:t>Christina Sandberg</w:t>
      </w:r>
      <w:r w:rsidR="008718E0">
        <w:rPr>
          <w:rFonts w:asciiTheme="minorHAnsi" w:hAnsiTheme="minorHAnsi" w:eastAsiaTheme="minorEastAsia" w:cstheme="minorHAnsi"/>
          <w:b/>
          <w:bCs/>
        </w:rPr>
        <w:t xml:space="preserve">        </w:t>
      </w:r>
      <w:r w:rsidRPr="008718E0" w:rsidR="008718E0">
        <w:rPr>
          <w:rFonts w:asciiTheme="minorHAnsi" w:hAnsiTheme="minorHAnsi" w:eastAsiaTheme="minorEastAsia" w:cstheme="minorHAnsi"/>
          <w:b/>
          <w:bCs/>
          <w:color w:val="7030A0"/>
        </w:rPr>
        <w:t>C.S.</w:t>
      </w:r>
    </w:p>
    <w:p w:rsidRPr="00AE5F2F" w:rsidR="00F63D02" w:rsidP="00F63D02" w:rsidRDefault="00F63D02" w14:paraId="1EA6A062" w14:textId="538D1594">
      <w:pPr>
        <w:autoSpaceDE w:val="0"/>
        <w:autoSpaceDN w:val="0"/>
        <w:adjustRightInd w:val="0"/>
        <w:ind w:left="1440"/>
        <w:rPr>
          <w:rFonts w:asciiTheme="minorHAnsi" w:hAnsiTheme="minorHAnsi" w:eastAsiaTheme="minorEastAsia" w:cstheme="minorHAnsi"/>
          <w:b/>
          <w:bCs/>
        </w:rPr>
      </w:pPr>
      <w:r w:rsidRPr="00AE5F2F">
        <w:rPr>
          <w:rFonts w:asciiTheme="minorHAnsi" w:hAnsiTheme="minorHAnsi" w:eastAsiaTheme="minorEastAsia" w:cstheme="minorHAnsi"/>
          <w:b/>
          <w:bCs/>
        </w:rPr>
        <w:t xml:space="preserve">Food and Nutrition Service, </w:t>
      </w:r>
      <w:r w:rsidR="00CA2049">
        <w:rPr>
          <w:rFonts w:asciiTheme="minorHAnsi" w:hAnsiTheme="minorHAnsi" w:eastAsiaTheme="minorEastAsia" w:cstheme="minorHAnsi"/>
          <w:b/>
          <w:bCs/>
        </w:rPr>
        <w:t>Information Collection Officer</w:t>
      </w:r>
      <w:r w:rsidRPr="00AE5F2F">
        <w:rPr>
          <w:rFonts w:asciiTheme="minorHAnsi" w:hAnsiTheme="minorHAnsi" w:eastAsiaTheme="minorEastAsia" w:cstheme="minorHAnsi"/>
          <w:b/>
          <w:bCs/>
        </w:rPr>
        <w:t>, Planning &amp; Regulatory Affairs</w:t>
      </w:r>
    </w:p>
    <w:p w:rsidRPr="00AE5F2F" w:rsidR="00F63D02" w:rsidP="00F63D02" w:rsidRDefault="00F63D02" w14:paraId="7963A325" w14:textId="77777777">
      <w:pPr>
        <w:autoSpaceDE w:val="0"/>
        <w:autoSpaceDN w:val="0"/>
        <w:adjustRightInd w:val="0"/>
        <w:ind w:left="1440"/>
        <w:rPr>
          <w:rFonts w:asciiTheme="minorHAnsi" w:hAnsiTheme="minorHAnsi" w:cstheme="minorHAnsi"/>
          <w:b/>
          <w:bCs/>
        </w:rPr>
      </w:pPr>
    </w:p>
    <w:p w:rsidRPr="00AE5F2F" w:rsidR="00F63D02" w:rsidP="00F63D02" w:rsidRDefault="00F63D02" w14:paraId="7E76B095" w14:textId="77777777">
      <w:pPr>
        <w:ind w:left="1440" w:hanging="1440"/>
        <w:rPr>
          <w:rFonts w:asciiTheme="minorHAnsi" w:hAnsiTheme="minorHAnsi" w:cstheme="minorHAnsi"/>
          <w:b/>
          <w:bCs/>
        </w:rPr>
      </w:pPr>
      <w:r w:rsidRPr="00AE5F2F">
        <w:rPr>
          <w:rFonts w:asciiTheme="minorHAnsi" w:hAnsiTheme="minorHAnsi" w:cstheme="minorHAnsi"/>
          <w:b/>
          <w:bCs/>
        </w:rPr>
        <w:t>Re:</w:t>
      </w:r>
      <w:r w:rsidRPr="00AE5F2F">
        <w:rPr>
          <w:rFonts w:asciiTheme="minorHAnsi" w:hAnsiTheme="minorHAnsi" w:cstheme="minorHAnsi"/>
          <w:b/>
          <w:bCs/>
        </w:rPr>
        <w:tab/>
        <w:t xml:space="preserve">Under Approved Generic OMB Clearance No.0584-0524 Request for Approval for Evaluation of </w:t>
      </w:r>
      <w:r w:rsidR="00311861">
        <w:rPr>
          <w:rFonts w:asciiTheme="minorHAnsi" w:hAnsiTheme="minorHAnsi" w:cstheme="minorHAnsi"/>
          <w:b/>
          <w:bCs/>
        </w:rPr>
        <w:t>FY 2019</w:t>
      </w:r>
      <w:r w:rsidRPr="00AE5F2F">
        <w:rPr>
          <w:rFonts w:asciiTheme="minorHAnsi" w:hAnsiTheme="minorHAnsi" w:cstheme="minorHAnsi"/>
          <w:b/>
          <w:bCs/>
        </w:rPr>
        <w:t xml:space="preserve"> Summer Electronic</w:t>
      </w:r>
      <w:r w:rsidR="00311861">
        <w:rPr>
          <w:rFonts w:asciiTheme="minorHAnsi" w:hAnsiTheme="minorHAnsi" w:cstheme="minorHAnsi"/>
          <w:b/>
          <w:bCs/>
        </w:rPr>
        <w:t xml:space="preserve"> Benefit Transfer (EBT) Demonstrations</w:t>
      </w:r>
    </w:p>
    <w:p w:rsidR="00494A68" w:rsidP="00F63D02" w:rsidRDefault="00494A68" w14:paraId="2A6144EF" w14:textId="77777777">
      <w:pPr>
        <w:rPr>
          <w:rFonts w:asciiTheme="minorHAnsi" w:hAnsiTheme="minorHAnsi" w:cstheme="minorHAnsi"/>
        </w:rPr>
      </w:pPr>
    </w:p>
    <w:p w:rsidRPr="00AE5F2F" w:rsidR="00F63D02" w:rsidP="004474AF" w:rsidRDefault="00F63D02" w14:paraId="709E4197" w14:textId="67D308C9">
      <w:pPr>
        <w:pStyle w:val="BodyText"/>
      </w:pPr>
      <w:r w:rsidRPr="00AE5F2F">
        <w:t xml:space="preserve">The Food and Nutrition Service (FNS) of the United States Department of Agriculture (USDA) is requesting approval </w:t>
      </w:r>
      <w:r w:rsidRPr="00AE5F2F" w:rsidR="00870913">
        <w:t>for research</w:t>
      </w:r>
      <w:r w:rsidRPr="00AE5F2F">
        <w:t xml:space="preserve"> under Approved Generic OMB </w:t>
      </w:r>
      <w:r w:rsidR="00606AB5">
        <w:t>Control</w:t>
      </w:r>
      <w:r w:rsidRPr="00AE5F2F">
        <w:t xml:space="preserve"> No.</w:t>
      </w:r>
      <w:r w:rsidRPr="00AE5F2F">
        <w:rPr>
          <w:bCs/>
        </w:rPr>
        <w:t xml:space="preserve"> 0584-</w:t>
      </w:r>
      <w:r w:rsidRPr="00AE5F2F" w:rsidR="00835AA0">
        <w:rPr>
          <w:bCs/>
        </w:rPr>
        <w:t>0524</w:t>
      </w:r>
      <w:r w:rsidR="00606AB5">
        <w:rPr>
          <w:bCs/>
        </w:rPr>
        <w:t xml:space="preserve"> Generic Clearance to Conduct Formative Research or Development of Nutrition Education and Promotion Materials and Related Tools and Grants for FNS Population Groups</w:t>
      </w:r>
      <w:r w:rsidR="00716F16">
        <w:rPr>
          <w:bCs/>
        </w:rPr>
        <w:t>.</w:t>
      </w:r>
    </w:p>
    <w:p w:rsidRPr="00AE5F2F" w:rsidR="00F63D02" w:rsidP="004474AF" w:rsidRDefault="00F63D02" w14:paraId="0247239D" w14:textId="77777777">
      <w:pPr>
        <w:pStyle w:val="BodyText"/>
      </w:pPr>
    </w:p>
    <w:p w:rsidRPr="00AE5F2F" w:rsidR="00F63D02" w:rsidP="004474AF" w:rsidRDefault="00F63D02" w14:paraId="7E2DE4EB" w14:textId="2CDA362F">
      <w:pPr>
        <w:pStyle w:val="BodyText"/>
      </w:pPr>
      <w:r w:rsidRPr="00AE5F2F">
        <w:t xml:space="preserve">This request is to acquire clearance </w:t>
      </w:r>
      <w:r w:rsidRPr="00AE5F2F" w:rsidR="00870913">
        <w:t xml:space="preserve">to </w:t>
      </w:r>
      <w:r w:rsidR="00ED7DF6">
        <w:t>conduct a</w:t>
      </w:r>
      <w:r w:rsidRPr="00AE5F2F" w:rsidR="00ED7DF6">
        <w:t xml:space="preserve"> </w:t>
      </w:r>
      <w:r w:rsidR="00480FFE">
        <w:t>formative e</w:t>
      </w:r>
      <w:r w:rsidRPr="00AE5F2F">
        <w:t>valuation of</w:t>
      </w:r>
      <w:r w:rsidR="00480FFE">
        <w:t xml:space="preserve"> </w:t>
      </w:r>
      <w:r w:rsidR="00D32C51">
        <w:t xml:space="preserve">the </w:t>
      </w:r>
      <w:r w:rsidRPr="00480FFE" w:rsidR="00480FFE">
        <w:t>FY 2019 Summer Electronic Benefit Transfer for Children (Summer EBT) Demonstrations</w:t>
      </w:r>
      <w:r w:rsidR="00480FFE">
        <w:t>.</w:t>
      </w:r>
      <w:r w:rsidRPr="00AE5F2F">
        <w:t xml:space="preserve">  </w:t>
      </w:r>
      <w:r w:rsidR="002978C0">
        <w:t>This research</w:t>
      </w:r>
      <w:r w:rsidRPr="00AE5F2F" w:rsidR="002978C0">
        <w:t xml:space="preserve"> will document grantee implementation processes, challenges, and successes and </w:t>
      </w:r>
      <w:r w:rsidR="002978C0">
        <w:t xml:space="preserve">will </w:t>
      </w:r>
      <w:r w:rsidRPr="00AE5F2F" w:rsidR="002978C0">
        <w:t>describe participant and retailer experiences with Summer EBT</w:t>
      </w:r>
      <w:r w:rsidR="002978C0">
        <w:t xml:space="preserve">. </w:t>
      </w:r>
      <w:r w:rsidR="00F02B8D">
        <w:t xml:space="preserve">The study consists of a series of site visits, completed on an annual basis. </w:t>
      </w:r>
      <w:r w:rsidR="002978C0">
        <w:t xml:space="preserve">Annual </w:t>
      </w:r>
      <w:r w:rsidR="00125FFF">
        <w:t xml:space="preserve">data collection activities </w:t>
      </w:r>
      <w:r w:rsidR="00F15CDB">
        <w:t xml:space="preserve">during the period of </w:t>
      </w:r>
      <w:r w:rsidR="002978C0">
        <w:t xml:space="preserve">2020-2022 will </w:t>
      </w:r>
      <w:r w:rsidR="002C604A">
        <w:t>include</w:t>
      </w:r>
      <w:r w:rsidRPr="00AE5F2F" w:rsidR="002C604A">
        <w:t xml:space="preserve"> </w:t>
      </w:r>
      <w:r w:rsidRPr="00AE5F2F">
        <w:t>semi-structured interviews with key grantee staff</w:t>
      </w:r>
      <w:r w:rsidR="00F02B8D">
        <w:t>;</w:t>
      </w:r>
      <w:r w:rsidRPr="00AE5F2F">
        <w:t xml:space="preserve"> school food authorities (SFAs)</w:t>
      </w:r>
      <w:r w:rsidR="00F02B8D">
        <w:t>;</w:t>
      </w:r>
      <w:r w:rsidRPr="00AE5F2F">
        <w:t xml:space="preserve"> </w:t>
      </w:r>
      <w:r w:rsidR="00F02B8D">
        <w:t>r</w:t>
      </w:r>
      <w:r w:rsidRPr="00AE5F2F">
        <w:t xml:space="preserve">etailers who </w:t>
      </w:r>
      <w:r w:rsidRPr="00AE5F2F" w:rsidR="008A4E13">
        <w:t>participa</w:t>
      </w:r>
      <w:r w:rsidR="008A4E13">
        <w:t>te</w:t>
      </w:r>
      <w:r w:rsidRPr="00AE5F2F" w:rsidR="008A4E13">
        <w:t xml:space="preserve"> </w:t>
      </w:r>
      <w:r w:rsidRPr="00AE5F2F">
        <w:t xml:space="preserve">in the Summer EBT </w:t>
      </w:r>
      <w:r w:rsidR="00D246B6">
        <w:t>project</w:t>
      </w:r>
      <w:r w:rsidR="00F02B8D">
        <w:t>; and</w:t>
      </w:r>
      <w:r w:rsidRPr="00AE5F2F">
        <w:t xml:space="preserve"> focus groups with parents/caregiver</w:t>
      </w:r>
      <w:r w:rsidRPr="00AE5F2F" w:rsidR="000B1BB0">
        <w:t>s of children</w:t>
      </w:r>
      <w:r w:rsidRPr="00AE5F2F">
        <w:t xml:space="preserve"> who receive these benefits.  </w:t>
      </w:r>
      <w:r w:rsidR="002978C0">
        <w:t>R</w:t>
      </w:r>
      <w:r w:rsidR="007E67CF">
        <w:t xml:space="preserve">ecruitment of </w:t>
      </w:r>
      <w:r w:rsidR="00EB082D">
        <w:t xml:space="preserve">interviewees and participants in early summer </w:t>
      </w:r>
      <w:r w:rsidR="002978C0">
        <w:t xml:space="preserve">of </w:t>
      </w:r>
      <w:r w:rsidR="002C604A">
        <w:t xml:space="preserve">2020 </w:t>
      </w:r>
      <w:r w:rsidR="00EB082D">
        <w:t xml:space="preserve">for site visits </w:t>
      </w:r>
      <w:r w:rsidR="00F02B8D">
        <w:t>(</w:t>
      </w:r>
      <w:r w:rsidR="00EB082D">
        <w:t xml:space="preserve">while Summer EBT </w:t>
      </w:r>
      <w:r w:rsidR="00D246B6">
        <w:t>project</w:t>
      </w:r>
      <w:r w:rsidR="00F23259">
        <w:t>s</w:t>
      </w:r>
      <w:r w:rsidR="00EB082D">
        <w:t xml:space="preserve"> </w:t>
      </w:r>
      <w:r w:rsidR="00F23259">
        <w:t>are</w:t>
      </w:r>
      <w:r w:rsidR="00EB082D">
        <w:t xml:space="preserve"> operati</w:t>
      </w:r>
      <w:r w:rsidR="00F23259">
        <w:t>ng</w:t>
      </w:r>
      <w:r w:rsidR="00F02B8D">
        <w:t>)</w:t>
      </w:r>
      <w:r w:rsidR="00EB082D">
        <w:t xml:space="preserve"> is important for the success of the data collection activities.</w:t>
      </w:r>
    </w:p>
    <w:p w:rsidRPr="00AE5F2F" w:rsidR="00F63D02" w:rsidP="004474AF" w:rsidRDefault="00F63D02" w14:paraId="41B415FE" w14:textId="77777777">
      <w:pPr>
        <w:pStyle w:val="BodyText"/>
      </w:pPr>
    </w:p>
    <w:p w:rsidRPr="00494A68" w:rsidR="00F63D02" w:rsidP="004474AF" w:rsidRDefault="00F63D02" w14:paraId="34BC7D2D" w14:textId="77777777">
      <w:pPr>
        <w:pStyle w:val="BodyText"/>
        <w:rPr>
          <w:b/>
          <w:bCs/>
        </w:rPr>
      </w:pPr>
      <w:r w:rsidRPr="00AE5F2F">
        <w:t>The following information is provided for your review:</w:t>
      </w:r>
    </w:p>
    <w:p w:rsidRPr="00095349" w:rsidR="00095349" w:rsidP="0044216D" w:rsidRDefault="00F63D02" w14:paraId="3E1B0143" w14:textId="77777777">
      <w:pPr>
        <w:pStyle w:val="Heading1"/>
        <w:rPr>
          <w:bCs/>
        </w:rPr>
      </w:pPr>
      <w:r w:rsidRPr="00AE5F2F">
        <w:t xml:space="preserve">Title </w:t>
      </w:r>
      <w:r w:rsidRPr="0044216D">
        <w:t>of</w:t>
      </w:r>
      <w:r w:rsidRPr="00AE5F2F">
        <w:t xml:space="preserve"> the P</w:t>
      </w:r>
      <w:r w:rsidR="00311861">
        <w:t xml:space="preserve">roject: </w:t>
      </w:r>
    </w:p>
    <w:p w:rsidRPr="00095349" w:rsidR="00F63D02" w:rsidP="00095349" w:rsidRDefault="00311861" w14:paraId="2D0C3FFB" w14:textId="77777777">
      <w:pPr>
        <w:ind w:left="360"/>
        <w:outlineLvl w:val="0"/>
        <w:rPr>
          <w:rFonts w:asciiTheme="minorHAnsi" w:hAnsiTheme="minorHAnsi" w:cstheme="minorHAnsi"/>
          <w:bCs/>
        </w:rPr>
      </w:pPr>
      <w:r w:rsidRPr="00095349">
        <w:rPr>
          <w:rFonts w:asciiTheme="minorHAnsi" w:hAnsiTheme="minorHAnsi" w:cstheme="minorHAnsi"/>
        </w:rPr>
        <w:t xml:space="preserve">Evaluation of FY 2019 </w:t>
      </w:r>
      <w:r w:rsidRPr="00095349" w:rsidR="00F63D02">
        <w:rPr>
          <w:rFonts w:asciiTheme="minorHAnsi" w:hAnsiTheme="minorHAnsi" w:cstheme="minorHAnsi"/>
        </w:rPr>
        <w:t xml:space="preserve">Summer Electronic Benefit Transfer </w:t>
      </w:r>
      <w:r w:rsidRPr="00095349">
        <w:rPr>
          <w:rFonts w:asciiTheme="minorHAnsi" w:hAnsiTheme="minorHAnsi" w:cstheme="minorHAnsi"/>
        </w:rPr>
        <w:t>(EBT) Demonstrations</w:t>
      </w:r>
    </w:p>
    <w:p w:rsidRPr="00095349" w:rsidR="00095349" w:rsidP="0044216D" w:rsidRDefault="00F63D02" w14:paraId="49FF5574" w14:textId="77777777">
      <w:pPr>
        <w:pStyle w:val="Heading1"/>
        <w:rPr>
          <w:bCs/>
        </w:rPr>
      </w:pPr>
      <w:r w:rsidRPr="00AE5F2F">
        <w:t xml:space="preserve">Control Number: </w:t>
      </w:r>
    </w:p>
    <w:p w:rsidRPr="00AE5F2F" w:rsidR="00F63D02" w:rsidP="00095349" w:rsidRDefault="00F63D02" w14:paraId="637E11BD" w14:textId="35113993">
      <w:pPr>
        <w:ind w:left="360"/>
        <w:rPr>
          <w:rFonts w:asciiTheme="minorHAnsi" w:hAnsiTheme="minorHAnsi" w:cstheme="minorHAnsi"/>
          <w:bCs/>
        </w:rPr>
      </w:pPr>
      <w:r w:rsidRPr="00AE5F2F">
        <w:rPr>
          <w:rFonts w:asciiTheme="minorHAnsi" w:hAnsiTheme="minorHAnsi" w:cstheme="minorHAnsi"/>
          <w:bCs/>
        </w:rPr>
        <w:t>0584-</w:t>
      </w:r>
      <w:r w:rsidRPr="00AE5F2F" w:rsidR="00835AA0">
        <w:rPr>
          <w:rFonts w:asciiTheme="minorHAnsi" w:hAnsiTheme="minorHAnsi" w:cstheme="minorHAnsi"/>
          <w:bCs/>
        </w:rPr>
        <w:t>0524</w:t>
      </w:r>
      <w:r w:rsidRPr="00B35F56">
        <w:rPr>
          <w:rFonts w:asciiTheme="minorHAnsi" w:hAnsiTheme="minorHAnsi" w:cstheme="minorHAnsi"/>
          <w:bCs/>
        </w:rPr>
        <w:t xml:space="preserve">, Expires </w:t>
      </w:r>
      <w:r w:rsidR="00606AB5">
        <w:rPr>
          <w:rFonts w:asciiTheme="minorHAnsi" w:hAnsiTheme="minorHAnsi" w:cstheme="minorHAnsi"/>
          <w:bCs/>
        </w:rPr>
        <w:t>12/31/2022</w:t>
      </w:r>
    </w:p>
    <w:p w:rsidRPr="00AE5F2F" w:rsidR="00F63D02" w:rsidP="0044216D" w:rsidRDefault="00F63D02" w14:paraId="767B6E40" w14:textId="77777777">
      <w:pPr>
        <w:pStyle w:val="Heading1"/>
      </w:pPr>
      <w:r w:rsidRPr="00AE5F2F">
        <w:t xml:space="preserve">Public Affected by this Project: </w:t>
      </w:r>
    </w:p>
    <w:p w:rsidRPr="001528F6" w:rsidR="00ED7DF6" w:rsidP="001528F6" w:rsidRDefault="00F63D02" w14:paraId="78419158" w14:textId="77777777">
      <w:pPr>
        <w:ind w:left="360"/>
        <w:rPr>
          <w:rFonts w:asciiTheme="minorHAnsi" w:hAnsiTheme="minorHAnsi" w:cstheme="minorHAnsi"/>
        </w:rPr>
      </w:pPr>
      <w:r w:rsidRPr="001528F6">
        <w:rPr>
          <w:rFonts w:asciiTheme="minorHAnsi" w:hAnsiTheme="minorHAnsi" w:cstheme="minorHAnsi"/>
        </w:rPr>
        <w:t>State, Local and Tribal Government</w:t>
      </w:r>
      <w:r w:rsidR="008254D0">
        <w:rPr>
          <w:rFonts w:asciiTheme="minorHAnsi" w:hAnsiTheme="minorHAnsi" w:cstheme="minorHAnsi"/>
        </w:rPr>
        <w:t>:</w:t>
      </w:r>
    </w:p>
    <w:p w:rsidRPr="001528F6" w:rsidR="00F63D02" w:rsidP="002629B3" w:rsidRDefault="00B35F56" w14:paraId="0671E62B" w14:textId="77777777">
      <w:pPr>
        <w:pStyle w:val="ListParagraph"/>
        <w:numPr>
          <w:ilvl w:val="0"/>
          <w:numId w:val="40"/>
        </w:numPr>
        <w:rPr>
          <w:rFonts w:asciiTheme="minorHAnsi" w:hAnsiTheme="minorHAnsi" w:cstheme="minorHAnsi"/>
        </w:rPr>
      </w:pPr>
      <w:r w:rsidRPr="001528F6">
        <w:rPr>
          <w:rFonts w:asciiTheme="minorHAnsi" w:hAnsiTheme="minorHAnsi" w:cstheme="minorHAnsi"/>
        </w:rPr>
        <w:t>S</w:t>
      </w:r>
      <w:r w:rsidRPr="001528F6" w:rsidR="002C604A">
        <w:rPr>
          <w:rFonts w:asciiTheme="minorHAnsi" w:hAnsiTheme="minorHAnsi" w:cstheme="minorHAnsi"/>
        </w:rPr>
        <w:t xml:space="preserve">ummer </w:t>
      </w:r>
      <w:r w:rsidRPr="001528F6">
        <w:rPr>
          <w:rFonts w:asciiTheme="minorHAnsi" w:hAnsiTheme="minorHAnsi" w:cstheme="minorHAnsi"/>
        </w:rPr>
        <w:t xml:space="preserve">EBT </w:t>
      </w:r>
      <w:r w:rsidR="00D246B6">
        <w:rPr>
          <w:rFonts w:asciiTheme="minorHAnsi" w:hAnsiTheme="minorHAnsi" w:cstheme="minorHAnsi"/>
        </w:rPr>
        <w:t>project</w:t>
      </w:r>
      <w:r w:rsidRPr="001528F6">
        <w:rPr>
          <w:rFonts w:asciiTheme="minorHAnsi" w:hAnsiTheme="minorHAnsi" w:cstheme="minorHAnsi"/>
        </w:rPr>
        <w:t xml:space="preserve"> administrators for Grantees and </w:t>
      </w:r>
      <w:r w:rsidRPr="001528F6" w:rsidR="00F63D02">
        <w:rPr>
          <w:rFonts w:asciiTheme="minorHAnsi" w:hAnsiTheme="minorHAnsi" w:cstheme="minorHAnsi"/>
        </w:rPr>
        <w:t xml:space="preserve">School Food </w:t>
      </w:r>
      <w:r w:rsidRPr="001528F6" w:rsidR="000B1BB0">
        <w:rPr>
          <w:rFonts w:asciiTheme="minorHAnsi" w:hAnsiTheme="minorHAnsi" w:cstheme="minorHAnsi"/>
        </w:rPr>
        <w:t>Authorities</w:t>
      </w:r>
      <w:r w:rsidRPr="001528F6" w:rsidR="00EE072B">
        <w:rPr>
          <w:rFonts w:asciiTheme="minorHAnsi" w:hAnsiTheme="minorHAnsi" w:cstheme="minorHAnsi"/>
        </w:rPr>
        <w:t xml:space="preserve"> (SFAs)</w:t>
      </w:r>
      <w:r w:rsidRPr="001528F6">
        <w:rPr>
          <w:rFonts w:asciiTheme="minorHAnsi" w:hAnsiTheme="minorHAnsi" w:cstheme="minorHAnsi"/>
        </w:rPr>
        <w:t>.</w:t>
      </w:r>
      <w:r w:rsidRPr="001528F6" w:rsidR="00F63D02">
        <w:rPr>
          <w:rFonts w:asciiTheme="minorHAnsi" w:hAnsiTheme="minorHAnsi" w:cstheme="minorHAnsi"/>
        </w:rPr>
        <w:t xml:space="preserve"> </w:t>
      </w:r>
    </w:p>
    <w:p w:rsidRPr="001528F6" w:rsidR="00ED7DF6" w:rsidP="001528F6" w:rsidRDefault="00F63D02" w14:paraId="5A97A336" w14:textId="77777777">
      <w:pPr>
        <w:ind w:firstLine="360"/>
        <w:rPr>
          <w:rFonts w:asciiTheme="minorHAnsi" w:hAnsiTheme="minorHAnsi" w:cstheme="minorHAnsi"/>
        </w:rPr>
      </w:pPr>
      <w:r w:rsidRPr="001528F6">
        <w:rPr>
          <w:rFonts w:asciiTheme="minorHAnsi" w:hAnsiTheme="minorHAnsi" w:cstheme="minorHAnsi"/>
        </w:rPr>
        <w:t>Individuals</w:t>
      </w:r>
      <w:r w:rsidR="008254D0">
        <w:rPr>
          <w:rFonts w:asciiTheme="minorHAnsi" w:hAnsiTheme="minorHAnsi" w:cstheme="minorHAnsi"/>
        </w:rPr>
        <w:t>:</w:t>
      </w:r>
    </w:p>
    <w:p w:rsidRPr="001528F6" w:rsidR="00F63D02" w:rsidP="002629B3" w:rsidRDefault="00C42ADD" w14:paraId="065D332D" w14:textId="77777777">
      <w:pPr>
        <w:pStyle w:val="ListParagraph"/>
        <w:numPr>
          <w:ilvl w:val="0"/>
          <w:numId w:val="40"/>
        </w:numPr>
        <w:rPr>
          <w:rFonts w:asciiTheme="minorHAnsi" w:hAnsiTheme="minorHAnsi" w:cstheme="minorHAnsi"/>
        </w:rPr>
      </w:pPr>
      <w:r w:rsidRPr="001528F6">
        <w:rPr>
          <w:rFonts w:asciiTheme="minorHAnsi" w:hAnsiTheme="minorHAnsi" w:cstheme="minorHAnsi"/>
        </w:rPr>
        <w:t>P</w:t>
      </w:r>
      <w:r w:rsidRPr="001528F6" w:rsidR="00F63D02">
        <w:rPr>
          <w:rFonts w:asciiTheme="minorHAnsi" w:hAnsiTheme="minorHAnsi" w:cstheme="minorHAnsi"/>
        </w:rPr>
        <w:t xml:space="preserve">arents/caregivers of children who participate in the </w:t>
      </w:r>
      <w:r w:rsidR="00D246B6">
        <w:rPr>
          <w:rFonts w:asciiTheme="minorHAnsi" w:hAnsiTheme="minorHAnsi" w:cstheme="minorHAnsi"/>
        </w:rPr>
        <w:t>project</w:t>
      </w:r>
      <w:r w:rsidRPr="001528F6" w:rsidR="00F63D02">
        <w:rPr>
          <w:rFonts w:asciiTheme="minorHAnsi" w:hAnsiTheme="minorHAnsi" w:cstheme="minorHAnsi"/>
        </w:rPr>
        <w:t>.</w:t>
      </w:r>
    </w:p>
    <w:p w:rsidRPr="001528F6" w:rsidR="00ED7DF6" w:rsidP="00B71E5B" w:rsidRDefault="00F63D02" w14:paraId="4080EFAF" w14:textId="77777777">
      <w:pPr>
        <w:ind w:firstLine="360"/>
        <w:rPr>
          <w:rFonts w:asciiTheme="minorHAnsi" w:hAnsiTheme="minorHAnsi" w:cstheme="minorHAnsi"/>
        </w:rPr>
      </w:pPr>
      <w:r w:rsidRPr="001528F6">
        <w:rPr>
          <w:rFonts w:asciiTheme="minorHAnsi" w:hAnsiTheme="minorHAnsi" w:cstheme="minorHAnsi"/>
        </w:rPr>
        <w:t>Business or Other for Profi</w:t>
      </w:r>
      <w:r w:rsidRPr="001528F6" w:rsidR="00ED7DF6">
        <w:rPr>
          <w:rFonts w:asciiTheme="minorHAnsi" w:hAnsiTheme="minorHAnsi" w:cstheme="minorHAnsi"/>
        </w:rPr>
        <w:t>t</w:t>
      </w:r>
      <w:r w:rsidR="008254D0">
        <w:rPr>
          <w:rFonts w:asciiTheme="minorHAnsi" w:hAnsiTheme="minorHAnsi" w:cstheme="minorHAnsi"/>
        </w:rPr>
        <w:t>:</w:t>
      </w:r>
    </w:p>
    <w:p w:rsidRPr="001528F6" w:rsidR="00F63D02" w:rsidP="002629B3" w:rsidRDefault="00F63D02" w14:paraId="2D77D81A" w14:textId="0DB40F56">
      <w:pPr>
        <w:pStyle w:val="ListParagraph"/>
        <w:numPr>
          <w:ilvl w:val="0"/>
          <w:numId w:val="40"/>
        </w:numPr>
        <w:rPr>
          <w:rFonts w:asciiTheme="minorHAnsi" w:hAnsiTheme="minorHAnsi" w:cstheme="minorHAnsi"/>
        </w:rPr>
      </w:pPr>
      <w:r w:rsidRPr="001528F6">
        <w:rPr>
          <w:rFonts w:asciiTheme="minorHAnsi" w:hAnsiTheme="minorHAnsi" w:cstheme="minorHAnsi"/>
        </w:rPr>
        <w:t xml:space="preserve">Retailers </w:t>
      </w:r>
      <w:r w:rsidR="00DD6D2B">
        <w:rPr>
          <w:rFonts w:asciiTheme="minorHAnsi" w:hAnsiTheme="minorHAnsi" w:cstheme="minorHAnsi"/>
        </w:rPr>
        <w:t xml:space="preserve">who participate in </w:t>
      </w:r>
      <w:r w:rsidR="004A2500">
        <w:rPr>
          <w:rFonts w:asciiTheme="minorHAnsi" w:hAnsiTheme="minorHAnsi" w:cstheme="minorHAnsi"/>
        </w:rPr>
        <w:t xml:space="preserve">the </w:t>
      </w:r>
      <w:r w:rsidR="00DD6D2B">
        <w:rPr>
          <w:rFonts w:asciiTheme="minorHAnsi" w:hAnsiTheme="minorHAnsi" w:cstheme="minorHAnsi"/>
        </w:rPr>
        <w:t>pr</w:t>
      </w:r>
      <w:r w:rsidR="004A2500">
        <w:rPr>
          <w:rFonts w:asciiTheme="minorHAnsi" w:hAnsiTheme="minorHAnsi" w:cstheme="minorHAnsi"/>
        </w:rPr>
        <w:t>oject</w:t>
      </w:r>
      <w:r w:rsidR="00DD6D2B">
        <w:rPr>
          <w:rFonts w:asciiTheme="minorHAnsi" w:hAnsiTheme="minorHAnsi" w:cstheme="minorHAnsi"/>
        </w:rPr>
        <w:t>.</w:t>
      </w:r>
    </w:p>
    <w:p w:rsidR="00ED7DF6" w:rsidP="008C3C87" w:rsidRDefault="00ED7DF6" w14:paraId="69AA3AE1" w14:textId="77777777">
      <w:pPr>
        <w:pStyle w:val="BodyText"/>
      </w:pPr>
    </w:p>
    <w:p w:rsidR="00F63D02" w:rsidP="00F63D02" w:rsidRDefault="00F63D02" w14:paraId="42A1B6FC" w14:textId="379E1857">
      <w:pPr>
        <w:ind w:left="360"/>
        <w:rPr>
          <w:rFonts w:asciiTheme="minorHAnsi" w:hAnsiTheme="minorHAnsi" w:cstheme="minorHAnsi"/>
        </w:rPr>
      </w:pPr>
      <w:r w:rsidRPr="00AE5F2F">
        <w:rPr>
          <w:rFonts w:asciiTheme="minorHAnsi" w:hAnsiTheme="minorHAnsi" w:cstheme="minorHAnsi"/>
        </w:rPr>
        <w:t xml:space="preserve">See section 7, </w:t>
      </w:r>
      <w:r w:rsidRPr="00AE5F2F">
        <w:rPr>
          <w:rFonts w:asciiTheme="minorHAnsi" w:hAnsiTheme="minorHAnsi" w:cstheme="minorHAnsi"/>
          <w:i/>
        </w:rPr>
        <w:t>Project Purpose, Methodology &amp; Formative Research Design,</w:t>
      </w:r>
      <w:r w:rsidRPr="00AE5F2F">
        <w:rPr>
          <w:rFonts w:asciiTheme="minorHAnsi" w:hAnsiTheme="minorHAnsi" w:cstheme="minorHAnsi"/>
        </w:rPr>
        <w:t xml:space="preserve"> for a description of the number of participants for each audience and by research methodology.</w:t>
      </w:r>
    </w:p>
    <w:p w:rsidR="00DD6D2B" w:rsidP="00F63D02" w:rsidRDefault="00DD6D2B" w14:paraId="4718A629" w14:textId="77777777">
      <w:pPr>
        <w:ind w:left="360"/>
        <w:rPr>
          <w:rFonts w:asciiTheme="minorHAnsi" w:hAnsiTheme="minorHAnsi" w:cstheme="minorHAnsi"/>
        </w:rPr>
      </w:pPr>
    </w:p>
    <w:p w:rsidRPr="00AE5F2F" w:rsidR="00F63D02" w:rsidP="0044216D" w:rsidRDefault="00F63D02" w14:paraId="50F5B4F1" w14:textId="77777777">
      <w:pPr>
        <w:pStyle w:val="Heading1"/>
      </w:pPr>
      <w:r w:rsidRPr="00AE5F2F">
        <w:t>Number of Respondents:</w:t>
      </w:r>
    </w:p>
    <w:p w:rsidRPr="00AE5F2F" w:rsidR="00F63D02" w:rsidP="00F63D02" w:rsidRDefault="00F63D02" w14:paraId="7D2B61C1" w14:textId="77777777">
      <w:pPr>
        <w:rPr>
          <w:rFonts w:asciiTheme="minorHAnsi" w:hAnsiTheme="minorHAnsi" w:cstheme="minorHAnsi"/>
          <w:b/>
        </w:rPr>
      </w:pPr>
    </w:p>
    <w:p w:rsidRPr="00AE5F2F" w:rsidR="006706B9" w:rsidP="008E6DF8" w:rsidRDefault="006706B9" w14:paraId="04523203" w14:textId="4DC43B4D">
      <w:pPr>
        <w:pStyle w:val="Caption"/>
      </w:pPr>
      <w:r w:rsidRPr="00AE5F2F">
        <w:t>Table 4.1 –</w:t>
      </w:r>
      <w:r>
        <w:t xml:space="preserve"> C</w:t>
      </w:r>
      <w:r w:rsidRPr="00AE5F2F">
        <w:t xml:space="preserve">onsent </w:t>
      </w:r>
      <w:r w:rsidRPr="008E6DF8">
        <w:t>Forms</w:t>
      </w:r>
      <w:r>
        <w:t xml:space="preserve"> for Focus Group Participation</w:t>
      </w:r>
      <w:r w:rsidR="00716F16">
        <w:t xml:space="preserve"> (Attachment </w:t>
      </w:r>
      <w:r w:rsidR="00891D1B">
        <w:t>F.2)</w:t>
      </w:r>
    </w:p>
    <w:tbl>
      <w:tblPr>
        <w:tblStyle w:val="LightList-Accent11"/>
        <w:tblW w:w="0" w:type="auto"/>
        <w:tblLayout w:type="fixed"/>
        <w:tblLook w:val="01E0" w:firstRow="1" w:lastRow="1" w:firstColumn="1" w:lastColumn="1" w:noHBand="0" w:noVBand="0"/>
      </w:tblPr>
      <w:tblGrid>
        <w:gridCol w:w="5130"/>
        <w:gridCol w:w="1800"/>
      </w:tblGrid>
      <w:tr w:rsidRPr="00AE5F2F" w:rsidR="00F63D02" w:rsidTr="008E6DF8" w14:paraId="62AD13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Borders>
              <w:top w:val="single" w:color="5B9BD5" w:themeColor="accent1" w:sz="8" w:space="0"/>
              <w:left w:val="single" w:color="5B9BD5" w:themeColor="accent1" w:sz="8" w:space="0"/>
              <w:bottom w:val="single" w:color="5B9BD5" w:themeColor="accent1" w:sz="8" w:space="0"/>
            </w:tcBorders>
          </w:tcPr>
          <w:p w:rsidRPr="00AE5F2F" w:rsidR="00F63D02" w:rsidP="009F3E3D" w:rsidRDefault="00F63D02" w14:paraId="60554B2B" w14:textId="77777777">
            <w:pPr>
              <w:rPr>
                <w:rFonts w:asciiTheme="minorHAnsi" w:hAnsiTheme="minorHAnsi" w:cstheme="minorHAnsi"/>
                <w:b w:val="0"/>
                <w:sz w:val="22"/>
                <w:szCs w:val="22"/>
              </w:rPr>
            </w:pPr>
            <w:r w:rsidRPr="00AE5F2F">
              <w:rPr>
                <w:rFonts w:asciiTheme="minorHAnsi" w:hAnsiTheme="minorHAnsi" w:cstheme="minorHAnsi"/>
                <w:b w:val="0"/>
                <w:sz w:val="22"/>
                <w:szCs w:val="22"/>
              </w:rPr>
              <w:t>Audience</w:t>
            </w:r>
          </w:p>
        </w:tc>
        <w:tc>
          <w:tcPr>
            <w:cnfStyle w:val="000100000000" w:firstRow="0" w:lastRow="0" w:firstColumn="0" w:lastColumn="1" w:oddVBand="0" w:evenVBand="0" w:oddHBand="0" w:evenHBand="0" w:firstRowFirstColumn="0" w:firstRowLastColumn="0" w:lastRowFirstColumn="0" w:lastRowLastColumn="0"/>
            <w:tcW w:w="1800" w:type="dxa"/>
            <w:tcBorders>
              <w:top w:val="single" w:color="5B9BD5" w:themeColor="accent1" w:sz="8" w:space="0"/>
              <w:bottom w:val="single" w:color="5B9BD5" w:themeColor="accent1" w:sz="8" w:space="0"/>
            </w:tcBorders>
          </w:tcPr>
          <w:p w:rsidRPr="00AE5F2F" w:rsidR="00F63D02" w:rsidP="009F3E3D" w:rsidRDefault="002978C0" w14:paraId="4331A5A9" w14:textId="77777777">
            <w:pPr>
              <w:jc w:val="center"/>
              <w:rPr>
                <w:rFonts w:asciiTheme="minorHAnsi" w:hAnsiTheme="minorHAnsi" w:cstheme="minorHAnsi"/>
                <w:b w:val="0"/>
                <w:sz w:val="22"/>
                <w:szCs w:val="22"/>
              </w:rPr>
            </w:pPr>
            <w:r>
              <w:rPr>
                <w:rFonts w:asciiTheme="minorHAnsi" w:hAnsiTheme="minorHAnsi" w:cstheme="minorHAnsi"/>
                <w:b w:val="0"/>
                <w:sz w:val="22"/>
                <w:szCs w:val="22"/>
              </w:rPr>
              <w:t xml:space="preserve">Annual </w:t>
            </w:r>
            <w:r w:rsidRPr="00AE5F2F" w:rsidR="00F63D02">
              <w:rPr>
                <w:rFonts w:asciiTheme="minorHAnsi" w:hAnsiTheme="minorHAnsi" w:cstheme="minorHAnsi"/>
                <w:b w:val="0"/>
                <w:sz w:val="22"/>
                <w:szCs w:val="22"/>
              </w:rPr>
              <w:t># of Participants</w:t>
            </w:r>
          </w:p>
        </w:tc>
      </w:tr>
      <w:tr w:rsidRPr="00AE5F2F" w:rsidR="00F63D02" w:rsidTr="008E6DF8" w14:paraId="6A4D35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Pr="00AE5F2F" w:rsidR="00F63D02" w:rsidP="00D55359" w:rsidRDefault="00D36B59" w14:paraId="24D587D6" w14:textId="77777777">
            <w:pPr>
              <w:tabs>
                <w:tab w:val="left" w:pos="3360"/>
              </w:tabs>
              <w:rPr>
                <w:rFonts w:asciiTheme="minorHAnsi" w:hAnsiTheme="minorHAnsi" w:cstheme="minorHAnsi"/>
                <w:b w:val="0"/>
                <w:sz w:val="22"/>
                <w:szCs w:val="22"/>
              </w:rPr>
            </w:pPr>
            <w:bookmarkStart w:name="_Hlk275338585" w:id="1"/>
            <w:r w:rsidRPr="00AE5F2F">
              <w:rPr>
                <w:rFonts w:asciiTheme="minorHAnsi" w:hAnsiTheme="minorHAnsi" w:cstheme="minorHAnsi"/>
                <w:b w:val="0"/>
                <w:sz w:val="22"/>
                <w:szCs w:val="22"/>
              </w:rPr>
              <w:t xml:space="preserve">Parents/caregivers </w:t>
            </w:r>
            <w:r w:rsidR="00D55359">
              <w:rPr>
                <w:rFonts w:asciiTheme="minorHAnsi" w:hAnsiTheme="minorHAnsi" w:cstheme="minorHAnsi"/>
                <w:b w:val="0"/>
                <w:sz w:val="22"/>
                <w:szCs w:val="22"/>
              </w:rPr>
              <w:t>who participate in focus groups</w:t>
            </w:r>
            <w:r w:rsidRPr="00AE5F2F" w:rsidR="00F63D02">
              <w:rPr>
                <w:rFonts w:asciiTheme="minorHAnsi" w:hAnsiTheme="minorHAnsi" w:cstheme="minorHAnsi"/>
                <w:b w:val="0"/>
                <w:sz w:val="22"/>
                <w:szCs w:val="22"/>
              </w:rPr>
              <w:tab/>
            </w:r>
          </w:p>
        </w:tc>
        <w:tc>
          <w:tcPr>
            <w:cnfStyle w:val="000100000000" w:firstRow="0" w:lastRow="0" w:firstColumn="0" w:lastColumn="1" w:oddVBand="0" w:evenVBand="0" w:oddHBand="0" w:evenHBand="0" w:firstRowFirstColumn="0" w:firstRowLastColumn="0" w:lastRowFirstColumn="0" w:lastRowLastColumn="0"/>
            <w:tcW w:w="1800" w:type="dxa"/>
          </w:tcPr>
          <w:p w:rsidRPr="00AE5F2F" w:rsidR="00F63D02" w:rsidP="009F3E3D" w:rsidRDefault="00D36B59" w14:paraId="2EC8D983" w14:textId="77777777">
            <w:pPr>
              <w:jc w:val="center"/>
              <w:rPr>
                <w:rFonts w:asciiTheme="minorHAnsi" w:hAnsiTheme="minorHAnsi" w:cstheme="minorHAnsi"/>
                <w:b w:val="0"/>
                <w:sz w:val="22"/>
                <w:szCs w:val="22"/>
              </w:rPr>
            </w:pPr>
            <w:r w:rsidRPr="00AE5F2F">
              <w:rPr>
                <w:rFonts w:asciiTheme="minorHAnsi" w:hAnsiTheme="minorHAnsi" w:cstheme="minorHAnsi"/>
                <w:b w:val="0"/>
                <w:sz w:val="22"/>
                <w:szCs w:val="22"/>
              </w:rPr>
              <w:t>1</w:t>
            </w:r>
            <w:r w:rsidRPr="00AE5F2F" w:rsidR="00F63D02">
              <w:rPr>
                <w:rFonts w:asciiTheme="minorHAnsi" w:hAnsiTheme="minorHAnsi" w:cstheme="minorHAnsi"/>
                <w:b w:val="0"/>
                <w:sz w:val="22"/>
                <w:szCs w:val="22"/>
              </w:rPr>
              <w:t>60</w:t>
            </w:r>
          </w:p>
        </w:tc>
      </w:tr>
      <w:bookmarkEnd w:id="1"/>
      <w:tr w:rsidRPr="00AE5F2F" w:rsidR="00F63D02" w:rsidTr="008E6DF8" w14:paraId="36F5262C" w14:textId="77777777">
        <w:tc>
          <w:tcPr>
            <w:cnfStyle w:val="001000000000" w:firstRow="0" w:lastRow="0" w:firstColumn="1" w:lastColumn="0" w:oddVBand="0" w:evenVBand="0" w:oddHBand="0" w:evenHBand="0" w:firstRowFirstColumn="0" w:firstRowLastColumn="0" w:lastRowFirstColumn="0" w:lastRowLastColumn="0"/>
            <w:tcW w:w="5130" w:type="dxa"/>
            <w:tcBorders>
              <w:top w:val="single" w:color="5B9BD5" w:themeColor="accent1" w:sz="8" w:space="0"/>
              <w:bottom w:val="single" w:color="5B9BD5" w:themeColor="accent1" w:sz="8" w:space="0"/>
            </w:tcBorders>
            <w:shd w:val="clear" w:color="auto" w:fill="DEEAF6" w:themeFill="accent1" w:themeFillTint="33"/>
          </w:tcPr>
          <w:p w:rsidRPr="00AE5F2F" w:rsidR="00F63D02" w:rsidP="009F3E3D" w:rsidRDefault="00870913" w14:paraId="2F1CAB49" w14:textId="77777777">
            <w:pPr>
              <w:rPr>
                <w:rFonts w:asciiTheme="minorHAnsi" w:hAnsiTheme="minorHAnsi" w:cstheme="minorHAnsi"/>
                <w:sz w:val="22"/>
                <w:szCs w:val="22"/>
              </w:rPr>
            </w:pPr>
            <w:r w:rsidRPr="00AE5F2F">
              <w:rPr>
                <w:rFonts w:asciiTheme="minorHAnsi" w:hAnsiTheme="minorHAnsi" w:cstheme="minorHAnsi"/>
                <w:sz w:val="22"/>
                <w:szCs w:val="22"/>
              </w:rPr>
              <w:t>Annual Total</w:t>
            </w:r>
          </w:p>
        </w:tc>
        <w:tc>
          <w:tcPr>
            <w:cnfStyle w:val="000100000000" w:firstRow="0" w:lastRow="0" w:firstColumn="0" w:lastColumn="1" w:oddVBand="0" w:evenVBand="0" w:oddHBand="0" w:evenHBand="0" w:firstRowFirstColumn="0" w:firstRowLastColumn="0" w:lastRowFirstColumn="0" w:lastRowLastColumn="0"/>
            <w:tcW w:w="1800" w:type="dxa"/>
            <w:tcBorders>
              <w:top w:val="single" w:color="5B9BD5" w:themeColor="accent1" w:sz="8" w:space="0"/>
              <w:bottom w:val="single" w:color="5B9BD5" w:themeColor="accent1" w:sz="8" w:space="0"/>
            </w:tcBorders>
            <w:shd w:val="clear" w:color="auto" w:fill="DEEAF6" w:themeFill="accent1" w:themeFillTint="33"/>
          </w:tcPr>
          <w:p w:rsidRPr="00AE5F2F" w:rsidR="00F63D02" w:rsidP="009F3E3D" w:rsidRDefault="00870913" w14:paraId="79E3E5D5" w14:textId="77777777">
            <w:pPr>
              <w:jc w:val="center"/>
              <w:rPr>
                <w:rFonts w:asciiTheme="minorHAnsi" w:hAnsiTheme="minorHAnsi" w:cstheme="minorHAnsi"/>
                <w:sz w:val="22"/>
                <w:szCs w:val="22"/>
              </w:rPr>
            </w:pPr>
            <w:r w:rsidRPr="00AE5F2F">
              <w:rPr>
                <w:rFonts w:asciiTheme="minorHAnsi" w:hAnsiTheme="minorHAnsi" w:cstheme="minorHAnsi"/>
                <w:sz w:val="22"/>
                <w:szCs w:val="22"/>
              </w:rPr>
              <w:t>160</w:t>
            </w:r>
          </w:p>
        </w:tc>
      </w:tr>
      <w:tr w:rsidRPr="00AE5F2F" w:rsidR="00F63D02" w:rsidTr="008E6DF8" w14:paraId="51C4D0BD" w14:textId="77777777">
        <w:trPr>
          <w:cnfStyle w:val="010000000000" w:firstRow="0" w:lastRow="1"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color="5B9BD5" w:themeColor="accent1" w:sz="8" w:space="0"/>
              <w:left w:val="nil"/>
              <w:bottom w:val="nil"/>
              <w:right w:val="nil"/>
            </w:tcBorders>
          </w:tcPr>
          <w:p w:rsidRPr="00AE5F2F" w:rsidR="00F63D02" w:rsidP="00D36B59" w:rsidRDefault="00F63D02" w14:paraId="75C64152" w14:textId="77777777">
            <w:pPr>
              <w:rPr>
                <w:rFonts w:asciiTheme="minorHAnsi" w:hAnsiTheme="minorHAnsi" w:cstheme="minorHAnsi"/>
                <w:b w:val="0"/>
              </w:rPr>
            </w:pPr>
          </w:p>
        </w:tc>
      </w:tr>
    </w:tbl>
    <w:p w:rsidRPr="00AE5F2F" w:rsidR="00F63D02" w:rsidP="004474AF" w:rsidRDefault="00F63D02" w14:paraId="0688B682" w14:textId="77777777">
      <w:pPr>
        <w:pStyle w:val="BodyText"/>
      </w:pPr>
    </w:p>
    <w:p w:rsidRPr="00AE5F2F" w:rsidR="00F63D02" w:rsidP="008E6DF8" w:rsidRDefault="002419E8" w14:paraId="45CE5685" w14:textId="77777777">
      <w:pPr>
        <w:pStyle w:val="Caption"/>
      </w:pPr>
      <w:r>
        <w:t>Table 4.2</w:t>
      </w:r>
      <w:r w:rsidRPr="00AE5F2F" w:rsidR="00F63D02">
        <w:t xml:space="preserve"> – Research Activities by Audience</w:t>
      </w:r>
    </w:p>
    <w:tbl>
      <w:tblPr>
        <w:tblStyle w:val="LightList-Accent11"/>
        <w:tblW w:w="7820" w:type="dxa"/>
        <w:tblLayout w:type="fixed"/>
        <w:tblLook w:val="04A0" w:firstRow="1" w:lastRow="0" w:firstColumn="1" w:lastColumn="0" w:noHBand="0" w:noVBand="1"/>
      </w:tblPr>
      <w:tblGrid>
        <w:gridCol w:w="3140"/>
        <w:gridCol w:w="3330"/>
        <w:gridCol w:w="1350"/>
      </w:tblGrid>
      <w:tr w:rsidRPr="004C28D8" w:rsidR="00F63D02" w:rsidTr="004C28D8" w14:paraId="536B8EFD" w14:textId="777777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140" w:type="dxa"/>
            <w:vAlign w:val="bottom"/>
            <w:hideMark/>
          </w:tcPr>
          <w:p w:rsidRPr="004C28D8" w:rsidR="00F63D02" w:rsidP="004C28D8" w:rsidRDefault="00F63D02" w14:paraId="17D9F620" w14:textId="77777777">
            <w:pPr>
              <w:rPr>
                <w:rFonts w:asciiTheme="minorHAnsi" w:hAnsiTheme="minorHAnsi" w:cstheme="minorHAnsi"/>
                <w:b w:val="0"/>
                <w:sz w:val="22"/>
                <w:szCs w:val="22"/>
              </w:rPr>
            </w:pPr>
            <w:r w:rsidRPr="004C28D8">
              <w:rPr>
                <w:rFonts w:asciiTheme="minorHAnsi" w:hAnsiTheme="minorHAnsi" w:cstheme="minorHAnsi"/>
                <w:b w:val="0"/>
                <w:sz w:val="22"/>
                <w:szCs w:val="22"/>
              </w:rPr>
              <w:t>Target Audience</w:t>
            </w:r>
          </w:p>
        </w:tc>
        <w:tc>
          <w:tcPr>
            <w:tcW w:w="3330" w:type="dxa"/>
            <w:vAlign w:val="bottom"/>
            <w:hideMark/>
          </w:tcPr>
          <w:p w:rsidRPr="004C28D8" w:rsidR="00F63D02" w:rsidP="00B156DE" w:rsidRDefault="00F63D02" w14:paraId="1FC3D9E2"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4C28D8">
              <w:rPr>
                <w:rFonts w:asciiTheme="minorHAnsi" w:hAnsiTheme="minorHAnsi" w:cstheme="minorHAnsi"/>
                <w:b w:val="0"/>
                <w:sz w:val="22"/>
                <w:szCs w:val="22"/>
              </w:rPr>
              <w:t>Research Activity</w:t>
            </w:r>
          </w:p>
        </w:tc>
        <w:tc>
          <w:tcPr>
            <w:tcW w:w="1350" w:type="dxa"/>
            <w:vAlign w:val="bottom"/>
            <w:hideMark/>
          </w:tcPr>
          <w:p w:rsidRPr="004C28D8" w:rsidR="00F63D02" w:rsidP="004C28D8" w:rsidRDefault="00107263" w14:paraId="378A65AE"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4C28D8">
              <w:rPr>
                <w:rFonts w:asciiTheme="minorHAnsi" w:hAnsiTheme="minorHAnsi" w:cstheme="minorHAnsi"/>
                <w:b w:val="0"/>
                <w:sz w:val="22"/>
                <w:szCs w:val="22"/>
              </w:rPr>
              <w:t xml:space="preserve">Annual </w:t>
            </w:r>
            <w:r w:rsidRPr="004C28D8" w:rsidR="00F63D02">
              <w:rPr>
                <w:rFonts w:asciiTheme="minorHAnsi" w:hAnsiTheme="minorHAnsi" w:cstheme="minorHAnsi"/>
                <w:b w:val="0"/>
                <w:sz w:val="22"/>
                <w:szCs w:val="22"/>
              </w:rPr>
              <w:t># of Participants</w:t>
            </w:r>
          </w:p>
        </w:tc>
      </w:tr>
      <w:tr w:rsidRPr="00AE5F2F" w:rsidR="00F63D02" w:rsidTr="008E6DF8" w14:paraId="539E7924" w14:textId="77777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140" w:type="dxa"/>
            <w:vAlign w:val="center"/>
          </w:tcPr>
          <w:p w:rsidRPr="00AE5F2F" w:rsidR="00F63D02" w:rsidP="008E6DF8" w:rsidRDefault="00D36B59" w14:paraId="60596463" w14:textId="77777777">
            <w:pPr>
              <w:rPr>
                <w:rFonts w:asciiTheme="minorHAnsi" w:hAnsiTheme="minorHAnsi" w:cstheme="minorHAnsi"/>
                <w:b w:val="0"/>
                <w:color w:val="000000"/>
                <w:sz w:val="22"/>
                <w:szCs w:val="22"/>
              </w:rPr>
            </w:pPr>
            <w:r w:rsidRPr="00AE5F2F">
              <w:rPr>
                <w:rFonts w:asciiTheme="minorHAnsi" w:hAnsiTheme="minorHAnsi" w:cstheme="minorHAnsi"/>
                <w:b w:val="0"/>
                <w:sz w:val="22"/>
                <w:szCs w:val="22"/>
              </w:rPr>
              <w:t xml:space="preserve">State and Tribal Grantees </w:t>
            </w:r>
          </w:p>
        </w:tc>
        <w:tc>
          <w:tcPr>
            <w:tcW w:w="3330" w:type="dxa"/>
            <w:vAlign w:val="center"/>
          </w:tcPr>
          <w:p w:rsidRPr="00AE5F2F" w:rsidR="00F63D02" w:rsidP="008E6DF8" w:rsidRDefault="008A4E13" w14:paraId="606D1A0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G</w:t>
            </w:r>
            <w:r w:rsidRPr="00AE5F2F" w:rsidR="00D36B59">
              <w:rPr>
                <w:rFonts w:asciiTheme="minorHAnsi" w:hAnsiTheme="minorHAnsi" w:cstheme="minorHAnsi"/>
                <w:color w:val="000000"/>
                <w:sz w:val="22"/>
                <w:szCs w:val="22"/>
              </w:rPr>
              <w:t>rantee interview</w:t>
            </w:r>
          </w:p>
        </w:tc>
        <w:tc>
          <w:tcPr>
            <w:tcW w:w="1350" w:type="dxa"/>
            <w:vAlign w:val="center"/>
          </w:tcPr>
          <w:p w:rsidRPr="00AE5F2F" w:rsidR="00F63D02" w:rsidP="008E6DF8" w:rsidRDefault="00107263" w14:paraId="548D811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4</w:t>
            </w:r>
          </w:p>
        </w:tc>
      </w:tr>
      <w:tr w:rsidRPr="00AE5F2F" w:rsidR="00D36B59" w:rsidTr="008E6DF8" w14:paraId="16A8C0BE" w14:textId="77777777">
        <w:trPr>
          <w:trHeight w:val="334"/>
        </w:trPr>
        <w:tc>
          <w:tcPr>
            <w:cnfStyle w:val="001000000000" w:firstRow="0" w:lastRow="0" w:firstColumn="1" w:lastColumn="0" w:oddVBand="0" w:evenVBand="0" w:oddHBand="0" w:evenHBand="0" w:firstRowFirstColumn="0" w:firstRowLastColumn="0" w:lastRowFirstColumn="0" w:lastRowLastColumn="0"/>
            <w:tcW w:w="3140" w:type="dxa"/>
            <w:vAlign w:val="center"/>
          </w:tcPr>
          <w:p w:rsidRPr="00AE5F2F" w:rsidR="00D36B59" w:rsidP="008E6DF8" w:rsidRDefault="00D36B59" w14:paraId="019A4AD9" w14:textId="77777777">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SFAs</w:t>
            </w:r>
          </w:p>
        </w:tc>
        <w:tc>
          <w:tcPr>
            <w:tcW w:w="3330" w:type="dxa"/>
            <w:vAlign w:val="center"/>
          </w:tcPr>
          <w:p w:rsidRPr="00AE5F2F" w:rsidR="00D36B59" w:rsidP="008E6DF8" w:rsidRDefault="00D36B59" w14:paraId="1736287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SFA interview</w:t>
            </w:r>
          </w:p>
        </w:tc>
        <w:tc>
          <w:tcPr>
            <w:tcW w:w="1350" w:type="dxa"/>
            <w:vAlign w:val="center"/>
          </w:tcPr>
          <w:p w:rsidRPr="00AE5F2F" w:rsidR="00D36B59" w:rsidP="008E6DF8" w:rsidRDefault="00107263" w14:paraId="13BB61E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8</w:t>
            </w:r>
          </w:p>
        </w:tc>
      </w:tr>
      <w:tr w:rsidRPr="00AE5F2F" w:rsidR="00D36B59" w:rsidTr="008E6DF8" w14:paraId="5C485A5B" w14:textId="77777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140" w:type="dxa"/>
            <w:vAlign w:val="center"/>
          </w:tcPr>
          <w:p w:rsidRPr="00AE5F2F" w:rsidR="00D36B59" w:rsidP="008E6DF8" w:rsidRDefault="00D36B59" w14:paraId="62F6E99D" w14:textId="77777777">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Parents/caregivers</w:t>
            </w:r>
          </w:p>
        </w:tc>
        <w:tc>
          <w:tcPr>
            <w:tcW w:w="3330" w:type="dxa"/>
            <w:vAlign w:val="center"/>
          </w:tcPr>
          <w:p w:rsidRPr="00AE5F2F" w:rsidR="00D36B59" w:rsidP="008E6DF8" w:rsidRDefault="00EC7EE4" w14:paraId="356D112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Parent/caregiver focus group</w:t>
            </w:r>
          </w:p>
        </w:tc>
        <w:tc>
          <w:tcPr>
            <w:tcW w:w="1350" w:type="dxa"/>
            <w:vAlign w:val="center"/>
          </w:tcPr>
          <w:p w:rsidRPr="00AE5F2F" w:rsidR="00D36B59" w:rsidP="008E6DF8" w:rsidRDefault="00107263" w14:paraId="3437D08C"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160</w:t>
            </w:r>
          </w:p>
        </w:tc>
      </w:tr>
      <w:tr w:rsidRPr="00AE5F2F" w:rsidR="00EC7EE4" w:rsidTr="008E6DF8" w14:paraId="3D1E7110" w14:textId="77777777">
        <w:trPr>
          <w:trHeight w:val="334"/>
        </w:trPr>
        <w:tc>
          <w:tcPr>
            <w:cnfStyle w:val="001000000000" w:firstRow="0" w:lastRow="0" w:firstColumn="1" w:lastColumn="0" w:oddVBand="0" w:evenVBand="0" w:oddHBand="0" w:evenHBand="0" w:firstRowFirstColumn="0" w:firstRowLastColumn="0" w:lastRowFirstColumn="0" w:lastRowLastColumn="0"/>
            <w:tcW w:w="3140" w:type="dxa"/>
            <w:vAlign w:val="center"/>
          </w:tcPr>
          <w:p w:rsidRPr="00AE5F2F" w:rsidR="00EC7EE4" w:rsidP="008E6DF8" w:rsidRDefault="00EC7EE4" w14:paraId="5EBF4A8B" w14:textId="77777777">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Retailers</w:t>
            </w:r>
          </w:p>
        </w:tc>
        <w:tc>
          <w:tcPr>
            <w:tcW w:w="3330" w:type="dxa"/>
            <w:vAlign w:val="center"/>
          </w:tcPr>
          <w:p w:rsidRPr="00AE5F2F" w:rsidR="00EC7EE4" w:rsidP="008E6DF8" w:rsidRDefault="00EC7EE4" w14:paraId="6B9BAF8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Retailer interview</w:t>
            </w:r>
          </w:p>
        </w:tc>
        <w:tc>
          <w:tcPr>
            <w:tcW w:w="1350" w:type="dxa"/>
            <w:vAlign w:val="center"/>
          </w:tcPr>
          <w:p w:rsidRPr="00AE5F2F" w:rsidR="00EC7EE4" w:rsidP="008E6DF8" w:rsidRDefault="00107263" w14:paraId="4EA8CF1D"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20</w:t>
            </w:r>
          </w:p>
        </w:tc>
      </w:tr>
    </w:tbl>
    <w:p w:rsidRPr="00AE5F2F" w:rsidR="00F63D02" w:rsidP="00EC7EE4" w:rsidRDefault="00F63D02" w14:paraId="53E4515F" w14:textId="77777777">
      <w:pPr>
        <w:rPr>
          <w:rFonts w:asciiTheme="minorHAnsi" w:hAnsiTheme="minorHAnsi" w:cstheme="minorHAnsi"/>
          <w:iCs/>
          <w:color w:val="000000" w:themeColor="text1"/>
          <w:sz w:val="20"/>
          <w:szCs w:val="20"/>
        </w:rPr>
      </w:pPr>
    </w:p>
    <w:p w:rsidRPr="00AE5F2F" w:rsidR="00F63D02" w:rsidP="0044216D" w:rsidRDefault="00F63D02" w14:paraId="79128C30" w14:textId="77777777">
      <w:pPr>
        <w:pStyle w:val="Heading1"/>
      </w:pPr>
      <w:r w:rsidRPr="00AE5F2F">
        <w:t>Time Needed Per Response:</w:t>
      </w:r>
    </w:p>
    <w:p w:rsidRPr="00AE5F2F" w:rsidR="00F63D02" w:rsidP="004474AF" w:rsidRDefault="00F63D02" w14:paraId="5799161B" w14:textId="77777777">
      <w:pPr>
        <w:pStyle w:val="BodyText"/>
      </w:pPr>
    </w:p>
    <w:p w:rsidRPr="00311861" w:rsidR="006706B9" w:rsidP="008E6DF8" w:rsidRDefault="006706B9" w14:paraId="26F1EFA3" w14:textId="4FBD0885">
      <w:pPr>
        <w:pStyle w:val="Caption"/>
      </w:pPr>
      <w:r w:rsidRPr="00311861">
        <w:t xml:space="preserve">Table 5.1 </w:t>
      </w:r>
      <w:r>
        <w:t>–</w:t>
      </w:r>
      <w:r w:rsidRPr="00311861">
        <w:t xml:space="preserve"> Time Needed per Initial Recruitment</w:t>
      </w:r>
      <w:r w:rsidR="00C56772">
        <w:t xml:space="preserve"> </w:t>
      </w:r>
      <w:r w:rsidRPr="00311861">
        <w:t>Annually*</w:t>
      </w:r>
    </w:p>
    <w:tbl>
      <w:tblPr>
        <w:tblStyle w:val="LightList-Accent11"/>
        <w:tblW w:w="7560" w:type="dxa"/>
        <w:tblLook w:val="0000" w:firstRow="0" w:lastRow="0" w:firstColumn="0" w:lastColumn="0" w:noHBand="0" w:noVBand="0"/>
      </w:tblPr>
      <w:tblGrid>
        <w:gridCol w:w="4156"/>
        <w:gridCol w:w="1702"/>
        <w:gridCol w:w="1702"/>
      </w:tblGrid>
      <w:tr w:rsidRPr="004C28D8" w:rsidR="00F63D02" w:rsidTr="008E6DF8" w14:paraId="3AAD8E43"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156" w:type="dxa"/>
            <w:shd w:val="clear" w:color="auto" w:fill="5B9BD5" w:themeFill="accent1"/>
            <w:vAlign w:val="bottom"/>
          </w:tcPr>
          <w:p w:rsidRPr="008E6DF8" w:rsidR="00F63D02" w:rsidP="008E6DF8" w:rsidRDefault="00F63D02" w14:paraId="2A831449" w14:textId="77777777">
            <w:pPr>
              <w:rPr>
                <w:rFonts w:asciiTheme="minorHAnsi" w:hAnsiTheme="minorHAnsi" w:cstheme="minorHAnsi"/>
                <w:color w:val="FFFFFF" w:themeColor="background1"/>
                <w:sz w:val="22"/>
                <w:szCs w:val="22"/>
              </w:rPr>
            </w:pPr>
            <w:r w:rsidRPr="008E6DF8">
              <w:rPr>
                <w:rFonts w:asciiTheme="minorHAnsi" w:hAnsiTheme="minorHAnsi" w:cstheme="minorHAnsi"/>
                <w:color w:val="FFFFFF" w:themeColor="background1"/>
                <w:sz w:val="22"/>
                <w:szCs w:val="22"/>
              </w:rPr>
              <w:t>Target Audience</w:t>
            </w:r>
          </w:p>
        </w:tc>
        <w:tc>
          <w:tcPr>
            <w:tcW w:w="1702" w:type="dxa"/>
            <w:shd w:val="clear" w:color="auto" w:fill="5B9BD5" w:themeFill="accent1"/>
            <w:vAlign w:val="bottom"/>
          </w:tcPr>
          <w:p w:rsidRPr="008E6DF8" w:rsidR="00F63D02" w:rsidP="004C28D8" w:rsidRDefault="00F63D02" w14:paraId="01AE06B8"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r w:rsidRPr="008E6DF8">
              <w:rPr>
                <w:rFonts w:asciiTheme="minorHAnsi" w:hAnsiTheme="minorHAnsi" w:cstheme="minorHAnsi"/>
                <w:color w:val="FFFFFF" w:themeColor="background1"/>
                <w:sz w:val="22"/>
                <w:szCs w:val="22"/>
              </w:rPr>
              <w:t>Time (minutes)</w:t>
            </w:r>
          </w:p>
        </w:tc>
        <w:tc>
          <w:tcPr>
            <w:cnfStyle w:val="000010000000" w:firstRow="0" w:lastRow="0" w:firstColumn="0" w:lastColumn="0" w:oddVBand="1" w:evenVBand="0" w:oddHBand="0" w:evenHBand="0" w:firstRowFirstColumn="0" w:firstRowLastColumn="0" w:lastRowFirstColumn="0" w:lastRowLastColumn="0"/>
            <w:tcW w:w="1702" w:type="dxa"/>
            <w:shd w:val="clear" w:color="auto" w:fill="5B9BD5" w:themeFill="accent1"/>
            <w:vAlign w:val="bottom"/>
          </w:tcPr>
          <w:p w:rsidRPr="008E6DF8" w:rsidR="00F63D02" w:rsidP="004C28D8" w:rsidRDefault="00F63D02" w14:paraId="0C447E4A" w14:textId="77777777">
            <w:pPr>
              <w:jc w:val="center"/>
              <w:rPr>
                <w:rFonts w:asciiTheme="minorHAnsi" w:hAnsiTheme="minorHAnsi" w:cstheme="minorHAnsi"/>
                <w:color w:val="FFFFFF" w:themeColor="background1"/>
                <w:sz w:val="22"/>
                <w:szCs w:val="22"/>
              </w:rPr>
            </w:pPr>
            <w:r w:rsidRPr="008E6DF8">
              <w:rPr>
                <w:rFonts w:asciiTheme="minorHAnsi" w:hAnsiTheme="minorHAnsi" w:cstheme="minorHAnsi"/>
                <w:color w:val="FFFFFF" w:themeColor="background1"/>
                <w:sz w:val="22"/>
                <w:szCs w:val="22"/>
              </w:rPr>
              <w:t>Time (hours)</w:t>
            </w:r>
          </w:p>
        </w:tc>
      </w:tr>
      <w:tr w:rsidRPr="00AE5F2F" w:rsidR="00EC7EE4" w:rsidTr="008E6DF8" w14:paraId="77C4DBFD" w14:textId="77777777">
        <w:trPr>
          <w:trHeight w:val="197"/>
        </w:trPr>
        <w:tc>
          <w:tcPr>
            <w:cnfStyle w:val="000010000000" w:firstRow="0" w:lastRow="0" w:firstColumn="0" w:lastColumn="0" w:oddVBand="1" w:evenVBand="0" w:oddHBand="0" w:evenHBand="0" w:firstRowFirstColumn="0" w:firstRowLastColumn="0" w:lastRowFirstColumn="0" w:lastRowLastColumn="0"/>
            <w:tcW w:w="4156" w:type="dxa"/>
            <w:vAlign w:val="center"/>
          </w:tcPr>
          <w:p w:rsidRPr="008E6DF8" w:rsidR="00EC7EE4" w:rsidP="00EC7EE4" w:rsidRDefault="00EC7EE4" w14:paraId="2F3785B6" w14:textId="616037F0">
            <w:pPr>
              <w:rPr>
                <w:rFonts w:asciiTheme="minorHAnsi" w:hAnsiTheme="minorHAnsi" w:cstheme="minorHAnsi"/>
                <w:sz w:val="22"/>
                <w:szCs w:val="22"/>
              </w:rPr>
            </w:pPr>
            <w:r w:rsidRPr="008E6DF8">
              <w:rPr>
                <w:rFonts w:asciiTheme="minorHAnsi" w:hAnsiTheme="minorHAnsi" w:cstheme="minorHAnsi"/>
                <w:sz w:val="22"/>
                <w:szCs w:val="22"/>
              </w:rPr>
              <w:t xml:space="preserve">State and Tribal Grantees </w:t>
            </w:r>
            <w:r w:rsidRPr="00453830" w:rsidR="00C56772">
              <w:rPr>
                <w:rFonts w:asciiTheme="minorHAnsi" w:hAnsiTheme="minorHAnsi" w:cstheme="minorHAnsi"/>
                <w:sz w:val="22"/>
                <w:szCs w:val="22"/>
                <w:vertAlign w:val="superscript"/>
              </w:rPr>
              <w:t>a</w:t>
            </w:r>
          </w:p>
        </w:tc>
        <w:tc>
          <w:tcPr>
            <w:tcW w:w="1702" w:type="dxa"/>
          </w:tcPr>
          <w:p w:rsidRPr="008E6DF8" w:rsidR="00EC7EE4" w:rsidP="00EC7EE4" w:rsidRDefault="00F61758" w14:paraId="00115875" w14:textId="21FCAB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w:t>
            </w:r>
            <w:r w:rsidR="00C56772">
              <w:rPr>
                <w:rFonts w:asciiTheme="minorHAnsi" w:hAnsiTheme="minorHAnsi" w:cs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1702" w:type="dxa"/>
          </w:tcPr>
          <w:p w:rsidRPr="008E6DF8" w:rsidR="00EC7EE4" w:rsidP="00EC7EE4" w:rsidRDefault="00F61758" w14:paraId="347B42F7" w14:textId="3EEE91E8">
            <w:pPr>
              <w:jc w:val="center"/>
              <w:rPr>
                <w:rFonts w:asciiTheme="minorHAnsi" w:hAnsiTheme="minorHAnsi" w:cstheme="minorHAnsi"/>
                <w:sz w:val="22"/>
                <w:szCs w:val="22"/>
              </w:rPr>
            </w:pPr>
            <w:r>
              <w:rPr>
                <w:rFonts w:asciiTheme="minorHAnsi" w:hAnsiTheme="minorHAnsi" w:cstheme="minorHAnsi"/>
                <w:sz w:val="22"/>
                <w:szCs w:val="22"/>
              </w:rPr>
              <w:t>2</w:t>
            </w:r>
            <w:r w:rsidR="00C56772">
              <w:rPr>
                <w:rFonts w:asciiTheme="minorHAnsi" w:hAnsiTheme="minorHAnsi" w:cstheme="minorHAnsi"/>
                <w:sz w:val="22"/>
                <w:szCs w:val="22"/>
              </w:rPr>
              <w:t>.02</w:t>
            </w:r>
          </w:p>
        </w:tc>
      </w:tr>
      <w:tr w:rsidRPr="00AE5F2F" w:rsidR="00EC7EE4" w:rsidTr="008E6DF8" w14:paraId="539D1C7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156" w:type="dxa"/>
            <w:vAlign w:val="center"/>
          </w:tcPr>
          <w:p w:rsidRPr="008E6DF8" w:rsidR="00EC7EE4" w:rsidP="00EC7EE4" w:rsidRDefault="00EC7EE4" w14:paraId="563873B7" w14:textId="62416559">
            <w:pPr>
              <w:rPr>
                <w:rFonts w:asciiTheme="minorHAnsi" w:hAnsiTheme="minorHAnsi" w:cstheme="minorHAnsi"/>
                <w:sz w:val="22"/>
                <w:szCs w:val="22"/>
              </w:rPr>
            </w:pPr>
            <w:r w:rsidRPr="008E6DF8">
              <w:rPr>
                <w:rFonts w:asciiTheme="minorHAnsi" w:hAnsiTheme="minorHAnsi" w:cstheme="minorHAnsi"/>
                <w:color w:val="000000"/>
                <w:sz w:val="22"/>
                <w:szCs w:val="22"/>
              </w:rPr>
              <w:t>SFAs</w:t>
            </w:r>
            <w:r w:rsidRPr="00453830" w:rsidR="00C56772">
              <w:rPr>
                <w:rFonts w:asciiTheme="minorHAnsi" w:hAnsiTheme="minorHAnsi" w:cstheme="minorHAnsi"/>
                <w:color w:val="000000"/>
                <w:sz w:val="22"/>
                <w:szCs w:val="22"/>
                <w:vertAlign w:val="superscript"/>
              </w:rPr>
              <w:t>b</w:t>
            </w:r>
          </w:p>
        </w:tc>
        <w:tc>
          <w:tcPr>
            <w:tcW w:w="1702" w:type="dxa"/>
          </w:tcPr>
          <w:p w:rsidRPr="008E6DF8" w:rsidR="00EC7EE4" w:rsidP="00EC7EE4" w:rsidRDefault="008A7268" w14:paraId="4EBC2898" w14:textId="754F68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549</w:t>
            </w:r>
          </w:p>
        </w:tc>
        <w:tc>
          <w:tcPr>
            <w:cnfStyle w:val="000010000000" w:firstRow="0" w:lastRow="0" w:firstColumn="0" w:lastColumn="0" w:oddVBand="1" w:evenVBand="0" w:oddHBand="0" w:evenHBand="0" w:firstRowFirstColumn="0" w:firstRowLastColumn="0" w:lastRowFirstColumn="0" w:lastRowLastColumn="0"/>
            <w:tcW w:w="1702" w:type="dxa"/>
          </w:tcPr>
          <w:p w:rsidRPr="008E6DF8" w:rsidR="00EC7EE4" w:rsidP="00EC7EE4" w:rsidRDefault="008A7268" w14:paraId="236E2563" w14:textId="025928F4">
            <w:pPr>
              <w:jc w:val="center"/>
              <w:rPr>
                <w:rFonts w:asciiTheme="minorHAnsi" w:hAnsiTheme="minorHAnsi" w:cstheme="minorHAnsi"/>
                <w:sz w:val="22"/>
                <w:szCs w:val="22"/>
              </w:rPr>
            </w:pPr>
            <w:r>
              <w:rPr>
                <w:rFonts w:asciiTheme="minorHAnsi" w:hAnsiTheme="minorHAnsi" w:cstheme="minorHAnsi"/>
                <w:sz w:val="22"/>
                <w:szCs w:val="22"/>
              </w:rPr>
              <w:t>9.15</w:t>
            </w:r>
          </w:p>
        </w:tc>
      </w:tr>
      <w:tr w:rsidRPr="00AE5F2F" w:rsidR="00EC7EE4" w:rsidTr="008E6DF8" w14:paraId="6C1E2D79" w14:textId="77777777">
        <w:trPr>
          <w:trHeight w:val="288"/>
        </w:trPr>
        <w:tc>
          <w:tcPr>
            <w:cnfStyle w:val="000010000000" w:firstRow="0" w:lastRow="0" w:firstColumn="0" w:lastColumn="0" w:oddVBand="1" w:evenVBand="0" w:oddHBand="0" w:evenHBand="0" w:firstRowFirstColumn="0" w:firstRowLastColumn="0" w:lastRowFirstColumn="0" w:lastRowLastColumn="0"/>
            <w:tcW w:w="4156" w:type="dxa"/>
            <w:vAlign w:val="center"/>
          </w:tcPr>
          <w:p w:rsidRPr="008E6DF8" w:rsidR="00EC7EE4" w:rsidP="00EC7EE4" w:rsidRDefault="00EC7EE4" w14:paraId="4D599802" w14:textId="3184D004">
            <w:pPr>
              <w:rPr>
                <w:rFonts w:asciiTheme="minorHAnsi" w:hAnsiTheme="minorHAnsi" w:cstheme="minorHAnsi"/>
                <w:sz w:val="22"/>
                <w:szCs w:val="22"/>
              </w:rPr>
            </w:pPr>
            <w:r w:rsidRPr="008E6DF8">
              <w:rPr>
                <w:rFonts w:asciiTheme="minorHAnsi" w:hAnsiTheme="minorHAnsi" w:cstheme="minorHAnsi"/>
                <w:color w:val="000000"/>
                <w:sz w:val="22"/>
                <w:szCs w:val="22"/>
              </w:rPr>
              <w:t>Parents/caregivers</w:t>
            </w:r>
          </w:p>
        </w:tc>
        <w:tc>
          <w:tcPr>
            <w:tcW w:w="1702" w:type="dxa"/>
          </w:tcPr>
          <w:p w:rsidRPr="008E6DF8" w:rsidR="00EC7EE4" w:rsidP="00EC7EE4" w:rsidRDefault="00A25471" w14:paraId="012966F6" w14:textId="4F2CE5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w:t>
            </w:r>
          </w:p>
        </w:tc>
        <w:tc>
          <w:tcPr>
            <w:cnfStyle w:val="000010000000" w:firstRow="0" w:lastRow="0" w:firstColumn="0" w:lastColumn="0" w:oddVBand="1" w:evenVBand="0" w:oddHBand="0" w:evenHBand="0" w:firstRowFirstColumn="0" w:firstRowLastColumn="0" w:lastRowFirstColumn="0" w:lastRowLastColumn="0"/>
            <w:tcW w:w="1702" w:type="dxa"/>
          </w:tcPr>
          <w:p w:rsidRPr="008E6DF8" w:rsidR="00EC7EE4" w:rsidP="00EC7EE4" w:rsidRDefault="00107263" w14:paraId="2C5FA3DD" w14:textId="60E96B06">
            <w:pPr>
              <w:jc w:val="center"/>
              <w:rPr>
                <w:rFonts w:asciiTheme="minorHAnsi" w:hAnsiTheme="minorHAnsi" w:cstheme="minorHAnsi"/>
                <w:sz w:val="22"/>
                <w:szCs w:val="22"/>
              </w:rPr>
            </w:pPr>
            <w:r w:rsidRPr="008E6DF8">
              <w:rPr>
                <w:rFonts w:asciiTheme="minorHAnsi" w:hAnsiTheme="minorHAnsi" w:cstheme="minorHAnsi"/>
                <w:sz w:val="22"/>
                <w:szCs w:val="22"/>
              </w:rPr>
              <w:t>.</w:t>
            </w:r>
            <w:r w:rsidR="00A25471">
              <w:rPr>
                <w:rFonts w:asciiTheme="minorHAnsi" w:hAnsiTheme="minorHAnsi" w:cstheme="minorHAnsi"/>
                <w:sz w:val="22"/>
                <w:szCs w:val="22"/>
              </w:rPr>
              <w:t>15</w:t>
            </w:r>
          </w:p>
        </w:tc>
      </w:tr>
      <w:tr w:rsidRPr="00AE5F2F" w:rsidR="00EC7EE4" w:rsidTr="008E6DF8" w14:paraId="5D8171C6"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156" w:type="dxa"/>
            <w:vAlign w:val="center"/>
          </w:tcPr>
          <w:p w:rsidRPr="008E6DF8" w:rsidR="00EC7EE4" w:rsidP="00EC7EE4" w:rsidRDefault="00EC7EE4" w14:paraId="5CC37EA4" w14:textId="749B9310">
            <w:pPr>
              <w:rPr>
                <w:rFonts w:asciiTheme="minorHAnsi" w:hAnsiTheme="minorHAnsi" w:cstheme="minorHAnsi"/>
                <w:sz w:val="22"/>
                <w:szCs w:val="22"/>
              </w:rPr>
            </w:pPr>
            <w:r w:rsidRPr="008E6DF8">
              <w:rPr>
                <w:rFonts w:asciiTheme="minorHAnsi" w:hAnsiTheme="minorHAnsi" w:cstheme="minorHAnsi"/>
                <w:color w:val="000000"/>
                <w:sz w:val="22"/>
                <w:szCs w:val="22"/>
              </w:rPr>
              <w:t>Retailers</w:t>
            </w:r>
          </w:p>
        </w:tc>
        <w:tc>
          <w:tcPr>
            <w:tcW w:w="1702" w:type="dxa"/>
          </w:tcPr>
          <w:p w:rsidRPr="008E6DF8" w:rsidR="00EC7EE4" w:rsidP="00EC7EE4" w:rsidRDefault="008A7268" w14:paraId="52DE4F97" w14:textId="75BBC0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8</w:t>
            </w:r>
          </w:p>
        </w:tc>
        <w:tc>
          <w:tcPr>
            <w:cnfStyle w:val="000010000000" w:firstRow="0" w:lastRow="0" w:firstColumn="0" w:lastColumn="0" w:oddVBand="1" w:evenVBand="0" w:oddHBand="0" w:evenHBand="0" w:firstRowFirstColumn="0" w:firstRowLastColumn="0" w:lastRowFirstColumn="0" w:lastRowLastColumn="0"/>
            <w:tcW w:w="1702" w:type="dxa"/>
          </w:tcPr>
          <w:p w:rsidRPr="008E6DF8" w:rsidR="00EC7EE4" w:rsidP="00EC7EE4" w:rsidRDefault="00107263" w14:paraId="35A030EB" w14:textId="4E52A590">
            <w:pPr>
              <w:jc w:val="center"/>
              <w:rPr>
                <w:rFonts w:asciiTheme="minorHAnsi" w:hAnsiTheme="minorHAnsi" w:cstheme="minorHAnsi"/>
                <w:sz w:val="22"/>
                <w:szCs w:val="22"/>
              </w:rPr>
            </w:pPr>
            <w:r w:rsidRPr="008E6DF8">
              <w:rPr>
                <w:rFonts w:asciiTheme="minorHAnsi" w:hAnsiTheme="minorHAnsi" w:cstheme="minorHAnsi"/>
                <w:sz w:val="22"/>
                <w:szCs w:val="22"/>
              </w:rPr>
              <w:t>.</w:t>
            </w:r>
            <w:r w:rsidR="00A25471">
              <w:rPr>
                <w:rFonts w:asciiTheme="minorHAnsi" w:hAnsiTheme="minorHAnsi" w:cstheme="minorHAnsi"/>
                <w:sz w:val="22"/>
                <w:szCs w:val="22"/>
              </w:rPr>
              <w:t>13</w:t>
            </w:r>
          </w:p>
        </w:tc>
      </w:tr>
      <w:tr w:rsidRPr="00AE5F2F" w:rsidR="00F63D02" w:rsidTr="008E6DF8" w14:paraId="1588A8CC" w14:textId="77777777">
        <w:trPr>
          <w:trHeight w:val="413"/>
        </w:trPr>
        <w:tc>
          <w:tcPr>
            <w:cnfStyle w:val="000010000000" w:firstRow="0" w:lastRow="0" w:firstColumn="0" w:lastColumn="0" w:oddVBand="1" w:evenVBand="0" w:oddHBand="0" w:evenHBand="0" w:firstRowFirstColumn="0" w:firstRowLastColumn="0" w:lastRowFirstColumn="0" w:lastRowLastColumn="0"/>
            <w:tcW w:w="7560" w:type="dxa"/>
            <w:gridSpan w:val="3"/>
            <w:tcBorders>
              <w:left w:val="nil"/>
              <w:bottom w:val="nil"/>
              <w:right w:val="nil"/>
            </w:tcBorders>
          </w:tcPr>
          <w:p w:rsidR="00F63D02" w:rsidP="009F3E3D" w:rsidRDefault="00F63D02" w14:paraId="30481F1C" w14:textId="28111358">
            <w:pPr>
              <w:rPr>
                <w:rFonts w:asciiTheme="minorHAnsi" w:hAnsiTheme="minorHAnsi" w:cstheme="minorHAnsi"/>
                <w:sz w:val="22"/>
                <w:szCs w:val="22"/>
              </w:rPr>
            </w:pPr>
            <w:r w:rsidRPr="008E6DF8">
              <w:rPr>
                <w:rFonts w:asciiTheme="minorHAnsi" w:hAnsiTheme="minorHAnsi" w:cstheme="minorHAnsi"/>
                <w:sz w:val="22"/>
                <w:szCs w:val="22"/>
              </w:rPr>
              <w:t>*The time is an average response per respondent.</w:t>
            </w:r>
          </w:p>
          <w:p w:rsidRPr="00453830" w:rsidR="00C56772" w:rsidP="009F3E3D" w:rsidRDefault="00C56772" w14:paraId="5B5F89ED" w14:textId="3F828EE4">
            <w:pPr>
              <w:rPr>
                <w:rFonts w:asciiTheme="minorHAnsi" w:hAnsiTheme="minorHAnsi" w:cstheme="minorHAnsi"/>
                <w:sz w:val="18"/>
                <w:szCs w:val="18"/>
              </w:rPr>
            </w:pPr>
            <w:r w:rsidRPr="00453830">
              <w:rPr>
                <w:rFonts w:asciiTheme="minorHAnsi" w:hAnsiTheme="minorHAnsi" w:cstheme="minorHAnsi"/>
                <w:sz w:val="18"/>
                <w:szCs w:val="18"/>
              </w:rPr>
              <w:t>a. The state and tribal recruitment activities includes burden for 2 hours of providing the study team with suggestions for SFAs and Retailers to contact</w:t>
            </w:r>
            <w:r w:rsidR="00817A43">
              <w:rPr>
                <w:rFonts w:asciiTheme="minorHAnsi" w:hAnsiTheme="minorHAnsi" w:cstheme="minorHAnsi"/>
                <w:sz w:val="18"/>
                <w:szCs w:val="18"/>
              </w:rPr>
              <w:t xml:space="preserve"> (Attachment C.1)</w:t>
            </w:r>
            <w:r w:rsidRPr="00453830">
              <w:rPr>
                <w:rFonts w:asciiTheme="minorHAnsi" w:hAnsiTheme="minorHAnsi" w:cstheme="minorHAnsi"/>
                <w:sz w:val="18"/>
                <w:szCs w:val="18"/>
              </w:rPr>
              <w:t>. It also includes a one minute burden for a confirmation email template from the study team</w:t>
            </w:r>
            <w:r w:rsidR="00817A43">
              <w:rPr>
                <w:rFonts w:asciiTheme="minorHAnsi" w:hAnsiTheme="minorHAnsi" w:cstheme="minorHAnsi"/>
                <w:sz w:val="18"/>
                <w:szCs w:val="18"/>
              </w:rPr>
              <w:t xml:space="preserve"> (Attachment C.2)</w:t>
            </w:r>
            <w:r w:rsidRPr="00453830">
              <w:rPr>
                <w:rFonts w:asciiTheme="minorHAnsi" w:hAnsiTheme="minorHAnsi" w:cstheme="minorHAnsi"/>
                <w:sz w:val="18"/>
                <w:szCs w:val="18"/>
              </w:rPr>
              <w:t>.</w:t>
            </w:r>
          </w:p>
          <w:p w:rsidRPr="00453830" w:rsidR="00C56772" w:rsidP="009F3E3D" w:rsidRDefault="00C56772" w14:paraId="7B3B2BED" w14:textId="579C6E04">
            <w:pPr>
              <w:rPr>
                <w:rFonts w:asciiTheme="minorHAnsi" w:hAnsiTheme="minorHAnsi" w:cstheme="minorHAnsi"/>
                <w:sz w:val="18"/>
                <w:szCs w:val="18"/>
              </w:rPr>
            </w:pPr>
            <w:r w:rsidRPr="00453830">
              <w:rPr>
                <w:rFonts w:asciiTheme="minorHAnsi" w:hAnsiTheme="minorHAnsi" w:cstheme="minorHAnsi"/>
                <w:sz w:val="18"/>
                <w:szCs w:val="18"/>
              </w:rPr>
              <w:t xml:space="preserve">b. The burden here includes 9 </w:t>
            </w:r>
            <w:r w:rsidRPr="00A25471" w:rsidR="00A25471">
              <w:rPr>
                <w:rFonts w:asciiTheme="minorHAnsi" w:hAnsiTheme="minorHAnsi" w:cstheme="minorHAnsi"/>
                <w:sz w:val="18"/>
                <w:szCs w:val="18"/>
              </w:rPr>
              <w:t>minutes’</w:t>
            </w:r>
            <w:r w:rsidRPr="00453830">
              <w:rPr>
                <w:rFonts w:asciiTheme="minorHAnsi" w:hAnsiTheme="minorHAnsi" w:cstheme="minorHAnsi"/>
                <w:sz w:val="18"/>
                <w:szCs w:val="18"/>
              </w:rPr>
              <w:t xml:space="preserve"> worth of recruitment activities</w:t>
            </w:r>
            <w:r w:rsidR="00817A43">
              <w:rPr>
                <w:rFonts w:asciiTheme="minorHAnsi" w:hAnsiTheme="minorHAnsi" w:cstheme="minorHAnsi"/>
                <w:sz w:val="18"/>
                <w:szCs w:val="18"/>
              </w:rPr>
              <w:t xml:space="preserve"> (Attachments E.1 and E.3 through E.6)</w:t>
            </w:r>
            <w:r w:rsidRPr="00453830">
              <w:rPr>
                <w:rFonts w:asciiTheme="minorHAnsi" w:hAnsiTheme="minorHAnsi" w:cstheme="minorHAnsi"/>
                <w:sz w:val="18"/>
                <w:szCs w:val="18"/>
              </w:rPr>
              <w:t xml:space="preserve"> and 9 hours of burden associated with the SFAs helping recruit participants for the focus group</w:t>
            </w:r>
            <w:r w:rsidR="00817A43">
              <w:rPr>
                <w:rFonts w:asciiTheme="minorHAnsi" w:hAnsiTheme="minorHAnsi" w:cstheme="minorHAnsi"/>
                <w:sz w:val="18"/>
                <w:szCs w:val="18"/>
              </w:rPr>
              <w:t xml:space="preserve"> (Attachment E.2)</w:t>
            </w:r>
            <w:r w:rsidRPr="00453830">
              <w:rPr>
                <w:rFonts w:asciiTheme="minorHAnsi" w:hAnsiTheme="minorHAnsi" w:cstheme="minorHAnsi"/>
                <w:sz w:val="18"/>
                <w:szCs w:val="18"/>
              </w:rPr>
              <w:t>.</w:t>
            </w:r>
          </w:p>
          <w:p w:rsidRPr="008E6DF8" w:rsidR="008A7268" w:rsidP="00A25471" w:rsidRDefault="008A7268" w14:paraId="49F6A0EE" w14:textId="11B0958C">
            <w:pPr>
              <w:rPr>
                <w:rFonts w:asciiTheme="minorHAnsi" w:hAnsiTheme="minorHAnsi" w:cstheme="minorHAnsi"/>
                <w:sz w:val="22"/>
                <w:szCs w:val="22"/>
              </w:rPr>
            </w:pPr>
          </w:p>
        </w:tc>
      </w:tr>
    </w:tbl>
    <w:p w:rsidR="00A25471" w:rsidP="004474AF" w:rsidRDefault="00A25471" w14:paraId="2026CDC8" w14:textId="77777777">
      <w:pPr>
        <w:pStyle w:val="BodyText"/>
      </w:pPr>
    </w:p>
    <w:p w:rsidR="00174036" w:rsidRDefault="00174036" w14:paraId="0A7D3BC8" w14:textId="016B172A">
      <w:pPr>
        <w:spacing w:after="160" w:line="259" w:lineRule="auto"/>
        <w:rPr>
          <w:rFonts w:asciiTheme="minorHAnsi" w:hAnsiTheme="minorHAnsi" w:cstheme="minorHAnsi"/>
        </w:rPr>
      </w:pPr>
      <w:r>
        <w:br w:type="page"/>
      </w:r>
    </w:p>
    <w:p w:rsidRPr="00AE5F2F" w:rsidR="00174036" w:rsidP="004474AF" w:rsidRDefault="00174036" w14:paraId="04645FE2" w14:textId="77777777">
      <w:pPr>
        <w:pStyle w:val="BodyText"/>
      </w:pPr>
    </w:p>
    <w:p w:rsidRPr="00AE5F2F" w:rsidR="00F63D02" w:rsidP="008E6DF8" w:rsidRDefault="00F63D02" w14:paraId="0E5E37C6" w14:textId="77777777">
      <w:pPr>
        <w:pStyle w:val="Caption"/>
      </w:pPr>
      <w:r w:rsidRPr="00AE5F2F">
        <w:t xml:space="preserve">Table 5.2 </w:t>
      </w:r>
      <w:r w:rsidR="008E6DF8">
        <w:t>–</w:t>
      </w:r>
      <w:r w:rsidRPr="00AE5F2F">
        <w:t xml:space="preserve"> Time Needed for Research Activities by Audience</w:t>
      </w:r>
    </w:p>
    <w:tbl>
      <w:tblPr>
        <w:tblStyle w:val="LightList-Accent11"/>
        <w:tblW w:w="9260" w:type="dxa"/>
        <w:tblLayout w:type="fixed"/>
        <w:tblLook w:val="04A0" w:firstRow="1" w:lastRow="0" w:firstColumn="1" w:lastColumn="0" w:noHBand="0" w:noVBand="1"/>
      </w:tblPr>
      <w:tblGrid>
        <w:gridCol w:w="2780"/>
        <w:gridCol w:w="4140"/>
        <w:gridCol w:w="1260"/>
        <w:gridCol w:w="1080"/>
      </w:tblGrid>
      <w:tr w:rsidRPr="00AE5F2F" w:rsidR="00F63D02" w:rsidTr="008E6DF8" w14:paraId="5C05F21B" w14:textId="777777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80" w:type="dxa"/>
            <w:vAlign w:val="bottom"/>
            <w:hideMark/>
          </w:tcPr>
          <w:p w:rsidRPr="00AE5F2F" w:rsidR="00F63D02" w:rsidP="004C28D8" w:rsidRDefault="00F63D02" w14:paraId="4F8E6545" w14:textId="77777777">
            <w:pPr>
              <w:rPr>
                <w:rFonts w:asciiTheme="minorHAnsi" w:hAnsiTheme="minorHAnsi" w:cstheme="minorHAnsi"/>
                <w:b w:val="0"/>
                <w:bCs w:val="0"/>
                <w:sz w:val="22"/>
                <w:szCs w:val="22"/>
              </w:rPr>
            </w:pPr>
            <w:r w:rsidRPr="00AE5F2F">
              <w:rPr>
                <w:rFonts w:asciiTheme="minorHAnsi" w:hAnsiTheme="minorHAnsi" w:cstheme="minorHAnsi"/>
                <w:b w:val="0"/>
                <w:bCs w:val="0"/>
                <w:sz w:val="22"/>
                <w:szCs w:val="22"/>
              </w:rPr>
              <w:t>Target Audience</w:t>
            </w:r>
          </w:p>
        </w:tc>
        <w:tc>
          <w:tcPr>
            <w:tcW w:w="4140" w:type="dxa"/>
            <w:vAlign w:val="bottom"/>
            <w:hideMark/>
          </w:tcPr>
          <w:p w:rsidRPr="00AE5F2F" w:rsidR="00F63D02" w:rsidP="00AE7DE3" w:rsidRDefault="00F63D02" w14:paraId="24CFE6B4"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AE5F2F">
              <w:rPr>
                <w:rFonts w:asciiTheme="minorHAnsi" w:hAnsiTheme="minorHAnsi" w:cstheme="minorHAnsi"/>
                <w:b w:val="0"/>
                <w:bCs w:val="0"/>
                <w:sz w:val="22"/>
                <w:szCs w:val="22"/>
              </w:rPr>
              <w:t>Research Activity</w:t>
            </w:r>
          </w:p>
        </w:tc>
        <w:tc>
          <w:tcPr>
            <w:tcW w:w="1260" w:type="dxa"/>
            <w:vAlign w:val="bottom"/>
            <w:hideMark/>
          </w:tcPr>
          <w:p w:rsidRPr="00AE5F2F" w:rsidR="00F63D02" w:rsidP="004C28D8" w:rsidRDefault="00F63D02" w14:paraId="56D24AAD"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AE5F2F">
              <w:rPr>
                <w:rFonts w:asciiTheme="minorHAnsi" w:hAnsiTheme="minorHAnsi" w:cstheme="minorHAnsi"/>
                <w:b w:val="0"/>
                <w:bCs w:val="0"/>
                <w:sz w:val="22"/>
                <w:szCs w:val="22"/>
              </w:rPr>
              <w:t>Time (minutes)</w:t>
            </w:r>
          </w:p>
        </w:tc>
        <w:tc>
          <w:tcPr>
            <w:tcW w:w="1080" w:type="dxa"/>
            <w:vAlign w:val="bottom"/>
            <w:hideMark/>
          </w:tcPr>
          <w:p w:rsidRPr="00AE5F2F" w:rsidR="00F63D02" w:rsidP="004C28D8" w:rsidRDefault="00F63D02" w14:paraId="5C87AD08"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AE5F2F">
              <w:rPr>
                <w:rFonts w:asciiTheme="minorHAnsi" w:hAnsiTheme="minorHAnsi" w:cstheme="minorHAnsi"/>
                <w:b w:val="0"/>
                <w:bCs w:val="0"/>
                <w:sz w:val="22"/>
                <w:szCs w:val="22"/>
              </w:rPr>
              <w:t>Time (hours)</w:t>
            </w:r>
          </w:p>
        </w:tc>
      </w:tr>
      <w:tr w:rsidRPr="00AE5F2F" w:rsidR="00191236" w:rsidTr="008E6DF8" w14:paraId="68638218" w14:textId="77777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780" w:type="dxa"/>
            <w:vAlign w:val="center"/>
          </w:tcPr>
          <w:p w:rsidRPr="00AE5F2F" w:rsidR="00191236" w:rsidP="00191236" w:rsidRDefault="00191236" w14:paraId="70BCA42A" w14:textId="628BB732">
            <w:pPr>
              <w:rPr>
                <w:rFonts w:asciiTheme="minorHAnsi" w:hAnsiTheme="minorHAnsi" w:cstheme="minorHAnsi"/>
                <w:b w:val="0"/>
                <w:sz w:val="22"/>
                <w:szCs w:val="22"/>
              </w:rPr>
            </w:pPr>
            <w:r w:rsidRPr="00AE5F2F">
              <w:rPr>
                <w:rFonts w:asciiTheme="minorHAnsi" w:hAnsiTheme="minorHAnsi" w:cstheme="minorHAnsi"/>
                <w:b w:val="0"/>
                <w:sz w:val="22"/>
                <w:szCs w:val="22"/>
              </w:rPr>
              <w:t xml:space="preserve">State and Tribal Grantees </w:t>
            </w:r>
          </w:p>
        </w:tc>
        <w:tc>
          <w:tcPr>
            <w:tcW w:w="4140" w:type="dxa"/>
            <w:vAlign w:val="center"/>
          </w:tcPr>
          <w:p w:rsidRPr="00AE5F2F" w:rsidR="00191236" w:rsidP="00B51648" w:rsidRDefault="00B51648" w14:paraId="0FF2C1A4" w14:textId="1EF78E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Most years, grantees will be interviewed using Attachment B1.G</w:t>
            </w:r>
            <w:r w:rsidRPr="00AE5F2F" w:rsidR="00191236">
              <w:rPr>
                <w:rFonts w:asciiTheme="minorHAnsi" w:hAnsiTheme="minorHAnsi" w:cstheme="minorHAnsi"/>
                <w:color w:val="000000"/>
                <w:sz w:val="22"/>
                <w:szCs w:val="22"/>
              </w:rPr>
              <w:t xml:space="preserve">rantee </w:t>
            </w:r>
            <w:r>
              <w:rPr>
                <w:rFonts w:asciiTheme="minorHAnsi" w:hAnsiTheme="minorHAnsi" w:cstheme="minorHAnsi"/>
                <w:color w:val="000000"/>
                <w:sz w:val="22"/>
                <w:szCs w:val="22"/>
              </w:rPr>
              <w:t>I</w:t>
            </w:r>
            <w:r w:rsidRPr="00AE5F2F" w:rsidR="00191236">
              <w:rPr>
                <w:rFonts w:asciiTheme="minorHAnsi" w:hAnsiTheme="minorHAnsi" w:cstheme="minorHAnsi"/>
                <w:color w:val="000000"/>
                <w:sz w:val="22"/>
                <w:szCs w:val="22"/>
              </w:rPr>
              <w:t xml:space="preserve">nterview </w:t>
            </w:r>
            <w:r>
              <w:rPr>
                <w:rFonts w:asciiTheme="minorHAnsi" w:hAnsiTheme="minorHAnsi" w:cstheme="minorHAnsi"/>
                <w:color w:val="000000"/>
                <w:sz w:val="22"/>
                <w:szCs w:val="22"/>
              </w:rPr>
              <w:t>P</w:t>
            </w:r>
            <w:r w:rsidRPr="00AE5F2F" w:rsidR="00191236">
              <w:rPr>
                <w:rFonts w:asciiTheme="minorHAnsi" w:hAnsiTheme="minorHAnsi" w:cstheme="minorHAnsi"/>
                <w:color w:val="000000"/>
                <w:sz w:val="22"/>
                <w:szCs w:val="22"/>
              </w:rPr>
              <w:t>rotocol</w:t>
            </w:r>
          </w:p>
        </w:tc>
        <w:tc>
          <w:tcPr>
            <w:tcW w:w="1260" w:type="dxa"/>
            <w:vAlign w:val="center"/>
          </w:tcPr>
          <w:p w:rsidRPr="00AE5F2F" w:rsidR="00191236" w:rsidP="00191236" w:rsidRDefault="00191236" w14:paraId="6EFB7715" w14:textId="0856BC1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90</w:t>
            </w:r>
          </w:p>
        </w:tc>
        <w:tc>
          <w:tcPr>
            <w:tcW w:w="1080" w:type="dxa"/>
            <w:vAlign w:val="center"/>
          </w:tcPr>
          <w:p w:rsidRPr="00AE5F2F" w:rsidR="00191236" w:rsidP="00191236" w:rsidRDefault="00191236" w14:paraId="40145DE9" w14:textId="027BA4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1.5</w:t>
            </w:r>
          </w:p>
        </w:tc>
      </w:tr>
      <w:tr w:rsidRPr="00AE5F2F" w:rsidR="00191236" w:rsidTr="008E6DF8" w14:paraId="10D1DE2D" w14:textId="77777777">
        <w:trPr>
          <w:trHeight w:val="334"/>
        </w:trPr>
        <w:tc>
          <w:tcPr>
            <w:cnfStyle w:val="001000000000" w:firstRow="0" w:lastRow="0" w:firstColumn="1" w:lastColumn="0" w:oddVBand="0" w:evenVBand="0" w:oddHBand="0" w:evenHBand="0" w:firstRowFirstColumn="0" w:firstRowLastColumn="0" w:lastRowFirstColumn="0" w:lastRowLastColumn="0"/>
            <w:tcW w:w="2780" w:type="dxa"/>
            <w:vAlign w:val="center"/>
          </w:tcPr>
          <w:p w:rsidRPr="00AE5F2F" w:rsidR="00191236" w:rsidP="0007208B" w:rsidRDefault="00191236" w14:paraId="6B25ECB8" w14:textId="0D757621">
            <w:pPr>
              <w:rPr>
                <w:rFonts w:asciiTheme="minorHAnsi" w:hAnsiTheme="minorHAnsi" w:cstheme="minorHAnsi"/>
                <w:color w:val="000000"/>
                <w:sz w:val="22"/>
                <w:szCs w:val="22"/>
              </w:rPr>
            </w:pPr>
            <w:r w:rsidRPr="00AE5F2F">
              <w:rPr>
                <w:rFonts w:asciiTheme="minorHAnsi" w:hAnsiTheme="minorHAnsi" w:cstheme="minorHAnsi"/>
                <w:b w:val="0"/>
                <w:sz w:val="22"/>
                <w:szCs w:val="22"/>
              </w:rPr>
              <w:t xml:space="preserve">State and Tribal Grantees </w:t>
            </w:r>
          </w:p>
        </w:tc>
        <w:tc>
          <w:tcPr>
            <w:tcW w:w="4140" w:type="dxa"/>
            <w:vAlign w:val="center"/>
          </w:tcPr>
          <w:p w:rsidRPr="00AE5F2F" w:rsidR="00191236" w:rsidP="00B51648" w:rsidRDefault="0007208B" w14:paraId="28F732CD" w14:textId="3E65D97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 xml:space="preserve">One grantee (WI) will be interviewed </w:t>
            </w:r>
            <w:r w:rsidR="00B51648">
              <w:rPr>
                <w:rFonts w:asciiTheme="minorHAnsi" w:hAnsiTheme="minorHAnsi" w:cstheme="minorHAnsi"/>
                <w:color w:val="000000"/>
                <w:sz w:val="22"/>
                <w:szCs w:val="22"/>
              </w:rPr>
              <w:t>using a</w:t>
            </w:r>
            <w:r>
              <w:rPr>
                <w:rFonts w:asciiTheme="minorHAnsi" w:hAnsiTheme="minorHAnsi" w:cstheme="minorHAnsi"/>
                <w:color w:val="000000"/>
                <w:sz w:val="22"/>
                <w:szCs w:val="22"/>
              </w:rPr>
              <w:t xml:space="preserve"> shortened version of the interview guide (Attachment B.2) </w:t>
            </w:r>
            <w:r w:rsidR="00B51648">
              <w:rPr>
                <w:rFonts w:asciiTheme="minorHAnsi" w:hAnsiTheme="minorHAnsi" w:cstheme="minorHAnsi"/>
                <w:color w:val="000000"/>
                <w:sz w:val="22"/>
                <w:szCs w:val="22"/>
              </w:rPr>
              <w:t>during the</w:t>
            </w:r>
            <w:r>
              <w:rPr>
                <w:rFonts w:asciiTheme="minorHAnsi" w:hAnsiTheme="minorHAnsi" w:cstheme="minorHAnsi"/>
                <w:color w:val="000000"/>
                <w:sz w:val="22"/>
                <w:szCs w:val="22"/>
              </w:rPr>
              <w:t xml:space="preserve"> first year of the study. </w:t>
            </w:r>
          </w:p>
        </w:tc>
        <w:tc>
          <w:tcPr>
            <w:tcW w:w="1260" w:type="dxa"/>
            <w:vAlign w:val="center"/>
          </w:tcPr>
          <w:p w:rsidRPr="00AE5F2F" w:rsidR="00191236" w:rsidP="00191236" w:rsidRDefault="00191236" w14:paraId="2E64A1F0" w14:textId="6453F6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080" w:type="dxa"/>
            <w:vAlign w:val="center"/>
          </w:tcPr>
          <w:p w:rsidRPr="00AE5F2F" w:rsidR="00191236" w:rsidP="00191236" w:rsidRDefault="00B51648" w14:paraId="65A54841" w14:textId="2759F9D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.5</w:t>
            </w:r>
          </w:p>
        </w:tc>
      </w:tr>
      <w:tr w:rsidRPr="00AE5F2F" w:rsidR="00191236" w:rsidTr="008E6DF8" w14:paraId="00C28B0A" w14:textId="77777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780" w:type="dxa"/>
            <w:vAlign w:val="center"/>
          </w:tcPr>
          <w:p w:rsidRPr="00AE5F2F" w:rsidR="00191236" w:rsidP="00191236" w:rsidRDefault="00191236" w14:paraId="5E4521CA" w14:textId="77777777">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SFAs</w:t>
            </w:r>
          </w:p>
        </w:tc>
        <w:tc>
          <w:tcPr>
            <w:tcW w:w="4140" w:type="dxa"/>
            <w:vAlign w:val="center"/>
          </w:tcPr>
          <w:p w:rsidRPr="00AE5F2F" w:rsidR="00191236" w:rsidP="00191236" w:rsidRDefault="00191236" w14:paraId="1D2E1A2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SFA interview protocol</w:t>
            </w:r>
          </w:p>
        </w:tc>
        <w:tc>
          <w:tcPr>
            <w:tcW w:w="1260" w:type="dxa"/>
            <w:vAlign w:val="center"/>
          </w:tcPr>
          <w:p w:rsidRPr="00AE5F2F" w:rsidR="00191236" w:rsidP="00191236" w:rsidRDefault="00191236" w14:paraId="0CAD0C0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60</w:t>
            </w:r>
          </w:p>
        </w:tc>
        <w:tc>
          <w:tcPr>
            <w:tcW w:w="1080" w:type="dxa"/>
            <w:vAlign w:val="center"/>
          </w:tcPr>
          <w:p w:rsidRPr="00AE5F2F" w:rsidR="00191236" w:rsidP="00191236" w:rsidRDefault="00191236" w14:paraId="65B235B0"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1</w:t>
            </w:r>
          </w:p>
        </w:tc>
      </w:tr>
      <w:tr w:rsidRPr="00AE5F2F" w:rsidR="00191236" w:rsidTr="008E6DF8" w14:paraId="249D82F3" w14:textId="77777777">
        <w:trPr>
          <w:trHeight w:val="334"/>
        </w:trPr>
        <w:tc>
          <w:tcPr>
            <w:cnfStyle w:val="001000000000" w:firstRow="0" w:lastRow="0" w:firstColumn="1" w:lastColumn="0" w:oddVBand="0" w:evenVBand="0" w:oddHBand="0" w:evenHBand="0" w:firstRowFirstColumn="0" w:firstRowLastColumn="0" w:lastRowFirstColumn="0" w:lastRowLastColumn="0"/>
            <w:tcW w:w="2780" w:type="dxa"/>
            <w:vAlign w:val="center"/>
          </w:tcPr>
          <w:p w:rsidRPr="00AE5F2F" w:rsidR="00191236" w:rsidP="00191236" w:rsidRDefault="00191236" w14:paraId="425CB9E7" w14:textId="6DD0F634">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Parents/caregivers</w:t>
            </w:r>
            <w:r>
              <w:rPr>
                <w:rFonts w:asciiTheme="minorHAnsi" w:hAnsiTheme="minorHAnsi" w:cstheme="minorHAnsi"/>
                <w:color w:val="000000"/>
                <w:sz w:val="22"/>
                <w:szCs w:val="22"/>
                <w:vertAlign w:val="superscript"/>
              </w:rPr>
              <w:t xml:space="preserve"> c</w:t>
            </w:r>
          </w:p>
        </w:tc>
        <w:tc>
          <w:tcPr>
            <w:tcW w:w="4140" w:type="dxa"/>
            <w:vAlign w:val="center"/>
          </w:tcPr>
          <w:p w:rsidRPr="00AE5F2F" w:rsidR="00191236" w:rsidP="00191236" w:rsidRDefault="00191236" w14:paraId="7A54A06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Parent/caregiver focus group interview protocol</w:t>
            </w:r>
          </w:p>
        </w:tc>
        <w:tc>
          <w:tcPr>
            <w:tcW w:w="1260" w:type="dxa"/>
            <w:vAlign w:val="center"/>
          </w:tcPr>
          <w:p w:rsidRPr="00AE5F2F" w:rsidR="00191236" w:rsidP="00191236" w:rsidRDefault="00191236" w14:paraId="1B9A20F4" w14:textId="073AC7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6</w:t>
            </w:r>
            <w:r>
              <w:rPr>
                <w:rFonts w:asciiTheme="minorHAnsi" w:hAnsiTheme="minorHAnsi" w:cstheme="minorHAnsi"/>
                <w:color w:val="000000"/>
                <w:sz w:val="22"/>
                <w:szCs w:val="22"/>
              </w:rPr>
              <w:t>8</w:t>
            </w:r>
          </w:p>
        </w:tc>
        <w:tc>
          <w:tcPr>
            <w:tcW w:w="1080" w:type="dxa"/>
            <w:vAlign w:val="center"/>
          </w:tcPr>
          <w:p w:rsidRPr="00AE5F2F" w:rsidR="00191236" w:rsidP="00191236" w:rsidRDefault="00191236" w14:paraId="02EEF79A" w14:textId="540B09A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1</w:t>
            </w:r>
            <w:r>
              <w:rPr>
                <w:rFonts w:asciiTheme="minorHAnsi" w:hAnsiTheme="minorHAnsi" w:cstheme="minorHAnsi"/>
                <w:color w:val="000000"/>
                <w:sz w:val="22"/>
                <w:szCs w:val="22"/>
              </w:rPr>
              <w:t>.13</w:t>
            </w:r>
          </w:p>
        </w:tc>
      </w:tr>
      <w:tr w:rsidRPr="00AE5F2F" w:rsidR="00191236" w:rsidTr="008E6DF8" w14:paraId="6FAD0595" w14:textId="7777777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780" w:type="dxa"/>
            <w:vAlign w:val="center"/>
          </w:tcPr>
          <w:p w:rsidRPr="00AE5F2F" w:rsidR="00191236" w:rsidP="00191236" w:rsidRDefault="00191236" w14:paraId="49B55A01" w14:textId="77777777">
            <w:pPr>
              <w:rPr>
                <w:rFonts w:asciiTheme="minorHAnsi" w:hAnsiTheme="minorHAnsi" w:cstheme="minorHAnsi"/>
                <w:b w:val="0"/>
                <w:color w:val="000000"/>
                <w:sz w:val="22"/>
                <w:szCs w:val="22"/>
              </w:rPr>
            </w:pPr>
            <w:r w:rsidRPr="00AE5F2F">
              <w:rPr>
                <w:rFonts w:asciiTheme="minorHAnsi" w:hAnsiTheme="minorHAnsi" w:cstheme="minorHAnsi"/>
                <w:b w:val="0"/>
                <w:color w:val="000000"/>
                <w:sz w:val="22"/>
                <w:szCs w:val="22"/>
              </w:rPr>
              <w:t>Retailers</w:t>
            </w:r>
          </w:p>
        </w:tc>
        <w:tc>
          <w:tcPr>
            <w:tcW w:w="4140" w:type="dxa"/>
            <w:vAlign w:val="center"/>
          </w:tcPr>
          <w:p w:rsidRPr="00AE5F2F" w:rsidR="00191236" w:rsidP="00191236" w:rsidRDefault="00191236" w14:paraId="4D4AABE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Retailer interview protocol</w:t>
            </w:r>
          </w:p>
        </w:tc>
        <w:tc>
          <w:tcPr>
            <w:tcW w:w="1260" w:type="dxa"/>
            <w:vAlign w:val="center"/>
          </w:tcPr>
          <w:p w:rsidRPr="00AE5F2F" w:rsidR="00191236" w:rsidP="00191236" w:rsidRDefault="00191236" w14:paraId="44B1D16D"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30</w:t>
            </w:r>
          </w:p>
        </w:tc>
        <w:tc>
          <w:tcPr>
            <w:tcW w:w="1080" w:type="dxa"/>
            <w:vAlign w:val="center"/>
          </w:tcPr>
          <w:p w:rsidRPr="00AE5F2F" w:rsidR="00191236" w:rsidP="00191236" w:rsidRDefault="00191236" w14:paraId="74BC1CE2"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E5F2F">
              <w:rPr>
                <w:rFonts w:asciiTheme="minorHAnsi" w:hAnsiTheme="minorHAnsi" w:cstheme="minorHAnsi"/>
                <w:color w:val="000000"/>
                <w:sz w:val="22"/>
                <w:szCs w:val="22"/>
              </w:rPr>
              <w:t>.5</w:t>
            </w:r>
          </w:p>
        </w:tc>
      </w:tr>
    </w:tbl>
    <w:p w:rsidRPr="00460F1A" w:rsidR="00C55D54" w:rsidP="009718AE" w:rsidRDefault="0007208B" w14:paraId="1C837DC7" w14:textId="2F4E3BF9">
      <w:pPr>
        <w:rPr>
          <w:b/>
          <w:sz w:val="18"/>
          <w:szCs w:val="18"/>
        </w:rPr>
        <w:sectPr w:rsidRPr="00460F1A" w:rsidR="00C55D54" w:rsidSect="007E1A9E">
          <w:footerReference w:type="even" r:id="rId8"/>
          <w:footerReference w:type="default" r:id="rId9"/>
          <w:headerReference w:type="first" r:id="rId10"/>
          <w:footerReference w:type="first" r:id="rId11"/>
          <w:pgSz w:w="12240" w:h="15840" w:code="1"/>
          <w:pgMar w:top="720" w:right="1440" w:bottom="720" w:left="1440" w:header="720" w:footer="720" w:gutter="0"/>
          <w:cols w:space="720"/>
          <w:docGrid w:linePitch="360"/>
        </w:sectPr>
      </w:pPr>
      <w:r>
        <w:rPr>
          <w:rFonts w:asciiTheme="minorHAnsi" w:hAnsiTheme="minorHAnsi" w:cstheme="minorHAnsi"/>
          <w:sz w:val="18"/>
          <w:szCs w:val="18"/>
        </w:rPr>
        <w:t xml:space="preserve">c. </w:t>
      </w:r>
      <w:r w:rsidRPr="0007208B" w:rsidR="00191236">
        <w:rPr>
          <w:rFonts w:asciiTheme="minorHAnsi" w:hAnsiTheme="minorHAnsi" w:cstheme="minorHAnsi"/>
          <w:sz w:val="18"/>
          <w:szCs w:val="18"/>
        </w:rPr>
        <w:t>This includes the burden for signing-in (.05), consenting (.08) and participating in th</w:t>
      </w:r>
      <w:r>
        <w:rPr>
          <w:rFonts w:asciiTheme="minorHAnsi" w:hAnsiTheme="minorHAnsi" w:cstheme="minorHAnsi"/>
          <w:sz w:val="18"/>
          <w:szCs w:val="18"/>
        </w:rPr>
        <w:t>e focus group (1.0) itself.</w:t>
      </w:r>
    </w:p>
    <w:p w:rsidR="006B4910" w:rsidP="0044216D" w:rsidRDefault="00191236" w14:paraId="0B208239" w14:textId="7EBB289B">
      <w:pPr>
        <w:pStyle w:val="Heading1"/>
      </w:pPr>
      <w:r w:rsidRPr="009718AE">
        <w:lastRenderedPageBreak/>
        <w:t xml:space="preserve">Total </w:t>
      </w:r>
      <w:r w:rsidRPr="00AE5F2F" w:rsidR="00D73D4B">
        <w:t>annualize</w:t>
      </w:r>
      <w:r w:rsidR="008254D0">
        <w:t xml:space="preserve">d burden hours on public: </w:t>
      </w:r>
      <w:r w:rsidR="0061178F">
        <w:t>2</w:t>
      </w:r>
      <w:r w:rsidR="001A486D">
        <w:t>48.</w:t>
      </w:r>
      <w:r w:rsidR="0051219A">
        <w:t>6</w:t>
      </w:r>
      <w:r w:rsidR="001A486D">
        <w:t>7</w:t>
      </w:r>
      <w:r w:rsidRPr="00AE5F2F" w:rsidR="00D73D4B">
        <w:t xml:space="preserve"> hours</w:t>
      </w:r>
      <w:r w:rsidR="0051219A">
        <w:t xml:space="preserve"> and 1,833 responses</w:t>
      </w:r>
      <w:r w:rsidRPr="00AE5F2F" w:rsidR="00D73D4B">
        <w:t>.</w:t>
      </w:r>
      <w:r w:rsidR="00171829">
        <w:rPr>
          <w:rStyle w:val="FootnoteReference"/>
        </w:rPr>
        <w:footnoteReference w:id="1"/>
      </w:r>
      <w:r w:rsidR="0061178F">
        <w:t xml:space="preserve"> </w:t>
      </w:r>
      <w:r w:rsidR="00FB4FD8">
        <w:t>Seventy-eight</w:t>
      </w:r>
      <w:r w:rsidR="0061178F">
        <w:t xml:space="preserve"> percent of entities interviewed would be small entities. </w:t>
      </w:r>
      <w:r w:rsidR="00FB4FD8">
        <w:rPr>
          <w:rStyle w:val="FootnoteReference"/>
        </w:rPr>
        <w:footnoteReference w:id="2"/>
      </w:r>
      <w:r w:rsidR="00711E9F">
        <w:t xml:space="preserve">  Therefore, out of the 524 respondents</w:t>
      </w:r>
      <w:r w:rsidR="00FB4FD8">
        <w:t xml:space="preserve"> (both responsive and non-responsive)</w:t>
      </w:r>
      <w:r w:rsidR="00711E9F">
        <w:t xml:space="preserve"> for this collection, FNS estimates that </w:t>
      </w:r>
      <w:r w:rsidR="00FB4FD8">
        <w:t>25</w:t>
      </w:r>
      <w:r w:rsidR="00711E9F">
        <w:t xml:space="preserve"> (</w:t>
      </w:r>
      <w:r w:rsidR="00FB4FD8">
        <w:t>4.8 percent</w:t>
      </w:r>
      <w:r w:rsidR="00711E9F">
        <w:t>) will be small entities.</w:t>
      </w:r>
      <w:r w:rsidR="0061178F">
        <w:t xml:space="preserve"> </w:t>
      </w:r>
    </w:p>
    <w:p w:rsidR="006B4910" w:rsidP="006B4910" w:rsidRDefault="006B4910" w14:paraId="276082A1" w14:textId="77777777">
      <w:pPr>
        <w:rPr>
          <w:rFonts w:asciiTheme="minorHAnsi" w:hAnsiTheme="minorHAnsi" w:cstheme="minorHAnsi"/>
          <w:b/>
        </w:rPr>
      </w:pPr>
    </w:p>
    <w:p w:rsidR="00011646" w:rsidRDefault="00011646" w14:paraId="47B2C7B4" w14:textId="77777777"/>
    <w:tbl>
      <w:tblPr>
        <w:tblW w:w="5000" w:type="pct"/>
        <w:tblLook w:val="04A0" w:firstRow="1" w:lastRow="0" w:firstColumn="1" w:lastColumn="0" w:noHBand="0" w:noVBand="1"/>
      </w:tblPr>
      <w:tblGrid>
        <w:gridCol w:w="992"/>
        <w:gridCol w:w="1294"/>
        <w:gridCol w:w="425"/>
        <w:gridCol w:w="1194"/>
        <w:gridCol w:w="705"/>
        <w:gridCol w:w="993"/>
        <w:gridCol w:w="906"/>
        <w:gridCol w:w="906"/>
        <w:gridCol w:w="834"/>
        <w:gridCol w:w="834"/>
        <w:gridCol w:w="993"/>
        <w:gridCol w:w="906"/>
        <w:gridCol w:w="906"/>
        <w:gridCol w:w="834"/>
        <w:gridCol w:w="834"/>
        <w:gridCol w:w="834"/>
      </w:tblGrid>
      <w:tr w:rsidRPr="001A486D" w:rsidR="001A486D" w:rsidTr="001A486D" w14:paraId="69349B21" w14:textId="77777777">
        <w:trPr>
          <w:trHeight w:val="290"/>
          <w:tblHeader/>
        </w:trPr>
        <w:tc>
          <w:tcPr>
            <w:tcW w:w="305" w:type="pct"/>
            <w:vMerge w:val="restart"/>
            <w:tcBorders>
              <w:top w:val="single" w:color="auto" w:sz="4" w:space="0"/>
              <w:left w:val="single" w:color="auto" w:sz="4" w:space="0"/>
              <w:bottom w:val="single" w:color="auto" w:sz="4" w:space="0"/>
              <w:right w:val="single" w:color="auto" w:sz="4" w:space="0"/>
            </w:tcBorders>
            <w:shd w:val="clear" w:color="000000" w:fill="B4C6E7"/>
            <w:vAlign w:val="center"/>
            <w:hideMark/>
          </w:tcPr>
          <w:p w:rsidRPr="001A486D" w:rsidR="001A486D" w:rsidP="001A486D" w:rsidRDefault="001A486D" w14:paraId="4BBF9F9A" w14:textId="77777777">
            <w:pPr>
              <w:jc w:val="center"/>
              <w:rPr>
                <w:rFonts w:ascii="Arial Narrow" w:hAnsi="Arial Narrow" w:cs="Calibri"/>
                <w:b/>
                <w:bCs/>
                <w:sz w:val="20"/>
                <w:szCs w:val="20"/>
              </w:rPr>
            </w:pPr>
            <w:r w:rsidRPr="001A486D">
              <w:rPr>
                <w:rFonts w:ascii="Arial Narrow" w:hAnsi="Arial Narrow" w:cs="Calibri"/>
                <w:b/>
                <w:bCs/>
                <w:sz w:val="20"/>
                <w:szCs w:val="20"/>
              </w:rPr>
              <w:t>Respondent Type</w:t>
            </w:r>
          </w:p>
        </w:tc>
        <w:tc>
          <w:tcPr>
            <w:tcW w:w="402" w:type="pct"/>
            <w:vMerge w:val="restart"/>
            <w:tcBorders>
              <w:top w:val="single" w:color="auto" w:sz="4" w:space="0"/>
              <w:left w:val="single" w:color="auto" w:sz="4" w:space="0"/>
              <w:bottom w:val="single" w:color="auto" w:sz="4" w:space="0"/>
              <w:right w:val="single" w:color="auto" w:sz="4" w:space="0"/>
            </w:tcBorders>
            <w:shd w:val="clear" w:color="000000" w:fill="B4C6E7"/>
            <w:vAlign w:val="center"/>
            <w:hideMark/>
          </w:tcPr>
          <w:p w:rsidRPr="001A486D" w:rsidR="001A486D" w:rsidP="001A486D" w:rsidRDefault="001A486D" w14:paraId="115ABC8E" w14:textId="77777777">
            <w:pPr>
              <w:jc w:val="center"/>
              <w:rPr>
                <w:rFonts w:ascii="Arial Narrow" w:hAnsi="Arial Narrow" w:cs="Calibri"/>
                <w:b/>
                <w:bCs/>
                <w:sz w:val="20"/>
                <w:szCs w:val="20"/>
              </w:rPr>
            </w:pPr>
            <w:r w:rsidRPr="001A486D">
              <w:rPr>
                <w:rFonts w:ascii="Arial Narrow" w:hAnsi="Arial Narrow" w:cs="Calibri"/>
                <w:b/>
                <w:bCs/>
                <w:sz w:val="20"/>
                <w:szCs w:val="20"/>
              </w:rPr>
              <w:t>Respondent Description</w:t>
            </w:r>
          </w:p>
        </w:tc>
        <w:tc>
          <w:tcPr>
            <w:tcW w:w="122" w:type="pct"/>
            <w:vMerge w:val="restart"/>
            <w:tcBorders>
              <w:top w:val="single" w:color="auto" w:sz="4" w:space="0"/>
              <w:left w:val="single" w:color="auto" w:sz="4" w:space="0"/>
              <w:bottom w:val="single" w:color="auto" w:sz="4" w:space="0"/>
              <w:right w:val="single" w:color="auto" w:sz="4" w:space="0"/>
            </w:tcBorders>
            <w:shd w:val="clear" w:color="000000" w:fill="B4C6E7"/>
            <w:noWrap/>
            <w:textDirection w:val="btLr"/>
            <w:vAlign w:val="center"/>
            <w:hideMark/>
          </w:tcPr>
          <w:p w:rsidRPr="001A486D" w:rsidR="001A486D" w:rsidP="001A486D" w:rsidRDefault="001A486D" w14:paraId="61004363" w14:textId="77777777">
            <w:pPr>
              <w:jc w:val="center"/>
              <w:rPr>
                <w:rFonts w:ascii="Arial Narrow" w:hAnsi="Arial Narrow" w:cs="Calibri"/>
                <w:b/>
                <w:bCs/>
                <w:sz w:val="20"/>
                <w:szCs w:val="20"/>
              </w:rPr>
            </w:pPr>
            <w:r w:rsidRPr="001A486D">
              <w:rPr>
                <w:rFonts w:ascii="Arial Narrow" w:hAnsi="Arial Narrow" w:cs="Calibri"/>
                <w:b/>
                <w:bCs/>
                <w:sz w:val="20"/>
                <w:szCs w:val="20"/>
              </w:rPr>
              <w:t>Attachment</w:t>
            </w:r>
          </w:p>
        </w:tc>
        <w:tc>
          <w:tcPr>
            <w:tcW w:w="600" w:type="pct"/>
            <w:vMerge w:val="restart"/>
            <w:tcBorders>
              <w:top w:val="single" w:color="auto" w:sz="4" w:space="0"/>
              <w:left w:val="single" w:color="auto" w:sz="4" w:space="0"/>
              <w:bottom w:val="single" w:color="auto" w:sz="4" w:space="0"/>
              <w:right w:val="single" w:color="auto" w:sz="4" w:space="0"/>
            </w:tcBorders>
            <w:shd w:val="clear" w:color="000000" w:fill="B4C6E7"/>
            <w:vAlign w:val="center"/>
            <w:hideMark/>
          </w:tcPr>
          <w:p w:rsidRPr="001A486D" w:rsidR="001A486D" w:rsidP="001A486D" w:rsidRDefault="001A486D" w14:paraId="622628D2" w14:textId="77777777">
            <w:pPr>
              <w:jc w:val="center"/>
              <w:rPr>
                <w:rFonts w:ascii="Arial Narrow" w:hAnsi="Arial Narrow" w:cs="Calibri"/>
                <w:b/>
                <w:bCs/>
                <w:sz w:val="20"/>
                <w:szCs w:val="20"/>
              </w:rPr>
            </w:pPr>
            <w:r w:rsidRPr="001A486D">
              <w:rPr>
                <w:rFonts w:ascii="Arial Narrow" w:hAnsi="Arial Narrow" w:cs="Calibri"/>
                <w:b/>
                <w:bCs/>
                <w:sz w:val="20"/>
                <w:szCs w:val="20"/>
              </w:rPr>
              <w:t xml:space="preserve">Instrument </w:t>
            </w:r>
          </w:p>
        </w:tc>
        <w:tc>
          <w:tcPr>
            <w:tcW w:w="215" w:type="pct"/>
            <w:vMerge w:val="restart"/>
            <w:tcBorders>
              <w:top w:val="single" w:color="auto" w:sz="4" w:space="0"/>
              <w:left w:val="single" w:color="auto" w:sz="4" w:space="0"/>
              <w:bottom w:val="single" w:color="auto" w:sz="4" w:space="0"/>
              <w:right w:val="single" w:color="auto" w:sz="4" w:space="0"/>
            </w:tcBorders>
            <w:shd w:val="clear" w:color="000000" w:fill="B4C6E7"/>
            <w:vAlign w:val="center"/>
            <w:hideMark/>
          </w:tcPr>
          <w:p w:rsidRPr="001A486D" w:rsidR="001A486D" w:rsidP="001A486D" w:rsidRDefault="001A486D" w14:paraId="6CF8E3CB" w14:textId="77777777">
            <w:pPr>
              <w:jc w:val="center"/>
              <w:rPr>
                <w:rFonts w:ascii="Arial Narrow" w:hAnsi="Arial Narrow" w:cs="Calibri"/>
                <w:b/>
                <w:bCs/>
                <w:sz w:val="20"/>
                <w:szCs w:val="20"/>
              </w:rPr>
            </w:pPr>
            <w:r w:rsidRPr="001A486D">
              <w:rPr>
                <w:rFonts w:ascii="Arial Narrow" w:hAnsi="Arial Narrow" w:cs="Calibri"/>
                <w:b/>
                <w:bCs/>
                <w:sz w:val="20"/>
                <w:szCs w:val="20"/>
              </w:rPr>
              <w:t>Original Sample Size</w:t>
            </w:r>
          </w:p>
        </w:tc>
        <w:tc>
          <w:tcPr>
            <w:tcW w:w="1563" w:type="pct"/>
            <w:gridSpan w:val="5"/>
            <w:tcBorders>
              <w:top w:val="single" w:color="auto" w:sz="4" w:space="0"/>
              <w:left w:val="nil"/>
              <w:bottom w:val="single" w:color="auto" w:sz="4" w:space="0"/>
              <w:right w:val="single" w:color="auto" w:sz="4" w:space="0"/>
            </w:tcBorders>
            <w:shd w:val="clear" w:color="000000" w:fill="B4C6E7"/>
            <w:noWrap/>
            <w:vAlign w:val="center"/>
            <w:hideMark/>
          </w:tcPr>
          <w:p w:rsidRPr="001A486D" w:rsidR="001A486D" w:rsidP="001A486D" w:rsidRDefault="001A486D" w14:paraId="2347C4FB" w14:textId="77777777">
            <w:pPr>
              <w:jc w:val="center"/>
              <w:rPr>
                <w:rFonts w:ascii="Arial Narrow" w:hAnsi="Arial Narrow" w:cs="Calibri"/>
                <w:b/>
                <w:bCs/>
                <w:sz w:val="20"/>
                <w:szCs w:val="20"/>
              </w:rPr>
            </w:pPr>
            <w:r w:rsidRPr="001A486D">
              <w:rPr>
                <w:rFonts w:ascii="Arial Narrow" w:hAnsi="Arial Narrow" w:cs="Calibri"/>
                <w:b/>
                <w:bCs/>
                <w:sz w:val="20"/>
                <w:szCs w:val="20"/>
              </w:rPr>
              <w:t>Responsive</w:t>
            </w:r>
          </w:p>
        </w:tc>
        <w:tc>
          <w:tcPr>
            <w:tcW w:w="1513" w:type="pct"/>
            <w:gridSpan w:val="5"/>
            <w:tcBorders>
              <w:top w:val="single" w:color="auto" w:sz="4" w:space="0"/>
              <w:left w:val="nil"/>
              <w:bottom w:val="single" w:color="auto" w:sz="4" w:space="0"/>
              <w:right w:val="single" w:color="auto" w:sz="4" w:space="0"/>
            </w:tcBorders>
            <w:shd w:val="clear" w:color="000000" w:fill="B4C6E7"/>
            <w:noWrap/>
            <w:vAlign w:val="center"/>
            <w:hideMark/>
          </w:tcPr>
          <w:p w:rsidRPr="001A486D" w:rsidR="001A486D" w:rsidP="001A486D" w:rsidRDefault="001A486D" w14:paraId="135C89C2" w14:textId="77777777">
            <w:pPr>
              <w:jc w:val="center"/>
              <w:rPr>
                <w:rFonts w:ascii="Arial Narrow" w:hAnsi="Arial Narrow" w:cs="Calibri"/>
                <w:b/>
                <w:bCs/>
                <w:sz w:val="20"/>
                <w:szCs w:val="20"/>
              </w:rPr>
            </w:pPr>
            <w:r w:rsidRPr="001A486D">
              <w:rPr>
                <w:rFonts w:ascii="Arial Narrow" w:hAnsi="Arial Narrow" w:cs="Calibri"/>
                <w:b/>
                <w:bCs/>
                <w:sz w:val="20"/>
                <w:szCs w:val="20"/>
              </w:rPr>
              <w:t>Non-Responsive</w:t>
            </w:r>
          </w:p>
        </w:tc>
        <w:tc>
          <w:tcPr>
            <w:tcW w:w="280" w:type="pct"/>
            <w:vMerge w:val="restart"/>
            <w:tcBorders>
              <w:top w:val="single" w:color="auto" w:sz="4" w:space="0"/>
              <w:left w:val="single" w:color="auto" w:sz="4" w:space="0"/>
              <w:bottom w:val="single" w:color="auto" w:sz="4" w:space="0"/>
              <w:right w:val="single" w:color="auto" w:sz="4" w:space="0"/>
            </w:tcBorders>
            <w:shd w:val="clear" w:color="000000" w:fill="B4C6E7"/>
            <w:vAlign w:val="center"/>
            <w:hideMark/>
          </w:tcPr>
          <w:p w:rsidRPr="001A486D" w:rsidR="001A486D" w:rsidP="001A486D" w:rsidRDefault="001A486D" w14:paraId="601D9045" w14:textId="77777777">
            <w:pPr>
              <w:jc w:val="center"/>
              <w:rPr>
                <w:rFonts w:ascii="Arial Narrow" w:hAnsi="Arial Narrow" w:cs="Calibri"/>
                <w:b/>
                <w:bCs/>
                <w:sz w:val="20"/>
                <w:szCs w:val="20"/>
              </w:rPr>
            </w:pPr>
            <w:r w:rsidRPr="001A486D">
              <w:rPr>
                <w:rFonts w:ascii="Arial Narrow" w:hAnsi="Arial Narrow" w:cs="Calibri"/>
                <w:b/>
                <w:bCs/>
                <w:sz w:val="20"/>
                <w:szCs w:val="20"/>
              </w:rPr>
              <w:t>Total Annual Estimated Burden Hours</w:t>
            </w:r>
          </w:p>
        </w:tc>
      </w:tr>
      <w:tr w:rsidRPr="001A486D" w:rsidR="001A486D" w:rsidTr="001A486D" w14:paraId="5DF2FA54" w14:textId="77777777">
        <w:trPr>
          <w:trHeight w:val="1340"/>
          <w:tblHeader/>
        </w:trPr>
        <w:tc>
          <w:tcPr>
            <w:tcW w:w="305"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223028B1" w14:textId="77777777">
            <w:pPr>
              <w:rPr>
                <w:rFonts w:ascii="Arial Narrow" w:hAnsi="Arial Narrow" w:cs="Calibri"/>
                <w:b/>
                <w:bCs/>
                <w:sz w:val="20"/>
                <w:szCs w:val="20"/>
              </w:rPr>
            </w:pPr>
          </w:p>
        </w:tc>
        <w:tc>
          <w:tcPr>
            <w:tcW w:w="402"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2C95D0C4" w14:textId="77777777">
            <w:pPr>
              <w:rPr>
                <w:rFonts w:ascii="Arial Narrow" w:hAnsi="Arial Narrow" w:cs="Calibri"/>
                <w:b/>
                <w:bCs/>
                <w:sz w:val="20"/>
                <w:szCs w:val="20"/>
              </w:rPr>
            </w:pPr>
          </w:p>
        </w:tc>
        <w:tc>
          <w:tcPr>
            <w:tcW w:w="122"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0A76A71A" w14:textId="77777777">
            <w:pPr>
              <w:rPr>
                <w:rFonts w:ascii="Arial Narrow" w:hAnsi="Arial Narrow" w:cs="Calibri"/>
                <w:b/>
                <w:bCs/>
                <w:sz w:val="20"/>
                <w:szCs w:val="20"/>
              </w:rPr>
            </w:pPr>
          </w:p>
        </w:tc>
        <w:tc>
          <w:tcPr>
            <w:tcW w:w="600"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04F55742" w14:textId="77777777">
            <w:pPr>
              <w:rPr>
                <w:rFonts w:ascii="Arial Narrow" w:hAnsi="Arial Narrow" w:cs="Calibri"/>
                <w:b/>
                <w:bCs/>
                <w:sz w:val="20"/>
                <w:szCs w:val="20"/>
              </w:rPr>
            </w:pPr>
          </w:p>
        </w:tc>
        <w:tc>
          <w:tcPr>
            <w:tcW w:w="215"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5321250A" w14:textId="77777777">
            <w:pPr>
              <w:rPr>
                <w:rFonts w:ascii="Arial Narrow" w:hAnsi="Arial Narrow" w:cs="Calibri"/>
                <w:b/>
                <w:bCs/>
                <w:sz w:val="20"/>
                <w:szCs w:val="20"/>
              </w:rPr>
            </w:pPr>
          </w:p>
        </w:tc>
        <w:tc>
          <w:tcPr>
            <w:tcW w:w="315"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3996D4F6" w14:textId="77777777">
            <w:pPr>
              <w:jc w:val="center"/>
              <w:rPr>
                <w:rFonts w:ascii="Arial Narrow" w:hAnsi="Arial Narrow" w:cs="Calibri"/>
                <w:b/>
                <w:bCs/>
                <w:sz w:val="20"/>
                <w:szCs w:val="20"/>
              </w:rPr>
            </w:pPr>
            <w:r w:rsidRPr="001A486D">
              <w:rPr>
                <w:rFonts w:ascii="Arial Narrow" w:hAnsi="Arial Narrow" w:cs="Calibri"/>
                <w:b/>
                <w:bCs/>
                <w:sz w:val="20"/>
                <w:szCs w:val="20"/>
              </w:rPr>
              <w:t>Number of respondents</w:t>
            </w:r>
          </w:p>
        </w:tc>
        <w:tc>
          <w:tcPr>
            <w:tcW w:w="330"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6A74C385" w14:textId="77777777">
            <w:pPr>
              <w:jc w:val="center"/>
              <w:rPr>
                <w:rFonts w:ascii="Arial Narrow" w:hAnsi="Arial Narrow" w:cs="Calibri"/>
                <w:b/>
                <w:bCs/>
                <w:sz w:val="20"/>
                <w:szCs w:val="20"/>
              </w:rPr>
            </w:pPr>
            <w:r w:rsidRPr="001A486D">
              <w:rPr>
                <w:rFonts w:ascii="Arial Narrow" w:hAnsi="Arial Narrow" w:cs="Calibri"/>
                <w:b/>
                <w:bCs/>
                <w:sz w:val="20"/>
                <w:szCs w:val="20"/>
              </w:rPr>
              <w:t>Frequency of Responses</w:t>
            </w:r>
          </w:p>
        </w:tc>
        <w:tc>
          <w:tcPr>
            <w:tcW w:w="320"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1C7DC393" w14:textId="77777777">
            <w:pPr>
              <w:jc w:val="center"/>
              <w:rPr>
                <w:rFonts w:ascii="Arial Narrow" w:hAnsi="Arial Narrow" w:cs="Calibri"/>
                <w:b/>
                <w:bCs/>
                <w:sz w:val="20"/>
                <w:szCs w:val="20"/>
              </w:rPr>
            </w:pPr>
            <w:r w:rsidRPr="001A486D">
              <w:rPr>
                <w:rFonts w:ascii="Arial Narrow" w:hAnsi="Arial Narrow" w:cs="Calibri"/>
                <w:b/>
                <w:bCs/>
                <w:sz w:val="20"/>
                <w:szCs w:val="20"/>
              </w:rPr>
              <w:t>Total Annual Responses</w:t>
            </w:r>
          </w:p>
        </w:tc>
        <w:tc>
          <w:tcPr>
            <w:tcW w:w="315"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1FC4945A" w14:textId="77777777">
            <w:pPr>
              <w:jc w:val="center"/>
              <w:rPr>
                <w:rFonts w:ascii="Arial Narrow" w:hAnsi="Arial Narrow" w:cs="Calibri"/>
                <w:b/>
                <w:bCs/>
                <w:sz w:val="20"/>
                <w:szCs w:val="20"/>
              </w:rPr>
            </w:pPr>
            <w:r w:rsidRPr="001A486D">
              <w:rPr>
                <w:rFonts w:ascii="Arial Narrow" w:hAnsi="Arial Narrow" w:cs="Calibri"/>
                <w:b/>
                <w:bCs/>
                <w:sz w:val="20"/>
                <w:szCs w:val="20"/>
              </w:rPr>
              <w:t>Avg. Burden per Response (in hours)</w:t>
            </w:r>
          </w:p>
        </w:tc>
        <w:tc>
          <w:tcPr>
            <w:tcW w:w="284"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537C1224" w14:textId="77777777">
            <w:pPr>
              <w:jc w:val="center"/>
              <w:rPr>
                <w:rFonts w:ascii="Arial Narrow" w:hAnsi="Arial Narrow" w:cs="Calibri"/>
                <w:b/>
                <w:bCs/>
                <w:sz w:val="20"/>
                <w:szCs w:val="20"/>
              </w:rPr>
            </w:pPr>
            <w:r w:rsidRPr="001A486D">
              <w:rPr>
                <w:rFonts w:ascii="Arial Narrow" w:hAnsi="Arial Narrow" w:cs="Calibri"/>
                <w:b/>
                <w:bCs/>
                <w:sz w:val="20"/>
                <w:szCs w:val="20"/>
              </w:rPr>
              <w:t>Annual Estimated Burden Hours</w:t>
            </w:r>
          </w:p>
        </w:tc>
        <w:tc>
          <w:tcPr>
            <w:tcW w:w="320"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59D0D9ED" w14:textId="77777777">
            <w:pPr>
              <w:jc w:val="center"/>
              <w:rPr>
                <w:rFonts w:ascii="Arial Narrow" w:hAnsi="Arial Narrow" w:cs="Calibri"/>
                <w:b/>
                <w:bCs/>
                <w:sz w:val="20"/>
                <w:szCs w:val="20"/>
              </w:rPr>
            </w:pPr>
            <w:r w:rsidRPr="001A486D">
              <w:rPr>
                <w:rFonts w:ascii="Arial Narrow" w:hAnsi="Arial Narrow" w:cs="Calibri"/>
                <w:b/>
                <w:bCs/>
                <w:sz w:val="20"/>
                <w:szCs w:val="20"/>
              </w:rPr>
              <w:t>Estimated number of non-respondents</w:t>
            </w:r>
          </w:p>
        </w:tc>
        <w:tc>
          <w:tcPr>
            <w:tcW w:w="294"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3C4533B0" w14:textId="77777777">
            <w:pPr>
              <w:jc w:val="center"/>
              <w:rPr>
                <w:rFonts w:ascii="Arial Narrow" w:hAnsi="Arial Narrow" w:cs="Calibri"/>
                <w:b/>
                <w:bCs/>
                <w:sz w:val="20"/>
                <w:szCs w:val="20"/>
              </w:rPr>
            </w:pPr>
            <w:r w:rsidRPr="001A486D">
              <w:rPr>
                <w:rFonts w:ascii="Arial Narrow" w:hAnsi="Arial Narrow" w:cs="Calibri"/>
                <w:b/>
                <w:bCs/>
                <w:sz w:val="20"/>
                <w:szCs w:val="20"/>
              </w:rPr>
              <w:t>Frequency of Responses</w:t>
            </w:r>
          </w:p>
        </w:tc>
        <w:tc>
          <w:tcPr>
            <w:tcW w:w="299"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45DCB191" w14:textId="77777777">
            <w:pPr>
              <w:jc w:val="center"/>
              <w:rPr>
                <w:rFonts w:ascii="Arial Narrow" w:hAnsi="Arial Narrow" w:cs="Calibri"/>
                <w:b/>
                <w:bCs/>
                <w:sz w:val="20"/>
                <w:szCs w:val="20"/>
              </w:rPr>
            </w:pPr>
            <w:r w:rsidRPr="001A486D">
              <w:rPr>
                <w:rFonts w:ascii="Arial Narrow" w:hAnsi="Arial Narrow" w:cs="Calibri"/>
                <w:b/>
                <w:bCs/>
                <w:sz w:val="20"/>
                <w:szCs w:val="20"/>
              </w:rPr>
              <w:t>Total Annual non-Responses</w:t>
            </w:r>
          </w:p>
        </w:tc>
        <w:tc>
          <w:tcPr>
            <w:tcW w:w="335"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3E94DE38" w14:textId="77777777">
            <w:pPr>
              <w:jc w:val="center"/>
              <w:rPr>
                <w:rFonts w:ascii="Arial Narrow" w:hAnsi="Arial Narrow" w:cs="Calibri"/>
                <w:b/>
                <w:bCs/>
                <w:sz w:val="20"/>
                <w:szCs w:val="20"/>
              </w:rPr>
            </w:pPr>
            <w:r w:rsidRPr="001A486D">
              <w:rPr>
                <w:rFonts w:ascii="Arial Narrow" w:hAnsi="Arial Narrow" w:cs="Calibri"/>
                <w:b/>
                <w:bCs/>
                <w:sz w:val="20"/>
                <w:szCs w:val="20"/>
              </w:rPr>
              <w:t>Avg. Burden per non-Response (in hours)</w:t>
            </w:r>
          </w:p>
        </w:tc>
        <w:tc>
          <w:tcPr>
            <w:tcW w:w="264" w:type="pct"/>
            <w:tcBorders>
              <w:top w:val="nil"/>
              <w:left w:val="nil"/>
              <w:bottom w:val="single" w:color="auto" w:sz="4" w:space="0"/>
              <w:right w:val="single" w:color="auto" w:sz="4" w:space="0"/>
            </w:tcBorders>
            <w:shd w:val="clear" w:color="000000" w:fill="B4C6E7"/>
            <w:vAlign w:val="center"/>
            <w:hideMark/>
          </w:tcPr>
          <w:p w:rsidRPr="001A486D" w:rsidR="001A486D" w:rsidP="001A486D" w:rsidRDefault="001A486D" w14:paraId="701DDC50" w14:textId="77777777">
            <w:pPr>
              <w:jc w:val="center"/>
              <w:rPr>
                <w:rFonts w:ascii="Arial Narrow" w:hAnsi="Arial Narrow" w:cs="Calibri"/>
                <w:b/>
                <w:bCs/>
                <w:sz w:val="20"/>
                <w:szCs w:val="20"/>
              </w:rPr>
            </w:pPr>
            <w:r w:rsidRPr="001A486D">
              <w:rPr>
                <w:rFonts w:ascii="Arial Narrow" w:hAnsi="Arial Narrow" w:cs="Calibri"/>
                <w:b/>
                <w:bCs/>
                <w:sz w:val="20"/>
                <w:szCs w:val="20"/>
              </w:rPr>
              <w:t>Annual Estimated Burden Hours</w:t>
            </w:r>
          </w:p>
        </w:tc>
        <w:tc>
          <w:tcPr>
            <w:tcW w:w="280" w:type="pct"/>
            <w:vMerge/>
            <w:tcBorders>
              <w:top w:val="single" w:color="auto" w:sz="4" w:space="0"/>
              <w:left w:val="single" w:color="auto" w:sz="4" w:space="0"/>
              <w:bottom w:val="single" w:color="auto" w:sz="4" w:space="0"/>
              <w:right w:val="single" w:color="auto" w:sz="4" w:space="0"/>
            </w:tcBorders>
            <w:vAlign w:val="center"/>
            <w:hideMark/>
          </w:tcPr>
          <w:p w:rsidRPr="001A486D" w:rsidR="001A486D" w:rsidP="001A486D" w:rsidRDefault="001A486D" w14:paraId="4499DE53" w14:textId="77777777">
            <w:pPr>
              <w:rPr>
                <w:rFonts w:ascii="Arial Narrow" w:hAnsi="Arial Narrow" w:cs="Calibri"/>
                <w:b/>
                <w:bCs/>
                <w:sz w:val="20"/>
                <w:szCs w:val="20"/>
              </w:rPr>
            </w:pPr>
          </w:p>
        </w:tc>
      </w:tr>
      <w:tr w:rsidRPr="001A486D" w:rsidR="001A486D" w:rsidTr="001A486D" w14:paraId="5969CD86" w14:textId="77777777">
        <w:trPr>
          <w:trHeight w:val="298"/>
        </w:trPr>
        <w:tc>
          <w:tcPr>
            <w:tcW w:w="305"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4D7A631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State, Local, or Tribal Governments</w:t>
            </w:r>
          </w:p>
        </w:tc>
        <w:tc>
          <w:tcPr>
            <w:tcW w:w="402"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6B38963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State and Tribal Grantees</w:t>
            </w: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74E7978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B.1</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73AD8822" w14:textId="77777777">
            <w:pPr>
              <w:rPr>
                <w:rFonts w:ascii="Arial Narrow" w:hAnsi="Arial Narrow" w:cs="Calibri"/>
                <w:color w:val="000000"/>
                <w:sz w:val="20"/>
                <w:szCs w:val="20"/>
              </w:rPr>
            </w:pPr>
            <w:r w:rsidRPr="001A486D">
              <w:rPr>
                <w:rFonts w:ascii="Arial Narrow" w:hAnsi="Arial Narrow" w:cs="Calibri"/>
                <w:color w:val="000000"/>
                <w:sz w:val="20"/>
                <w:szCs w:val="20"/>
              </w:rPr>
              <w:t>Grantee Interview Protocol</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634C7C0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840211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F4260C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0884C1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7DC3AB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6C4697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4.50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80E2FC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34AC3F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64CFE8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2CD371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5C6769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9C082E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4.50</w:t>
            </w:r>
          </w:p>
        </w:tc>
      </w:tr>
      <w:tr w:rsidRPr="001A486D" w:rsidR="001A486D" w:rsidTr="001A486D" w14:paraId="68A0523E" w14:textId="77777777">
        <w:trPr>
          <w:trHeight w:val="56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AFE7B13"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1FC4693D"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4D05FAC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B.2</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7971EE1E" w14:textId="77777777">
            <w:pPr>
              <w:rPr>
                <w:rFonts w:ascii="Arial Narrow" w:hAnsi="Arial Narrow" w:cs="Calibri"/>
                <w:color w:val="000000"/>
                <w:sz w:val="20"/>
                <w:szCs w:val="20"/>
              </w:rPr>
            </w:pPr>
            <w:r w:rsidRPr="001A486D">
              <w:rPr>
                <w:rFonts w:ascii="Arial Narrow" w:hAnsi="Arial Narrow" w:cs="Calibri"/>
                <w:color w:val="000000"/>
                <w:sz w:val="20"/>
                <w:szCs w:val="20"/>
              </w:rPr>
              <w:t>Shortened Grantee Interview Protocol</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22C8E89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08FADB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3081C8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0.33</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93C034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0.33</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E55606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0.5</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C5F309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0.17</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AD727E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B21D09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B4BC8E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56751F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7C0107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E45D8F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0.17</w:t>
            </w:r>
          </w:p>
        </w:tc>
      </w:tr>
      <w:tr w:rsidRPr="001A486D" w:rsidR="001A486D" w:rsidTr="001A486D" w14:paraId="43DE87F4" w14:textId="77777777">
        <w:trPr>
          <w:trHeight w:val="52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97FF34E"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CA5EEEB"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34CBA9A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C.1</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043938E1" w14:textId="77777777">
            <w:pPr>
              <w:rPr>
                <w:rFonts w:ascii="Arial Narrow" w:hAnsi="Arial Narrow" w:cs="Calibri"/>
                <w:color w:val="000000"/>
                <w:sz w:val="20"/>
                <w:szCs w:val="20"/>
              </w:rPr>
            </w:pPr>
            <w:r w:rsidRPr="001A486D">
              <w:rPr>
                <w:rFonts w:ascii="Arial Narrow" w:hAnsi="Arial Narrow" w:cs="Calibri"/>
                <w:color w:val="000000"/>
                <w:sz w:val="20"/>
                <w:szCs w:val="20"/>
              </w:rPr>
              <w:t>Study Team Introductory Email to Grantees</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2247B9D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4B196D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BF3B9B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028DA5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A4CA67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2.00</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99B67C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9E8B50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F768E4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23E5DC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DA005C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F0AEB3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0EDF50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r>
      <w:tr w:rsidRPr="001A486D" w:rsidR="001A486D" w:rsidTr="001A486D" w14:paraId="514E5B2B" w14:textId="77777777">
        <w:trPr>
          <w:trHeight w:val="52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B127721"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1E7109FA"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71987F4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C.2</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0256CCBD" w14:textId="77777777">
            <w:pPr>
              <w:rPr>
                <w:rFonts w:ascii="Arial Narrow" w:hAnsi="Arial Narrow" w:cs="Calibri"/>
                <w:color w:val="000000"/>
                <w:sz w:val="20"/>
                <w:szCs w:val="20"/>
              </w:rPr>
            </w:pPr>
            <w:r w:rsidRPr="001A486D">
              <w:rPr>
                <w:rFonts w:ascii="Arial Narrow" w:hAnsi="Arial Narrow" w:cs="Calibri"/>
                <w:color w:val="000000"/>
                <w:sz w:val="20"/>
                <w:szCs w:val="20"/>
              </w:rPr>
              <w:t xml:space="preserve">Interview Confirmation </w:t>
            </w:r>
            <w:r w:rsidRPr="001A486D">
              <w:rPr>
                <w:rFonts w:ascii="Arial Narrow" w:hAnsi="Arial Narrow" w:cs="Calibri"/>
                <w:color w:val="000000"/>
                <w:sz w:val="20"/>
                <w:szCs w:val="20"/>
              </w:rPr>
              <w:lastRenderedPageBreak/>
              <w:t>Email Template for Grantees</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56F9265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lastRenderedPageBreak/>
              <w:t>4</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F40632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428723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EB341F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DF55B5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8BF146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0.05</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57F1C9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878D73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EE6788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AAAE1C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8A4907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C472B2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0.05</w:t>
            </w:r>
          </w:p>
        </w:tc>
      </w:tr>
      <w:tr w:rsidRPr="001A486D" w:rsidR="001A486D" w:rsidTr="001A486D" w14:paraId="4982B688" w14:textId="77777777">
        <w:trPr>
          <w:trHeight w:val="42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60C53DE"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1FA3DEB" w14:textId="77777777">
            <w:pPr>
              <w:rPr>
                <w:rFonts w:ascii="Arial Narrow" w:hAnsi="Arial Narrow" w:cs="Calibri"/>
                <w:color w:val="000000"/>
                <w:sz w:val="20"/>
                <w:szCs w:val="20"/>
              </w:rPr>
            </w:pPr>
          </w:p>
        </w:tc>
        <w:tc>
          <w:tcPr>
            <w:tcW w:w="722" w:type="pct"/>
            <w:gridSpan w:val="2"/>
            <w:tcBorders>
              <w:top w:val="single" w:color="auto" w:sz="4" w:space="0"/>
              <w:left w:val="nil"/>
              <w:bottom w:val="single" w:color="auto" w:sz="4" w:space="0"/>
              <w:right w:val="single" w:color="auto" w:sz="4" w:space="0"/>
            </w:tcBorders>
            <w:shd w:val="clear" w:color="DDEBF7" w:fill="D0CECE"/>
            <w:vAlign w:val="center"/>
            <w:hideMark/>
          </w:tcPr>
          <w:p w:rsidRPr="001A486D" w:rsidR="001A486D" w:rsidP="001A486D" w:rsidRDefault="001A486D" w14:paraId="58264B25"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Subtotal for state and tribal grantees</w:t>
            </w:r>
          </w:p>
        </w:tc>
        <w:tc>
          <w:tcPr>
            <w:tcW w:w="2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501D9E10"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4</w:t>
            </w:r>
          </w:p>
        </w:tc>
        <w:tc>
          <w:tcPr>
            <w:tcW w:w="3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1B459A91"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4</w:t>
            </w:r>
          </w:p>
        </w:tc>
        <w:tc>
          <w:tcPr>
            <w:tcW w:w="33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58475C7B"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2.33</w:t>
            </w:r>
          </w:p>
        </w:tc>
        <w:tc>
          <w:tcPr>
            <w:tcW w:w="32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44B3B02D"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9.33</w:t>
            </w:r>
          </w:p>
        </w:tc>
        <w:tc>
          <w:tcPr>
            <w:tcW w:w="3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3C7A91DA"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1.15</w:t>
            </w:r>
          </w:p>
        </w:tc>
        <w:tc>
          <w:tcPr>
            <w:tcW w:w="284"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453A3A6D"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10.72</w:t>
            </w:r>
          </w:p>
        </w:tc>
        <w:tc>
          <w:tcPr>
            <w:tcW w:w="320" w:type="pct"/>
            <w:tcBorders>
              <w:top w:val="nil"/>
              <w:left w:val="nil"/>
              <w:bottom w:val="single" w:color="auto" w:sz="4" w:space="0"/>
              <w:right w:val="single" w:color="auto" w:sz="4" w:space="0"/>
            </w:tcBorders>
            <w:shd w:val="clear" w:color="DDEBF7" w:fill="D0CECE"/>
            <w:vAlign w:val="center"/>
            <w:hideMark/>
          </w:tcPr>
          <w:p w:rsidRPr="001A486D" w:rsidR="001A486D" w:rsidP="001A486D" w:rsidRDefault="001A486D" w14:paraId="65E04674"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4" w:type="pct"/>
            <w:tcBorders>
              <w:top w:val="nil"/>
              <w:left w:val="nil"/>
              <w:bottom w:val="single" w:color="auto" w:sz="4" w:space="0"/>
              <w:right w:val="single" w:color="auto" w:sz="4" w:space="0"/>
            </w:tcBorders>
            <w:shd w:val="clear" w:color="DDEBF7" w:fill="D0CECE"/>
            <w:vAlign w:val="center"/>
            <w:hideMark/>
          </w:tcPr>
          <w:p w:rsidRPr="001A486D" w:rsidR="001A486D" w:rsidP="001A486D" w:rsidRDefault="001A486D" w14:paraId="67FBCEB1"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9" w:type="pct"/>
            <w:tcBorders>
              <w:top w:val="nil"/>
              <w:left w:val="nil"/>
              <w:bottom w:val="single" w:color="auto" w:sz="4" w:space="0"/>
              <w:right w:val="single" w:color="auto" w:sz="4" w:space="0"/>
            </w:tcBorders>
            <w:shd w:val="clear" w:color="DDEBF7" w:fill="D0CECE"/>
            <w:vAlign w:val="center"/>
            <w:hideMark/>
          </w:tcPr>
          <w:p w:rsidRPr="001A486D" w:rsidR="001A486D" w:rsidP="001A486D" w:rsidRDefault="001A486D" w14:paraId="4235547C"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335" w:type="pct"/>
            <w:tcBorders>
              <w:top w:val="nil"/>
              <w:left w:val="nil"/>
              <w:bottom w:val="single" w:color="auto" w:sz="4" w:space="0"/>
              <w:right w:val="single" w:color="auto" w:sz="4" w:space="0"/>
            </w:tcBorders>
            <w:shd w:val="clear" w:color="DDEBF7" w:fill="D0CECE"/>
            <w:vAlign w:val="center"/>
            <w:hideMark/>
          </w:tcPr>
          <w:p w:rsidRPr="001A486D" w:rsidR="001A486D" w:rsidP="001A486D" w:rsidRDefault="001A486D" w14:paraId="12F70060"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64" w:type="pct"/>
            <w:tcBorders>
              <w:top w:val="nil"/>
              <w:left w:val="nil"/>
              <w:bottom w:val="single" w:color="auto" w:sz="4" w:space="0"/>
              <w:right w:val="single" w:color="auto" w:sz="4" w:space="0"/>
            </w:tcBorders>
            <w:shd w:val="clear" w:color="DDEBF7" w:fill="D0CECE"/>
            <w:vAlign w:val="center"/>
            <w:hideMark/>
          </w:tcPr>
          <w:p w:rsidRPr="001A486D" w:rsidR="001A486D" w:rsidP="001A486D" w:rsidRDefault="001A486D" w14:paraId="28D628DC"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8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3AEA4C6D"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10.72</w:t>
            </w:r>
          </w:p>
        </w:tc>
      </w:tr>
      <w:tr w:rsidRPr="001A486D" w:rsidR="001A486D" w:rsidTr="001A486D" w14:paraId="3655FA90" w14:textId="77777777">
        <w:trPr>
          <w:trHeight w:val="298"/>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6A15D71" w14:textId="77777777">
            <w:pPr>
              <w:rPr>
                <w:rFonts w:ascii="Arial Narrow" w:hAnsi="Arial Narrow" w:cs="Calibri"/>
                <w:color w:val="000000"/>
                <w:sz w:val="20"/>
                <w:szCs w:val="20"/>
              </w:rPr>
            </w:pPr>
          </w:p>
        </w:tc>
        <w:tc>
          <w:tcPr>
            <w:tcW w:w="402"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678A905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School Food Authorities (SFAs)</w:t>
            </w: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49CF4C3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D</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30ABBD30" w14:textId="77777777">
            <w:pPr>
              <w:rPr>
                <w:rFonts w:ascii="Arial Narrow" w:hAnsi="Arial Narrow" w:cs="Calibri"/>
                <w:color w:val="000000"/>
                <w:sz w:val="20"/>
                <w:szCs w:val="20"/>
              </w:rPr>
            </w:pPr>
            <w:r w:rsidRPr="001A486D">
              <w:rPr>
                <w:rFonts w:ascii="Arial Narrow" w:hAnsi="Arial Narrow" w:cs="Calibri"/>
                <w:color w:val="000000"/>
                <w:sz w:val="20"/>
                <w:szCs w:val="20"/>
              </w:rPr>
              <w:t xml:space="preserve">SFA Interview Protocol </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785A0C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C767B1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85CF80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1A4C45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90D319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A3474F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9777B3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7BF179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8F8EC8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09797E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2AAE84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19E05E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r>
      <w:tr w:rsidRPr="001A486D" w:rsidR="001A486D" w:rsidTr="001A486D" w14:paraId="1C71E1A5" w14:textId="77777777">
        <w:trPr>
          <w:trHeight w:val="298"/>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1B7A3943"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AF375BD"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8F8A88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E.1</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666721B5" w14:textId="77777777">
            <w:pPr>
              <w:rPr>
                <w:rFonts w:ascii="Arial Narrow" w:hAnsi="Arial Narrow" w:cs="Calibri"/>
                <w:color w:val="000000"/>
                <w:sz w:val="20"/>
                <w:szCs w:val="20"/>
              </w:rPr>
            </w:pPr>
            <w:r w:rsidRPr="001A486D">
              <w:rPr>
                <w:rFonts w:ascii="Arial Narrow" w:hAnsi="Arial Narrow" w:cs="Calibri"/>
                <w:color w:val="000000"/>
                <w:sz w:val="20"/>
                <w:szCs w:val="20"/>
              </w:rPr>
              <w:t>Grantee Introductory Email to SFAs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1D84F99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167F1B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BB0EDD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DA154A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13A6F8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9D653F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E60A34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C6454C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01601E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754EFE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0849F6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AE4F40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r>
      <w:tr w:rsidRPr="001A486D" w:rsidR="001A486D" w:rsidTr="001A486D" w14:paraId="32ADACB5" w14:textId="77777777">
        <w:trPr>
          <w:trHeight w:val="52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7EA4684"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1A00C0C"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03FAF6E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E.2</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DDE23BA" w14:textId="77777777">
            <w:pPr>
              <w:rPr>
                <w:rFonts w:ascii="Arial Narrow" w:hAnsi="Arial Narrow" w:cs="Calibri"/>
                <w:color w:val="000000"/>
                <w:sz w:val="20"/>
                <w:szCs w:val="20"/>
              </w:rPr>
            </w:pPr>
            <w:r w:rsidRPr="001A486D">
              <w:rPr>
                <w:rFonts w:ascii="Arial Narrow" w:hAnsi="Arial Narrow" w:cs="Calibri"/>
                <w:color w:val="000000"/>
                <w:sz w:val="20"/>
                <w:szCs w:val="20"/>
              </w:rPr>
              <w:t>Study Team Introductory Email to SFAs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5E0D786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5D1CFF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D24969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FB2FB5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06157E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9.00</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176193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54.00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AB1A30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BC813C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5AC1AD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68E06D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1A8448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F5B0A7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54.00</w:t>
            </w:r>
          </w:p>
        </w:tc>
      </w:tr>
      <w:tr w:rsidRPr="001A486D" w:rsidR="001A486D" w:rsidTr="001A486D" w14:paraId="2916C45A" w14:textId="77777777">
        <w:trPr>
          <w:trHeight w:val="29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BC7730C"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D955E4A"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64F08F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E.3</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116A0AD" w14:textId="77777777">
            <w:pPr>
              <w:rPr>
                <w:rFonts w:ascii="Arial Narrow" w:hAnsi="Arial Narrow" w:cs="Calibri"/>
                <w:color w:val="000000"/>
                <w:sz w:val="20"/>
                <w:szCs w:val="20"/>
              </w:rPr>
            </w:pPr>
            <w:r w:rsidRPr="001A486D">
              <w:rPr>
                <w:rFonts w:ascii="Arial Narrow" w:hAnsi="Arial Narrow" w:cs="Calibri"/>
                <w:color w:val="000000"/>
                <w:sz w:val="20"/>
                <w:szCs w:val="20"/>
              </w:rPr>
              <w:t>Recruitment FAQ Sheet for SFAs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1C1EDD4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71A8FE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10F7ED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A81C37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F3573E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0ABE33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D37C84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00A76C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C7A775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142464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68E4E8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C66A6B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r>
      <w:tr w:rsidRPr="001A486D" w:rsidR="001A486D" w:rsidTr="001A486D" w14:paraId="761D2E84" w14:textId="77777777">
        <w:trPr>
          <w:trHeight w:val="29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9776C90"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58CAF2C"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129032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E.4</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3D6BA72B" w14:textId="77777777">
            <w:pPr>
              <w:rPr>
                <w:rFonts w:ascii="Arial Narrow" w:hAnsi="Arial Narrow" w:cs="Calibri"/>
                <w:color w:val="000000"/>
                <w:sz w:val="20"/>
                <w:szCs w:val="20"/>
              </w:rPr>
            </w:pPr>
            <w:r w:rsidRPr="001A486D">
              <w:rPr>
                <w:rFonts w:ascii="Arial Narrow" w:hAnsi="Arial Narrow" w:cs="Calibri"/>
                <w:color w:val="000000"/>
                <w:sz w:val="20"/>
                <w:szCs w:val="20"/>
              </w:rPr>
              <w:t>Study Overview Sheet for SFAs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65F903F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D19474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DCFA1D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180A06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E966D7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BF1D36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748159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370655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9EBC81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568EBC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529488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BD0D8E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r>
      <w:tr w:rsidRPr="001A486D" w:rsidR="001A486D" w:rsidTr="001A486D" w14:paraId="7585F0C3" w14:textId="77777777">
        <w:trPr>
          <w:trHeight w:val="52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88E64AE"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9B9423F"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032F5F5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E.5</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B68D755" w14:textId="77777777">
            <w:pPr>
              <w:rPr>
                <w:rFonts w:ascii="Arial Narrow" w:hAnsi="Arial Narrow" w:cs="Calibri"/>
                <w:color w:val="000000"/>
                <w:sz w:val="20"/>
                <w:szCs w:val="20"/>
              </w:rPr>
            </w:pPr>
            <w:r w:rsidRPr="001A486D">
              <w:rPr>
                <w:rFonts w:ascii="Arial Narrow" w:hAnsi="Arial Narrow" w:cs="Calibri"/>
                <w:color w:val="000000"/>
                <w:sz w:val="20"/>
                <w:szCs w:val="20"/>
              </w:rPr>
              <w:t>Telephone Script for SFA Recruitment</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1019AC1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3EC323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74F60D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B42F16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234837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0.08</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3A548A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0.50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6E0D40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A340F6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A40A97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DB2A83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9EBA88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0AD5AE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0.50</w:t>
            </w:r>
          </w:p>
        </w:tc>
      </w:tr>
      <w:tr w:rsidRPr="001A486D" w:rsidR="001A486D" w:rsidTr="001A486D" w14:paraId="22587990" w14:textId="77777777">
        <w:trPr>
          <w:trHeight w:val="59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E7271A9"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777F2DF1"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651276A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E.6</w:t>
            </w:r>
          </w:p>
        </w:tc>
        <w:tc>
          <w:tcPr>
            <w:tcW w:w="600"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105FBC1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 xml:space="preserve">Interview Confirmation Email </w:t>
            </w:r>
            <w:r w:rsidRPr="001A486D">
              <w:rPr>
                <w:rFonts w:ascii="Arial Narrow" w:hAnsi="Arial Narrow" w:cs="Calibri"/>
                <w:color w:val="000000"/>
                <w:sz w:val="20"/>
                <w:szCs w:val="20"/>
              </w:rPr>
              <w:lastRenderedPageBreak/>
              <w:t>Template for SFAs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3BE9D4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lastRenderedPageBreak/>
              <w:t>8</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2A3D8F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8</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2C6B24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BB30D8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6.00</w:t>
            </w:r>
          </w:p>
        </w:tc>
        <w:tc>
          <w:tcPr>
            <w:tcW w:w="31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F1A4DC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F25C5F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7299C2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258802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83A098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58B547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D33E7F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B57CCC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0.10</w:t>
            </w:r>
          </w:p>
        </w:tc>
      </w:tr>
      <w:tr w:rsidRPr="001A486D" w:rsidR="001A486D" w:rsidTr="001A486D" w14:paraId="1E434F34" w14:textId="77777777">
        <w:trPr>
          <w:trHeight w:val="30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73C5FDB"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2362688" w14:textId="77777777">
            <w:pPr>
              <w:rPr>
                <w:rFonts w:ascii="Arial Narrow" w:hAnsi="Arial Narrow" w:cs="Calibri"/>
                <w:color w:val="000000"/>
                <w:sz w:val="20"/>
                <w:szCs w:val="20"/>
              </w:rPr>
            </w:pPr>
          </w:p>
        </w:tc>
        <w:tc>
          <w:tcPr>
            <w:tcW w:w="722" w:type="pct"/>
            <w:gridSpan w:val="2"/>
            <w:tcBorders>
              <w:top w:val="single" w:color="auto" w:sz="4" w:space="0"/>
              <w:left w:val="nil"/>
              <w:bottom w:val="single" w:color="auto" w:sz="4" w:space="0"/>
              <w:right w:val="single" w:color="auto" w:sz="4" w:space="0"/>
            </w:tcBorders>
            <w:shd w:val="clear" w:color="000000" w:fill="D0CECE"/>
            <w:vAlign w:val="center"/>
            <w:hideMark/>
          </w:tcPr>
          <w:p w:rsidRPr="001A486D" w:rsidR="001A486D" w:rsidP="001A486D" w:rsidRDefault="001A486D" w14:paraId="1270FE4F"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Subtotal for SFAs</w:t>
            </w:r>
          </w:p>
        </w:tc>
        <w:tc>
          <w:tcPr>
            <w:tcW w:w="2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13D8DA71"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8</w:t>
            </w:r>
          </w:p>
        </w:tc>
        <w:tc>
          <w:tcPr>
            <w:tcW w:w="3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0140EE4E"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8</w:t>
            </w:r>
          </w:p>
        </w:tc>
        <w:tc>
          <w:tcPr>
            <w:tcW w:w="33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3302E43A"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5.25</w:t>
            </w:r>
          </w:p>
        </w:tc>
        <w:tc>
          <w:tcPr>
            <w:tcW w:w="32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10FA6043"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42.0</w:t>
            </w:r>
          </w:p>
        </w:tc>
        <w:tc>
          <w:tcPr>
            <w:tcW w:w="31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704BAB7D"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1.45</w:t>
            </w:r>
          </w:p>
        </w:tc>
        <w:tc>
          <w:tcPr>
            <w:tcW w:w="284"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21FEC4FF"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60.9</w:t>
            </w:r>
          </w:p>
        </w:tc>
        <w:tc>
          <w:tcPr>
            <w:tcW w:w="32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45D84021"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4"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1421157F"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9"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54426501"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335"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1229B63A"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64"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654080E5"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80" w:type="pct"/>
            <w:tcBorders>
              <w:top w:val="nil"/>
              <w:left w:val="nil"/>
              <w:bottom w:val="single" w:color="auto" w:sz="4" w:space="0"/>
              <w:right w:val="single" w:color="auto" w:sz="4" w:space="0"/>
            </w:tcBorders>
            <w:shd w:val="clear" w:color="000000" w:fill="D0CECE"/>
            <w:noWrap/>
            <w:vAlign w:val="center"/>
            <w:hideMark/>
          </w:tcPr>
          <w:p w:rsidRPr="001A486D" w:rsidR="001A486D" w:rsidP="001A486D" w:rsidRDefault="001A486D" w14:paraId="769DC960"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60.9</w:t>
            </w:r>
          </w:p>
        </w:tc>
      </w:tr>
      <w:tr w:rsidRPr="001A486D" w:rsidR="001A486D" w:rsidTr="001A486D" w14:paraId="20B57E58" w14:textId="77777777">
        <w:trPr>
          <w:trHeight w:val="38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174243F4" w14:textId="77777777">
            <w:pPr>
              <w:rPr>
                <w:rFonts w:ascii="Arial Narrow" w:hAnsi="Arial Narrow" w:cs="Calibri"/>
                <w:color w:val="000000"/>
                <w:sz w:val="20"/>
                <w:szCs w:val="20"/>
              </w:rPr>
            </w:pPr>
          </w:p>
        </w:tc>
        <w:tc>
          <w:tcPr>
            <w:tcW w:w="1124" w:type="pct"/>
            <w:gridSpan w:val="3"/>
            <w:tcBorders>
              <w:top w:val="single" w:color="auto" w:sz="4" w:space="0"/>
              <w:left w:val="nil"/>
              <w:bottom w:val="single" w:color="auto" w:sz="4" w:space="0"/>
              <w:right w:val="single" w:color="auto" w:sz="4" w:space="0"/>
            </w:tcBorders>
            <w:shd w:val="clear" w:color="DDEBF7" w:fill="757171"/>
            <w:vAlign w:val="center"/>
            <w:hideMark/>
          </w:tcPr>
          <w:p w:rsidRPr="001A486D" w:rsidR="001A486D" w:rsidP="001A486D" w:rsidRDefault="001A486D" w14:paraId="643594BF"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Subtotal of all state, local, tribal governments</w:t>
            </w:r>
          </w:p>
        </w:tc>
        <w:tc>
          <w:tcPr>
            <w:tcW w:w="2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76984A8F"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12</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4B7154B9"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12</w:t>
            </w:r>
          </w:p>
        </w:tc>
        <w:tc>
          <w:tcPr>
            <w:tcW w:w="330" w:type="pct"/>
            <w:tcBorders>
              <w:top w:val="nil"/>
              <w:left w:val="nil"/>
              <w:bottom w:val="single" w:color="auto" w:sz="4" w:space="0"/>
              <w:right w:val="single" w:color="auto" w:sz="4" w:space="0"/>
            </w:tcBorders>
            <w:shd w:val="clear" w:color="000000" w:fill="808080"/>
            <w:noWrap/>
            <w:vAlign w:val="center"/>
            <w:hideMark/>
          </w:tcPr>
          <w:p w:rsidRPr="001A486D" w:rsidR="001A486D" w:rsidP="001A486D" w:rsidRDefault="001A486D" w14:paraId="55CC11F3"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4.28</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0D981D4"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51.33</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035660BC"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1.40</w:t>
            </w:r>
          </w:p>
        </w:tc>
        <w:tc>
          <w:tcPr>
            <w:tcW w:w="28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3C9C10C"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71.62</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0DFFBE68"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738557A"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99"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3733FDEA"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33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60A0D69E"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6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55658B9"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0</w:t>
            </w:r>
          </w:p>
        </w:tc>
        <w:tc>
          <w:tcPr>
            <w:tcW w:w="28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C966535" w14:textId="77777777">
            <w:pPr>
              <w:jc w:val="center"/>
              <w:rPr>
                <w:rFonts w:ascii="Arial Narrow" w:hAnsi="Arial Narrow" w:cs="Calibri"/>
                <w:b/>
                <w:bCs/>
                <w:color w:val="000000"/>
                <w:sz w:val="20"/>
                <w:szCs w:val="20"/>
              </w:rPr>
            </w:pPr>
            <w:r w:rsidRPr="001A486D">
              <w:rPr>
                <w:rFonts w:ascii="Arial Narrow" w:hAnsi="Arial Narrow" w:cs="Calibri"/>
                <w:b/>
                <w:bCs/>
                <w:color w:val="000000"/>
                <w:sz w:val="20"/>
                <w:szCs w:val="20"/>
              </w:rPr>
              <w:t>71.62</w:t>
            </w:r>
          </w:p>
        </w:tc>
      </w:tr>
      <w:tr w:rsidRPr="001A486D" w:rsidR="001A486D" w:rsidTr="001A486D" w14:paraId="786EB064" w14:textId="77777777">
        <w:trPr>
          <w:trHeight w:val="540"/>
        </w:trPr>
        <w:tc>
          <w:tcPr>
            <w:tcW w:w="305"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6DBCB28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Individuals</w:t>
            </w:r>
          </w:p>
        </w:tc>
        <w:tc>
          <w:tcPr>
            <w:tcW w:w="402"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7B191C6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Parents/caregivers of Children in Program</w:t>
            </w: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0D64CE3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F.1</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6F48634E" w14:textId="77777777">
            <w:pPr>
              <w:rPr>
                <w:rFonts w:ascii="Arial Narrow" w:hAnsi="Arial Narrow" w:cs="Calibri"/>
                <w:color w:val="000000"/>
                <w:sz w:val="20"/>
                <w:szCs w:val="20"/>
              </w:rPr>
            </w:pPr>
            <w:r w:rsidRPr="001A486D">
              <w:rPr>
                <w:rFonts w:ascii="Arial Narrow" w:hAnsi="Arial Narrow" w:cs="Calibri"/>
                <w:color w:val="000000"/>
                <w:sz w:val="20"/>
                <w:szCs w:val="20"/>
              </w:rPr>
              <w:t xml:space="preserve"> Focus Group Sign-In Sheet</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716982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8D8E57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3E7EE6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3B0EB8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547C62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0.05</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D8882A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90A2AE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61B88C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95BE78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5CD213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97F532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4A4FC4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w:t>
            </w:r>
          </w:p>
        </w:tc>
      </w:tr>
      <w:tr w:rsidRPr="001A486D" w:rsidR="001A486D" w:rsidTr="001A486D" w14:paraId="35A60B93" w14:textId="77777777">
        <w:trPr>
          <w:trHeight w:val="54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971D78D"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F67135E"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05EBA2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F.2</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6D17CB5F" w14:textId="77777777">
            <w:pPr>
              <w:rPr>
                <w:rFonts w:ascii="Arial Narrow" w:hAnsi="Arial Narrow" w:cs="Calibri"/>
                <w:color w:val="000000"/>
                <w:sz w:val="20"/>
                <w:szCs w:val="20"/>
              </w:rPr>
            </w:pPr>
            <w:r w:rsidRPr="001A486D">
              <w:rPr>
                <w:rFonts w:ascii="Arial Narrow" w:hAnsi="Arial Narrow" w:cs="Calibri"/>
                <w:color w:val="000000"/>
                <w:sz w:val="20"/>
                <w:szCs w:val="20"/>
              </w:rPr>
              <w:t>Focus Group Consent Form</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4E1E29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8BF787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47DB92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6362A3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6FF9B7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0.08</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6FCD3C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10.0</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C54D96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E24032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69AC43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A6751C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8B8C4D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364308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10.0</w:t>
            </w:r>
          </w:p>
        </w:tc>
      </w:tr>
      <w:tr w:rsidRPr="001A486D" w:rsidR="001A486D" w:rsidTr="001A486D" w14:paraId="2A3DB09D" w14:textId="77777777">
        <w:trPr>
          <w:trHeight w:val="585"/>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E16D527"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0CFC0F57"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3CE52BB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F.3</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3ECBAECD" w14:textId="77777777">
            <w:pPr>
              <w:rPr>
                <w:rFonts w:ascii="Arial Narrow" w:hAnsi="Arial Narrow" w:cs="Calibri"/>
                <w:color w:val="000000"/>
                <w:sz w:val="20"/>
                <w:szCs w:val="20"/>
              </w:rPr>
            </w:pPr>
            <w:r w:rsidRPr="001A486D">
              <w:rPr>
                <w:rFonts w:ascii="Arial Narrow" w:hAnsi="Arial Narrow" w:cs="Calibri"/>
                <w:color w:val="000000"/>
                <w:sz w:val="20"/>
                <w:szCs w:val="20"/>
              </w:rPr>
              <w:t>Parent/Caregiver Focus Group Interview Protocol</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26FDD0B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23C683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278377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8F3BBF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97E213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1.00</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6CCD67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B4CF98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30ECAB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9840B0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9A6D92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0E5014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C6E303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r>
      <w:tr w:rsidRPr="001A486D" w:rsidR="001A486D" w:rsidTr="001A486D" w14:paraId="69D99E0A" w14:textId="77777777">
        <w:trPr>
          <w:trHeight w:val="585"/>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1BAD34B4"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ECBA3AC"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4552E5D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G.1</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184903BD" w14:textId="77777777">
            <w:pPr>
              <w:rPr>
                <w:rFonts w:ascii="Arial Narrow" w:hAnsi="Arial Narrow" w:cs="Calibri"/>
                <w:color w:val="000000"/>
                <w:sz w:val="20"/>
                <w:szCs w:val="20"/>
              </w:rPr>
            </w:pPr>
            <w:r w:rsidRPr="001A486D">
              <w:rPr>
                <w:rFonts w:ascii="Arial Narrow" w:hAnsi="Arial Narrow" w:cs="Calibri"/>
                <w:color w:val="000000"/>
                <w:sz w:val="20"/>
                <w:szCs w:val="20"/>
              </w:rPr>
              <w:t>Recruitment Flyer/Handout for Focus Group</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42122D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480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6420F8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F5BB40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C16F4B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7B61D5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08F7F4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C135C6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DCCB48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135B7F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240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4DE74C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53333D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8596DE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w:t>
            </w:r>
          </w:p>
        </w:tc>
      </w:tr>
      <w:tr w:rsidRPr="001A486D" w:rsidR="001A486D" w:rsidTr="001A486D" w14:paraId="6A5BB4E5" w14:textId="77777777">
        <w:trPr>
          <w:trHeight w:val="585"/>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C90DA25"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C0DA897"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730978F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G.2</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4D720926" w14:textId="77777777">
            <w:pPr>
              <w:rPr>
                <w:rFonts w:ascii="Arial Narrow" w:hAnsi="Arial Narrow" w:cs="Calibri"/>
                <w:color w:val="000000"/>
                <w:sz w:val="20"/>
                <w:szCs w:val="20"/>
              </w:rPr>
            </w:pPr>
            <w:r w:rsidRPr="001A486D">
              <w:rPr>
                <w:rFonts w:ascii="Arial Narrow" w:hAnsi="Arial Narrow" w:cs="Calibri"/>
                <w:color w:val="000000"/>
                <w:sz w:val="20"/>
                <w:szCs w:val="20"/>
              </w:rPr>
              <w:t>Recruitment FAQ Sheet for Focus Groups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2AD5CED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480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76D1EB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040420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C32B1F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FE1D78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617040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C0174A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EE4FFD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23888F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240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DEC4B9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D1CDF7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7B5892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w:t>
            </w:r>
          </w:p>
        </w:tc>
      </w:tr>
      <w:tr w:rsidRPr="001A486D" w:rsidR="001A486D" w:rsidTr="001A486D" w14:paraId="7E4E699B" w14:textId="77777777">
        <w:trPr>
          <w:trHeight w:val="585"/>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B37AE93"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02312123"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31D0E62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G.3</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36192C20" w14:textId="77777777">
            <w:pPr>
              <w:rPr>
                <w:rFonts w:ascii="Arial Narrow" w:hAnsi="Arial Narrow" w:cs="Calibri"/>
                <w:color w:val="000000"/>
                <w:sz w:val="20"/>
                <w:szCs w:val="20"/>
              </w:rPr>
            </w:pPr>
            <w:r w:rsidRPr="001A486D">
              <w:rPr>
                <w:rFonts w:ascii="Arial Narrow" w:hAnsi="Arial Narrow" w:cs="Calibri"/>
                <w:color w:val="000000"/>
                <w:sz w:val="20"/>
                <w:szCs w:val="20"/>
              </w:rPr>
              <w:t>Study Overview Sheet for Focus Group Participants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7EBE919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480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FE3BF5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F2F7DA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BF3AFC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EAA5B4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87C764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9D35B1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C594EA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92B2E5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240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89D98F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1033CD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4.00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442B60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6.0</w:t>
            </w:r>
          </w:p>
        </w:tc>
      </w:tr>
      <w:tr w:rsidRPr="001A486D" w:rsidR="001A486D" w:rsidTr="001A486D" w14:paraId="2A9D2F0D" w14:textId="77777777">
        <w:trPr>
          <w:trHeight w:val="91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136668E"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F092A2E"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5DA4035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G.4</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78204E1B" w14:textId="77777777">
            <w:pPr>
              <w:rPr>
                <w:rFonts w:ascii="Arial Narrow" w:hAnsi="Arial Narrow" w:cs="Calibri"/>
                <w:color w:val="000000"/>
                <w:sz w:val="20"/>
                <w:szCs w:val="20"/>
              </w:rPr>
            </w:pPr>
            <w:r w:rsidRPr="001A486D">
              <w:rPr>
                <w:rFonts w:ascii="Arial Narrow" w:hAnsi="Arial Narrow" w:cs="Calibri"/>
                <w:color w:val="000000"/>
                <w:sz w:val="20"/>
                <w:szCs w:val="20"/>
              </w:rPr>
              <w:t>Telephone Script for Focus Group Confirmation</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0A61628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50DFE0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4D65D3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EC282D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7230C2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0.08</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69568D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10.0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CE4D17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41435F6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0B092B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20FA5B1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F845F1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43FB20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10.0</w:t>
            </w:r>
          </w:p>
        </w:tc>
      </w:tr>
      <w:tr w:rsidRPr="001A486D" w:rsidR="001A486D" w:rsidTr="001A486D" w14:paraId="10F7CDDE" w14:textId="77777777">
        <w:trPr>
          <w:trHeight w:val="91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6B22D944"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2F5F3D9"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098A64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G.5</w:t>
            </w:r>
          </w:p>
        </w:tc>
        <w:tc>
          <w:tcPr>
            <w:tcW w:w="600"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1B2F8820" w14:textId="77777777">
            <w:pPr>
              <w:rPr>
                <w:rFonts w:ascii="Arial Narrow" w:hAnsi="Arial Narrow" w:cs="Calibri"/>
                <w:color w:val="000000"/>
                <w:sz w:val="20"/>
                <w:szCs w:val="20"/>
              </w:rPr>
            </w:pPr>
            <w:r w:rsidRPr="001A486D">
              <w:rPr>
                <w:rFonts w:ascii="Arial Narrow" w:hAnsi="Arial Narrow" w:cs="Calibri"/>
                <w:color w:val="000000"/>
                <w:sz w:val="20"/>
                <w:szCs w:val="20"/>
              </w:rPr>
              <w:t>Focus Group Confirmation Email Template for Focus Group Participants</w:t>
            </w:r>
          </w:p>
        </w:tc>
        <w:tc>
          <w:tcPr>
            <w:tcW w:w="215" w:type="pct"/>
            <w:tcBorders>
              <w:top w:val="nil"/>
              <w:left w:val="nil"/>
              <w:bottom w:val="single" w:color="auto" w:sz="4" w:space="0"/>
              <w:right w:val="single" w:color="auto" w:sz="4" w:space="0"/>
            </w:tcBorders>
            <w:shd w:val="clear" w:color="000000" w:fill="FFFFFF"/>
            <w:vAlign w:val="center"/>
            <w:hideMark/>
          </w:tcPr>
          <w:p w:rsidRPr="001A486D" w:rsidR="001A486D" w:rsidP="001A486D" w:rsidRDefault="001A486D" w14:paraId="0985EC0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1BD599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160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8227F1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E71BC9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120.0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C5BD72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A59A9C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2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6CD3942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BE894D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4A28D6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1B17F3C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0EFCBE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0A6CF4C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r>
      <w:tr w:rsidRPr="001A486D" w:rsidR="001A486D" w:rsidTr="001A486D" w14:paraId="6CBCC4BE" w14:textId="77777777">
        <w:trPr>
          <w:trHeight w:val="405"/>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0DA16C85" w14:textId="77777777">
            <w:pPr>
              <w:rPr>
                <w:rFonts w:ascii="Arial Narrow" w:hAnsi="Arial Narrow" w:cs="Calibri"/>
                <w:color w:val="000000"/>
                <w:sz w:val="20"/>
                <w:szCs w:val="20"/>
              </w:rPr>
            </w:pPr>
          </w:p>
        </w:tc>
        <w:tc>
          <w:tcPr>
            <w:tcW w:w="1124" w:type="pct"/>
            <w:gridSpan w:val="3"/>
            <w:tcBorders>
              <w:top w:val="single" w:color="auto" w:sz="4" w:space="0"/>
              <w:left w:val="nil"/>
              <w:bottom w:val="single" w:color="auto" w:sz="4" w:space="0"/>
              <w:right w:val="single" w:color="auto" w:sz="4" w:space="0"/>
            </w:tcBorders>
            <w:shd w:val="clear" w:color="DDEBF7" w:fill="757171"/>
            <w:vAlign w:val="center"/>
            <w:hideMark/>
          </w:tcPr>
          <w:p w:rsidRPr="001A486D" w:rsidR="001A486D" w:rsidP="001A486D" w:rsidRDefault="001A486D" w14:paraId="04CCE24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Subtotals for Individuals/Households</w:t>
            </w:r>
          </w:p>
        </w:tc>
        <w:tc>
          <w:tcPr>
            <w:tcW w:w="215" w:type="pct"/>
            <w:tcBorders>
              <w:top w:val="nil"/>
              <w:left w:val="nil"/>
              <w:bottom w:val="single" w:color="auto" w:sz="4" w:space="0"/>
              <w:right w:val="single" w:color="auto" w:sz="4" w:space="0"/>
            </w:tcBorders>
            <w:shd w:val="clear" w:color="DDEBF7" w:fill="757171"/>
            <w:vAlign w:val="center"/>
            <w:hideMark/>
          </w:tcPr>
          <w:p w:rsidRPr="001A486D" w:rsidR="001A486D" w:rsidP="001A486D" w:rsidRDefault="001A486D" w14:paraId="43108EB9"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480</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6D402CC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160</w:t>
            </w:r>
          </w:p>
        </w:tc>
        <w:tc>
          <w:tcPr>
            <w:tcW w:w="330" w:type="pct"/>
            <w:tcBorders>
              <w:top w:val="nil"/>
              <w:left w:val="nil"/>
              <w:bottom w:val="single" w:color="auto" w:sz="4" w:space="0"/>
              <w:right w:val="single" w:color="auto" w:sz="4" w:space="0"/>
            </w:tcBorders>
            <w:shd w:val="clear" w:color="000000" w:fill="808080"/>
            <w:noWrap/>
            <w:vAlign w:val="center"/>
            <w:hideMark/>
          </w:tcPr>
          <w:p w:rsidRPr="001A486D" w:rsidR="001A486D" w:rsidP="001A486D" w:rsidRDefault="001A486D" w14:paraId="5201CCAB"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6.00</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A158CF8"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960.00</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7CDDF90"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0.16</w:t>
            </w:r>
          </w:p>
        </w:tc>
        <w:tc>
          <w:tcPr>
            <w:tcW w:w="28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50064624"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154.00</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BBDC113"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320</w:t>
            </w:r>
          </w:p>
        </w:tc>
        <w:tc>
          <w:tcPr>
            <w:tcW w:w="29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59A4C24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2.25</w:t>
            </w:r>
          </w:p>
        </w:tc>
        <w:tc>
          <w:tcPr>
            <w:tcW w:w="299"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0BD14FA"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720.0</w:t>
            </w:r>
          </w:p>
        </w:tc>
        <w:tc>
          <w:tcPr>
            <w:tcW w:w="33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0DA7ABD"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0.02</w:t>
            </w:r>
          </w:p>
        </w:tc>
        <w:tc>
          <w:tcPr>
            <w:tcW w:w="26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28A355D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12.00</w:t>
            </w:r>
          </w:p>
        </w:tc>
        <w:tc>
          <w:tcPr>
            <w:tcW w:w="28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1D1FEC66"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166.0</w:t>
            </w:r>
          </w:p>
        </w:tc>
      </w:tr>
      <w:tr w:rsidRPr="001A486D" w:rsidR="001A486D" w:rsidTr="001A486D" w14:paraId="70C0FF1D" w14:textId="77777777">
        <w:trPr>
          <w:trHeight w:val="520"/>
        </w:trPr>
        <w:tc>
          <w:tcPr>
            <w:tcW w:w="305"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20D4960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Businesses or Other for Profit</w:t>
            </w:r>
          </w:p>
        </w:tc>
        <w:tc>
          <w:tcPr>
            <w:tcW w:w="402" w:type="pct"/>
            <w:vMerge w:val="restart"/>
            <w:tcBorders>
              <w:top w:val="nil"/>
              <w:left w:val="single" w:color="auto" w:sz="4" w:space="0"/>
              <w:bottom w:val="single" w:color="auto" w:sz="4" w:space="0"/>
              <w:right w:val="single" w:color="auto" w:sz="4" w:space="0"/>
            </w:tcBorders>
            <w:shd w:val="clear" w:color="auto" w:fill="auto"/>
            <w:vAlign w:val="center"/>
            <w:hideMark/>
          </w:tcPr>
          <w:p w:rsidRPr="001A486D" w:rsidR="001A486D" w:rsidP="001A486D" w:rsidRDefault="001A486D" w14:paraId="168B43E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Retailers Who Participate in Program</w:t>
            </w: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77B9072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H</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105538C5" w14:textId="77777777">
            <w:pPr>
              <w:rPr>
                <w:rFonts w:ascii="Arial Narrow" w:hAnsi="Arial Narrow" w:cs="Calibri"/>
                <w:color w:val="000000"/>
                <w:sz w:val="20"/>
                <w:szCs w:val="20"/>
              </w:rPr>
            </w:pPr>
            <w:r w:rsidRPr="001A486D">
              <w:rPr>
                <w:rFonts w:ascii="Arial Narrow" w:hAnsi="Arial Narrow" w:cs="Calibri"/>
                <w:color w:val="000000"/>
                <w:sz w:val="20"/>
                <w:szCs w:val="20"/>
              </w:rPr>
              <w:t>Retailer interview protocol</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306F94F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3B19DF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0050FD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D3CF35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650E4D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0.5</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51219A" w14:paraId="3868E753" w14:textId="2DFF0479">
            <w:pPr>
              <w:jc w:val="center"/>
              <w:rPr>
                <w:rFonts w:ascii="Arial Narrow" w:hAnsi="Arial Narrow" w:cs="Calibri"/>
                <w:color w:val="000000"/>
                <w:sz w:val="20"/>
                <w:szCs w:val="20"/>
              </w:rPr>
            </w:pPr>
            <w:r>
              <w:rPr>
                <w:rFonts w:ascii="Arial Narrow" w:hAnsi="Arial Narrow" w:cs="Calibri"/>
                <w:color w:val="000000"/>
                <w:sz w:val="20"/>
                <w:szCs w:val="20"/>
              </w:rPr>
              <w:t>8.00</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B7F2A5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888984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B47F1D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21537C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3094DA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51219A" w14:paraId="66F56F70" w14:textId="337A18AB">
            <w:pPr>
              <w:jc w:val="center"/>
              <w:rPr>
                <w:rFonts w:ascii="Arial Narrow" w:hAnsi="Arial Narrow" w:cs="Calibri"/>
                <w:color w:val="000000"/>
                <w:sz w:val="20"/>
                <w:szCs w:val="20"/>
              </w:rPr>
            </w:pPr>
            <w:r>
              <w:rPr>
                <w:rFonts w:ascii="Arial Narrow" w:hAnsi="Arial Narrow" w:cs="Calibri"/>
                <w:color w:val="000000"/>
                <w:sz w:val="20"/>
                <w:szCs w:val="20"/>
              </w:rPr>
              <w:t>8.00</w:t>
            </w:r>
          </w:p>
        </w:tc>
      </w:tr>
      <w:tr w:rsidRPr="001A486D" w:rsidR="001A486D" w:rsidTr="001A486D" w14:paraId="659C892B" w14:textId="77777777">
        <w:trPr>
          <w:trHeight w:val="47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707FD29"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887F106"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23658E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I.1</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19FE95EE" w14:textId="77777777">
            <w:pPr>
              <w:rPr>
                <w:rFonts w:ascii="Arial Narrow" w:hAnsi="Arial Narrow" w:cs="Calibri"/>
                <w:color w:val="000000"/>
                <w:sz w:val="20"/>
                <w:szCs w:val="20"/>
              </w:rPr>
            </w:pPr>
            <w:r w:rsidRPr="001A486D">
              <w:rPr>
                <w:rFonts w:ascii="Arial Narrow" w:hAnsi="Arial Narrow" w:cs="Calibri"/>
                <w:color w:val="000000"/>
                <w:sz w:val="20"/>
                <w:szCs w:val="20"/>
              </w:rPr>
              <w:t>Grantee introductory email to retailers</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56CA7B6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0ED74F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0ABF67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01A7CC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330F64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865709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0.25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69D34C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w:t>
            </w:r>
          </w:p>
        </w:tc>
        <w:tc>
          <w:tcPr>
            <w:tcW w:w="29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7FF16E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01F715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9</w:t>
            </w:r>
          </w:p>
        </w:tc>
        <w:tc>
          <w:tcPr>
            <w:tcW w:w="33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14CF2D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00E390B"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0.15</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7CAF214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0.40</w:t>
            </w:r>
          </w:p>
        </w:tc>
      </w:tr>
      <w:tr w:rsidRPr="001A486D" w:rsidR="001A486D" w:rsidTr="001A486D" w14:paraId="0457D14B" w14:textId="77777777">
        <w:trPr>
          <w:trHeight w:val="47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41471182"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E778EBA"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BAB61F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I.2</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68DB20BE" w14:textId="77777777">
            <w:pPr>
              <w:rPr>
                <w:rFonts w:ascii="Arial Narrow" w:hAnsi="Arial Narrow" w:cs="Calibri"/>
                <w:color w:val="000000"/>
                <w:sz w:val="20"/>
                <w:szCs w:val="20"/>
              </w:rPr>
            </w:pPr>
            <w:r w:rsidRPr="001A486D">
              <w:rPr>
                <w:rFonts w:ascii="Arial Narrow" w:hAnsi="Arial Narrow" w:cs="Calibri"/>
                <w:color w:val="000000"/>
                <w:sz w:val="20"/>
                <w:szCs w:val="20"/>
              </w:rPr>
              <w:t>Study team introductory email to retailers</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39840033"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80882F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99405E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EB4660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9BA3FC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92E9CF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0.25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C47EB52"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w:t>
            </w:r>
          </w:p>
        </w:tc>
        <w:tc>
          <w:tcPr>
            <w:tcW w:w="29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E1B88D9"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15DC16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9</w:t>
            </w:r>
          </w:p>
        </w:tc>
        <w:tc>
          <w:tcPr>
            <w:tcW w:w="33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4D24F3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2335919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0.15</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591E8EC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0.40</w:t>
            </w:r>
          </w:p>
        </w:tc>
      </w:tr>
      <w:tr w:rsidRPr="001A486D" w:rsidR="001A486D" w:rsidTr="001A486D" w14:paraId="6BFA13A6" w14:textId="77777777">
        <w:trPr>
          <w:trHeight w:val="47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3804E6CA"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F16A43B"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12A744E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1.3</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360B00C0" w14:textId="77777777">
            <w:pPr>
              <w:rPr>
                <w:rFonts w:ascii="Arial Narrow" w:hAnsi="Arial Narrow" w:cs="Calibri"/>
                <w:color w:val="000000"/>
                <w:sz w:val="20"/>
                <w:szCs w:val="20"/>
              </w:rPr>
            </w:pPr>
            <w:r w:rsidRPr="001A486D">
              <w:rPr>
                <w:rFonts w:ascii="Arial Narrow" w:hAnsi="Arial Narrow" w:cs="Calibri"/>
                <w:color w:val="000000"/>
                <w:sz w:val="20"/>
                <w:szCs w:val="20"/>
              </w:rPr>
              <w:t>Telephone Script For Retailer Recruitment</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5F288D6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32</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1C4B4F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25ED20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AAB304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467EB4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0.08</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1BB158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135E87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12</w:t>
            </w:r>
          </w:p>
        </w:tc>
        <w:tc>
          <w:tcPr>
            <w:tcW w:w="29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C23B97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318F6985"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9</w:t>
            </w:r>
          </w:p>
        </w:tc>
        <w:tc>
          <w:tcPr>
            <w:tcW w:w="33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5CFD1E1"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0.08</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0B3984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4E5B91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2.00</w:t>
            </w:r>
          </w:p>
        </w:tc>
      </w:tr>
      <w:tr w:rsidRPr="001A486D" w:rsidR="001A486D" w:rsidTr="001A486D" w14:paraId="1D72E315" w14:textId="77777777">
        <w:trPr>
          <w:trHeight w:val="66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73D0A9E8" w14:textId="77777777">
            <w:pPr>
              <w:rPr>
                <w:rFonts w:ascii="Arial Narrow" w:hAnsi="Arial Narrow" w:cs="Calibri"/>
                <w:color w:val="000000"/>
                <w:sz w:val="20"/>
                <w:szCs w:val="20"/>
              </w:rPr>
            </w:pPr>
          </w:p>
        </w:tc>
        <w:tc>
          <w:tcPr>
            <w:tcW w:w="402"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27132AFC" w14:textId="77777777">
            <w:pPr>
              <w:rPr>
                <w:rFonts w:ascii="Arial Narrow" w:hAnsi="Arial Narrow" w:cs="Calibri"/>
                <w:color w:val="000000"/>
                <w:sz w:val="20"/>
                <w:szCs w:val="20"/>
              </w:rPr>
            </w:pPr>
          </w:p>
        </w:tc>
        <w:tc>
          <w:tcPr>
            <w:tcW w:w="122" w:type="pct"/>
            <w:tcBorders>
              <w:top w:val="nil"/>
              <w:left w:val="nil"/>
              <w:bottom w:val="single" w:color="auto" w:sz="4" w:space="0"/>
              <w:right w:val="single" w:color="auto" w:sz="4" w:space="0"/>
            </w:tcBorders>
            <w:shd w:val="clear" w:color="auto" w:fill="auto"/>
            <w:vAlign w:val="center"/>
            <w:hideMark/>
          </w:tcPr>
          <w:p w:rsidRPr="001A486D" w:rsidR="001A486D" w:rsidP="001A486D" w:rsidRDefault="001A486D" w14:paraId="2564C936"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I.4</w:t>
            </w:r>
          </w:p>
        </w:tc>
        <w:tc>
          <w:tcPr>
            <w:tcW w:w="600"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2687D0EB" w14:textId="77777777">
            <w:pPr>
              <w:rPr>
                <w:rFonts w:ascii="Arial Narrow" w:hAnsi="Arial Narrow" w:cs="Calibri"/>
                <w:color w:val="000000"/>
                <w:sz w:val="20"/>
                <w:szCs w:val="20"/>
              </w:rPr>
            </w:pPr>
            <w:r w:rsidRPr="001A486D">
              <w:rPr>
                <w:rFonts w:ascii="Arial Narrow" w:hAnsi="Arial Narrow" w:cs="Calibri"/>
                <w:color w:val="000000"/>
                <w:sz w:val="20"/>
                <w:szCs w:val="20"/>
              </w:rPr>
              <w:t>Interview Confirmation Email Template for Retailer</w:t>
            </w:r>
          </w:p>
        </w:tc>
        <w:tc>
          <w:tcPr>
            <w:tcW w:w="215" w:type="pct"/>
            <w:tcBorders>
              <w:top w:val="nil"/>
              <w:left w:val="nil"/>
              <w:bottom w:val="single" w:color="auto" w:sz="4" w:space="0"/>
              <w:right w:val="single" w:color="auto" w:sz="4" w:space="0"/>
            </w:tcBorders>
            <w:shd w:val="clear" w:color="DDEBF7" w:fill="FFFFFF"/>
            <w:vAlign w:val="center"/>
            <w:hideMark/>
          </w:tcPr>
          <w:p w:rsidRPr="001A486D" w:rsidR="001A486D" w:rsidP="001A486D" w:rsidRDefault="001A486D" w14:paraId="436698F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207348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20</w:t>
            </w:r>
          </w:p>
        </w:tc>
        <w:tc>
          <w:tcPr>
            <w:tcW w:w="33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79767E4C"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0.75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1D81B5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15.0</w:t>
            </w:r>
          </w:p>
        </w:tc>
        <w:tc>
          <w:tcPr>
            <w:tcW w:w="31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A9E1B58"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0.02</w:t>
            </w:r>
          </w:p>
        </w:tc>
        <w:tc>
          <w:tcPr>
            <w:tcW w:w="28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4E8BDC07"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0.25</w:t>
            </w:r>
          </w:p>
        </w:tc>
        <w:tc>
          <w:tcPr>
            <w:tcW w:w="320"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6684E94F"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3F763B4"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299"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14B8A85D"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w:t>
            </w:r>
          </w:p>
        </w:tc>
        <w:tc>
          <w:tcPr>
            <w:tcW w:w="335"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0B1FC590"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64" w:type="pct"/>
            <w:tcBorders>
              <w:top w:val="nil"/>
              <w:left w:val="nil"/>
              <w:bottom w:val="single" w:color="auto" w:sz="4" w:space="0"/>
              <w:right w:val="single" w:color="auto" w:sz="4" w:space="0"/>
            </w:tcBorders>
            <w:shd w:val="clear" w:color="000000" w:fill="FFFFFF"/>
            <w:noWrap/>
            <w:vAlign w:val="center"/>
            <w:hideMark/>
          </w:tcPr>
          <w:p w:rsidRPr="001A486D" w:rsidR="001A486D" w:rsidP="001A486D" w:rsidRDefault="001A486D" w14:paraId="5CEAED9E"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0.00</w:t>
            </w:r>
          </w:p>
        </w:tc>
        <w:tc>
          <w:tcPr>
            <w:tcW w:w="280" w:type="pct"/>
            <w:tcBorders>
              <w:top w:val="nil"/>
              <w:left w:val="nil"/>
              <w:bottom w:val="single" w:color="auto" w:sz="4" w:space="0"/>
              <w:right w:val="single" w:color="auto" w:sz="4" w:space="0"/>
            </w:tcBorders>
            <w:shd w:val="clear" w:color="auto" w:fill="auto"/>
            <w:noWrap/>
            <w:vAlign w:val="center"/>
            <w:hideMark/>
          </w:tcPr>
          <w:p w:rsidRPr="001A486D" w:rsidR="001A486D" w:rsidP="001A486D" w:rsidRDefault="001A486D" w14:paraId="3BAAAB1A" w14:textId="77777777">
            <w:pPr>
              <w:jc w:val="center"/>
              <w:rPr>
                <w:rFonts w:ascii="Arial Narrow" w:hAnsi="Arial Narrow" w:cs="Calibri"/>
                <w:color w:val="000000"/>
                <w:sz w:val="20"/>
                <w:szCs w:val="20"/>
              </w:rPr>
            </w:pPr>
            <w:r w:rsidRPr="001A486D">
              <w:rPr>
                <w:rFonts w:ascii="Arial Narrow" w:hAnsi="Arial Narrow" w:cs="Calibri"/>
                <w:color w:val="000000"/>
                <w:sz w:val="20"/>
                <w:szCs w:val="20"/>
              </w:rPr>
              <w:t>0.25</w:t>
            </w:r>
          </w:p>
        </w:tc>
      </w:tr>
      <w:tr w:rsidRPr="001A486D" w:rsidR="001A486D" w:rsidTr="001A486D" w14:paraId="1FB5A56B" w14:textId="77777777">
        <w:trPr>
          <w:trHeight w:val="400"/>
        </w:trPr>
        <w:tc>
          <w:tcPr>
            <w:tcW w:w="305" w:type="pct"/>
            <w:vMerge/>
            <w:tcBorders>
              <w:top w:val="nil"/>
              <w:left w:val="single" w:color="auto" w:sz="4" w:space="0"/>
              <w:bottom w:val="single" w:color="auto" w:sz="4" w:space="0"/>
              <w:right w:val="single" w:color="auto" w:sz="4" w:space="0"/>
            </w:tcBorders>
            <w:vAlign w:val="center"/>
            <w:hideMark/>
          </w:tcPr>
          <w:p w:rsidRPr="001A486D" w:rsidR="001A486D" w:rsidP="001A486D" w:rsidRDefault="001A486D" w14:paraId="5B7E5FEA" w14:textId="77777777">
            <w:pPr>
              <w:rPr>
                <w:rFonts w:ascii="Arial Narrow" w:hAnsi="Arial Narrow" w:cs="Calibri"/>
                <w:color w:val="000000"/>
                <w:sz w:val="20"/>
                <w:szCs w:val="20"/>
              </w:rPr>
            </w:pPr>
          </w:p>
        </w:tc>
        <w:tc>
          <w:tcPr>
            <w:tcW w:w="1124" w:type="pct"/>
            <w:gridSpan w:val="3"/>
            <w:tcBorders>
              <w:top w:val="single" w:color="auto" w:sz="4" w:space="0"/>
              <w:left w:val="nil"/>
              <w:bottom w:val="single" w:color="auto" w:sz="4" w:space="0"/>
              <w:right w:val="single" w:color="auto" w:sz="4" w:space="0"/>
            </w:tcBorders>
            <w:shd w:val="clear" w:color="DDEBF7" w:fill="757171"/>
            <w:vAlign w:val="center"/>
            <w:hideMark/>
          </w:tcPr>
          <w:p w:rsidRPr="001A486D" w:rsidR="001A486D" w:rsidP="001A486D" w:rsidRDefault="001A486D" w14:paraId="1A327232"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Subtotals for Businesses</w:t>
            </w:r>
          </w:p>
        </w:tc>
        <w:tc>
          <w:tcPr>
            <w:tcW w:w="215" w:type="pct"/>
            <w:tcBorders>
              <w:top w:val="nil"/>
              <w:left w:val="nil"/>
              <w:bottom w:val="single" w:color="auto" w:sz="4" w:space="0"/>
              <w:right w:val="single" w:color="auto" w:sz="4" w:space="0"/>
            </w:tcBorders>
            <w:shd w:val="clear" w:color="DDEBF7" w:fill="757171"/>
            <w:vAlign w:val="center"/>
            <w:hideMark/>
          </w:tcPr>
          <w:p w:rsidRPr="001A486D" w:rsidR="001A486D" w:rsidP="001A486D" w:rsidRDefault="001A486D" w14:paraId="1C53A80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32</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5060FEE9"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20</w:t>
            </w:r>
          </w:p>
        </w:tc>
        <w:tc>
          <w:tcPr>
            <w:tcW w:w="330" w:type="pct"/>
            <w:tcBorders>
              <w:top w:val="nil"/>
              <w:left w:val="nil"/>
              <w:bottom w:val="single" w:color="auto" w:sz="4" w:space="0"/>
              <w:right w:val="single" w:color="auto" w:sz="4" w:space="0"/>
            </w:tcBorders>
            <w:shd w:val="clear" w:color="000000" w:fill="808080"/>
            <w:noWrap/>
            <w:vAlign w:val="center"/>
            <w:hideMark/>
          </w:tcPr>
          <w:p w:rsidRPr="001A486D" w:rsidR="001A486D" w:rsidP="001A486D" w:rsidRDefault="001A486D" w14:paraId="3420149A"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3.75</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4DC31742"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75.0</w:t>
            </w:r>
          </w:p>
        </w:tc>
        <w:tc>
          <w:tcPr>
            <w:tcW w:w="31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50602B79"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0.13</w:t>
            </w:r>
          </w:p>
        </w:tc>
        <w:tc>
          <w:tcPr>
            <w:tcW w:w="28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51219A" w14:paraId="14709B66" w14:textId="5E4975F4">
            <w:pPr>
              <w:jc w:val="center"/>
              <w:rPr>
                <w:rFonts w:ascii="Arial Narrow" w:hAnsi="Arial Narrow" w:cs="Calibri"/>
                <w:b/>
                <w:bCs/>
                <w:i/>
                <w:iCs/>
                <w:color w:val="000000"/>
                <w:sz w:val="20"/>
                <w:szCs w:val="20"/>
              </w:rPr>
            </w:pPr>
            <w:r>
              <w:rPr>
                <w:rFonts w:ascii="Arial Narrow" w:hAnsi="Arial Narrow" w:cs="Calibri"/>
                <w:b/>
                <w:bCs/>
                <w:i/>
                <w:iCs/>
                <w:color w:val="000000"/>
                <w:sz w:val="20"/>
                <w:szCs w:val="20"/>
              </w:rPr>
              <w:t>10.00</w:t>
            </w:r>
          </w:p>
        </w:tc>
        <w:tc>
          <w:tcPr>
            <w:tcW w:w="32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3F0654BF"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12</w:t>
            </w:r>
          </w:p>
        </w:tc>
        <w:tc>
          <w:tcPr>
            <w:tcW w:w="29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70EE022B"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2.25</w:t>
            </w:r>
          </w:p>
        </w:tc>
        <w:tc>
          <w:tcPr>
            <w:tcW w:w="299"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75D62334"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27.0</w:t>
            </w:r>
          </w:p>
        </w:tc>
        <w:tc>
          <w:tcPr>
            <w:tcW w:w="335"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33117E33"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0.04</w:t>
            </w:r>
          </w:p>
        </w:tc>
        <w:tc>
          <w:tcPr>
            <w:tcW w:w="264"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1A486D" w14:paraId="41232B31" w14:textId="77777777">
            <w:pPr>
              <w:jc w:val="center"/>
              <w:rPr>
                <w:rFonts w:ascii="Arial Narrow" w:hAnsi="Arial Narrow" w:cs="Calibri"/>
                <w:b/>
                <w:bCs/>
                <w:i/>
                <w:iCs/>
                <w:color w:val="000000"/>
                <w:sz w:val="20"/>
                <w:szCs w:val="20"/>
              </w:rPr>
            </w:pPr>
            <w:r w:rsidRPr="001A486D">
              <w:rPr>
                <w:rFonts w:ascii="Arial Narrow" w:hAnsi="Arial Narrow" w:cs="Calibri"/>
                <w:b/>
                <w:bCs/>
                <w:i/>
                <w:iCs/>
                <w:color w:val="000000"/>
                <w:sz w:val="20"/>
                <w:szCs w:val="20"/>
              </w:rPr>
              <w:t>1.05</w:t>
            </w:r>
          </w:p>
        </w:tc>
        <w:tc>
          <w:tcPr>
            <w:tcW w:w="280" w:type="pct"/>
            <w:tcBorders>
              <w:top w:val="nil"/>
              <w:left w:val="nil"/>
              <w:bottom w:val="single" w:color="auto" w:sz="4" w:space="0"/>
              <w:right w:val="single" w:color="auto" w:sz="4" w:space="0"/>
            </w:tcBorders>
            <w:shd w:val="clear" w:color="000000" w:fill="757171"/>
            <w:noWrap/>
            <w:vAlign w:val="center"/>
            <w:hideMark/>
          </w:tcPr>
          <w:p w:rsidRPr="001A486D" w:rsidR="001A486D" w:rsidP="001A486D" w:rsidRDefault="0051219A" w14:paraId="7D3CC745" w14:textId="47F4260A">
            <w:pPr>
              <w:jc w:val="center"/>
              <w:rPr>
                <w:rFonts w:ascii="Arial Narrow" w:hAnsi="Arial Narrow" w:cs="Calibri"/>
                <w:b/>
                <w:bCs/>
                <w:i/>
                <w:iCs/>
                <w:color w:val="000000"/>
                <w:sz w:val="20"/>
                <w:szCs w:val="20"/>
              </w:rPr>
            </w:pPr>
            <w:r>
              <w:rPr>
                <w:rFonts w:ascii="Arial Narrow" w:hAnsi="Arial Narrow" w:cs="Calibri"/>
                <w:b/>
                <w:bCs/>
                <w:i/>
                <w:iCs/>
                <w:color w:val="000000"/>
                <w:sz w:val="20"/>
                <w:szCs w:val="20"/>
              </w:rPr>
              <w:t>11.05</w:t>
            </w:r>
          </w:p>
        </w:tc>
      </w:tr>
      <w:tr w:rsidRPr="001A486D" w:rsidR="001A486D" w:rsidTr="001A486D" w14:paraId="723EFC50" w14:textId="77777777">
        <w:trPr>
          <w:trHeight w:val="430"/>
        </w:trPr>
        <w:tc>
          <w:tcPr>
            <w:tcW w:w="1429" w:type="pct"/>
            <w:gridSpan w:val="4"/>
            <w:tcBorders>
              <w:top w:val="nil"/>
              <w:left w:val="single" w:color="auto" w:sz="4" w:space="0"/>
              <w:bottom w:val="nil"/>
              <w:right w:val="nil"/>
            </w:tcBorders>
            <w:shd w:val="clear" w:color="DDEBF7" w:fill="000000"/>
            <w:vAlign w:val="center"/>
            <w:hideMark/>
          </w:tcPr>
          <w:p w:rsidRPr="001A486D" w:rsidR="001A486D" w:rsidP="001A486D" w:rsidRDefault="001A486D" w14:paraId="1697BD62" w14:textId="77777777">
            <w:pPr>
              <w:jc w:val="center"/>
              <w:rPr>
                <w:rFonts w:ascii="Arial Narrow" w:hAnsi="Arial Narrow" w:cs="Calibri"/>
                <w:b/>
                <w:bCs/>
                <w:i/>
                <w:iCs/>
                <w:color w:val="FFFFFF"/>
                <w:sz w:val="20"/>
                <w:szCs w:val="20"/>
              </w:rPr>
            </w:pPr>
            <w:r w:rsidRPr="001A486D">
              <w:rPr>
                <w:rFonts w:ascii="Arial Narrow" w:hAnsi="Arial Narrow" w:cs="Calibri"/>
                <w:b/>
                <w:bCs/>
                <w:i/>
                <w:iCs/>
                <w:color w:val="FFFFFF"/>
                <w:sz w:val="20"/>
                <w:szCs w:val="20"/>
              </w:rPr>
              <w:t>Total Reporting Burden</w:t>
            </w:r>
          </w:p>
        </w:tc>
        <w:tc>
          <w:tcPr>
            <w:tcW w:w="215" w:type="pct"/>
            <w:tcBorders>
              <w:top w:val="nil"/>
              <w:left w:val="nil"/>
              <w:bottom w:val="nil"/>
              <w:right w:val="nil"/>
            </w:tcBorders>
            <w:shd w:val="clear" w:color="000000" w:fill="000000"/>
            <w:noWrap/>
            <w:vAlign w:val="center"/>
            <w:hideMark/>
          </w:tcPr>
          <w:p w:rsidRPr="001A486D" w:rsidR="001A486D" w:rsidP="001A486D" w:rsidRDefault="001A486D" w14:paraId="56492554"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524</w:t>
            </w:r>
          </w:p>
        </w:tc>
        <w:tc>
          <w:tcPr>
            <w:tcW w:w="315" w:type="pct"/>
            <w:tcBorders>
              <w:top w:val="nil"/>
              <w:left w:val="nil"/>
              <w:bottom w:val="nil"/>
              <w:right w:val="nil"/>
            </w:tcBorders>
            <w:shd w:val="clear" w:color="000000" w:fill="000000"/>
            <w:noWrap/>
            <w:vAlign w:val="center"/>
            <w:hideMark/>
          </w:tcPr>
          <w:p w:rsidRPr="001A486D" w:rsidR="001A486D" w:rsidP="001A486D" w:rsidRDefault="001A486D" w14:paraId="4F29E15B"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192</w:t>
            </w:r>
          </w:p>
        </w:tc>
        <w:tc>
          <w:tcPr>
            <w:tcW w:w="330" w:type="pct"/>
            <w:tcBorders>
              <w:top w:val="nil"/>
              <w:left w:val="nil"/>
              <w:bottom w:val="nil"/>
              <w:right w:val="nil"/>
            </w:tcBorders>
            <w:shd w:val="clear" w:color="000000" w:fill="000000"/>
            <w:noWrap/>
            <w:vAlign w:val="center"/>
            <w:hideMark/>
          </w:tcPr>
          <w:p w:rsidRPr="001A486D" w:rsidR="001A486D" w:rsidP="001A486D" w:rsidRDefault="001A486D" w14:paraId="14B731BC"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5.66</w:t>
            </w:r>
          </w:p>
        </w:tc>
        <w:tc>
          <w:tcPr>
            <w:tcW w:w="320" w:type="pct"/>
            <w:tcBorders>
              <w:top w:val="nil"/>
              <w:left w:val="nil"/>
              <w:bottom w:val="nil"/>
              <w:right w:val="nil"/>
            </w:tcBorders>
            <w:shd w:val="clear" w:color="000000" w:fill="000000"/>
            <w:noWrap/>
            <w:vAlign w:val="center"/>
            <w:hideMark/>
          </w:tcPr>
          <w:p w:rsidRPr="001A486D" w:rsidR="001A486D" w:rsidP="001A486D" w:rsidRDefault="001A486D" w14:paraId="52FBAC52"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1086.33</w:t>
            </w:r>
          </w:p>
        </w:tc>
        <w:tc>
          <w:tcPr>
            <w:tcW w:w="315" w:type="pct"/>
            <w:tcBorders>
              <w:top w:val="nil"/>
              <w:left w:val="single" w:color="auto" w:sz="4" w:space="0"/>
              <w:bottom w:val="single" w:color="auto" w:sz="4" w:space="0"/>
              <w:right w:val="single" w:color="auto" w:sz="4" w:space="0"/>
            </w:tcBorders>
            <w:shd w:val="clear" w:color="000000" w:fill="000000"/>
            <w:noWrap/>
            <w:vAlign w:val="center"/>
            <w:hideMark/>
          </w:tcPr>
          <w:p w:rsidRPr="001A486D" w:rsidR="001A486D" w:rsidP="001A486D" w:rsidRDefault="001A486D" w14:paraId="1C0EBA61"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0.22</w:t>
            </w:r>
          </w:p>
        </w:tc>
        <w:tc>
          <w:tcPr>
            <w:tcW w:w="284" w:type="pct"/>
            <w:tcBorders>
              <w:top w:val="nil"/>
              <w:left w:val="nil"/>
              <w:bottom w:val="nil"/>
              <w:right w:val="nil"/>
            </w:tcBorders>
            <w:shd w:val="clear" w:color="000000" w:fill="000000"/>
            <w:noWrap/>
            <w:vAlign w:val="center"/>
            <w:hideMark/>
          </w:tcPr>
          <w:p w:rsidRPr="001A486D" w:rsidR="001A486D" w:rsidP="0051219A" w:rsidRDefault="001A486D" w14:paraId="7C10E6FD" w14:textId="6BF9B310">
            <w:pPr>
              <w:jc w:val="center"/>
              <w:rPr>
                <w:rFonts w:ascii="Arial Narrow" w:hAnsi="Arial Narrow" w:cs="Calibri"/>
                <w:color w:val="FFFFFF"/>
                <w:sz w:val="20"/>
                <w:szCs w:val="20"/>
              </w:rPr>
            </w:pPr>
            <w:r w:rsidRPr="001A486D">
              <w:rPr>
                <w:rFonts w:ascii="Arial Narrow" w:hAnsi="Arial Narrow" w:cs="Calibri"/>
                <w:color w:val="FFFFFF"/>
                <w:sz w:val="20"/>
                <w:szCs w:val="20"/>
              </w:rPr>
              <w:t>235.</w:t>
            </w:r>
            <w:r w:rsidR="0051219A">
              <w:rPr>
                <w:rFonts w:ascii="Arial Narrow" w:hAnsi="Arial Narrow" w:cs="Calibri"/>
                <w:color w:val="FFFFFF"/>
                <w:sz w:val="20"/>
                <w:szCs w:val="20"/>
              </w:rPr>
              <w:t>62</w:t>
            </w:r>
          </w:p>
        </w:tc>
        <w:tc>
          <w:tcPr>
            <w:tcW w:w="320" w:type="pct"/>
            <w:tcBorders>
              <w:top w:val="nil"/>
              <w:left w:val="nil"/>
              <w:bottom w:val="nil"/>
              <w:right w:val="nil"/>
            </w:tcBorders>
            <w:shd w:val="clear" w:color="000000" w:fill="000000"/>
            <w:noWrap/>
            <w:vAlign w:val="center"/>
            <w:hideMark/>
          </w:tcPr>
          <w:p w:rsidRPr="001A486D" w:rsidR="001A486D" w:rsidP="001A486D" w:rsidRDefault="001A486D" w14:paraId="2F7A6A41"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332</w:t>
            </w:r>
          </w:p>
        </w:tc>
        <w:tc>
          <w:tcPr>
            <w:tcW w:w="294" w:type="pct"/>
            <w:tcBorders>
              <w:top w:val="nil"/>
              <w:left w:val="nil"/>
              <w:bottom w:val="nil"/>
              <w:right w:val="nil"/>
            </w:tcBorders>
            <w:shd w:val="clear" w:color="000000" w:fill="000000"/>
            <w:noWrap/>
            <w:vAlign w:val="center"/>
            <w:hideMark/>
          </w:tcPr>
          <w:p w:rsidRPr="001A486D" w:rsidR="001A486D" w:rsidP="001A486D" w:rsidRDefault="001A486D" w14:paraId="064AFA49"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2.25</w:t>
            </w:r>
          </w:p>
        </w:tc>
        <w:tc>
          <w:tcPr>
            <w:tcW w:w="299" w:type="pct"/>
            <w:tcBorders>
              <w:top w:val="nil"/>
              <w:left w:val="nil"/>
              <w:bottom w:val="nil"/>
              <w:right w:val="nil"/>
            </w:tcBorders>
            <w:shd w:val="clear" w:color="000000" w:fill="000000"/>
            <w:noWrap/>
            <w:vAlign w:val="center"/>
            <w:hideMark/>
          </w:tcPr>
          <w:p w:rsidRPr="001A486D" w:rsidR="001A486D" w:rsidP="001A486D" w:rsidRDefault="001A486D" w14:paraId="05707E9E"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747.00</w:t>
            </w:r>
          </w:p>
        </w:tc>
        <w:tc>
          <w:tcPr>
            <w:tcW w:w="335" w:type="pct"/>
            <w:tcBorders>
              <w:top w:val="nil"/>
              <w:left w:val="single" w:color="auto" w:sz="4" w:space="0"/>
              <w:bottom w:val="single" w:color="auto" w:sz="4" w:space="0"/>
              <w:right w:val="single" w:color="auto" w:sz="4" w:space="0"/>
            </w:tcBorders>
            <w:shd w:val="clear" w:color="000000" w:fill="000000"/>
            <w:noWrap/>
            <w:vAlign w:val="center"/>
            <w:hideMark/>
          </w:tcPr>
          <w:p w:rsidRPr="001A486D" w:rsidR="001A486D" w:rsidP="001A486D" w:rsidRDefault="001A486D" w14:paraId="47B61A70"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0.02</w:t>
            </w:r>
          </w:p>
        </w:tc>
        <w:tc>
          <w:tcPr>
            <w:tcW w:w="264" w:type="pct"/>
            <w:tcBorders>
              <w:top w:val="nil"/>
              <w:left w:val="nil"/>
              <w:bottom w:val="nil"/>
              <w:right w:val="nil"/>
            </w:tcBorders>
            <w:shd w:val="clear" w:color="000000" w:fill="000000"/>
            <w:noWrap/>
            <w:vAlign w:val="center"/>
            <w:hideMark/>
          </w:tcPr>
          <w:p w:rsidRPr="001A486D" w:rsidR="001A486D" w:rsidP="001A486D" w:rsidRDefault="001A486D" w14:paraId="30210684" w14:textId="77777777">
            <w:pPr>
              <w:jc w:val="center"/>
              <w:rPr>
                <w:rFonts w:ascii="Arial Narrow" w:hAnsi="Arial Narrow" w:cs="Calibri"/>
                <w:color w:val="FFFFFF"/>
                <w:sz w:val="20"/>
                <w:szCs w:val="20"/>
              </w:rPr>
            </w:pPr>
            <w:r w:rsidRPr="001A486D">
              <w:rPr>
                <w:rFonts w:ascii="Arial Narrow" w:hAnsi="Arial Narrow" w:cs="Calibri"/>
                <w:color w:val="FFFFFF"/>
                <w:sz w:val="20"/>
                <w:szCs w:val="20"/>
              </w:rPr>
              <w:t>13.05</w:t>
            </w:r>
          </w:p>
        </w:tc>
        <w:tc>
          <w:tcPr>
            <w:tcW w:w="280" w:type="pct"/>
            <w:tcBorders>
              <w:top w:val="nil"/>
              <w:left w:val="nil"/>
              <w:bottom w:val="nil"/>
              <w:right w:val="nil"/>
            </w:tcBorders>
            <w:shd w:val="clear" w:color="000000" w:fill="000000"/>
            <w:noWrap/>
            <w:vAlign w:val="center"/>
            <w:hideMark/>
          </w:tcPr>
          <w:p w:rsidRPr="001A486D" w:rsidR="001A486D" w:rsidP="0051219A" w:rsidRDefault="001A486D" w14:paraId="7E03C8E5" w14:textId="7C8B260F">
            <w:pPr>
              <w:jc w:val="center"/>
              <w:rPr>
                <w:rFonts w:ascii="Arial Narrow" w:hAnsi="Arial Narrow" w:cs="Calibri"/>
                <w:color w:val="FFFFFF"/>
                <w:sz w:val="20"/>
                <w:szCs w:val="20"/>
              </w:rPr>
            </w:pPr>
            <w:r w:rsidRPr="001A486D">
              <w:rPr>
                <w:rFonts w:ascii="Arial Narrow" w:hAnsi="Arial Narrow" w:cs="Calibri"/>
                <w:color w:val="FFFFFF"/>
                <w:sz w:val="20"/>
                <w:szCs w:val="20"/>
              </w:rPr>
              <w:t>248.</w:t>
            </w:r>
            <w:r w:rsidR="0051219A">
              <w:rPr>
                <w:rFonts w:ascii="Arial Narrow" w:hAnsi="Arial Narrow" w:cs="Calibri"/>
                <w:color w:val="FFFFFF"/>
                <w:sz w:val="20"/>
                <w:szCs w:val="20"/>
              </w:rPr>
              <w:t>67</w:t>
            </w:r>
          </w:p>
        </w:tc>
      </w:tr>
    </w:tbl>
    <w:p w:rsidR="007E1A9E" w:rsidP="006B4910" w:rsidRDefault="007E1A9E" w14:paraId="03DDC1DD" w14:textId="77777777">
      <w:pPr>
        <w:rPr>
          <w:rFonts w:asciiTheme="minorHAnsi" w:hAnsiTheme="minorHAnsi" w:cstheme="minorHAnsi"/>
          <w:b/>
        </w:rPr>
        <w:sectPr w:rsidR="007E1A9E" w:rsidSect="00453830">
          <w:pgSz w:w="15840" w:h="12240" w:orient="landscape" w:code="1"/>
          <w:pgMar w:top="1440" w:right="720" w:bottom="1440" w:left="720" w:header="720" w:footer="720" w:gutter="0"/>
          <w:cols w:space="720"/>
          <w:docGrid w:linePitch="360"/>
        </w:sectPr>
      </w:pPr>
    </w:p>
    <w:p w:rsidRPr="00AE5F2F" w:rsidR="00F63D02" w:rsidP="0044216D" w:rsidRDefault="00F63D02" w14:paraId="186DC55A" w14:textId="77777777">
      <w:pPr>
        <w:pStyle w:val="Heading1"/>
      </w:pPr>
      <w:r w:rsidRPr="00AE5F2F">
        <w:lastRenderedPageBreak/>
        <w:t>Project Purpose, Methodology, and Formative Research Design:</w:t>
      </w:r>
    </w:p>
    <w:p w:rsidRPr="0044216D" w:rsidR="00F63D02" w:rsidP="0046016E" w:rsidRDefault="00F63D02" w14:paraId="4638D327" w14:textId="77777777">
      <w:pPr>
        <w:pStyle w:val="Heading2"/>
      </w:pPr>
      <w:r w:rsidRPr="0046016E">
        <w:t>Background</w:t>
      </w:r>
      <w:r w:rsidRPr="0044216D">
        <w:t xml:space="preserve"> </w:t>
      </w:r>
    </w:p>
    <w:p w:rsidRPr="00AE5F2F" w:rsidR="00F63D02" w:rsidP="0044216D" w:rsidRDefault="00B4267C" w14:paraId="0D09679F" w14:textId="1824E13B">
      <w:pPr>
        <w:pStyle w:val="BodyText"/>
      </w:pPr>
      <w:r w:rsidRPr="00AE5F2F">
        <w:t xml:space="preserve">USDA’s Food and Nutrition Service </w:t>
      </w:r>
      <w:r w:rsidR="00BB24DD">
        <w:t xml:space="preserve">(USDA/FNS) </w:t>
      </w:r>
      <w:r w:rsidRPr="00AE5F2F">
        <w:t xml:space="preserve">developed the Summer </w:t>
      </w:r>
      <w:r w:rsidR="00311861">
        <w:t xml:space="preserve">Electronic Benefits Transfer </w:t>
      </w:r>
      <w:r w:rsidR="001E5AFC">
        <w:t>(</w:t>
      </w:r>
      <w:r w:rsidRPr="00AE5F2F">
        <w:t>EBT</w:t>
      </w:r>
      <w:r w:rsidR="001E5AFC">
        <w:t>)</w:t>
      </w:r>
      <w:r w:rsidRPr="00AE5F2F">
        <w:t xml:space="preserve"> </w:t>
      </w:r>
      <w:r w:rsidR="00D246B6">
        <w:t>project</w:t>
      </w:r>
      <w:r w:rsidRPr="00AE5F2F">
        <w:t xml:space="preserve"> to help address child hunger and food insecurity during the summer months. It is meant to help low-income families, who rely on school breakfasts and lunches during the school year, provide nutritious food to their children during the summer months. </w:t>
      </w:r>
      <w:r w:rsidRPr="00AE5F2F" w:rsidR="00F63D02">
        <w:t xml:space="preserve">With funding from the 2010 Agriculture Appropriations Act (P.L. 111-80), USDA/FNS and State grantees piloted what was then called the Summer EBT for Children Demonstration (now called the Summer EBT </w:t>
      </w:r>
      <w:r w:rsidR="00D246B6">
        <w:t>Project</w:t>
      </w:r>
      <w:r w:rsidRPr="00AE5F2F" w:rsidR="00F63D02">
        <w:t xml:space="preserve">) during the summers of 2011 to 2014 in 10 States and Indian Tribal Organizations. </w:t>
      </w:r>
      <w:r w:rsidRPr="00AE5F2F">
        <w:t xml:space="preserve">The </w:t>
      </w:r>
      <w:r w:rsidR="00D246B6">
        <w:t>Project</w:t>
      </w:r>
      <w:r w:rsidRPr="00AE5F2F">
        <w:t xml:space="preserve"> provided low-income families with children an electronic benefit transfer (EBT) card to purchase food. </w:t>
      </w:r>
      <w:r w:rsidRPr="00AE5F2F" w:rsidR="00F63D02">
        <w:t xml:space="preserve">A random assignment evaluation of this </w:t>
      </w:r>
      <w:r w:rsidR="00D246B6">
        <w:t>project</w:t>
      </w:r>
      <w:r w:rsidRPr="00AE5F2F" w:rsidR="00F63D02">
        <w:t xml:space="preserve"> found large positive impacts on food security and child nutrition. It also found that </w:t>
      </w:r>
      <w:r w:rsidR="00D246B6">
        <w:t>project</w:t>
      </w:r>
      <w:r w:rsidRPr="00AE5F2F" w:rsidR="00F63D02">
        <w:t xml:space="preserve"> models could be implemented successfully in a range of settings and with a range of implementation strategies</w:t>
      </w:r>
      <w:r w:rsidR="0046016E">
        <w:t>.</w:t>
      </w:r>
      <w:r w:rsidR="009671A1">
        <w:rPr>
          <w:rStyle w:val="FootnoteReference"/>
        </w:rPr>
        <w:footnoteReference w:id="3"/>
      </w:r>
      <w:r w:rsidRPr="00AE5F2F" w:rsidR="00F63D02">
        <w:t xml:space="preserve"> </w:t>
      </w:r>
    </w:p>
    <w:p w:rsidRPr="00AE5F2F" w:rsidR="00F63D02" w:rsidP="0044216D" w:rsidRDefault="00F63D02" w14:paraId="3CD8FA2E" w14:textId="77777777">
      <w:pPr>
        <w:pStyle w:val="BodyText"/>
      </w:pPr>
    </w:p>
    <w:p w:rsidRPr="00AE5F2F" w:rsidR="00F63D02" w:rsidP="0044216D" w:rsidRDefault="00F63D02" w14:paraId="6B02921F" w14:textId="11B11373">
      <w:pPr>
        <w:pStyle w:val="BodyText"/>
      </w:pPr>
      <w:r w:rsidRPr="00AE5F2F">
        <w:t xml:space="preserve">Building on the success of the </w:t>
      </w:r>
      <w:r w:rsidR="00173286">
        <w:t>Summer EBT</w:t>
      </w:r>
      <w:r w:rsidRPr="00AE5F2F">
        <w:t xml:space="preserve"> Demonstrations, USDA/FNS </w:t>
      </w:r>
      <w:r w:rsidR="0035311B">
        <w:t>previously funded</w:t>
      </w:r>
      <w:r w:rsidRPr="00AE5F2F">
        <w:t xml:space="preserve"> existing grantees from 2015-2018 to continue their </w:t>
      </w:r>
      <w:r w:rsidR="00D246B6">
        <w:t>project</w:t>
      </w:r>
      <w:r w:rsidRPr="00AE5F2F">
        <w:t>s and to expand into additional rural areas or other areas of extreme need and to test new and innovative concepts. FNS also awarded funds to two new grantees to offer benefits for the</w:t>
      </w:r>
      <w:r w:rsidR="008706A7">
        <w:t xml:space="preserve"> summer of 2018. These </w:t>
      </w:r>
      <w:r w:rsidRPr="00AE5F2F">
        <w:t>grantees we</w:t>
      </w:r>
      <w:r w:rsidR="00494A68">
        <w:t>re involved in a</w:t>
      </w:r>
      <w:r w:rsidR="003C0597">
        <w:t>n</w:t>
      </w:r>
      <w:r w:rsidR="00494A68">
        <w:t xml:space="preserve"> </w:t>
      </w:r>
      <w:r w:rsidR="003C0597">
        <w:t xml:space="preserve">Implementation </w:t>
      </w:r>
      <w:r w:rsidRPr="00AE5F2F">
        <w:t>and Benefit Use Study documenting how these grants were implemented and administered during the summers of 2015-2018 and analyzing EBT data from grantees and retailers to describe participant benefit use.</w:t>
      </w:r>
      <w:r w:rsidR="00311861">
        <w:t xml:space="preserve"> This study was exempt from OMB requirements</w:t>
      </w:r>
      <w:r w:rsidR="00E83E67">
        <w:t xml:space="preserve"> because it interviewed </w:t>
      </w:r>
      <w:r w:rsidR="003C0597">
        <w:t xml:space="preserve">nine </w:t>
      </w:r>
      <w:r w:rsidR="00E83E67">
        <w:t>grantees</w:t>
      </w:r>
      <w:r w:rsidR="00311861">
        <w:t xml:space="preserve">. </w:t>
      </w:r>
    </w:p>
    <w:p w:rsidRPr="00AE5F2F" w:rsidR="00F63D02" w:rsidP="0044216D" w:rsidRDefault="00F63D02" w14:paraId="5CACA02D" w14:textId="77777777">
      <w:pPr>
        <w:pStyle w:val="BodyText"/>
      </w:pPr>
    </w:p>
    <w:p w:rsidRPr="00AE5F2F" w:rsidR="00F63D02" w:rsidP="0044216D" w:rsidRDefault="00F63D02" w14:paraId="6589D45C" w14:textId="60362F39">
      <w:pPr>
        <w:pStyle w:val="BodyText"/>
      </w:pPr>
      <w:r w:rsidRPr="00AE5F2F">
        <w:t xml:space="preserve">In 2019, </w:t>
      </w:r>
      <w:r w:rsidR="006F23F1">
        <w:t>USDA/FNS</w:t>
      </w:r>
      <w:r w:rsidRPr="00AE5F2F">
        <w:t xml:space="preserve"> </w:t>
      </w:r>
      <w:r w:rsidR="002366F1">
        <w:t>competitively selected</w:t>
      </w:r>
      <w:r w:rsidRPr="00AE5F2F" w:rsidR="002366F1">
        <w:t xml:space="preserve"> </w:t>
      </w:r>
      <w:r w:rsidRPr="00AE5F2F">
        <w:t xml:space="preserve">two new grantees and two </w:t>
      </w:r>
      <w:r w:rsidR="002366F1">
        <w:t xml:space="preserve">of the </w:t>
      </w:r>
      <w:r w:rsidRPr="00AE5F2F">
        <w:t xml:space="preserve">existing grantees to </w:t>
      </w:r>
      <w:r w:rsidRPr="00D31EF7" w:rsidR="00D31EF7">
        <w:t xml:space="preserve">demonstrate how Summer EBT can best be deployed as a complement to other Federal, State, and local efforts to feed </w:t>
      </w:r>
      <w:r w:rsidR="00CB78FA">
        <w:t>eligible</w:t>
      </w:r>
      <w:r w:rsidRPr="00D31EF7" w:rsidR="00CB78FA">
        <w:t xml:space="preserve"> </w:t>
      </w:r>
      <w:r w:rsidRPr="00D31EF7" w:rsidR="00D31EF7">
        <w:t>children in the summer, and operated in a way that makes ef</w:t>
      </w:r>
      <w:r w:rsidR="00311861">
        <w:t>ficient use of taxpayer dollars</w:t>
      </w:r>
      <w:r w:rsidRPr="00AE5F2F">
        <w:t xml:space="preserve">. </w:t>
      </w:r>
      <w:r w:rsidRPr="00AE5F2F" w:rsidR="005F3132">
        <w:t>FNS</w:t>
      </w:r>
      <w:r w:rsidRPr="00AE5F2F">
        <w:t xml:space="preserve"> also funded the evaluation</w:t>
      </w:r>
      <w:r w:rsidR="001137D3">
        <w:t xml:space="preserve"> of these </w:t>
      </w:r>
      <w:r w:rsidR="002978C0">
        <w:t>projects</w:t>
      </w:r>
      <w:r w:rsidRPr="00AE5F2F">
        <w:t>,</w:t>
      </w:r>
      <w:r w:rsidR="008D3442">
        <w:t xml:space="preserve"> which is the current evaluation under consideration for this OMB submission,</w:t>
      </w:r>
      <w:r w:rsidRPr="00AE5F2F">
        <w:t xml:space="preserve"> </w:t>
      </w:r>
      <w:r w:rsidR="002978C0">
        <w:t>including 1)</w:t>
      </w:r>
      <w:r w:rsidRPr="00AE5F2F" w:rsidR="002978C0">
        <w:t xml:space="preserve"> </w:t>
      </w:r>
      <w:r w:rsidRPr="00AE5F2F">
        <w:t xml:space="preserve">a Benefits Use Study that uses existing administrative, cost and household </w:t>
      </w:r>
      <w:r w:rsidR="00D246B6">
        <w:t>project</w:t>
      </w:r>
      <w:r w:rsidRPr="00AE5F2F">
        <w:t xml:space="preserve"> data</w:t>
      </w:r>
      <w:r w:rsidR="002978C0">
        <w:t>,</w:t>
      </w:r>
      <w:r w:rsidRPr="00AE5F2F">
        <w:t xml:space="preserve"> and </w:t>
      </w:r>
      <w:r w:rsidR="002978C0">
        <w:t xml:space="preserve">2) </w:t>
      </w:r>
      <w:r w:rsidRPr="00AE5F2F">
        <w:t>a Process Study consisting of primary data collection activities</w:t>
      </w:r>
      <w:r w:rsidRPr="00AE5F2F" w:rsidR="005F3132">
        <w:t xml:space="preserve"> included in this </w:t>
      </w:r>
      <w:r w:rsidR="00311861">
        <w:t xml:space="preserve">OMB </w:t>
      </w:r>
      <w:r w:rsidRPr="00AE5F2F" w:rsidR="005F3132">
        <w:t>request</w:t>
      </w:r>
      <w:r w:rsidRPr="00AE5F2F">
        <w:t xml:space="preserve">. </w:t>
      </w:r>
    </w:p>
    <w:p w:rsidRPr="00AE5F2F" w:rsidR="00F63D02" w:rsidP="0044216D" w:rsidRDefault="00F63D02" w14:paraId="73A4AA7B" w14:textId="77777777">
      <w:pPr>
        <w:pStyle w:val="BodyText"/>
      </w:pPr>
    </w:p>
    <w:p w:rsidR="00F63D02" w:rsidP="0044216D" w:rsidRDefault="00D532A3" w14:paraId="0F2D2174" w14:textId="77777777">
      <w:pPr>
        <w:pStyle w:val="BodyText"/>
      </w:pPr>
      <w:r w:rsidRPr="00D532A3">
        <w:t xml:space="preserve">The </w:t>
      </w:r>
      <w:r w:rsidR="00402860">
        <w:t xml:space="preserve">formative </w:t>
      </w:r>
      <w:r w:rsidRPr="00D532A3">
        <w:t xml:space="preserve">Evaluation of FY 2019 Summer Electronic Benefits Transfer (EBT) Demonstrations </w:t>
      </w:r>
      <w:r w:rsidR="00ED7DF6">
        <w:t>build</w:t>
      </w:r>
      <w:r w:rsidR="002978C0">
        <w:t>s</w:t>
      </w:r>
      <w:r w:rsidR="00ED7DF6">
        <w:t xml:space="preserve"> on the findings of previous Summer EBT evaluations</w:t>
      </w:r>
      <w:r w:rsidRPr="00D532A3" w:rsidR="00ED7DF6">
        <w:t xml:space="preserve"> </w:t>
      </w:r>
      <w:r w:rsidR="002978C0">
        <w:t>while</w:t>
      </w:r>
      <w:r w:rsidRPr="00D532A3" w:rsidR="00DD645A">
        <w:t xml:space="preserve"> expand</w:t>
      </w:r>
      <w:r w:rsidR="00ED7DF6">
        <w:t>ing</w:t>
      </w:r>
      <w:r w:rsidRPr="00D532A3" w:rsidR="00DD645A">
        <w:t xml:space="preserve"> the current base of knowledge about this innovative solution</w:t>
      </w:r>
      <w:r w:rsidRPr="00AE5F2F" w:rsidR="00DD645A">
        <w:t xml:space="preserve"> to children’s food insecurity. </w:t>
      </w:r>
      <w:r w:rsidR="00787615">
        <w:t xml:space="preserve"> It will </w:t>
      </w:r>
      <w:r w:rsidRPr="00787615" w:rsidR="00787615">
        <w:t xml:space="preserve">document how the </w:t>
      </w:r>
      <w:r w:rsidR="00B83CC5">
        <w:t xml:space="preserve">demonstration </w:t>
      </w:r>
      <w:r w:rsidRPr="00787615" w:rsidR="00787615">
        <w:t>projects were implemented and administered in 2019 through 2022 by 4 grantees</w:t>
      </w:r>
      <w:r w:rsidR="00787615">
        <w:t>, including two new grantees,</w:t>
      </w:r>
      <w:r w:rsidRPr="00787615" w:rsidR="00787615">
        <w:t xml:space="preserve"> and </w:t>
      </w:r>
      <w:r w:rsidR="00AA25A7">
        <w:t xml:space="preserve">will </w:t>
      </w:r>
      <w:r w:rsidRPr="00787615" w:rsidR="00787615">
        <w:t xml:space="preserve">describe participants’ and retailers’ experiences </w:t>
      </w:r>
      <w:r w:rsidRPr="00787615" w:rsidR="00787615">
        <w:lastRenderedPageBreak/>
        <w:t xml:space="preserve">with Summer EBT in these States.  The </w:t>
      </w:r>
      <w:r w:rsidR="00402860">
        <w:t xml:space="preserve">qualitative </w:t>
      </w:r>
      <w:r w:rsidR="002978C0">
        <w:t xml:space="preserve">data collection will complement the Benefits Use </w:t>
      </w:r>
      <w:r w:rsidRPr="00787615" w:rsidR="00787615">
        <w:t xml:space="preserve">study </w:t>
      </w:r>
      <w:r w:rsidR="002978C0">
        <w:t>that will</w:t>
      </w:r>
      <w:r w:rsidRPr="00787615" w:rsidR="002978C0">
        <w:t xml:space="preserve"> </w:t>
      </w:r>
      <w:r w:rsidRPr="00787615" w:rsidR="00787615">
        <w:t xml:space="preserve">collect and analyze EBT data from the grantees to describe and assess participant benefit use across the </w:t>
      </w:r>
      <w:r w:rsidR="001E5AFC">
        <w:t>three</w:t>
      </w:r>
      <w:r w:rsidRPr="00787615" w:rsidR="00787615">
        <w:t xml:space="preserve"> summers </w:t>
      </w:r>
      <w:r w:rsidR="002978C0">
        <w:t>when</w:t>
      </w:r>
      <w:r w:rsidRPr="00787615" w:rsidR="002978C0">
        <w:t xml:space="preserve"> </w:t>
      </w:r>
      <w:r w:rsidRPr="00787615" w:rsidR="00787615">
        <w:t>each project offer</w:t>
      </w:r>
      <w:r w:rsidR="002978C0">
        <w:t>s</w:t>
      </w:r>
      <w:r w:rsidRPr="00787615" w:rsidR="00787615">
        <w:t xml:space="preserve"> benefits</w:t>
      </w:r>
      <w:r w:rsidR="00787615">
        <w:t>.</w:t>
      </w:r>
      <w:r w:rsidR="00EB60E9">
        <w:t xml:space="preserve"> </w:t>
      </w:r>
    </w:p>
    <w:p w:rsidR="005629C0" w:rsidP="0044216D" w:rsidRDefault="005629C0" w14:paraId="516920DA" w14:textId="77777777">
      <w:pPr>
        <w:pStyle w:val="BodyText"/>
      </w:pPr>
    </w:p>
    <w:p w:rsidRPr="00AE5F2F" w:rsidR="00F63D02" w:rsidP="0046016E" w:rsidRDefault="00F63D02" w14:paraId="491E3080" w14:textId="77777777">
      <w:pPr>
        <w:pStyle w:val="Heading2"/>
      </w:pPr>
      <w:r w:rsidRPr="00AE5F2F">
        <w:t>Purpose</w:t>
      </w:r>
    </w:p>
    <w:p w:rsidR="00F63D02" w:rsidP="0044216D" w:rsidRDefault="000204CE" w14:paraId="26376828" w14:textId="609CEC86">
      <w:pPr>
        <w:pStyle w:val="BodyText"/>
        <w:rPr>
          <w:rFonts w:eastAsiaTheme="minorEastAsia"/>
        </w:rPr>
      </w:pPr>
      <w:r>
        <w:rPr>
          <w:rFonts w:eastAsiaTheme="minorEastAsia"/>
        </w:rPr>
        <w:t>The</w:t>
      </w:r>
      <w:r w:rsidRPr="00AE5F2F">
        <w:rPr>
          <w:rFonts w:eastAsiaTheme="minorEastAsia"/>
        </w:rPr>
        <w:t xml:space="preserve"> Process Study </w:t>
      </w:r>
      <w:r>
        <w:rPr>
          <w:rFonts w:eastAsiaTheme="minorEastAsia"/>
        </w:rPr>
        <w:t>aims</w:t>
      </w:r>
      <w:r w:rsidRPr="00AE5F2F">
        <w:rPr>
          <w:rFonts w:eastAsiaTheme="minorEastAsia"/>
        </w:rPr>
        <w:t xml:space="preserve"> to 1) document grantee implementation processes, challenges, and successes and 2) describe participant and retailer experiences with Summer EBT </w:t>
      </w:r>
      <w:r>
        <w:rPr>
          <w:rFonts w:eastAsiaTheme="minorEastAsia"/>
        </w:rPr>
        <w:t>over</w:t>
      </w:r>
      <w:r w:rsidRPr="00AE5F2F">
        <w:rPr>
          <w:rFonts w:eastAsiaTheme="minorEastAsia"/>
        </w:rPr>
        <w:t xml:space="preserve"> a three</w:t>
      </w:r>
      <w:r>
        <w:rPr>
          <w:rFonts w:eastAsiaTheme="minorEastAsia"/>
        </w:rPr>
        <w:t>-</w:t>
      </w:r>
      <w:r w:rsidRPr="00AE5F2F">
        <w:rPr>
          <w:rFonts w:eastAsiaTheme="minorEastAsia"/>
        </w:rPr>
        <w:t>year period (summers 2</w:t>
      </w:r>
      <w:r>
        <w:rPr>
          <w:rFonts w:eastAsiaTheme="minorEastAsia"/>
        </w:rPr>
        <w:t xml:space="preserve">020 and </w:t>
      </w:r>
      <w:r w:rsidRPr="00AE5F2F">
        <w:rPr>
          <w:rFonts w:eastAsiaTheme="minorEastAsia"/>
        </w:rPr>
        <w:t xml:space="preserve">2021 </w:t>
      </w:r>
      <w:r>
        <w:rPr>
          <w:rFonts w:eastAsiaTheme="minorEastAsia"/>
        </w:rPr>
        <w:t>for Chickasaw Nation and Michigan and</w:t>
      </w:r>
      <w:r w:rsidRPr="00AE5F2F">
        <w:rPr>
          <w:rFonts w:eastAsiaTheme="minorEastAsia"/>
        </w:rPr>
        <w:t xml:space="preserve"> summers 202</w:t>
      </w:r>
      <w:r w:rsidR="006B70EF">
        <w:rPr>
          <w:rFonts w:eastAsiaTheme="minorEastAsia"/>
        </w:rPr>
        <w:t>1</w:t>
      </w:r>
      <w:r w:rsidRPr="00AE5F2F">
        <w:rPr>
          <w:rFonts w:eastAsiaTheme="minorEastAsia"/>
        </w:rPr>
        <w:t>-2022</w:t>
      </w:r>
      <w:r>
        <w:rPr>
          <w:rFonts w:eastAsiaTheme="minorEastAsia"/>
        </w:rPr>
        <w:t xml:space="preserve"> for Wisconsin</w:t>
      </w:r>
      <w:r w:rsidR="006B70EF">
        <w:rPr>
          <w:rFonts w:eastAsiaTheme="minorEastAsia"/>
        </w:rPr>
        <w:t>, and summers 2020-2022</w:t>
      </w:r>
      <w:r>
        <w:rPr>
          <w:rFonts w:eastAsiaTheme="minorEastAsia"/>
        </w:rPr>
        <w:t xml:space="preserve"> </w:t>
      </w:r>
      <w:r w:rsidR="006B70EF">
        <w:rPr>
          <w:rFonts w:eastAsiaTheme="minorEastAsia"/>
        </w:rPr>
        <w:t xml:space="preserve">for </w:t>
      </w:r>
      <w:r>
        <w:rPr>
          <w:rFonts w:eastAsiaTheme="minorEastAsia"/>
        </w:rPr>
        <w:t>Inter Tribal Council of Arizona</w:t>
      </w:r>
      <w:r w:rsidRPr="00AE5F2F">
        <w:rPr>
          <w:rFonts w:eastAsiaTheme="minorEastAsia"/>
        </w:rPr>
        <w:t xml:space="preserve">). </w:t>
      </w:r>
      <w:r w:rsidR="002978C0">
        <w:rPr>
          <w:rFonts w:eastAsiaTheme="minorEastAsia"/>
        </w:rPr>
        <w:t>R</w:t>
      </w:r>
      <w:r w:rsidRPr="00AE5F2F" w:rsidR="00F63D02">
        <w:rPr>
          <w:rFonts w:eastAsiaTheme="minorEastAsia"/>
        </w:rPr>
        <w:t xml:space="preserve">esults </w:t>
      </w:r>
      <w:r w:rsidR="002978C0">
        <w:rPr>
          <w:rFonts w:eastAsiaTheme="minorEastAsia"/>
        </w:rPr>
        <w:t>from</w:t>
      </w:r>
      <w:r w:rsidRPr="00AE5F2F" w:rsidR="002978C0">
        <w:rPr>
          <w:rFonts w:eastAsiaTheme="minorEastAsia"/>
        </w:rPr>
        <w:t xml:space="preserve"> </w:t>
      </w:r>
      <w:r w:rsidRPr="00AE5F2F" w:rsidR="00F63D02">
        <w:rPr>
          <w:rFonts w:eastAsiaTheme="minorEastAsia"/>
        </w:rPr>
        <w:t xml:space="preserve">this evaluation </w:t>
      </w:r>
      <w:r w:rsidR="002978C0">
        <w:rPr>
          <w:rFonts w:eastAsiaTheme="minorEastAsia"/>
        </w:rPr>
        <w:t xml:space="preserve">will help FNS </w:t>
      </w:r>
      <w:r w:rsidRPr="00AE5F2F" w:rsidR="00F63D02">
        <w:rPr>
          <w:rFonts w:eastAsiaTheme="minorEastAsia"/>
        </w:rPr>
        <w:t>understand</w:t>
      </w:r>
      <w:r w:rsidR="002978C0">
        <w:rPr>
          <w:rFonts w:eastAsiaTheme="minorEastAsia"/>
        </w:rPr>
        <w:t xml:space="preserve"> </w:t>
      </w:r>
      <w:r w:rsidRPr="00AE5F2F" w:rsidR="00F63D02">
        <w:rPr>
          <w:rFonts w:eastAsiaTheme="minorEastAsia"/>
        </w:rPr>
        <w:t xml:space="preserve">how Summer </w:t>
      </w:r>
      <w:r w:rsidRPr="00405336" w:rsidR="00F63D02">
        <w:rPr>
          <w:rFonts w:eastAsiaTheme="minorEastAsia"/>
        </w:rPr>
        <w:t xml:space="preserve">EBT </w:t>
      </w:r>
      <w:r w:rsidRPr="00405336" w:rsidR="00405336">
        <w:rPr>
          <w:rFonts w:eastAsiaTheme="minorEastAsia"/>
        </w:rPr>
        <w:t>project</w:t>
      </w:r>
      <w:r w:rsidRPr="00405336" w:rsidR="00B83CC5">
        <w:rPr>
          <w:rFonts w:eastAsiaTheme="minorEastAsia"/>
        </w:rPr>
        <w:t xml:space="preserve">s </w:t>
      </w:r>
      <w:r w:rsidRPr="00405336" w:rsidR="00F63D02">
        <w:rPr>
          <w:rFonts w:eastAsiaTheme="minorEastAsia"/>
        </w:rPr>
        <w:t>can be implemented in new and varying settings. For example, this evaluation will</w:t>
      </w:r>
      <w:r w:rsidRPr="00AE5F2F" w:rsidR="00F63D02">
        <w:rPr>
          <w:rFonts w:eastAsiaTheme="minorEastAsia"/>
        </w:rPr>
        <w:t xml:space="preserve"> </w:t>
      </w:r>
      <w:r w:rsidR="002978C0">
        <w:rPr>
          <w:rFonts w:eastAsiaTheme="minorEastAsia"/>
        </w:rPr>
        <w:t>describe</w:t>
      </w:r>
      <w:r w:rsidRPr="00AE5F2F" w:rsidR="00F63D02">
        <w:rPr>
          <w:rFonts w:eastAsiaTheme="minorEastAsia"/>
        </w:rPr>
        <w:t xml:space="preserve"> the dynamics of </w:t>
      </w:r>
      <w:r w:rsidR="00B83CC5">
        <w:rPr>
          <w:rFonts w:eastAsiaTheme="minorEastAsia"/>
        </w:rPr>
        <w:t>Summer EBT</w:t>
      </w:r>
      <w:r w:rsidRPr="00AE5F2F" w:rsidR="00B83CC5">
        <w:rPr>
          <w:rFonts w:eastAsiaTheme="minorEastAsia"/>
        </w:rPr>
        <w:t xml:space="preserve"> </w:t>
      </w:r>
      <w:r w:rsidRPr="00AE5F2F" w:rsidR="00F63D02">
        <w:rPr>
          <w:rFonts w:eastAsiaTheme="minorEastAsia"/>
        </w:rPr>
        <w:t xml:space="preserve">implementation as agencies expand the geographic scope of their service areas. Other findings will document start-up and implementation </w:t>
      </w:r>
      <w:r w:rsidR="002978C0">
        <w:rPr>
          <w:rFonts w:eastAsiaTheme="minorEastAsia"/>
        </w:rPr>
        <w:t xml:space="preserve">processes </w:t>
      </w:r>
      <w:r w:rsidRPr="00AE5F2F" w:rsidR="00F63D02">
        <w:rPr>
          <w:rFonts w:eastAsiaTheme="minorEastAsia"/>
        </w:rPr>
        <w:t xml:space="preserve">among agencies </w:t>
      </w:r>
      <w:r w:rsidR="003772B0">
        <w:rPr>
          <w:rFonts w:eastAsiaTheme="minorEastAsia"/>
        </w:rPr>
        <w:t>w</w:t>
      </w:r>
      <w:r w:rsidRPr="003772B0" w:rsidR="003772B0">
        <w:rPr>
          <w:rFonts w:eastAsiaTheme="minorEastAsia"/>
        </w:rPr>
        <w:t>ithout p</w:t>
      </w:r>
      <w:r w:rsidR="00D246B6">
        <w:rPr>
          <w:rFonts w:eastAsiaTheme="minorEastAsia"/>
        </w:rPr>
        <w:t>rior experience implementing S</w:t>
      </w:r>
      <w:r w:rsidRPr="003772B0" w:rsidR="003772B0">
        <w:rPr>
          <w:rFonts w:eastAsiaTheme="minorEastAsia"/>
        </w:rPr>
        <w:t>ummer EBT</w:t>
      </w:r>
      <w:r w:rsidRPr="00AE5F2F" w:rsidR="00F63D02">
        <w:rPr>
          <w:rFonts w:eastAsiaTheme="minorEastAsia"/>
        </w:rPr>
        <w:t xml:space="preserve">.   </w:t>
      </w:r>
    </w:p>
    <w:p w:rsidR="00BC0CDF" w:rsidP="0044216D" w:rsidRDefault="00BC0CDF" w14:paraId="36A38F36" w14:textId="77777777">
      <w:pPr>
        <w:pStyle w:val="BodyText"/>
        <w:rPr>
          <w:rFonts w:eastAsiaTheme="minorEastAsia"/>
        </w:rPr>
      </w:pPr>
    </w:p>
    <w:p w:rsidR="003F0B5E" w:rsidP="0044216D" w:rsidRDefault="00402860" w14:paraId="3BB9EBCD" w14:textId="7D2DA8F0">
      <w:pPr>
        <w:pStyle w:val="BodyText"/>
        <w:rPr>
          <w:rFonts w:eastAsiaTheme="minorEastAsia"/>
        </w:rPr>
      </w:pPr>
      <w:r>
        <w:rPr>
          <w:rFonts w:eastAsiaTheme="minorEastAsia"/>
        </w:rPr>
        <w:t xml:space="preserve">To obtain information from grantees, retailers, SFAs and participants while the project is active, FNS aims to conduct annual in-person primary data collection (interviews and focus groups) during the summer months (July and August). </w:t>
      </w:r>
      <w:r w:rsidR="007F6088">
        <w:rPr>
          <w:rFonts w:eastAsiaTheme="minorEastAsia"/>
        </w:rPr>
        <w:t xml:space="preserve">To achieve </w:t>
      </w:r>
      <w:r>
        <w:rPr>
          <w:rFonts w:eastAsiaTheme="minorEastAsia"/>
        </w:rPr>
        <w:t>this</w:t>
      </w:r>
      <w:r w:rsidR="007F6088">
        <w:rPr>
          <w:rFonts w:eastAsiaTheme="minorEastAsia"/>
        </w:rPr>
        <w:t xml:space="preserve">, the study team must begin respondent recruitment in late spring/early summer </w:t>
      </w:r>
      <w:r w:rsidR="004F4BE7">
        <w:rPr>
          <w:rFonts w:eastAsiaTheme="minorEastAsia"/>
        </w:rPr>
        <w:t xml:space="preserve">2020 </w:t>
      </w:r>
      <w:r w:rsidR="007F6088">
        <w:rPr>
          <w:rFonts w:eastAsiaTheme="minorEastAsia"/>
        </w:rPr>
        <w:t>to be able to recruit active parents/caregivers of</w:t>
      </w:r>
      <w:r w:rsidR="001117A9">
        <w:rPr>
          <w:rFonts w:eastAsiaTheme="minorEastAsia"/>
        </w:rPr>
        <w:t xml:space="preserve"> </w:t>
      </w:r>
      <w:r w:rsidR="007F6088">
        <w:rPr>
          <w:rFonts w:eastAsiaTheme="minorEastAsia"/>
        </w:rPr>
        <w:t>children</w:t>
      </w:r>
      <w:r>
        <w:rPr>
          <w:rFonts w:eastAsiaTheme="minorEastAsia"/>
        </w:rPr>
        <w:t xml:space="preserve"> for focus group participation</w:t>
      </w:r>
      <w:r w:rsidR="007F6088">
        <w:rPr>
          <w:rFonts w:eastAsiaTheme="minorEastAsia"/>
        </w:rPr>
        <w:t>.</w:t>
      </w:r>
      <w:r w:rsidR="003F0B5E">
        <w:rPr>
          <w:rFonts w:eastAsiaTheme="minorEastAsia"/>
        </w:rPr>
        <w:t xml:space="preserve">  Conducting data collection while the </w:t>
      </w:r>
      <w:r w:rsidR="00D246B6">
        <w:rPr>
          <w:rFonts w:eastAsiaTheme="minorEastAsia"/>
        </w:rPr>
        <w:t>project</w:t>
      </w:r>
      <w:r w:rsidR="003F0B5E">
        <w:rPr>
          <w:rFonts w:eastAsiaTheme="minorEastAsia"/>
        </w:rPr>
        <w:t xml:space="preserve"> is active is essential for the success of the evaluation; respondents and participants will be able to provide better, more accurate information </w:t>
      </w:r>
      <w:r w:rsidR="007F6088">
        <w:rPr>
          <w:rFonts w:eastAsiaTheme="minorEastAsia"/>
        </w:rPr>
        <w:t xml:space="preserve">regarding </w:t>
      </w:r>
      <w:r w:rsidR="00B35F56">
        <w:rPr>
          <w:rFonts w:eastAsiaTheme="minorEastAsia"/>
        </w:rPr>
        <w:t>successes, challenges</w:t>
      </w:r>
      <w:r w:rsidR="007F6088">
        <w:rPr>
          <w:rFonts w:eastAsiaTheme="minorEastAsia"/>
        </w:rPr>
        <w:t>,</w:t>
      </w:r>
      <w:r w:rsidR="00B35F56">
        <w:rPr>
          <w:rFonts w:eastAsiaTheme="minorEastAsia"/>
        </w:rPr>
        <w:t xml:space="preserve"> and</w:t>
      </w:r>
      <w:r w:rsidR="003F0B5E">
        <w:rPr>
          <w:rFonts w:eastAsiaTheme="minorEastAsia"/>
        </w:rPr>
        <w:t xml:space="preserve"> desired </w:t>
      </w:r>
      <w:r w:rsidR="00D246B6">
        <w:rPr>
          <w:rFonts w:eastAsiaTheme="minorEastAsia"/>
        </w:rPr>
        <w:t>project</w:t>
      </w:r>
      <w:r w:rsidR="003F0B5E">
        <w:rPr>
          <w:rFonts w:eastAsiaTheme="minorEastAsia"/>
        </w:rPr>
        <w:t xml:space="preserve"> changes or improvements, while the </w:t>
      </w:r>
      <w:r w:rsidR="00D246B6">
        <w:rPr>
          <w:rFonts w:eastAsiaTheme="minorEastAsia"/>
        </w:rPr>
        <w:t>project</w:t>
      </w:r>
      <w:r w:rsidR="00246DC0">
        <w:rPr>
          <w:rFonts w:eastAsiaTheme="minorEastAsia"/>
        </w:rPr>
        <w:t xml:space="preserve"> is operational</w:t>
      </w:r>
      <w:r w:rsidR="003F0B5E">
        <w:rPr>
          <w:rFonts w:eastAsiaTheme="minorEastAsia"/>
        </w:rPr>
        <w:t xml:space="preserve">.  </w:t>
      </w:r>
    </w:p>
    <w:p w:rsidR="003F0B5E" w:rsidP="0044216D" w:rsidRDefault="003F0B5E" w14:paraId="6697E180" w14:textId="77777777">
      <w:pPr>
        <w:pStyle w:val="BodyText"/>
        <w:rPr>
          <w:rFonts w:eastAsiaTheme="minorEastAsia"/>
        </w:rPr>
      </w:pPr>
    </w:p>
    <w:p w:rsidRPr="0044216D" w:rsidR="00F63D02" w:rsidP="0044216D" w:rsidRDefault="00F63D02" w14:paraId="6BB2D705" w14:textId="77777777">
      <w:pPr>
        <w:pStyle w:val="BodyText"/>
        <w:rPr>
          <w:bCs/>
          <w:u w:val="single"/>
        </w:rPr>
      </w:pPr>
      <w:r w:rsidRPr="0044216D">
        <w:rPr>
          <w:u w:val="single"/>
        </w:rPr>
        <w:t>Methodology/Research Design</w:t>
      </w:r>
    </w:p>
    <w:p w:rsidR="006B70EF" w:rsidP="006B70EF" w:rsidRDefault="00F63D02" w14:paraId="340663B3" w14:textId="471BFA39">
      <w:pPr>
        <w:pStyle w:val="BodyText"/>
        <w:rPr>
          <w:rFonts w:eastAsiaTheme="minorEastAsia"/>
        </w:rPr>
      </w:pPr>
      <w:r w:rsidRPr="00AE5F2F">
        <w:t xml:space="preserve">Site visits will be conducted each summer to </w:t>
      </w:r>
      <w:r w:rsidR="00450B09">
        <w:t>three</w:t>
      </w:r>
      <w:r w:rsidRPr="00AE5F2F">
        <w:t xml:space="preserve"> grantees for the first year of data collection (2020)</w:t>
      </w:r>
      <w:r w:rsidR="00450B09">
        <w:t>, to all four grantees for the second year of data collection (2021)</w:t>
      </w:r>
      <w:r w:rsidRPr="00AE5F2F">
        <w:t xml:space="preserve"> and to two grantees in the final year (2022). </w:t>
      </w:r>
      <w:r w:rsidR="006B70EF">
        <w:rPr>
          <w:rFonts w:eastAsiaTheme="minorEastAsia"/>
        </w:rPr>
        <w:t xml:space="preserve">Wisconsin declined to participate in Summer EBT for the summer of 2020, so the study team will not collect data from retailers, schools or participants from Wisconsin for 2020.  The team will conduct a shortened grantee interview with Wisconsin to capture lessons learned and challenges from preparing to implement Summer EBT for the first time.  </w:t>
      </w:r>
    </w:p>
    <w:p w:rsidR="00A84CB5" w:rsidP="0044216D" w:rsidRDefault="00A84CB5" w14:paraId="46EFCDC2" w14:textId="1393352E">
      <w:pPr>
        <w:pStyle w:val="BodyText"/>
      </w:pPr>
    </w:p>
    <w:p w:rsidR="004F4BE7" w:rsidP="0044216D" w:rsidRDefault="004F4BE7" w14:paraId="78B55787" w14:textId="77777777">
      <w:pPr>
        <w:pStyle w:val="BodyText"/>
      </w:pPr>
    </w:p>
    <w:p w:rsidRPr="00AE5F2F" w:rsidR="00F63D02" w:rsidP="0044216D" w:rsidRDefault="00F63D02" w14:paraId="5FEBBDE4" w14:textId="77777777">
      <w:pPr>
        <w:pStyle w:val="BodyText"/>
      </w:pPr>
      <w:r w:rsidRPr="00AE5F2F">
        <w:t>Each site visit will include:</w:t>
      </w:r>
      <w:r w:rsidRPr="00AE5F2F">
        <w:rPr>
          <w:bCs/>
        </w:rPr>
        <w:t xml:space="preserve"> </w:t>
      </w:r>
    </w:p>
    <w:p w:rsidRPr="00AE5F2F" w:rsidR="00F63D02" w:rsidP="00F63D02" w:rsidRDefault="00F63D02" w14:paraId="71E0CABD" w14:textId="77777777">
      <w:pPr>
        <w:outlineLvl w:val="0"/>
        <w:rPr>
          <w:rFonts w:asciiTheme="minorHAnsi" w:hAnsiTheme="minorHAnsi" w:cstheme="minorHAnsi"/>
          <w:bCs/>
        </w:rPr>
      </w:pPr>
    </w:p>
    <w:p w:rsidR="007021A6" w:rsidP="0046016E" w:rsidRDefault="00F63D02" w14:paraId="57CE989D" w14:textId="7D4F6E9D">
      <w:pPr>
        <w:pStyle w:val="Bullets"/>
      </w:pPr>
      <w:r w:rsidRPr="00AE5F2F">
        <w:rPr>
          <w:i/>
        </w:rPr>
        <w:t>Semi-Structured Interviews</w:t>
      </w:r>
      <w:r w:rsidR="007021A6">
        <w:rPr>
          <w:i/>
        </w:rPr>
        <w:t xml:space="preserve"> with Key Grantee Staff</w:t>
      </w:r>
      <w:r w:rsidR="0091546A">
        <w:rPr>
          <w:i/>
        </w:rPr>
        <w:t xml:space="preserve"> (</w:t>
      </w:r>
      <w:r w:rsidRPr="008F198D" w:rsidR="0091546A">
        <w:rPr>
          <w:i/>
        </w:rPr>
        <w:t>Attachment</w:t>
      </w:r>
      <w:r w:rsidRPr="008F198D" w:rsidR="00450B09">
        <w:rPr>
          <w:i/>
        </w:rPr>
        <w:t>s</w:t>
      </w:r>
      <w:r w:rsidRPr="008F198D" w:rsidR="0091546A">
        <w:rPr>
          <w:i/>
        </w:rPr>
        <w:t xml:space="preserve"> </w:t>
      </w:r>
      <w:r w:rsidRPr="008F198D" w:rsidR="00F23D14">
        <w:rPr>
          <w:i/>
        </w:rPr>
        <w:t>B</w:t>
      </w:r>
      <w:r w:rsidRPr="008F198D" w:rsidR="00450B09">
        <w:rPr>
          <w:i/>
        </w:rPr>
        <w:t>.1 and B.2</w:t>
      </w:r>
      <w:r w:rsidR="0091546A">
        <w:rPr>
          <w:i/>
        </w:rPr>
        <w:t>)</w:t>
      </w:r>
      <w:r w:rsidRPr="00AE5F2F">
        <w:t xml:space="preserve">. For each site visit, the study team will conduct one </w:t>
      </w:r>
      <w:r w:rsidR="00740D2E">
        <w:t xml:space="preserve">interview with key grantee staff. </w:t>
      </w:r>
      <w:r w:rsidRPr="00AE5F2F">
        <w:t xml:space="preserve">The </w:t>
      </w:r>
      <w:r w:rsidR="00325C6A">
        <w:t xml:space="preserve">1.5 hour </w:t>
      </w:r>
      <w:r w:rsidRPr="00AE5F2F">
        <w:t xml:space="preserve">protocol </w:t>
      </w:r>
      <w:r w:rsidR="00A84CB5">
        <w:t>include</w:t>
      </w:r>
      <w:r w:rsidR="00EB60E9">
        <w:t>s</w:t>
      </w:r>
      <w:r w:rsidR="00A84CB5">
        <w:t xml:space="preserve"> the following topics</w:t>
      </w:r>
      <w:r w:rsidRPr="00AE5F2F">
        <w:t xml:space="preserve">: background on respondent; implementation processes, challenges, and successes; experience with partnership; allocation of resources; implementation costs; beneficiaries’ use of benefits; </w:t>
      </w:r>
      <w:r w:rsidR="008D3442">
        <w:t xml:space="preserve">and </w:t>
      </w:r>
      <w:r w:rsidRPr="00AE5F2F">
        <w:t xml:space="preserve">risk of benefit issuance errors. </w:t>
      </w:r>
      <w:r w:rsidRPr="000E3DB8" w:rsidR="00450B09">
        <w:t xml:space="preserve">One of the grantees, Wisconsin, will not be participating in Summer EBT in the summer of 2020, but the study team has developed a shortened grantee interview protocol to still capture information from Wisconsin about challenges and  </w:t>
      </w:r>
      <w:r w:rsidRPr="00B27CA9" w:rsidR="00450B09">
        <w:lastRenderedPageBreak/>
        <w:t xml:space="preserve">lessons learned regarding preparation for implementation the summer of 2020. </w:t>
      </w:r>
      <w:r w:rsidRPr="00B27CA9" w:rsidR="00325C6A">
        <w:t xml:space="preserve">The interviews will take place at the </w:t>
      </w:r>
      <w:r w:rsidRPr="00B27CA9" w:rsidR="00740D2E">
        <w:t>interviewees</w:t>
      </w:r>
      <w:r w:rsidRPr="00B27CA9" w:rsidR="00325C6A">
        <w:t xml:space="preserve">’ office. </w:t>
      </w:r>
      <w:r w:rsidRPr="00B27CA9" w:rsidR="004A2B93">
        <w:t xml:space="preserve">Please see </w:t>
      </w:r>
      <w:r w:rsidRPr="00B27CA9" w:rsidR="00C30DC2">
        <w:t>A</w:t>
      </w:r>
      <w:r w:rsidRPr="00B27CA9" w:rsidR="004A2B93">
        <w:t xml:space="preserve">ttachment </w:t>
      </w:r>
      <w:r w:rsidRPr="00B27CA9" w:rsidR="008D3442">
        <w:t>B</w:t>
      </w:r>
      <w:r w:rsidRPr="00B27CA9" w:rsidR="00450B09">
        <w:t>.1</w:t>
      </w:r>
      <w:r w:rsidRPr="00B27CA9" w:rsidR="004A2B93">
        <w:t xml:space="preserve"> for the </w:t>
      </w:r>
      <w:r w:rsidRPr="00B27CA9" w:rsidR="004C4E37">
        <w:t xml:space="preserve">grantee </w:t>
      </w:r>
      <w:r w:rsidRPr="00B27CA9" w:rsidR="004A2B93">
        <w:t>interview protocol</w:t>
      </w:r>
      <w:r w:rsidRPr="00B27CA9" w:rsidR="00450B09">
        <w:t>, Attachment B.2 for the shortened grantee interview protocol</w:t>
      </w:r>
      <w:r w:rsidRPr="00AC38FC" w:rsidR="00450B09">
        <w:t>,</w:t>
      </w:r>
      <w:r w:rsidRPr="00AC38FC" w:rsidR="00453830">
        <w:t xml:space="preserve"> </w:t>
      </w:r>
      <w:r w:rsidRPr="00AC38FC" w:rsidR="004A2B93">
        <w:t xml:space="preserve">and Attachment </w:t>
      </w:r>
      <w:r w:rsidRPr="00AC38FC" w:rsidR="008D3442">
        <w:t>C</w:t>
      </w:r>
      <w:r w:rsidRPr="00AC38FC" w:rsidR="00F23D14">
        <w:t>.1</w:t>
      </w:r>
      <w:r w:rsidRPr="00AC38FC" w:rsidR="004A2B93">
        <w:t xml:space="preserve"> for the </w:t>
      </w:r>
      <w:r w:rsidRPr="00AC38FC" w:rsidR="004C4E37">
        <w:t xml:space="preserve">grantee </w:t>
      </w:r>
      <w:r w:rsidRPr="00AC38FC" w:rsidR="00A6159A">
        <w:t>recruitment</w:t>
      </w:r>
      <w:r w:rsidRPr="00AC38FC" w:rsidR="00F935F1">
        <w:t xml:space="preserve"> letter</w:t>
      </w:r>
      <w:r w:rsidRPr="00AC38FC" w:rsidR="00A6159A">
        <w:t xml:space="preserve">, which </w:t>
      </w:r>
      <w:r w:rsidRPr="00AC38FC" w:rsidR="00F935F1">
        <w:t>requests that, after</w:t>
      </w:r>
      <w:r w:rsidRPr="00AC38FC" w:rsidR="00A6159A">
        <w:t xml:space="preserve"> reading th</w:t>
      </w:r>
      <w:r w:rsidRPr="00AC38FC" w:rsidR="00EA6F51">
        <w:t>is</w:t>
      </w:r>
      <w:r w:rsidRPr="00AC38FC" w:rsidR="00A6159A">
        <w:t xml:space="preserve"> introductory email, </w:t>
      </w:r>
      <w:r w:rsidRPr="00AC38FC" w:rsidR="00F935F1">
        <w:t xml:space="preserve">the grantee will assist with </w:t>
      </w:r>
      <w:r w:rsidRPr="00AC38FC" w:rsidR="00A6159A">
        <w:t>scheduling</w:t>
      </w:r>
      <w:r w:rsidR="00F23259">
        <w:t xml:space="preserve"> and</w:t>
      </w:r>
      <w:r w:rsidR="00C055FC">
        <w:t>,</w:t>
      </w:r>
      <w:r w:rsidR="00A6159A">
        <w:t xml:space="preserve"> </w:t>
      </w:r>
      <w:r w:rsidR="00C055FC">
        <w:t xml:space="preserve"> </w:t>
      </w:r>
      <w:r w:rsidR="00A6159A">
        <w:t>providing recommendations for SFAs and retailers, and connecting the study team with SFAs and retailers.</w:t>
      </w:r>
      <w:r w:rsidR="004A2B93">
        <w:t xml:space="preserve"> </w:t>
      </w:r>
      <w:r w:rsidR="003F5CF5">
        <w:t xml:space="preserve">We have included the 2 hours of burden under </w:t>
      </w:r>
      <w:r w:rsidR="008D3442">
        <w:t>A</w:t>
      </w:r>
      <w:r w:rsidR="003F5CF5">
        <w:t xml:space="preserve">ttachment </w:t>
      </w:r>
      <w:r w:rsidR="008D3442">
        <w:t>C</w:t>
      </w:r>
      <w:r w:rsidR="00F23D14">
        <w:t>.1</w:t>
      </w:r>
      <w:r w:rsidR="003F5CF5">
        <w:t xml:space="preserve"> to account for all of the activities related to this</w:t>
      </w:r>
      <w:r w:rsidR="008D3442">
        <w:t xml:space="preserve"> interview and assume that this communication work will be done via email</w:t>
      </w:r>
      <w:r w:rsidR="00F23D14">
        <w:t>. We have also include</w:t>
      </w:r>
      <w:r w:rsidR="00171829">
        <w:t>d</w:t>
      </w:r>
      <w:r w:rsidR="00F23D14">
        <w:t xml:space="preserve"> C.2, which is a confirmation email from the study team to confirm the date, time and location of the interview. </w:t>
      </w:r>
    </w:p>
    <w:p w:rsidR="007021A6" w:rsidP="0046016E" w:rsidRDefault="007021A6" w14:paraId="2BC1A4DD" w14:textId="77777777">
      <w:pPr>
        <w:pStyle w:val="BodyText"/>
      </w:pPr>
    </w:p>
    <w:p w:rsidR="00F63D02" w:rsidP="0046016E" w:rsidRDefault="007021A6" w14:paraId="3EDE865B" w14:textId="511B0A4B">
      <w:pPr>
        <w:pStyle w:val="BodyTextIndent"/>
      </w:pPr>
      <w:r w:rsidRPr="00B175DE">
        <w:t>The study team expects that</w:t>
      </w:r>
      <w:r w:rsidRPr="00D532A3">
        <w:t xml:space="preserve"> all grantee staff approached about the study will agree to participate because the </w:t>
      </w:r>
      <w:r w:rsidR="00ED13DA">
        <w:t>Request for Applications (</w:t>
      </w:r>
      <w:r w:rsidRPr="0046016E">
        <w:t>RFA</w:t>
      </w:r>
      <w:r w:rsidR="00ED13DA">
        <w:t>)</w:t>
      </w:r>
      <w:r w:rsidRPr="00D532A3">
        <w:t xml:space="preserve"> for the </w:t>
      </w:r>
      <w:r w:rsidRPr="00D532A3" w:rsidR="00D532A3">
        <w:t xml:space="preserve">FY 2019 Summer Electronic Benefits Transfer (EBT) Demonstrations </w:t>
      </w:r>
      <w:r w:rsidR="00B83CC5">
        <w:t>(</w:t>
      </w:r>
      <w:r w:rsidRPr="00D532A3">
        <w:t>CFDA 10.59</w:t>
      </w:r>
      <w:r w:rsidR="00B83CC5">
        <w:t>)</w:t>
      </w:r>
      <w:r w:rsidRPr="00D532A3">
        <w:t xml:space="preserve"> established that all grantees </w:t>
      </w:r>
      <w:r w:rsidRPr="00D532A3" w:rsidR="00F463DB">
        <w:t>sh</w:t>
      </w:r>
      <w:r w:rsidR="00F463DB">
        <w:t>all</w:t>
      </w:r>
      <w:r w:rsidRPr="00D532A3" w:rsidR="00F463DB">
        <w:t xml:space="preserve"> </w:t>
      </w:r>
      <w:r w:rsidRPr="00D532A3">
        <w:t>participate in any evaluation i</w:t>
      </w:r>
      <w:r w:rsidRPr="00D532A3" w:rsidR="00D532A3">
        <w:t>nitiated by the department</w:t>
      </w:r>
      <w:r w:rsidRPr="00D532A3">
        <w:t>.</w:t>
      </w:r>
      <w:r>
        <w:t xml:space="preserve"> </w:t>
      </w:r>
    </w:p>
    <w:p w:rsidR="007021A6" w:rsidP="0046016E" w:rsidRDefault="007021A6" w14:paraId="79D52340" w14:textId="77777777">
      <w:pPr>
        <w:pStyle w:val="BodyText"/>
      </w:pPr>
    </w:p>
    <w:p w:rsidRPr="00530C40" w:rsidR="00325C6A" w:rsidP="0046016E" w:rsidRDefault="007021A6" w14:paraId="00B6586C" w14:textId="264014FF">
      <w:pPr>
        <w:pStyle w:val="Bullets"/>
      </w:pPr>
      <w:r w:rsidRPr="00530C40">
        <w:rPr>
          <w:i/>
        </w:rPr>
        <w:t>Semi-Structured Interviews with SFAs</w:t>
      </w:r>
      <w:r w:rsidRPr="00530C40" w:rsidR="0091546A">
        <w:rPr>
          <w:i/>
        </w:rPr>
        <w:t xml:space="preserve"> (Attachment </w:t>
      </w:r>
      <w:r w:rsidRPr="00453830" w:rsidR="00CC3418">
        <w:rPr>
          <w:i/>
        </w:rPr>
        <w:t>D</w:t>
      </w:r>
      <w:r w:rsidRPr="00530C40" w:rsidR="0091546A">
        <w:rPr>
          <w:i/>
        </w:rPr>
        <w:t>)</w:t>
      </w:r>
      <w:r w:rsidRPr="00530C40" w:rsidR="00325C6A">
        <w:rPr>
          <w:i/>
        </w:rPr>
        <w:t>.</w:t>
      </w:r>
      <w:r w:rsidRPr="00530C40">
        <w:t xml:space="preserve"> </w:t>
      </w:r>
      <w:r w:rsidRPr="00530C40" w:rsidR="00325C6A">
        <w:t>Each site visit</w:t>
      </w:r>
      <w:r w:rsidRPr="00530C40" w:rsidR="003A70B1">
        <w:t xml:space="preserve"> </w:t>
      </w:r>
      <w:r w:rsidRPr="00530C40" w:rsidR="00325C6A">
        <w:t xml:space="preserve">will include </w:t>
      </w:r>
      <w:r w:rsidRPr="00530C40" w:rsidR="000368A4">
        <w:t xml:space="preserve">hour-long </w:t>
      </w:r>
      <w:r w:rsidRPr="00530C40" w:rsidR="00325C6A">
        <w:t>interviews with</w:t>
      </w:r>
      <w:r w:rsidRPr="00530C40" w:rsidR="001625E1">
        <w:t xml:space="preserve"> representatives from</w:t>
      </w:r>
      <w:r w:rsidRPr="00530C40" w:rsidR="00325C6A">
        <w:t xml:space="preserve"> </w:t>
      </w:r>
      <w:r w:rsidRPr="00530C40" w:rsidR="000368A4">
        <w:t xml:space="preserve">two </w:t>
      </w:r>
      <w:r w:rsidRPr="00530C40" w:rsidR="00325C6A">
        <w:t>SFAs. SFAs</w:t>
      </w:r>
      <w:r w:rsidRPr="00530C40" w:rsidR="00A84CB5">
        <w:t xml:space="preserve"> will be selected based on</w:t>
      </w:r>
      <w:r w:rsidRPr="00530C40" w:rsidR="00325C6A">
        <w:t xml:space="preserve"> grantee input</w:t>
      </w:r>
      <w:r w:rsidRPr="00530C40" w:rsidR="00A84CB5">
        <w:t xml:space="preserve">, with the aim of including </w:t>
      </w:r>
      <w:r w:rsidRPr="00530C40" w:rsidR="00B22CF7">
        <w:t>one</w:t>
      </w:r>
      <w:r w:rsidRPr="00530C40" w:rsidR="00325C6A">
        <w:t xml:space="preserve"> urban and one rural (or one large and on</w:t>
      </w:r>
      <w:r w:rsidRPr="00530C40" w:rsidR="00B22CF7">
        <w:t>e small) community</w:t>
      </w:r>
      <w:r w:rsidRPr="00530C40" w:rsidR="00325C6A">
        <w:t xml:space="preserve"> </w:t>
      </w:r>
      <w:r w:rsidRPr="00530C40" w:rsidR="00A84CB5">
        <w:t>per</w:t>
      </w:r>
      <w:r w:rsidRPr="00530C40" w:rsidR="00325C6A">
        <w:t xml:space="preserve"> grantee.  </w:t>
      </w:r>
      <w:r w:rsidRPr="00530C40" w:rsidR="00C54EF6">
        <w:t xml:space="preserve">A lead staff member involved in implementing Summer EBT at each SFA </w:t>
      </w:r>
      <w:r w:rsidRPr="00530C40" w:rsidR="00325C6A">
        <w:t xml:space="preserve">will be asked about their experiences with the Summer EBT </w:t>
      </w:r>
      <w:r w:rsidRPr="00530C40" w:rsidR="00D246B6">
        <w:t>project</w:t>
      </w:r>
      <w:r w:rsidRPr="00530C40" w:rsidR="00325C6A">
        <w:t xml:space="preserve"> and its implementation proces</w:t>
      </w:r>
      <w:r w:rsidRPr="00530C40" w:rsidR="00740D2E">
        <w:t xml:space="preserve">ses, challenges, and successes. </w:t>
      </w:r>
      <w:r w:rsidRPr="00530C40" w:rsidR="003A70B1">
        <w:t>The study team expects to travel to each SFA’s office to conduct the interview in-person.</w:t>
      </w:r>
      <w:r w:rsidRPr="00530C40" w:rsidR="00B22CF7">
        <w:t xml:space="preserve"> </w:t>
      </w:r>
      <w:r w:rsidRPr="00530C40" w:rsidR="004A2B93">
        <w:t xml:space="preserve">Please see </w:t>
      </w:r>
      <w:r w:rsidRPr="00530C40" w:rsidR="00C30DC2">
        <w:t>A</w:t>
      </w:r>
      <w:r w:rsidRPr="00530C40" w:rsidR="004A2B93">
        <w:t xml:space="preserve">ttachment </w:t>
      </w:r>
      <w:r w:rsidRPr="00453830" w:rsidR="00CC3418">
        <w:t>D</w:t>
      </w:r>
      <w:r w:rsidRPr="00530C40" w:rsidR="004A2B93">
        <w:t xml:space="preserve"> for the complete protocol. </w:t>
      </w:r>
    </w:p>
    <w:p w:rsidRPr="00530C40" w:rsidR="00325C6A" w:rsidP="0046016E" w:rsidRDefault="00325C6A" w14:paraId="6E6AD89C" w14:textId="77777777">
      <w:pPr>
        <w:pStyle w:val="BodyText"/>
      </w:pPr>
    </w:p>
    <w:p w:rsidR="00424CFD" w:rsidP="0046016E" w:rsidRDefault="00325C6A" w14:paraId="590E969E" w14:textId="037230BD">
      <w:pPr>
        <w:pStyle w:val="BodyTextIndent"/>
      </w:pPr>
      <w:r w:rsidRPr="00530C40">
        <w:t>Given SFAs</w:t>
      </w:r>
      <w:r w:rsidRPr="00530C40" w:rsidR="00A84CB5">
        <w:t>’</w:t>
      </w:r>
      <w:r w:rsidRPr="00530C40">
        <w:t xml:space="preserve"> prior relationships with grantees and the fact that they are purposefully selected, we expect that all SFAs approached about the study will participate in interviews.  The study team has also developed </w:t>
      </w:r>
      <w:r w:rsidRPr="00530C40" w:rsidR="00EB60E9">
        <w:t>email correspondence</w:t>
      </w:r>
      <w:r w:rsidRPr="00530C40">
        <w:t xml:space="preserve"> </w:t>
      </w:r>
      <w:r w:rsidRPr="00530C40" w:rsidR="001625E1">
        <w:t>for</w:t>
      </w:r>
      <w:r w:rsidRPr="00530C40">
        <w:t xml:space="preserve"> the grantee</w:t>
      </w:r>
      <w:r w:rsidRPr="00530C40" w:rsidR="001625E1">
        <w:t xml:space="preserve"> to</w:t>
      </w:r>
      <w:r w:rsidRPr="00530C40">
        <w:t xml:space="preserve"> introduce the study team to their SFA contacts</w:t>
      </w:r>
      <w:r w:rsidRPr="00530C40" w:rsidR="00F61758">
        <w:t xml:space="preserve"> (</w:t>
      </w:r>
      <w:r w:rsidRPr="00530C40" w:rsidR="0091546A">
        <w:t>A</w:t>
      </w:r>
      <w:r w:rsidRPr="00530C40" w:rsidR="00F61758">
        <w:t xml:space="preserve">ttachment </w:t>
      </w:r>
      <w:r w:rsidRPr="00453830" w:rsidR="00F23D14">
        <w:t>E.1</w:t>
      </w:r>
      <w:r w:rsidRPr="00530C40" w:rsidR="00F61758">
        <w:t>)</w:t>
      </w:r>
      <w:r w:rsidRPr="00530C40">
        <w:t>, as well as a study team introductory email, recruitment FAQs, and study overview sheet</w:t>
      </w:r>
      <w:r w:rsidRPr="00530C40" w:rsidR="00C54EF6">
        <w:t xml:space="preserve"> (</w:t>
      </w:r>
      <w:r w:rsidRPr="00530C40" w:rsidR="0091546A">
        <w:t>A</w:t>
      </w:r>
      <w:r w:rsidRPr="00530C40" w:rsidR="004A2B93">
        <w:t xml:space="preserve">ttachment </w:t>
      </w:r>
      <w:r w:rsidRPr="00530C40" w:rsidR="00F61758">
        <w:t>E</w:t>
      </w:r>
      <w:r w:rsidRPr="00530C40" w:rsidR="00F23D14">
        <w:t>.2</w:t>
      </w:r>
      <w:r w:rsidRPr="00530C40" w:rsidR="004A2B93">
        <w:t>)</w:t>
      </w:r>
      <w:r w:rsidRPr="00530C40">
        <w:t>.</w:t>
      </w:r>
      <w:r w:rsidRPr="00530C40" w:rsidR="00A6159A">
        <w:t xml:space="preserve"> </w:t>
      </w:r>
      <w:r w:rsidRPr="00530C40" w:rsidR="0094750B">
        <w:t>The study team will also work with the participating SFAs to identify a lead staff member to serve as the focus</w:t>
      </w:r>
      <w:r w:rsidRPr="003A70B1" w:rsidR="0094750B">
        <w:t xml:space="preserve"> group </w:t>
      </w:r>
      <w:r w:rsidR="0094750B">
        <w:t>liaison</w:t>
      </w:r>
      <w:r w:rsidRPr="003A70B1" w:rsidR="0094750B">
        <w:t xml:space="preserve">. </w:t>
      </w:r>
    </w:p>
    <w:p w:rsidR="00424CFD" w:rsidP="0046016E" w:rsidRDefault="00424CFD" w14:paraId="005FD246" w14:textId="77777777">
      <w:pPr>
        <w:pStyle w:val="BodyTextIndent"/>
      </w:pPr>
    </w:p>
    <w:p w:rsidRPr="00530C40" w:rsidR="007021A6" w:rsidP="0046016E" w:rsidRDefault="0094750B" w14:paraId="1404CD6A" w14:textId="76B9C80A">
      <w:pPr>
        <w:pStyle w:val="BodyTextIndent"/>
      </w:pPr>
      <w:r>
        <w:t xml:space="preserve">The liaison role is described in the recruitment FAQ and includes </w:t>
      </w:r>
      <w:r w:rsidR="001625E1">
        <w:t>recruiting parents of participating children for the focus groups.</w:t>
      </w:r>
      <w:r>
        <w:t xml:space="preserve"> In recognition of the importance</w:t>
      </w:r>
      <w:r w:rsidR="00424CFD">
        <w:t xml:space="preserve"> and breadth</w:t>
      </w:r>
      <w:r>
        <w:t xml:space="preserve"> of the activities carried out by the liaison</w:t>
      </w:r>
      <w:r w:rsidR="001625E1">
        <w:t>, the study team proposes to offer a $</w:t>
      </w:r>
      <w:r w:rsidR="00C54EF6">
        <w:t>2</w:t>
      </w:r>
      <w:r w:rsidR="001625E1">
        <w:t xml:space="preserve">50 honorarium in the form of a </w:t>
      </w:r>
      <w:r w:rsidR="009A60C6">
        <w:t>V</w:t>
      </w:r>
      <w:r w:rsidR="001625E1">
        <w:t>isa gift card, or a donation to the SFA.</w:t>
      </w:r>
      <w:r w:rsidR="00A6159A">
        <w:t xml:space="preserve"> </w:t>
      </w:r>
      <w:r w:rsidR="00424CFD">
        <w:t>C</w:t>
      </w:r>
      <w:r w:rsidRPr="00300A87" w:rsidR="00300A87">
        <w:t>ompleting these study-related responsibilities</w:t>
      </w:r>
      <w:r w:rsidR="00A92D14">
        <w:t xml:space="preserve"> are</w:t>
      </w:r>
      <w:r w:rsidRPr="00300A87" w:rsidR="00300A87">
        <w:t xml:space="preserve"> in addition to normal job </w:t>
      </w:r>
      <w:r w:rsidRPr="00300A87" w:rsidR="00424CFD">
        <w:t xml:space="preserve">responsibilities </w:t>
      </w:r>
      <w:r w:rsidR="00424CFD">
        <w:t>and will</w:t>
      </w:r>
      <w:r w:rsidRPr="00300A87" w:rsidR="00424CFD">
        <w:t xml:space="preserve"> require </w:t>
      </w:r>
      <w:r w:rsidR="00424CFD">
        <w:t xml:space="preserve">up to nine hours of </w:t>
      </w:r>
      <w:r w:rsidRPr="00300A87" w:rsidR="00424CFD">
        <w:t>time outside of normal working hours.</w:t>
      </w:r>
      <w:r w:rsidR="00F23D14">
        <w:t xml:space="preserve"> Please see details regarding the honorarium amount in </w:t>
      </w:r>
      <w:r w:rsidR="00CE6429">
        <w:t xml:space="preserve">the </w:t>
      </w:r>
      <w:r w:rsidR="00F23D14">
        <w:t>section on incentives.</w:t>
      </w:r>
      <w:r w:rsidRPr="00300A87" w:rsidR="00300A87">
        <w:t xml:space="preserve"> </w:t>
      </w:r>
      <w:r w:rsidR="00A92D14">
        <w:t>T</w:t>
      </w:r>
      <w:r w:rsidR="00A6159A">
        <w:t xml:space="preserve">he </w:t>
      </w:r>
      <w:r w:rsidR="00DF2518">
        <w:t xml:space="preserve">estimated </w:t>
      </w:r>
      <w:r w:rsidR="00424CFD">
        <w:t>nine</w:t>
      </w:r>
      <w:r w:rsidR="00DF2518">
        <w:t xml:space="preserve"> hours of </w:t>
      </w:r>
      <w:r w:rsidR="00A6159A">
        <w:t xml:space="preserve">burden associated </w:t>
      </w:r>
      <w:r w:rsidRPr="00530C40" w:rsidR="00A6159A">
        <w:t xml:space="preserve">with this assistance </w:t>
      </w:r>
      <w:r w:rsidRPr="00530C40" w:rsidR="00A92D14">
        <w:t xml:space="preserve">is noted </w:t>
      </w:r>
      <w:r w:rsidRPr="00530C40" w:rsidR="00A6159A">
        <w:t xml:space="preserve">in </w:t>
      </w:r>
      <w:r w:rsidRPr="00530C40" w:rsidR="0091546A">
        <w:t>A</w:t>
      </w:r>
      <w:r w:rsidRPr="00530C40" w:rsidR="00A6159A">
        <w:t xml:space="preserve">ttachment </w:t>
      </w:r>
      <w:r w:rsidRPr="00530C40" w:rsidR="00F61758">
        <w:t>E</w:t>
      </w:r>
      <w:r w:rsidRPr="009718AE" w:rsidR="00F23D14">
        <w:t>.2</w:t>
      </w:r>
      <w:r w:rsidRPr="00530C40" w:rsidR="00F23D14">
        <w:t>. We have also included</w:t>
      </w:r>
      <w:r w:rsidR="006A04AD">
        <w:t xml:space="preserve"> a</w:t>
      </w:r>
      <w:r w:rsidRPr="00530C40" w:rsidR="00F23D14">
        <w:t xml:space="preserve"> recruitment FAQ sheet for SFAs (Attachment E.3); </w:t>
      </w:r>
      <w:r w:rsidR="006A04AD">
        <w:t xml:space="preserve">a </w:t>
      </w:r>
      <w:r w:rsidRPr="00530C40" w:rsidR="00F23D14">
        <w:t xml:space="preserve">study overview sheet (E.4); a telephone </w:t>
      </w:r>
      <w:r w:rsidRPr="00530C40" w:rsidR="00F23D14">
        <w:lastRenderedPageBreak/>
        <w:t>script</w:t>
      </w:r>
      <w:r w:rsidR="009A60C6">
        <w:t>,</w:t>
      </w:r>
      <w:r w:rsidRPr="00530C40" w:rsidR="00F23D14">
        <w:t xml:space="preserve"> if needed</w:t>
      </w:r>
      <w:r w:rsidR="009A60C6">
        <w:t>,</w:t>
      </w:r>
      <w:r w:rsidRPr="00530C40" w:rsidR="00F23D14">
        <w:t xml:space="preserve"> for follow-up by the study team (E.5); and an email confirmation template that outlines the time, date, and location of the interview (E.6).</w:t>
      </w:r>
      <w:r w:rsidRPr="00530C40" w:rsidR="00836387">
        <w:t xml:space="preserve"> </w:t>
      </w:r>
    </w:p>
    <w:p w:rsidRPr="00530C40" w:rsidR="00F63D02" w:rsidP="0046016E" w:rsidRDefault="00F63D02" w14:paraId="17491A60" w14:textId="77777777">
      <w:pPr>
        <w:pStyle w:val="BodyText"/>
      </w:pPr>
    </w:p>
    <w:p w:rsidR="00F63D02" w:rsidP="0046016E" w:rsidRDefault="00F63D02" w14:paraId="6A85978F" w14:textId="41ECA35A">
      <w:pPr>
        <w:pStyle w:val="Bullets"/>
      </w:pPr>
      <w:r w:rsidRPr="00530C40">
        <w:rPr>
          <w:i/>
        </w:rPr>
        <w:t>Focus groups with parents/caregivers</w:t>
      </w:r>
      <w:r w:rsidRPr="00530C40" w:rsidR="00A92D14">
        <w:rPr>
          <w:i/>
        </w:rPr>
        <w:t xml:space="preserve"> (Attachment F)</w:t>
      </w:r>
      <w:r w:rsidRPr="00530C40">
        <w:rPr>
          <w:i/>
        </w:rPr>
        <w:t>.</w:t>
      </w:r>
      <w:r w:rsidRPr="00530C40">
        <w:t xml:space="preserve"> T</w:t>
      </w:r>
      <w:r w:rsidRPr="00530C40" w:rsidR="00740D2E">
        <w:t xml:space="preserve">he study team will conduct four </w:t>
      </w:r>
      <w:r w:rsidRPr="00530C40">
        <w:t>focus groups per site visit with parents/caregivers of children</w:t>
      </w:r>
      <w:r w:rsidRPr="00530C40" w:rsidR="003A70B1">
        <w:t xml:space="preserve"> </w:t>
      </w:r>
      <w:r w:rsidRPr="00530C40" w:rsidR="00A84CB5">
        <w:t xml:space="preserve">who are participating </w:t>
      </w:r>
      <w:r w:rsidRPr="00530C40" w:rsidR="003A70B1">
        <w:t>in</w:t>
      </w:r>
      <w:r w:rsidR="003A70B1">
        <w:t xml:space="preserve"> the Summer EBT </w:t>
      </w:r>
      <w:r w:rsidR="00D246B6">
        <w:t>project</w:t>
      </w:r>
      <w:r w:rsidR="003A70B1">
        <w:t xml:space="preserve"> </w:t>
      </w:r>
      <w:r w:rsidR="00A84CB5">
        <w:t xml:space="preserve">implemented by </w:t>
      </w:r>
      <w:r w:rsidR="003A70B1">
        <w:t>the four grantees</w:t>
      </w:r>
      <w:r w:rsidRPr="00AE5F2F">
        <w:t xml:space="preserve">. Focus group protocols will ask participants about their perceptions of and experience with the </w:t>
      </w:r>
      <w:r w:rsidR="00D246B6">
        <w:t>project</w:t>
      </w:r>
      <w:r w:rsidRPr="00AE5F2F">
        <w:t>; support for participants; benefit use</w:t>
      </w:r>
      <w:r w:rsidR="00993917">
        <w:t>; and recommendations</w:t>
      </w:r>
      <w:r w:rsidR="00CC3418">
        <w:t xml:space="preserve"> for future changes</w:t>
      </w:r>
      <w:r w:rsidRPr="00AE5F2F">
        <w:t xml:space="preserve">. </w:t>
      </w:r>
      <w:r w:rsidRPr="003A70B1" w:rsidR="003A70B1">
        <w:t xml:space="preserve">The proposed parent/caregiver focus groups will last </w:t>
      </w:r>
      <w:r w:rsidR="00B22CF7">
        <w:t>one hour</w:t>
      </w:r>
      <w:r w:rsidR="00A84CB5">
        <w:t xml:space="preserve"> and </w:t>
      </w:r>
      <w:r w:rsidR="006A04AD">
        <w:t xml:space="preserve">will </w:t>
      </w:r>
      <w:r w:rsidR="00A84CB5">
        <w:t xml:space="preserve">be </w:t>
      </w:r>
      <w:r w:rsidRPr="003A70B1" w:rsidR="003A70B1">
        <w:t>held within the school district area where participant children attend school.</w:t>
      </w:r>
      <w:r w:rsidRPr="00AE5F2F">
        <w:t xml:space="preserve"> </w:t>
      </w:r>
      <w:r w:rsidR="004A2B93">
        <w:t xml:space="preserve">Please see </w:t>
      </w:r>
      <w:r w:rsidR="00030136">
        <w:t>Attachment F</w:t>
      </w:r>
      <w:r w:rsidR="009C154E">
        <w:t>.3</w:t>
      </w:r>
      <w:r w:rsidR="004A2B93">
        <w:t xml:space="preserve"> for the complete </w:t>
      </w:r>
      <w:r w:rsidR="009C154E">
        <w:t xml:space="preserve">protocol. </w:t>
      </w:r>
      <w:r w:rsidR="00F61758">
        <w:t xml:space="preserve"> </w:t>
      </w:r>
      <w:r w:rsidR="009C154E">
        <w:t xml:space="preserve">We have also included F.1, </w:t>
      </w:r>
      <w:r w:rsidR="00F61758">
        <w:t>which</w:t>
      </w:r>
      <w:r w:rsidR="009C154E">
        <w:t xml:space="preserve"> is </w:t>
      </w:r>
      <w:r w:rsidR="00F61758">
        <w:t>the sign-in sheet (</w:t>
      </w:r>
      <w:r w:rsidR="00030136">
        <w:t>F</w:t>
      </w:r>
      <w:r w:rsidR="00F61758">
        <w:t>.1) and the formal consent form (F.2).</w:t>
      </w:r>
      <w:r w:rsidR="00CB4876">
        <w:t xml:space="preserve"> </w:t>
      </w:r>
    </w:p>
    <w:p w:rsidRPr="00AE5F2F" w:rsidR="003A70B1" w:rsidP="0046016E" w:rsidRDefault="003A70B1" w14:paraId="22143C1E" w14:textId="77777777">
      <w:pPr>
        <w:pStyle w:val="BodyText"/>
      </w:pPr>
    </w:p>
    <w:p w:rsidR="00272D78" w:rsidP="0046016E" w:rsidRDefault="003A70B1" w14:paraId="14410D6F" w14:textId="77777777">
      <w:pPr>
        <w:pStyle w:val="BodyTextIndent"/>
      </w:pPr>
      <w:r w:rsidRPr="003A70B1">
        <w:t xml:space="preserve">The </w:t>
      </w:r>
      <w:r w:rsidR="0094750B">
        <w:t>focus group liaison</w:t>
      </w:r>
      <w:r w:rsidRPr="003A70B1" w:rsidR="0094750B">
        <w:t xml:space="preserve"> </w:t>
      </w:r>
      <w:r w:rsidRPr="003A70B1">
        <w:t xml:space="preserve">will approach </w:t>
      </w:r>
      <w:r w:rsidR="009A60C6">
        <w:t>30</w:t>
      </w:r>
      <w:r w:rsidRPr="003A70B1" w:rsidR="009A60C6">
        <w:t xml:space="preserve"> </w:t>
      </w:r>
      <w:r w:rsidRPr="003A70B1">
        <w:t xml:space="preserve">individuals for each focus group, with the </w:t>
      </w:r>
      <w:r w:rsidRPr="00110B72">
        <w:t>goal of having 8-10 participants (a 33 percent response rate)</w:t>
      </w:r>
      <w:r w:rsidRPr="00110B72" w:rsidR="001137D3">
        <w:t xml:space="preserve"> in each group</w:t>
      </w:r>
      <w:r w:rsidRPr="00110B72">
        <w:t xml:space="preserve">. </w:t>
      </w:r>
      <w:r w:rsidRPr="00110B72" w:rsidR="00DA3B32">
        <w:t>The study team</w:t>
      </w:r>
      <w:r w:rsidR="00DA3B32">
        <w:t xml:space="preserve"> will </w:t>
      </w:r>
      <w:r w:rsidR="003F5CF5">
        <w:t>provide</w:t>
      </w:r>
      <w:r w:rsidRPr="00DA3B32" w:rsidR="00DA3B32">
        <w:t xml:space="preserve"> recruitment materials </w:t>
      </w:r>
      <w:r w:rsidR="00CC3418">
        <w:t xml:space="preserve">for </w:t>
      </w:r>
      <w:r w:rsidRPr="00DA3B32" w:rsidR="00DA3B32">
        <w:t>distribution to the target population(s)</w:t>
      </w:r>
      <w:r w:rsidR="00CC3418">
        <w:t>.</w:t>
      </w:r>
      <w:r w:rsidRPr="00DA3B32" w:rsidR="00DA3B32">
        <w:t xml:space="preserve"> Materials will include details regarding </w:t>
      </w:r>
      <w:r w:rsidRPr="00530C40" w:rsidR="00DA3B32">
        <w:t>study purpose, scheduling and logistics</w:t>
      </w:r>
      <w:r w:rsidRPr="00530C40" w:rsidR="00A92D14">
        <w:t xml:space="preserve"> (Attachment G)</w:t>
      </w:r>
      <w:r w:rsidRPr="00530C40" w:rsidR="00DA3B32">
        <w:t xml:space="preserve">. </w:t>
      </w:r>
      <w:r w:rsidRPr="00530C40" w:rsidR="001625E1">
        <w:t>Focus group p</w:t>
      </w:r>
      <w:r w:rsidRPr="00530C40">
        <w:t xml:space="preserve">articipants will also receive a $25 </w:t>
      </w:r>
      <w:r w:rsidR="009A60C6">
        <w:t>V</w:t>
      </w:r>
      <w:r w:rsidRPr="00530C40" w:rsidR="000368A4">
        <w:t xml:space="preserve">isa </w:t>
      </w:r>
      <w:r w:rsidRPr="00530C40">
        <w:t>gift card for their participation</w:t>
      </w:r>
      <w:r w:rsidRPr="00530C40" w:rsidR="000370C4">
        <w:t>, which will help to cover the costs of transportation and childcare, which may be necessary in order for participants to come to the group</w:t>
      </w:r>
      <w:r w:rsidRPr="00530C40">
        <w:t>.</w:t>
      </w:r>
      <w:r w:rsidRPr="00530C40" w:rsidR="004A2B93">
        <w:t xml:space="preserve"> Attachment </w:t>
      </w:r>
      <w:r w:rsidRPr="00530C40" w:rsidR="00F61758">
        <w:t>G</w:t>
      </w:r>
      <w:r w:rsidRPr="00530C40" w:rsidR="009C154E">
        <w:t>.1 is the recruitment flyer</w:t>
      </w:r>
      <w:r w:rsidR="006A04AD">
        <w:t xml:space="preserve">, </w:t>
      </w:r>
      <w:r w:rsidRPr="00530C40" w:rsidR="009C154E">
        <w:t>Attachment G.2 is the recruitment FAQ sheet</w:t>
      </w:r>
      <w:r w:rsidR="006A04AD">
        <w:t xml:space="preserve">, and </w:t>
      </w:r>
      <w:r w:rsidRPr="00530C40" w:rsidR="009C154E">
        <w:t xml:space="preserve">Attachment G. 3 is the study overview sheet for recruitment. We have also included a telephone script to confirm with individuals that they are </w:t>
      </w:r>
      <w:r w:rsidRPr="00530C40" w:rsidR="00171829">
        <w:t>signed-up</w:t>
      </w:r>
      <w:r w:rsidRPr="00530C40" w:rsidR="009C154E">
        <w:t xml:space="preserve"> for the focus group (G.4) and an email version of this confirmation (G.5).</w:t>
      </w:r>
    </w:p>
    <w:p w:rsidR="00272D78" w:rsidP="0046016E" w:rsidRDefault="00272D78" w14:paraId="727944FC" w14:textId="77777777">
      <w:pPr>
        <w:pStyle w:val="BodyTextIndent"/>
      </w:pPr>
    </w:p>
    <w:p w:rsidRPr="00530C40" w:rsidR="00F63D02" w:rsidP="0046016E" w:rsidRDefault="00272D78" w14:paraId="7D530557" w14:textId="4D1AF59E">
      <w:pPr>
        <w:pStyle w:val="BodyTextIndent"/>
      </w:pPr>
      <w:r>
        <w:t>Pandemic Note:  Participants will have the option of participating with appropriate social distancing protocols in place, or virtually.</w:t>
      </w:r>
      <w:r w:rsidRPr="00530C40" w:rsidR="009C154E">
        <w:t xml:space="preserve"> </w:t>
      </w:r>
    </w:p>
    <w:p w:rsidRPr="00530C40" w:rsidR="003A70B1" w:rsidP="0046016E" w:rsidRDefault="003A70B1" w14:paraId="7500CE84" w14:textId="77777777">
      <w:pPr>
        <w:pStyle w:val="BodyText"/>
      </w:pPr>
    </w:p>
    <w:p w:rsidR="00F63D02" w:rsidP="0046016E" w:rsidRDefault="00F63D02" w14:paraId="3AFF9E28" w14:textId="1B5FDBA5">
      <w:pPr>
        <w:pStyle w:val="Bullets"/>
      </w:pPr>
      <w:r w:rsidRPr="00530C40">
        <w:rPr>
          <w:i/>
        </w:rPr>
        <w:t>Semi-structured Interviews with Retailer Key Informants</w:t>
      </w:r>
      <w:r w:rsidRPr="00530C40" w:rsidR="00A92D14">
        <w:rPr>
          <w:i/>
        </w:rPr>
        <w:t xml:space="preserve"> (Attachment H)</w:t>
      </w:r>
      <w:r w:rsidRPr="00530C40">
        <w:t>. Using the discussion guide developed for retailers, the study team will interview up to five</w:t>
      </w:r>
      <w:r w:rsidR="00494A68">
        <w:t xml:space="preserve"> </w:t>
      </w:r>
      <w:r w:rsidRPr="00AE5F2F">
        <w:t xml:space="preserve">retailers per site visit. </w:t>
      </w:r>
      <w:r w:rsidR="00494A68">
        <w:t>These retailers will be small, local retailers (less than 5</w:t>
      </w:r>
      <w:r w:rsidR="0002352B">
        <w:t xml:space="preserve">0,000 customers).  Smaller retailers will be more likely to be familiar with Summer EBT, and more likely to observe changes resulting from </w:t>
      </w:r>
      <w:r w:rsidR="00D246B6">
        <w:t>project</w:t>
      </w:r>
      <w:r w:rsidR="0002352B">
        <w:t xml:space="preserve"> implementation and ongoing operations in their community, than large corporate retailers.  </w:t>
      </w:r>
      <w:r w:rsidRPr="00AE5F2F">
        <w:t xml:space="preserve">Retailer interview protocols will ask about challenges in adapting systems for Summer EBT cards, changes made to inventories or other practices in response to Summer EBT, training for staff on how to accept Summer EBT benefits, retailer satisfaction with the Summer EBT </w:t>
      </w:r>
      <w:r w:rsidR="00D246B6">
        <w:t>project</w:t>
      </w:r>
      <w:r w:rsidRPr="00AE5F2F">
        <w:t xml:space="preserve">, how the </w:t>
      </w:r>
      <w:r w:rsidR="00D246B6">
        <w:t>project</w:t>
      </w:r>
      <w:r w:rsidRPr="00AE5F2F">
        <w:t xml:space="preserve"> could be improved, and guidance or technical assistance received from the State. When possible, the study team will conduct </w:t>
      </w:r>
      <w:r w:rsidR="00740D2E">
        <w:t xml:space="preserve">the 30 minute interviews in-person at the retailers’ offices. </w:t>
      </w:r>
    </w:p>
    <w:p w:rsidR="00740D2E" w:rsidP="0046016E" w:rsidRDefault="00740D2E" w14:paraId="7B633646" w14:textId="77777777">
      <w:pPr>
        <w:pStyle w:val="BodyText"/>
      </w:pPr>
    </w:p>
    <w:p w:rsidRPr="00AE5F2F" w:rsidR="00740D2E" w:rsidP="0046016E" w:rsidRDefault="00740D2E" w14:paraId="28262227" w14:textId="2577A91F">
      <w:pPr>
        <w:pStyle w:val="BodyTextIndent"/>
      </w:pPr>
      <w:r>
        <w:t xml:space="preserve">The study team will </w:t>
      </w:r>
      <w:r w:rsidR="00405336">
        <w:t>contact e</w:t>
      </w:r>
      <w:r w:rsidR="00D75992">
        <w:t xml:space="preserve">ight retailers </w:t>
      </w:r>
      <w:r w:rsidR="00911C74">
        <w:t>in each grantee</w:t>
      </w:r>
      <w:r w:rsidR="00405336">
        <w:t xml:space="preserve"> service</w:t>
      </w:r>
      <w:r w:rsidR="00911C74">
        <w:t xml:space="preserve"> area </w:t>
      </w:r>
      <w:r w:rsidR="00D75992">
        <w:t>to participate</w:t>
      </w:r>
      <w:r w:rsidRPr="00740D2E">
        <w:t xml:space="preserve"> in the study with the goal of </w:t>
      </w:r>
      <w:r w:rsidR="00405336">
        <w:t xml:space="preserve">recruiting and </w:t>
      </w:r>
      <w:r w:rsidRPr="00110B72">
        <w:t>conducting five retailer interviews (63 percent response rate).</w:t>
      </w:r>
      <w:r w:rsidR="004A2B93">
        <w:t xml:space="preserve"> </w:t>
      </w:r>
      <w:r w:rsidRPr="00110B72" w:rsidR="009D2DC4">
        <w:t>The study team expects that</w:t>
      </w:r>
      <w:r w:rsidRPr="00740D2E" w:rsidR="009D2DC4">
        <w:t xml:space="preserve"> this is reasonable because </w:t>
      </w:r>
      <w:r w:rsidR="009D2DC4">
        <w:t xml:space="preserve">this approach will </w:t>
      </w:r>
      <w:r w:rsidRPr="00530C40" w:rsidR="009D2DC4">
        <w:lastRenderedPageBreak/>
        <w:t xml:space="preserve">utilize prior relationships the grantee may have with retailers. </w:t>
      </w:r>
      <w:r w:rsidRPr="00530C40" w:rsidR="004A2B93">
        <w:t xml:space="preserve">Please see </w:t>
      </w:r>
      <w:r w:rsidRPr="00530C40" w:rsidR="000F74D8">
        <w:t>A</w:t>
      </w:r>
      <w:r w:rsidRPr="00530C40" w:rsidR="004A2B93">
        <w:t xml:space="preserve">ttachment </w:t>
      </w:r>
      <w:r w:rsidRPr="00530C40" w:rsidR="00F61758">
        <w:t>I</w:t>
      </w:r>
      <w:r w:rsidRPr="009718AE" w:rsidR="009C154E">
        <w:t>.1</w:t>
      </w:r>
      <w:r w:rsidRPr="00530C40" w:rsidR="004A2B93">
        <w:t xml:space="preserve"> to view </w:t>
      </w:r>
      <w:r w:rsidRPr="00530C40" w:rsidR="00F61758">
        <w:t>the introductory email from grantees to retailers</w:t>
      </w:r>
      <w:r w:rsidRPr="00530C40" w:rsidR="009D2DC4">
        <w:t xml:space="preserve"> and </w:t>
      </w:r>
      <w:r w:rsidRPr="00530C40" w:rsidR="000F74D8">
        <w:t>A</w:t>
      </w:r>
      <w:r w:rsidRPr="00530C40" w:rsidR="009D2DC4">
        <w:t xml:space="preserve">ttachment </w:t>
      </w:r>
      <w:r w:rsidRPr="009718AE" w:rsidR="00EC007D">
        <w:t>I</w:t>
      </w:r>
      <w:r w:rsidRPr="009718AE" w:rsidR="009C154E">
        <w:t>.2</w:t>
      </w:r>
      <w:r w:rsidRPr="00530C40" w:rsidR="009D2DC4">
        <w:t xml:space="preserve"> for an</w:t>
      </w:r>
      <w:r w:rsidR="009D2DC4">
        <w:t xml:space="preserve"> introductory email from the study team to retailers</w:t>
      </w:r>
      <w:r w:rsidR="009C154E">
        <w:t xml:space="preserve">. We have also included </w:t>
      </w:r>
      <w:r w:rsidR="00530C40">
        <w:t xml:space="preserve">Attachment </w:t>
      </w:r>
      <w:r w:rsidR="009C154E">
        <w:t>I.3 which is a telephone script for the study team to follow-up with retailers if needed</w:t>
      </w:r>
      <w:r w:rsidR="00EC007D">
        <w:t xml:space="preserve"> and</w:t>
      </w:r>
      <w:r w:rsidR="009C154E">
        <w:t xml:space="preserve"> an email confirmation noting the date, time and location of the interview (</w:t>
      </w:r>
      <w:r w:rsidR="00530C40">
        <w:t xml:space="preserve">Attachment </w:t>
      </w:r>
      <w:r w:rsidR="009C154E">
        <w:t>I.4).</w:t>
      </w:r>
    </w:p>
    <w:p w:rsidRPr="00AE5F2F" w:rsidR="00F63D02" w:rsidP="0046016E" w:rsidRDefault="00F63D02" w14:paraId="59F8FC6C" w14:textId="77777777">
      <w:pPr>
        <w:pStyle w:val="BodyText"/>
      </w:pPr>
    </w:p>
    <w:p w:rsidRPr="00AE5F2F" w:rsidR="00F63D02" w:rsidP="0046016E" w:rsidRDefault="00F63D02" w14:paraId="3FF8954C" w14:textId="77777777">
      <w:pPr>
        <w:pStyle w:val="BodyText"/>
      </w:pPr>
      <w:r w:rsidRPr="00AE5F2F">
        <w:t>All data collection will be performed by skilled qualitative data collectors—many of whom worked on previous or ongoing studies of S</w:t>
      </w:r>
      <w:r w:rsidR="004F4BE7">
        <w:t xml:space="preserve">ummer </w:t>
      </w:r>
      <w:r w:rsidRPr="00AE5F2F">
        <w:t xml:space="preserve">EBT </w:t>
      </w:r>
      <w:r w:rsidR="00D246B6">
        <w:t>project</w:t>
      </w:r>
      <w:r w:rsidRPr="00AE5F2F">
        <w:t xml:space="preserve">s. One data collector will lead the interviews and focus groups while the other takes notes. The interviews and focus group will be recorded and transcribed with respondents’ permission. After the interviews, the note-taker will develop a summary of the interviews and enter data by grantee into summary tables.  </w:t>
      </w:r>
    </w:p>
    <w:p w:rsidRPr="00AE5F2F" w:rsidR="00F63D02" w:rsidP="0046016E" w:rsidRDefault="00F63D02" w14:paraId="3E846B30" w14:textId="77777777">
      <w:pPr>
        <w:pStyle w:val="BodyText"/>
      </w:pPr>
    </w:p>
    <w:p w:rsidRPr="00AE5F2F" w:rsidR="00F63D02" w:rsidP="0046016E" w:rsidRDefault="00F63D02" w14:paraId="7910DD76" w14:textId="77777777">
      <w:pPr>
        <w:pStyle w:val="Heading2"/>
      </w:pPr>
      <w:r w:rsidRPr="00AE5F2F">
        <w:t>Design/Sampling Procedures</w:t>
      </w:r>
    </w:p>
    <w:p w:rsidRPr="005B651D" w:rsidR="005B651D" w:rsidP="0046016E" w:rsidRDefault="007561C6" w14:paraId="170CED95" w14:textId="7A9FE2E6">
      <w:pPr>
        <w:pStyle w:val="BodyText"/>
        <w:rPr>
          <w:rFonts w:ascii="Calibri" w:hAnsi="Calibri"/>
        </w:rPr>
      </w:pPr>
      <w:r>
        <w:t xml:space="preserve">While the </w:t>
      </w:r>
      <w:r w:rsidR="004F4BE7">
        <w:t xml:space="preserve">selection </w:t>
      </w:r>
      <w:r>
        <w:t xml:space="preserve">procedures for each respondent group varies, the aim is to gather information from a diverse set of respondents </w:t>
      </w:r>
      <w:r w:rsidR="005B651D">
        <w:t>based on</w:t>
      </w:r>
      <w:r w:rsidR="005B651D">
        <w:rPr>
          <w:rFonts w:ascii="Calibri" w:hAnsi="Calibri"/>
        </w:rPr>
        <w:t xml:space="preserve"> g</w:t>
      </w:r>
      <w:r w:rsidR="000B07F3">
        <w:rPr>
          <w:rFonts w:ascii="Calibri" w:hAnsi="Calibri"/>
        </w:rPr>
        <w:t>eography</w:t>
      </w:r>
      <w:r w:rsidR="005B651D">
        <w:rPr>
          <w:rFonts w:ascii="Calibri" w:hAnsi="Calibri"/>
        </w:rPr>
        <w:t xml:space="preserve">, </w:t>
      </w:r>
      <w:r w:rsidR="000E7480">
        <w:rPr>
          <w:rFonts w:ascii="Calibri" w:hAnsi="Calibri"/>
        </w:rPr>
        <w:t>size</w:t>
      </w:r>
      <w:r w:rsidR="009A60C6">
        <w:rPr>
          <w:rFonts w:ascii="Calibri" w:hAnsi="Calibri"/>
        </w:rPr>
        <w:t xml:space="preserve"> and</w:t>
      </w:r>
      <w:r w:rsidR="000E7480">
        <w:rPr>
          <w:rFonts w:ascii="Calibri" w:hAnsi="Calibri"/>
        </w:rPr>
        <w:t xml:space="preserve"> </w:t>
      </w:r>
      <w:r w:rsidRPr="005B651D" w:rsidR="005B651D">
        <w:rPr>
          <w:rFonts w:ascii="Calibri" w:hAnsi="Calibri"/>
        </w:rPr>
        <w:t>representation from urban and rural communities</w:t>
      </w:r>
      <w:r w:rsidR="005B651D">
        <w:rPr>
          <w:rFonts w:ascii="Calibri" w:hAnsi="Calibri"/>
        </w:rPr>
        <w:t xml:space="preserve"> (or large communities </w:t>
      </w:r>
      <w:r w:rsidRPr="005B651D" w:rsidR="005B651D">
        <w:rPr>
          <w:rFonts w:ascii="Calibri" w:hAnsi="Calibri"/>
        </w:rPr>
        <w:t>versus smaller communities)</w:t>
      </w:r>
      <w:r w:rsidR="005B651D">
        <w:rPr>
          <w:rFonts w:ascii="Calibri" w:hAnsi="Calibri"/>
        </w:rPr>
        <w:t xml:space="preserve">, </w:t>
      </w:r>
      <w:r w:rsidR="000E7480">
        <w:rPr>
          <w:rFonts w:ascii="Calibri" w:hAnsi="Calibri"/>
        </w:rPr>
        <w:t xml:space="preserve">benefit redemption, </w:t>
      </w:r>
      <w:r w:rsidR="005B651D">
        <w:rPr>
          <w:rFonts w:ascii="Calibri" w:hAnsi="Calibri"/>
        </w:rPr>
        <w:t>a</w:t>
      </w:r>
      <w:r w:rsidR="000E7480">
        <w:rPr>
          <w:rFonts w:ascii="Calibri" w:hAnsi="Calibri"/>
        </w:rPr>
        <w:t>nd degree of participation</w:t>
      </w:r>
      <w:r w:rsidRPr="005B651D" w:rsidR="005B651D">
        <w:rPr>
          <w:rFonts w:ascii="Calibri" w:hAnsi="Calibri"/>
        </w:rPr>
        <w:t xml:space="preserve"> in the Summer EBT pro</w:t>
      </w:r>
      <w:r w:rsidR="005F58A7">
        <w:rPr>
          <w:rFonts w:ascii="Calibri" w:hAnsi="Calibri"/>
        </w:rPr>
        <w:t>jects</w:t>
      </w:r>
      <w:r w:rsidR="005B651D">
        <w:rPr>
          <w:rFonts w:ascii="Calibri" w:hAnsi="Calibri"/>
        </w:rPr>
        <w:t xml:space="preserve">. </w:t>
      </w:r>
    </w:p>
    <w:p w:rsidRPr="00AE5F2F" w:rsidR="00F63D02" w:rsidP="0046016E" w:rsidRDefault="00F63D02" w14:paraId="66032E64" w14:textId="77777777">
      <w:pPr>
        <w:pStyle w:val="BodyText"/>
      </w:pPr>
    </w:p>
    <w:p w:rsidRPr="00AE5F2F" w:rsidR="00F63D02" w:rsidP="009718AE" w:rsidRDefault="00F63D02" w14:paraId="5A9CB174" w14:textId="3E784DF7">
      <w:pPr>
        <w:pStyle w:val="Bullets"/>
        <w:numPr>
          <w:ilvl w:val="0"/>
          <w:numId w:val="0"/>
        </w:numPr>
      </w:pPr>
      <w:r w:rsidRPr="00AE5F2F">
        <w:rPr>
          <w:i/>
        </w:rPr>
        <w:t>Key Grantee Staff</w:t>
      </w:r>
      <w:r w:rsidRPr="00AE5F2F">
        <w:t xml:space="preserve">.  </w:t>
      </w:r>
      <w:r w:rsidR="005B651D">
        <w:t xml:space="preserve">A knowledgeable staff member from each grantee will be </w:t>
      </w:r>
      <w:r w:rsidR="007561C6">
        <w:t xml:space="preserve">asked to participate in an </w:t>
      </w:r>
      <w:r w:rsidR="005B651D">
        <w:t xml:space="preserve">interview each year. </w:t>
      </w:r>
      <w:r w:rsidR="007561C6">
        <w:t>However</w:t>
      </w:r>
      <w:r w:rsidRPr="00AE5F2F">
        <w:t xml:space="preserve">, the study team will tailor the selection of respondents </w:t>
      </w:r>
      <w:r w:rsidR="007561C6">
        <w:t>to</w:t>
      </w:r>
      <w:r w:rsidR="00676643">
        <w:t xml:space="preserve"> </w:t>
      </w:r>
      <w:r w:rsidR="007561C6">
        <w:t xml:space="preserve">invite </w:t>
      </w:r>
      <w:r w:rsidR="00D246B6">
        <w:t>progra</w:t>
      </w:r>
      <w:r w:rsidR="00676643">
        <w:t>m</w:t>
      </w:r>
      <w:r w:rsidR="00D246B6">
        <w:t>m</w:t>
      </w:r>
      <w:r w:rsidR="00676643">
        <w:t xml:space="preserve">atic or </w:t>
      </w:r>
      <w:r w:rsidRPr="00AE5F2F">
        <w:t>technical sta</w:t>
      </w:r>
      <w:r w:rsidR="00D246B6">
        <w:t>ff based on the stage of project</w:t>
      </w:r>
      <w:r w:rsidRPr="00AE5F2F">
        <w:t xml:space="preserve"> implementation and operations. </w:t>
      </w:r>
      <w:r w:rsidR="00814835">
        <w:t xml:space="preserve">These include the Summer EBT Managers from both Chickasaw Nation and the </w:t>
      </w:r>
      <w:r w:rsidRPr="000370C4" w:rsidR="00814835">
        <w:t xml:space="preserve">Inter </w:t>
      </w:r>
      <w:r w:rsidR="00814835">
        <w:t>Tribal Council of Arizona, the Research and Technology Manager from Michigan and Project Manager from Wisconsin.</w:t>
      </w:r>
      <w:r w:rsidR="000370C4">
        <w:t xml:space="preserve"> </w:t>
      </w:r>
    </w:p>
    <w:p w:rsidR="00F63D02" w:rsidP="0046016E" w:rsidRDefault="00F63D02" w14:paraId="48509BF0" w14:textId="433F4C75">
      <w:pPr>
        <w:pStyle w:val="Bullets"/>
      </w:pPr>
      <w:r w:rsidRPr="00AE5F2F">
        <w:rPr>
          <w:i/>
        </w:rPr>
        <w:t>SFAs</w:t>
      </w:r>
      <w:r w:rsidRPr="00AE5F2F">
        <w:t xml:space="preserve">. </w:t>
      </w:r>
      <w:r w:rsidR="0092020F">
        <w:t>SFA</w:t>
      </w:r>
      <w:r w:rsidR="007561C6">
        <w:t xml:space="preserve"> </w:t>
      </w:r>
      <w:r w:rsidR="000736DF">
        <w:t xml:space="preserve">selection </w:t>
      </w:r>
      <w:r w:rsidR="007561C6">
        <w:t xml:space="preserve">will be informed by grantee input, and will aim to include SFAs that vary in the following way: </w:t>
      </w:r>
      <w:r w:rsidR="00B91A56">
        <w:t xml:space="preserve">serve </w:t>
      </w:r>
      <w:r w:rsidRPr="008D1782" w:rsidR="008D1782">
        <w:t xml:space="preserve">families with high and </w:t>
      </w:r>
      <w:r w:rsidR="008D1782">
        <w:t>low Summer EBT benefit use</w:t>
      </w:r>
      <w:r w:rsidR="0092020F">
        <w:t xml:space="preserve">; </w:t>
      </w:r>
      <w:r w:rsidR="00B91A56">
        <w:t xml:space="preserve">and </w:t>
      </w:r>
      <w:r w:rsidR="000B07F3">
        <w:t xml:space="preserve">urban and </w:t>
      </w:r>
      <w:r w:rsidRPr="00AE5F2F">
        <w:t>rura</w:t>
      </w:r>
      <w:r w:rsidR="008D1782">
        <w:t xml:space="preserve">l </w:t>
      </w:r>
      <w:r w:rsidR="000E7480">
        <w:t xml:space="preserve">areas, </w:t>
      </w:r>
      <w:r w:rsidR="00740D2E">
        <w:t>or</w:t>
      </w:r>
      <w:r w:rsidRPr="00AE5F2F" w:rsidR="0067560A">
        <w:t xml:space="preserve"> </w:t>
      </w:r>
      <w:r w:rsidR="005B651D">
        <w:t>small</w:t>
      </w:r>
      <w:r w:rsidR="000B07F3">
        <w:t xml:space="preserve"> and </w:t>
      </w:r>
      <w:r w:rsidR="008D1782">
        <w:t>large</w:t>
      </w:r>
      <w:r w:rsidR="000B07F3">
        <w:t xml:space="preserve"> designations</w:t>
      </w:r>
      <w:r w:rsidR="005B651D">
        <w:t xml:space="preserve"> if the grantee’s service area</w:t>
      </w:r>
      <w:r w:rsidRPr="00AE5F2F" w:rsidR="0067560A">
        <w:t xml:space="preserve"> </w:t>
      </w:r>
      <w:r w:rsidR="005B651D">
        <w:t>do</w:t>
      </w:r>
      <w:r w:rsidR="008A2F96">
        <w:t>es</w:t>
      </w:r>
      <w:r w:rsidR="005B651D">
        <w:t xml:space="preserve"> not </w:t>
      </w:r>
      <w:r w:rsidR="000B07F3">
        <w:t>have urban and rural areas</w:t>
      </w:r>
      <w:r w:rsidR="005B651D">
        <w:t>.</w:t>
      </w:r>
      <w:r w:rsidR="00C54EF6">
        <w:t xml:space="preserve">  A lead staff member from each SFA who is involved in Summer EBT implementation will be asked to participate in one interview per year.</w:t>
      </w:r>
    </w:p>
    <w:p w:rsidRPr="00740D2E" w:rsidR="00740D2E" w:rsidP="0046016E" w:rsidRDefault="00740D2E" w14:paraId="577B1623" w14:textId="77777777">
      <w:pPr>
        <w:pStyle w:val="BodyText"/>
      </w:pPr>
    </w:p>
    <w:p w:rsidR="009D47C4" w:rsidP="0046016E" w:rsidRDefault="00F63D02" w14:paraId="280D0F4A" w14:textId="2853D5BF">
      <w:pPr>
        <w:pStyle w:val="Bullets"/>
      </w:pPr>
      <w:r w:rsidRPr="00AE5F2F">
        <w:rPr>
          <w:i/>
        </w:rPr>
        <w:t>Parents/caregivers.</w:t>
      </w:r>
      <w:r w:rsidRPr="00AE5F2F">
        <w:t xml:space="preserve">  </w:t>
      </w:r>
      <w:r w:rsidR="00EB60E9">
        <w:t xml:space="preserve">Parent/caregiver sampling will be informed by grantee input, and will aim to include </w:t>
      </w:r>
      <w:r w:rsidR="004558B8">
        <w:t xml:space="preserve">parents/caregivers </w:t>
      </w:r>
      <w:r w:rsidR="00EF3D95">
        <w:t xml:space="preserve">that </w:t>
      </w:r>
      <w:r w:rsidR="004558B8">
        <w:t xml:space="preserve">vary in the following way </w:t>
      </w:r>
      <w:r w:rsidR="00EF3D95">
        <w:t>and</w:t>
      </w:r>
      <w:r w:rsidR="004558B8">
        <w:t xml:space="preserve"> are from: </w:t>
      </w:r>
      <w:r w:rsidR="00B91A56">
        <w:t>targeted grantee areas, ZIP codes with highest and lowest prior year redemption rates; and areas within a reasonable distance from the lead grantee organization</w:t>
      </w:r>
      <w:r w:rsidR="004558B8">
        <w:t xml:space="preserve">. </w:t>
      </w:r>
      <w:r w:rsidR="00C54EF6">
        <w:t xml:space="preserve">The study team and grantee will work closely to provide the liaison with this information to inform parent/caregiver recruitment. </w:t>
      </w:r>
    </w:p>
    <w:p w:rsidRPr="009D47C4" w:rsidR="009D47C4" w:rsidP="0046016E" w:rsidRDefault="009D47C4" w14:paraId="181043CE" w14:textId="77777777">
      <w:pPr>
        <w:pStyle w:val="BodyText"/>
      </w:pPr>
    </w:p>
    <w:p w:rsidRPr="009D47C4" w:rsidR="00F63D02" w:rsidP="0046016E" w:rsidRDefault="00F63D02" w14:paraId="4305F8F9" w14:textId="33F6368D">
      <w:pPr>
        <w:pStyle w:val="Bullets"/>
      </w:pPr>
      <w:r w:rsidRPr="009D47C4">
        <w:rPr>
          <w:i/>
        </w:rPr>
        <w:t>Retailers.</w:t>
      </w:r>
      <w:r w:rsidRPr="009D47C4">
        <w:t xml:space="preserve"> </w:t>
      </w:r>
      <w:r w:rsidR="00B91A56">
        <w:t>Retailer sampling will be informed by grantee input and benefit redemption data, and will include retailers that vary in the following way: size – small (less than 50,000 customers);</w:t>
      </w:r>
      <w:r w:rsidR="00405336">
        <w:t xml:space="preserve"> and</w:t>
      </w:r>
      <w:r w:rsidR="00B91A56">
        <w:t xml:space="preserve"> low</w:t>
      </w:r>
      <w:r w:rsidR="004558B8">
        <w:t>est</w:t>
      </w:r>
      <w:r w:rsidR="00B91A56">
        <w:t xml:space="preserve"> and high</w:t>
      </w:r>
      <w:r w:rsidR="004558B8">
        <w:t>est</w:t>
      </w:r>
      <w:r w:rsidR="00B91A56">
        <w:t xml:space="preserve"> benefit redemption</w:t>
      </w:r>
      <w:r w:rsidR="00405336">
        <w:t xml:space="preserve"> rates</w:t>
      </w:r>
      <w:r w:rsidR="004558B8">
        <w:t xml:space="preserve">. </w:t>
      </w:r>
      <w:r w:rsidR="00B91A56">
        <w:t xml:space="preserve"> </w:t>
      </w:r>
      <w:r w:rsidR="00AC3BA2">
        <w:t xml:space="preserve"> </w:t>
      </w:r>
    </w:p>
    <w:p w:rsidRPr="00AE5F2F" w:rsidR="00F63D02" w:rsidP="0046016E" w:rsidRDefault="00F63D02" w14:paraId="572D38B4" w14:textId="77777777">
      <w:pPr>
        <w:pStyle w:val="BodyText"/>
      </w:pPr>
    </w:p>
    <w:p w:rsidRPr="00AE5F2F" w:rsidR="00F63D02" w:rsidP="00F63D02" w:rsidRDefault="00F63D02" w14:paraId="7CE53FD5" w14:textId="77777777">
      <w:pPr>
        <w:outlineLvl w:val="0"/>
        <w:rPr>
          <w:rFonts w:asciiTheme="minorHAnsi" w:hAnsiTheme="minorHAnsi" w:cstheme="minorHAnsi"/>
          <w:sz w:val="22"/>
          <w:szCs w:val="22"/>
        </w:rPr>
      </w:pPr>
      <w:r w:rsidRPr="00AE5F2F">
        <w:rPr>
          <w:rFonts w:asciiTheme="minorHAnsi" w:hAnsiTheme="minorHAnsi" w:cstheme="minorHAnsi"/>
          <w:u w:val="single"/>
        </w:rPr>
        <w:t>Recruitment and Consent</w:t>
      </w:r>
    </w:p>
    <w:p w:rsidRPr="00AE5F2F" w:rsidR="00F63D02" w:rsidP="0046016E" w:rsidRDefault="00F63D02" w14:paraId="01CEC48C" w14:textId="77777777">
      <w:pPr>
        <w:pStyle w:val="BodyText"/>
      </w:pPr>
      <w:r w:rsidRPr="00AE5F2F">
        <w:lastRenderedPageBreak/>
        <w:t xml:space="preserve">This section describes how the study team will recruit participants for the focus groups and retailer interviews. The other interviews will not require formal recruitment efforts. </w:t>
      </w:r>
    </w:p>
    <w:p w:rsidRPr="0046016E" w:rsidR="00F63D02" w:rsidP="0046016E" w:rsidRDefault="00F63D02" w14:paraId="7456CD34" w14:textId="77777777">
      <w:pPr>
        <w:pStyle w:val="BodyText"/>
      </w:pPr>
    </w:p>
    <w:p w:rsidRPr="00AE5F2F" w:rsidR="00F63D02" w:rsidP="0046016E" w:rsidRDefault="00F63D02" w14:paraId="410B3363" w14:textId="7638BA76">
      <w:pPr>
        <w:pStyle w:val="Bullets"/>
      </w:pPr>
      <w:r w:rsidRPr="00AE5F2F">
        <w:rPr>
          <w:i/>
        </w:rPr>
        <w:t>Parent/Caregiver Focus Groups</w:t>
      </w:r>
      <w:r w:rsidRPr="00AE5F2F" w:rsidR="005F3132">
        <w:rPr>
          <w:i/>
        </w:rPr>
        <w:t>.</w:t>
      </w:r>
      <w:r w:rsidRPr="00AE5F2F">
        <w:t xml:space="preserve"> </w:t>
      </w:r>
      <w:r w:rsidR="003F5CF5">
        <w:t>Recruitment</w:t>
      </w:r>
      <w:r w:rsidRPr="00AE5F2F">
        <w:t xml:space="preserve"> materials </w:t>
      </w:r>
      <w:r w:rsidR="003F5CF5">
        <w:t xml:space="preserve">can be found in </w:t>
      </w:r>
      <w:r w:rsidR="00530C40">
        <w:t xml:space="preserve">the </w:t>
      </w:r>
      <w:r w:rsidR="00C30DC2">
        <w:t>Attachment</w:t>
      </w:r>
      <w:r w:rsidR="00530C40">
        <w:t>s</w:t>
      </w:r>
      <w:r w:rsidR="00C30DC2">
        <w:t xml:space="preserve"> </w:t>
      </w:r>
      <w:r w:rsidR="00EC007D">
        <w:t>th</w:t>
      </w:r>
      <w:r w:rsidR="00814835">
        <w:t>at</w:t>
      </w:r>
      <w:r w:rsidR="00EC007D">
        <w:t xml:space="preserve"> begin with </w:t>
      </w:r>
      <w:r w:rsidR="00C30DC2">
        <w:t>G</w:t>
      </w:r>
      <w:r w:rsidRPr="00AE5F2F">
        <w:t xml:space="preserve">. </w:t>
      </w:r>
      <w:r w:rsidR="00165E6C">
        <w:t xml:space="preserve"> Attachment G.1 is </w:t>
      </w:r>
      <w:r w:rsidR="00B21C24">
        <w:t xml:space="preserve">the </w:t>
      </w:r>
      <w:r w:rsidR="00165E6C">
        <w:t>flyer for the focus group</w:t>
      </w:r>
      <w:r w:rsidR="00DE1D44">
        <w:t xml:space="preserve">, </w:t>
      </w:r>
      <w:r w:rsidR="00165E6C">
        <w:t>Attach</w:t>
      </w:r>
      <w:r w:rsidR="00DE1D44">
        <w:t>ment</w:t>
      </w:r>
      <w:r w:rsidR="00165E6C">
        <w:t xml:space="preserve"> G.2 is the Recruitment FAQ sheet for the focus group</w:t>
      </w:r>
      <w:r w:rsidR="00DE1D44">
        <w:t xml:space="preserve">, and </w:t>
      </w:r>
      <w:r w:rsidR="00165E6C">
        <w:t xml:space="preserve">Attachment G.3 is the Study Overview Sheet for Focus Group Participants. The </w:t>
      </w:r>
      <w:r w:rsidR="00EC007D">
        <w:t>m</w:t>
      </w:r>
      <w:r w:rsidRPr="00AE5F2F">
        <w:t>aterials include details regarding study purpose, scheduling and logistics. The study team will also work with local SFAs to assist with focus group</w:t>
      </w:r>
      <w:r w:rsidR="00DE1D44">
        <w:t xml:space="preserve"> recruitment</w:t>
      </w:r>
      <w:r w:rsidRPr="00AE5F2F">
        <w:t xml:space="preserve">. The study team estimates that for each focus group 30 </w:t>
      </w:r>
      <w:r w:rsidRPr="00AE5F2F" w:rsidR="005F3132">
        <w:t>individuals</w:t>
      </w:r>
      <w:r w:rsidRPr="00AE5F2F">
        <w:t xml:space="preserve"> will be approached, and a maximum of 10 participants will participate in the focus group</w:t>
      </w:r>
      <w:r w:rsidR="000736DF">
        <w:t xml:space="preserve"> per</w:t>
      </w:r>
      <w:r w:rsidR="00CB78FA">
        <w:t xml:space="preserve"> grantee</w:t>
      </w:r>
      <w:r w:rsidR="000736DF">
        <w:t xml:space="preserve"> each year</w:t>
      </w:r>
      <w:r w:rsidR="005629C0">
        <w:t xml:space="preserve">.  The study team will conduct </w:t>
      </w:r>
      <w:r w:rsidR="00CA14D3">
        <w:t>four</w:t>
      </w:r>
      <w:r w:rsidR="005629C0">
        <w:t xml:space="preserve"> focus groups per grantee</w:t>
      </w:r>
      <w:r w:rsidR="00814835">
        <w:t>,</w:t>
      </w:r>
      <w:r w:rsidR="005629C0">
        <w:t xml:space="preserve"> per year. </w:t>
      </w:r>
      <w:r w:rsidR="00D61E4A">
        <w:t xml:space="preserve"> </w:t>
      </w:r>
      <w:r w:rsidR="005629C0">
        <w:t xml:space="preserve"> </w:t>
      </w:r>
    </w:p>
    <w:p w:rsidRPr="00AE5F2F" w:rsidR="00F63D02" w:rsidP="0046016E" w:rsidRDefault="00F63D02" w14:paraId="65BF324E" w14:textId="77777777">
      <w:pPr>
        <w:pStyle w:val="BodyText"/>
      </w:pPr>
    </w:p>
    <w:p w:rsidRPr="00AE5F2F" w:rsidR="00F63D02" w:rsidP="0046016E" w:rsidRDefault="00F63D02" w14:paraId="72F9D644" w14:textId="0AFE88AE">
      <w:pPr>
        <w:pStyle w:val="Bullets"/>
      </w:pPr>
      <w:r w:rsidRPr="00AE5F2F">
        <w:rPr>
          <w:i/>
        </w:rPr>
        <w:t>Retailer Interviews</w:t>
      </w:r>
      <w:r w:rsidRPr="00AE5F2F" w:rsidR="005F3132">
        <w:rPr>
          <w:i/>
        </w:rPr>
        <w:t>.</w:t>
      </w:r>
      <w:r w:rsidRPr="00AE5F2F">
        <w:t xml:space="preserve"> </w:t>
      </w:r>
      <w:r w:rsidR="008A2F96">
        <w:t>T</w:t>
      </w:r>
      <w:r w:rsidRPr="00AE5F2F">
        <w:t xml:space="preserve">he </w:t>
      </w:r>
      <w:r w:rsidR="00F31E63">
        <w:t>grantee will</w:t>
      </w:r>
      <w:r w:rsidRPr="00AE5F2F">
        <w:t xml:space="preserve"> send retailers an advance mailing/email that explains the study and encourages participation</w:t>
      </w:r>
      <w:r w:rsidR="00F31E63">
        <w:t xml:space="preserve"> (</w:t>
      </w:r>
      <w:r w:rsidR="00C30DC2">
        <w:t>A</w:t>
      </w:r>
      <w:r w:rsidR="00F31E63">
        <w:t>ttachment I</w:t>
      </w:r>
      <w:r w:rsidR="00EA5364">
        <w:t>.1</w:t>
      </w:r>
      <w:r w:rsidR="00F31E63">
        <w:t>)</w:t>
      </w:r>
      <w:r w:rsidRPr="00AE5F2F">
        <w:t xml:space="preserve">. The </w:t>
      </w:r>
      <w:r w:rsidRPr="00AE5F2F" w:rsidR="005F3132">
        <w:t xml:space="preserve">study </w:t>
      </w:r>
      <w:r w:rsidRPr="00AE5F2F">
        <w:t xml:space="preserve">team will follow the mailing with </w:t>
      </w:r>
      <w:r w:rsidR="00676643">
        <w:t>an email</w:t>
      </w:r>
      <w:r w:rsidR="00EA5364">
        <w:t xml:space="preserve"> (</w:t>
      </w:r>
      <w:r w:rsidR="00530C40">
        <w:t xml:space="preserve">Attachment </w:t>
      </w:r>
      <w:r w:rsidR="00EA5364">
        <w:t>I.2)</w:t>
      </w:r>
      <w:r w:rsidR="00676643">
        <w:t xml:space="preserve"> and </w:t>
      </w:r>
      <w:r w:rsidRPr="00AE5F2F">
        <w:t>telephone calls</w:t>
      </w:r>
      <w:r w:rsidR="00EA5364">
        <w:t xml:space="preserve"> (</w:t>
      </w:r>
      <w:r w:rsidR="00530C40">
        <w:t xml:space="preserve">Attachment </w:t>
      </w:r>
      <w:r w:rsidR="00EA5364">
        <w:t>I.3)</w:t>
      </w:r>
      <w:r w:rsidRPr="00AE5F2F">
        <w:t xml:space="preserve"> to retailers during which they will explain the study, confirm the retailers’ agreement to participate, and schedule the interview</w:t>
      </w:r>
      <w:r w:rsidR="004A2B93">
        <w:t xml:space="preserve"> (</w:t>
      </w:r>
      <w:r w:rsidR="00C30DC2">
        <w:t>A</w:t>
      </w:r>
      <w:r w:rsidR="00F31E63">
        <w:t xml:space="preserve">ttachment </w:t>
      </w:r>
      <w:r w:rsidR="00EA5364">
        <w:t>I.4</w:t>
      </w:r>
      <w:r w:rsidR="004A2B93">
        <w:t>)</w:t>
      </w:r>
      <w:r w:rsidRPr="00AE5F2F">
        <w:t xml:space="preserve">. We </w:t>
      </w:r>
      <w:r w:rsidRPr="00AE5F2F" w:rsidR="000B1BB0">
        <w:t>estimate that</w:t>
      </w:r>
      <w:r w:rsidRPr="00AE5F2F" w:rsidR="005F3132">
        <w:t xml:space="preserve"> eight</w:t>
      </w:r>
      <w:r w:rsidRPr="00AE5F2F">
        <w:t xml:space="preserve"> </w:t>
      </w:r>
      <w:r w:rsidRPr="00AE5F2F" w:rsidR="005F3132">
        <w:t>retailers will be approached and five</w:t>
      </w:r>
      <w:r w:rsidRPr="00AE5F2F">
        <w:t xml:space="preserve"> of them will agree to participate</w:t>
      </w:r>
      <w:r w:rsidR="000736DF">
        <w:t xml:space="preserve"> per </w:t>
      </w:r>
      <w:r w:rsidR="00CB78FA">
        <w:t>grantee</w:t>
      </w:r>
      <w:r w:rsidRPr="00AE5F2F">
        <w:t>.</w:t>
      </w:r>
    </w:p>
    <w:p w:rsidRPr="00AE5F2F" w:rsidR="00F63D02" w:rsidP="0046016E" w:rsidRDefault="00F63D02" w14:paraId="759DD92C" w14:textId="77777777">
      <w:pPr>
        <w:pStyle w:val="BodyText"/>
      </w:pPr>
    </w:p>
    <w:p w:rsidRPr="00AE5F2F" w:rsidR="00F63D02" w:rsidP="0046016E" w:rsidRDefault="00F63D02" w14:paraId="43A17188" w14:textId="0C9E7EA5">
      <w:pPr>
        <w:pStyle w:val="BodyText"/>
      </w:pPr>
      <w:r w:rsidRPr="00AE5F2F">
        <w:t xml:space="preserve">All </w:t>
      </w:r>
      <w:r w:rsidRPr="00AE5F2F" w:rsidR="005F3132">
        <w:t>interviewees</w:t>
      </w:r>
      <w:r w:rsidRPr="00AE5F2F">
        <w:t xml:space="preserve"> and focus group participants will be consented. Interviewers will provide consent language </w:t>
      </w:r>
      <w:r w:rsidRPr="00AE5F2F" w:rsidR="005F3132">
        <w:t>verbally</w:t>
      </w:r>
      <w:r w:rsidRPr="00AE5F2F">
        <w:t xml:space="preserve"> in the </w:t>
      </w:r>
      <w:r w:rsidRPr="00AE5F2F" w:rsidR="005F3132">
        <w:t>introduction</w:t>
      </w:r>
      <w:r w:rsidRPr="00AE5F2F">
        <w:t xml:space="preserve"> </w:t>
      </w:r>
      <w:r w:rsidRPr="00AE5F2F" w:rsidR="005F3132">
        <w:t xml:space="preserve">of </w:t>
      </w:r>
      <w:r w:rsidRPr="00AE5F2F">
        <w:t>all interviews.</w:t>
      </w:r>
      <w:r w:rsidR="00165E6C">
        <w:t xml:space="preserve"> This verbal consent can be found as a part of the in</w:t>
      </w:r>
      <w:r w:rsidR="00EA5364">
        <w:t xml:space="preserve">terview protocol in </w:t>
      </w:r>
      <w:r w:rsidR="00530C40">
        <w:t>A</w:t>
      </w:r>
      <w:r w:rsidR="00EA5364">
        <w:t>ttachment</w:t>
      </w:r>
      <w:r w:rsidR="00530C40">
        <w:t>s</w:t>
      </w:r>
      <w:r w:rsidR="00EA5364">
        <w:t xml:space="preserve"> B</w:t>
      </w:r>
      <w:r w:rsidR="00DE1D44">
        <w:t>.1, B.2</w:t>
      </w:r>
      <w:r w:rsidR="00EA5364">
        <w:t>, D</w:t>
      </w:r>
      <w:r w:rsidR="00165E6C">
        <w:t>, and H.</w:t>
      </w:r>
      <w:r w:rsidRPr="00AE5F2F">
        <w:t xml:space="preserve"> </w:t>
      </w:r>
      <w:r w:rsidRPr="00AE5F2F" w:rsidR="005F3132">
        <w:t>For focus groups, c</w:t>
      </w:r>
      <w:r w:rsidRPr="00AE5F2F">
        <w:t>onsent forms will be signed by participants prior t</w:t>
      </w:r>
      <w:r w:rsidRPr="00AE5F2F" w:rsidR="001D754E">
        <w:t>o beginning of the focus group.</w:t>
      </w:r>
      <w:r w:rsidR="00165E6C">
        <w:t xml:space="preserve"> The consent form is included in Attachment F.2.</w:t>
      </w:r>
    </w:p>
    <w:p w:rsidRPr="00AE5F2F" w:rsidR="00F63D02" w:rsidP="0046016E" w:rsidRDefault="00F63D02" w14:paraId="238D54AF" w14:textId="77777777">
      <w:pPr>
        <w:pStyle w:val="BodyText"/>
      </w:pPr>
    </w:p>
    <w:p w:rsidRPr="00AE5F2F" w:rsidR="00F63D02" w:rsidP="0046016E" w:rsidRDefault="00E751B9" w14:paraId="7FF69516" w14:textId="3F423873">
      <w:pPr>
        <w:pStyle w:val="Heading2"/>
      </w:pPr>
      <w:r>
        <w:t>Incentives</w:t>
      </w:r>
    </w:p>
    <w:p w:rsidR="00EA5364" w:rsidP="00B21C24" w:rsidRDefault="00F63D02" w14:paraId="3B935AA5" w14:textId="30535832">
      <w:pPr>
        <w:pStyle w:val="BodyText"/>
      </w:pPr>
      <w:r w:rsidRPr="00AE5F2F">
        <w:t>Focus group participants will receive</w:t>
      </w:r>
      <w:r w:rsidR="005A4E29">
        <w:t xml:space="preserve"> a</w:t>
      </w:r>
      <w:r w:rsidRPr="00AE5F2F">
        <w:t xml:space="preserve"> $25 </w:t>
      </w:r>
      <w:r w:rsidR="00814835">
        <w:t>V</w:t>
      </w:r>
      <w:r w:rsidR="00911C74">
        <w:t xml:space="preserve">isa </w:t>
      </w:r>
      <w:r w:rsidRPr="00AE5F2F">
        <w:t>gift card as a token of appreciation.</w:t>
      </w:r>
      <w:r w:rsidRPr="00125FFF" w:rsidR="00125FFF">
        <w:t xml:space="preserve"> </w:t>
      </w:r>
      <w:r w:rsidRPr="00125FFF" w:rsidR="00BD3967">
        <w:t>T</w:t>
      </w:r>
      <w:r w:rsidR="005D0F3B">
        <w:t xml:space="preserve">wo </w:t>
      </w:r>
      <w:r w:rsidRPr="00125FFF" w:rsidR="00BD3967">
        <w:t xml:space="preserve">factors helped to determine the incentive amounts for the focus group: </w:t>
      </w:r>
      <w:r w:rsidR="00744ABC">
        <w:t xml:space="preserve"> 1</w:t>
      </w:r>
      <w:r w:rsidRPr="00125FFF" w:rsidR="00BD3967">
        <w:t xml:space="preserve">) </w:t>
      </w:r>
      <w:r w:rsidR="00BD3967">
        <w:t xml:space="preserve">costs of childcare; and </w:t>
      </w:r>
      <w:r w:rsidR="00744ABC">
        <w:t>2</w:t>
      </w:r>
      <w:r w:rsidR="00BD3967">
        <w:t xml:space="preserve">) transportation costs. We have assumed that participants will need assistance with childcare and transportation in order to be in the focus group, and have provided an estimate of $25 to cover the partial costs of both childcare and transportation. </w:t>
      </w:r>
      <w:r w:rsidRPr="00125FFF" w:rsidR="006E6F56">
        <w:t>The proposed parent/caregiver focus groups will last 60 minutes</w:t>
      </w:r>
      <w:r w:rsidR="006E6F56">
        <w:t>.</w:t>
      </w:r>
      <w:r w:rsidRPr="00125FFF" w:rsidR="006E6F56">
        <w:t xml:space="preserve"> </w:t>
      </w:r>
      <w:r w:rsidR="00BD3967">
        <w:t>We estimate two hours (</w:t>
      </w:r>
      <w:r w:rsidR="006E6F56">
        <w:t xml:space="preserve">this </w:t>
      </w:r>
      <w:r w:rsidR="00BD3967">
        <w:t>allows for the time to get to and from the focus group venue) of childcare</w:t>
      </w:r>
      <w:r w:rsidR="00303FA4">
        <w:t xml:space="preserve">. </w:t>
      </w:r>
      <w:r w:rsidR="006E6F56">
        <w:t>Based</w:t>
      </w:r>
      <w:r w:rsidR="00A12E24">
        <w:t xml:space="preserve"> on</w:t>
      </w:r>
      <w:r w:rsidR="00CC2E74">
        <w:t xml:space="preserve"> the median wage rate for childcare workers from</w:t>
      </w:r>
      <w:r w:rsidR="00A12E24">
        <w:t xml:space="preserve"> the</w:t>
      </w:r>
      <w:r w:rsidR="00303FA4">
        <w:t xml:space="preserve"> U.S. Department of Labor, Bureau of Labor Statistics</w:t>
      </w:r>
      <w:r w:rsidR="00A12E24">
        <w:t xml:space="preserve"> Occupational Employment and Wages May 2019, </w:t>
      </w:r>
      <w:r w:rsidR="006E6F56">
        <w:t>we use the</w:t>
      </w:r>
      <w:r w:rsidR="00303FA4">
        <w:t xml:space="preserve"> median hourly wage of $11.65 for childcare wor</w:t>
      </w:r>
      <w:r w:rsidR="00A12E24">
        <w:t>kers (3</w:t>
      </w:r>
      <w:r w:rsidR="00303FA4">
        <w:t>9-9011) (</w:t>
      </w:r>
      <w:hyperlink w:history="1" r:id="rId12">
        <w:r w:rsidR="00303FA4">
          <w:rPr>
            <w:rStyle w:val="Hyperlink"/>
          </w:rPr>
          <w:t>https://www.bls.gov/oes/current/oes399011.htm</w:t>
        </w:r>
      </w:hyperlink>
      <w:r w:rsidR="00303FA4">
        <w:t xml:space="preserve"> ). We have estimated</w:t>
      </w:r>
      <w:r w:rsidR="00CC2E74">
        <w:t xml:space="preserve"> that a participant will drive no more than 5 miles to the location of the focus group</w:t>
      </w:r>
      <w:r w:rsidR="006E6F56">
        <w:t xml:space="preserve"> or 10 miles roundtrip</w:t>
      </w:r>
      <w:r w:rsidR="00CC2E74">
        <w:t xml:space="preserve">. Using the 2020 GSA rate of .575 per mile for private vehicles, this would be $5.75 in transportation costs. </w:t>
      </w:r>
      <w:r w:rsidR="00BD3967">
        <w:t xml:space="preserve"> </w:t>
      </w:r>
      <w:r w:rsidR="00CC2E74">
        <w:t xml:space="preserve">The total of $29.05 </w:t>
      </w:r>
      <w:r w:rsidR="006E6F56">
        <w:t>includes</w:t>
      </w:r>
      <w:r w:rsidR="00CC2E74">
        <w:t xml:space="preserve"> </w:t>
      </w:r>
      <w:r w:rsidR="00BD3967">
        <w:t>$2</w:t>
      </w:r>
      <w:r w:rsidR="00303FA4">
        <w:t>3.3</w:t>
      </w:r>
      <w:r w:rsidR="00CC2E74">
        <w:t>0</w:t>
      </w:r>
      <w:r w:rsidR="00BD3967">
        <w:t xml:space="preserve"> </w:t>
      </w:r>
      <w:r w:rsidR="00CC2E74">
        <w:t xml:space="preserve">for </w:t>
      </w:r>
      <w:r w:rsidR="00BD3967">
        <w:t xml:space="preserve">childcare </w:t>
      </w:r>
      <w:r w:rsidR="00CC2E74">
        <w:t xml:space="preserve">and </w:t>
      </w:r>
      <w:r w:rsidR="00BD3967">
        <w:t>$5</w:t>
      </w:r>
      <w:r w:rsidR="00CC2E74">
        <w:t>.75</w:t>
      </w:r>
      <w:r w:rsidR="00BD3967">
        <w:t xml:space="preserve"> in transportation</w:t>
      </w:r>
      <w:r w:rsidR="00CC2E74">
        <w:t>. We rounded down to $25 to determine</w:t>
      </w:r>
      <w:r w:rsidR="006E6F56">
        <w:t xml:space="preserve"> the gift card </w:t>
      </w:r>
      <w:r w:rsidR="00CC2E74">
        <w:t>amount</w:t>
      </w:r>
      <w:r w:rsidR="00BD3967">
        <w:t xml:space="preserve">. </w:t>
      </w:r>
    </w:p>
    <w:p w:rsidR="00EA5364" w:rsidP="00B21C24" w:rsidRDefault="00EA5364" w14:paraId="431CEBF0" w14:textId="77777777">
      <w:pPr>
        <w:pStyle w:val="BodyText"/>
      </w:pPr>
    </w:p>
    <w:p w:rsidRPr="00B21C24" w:rsidR="00B21C24" w:rsidP="00B21C24" w:rsidRDefault="00BD3967" w14:paraId="2F12FE60" w14:textId="2AAC3751">
      <w:pPr>
        <w:pStyle w:val="BodyText"/>
      </w:pPr>
      <w:r>
        <w:lastRenderedPageBreak/>
        <w:t>As described earlier, SFA liaisons will receive a $250 honorarium for their work in recruiting focus group participants for the study. The work will include: advertising the focus groups, r</w:t>
      </w:r>
      <w:r w:rsidRPr="00034C1B">
        <w:t>ecruiting and screening potential focus group participants</w:t>
      </w:r>
      <w:r>
        <w:t>, c</w:t>
      </w:r>
      <w:r w:rsidRPr="00034C1B">
        <w:t xml:space="preserve">oordinating location </w:t>
      </w:r>
      <w:r>
        <w:t>and time of focus group meetings and c</w:t>
      </w:r>
      <w:r w:rsidRPr="00034C1B">
        <w:t>ommunicating with participants via email</w:t>
      </w:r>
      <w:r>
        <w:t xml:space="preserve">. The $250 amount is based on the BLS wage rate for </w:t>
      </w:r>
      <w:r w:rsidRPr="00B21C24">
        <w:t xml:space="preserve">“food service </w:t>
      </w:r>
      <w:r>
        <w:t xml:space="preserve">managers” at schools. </w:t>
      </w:r>
      <w:r w:rsidRPr="00B21C24">
        <w:t xml:space="preserve">The median rate </w:t>
      </w:r>
      <w:r>
        <w:t xml:space="preserve">for this position </w:t>
      </w:r>
      <w:r w:rsidRPr="00B21C24">
        <w:t xml:space="preserve">is </w:t>
      </w:r>
      <w:r>
        <w:t>$3</w:t>
      </w:r>
      <w:r w:rsidR="002445EE">
        <w:t>1</w:t>
      </w:r>
      <w:r>
        <w:t>.</w:t>
      </w:r>
      <w:r w:rsidR="002445EE">
        <w:t>12</w:t>
      </w:r>
      <w:r>
        <w:t xml:space="preserve">, multiplied by the nine hours of time estimated for this work, comes to </w:t>
      </w:r>
      <w:r w:rsidRPr="00B21C24">
        <w:t>$2</w:t>
      </w:r>
      <w:r w:rsidR="002445EE">
        <w:t>80</w:t>
      </w:r>
      <w:r w:rsidRPr="00B21C24">
        <w:t>.</w:t>
      </w:r>
      <w:r w:rsidR="002445EE">
        <w:t>08</w:t>
      </w:r>
      <w:r w:rsidRPr="00B21C24">
        <w:t xml:space="preserve">. </w:t>
      </w:r>
      <w:r>
        <w:t>We have rounded this amount down to $250 to determine the honorarium amount.</w:t>
      </w:r>
      <w:r w:rsidR="002445EE">
        <w:t xml:space="preserve"> The rates can be found via the U.S. Department of Labor, Bureau of Labor Statistics, May 2019 National Occupational and Wage Statistics, Occupational Group ( 11-9051 ) (this would be for the food service managers) (</w:t>
      </w:r>
      <w:hyperlink w:history="1" r:id="rId13">
        <w:r w:rsidR="002445EE">
          <w:rPr>
            <w:rStyle w:val="Hyperlink"/>
          </w:rPr>
          <w:t>https://www.bls.gov/oes/current/naics3_611000.htm</w:t>
        </w:r>
      </w:hyperlink>
      <w:r w:rsidR="002445EE">
        <w:t xml:space="preserve">). </w:t>
      </w:r>
    </w:p>
    <w:p w:rsidRPr="00AE5F2F" w:rsidR="00F63D02" w:rsidP="0046016E" w:rsidRDefault="00F63D02" w14:paraId="0BC9DE91" w14:textId="77777777">
      <w:pPr>
        <w:pStyle w:val="BodyText"/>
      </w:pPr>
    </w:p>
    <w:p w:rsidR="002419E8" w:rsidP="0046016E" w:rsidRDefault="00F63D02" w14:paraId="5A6C2A41" w14:textId="77777777">
      <w:pPr>
        <w:pStyle w:val="Heading2"/>
      </w:pPr>
      <w:r w:rsidRPr="00AE5F2F">
        <w:t>Data Analysis</w:t>
      </w:r>
    </w:p>
    <w:p w:rsidR="002419E8" w:rsidP="0046016E" w:rsidRDefault="00AF771B" w14:paraId="029DE7B1" w14:textId="42FDEDC4">
      <w:pPr>
        <w:pStyle w:val="BodyText"/>
      </w:pPr>
      <w:r w:rsidRPr="00AF771B">
        <w:rPr>
          <w:i/>
        </w:rPr>
        <w:t>Qualitative Data</w:t>
      </w:r>
      <w:r>
        <w:rPr>
          <w:i/>
        </w:rPr>
        <w:t>.</w:t>
      </w:r>
      <w:r w:rsidRPr="00AE5F2F">
        <w:t xml:space="preserve"> </w:t>
      </w:r>
      <w:r w:rsidRPr="00AE5F2F" w:rsidR="00325C6A">
        <w:t>After site</w:t>
      </w:r>
      <w:r w:rsidRPr="00AE5F2F" w:rsidR="00F63D02">
        <w:t xml:space="preserve"> visits are concluded, data collectors will develop clean notes</w:t>
      </w:r>
      <w:r w:rsidRPr="00AE5F2F" w:rsidR="00653C63">
        <w:t xml:space="preserve"> and review for accuracy.</w:t>
      </w:r>
      <w:r w:rsidRPr="00AE5F2F" w:rsidR="00F63D02">
        <w:t xml:space="preserve"> </w:t>
      </w:r>
      <w:r w:rsidRPr="00AF771B">
        <w:t xml:space="preserve">All focus group interviews will be audio-recorded (with respondent permission) and transcribed. This text will become the data for qualitative analysis. </w:t>
      </w:r>
      <w:r w:rsidR="002419E8">
        <w:t xml:space="preserve"> </w:t>
      </w:r>
    </w:p>
    <w:p w:rsidRPr="002419E8" w:rsidR="004C28D8" w:rsidP="0046016E" w:rsidRDefault="004C28D8" w14:paraId="7ECE303D" w14:textId="77777777">
      <w:pPr>
        <w:pStyle w:val="BodyText"/>
      </w:pPr>
    </w:p>
    <w:p w:rsidRPr="004C28D8" w:rsidR="002419E8" w:rsidP="0046016E" w:rsidRDefault="002419E8" w14:paraId="471D842E" w14:textId="6633E109">
      <w:pPr>
        <w:pStyle w:val="BodyText"/>
      </w:pPr>
      <w:r w:rsidRPr="004C28D8">
        <w:t xml:space="preserve">The transcribed interview notes </w:t>
      </w:r>
      <w:r w:rsidR="00C54EF6">
        <w:t xml:space="preserve">from interviews and focus groups </w:t>
      </w:r>
      <w:r w:rsidRPr="004C28D8">
        <w:t>will be uploaded into NVivo and the study team will develop a codebook to guide the coding of notes in NVivo. This coding will organize the data collected through interviews into “nodes,” or categorical themes</w:t>
      </w:r>
      <w:r w:rsidR="00B21C24">
        <w:t>.</w:t>
      </w:r>
      <w:r w:rsidRPr="004C28D8">
        <w:t xml:space="preserve"> A lead analyst will conduct an in-depth training for the NVivo coders to ensure consistency across coded data from the interviews and focus groups.</w:t>
      </w:r>
      <w:r w:rsidR="003C2D01">
        <w:t xml:space="preserve"> Please see Section 8, Confidentiality for data security measures.</w:t>
      </w:r>
      <w:r w:rsidRPr="004C28D8">
        <w:t xml:space="preserve"> </w:t>
      </w:r>
    </w:p>
    <w:p w:rsidR="00810690" w:rsidP="004C28D8" w:rsidRDefault="00810690" w14:paraId="0A4BD465" w14:textId="77777777">
      <w:pPr>
        <w:widowControl w:val="0"/>
        <w:autoSpaceDE w:val="0"/>
        <w:autoSpaceDN w:val="0"/>
        <w:adjustRightInd w:val="0"/>
        <w:rPr>
          <w:rFonts w:asciiTheme="minorHAnsi" w:hAnsiTheme="minorHAnsi" w:cstheme="minorHAnsi"/>
        </w:rPr>
      </w:pPr>
    </w:p>
    <w:p w:rsidRPr="004C28D8" w:rsidR="00125FFF" w:rsidP="004C28D8" w:rsidRDefault="00AF771B" w14:paraId="5264B865" w14:textId="0167E86A">
      <w:pPr>
        <w:widowControl w:val="0"/>
        <w:autoSpaceDE w:val="0"/>
        <w:autoSpaceDN w:val="0"/>
        <w:adjustRightInd w:val="0"/>
        <w:rPr>
          <w:rFonts w:asciiTheme="minorHAnsi" w:hAnsiTheme="minorHAnsi" w:cstheme="minorHAnsi"/>
        </w:rPr>
      </w:pPr>
      <w:r w:rsidRPr="004C28D8">
        <w:rPr>
          <w:rFonts w:asciiTheme="minorHAnsi" w:hAnsiTheme="minorHAnsi" w:cstheme="minorHAnsi"/>
        </w:rPr>
        <w:t>Findings will be considered descriptive and directional, but not definitive. No attempt will be made to generalize findings as nationally representative.</w:t>
      </w:r>
    </w:p>
    <w:p w:rsidR="00125FFF" w:rsidP="0046016E" w:rsidRDefault="00125FFF" w14:paraId="7D02D2CE" w14:textId="77777777">
      <w:pPr>
        <w:pStyle w:val="BodyText"/>
      </w:pPr>
    </w:p>
    <w:p w:rsidRPr="00AE5F2F" w:rsidR="00F63D02" w:rsidP="0046016E" w:rsidRDefault="00F63D02" w14:paraId="705E1A0D" w14:textId="77777777">
      <w:pPr>
        <w:pStyle w:val="Heading2"/>
      </w:pPr>
      <w:r w:rsidRPr="00AE5F2F">
        <w:t>Outcomes/Findings</w:t>
      </w:r>
    </w:p>
    <w:p w:rsidR="00F63D02" w:rsidP="0046016E" w:rsidRDefault="001D754E" w14:paraId="651A503E" w14:textId="78F4325F">
      <w:pPr>
        <w:pStyle w:val="BodyText"/>
      </w:pPr>
      <w:r w:rsidRPr="00AE5F2F">
        <w:t xml:space="preserve">Research </w:t>
      </w:r>
      <w:r w:rsidRPr="00AE5F2F" w:rsidR="00F63D02">
        <w:t>findings will not include information that personally identifies any of the research participants.</w:t>
      </w:r>
      <w:r w:rsidRPr="00AE5F2F">
        <w:t xml:space="preserve"> Results will be synthesized into two interim reports and a final report, all of which will be made public on the USDA-FNS website: </w:t>
      </w:r>
      <w:hyperlink w:history="1" r:id="rId14">
        <w:r w:rsidRPr="00005388" w:rsidR="002419E8">
          <w:rPr>
            <w:rStyle w:val="Hyperlink"/>
          </w:rPr>
          <w:t>http://www.fns.usda.gov/ops/research-and-analysis</w:t>
        </w:r>
      </w:hyperlink>
      <w:r w:rsidR="003C2D01">
        <w:rPr>
          <w:rStyle w:val="Hyperlink"/>
        </w:rPr>
        <w:t>.</w:t>
      </w:r>
      <w:r w:rsidR="002419E8">
        <w:t xml:space="preserve"> </w:t>
      </w:r>
    </w:p>
    <w:p w:rsidR="00911C74" w:rsidP="0046016E" w:rsidRDefault="00911C74" w14:paraId="3D854D8A" w14:textId="77777777">
      <w:pPr>
        <w:pStyle w:val="BodyText"/>
      </w:pPr>
    </w:p>
    <w:p w:rsidRPr="00AE5F2F" w:rsidR="00F63D02" w:rsidP="0044216D" w:rsidRDefault="00F63D02" w14:paraId="3DFC7A01" w14:textId="77777777">
      <w:pPr>
        <w:pStyle w:val="Heading1"/>
      </w:pPr>
      <w:r w:rsidRPr="00AE5F2F">
        <w:t>Confidentiality:</w:t>
      </w:r>
    </w:p>
    <w:p w:rsidR="00034C1B" w:rsidP="00453830" w:rsidRDefault="001D754E" w14:paraId="23F8E7BA" w14:textId="79FB31D2">
      <w:pPr>
        <w:pStyle w:val="BodyText"/>
      </w:pPr>
      <w:r w:rsidRPr="00AE5F2F">
        <w:t xml:space="preserve">FNS complies with the Privacy Act of 1974 (5 USC 552a).  The information gathered in this study will be kept private to the full extent permitted by law. </w:t>
      </w:r>
      <w:r w:rsidR="00B21C24">
        <w:t xml:space="preserve">The study will </w:t>
      </w:r>
      <w:r w:rsidR="003C2D01">
        <w:t xml:space="preserve">not </w:t>
      </w:r>
      <w:r w:rsidR="00B21C24">
        <w:t xml:space="preserve">collect personally identifiable information (PII). </w:t>
      </w:r>
      <w:r w:rsidRPr="00AE5F2F">
        <w:t>Consent language will be provided in the body of all interviews (grantee interview, SFA interview</w:t>
      </w:r>
      <w:r w:rsidR="003C2D01">
        <w:t xml:space="preserve"> and</w:t>
      </w:r>
      <w:r w:rsidRPr="00AE5F2F">
        <w:t xml:space="preserve"> retailer Interview), in verbal format, and as a separate written consent form for focus groups. All respondents’ information will be kept private and not disclosed to anyone but the analysts conducting this evaluation, except as otherwise required by law. Respondents to key informant interviews and focus groups will be informed of all planned uses of data, and that their information will be kept private to the extent permitted by law.  </w:t>
      </w:r>
      <w:r w:rsidRPr="00AE5F2F" w:rsidR="00F63D02">
        <w:t xml:space="preserve">System of Record FNS-8, FNS Studies and Reports, published in the Federal Register on </w:t>
      </w:r>
      <w:r w:rsidRPr="00AE5F2F" w:rsidR="00F63D02">
        <w:lastRenderedPageBreak/>
        <w:t xml:space="preserve">4/25/1991 at 56 FR 19078, covers personal information collected under this study and identifies safeguards for the information collected. </w:t>
      </w:r>
    </w:p>
    <w:p w:rsidR="00034C1B" w:rsidP="00453830" w:rsidRDefault="00034C1B" w14:paraId="0B3F3732" w14:textId="77777777">
      <w:pPr>
        <w:pStyle w:val="BodyText"/>
      </w:pPr>
    </w:p>
    <w:p w:rsidR="00CE1933" w:rsidP="00CE1933" w:rsidRDefault="00034C1B" w14:paraId="45172066" w14:textId="58F16D63">
      <w:pPr>
        <w:pStyle w:val="BodyText"/>
      </w:pPr>
      <w:r>
        <w:t>T</w:t>
      </w:r>
      <w:r w:rsidRPr="00034C1B">
        <w:t>his study is volu</w:t>
      </w:r>
      <w:r>
        <w:t>ntary for all potential participants and respondents, and is not required to obtain or retain benefits</w:t>
      </w:r>
      <w:r w:rsidRPr="00034C1B">
        <w:t xml:space="preserve"> for t</w:t>
      </w:r>
      <w:r>
        <w:t xml:space="preserve">he SFAs, State </w:t>
      </w:r>
      <w:r w:rsidR="003C2D01">
        <w:t>A</w:t>
      </w:r>
      <w:r>
        <w:t>gencies, retailers or parents/caregivers</w:t>
      </w:r>
      <w:r w:rsidRPr="00034C1B">
        <w:t>.</w:t>
      </w:r>
      <w:r>
        <w:t xml:space="preserve"> Comments from interviews and focus groups</w:t>
      </w:r>
      <w:r w:rsidRPr="00034C1B">
        <w:t xml:space="preserve"> will be used in a </w:t>
      </w:r>
      <w:r>
        <w:t>summary report for FNS. No names</w:t>
      </w:r>
      <w:r w:rsidRPr="00034C1B">
        <w:t xml:space="preserve"> or other personally identifiable informatio</w:t>
      </w:r>
      <w:r>
        <w:t xml:space="preserve">n will be shared in the report. </w:t>
      </w:r>
    </w:p>
    <w:p w:rsidR="00EA5364" w:rsidP="00CE1933" w:rsidRDefault="00EA5364" w14:paraId="7C961B77" w14:textId="77777777">
      <w:pPr>
        <w:pStyle w:val="BodyText"/>
      </w:pPr>
    </w:p>
    <w:p w:rsidRPr="00CE1933" w:rsidR="00CE1933" w:rsidP="00CE1933" w:rsidRDefault="00CE1933" w14:paraId="2794455D" w14:textId="77777777">
      <w:pPr>
        <w:pStyle w:val="BodyText"/>
      </w:pPr>
      <w:r w:rsidRPr="00CE1933">
        <w:t>During the life of the project, any hard-copy documents containing personal identifiers will be stored in secured file cabinets and rooms, and electronic data will be maintained on secured, password-protected computer servers. Interviewers will keep notes and documents secure at all times while in the field. Sources of data will be accessible only by approved contractor staff. At the close of the evaluation, all hard-copy documents will be sent to secure storage and shredded as permitted under our contract.</w:t>
      </w:r>
    </w:p>
    <w:p w:rsidR="00CE1933" w:rsidP="00CE1933" w:rsidRDefault="00CE1933" w14:paraId="2342BBB4" w14:textId="77777777">
      <w:pPr>
        <w:pStyle w:val="BodyText"/>
      </w:pPr>
    </w:p>
    <w:p w:rsidRPr="00CE1933" w:rsidR="00CE1933" w:rsidP="00CE1933" w:rsidRDefault="00CE1933" w14:paraId="7E35D66D" w14:textId="40FE4D3A">
      <w:pPr>
        <w:pStyle w:val="BodyText"/>
      </w:pPr>
      <w:r w:rsidRPr="00CE1933">
        <w:t>For the grantee and SFA interviews, the study team will prepare a Restricted Use File that include</w:t>
      </w:r>
      <w:r w:rsidR="003C2D01">
        <w:t>s</w:t>
      </w:r>
      <w:r w:rsidRPr="00CE1933">
        <w:t xml:space="preserve"> de-identified interview data for internal FNS use. There will be no Public Use File that includes any interview or focus group data, given that the relatively small number of respondents would make it easy to identify respondents in the data.  In preparing restricted use files, the study team will remove respondents’ names and reserve the right to remove comments about specific people or grantee service areas that may negatively affect those people or service areas, but will not redact all information (e.g., job role) that could be used to identify an individual respondent.</w:t>
      </w:r>
    </w:p>
    <w:p w:rsidR="00CE1933" w:rsidP="00CE1933" w:rsidRDefault="00CE1933" w14:paraId="5227A947" w14:textId="77777777">
      <w:pPr>
        <w:pStyle w:val="BodyText"/>
      </w:pPr>
    </w:p>
    <w:p w:rsidR="00CE1933" w:rsidP="00CE1933" w:rsidRDefault="00CE1933" w14:paraId="72700509" w14:textId="789DCD79">
      <w:pPr>
        <w:pStyle w:val="BodyText"/>
      </w:pPr>
      <w:r w:rsidRPr="00CE1933">
        <w:t xml:space="preserve">All electronic data for the </w:t>
      </w:r>
      <w:r w:rsidR="003C2D01">
        <w:t>i</w:t>
      </w:r>
      <w:r w:rsidRPr="00CE1933">
        <w:t xml:space="preserve">nterviews and </w:t>
      </w:r>
      <w:r w:rsidR="003C2D01">
        <w:t>f</w:t>
      </w:r>
      <w:r w:rsidRPr="00CE1933">
        <w:t xml:space="preserve">ocus </w:t>
      </w:r>
      <w:r w:rsidR="003C2D01">
        <w:t>g</w:t>
      </w:r>
      <w:r w:rsidRPr="00CE1933">
        <w:t xml:space="preserve">roups will be transferred using a secure portal website that uses FIPS 140-2 compliant encryption SSL/TLS protocols, and will be stored on secure drives with access restricted to staff associated with the project. The study team will destroy all data for the </w:t>
      </w:r>
      <w:r w:rsidR="003C2D01">
        <w:t>f</w:t>
      </w:r>
      <w:r w:rsidRPr="00CE1933">
        <w:t xml:space="preserve">ocus </w:t>
      </w:r>
      <w:r w:rsidR="003C2D01">
        <w:t>g</w:t>
      </w:r>
      <w:r w:rsidRPr="00CE1933">
        <w:t xml:space="preserve">roups and </w:t>
      </w:r>
      <w:r w:rsidR="003C2D01">
        <w:t>i</w:t>
      </w:r>
      <w:r w:rsidRPr="00CE1933">
        <w:t>nterviews at the end of the contract.</w:t>
      </w:r>
      <w:r w:rsidR="00B21C24">
        <w:t xml:space="preserve">  </w:t>
      </w:r>
    </w:p>
    <w:p w:rsidR="00B21C24" w:rsidP="00CE1933" w:rsidRDefault="00B21C24" w14:paraId="02B03EDE" w14:textId="77777777">
      <w:pPr>
        <w:pStyle w:val="BodyText"/>
      </w:pPr>
    </w:p>
    <w:p w:rsidRPr="00CE1933" w:rsidR="00B21C24" w:rsidP="00CE1933" w:rsidRDefault="00B21C24" w14:paraId="4965272E" w14:textId="5CD2177D">
      <w:pPr>
        <w:pStyle w:val="BodyText"/>
      </w:pPr>
      <w:r>
        <w:t xml:space="preserve">The study has been reviewed by Abt’s Internal Review Board (IRB) and granted an approved exemption, the IRB approval can be found in Attachment J. </w:t>
      </w:r>
    </w:p>
    <w:p w:rsidRPr="00AE5F2F" w:rsidR="00F63D02" w:rsidP="0046016E" w:rsidRDefault="00F63D02" w14:paraId="73802D8B" w14:textId="77777777">
      <w:pPr>
        <w:pStyle w:val="BodyText"/>
      </w:pPr>
    </w:p>
    <w:p w:rsidRPr="0031627C" w:rsidR="00B43437" w:rsidP="0046016E" w:rsidRDefault="00F63D02" w14:paraId="3A17AC2B" w14:textId="1BCCCC92">
      <w:pPr>
        <w:pStyle w:val="BodyText"/>
      </w:pPr>
      <w:r w:rsidRPr="00AE5F2F">
        <w:rPr>
          <w:b/>
        </w:rPr>
        <w:t>Federal Costs</w:t>
      </w:r>
      <w:r w:rsidRPr="00AE5F2F">
        <w:t xml:space="preserve">: </w:t>
      </w:r>
      <w:r w:rsidRPr="00165E6C" w:rsidR="00165E6C">
        <w:t>The total annualized cost for the data collection activities under this current request will be $1,</w:t>
      </w:r>
      <w:r w:rsidR="00E61D68">
        <w:t>040,579.95</w:t>
      </w:r>
      <w:r w:rsidRPr="00165E6C" w:rsidR="00165E6C">
        <w:t xml:space="preserve">.   The largest cost to the Federal Government is to pay the contractor ($1,012,745.60 per year for five years, with fully loaded wages) to conduct this study and deliver reports and data files. The information collection also assumes a total of </w:t>
      </w:r>
      <w:r w:rsidR="00B43437">
        <w:t>424</w:t>
      </w:r>
      <w:r w:rsidRPr="00165E6C" w:rsidR="00B43437">
        <w:t xml:space="preserve"> </w:t>
      </w:r>
      <w:r w:rsidRPr="00165E6C" w:rsidR="00165E6C">
        <w:t>hours of two federal employees’ time per year for a total cost of $2</w:t>
      </w:r>
      <w:r w:rsidR="00B43437">
        <w:t>0</w:t>
      </w:r>
      <w:r w:rsidRPr="00165E6C" w:rsidR="00165E6C">
        <w:t>,</w:t>
      </w:r>
      <w:r w:rsidR="00B43437">
        <w:t>928.08</w:t>
      </w:r>
      <w:r w:rsidRPr="00165E6C" w:rsidR="00165E6C">
        <w:t xml:space="preserve"> per year with the following breakdown: 416 hours per year for a GS-13, Step 1 in the Washington, DC area at $4</w:t>
      </w:r>
      <w:r w:rsidR="00742AA5">
        <w:t>9</w:t>
      </w:r>
      <w:r w:rsidRPr="00165E6C" w:rsidR="00165E6C">
        <w:t>.</w:t>
      </w:r>
      <w:r w:rsidR="00742AA5">
        <w:t>19</w:t>
      </w:r>
      <w:r w:rsidRPr="00165E6C" w:rsidR="00165E6C">
        <w:t xml:space="preserve"> and a GS-14, Step 1 at $5</w:t>
      </w:r>
      <w:r w:rsidR="00742AA5">
        <w:t>8</w:t>
      </w:r>
      <w:r w:rsidRPr="00165E6C" w:rsidR="00165E6C">
        <w:t>.1</w:t>
      </w:r>
      <w:r w:rsidR="00742AA5">
        <w:t>3</w:t>
      </w:r>
      <w:r w:rsidRPr="00165E6C" w:rsidR="00165E6C">
        <w:t xml:space="preserve"> per hour for a total of 8 hours per year.</w:t>
      </w:r>
      <w:r w:rsidR="00B43437">
        <w:t xml:space="preserve"> With fully loaded wage</w:t>
      </w:r>
      <w:r w:rsidR="00E61D68">
        <w:t>s</w:t>
      </w:r>
      <w:r w:rsidR="006A7623">
        <w:t xml:space="preserve"> (adding $6,906.27, which is 33 percent of the initial total cost of $20,928.08)  </w:t>
      </w:r>
      <w:r w:rsidR="00B43437">
        <w:t xml:space="preserve"> the total would be $27</w:t>
      </w:r>
      <w:r w:rsidR="002445EE">
        <w:t>,</w:t>
      </w:r>
      <w:r w:rsidR="00B43437">
        <w:t>834.</w:t>
      </w:r>
      <w:r w:rsidR="002445EE">
        <w:t>35</w:t>
      </w:r>
      <w:r w:rsidR="00B43437">
        <w:t>.</w:t>
      </w:r>
      <w:r w:rsidRPr="00165E6C" w:rsidR="00165E6C">
        <w:t xml:space="preserve"> The total cost of federal employees’ time over five years is: $</w:t>
      </w:r>
      <w:r w:rsidR="00B43437">
        <w:t>139,171.73</w:t>
      </w:r>
      <w:r w:rsidR="0031627C">
        <w:t>.</w:t>
      </w:r>
    </w:p>
    <w:p w:rsidRPr="00AE5F2F" w:rsidR="00F63D02" w:rsidP="0046016E" w:rsidRDefault="00F63D02" w14:paraId="5E8F8BBD" w14:textId="77777777">
      <w:pPr>
        <w:pStyle w:val="BodyText"/>
      </w:pPr>
    </w:p>
    <w:p w:rsidRPr="004C28D8" w:rsidR="002907ED" w:rsidP="00EA5364" w:rsidRDefault="00F63D02" w14:paraId="5B80D4DE" w14:textId="5B2E059F">
      <w:pPr>
        <w:pStyle w:val="Heading1"/>
      </w:pPr>
      <w:r w:rsidRPr="00AE5F2F">
        <w:t>Research Tools/Instruments</w:t>
      </w:r>
      <w:r w:rsidR="00E24461">
        <w:t xml:space="preserve"> and Other Attachments</w:t>
      </w:r>
      <w:r w:rsidRPr="00AE5F2F">
        <w:t>:</w:t>
      </w:r>
    </w:p>
    <w:p w:rsidRPr="00EA5364" w:rsidR="00EA5364" w:rsidP="00EA5364" w:rsidRDefault="00EA5364" w14:paraId="1F0DC361" w14:textId="0F9A79A9">
      <w:pPr>
        <w:rPr>
          <w:rFonts w:asciiTheme="minorHAnsi" w:hAnsiTheme="minorHAnsi" w:cstheme="minorHAnsi"/>
          <w:b/>
        </w:rPr>
      </w:pPr>
    </w:p>
    <w:p w:rsidRPr="0009739C" w:rsidR="00EA5364" w:rsidP="00EA5364" w:rsidRDefault="00EA5364" w14:paraId="1A856B42" w14:textId="77777777">
      <w:pPr>
        <w:pStyle w:val="ListParagraph"/>
        <w:numPr>
          <w:ilvl w:val="0"/>
          <w:numId w:val="69"/>
        </w:numPr>
        <w:rPr>
          <w:rFonts w:asciiTheme="minorHAnsi" w:hAnsiTheme="minorHAnsi" w:cstheme="minorHAnsi"/>
          <w:b/>
        </w:rPr>
      </w:pPr>
      <w:r w:rsidRPr="0009739C">
        <w:rPr>
          <w:rFonts w:asciiTheme="minorHAnsi" w:hAnsiTheme="minorHAnsi" w:cstheme="minorHAnsi"/>
          <w:b/>
        </w:rPr>
        <w:t xml:space="preserve">Attachment A: </w:t>
      </w:r>
      <w:r>
        <w:rPr>
          <w:rFonts w:asciiTheme="minorHAnsi" w:hAnsiTheme="minorHAnsi" w:cstheme="minorHAnsi"/>
          <w:b/>
        </w:rPr>
        <w:t>Burden Table</w:t>
      </w:r>
    </w:p>
    <w:p w:rsidR="00450B09" w:rsidP="00450B09" w:rsidRDefault="00EA5364" w14:paraId="4C388369" w14:textId="77777777">
      <w:pPr>
        <w:pStyle w:val="Heading1"/>
        <w:numPr>
          <w:ilvl w:val="0"/>
          <w:numId w:val="69"/>
        </w:numPr>
      </w:pPr>
      <w:r>
        <w:t>Attachment B</w:t>
      </w:r>
      <w:r w:rsidR="00450B09">
        <w:t>.1</w:t>
      </w:r>
      <w:r>
        <w:t>: Grantee Interview Protocol</w:t>
      </w:r>
    </w:p>
    <w:p w:rsidRPr="000A3B1B" w:rsidR="00450B09" w:rsidP="00450B09" w:rsidRDefault="00450B09" w14:paraId="31092FCA" w14:textId="2F163647">
      <w:pPr>
        <w:pStyle w:val="Heading1"/>
        <w:numPr>
          <w:ilvl w:val="0"/>
          <w:numId w:val="69"/>
        </w:numPr>
      </w:pPr>
      <w:r w:rsidRPr="000A3B1B">
        <w:t>Attachment B.2 Shortened Grantee Interview Protocol</w:t>
      </w:r>
    </w:p>
    <w:p w:rsidR="00EA5364" w:rsidP="00EA5364" w:rsidRDefault="00EA5364" w14:paraId="77B60CB1" w14:textId="77777777">
      <w:pPr>
        <w:pStyle w:val="Heading1"/>
        <w:numPr>
          <w:ilvl w:val="0"/>
          <w:numId w:val="69"/>
        </w:numPr>
      </w:pPr>
      <w:r>
        <w:t>Attachment C:  Grantee Introduction Package</w:t>
      </w:r>
    </w:p>
    <w:p w:rsidRPr="00B46A3F" w:rsidR="00EA5364" w:rsidP="00EA5364" w:rsidRDefault="00EA5364" w14:paraId="1E11E893" w14:textId="77777777">
      <w:pPr>
        <w:pStyle w:val="ListParagraph"/>
        <w:numPr>
          <w:ilvl w:val="0"/>
          <w:numId w:val="70"/>
        </w:numPr>
        <w:rPr>
          <w:rFonts w:asciiTheme="minorHAnsi" w:hAnsiTheme="minorHAnsi" w:cstheme="minorHAnsi"/>
          <w:b/>
        </w:rPr>
      </w:pPr>
      <w:r w:rsidRPr="00B46A3F">
        <w:rPr>
          <w:rFonts w:asciiTheme="minorHAnsi" w:hAnsiTheme="minorHAnsi" w:cstheme="minorHAnsi"/>
          <w:b/>
        </w:rPr>
        <w:t>C.1: Study Team Introductory Email to Grantees</w:t>
      </w:r>
    </w:p>
    <w:p w:rsidRPr="00B46A3F" w:rsidR="00EA5364" w:rsidP="00EA5364" w:rsidRDefault="00EA5364" w14:paraId="30141610" w14:textId="77777777">
      <w:pPr>
        <w:pStyle w:val="ListParagraph"/>
        <w:numPr>
          <w:ilvl w:val="0"/>
          <w:numId w:val="70"/>
        </w:numPr>
        <w:rPr>
          <w:rFonts w:asciiTheme="minorHAnsi" w:hAnsiTheme="minorHAnsi" w:cstheme="minorHAnsi"/>
          <w:b/>
        </w:rPr>
      </w:pPr>
      <w:r w:rsidRPr="00B46A3F">
        <w:rPr>
          <w:rFonts w:asciiTheme="minorHAnsi" w:hAnsiTheme="minorHAnsi" w:cstheme="minorHAnsi"/>
          <w:b/>
        </w:rPr>
        <w:t>C.2: Interview Confirmation Email Template for Grantees</w:t>
      </w:r>
    </w:p>
    <w:p w:rsidR="00EA5364" w:rsidP="00EA5364" w:rsidRDefault="00EA5364" w14:paraId="0D9F224E" w14:textId="77777777">
      <w:pPr>
        <w:pStyle w:val="Heading1"/>
        <w:numPr>
          <w:ilvl w:val="0"/>
          <w:numId w:val="69"/>
        </w:numPr>
      </w:pPr>
      <w:r>
        <w:t>Attachment D: SFA Interview Protocol</w:t>
      </w:r>
    </w:p>
    <w:p w:rsidR="00EA5364" w:rsidP="00EA5364" w:rsidRDefault="00EA5364" w14:paraId="2CF3D08C" w14:textId="77777777">
      <w:pPr>
        <w:pStyle w:val="Heading1"/>
        <w:numPr>
          <w:ilvl w:val="0"/>
          <w:numId w:val="69"/>
        </w:numPr>
      </w:pPr>
      <w:r>
        <w:t>Attachment E: SFA Recruitment Package</w:t>
      </w:r>
    </w:p>
    <w:p w:rsidR="00EA5364" w:rsidP="00EA5364" w:rsidRDefault="00EA5364" w14:paraId="209445E8" w14:textId="77777777">
      <w:pPr>
        <w:pStyle w:val="ListParagraph"/>
        <w:numPr>
          <w:ilvl w:val="0"/>
          <w:numId w:val="70"/>
        </w:numPr>
        <w:rPr>
          <w:rFonts w:asciiTheme="minorHAnsi" w:hAnsiTheme="minorHAnsi" w:cstheme="minorHAnsi"/>
          <w:b/>
        </w:rPr>
      </w:pPr>
      <w:r>
        <w:rPr>
          <w:rFonts w:asciiTheme="minorHAnsi" w:hAnsiTheme="minorHAnsi" w:cstheme="minorHAnsi"/>
          <w:b/>
        </w:rPr>
        <w:t xml:space="preserve">E.1: </w:t>
      </w:r>
      <w:r w:rsidRPr="0009739C">
        <w:rPr>
          <w:rFonts w:asciiTheme="minorHAnsi" w:hAnsiTheme="minorHAnsi" w:cstheme="minorHAnsi"/>
          <w:b/>
        </w:rPr>
        <w:t xml:space="preserve">Grantee Introductory Email to SFAs </w:t>
      </w:r>
    </w:p>
    <w:p w:rsidR="00EA5364" w:rsidP="00EA5364" w:rsidRDefault="00EA5364" w14:paraId="734A8DD9" w14:textId="77777777">
      <w:pPr>
        <w:pStyle w:val="ListParagraph"/>
        <w:numPr>
          <w:ilvl w:val="0"/>
          <w:numId w:val="70"/>
        </w:numPr>
        <w:rPr>
          <w:rFonts w:asciiTheme="minorHAnsi" w:hAnsiTheme="minorHAnsi" w:cstheme="minorHAnsi"/>
          <w:b/>
        </w:rPr>
      </w:pPr>
      <w:r>
        <w:rPr>
          <w:rFonts w:asciiTheme="minorHAnsi" w:hAnsiTheme="minorHAnsi" w:cstheme="minorHAnsi"/>
          <w:b/>
        </w:rPr>
        <w:t>E.2: Study Team Introductory Email to SFAs</w:t>
      </w:r>
    </w:p>
    <w:p w:rsidR="00EA5364" w:rsidP="00EA5364" w:rsidRDefault="00EA5364" w14:paraId="0E30C35C" w14:textId="77777777">
      <w:pPr>
        <w:pStyle w:val="ListParagraph"/>
        <w:numPr>
          <w:ilvl w:val="0"/>
          <w:numId w:val="70"/>
        </w:numPr>
        <w:rPr>
          <w:rFonts w:asciiTheme="minorHAnsi" w:hAnsiTheme="minorHAnsi" w:cstheme="minorHAnsi"/>
          <w:b/>
        </w:rPr>
      </w:pPr>
      <w:r>
        <w:rPr>
          <w:rFonts w:asciiTheme="minorHAnsi" w:hAnsiTheme="minorHAnsi" w:cstheme="minorHAnsi"/>
          <w:b/>
        </w:rPr>
        <w:t>E.3: Recruitment FAQ Sheet for SFAs</w:t>
      </w:r>
    </w:p>
    <w:p w:rsidR="00EA5364" w:rsidP="00EA5364" w:rsidRDefault="00EA5364" w14:paraId="7FC347E8" w14:textId="77777777">
      <w:pPr>
        <w:pStyle w:val="ListParagraph"/>
        <w:numPr>
          <w:ilvl w:val="0"/>
          <w:numId w:val="70"/>
        </w:numPr>
        <w:rPr>
          <w:rFonts w:asciiTheme="minorHAnsi" w:hAnsiTheme="minorHAnsi" w:cstheme="minorHAnsi"/>
          <w:b/>
        </w:rPr>
      </w:pPr>
      <w:r>
        <w:rPr>
          <w:rFonts w:asciiTheme="minorHAnsi" w:hAnsiTheme="minorHAnsi" w:cstheme="minorHAnsi"/>
          <w:b/>
        </w:rPr>
        <w:t>E.4: Study Overview Sheet for SFAs</w:t>
      </w:r>
    </w:p>
    <w:p w:rsidR="00EA5364" w:rsidP="00EA5364" w:rsidRDefault="00EA5364" w14:paraId="01AA84EC" w14:textId="77777777">
      <w:pPr>
        <w:pStyle w:val="ListParagraph"/>
        <w:numPr>
          <w:ilvl w:val="0"/>
          <w:numId w:val="70"/>
        </w:numPr>
        <w:rPr>
          <w:rFonts w:asciiTheme="minorHAnsi" w:hAnsiTheme="minorHAnsi" w:cstheme="minorHAnsi"/>
          <w:b/>
        </w:rPr>
      </w:pPr>
      <w:r>
        <w:rPr>
          <w:rFonts w:asciiTheme="minorHAnsi" w:hAnsiTheme="minorHAnsi" w:cstheme="minorHAnsi"/>
          <w:b/>
        </w:rPr>
        <w:t>E.5: Telephone Script for SFA Recruitment</w:t>
      </w:r>
    </w:p>
    <w:p w:rsidR="00EA5364" w:rsidP="00EA5364" w:rsidRDefault="00EA5364" w14:paraId="05BA0C1B" w14:textId="77777777">
      <w:pPr>
        <w:pStyle w:val="ListParagraph"/>
        <w:numPr>
          <w:ilvl w:val="0"/>
          <w:numId w:val="70"/>
        </w:numPr>
        <w:rPr>
          <w:rFonts w:asciiTheme="minorHAnsi" w:hAnsiTheme="minorHAnsi" w:cstheme="minorHAnsi"/>
          <w:b/>
        </w:rPr>
      </w:pPr>
      <w:r>
        <w:rPr>
          <w:rFonts w:asciiTheme="minorHAnsi" w:hAnsiTheme="minorHAnsi" w:cstheme="minorHAnsi"/>
          <w:b/>
        </w:rPr>
        <w:t>E.6 Interview Confirmation Email Template for SFAs</w:t>
      </w:r>
    </w:p>
    <w:p w:rsidR="00EA5364" w:rsidP="00EA5364" w:rsidRDefault="00EA5364" w14:paraId="4D6F2E65" w14:textId="77777777">
      <w:pPr>
        <w:pStyle w:val="Heading1"/>
        <w:numPr>
          <w:ilvl w:val="0"/>
          <w:numId w:val="69"/>
        </w:numPr>
      </w:pPr>
      <w:r>
        <w:t>Attachment F: Focus Group Protocol Package</w:t>
      </w:r>
    </w:p>
    <w:p w:rsidR="00EA5364" w:rsidP="00EA5364" w:rsidRDefault="00EA5364" w14:paraId="3D53A735" w14:textId="77777777">
      <w:pPr>
        <w:pStyle w:val="ListParagraph"/>
        <w:numPr>
          <w:ilvl w:val="0"/>
          <w:numId w:val="70"/>
        </w:numPr>
        <w:rPr>
          <w:rFonts w:asciiTheme="minorHAnsi" w:hAnsiTheme="minorHAnsi" w:cstheme="minorHAnsi"/>
          <w:b/>
        </w:rPr>
      </w:pPr>
      <w:r>
        <w:rPr>
          <w:rFonts w:asciiTheme="minorHAnsi" w:hAnsiTheme="minorHAnsi" w:cstheme="minorHAnsi"/>
          <w:b/>
        </w:rPr>
        <w:t>F.1 Focus Group Sign-In Sheet</w:t>
      </w:r>
    </w:p>
    <w:p w:rsidR="00EA5364" w:rsidP="00EA5364" w:rsidRDefault="00EA5364" w14:paraId="4D427498" w14:textId="77777777">
      <w:pPr>
        <w:pStyle w:val="ListParagraph"/>
        <w:numPr>
          <w:ilvl w:val="0"/>
          <w:numId w:val="70"/>
        </w:numPr>
        <w:rPr>
          <w:rFonts w:asciiTheme="minorHAnsi" w:hAnsiTheme="minorHAnsi" w:cstheme="minorHAnsi"/>
          <w:b/>
        </w:rPr>
      </w:pPr>
      <w:r>
        <w:rPr>
          <w:rFonts w:asciiTheme="minorHAnsi" w:hAnsiTheme="minorHAnsi" w:cstheme="minorHAnsi"/>
          <w:b/>
        </w:rPr>
        <w:t>F.2 Focus Group Consent Form</w:t>
      </w:r>
    </w:p>
    <w:p w:rsidR="00EA5364" w:rsidP="00EA5364" w:rsidRDefault="00EA5364" w14:paraId="097FCAFB" w14:textId="77777777">
      <w:pPr>
        <w:pStyle w:val="ListParagraph"/>
        <w:numPr>
          <w:ilvl w:val="0"/>
          <w:numId w:val="70"/>
        </w:numPr>
        <w:rPr>
          <w:rFonts w:asciiTheme="minorHAnsi" w:hAnsiTheme="minorHAnsi" w:cstheme="minorHAnsi"/>
          <w:b/>
        </w:rPr>
      </w:pPr>
      <w:r>
        <w:rPr>
          <w:rFonts w:asciiTheme="minorHAnsi" w:hAnsiTheme="minorHAnsi" w:cstheme="minorHAnsi"/>
          <w:b/>
        </w:rPr>
        <w:t>F. 3 Parent/Caregiver Focus Group Interview Protocol</w:t>
      </w:r>
    </w:p>
    <w:p w:rsidR="00EA5364" w:rsidP="00EA5364" w:rsidRDefault="00EA5364" w14:paraId="069AB7E8" w14:textId="77777777">
      <w:pPr>
        <w:pStyle w:val="Heading1"/>
        <w:numPr>
          <w:ilvl w:val="0"/>
          <w:numId w:val="69"/>
        </w:numPr>
      </w:pPr>
      <w:r>
        <w:t>Attachment G: Focus Group Recruitment Package</w:t>
      </w:r>
    </w:p>
    <w:p w:rsidR="00EA5364" w:rsidP="00EA5364" w:rsidRDefault="00EA5364" w14:paraId="788E0603" w14:textId="77777777">
      <w:pPr>
        <w:pStyle w:val="ListParagraph"/>
        <w:numPr>
          <w:ilvl w:val="0"/>
          <w:numId w:val="70"/>
        </w:numPr>
        <w:rPr>
          <w:rFonts w:asciiTheme="minorHAnsi" w:hAnsiTheme="minorHAnsi" w:cstheme="minorHAnsi"/>
          <w:b/>
        </w:rPr>
      </w:pPr>
      <w:r>
        <w:rPr>
          <w:rFonts w:asciiTheme="minorHAnsi" w:hAnsiTheme="minorHAnsi" w:cstheme="minorHAnsi"/>
          <w:b/>
        </w:rPr>
        <w:t>G.1 Recruitment Flyer/Handout for Focus Group</w:t>
      </w:r>
    </w:p>
    <w:p w:rsidR="00EA5364" w:rsidP="00EA5364" w:rsidRDefault="00EA5364" w14:paraId="7B898CE9" w14:textId="77777777">
      <w:pPr>
        <w:pStyle w:val="ListParagraph"/>
        <w:numPr>
          <w:ilvl w:val="0"/>
          <w:numId w:val="70"/>
        </w:numPr>
        <w:rPr>
          <w:rFonts w:asciiTheme="minorHAnsi" w:hAnsiTheme="minorHAnsi" w:cstheme="minorHAnsi"/>
          <w:b/>
        </w:rPr>
      </w:pPr>
      <w:r>
        <w:rPr>
          <w:rFonts w:asciiTheme="minorHAnsi" w:hAnsiTheme="minorHAnsi" w:cstheme="minorHAnsi"/>
          <w:b/>
        </w:rPr>
        <w:t>G.2 Recruitment FAQ Sheet for Focus Groups</w:t>
      </w:r>
    </w:p>
    <w:p w:rsidR="00EA5364" w:rsidP="00EA5364" w:rsidRDefault="00EA5364" w14:paraId="66EFAF2B" w14:textId="77777777">
      <w:pPr>
        <w:pStyle w:val="ListParagraph"/>
        <w:numPr>
          <w:ilvl w:val="0"/>
          <w:numId w:val="70"/>
        </w:numPr>
        <w:rPr>
          <w:rFonts w:asciiTheme="minorHAnsi" w:hAnsiTheme="minorHAnsi" w:cstheme="minorHAnsi"/>
          <w:b/>
        </w:rPr>
      </w:pPr>
      <w:r>
        <w:rPr>
          <w:rFonts w:asciiTheme="minorHAnsi" w:hAnsiTheme="minorHAnsi" w:cstheme="minorHAnsi"/>
          <w:b/>
        </w:rPr>
        <w:t>G.3 Study Overview Sheet for Focus Group Participants</w:t>
      </w:r>
    </w:p>
    <w:p w:rsidR="00EA5364" w:rsidP="00EA5364" w:rsidRDefault="00EA5364" w14:paraId="141FED73" w14:textId="77777777">
      <w:pPr>
        <w:pStyle w:val="ListParagraph"/>
        <w:numPr>
          <w:ilvl w:val="0"/>
          <w:numId w:val="70"/>
        </w:numPr>
        <w:rPr>
          <w:rFonts w:asciiTheme="minorHAnsi" w:hAnsiTheme="minorHAnsi" w:cstheme="minorHAnsi"/>
          <w:b/>
        </w:rPr>
      </w:pPr>
      <w:r>
        <w:rPr>
          <w:rFonts w:asciiTheme="minorHAnsi" w:hAnsiTheme="minorHAnsi" w:cstheme="minorHAnsi"/>
          <w:b/>
        </w:rPr>
        <w:t>G.4 Telephone Script for Focus Group Confirmation</w:t>
      </w:r>
    </w:p>
    <w:p w:rsidR="00EA5364" w:rsidP="00EA5364" w:rsidRDefault="00EA5364" w14:paraId="27E50CAD" w14:textId="77777777">
      <w:pPr>
        <w:pStyle w:val="ListParagraph"/>
        <w:numPr>
          <w:ilvl w:val="0"/>
          <w:numId w:val="70"/>
        </w:numPr>
        <w:rPr>
          <w:rFonts w:asciiTheme="minorHAnsi" w:hAnsiTheme="minorHAnsi" w:cstheme="minorHAnsi"/>
          <w:b/>
        </w:rPr>
      </w:pPr>
      <w:r>
        <w:rPr>
          <w:rFonts w:asciiTheme="minorHAnsi" w:hAnsiTheme="minorHAnsi" w:cstheme="minorHAnsi"/>
          <w:b/>
        </w:rPr>
        <w:t>G.5 Focus Group Confirmation Email Template for Focus Group Participants</w:t>
      </w:r>
    </w:p>
    <w:p w:rsidR="00EA5364" w:rsidP="00EA5364" w:rsidRDefault="00EA5364" w14:paraId="19240FA8" w14:textId="77777777">
      <w:pPr>
        <w:pStyle w:val="Heading1"/>
        <w:numPr>
          <w:ilvl w:val="0"/>
          <w:numId w:val="69"/>
        </w:numPr>
      </w:pPr>
      <w:r>
        <w:t>Attachment H: Retailer Interview Protocol</w:t>
      </w:r>
    </w:p>
    <w:p w:rsidR="00EA5364" w:rsidP="00EA5364" w:rsidRDefault="00EA5364" w14:paraId="17796C76" w14:textId="77777777">
      <w:pPr>
        <w:pStyle w:val="Heading1"/>
        <w:numPr>
          <w:ilvl w:val="0"/>
          <w:numId w:val="69"/>
        </w:numPr>
      </w:pPr>
      <w:r>
        <w:t>Attachment I: Retailer Recruitment Package</w:t>
      </w:r>
    </w:p>
    <w:p w:rsidR="00EA5364" w:rsidP="00EA5364" w:rsidRDefault="00EA5364" w14:paraId="2842A8D6" w14:textId="77777777">
      <w:pPr>
        <w:pStyle w:val="ListParagraph"/>
        <w:numPr>
          <w:ilvl w:val="0"/>
          <w:numId w:val="70"/>
        </w:numPr>
        <w:rPr>
          <w:rFonts w:asciiTheme="minorHAnsi" w:hAnsiTheme="minorHAnsi" w:cstheme="minorHAnsi"/>
          <w:b/>
        </w:rPr>
      </w:pPr>
      <w:r>
        <w:rPr>
          <w:rFonts w:asciiTheme="minorHAnsi" w:hAnsiTheme="minorHAnsi" w:cstheme="minorHAnsi"/>
          <w:b/>
        </w:rPr>
        <w:t>Attachment I</w:t>
      </w:r>
      <w:r w:rsidRPr="009D2E59">
        <w:rPr>
          <w:rFonts w:asciiTheme="minorHAnsi" w:hAnsiTheme="minorHAnsi" w:cstheme="minorHAnsi"/>
          <w:b/>
        </w:rPr>
        <w:t xml:space="preserve">.1: </w:t>
      </w:r>
      <w:r w:rsidRPr="0009739C">
        <w:rPr>
          <w:rFonts w:asciiTheme="minorHAnsi" w:hAnsiTheme="minorHAnsi" w:cstheme="minorHAnsi"/>
          <w:b/>
        </w:rPr>
        <w:t>Grantee Introductory Email to Retailers</w:t>
      </w:r>
    </w:p>
    <w:p w:rsidRPr="009D2E59" w:rsidR="00EA5364" w:rsidP="00EA5364" w:rsidRDefault="00EA5364" w14:paraId="2053D58A" w14:textId="15BCA67D">
      <w:pPr>
        <w:pStyle w:val="ListParagraph"/>
        <w:numPr>
          <w:ilvl w:val="0"/>
          <w:numId w:val="70"/>
        </w:numPr>
        <w:rPr>
          <w:rFonts w:asciiTheme="minorHAnsi" w:hAnsiTheme="minorHAnsi" w:cstheme="minorHAnsi"/>
          <w:b/>
        </w:rPr>
      </w:pPr>
      <w:r>
        <w:rPr>
          <w:rFonts w:asciiTheme="minorHAnsi" w:hAnsiTheme="minorHAnsi" w:cstheme="minorHAnsi"/>
          <w:b/>
        </w:rPr>
        <w:t xml:space="preserve">Attachment I.2 </w:t>
      </w:r>
      <w:r w:rsidRPr="009D2E59">
        <w:rPr>
          <w:rFonts w:asciiTheme="minorHAnsi" w:hAnsiTheme="minorHAnsi" w:cstheme="minorHAnsi"/>
          <w:b/>
        </w:rPr>
        <w:t xml:space="preserve">Study </w:t>
      </w:r>
      <w:r w:rsidR="00171F18">
        <w:rPr>
          <w:rFonts w:asciiTheme="minorHAnsi" w:hAnsiTheme="minorHAnsi" w:cstheme="minorHAnsi"/>
          <w:b/>
        </w:rPr>
        <w:t>T</w:t>
      </w:r>
      <w:r w:rsidRPr="009D2E59">
        <w:rPr>
          <w:rFonts w:asciiTheme="minorHAnsi" w:hAnsiTheme="minorHAnsi" w:cstheme="minorHAnsi"/>
          <w:b/>
        </w:rPr>
        <w:t>eam Introductory Email to Retailers</w:t>
      </w:r>
    </w:p>
    <w:p w:rsidR="00EA5364" w:rsidP="00EA5364" w:rsidRDefault="00EA5364" w14:paraId="4B33C0A9" w14:textId="50EDCBBD">
      <w:pPr>
        <w:pStyle w:val="ListParagraph"/>
        <w:numPr>
          <w:ilvl w:val="0"/>
          <w:numId w:val="70"/>
        </w:numPr>
        <w:rPr>
          <w:rFonts w:asciiTheme="minorHAnsi" w:hAnsiTheme="minorHAnsi" w:cstheme="minorHAnsi"/>
          <w:b/>
        </w:rPr>
      </w:pPr>
      <w:r>
        <w:rPr>
          <w:rFonts w:asciiTheme="minorHAnsi" w:hAnsiTheme="minorHAnsi" w:cstheme="minorHAnsi"/>
          <w:b/>
        </w:rPr>
        <w:t>Attachment I.3</w:t>
      </w:r>
      <w:r w:rsidRPr="009D2E59">
        <w:rPr>
          <w:rFonts w:asciiTheme="minorHAnsi" w:hAnsiTheme="minorHAnsi" w:cstheme="minorHAnsi"/>
          <w:b/>
        </w:rPr>
        <w:t xml:space="preserve">: Telephone Script for </w:t>
      </w:r>
      <w:r>
        <w:rPr>
          <w:rFonts w:asciiTheme="minorHAnsi" w:hAnsiTheme="minorHAnsi" w:cstheme="minorHAnsi"/>
          <w:b/>
        </w:rPr>
        <w:t>Retailer Recruitment</w:t>
      </w:r>
    </w:p>
    <w:p w:rsidRPr="009D2E59" w:rsidR="00EA5364" w:rsidP="00EA5364" w:rsidRDefault="00EA5364" w14:paraId="1B72EFB5" w14:textId="4643C864">
      <w:pPr>
        <w:pStyle w:val="ListParagraph"/>
        <w:numPr>
          <w:ilvl w:val="0"/>
          <w:numId w:val="70"/>
        </w:numPr>
        <w:rPr>
          <w:rFonts w:asciiTheme="minorHAnsi" w:hAnsiTheme="minorHAnsi" w:cstheme="minorHAnsi"/>
          <w:b/>
        </w:rPr>
      </w:pPr>
      <w:r>
        <w:rPr>
          <w:rFonts w:asciiTheme="minorHAnsi" w:hAnsiTheme="minorHAnsi" w:cstheme="minorHAnsi"/>
          <w:b/>
        </w:rPr>
        <w:t>Attachment I.4: Interview Confirmation Email Template for Retailer</w:t>
      </w:r>
      <w:r w:rsidR="00171F18">
        <w:rPr>
          <w:rFonts w:asciiTheme="minorHAnsi" w:hAnsiTheme="minorHAnsi" w:cstheme="minorHAnsi"/>
          <w:b/>
        </w:rPr>
        <w:t>s</w:t>
      </w:r>
      <w:r>
        <w:rPr>
          <w:rFonts w:asciiTheme="minorHAnsi" w:hAnsiTheme="minorHAnsi" w:cstheme="minorHAnsi"/>
          <w:b/>
        </w:rPr>
        <w:t xml:space="preserve"> </w:t>
      </w:r>
    </w:p>
    <w:p w:rsidR="00EA5364" w:rsidP="00EA5364" w:rsidRDefault="00EA5364" w14:paraId="2362C434" w14:textId="77777777">
      <w:pPr>
        <w:pStyle w:val="Heading1"/>
        <w:numPr>
          <w:ilvl w:val="0"/>
          <w:numId w:val="69"/>
        </w:numPr>
      </w:pPr>
      <w:r>
        <w:t>Attachment J:  IRB Approval</w:t>
      </w:r>
    </w:p>
    <w:p w:rsidRPr="00FE3DF9" w:rsidR="002A637F" w:rsidP="00453830" w:rsidRDefault="002A637F" w14:paraId="3090C1F6" w14:textId="1DBE13AF">
      <w:pPr>
        <w:pStyle w:val="ListParagraph"/>
        <w:rPr>
          <w:rFonts w:ascii="Arial" w:hAnsi="Arial" w:cs="Arial"/>
          <w:spacing w:val="-4"/>
          <w:sz w:val="16"/>
          <w:szCs w:val="16"/>
        </w:rPr>
      </w:pPr>
    </w:p>
    <w:sectPr w:rsidRPr="00FE3DF9" w:rsidR="002A637F" w:rsidSect="00D318B1">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8ABE" w14:textId="77777777" w:rsidR="00830523" w:rsidRDefault="00830523">
      <w:r>
        <w:separator/>
      </w:r>
    </w:p>
    <w:p w14:paraId="00866F06" w14:textId="77777777" w:rsidR="00830523" w:rsidRDefault="00830523"/>
  </w:endnote>
  <w:endnote w:type="continuationSeparator" w:id="0">
    <w:p w14:paraId="6C1C33EC" w14:textId="77777777" w:rsidR="00830523" w:rsidRDefault="00830523">
      <w:r>
        <w:continuationSeparator/>
      </w:r>
    </w:p>
    <w:p w14:paraId="1100C791" w14:textId="77777777" w:rsidR="00830523" w:rsidRDefault="00830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BD49" w14:textId="77777777" w:rsidR="008718E0" w:rsidRDefault="008718E0" w:rsidP="002629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04396C05" w14:textId="77777777" w:rsidR="008718E0" w:rsidRDefault="008718E0" w:rsidP="0026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82D3" w14:textId="3F8347BA" w:rsidR="008718E0" w:rsidRDefault="008718E0" w:rsidP="002629B3">
    <w:pPr>
      <w:pStyle w:val="Footer"/>
    </w:pPr>
    <w:r>
      <w:fldChar w:fldCharType="begin"/>
    </w:r>
    <w:r>
      <w:instrText xml:space="preserve"> PAGE   \* MERGEFORMAT </w:instrText>
    </w:r>
    <w:r>
      <w:fldChar w:fldCharType="separate"/>
    </w:r>
    <w:r w:rsidR="00000E1B">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51217"/>
      <w:docPartObj>
        <w:docPartGallery w:val="Page Numbers (Bottom of Page)"/>
        <w:docPartUnique/>
      </w:docPartObj>
    </w:sdtPr>
    <w:sdtEndPr/>
    <w:sdtContent>
      <w:p w14:paraId="09863F62" w14:textId="77777777" w:rsidR="008718E0" w:rsidRDefault="008718E0" w:rsidP="002629B3">
        <w:pPr>
          <w:pStyle w:val="Footer"/>
        </w:pPr>
        <w:r>
          <w:fldChar w:fldCharType="begin"/>
        </w:r>
        <w:r>
          <w:instrText xml:space="preserve"> PAGE   \* MERGEFORMAT </w:instrText>
        </w:r>
        <w:r>
          <w:fldChar w:fldCharType="separate"/>
        </w:r>
        <w: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7A6D" w14:textId="77777777" w:rsidR="00830523" w:rsidRDefault="00830523">
      <w:r>
        <w:separator/>
      </w:r>
    </w:p>
    <w:p w14:paraId="1C2D63C5" w14:textId="77777777" w:rsidR="00830523" w:rsidRDefault="00830523"/>
  </w:footnote>
  <w:footnote w:type="continuationSeparator" w:id="0">
    <w:p w14:paraId="3BC3111C" w14:textId="77777777" w:rsidR="00830523" w:rsidRDefault="00830523">
      <w:r>
        <w:continuationSeparator/>
      </w:r>
    </w:p>
    <w:p w14:paraId="4574327E" w14:textId="77777777" w:rsidR="00830523" w:rsidRDefault="00830523"/>
  </w:footnote>
  <w:footnote w:id="1">
    <w:p w14:paraId="2065A08C" w14:textId="25D2DD15" w:rsidR="008718E0" w:rsidRDefault="008718E0" w:rsidP="00171829">
      <w:pPr>
        <w:rPr>
          <w:rFonts w:asciiTheme="minorHAnsi" w:hAnsiTheme="minorHAnsi" w:cstheme="minorHAnsi"/>
          <w:noProof/>
          <w:sz w:val="18"/>
          <w:szCs w:val="18"/>
        </w:rPr>
      </w:pPr>
      <w:r>
        <w:rPr>
          <w:rStyle w:val="FootnoteReference"/>
        </w:rPr>
        <w:footnoteRef/>
      </w:r>
      <w:r>
        <w:t xml:space="preserve"> </w:t>
      </w:r>
      <w:r>
        <w:rPr>
          <w:rFonts w:asciiTheme="minorHAnsi" w:hAnsiTheme="minorHAnsi" w:cstheme="minorHAnsi"/>
          <w:noProof/>
          <w:sz w:val="18"/>
          <w:szCs w:val="18"/>
        </w:rPr>
        <w:t xml:space="preserve">One grantee will receive 3 site visits over the data collection period. The other three grantees will receive only two visits over the three year data collection period.  </w:t>
      </w:r>
      <w:r>
        <w:rPr>
          <w:rFonts w:asciiTheme="minorHAnsi" w:hAnsiTheme="minorHAnsi" w:cstheme="minorHAnsi"/>
          <w:sz w:val="18"/>
          <w:szCs w:val="18"/>
        </w:rPr>
        <w:t>We have calculated the frequency for the individual activities (with the exception of Attachment B.2) to accommodate this. The calculation is as follows</w:t>
      </w:r>
      <w:r w:rsidRPr="00171829">
        <w:rPr>
          <w:rFonts w:asciiTheme="minorHAnsi" w:hAnsiTheme="minorHAnsi" w:cstheme="minorHAnsi"/>
          <w:noProof/>
          <w:sz w:val="18"/>
          <w:szCs w:val="18"/>
        </w:rPr>
        <w:t xml:space="preserve"> </w:t>
      </w:r>
    </w:p>
    <w:p w14:paraId="75CCCF15" w14:textId="41EA5393" w:rsidR="008718E0" w:rsidRPr="00453830" w:rsidRDefault="008718E0" w:rsidP="00453830">
      <w:pPr>
        <w:pStyle w:val="ListParagraph"/>
        <w:numPr>
          <w:ilvl w:val="0"/>
          <w:numId w:val="73"/>
        </w:numPr>
        <w:rPr>
          <w:rFonts w:asciiTheme="minorHAnsi" w:hAnsiTheme="minorHAnsi" w:cstheme="minorHAnsi"/>
          <w:color w:val="000000" w:themeColor="text1"/>
          <w:sz w:val="18"/>
          <w:szCs w:val="18"/>
        </w:rPr>
      </w:pPr>
      <w:r w:rsidRPr="00174036">
        <w:rPr>
          <w:rFonts w:asciiTheme="minorHAnsi" w:hAnsiTheme="minorHAnsi" w:cstheme="minorHAnsi"/>
          <w:color w:val="000000" w:themeColor="text1"/>
          <w:sz w:val="18"/>
          <w:szCs w:val="18"/>
        </w:rPr>
        <w:t>3</w:t>
      </w:r>
      <w:r w:rsidRPr="00453830">
        <w:rPr>
          <w:rFonts w:asciiTheme="minorHAnsi" w:hAnsiTheme="minorHAnsi" w:cstheme="minorHAnsi"/>
          <w:color w:val="000000" w:themeColor="text1"/>
          <w:sz w:val="18"/>
          <w:szCs w:val="18"/>
        </w:rPr>
        <w:t xml:space="preserve"> grantees visite</w:t>
      </w:r>
      <w:r w:rsidRPr="00174036">
        <w:rPr>
          <w:rFonts w:asciiTheme="minorHAnsi" w:hAnsiTheme="minorHAnsi" w:cstheme="minorHAnsi"/>
          <w:color w:val="000000" w:themeColor="text1"/>
          <w:sz w:val="18"/>
          <w:szCs w:val="18"/>
        </w:rPr>
        <w:t>d 2 times = 6</w:t>
      </w:r>
      <w:r w:rsidRPr="00453830">
        <w:rPr>
          <w:rFonts w:asciiTheme="minorHAnsi" w:hAnsiTheme="minorHAnsi" w:cstheme="minorHAnsi"/>
          <w:color w:val="000000" w:themeColor="text1"/>
          <w:sz w:val="18"/>
          <w:szCs w:val="18"/>
        </w:rPr>
        <w:t xml:space="preserve"> visits</w:t>
      </w:r>
    </w:p>
    <w:p w14:paraId="4D31499F" w14:textId="707E7E41" w:rsidR="008718E0" w:rsidRPr="00453830" w:rsidRDefault="008718E0" w:rsidP="00453830">
      <w:pPr>
        <w:pStyle w:val="ListParagraph"/>
        <w:numPr>
          <w:ilvl w:val="0"/>
          <w:numId w:val="73"/>
        </w:numPr>
        <w:rPr>
          <w:rFonts w:asciiTheme="minorHAnsi" w:hAnsiTheme="minorHAnsi" w:cstheme="minorHAnsi"/>
          <w:color w:val="000000" w:themeColor="text1"/>
          <w:sz w:val="18"/>
          <w:szCs w:val="18"/>
        </w:rPr>
      </w:pPr>
      <w:r w:rsidRPr="00174036">
        <w:rPr>
          <w:rFonts w:asciiTheme="minorHAnsi" w:hAnsiTheme="minorHAnsi" w:cstheme="minorHAnsi"/>
          <w:color w:val="000000" w:themeColor="text1"/>
          <w:sz w:val="18"/>
          <w:szCs w:val="18"/>
        </w:rPr>
        <w:t xml:space="preserve">1 grantee visited 3 times = 3 </w:t>
      </w:r>
      <w:r w:rsidRPr="00453830">
        <w:rPr>
          <w:rFonts w:asciiTheme="minorHAnsi" w:hAnsiTheme="minorHAnsi" w:cstheme="minorHAnsi"/>
          <w:color w:val="000000" w:themeColor="text1"/>
          <w:sz w:val="18"/>
          <w:szCs w:val="18"/>
        </w:rPr>
        <w:t>visits</w:t>
      </w:r>
    </w:p>
    <w:p w14:paraId="76E22F4D" w14:textId="18F6B50C" w:rsidR="008718E0" w:rsidRPr="00453830" w:rsidRDefault="008718E0" w:rsidP="00453830">
      <w:pPr>
        <w:pStyle w:val="ListParagraph"/>
        <w:numPr>
          <w:ilvl w:val="0"/>
          <w:numId w:val="73"/>
        </w:numPr>
        <w:rPr>
          <w:rFonts w:asciiTheme="minorHAnsi" w:hAnsiTheme="minorHAnsi" w:cstheme="minorHAnsi"/>
          <w:color w:val="000000" w:themeColor="text1"/>
          <w:sz w:val="18"/>
          <w:szCs w:val="18"/>
        </w:rPr>
      </w:pPr>
      <w:r w:rsidRPr="00174036">
        <w:rPr>
          <w:rFonts w:asciiTheme="minorHAnsi" w:hAnsiTheme="minorHAnsi" w:cstheme="minorHAnsi"/>
          <w:color w:val="000000" w:themeColor="text1"/>
          <w:sz w:val="18"/>
          <w:szCs w:val="18"/>
        </w:rPr>
        <w:t>= 9 visits across 4 grantees (6 +3</w:t>
      </w:r>
      <w:r w:rsidRPr="00453830">
        <w:rPr>
          <w:rFonts w:asciiTheme="minorHAnsi" w:hAnsiTheme="minorHAnsi" w:cstheme="minorHAnsi"/>
          <w:color w:val="000000" w:themeColor="text1"/>
          <w:sz w:val="18"/>
          <w:szCs w:val="18"/>
        </w:rPr>
        <w:t>)</w:t>
      </w:r>
    </w:p>
    <w:p w14:paraId="5E3D954E" w14:textId="58638670" w:rsidR="008718E0" w:rsidRPr="00453830" w:rsidRDefault="008718E0" w:rsidP="00453830">
      <w:pPr>
        <w:pStyle w:val="ListParagraph"/>
        <w:numPr>
          <w:ilvl w:val="0"/>
          <w:numId w:val="73"/>
        </w:numPr>
        <w:rPr>
          <w:rFonts w:asciiTheme="minorHAnsi" w:hAnsiTheme="minorHAnsi" w:cstheme="minorHAnsi"/>
          <w:color w:val="000000" w:themeColor="text1"/>
          <w:sz w:val="18"/>
          <w:szCs w:val="18"/>
        </w:rPr>
      </w:pPr>
      <w:r w:rsidRPr="00174036">
        <w:rPr>
          <w:rFonts w:asciiTheme="minorHAnsi" w:hAnsiTheme="minorHAnsi" w:cstheme="minorHAnsi"/>
          <w:color w:val="000000" w:themeColor="text1"/>
          <w:sz w:val="18"/>
          <w:szCs w:val="18"/>
        </w:rPr>
        <w:t>= 2.25 visits per grantee (9</w:t>
      </w:r>
      <w:r w:rsidRPr="00453830">
        <w:rPr>
          <w:rFonts w:asciiTheme="minorHAnsi" w:hAnsiTheme="minorHAnsi" w:cstheme="minorHAnsi"/>
          <w:color w:val="000000" w:themeColor="text1"/>
          <w:sz w:val="18"/>
          <w:szCs w:val="18"/>
        </w:rPr>
        <w:t>/4)</w:t>
      </w:r>
    </w:p>
    <w:p w14:paraId="7B95C6BF" w14:textId="4FFE9ED3" w:rsidR="008718E0" w:rsidRPr="00174036" w:rsidRDefault="008718E0" w:rsidP="00453830">
      <w:pPr>
        <w:pStyle w:val="ListParagraph"/>
        <w:numPr>
          <w:ilvl w:val="0"/>
          <w:numId w:val="73"/>
        </w:numPr>
        <w:rPr>
          <w:rFonts w:asciiTheme="minorHAnsi" w:hAnsiTheme="minorHAnsi" w:cstheme="minorHAnsi"/>
          <w:color w:val="000000" w:themeColor="text1"/>
          <w:sz w:val="18"/>
          <w:szCs w:val="18"/>
        </w:rPr>
      </w:pPr>
      <w:r w:rsidRPr="00174036">
        <w:rPr>
          <w:rFonts w:asciiTheme="minorHAnsi" w:hAnsiTheme="minorHAnsi" w:cstheme="minorHAnsi"/>
          <w:color w:val="000000" w:themeColor="text1"/>
          <w:sz w:val="18"/>
          <w:szCs w:val="18"/>
        </w:rPr>
        <w:t>=0.75</w:t>
      </w:r>
      <w:r w:rsidRPr="00453830">
        <w:rPr>
          <w:rFonts w:asciiTheme="minorHAnsi" w:hAnsiTheme="minorHAnsi" w:cstheme="minorHAnsi"/>
          <w:color w:val="000000" w:themeColor="text1"/>
          <w:sz w:val="18"/>
          <w:szCs w:val="18"/>
        </w:rPr>
        <w:t xml:space="preserve"> visits per g</w:t>
      </w:r>
      <w:r w:rsidRPr="00174036">
        <w:rPr>
          <w:rFonts w:asciiTheme="minorHAnsi" w:hAnsiTheme="minorHAnsi" w:cstheme="minorHAnsi"/>
          <w:color w:val="000000" w:themeColor="text1"/>
          <w:sz w:val="18"/>
          <w:szCs w:val="18"/>
        </w:rPr>
        <w:t>rantee per year (2.25</w:t>
      </w:r>
      <w:r w:rsidRPr="00453830">
        <w:rPr>
          <w:rFonts w:asciiTheme="minorHAnsi" w:hAnsiTheme="minorHAnsi" w:cstheme="minorHAnsi"/>
          <w:color w:val="000000" w:themeColor="text1"/>
          <w:sz w:val="18"/>
          <w:szCs w:val="18"/>
        </w:rPr>
        <w:t xml:space="preserve">/ 3)  </w:t>
      </w:r>
    </w:p>
    <w:p w14:paraId="258D2740" w14:textId="62F48287" w:rsidR="008718E0" w:rsidRPr="00B51648" w:rsidRDefault="008718E0" w:rsidP="00B51648">
      <w:pPr>
        <w:rPr>
          <w:rFonts w:asciiTheme="minorHAnsi" w:hAnsiTheme="minorHAnsi" w:cstheme="minorHAnsi"/>
          <w:color w:val="1F497D"/>
          <w:sz w:val="18"/>
          <w:szCs w:val="18"/>
        </w:rPr>
      </w:pPr>
      <w:r w:rsidRPr="00174036">
        <w:rPr>
          <w:rFonts w:asciiTheme="minorHAnsi" w:hAnsiTheme="minorHAnsi" w:cstheme="minorHAnsi"/>
          <w:color w:val="000000" w:themeColor="text1"/>
          <w:sz w:val="18"/>
          <w:szCs w:val="18"/>
        </w:rPr>
        <w:t>Additionally, Attachment B</w:t>
      </w:r>
      <w:r>
        <w:rPr>
          <w:rFonts w:asciiTheme="minorHAnsi" w:hAnsiTheme="minorHAnsi" w:cstheme="minorHAnsi"/>
          <w:color w:val="000000" w:themeColor="text1"/>
          <w:sz w:val="18"/>
          <w:szCs w:val="18"/>
        </w:rPr>
        <w:t>.</w:t>
      </w:r>
      <w:r w:rsidRPr="00174036">
        <w:rPr>
          <w:rFonts w:asciiTheme="minorHAnsi" w:hAnsiTheme="minorHAnsi" w:cstheme="minorHAnsi"/>
          <w:color w:val="000000" w:themeColor="text1"/>
          <w:sz w:val="18"/>
          <w:szCs w:val="18"/>
        </w:rPr>
        <w:t xml:space="preserve">2 will only be used once with one grantee over the three year </w:t>
      </w:r>
      <w:r>
        <w:rPr>
          <w:rFonts w:asciiTheme="minorHAnsi" w:hAnsiTheme="minorHAnsi" w:cstheme="minorHAnsi"/>
          <w:color w:val="000000" w:themeColor="text1"/>
          <w:sz w:val="18"/>
          <w:szCs w:val="18"/>
        </w:rPr>
        <w:t xml:space="preserve">data </w:t>
      </w:r>
      <w:r w:rsidRPr="00174036">
        <w:rPr>
          <w:rFonts w:asciiTheme="minorHAnsi" w:hAnsiTheme="minorHAnsi" w:cstheme="minorHAnsi"/>
          <w:color w:val="000000" w:themeColor="text1"/>
          <w:sz w:val="18"/>
          <w:szCs w:val="18"/>
        </w:rPr>
        <w:t xml:space="preserve">collection period. </w:t>
      </w:r>
    </w:p>
  </w:footnote>
  <w:footnote w:id="2">
    <w:p w14:paraId="4CF1707D" w14:textId="50F1CFEC" w:rsidR="008718E0" w:rsidRDefault="008718E0">
      <w:pPr>
        <w:pStyle w:val="FootnoteText"/>
      </w:pPr>
      <w:r>
        <w:rPr>
          <w:rStyle w:val="FootnoteReference"/>
        </w:rPr>
        <w:footnoteRef/>
      </w:r>
      <w:r>
        <w:t xml:space="preserve"> </w:t>
      </w:r>
      <w:r w:rsidRPr="005C3B0F">
        <w:rPr>
          <w:sz w:val="18"/>
          <w:szCs w:val="18"/>
        </w:rPr>
        <w:t xml:space="preserve">We have estimated there are one small grantee, 4 small SFAs, and 20 small retailers involved in the evaluation. This is from a total </w:t>
      </w:r>
      <w:r w:rsidRPr="005C3B0F">
        <w:rPr>
          <w:b/>
          <w:sz w:val="18"/>
          <w:szCs w:val="18"/>
        </w:rPr>
        <w:t>responding</w:t>
      </w:r>
      <w:r w:rsidRPr="005C3B0F">
        <w:rPr>
          <w:sz w:val="18"/>
          <w:szCs w:val="18"/>
        </w:rPr>
        <w:t xml:space="preserve"> sample of 4 grantees, 8 SFAs, and 20 retailers (32). Therefore, 25 small entities out of 32 responding entities (78.12%). This </w:t>
      </w:r>
      <w:r>
        <w:rPr>
          <w:sz w:val="18"/>
          <w:szCs w:val="18"/>
        </w:rPr>
        <w:t>percentage</w:t>
      </w:r>
      <w:r w:rsidRPr="001A0D5E">
        <w:rPr>
          <w:sz w:val="18"/>
          <w:szCs w:val="18"/>
        </w:rPr>
        <w:t xml:space="preserve"> is only for entities involved in the evaluation and does not include individuals.</w:t>
      </w:r>
      <w:r>
        <w:t xml:space="preserve"> </w:t>
      </w:r>
    </w:p>
  </w:footnote>
  <w:footnote w:id="3">
    <w:p w14:paraId="1D206A6A" w14:textId="77777777" w:rsidR="008718E0" w:rsidRPr="009671A1" w:rsidRDefault="008718E0" w:rsidP="009671A1">
      <w:pPr>
        <w:pStyle w:val="FootnoteText"/>
        <w:rPr>
          <w:lang w:val="en"/>
        </w:rPr>
      </w:pPr>
      <w:r>
        <w:rPr>
          <w:rStyle w:val="FootnoteReference"/>
        </w:rPr>
        <w:footnoteRef/>
      </w:r>
      <w:r>
        <w:t xml:space="preserve"> </w:t>
      </w:r>
      <w:r w:rsidRPr="009671A1">
        <w:rPr>
          <w:lang w:val="en"/>
        </w:rPr>
        <w:t xml:space="preserve">Collins, A. M., Briefel, R., Klerman, J. A., Wolf, A., Rowe, G., Logan, C., … &amp; Lyskawa, J. (2016). </w:t>
      </w:r>
      <w:r w:rsidRPr="009671A1">
        <w:rPr>
          <w:i/>
          <w:iCs/>
          <w:lang w:val="en"/>
        </w:rPr>
        <w:t>Summer Electronic Benefit Transfer for Children (SEBTC) Demonstration: Summary report 2011-2014 (Summary)</w:t>
      </w:r>
      <w:r w:rsidRPr="009671A1">
        <w:rPr>
          <w:lang w:val="en"/>
        </w:rPr>
        <w:t>. Alexandria, VA: U.S. Department of Agriculture, Food and Nutrition Service, Office of Policy Support. Project Officer: Chanchalat Chanhatasilpa, May 2016. Contract #AG-3198-C-11-00024.</w:t>
      </w:r>
    </w:p>
    <w:p w14:paraId="7F9F1CB3" w14:textId="77777777" w:rsidR="008718E0" w:rsidRDefault="008718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0EA5" w14:textId="77777777" w:rsidR="008718E0" w:rsidRDefault="008718E0" w:rsidP="00005109">
    <w:pPr>
      <w:pStyle w:val="Header"/>
    </w:pPr>
  </w:p>
  <w:p w14:paraId="04A5B46D" w14:textId="77777777" w:rsidR="008718E0" w:rsidRDefault="00871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6214" w14:textId="77777777" w:rsidR="008718E0" w:rsidRPr="001D477E" w:rsidRDefault="008718E0" w:rsidP="009F3E3D">
    <w:pPr>
      <w:pStyle w:val="Header"/>
    </w:pPr>
  </w:p>
  <w:p w14:paraId="7A4B8E3A" w14:textId="77777777" w:rsidR="008718E0" w:rsidRDefault="008718E0"/>
  <w:p w14:paraId="3F9C35BD" w14:textId="77777777" w:rsidR="008718E0" w:rsidRDefault="008718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744"/>
    <w:multiLevelType w:val="hybridMultilevel"/>
    <w:tmpl w:val="18AAB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037"/>
    <w:multiLevelType w:val="hybridMultilevel"/>
    <w:tmpl w:val="E640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30509"/>
    <w:multiLevelType w:val="hybridMultilevel"/>
    <w:tmpl w:val="3FBA31AC"/>
    <w:lvl w:ilvl="0" w:tplc="12CA3A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AA04715"/>
    <w:multiLevelType w:val="hybridMultilevel"/>
    <w:tmpl w:val="6EE8320A"/>
    <w:lvl w:ilvl="0" w:tplc="ED9CFF9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0ACB32A6"/>
    <w:multiLevelType w:val="hybridMultilevel"/>
    <w:tmpl w:val="8FBEFC96"/>
    <w:lvl w:ilvl="0" w:tplc="C434BC32">
      <w:start w:val="1"/>
      <w:numFmt w:val="decimal"/>
      <w:pStyle w:val="Heading1"/>
      <w:lvlText w:val="%1."/>
      <w:lvlJc w:val="left"/>
      <w:pPr>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F6F36"/>
    <w:multiLevelType w:val="hybridMultilevel"/>
    <w:tmpl w:val="D1729B84"/>
    <w:lvl w:ilvl="0" w:tplc="6F7C450E">
      <w:start w:val="1"/>
      <w:numFmt w:val="lowerLetter"/>
      <w:lvlText w:val="%1)"/>
      <w:lvlJc w:val="left"/>
      <w:pPr>
        <w:ind w:left="1800" w:hanging="360"/>
      </w:pPr>
      <w:rPr>
        <w:rFonts w:ascii="Times New Roman" w:hAnsi="Times New Roman" w:cs="Times New Roman" w:hint="default"/>
        <w:i/>
        <w:sz w:val="20"/>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AD36D6"/>
    <w:multiLevelType w:val="hybridMultilevel"/>
    <w:tmpl w:val="C10C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540C3"/>
    <w:multiLevelType w:val="hybridMultilevel"/>
    <w:tmpl w:val="64A0DA0A"/>
    <w:lvl w:ilvl="0" w:tplc="5CDE273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402AFC"/>
    <w:multiLevelType w:val="hybridMultilevel"/>
    <w:tmpl w:val="E4B2250C"/>
    <w:lvl w:ilvl="0" w:tplc="D2E09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6E1066"/>
    <w:multiLevelType w:val="hybridMultilevel"/>
    <w:tmpl w:val="923C7D58"/>
    <w:lvl w:ilvl="0" w:tplc="5CDE2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82A36"/>
    <w:multiLevelType w:val="hybridMultilevel"/>
    <w:tmpl w:val="35D0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FF2B08"/>
    <w:multiLevelType w:val="hybridMultilevel"/>
    <w:tmpl w:val="6944F76A"/>
    <w:lvl w:ilvl="0" w:tplc="0CBCFD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E5850E8"/>
    <w:multiLevelType w:val="hybridMultilevel"/>
    <w:tmpl w:val="17464184"/>
    <w:lvl w:ilvl="0" w:tplc="E68E939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14255"/>
    <w:multiLevelType w:val="hybridMultilevel"/>
    <w:tmpl w:val="33385E82"/>
    <w:lvl w:ilvl="0" w:tplc="3FA4F9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D56B17"/>
    <w:multiLevelType w:val="hybridMultilevel"/>
    <w:tmpl w:val="50DEDAEC"/>
    <w:lvl w:ilvl="0" w:tplc="1B6429A6">
      <w:start w:val="1"/>
      <w:numFmt w:val="bullet"/>
      <w:pStyle w:val="Bullets"/>
      <w:lvlText w:val=""/>
      <w:lvlJc w:val="left"/>
      <w:pPr>
        <w:ind w:left="720" w:hanging="360"/>
      </w:pPr>
      <w:rPr>
        <w:rFonts w:ascii="Symbol" w:hAnsi="Symbol" w:hint="default"/>
      </w:rPr>
    </w:lvl>
    <w:lvl w:ilvl="1" w:tplc="A1B0451E">
      <w:start w:val="3"/>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97002"/>
    <w:multiLevelType w:val="hybridMultilevel"/>
    <w:tmpl w:val="B9B02BA2"/>
    <w:lvl w:ilvl="0" w:tplc="57A02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C670E6"/>
    <w:multiLevelType w:val="hybridMultilevel"/>
    <w:tmpl w:val="6EE8320A"/>
    <w:lvl w:ilvl="0" w:tplc="ED9C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4075BD"/>
    <w:multiLevelType w:val="hybridMultilevel"/>
    <w:tmpl w:val="365E3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9A3B1A"/>
    <w:multiLevelType w:val="hybridMultilevel"/>
    <w:tmpl w:val="B48C1630"/>
    <w:lvl w:ilvl="0" w:tplc="5174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C36F2D"/>
    <w:multiLevelType w:val="hybridMultilevel"/>
    <w:tmpl w:val="F9B8A618"/>
    <w:lvl w:ilvl="0" w:tplc="D4AED654">
      <w:start w:val="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0B0D83"/>
    <w:multiLevelType w:val="hybridMultilevel"/>
    <w:tmpl w:val="FB86C8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585261"/>
    <w:multiLevelType w:val="hybridMultilevel"/>
    <w:tmpl w:val="92F0752A"/>
    <w:lvl w:ilvl="0" w:tplc="308CCC5E">
      <w:start w:val="1"/>
      <w:numFmt w:val="lowerLetter"/>
      <w:lvlText w:val="%1)"/>
      <w:lvlJc w:val="left"/>
      <w:pPr>
        <w:ind w:left="1080" w:hanging="360"/>
      </w:pPr>
      <w:rPr>
        <w:rFonts w:ascii="Calibri" w:eastAsia="Times New Roman"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6B80"/>
    <w:multiLevelType w:val="hybridMultilevel"/>
    <w:tmpl w:val="E48EDDEE"/>
    <w:lvl w:ilvl="0" w:tplc="0344A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9B19DD"/>
    <w:multiLevelType w:val="hybridMultilevel"/>
    <w:tmpl w:val="E75E9464"/>
    <w:lvl w:ilvl="0" w:tplc="E5707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C38124C"/>
    <w:multiLevelType w:val="hybridMultilevel"/>
    <w:tmpl w:val="F00CBAC0"/>
    <w:lvl w:ilvl="0" w:tplc="04090017">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7C4E5C"/>
    <w:multiLevelType w:val="hybridMultilevel"/>
    <w:tmpl w:val="4FBC789E"/>
    <w:lvl w:ilvl="0" w:tplc="6E0EA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EFF26F4"/>
    <w:multiLevelType w:val="hybridMultilevel"/>
    <w:tmpl w:val="ECE81C5A"/>
    <w:lvl w:ilvl="0" w:tplc="5E928F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2B5A57"/>
    <w:multiLevelType w:val="hybridMultilevel"/>
    <w:tmpl w:val="1B02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5E0F56"/>
    <w:multiLevelType w:val="hybridMultilevel"/>
    <w:tmpl w:val="E48EDDEE"/>
    <w:lvl w:ilvl="0" w:tplc="0344A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DD396F"/>
    <w:multiLevelType w:val="hybridMultilevel"/>
    <w:tmpl w:val="5EB244DA"/>
    <w:lvl w:ilvl="0" w:tplc="D6F62836">
      <w:start w:val="1"/>
      <w:numFmt w:val="lowerLetter"/>
      <w:lvlText w:val="%1)"/>
      <w:lvlJc w:val="left"/>
      <w:pPr>
        <w:ind w:left="1980" w:hanging="360"/>
      </w:pPr>
      <w:rPr>
        <w:rFonts w:asciiTheme="minorHAnsi" w:eastAsia="Times New Roman" w:hAnsiTheme="minorHAnsi"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355F4E19"/>
    <w:multiLevelType w:val="hybridMultilevel"/>
    <w:tmpl w:val="5A54E380"/>
    <w:lvl w:ilvl="0" w:tplc="227AE69E">
      <w:start w:val="1"/>
      <w:numFmt w:val="lowerLetter"/>
      <w:lvlText w:val="%1)"/>
      <w:lvlJc w:val="left"/>
      <w:pPr>
        <w:ind w:left="6120" w:hanging="360"/>
      </w:pPr>
      <w:rPr>
        <w:rFonts w:hint="default"/>
      </w:rPr>
    </w:lvl>
    <w:lvl w:ilvl="1" w:tplc="0409000F">
      <w:start w:val="1"/>
      <w:numFmt w:val="decimal"/>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1" w15:restartNumberingAfterBreak="0">
    <w:nsid w:val="369F31AB"/>
    <w:multiLevelType w:val="hybridMultilevel"/>
    <w:tmpl w:val="B7642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031BB8"/>
    <w:multiLevelType w:val="hybridMultilevel"/>
    <w:tmpl w:val="906632CC"/>
    <w:lvl w:ilvl="0" w:tplc="0A9415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26522"/>
    <w:multiLevelType w:val="hybridMultilevel"/>
    <w:tmpl w:val="108294E6"/>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37D35A6E"/>
    <w:multiLevelType w:val="hybridMultilevel"/>
    <w:tmpl w:val="183C2632"/>
    <w:lvl w:ilvl="0" w:tplc="5CDE2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1A4AC9"/>
    <w:multiLevelType w:val="hybridMultilevel"/>
    <w:tmpl w:val="FB86C8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2853A4"/>
    <w:multiLevelType w:val="hybridMultilevel"/>
    <w:tmpl w:val="2BF6D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AC14E3C"/>
    <w:multiLevelType w:val="hybridMultilevel"/>
    <w:tmpl w:val="027EFD56"/>
    <w:lvl w:ilvl="0" w:tplc="3EF80E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25F7D3A"/>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9251CF"/>
    <w:multiLevelType w:val="hybridMultilevel"/>
    <w:tmpl w:val="ECE81C5A"/>
    <w:lvl w:ilvl="0" w:tplc="5E928F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4B64EA9"/>
    <w:multiLevelType w:val="hybridMultilevel"/>
    <w:tmpl w:val="9F54D898"/>
    <w:lvl w:ilvl="0" w:tplc="1732486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15:restartNumberingAfterBreak="0">
    <w:nsid w:val="468E0583"/>
    <w:multiLevelType w:val="hybridMultilevel"/>
    <w:tmpl w:val="ECE81C5A"/>
    <w:lvl w:ilvl="0" w:tplc="5E928F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B91976"/>
    <w:multiLevelType w:val="hybridMultilevel"/>
    <w:tmpl w:val="A1C8090C"/>
    <w:lvl w:ilvl="0" w:tplc="AB02F3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A9E571D"/>
    <w:multiLevelType w:val="hybridMultilevel"/>
    <w:tmpl w:val="2CB80822"/>
    <w:lvl w:ilvl="0" w:tplc="D4B00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C0F2BD7"/>
    <w:multiLevelType w:val="hybridMultilevel"/>
    <w:tmpl w:val="721C2F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566963"/>
    <w:multiLevelType w:val="hybridMultilevel"/>
    <w:tmpl w:val="2CB80822"/>
    <w:lvl w:ilvl="0" w:tplc="D4B00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A77212"/>
    <w:multiLevelType w:val="hybridMultilevel"/>
    <w:tmpl w:val="FA06449E"/>
    <w:lvl w:ilvl="0" w:tplc="D40C5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8B0DFA"/>
    <w:multiLevelType w:val="hybridMultilevel"/>
    <w:tmpl w:val="A8A8BC72"/>
    <w:lvl w:ilvl="0" w:tplc="04090003">
      <w:start w:val="1"/>
      <w:numFmt w:val="bullet"/>
      <w:lvlText w:val="o"/>
      <w:lvlJc w:val="left"/>
      <w:pPr>
        <w:ind w:left="1080" w:hanging="360"/>
      </w:pPr>
      <w:rPr>
        <w:rFonts w:ascii="Courier New" w:hAnsi="Courier New" w:cs="Courier New"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55E87D83"/>
    <w:multiLevelType w:val="hybridMultilevel"/>
    <w:tmpl w:val="3FBA31AC"/>
    <w:lvl w:ilvl="0" w:tplc="12CA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78B3786"/>
    <w:multiLevelType w:val="multilevel"/>
    <w:tmpl w:val="E7B0CB82"/>
    <w:lvl w:ilvl="0">
      <w:start w:val="1"/>
      <w:numFmt w:val="upperLetter"/>
      <w:pStyle w:val="Heading1Attach"/>
      <w:lvlText w:val="Attachment %1."/>
      <w:lvlJc w:val="left"/>
      <w:pPr>
        <w:ind w:left="5580" w:firstLine="0"/>
      </w:pPr>
      <w:rPr>
        <w:rFonts w:hint="default"/>
      </w:rPr>
    </w:lvl>
    <w:lvl w:ilvl="1">
      <w:start w:val="1"/>
      <w:numFmt w:val="decimal"/>
      <w:pStyle w:val="Heading2Attach"/>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C451888"/>
    <w:multiLevelType w:val="hybridMultilevel"/>
    <w:tmpl w:val="CE96EB90"/>
    <w:lvl w:ilvl="0" w:tplc="DBB08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DD44A5F"/>
    <w:multiLevelType w:val="hybridMultilevel"/>
    <w:tmpl w:val="6EE8320A"/>
    <w:lvl w:ilvl="0" w:tplc="ED9CFF9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2" w15:restartNumberingAfterBreak="0">
    <w:nsid w:val="5E634208"/>
    <w:multiLevelType w:val="hybridMultilevel"/>
    <w:tmpl w:val="9916824E"/>
    <w:lvl w:ilvl="0" w:tplc="2BA02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854166"/>
    <w:multiLevelType w:val="hybridMultilevel"/>
    <w:tmpl w:val="1FF8CAD8"/>
    <w:lvl w:ilvl="0" w:tplc="B22CB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3E6C74"/>
    <w:multiLevelType w:val="hybridMultilevel"/>
    <w:tmpl w:val="000C0734"/>
    <w:lvl w:ilvl="0" w:tplc="7C844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6441E4B"/>
    <w:multiLevelType w:val="hybridMultilevel"/>
    <w:tmpl w:val="CE40FEA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66E35D41"/>
    <w:multiLevelType w:val="hybridMultilevel"/>
    <w:tmpl w:val="B4580EF0"/>
    <w:lvl w:ilvl="0" w:tplc="6D908AC6">
      <w:start w:val="1"/>
      <w:numFmt w:val="lowerLetter"/>
      <w:lvlText w:val="%1)"/>
      <w:lvlJc w:val="left"/>
      <w:pPr>
        <w:ind w:left="1980" w:hanging="360"/>
      </w:pPr>
      <w:rPr>
        <w:rFonts w:ascii="Calibri" w:eastAsia="Times New Roman" w:hAnsi="Calibri"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67056FD1"/>
    <w:multiLevelType w:val="hybridMultilevel"/>
    <w:tmpl w:val="B48C1630"/>
    <w:lvl w:ilvl="0" w:tplc="5174328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67242107"/>
    <w:multiLevelType w:val="hybridMultilevel"/>
    <w:tmpl w:val="64A0DA0A"/>
    <w:lvl w:ilvl="0" w:tplc="5CDE273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683E4DB7"/>
    <w:multiLevelType w:val="hybridMultilevel"/>
    <w:tmpl w:val="5D5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BF2A19"/>
    <w:multiLevelType w:val="hybridMultilevel"/>
    <w:tmpl w:val="7AB261E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621B87"/>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45061E7"/>
    <w:multiLevelType w:val="hybridMultilevel"/>
    <w:tmpl w:val="3166A3D8"/>
    <w:lvl w:ilvl="0" w:tplc="AEDA715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7A26485E"/>
    <w:multiLevelType w:val="hybridMultilevel"/>
    <w:tmpl w:val="F320B0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4" w15:restartNumberingAfterBreak="0">
    <w:nsid w:val="7B931CC1"/>
    <w:multiLevelType w:val="hybridMultilevel"/>
    <w:tmpl w:val="291A1CDE"/>
    <w:lvl w:ilvl="0" w:tplc="80862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910B91"/>
    <w:multiLevelType w:val="hybridMultilevel"/>
    <w:tmpl w:val="F27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E4E84"/>
    <w:multiLevelType w:val="hybridMultilevel"/>
    <w:tmpl w:val="17464184"/>
    <w:lvl w:ilvl="0" w:tplc="E68E939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61"/>
  </w:num>
  <w:num w:numId="4">
    <w:abstractNumId w:val="16"/>
  </w:num>
  <w:num w:numId="5">
    <w:abstractNumId w:val="28"/>
  </w:num>
  <w:num w:numId="6">
    <w:abstractNumId w:val="7"/>
  </w:num>
  <w:num w:numId="7">
    <w:abstractNumId w:val="58"/>
  </w:num>
  <w:num w:numId="8">
    <w:abstractNumId w:val="9"/>
  </w:num>
  <w:num w:numId="9">
    <w:abstractNumId w:val="34"/>
  </w:num>
  <w:num w:numId="10">
    <w:abstractNumId w:val="25"/>
  </w:num>
  <w:num w:numId="11">
    <w:abstractNumId w:val="54"/>
  </w:num>
  <w:num w:numId="12">
    <w:abstractNumId w:val="64"/>
  </w:num>
  <w:num w:numId="13">
    <w:abstractNumId w:val="56"/>
  </w:num>
  <w:num w:numId="14">
    <w:abstractNumId w:val="46"/>
  </w:num>
  <w:num w:numId="15">
    <w:abstractNumId w:val="43"/>
  </w:num>
  <w:num w:numId="16">
    <w:abstractNumId w:val="8"/>
  </w:num>
  <w:num w:numId="17">
    <w:abstractNumId w:val="21"/>
  </w:num>
  <w:num w:numId="18">
    <w:abstractNumId w:val="48"/>
  </w:num>
  <w:num w:numId="19">
    <w:abstractNumId w:val="52"/>
  </w:num>
  <w:num w:numId="20">
    <w:abstractNumId w:val="37"/>
  </w:num>
  <w:num w:numId="21">
    <w:abstractNumId w:val="50"/>
  </w:num>
  <w:num w:numId="22">
    <w:abstractNumId w:val="13"/>
  </w:num>
  <w:num w:numId="23">
    <w:abstractNumId w:val="42"/>
  </w:num>
  <w:num w:numId="24">
    <w:abstractNumId w:val="41"/>
  </w:num>
  <w:num w:numId="25">
    <w:abstractNumId w:val="18"/>
  </w:num>
  <w:num w:numId="26">
    <w:abstractNumId w:val="44"/>
  </w:num>
  <w:num w:numId="27">
    <w:abstractNumId w:val="59"/>
  </w:num>
  <w:num w:numId="28">
    <w:abstractNumId w:val="62"/>
  </w:num>
  <w:num w:numId="29">
    <w:abstractNumId w:val="5"/>
  </w:num>
  <w:num w:numId="30">
    <w:abstractNumId w:val="11"/>
  </w:num>
  <w:num w:numId="31">
    <w:abstractNumId w:val="23"/>
  </w:num>
  <w:num w:numId="32">
    <w:abstractNumId w:val="15"/>
  </w:num>
  <w:num w:numId="33">
    <w:abstractNumId w:val="40"/>
  </w:num>
  <w:num w:numId="34">
    <w:abstractNumId w:val="1"/>
  </w:num>
  <w:num w:numId="35">
    <w:abstractNumId w:val="32"/>
  </w:num>
  <w:num w:numId="36">
    <w:abstractNumId w:val="27"/>
  </w:num>
  <w:num w:numId="37">
    <w:abstractNumId w:val="63"/>
  </w:num>
  <w:num w:numId="38">
    <w:abstractNumId w:val="65"/>
  </w:num>
  <w:num w:numId="39">
    <w:abstractNumId w:val="31"/>
  </w:num>
  <w:num w:numId="40">
    <w:abstractNumId w:val="36"/>
  </w:num>
  <w:num w:numId="41">
    <w:abstractNumId w:val="12"/>
  </w:num>
  <w:num w:numId="42">
    <w:abstractNumId w:val="51"/>
  </w:num>
  <w:num w:numId="43">
    <w:abstractNumId w:val="3"/>
  </w:num>
  <w:num w:numId="44">
    <w:abstractNumId w:val="66"/>
  </w:num>
  <w:num w:numId="45">
    <w:abstractNumId w:val="29"/>
  </w:num>
  <w:num w:numId="46">
    <w:abstractNumId w:val="22"/>
  </w:num>
  <w:num w:numId="47">
    <w:abstractNumId w:val="30"/>
  </w:num>
  <w:num w:numId="48">
    <w:abstractNumId w:val="17"/>
  </w:num>
  <w:num w:numId="49">
    <w:abstractNumId w:val="24"/>
  </w:num>
  <w:num w:numId="50">
    <w:abstractNumId w:val="2"/>
  </w:num>
  <w:num w:numId="51">
    <w:abstractNumId w:val="57"/>
  </w:num>
  <w:num w:numId="52">
    <w:abstractNumId w:val="35"/>
  </w:num>
  <w:num w:numId="53">
    <w:abstractNumId w:val="39"/>
  </w:num>
  <w:num w:numId="54">
    <w:abstractNumId w:val="26"/>
  </w:num>
  <w:num w:numId="55">
    <w:abstractNumId w:val="45"/>
  </w:num>
  <w:num w:numId="56">
    <w:abstractNumId w:val="38"/>
  </w:num>
  <w:num w:numId="57">
    <w:abstractNumId w:val="20"/>
  </w:num>
  <w:num w:numId="58">
    <w:abstractNumId w:val="49"/>
  </w:num>
  <w:num w:numId="59">
    <w:abstractNumId w:val="53"/>
  </w:num>
  <w:num w:numId="60">
    <w:abstractNumId w:val="55"/>
  </w:num>
  <w:num w:numId="61">
    <w:abstractNumId w:val="19"/>
  </w:num>
  <w:num w:numId="62">
    <w:abstractNumId w:val="4"/>
  </w:num>
  <w:num w:numId="63">
    <w:abstractNumId w:val="33"/>
  </w:num>
  <w:num w:numId="64">
    <w:abstractNumId w:val="47"/>
  </w:num>
  <w:num w:numId="65">
    <w:abstractNumId w:val="4"/>
  </w:num>
  <w:num w:numId="66">
    <w:abstractNumId w:val="4"/>
  </w:num>
  <w:num w:numId="67">
    <w:abstractNumId w:val="4"/>
  </w:num>
  <w:num w:numId="68">
    <w:abstractNumId w:val="4"/>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60"/>
  </w:num>
  <w:num w:numId="75">
    <w:abstractNumId w:val="4"/>
  </w:num>
  <w:num w:numId="76">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02"/>
    <w:rsid w:val="00000E1B"/>
    <w:rsid w:val="00002107"/>
    <w:rsid w:val="00005109"/>
    <w:rsid w:val="00007062"/>
    <w:rsid w:val="00011646"/>
    <w:rsid w:val="000204CE"/>
    <w:rsid w:val="0002352B"/>
    <w:rsid w:val="00027E28"/>
    <w:rsid w:val="00030136"/>
    <w:rsid w:val="00034C1B"/>
    <w:rsid w:val="000368A4"/>
    <w:rsid w:val="000370C4"/>
    <w:rsid w:val="00041AB9"/>
    <w:rsid w:val="00043753"/>
    <w:rsid w:val="00043BCA"/>
    <w:rsid w:val="000451B3"/>
    <w:rsid w:val="00051F46"/>
    <w:rsid w:val="00057253"/>
    <w:rsid w:val="0006395A"/>
    <w:rsid w:val="000640D6"/>
    <w:rsid w:val="00066B41"/>
    <w:rsid w:val="0007208B"/>
    <w:rsid w:val="00073226"/>
    <w:rsid w:val="000736DF"/>
    <w:rsid w:val="0007463D"/>
    <w:rsid w:val="0008654E"/>
    <w:rsid w:val="00095349"/>
    <w:rsid w:val="00095CE5"/>
    <w:rsid w:val="000A35CB"/>
    <w:rsid w:val="000A3B1B"/>
    <w:rsid w:val="000A6D92"/>
    <w:rsid w:val="000A7B24"/>
    <w:rsid w:val="000B07F3"/>
    <w:rsid w:val="000B121C"/>
    <w:rsid w:val="000B1BB0"/>
    <w:rsid w:val="000B401D"/>
    <w:rsid w:val="000B4118"/>
    <w:rsid w:val="000C1A38"/>
    <w:rsid w:val="000E1A1E"/>
    <w:rsid w:val="000E3DB8"/>
    <w:rsid w:val="000E7480"/>
    <w:rsid w:val="000F74D8"/>
    <w:rsid w:val="0010392A"/>
    <w:rsid w:val="00107263"/>
    <w:rsid w:val="00110B72"/>
    <w:rsid w:val="001117A9"/>
    <w:rsid w:val="001137D3"/>
    <w:rsid w:val="00125F3D"/>
    <w:rsid w:val="00125FFF"/>
    <w:rsid w:val="00127E8E"/>
    <w:rsid w:val="001350E1"/>
    <w:rsid w:val="00136C73"/>
    <w:rsid w:val="00140F72"/>
    <w:rsid w:val="00145D2C"/>
    <w:rsid w:val="001467A6"/>
    <w:rsid w:val="0014719A"/>
    <w:rsid w:val="001528F6"/>
    <w:rsid w:val="001625E1"/>
    <w:rsid w:val="00165E6C"/>
    <w:rsid w:val="00171829"/>
    <w:rsid w:val="00171F18"/>
    <w:rsid w:val="00173286"/>
    <w:rsid w:val="00174036"/>
    <w:rsid w:val="001744F4"/>
    <w:rsid w:val="00176D6D"/>
    <w:rsid w:val="00183124"/>
    <w:rsid w:val="00191236"/>
    <w:rsid w:val="001A0D5E"/>
    <w:rsid w:val="001A486D"/>
    <w:rsid w:val="001C4EE0"/>
    <w:rsid w:val="001D3577"/>
    <w:rsid w:val="001D754E"/>
    <w:rsid w:val="001E1E08"/>
    <w:rsid w:val="001E5AFC"/>
    <w:rsid w:val="0021573C"/>
    <w:rsid w:val="00231931"/>
    <w:rsid w:val="002319DA"/>
    <w:rsid w:val="002366F1"/>
    <w:rsid w:val="002419E8"/>
    <w:rsid w:val="00243EF0"/>
    <w:rsid w:val="002445EE"/>
    <w:rsid w:val="00246DC0"/>
    <w:rsid w:val="002500E8"/>
    <w:rsid w:val="002629B3"/>
    <w:rsid w:val="0026741D"/>
    <w:rsid w:val="00272D78"/>
    <w:rsid w:val="00276294"/>
    <w:rsid w:val="002907ED"/>
    <w:rsid w:val="002978C0"/>
    <w:rsid w:val="002A637F"/>
    <w:rsid w:val="002B440A"/>
    <w:rsid w:val="002C604A"/>
    <w:rsid w:val="002E486F"/>
    <w:rsid w:val="002F40BE"/>
    <w:rsid w:val="00300A87"/>
    <w:rsid w:val="00302A23"/>
    <w:rsid w:val="00303FA4"/>
    <w:rsid w:val="00304C3C"/>
    <w:rsid w:val="00311861"/>
    <w:rsid w:val="0031627C"/>
    <w:rsid w:val="00321027"/>
    <w:rsid w:val="00325C6A"/>
    <w:rsid w:val="00342843"/>
    <w:rsid w:val="003432ED"/>
    <w:rsid w:val="0035311B"/>
    <w:rsid w:val="003608EF"/>
    <w:rsid w:val="003772B0"/>
    <w:rsid w:val="0039109C"/>
    <w:rsid w:val="003A1EC9"/>
    <w:rsid w:val="003A5DBE"/>
    <w:rsid w:val="003A70B1"/>
    <w:rsid w:val="003B37F0"/>
    <w:rsid w:val="003B45EC"/>
    <w:rsid w:val="003C0597"/>
    <w:rsid w:val="003C2D01"/>
    <w:rsid w:val="003F0B5E"/>
    <w:rsid w:val="003F5CF5"/>
    <w:rsid w:val="004014C8"/>
    <w:rsid w:val="00402860"/>
    <w:rsid w:val="00405336"/>
    <w:rsid w:val="004069F6"/>
    <w:rsid w:val="00421876"/>
    <w:rsid w:val="00424CFD"/>
    <w:rsid w:val="0044216D"/>
    <w:rsid w:val="004474AF"/>
    <w:rsid w:val="00450B09"/>
    <w:rsid w:val="00453830"/>
    <w:rsid w:val="004558B8"/>
    <w:rsid w:val="0046016E"/>
    <w:rsid w:val="00460F1A"/>
    <w:rsid w:val="004672FD"/>
    <w:rsid w:val="00470364"/>
    <w:rsid w:val="00472A86"/>
    <w:rsid w:val="00480FFE"/>
    <w:rsid w:val="00494A68"/>
    <w:rsid w:val="004A2500"/>
    <w:rsid w:val="004A2B93"/>
    <w:rsid w:val="004B507F"/>
    <w:rsid w:val="004C28D8"/>
    <w:rsid w:val="004C3D47"/>
    <w:rsid w:val="004C4E37"/>
    <w:rsid w:val="004C4EF3"/>
    <w:rsid w:val="004D4456"/>
    <w:rsid w:val="004E4B89"/>
    <w:rsid w:val="004F4BE7"/>
    <w:rsid w:val="00505CAB"/>
    <w:rsid w:val="00505F13"/>
    <w:rsid w:val="0050701D"/>
    <w:rsid w:val="0051219A"/>
    <w:rsid w:val="00512BBD"/>
    <w:rsid w:val="005164AA"/>
    <w:rsid w:val="00520E04"/>
    <w:rsid w:val="00521DA4"/>
    <w:rsid w:val="0052439C"/>
    <w:rsid w:val="00530C40"/>
    <w:rsid w:val="00535A45"/>
    <w:rsid w:val="0056009F"/>
    <w:rsid w:val="005629C0"/>
    <w:rsid w:val="00580BAE"/>
    <w:rsid w:val="00593EAD"/>
    <w:rsid w:val="005A4E29"/>
    <w:rsid w:val="005B651D"/>
    <w:rsid w:val="005B7E02"/>
    <w:rsid w:val="005C1FCD"/>
    <w:rsid w:val="005C3B0F"/>
    <w:rsid w:val="005C6227"/>
    <w:rsid w:val="005D0F3B"/>
    <w:rsid w:val="005D76FE"/>
    <w:rsid w:val="005F14A0"/>
    <w:rsid w:val="005F1A02"/>
    <w:rsid w:val="005F3132"/>
    <w:rsid w:val="005F58A7"/>
    <w:rsid w:val="00606AB5"/>
    <w:rsid w:val="00610A74"/>
    <w:rsid w:val="0061178F"/>
    <w:rsid w:val="0061337B"/>
    <w:rsid w:val="0062264A"/>
    <w:rsid w:val="00626309"/>
    <w:rsid w:val="00630896"/>
    <w:rsid w:val="00634D1B"/>
    <w:rsid w:val="006407AF"/>
    <w:rsid w:val="006426AD"/>
    <w:rsid w:val="00652929"/>
    <w:rsid w:val="00653C63"/>
    <w:rsid w:val="006706B9"/>
    <w:rsid w:val="0067560A"/>
    <w:rsid w:val="00676643"/>
    <w:rsid w:val="00677E93"/>
    <w:rsid w:val="00687745"/>
    <w:rsid w:val="006A04AD"/>
    <w:rsid w:val="006A6E3D"/>
    <w:rsid w:val="006A7623"/>
    <w:rsid w:val="006B4910"/>
    <w:rsid w:val="006B5BEA"/>
    <w:rsid w:val="006B70EF"/>
    <w:rsid w:val="006C2E4A"/>
    <w:rsid w:val="006C3C53"/>
    <w:rsid w:val="006D2C70"/>
    <w:rsid w:val="006D35C9"/>
    <w:rsid w:val="006E6F0E"/>
    <w:rsid w:val="006E6F56"/>
    <w:rsid w:val="006E73BA"/>
    <w:rsid w:val="006F23F1"/>
    <w:rsid w:val="006F7D63"/>
    <w:rsid w:val="007021A6"/>
    <w:rsid w:val="00704A70"/>
    <w:rsid w:val="00711E9F"/>
    <w:rsid w:val="00716F0A"/>
    <w:rsid w:val="00716F16"/>
    <w:rsid w:val="0073623C"/>
    <w:rsid w:val="0074022D"/>
    <w:rsid w:val="00740D2E"/>
    <w:rsid w:val="00742AA5"/>
    <w:rsid w:val="00744ABC"/>
    <w:rsid w:val="00745201"/>
    <w:rsid w:val="0074575B"/>
    <w:rsid w:val="007561C6"/>
    <w:rsid w:val="0076395C"/>
    <w:rsid w:val="00774F0F"/>
    <w:rsid w:val="00776EFB"/>
    <w:rsid w:val="007858BE"/>
    <w:rsid w:val="00785C85"/>
    <w:rsid w:val="00787615"/>
    <w:rsid w:val="00787A02"/>
    <w:rsid w:val="007908F5"/>
    <w:rsid w:val="00793241"/>
    <w:rsid w:val="007A4809"/>
    <w:rsid w:val="007B0ABE"/>
    <w:rsid w:val="007B4E55"/>
    <w:rsid w:val="007D3483"/>
    <w:rsid w:val="007E1A9E"/>
    <w:rsid w:val="007E67CF"/>
    <w:rsid w:val="007E75CE"/>
    <w:rsid w:val="007E7F24"/>
    <w:rsid w:val="007F6088"/>
    <w:rsid w:val="00800E8A"/>
    <w:rsid w:val="00806D7A"/>
    <w:rsid w:val="00810690"/>
    <w:rsid w:val="00814835"/>
    <w:rsid w:val="00817A43"/>
    <w:rsid w:val="00820968"/>
    <w:rsid w:val="008254D0"/>
    <w:rsid w:val="00830523"/>
    <w:rsid w:val="00835AA0"/>
    <w:rsid w:val="00836387"/>
    <w:rsid w:val="00837778"/>
    <w:rsid w:val="008546C1"/>
    <w:rsid w:val="008706A7"/>
    <w:rsid w:val="00870913"/>
    <w:rsid w:val="008718E0"/>
    <w:rsid w:val="00877F88"/>
    <w:rsid w:val="0088686B"/>
    <w:rsid w:val="00891D1B"/>
    <w:rsid w:val="00893E7F"/>
    <w:rsid w:val="008A0689"/>
    <w:rsid w:val="008A0921"/>
    <w:rsid w:val="008A2F96"/>
    <w:rsid w:val="008A4E13"/>
    <w:rsid w:val="008A7268"/>
    <w:rsid w:val="008C0634"/>
    <w:rsid w:val="008C07A2"/>
    <w:rsid w:val="008C3AAC"/>
    <w:rsid w:val="008C3C87"/>
    <w:rsid w:val="008D1782"/>
    <w:rsid w:val="008D1C7B"/>
    <w:rsid w:val="008D3442"/>
    <w:rsid w:val="008E27F8"/>
    <w:rsid w:val="008E33CE"/>
    <w:rsid w:val="008E6DF8"/>
    <w:rsid w:val="008E755A"/>
    <w:rsid w:val="008F198D"/>
    <w:rsid w:val="00905000"/>
    <w:rsid w:val="00911C74"/>
    <w:rsid w:val="00913BFA"/>
    <w:rsid w:val="0091546A"/>
    <w:rsid w:val="0092020F"/>
    <w:rsid w:val="00935104"/>
    <w:rsid w:val="00937151"/>
    <w:rsid w:val="00937574"/>
    <w:rsid w:val="0094563E"/>
    <w:rsid w:val="0094750B"/>
    <w:rsid w:val="009519F2"/>
    <w:rsid w:val="00956119"/>
    <w:rsid w:val="009671A1"/>
    <w:rsid w:val="009709C4"/>
    <w:rsid w:val="009718AE"/>
    <w:rsid w:val="00975BFB"/>
    <w:rsid w:val="00986DC2"/>
    <w:rsid w:val="00992B4A"/>
    <w:rsid w:val="00993917"/>
    <w:rsid w:val="009A20DB"/>
    <w:rsid w:val="009A60C6"/>
    <w:rsid w:val="009A6B33"/>
    <w:rsid w:val="009C154E"/>
    <w:rsid w:val="009C7C0D"/>
    <w:rsid w:val="009D20A3"/>
    <w:rsid w:val="009D2DC4"/>
    <w:rsid w:val="009D3CE9"/>
    <w:rsid w:val="009D47C4"/>
    <w:rsid w:val="009D50F3"/>
    <w:rsid w:val="009D6992"/>
    <w:rsid w:val="009E44C7"/>
    <w:rsid w:val="009E4646"/>
    <w:rsid w:val="009E6A96"/>
    <w:rsid w:val="009F2B5C"/>
    <w:rsid w:val="009F3E3D"/>
    <w:rsid w:val="00A0159C"/>
    <w:rsid w:val="00A039F5"/>
    <w:rsid w:val="00A10221"/>
    <w:rsid w:val="00A114AB"/>
    <w:rsid w:val="00A12E24"/>
    <w:rsid w:val="00A23B1D"/>
    <w:rsid w:val="00A25471"/>
    <w:rsid w:val="00A364A7"/>
    <w:rsid w:val="00A41DEF"/>
    <w:rsid w:val="00A50F2B"/>
    <w:rsid w:val="00A53743"/>
    <w:rsid w:val="00A6159A"/>
    <w:rsid w:val="00A62A68"/>
    <w:rsid w:val="00A807B9"/>
    <w:rsid w:val="00A84CB5"/>
    <w:rsid w:val="00A90D1A"/>
    <w:rsid w:val="00A92D14"/>
    <w:rsid w:val="00A93491"/>
    <w:rsid w:val="00A97D95"/>
    <w:rsid w:val="00AA25A7"/>
    <w:rsid w:val="00AA2F67"/>
    <w:rsid w:val="00AA3A28"/>
    <w:rsid w:val="00AA3ACF"/>
    <w:rsid w:val="00AB23DF"/>
    <w:rsid w:val="00AC38FC"/>
    <w:rsid w:val="00AC3BA2"/>
    <w:rsid w:val="00AC54CE"/>
    <w:rsid w:val="00AD2F21"/>
    <w:rsid w:val="00AE4625"/>
    <w:rsid w:val="00AE5F2F"/>
    <w:rsid w:val="00AE7DE3"/>
    <w:rsid w:val="00AF03C1"/>
    <w:rsid w:val="00AF771B"/>
    <w:rsid w:val="00B02D59"/>
    <w:rsid w:val="00B156DE"/>
    <w:rsid w:val="00B175DE"/>
    <w:rsid w:val="00B20996"/>
    <w:rsid w:val="00B21C24"/>
    <w:rsid w:val="00B22CF7"/>
    <w:rsid w:val="00B27CA9"/>
    <w:rsid w:val="00B35F56"/>
    <w:rsid w:val="00B4267C"/>
    <w:rsid w:val="00B43437"/>
    <w:rsid w:val="00B473CF"/>
    <w:rsid w:val="00B51648"/>
    <w:rsid w:val="00B5460C"/>
    <w:rsid w:val="00B547FB"/>
    <w:rsid w:val="00B5671F"/>
    <w:rsid w:val="00B71E5B"/>
    <w:rsid w:val="00B83CC5"/>
    <w:rsid w:val="00B84AB0"/>
    <w:rsid w:val="00B86198"/>
    <w:rsid w:val="00B86BE6"/>
    <w:rsid w:val="00B91A56"/>
    <w:rsid w:val="00BA033B"/>
    <w:rsid w:val="00BA3197"/>
    <w:rsid w:val="00BA5019"/>
    <w:rsid w:val="00BA719B"/>
    <w:rsid w:val="00BB24DD"/>
    <w:rsid w:val="00BB6A4C"/>
    <w:rsid w:val="00BC0CDF"/>
    <w:rsid w:val="00BC197F"/>
    <w:rsid w:val="00BC34DD"/>
    <w:rsid w:val="00BC3605"/>
    <w:rsid w:val="00BC5CDE"/>
    <w:rsid w:val="00BD14A2"/>
    <w:rsid w:val="00BD3967"/>
    <w:rsid w:val="00BE33ED"/>
    <w:rsid w:val="00C055FC"/>
    <w:rsid w:val="00C05D29"/>
    <w:rsid w:val="00C240B9"/>
    <w:rsid w:val="00C30DC2"/>
    <w:rsid w:val="00C32986"/>
    <w:rsid w:val="00C42ADD"/>
    <w:rsid w:val="00C466E0"/>
    <w:rsid w:val="00C53D3A"/>
    <w:rsid w:val="00C54EF6"/>
    <w:rsid w:val="00C55D54"/>
    <w:rsid w:val="00C56772"/>
    <w:rsid w:val="00C57077"/>
    <w:rsid w:val="00C64FD9"/>
    <w:rsid w:val="00C96F38"/>
    <w:rsid w:val="00CA14D3"/>
    <w:rsid w:val="00CA2049"/>
    <w:rsid w:val="00CB471A"/>
    <w:rsid w:val="00CB4876"/>
    <w:rsid w:val="00CB78FA"/>
    <w:rsid w:val="00CC2E74"/>
    <w:rsid w:val="00CC3418"/>
    <w:rsid w:val="00CC3B45"/>
    <w:rsid w:val="00CD4224"/>
    <w:rsid w:val="00CD64E3"/>
    <w:rsid w:val="00CE1933"/>
    <w:rsid w:val="00CE6429"/>
    <w:rsid w:val="00CE6C55"/>
    <w:rsid w:val="00CE6FA8"/>
    <w:rsid w:val="00CF0134"/>
    <w:rsid w:val="00CF0F55"/>
    <w:rsid w:val="00D2247A"/>
    <w:rsid w:val="00D246B6"/>
    <w:rsid w:val="00D318B1"/>
    <w:rsid w:val="00D31EF7"/>
    <w:rsid w:val="00D32C51"/>
    <w:rsid w:val="00D36B59"/>
    <w:rsid w:val="00D41B59"/>
    <w:rsid w:val="00D532A3"/>
    <w:rsid w:val="00D55359"/>
    <w:rsid w:val="00D57DCF"/>
    <w:rsid w:val="00D61E4A"/>
    <w:rsid w:val="00D73D4B"/>
    <w:rsid w:val="00D75992"/>
    <w:rsid w:val="00D97246"/>
    <w:rsid w:val="00DA3B32"/>
    <w:rsid w:val="00DC0B0B"/>
    <w:rsid w:val="00DC1879"/>
    <w:rsid w:val="00DD645A"/>
    <w:rsid w:val="00DD6D2B"/>
    <w:rsid w:val="00DE1D44"/>
    <w:rsid w:val="00DF2518"/>
    <w:rsid w:val="00E00B3E"/>
    <w:rsid w:val="00E02F34"/>
    <w:rsid w:val="00E24316"/>
    <w:rsid w:val="00E24461"/>
    <w:rsid w:val="00E258AC"/>
    <w:rsid w:val="00E552CC"/>
    <w:rsid w:val="00E61D68"/>
    <w:rsid w:val="00E637B2"/>
    <w:rsid w:val="00E729E5"/>
    <w:rsid w:val="00E751B9"/>
    <w:rsid w:val="00E8129E"/>
    <w:rsid w:val="00E83E67"/>
    <w:rsid w:val="00E86381"/>
    <w:rsid w:val="00EA0198"/>
    <w:rsid w:val="00EA31AB"/>
    <w:rsid w:val="00EA5364"/>
    <w:rsid w:val="00EA6F51"/>
    <w:rsid w:val="00EA7016"/>
    <w:rsid w:val="00EB082D"/>
    <w:rsid w:val="00EB60E9"/>
    <w:rsid w:val="00EC007D"/>
    <w:rsid w:val="00EC7EE4"/>
    <w:rsid w:val="00ED13DA"/>
    <w:rsid w:val="00ED7B68"/>
    <w:rsid w:val="00ED7DF6"/>
    <w:rsid w:val="00EE017D"/>
    <w:rsid w:val="00EE072B"/>
    <w:rsid w:val="00EE2914"/>
    <w:rsid w:val="00EF11DB"/>
    <w:rsid w:val="00EF3D95"/>
    <w:rsid w:val="00EF6B93"/>
    <w:rsid w:val="00F023D4"/>
    <w:rsid w:val="00F02B8D"/>
    <w:rsid w:val="00F15CDB"/>
    <w:rsid w:val="00F161A5"/>
    <w:rsid w:val="00F17A22"/>
    <w:rsid w:val="00F23259"/>
    <w:rsid w:val="00F23D14"/>
    <w:rsid w:val="00F31E63"/>
    <w:rsid w:val="00F35A3B"/>
    <w:rsid w:val="00F463DB"/>
    <w:rsid w:val="00F46CBF"/>
    <w:rsid w:val="00F53C67"/>
    <w:rsid w:val="00F61758"/>
    <w:rsid w:val="00F63D02"/>
    <w:rsid w:val="00F70BB2"/>
    <w:rsid w:val="00F806FD"/>
    <w:rsid w:val="00F935F1"/>
    <w:rsid w:val="00F949A4"/>
    <w:rsid w:val="00FA0ACF"/>
    <w:rsid w:val="00FA3A1D"/>
    <w:rsid w:val="00FB4FD8"/>
    <w:rsid w:val="00FB5B8C"/>
    <w:rsid w:val="00FE1125"/>
    <w:rsid w:val="00FE3DF9"/>
    <w:rsid w:val="00FF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2664"/>
  <w15:chartTrackingRefBased/>
  <w15:docId w15:val="{3F7C0F9C-C4C1-4A50-B5FB-A8F3B41B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216D"/>
    <w:pPr>
      <w:numPr>
        <w:numId w:val="1"/>
      </w:numPr>
      <w:outlineLvl w:val="0"/>
    </w:pPr>
    <w:rPr>
      <w:rFonts w:asciiTheme="minorHAnsi" w:hAnsiTheme="minorHAnsi" w:cstheme="minorHAnsi"/>
      <w:b/>
    </w:rPr>
  </w:style>
  <w:style w:type="paragraph" w:styleId="Heading2">
    <w:name w:val="heading 2"/>
    <w:basedOn w:val="BodyText"/>
    <w:next w:val="Normal"/>
    <w:link w:val="Heading2Char"/>
    <w:uiPriority w:val="9"/>
    <w:unhideWhenUsed/>
    <w:qFormat/>
    <w:rsid w:val="0046016E"/>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63D02"/>
    <w:rPr>
      <w:rFonts w:cs="Times New Roman"/>
      <w:sz w:val="16"/>
    </w:rPr>
  </w:style>
  <w:style w:type="paragraph" w:styleId="CommentText">
    <w:name w:val="annotation text"/>
    <w:basedOn w:val="Normal"/>
    <w:link w:val="CommentTextChar"/>
    <w:uiPriority w:val="99"/>
    <w:rsid w:val="00F63D02"/>
    <w:rPr>
      <w:sz w:val="20"/>
      <w:szCs w:val="20"/>
    </w:rPr>
  </w:style>
  <w:style w:type="character" w:customStyle="1" w:styleId="CommentTextChar">
    <w:name w:val="Comment Text Char"/>
    <w:basedOn w:val="DefaultParagraphFont"/>
    <w:link w:val="CommentText"/>
    <w:uiPriority w:val="99"/>
    <w:rsid w:val="00F63D02"/>
    <w:rPr>
      <w:rFonts w:ascii="Times New Roman" w:eastAsia="Times New Roman" w:hAnsi="Times New Roman" w:cs="Times New Roman"/>
      <w:sz w:val="20"/>
      <w:szCs w:val="20"/>
    </w:rPr>
  </w:style>
  <w:style w:type="paragraph" w:styleId="Footer">
    <w:name w:val="footer"/>
    <w:basedOn w:val="Normal"/>
    <w:link w:val="FooterChar"/>
    <w:uiPriority w:val="99"/>
    <w:rsid w:val="002629B3"/>
    <w:pPr>
      <w:tabs>
        <w:tab w:val="center" w:pos="4320"/>
        <w:tab w:val="right" w:pos="8640"/>
      </w:tabs>
      <w:jc w:val="right"/>
    </w:pPr>
    <w:rPr>
      <w:rFonts w:ascii="Calibri" w:hAnsi="Calibri" w:cs="Calibri"/>
      <w:noProof/>
      <w:sz w:val="22"/>
      <w:szCs w:val="22"/>
    </w:rPr>
  </w:style>
  <w:style w:type="character" w:customStyle="1" w:styleId="FooterChar">
    <w:name w:val="Footer Char"/>
    <w:basedOn w:val="DefaultParagraphFont"/>
    <w:link w:val="Footer"/>
    <w:uiPriority w:val="99"/>
    <w:rsid w:val="002629B3"/>
    <w:rPr>
      <w:rFonts w:ascii="Calibri" w:eastAsia="Times New Roman" w:hAnsi="Calibri" w:cs="Calibri"/>
      <w:noProof/>
    </w:rPr>
  </w:style>
  <w:style w:type="character" w:styleId="PageNumber">
    <w:name w:val="page number"/>
    <w:basedOn w:val="DefaultParagraphFont"/>
    <w:uiPriority w:val="99"/>
    <w:rsid w:val="00F63D02"/>
    <w:rPr>
      <w:rFonts w:cs="Times New Roman"/>
    </w:rPr>
  </w:style>
  <w:style w:type="paragraph" w:styleId="ListParagraph">
    <w:name w:val="List Paragraph"/>
    <w:basedOn w:val="Normal"/>
    <w:uiPriority w:val="34"/>
    <w:qFormat/>
    <w:rsid w:val="00F63D02"/>
    <w:pPr>
      <w:ind w:left="720"/>
    </w:pPr>
  </w:style>
  <w:style w:type="paragraph" w:styleId="NormalWeb">
    <w:name w:val="Normal (Web)"/>
    <w:basedOn w:val="Normal"/>
    <w:uiPriority w:val="99"/>
    <w:rsid w:val="00F63D02"/>
    <w:pPr>
      <w:spacing w:before="100" w:beforeAutospacing="1" w:after="100" w:afterAutospacing="1" w:line="336" w:lineRule="atLeast"/>
    </w:pPr>
  </w:style>
  <w:style w:type="paragraph" w:styleId="BodyTextIndent3">
    <w:name w:val="Body Text Indent 3"/>
    <w:basedOn w:val="Normal"/>
    <w:link w:val="BodyTextIndent3Char"/>
    <w:uiPriority w:val="99"/>
    <w:rsid w:val="00F63D02"/>
    <w:pPr>
      <w:spacing w:after="120"/>
      <w:ind w:left="360"/>
    </w:pPr>
    <w:rPr>
      <w:sz w:val="16"/>
      <w:szCs w:val="16"/>
    </w:rPr>
  </w:style>
  <w:style w:type="character" w:customStyle="1" w:styleId="BodyTextIndent3Char">
    <w:name w:val="Body Text Indent 3 Char"/>
    <w:basedOn w:val="DefaultParagraphFont"/>
    <w:link w:val="BodyTextIndent3"/>
    <w:uiPriority w:val="99"/>
    <w:rsid w:val="00F63D02"/>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F63D02"/>
    <w:pPr>
      <w:keepNext/>
      <w:tabs>
        <w:tab w:val="left" w:pos="-720"/>
      </w:tabs>
      <w:suppressAutoHyphens/>
      <w:autoSpaceDE w:val="0"/>
      <w:autoSpaceDN w:val="0"/>
    </w:pPr>
  </w:style>
  <w:style w:type="table" w:customStyle="1" w:styleId="LightList-Accent11">
    <w:name w:val="Light List - Accent 11"/>
    <w:basedOn w:val="TableNormal"/>
    <w:uiPriority w:val="66"/>
    <w:rsid w:val="00F63D02"/>
    <w:pPr>
      <w:spacing w:after="0" w:line="240" w:lineRule="auto"/>
    </w:pPr>
    <w:rPr>
      <w:rFonts w:ascii="Cambria" w:eastAsia="Times New Roman" w:hAnsi="Cambria"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F63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0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3132"/>
    <w:rPr>
      <w:b/>
      <w:bCs/>
    </w:rPr>
  </w:style>
  <w:style w:type="character" w:customStyle="1" w:styleId="CommentSubjectChar">
    <w:name w:val="Comment Subject Char"/>
    <w:basedOn w:val="CommentTextChar"/>
    <w:link w:val="CommentSubject"/>
    <w:uiPriority w:val="99"/>
    <w:semiHidden/>
    <w:rsid w:val="005F313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19E8"/>
    <w:rPr>
      <w:color w:val="0563C1" w:themeColor="hyperlink"/>
      <w:u w:val="single"/>
    </w:rPr>
  </w:style>
  <w:style w:type="paragraph" w:styleId="BodyText">
    <w:name w:val="Body Text"/>
    <w:basedOn w:val="Normal"/>
    <w:link w:val="BodyTextChar"/>
    <w:qFormat/>
    <w:rsid w:val="004474AF"/>
    <w:rPr>
      <w:rFonts w:asciiTheme="minorHAnsi" w:hAnsiTheme="minorHAnsi" w:cstheme="minorHAnsi"/>
    </w:rPr>
  </w:style>
  <w:style w:type="character" w:customStyle="1" w:styleId="BodyTextChar">
    <w:name w:val="Body Text Char"/>
    <w:basedOn w:val="DefaultParagraphFont"/>
    <w:link w:val="BodyText"/>
    <w:rsid w:val="004474AF"/>
    <w:rPr>
      <w:rFonts w:eastAsia="Times New Roman" w:cstheme="minorHAnsi"/>
      <w:sz w:val="24"/>
      <w:szCs w:val="24"/>
    </w:rPr>
  </w:style>
  <w:style w:type="paragraph" w:styleId="Header">
    <w:name w:val="header"/>
    <w:basedOn w:val="Normal"/>
    <w:link w:val="HeaderChar"/>
    <w:uiPriority w:val="99"/>
    <w:unhideWhenUsed/>
    <w:rsid w:val="00D57DCF"/>
    <w:pPr>
      <w:tabs>
        <w:tab w:val="center" w:pos="4680"/>
        <w:tab w:val="right" w:pos="9360"/>
      </w:tabs>
    </w:pPr>
  </w:style>
  <w:style w:type="character" w:customStyle="1" w:styleId="HeaderChar">
    <w:name w:val="Header Char"/>
    <w:basedOn w:val="DefaultParagraphFont"/>
    <w:link w:val="Header"/>
    <w:uiPriority w:val="99"/>
    <w:rsid w:val="00D57DCF"/>
    <w:rPr>
      <w:rFonts w:ascii="Times New Roman" w:eastAsia="Times New Roman" w:hAnsi="Times New Roman" w:cs="Times New Roman"/>
      <w:sz w:val="24"/>
      <w:szCs w:val="24"/>
    </w:rPr>
  </w:style>
  <w:style w:type="table" w:styleId="TableGrid">
    <w:name w:val="Table Grid"/>
    <w:basedOn w:val="TableNormal"/>
    <w:uiPriority w:val="59"/>
    <w:rsid w:val="00D57D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3E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3E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3E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_1"/>
    <w:basedOn w:val="Normal"/>
    <w:uiPriority w:val="99"/>
    <w:rsid w:val="00634D1B"/>
    <w:pPr>
      <w:tabs>
        <w:tab w:val="left" w:pos="432"/>
        <w:tab w:val="center" w:pos="4320"/>
        <w:tab w:val="right" w:pos="8640"/>
      </w:tabs>
      <w:suppressAutoHyphens/>
      <w:spacing w:line="480" w:lineRule="auto"/>
      <w:ind w:firstLine="432"/>
      <w:jc w:val="both"/>
    </w:pPr>
  </w:style>
  <w:style w:type="table" w:customStyle="1" w:styleId="AbtFinal">
    <w:name w:val="Abt Final"/>
    <w:basedOn w:val="TableNormal"/>
    <w:uiPriority w:val="99"/>
    <w:rsid w:val="00342843"/>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Batang" w:hAnsi="@Batang"/>
        <w:b/>
        <w:caps w:val="0"/>
        <w:smallCaps w:val="0"/>
        <w:strike w:val="0"/>
        <w:dstrike w:val="0"/>
        <w:vanish w:val="0"/>
        <w:color w:val="FFFFFF"/>
        <w:sz w:val="20"/>
        <w:vertAlign w:val="baseline"/>
      </w:rPr>
      <w:tblPr/>
      <w:tcPr>
        <w:shd w:val="clear" w:color="auto" w:fill="42A7C6"/>
      </w:tcPr>
    </w:tblStylePr>
    <w:tblStylePr w:type="lastRow">
      <w:pPr>
        <w:jc w:val="left"/>
      </w:pPr>
      <w:rPr>
        <w:rFonts w:ascii="@Batang" w:hAnsi="@Batang"/>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76BC21"/>
      </w:tcPr>
    </w:tblStylePr>
    <w:tblStylePr w:type="firstCol">
      <w:rPr>
        <w:rFonts w:ascii="@Batang" w:hAnsi="@Batang"/>
        <w:sz w:val="20"/>
      </w:rPr>
    </w:tblStylePr>
    <w:tblStylePr w:type="lastCol">
      <w:rPr>
        <w:rFonts w:ascii="@Batang" w:hAnsi="@Batang"/>
        <w:sz w:val="20"/>
      </w:rPr>
    </w:tblStylePr>
    <w:tblStylePr w:type="band1Horz">
      <w:rPr>
        <w:rFonts w:ascii="@Batang" w:hAnsi="@Batang"/>
        <w:sz w:val="20"/>
      </w:rPr>
    </w:tblStylePr>
    <w:tblStylePr w:type="band2Horz">
      <w:rPr>
        <w:rFonts w:ascii="@Batang" w:hAnsi="@Batang"/>
        <w:sz w:val="20"/>
      </w:rPr>
    </w:tblStylePr>
  </w:style>
  <w:style w:type="character" w:styleId="IntenseEmphasis">
    <w:name w:val="Intense Emphasis"/>
    <w:basedOn w:val="DefaultParagraphFont"/>
    <w:uiPriority w:val="21"/>
    <w:qFormat/>
    <w:rsid w:val="00342843"/>
    <w:rPr>
      <w:i/>
      <w:iCs/>
      <w:color w:val="5B9BD5" w:themeColor="accent1"/>
    </w:rPr>
  </w:style>
  <w:style w:type="paragraph" w:styleId="Revision">
    <w:name w:val="Revision"/>
    <w:hidden/>
    <w:uiPriority w:val="99"/>
    <w:semiHidden/>
    <w:rsid w:val="002978C0"/>
    <w:pPr>
      <w:spacing w:after="0"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2A63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1">
    <w:name w:val="Abt Final1"/>
    <w:basedOn w:val="TableNormal"/>
    <w:uiPriority w:val="99"/>
    <w:rsid w:val="002A637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Batang" w:hAnsi="@Batang"/>
        <w:b/>
        <w:caps w:val="0"/>
        <w:smallCaps w:val="0"/>
        <w:strike w:val="0"/>
        <w:dstrike w:val="0"/>
        <w:vanish w:val="0"/>
        <w:color w:val="FFFFFF"/>
        <w:sz w:val="20"/>
        <w:vertAlign w:val="baseline"/>
      </w:rPr>
      <w:tblPr/>
      <w:tcPr>
        <w:shd w:val="clear" w:color="auto" w:fill="42A7C6"/>
      </w:tcPr>
    </w:tblStylePr>
    <w:tblStylePr w:type="lastRow">
      <w:pPr>
        <w:jc w:val="left"/>
      </w:pPr>
      <w:rPr>
        <w:rFonts w:ascii="@Batang" w:hAnsi="@Batang"/>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76BC21"/>
      </w:tcPr>
    </w:tblStylePr>
    <w:tblStylePr w:type="firstCol">
      <w:rPr>
        <w:rFonts w:ascii="@Batang" w:hAnsi="@Batang"/>
        <w:sz w:val="20"/>
      </w:rPr>
    </w:tblStylePr>
    <w:tblStylePr w:type="lastCol">
      <w:rPr>
        <w:rFonts w:ascii="@Batang" w:hAnsi="@Batang"/>
        <w:sz w:val="20"/>
      </w:rPr>
    </w:tblStylePr>
    <w:tblStylePr w:type="band1Horz">
      <w:rPr>
        <w:rFonts w:ascii="@Batang" w:hAnsi="@Batang"/>
        <w:sz w:val="20"/>
      </w:rPr>
    </w:tblStylePr>
    <w:tblStylePr w:type="band2Horz">
      <w:rPr>
        <w:rFonts w:ascii="@Batang" w:hAnsi="@Batang"/>
        <w:sz w:val="20"/>
      </w:rPr>
    </w:tblStylePr>
  </w:style>
  <w:style w:type="paragraph" w:styleId="FootnoteText">
    <w:name w:val="footnote text"/>
    <w:basedOn w:val="Normal"/>
    <w:link w:val="FootnoteTextChar"/>
    <w:uiPriority w:val="99"/>
    <w:semiHidden/>
    <w:unhideWhenUsed/>
    <w:rsid w:val="0044216D"/>
    <w:rPr>
      <w:rFonts w:ascii="Calibri" w:hAnsi="Calibri"/>
      <w:sz w:val="20"/>
      <w:szCs w:val="20"/>
    </w:rPr>
  </w:style>
  <w:style w:type="character" w:customStyle="1" w:styleId="FootnoteTextChar">
    <w:name w:val="Footnote Text Char"/>
    <w:basedOn w:val="DefaultParagraphFont"/>
    <w:link w:val="FootnoteText"/>
    <w:uiPriority w:val="99"/>
    <w:semiHidden/>
    <w:rsid w:val="0044216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9671A1"/>
    <w:rPr>
      <w:vertAlign w:val="superscript"/>
    </w:rPr>
  </w:style>
  <w:style w:type="paragraph" w:styleId="Caption">
    <w:name w:val="caption"/>
    <w:basedOn w:val="Normal"/>
    <w:next w:val="Normal"/>
    <w:uiPriority w:val="35"/>
    <w:unhideWhenUsed/>
    <w:qFormat/>
    <w:rsid w:val="008E6DF8"/>
    <w:rPr>
      <w:rFonts w:asciiTheme="minorHAnsi" w:hAnsiTheme="minorHAnsi" w:cstheme="minorHAnsi"/>
    </w:rPr>
  </w:style>
  <w:style w:type="paragraph" w:customStyle="1" w:styleId="Heading1Attach">
    <w:name w:val="Heading 1 Attach"/>
    <w:basedOn w:val="ListParagraph"/>
    <w:qFormat/>
    <w:rsid w:val="00913BFA"/>
    <w:pPr>
      <w:numPr>
        <w:numId w:val="58"/>
      </w:numPr>
      <w:spacing w:line="480" w:lineRule="auto"/>
      <w:ind w:left="-360" w:firstLine="360"/>
      <w:jc w:val="center"/>
    </w:pPr>
    <w:rPr>
      <w:rFonts w:ascii="Calibri" w:hAnsi="Calibri" w:cs="Calibri"/>
      <w:b/>
      <w:sz w:val="28"/>
      <w:szCs w:val="32"/>
    </w:rPr>
  </w:style>
  <w:style w:type="paragraph" w:customStyle="1" w:styleId="OMBBoxBottom">
    <w:name w:val="OMB Box Bottom"/>
    <w:basedOn w:val="Normal"/>
    <w:qFormat/>
    <w:rsid w:val="00B71E5B"/>
    <w:pPr>
      <w:pBdr>
        <w:top w:val="single" w:sz="4" w:space="0" w:color="auto"/>
        <w:left w:val="single" w:sz="4" w:space="4" w:color="auto"/>
        <w:bottom w:val="single" w:sz="4" w:space="1" w:color="auto"/>
        <w:right w:val="single" w:sz="4" w:space="4" w:color="auto"/>
      </w:pBdr>
      <w:spacing w:after="180" w:line="264" w:lineRule="auto"/>
      <w:ind w:right="318"/>
    </w:pPr>
    <w:rPr>
      <w:rFonts w:ascii="Arial" w:hAnsi="Arial" w:cs="Arial"/>
      <w:sz w:val="16"/>
      <w:szCs w:val="16"/>
    </w:rPr>
  </w:style>
  <w:style w:type="paragraph" w:customStyle="1" w:styleId="Heading2Attach">
    <w:name w:val="Heading 2 Attach"/>
    <w:basedOn w:val="Heading1Attach"/>
    <w:qFormat/>
    <w:rsid w:val="00913BFA"/>
    <w:pPr>
      <w:numPr>
        <w:ilvl w:val="1"/>
      </w:numPr>
    </w:pPr>
  </w:style>
  <w:style w:type="character" w:customStyle="1" w:styleId="Heading2Char">
    <w:name w:val="Heading 2 Char"/>
    <w:basedOn w:val="DefaultParagraphFont"/>
    <w:link w:val="Heading2"/>
    <w:uiPriority w:val="9"/>
    <w:rsid w:val="0046016E"/>
    <w:rPr>
      <w:rFonts w:eastAsia="Times New Roman" w:cstheme="minorHAnsi"/>
      <w:sz w:val="24"/>
      <w:szCs w:val="24"/>
      <w:u w:val="single"/>
    </w:rPr>
  </w:style>
  <w:style w:type="character" w:customStyle="1" w:styleId="Heading1Char">
    <w:name w:val="Heading 1 Char"/>
    <w:basedOn w:val="DefaultParagraphFont"/>
    <w:link w:val="Heading1"/>
    <w:uiPriority w:val="9"/>
    <w:rsid w:val="0044216D"/>
    <w:rPr>
      <w:rFonts w:eastAsia="Times New Roman" w:cstheme="minorHAnsi"/>
      <w:b/>
      <w:sz w:val="24"/>
      <w:szCs w:val="24"/>
    </w:rPr>
  </w:style>
  <w:style w:type="paragraph" w:styleId="TOCHeading">
    <w:name w:val="TOC Heading"/>
    <w:basedOn w:val="Heading1"/>
    <w:next w:val="Normal"/>
    <w:uiPriority w:val="39"/>
    <w:unhideWhenUsed/>
    <w:qFormat/>
    <w:rsid w:val="00AA2F67"/>
    <w:pPr>
      <w:keepNext/>
      <w:keepLines/>
      <w:numPr>
        <w:numId w:val="0"/>
      </w:numPr>
      <w:spacing w:before="240" w:after="24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A114AB"/>
    <w:pPr>
      <w:tabs>
        <w:tab w:val="left" w:pos="1620"/>
        <w:tab w:val="right" w:leader="dot" w:pos="9350"/>
      </w:tabs>
      <w:spacing w:after="100"/>
    </w:pPr>
    <w:rPr>
      <w:rFonts w:ascii="Calibri" w:hAnsi="Calibri"/>
    </w:rPr>
  </w:style>
  <w:style w:type="paragraph" w:styleId="TOC2">
    <w:name w:val="toc 2"/>
    <w:basedOn w:val="Normal"/>
    <w:next w:val="Normal"/>
    <w:autoRedefine/>
    <w:uiPriority w:val="39"/>
    <w:unhideWhenUsed/>
    <w:rsid w:val="00A114AB"/>
    <w:pPr>
      <w:tabs>
        <w:tab w:val="left" w:pos="2160"/>
        <w:tab w:val="right" w:leader="dot" w:pos="9350"/>
      </w:tabs>
      <w:spacing w:after="100"/>
      <w:ind w:left="1620"/>
    </w:pPr>
    <w:rPr>
      <w:rFonts w:ascii="Calibri" w:hAnsi="Calibri"/>
    </w:rPr>
  </w:style>
  <w:style w:type="paragraph" w:customStyle="1" w:styleId="Bullets">
    <w:name w:val="Bullets"/>
    <w:basedOn w:val="ListParagraph"/>
    <w:qFormat/>
    <w:rsid w:val="0046016E"/>
    <w:pPr>
      <w:numPr>
        <w:numId w:val="2"/>
      </w:numPr>
    </w:pPr>
    <w:rPr>
      <w:rFonts w:asciiTheme="minorHAnsi" w:hAnsiTheme="minorHAnsi" w:cstheme="minorHAnsi"/>
      <w:bCs/>
    </w:rPr>
  </w:style>
  <w:style w:type="paragraph" w:styleId="BodyTextIndent">
    <w:name w:val="Body Text Indent"/>
    <w:basedOn w:val="ListParagraph"/>
    <w:link w:val="BodyTextIndentChar"/>
    <w:uiPriority w:val="99"/>
    <w:unhideWhenUsed/>
    <w:rsid w:val="0046016E"/>
    <w:pPr>
      <w:ind w:left="410"/>
    </w:pPr>
    <w:rPr>
      <w:rFonts w:asciiTheme="minorHAnsi" w:hAnsiTheme="minorHAnsi" w:cstheme="minorHAnsi"/>
      <w:bCs/>
    </w:rPr>
  </w:style>
  <w:style w:type="character" w:customStyle="1" w:styleId="BodyTextIndentChar">
    <w:name w:val="Body Text Indent Char"/>
    <w:basedOn w:val="DefaultParagraphFont"/>
    <w:link w:val="BodyTextIndent"/>
    <w:uiPriority w:val="99"/>
    <w:rsid w:val="0046016E"/>
    <w:rPr>
      <w:rFonts w:eastAsia="Times New Roman" w:cstheme="minorHAnsi"/>
      <w:bCs/>
      <w:sz w:val="24"/>
      <w:szCs w:val="24"/>
    </w:rPr>
  </w:style>
  <w:style w:type="paragraph" w:customStyle="1" w:styleId="AttachmentSubHeading">
    <w:name w:val="Attachment SubHeading"/>
    <w:basedOn w:val="Normal"/>
    <w:qFormat/>
    <w:rsid w:val="005C6227"/>
    <w:pPr>
      <w:tabs>
        <w:tab w:val="left" w:pos="432"/>
      </w:tabs>
      <w:suppressAutoHyphens/>
      <w:jc w:val="center"/>
    </w:pPr>
    <w:rPr>
      <w:rFonts w:asciiTheme="minorHAnsi" w:hAnsiTheme="minorHAnsi"/>
      <w:b/>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580">
      <w:bodyDiv w:val="1"/>
      <w:marLeft w:val="0"/>
      <w:marRight w:val="0"/>
      <w:marTop w:val="0"/>
      <w:marBottom w:val="0"/>
      <w:divBdr>
        <w:top w:val="none" w:sz="0" w:space="0" w:color="auto"/>
        <w:left w:val="none" w:sz="0" w:space="0" w:color="auto"/>
        <w:bottom w:val="none" w:sz="0" w:space="0" w:color="auto"/>
        <w:right w:val="none" w:sz="0" w:space="0" w:color="auto"/>
      </w:divBdr>
    </w:div>
    <w:div w:id="191185943">
      <w:bodyDiv w:val="1"/>
      <w:marLeft w:val="0"/>
      <w:marRight w:val="0"/>
      <w:marTop w:val="0"/>
      <w:marBottom w:val="0"/>
      <w:divBdr>
        <w:top w:val="none" w:sz="0" w:space="0" w:color="auto"/>
        <w:left w:val="none" w:sz="0" w:space="0" w:color="auto"/>
        <w:bottom w:val="none" w:sz="0" w:space="0" w:color="auto"/>
        <w:right w:val="none" w:sz="0" w:space="0" w:color="auto"/>
      </w:divBdr>
    </w:div>
    <w:div w:id="201984989">
      <w:bodyDiv w:val="1"/>
      <w:marLeft w:val="0"/>
      <w:marRight w:val="0"/>
      <w:marTop w:val="0"/>
      <w:marBottom w:val="0"/>
      <w:divBdr>
        <w:top w:val="none" w:sz="0" w:space="0" w:color="auto"/>
        <w:left w:val="none" w:sz="0" w:space="0" w:color="auto"/>
        <w:bottom w:val="none" w:sz="0" w:space="0" w:color="auto"/>
        <w:right w:val="none" w:sz="0" w:space="0" w:color="auto"/>
      </w:divBdr>
    </w:div>
    <w:div w:id="239408839">
      <w:bodyDiv w:val="1"/>
      <w:marLeft w:val="0"/>
      <w:marRight w:val="0"/>
      <w:marTop w:val="0"/>
      <w:marBottom w:val="0"/>
      <w:divBdr>
        <w:top w:val="none" w:sz="0" w:space="0" w:color="auto"/>
        <w:left w:val="none" w:sz="0" w:space="0" w:color="auto"/>
        <w:bottom w:val="none" w:sz="0" w:space="0" w:color="auto"/>
        <w:right w:val="none" w:sz="0" w:space="0" w:color="auto"/>
      </w:divBdr>
    </w:div>
    <w:div w:id="266691811">
      <w:bodyDiv w:val="1"/>
      <w:marLeft w:val="0"/>
      <w:marRight w:val="0"/>
      <w:marTop w:val="0"/>
      <w:marBottom w:val="0"/>
      <w:divBdr>
        <w:top w:val="none" w:sz="0" w:space="0" w:color="auto"/>
        <w:left w:val="none" w:sz="0" w:space="0" w:color="auto"/>
        <w:bottom w:val="none" w:sz="0" w:space="0" w:color="auto"/>
        <w:right w:val="none" w:sz="0" w:space="0" w:color="auto"/>
      </w:divBdr>
    </w:div>
    <w:div w:id="345518630">
      <w:bodyDiv w:val="1"/>
      <w:marLeft w:val="0"/>
      <w:marRight w:val="0"/>
      <w:marTop w:val="0"/>
      <w:marBottom w:val="0"/>
      <w:divBdr>
        <w:top w:val="none" w:sz="0" w:space="0" w:color="auto"/>
        <w:left w:val="none" w:sz="0" w:space="0" w:color="auto"/>
        <w:bottom w:val="none" w:sz="0" w:space="0" w:color="auto"/>
        <w:right w:val="none" w:sz="0" w:space="0" w:color="auto"/>
      </w:divBdr>
    </w:div>
    <w:div w:id="413212129">
      <w:bodyDiv w:val="1"/>
      <w:marLeft w:val="0"/>
      <w:marRight w:val="0"/>
      <w:marTop w:val="0"/>
      <w:marBottom w:val="0"/>
      <w:divBdr>
        <w:top w:val="none" w:sz="0" w:space="0" w:color="auto"/>
        <w:left w:val="none" w:sz="0" w:space="0" w:color="auto"/>
        <w:bottom w:val="none" w:sz="0" w:space="0" w:color="auto"/>
        <w:right w:val="none" w:sz="0" w:space="0" w:color="auto"/>
      </w:divBdr>
    </w:div>
    <w:div w:id="575669489">
      <w:bodyDiv w:val="1"/>
      <w:marLeft w:val="0"/>
      <w:marRight w:val="0"/>
      <w:marTop w:val="0"/>
      <w:marBottom w:val="0"/>
      <w:divBdr>
        <w:top w:val="none" w:sz="0" w:space="0" w:color="auto"/>
        <w:left w:val="none" w:sz="0" w:space="0" w:color="auto"/>
        <w:bottom w:val="none" w:sz="0" w:space="0" w:color="auto"/>
        <w:right w:val="none" w:sz="0" w:space="0" w:color="auto"/>
      </w:divBdr>
    </w:div>
    <w:div w:id="997222430">
      <w:bodyDiv w:val="1"/>
      <w:marLeft w:val="0"/>
      <w:marRight w:val="0"/>
      <w:marTop w:val="0"/>
      <w:marBottom w:val="0"/>
      <w:divBdr>
        <w:top w:val="none" w:sz="0" w:space="0" w:color="auto"/>
        <w:left w:val="none" w:sz="0" w:space="0" w:color="auto"/>
        <w:bottom w:val="none" w:sz="0" w:space="0" w:color="auto"/>
        <w:right w:val="none" w:sz="0" w:space="0" w:color="auto"/>
      </w:divBdr>
    </w:div>
    <w:div w:id="999037245">
      <w:bodyDiv w:val="1"/>
      <w:marLeft w:val="0"/>
      <w:marRight w:val="0"/>
      <w:marTop w:val="0"/>
      <w:marBottom w:val="0"/>
      <w:divBdr>
        <w:top w:val="none" w:sz="0" w:space="0" w:color="auto"/>
        <w:left w:val="none" w:sz="0" w:space="0" w:color="auto"/>
        <w:bottom w:val="none" w:sz="0" w:space="0" w:color="auto"/>
        <w:right w:val="none" w:sz="0" w:space="0" w:color="auto"/>
      </w:divBdr>
    </w:div>
    <w:div w:id="1002854363">
      <w:bodyDiv w:val="1"/>
      <w:marLeft w:val="0"/>
      <w:marRight w:val="0"/>
      <w:marTop w:val="0"/>
      <w:marBottom w:val="0"/>
      <w:divBdr>
        <w:top w:val="none" w:sz="0" w:space="0" w:color="auto"/>
        <w:left w:val="none" w:sz="0" w:space="0" w:color="auto"/>
        <w:bottom w:val="none" w:sz="0" w:space="0" w:color="auto"/>
        <w:right w:val="none" w:sz="0" w:space="0" w:color="auto"/>
      </w:divBdr>
    </w:div>
    <w:div w:id="1157377647">
      <w:bodyDiv w:val="1"/>
      <w:marLeft w:val="0"/>
      <w:marRight w:val="0"/>
      <w:marTop w:val="0"/>
      <w:marBottom w:val="0"/>
      <w:divBdr>
        <w:top w:val="none" w:sz="0" w:space="0" w:color="auto"/>
        <w:left w:val="none" w:sz="0" w:space="0" w:color="auto"/>
        <w:bottom w:val="none" w:sz="0" w:space="0" w:color="auto"/>
        <w:right w:val="none" w:sz="0" w:space="0" w:color="auto"/>
      </w:divBdr>
    </w:div>
    <w:div w:id="1275210559">
      <w:bodyDiv w:val="1"/>
      <w:marLeft w:val="0"/>
      <w:marRight w:val="0"/>
      <w:marTop w:val="0"/>
      <w:marBottom w:val="0"/>
      <w:divBdr>
        <w:top w:val="none" w:sz="0" w:space="0" w:color="auto"/>
        <w:left w:val="none" w:sz="0" w:space="0" w:color="auto"/>
        <w:bottom w:val="none" w:sz="0" w:space="0" w:color="auto"/>
        <w:right w:val="none" w:sz="0" w:space="0" w:color="auto"/>
      </w:divBdr>
    </w:div>
    <w:div w:id="1455559088">
      <w:bodyDiv w:val="1"/>
      <w:marLeft w:val="0"/>
      <w:marRight w:val="0"/>
      <w:marTop w:val="0"/>
      <w:marBottom w:val="0"/>
      <w:divBdr>
        <w:top w:val="none" w:sz="0" w:space="0" w:color="auto"/>
        <w:left w:val="none" w:sz="0" w:space="0" w:color="auto"/>
        <w:bottom w:val="none" w:sz="0" w:space="0" w:color="auto"/>
        <w:right w:val="none" w:sz="0" w:space="0" w:color="auto"/>
      </w:divBdr>
    </w:div>
    <w:div w:id="1466461306">
      <w:bodyDiv w:val="1"/>
      <w:marLeft w:val="0"/>
      <w:marRight w:val="0"/>
      <w:marTop w:val="0"/>
      <w:marBottom w:val="0"/>
      <w:divBdr>
        <w:top w:val="none" w:sz="0" w:space="0" w:color="auto"/>
        <w:left w:val="none" w:sz="0" w:space="0" w:color="auto"/>
        <w:bottom w:val="none" w:sz="0" w:space="0" w:color="auto"/>
        <w:right w:val="none" w:sz="0" w:space="0" w:color="auto"/>
      </w:divBdr>
    </w:div>
    <w:div w:id="1480415318">
      <w:bodyDiv w:val="1"/>
      <w:marLeft w:val="0"/>
      <w:marRight w:val="0"/>
      <w:marTop w:val="0"/>
      <w:marBottom w:val="0"/>
      <w:divBdr>
        <w:top w:val="none" w:sz="0" w:space="0" w:color="auto"/>
        <w:left w:val="none" w:sz="0" w:space="0" w:color="auto"/>
        <w:bottom w:val="none" w:sz="0" w:space="0" w:color="auto"/>
        <w:right w:val="none" w:sz="0" w:space="0" w:color="auto"/>
      </w:divBdr>
    </w:div>
    <w:div w:id="1538271790">
      <w:bodyDiv w:val="1"/>
      <w:marLeft w:val="0"/>
      <w:marRight w:val="0"/>
      <w:marTop w:val="0"/>
      <w:marBottom w:val="0"/>
      <w:divBdr>
        <w:top w:val="none" w:sz="0" w:space="0" w:color="auto"/>
        <w:left w:val="none" w:sz="0" w:space="0" w:color="auto"/>
        <w:bottom w:val="none" w:sz="0" w:space="0" w:color="auto"/>
        <w:right w:val="none" w:sz="0" w:space="0" w:color="auto"/>
      </w:divBdr>
    </w:div>
    <w:div w:id="1610311038">
      <w:bodyDiv w:val="1"/>
      <w:marLeft w:val="0"/>
      <w:marRight w:val="0"/>
      <w:marTop w:val="0"/>
      <w:marBottom w:val="0"/>
      <w:divBdr>
        <w:top w:val="none" w:sz="0" w:space="0" w:color="auto"/>
        <w:left w:val="none" w:sz="0" w:space="0" w:color="auto"/>
        <w:bottom w:val="none" w:sz="0" w:space="0" w:color="auto"/>
        <w:right w:val="none" w:sz="0" w:space="0" w:color="auto"/>
      </w:divBdr>
    </w:div>
    <w:div w:id="1680111923">
      <w:bodyDiv w:val="1"/>
      <w:marLeft w:val="0"/>
      <w:marRight w:val="0"/>
      <w:marTop w:val="0"/>
      <w:marBottom w:val="0"/>
      <w:divBdr>
        <w:top w:val="none" w:sz="0" w:space="0" w:color="auto"/>
        <w:left w:val="none" w:sz="0" w:space="0" w:color="auto"/>
        <w:bottom w:val="none" w:sz="0" w:space="0" w:color="auto"/>
        <w:right w:val="none" w:sz="0" w:space="0" w:color="auto"/>
      </w:divBdr>
    </w:div>
    <w:div w:id="1727147248">
      <w:bodyDiv w:val="1"/>
      <w:marLeft w:val="0"/>
      <w:marRight w:val="0"/>
      <w:marTop w:val="0"/>
      <w:marBottom w:val="0"/>
      <w:divBdr>
        <w:top w:val="none" w:sz="0" w:space="0" w:color="auto"/>
        <w:left w:val="none" w:sz="0" w:space="0" w:color="auto"/>
        <w:bottom w:val="none" w:sz="0" w:space="0" w:color="auto"/>
        <w:right w:val="none" w:sz="0" w:space="0" w:color="auto"/>
      </w:divBdr>
    </w:div>
    <w:div w:id="1772239441">
      <w:bodyDiv w:val="1"/>
      <w:marLeft w:val="0"/>
      <w:marRight w:val="0"/>
      <w:marTop w:val="0"/>
      <w:marBottom w:val="0"/>
      <w:divBdr>
        <w:top w:val="none" w:sz="0" w:space="0" w:color="auto"/>
        <w:left w:val="none" w:sz="0" w:space="0" w:color="auto"/>
        <w:bottom w:val="none" w:sz="0" w:space="0" w:color="auto"/>
        <w:right w:val="none" w:sz="0" w:space="0" w:color="auto"/>
      </w:divBdr>
    </w:div>
    <w:div w:id="1841921535">
      <w:bodyDiv w:val="1"/>
      <w:marLeft w:val="0"/>
      <w:marRight w:val="0"/>
      <w:marTop w:val="0"/>
      <w:marBottom w:val="0"/>
      <w:divBdr>
        <w:top w:val="none" w:sz="0" w:space="0" w:color="auto"/>
        <w:left w:val="none" w:sz="0" w:space="0" w:color="auto"/>
        <w:bottom w:val="none" w:sz="0" w:space="0" w:color="auto"/>
        <w:right w:val="none" w:sz="0" w:space="0" w:color="auto"/>
      </w:divBdr>
    </w:div>
    <w:div w:id="1956598482">
      <w:bodyDiv w:val="1"/>
      <w:marLeft w:val="0"/>
      <w:marRight w:val="0"/>
      <w:marTop w:val="0"/>
      <w:marBottom w:val="0"/>
      <w:divBdr>
        <w:top w:val="none" w:sz="0" w:space="0" w:color="auto"/>
        <w:left w:val="none" w:sz="0" w:space="0" w:color="auto"/>
        <w:bottom w:val="none" w:sz="0" w:space="0" w:color="auto"/>
        <w:right w:val="none" w:sz="0" w:space="0" w:color="auto"/>
      </w:divBdr>
    </w:div>
    <w:div w:id="2014144433">
      <w:bodyDiv w:val="1"/>
      <w:marLeft w:val="0"/>
      <w:marRight w:val="0"/>
      <w:marTop w:val="0"/>
      <w:marBottom w:val="0"/>
      <w:divBdr>
        <w:top w:val="none" w:sz="0" w:space="0" w:color="auto"/>
        <w:left w:val="none" w:sz="0" w:space="0" w:color="auto"/>
        <w:bottom w:val="none" w:sz="0" w:space="0" w:color="auto"/>
        <w:right w:val="none" w:sz="0" w:space="0" w:color="auto"/>
      </w:divBdr>
    </w:div>
    <w:div w:id="2065595337">
      <w:bodyDiv w:val="1"/>
      <w:marLeft w:val="0"/>
      <w:marRight w:val="0"/>
      <w:marTop w:val="0"/>
      <w:marBottom w:val="0"/>
      <w:divBdr>
        <w:top w:val="none" w:sz="0" w:space="0" w:color="auto"/>
        <w:left w:val="none" w:sz="0" w:space="0" w:color="auto"/>
        <w:bottom w:val="none" w:sz="0" w:space="0" w:color="auto"/>
        <w:right w:val="none" w:sz="0" w:space="0" w:color="auto"/>
      </w:divBdr>
    </w:div>
    <w:div w:id="2140411161">
      <w:bodyDiv w:val="1"/>
      <w:marLeft w:val="0"/>
      <w:marRight w:val="0"/>
      <w:marTop w:val="0"/>
      <w:marBottom w:val="0"/>
      <w:divBdr>
        <w:top w:val="none" w:sz="0" w:space="0" w:color="auto"/>
        <w:left w:val="none" w:sz="0" w:space="0" w:color="auto"/>
        <w:bottom w:val="none" w:sz="0" w:space="0" w:color="auto"/>
        <w:right w:val="none" w:sz="0" w:space="0" w:color="auto"/>
      </w:divBdr>
    </w:div>
    <w:div w:id="21431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ls.gov/oes/current/naics3_6110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es/current/oes39901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ns.usda.gov/ops/research-and-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D953-EA7C-460D-9ED5-94FC0167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6</cp:revision>
  <dcterms:created xsi:type="dcterms:W3CDTF">2020-06-25T20:10:00Z</dcterms:created>
  <dcterms:modified xsi:type="dcterms:W3CDTF">2020-06-25T21:07:00Z</dcterms:modified>
</cp:coreProperties>
</file>