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1D" w:rsidP="00651827" w:rsidRDefault="00A56326" w14:paraId="0BE7B309" w14:textId="77777777">
      <w:pPr>
        <w:pStyle w:val="Heading1"/>
        <w:spacing w:before="0"/>
        <w:ind w:left="0"/>
        <w:jc w:val="center"/>
      </w:pPr>
      <w:r>
        <w:t>SUPPORTING STATEMENT</w:t>
      </w:r>
    </w:p>
    <w:p w:rsidR="00B54A1D" w:rsidP="00651827" w:rsidRDefault="00A56326" w14:paraId="52CC04FC" w14:textId="77777777">
      <w:pPr>
        <w:ind w:firstLine="14"/>
        <w:jc w:val="center"/>
        <w:rPr>
          <w:b/>
        </w:rPr>
      </w:pPr>
      <w:r>
        <w:rPr>
          <w:b/>
        </w:rPr>
        <w:t>U.S. Department of Commerce</w:t>
      </w:r>
    </w:p>
    <w:p w:rsidR="00B54A1D" w:rsidP="00651827" w:rsidRDefault="00A56326" w14:paraId="77E81188" w14:textId="77777777">
      <w:pPr>
        <w:ind w:firstLine="14"/>
        <w:jc w:val="center"/>
        <w:rPr>
          <w:b/>
        </w:rPr>
      </w:pPr>
      <w:r>
        <w:rPr>
          <w:b/>
        </w:rPr>
        <w:t>National Oceanic &amp; Atmospheric Administration</w:t>
      </w:r>
    </w:p>
    <w:p w:rsidR="007618B8" w:rsidP="00651827" w:rsidRDefault="007618B8" w14:paraId="1CF59461" w14:textId="24EA4813">
      <w:pPr>
        <w:ind w:hanging="6"/>
        <w:jc w:val="center"/>
        <w:rPr>
          <w:b/>
        </w:rPr>
      </w:pPr>
      <w:r w:rsidRPr="007618B8">
        <w:rPr>
          <w:b/>
        </w:rPr>
        <w:t>C</w:t>
      </w:r>
      <w:r w:rsidR="00A23935">
        <w:rPr>
          <w:b/>
        </w:rPr>
        <w:t>ommercial</w:t>
      </w:r>
      <w:r w:rsidRPr="007618B8">
        <w:rPr>
          <w:b/>
        </w:rPr>
        <w:t xml:space="preserve"> O</w:t>
      </w:r>
      <w:r w:rsidR="00A23935">
        <w:rPr>
          <w:b/>
        </w:rPr>
        <w:t>perator’s</w:t>
      </w:r>
      <w:r w:rsidRPr="007618B8">
        <w:rPr>
          <w:b/>
        </w:rPr>
        <w:t xml:space="preserve"> </w:t>
      </w:r>
      <w:r w:rsidR="00A23935">
        <w:rPr>
          <w:b/>
        </w:rPr>
        <w:t xml:space="preserve">Annual Report </w:t>
      </w:r>
      <w:r w:rsidRPr="007618B8">
        <w:rPr>
          <w:b/>
        </w:rPr>
        <w:t>(COAR)</w:t>
      </w:r>
    </w:p>
    <w:p w:rsidR="00B54A1D" w:rsidP="00651827" w:rsidRDefault="00A56326" w14:paraId="144A1E63" w14:textId="77777777">
      <w:pPr>
        <w:ind w:hanging="6"/>
        <w:jc w:val="center"/>
        <w:rPr>
          <w:b/>
        </w:rPr>
      </w:pPr>
      <w:r>
        <w:rPr>
          <w:b/>
        </w:rPr>
        <w:t>OMB Control No. 0648-</w:t>
      </w:r>
      <w:r w:rsidR="007618B8">
        <w:rPr>
          <w:b/>
        </w:rPr>
        <w:t>0428</w:t>
      </w:r>
    </w:p>
    <w:p w:rsidR="00141191" w:rsidP="00651827" w:rsidRDefault="00141191" w14:paraId="340EED61" w14:textId="77777777">
      <w:pPr>
        <w:widowControl/>
        <w:rPr>
          <w:b/>
        </w:rPr>
      </w:pPr>
    </w:p>
    <w:p w:rsidR="00B54A1D" w:rsidP="00651827" w:rsidRDefault="00A56326" w14:paraId="52388B18" w14:textId="77777777">
      <w:pPr>
        <w:pStyle w:val="Heading1"/>
        <w:widowControl/>
        <w:spacing w:before="0"/>
        <w:ind w:left="0"/>
      </w:pPr>
      <w:r>
        <w:t>Abstract</w:t>
      </w:r>
    </w:p>
    <w:p w:rsidR="00641447" w:rsidP="00651827" w:rsidRDefault="00641447" w14:paraId="530EF29A" w14:textId="77777777">
      <w:pPr>
        <w:widowControl/>
        <w:ind w:firstLine="720"/>
        <w:rPr>
          <w:rFonts w:eastAsia="Calibri"/>
        </w:rPr>
      </w:pPr>
    </w:p>
    <w:p w:rsidRPr="00A23935" w:rsidR="00BC15A8" w:rsidP="00A23935" w:rsidRDefault="00BC15A8" w14:paraId="3CAABA89" w14:textId="280AB372">
      <w:pPr>
        <w:widowControl/>
        <w:ind w:firstLine="720"/>
        <w:rPr>
          <w:rFonts w:eastAsia="Calibri"/>
        </w:rPr>
      </w:pPr>
      <w:r w:rsidRPr="00BC15A8">
        <w:rPr>
          <w:rFonts w:eastAsia="Calibri"/>
        </w:rPr>
        <w:t>The National Marine Fisheries Service (NMFS), Alaska Regional Office, is requesting renewal of the currently approved information collection for the Commercial Operator’s Annual Report (COAR).</w:t>
      </w:r>
      <w:r w:rsidR="00D16F12">
        <w:rPr>
          <w:rFonts w:eastAsia="Calibri"/>
        </w:rPr>
        <w:t xml:space="preserve"> No</w:t>
      </w:r>
      <w:r w:rsidR="00641447">
        <w:rPr>
          <w:rFonts w:eastAsia="Calibri"/>
        </w:rPr>
        <w:t xml:space="preserve"> revisions </w:t>
      </w:r>
      <w:proofErr w:type="gramStart"/>
      <w:r w:rsidR="00641447">
        <w:rPr>
          <w:rFonts w:eastAsia="Calibri"/>
        </w:rPr>
        <w:t>are made</w:t>
      </w:r>
      <w:proofErr w:type="gramEnd"/>
      <w:r w:rsidR="00641447">
        <w:rPr>
          <w:rFonts w:eastAsia="Calibri"/>
        </w:rPr>
        <w:t xml:space="preserve"> to this collection.</w:t>
      </w:r>
    </w:p>
    <w:p w:rsidRPr="00E52139" w:rsidR="00E52139" w:rsidP="00A23935" w:rsidRDefault="00E52139" w14:paraId="2249FB0D" w14:textId="1141FD28">
      <w:pPr>
        <w:widowControl/>
        <w:ind w:firstLine="720"/>
      </w:pPr>
      <w:r w:rsidRPr="00E52139">
        <w:t>The COAR is a State of Alaska report</w:t>
      </w:r>
      <w:r w:rsidR="007E3205">
        <w:t>.</w:t>
      </w:r>
      <w:r w:rsidRPr="00E52139">
        <w:t xml:space="preserve"> NMFS requires motherships and catcher/processors that </w:t>
      </w:r>
      <w:proofErr w:type="gramStart"/>
      <w:r w:rsidRPr="00E52139">
        <w:t>are issued</w:t>
      </w:r>
      <w:proofErr w:type="gramEnd"/>
      <w:r w:rsidRPr="00E52139">
        <w:t xml:space="preserve"> a Federal fisheries permit to annually complete and submit the appropriate sections of the COAR. </w:t>
      </w:r>
    </w:p>
    <w:p w:rsidRPr="00E52139" w:rsidR="00BC15A8" w:rsidP="00E52139" w:rsidRDefault="00E52139" w14:paraId="65913279" w14:textId="729BF069">
      <w:pPr>
        <w:widowControl/>
        <w:ind w:firstLine="720"/>
      </w:pPr>
      <w:r w:rsidRPr="00E52139">
        <w:t xml:space="preserve">The COAR </w:t>
      </w:r>
      <w:proofErr w:type="gramStart"/>
      <w:r w:rsidRPr="00E52139">
        <w:t>is used</w:t>
      </w:r>
      <w:proofErr w:type="gramEnd"/>
      <w:r w:rsidRPr="00E52139">
        <w:t xml:space="preserve"> to gather statewide fish and shellfish information describing buying (ex-vessel) and production (wholesale or retail) activities. The information collected in the COAR </w:t>
      </w:r>
      <w:proofErr w:type="gramStart"/>
      <w:r w:rsidRPr="00E52139">
        <w:t>is used</w:t>
      </w:r>
      <w:proofErr w:type="gramEnd"/>
      <w:r w:rsidRPr="00E52139">
        <w:t xml:space="preserve"> to determine the value of Alaska’s fisheries resources and products. </w:t>
      </w:r>
      <w:proofErr w:type="gramStart"/>
      <w:r w:rsidRPr="00E52139">
        <w:t>NMFS uses the COAR database in annual Federal publications on the value of U.S. commercial fisheries, in the annual NMFS Stock Assessment and Fishery Evaluation reports for the groundfish fisheries of the Ber</w:t>
      </w:r>
      <w:r>
        <w:t>ing Sea and Aleutian Islands and the Gulf of Alaska</w:t>
      </w:r>
      <w:r w:rsidRPr="00E52139">
        <w:t>, and in periodic reports that describe the fisheries and that serve as reference documents to management agencies, the industry, and others.</w:t>
      </w:r>
      <w:proofErr w:type="gramEnd"/>
    </w:p>
    <w:p w:rsidR="00BC15A8" w:rsidP="00651827" w:rsidRDefault="00BC15A8" w14:paraId="51A0C65A" w14:textId="1FE654CC">
      <w:pPr>
        <w:widowControl/>
        <w:rPr>
          <w:b/>
        </w:rPr>
      </w:pPr>
    </w:p>
    <w:p w:rsidR="00BC15A8" w:rsidP="00651827" w:rsidRDefault="00BC15A8" w14:paraId="0FD29648" w14:textId="77777777">
      <w:pPr>
        <w:widowControl/>
        <w:rPr>
          <w:b/>
        </w:rPr>
      </w:pPr>
    </w:p>
    <w:p w:rsidR="00B54A1D" w:rsidP="00651827" w:rsidRDefault="00A56326" w14:paraId="621A577C" w14:textId="1F4CD93E">
      <w:pPr>
        <w:pStyle w:val="Heading1"/>
        <w:widowControl/>
        <w:spacing w:before="0"/>
        <w:ind w:left="0"/>
      </w:pPr>
      <w:r>
        <w:t>Justification</w:t>
      </w:r>
    </w:p>
    <w:p w:rsidR="00141191" w:rsidP="00651827" w:rsidRDefault="00141191" w14:paraId="6236DA31" w14:textId="77777777">
      <w:pPr>
        <w:pStyle w:val="Heading1"/>
        <w:widowControl/>
        <w:spacing w:before="0"/>
        <w:ind w:left="0"/>
      </w:pPr>
    </w:p>
    <w:p w:rsidR="00B54A1D" w:rsidP="00651827" w:rsidRDefault="00A56326" w14:paraId="279B0A5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5701D" w:rsidR="00E5701D" w:rsidP="00651827" w:rsidRDefault="00E5701D" w14:paraId="26EA51B2" w14:textId="064CE259">
      <w:pPr>
        <w:widowControl/>
        <w:pBdr>
          <w:top w:val="nil"/>
          <w:left w:val="nil"/>
          <w:bottom w:val="nil"/>
          <w:right w:val="nil"/>
          <w:between w:val="nil"/>
        </w:pBdr>
      </w:pPr>
    </w:p>
    <w:p w:rsidRPr="00C36D4A" w:rsidR="00045111" w:rsidP="00651827" w:rsidRDefault="00045111" w14:paraId="4F0BD771" w14:textId="792F0D86">
      <w:pPr>
        <w:widowControl/>
        <w:autoSpaceDE w:val="0"/>
        <w:autoSpaceDN w:val="0"/>
        <w:adjustRightInd w:val="0"/>
      </w:pPr>
      <w:r w:rsidRPr="00C36D4A">
        <w:t xml:space="preserve">Fishing </w:t>
      </w:r>
      <w:proofErr w:type="gramStart"/>
      <w:r w:rsidRPr="00C36D4A">
        <w:t>for groundfish by United States (U.S.) vessels in the exclusive economic zone (EEZ) in waters off Alaska</w:t>
      </w:r>
      <w:proofErr w:type="gramEnd"/>
      <w:r w:rsidRPr="00C36D4A">
        <w:t xml:space="preserve"> is authorized under </w:t>
      </w:r>
      <w:hyperlink w:history="1" r:id="rId9">
        <w:r w:rsidRPr="00C36D4A">
          <w:rPr>
            <w:color w:val="0000FF"/>
            <w:u w:val="single"/>
          </w:rPr>
          <w:t>the Magnuson-Stevens Fishery Conservation and Management Act</w:t>
        </w:r>
      </w:hyperlink>
      <w:r w:rsidRPr="00C36D4A">
        <w:t xml:space="preserve">, 16 U.S.C. 1801, </w:t>
      </w:r>
      <w:r w:rsidRPr="00C36D4A">
        <w:rPr>
          <w:i/>
        </w:rPr>
        <w:t>et seq</w:t>
      </w:r>
      <w:r w:rsidRPr="00C36D4A">
        <w:t>. (Magnuson-Stevens Act) as amended in 2006. The North Pacific Fishery Management Council prepares and amends fishery management plans for any fishery in waters under its jurisdiction. NMFS manages groundfish according to the Fishery Management Plan for Groundfish of the Gulf of Alaska and the Fishery Management Plan for Groundfish of the Bering Sea and Aleutian Islands Management Area.</w:t>
      </w:r>
    </w:p>
    <w:p w:rsidR="00E96AEB" w:rsidP="00651827" w:rsidRDefault="00E96AEB" w14:paraId="3F77BBFE" w14:textId="6F73D789">
      <w:pPr>
        <w:widowControl/>
        <w:autoSpaceDE w:val="0"/>
        <w:autoSpaceDN w:val="0"/>
        <w:adjustRightInd w:val="0"/>
        <w:rPr>
          <w:highlight w:val="lightGray"/>
        </w:rPr>
      </w:pPr>
    </w:p>
    <w:p w:rsidR="00E96AEB" w:rsidP="00651827" w:rsidRDefault="00E96AEB" w14:paraId="0488E035" w14:textId="52A542E9">
      <w:pPr>
        <w:widowControl/>
        <w:rPr>
          <w:rFonts w:eastAsia="Calibri"/>
        </w:rPr>
      </w:pPr>
      <w:r w:rsidRPr="00E96AEB">
        <w:rPr>
          <w:rFonts w:eastAsia="Calibri"/>
        </w:rPr>
        <w:t>The COAR is a State of Alaska report that is required to be completed and submitt</w:t>
      </w:r>
      <w:r w:rsidR="008922C7">
        <w:rPr>
          <w:rFonts w:eastAsia="Calibri"/>
        </w:rPr>
        <w:t>ed by direct marketers, catcher/</w:t>
      </w:r>
      <w:r w:rsidRPr="00E96AEB">
        <w:rPr>
          <w:rFonts w:eastAsia="Calibri"/>
        </w:rPr>
        <w:t>processors, catcher exporters, buyer exporters, shore-based processors, and floating processor permit holders pursuant to Alaska Administrative Code (</w:t>
      </w:r>
      <w:hyperlink w:history="1" w:anchor="5.39.130" r:id="rId10">
        <w:r w:rsidRPr="005E4D40">
          <w:rPr>
            <w:rStyle w:val="Hyperlink"/>
            <w:rFonts w:eastAsia="Calibri"/>
          </w:rPr>
          <w:t>5 AAC 39.130</w:t>
        </w:r>
      </w:hyperlink>
      <w:r w:rsidRPr="00E96AEB">
        <w:rPr>
          <w:rFonts w:eastAsia="Calibri"/>
        </w:rPr>
        <w:t xml:space="preserve">) and </w:t>
      </w:r>
      <w:r w:rsidR="008922C7">
        <w:rPr>
          <w:rFonts w:eastAsia="Calibri"/>
        </w:rPr>
        <w:t xml:space="preserve">Federal regulations at </w:t>
      </w:r>
      <w:r w:rsidRPr="00E96AEB">
        <w:rPr>
          <w:rFonts w:eastAsia="Calibri"/>
        </w:rPr>
        <w:t xml:space="preserve">50 CFR 679. Under </w:t>
      </w:r>
      <w:hyperlink w:history="1" r:id="rId11">
        <w:r w:rsidRPr="005E4D40">
          <w:rPr>
            <w:rStyle w:val="Hyperlink"/>
            <w:rFonts w:eastAsia="Calibri"/>
          </w:rPr>
          <w:t>50 CFR 679.5(p)</w:t>
        </w:r>
      </w:hyperlink>
      <w:r w:rsidRPr="00E96AEB">
        <w:rPr>
          <w:rFonts w:eastAsia="Calibri"/>
        </w:rPr>
        <w:t>, NMFS r</w:t>
      </w:r>
      <w:r w:rsidR="008922C7">
        <w:rPr>
          <w:rFonts w:eastAsia="Calibri"/>
        </w:rPr>
        <w:t>equires motherships and catcher/</w:t>
      </w:r>
      <w:r w:rsidRPr="00E96AEB">
        <w:rPr>
          <w:rFonts w:eastAsia="Calibri"/>
        </w:rPr>
        <w:t xml:space="preserve">processors that </w:t>
      </w:r>
      <w:proofErr w:type="gramStart"/>
      <w:r w:rsidRPr="00E96AEB">
        <w:rPr>
          <w:rFonts w:eastAsia="Calibri"/>
        </w:rPr>
        <w:t>are issued</w:t>
      </w:r>
      <w:proofErr w:type="gramEnd"/>
      <w:r w:rsidRPr="00E96AEB">
        <w:rPr>
          <w:rFonts w:eastAsia="Calibri"/>
        </w:rPr>
        <w:t xml:space="preserve"> a Federal fisheries permit to annually complete and submit the appropriate sections of the COAR. </w:t>
      </w:r>
    </w:p>
    <w:p w:rsidRPr="00E96AEB" w:rsidR="00E96AEB" w:rsidP="00651827" w:rsidRDefault="00E96AEB" w14:paraId="66E27BB5" w14:textId="77777777">
      <w:pPr>
        <w:widowControl/>
        <w:ind w:firstLine="720"/>
        <w:rPr>
          <w:rFonts w:eastAsia="Calibri"/>
        </w:rPr>
      </w:pPr>
    </w:p>
    <w:p w:rsidR="00E96AEB" w:rsidP="00651827" w:rsidRDefault="00E96AEB" w14:paraId="120E034F" w14:textId="0CFBF7AA">
      <w:pPr>
        <w:widowControl/>
        <w:rPr>
          <w:rFonts w:eastAsia="Calibri"/>
        </w:rPr>
      </w:pPr>
      <w:r w:rsidRPr="00E96AEB">
        <w:rPr>
          <w:rFonts w:eastAsia="Calibri"/>
        </w:rPr>
        <w:t xml:space="preserve">The COAR </w:t>
      </w:r>
      <w:proofErr w:type="gramStart"/>
      <w:r w:rsidRPr="00E96AEB">
        <w:rPr>
          <w:rFonts w:eastAsia="Calibri"/>
        </w:rPr>
        <w:t>is used</w:t>
      </w:r>
      <w:proofErr w:type="gramEnd"/>
      <w:r w:rsidRPr="00E96AEB">
        <w:rPr>
          <w:rFonts w:eastAsia="Calibri"/>
        </w:rPr>
        <w:t xml:space="preserve"> to gather statewide fish and shellfish information describing buying (ex-vessel) and production (wholesale or retail) activities. The information collected in the COAR </w:t>
      </w:r>
      <w:proofErr w:type="gramStart"/>
      <w:r w:rsidRPr="00E96AEB">
        <w:rPr>
          <w:rFonts w:eastAsia="Calibri"/>
        </w:rPr>
        <w:t>is used</w:t>
      </w:r>
      <w:proofErr w:type="gramEnd"/>
      <w:r w:rsidRPr="00E96AEB">
        <w:rPr>
          <w:rFonts w:eastAsia="Calibri"/>
        </w:rPr>
        <w:t xml:space="preserve"> to determine the value of Alaska’s fisheries resources and products. </w:t>
      </w:r>
      <w:proofErr w:type="gramStart"/>
      <w:r w:rsidRPr="00E96AEB">
        <w:rPr>
          <w:rFonts w:eastAsia="Calibri"/>
        </w:rPr>
        <w:t xml:space="preserve">NMFS uses the COAR database in annual Federal publications on the value of U.S. commercial fisheries, in the annual NMFS Stock Assessment </w:t>
      </w:r>
      <w:r w:rsidRPr="00E96AEB">
        <w:rPr>
          <w:rFonts w:eastAsia="Calibri"/>
        </w:rPr>
        <w:lastRenderedPageBreak/>
        <w:t>and Fishery Evaluation reports for the groundfish fisheries of the Bering Sea and Aleutian Islands</w:t>
      </w:r>
      <w:r w:rsidR="006A7513">
        <w:rPr>
          <w:rFonts w:eastAsia="Calibri"/>
        </w:rPr>
        <w:t xml:space="preserve"> (BSAI)</w:t>
      </w:r>
      <w:r w:rsidRPr="00E96AEB">
        <w:rPr>
          <w:rFonts w:eastAsia="Calibri"/>
        </w:rPr>
        <w:t xml:space="preserve"> and the Gulf of Alaska</w:t>
      </w:r>
      <w:r w:rsidR="006A7513">
        <w:rPr>
          <w:rFonts w:eastAsia="Calibri"/>
        </w:rPr>
        <w:t xml:space="preserve"> (GOA)</w:t>
      </w:r>
      <w:r w:rsidRPr="00E96AEB">
        <w:rPr>
          <w:rFonts w:eastAsia="Calibri"/>
        </w:rPr>
        <w:t>, and in periodic reports that describe the fisheries and that serve as reference documents to management agencies, the industry, and others.</w:t>
      </w:r>
      <w:proofErr w:type="gramEnd"/>
    </w:p>
    <w:p w:rsidRPr="00E96AEB" w:rsidR="00E96AEB" w:rsidP="00651827" w:rsidRDefault="00E96AEB" w14:paraId="2AF6FD22" w14:textId="77777777">
      <w:pPr>
        <w:widowControl/>
        <w:ind w:firstLine="720"/>
        <w:rPr>
          <w:rFonts w:eastAsia="Calibri"/>
        </w:rPr>
      </w:pPr>
    </w:p>
    <w:p w:rsidR="00C36D4A" w:rsidP="00651827" w:rsidRDefault="00C36D4A" w14:paraId="605C3A3A" w14:textId="7F5D5F58">
      <w:pPr>
        <w:widowControl/>
        <w:rPr>
          <w:rFonts w:eastAsia="Calibri"/>
        </w:rPr>
      </w:pPr>
      <w:r w:rsidRPr="00C36D4A">
        <w:rPr>
          <w:rFonts w:eastAsia="Calibri"/>
        </w:rPr>
        <w:t>Catcher/processors and motherships operating in the EEZ off Alaska represent a significant part of the total capacity of groundfish processors in the BSAI and GOA and account for a substantial part of the total landings each year.</w:t>
      </w:r>
      <w:r w:rsidR="005F4D30">
        <w:rPr>
          <w:rFonts w:eastAsia="Calibri"/>
        </w:rPr>
        <w:t xml:space="preserve"> </w:t>
      </w:r>
    </w:p>
    <w:p w:rsidR="00C36D4A" w:rsidP="00651827" w:rsidRDefault="00C36D4A" w14:paraId="7D0CE6E6" w14:textId="77777777">
      <w:pPr>
        <w:widowControl/>
        <w:ind w:firstLine="720"/>
        <w:rPr>
          <w:rFonts w:eastAsia="Calibri"/>
        </w:rPr>
      </w:pPr>
    </w:p>
    <w:p w:rsidRPr="00E96AEB" w:rsidR="00E96AEB" w:rsidP="00651827" w:rsidRDefault="00E96AEB" w14:paraId="3EA1AE10" w14:textId="1FCC8A9E">
      <w:pPr>
        <w:widowControl/>
        <w:rPr>
          <w:rFonts w:eastAsia="Calibri"/>
        </w:rPr>
      </w:pPr>
      <w:r w:rsidRPr="00E96AEB">
        <w:rPr>
          <w:rFonts w:eastAsia="Calibri"/>
        </w:rPr>
        <w:t xml:space="preserve">The </w:t>
      </w:r>
      <w:r w:rsidR="006A7513">
        <w:rPr>
          <w:rFonts w:eastAsia="Calibri"/>
        </w:rPr>
        <w:t>catcher/</w:t>
      </w:r>
      <w:r w:rsidRPr="00E96AEB">
        <w:rPr>
          <w:rFonts w:eastAsia="Calibri"/>
        </w:rPr>
        <w:t xml:space="preserve">processor </w:t>
      </w:r>
      <w:r w:rsidR="006A7513">
        <w:rPr>
          <w:rFonts w:eastAsia="Calibri"/>
        </w:rPr>
        <w:t xml:space="preserve">and mothership </w:t>
      </w:r>
      <w:r w:rsidRPr="00E96AEB">
        <w:rPr>
          <w:rFonts w:eastAsia="Calibri"/>
        </w:rPr>
        <w:t xml:space="preserve">data, when added to the COAR information collected from shoreside processors and stationary floating processors required under State of Alaska requirements, yield a complete database of equivalent annual product value information for all respective processing sectors. The information also provides a consistent time series according to which groundfish resources </w:t>
      </w:r>
      <w:proofErr w:type="gramStart"/>
      <w:r w:rsidRPr="00E96AEB">
        <w:rPr>
          <w:rFonts w:eastAsia="Calibri"/>
        </w:rPr>
        <w:t>may be managed</w:t>
      </w:r>
      <w:proofErr w:type="gramEnd"/>
      <w:r w:rsidRPr="00E96AEB">
        <w:rPr>
          <w:rFonts w:eastAsia="Calibri"/>
        </w:rPr>
        <w:t xml:space="preserve"> more efficiently. Use of the information generated by the COAR is coordinated between NMFS and the Alaska Department of Fish and Game (ADF&amp;G).</w:t>
      </w:r>
    </w:p>
    <w:p w:rsidRPr="00045111" w:rsidR="00E96AEB" w:rsidP="00651827" w:rsidRDefault="00E96AEB" w14:paraId="0EB66CC8" w14:textId="77777777">
      <w:pPr>
        <w:widowControl/>
        <w:autoSpaceDE w:val="0"/>
        <w:autoSpaceDN w:val="0"/>
        <w:adjustRightInd w:val="0"/>
        <w:rPr>
          <w:highlight w:val="lightGray"/>
        </w:rPr>
      </w:pPr>
    </w:p>
    <w:p w:rsidR="00B54A1D" w:rsidP="00651827" w:rsidRDefault="00A56326" w14:paraId="49DF6273" w14:textId="77777777">
      <w:pPr>
        <w:pStyle w:val="Heading1"/>
        <w:widowControl/>
        <w:numPr>
          <w:ilvl w:val="0"/>
          <w:numId w:val="3"/>
        </w:numPr>
        <w:tabs>
          <w:tab w:val="left" w:pos="360"/>
        </w:tabs>
        <w:spacing w:before="0"/>
        <w:ind w:left="0" w:firstLine="0"/>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6A0BD0" w:rsidP="00651827" w:rsidRDefault="006A0BD0" w14:paraId="152F755A" w14:textId="58B5ACD3">
      <w:pPr>
        <w:pStyle w:val="Heading1"/>
        <w:widowControl/>
        <w:spacing w:before="0"/>
        <w:ind w:left="0"/>
        <w:rPr>
          <w:color w:val="1F497D"/>
        </w:rPr>
      </w:pPr>
    </w:p>
    <w:p w:rsidRPr="0002216C" w:rsidR="002D742E" w:rsidP="00651827" w:rsidRDefault="0002216C" w14:paraId="0FDB362E" w14:textId="36D795E3">
      <w:pPr>
        <w:widowControl/>
        <w:autoSpaceDE w:val="0"/>
        <w:autoSpaceDN w:val="0"/>
        <w:adjustRightInd w:val="0"/>
      </w:pPr>
      <w:r w:rsidRPr="0002216C">
        <w:t>The</w:t>
      </w:r>
      <w:r>
        <w:t xml:space="preserve"> section above describes how and by whom this information is used</w:t>
      </w:r>
      <w:r w:rsidR="009B4DD2">
        <w:t>,</w:t>
      </w:r>
      <w:r>
        <w:t xml:space="preserve"> and </w:t>
      </w:r>
      <w:r w:rsidR="009B4DD2">
        <w:t xml:space="preserve">this information </w:t>
      </w:r>
      <w:proofErr w:type="gramStart"/>
      <w:r>
        <w:t>is not repeated</w:t>
      </w:r>
      <w:proofErr w:type="gramEnd"/>
      <w:r>
        <w:t xml:space="preserve"> here.</w:t>
      </w:r>
    </w:p>
    <w:p w:rsidR="0002216C" w:rsidP="00651827" w:rsidRDefault="006B7B47" w14:paraId="4E44D2C2" w14:textId="77777777">
      <w:pPr>
        <w:widowControl/>
        <w:autoSpaceDE w:val="0"/>
        <w:autoSpaceDN w:val="0"/>
        <w:adjustRightInd w:val="0"/>
      </w:pPr>
      <w:r>
        <w:tab/>
      </w:r>
    </w:p>
    <w:p w:rsidRPr="006B7B47" w:rsidR="00843115" w:rsidP="00651827" w:rsidRDefault="002D742E" w14:paraId="30DC4F8D" w14:textId="4DCB8918">
      <w:pPr>
        <w:widowControl/>
        <w:autoSpaceDE w:val="0"/>
        <w:autoSpaceDN w:val="0"/>
        <w:adjustRightInd w:val="0"/>
      </w:pPr>
      <w:r w:rsidRPr="006B7B47">
        <w:t xml:space="preserve">For each year in which </w:t>
      </w:r>
      <w:r w:rsidRPr="006B7B47" w:rsidR="00843115">
        <w:t xml:space="preserve">a </w:t>
      </w:r>
      <w:r w:rsidRPr="006B7B47">
        <w:t xml:space="preserve">mothership or catcher/processor was issued a </w:t>
      </w:r>
      <w:r w:rsidRPr="006B7B47" w:rsidR="008922C7">
        <w:t>Federal fisheries permit</w:t>
      </w:r>
      <w:r w:rsidRPr="006B7B47">
        <w:t xml:space="preserve">, the owner must annually complete and submit to ADF&amp;G the appropriate </w:t>
      </w:r>
      <w:r w:rsidR="00671F24">
        <w:t xml:space="preserve">forms </w:t>
      </w:r>
      <w:r w:rsidRPr="006B7B47">
        <w:t xml:space="preserve">and </w:t>
      </w:r>
      <w:r w:rsidR="00CA170E">
        <w:t xml:space="preserve">the </w:t>
      </w:r>
      <w:r w:rsidRPr="006B7B47">
        <w:t>COAR certification page</w:t>
      </w:r>
      <w:r w:rsidRPr="006B7B47" w:rsidR="00093485">
        <w:t xml:space="preserve"> for the previous year’s activity.</w:t>
      </w:r>
      <w:r w:rsidRPr="006B7B47">
        <w:t xml:space="preserve"> </w:t>
      </w:r>
      <w:r w:rsidRPr="00CA170E" w:rsidR="00CA170E">
        <w:t>There are six COAR forms: Buying, Production by You, Custom Production for You, Custom Production by You, Retro/Postseason Buying Adjustments, and Retro/Postseason Sales Adjustments.</w:t>
      </w:r>
      <w:r w:rsidR="00CA170E">
        <w:t xml:space="preserve"> </w:t>
      </w:r>
      <w:r w:rsidRPr="006B7B47" w:rsidR="00843115">
        <w:t>If no receipt or production took place that year, the owner submits only the COAR certification page.</w:t>
      </w:r>
      <w:r w:rsidR="005F4D30">
        <w:t xml:space="preserve"> </w:t>
      </w:r>
    </w:p>
    <w:p w:rsidRPr="006B7B47" w:rsidR="005E5AB0" w:rsidP="00651827" w:rsidRDefault="005E5AB0" w14:paraId="65E0968E" w14:textId="77777777">
      <w:pPr>
        <w:widowControl/>
        <w:autoSpaceDE w:val="0"/>
        <w:autoSpaceDN w:val="0"/>
        <w:adjustRightInd w:val="0"/>
      </w:pPr>
    </w:p>
    <w:p w:rsidRPr="006B7B47" w:rsidR="002F074D" w:rsidP="00651827" w:rsidRDefault="002D742E" w14:paraId="5F5FB21B" w14:textId="458FBE56">
      <w:pPr>
        <w:widowControl/>
        <w:autoSpaceDE w:val="0"/>
        <w:autoSpaceDN w:val="0"/>
        <w:adjustRightInd w:val="0"/>
      </w:pPr>
      <w:r w:rsidRPr="006B7B47">
        <w:t xml:space="preserve">The COAR </w:t>
      </w:r>
      <w:proofErr w:type="gramStart"/>
      <w:r w:rsidRPr="006B7B47">
        <w:t>must be submitted</w:t>
      </w:r>
      <w:proofErr w:type="gramEnd"/>
      <w:r w:rsidRPr="006B7B47">
        <w:t xml:space="preserve"> by April 1 of the year following the year for which the report is required. </w:t>
      </w:r>
    </w:p>
    <w:p w:rsidRPr="006B7B47" w:rsidR="002F074D" w:rsidP="00651827" w:rsidRDefault="002F074D" w14:paraId="26A8B41D" w14:textId="77777777">
      <w:pPr>
        <w:widowControl/>
        <w:autoSpaceDE w:val="0"/>
        <w:autoSpaceDN w:val="0"/>
        <w:adjustRightInd w:val="0"/>
      </w:pPr>
    </w:p>
    <w:p w:rsidR="002F074D" w:rsidP="00651827" w:rsidRDefault="002F074D" w14:paraId="76709866" w14:textId="75AF3AEB">
      <w:pPr>
        <w:widowControl/>
        <w:autoSpaceDE w:val="0"/>
        <w:autoSpaceDN w:val="0"/>
        <w:adjustRightInd w:val="0"/>
      </w:pPr>
      <w:r>
        <w:t xml:space="preserve">The COAR is available in fillable PDF, Microsoft Word, and Microsoft Excel formats on the ADF&amp;G Commercial Fish Reporting web page at </w:t>
      </w:r>
      <w:hyperlink w:history="1" r:id="rId12">
        <w:r w:rsidRPr="00ED155C" w:rsidR="006B7B47">
          <w:rPr>
            <w:rStyle w:val="Hyperlink"/>
          </w:rPr>
          <w:t>http://www.adfg.alaska.gov/index.cfm?adfg=fishlicense.coar</w:t>
        </w:r>
      </w:hyperlink>
      <w:r w:rsidR="006B7B47">
        <w:t xml:space="preserve"> </w:t>
      </w:r>
      <w:r>
        <w:t xml:space="preserve">and may be emailed or </w:t>
      </w:r>
      <w:r w:rsidR="006B7B47">
        <w:t>printed and mailed to the ADF&amp;G at the addresses below:</w:t>
      </w:r>
      <w:r>
        <w:t xml:space="preserve"> </w:t>
      </w:r>
    </w:p>
    <w:p w:rsidRPr="006B7B47" w:rsidR="006B7B47" w:rsidP="00651827" w:rsidRDefault="006B7B47" w14:paraId="2FB477BF" w14:textId="2D451E45">
      <w:pPr>
        <w:pStyle w:val="ListParagraph"/>
        <w:widowControl/>
        <w:numPr>
          <w:ilvl w:val="0"/>
          <w:numId w:val="13"/>
        </w:numPr>
        <w:autoSpaceDE w:val="0"/>
        <w:autoSpaceDN w:val="0"/>
        <w:adjustRightInd w:val="0"/>
        <w:spacing w:before="0"/>
      </w:pPr>
      <w:r w:rsidRPr="006B7B47">
        <w:t xml:space="preserve">Mail: </w:t>
      </w:r>
      <w:r w:rsidR="009B4DD2">
        <w:t>ADF&amp;G</w:t>
      </w:r>
      <w:r w:rsidRPr="006B7B47">
        <w:t>, Division of Commercial Fisheries, P.O. Box 115526, Juneau, AK</w:t>
      </w:r>
      <w:r w:rsidR="005F4D30">
        <w:t xml:space="preserve"> </w:t>
      </w:r>
      <w:r w:rsidRPr="006B7B47">
        <w:t>99811</w:t>
      </w:r>
    </w:p>
    <w:p w:rsidRPr="006B7B47" w:rsidR="00592161" w:rsidP="00592161" w:rsidRDefault="006B7B47" w14:paraId="14B60533" w14:textId="349493D8">
      <w:pPr>
        <w:pStyle w:val="ListParagraph"/>
        <w:widowControl/>
        <w:numPr>
          <w:ilvl w:val="0"/>
          <w:numId w:val="13"/>
        </w:numPr>
        <w:autoSpaceDE w:val="0"/>
        <w:autoSpaceDN w:val="0"/>
        <w:adjustRightInd w:val="0"/>
        <w:spacing w:before="0"/>
      </w:pPr>
      <w:r w:rsidRPr="006B7B47">
        <w:t>Email:</w:t>
      </w:r>
      <w:r w:rsidR="005F4D30">
        <w:t xml:space="preserve"> </w:t>
      </w:r>
      <w:hyperlink w:history="1" r:id="rId13">
        <w:r w:rsidRPr="00CE3F0E" w:rsidR="00592161">
          <w:rPr>
            <w:rStyle w:val="Hyperlink"/>
          </w:rPr>
          <w:t>dfg.seafood-coord@alaska.gov</w:t>
        </w:r>
      </w:hyperlink>
      <w:r w:rsidRPr="006B7B47">
        <w:t xml:space="preserve"> </w:t>
      </w:r>
    </w:p>
    <w:p w:rsidR="006B7B47" w:rsidP="00592161" w:rsidRDefault="00592161" w14:paraId="10C03E81" w14:textId="374D748C">
      <w:pPr>
        <w:widowControl/>
        <w:autoSpaceDE w:val="0"/>
        <w:autoSpaceDN w:val="0"/>
        <w:adjustRightInd w:val="0"/>
      </w:pPr>
      <w:r>
        <w:t xml:space="preserve">The COAR </w:t>
      </w:r>
      <w:proofErr w:type="gramStart"/>
      <w:r>
        <w:t>may also be uploaded</w:t>
      </w:r>
      <w:proofErr w:type="gramEnd"/>
      <w:r>
        <w:t xml:space="preserve"> as a</w:t>
      </w:r>
      <w:r w:rsidR="001975F4">
        <w:t xml:space="preserve"> Microsoft</w:t>
      </w:r>
      <w:r>
        <w:t xml:space="preserve"> Excel file into the eLandings System </w:t>
      </w:r>
      <w:r w:rsidR="00756228">
        <w:t>(</w:t>
      </w:r>
      <w:hyperlink w:history="1" r:id="rId14">
        <w:r w:rsidRPr="00CE3F0E" w:rsidR="00756228">
          <w:rPr>
            <w:rStyle w:val="Hyperlink"/>
          </w:rPr>
          <w:t>https://elandings.alaska.gov/</w:t>
        </w:r>
      </w:hyperlink>
      <w:r w:rsidR="00756228">
        <w:t xml:space="preserve">) </w:t>
      </w:r>
      <w:r w:rsidR="001975F4">
        <w:t>and submitted electronically to ADF&amp;G.</w:t>
      </w:r>
    </w:p>
    <w:p w:rsidR="001975F4" w:rsidP="00592161" w:rsidRDefault="001975F4" w14:paraId="09CBA041" w14:textId="77777777">
      <w:pPr>
        <w:widowControl/>
        <w:autoSpaceDE w:val="0"/>
        <w:autoSpaceDN w:val="0"/>
        <w:adjustRightInd w:val="0"/>
      </w:pPr>
    </w:p>
    <w:p w:rsidR="00DA3D78" w:rsidP="00651827" w:rsidRDefault="00DA3D78" w14:paraId="23B0B700" w14:textId="460D40B2">
      <w:pPr>
        <w:widowControl/>
        <w:autoSpaceDE w:val="0"/>
        <w:autoSpaceDN w:val="0"/>
        <w:adjustRightInd w:val="0"/>
      </w:pPr>
      <w:r w:rsidRPr="00DA3D78">
        <w:t xml:space="preserve">The COAR requires submission of information on seafood purchasing, production, and both ex-vessel and wholesale values of seafood products. The buying information is reported by species, </w:t>
      </w:r>
      <w:r w:rsidR="001975F4">
        <w:t xml:space="preserve">harvest area, </w:t>
      </w:r>
      <w:r w:rsidRPr="00DA3D78">
        <w:t xml:space="preserve">area of purchase, </w:t>
      </w:r>
      <w:proofErr w:type="gramStart"/>
      <w:r w:rsidRPr="00DA3D78">
        <w:t>condition</w:t>
      </w:r>
      <w:proofErr w:type="gramEnd"/>
      <w:r w:rsidRPr="00DA3D78">
        <w:t xml:space="preserve"> of fisheries resources at the time of purchase, type of gear used in the harvest, pounds purchased, and ex-vessel value. The ex-vessel value includes any post-season adjustments or bonuses paid after the fish </w:t>
      </w:r>
      <w:proofErr w:type="gramStart"/>
      <w:r w:rsidRPr="00DA3D78">
        <w:t>was purchased</w:t>
      </w:r>
      <w:proofErr w:type="gramEnd"/>
      <w:r w:rsidRPr="00DA3D78">
        <w:t>. The production information is reported by species, area of processing, process type (e.g., frozen, canned, smoked), product type (e.g., fillets, surimi, sections), net weight of the processed product, and the first wholesale value.</w:t>
      </w:r>
    </w:p>
    <w:p w:rsidR="00843115" w:rsidP="00651827" w:rsidRDefault="00843115" w14:paraId="6E9EA838" w14:textId="12279043">
      <w:pPr>
        <w:widowControl/>
        <w:autoSpaceDE w:val="0"/>
        <w:autoSpaceDN w:val="0"/>
        <w:adjustRightInd w:val="0"/>
      </w:pPr>
    </w:p>
    <w:p w:rsidRPr="006B7B47" w:rsidR="00843115" w:rsidP="00651827" w:rsidRDefault="00843115" w14:paraId="19B22F1F" w14:textId="7BAC1680">
      <w:pPr>
        <w:widowControl/>
        <w:autoSpaceDE w:val="0"/>
        <w:autoSpaceDN w:val="0"/>
        <w:adjustRightInd w:val="0"/>
      </w:pPr>
      <w:r w:rsidRPr="006B7B47">
        <w:lastRenderedPageBreak/>
        <w:t xml:space="preserve">All production that occurred for each species during the applicable year </w:t>
      </w:r>
      <w:proofErr w:type="gramStart"/>
      <w:r w:rsidRPr="006B7B47">
        <w:t>must be recorded</w:t>
      </w:r>
      <w:proofErr w:type="gramEnd"/>
      <w:r w:rsidRPr="006B7B47">
        <w:t>, including species</w:t>
      </w:r>
      <w:r w:rsidR="006B7B47">
        <w:t>—</w:t>
      </w:r>
    </w:p>
    <w:p w:rsidRPr="006B7B47" w:rsidR="00843115" w:rsidP="00651827" w:rsidRDefault="00843115" w14:paraId="63C670D5" w14:textId="77F029DE">
      <w:pPr>
        <w:pStyle w:val="ListParagraph"/>
        <w:widowControl/>
        <w:numPr>
          <w:ilvl w:val="0"/>
          <w:numId w:val="12"/>
        </w:numPr>
        <w:tabs>
          <w:tab w:val="left" w:pos="360"/>
          <w:tab w:val="left" w:pos="720"/>
          <w:tab w:val="left" w:pos="1080"/>
        </w:tabs>
        <w:autoSpaceDE w:val="0"/>
        <w:autoSpaceDN w:val="0"/>
        <w:adjustRightInd w:val="0"/>
        <w:spacing w:before="0"/>
      </w:pPr>
      <w:r w:rsidRPr="006B7B47">
        <w:t>that were purchased from fishermen on the grounds and/or dockside, including both processed and unprocessed seafood</w:t>
      </w:r>
      <w:r w:rsidR="006B7B47">
        <w:t>;</w:t>
      </w:r>
    </w:p>
    <w:p w:rsidRPr="006B7B47" w:rsidR="00843115" w:rsidP="00651827" w:rsidRDefault="00843115" w14:paraId="4EE37A8A" w14:textId="5D1E8042">
      <w:pPr>
        <w:pStyle w:val="ListParagraph"/>
        <w:widowControl/>
        <w:numPr>
          <w:ilvl w:val="0"/>
          <w:numId w:val="12"/>
        </w:numPr>
        <w:tabs>
          <w:tab w:val="left" w:pos="360"/>
          <w:tab w:val="left" w:pos="720"/>
          <w:tab w:val="left" w:pos="1080"/>
        </w:tabs>
        <w:autoSpaceDE w:val="0"/>
        <w:autoSpaceDN w:val="0"/>
        <w:adjustRightInd w:val="0"/>
        <w:spacing w:before="0"/>
      </w:pPr>
      <w:r w:rsidRPr="006B7B47">
        <w:t>that were then either processed on the mothership or exported out of the State of Alaska</w:t>
      </w:r>
      <w:r w:rsidR="006B7B47">
        <w:t>; and</w:t>
      </w:r>
    </w:p>
    <w:p w:rsidRPr="006B7B47" w:rsidR="00843115" w:rsidP="00651827" w:rsidRDefault="00843115" w14:paraId="07E0CDD6" w14:textId="77777777">
      <w:pPr>
        <w:pStyle w:val="ListParagraph"/>
        <w:widowControl/>
        <w:numPr>
          <w:ilvl w:val="0"/>
          <w:numId w:val="12"/>
        </w:numPr>
        <w:tabs>
          <w:tab w:val="left" w:pos="360"/>
          <w:tab w:val="left" w:pos="720"/>
          <w:tab w:val="left" w:pos="1080"/>
        </w:tabs>
        <w:autoSpaceDE w:val="0"/>
        <w:autoSpaceDN w:val="0"/>
        <w:adjustRightInd w:val="0"/>
        <w:spacing w:before="0"/>
      </w:pPr>
      <w:proofErr w:type="gramStart"/>
      <w:r w:rsidRPr="006B7B47">
        <w:t>that</w:t>
      </w:r>
      <w:proofErr w:type="gramEnd"/>
      <w:r w:rsidRPr="006B7B47">
        <w:t xml:space="preserve"> were received from an associated buying station. </w:t>
      </w:r>
    </w:p>
    <w:p w:rsidR="00843115" w:rsidP="00651827" w:rsidRDefault="00843115" w14:paraId="12D60F78" w14:textId="2CE632F9">
      <w:pPr>
        <w:widowControl/>
        <w:autoSpaceDE w:val="0"/>
        <w:autoSpaceDN w:val="0"/>
        <w:adjustRightInd w:val="0"/>
      </w:pPr>
    </w:p>
    <w:p w:rsidR="006A0BD0" w:rsidP="00651827" w:rsidRDefault="002D742E" w14:paraId="1C6A222B" w14:textId="4A5A3EA9">
      <w:pPr>
        <w:widowControl/>
        <w:tabs>
          <w:tab w:val="left" w:pos="360"/>
          <w:tab w:val="left" w:pos="720"/>
          <w:tab w:val="left" w:pos="1080"/>
          <w:tab w:val="left" w:pos="1440"/>
        </w:tabs>
        <w:autoSpaceDE w:val="0"/>
        <w:autoSpaceDN w:val="0"/>
        <w:adjustRightInd w:val="0"/>
        <w:rPr>
          <w:color w:val="1F497D"/>
        </w:rPr>
      </w:pPr>
      <w:r w:rsidRPr="00E64A72">
        <w:t xml:space="preserve">It </w:t>
      </w:r>
      <w:proofErr w:type="gramStart"/>
      <w:r w:rsidRPr="00E64A72">
        <w:t>is anticipated</w:t>
      </w:r>
      <w:proofErr w:type="gramEnd"/>
      <w:r w:rsidRPr="00E64A72">
        <w:t xml:space="preserve"> that the information collected will be disseminated to the public or used to support publicly disseminated information. Th</w:t>
      </w:r>
      <w:r w:rsidRPr="00E64A72" w:rsidR="00FE78B3">
        <w:t xml:space="preserve">e COAR is a document of ADF&amp;G. </w:t>
      </w:r>
      <w:r w:rsidRPr="00E64A72">
        <w:t>ADF&amp;G maintains control of publication, distribution of the form, and maintenance of the data obtained from the fo</w:t>
      </w:r>
      <w:r w:rsidRPr="00E64A72" w:rsidR="00FE78B3">
        <w:t xml:space="preserve">rm. </w:t>
      </w:r>
      <w:r w:rsidRPr="00E64A72">
        <w:t xml:space="preserve">See question No. 10 of this </w:t>
      </w:r>
      <w:r w:rsidR="00E64A72">
        <w:t>s</w:t>
      </w:r>
      <w:r w:rsidRPr="00E64A72">
        <w:t xml:space="preserve">upporting </w:t>
      </w:r>
      <w:r w:rsidR="00E64A72">
        <w:t>s</w:t>
      </w:r>
      <w:r w:rsidRPr="00E64A72">
        <w:t>tatement for more information o</w:t>
      </w:r>
      <w:r w:rsidRPr="00E64A72" w:rsidR="00FE78B3">
        <w:t xml:space="preserve">n confidentiality and privacy. </w:t>
      </w:r>
      <w:r w:rsidRPr="00E64A72">
        <w:t xml:space="preserve">The information collection </w:t>
      </w:r>
      <w:proofErr w:type="gramStart"/>
      <w:r w:rsidRPr="00E64A72">
        <w:t>is designed</w:t>
      </w:r>
      <w:proofErr w:type="gramEnd"/>
      <w:r w:rsidRPr="00E64A72">
        <w:t xml:space="preserve"> to yield data that meet all applicable information quality guidelines. Prior to dissemination, the information </w:t>
      </w:r>
      <w:proofErr w:type="gramStart"/>
      <w:r w:rsidRPr="00E64A72">
        <w:t>will be subjected</w:t>
      </w:r>
      <w:proofErr w:type="gramEnd"/>
      <w:r w:rsidRPr="00E64A72">
        <w:t xml:space="preserve"> to quality control measures and a pre-dissemination review pursuant to </w:t>
      </w:r>
      <w:hyperlink w:history="1" r:id="rId15">
        <w:r w:rsidRPr="00E64A72">
          <w:rPr>
            <w:color w:val="0000FF"/>
            <w:u w:val="single"/>
          </w:rPr>
          <w:t>Section 515 of Public Law 106-554</w:t>
        </w:r>
      </w:hyperlink>
      <w:r w:rsidRPr="00E64A72">
        <w:t xml:space="preserve"> (the Information Quality Act).</w:t>
      </w:r>
    </w:p>
    <w:p w:rsidR="00B54A1D" w:rsidP="00651827" w:rsidRDefault="00B54A1D" w14:paraId="42ED5543" w14:textId="77777777">
      <w:pPr>
        <w:widowControl/>
        <w:pBdr>
          <w:top w:val="nil"/>
          <w:left w:val="nil"/>
          <w:bottom w:val="nil"/>
          <w:right w:val="nil"/>
          <w:between w:val="nil"/>
        </w:pBdr>
        <w:rPr>
          <w:b/>
          <w:color w:val="000000"/>
        </w:rPr>
      </w:pPr>
    </w:p>
    <w:p w:rsidR="00B54A1D" w:rsidP="00651827" w:rsidRDefault="00A56326" w14:paraId="4A9F1BBE"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A0BD0" w:rsidP="00651827" w:rsidRDefault="006A0BD0" w14:paraId="52F7337A" w14:textId="740B524C">
      <w:pPr>
        <w:widowControl/>
        <w:rPr>
          <w:b/>
          <w:color w:val="2F5496"/>
        </w:rPr>
      </w:pPr>
    </w:p>
    <w:p w:rsidRPr="003F5E21" w:rsidR="003F5E21" w:rsidP="00651827" w:rsidRDefault="003F5E21" w14:paraId="29284D34" w14:textId="6D8B0584">
      <w:pPr>
        <w:widowControl/>
        <w:autoSpaceDE w:val="0"/>
        <w:autoSpaceDN w:val="0"/>
        <w:adjustRightInd w:val="0"/>
      </w:pPr>
      <w:r w:rsidRPr="003F5E21">
        <w:rPr>
          <w:rFonts w:eastAsia="Calibri"/>
        </w:rPr>
        <w:t>The COAR is available</w:t>
      </w:r>
      <w:r w:rsidR="00AC7AD7">
        <w:rPr>
          <w:rFonts w:eastAsia="Calibri"/>
        </w:rPr>
        <w:t>,</w:t>
      </w:r>
      <w:r w:rsidRPr="003F5E21">
        <w:rPr>
          <w:rFonts w:eastAsia="Calibri"/>
        </w:rPr>
        <w:t xml:space="preserve"> and </w:t>
      </w:r>
      <w:proofErr w:type="gramStart"/>
      <w:r w:rsidRPr="003F5E21">
        <w:rPr>
          <w:rFonts w:eastAsia="Calibri"/>
        </w:rPr>
        <w:t>may be submitted</w:t>
      </w:r>
      <w:proofErr w:type="gramEnd"/>
      <w:r w:rsidR="00AC7AD7">
        <w:rPr>
          <w:rFonts w:eastAsia="Calibri"/>
        </w:rPr>
        <w:t>,</w:t>
      </w:r>
      <w:r w:rsidRPr="003F5E21">
        <w:rPr>
          <w:rFonts w:eastAsia="Calibri"/>
        </w:rPr>
        <w:t xml:space="preserve"> electronically. </w:t>
      </w:r>
      <w:r w:rsidRPr="003F5E21" w:rsidR="00E2390B">
        <w:rPr>
          <w:rFonts w:eastAsia="Calibri"/>
        </w:rPr>
        <w:t xml:space="preserve">The COAR is available in fillable PDF, Microsoft Word, and Microsoft Excel formats on </w:t>
      </w:r>
      <w:r w:rsidRPr="003F5E21" w:rsidR="00E2390B">
        <w:t xml:space="preserve">the ADF&amp;G Commercial Fish Reporting web page at </w:t>
      </w:r>
      <w:hyperlink w:history="1" r:id="rId16">
        <w:r w:rsidRPr="003F5E21" w:rsidR="00E2390B">
          <w:rPr>
            <w:color w:val="0563C1"/>
            <w:u w:val="single"/>
          </w:rPr>
          <w:t>http://www.adfg.alaska.gov/index.cfm?adfg=fishlicense.coar</w:t>
        </w:r>
      </w:hyperlink>
      <w:r w:rsidRPr="003F5E21" w:rsidR="00E2390B">
        <w:t xml:space="preserve"> and </w:t>
      </w:r>
      <w:proofErr w:type="gramStart"/>
      <w:r w:rsidRPr="003F5E21" w:rsidR="00E2390B">
        <w:t xml:space="preserve">may be </w:t>
      </w:r>
      <w:r w:rsidRPr="003F5E21">
        <w:t>submitted</w:t>
      </w:r>
      <w:proofErr w:type="gramEnd"/>
      <w:r w:rsidRPr="003F5E21">
        <w:t xml:space="preserve"> to ADF&amp;G by </w:t>
      </w:r>
      <w:r w:rsidRPr="003F5E21" w:rsidR="00E2390B">
        <w:t>email.</w:t>
      </w:r>
    </w:p>
    <w:p w:rsidRPr="003F5E21" w:rsidR="00E2390B" w:rsidP="00651827" w:rsidRDefault="00E2390B" w14:paraId="200A9A99" w14:textId="4CB3CF66">
      <w:pPr>
        <w:widowControl/>
        <w:autoSpaceDE w:val="0"/>
        <w:autoSpaceDN w:val="0"/>
        <w:adjustRightInd w:val="0"/>
        <w:ind w:firstLine="720"/>
      </w:pPr>
      <w:r w:rsidRPr="003F5E21">
        <w:t xml:space="preserve"> </w:t>
      </w:r>
    </w:p>
    <w:p w:rsidR="005A371E" w:rsidP="00651827" w:rsidRDefault="00E17804" w14:paraId="5C783B09" w14:textId="3CEEDA48">
      <w:pPr>
        <w:widowControl/>
        <w:autoSpaceDE w:val="0"/>
        <w:autoSpaceDN w:val="0"/>
        <w:adjustRightInd w:val="0"/>
      </w:pPr>
      <w:r>
        <w:t xml:space="preserve">The COAR </w:t>
      </w:r>
      <w:proofErr w:type="gramStart"/>
      <w:r>
        <w:t>may also be submitted</w:t>
      </w:r>
      <w:proofErr w:type="gramEnd"/>
      <w:r>
        <w:t xml:space="preserve"> electronically through eLandings, the Interagency Electronic Reporting System </w:t>
      </w:r>
      <w:r w:rsidRPr="003F5E21">
        <w:t>(</w:t>
      </w:r>
      <w:hyperlink w:history="1" r:id="rId17">
        <w:r w:rsidRPr="003F5E21">
          <w:rPr>
            <w:rStyle w:val="Hyperlink"/>
          </w:rPr>
          <w:t>elandings.alaska.gov</w:t>
        </w:r>
      </w:hyperlink>
      <w:r w:rsidRPr="003F5E21">
        <w:t>)</w:t>
      </w:r>
      <w:r>
        <w:t xml:space="preserve">. </w:t>
      </w:r>
      <w:proofErr w:type="gramStart"/>
      <w:r w:rsidRPr="003F5E21" w:rsidR="00E2390B">
        <w:t>eLandings</w:t>
      </w:r>
      <w:proofErr w:type="gramEnd"/>
      <w:r w:rsidRPr="003F5E21" w:rsidR="00E2390B">
        <w:t xml:space="preserve"> enables authorized users to generate a spreadsheet of data that </w:t>
      </w:r>
      <w:r>
        <w:t xml:space="preserve">summarizes </w:t>
      </w:r>
      <w:r w:rsidR="005A371E">
        <w:t>several types of information:</w:t>
      </w:r>
    </w:p>
    <w:p w:rsidR="005A371E" w:rsidP="00E6545C" w:rsidRDefault="00E2390B" w14:paraId="73450E0E" w14:textId="025902AC">
      <w:pPr>
        <w:pStyle w:val="ListParagraph"/>
        <w:widowControl/>
        <w:numPr>
          <w:ilvl w:val="0"/>
          <w:numId w:val="14"/>
        </w:numPr>
        <w:autoSpaceDE w:val="0"/>
        <w:autoSpaceDN w:val="0"/>
        <w:adjustRightInd w:val="0"/>
        <w:spacing w:before="0"/>
      </w:pPr>
      <w:proofErr w:type="gramStart"/>
      <w:r w:rsidRPr="003F5E21">
        <w:t>their</w:t>
      </w:r>
      <w:proofErr w:type="gramEnd"/>
      <w:r w:rsidRPr="003F5E21">
        <w:t xml:space="preserve"> </w:t>
      </w:r>
      <w:r w:rsidR="00E17804">
        <w:t>buying</w:t>
      </w:r>
      <w:r w:rsidRPr="003F5E21" w:rsidR="00E17804">
        <w:t xml:space="preserve"> </w:t>
      </w:r>
      <w:r w:rsidRPr="003F5E21">
        <w:t xml:space="preserve">information </w:t>
      </w:r>
      <w:r w:rsidR="00E17804">
        <w:t xml:space="preserve">from </w:t>
      </w:r>
      <w:r w:rsidR="00F32E63">
        <w:t xml:space="preserve">throughout the year </w:t>
      </w:r>
      <w:r w:rsidR="00C657F7">
        <w:t xml:space="preserve">using </w:t>
      </w:r>
      <w:r w:rsidR="00E17804">
        <w:t>sold fish ticket data</w:t>
      </w:r>
      <w:r w:rsidR="00F32E63">
        <w:t>.</w:t>
      </w:r>
      <w:r w:rsidR="005F4D30">
        <w:t xml:space="preserve"> </w:t>
      </w:r>
      <w:r w:rsidR="00F32E63">
        <w:t>The spreadsheet contains</w:t>
      </w:r>
      <w:r w:rsidRPr="003F5E21">
        <w:t xml:space="preserve"> </w:t>
      </w:r>
      <w:r w:rsidR="00F32E63">
        <w:t xml:space="preserve">translations to </w:t>
      </w:r>
      <w:r w:rsidRPr="003F5E21">
        <w:t>COAR reporting areas</w:t>
      </w:r>
      <w:r w:rsidR="00F32E63">
        <w:t xml:space="preserve"> using previously reported information</w:t>
      </w:r>
      <w:r w:rsidRPr="003F5E21">
        <w:t xml:space="preserve">. </w:t>
      </w:r>
      <w:proofErr w:type="gramStart"/>
      <w:r w:rsidRPr="003F5E21">
        <w:t xml:space="preserve">This </w:t>
      </w:r>
      <w:r w:rsidR="00F32E63">
        <w:t>spreadsheet is then</w:t>
      </w:r>
      <w:r w:rsidR="00E17804">
        <w:t xml:space="preserve"> supplemented with ex-vessel value and ex-vessel price information</w:t>
      </w:r>
      <w:r w:rsidR="006D0AA0">
        <w:t xml:space="preserve"> by the user</w:t>
      </w:r>
      <w:proofErr w:type="gramEnd"/>
      <w:r w:rsidR="00F32E63">
        <w:t>.</w:t>
      </w:r>
      <w:r w:rsidR="005F4D30">
        <w:t xml:space="preserve"> </w:t>
      </w:r>
      <w:r w:rsidR="00F32E63">
        <w:t xml:space="preserve">Buying information from conventional paper fish tickets, not submitted through eLandings, </w:t>
      </w:r>
      <w:proofErr w:type="gramStart"/>
      <w:r w:rsidR="00F32E63">
        <w:t xml:space="preserve">can </w:t>
      </w:r>
      <w:r w:rsidR="00C657F7">
        <w:t xml:space="preserve">also </w:t>
      </w:r>
      <w:r w:rsidR="00F32E63">
        <w:t>be added</w:t>
      </w:r>
      <w:proofErr w:type="gramEnd"/>
      <w:r w:rsidR="00F32E63">
        <w:t xml:space="preserve"> to the spreadsheet</w:t>
      </w:r>
      <w:r w:rsidR="00C657F7">
        <w:t xml:space="preserve"> prior to submission</w:t>
      </w:r>
      <w:r w:rsidR="00E17804">
        <w:t>.</w:t>
      </w:r>
      <w:r w:rsidR="005F4D30">
        <w:t xml:space="preserve"> </w:t>
      </w:r>
    </w:p>
    <w:p w:rsidR="005A371E" w:rsidP="00E6545C" w:rsidRDefault="006D0AA0" w14:paraId="639C4118" w14:textId="3D584574">
      <w:pPr>
        <w:pStyle w:val="ListParagraph"/>
        <w:widowControl/>
        <w:numPr>
          <w:ilvl w:val="0"/>
          <w:numId w:val="14"/>
        </w:numPr>
        <w:autoSpaceDE w:val="0"/>
        <w:autoSpaceDN w:val="0"/>
        <w:adjustRightInd w:val="0"/>
        <w:spacing w:before="0"/>
      </w:pPr>
      <w:r>
        <w:t>t</w:t>
      </w:r>
      <w:r w:rsidR="005A371E">
        <w:t xml:space="preserve">he seafood that was </w:t>
      </w:r>
      <w:r>
        <w:t xml:space="preserve">purchased by their operation and </w:t>
      </w:r>
      <w:r w:rsidR="005A371E">
        <w:t>custom</w:t>
      </w:r>
      <w:r>
        <w:t xml:space="preserve"> processed by another </w:t>
      </w:r>
      <w:r w:rsidR="000C7490">
        <w:t>processing facility</w:t>
      </w:r>
      <w:r>
        <w:t>;</w:t>
      </w:r>
      <w:r w:rsidR="005A371E">
        <w:t xml:space="preserve"> </w:t>
      </w:r>
    </w:p>
    <w:p w:rsidR="005A371E" w:rsidP="00E6545C" w:rsidRDefault="00D61923" w14:paraId="0CF47506" w14:textId="7357967B">
      <w:pPr>
        <w:pStyle w:val="ListParagraph"/>
        <w:widowControl/>
        <w:numPr>
          <w:ilvl w:val="0"/>
          <w:numId w:val="14"/>
        </w:numPr>
        <w:autoSpaceDE w:val="0"/>
        <w:autoSpaceDN w:val="0"/>
        <w:adjustRightInd w:val="0"/>
        <w:spacing w:before="0"/>
      </w:pPr>
      <w:proofErr w:type="gramStart"/>
      <w:r>
        <w:t>a</w:t>
      </w:r>
      <w:proofErr w:type="gramEnd"/>
      <w:r>
        <w:t xml:space="preserve"> list of</w:t>
      </w:r>
      <w:r w:rsidR="005A371E">
        <w:t xml:space="preserve"> </w:t>
      </w:r>
      <w:r w:rsidR="006D0AA0">
        <w:t xml:space="preserve">other </w:t>
      </w:r>
      <w:r w:rsidR="000C7490">
        <w:t>processing facilities</w:t>
      </w:r>
      <w:r w:rsidR="006D0AA0">
        <w:t xml:space="preserve"> </w:t>
      </w:r>
      <w:r w:rsidR="005A371E">
        <w:t xml:space="preserve">that </w:t>
      </w:r>
      <w:r w:rsidR="006D0AA0">
        <w:t>their</w:t>
      </w:r>
      <w:r w:rsidR="005A371E">
        <w:t xml:space="preserve"> </w:t>
      </w:r>
      <w:r w:rsidR="006D0AA0">
        <w:t xml:space="preserve">operation </w:t>
      </w:r>
      <w:r w:rsidR="005A371E">
        <w:t>performed custom process</w:t>
      </w:r>
      <w:r w:rsidR="006D0AA0">
        <w:t>ing</w:t>
      </w:r>
      <w:r w:rsidR="005A371E">
        <w:t xml:space="preserve"> for.</w:t>
      </w:r>
    </w:p>
    <w:p w:rsidR="00EC6B33" w:rsidP="005A371E" w:rsidRDefault="00EC6B33" w14:paraId="589EDFEC" w14:textId="77777777">
      <w:pPr>
        <w:widowControl/>
        <w:autoSpaceDE w:val="0"/>
        <w:autoSpaceDN w:val="0"/>
        <w:adjustRightInd w:val="0"/>
      </w:pPr>
    </w:p>
    <w:p w:rsidRPr="003F5E21" w:rsidR="00E2390B" w:rsidP="005A371E" w:rsidRDefault="00F32E63" w14:paraId="51D9A9AF" w14:textId="0255B6D2">
      <w:pPr>
        <w:widowControl/>
        <w:autoSpaceDE w:val="0"/>
        <w:autoSpaceDN w:val="0"/>
        <w:adjustRightInd w:val="0"/>
      </w:pPr>
      <w:r>
        <w:t>Production information</w:t>
      </w:r>
      <w:r w:rsidR="00C657F7">
        <w:t xml:space="preserve"> and </w:t>
      </w:r>
      <w:r>
        <w:t xml:space="preserve">custom processing for other processors </w:t>
      </w:r>
      <w:proofErr w:type="gramStart"/>
      <w:r>
        <w:t>can also be add</w:t>
      </w:r>
      <w:r w:rsidR="00AD2000">
        <w:t>ed</w:t>
      </w:r>
      <w:proofErr w:type="gramEnd"/>
      <w:r w:rsidR="00AD2000">
        <w:t xml:space="preserve"> to the spreadsheet</w:t>
      </w:r>
      <w:r w:rsidR="00C657F7">
        <w:t>.</w:t>
      </w:r>
      <w:r w:rsidR="005F4D30">
        <w:t xml:space="preserve"> </w:t>
      </w:r>
      <w:r w:rsidR="000C7490">
        <w:t>Once all the supplemental information is added, the user can upload the spreadsheet into eLandings and it is accessed electronically by ADF&amp;G.</w:t>
      </w:r>
      <w:r w:rsidR="005F4D30">
        <w:t xml:space="preserve"> </w:t>
      </w:r>
      <w:r w:rsidRPr="003F5E21" w:rsidR="00E2390B">
        <w:t xml:space="preserve">Instructions on how to generate COAR data from eLandings </w:t>
      </w:r>
      <w:r w:rsidR="000C7490">
        <w:t xml:space="preserve">and upload it </w:t>
      </w:r>
      <w:r w:rsidRPr="003F5E21" w:rsidR="00E2390B">
        <w:t>can be found on the same web page as the COAR</w:t>
      </w:r>
      <w:r w:rsidR="00C657F7">
        <w:t xml:space="preserve"> and through eLandings User Documentation at </w:t>
      </w:r>
      <w:hyperlink w:history="1" r:id="rId18">
        <w:r w:rsidR="00C657F7">
          <w:rPr>
            <w:rStyle w:val="Hyperlink"/>
          </w:rPr>
          <w:t>elandings Commercial Operator's Annual Report User Documentation</w:t>
        </w:r>
      </w:hyperlink>
      <w:r w:rsidR="00C657F7">
        <w:t>.</w:t>
      </w:r>
      <w:r w:rsidR="005F4D30">
        <w:t xml:space="preserve"> </w:t>
      </w:r>
    </w:p>
    <w:p w:rsidR="00E2390B" w:rsidP="00651827" w:rsidRDefault="00E2390B" w14:paraId="4796D3D9" w14:textId="77777777">
      <w:pPr>
        <w:widowControl/>
        <w:rPr>
          <w:b/>
          <w:color w:val="2F5496"/>
        </w:rPr>
      </w:pPr>
    </w:p>
    <w:p w:rsidR="00B54A1D" w:rsidP="00651827" w:rsidRDefault="00A56326" w14:paraId="00528330"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D96500" w:rsidP="00651827" w:rsidRDefault="00D96500" w14:paraId="5DF4D455" w14:textId="77777777">
      <w:pPr>
        <w:widowControl/>
        <w:autoSpaceDE w:val="0"/>
        <w:autoSpaceDN w:val="0"/>
        <w:adjustRightInd w:val="0"/>
      </w:pPr>
    </w:p>
    <w:p w:rsidRPr="00D96500" w:rsidR="00D96500" w:rsidP="00651827" w:rsidRDefault="00D96500" w14:paraId="56111F61" w14:textId="1482A19D">
      <w:pPr>
        <w:widowControl/>
        <w:autoSpaceDE w:val="0"/>
        <w:autoSpaceDN w:val="0"/>
        <w:adjustRightInd w:val="0"/>
      </w:pPr>
      <w:r w:rsidRPr="00313DCC">
        <w:lastRenderedPageBreak/>
        <w:t>No duplication exists with other information collections.</w:t>
      </w:r>
    </w:p>
    <w:p w:rsidR="00C61F7A" w:rsidP="00651827" w:rsidRDefault="00C61F7A" w14:paraId="2086A35D" w14:textId="77777777">
      <w:pPr>
        <w:widowControl/>
        <w:pBdr>
          <w:top w:val="nil"/>
          <w:left w:val="nil"/>
          <w:bottom w:val="nil"/>
          <w:right w:val="nil"/>
          <w:between w:val="nil"/>
        </w:pBdr>
      </w:pPr>
    </w:p>
    <w:p w:rsidR="00B54A1D" w:rsidP="00651827" w:rsidRDefault="00A56326" w14:paraId="4DFB0F1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006A0BD0" w:rsidP="00651827" w:rsidRDefault="006A0BD0" w14:paraId="4D45F9D7" w14:textId="24406CEF">
      <w:pPr>
        <w:widowControl/>
        <w:pBdr>
          <w:top w:val="nil"/>
          <w:left w:val="nil"/>
          <w:bottom w:val="nil"/>
          <w:right w:val="nil"/>
          <w:between w:val="nil"/>
        </w:pBdr>
        <w:rPr>
          <w:color w:val="2F5496"/>
        </w:rPr>
      </w:pPr>
    </w:p>
    <w:p w:rsidRPr="00D96500" w:rsidR="00D96500" w:rsidP="00651827" w:rsidRDefault="00D96500" w14:paraId="61A3BB8A" w14:textId="229CA3F8">
      <w:pPr>
        <w:widowControl/>
        <w:tabs>
          <w:tab w:val="left" w:pos="360"/>
          <w:tab w:val="left" w:pos="720"/>
          <w:tab w:val="left" w:pos="1080"/>
        </w:tabs>
        <w:autoSpaceDE w:val="0"/>
        <w:autoSpaceDN w:val="0"/>
        <w:adjustRightInd w:val="0"/>
      </w:pPr>
      <w:r w:rsidRPr="000F6B1A">
        <w:t xml:space="preserve">This information collection </w:t>
      </w:r>
      <w:proofErr w:type="gramStart"/>
      <w:r w:rsidRPr="000F6B1A">
        <w:t>impacts</w:t>
      </w:r>
      <w:proofErr w:type="gramEnd"/>
      <w:r w:rsidRPr="000F6B1A">
        <w:t xml:space="preserve"> some small entities. NMFS has attempted to minimize the burden on </w:t>
      </w:r>
      <w:r w:rsidR="000F6B1A">
        <w:t xml:space="preserve">all entities, including </w:t>
      </w:r>
      <w:r w:rsidRPr="000F6B1A">
        <w:t>small entities</w:t>
      </w:r>
      <w:r w:rsidR="000F6B1A">
        <w:t>,</w:t>
      </w:r>
      <w:r w:rsidRPr="000F6B1A">
        <w:t xml:space="preserve"> by providing a </w:t>
      </w:r>
      <w:r w:rsidR="009728A8">
        <w:t xml:space="preserve">variety of ways </w:t>
      </w:r>
      <w:r w:rsidR="005F6585">
        <w:t xml:space="preserve">for </w:t>
      </w:r>
      <w:r w:rsidR="00ED6E29">
        <w:t>COAR</w:t>
      </w:r>
      <w:r w:rsidR="001C0788">
        <w:t xml:space="preserve"> </w:t>
      </w:r>
      <w:r w:rsidR="005F6585">
        <w:t xml:space="preserve">submission. These are all explained in Question </w:t>
      </w:r>
      <w:proofErr w:type="gramStart"/>
      <w:r w:rsidR="005F6585">
        <w:t>3</w:t>
      </w:r>
      <w:proofErr w:type="gramEnd"/>
      <w:r w:rsidR="005F6585">
        <w:t>.</w:t>
      </w:r>
      <w:r w:rsidR="005F4D30">
        <w:t xml:space="preserve"> </w:t>
      </w:r>
      <w:r w:rsidR="005F6585">
        <w:t>The c</w:t>
      </w:r>
      <w:r w:rsidRPr="00C36D4A" w:rsidR="005F6585">
        <w:rPr>
          <w:rFonts w:eastAsia="Calibri"/>
        </w:rPr>
        <w:t xml:space="preserve">atcher/processors and motherships operating in the EEZ off Alaska </w:t>
      </w:r>
      <w:r w:rsidR="005F6585">
        <w:rPr>
          <w:rFonts w:eastAsia="Calibri"/>
        </w:rPr>
        <w:t xml:space="preserve">are proficient users of the eLandings system, and one of the ways they may now submit the COAR is through eLandings. </w:t>
      </w:r>
      <w:r w:rsidR="005F6585">
        <w:t>The</w:t>
      </w:r>
      <w:r w:rsidR="00ED6E29">
        <w:t xml:space="preserve"> </w:t>
      </w:r>
      <w:r w:rsidRPr="000F6B1A">
        <w:t>mechanism in eLandings</w:t>
      </w:r>
      <w:r w:rsidR="005F6585">
        <w:t xml:space="preserve"> </w:t>
      </w:r>
      <w:r w:rsidR="001C0788">
        <w:t>generates data summaries</w:t>
      </w:r>
      <w:r w:rsidR="005F6585">
        <w:t xml:space="preserve">, eliminating </w:t>
      </w:r>
      <w:r w:rsidR="00A048B9">
        <w:t xml:space="preserve">the need for </w:t>
      </w:r>
      <w:r w:rsidR="005F6585">
        <w:t xml:space="preserve">one of the preliminary steps in COAR submission for each user, </w:t>
      </w:r>
      <w:r w:rsidR="001C0788">
        <w:t>and allows for uploads once supplemental information has been added.</w:t>
      </w:r>
      <w:r w:rsidRPr="000F6B1A">
        <w:t xml:space="preserve"> </w:t>
      </w:r>
    </w:p>
    <w:p w:rsidR="006A0BD0" w:rsidP="00651827" w:rsidRDefault="006A0BD0" w14:paraId="4806B623" w14:textId="77777777">
      <w:pPr>
        <w:widowControl/>
        <w:pBdr>
          <w:top w:val="nil"/>
          <w:left w:val="nil"/>
          <w:bottom w:val="nil"/>
          <w:right w:val="nil"/>
          <w:between w:val="nil"/>
        </w:pBdr>
        <w:rPr>
          <w:color w:val="000000"/>
        </w:rPr>
      </w:pPr>
    </w:p>
    <w:p w:rsidR="00B54A1D" w:rsidP="00651827" w:rsidRDefault="00A56326" w14:paraId="2775A26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006A0BD0" w:rsidP="00651827" w:rsidRDefault="006A0BD0" w14:paraId="6AD9836A" w14:textId="2B644222">
      <w:pPr>
        <w:widowControl/>
        <w:pBdr>
          <w:top w:val="nil"/>
          <w:left w:val="nil"/>
          <w:bottom w:val="nil"/>
          <w:right w:val="nil"/>
          <w:between w:val="nil"/>
        </w:pBdr>
        <w:rPr>
          <w:color w:val="2F5496"/>
        </w:rPr>
      </w:pPr>
    </w:p>
    <w:p w:rsidRPr="00EA4E9B" w:rsidR="00FE1796" w:rsidP="00651827" w:rsidRDefault="00FE1796" w14:paraId="71670277" w14:textId="5971B01E">
      <w:pPr>
        <w:widowControl/>
        <w:tabs>
          <w:tab w:val="left" w:pos="360"/>
          <w:tab w:val="left" w:pos="720"/>
          <w:tab w:val="left" w:pos="1080"/>
        </w:tabs>
        <w:autoSpaceDE w:val="0"/>
        <w:autoSpaceDN w:val="0"/>
        <w:adjustRightInd w:val="0"/>
        <w:rPr>
          <w:color w:val="2F5496"/>
        </w:rPr>
      </w:pPr>
      <w:r w:rsidRPr="00EA4E9B">
        <w:t>The Federal requirement for catcher/processors and motherships to submit the COAR is a method to obtain complete and equivalent annual product value information for all respective processing sectors.</w:t>
      </w:r>
      <w:r w:rsidR="005F4D30">
        <w:t xml:space="preserve"> </w:t>
      </w:r>
      <w:r w:rsidRPr="00EA4E9B">
        <w:t xml:space="preserve">The COAR data are fundamental to the agency’s mandated obligations under </w:t>
      </w:r>
      <w:hyperlink w:history="1" r:id="rId19">
        <w:r w:rsidRPr="00EA4E9B">
          <w:rPr>
            <w:color w:val="0000FF"/>
            <w:u w:val="single"/>
          </w:rPr>
          <w:t>Executive Order (E.O.) 12866</w:t>
        </w:r>
      </w:hyperlink>
      <w:r w:rsidRPr="00EA4E9B">
        <w:rPr>
          <w:color w:val="0000FF"/>
          <w:u w:val="single"/>
        </w:rPr>
        <w:t>,</w:t>
      </w:r>
      <w:r w:rsidRPr="00EA4E9B">
        <w:t xml:space="preserve"> the </w:t>
      </w:r>
      <w:hyperlink w:history="1" r:id="rId20">
        <w:r w:rsidRPr="00EA4E9B">
          <w:rPr>
            <w:color w:val="0000FF"/>
            <w:u w:val="single"/>
          </w:rPr>
          <w:t>Magnuson-Stevens Act</w:t>
        </w:r>
      </w:hyperlink>
      <w:r w:rsidRPr="00EA4E9B">
        <w:t xml:space="preserve">, </w:t>
      </w:r>
      <w:r w:rsidRPr="00EA4E9B" w:rsidR="00EA4E9B">
        <w:t xml:space="preserve">the </w:t>
      </w:r>
      <w:hyperlink w:history="1" w:anchor="page=617" r:id="rId21">
        <w:r w:rsidRPr="00EA4E9B">
          <w:rPr>
            <w:color w:val="0000FF"/>
            <w:u w:val="single"/>
          </w:rPr>
          <w:t>American Fisheries Act</w:t>
        </w:r>
      </w:hyperlink>
      <w:r w:rsidRPr="00EA4E9B">
        <w:t xml:space="preserve">, </w:t>
      </w:r>
      <w:r w:rsidRPr="00EA4E9B" w:rsidR="00EA4E9B">
        <w:t xml:space="preserve">the </w:t>
      </w:r>
      <w:hyperlink w:history="1" r:id="rId22">
        <w:r w:rsidRPr="00EA4E9B">
          <w:rPr>
            <w:color w:val="0000FF"/>
            <w:u w:val="single"/>
          </w:rPr>
          <w:t>Regulatory Flexibility Act</w:t>
        </w:r>
      </w:hyperlink>
      <w:r w:rsidRPr="00EA4E9B">
        <w:t>, and National Standards 4, 5, 7,</w:t>
      </w:r>
      <w:r w:rsidR="005F4D30">
        <w:t xml:space="preserve"> </w:t>
      </w:r>
      <w:r w:rsidRPr="00EA4E9B">
        <w:t>and 8 (Magnuson-Stevens Act section 301).</w:t>
      </w:r>
      <w:r w:rsidR="005F4D30">
        <w:t xml:space="preserve"> </w:t>
      </w:r>
      <w:r w:rsidRPr="00EA4E9B">
        <w:t xml:space="preserve">The COAR database </w:t>
      </w:r>
      <w:proofErr w:type="gramStart"/>
      <w:r w:rsidRPr="00EA4E9B">
        <w:t>is used</w:t>
      </w:r>
      <w:proofErr w:type="gramEnd"/>
      <w:r w:rsidRPr="00EA4E9B">
        <w:t xml:space="preserve"> in the annual NMFS Stock Assessment and Fishery Evaluation reports for the groundfish fisheries of the BSAI and GOA, annual Federal publications on the value of U.S. commercial fisheries, and in periodic reports that describe the fisheries and that serve as reference documents to management agencies, the industry, and others. Without the COAR database, NMFS would be deficient in these very important data sectors.</w:t>
      </w:r>
    </w:p>
    <w:p w:rsidRPr="00EA4E9B" w:rsidR="00FE1796" w:rsidP="00651827" w:rsidRDefault="00FE1796" w14:paraId="1E299CFC" w14:textId="77777777">
      <w:pPr>
        <w:widowControl/>
        <w:pBdr>
          <w:top w:val="nil"/>
          <w:left w:val="nil"/>
          <w:bottom w:val="nil"/>
          <w:right w:val="nil"/>
          <w:between w:val="nil"/>
        </w:pBdr>
        <w:rPr>
          <w:color w:val="2F5496"/>
        </w:rPr>
      </w:pPr>
    </w:p>
    <w:p w:rsidR="00B54A1D" w:rsidP="00651827" w:rsidRDefault="00A56326" w14:paraId="4EA6E5B2" w14:textId="77777777">
      <w:pPr>
        <w:widowControl/>
        <w:numPr>
          <w:ilvl w:val="0"/>
          <w:numId w:val="3"/>
        </w:numPr>
        <w:pBdr>
          <w:top w:val="nil"/>
          <w:left w:val="nil"/>
          <w:bottom w:val="nil"/>
          <w:right w:val="nil"/>
          <w:between w:val="nil"/>
        </w:pBdr>
        <w:tabs>
          <w:tab w:val="left" w:pos="360"/>
        </w:tabs>
        <w:ind w:left="0" w:firstLine="0"/>
        <w:rPr>
          <w:b/>
          <w:color w:val="000000"/>
        </w:rPr>
      </w:pPr>
      <w:r w:rsidRPr="00EA4E9B">
        <w:rPr>
          <w:b/>
          <w:color w:val="000000"/>
        </w:rPr>
        <w:t xml:space="preserve">Explain any special circumstances that would cause an information collection to </w:t>
      </w:r>
      <w:proofErr w:type="gramStart"/>
      <w:r w:rsidRPr="00EA4E9B">
        <w:rPr>
          <w:b/>
          <w:color w:val="000000"/>
        </w:rPr>
        <w:t>be conducted</w:t>
      </w:r>
      <w:proofErr w:type="gramEnd"/>
      <w:r>
        <w:rPr>
          <w:b/>
          <w:color w:val="000000"/>
        </w:rPr>
        <w:t xml:space="preserve"> in a manner inconsistent with OMB guidelines.</w:t>
      </w:r>
    </w:p>
    <w:p w:rsidR="006A0BD0" w:rsidP="00A23935" w:rsidRDefault="009F22D2" w14:paraId="716B6A28" w14:textId="01AD5762">
      <w:pPr>
        <w:widowControl/>
        <w:pBdr>
          <w:top w:val="nil"/>
          <w:left w:val="nil"/>
          <w:bottom w:val="nil"/>
          <w:right w:val="nil"/>
          <w:between w:val="nil"/>
        </w:pBdr>
        <w:spacing w:before="120"/>
        <w:rPr>
          <w:color w:val="000000"/>
        </w:rPr>
      </w:pPr>
      <w:r>
        <w:rPr>
          <w:color w:val="000000"/>
        </w:rPr>
        <w:t xml:space="preserve">This collection </w:t>
      </w:r>
      <w:proofErr w:type="gramStart"/>
      <w:r w:rsidR="00A23935">
        <w:rPr>
          <w:color w:val="000000"/>
        </w:rPr>
        <w:t>will be conducted</w:t>
      </w:r>
      <w:proofErr w:type="gramEnd"/>
      <w:r w:rsidR="00A23935">
        <w:rPr>
          <w:color w:val="000000"/>
        </w:rPr>
        <w:t xml:space="preserve"> in a manner that is consistent with OMB guidelines.</w:t>
      </w:r>
    </w:p>
    <w:p w:rsidR="009F22D2" w:rsidP="00651827" w:rsidRDefault="009F22D2" w14:paraId="6F8213B5" w14:textId="0ACDE0C7">
      <w:pPr>
        <w:widowControl/>
        <w:pBdr>
          <w:top w:val="nil"/>
          <w:left w:val="nil"/>
          <w:bottom w:val="nil"/>
          <w:right w:val="nil"/>
          <w:between w:val="nil"/>
        </w:pBdr>
        <w:rPr>
          <w:color w:val="000000"/>
        </w:rPr>
      </w:pPr>
    </w:p>
    <w:p w:rsidRPr="00A84B7C" w:rsidR="00B54A1D" w:rsidP="00651827" w:rsidRDefault="00A56326" w14:paraId="1D335560" w14:textId="77777777">
      <w:pPr>
        <w:widowControl/>
        <w:numPr>
          <w:ilvl w:val="0"/>
          <w:numId w:val="3"/>
        </w:numPr>
        <w:pBdr>
          <w:top w:val="nil"/>
          <w:left w:val="nil"/>
          <w:bottom w:val="nil"/>
          <w:right w:val="nil"/>
          <w:between w:val="nil"/>
        </w:pBdr>
        <w:tabs>
          <w:tab w:val="left" w:pos="360"/>
        </w:tabs>
        <w:ind w:left="0" w:firstLine="0"/>
        <w:rPr>
          <w:b/>
          <w:color w:val="000000"/>
        </w:rPr>
      </w:pPr>
      <w:r w:rsidRPr="00A84B7C">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A0BD0" w:rsidP="00651827" w:rsidRDefault="006A0BD0" w14:paraId="2FA408C7" w14:textId="42F182AD">
      <w:pPr>
        <w:widowControl/>
        <w:pBdr>
          <w:top w:val="nil"/>
          <w:left w:val="nil"/>
          <w:bottom w:val="nil"/>
          <w:right w:val="nil"/>
          <w:between w:val="nil"/>
        </w:pBdr>
        <w:rPr>
          <w:color w:val="2F5496"/>
        </w:rPr>
      </w:pPr>
    </w:p>
    <w:p w:rsidR="00875894" w:rsidP="00651827" w:rsidRDefault="00CC00D7" w14:paraId="7A134E42" w14:textId="489B51EB">
      <w:pPr>
        <w:widowControl/>
        <w:autoSpaceDE w:val="0"/>
        <w:autoSpaceDN w:val="0"/>
        <w:rPr>
          <w:rFonts w:eastAsiaTheme="minorHAnsi"/>
        </w:rPr>
      </w:pPr>
      <w:r w:rsidRPr="00CC00D7">
        <w:rPr>
          <w:rFonts w:eastAsiaTheme="minorHAnsi"/>
        </w:rPr>
        <w:t xml:space="preserve">A </w:t>
      </w:r>
      <w:r w:rsidRPr="00CC00D7">
        <w:rPr>
          <w:rFonts w:eastAsiaTheme="minorHAnsi"/>
          <w:i/>
        </w:rPr>
        <w:t>Federal Register</w:t>
      </w:r>
      <w:r w:rsidRPr="00CC00D7">
        <w:rPr>
          <w:rFonts w:eastAsiaTheme="minorHAnsi"/>
        </w:rPr>
        <w:t xml:space="preserve"> Notice published on January 11, 2021 (</w:t>
      </w:r>
      <w:hyperlink w:history="1" r:id="rId23">
        <w:r w:rsidRPr="00CC00D7">
          <w:rPr>
            <w:rFonts w:eastAsiaTheme="minorHAnsi"/>
            <w:color w:val="0000FF" w:themeColor="hyperlink"/>
            <w:u w:val="single"/>
          </w:rPr>
          <w:t>86 FR 1943</w:t>
        </w:r>
      </w:hyperlink>
      <w:r w:rsidRPr="00CC00D7">
        <w:rPr>
          <w:rFonts w:eastAsiaTheme="minorHAnsi"/>
        </w:rPr>
        <w:t xml:space="preserve">), </w:t>
      </w:r>
      <w:r w:rsidR="00D16F12">
        <w:rPr>
          <w:rFonts w:eastAsiaTheme="minorHAnsi"/>
        </w:rPr>
        <w:t>which</w:t>
      </w:r>
      <w:r w:rsidRPr="00CC00D7">
        <w:rPr>
          <w:rFonts w:eastAsiaTheme="minorHAnsi"/>
        </w:rPr>
        <w:t xml:space="preserve"> solicited public comments. </w:t>
      </w:r>
      <w:r w:rsidRPr="00CC00D7" w:rsidR="00875894">
        <w:rPr>
          <w:rFonts w:eastAsiaTheme="minorHAnsi"/>
        </w:rPr>
        <w:t xml:space="preserve">In addition to the </w:t>
      </w:r>
      <w:r w:rsidRPr="00CC00D7" w:rsidR="00875894">
        <w:rPr>
          <w:rFonts w:eastAsiaTheme="minorHAnsi"/>
          <w:i/>
        </w:rPr>
        <w:t>Federal Register</w:t>
      </w:r>
      <w:r w:rsidRPr="00CC00D7" w:rsidR="00875894">
        <w:rPr>
          <w:rFonts w:eastAsiaTheme="minorHAnsi"/>
        </w:rPr>
        <w:t xml:space="preserve"> notice, </w:t>
      </w:r>
      <w:r w:rsidRPr="00875894" w:rsidR="00875894">
        <w:rPr>
          <w:rFonts w:eastAsiaTheme="minorHAnsi"/>
        </w:rPr>
        <w:t>NOAA contacted</w:t>
      </w:r>
      <w:r w:rsidR="00875894">
        <w:rPr>
          <w:rFonts w:eastAsiaTheme="minorHAnsi"/>
        </w:rPr>
        <w:t xml:space="preserve"> nine</w:t>
      </w:r>
      <w:r w:rsidRPr="00875894" w:rsidR="00875894">
        <w:rPr>
          <w:rFonts w:eastAsiaTheme="minorHAnsi"/>
        </w:rPr>
        <w:t xml:space="preserve"> stakeholders outside the agency to obtain their views on the availability of data, frequency of collection, the clarity of instructions and recordkeeping, disclosu</w:t>
      </w:r>
      <w:r w:rsidR="00875894">
        <w:rPr>
          <w:rFonts w:eastAsiaTheme="minorHAnsi"/>
        </w:rPr>
        <w:t>re, or reporting format</w:t>
      </w:r>
      <w:r w:rsidRPr="00875894" w:rsidR="00875894">
        <w:rPr>
          <w:rFonts w:eastAsiaTheme="minorHAnsi"/>
        </w:rPr>
        <w:t xml:space="preserve">, and on the data elements to be </w:t>
      </w:r>
      <w:proofErr w:type="gramStart"/>
      <w:r w:rsidRPr="00875894" w:rsidR="00875894">
        <w:rPr>
          <w:rFonts w:eastAsiaTheme="minorHAnsi"/>
        </w:rPr>
        <w:t>rec</w:t>
      </w:r>
      <w:r w:rsidR="00875894">
        <w:rPr>
          <w:rFonts w:eastAsiaTheme="minorHAnsi"/>
        </w:rPr>
        <w:t>orded</w:t>
      </w:r>
      <w:proofErr w:type="gramEnd"/>
      <w:r w:rsidR="00875894">
        <w:rPr>
          <w:rFonts w:eastAsiaTheme="minorHAnsi"/>
        </w:rPr>
        <w:t xml:space="preserve">, disclosed, or reported. </w:t>
      </w:r>
      <w:r w:rsidRPr="00875894" w:rsidR="00875894">
        <w:rPr>
          <w:rFonts w:eastAsiaTheme="minorHAnsi"/>
        </w:rPr>
        <w:t xml:space="preserve">No comments </w:t>
      </w:r>
      <w:proofErr w:type="gramStart"/>
      <w:r w:rsidRPr="00875894" w:rsidR="00875894">
        <w:rPr>
          <w:rFonts w:eastAsiaTheme="minorHAnsi"/>
        </w:rPr>
        <w:t>were receive</w:t>
      </w:r>
      <w:r w:rsidR="00875894">
        <w:rPr>
          <w:rFonts w:eastAsiaTheme="minorHAnsi"/>
        </w:rPr>
        <w:t>d</w:t>
      </w:r>
      <w:proofErr w:type="gramEnd"/>
      <w:r w:rsidR="00875894">
        <w:rPr>
          <w:rFonts w:eastAsiaTheme="minorHAnsi"/>
        </w:rPr>
        <w:t xml:space="preserve"> in response to our inquiries or from the </w:t>
      </w:r>
      <w:r w:rsidRPr="00875894" w:rsidR="00875894">
        <w:rPr>
          <w:rFonts w:eastAsiaTheme="minorHAnsi"/>
          <w:i/>
        </w:rPr>
        <w:t>Federal Register</w:t>
      </w:r>
      <w:r w:rsidR="00875894">
        <w:rPr>
          <w:rFonts w:eastAsiaTheme="minorHAnsi"/>
        </w:rPr>
        <w:t xml:space="preserve"> notice.</w:t>
      </w:r>
    </w:p>
    <w:p w:rsidR="00875894" w:rsidP="00651827" w:rsidRDefault="00875894" w14:paraId="563A9A09" w14:textId="77777777">
      <w:pPr>
        <w:widowControl/>
        <w:autoSpaceDE w:val="0"/>
        <w:autoSpaceDN w:val="0"/>
        <w:rPr>
          <w:rFonts w:eastAsiaTheme="minorHAnsi"/>
        </w:rPr>
      </w:pPr>
    </w:p>
    <w:p w:rsidR="00B54A1D" w:rsidP="00651827" w:rsidRDefault="00A56326" w14:paraId="1BF71518" w14:textId="3703E77B">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6A0BD0" w:rsidP="00651827" w:rsidRDefault="006A0BD0" w14:paraId="2BD42B48" w14:textId="058D3B95">
      <w:pPr>
        <w:widowControl/>
        <w:pBdr>
          <w:top w:val="nil"/>
          <w:left w:val="nil"/>
          <w:bottom w:val="nil"/>
          <w:right w:val="nil"/>
          <w:between w:val="nil"/>
        </w:pBdr>
        <w:tabs>
          <w:tab w:val="left" w:pos="360"/>
        </w:tabs>
        <w:rPr>
          <w:b/>
          <w:color w:val="000000"/>
        </w:rPr>
      </w:pPr>
    </w:p>
    <w:p w:rsidRPr="006A0BD0" w:rsidR="006A0BD0" w:rsidP="00651827" w:rsidRDefault="006A0BD0" w14:paraId="16336F1D" w14:textId="176D4FF3">
      <w:pPr>
        <w:widowControl/>
        <w:pBdr>
          <w:top w:val="nil"/>
          <w:left w:val="nil"/>
          <w:bottom w:val="nil"/>
          <w:right w:val="nil"/>
          <w:between w:val="nil"/>
        </w:pBdr>
        <w:tabs>
          <w:tab w:val="left" w:pos="360"/>
        </w:tabs>
        <w:rPr>
          <w:color w:val="000000"/>
        </w:rPr>
      </w:pPr>
      <w:r w:rsidRPr="006A0BD0">
        <w:rPr>
          <w:color w:val="000000"/>
        </w:rPr>
        <w:t xml:space="preserve">No payment or gift </w:t>
      </w:r>
      <w:proofErr w:type="gramStart"/>
      <w:r w:rsidRPr="006A0BD0">
        <w:rPr>
          <w:color w:val="000000"/>
        </w:rPr>
        <w:t>is provided</w:t>
      </w:r>
      <w:proofErr w:type="gramEnd"/>
      <w:r w:rsidRPr="006A0BD0">
        <w:rPr>
          <w:color w:val="000000"/>
        </w:rPr>
        <w:t xml:space="preserve"> under this program.</w:t>
      </w:r>
    </w:p>
    <w:p w:rsidR="006A0BD0" w:rsidP="00651827" w:rsidRDefault="006A0BD0" w14:paraId="57A0D818" w14:textId="77777777">
      <w:pPr>
        <w:widowControl/>
        <w:pBdr>
          <w:top w:val="nil"/>
          <w:left w:val="nil"/>
          <w:bottom w:val="nil"/>
          <w:right w:val="nil"/>
          <w:between w:val="nil"/>
        </w:pBdr>
        <w:tabs>
          <w:tab w:val="left" w:pos="360"/>
        </w:tabs>
        <w:rPr>
          <w:b/>
          <w:color w:val="000000"/>
        </w:rPr>
      </w:pPr>
    </w:p>
    <w:p w:rsidR="00B54A1D" w:rsidP="00651827" w:rsidRDefault="00A56326" w14:paraId="1C498663"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Pr>
          <w:b/>
          <w:color w:val="000000"/>
        </w:rPr>
        <w:t>should be cited and described here</w:t>
      </w:r>
      <w:proofErr w:type="gramEnd"/>
      <w:r>
        <w:rPr>
          <w:b/>
          <w:color w:val="000000"/>
        </w:rPr>
        <w:t>.</w:t>
      </w:r>
    </w:p>
    <w:p w:rsidR="00F51C04" w:rsidP="00651827" w:rsidRDefault="00F51C04" w14:paraId="64CE7B6A" w14:textId="12639408">
      <w:pPr>
        <w:widowControl/>
        <w:pBdr>
          <w:top w:val="nil"/>
          <w:left w:val="nil"/>
          <w:bottom w:val="nil"/>
          <w:right w:val="nil"/>
          <w:between w:val="nil"/>
        </w:pBdr>
        <w:rPr>
          <w:color w:val="000000"/>
        </w:rPr>
      </w:pPr>
    </w:p>
    <w:p w:rsidRPr="00A84B7C" w:rsidR="007203F4" w:rsidP="00651827" w:rsidRDefault="00A84B7C" w14:paraId="43A56F50" w14:textId="1ECEF73D">
      <w:pPr>
        <w:widowControl/>
        <w:tabs>
          <w:tab w:val="left" w:pos="360"/>
          <w:tab w:val="left" w:pos="720"/>
          <w:tab w:val="left" w:pos="1080"/>
        </w:tabs>
        <w:autoSpaceDE w:val="0"/>
        <w:autoSpaceDN w:val="0"/>
        <w:adjustRightInd w:val="0"/>
      </w:pPr>
      <w:r w:rsidRPr="00A84B7C">
        <w:t xml:space="preserve">All information collections by NMFS Alaska Region are protected under </w:t>
      </w:r>
      <w:r w:rsidRPr="00A84B7C" w:rsidR="00A75800">
        <w:t>confidentiality</w:t>
      </w:r>
      <w:r w:rsidRPr="00A84B7C">
        <w:t xml:space="preserve"> provisions of</w:t>
      </w:r>
      <w:r w:rsidR="005F4D30">
        <w:t xml:space="preserve"> </w:t>
      </w:r>
      <w:r w:rsidRPr="00A84B7C" w:rsidR="007203F4">
        <w:t>section 402(b) of the Magnuson-Stevens</w:t>
      </w:r>
      <w:r w:rsidRPr="00A84B7C">
        <w:t xml:space="preserve"> </w:t>
      </w:r>
      <w:r w:rsidRPr="00A84B7C" w:rsidR="007203F4">
        <w:t xml:space="preserve">Act </w:t>
      </w:r>
      <w:r w:rsidRPr="00A84B7C">
        <w:t xml:space="preserve">as amended in 2006 (16 U.S.C. 1801, </w:t>
      </w:r>
      <w:r w:rsidRPr="00A84B7C">
        <w:rPr>
          <w:i/>
        </w:rPr>
        <w:t>et seq</w:t>
      </w:r>
      <w:r w:rsidRPr="00A84B7C">
        <w:t xml:space="preserve">.) </w:t>
      </w:r>
      <w:r w:rsidRPr="00A84B7C" w:rsidR="007203F4">
        <w:t xml:space="preserve">and under </w:t>
      </w:r>
      <w:hyperlink w:history="1" r:id="rId24">
        <w:r w:rsidRPr="00A84B7C" w:rsidR="007203F4">
          <w:rPr>
            <w:color w:val="0000FF"/>
            <w:u w:val="single"/>
          </w:rPr>
          <w:t>NOAA Administrative Order 216-100</w:t>
        </w:r>
      </w:hyperlink>
      <w:r w:rsidRPr="00A84B7C" w:rsidR="007203F4">
        <w:t>, which sets forth procedures to protect confidentiality of fishery statistics.</w:t>
      </w:r>
      <w:r w:rsidR="005F4D30">
        <w:t xml:space="preserve"> </w:t>
      </w:r>
      <w:r w:rsidRPr="00A84B7C" w:rsidR="007203F4">
        <w:t xml:space="preserve">The information submitted in the COAR also </w:t>
      </w:r>
      <w:proofErr w:type="gramStart"/>
      <w:r w:rsidRPr="00A84B7C" w:rsidR="007203F4">
        <w:t>is protected</w:t>
      </w:r>
      <w:proofErr w:type="gramEnd"/>
      <w:r w:rsidRPr="00A84B7C" w:rsidR="007203F4">
        <w:t xml:space="preserve"> by </w:t>
      </w:r>
      <w:smartTag w:uri="urn:schemas-microsoft-com:office:smarttags" w:element="place">
        <w:smartTag w:uri="urn:schemas-microsoft-com:office:smarttags" w:element="PlaceName">
          <w:r w:rsidR="007203F4" w:rsidRPr="00A84B7C">
            <w:t>Alaska</w:t>
          </w:r>
        </w:smartTag>
        <w:r w:rsidR="007203F4" w:rsidRPr="00A84B7C">
          <w:t xml:space="preserve"> </w:t>
        </w:r>
        <w:smartTag w:uri="urn:schemas-microsoft-com:office:smarttags" w:element="PlaceType">
          <w:r w:rsidR="007203F4" w:rsidRPr="00A84B7C">
            <w:t>State</w:t>
          </w:r>
        </w:smartTag>
      </w:smartTag>
      <w:r w:rsidRPr="00A84B7C" w:rsidR="007203F4">
        <w:t xml:space="preserve"> confidentiality statute AS 16.05.815.</w:t>
      </w:r>
    </w:p>
    <w:p w:rsidRPr="00A84B7C" w:rsidR="007203F4" w:rsidP="00651827" w:rsidRDefault="007203F4" w14:paraId="3CAC2675" w14:textId="77777777">
      <w:pPr>
        <w:widowControl/>
        <w:tabs>
          <w:tab w:val="left" w:pos="360"/>
          <w:tab w:val="left" w:pos="720"/>
          <w:tab w:val="left" w:pos="1080"/>
        </w:tabs>
        <w:autoSpaceDE w:val="0"/>
        <w:autoSpaceDN w:val="0"/>
        <w:adjustRightInd w:val="0"/>
      </w:pPr>
    </w:p>
    <w:p w:rsidRPr="00A84B7C" w:rsidR="007203F4" w:rsidP="00651827" w:rsidRDefault="007203F4" w14:paraId="334C1A8A" w14:textId="77777777">
      <w:pPr>
        <w:widowControl/>
        <w:tabs>
          <w:tab w:val="left" w:pos="360"/>
          <w:tab w:val="left" w:pos="720"/>
          <w:tab w:val="left" w:pos="1080"/>
        </w:tabs>
        <w:autoSpaceDE w:val="0"/>
        <w:autoSpaceDN w:val="0"/>
        <w:adjustRightInd w:val="0"/>
      </w:pPr>
      <w:r w:rsidRPr="00A84B7C">
        <w:t xml:space="preserve">The System of Records Notice that covers this information collection is </w:t>
      </w:r>
      <w:hyperlink w:history="1" r:id="rId25">
        <w:r w:rsidRPr="00A84B7C">
          <w:rPr>
            <w:color w:val="0000FF"/>
            <w:u w:val="single"/>
          </w:rPr>
          <w:t>COMMERCE/NOAA #6:  Fishermen's Statistical Data</w:t>
        </w:r>
      </w:hyperlink>
      <w:r w:rsidRPr="00A84B7C">
        <w:t>.</w:t>
      </w:r>
    </w:p>
    <w:p w:rsidRPr="00A84B7C" w:rsidR="007203F4" w:rsidP="00651827" w:rsidRDefault="007203F4" w14:paraId="09A2F747" w14:textId="77777777">
      <w:pPr>
        <w:widowControl/>
        <w:tabs>
          <w:tab w:val="left" w:pos="360"/>
          <w:tab w:val="left" w:pos="720"/>
          <w:tab w:val="left" w:pos="1080"/>
        </w:tabs>
        <w:autoSpaceDE w:val="0"/>
        <w:autoSpaceDN w:val="0"/>
        <w:adjustRightInd w:val="0"/>
      </w:pPr>
    </w:p>
    <w:p w:rsidRPr="007203F4" w:rsidR="007203F4" w:rsidP="00651827" w:rsidRDefault="007203F4" w14:paraId="4BF51BC9" w14:textId="65FD4356">
      <w:pPr>
        <w:widowControl/>
        <w:autoSpaceDE w:val="0"/>
        <w:autoSpaceDN w:val="0"/>
        <w:adjustRightInd w:val="0"/>
        <w:rPr>
          <w:color w:val="222222"/>
        </w:rPr>
      </w:pPr>
      <w:r w:rsidRPr="00A84B7C">
        <w:t>Because the COAR is a state form, there is</w:t>
      </w:r>
      <w:r w:rsidR="00A84B7C">
        <w:t xml:space="preserve"> no privacy act statement on it. The privacy act statement </w:t>
      </w:r>
      <w:proofErr w:type="gramStart"/>
      <w:r w:rsidRPr="00A84B7C">
        <w:t>is posted</w:t>
      </w:r>
      <w:proofErr w:type="gramEnd"/>
      <w:r w:rsidR="00A84B7C">
        <w:t xml:space="preserve"> on the NMFS</w:t>
      </w:r>
      <w:r w:rsidRPr="00A84B7C">
        <w:t xml:space="preserve"> COAR web page: </w:t>
      </w:r>
      <w:hyperlink w:tgtFrame="_blank" w:history="1" r:id="rId26">
        <w:r w:rsidRPr="00A84B7C">
          <w:rPr>
            <w:color w:val="1155CC"/>
            <w:u w:val="single"/>
          </w:rPr>
          <w:t>https://elandings.atlassian.net/wiki/spaces/doc/pages/379650058/PRIVACY+ACT+STATEMENT+for+the+ADF+G+Commercial+Operators+Annual+Report</w:t>
        </w:r>
      </w:hyperlink>
      <w:r w:rsidRPr="005F2C79" w:rsidR="005F2C79">
        <w:t>.</w:t>
      </w:r>
    </w:p>
    <w:p w:rsidR="00693666" w:rsidP="00651827" w:rsidRDefault="00693666" w14:paraId="1132A2E4" w14:textId="34CD61F2">
      <w:pPr>
        <w:widowControl/>
        <w:pBdr>
          <w:top w:val="nil"/>
          <w:left w:val="nil"/>
          <w:bottom w:val="nil"/>
          <w:right w:val="nil"/>
          <w:between w:val="nil"/>
        </w:pBdr>
        <w:rPr>
          <w:color w:val="000000"/>
        </w:rPr>
      </w:pPr>
    </w:p>
    <w:p w:rsidRPr="00A84B7C" w:rsidR="00A84B7C" w:rsidP="00651827" w:rsidRDefault="00A84B7C" w14:paraId="5B44DBB7" w14:textId="77777777">
      <w:pPr>
        <w:widowControl/>
        <w:autoSpaceDE w:val="0"/>
        <w:autoSpaceDN w:val="0"/>
        <w:rPr>
          <w:rFonts w:eastAsia="Arial"/>
          <w:lang w:bidi="en-US"/>
        </w:rPr>
      </w:pPr>
      <w:r w:rsidRPr="00A84B7C">
        <w:rPr>
          <w:rFonts w:eastAsia="Arial"/>
          <w:lang w:bidi="en-US"/>
        </w:rPr>
        <w:t xml:space="preserve">The Privacy Impact Assessment that covers this information collection is </w:t>
      </w:r>
      <w:hyperlink w:history="1" r:id="rId27">
        <w:r w:rsidRPr="00A84B7C">
          <w:rPr>
            <w:rFonts w:eastAsia="Arial"/>
            <w:color w:val="0000FF"/>
            <w:u w:val="single"/>
            <w:lang w:bidi="en-US"/>
          </w:rPr>
          <w:t>NOAA NMFS Alaska Region Local Area Network (NOAA4700)</w:t>
        </w:r>
      </w:hyperlink>
      <w:r w:rsidRPr="00A84B7C">
        <w:rPr>
          <w:rFonts w:eastAsia="Arial"/>
          <w:lang w:bidi="en-US"/>
        </w:rPr>
        <w:t>.</w:t>
      </w:r>
    </w:p>
    <w:p w:rsidR="00693666" w:rsidP="00651827" w:rsidRDefault="00693666" w14:paraId="340350C1" w14:textId="77777777">
      <w:pPr>
        <w:widowControl/>
        <w:pBdr>
          <w:top w:val="nil"/>
          <w:left w:val="nil"/>
          <w:bottom w:val="nil"/>
          <w:right w:val="nil"/>
          <w:between w:val="nil"/>
        </w:pBdr>
        <w:rPr>
          <w:color w:val="000000"/>
        </w:rPr>
      </w:pPr>
    </w:p>
    <w:p w:rsidR="00B54A1D" w:rsidP="00651827" w:rsidRDefault="0058561E" w14:paraId="05A632FD" w14:textId="0463B651">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A56326">
        <w:rPr>
          <w:b/>
          <w:color w:val="000000"/>
        </w:rPr>
        <w:t xml:space="preserve">Provide additional justification for any questions of a sensitive nature, such as sexual behavior or attitudes, religious beliefs, and other matters that </w:t>
      </w:r>
      <w:proofErr w:type="gramStart"/>
      <w:r w:rsidR="00A56326">
        <w:rPr>
          <w:b/>
          <w:color w:val="000000"/>
        </w:rPr>
        <w:t>are commonly considered</w:t>
      </w:r>
      <w:proofErr w:type="gramEnd"/>
      <w:r w:rsidR="00A56326">
        <w:rPr>
          <w:b/>
          <w:color w:val="000000"/>
        </w:rPr>
        <w:t xml:space="preserve"> private. This justification should include the reasons why the agency considers the questions necessary, the specific uses to be made of the information, the explanation to </w:t>
      </w:r>
      <w:proofErr w:type="gramStart"/>
      <w:r w:rsidR="00A56326">
        <w:rPr>
          <w:b/>
          <w:color w:val="000000"/>
        </w:rPr>
        <w:t>be given</w:t>
      </w:r>
      <w:proofErr w:type="gramEnd"/>
      <w:r w:rsidR="00A56326">
        <w:rPr>
          <w:b/>
          <w:color w:val="000000"/>
        </w:rPr>
        <w:t xml:space="preserve"> to persons from whom the information is requested, and any steps to be taken to obtain their consent.</w:t>
      </w:r>
    </w:p>
    <w:p w:rsidR="00FC52DE" w:rsidP="00651827" w:rsidRDefault="00FC52DE" w14:paraId="553CBA9B" w14:textId="77777777">
      <w:pPr>
        <w:widowControl/>
      </w:pPr>
    </w:p>
    <w:p w:rsidRPr="00FC52DE" w:rsidR="00FC52DE" w:rsidP="00651827" w:rsidRDefault="00FC52DE" w14:paraId="5724CA69" w14:textId="28E0E20A">
      <w:pPr>
        <w:widowControl/>
      </w:pPr>
      <w:r w:rsidRPr="00FC52DE">
        <w:t>This information collection does not involve information of a sensitive nature.</w:t>
      </w:r>
    </w:p>
    <w:p w:rsidR="00491A88" w:rsidP="00651827" w:rsidRDefault="00491A88" w14:paraId="0693CF59" w14:textId="292E1775">
      <w:pPr>
        <w:widowControl/>
      </w:pPr>
    </w:p>
    <w:p w:rsidR="009A4CDB" w:rsidP="00651827" w:rsidRDefault="009A4CDB" w14:paraId="68469B19" w14:textId="0B534007">
      <w:pPr>
        <w:widowControl/>
      </w:pPr>
    </w:p>
    <w:p w:rsidR="009A4CDB" w:rsidP="00651827" w:rsidRDefault="009A4CDB" w14:paraId="13CBF72E" w14:textId="77777777">
      <w:pPr>
        <w:widowControl/>
        <w:sectPr w:rsidR="009A4CDB" w:rsidSect="00631FA6">
          <w:footerReference w:type="default" r:id="rId28"/>
          <w:pgSz w:w="12240" w:h="15840"/>
          <w:pgMar w:top="1080" w:right="1080" w:bottom="1440" w:left="1080" w:header="0" w:footer="1008" w:gutter="0"/>
          <w:cols w:space="720"/>
        </w:sectPr>
      </w:pPr>
    </w:p>
    <w:p w:rsidR="00B54A1D" w:rsidP="00651827" w:rsidRDefault="00B54A1D" w14:paraId="7E79984B" w14:textId="7560330F">
      <w:pPr>
        <w:widowControl/>
      </w:pPr>
    </w:p>
    <w:p w:rsidRPr="0010602D" w:rsidR="00B54A1D" w:rsidP="00651827" w:rsidRDefault="00A56326" w14:paraId="19D472AE" w14:textId="77777777">
      <w:pPr>
        <w:widowControl/>
        <w:numPr>
          <w:ilvl w:val="0"/>
          <w:numId w:val="3"/>
        </w:numPr>
        <w:pBdr>
          <w:top w:val="nil"/>
          <w:left w:val="nil"/>
          <w:bottom w:val="nil"/>
          <w:right w:val="nil"/>
          <w:between w:val="nil"/>
        </w:pBdr>
        <w:tabs>
          <w:tab w:val="left" w:pos="360"/>
        </w:tabs>
        <w:ind w:left="0" w:firstLine="0"/>
        <w:rPr>
          <w:b/>
          <w:color w:val="000000"/>
        </w:rPr>
      </w:pPr>
      <w:r w:rsidRPr="0010602D">
        <w:rPr>
          <w:b/>
          <w:color w:val="000000"/>
        </w:rPr>
        <w:t>Provide estimates of the hour burden of the collection of information.</w:t>
      </w:r>
    </w:p>
    <w:p w:rsidR="00B54A1D" w:rsidP="00651827" w:rsidRDefault="00B54A1D" w14:paraId="65EDF185" w14:textId="77777777">
      <w:pPr>
        <w:ind w:hanging="43"/>
        <w:jc w:val="center"/>
        <w:rPr>
          <w:b/>
          <w:color w:val="FF0000"/>
        </w:rPr>
      </w:pPr>
    </w:p>
    <w:tbl>
      <w:tblPr>
        <w:tblStyle w:val="a0"/>
        <w:tblW w:w="0" w:type="auto"/>
        <w:jc w:val="center"/>
        <w:tblLayout w:type="fixed"/>
        <w:tblLook w:val="0400" w:firstRow="0" w:lastRow="0" w:firstColumn="0" w:lastColumn="0" w:noHBand="0" w:noVBand="1"/>
      </w:tblPr>
      <w:tblGrid>
        <w:gridCol w:w="2985"/>
        <w:gridCol w:w="2257"/>
        <w:gridCol w:w="1163"/>
        <w:gridCol w:w="1170"/>
        <w:gridCol w:w="1350"/>
        <w:gridCol w:w="1080"/>
        <w:gridCol w:w="1117"/>
        <w:gridCol w:w="1133"/>
        <w:gridCol w:w="1468"/>
      </w:tblGrid>
      <w:tr w:rsidRPr="00A82688" w:rsidR="00B54A1D" w:rsidTr="00451A83" w14:paraId="68499433" w14:textId="77777777">
        <w:trPr>
          <w:trHeight w:val="1213"/>
          <w:jc w:val="center"/>
        </w:trPr>
        <w:tc>
          <w:tcPr>
            <w:tcW w:w="2985" w:type="dxa"/>
            <w:tcBorders>
              <w:top w:val="single" w:color="000000" w:sz="8" w:space="0"/>
              <w:left w:val="single" w:color="000000" w:sz="8" w:space="0"/>
              <w:bottom w:val="single" w:color="000000" w:sz="8" w:space="0"/>
              <w:right w:val="single" w:color="000000" w:sz="8" w:space="0"/>
            </w:tcBorders>
            <w:shd w:val="clear" w:color="auto" w:fill="BDD7EE"/>
            <w:vAlign w:val="center"/>
          </w:tcPr>
          <w:p w:rsidRPr="00A82688" w:rsidR="00B54A1D" w:rsidP="00651827" w:rsidRDefault="00A56326" w14:paraId="74575F45" w14:textId="77777777">
            <w:pPr>
              <w:widowControl/>
              <w:jc w:val="center"/>
              <w:rPr>
                <w:rFonts w:eastAsia="Calibri" w:asciiTheme="minorHAnsi" w:hAnsiTheme="minorHAnsi" w:cstheme="minorHAnsi"/>
                <w:b/>
                <w:color w:val="000000"/>
                <w:sz w:val="16"/>
                <w:szCs w:val="16"/>
              </w:rPr>
            </w:pPr>
            <w:r w:rsidRPr="00A82688">
              <w:rPr>
                <w:rFonts w:eastAsia="Calibri" w:asciiTheme="minorHAnsi" w:hAnsiTheme="minorHAnsi" w:cstheme="minorHAnsi"/>
                <w:b/>
                <w:color w:val="000000"/>
                <w:sz w:val="16"/>
                <w:szCs w:val="16"/>
              </w:rPr>
              <w:t>Information Collection</w:t>
            </w:r>
          </w:p>
        </w:tc>
        <w:tc>
          <w:tcPr>
            <w:tcW w:w="2257" w:type="dxa"/>
            <w:tcBorders>
              <w:top w:val="single" w:color="000000" w:sz="8" w:space="0"/>
              <w:left w:val="nil"/>
              <w:bottom w:val="single" w:color="000000" w:sz="8" w:space="0"/>
              <w:right w:val="single" w:color="000000" w:sz="8" w:space="0"/>
            </w:tcBorders>
            <w:shd w:val="clear" w:color="auto" w:fill="BDD7EE"/>
            <w:vAlign w:val="center"/>
          </w:tcPr>
          <w:p w:rsidRPr="00A82688" w:rsidR="00B54A1D" w:rsidP="00651827" w:rsidRDefault="00A56326" w14:paraId="56EEBFBE" w14:textId="77777777">
            <w:pPr>
              <w:widowControl/>
              <w:jc w:val="center"/>
              <w:rPr>
                <w:rFonts w:eastAsia="Calibri" w:asciiTheme="minorHAnsi" w:hAnsiTheme="minorHAnsi" w:cstheme="minorHAnsi"/>
                <w:b/>
                <w:color w:val="000000"/>
                <w:sz w:val="16"/>
                <w:szCs w:val="16"/>
              </w:rPr>
            </w:pPr>
            <w:r w:rsidRPr="00A82688">
              <w:rPr>
                <w:rFonts w:eastAsia="Calibri" w:asciiTheme="minorHAnsi" w:hAnsiTheme="minorHAnsi" w:cstheme="minorHAnsi"/>
                <w:b/>
                <w:color w:val="000000"/>
                <w:sz w:val="16"/>
                <w:szCs w:val="16"/>
              </w:rPr>
              <w:t>Type of Respondent (e.g., Occupational Title)</w:t>
            </w:r>
          </w:p>
        </w:tc>
        <w:tc>
          <w:tcPr>
            <w:tcW w:w="1163" w:type="dxa"/>
            <w:tcBorders>
              <w:top w:val="single" w:color="000000" w:sz="8" w:space="0"/>
              <w:left w:val="nil"/>
              <w:bottom w:val="single" w:color="000000" w:sz="8" w:space="0"/>
              <w:right w:val="single" w:color="000000" w:sz="8" w:space="0"/>
            </w:tcBorders>
            <w:shd w:val="clear" w:color="auto" w:fill="BDD7EE"/>
            <w:vAlign w:val="center"/>
          </w:tcPr>
          <w:p w:rsidRPr="00A82688" w:rsidR="00B54A1D" w:rsidP="00651827" w:rsidRDefault="00A56326" w14:paraId="203EC899" w14:textId="32C4DC3F">
            <w:pPr>
              <w:widowControl/>
              <w:jc w:val="center"/>
              <w:rPr>
                <w:rFonts w:eastAsia="Calibri" w:asciiTheme="minorHAnsi" w:hAnsiTheme="minorHAnsi" w:cstheme="minorHAnsi"/>
                <w:b/>
                <w:color w:val="000000"/>
                <w:sz w:val="16"/>
                <w:szCs w:val="16"/>
              </w:rPr>
            </w:pPr>
            <w:r w:rsidRPr="00A82688">
              <w:rPr>
                <w:rFonts w:eastAsia="Calibri" w:asciiTheme="minorHAnsi" w:hAnsiTheme="minorHAnsi" w:cstheme="minorHAnsi"/>
                <w:b/>
                <w:color w:val="000000"/>
                <w:sz w:val="16"/>
                <w:szCs w:val="16"/>
              </w:rPr>
              <w:t># of Respondents/year</w:t>
            </w:r>
            <w:r w:rsidRPr="00A82688" w:rsidR="0054235E">
              <w:rPr>
                <w:rFonts w:eastAsia="Calibri" w:asciiTheme="minorHAnsi" w:hAnsiTheme="minorHAnsi" w:cstheme="minorHAnsi"/>
                <w:color w:val="000000"/>
                <w:sz w:val="20"/>
                <w:szCs w:val="20"/>
                <w:vertAlign w:val="superscript"/>
              </w:rPr>
              <w:t>1</w:t>
            </w:r>
            <w:r w:rsidRPr="00A82688">
              <w:rPr>
                <w:rFonts w:eastAsia="Calibri" w:asciiTheme="minorHAnsi" w:hAnsiTheme="minorHAnsi" w:cstheme="minorHAnsi"/>
                <w:b/>
                <w:color w:val="000000"/>
                <w:sz w:val="16"/>
                <w:szCs w:val="16"/>
              </w:rPr>
              <w:br/>
              <w:t>(a)</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Pr="00A82688" w:rsidR="00B54A1D" w:rsidP="00651827" w:rsidRDefault="00A56326" w14:paraId="23A250A1" w14:textId="77777777">
            <w:pPr>
              <w:widowControl/>
              <w:jc w:val="center"/>
              <w:rPr>
                <w:rFonts w:eastAsia="Calibri" w:asciiTheme="minorHAnsi" w:hAnsiTheme="minorHAnsi" w:cstheme="minorHAnsi"/>
                <w:b/>
                <w:color w:val="000000"/>
                <w:sz w:val="16"/>
                <w:szCs w:val="16"/>
              </w:rPr>
            </w:pPr>
            <w:r w:rsidRPr="00A82688">
              <w:rPr>
                <w:rFonts w:eastAsia="Calibri" w:asciiTheme="minorHAnsi" w:hAnsiTheme="minorHAnsi" w:cstheme="minorHAnsi"/>
                <w:b/>
                <w:color w:val="000000"/>
                <w:sz w:val="16"/>
                <w:szCs w:val="16"/>
              </w:rPr>
              <w:t>Annual # of Responses / Respondent</w:t>
            </w:r>
            <w:r w:rsidRPr="00A82688">
              <w:rPr>
                <w:rFonts w:eastAsia="Calibri" w:asciiTheme="minorHAnsi" w:hAnsiTheme="minorHAnsi" w:cstheme="minorHAnsi"/>
                <w:b/>
                <w:color w:val="000000"/>
                <w:sz w:val="16"/>
                <w:szCs w:val="16"/>
              </w:rPr>
              <w:br/>
              <w:t>(b)</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Pr="00A82688" w:rsidR="00B54A1D" w:rsidP="00651827" w:rsidRDefault="00A56326" w14:paraId="24FBE910" w14:textId="77777777">
            <w:pPr>
              <w:widowControl/>
              <w:jc w:val="center"/>
              <w:rPr>
                <w:rFonts w:eastAsia="Calibri" w:asciiTheme="minorHAnsi" w:hAnsiTheme="minorHAnsi" w:cstheme="minorHAnsi"/>
                <w:b/>
                <w:color w:val="000000"/>
                <w:sz w:val="16"/>
                <w:szCs w:val="16"/>
              </w:rPr>
            </w:pPr>
            <w:r w:rsidRPr="00A82688">
              <w:rPr>
                <w:rFonts w:eastAsia="Calibri" w:asciiTheme="minorHAnsi" w:hAnsiTheme="minorHAnsi" w:cstheme="minorHAnsi"/>
                <w:b/>
                <w:color w:val="000000"/>
                <w:sz w:val="16"/>
                <w:szCs w:val="16"/>
              </w:rPr>
              <w:t xml:space="preserve"> Total # of Annual Responses</w:t>
            </w:r>
            <w:r w:rsidRPr="00A82688">
              <w:rPr>
                <w:rFonts w:eastAsia="Calibri" w:asciiTheme="minorHAnsi" w:hAnsiTheme="minorHAnsi" w:cstheme="minorHAnsi"/>
                <w:b/>
                <w:color w:val="000000"/>
                <w:sz w:val="16"/>
                <w:szCs w:val="16"/>
              </w:rPr>
              <w:br/>
              <w:t>(c) = (a) x (b)</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Pr="00A82688" w:rsidR="00B54A1D" w:rsidP="00651827" w:rsidRDefault="00A56326" w14:paraId="6F28C39B" w14:textId="77777777">
            <w:pPr>
              <w:widowControl/>
              <w:jc w:val="center"/>
              <w:rPr>
                <w:rFonts w:eastAsia="Calibri" w:asciiTheme="minorHAnsi" w:hAnsiTheme="minorHAnsi" w:cstheme="minorHAnsi"/>
                <w:b/>
                <w:color w:val="000000"/>
                <w:sz w:val="16"/>
                <w:szCs w:val="16"/>
              </w:rPr>
            </w:pPr>
            <w:r w:rsidRPr="00A82688">
              <w:rPr>
                <w:rFonts w:eastAsia="Calibri" w:asciiTheme="minorHAnsi" w:hAnsiTheme="minorHAnsi" w:cstheme="minorHAnsi"/>
                <w:b/>
                <w:color w:val="000000"/>
                <w:sz w:val="16"/>
                <w:szCs w:val="16"/>
              </w:rPr>
              <w:t>Burden Hrs / Response</w:t>
            </w:r>
            <w:r w:rsidRPr="00A82688">
              <w:rPr>
                <w:rFonts w:eastAsia="Calibri" w:asciiTheme="minorHAnsi" w:hAnsiTheme="minorHAnsi" w:cstheme="minorHAnsi"/>
                <w:b/>
                <w:color w:val="000000"/>
                <w:sz w:val="16"/>
                <w:szCs w:val="16"/>
              </w:rPr>
              <w:br/>
              <w:t>(d)</w:t>
            </w:r>
          </w:p>
        </w:tc>
        <w:tc>
          <w:tcPr>
            <w:tcW w:w="1117" w:type="dxa"/>
            <w:tcBorders>
              <w:top w:val="single" w:color="000000" w:sz="8" w:space="0"/>
              <w:left w:val="nil"/>
              <w:bottom w:val="single" w:color="000000" w:sz="8" w:space="0"/>
              <w:right w:val="single" w:color="000000" w:sz="8" w:space="0"/>
            </w:tcBorders>
            <w:shd w:val="clear" w:color="auto" w:fill="BDD7EE"/>
            <w:vAlign w:val="center"/>
          </w:tcPr>
          <w:p w:rsidRPr="00A82688" w:rsidR="00B54A1D" w:rsidP="00651827" w:rsidRDefault="00A56326" w14:paraId="09E50560" w14:textId="19D84122">
            <w:pPr>
              <w:widowControl/>
              <w:jc w:val="center"/>
              <w:rPr>
                <w:rFonts w:eastAsia="Calibri" w:asciiTheme="minorHAnsi" w:hAnsiTheme="minorHAnsi" w:cstheme="minorHAnsi"/>
                <w:b/>
                <w:color w:val="000000"/>
                <w:sz w:val="16"/>
                <w:szCs w:val="16"/>
              </w:rPr>
            </w:pPr>
            <w:r w:rsidRPr="00A82688">
              <w:rPr>
                <w:rFonts w:eastAsia="Calibri" w:asciiTheme="minorHAnsi" w:hAnsiTheme="minorHAnsi" w:cstheme="minorHAnsi"/>
                <w:b/>
                <w:color w:val="000000"/>
                <w:sz w:val="16"/>
                <w:szCs w:val="16"/>
              </w:rPr>
              <w:t>Total Annual Burden Hrs</w:t>
            </w:r>
            <w:r w:rsidRPr="00A82688">
              <w:rPr>
                <w:rFonts w:eastAsia="Calibri" w:asciiTheme="minorHAnsi" w:hAnsiTheme="minorHAnsi" w:cstheme="minorHAnsi"/>
                <w:b/>
                <w:color w:val="000000"/>
                <w:sz w:val="16"/>
                <w:szCs w:val="16"/>
              </w:rPr>
              <w:br/>
              <w:t>(e)</w:t>
            </w:r>
            <w:r w:rsidR="005F4D30">
              <w:rPr>
                <w:rFonts w:eastAsia="Calibri" w:asciiTheme="minorHAnsi" w:hAnsiTheme="minorHAnsi" w:cstheme="minorHAnsi"/>
                <w:b/>
                <w:color w:val="000000"/>
                <w:sz w:val="16"/>
                <w:szCs w:val="16"/>
              </w:rPr>
              <w:t xml:space="preserve"> </w:t>
            </w:r>
            <w:r w:rsidRPr="00A82688">
              <w:rPr>
                <w:rFonts w:eastAsia="Calibri" w:asciiTheme="minorHAnsi" w:hAnsiTheme="minorHAnsi" w:cstheme="minorHAnsi"/>
                <w:b/>
                <w:color w:val="000000"/>
                <w:sz w:val="16"/>
                <w:szCs w:val="16"/>
              </w:rPr>
              <w:t>= (c) x (d)</w:t>
            </w:r>
          </w:p>
        </w:tc>
        <w:tc>
          <w:tcPr>
            <w:tcW w:w="1133" w:type="dxa"/>
            <w:tcBorders>
              <w:top w:val="single" w:color="000000" w:sz="8" w:space="0"/>
              <w:left w:val="nil"/>
              <w:bottom w:val="single" w:color="000000" w:sz="8" w:space="0"/>
              <w:right w:val="single" w:color="000000" w:sz="8" w:space="0"/>
            </w:tcBorders>
            <w:shd w:val="clear" w:color="auto" w:fill="BDD7EE"/>
            <w:vAlign w:val="center"/>
          </w:tcPr>
          <w:p w:rsidRPr="00A82688" w:rsidR="00B54A1D" w:rsidP="00651827" w:rsidRDefault="00A56326" w14:paraId="320BF54A" w14:textId="08CCB106">
            <w:pPr>
              <w:widowControl/>
              <w:jc w:val="center"/>
              <w:rPr>
                <w:rFonts w:eastAsia="Calibri" w:asciiTheme="minorHAnsi" w:hAnsiTheme="minorHAnsi" w:cstheme="minorHAnsi"/>
                <w:b/>
                <w:color w:val="000000"/>
                <w:sz w:val="16"/>
                <w:szCs w:val="16"/>
              </w:rPr>
            </w:pPr>
            <w:r w:rsidRPr="00A82688">
              <w:rPr>
                <w:rFonts w:eastAsia="Calibri" w:asciiTheme="minorHAnsi" w:hAnsiTheme="minorHAnsi" w:cstheme="minorHAnsi"/>
                <w:b/>
                <w:color w:val="000000"/>
                <w:sz w:val="16"/>
                <w:szCs w:val="16"/>
              </w:rPr>
              <w:t>Hourly Wage Rate</w:t>
            </w:r>
            <w:r w:rsidR="005F4D30">
              <w:rPr>
                <w:rFonts w:eastAsia="Calibri" w:asciiTheme="minorHAnsi" w:hAnsiTheme="minorHAnsi" w:cstheme="minorHAnsi"/>
                <w:b/>
                <w:color w:val="000000"/>
                <w:sz w:val="16"/>
                <w:szCs w:val="16"/>
              </w:rPr>
              <w:t xml:space="preserve"> </w:t>
            </w:r>
            <w:r w:rsidRPr="00A82688">
              <w:rPr>
                <w:rFonts w:eastAsia="Calibri" w:asciiTheme="minorHAnsi" w:hAnsiTheme="minorHAnsi" w:cstheme="minorHAnsi"/>
                <w:b/>
                <w:color w:val="000000"/>
                <w:sz w:val="16"/>
                <w:szCs w:val="16"/>
              </w:rPr>
              <w:t>(for Type of Respondent)</w:t>
            </w:r>
            <w:r w:rsidRPr="00A75800" w:rsidR="001367FA">
              <w:rPr>
                <w:rFonts w:eastAsia="Calibri" w:asciiTheme="minorHAnsi" w:hAnsiTheme="minorHAnsi" w:cstheme="minorHAnsi"/>
                <w:b/>
                <w:color w:val="000000"/>
                <w:sz w:val="16"/>
                <w:szCs w:val="16"/>
                <w:vertAlign w:val="superscript"/>
              </w:rPr>
              <w:t>2</w:t>
            </w:r>
            <w:r w:rsidRPr="00A82688">
              <w:rPr>
                <w:rFonts w:eastAsia="Calibri" w:asciiTheme="minorHAnsi" w:hAnsiTheme="minorHAnsi" w:cstheme="minorHAnsi"/>
                <w:b/>
                <w:color w:val="000000"/>
                <w:sz w:val="16"/>
                <w:szCs w:val="16"/>
              </w:rPr>
              <w:br/>
              <w:t>(f)</w:t>
            </w:r>
          </w:p>
        </w:tc>
        <w:tc>
          <w:tcPr>
            <w:tcW w:w="1468" w:type="dxa"/>
            <w:tcBorders>
              <w:top w:val="single" w:color="000000" w:sz="8" w:space="0"/>
              <w:left w:val="nil"/>
              <w:bottom w:val="single" w:color="000000" w:sz="8" w:space="0"/>
              <w:right w:val="single" w:color="000000" w:sz="8" w:space="0"/>
            </w:tcBorders>
            <w:shd w:val="clear" w:color="auto" w:fill="BDD7EE"/>
            <w:vAlign w:val="center"/>
          </w:tcPr>
          <w:p w:rsidRPr="00A82688" w:rsidR="00B54A1D" w:rsidP="00651827" w:rsidRDefault="00A56326" w14:paraId="0FCDE151" w14:textId="77777777">
            <w:pPr>
              <w:widowControl/>
              <w:jc w:val="center"/>
              <w:rPr>
                <w:rFonts w:eastAsia="Calibri" w:asciiTheme="minorHAnsi" w:hAnsiTheme="minorHAnsi" w:cstheme="minorHAnsi"/>
                <w:b/>
                <w:color w:val="000000"/>
                <w:sz w:val="16"/>
                <w:szCs w:val="16"/>
              </w:rPr>
            </w:pPr>
            <w:r w:rsidRPr="00A82688">
              <w:rPr>
                <w:rFonts w:eastAsia="Calibri" w:asciiTheme="minorHAnsi" w:hAnsiTheme="minorHAnsi" w:cstheme="minorHAnsi"/>
                <w:b/>
                <w:color w:val="000000"/>
                <w:sz w:val="16"/>
                <w:szCs w:val="16"/>
              </w:rPr>
              <w:t>Total Annual Wage Burden Costs</w:t>
            </w:r>
            <w:r w:rsidRPr="00A82688">
              <w:rPr>
                <w:rFonts w:eastAsia="Calibri" w:asciiTheme="minorHAnsi" w:hAnsiTheme="minorHAnsi" w:cstheme="minorHAnsi"/>
                <w:b/>
                <w:color w:val="000000"/>
                <w:sz w:val="16"/>
                <w:szCs w:val="16"/>
              </w:rPr>
              <w:br/>
              <w:t>(g) = (e) x (f)</w:t>
            </w:r>
          </w:p>
        </w:tc>
      </w:tr>
      <w:tr w:rsidRPr="00A82688" w:rsidR="00B54A1D" w:rsidTr="00451A83" w14:paraId="092A9D9C" w14:textId="77777777">
        <w:trPr>
          <w:trHeight w:val="691"/>
          <w:jc w:val="center"/>
        </w:trPr>
        <w:tc>
          <w:tcPr>
            <w:tcW w:w="2985" w:type="dxa"/>
            <w:tcBorders>
              <w:top w:val="nil"/>
              <w:left w:val="single" w:color="000000" w:sz="8" w:space="0"/>
              <w:bottom w:val="single" w:color="000000" w:sz="4" w:space="0"/>
              <w:right w:val="single" w:color="000000" w:sz="4" w:space="0"/>
            </w:tcBorders>
            <w:shd w:val="clear" w:color="auto" w:fill="auto"/>
            <w:vAlign w:val="center"/>
          </w:tcPr>
          <w:p w:rsidRPr="00A82688" w:rsidR="00B54A1D" w:rsidP="00651827" w:rsidRDefault="00BA1318" w14:paraId="69C75612" w14:textId="0C0AC743">
            <w:pPr>
              <w:widowControl/>
              <w:jc w:val="center"/>
              <w:rPr>
                <w:rFonts w:eastAsia="Calibri" w:asciiTheme="minorHAnsi" w:hAnsiTheme="minorHAnsi" w:cstheme="minorHAnsi"/>
                <w:color w:val="000000"/>
                <w:sz w:val="20"/>
                <w:szCs w:val="20"/>
              </w:rPr>
            </w:pPr>
            <w:r w:rsidRPr="00A82688">
              <w:rPr>
                <w:rFonts w:eastAsia="Calibri" w:asciiTheme="minorHAnsi" w:hAnsiTheme="minorHAnsi" w:cstheme="minorHAnsi"/>
                <w:color w:val="000000"/>
                <w:sz w:val="20"/>
                <w:szCs w:val="20"/>
              </w:rPr>
              <w:t>Commercial Operator’s Annual Report</w:t>
            </w:r>
          </w:p>
        </w:tc>
        <w:tc>
          <w:tcPr>
            <w:tcW w:w="2257" w:type="dxa"/>
            <w:tcBorders>
              <w:top w:val="nil"/>
              <w:left w:val="nil"/>
              <w:bottom w:val="single" w:color="000000" w:sz="4" w:space="0"/>
              <w:right w:val="single" w:color="000000" w:sz="4" w:space="0"/>
            </w:tcBorders>
            <w:shd w:val="clear" w:color="auto" w:fill="auto"/>
            <w:vAlign w:val="center"/>
          </w:tcPr>
          <w:p w:rsidRPr="00A82688" w:rsidR="00B54A1D" w:rsidP="00651827" w:rsidRDefault="00BA1318" w14:paraId="1F3DDFCF" w14:textId="3492D518">
            <w:pPr>
              <w:widowControl/>
              <w:jc w:val="center"/>
              <w:rPr>
                <w:rFonts w:eastAsia="Calibri" w:asciiTheme="minorHAnsi" w:hAnsiTheme="minorHAnsi" w:cstheme="minorHAnsi"/>
                <w:color w:val="000000"/>
                <w:sz w:val="20"/>
                <w:szCs w:val="20"/>
              </w:rPr>
            </w:pPr>
            <w:r w:rsidRPr="00A82688">
              <w:rPr>
                <w:rFonts w:eastAsia="Calibri" w:asciiTheme="minorHAnsi" w:hAnsiTheme="minorHAnsi" w:cstheme="minorHAnsi"/>
                <w:color w:val="000000"/>
                <w:sz w:val="20"/>
                <w:szCs w:val="20"/>
              </w:rPr>
              <w:t>owner of a mothership or catcher/processor</w:t>
            </w:r>
          </w:p>
        </w:tc>
        <w:tc>
          <w:tcPr>
            <w:tcW w:w="1163" w:type="dxa"/>
            <w:tcBorders>
              <w:top w:val="nil"/>
              <w:left w:val="nil"/>
              <w:bottom w:val="single" w:color="000000" w:sz="4" w:space="0"/>
              <w:right w:val="single" w:color="000000" w:sz="4" w:space="0"/>
            </w:tcBorders>
            <w:shd w:val="clear" w:color="auto" w:fill="auto"/>
            <w:vAlign w:val="center"/>
          </w:tcPr>
          <w:p w:rsidRPr="00A82688" w:rsidR="00B54A1D" w:rsidP="00651827" w:rsidRDefault="005A51EB" w14:paraId="23BFD7ED" w14:textId="28EC321D">
            <w:pPr>
              <w:widowControl/>
              <w:jc w:val="center"/>
              <w:rPr>
                <w:rFonts w:eastAsia="Calibri" w:asciiTheme="minorHAnsi" w:hAnsiTheme="minorHAnsi" w:cstheme="minorHAnsi"/>
                <w:color w:val="000000"/>
                <w:sz w:val="20"/>
                <w:szCs w:val="20"/>
              </w:rPr>
            </w:pPr>
            <w:r>
              <w:rPr>
                <w:rFonts w:eastAsia="Calibri" w:asciiTheme="minorHAnsi" w:hAnsiTheme="minorHAnsi" w:cstheme="minorHAnsi"/>
                <w:color w:val="000000"/>
                <w:sz w:val="20"/>
                <w:szCs w:val="20"/>
              </w:rPr>
              <w:t>72</w:t>
            </w:r>
          </w:p>
        </w:tc>
        <w:tc>
          <w:tcPr>
            <w:tcW w:w="1170" w:type="dxa"/>
            <w:tcBorders>
              <w:top w:val="nil"/>
              <w:left w:val="nil"/>
              <w:bottom w:val="single" w:color="000000" w:sz="4" w:space="0"/>
              <w:right w:val="single" w:color="000000" w:sz="4" w:space="0"/>
            </w:tcBorders>
            <w:shd w:val="clear" w:color="auto" w:fill="auto"/>
            <w:vAlign w:val="center"/>
          </w:tcPr>
          <w:p w:rsidRPr="00A82688" w:rsidR="00B54A1D" w:rsidP="00651827" w:rsidRDefault="00BA1318" w14:paraId="11CB5CC4" w14:textId="72753CDB">
            <w:pPr>
              <w:widowControl/>
              <w:jc w:val="center"/>
              <w:rPr>
                <w:rFonts w:eastAsia="Calibri" w:asciiTheme="minorHAnsi" w:hAnsiTheme="minorHAnsi" w:cstheme="minorHAnsi"/>
                <w:color w:val="000000"/>
                <w:sz w:val="20"/>
                <w:szCs w:val="20"/>
              </w:rPr>
            </w:pPr>
            <w:r w:rsidRPr="00A82688">
              <w:rPr>
                <w:rFonts w:eastAsia="Calibri" w:asciiTheme="minorHAnsi" w:hAnsiTheme="minorHAnsi" w:cstheme="minorHAnsi"/>
                <w:color w:val="000000"/>
                <w:sz w:val="20"/>
                <w:szCs w:val="20"/>
              </w:rPr>
              <w:t>1</w:t>
            </w:r>
          </w:p>
        </w:tc>
        <w:tc>
          <w:tcPr>
            <w:tcW w:w="1350" w:type="dxa"/>
            <w:tcBorders>
              <w:top w:val="nil"/>
              <w:left w:val="nil"/>
              <w:bottom w:val="single" w:color="000000" w:sz="4" w:space="0"/>
              <w:right w:val="single" w:color="000000" w:sz="4" w:space="0"/>
            </w:tcBorders>
            <w:shd w:val="clear" w:color="auto" w:fill="auto"/>
            <w:vAlign w:val="center"/>
          </w:tcPr>
          <w:p w:rsidRPr="00A82688" w:rsidR="00B54A1D" w:rsidP="00651827" w:rsidRDefault="005A51EB" w14:paraId="41B2917C" w14:textId="4CC78511">
            <w:pPr>
              <w:widowControl/>
              <w:jc w:val="center"/>
              <w:rPr>
                <w:rFonts w:eastAsia="Calibri" w:asciiTheme="minorHAnsi" w:hAnsiTheme="minorHAnsi" w:cstheme="minorHAnsi"/>
                <w:color w:val="000000"/>
                <w:sz w:val="20"/>
                <w:szCs w:val="20"/>
              </w:rPr>
            </w:pPr>
            <w:r>
              <w:rPr>
                <w:rFonts w:eastAsia="Calibri" w:asciiTheme="minorHAnsi" w:hAnsiTheme="minorHAnsi" w:cstheme="minorHAnsi"/>
                <w:color w:val="000000"/>
                <w:sz w:val="20"/>
                <w:szCs w:val="20"/>
              </w:rPr>
              <w:t>72</w:t>
            </w:r>
          </w:p>
        </w:tc>
        <w:tc>
          <w:tcPr>
            <w:tcW w:w="1080" w:type="dxa"/>
            <w:tcBorders>
              <w:top w:val="nil"/>
              <w:left w:val="nil"/>
              <w:bottom w:val="single" w:color="000000" w:sz="4" w:space="0"/>
              <w:right w:val="single" w:color="000000" w:sz="4" w:space="0"/>
            </w:tcBorders>
            <w:shd w:val="clear" w:color="auto" w:fill="auto"/>
            <w:vAlign w:val="center"/>
          </w:tcPr>
          <w:p w:rsidRPr="00A82688" w:rsidR="00B54A1D" w:rsidP="00651827" w:rsidRDefault="00B401B2" w14:paraId="7A842A6B" w14:textId="0C507E29">
            <w:pPr>
              <w:widowControl/>
              <w:jc w:val="center"/>
              <w:rPr>
                <w:rFonts w:eastAsia="Calibri" w:asciiTheme="minorHAnsi" w:hAnsiTheme="minorHAnsi" w:cstheme="minorHAnsi"/>
                <w:color w:val="000000"/>
                <w:sz w:val="20"/>
                <w:szCs w:val="20"/>
              </w:rPr>
            </w:pPr>
            <w:r w:rsidRPr="00A82688">
              <w:rPr>
                <w:rFonts w:eastAsia="Calibri" w:asciiTheme="minorHAnsi" w:hAnsiTheme="minorHAnsi" w:cstheme="minorHAnsi"/>
                <w:color w:val="000000"/>
                <w:sz w:val="20"/>
                <w:szCs w:val="20"/>
              </w:rPr>
              <w:t>8 hrs</w:t>
            </w:r>
          </w:p>
        </w:tc>
        <w:tc>
          <w:tcPr>
            <w:tcW w:w="1117" w:type="dxa"/>
            <w:tcBorders>
              <w:top w:val="nil"/>
              <w:left w:val="nil"/>
              <w:bottom w:val="single" w:color="000000" w:sz="4" w:space="0"/>
              <w:right w:val="single" w:color="000000" w:sz="4" w:space="0"/>
            </w:tcBorders>
            <w:shd w:val="clear" w:color="auto" w:fill="auto"/>
            <w:vAlign w:val="center"/>
          </w:tcPr>
          <w:p w:rsidRPr="00A82688" w:rsidR="00B54A1D" w:rsidP="00651827" w:rsidRDefault="005A51EB" w14:paraId="3B5C4C0C" w14:textId="7175B179">
            <w:pPr>
              <w:widowControl/>
              <w:jc w:val="center"/>
              <w:rPr>
                <w:rFonts w:eastAsia="Calibri" w:asciiTheme="minorHAnsi" w:hAnsiTheme="minorHAnsi" w:cstheme="minorHAnsi"/>
                <w:color w:val="000000"/>
                <w:sz w:val="20"/>
                <w:szCs w:val="20"/>
              </w:rPr>
            </w:pPr>
            <w:r>
              <w:rPr>
                <w:rFonts w:eastAsia="Calibri" w:asciiTheme="minorHAnsi" w:hAnsiTheme="minorHAnsi" w:cstheme="minorHAnsi"/>
                <w:color w:val="000000"/>
                <w:sz w:val="20"/>
                <w:szCs w:val="20"/>
              </w:rPr>
              <w:t>576</w:t>
            </w:r>
          </w:p>
        </w:tc>
        <w:tc>
          <w:tcPr>
            <w:tcW w:w="1133" w:type="dxa"/>
            <w:tcBorders>
              <w:top w:val="nil"/>
              <w:left w:val="nil"/>
              <w:bottom w:val="single" w:color="000000" w:sz="4" w:space="0"/>
              <w:right w:val="single" w:color="000000" w:sz="4" w:space="0"/>
            </w:tcBorders>
            <w:shd w:val="clear" w:color="auto" w:fill="auto"/>
            <w:vAlign w:val="center"/>
          </w:tcPr>
          <w:p w:rsidRPr="00A82688" w:rsidR="00B54A1D" w:rsidP="00651827" w:rsidRDefault="001367FA" w14:paraId="5EDE47E4" w14:textId="4F4EBFBA">
            <w:pPr>
              <w:widowControl/>
              <w:jc w:val="center"/>
              <w:rPr>
                <w:rFonts w:eastAsia="Calibri" w:asciiTheme="minorHAnsi" w:hAnsiTheme="minorHAnsi" w:cstheme="minorHAnsi"/>
                <w:color w:val="000000"/>
                <w:sz w:val="20"/>
                <w:szCs w:val="20"/>
              </w:rPr>
            </w:pPr>
            <w:r>
              <w:rPr>
                <w:rFonts w:eastAsia="Calibri" w:asciiTheme="minorHAnsi" w:hAnsiTheme="minorHAnsi" w:cstheme="minorHAnsi"/>
                <w:color w:val="000000"/>
                <w:sz w:val="20"/>
                <w:szCs w:val="20"/>
              </w:rPr>
              <w:t>$42.21</w:t>
            </w:r>
          </w:p>
        </w:tc>
        <w:tc>
          <w:tcPr>
            <w:tcW w:w="1468" w:type="dxa"/>
            <w:tcBorders>
              <w:top w:val="nil"/>
              <w:left w:val="nil"/>
              <w:bottom w:val="single" w:color="000000" w:sz="4" w:space="0"/>
              <w:right w:val="single" w:color="000000" w:sz="8" w:space="0"/>
            </w:tcBorders>
            <w:shd w:val="clear" w:color="auto" w:fill="auto"/>
            <w:vAlign w:val="center"/>
          </w:tcPr>
          <w:p w:rsidRPr="00A82688" w:rsidR="00B54A1D" w:rsidP="008F3F82" w:rsidRDefault="005A51EB" w14:paraId="1078E660" w14:textId="77C35981">
            <w:pPr>
              <w:widowControl/>
              <w:jc w:val="center"/>
              <w:rPr>
                <w:rFonts w:eastAsia="Calibri" w:asciiTheme="minorHAnsi" w:hAnsiTheme="minorHAnsi" w:cstheme="minorHAnsi"/>
                <w:color w:val="000000"/>
                <w:sz w:val="20"/>
                <w:szCs w:val="20"/>
              </w:rPr>
            </w:pPr>
            <w:r>
              <w:rPr>
                <w:rFonts w:eastAsia="Calibri" w:asciiTheme="minorHAnsi" w:hAnsiTheme="minorHAnsi" w:cstheme="minorHAnsi"/>
                <w:color w:val="000000"/>
                <w:sz w:val="20"/>
                <w:szCs w:val="20"/>
              </w:rPr>
              <w:t>$24,31</w:t>
            </w:r>
            <w:r w:rsidR="008F3F82">
              <w:rPr>
                <w:rFonts w:eastAsia="Calibri" w:asciiTheme="minorHAnsi" w:hAnsiTheme="minorHAnsi" w:cstheme="minorHAnsi"/>
                <w:color w:val="000000"/>
                <w:sz w:val="20"/>
                <w:szCs w:val="20"/>
              </w:rPr>
              <w:t>3</w:t>
            </w:r>
          </w:p>
        </w:tc>
      </w:tr>
    </w:tbl>
    <w:p w:rsidRPr="00A82688" w:rsidR="00B54A1D" w:rsidP="00A82688" w:rsidRDefault="004D1720" w14:paraId="590979DA" w14:textId="6D374294">
      <w:pPr>
        <w:spacing w:before="120"/>
        <w:rPr>
          <w:rFonts w:asciiTheme="minorHAnsi" w:hAnsiTheme="minorHAnsi" w:cstheme="minorHAnsi"/>
          <w:sz w:val="20"/>
          <w:szCs w:val="20"/>
        </w:rPr>
      </w:pPr>
      <w:r w:rsidRPr="00A82688">
        <w:rPr>
          <w:rFonts w:asciiTheme="minorHAnsi" w:hAnsiTheme="minorHAnsi" w:cstheme="minorHAnsi"/>
          <w:sz w:val="20"/>
          <w:szCs w:val="20"/>
          <w:vertAlign w:val="superscript"/>
        </w:rPr>
        <w:t xml:space="preserve">1 </w:t>
      </w:r>
      <w:r w:rsidRPr="00A82688">
        <w:rPr>
          <w:rFonts w:asciiTheme="minorHAnsi" w:hAnsiTheme="minorHAnsi" w:cstheme="minorHAnsi"/>
          <w:sz w:val="20"/>
          <w:szCs w:val="20"/>
        </w:rPr>
        <w:t xml:space="preserve">The total respondents equal </w:t>
      </w:r>
      <w:r w:rsidR="005A51EB">
        <w:rPr>
          <w:rFonts w:asciiTheme="minorHAnsi" w:hAnsiTheme="minorHAnsi" w:cstheme="minorHAnsi"/>
          <w:sz w:val="20"/>
          <w:szCs w:val="20"/>
        </w:rPr>
        <w:t>59</w:t>
      </w:r>
      <w:r w:rsidRPr="00A82688">
        <w:rPr>
          <w:rFonts w:asciiTheme="minorHAnsi" w:hAnsiTheme="minorHAnsi" w:cstheme="minorHAnsi"/>
          <w:sz w:val="20"/>
          <w:szCs w:val="20"/>
        </w:rPr>
        <w:t xml:space="preserve"> catcher/processors</w:t>
      </w:r>
      <w:r w:rsidR="005A51EB">
        <w:rPr>
          <w:rFonts w:asciiTheme="minorHAnsi" w:hAnsiTheme="minorHAnsi" w:cstheme="minorHAnsi"/>
          <w:sz w:val="20"/>
          <w:szCs w:val="20"/>
        </w:rPr>
        <w:t>,</w:t>
      </w:r>
      <w:r w:rsidRPr="00A82688">
        <w:rPr>
          <w:rFonts w:asciiTheme="minorHAnsi" w:hAnsiTheme="minorHAnsi" w:cstheme="minorHAnsi"/>
          <w:sz w:val="20"/>
          <w:szCs w:val="20"/>
        </w:rPr>
        <w:t xml:space="preserve"> </w:t>
      </w:r>
      <w:r w:rsidR="005A51EB">
        <w:rPr>
          <w:rFonts w:asciiTheme="minorHAnsi" w:hAnsiTheme="minorHAnsi" w:cstheme="minorHAnsi"/>
          <w:sz w:val="20"/>
          <w:szCs w:val="20"/>
        </w:rPr>
        <w:t>3</w:t>
      </w:r>
      <w:r w:rsidRPr="00A82688">
        <w:rPr>
          <w:rFonts w:asciiTheme="minorHAnsi" w:hAnsiTheme="minorHAnsi" w:cstheme="minorHAnsi"/>
          <w:sz w:val="20"/>
          <w:szCs w:val="20"/>
        </w:rPr>
        <w:t xml:space="preserve"> motherships</w:t>
      </w:r>
      <w:r w:rsidR="005A51EB">
        <w:rPr>
          <w:rFonts w:asciiTheme="minorHAnsi" w:hAnsiTheme="minorHAnsi" w:cstheme="minorHAnsi"/>
          <w:sz w:val="20"/>
          <w:szCs w:val="20"/>
        </w:rPr>
        <w:t>, and 10 vessels that operate as both a catcher/processor and a mothership</w:t>
      </w:r>
      <w:r w:rsidRPr="00A82688">
        <w:rPr>
          <w:rFonts w:asciiTheme="minorHAnsi" w:hAnsiTheme="minorHAnsi" w:cstheme="minorHAnsi"/>
          <w:sz w:val="20"/>
          <w:szCs w:val="20"/>
        </w:rPr>
        <w:t xml:space="preserve">. </w:t>
      </w:r>
    </w:p>
    <w:p w:rsidRPr="00A75800" w:rsidR="004D1720" w:rsidP="00B36B52" w:rsidRDefault="001367FA" w14:paraId="1A276067" w14:textId="728F5222">
      <w:pPr>
        <w:rPr>
          <w:rFonts w:asciiTheme="minorHAnsi" w:hAnsiTheme="minorHAnsi" w:cstheme="minorHAnsi"/>
          <w:sz w:val="20"/>
          <w:szCs w:val="20"/>
        </w:rPr>
      </w:pPr>
      <w:r w:rsidRPr="00A75800">
        <w:rPr>
          <w:rFonts w:asciiTheme="minorHAnsi" w:hAnsiTheme="minorHAnsi" w:cstheme="minorHAnsi"/>
          <w:sz w:val="20"/>
          <w:szCs w:val="20"/>
          <w:vertAlign w:val="superscript"/>
        </w:rPr>
        <w:t>2</w:t>
      </w:r>
      <w:r w:rsidRPr="00A75800">
        <w:rPr>
          <w:rFonts w:asciiTheme="minorHAnsi" w:hAnsiTheme="minorHAnsi" w:cstheme="minorHAnsi"/>
          <w:sz w:val="20"/>
          <w:szCs w:val="20"/>
        </w:rPr>
        <w:t xml:space="preserve"> </w:t>
      </w:r>
      <w:r w:rsidR="005A51EB">
        <w:rPr>
          <w:rFonts w:asciiTheme="minorHAnsi" w:hAnsiTheme="minorHAnsi" w:cstheme="minorHAnsi"/>
          <w:sz w:val="20"/>
          <w:szCs w:val="20"/>
        </w:rPr>
        <w:t xml:space="preserve">Many of these catcher/processors and motherships </w:t>
      </w:r>
      <w:proofErr w:type="gramStart"/>
      <w:r w:rsidR="005A51EB">
        <w:rPr>
          <w:rFonts w:asciiTheme="minorHAnsi" w:hAnsiTheme="minorHAnsi" w:cstheme="minorHAnsi"/>
          <w:sz w:val="20"/>
          <w:szCs w:val="20"/>
        </w:rPr>
        <w:t>are based</w:t>
      </w:r>
      <w:proofErr w:type="gramEnd"/>
      <w:r w:rsidR="005A51EB">
        <w:rPr>
          <w:rFonts w:asciiTheme="minorHAnsi" w:hAnsiTheme="minorHAnsi" w:cstheme="minorHAnsi"/>
          <w:sz w:val="20"/>
          <w:szCs w:val="20"/>
        </w:rPr>
        <w:t xml:space="preserve"> in the Seattle area. </w:t>
      </w:r>
      <w:r w:rsidRPr="00A75800">
        <w:rPr>
          <w:rFonts w:asciiTheme="minorHAnsi" w:hAnsiTheme="minorHAnsi" w:cstheme="minorHAnsi"/>
          <w:sz w:val="20"/>
          <w:szCs w:val="20"/>
        </w:rPr>
        <w:t>The hourly wage rate is the mean hourly wage for Occupation Code 13-2011 (Accountant and Auditors) from</w:t>
      </w:r>
      <w:r w:rsidRPr="001367FA">
        <w:rPr>
          <w:rFonts w:asciiTheme="minorHAnsi" w:hAnsiTheme="minorHAnsi" w:cstheme="minorHAnsi"/>
          <w:sz w:val="20"/>
          <w:szCs w:val="20"/>
        </w:rPr>
        <w:t xml:space="preserve"> </w:t>
      </w:r>
      <w:hyperlink w:tgtFrame="_blank" w:history="1" w:anchor="13-0000" r:id="rId29">
        <w:r w:rsidRPr="00A75800">
          <w:rPr>
            <w:rStyle w:val="Hyperlink"/>
            <w:rFonts w:asciiTheme="minorHAnsi" w:hAnsiTheme="minorHAnsi" w:cstheme="minorHAnsi"/>
            <w:color w:val="1155CC"/>
            <w:sz w:val="20"/>
            <w:szCs w:val="20"/>
            <w:shd w:val="clear" w:color="auto" w:fill="FFFFFF"/>
          </w:rPr>
          <w:t>May 2020 Occupational Employment and Wage Estimates for Seattle-Tacoma-Bellevue, Washington</w:t>
        </w:r>
      </w:hyperlink>
      <w:r w:rsidRPr="00A75800">
        <w:rPr>
          <w:rFonts w:asciiTheme="minorHAnsi" w:hAnsiTheme="minorHAnsi" w:cstheme="minorHAnsi"/>
          <w:color w:val="222222"/>
          <w:sz w:val="20"/>
          <w:szCs w:val="20"/>
          <w:shd w:val="clear" w:color="auto" w:fill="FFFFFF"/>
        </w:rPr>
        <w:t>.</w:t>
      </w:r>
      <w:r w:rsidR="005F4D30">
        <w:rPr>
          <w:rFonts w:asciiTheme="minorHAnsi" w:hAnsiTheme="minorHAnsi" w:cstheme="minorHAnsi"/>
          <w:sz w:val="20"/>
          <w:szCs w:val="20"/>
        </w:rPr>
        <w:t xml:space="preserve"> </w:t>
      </w:r>
    </w:p>
    <w:p w:rsidR="00386575" w:rsidP="00B36B52" w:rsidRDefault="00386575" w14:paraId="50E2B8B7" w14:textId="399ADF7C">
      <w:pPr>
        <w:ind w:hanging="43"/>
        <w:jc w:val="center"/>
        <w:rPr>
          <w:b/>
        </w:rPr>
      </w:pPr>
    </w:p>
    <w:p w:rsidR="00727FC8" w:rsidP="00B36B52" w:rsidRDefault="00727FC8" w14:paraId="057C62D4" w14:textId="117EAC5B">
      <w:pPr>
        <w:ind w:hanging="43"/>
        <w:jc w:val="center"/>
        <w:rPr>
          <w:b/>
        </w:rPr>
      </w:pPr>
    </w:p>
    <w:p w:rsidR="00727FC8" w:rsidP="00727FC8" w:rsidRDefault="00727FC8" w14:paraId="43A6E8B7" w14:textId="77777777">
      <w:pPr>
        <w:ind w:hanging="43"/>
        <w:rPr>
          <w:b/>
        </w:rPr>
      </w:pPr>
    </w:p>
    <w:p w:rsidR="00B54A1D" w:rsidP="00651827" w:rsidRDefault="00A56326" w14:paraId="10906F11"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B54A1D" w:rsidP="00B36B52" w:rsidRDefault="00B54A1D" w14:paraId="627DC505" w14:textId="77777777">
      <w:pPr>
        <w:pBdr>
          <w:top w:val="nil"/>
          <w:left w:val="nil"/>
          <w:bottom w:val="nil"/>
          <w:right w:val="nil"/>
          <w:between w:val="nil"/>
        </w:pBdr>
        <w:rPr>
          <w:b/>
          <w:color w:val="000000"/>
        </w:rPr>
      </w:pPr>
    </w:p>
    <w:tbl>
      <w:tblPr>
        <w:tblStyle w:val="a1"/>
        <w:tblW w:w="13760" w:type="dxa"/>
        <w:jc w:val="center"/>
        <w:tblLayout w:type="fixed"/>
        <w:tblLook w:val="0400" w:firstRow="0" w:lastRow="0" w:firstColumn="0" w:lastColumn="0" w:noHBand="0" w:noVBand="1"/>
      </w:tblPr>
      <w:tblGrid>
        <w:gridCol w:w="3739"/>
        <w:gridCol w:w="2315"/>
        <w:gridCol w:w="2113"/>
        <w:gridCol w:w="1911"/>
        <w:gridCol w:w="1996"/>
        <w:gridCol w:w="1686"/>
      </w:tblGrid>
      <w:tr w:rsidRPr="00A25206" w:rsidR="00B54A1D" w:rsidTr="00A25206" w14:paraId="6300E375" w14:textId="77777777">
        <w:trPr>
          <w:trHeight w:val="775"/>
          <w:jc w:val="center"/>
        </w:trPr>
        <w:tc>
          <w:tcPr>
            <w:tcW w:w="3739" w:type="dxa"/>
            <w:tcBorders>
              <w:top w:val="single" w:color="000000" w:sz="8" w:space="0"/>
              <w:left w:val="single" w:color="000000" w:sz="8" w:space="0"/>
              <w:bottom w:val="single" w:color="000000" w:sz="8" w:space="0"/>
              <w:right w:val="single" w:color="000000" w:sz="8" w:space="0"/>
            </w:tcBorders>
            <w:shd w:val="clear" w:color="auto" w:fill="BDD7EE"/>
            <w:vAlign w:val="center"/>
          </w:tcPr>
          <w:p w:rsidRPr="00A25206" w:rsidR="00B54A1D" w:rsidP="00B36B52" w:rsidRDefault="00A56326" w14:paraId="0DFC4256" w14:textId="77777777">
            <w:pPr>
              <w:widowControl/>
              <w:jc w:val="center"/>
              <w:rPr>
                <w:rFonts w:eastAsia="Calibri" w:asciiTheme="minorHAnsi" w:hAnsiTheme="minorHAnsi" w:cstheme="minorHAnsi"/>
                <w:b/>
                <w:color w:val="000000"/>
                <w:sz w:val="18"/>
                <w:szCs w:val="18"/>
              </w:rPr>
            </w:pPr>
            <w:r w:rsidRPr="00A25206">
              <w:rPr>
                <w:rFonts w:eastAsia="Calibri" w:asciiTheme="minorHAnsi" w:hAnsiTheme="minorHAnsi" w:cstheme="minorHAnsi"/>
                <w:b/>
                <w:color w:val="000000"/>
                <w:sz w:val="18"/>
                <w:szCs w:val="18"/>
              </w:rPr>
              <w:t>Information Collection</w:t>
            </w:r>
          </w:p>
        </w:tc>
        <w:tc>
          <w:tcPr>
            <w:tcW w:w="2315" w:type="dxa"/>
            <w:tcBorders>
              <w:top w:val="single" w:color="000000" w:sz="8" w:space="0"/>
              <w:left w:val="nil"/>
              <w:bottom w:val="single" w:color="000000" w:sz="8" w:space="0"/>
              <w:right w:val="single" w:color="000000" w:sz="8" w:space="0"/>
            </w:tcBorders>
            <w:shd w:val="clear" w:color="auto" w:fill="BDD7EE"/>
            <w:vAlign w:val="center"/>
          </w:tcPr>
          <w:p w:rsidRPr="00A25206" w:rsidR="00B54A1D" w:rsidP="00B36B52" w:rsidRDefault="00A56326" w14:paraId="218997D7" w14:textId="77777777">
            <w:pPr>
              <w:widowControl/>
              <w:jc w:val="center"/>
              <w:rPr>
                <w:rFonts w:eastAsia="Calibri" w:asciiTheme="minorHAnsi" w:hAnsiTheme="minorHAnsi" w:cstheme="minorHAnsi"/>
                <w:b/>
                <w:color w:val="000000"/>
                <w:sz w:val="18"/>
                <w:szCs w:val="18"/>
              </w:rPr>
            </w:pPr>
            <w:r w:rsidRPr="00A25206">
              <w:rPr>
                <w:rFonts w:eastAsia="Calibri" w:asciiTheme="minorHAnsi" w:hAnsiTheme="minorHAnsi" w:cstheme="minorHAnsi"/>
                <w:b/>
                <w:color w:val="000000"/>
                <w:sz w:val="18"/>
                <w:szCs w:val="18"/>
              </w:rPr>
              <w:t># of Respondents/year</w:t>
            </w:r>
            <w:r w:rsidRPr="00A25206">
              <w:rPr>
                <w:rFonts w:eastAsia="Calibri" w:asciiTheme="minorHAnsi" w:hAnsiTheme="minorHAnsi" w:cstheme="minorHAnsi"/>
                <w:b/>
                <w:color w:val="000000"/>
                <w:sz w:val="18"/>
                <w:szCs w:val="18"/>
              </w:rPr>
              <w:br/>
              <w:t>(a)</w:t>
            </w:r>
          </w:p>
        </w:tc>
        <w:tc>
          <w:tcPr>
            <w:tcW w:w="2113" w:type="dxa"/>
            <w:tcBorders>
              <w:top w:val="single" w:color="000000" w:sz="8" w:space="0"/>
              <w:left w:val="nil"/>
              <w:bottom w:val="single" w:color="000000" w:sz="8" w:space="0"/>
              <w:right w:val="single" w:color="000000" w:sz="8" w:space="0"/>
            </w:tcBorders>
            <w:shd w:val="clear" w:color="auto" w:fill="BDD7EE"/>
            <w:vAlign w:val="center"/>
          </w:tcPr>
          <w:p w:rsidRPr="00A25206" w:rsidR="00B54A1D" w:rsidP="00B36B52" w:rsidRDefault="00A56326" w14:paraId="3692C83B" w14:textId="77777777">
            <w:pPr>
              <w:widowControl/>
              <w:jc w:val="center"/>
              <w:rPr>
                <w:rFonts w:eastAsia="Calibri" w:asciiTheme="minorHAnsi" w:hAnsiTheme="minorHAnsi" w:cstheme="minorHAnsi"/>
                <w:b/>
                <w:color w:val="000000"/>
                <w:sz w:val="18"/>
                <w:szCs w:val="18"/>
              </w:rPr>
            </w:pPr>
            <w:r w:rsidRPr="00A25206">
              <w:rPr>
                <w:rFonts w:eastAsia="Calibri" w:asciiTheme="minorHAnsi" w:hAnsiTheme="minorHAnsi" w:cstheme="minorHAnsi"/>
                <w:b/>
                <w:color w:val="000000"/>
                <w:sz w:val="18"/>
                <w:szCs w:val="18"/>
              </w:rPr>
              <w:t>Annual # of Responses / Respondent</w:t>
            </w:r>
            <w:r w:rsidRPr="00A25206">
              <w:rPr>
                <w:rFonts w:eastAsia="Calibri" w:asciiTheme="minorHAnsi" w:hAnsiTheme="minorHAnsi" w:cstheme="minorHAnsi"/>
                <w:b/>
                <w:color w:val="000000"/>
                <w:sz w:val="18"/>
                <w:szCs w:val="18"/>
              </w:rPr>
              <w:br/>
              <w:t>(b)</w:t>
            </w:r>
          </w:p>
        </w:tc>
        <w:tc>
          <w:tcPr>
            <w:tcW w:w="1911" w:type="dxa"/>
            <w:tcBorders>
              <w:top w:val="single" w:color="000000" w:sz="8" w:space="0"/>
              <w:left w:val="nil"/>
              <w:bottom w:val="single" w:color="000000" w:sz="8" w:space="0"/>
              <w:right w:val="single" w:color="000000" w:sz="8" w:space="0"/>
            </w:tcBorders>
            <w:shd w:val="clear" w:color="auto" w:fill="BDD7EE"/>
            <w:vAlign w:val="center"/>
          </w:tcPr>
          <w:p w:rsidRPr="00A25206" w:rsidR="00B54A1D" w:rsidP="00B36B52" w:rsidRDefault="00A56326" w14:paraId="381850F5" w14:textId="77777777">
            <w:pPr>
              <w:widowControl/>
              <w:jc w:val="center"/>
              <w:rPr>
                <w:rFonts w:eastAsia="Calibri" w:asciiTheme="minorHAnsi" w:hAnsiTheme="minorHAnsi" w:cstheme="minorHAnsi"/>
                <w:b/>
                <w:color w:val="000000"/>
                <w:sz w:val="18"/>
                <w:szCs w:val="18"/>
              </w:rPr>
            </w:pPr>
            <w:r w:rsidRPr="00A25206">
              <w:rPr>
                <w:rFonts w:eastAsia="Calibri" w:asciiTheme="minorHAnsi" w:hAnsiTheme="minorHAnsi" w:cstheme="minorHAnsi"/>
                <w:b/>
                <w:color w:val="000000"/>
                <w:sz w:val="18"/>
                <w:szCs w:val="18"/>
              </w:rPr>
              <w:t xml:space="preserve"> Total # of Annual Responses</w:t>
            </w:r>
            <w:r w:rsidRPr="00A25206">
              <w:rPr>
                <w:rFonts w:eastAsia="Calibri" w:asciiTheme="minorHAnsi" w:hAnsiTheme="minorHAnsi" w:cstheme="minorHAnsi"/>
                <w:b/>
                <w:color w:val="000000"/>
                <w:sz w:val="18"/>
                <w:szCs w:val="18"/>
              </w:rPr>
              <w:br/>
              <w:t>(c) = (a) x (b)</w:t>
            </w:r>
          </w:p>
        </w:tc>
        <w:tc>
          <w:tcPr>
            <w:tcW w:w="1996" w:type="dxa"/>
            <w:tcBorders>
              <w:top w:val="single" w:color="000000" w:sz="8" w:space="0"/>
              <w:left w:val="nil"/>
              <w:bottom w:val="single" w:color="000000" w:sz="8" w:space="0"/>
              <w:right w:val="single" w:color="000000" w:sz="8" w:space="0"/>
            </w:tcBorders>
            <w:shd w:val="clear" w:color="auto" w:fill="BDD7EE"/>
            <w:vAlign w:val="center"/>
          </w:tcPr>
          <w:p w:rsidRPr="00A25206" w:rsidR="00B54A1D" w:rsidP="00B36B52" w:rsidRDefault="00A56326" w14:paraId="17E69276" w14:textId="77777777">
            <w:pPr>
              <w:widowControl/>
              <w:jc w:val="center"/>
              <w:rPr>
                <w:rFonts w:eastAsia="Calibri" w:asciiTheme="minorHAnsi" w:hAnsiTheme="minorHAnsi" w:cstheme="minorHAnsi"/>
                <w:b/>
                <w:color w:val="000000"/>
                <w:sz w:val="18"/>
                <w:szCs w:val="18"/>
              </w:rPr>
            </w:pPr>
            <w:r w:rsidRPr="00A25206">
              <w:rPr>
                <w:rFonts w:eastAsia="Calibri" w:asciiTheme="minorHAnsi" w:hAnsiTheme="minorHAnsi" w:cstheme="minorHAnsi"/>
                <w:b/>
                <w:color w:val="000000"/>
                <w:sz w:val="18"/>
                <w:szCs w:val="18"/>
              </w:rPr>
              <w:t>Cost Burden / Respondent</w:t>
            </w:r>
            <w:r w:rsidRPr="00A25206">
              <w:rPr>
                <w:rFonts w:eastAsia="Calibri" w:asciiTheme="minorHAnsi" w:hAnsiTheme="minorHAnsi" w:cstheme="minorHAnsi"/>
                <w:b/>
                <w:color w:val="000000"/>
                <w:sz w:val="18"/>
                <w:szCs w:val="18"/>
              </w:rPr>
              <w:br/>
              <w:t>(h)</w:t>
            </w:r>
          </w:p>
        </w:tc>
        <w:tc>
          <w:tcPr>
            <w:tcW w:w="1686" w:type="dxa"/>
            <w:tcBorders>
              <w:top w:val="single" w:color="000000" w:sz="8" w:space="0"/>
              <w:left w:val="nil"/>
              <w:bottom w:val="single" w:color="000000" w:sz="8" w:space="0"/>
              <w:right w:val="single" w:color="000000" w:sz="8" w:space="0"/>
            </w:tcBorders>
            <w:shd w:val="clear" w:color="auto" w:fill="BDD7EE"/>
            <w:vAlign w:val="center"/>
          </w:tcPr>
          <w:p w:rsidRPr="00A25206" w:rsidR="00B54A1D" w:rsidP="00B36B52" w:rsidRDefault="00A56326" w14:paraId="038D68FA" w14:textId="77777777">
            <w:pPr>
              <w:widowControl/>
              <w:jc w:val="center"/>
              <w:rPr>
                <w:rFonts w:eastAsia="Calibri" w:asciiTheme="minorHAnsi" w:hAnsiTheme="minorHAnsi" w:cstheme="minorHAnsi"/>
                <w:b/>
                <w:color w:val="000000"/>
                <w:sz w:val="18"/>
                <w:szCs w:val="18"/>
              </w:rPr>
            </w:pPr>
            <w:r w:rsidRPr="00A25206">
              <w:rPr>
                <w:rFonts w:eastAsia="Calibri" w:asciiTheme="minorHAnsi" w:hAnsiTheme="minorHAnsi" w:cstheme="minorHAnsi"/>
                <w:b/>
                <w:color w:val="000000"/>
                <w:sz w:val="18"/>
                <w:szCs w:val="18"/>
              </w:rPr>
              <w:t>Total Annual Cost Burden</w:t>
            </w:r>
            <w:r w:rsidRPr="00A25206">
              <w:rPr>
                <w:rFonts w:eastAsia="Calibri" w:asciiTheme="minorHAnsi" w:hAnsiTheme="minorHAnsi" w:cstheme="minorHAnsi"/>
                <w:b/>
                <w:color w:val="000000"/>
                <w:sz w:val="18"/>
                <w:szCs w:val="18"/>
              </w:rPr>
              <w:br/>
              <w:t>(i) = (c) x (h)</w:t>
            </w:r>
          </w:p>
        </w:tc>
      </w:tr>
      <w:tr w:rsidRPr="00A25206" w:rsidR="00BA1318" w:rsidTr="00A25206" w14:paraId="07A9C2DF" w14:textId="77777777">
        <w:trPr>
          <w:trHeight w:val="620"/>
          <w:jc w:val="center"/>
        </w:trPr>
        <w:tc>
          <w:tcPr>
            <w:tcW w:w="3739" w:type="dxa"/>
            <w:tcBorders>
              <w:top w:val="nil"/>
              <w:left w:val="single" w:color="000000" w:sz="8" w:space="0"/>
              <w:bottom w:val="single" w:color="000000" w:sz="4" w:space="0"/>
              <w:right w:val="single" w:color="000000" w:sz="4" w:space="0"/>
            </w:tcBorders>
            <w:shd w:val="clear" w:color="auto" w:fill="auto"/>
            <w:vAlign w:val="center"/>
          </w:tcPr>
          <w:p w:rsidRPr="00A25206" w:rsidR="00BA1318" w:rsidP="00BA1318" w:rsidRDefault="00BA1318" w14:paraId="3422F8E4" w14:textId="3ABAD15A">
            <w:pPr>
              <w:widowControl/>
              <w:jc w:val="center"/>
              <w:rPr>
                <w:rFonts w:eastAsia="Calibri" w:asciiTheme="minorHAnsi" w:hAnsiTheme="minorHAnsi" w:cstheme="minorHAnsi"/>
                <w:color w:val="000000"/>
                <w:sz w:val="20"/>
                <w:szCs w:val="20"/>
              </w:rPr>
            </w:pPr>
            <w:r w:rsidRPr="00A25206">
              <w:rPr>
                <w:rFonts w:eastAsia="Calibri" w:asciiTheme="minorHAnsi" w:hAnsiTheme="minorHAnsi" w:cstheme="minorHAnsi"/>
                <w:color w:val="000000"/>
                <w:sz w:val="20"/>
                <w:szCs w:val="20"/>
              </w:rPr>
              <w:t>Commercial Operator’s Annual Report</w:t>
            </w:r>
          </w:p>
        </w:tc>
        <w:tc>
          <w:tcPr>
            <w:tcW w:w="2315" w:type="dxa"/>
            <w:tcBorders>
              <w:top w:val="nil"/>
              <w:left w:val="nil"/>
              <w:bottom w:val="single" w:color="000000" w:sz="4" w:space="0"/>
              <w:right w:val="single" w:color="000000" w:sz="4" w:space="0"/>
            </w:tcBorders>
            <w:shd w:val="clear" w:color="auto" w:fill="auto"/>
            <w:vAlign w:val="center"/>
          </w:tcPr>
          <w:p w:rsidRPr="00A25206" w:rsidR="00BA1318" w:rsidP="00BA1318" w:rsidRDefault="005A51EB" w14:paraId="3CB30032" w14:textId="1434DF7D">
            <w:pPr>
              <w:widowControl/>
              <w:jc w:val="center"/>
              <w:rPr>
                <w:rFonts w:eastAsia="Calibri" w:asciiTheme="minorHAnsi" w:hAnsiTheme="minorHAnsi" w:cstheme="minorHAnsi"/>
                <w:color w:val="000000"/>
                <w:sz w:val="20"/>
                <w:szCs w:val="20"/>
              </w:rPr>
            </w:pPr>
            <w:r>
              <w:rPr>
                <w:rFonts w:eastAsia="Calibri" w:asciiTheme="minorHAnsi" w:hAnsiTheme="minorHAnsi" w:cstheme="minorHAnsi"/>
                <w:color w:val="000000"/>
                <w:sz w:val="20"/>
                <w:szCs w:val="20"/>
              </w:rPr>
              <w:t>72</w:t>
            </w:r>
          </w:p>
        </w:tc>
        <w:tc>
          <w:tcPr>
            <w:tcW w:w="2113" w:type="dxa"/>
            <w:tcBorders>
              <w:top w:val="nil"/>
              <w:left w:val="nil"/>
              <w:bottom w:val="single" w:color="000000" w:sz="4" w:space="0"/>
              <w:right w:val="single" w:color="000000" w:sz="4" w:space="0"/>
            </w:tcBorders>
            <w:shd w:val="clear" w:color="auto" w:fill="FFFFFF"/>
            <w:vAlign w:val="center"/>
          </w:tcPr>
          <w:p w:rsidRPr="00A25206" w:rsidR="00BA1318" w:rsidP="00BA1318" w:rsidRDefault="00A25206" w14:paraId="3A1B4EF0" w14:textId="166FBEB5">
            <w:pPr>
              <w:widowControl/>
              <w:jc w:val="center"/>
              <w:rPr>
                <w:rFonts w:eastAsia="Calibri" w:asciiTheme="minorHAnsi" w:hAnsiTheme="minorHAnsi" w:cstheme="minorHAnsi"/>
                <w:color w:val="000000"/>
                <w:sz w:val="20"/>
                <w:szCs w:val="20"/>
              </w:rPr>
            </w:pPr>
            <w:r w:rsidRPr="00A25206">
              <w:rPr>
                <w:rFonts w:eastAsia="Calibri" w:asciiTheme="minorHAnsi" w:hAnsiTheme="minorHAnsi" w:cstheme="minorHAnsi"/>
                <w:color w:val="000000"/>
                <w:sz w:val="20"/>
                <w:szCs w:val="20"/>
              </w:rPr>
              <w:t>1</w:t>
            </w:r>
          </w:p>
        </w:tc>
        <w:tc>
          <w:tcPr>
            <w:tcW w:w="1911" w:type="dxa"/>
            <w:tcBorders>
              <w:top w:val="nil"/>
              <w:left w:val="nil"/>
              <w:bottom w:val="single" w:color="000000" w:sz="4" w:space="0"/>
              <w:right w:val="single" w:color="000000" w:sz="4" w:space="0"/>
            </w:tcBorders>
            <w:shd w:val="clear" w:color="auto" w:fill="FFFFFF"/>
            <w:vAlign w:val="center"/>
          </w:tcPr>
          <w:p w:rsidRPr="00A25206" w:rsidR="00BA1318" w:rsidP="00BA1318" w:rsidRDefault="005A51EB" w14:paraId="44B01FAF" w14:textId="715A3571">
            <w:pPr>
              <w:widowControl/>
              <w:jc w:val="center"/>
              <w:rPr>
                <w:rFonts w:eastAsia="Calibri" w:asciiTheme="minorHAnsi" w:hAnsiTheme="minorHAnsi" w:cstheme="minorHAnsi"/>
                <w:color w:val="000000"/>
                <w:sz w:val="20"/>
                <w:szCs w:val="20"/>
              </w:rPr>
            </w:pPr>
            <w:r>
              <w:rPr>
                <w:rFonts w:eastAsia="Calibri" w:asciiTheme="minorHAnsi" w:hAnsiTheme="minorHAnsi" w:cstheme="minorHAnsi"/>
                <w:color w:val="000000"/>
                <w:sz w:val="20"/>
                <w:szCs w:val="20"/>
              </w:rPr>
              <w:t>72</w:t>
            </w:r>
          </w:p>
        </w:tc>
        <w:tc>
          <w:tcPr>
            <w:tcW w:w="1996" w:type="dxa"/>
            <w:tcBorders>
              <w:top w:val="nil"/>
              <w:left w:val="nil"/>
              <w:bottom w:val="single" w:color="000000" w:sz="4" w:space="0"/>
              <w:right w:val="single" w:color="000000" w:sz="4" w:space="0"/>
            </w:tcBorders>
            <w:shd w:val="clear" w:color="auto" w:fill="FFFFFF"/>
            <w:vAlign w:val="center"/>
          </w:tcPr>
          <w:p w:rsidRPr="00A25206" w:rsidR="00BA1318" w:rsidP="00A25206" w:rsidRDefault="00BA1318" w14:paraId="33BC55E4" w14:textId="1FDF8A6E">
            <w:pPr>
              <w:widowControl/>
              <w:jc w:val="center"/>
              <w:rPr>
                <w:rFonts w:eastAsia="Calibri" w:asciiTheme="minorHAnsi" w:hAnsiTheme="minorHAnsi" w:cstheme="minorHAnsi"/>
                <w:color w:val="000000"/>
                <w:sz w:val="20"/>
                <w:szCs w:val="20"/>
              </w:rPr>
            </w:pPr>
            <w:r w:rsidRPr="00A25206">
              <w:rPr>
                <w:rFonts w:eastAsia="Calibri" w:asciiTheme="minorHAnsi" w:hAnsiTheme="minorHAnsi" w:cstheme="minorHAnsi"/>
                <w:color w:val="000000"/>
                <w:sz w:val="20"/>
                <w:szCs w:val="20"/>
              </w:rPr>
              <w:t>Operating costs</w:t>
            </w:r>
            <w:r w:rsidRPr="00A25206" w:rsidR="00A25206">
              <w:rPr>
                <w:rFonts w:eastAsia="Calibri" w:asciiTheme="minorHAnsi" w:hAnsiTheme="minorHAnsi" w:cstheme="minorHAnsi"/>
                <w:color w:val="000000"/>
                <w:sz w:val="20"/>
                <w:szCs w:val="20"/>
              </w:rPr>
              <w:t xml:space="preserve"> -</w:t>
            </w:r>
            <w:r w:rsidRPr="00A25206">
              <w:rPr>
                <w:rFonts w:eastAsia="Calibri" w:asciiTheme="minorHAnsi" w:hAnsiTheme="minorHAnsi" w:cstheme="minorHAnsi"/>
                <w:color w:val="000000"/>
                <w:sz w:val="20"/>
                <w:szCs w:val="20"/>
              </w:rPr>
              <w:t xml:space="preserve"> $5 </w:t>
            </w:r>
          </w:p>
        </w:tc>
        <w:tc>
          <w:tcPr>
            <w:tcW w:w="1686" w:type="dxa"/>
            <w:tcBorders>
              <w:top w:val="nil"/>
              <w:left w:val="nil"/>
              <w:bottom w:val="single" w:color="000000" w:sz="4" w:space="0"/>
              <w:right w:val="single" w:color="000000" w:sz="8" w:space="0"/>
            </w:tcBorders>
            <w:shd w:val="clear" w:color="auto" w:fill="FFFFFF"/>
            <w:vAlign w:val="center"/>
          </w:tcPr>
          <w:p w:rsidRPr="00A25206" w:rsidR="00BA1318" w:rsidP="00BA1318" w:rsidRDefault="005A51EB" w14:paraId="5B37D315" w14:textId="35D20487">
            <w:pPr>
              <w:widowControl/>
              <w:jc w:val="center"/>
              <w:rPr>
                <w:rFonts w:eastAsia="Calibri" w:asciiTheme="minorHAnsi" w:hAnsiTheme="minorHAnsi" w:cstheme="minorHAnsi"/>
                <w:color w:val="000000"/>
                <w:sz w:val="20"/>
                <w:szCs w:val="20"/>
              </w:rPr>
            </w:pPr>
            <w:r>
              <w:rPr>
                <w:rFonts w:eastAsia="Calibri" w:asciiTheme="minorHAnsi" w:hAnsiTheme="minorHAnsi" w:cstheme="minorHAnsi"/>
                <w:color w:val="000000"/>
                <w:sz w:val="20"/>
                <w:szCs w:val="20"/>
              </w:rPr>
              <w:t>$360</w:t>
            </w:r>
          </w:p>
        </w:tc>
      </w:tr>
    </w:tbl>
    <w:p w:rsidRPr="00A25206" w:rsidR="00A25206" w:rsidP="00A25206" w:rsidRDefault="00A25206" w14:paraId="6481844B" w14:textId="6319F947">
      <w:pPr>
        <w:pBdr>
          <w:top w:val="nil"/>
          <w:left w:val="nil"/>
          <w:bottom w:val="nil"/>
          <w:right w:val="nil"/>
          <w:between w:val="nil"/>
        </w:pBdr>
        <w:spacing w:before="120"/>
        <w:rPr>
          <w:rFonts w:asciiTheme="minorHAnsi" w:hAnsiTheme="minorHAnsi" w:cstheme="minorHAnsi"/>
          <w:color w:val="000000"/>
          <w:sz w:val="20"/>
          <w:szCs w:val="20"/>
        </w:rPr>
      </w:pPr>
      <w:proofErr w:type="gramStart"/>
      <w:r w:rsidRPr="00A25206">
        <w:rPr>
          <w:rFonts w:asciiTheme="minorHAnsi" w:hAnsiTheme="minorHAnsi" w:cstheme="minorHAnsi"/>
          <w:color w:val="000000"/>
          <w:sz w:val="20"/>
          <w:szCs w:val="20"/>
          <w:vertAlign w:val="superscript"/>
        </w:rPr>
        <w:t>1</w:t>
      </w:r>
      <w:proofErr w:type="gramEnd"/>
      <w:r w:rsidRPr="00A25206">
        <w:rPr>
          <w:rFonts w:asciiTheme="minorHAnsi" w:hAnsiTheme="minorHAnsi" w:cstheme="minorHAnsi"/>
          <w:color w:val="000000"/>
          <w:sz w:val="20"/>
          <w:szCs w:val="20"/>
          <w:vertAlign w:val="superscript"/>
        </w:rPr>
        <w:t xml:space="preserve"> </w:t>
      </w:r>
      <w:r w:rsidRPr="00A25206">
        <w:rPr>
          <w:rFonts w:asciiTheme="minorHAnsi" w:hAnsiTheme="minorHAnsi" w:cstheme="minorHAnsi"/>
          <w:color w:val="000000"/>
          <w:sz w:val="20"/>
          <w:szCs w:val="20"/>
        </w:rPr>
        <w:t>Operating costs account for the typical inclusive general office services packages that include expenses for email, fax, copying, mailing, printing, and internet.</w:t>
      </w:r>
    </w:p>
    <w:p w:rsidR="00A25206" w:rsidP="00B36B52" w:rsidRDefault="00A25206" w14:paraId="4AA471E0" w14:textId="77777777">
      <w:pPr>
        <w:pBdr>
          <w:top w:val="nil"/>
          <w:left w:val="nil"/>
          <w:bottom w:val="nil"/>
          <w:right w:val="nil"/>
          <w:between w:val="nil"/>
        </w:pBdr>
        <w:rPr>
          <w:b/>
          <w:color w:val="000000"/>
        </w:rPr>
      </w:pPr>
    </w:p>
    <w:p w:rsidR="009A4CDB" w:rsidP="00B36B52" w:rsidRDefault="009A4CDB" w14:paraId="65984445" w14:textId="1AAEABD9">
      <w:pPr>
        <w:pBdr>
          <w:top w:val="nil"/>
          <w:left w:val="nil"/>
          <w:bottom w:val="nil"/>
          <w:right w:val="nil"/>
          <w:between w:val="nil"/>
        </w:pBdr>
        <w:rPr>
          <w:b/>
          <w:color w:val="000000"/>
        </w:rPr>
      </w:pPr>
    </w:p>
    <w:p w:rsidR="009A4CDB" w:rsidP="00B36B52" w:rsidRDefault="009A4CDB" w14:paraId="3A0350F1" w14:textId="35A7524E">
      <w:pPr>
        <w:pBdr>
          <w:top w:val="nil"/>
          <w:left w:val="nil"/>
          <w:bottom w:val="nil"/>
          <w:right w:val="nil"/>
          <w:between w:val="nil"/>
        </w:pBdr>
        <w:rPr>
          <w:b/>
          <w:color w:val="000000"/>
        </w:rPr>
      </w:pPr>
    </w:p>
    <w:p w:rsidR="009A4CDB" w:rsidP="00B36B52" w:rsidRDefault="009A4CDB" w14:paraId="6F0D51ED" w14:textId="77777777">
      <w:pPr>
        <w:pBdr>
          <w:top w:val="nil"/>
          <w:left w:val="nil"/>
          <w:bottom w:val="nil"/>
          <w:right w:val="nil"/>
          <w:between w:val="nil"/>
        </w:pBdr>
        <w:rPr>
          <w:b/>
          <w:color w:val="000000"/>
        </w:rPr>
        <w:sectPr w:rsidR="009A4CDB" w:rsidSect="00631FA6">
          <w:pgSz w:w="15840" w:h="12240" w:orient="landscape"/>
          <w:pgMar w:top="1080" w:right="1080" w:bottom="1080" w:left="1080" w:header="0" w:footer="1008" w:gutter="0"/>
          <w:cols w:space="720"/>
          <w:docGrid w:linePitch="326"/>
        </w:sectPr>
      </w:pPr>
    </w:p>
    <w:p w:rsidR="00B54A1D" w:rsidP="00651827" w:rsidRDefault="00B54A1D" w14:paraId="4F7AA6C9" w14:textId="4613184E">
      <w:pPr>
        <w:widowControl/>
        <w:pBdr>
          <w:top w:val="nil"/>
          <w:left w:val="nil"/>
          <w:bottom w:val="nil"/>
          <w:right w:val="nil"/>
          <w:between w:val="nil"/>
        </w:pBdr>
        <w:rPr>
          <w:b/>
          <w:color w:val="000000"/>
        </w:rPr>
      </w:pPr>
    </w:p>
    <w:p w:rsidR="00B54A1D" w:rsidP="00651827" w:rsidRDefault="00A56326" w14:paraId="2F5D4C54"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203F4" w:rsidP="00651827" w:rsidRDefault="007203F4" w14:paraId="60EABA96" w14:textId="77777777">
      <w:pPr>
        <w:widowControl/>
        <w:tabs>
          <w:tab w:val="left" w:pos="360"/>
          <w:tab w:val="left" w:pos="720"/>
          <w:tab w:val="left" w:pos="1080"/>
        </w:tabs>
        <w:autoSpaceDE w:val="0"/>
        <w:autoSpaceDN w:val="0"/>
        <w:adjustRightInd w:val="0"/>
        <w:rPr>
          <w:highlight w:val="lightGray"/>
        </w:rPr>
      </w:pPr>
    </w:p>
    <w:p w:rsidRPr="007203F4" w:rsidR="007203F4" w:rsidP="00651827" w:rsidRDefault="007203F4" w14:paraId="2BAC380E" w14:textId="5EB11F4A">
      <w:pPr>
        <w:widowControl/>
        <w:tabs>
          <w:tab w:val="left" w:pos="360"/>
          <w:tab w:val="left" w:pos="720"/>
          <w:tab w:val="left" w:pos="1080"/>
        </w:tabs>
        <w:autoSpaceDE w:val="0"/>
        <w:autoSpaceDN w:val="0"/>
        <w:adjustRightInd w:val="0"/>
      </w:pPr>
      <w:r w:rsidRPr="00E374F9">
        <w:t>There are no appreciable costs to NMFS.</w:t>
      </w:r>
      <w:r w:rsidR="005F4D30">
        <w:t xml:space="preserve"> </w:t>
      </w:r>
      <w:r w:rsidRPr="00E374F9" w:rsidR="005F02B5">
        <w:t>R</w:t>
      </w:r>
      <w:r w:rsidRPr="00E374F9">
        <w:t xml:space="preserve">espondents </w:t>
      </w:r>
      <w:r w:rsidRPr="00E374F9" w:rsidR="005F02B5">
        <w:t xml:space="preserve">submit the COAR </w:t>
      </w:r>
      <w:r w:rsidRPr="00E374F9">
        <w:t xml:space="preserve">to ADF&amp;G, and data from the COAR </w:t>
      </w:r>
      <w:proofErr w:type="gramStart"/>
      <w:r w:rsidRPr="00E374F9">
        <w:t>are maintained and analyzed by ADF&amp;G.</w:t>
      </w:r>
      <w:proofErr w:type="gramEnd"/>
    </w:p>
    <w:p w:rsidR="00B54A1D" w:rsidP="00651827" w:rsidRDefault="00B54A1D" w14:paraId="0279D782" w14:textId="53267172">
      <w:pPr>
        <w:pBdr>
          <w:top w:val="nil"/>
          <w:left w:val="nil"/>
          <w:bottom w:val="nil"/>
          <w:right w:val="nil"/>
          <w:between w:val="nil"/>
        </w:pBdr>
        <w:rPr>
          <w:b/>
          <w:color w:val="000000"/>
        </w:rPr>
      </w:pPr>
    </w:p>
    <w:p w:rsidR="00A34CF7" w:rsidP="00651827" w:rsidRDefault="00A34CF7" w14:paraId="04DB040D" w14:textId="77777777">
      <w:pPr>
        <w:pBdr>
          <w:top w:val="nil"/>
          <w:left w:val="nil"/>
          <w:bottom w:val="nil"/>
          <w:right w:val="nil"/>
          <w:between w:val="nil"/>
        </w:pBdr>
        <w:rPr>
          <w:b/>
          <w:color w:val="000000"/>
        </w:rPr>
      </w:pPr>
    </w:p>
    <w:p w:rsidR="00B54A1D" w:rsidP="00651827" w:rsidRDefault="00A56326" w14:paraId="174D4AC1"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B54A1D" w:rsidP="00651827" w:rsidRDefault="00B54A1D" w14:paraId="26CA4345" w14:textId="77777777">
      <w:pPr>
        <w:pBdr>
          <w:top w:val="nil"/>
          <w:left w:val="nil"/>
          <w:bottom w:val="nil"/>
          <w:right w:val="nil"/>
          <w:between w:val="nil"/>
        </w:pBdr>
        <w:rPr>
          <w:b/>
          <w:color w:val="000000"/>
        </w:rPr>
      </w:pPr>
    </w:p>
    <w:tbl>
      <w:tblPr>
        <w:tblStyle w:val="a3"/>
        <w:tblW w:w="10599" w:type="dxa"/>
        <w:jc w:val="center"/>
        <w:tblLayout w:type="fixed"/>
        <w:tblLook w:val="0400" w:firstRow="0" w:lastRow="0" w:firstColumn="0" w:lastColumn="0" w:noHBand="0" w:noVBand="1"/>
      </w:tblPr>
      <w:tblGrid>
        <w:gridCol w:w="2440"/>
        <w:gridCol w:w="791"/>
        <w:gridCol w:w="792"/>
        <w:gridCol w:w="791"/>
        <w:gridCol w:w="792"/>
        <w:gridCol w:w="791"/>
        <w:gridCol w:w="792"/>
        <w:gridCol w:w="3410"/>
      </w:tblGrid>
      <w:tr w:rsidRPr="00A34CF7" w:rsidR="00B54A1D" w:rsidTr="00A34CF7" w14:paraId="612BBE6B" w14:textId="77777777">
        <w:trPr>
          <w:trHeight w:val="356"/>
          <w:jc w:val="center"/>
        </w:trPr>
        <w:tc>
          <w:tcPr>
            <w:tcW w:w="244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Pr="00A34CF7" w:rsidR="00B54A1D" w:rsidP="00651827" w:rsidRDefault="00A56326" w14:paraId="3883765F" w14:textId="77777777">
            <w:pPr>
              <w:widowControl/>
              <w:jc w:val="center"/>
              <w:rPr>
                <w:rFonts w:eastAsia="Calibri" w:asciiTheme="minorHAnsi" w:hAnsiTheme="minorHAnsi" w:cstheme="minorHAnsi"/>
                <w:b/>
                <w:color w:val="000000"/>
                <w:sz w:val="18"/>
                <w:szCs w:val="18"/>
              </w:rPr>
            </w:pPr>
            <w:r w:rsidRPr="00A34CF7">
              <w:rPr>
                <w:rFonts w:eastAsia="Calibri" w:asciiTheme="minorHAnsi" w:hAnsiTheme="minorHAnsi" w:cstheme="minorHAnsi"/>
                <w:b/>
                <w:color w:val="000000"/>
                <w:sz w:val="18"/>
                <w:szCs w:val="18"/>
              </w:rPr>
              <w:t>Information Collection</w:t>
            </w:r>
          </w:p>
        </w:tc>
        <w:tc>
          <w:tcPr>
            <w:tcW w:w="1583" w:type="dxa"/>
            <w:gridSpan w:val="2"/>
            <w:tcBorders>
              <w:top w:val="single" w:color="000000" w:sz="8" w:space="0"/>
              <w:left w:val="nil"/>
              <w:bottom w:val="single" w:color="000000" w:sz="8" w:space="0"/>
              <w:right w:val="single" w:color="000000" w:sz="8" w:space="0"/>
            </w:tcBorders>
            <w:shd w:val="clear" w:color="auto" w:fill="5B9BD5"/>
            <w:vAlign w:val="center"/>
          </w:tcPr>
          <w:p w:rsidRPr="00A34CF7" w:rsidR="00B54A1D" w:rsidP="00651827" w:rsidRDefault="00A56326" w14:paraId="2660FF38" w14:textId="77777777">
            <w:pPr>
              <w:widowControl/>
              <w:jc w:val="center"/>
              <w:rPr>
                <w:rFonts w:eastAsia="Calibri" w:asciiTheme="minorHAnsi" w:hAnsiTheme="minorHAnsi" w:cstheme="minorHAnsi"/>
                <w:b/>
                <w:color w:val="000000"/>
                <w:sz w:val="18"/>
                <w:szCs w:val="18"/>
              </w:rPr>
            </w:pPr>
            <w:r w:rsidRPr="00A34CF7">
              <w:rPr>
                <w:rFonts w:eastAsia="Calibri" w:asciiTheme="minorHAnsi" w:hAnsiTheme="minorHAnsi" w:cstheme="minorHAnsi"/>
                <w:b/>
                <w:color w:val="000000"/>
                <w:sz w:val="18"/>
                <w:szCs w:val="18"/>
              </w:rPr>
              <w:t>Respondents</w:t>
            </w:r>
          </w:p>
        </w:tc>
        <w:tc>
          <w:tcPr>
            <w:tcW w:w="1583" w:type="dxa"/>
            <w:gridSpan w:val="2"/>
            <w:tcBorders>
              <w:top w:val="single" w:color="000000" w:sz="8" w:space="0"/>
              <w:left w:val="nil"/>
              <w:bottom w:val="single" w:color="000000" w:sz="8" w:space="0"/>
              <w:right w:val="single" w:color="000000" w:sz="8" w:space="0"/>
            </w:tcBorders>
            <w:shd w:val="clear" w:color="auto" w:fill="5B9BD5"/>
            <w:vAlign w:val="center"/>
          </w:tcPr>
          <w:p w:rsidRPr="00A34CF7" w:rsidR="00B54A1D" w:rsidP="00651827" w:rsidRDefault="00A56326" w14:paraId="722BBF9D" w14:textId="77777777">
            <w:pPr>
              <w:widowControl/>
              <w:jc w:val="center"/>
              <w:rPr>
                <w:rFonts w:eastAsia="Calibri" w:asciiTheme="minorHAnsi" w:hAnsiTheme="minorHAnsi" w:cstheme="minorHAnsi"/>
                <w:b/>
                <w:color w:val="000000"/>
                <w:sz w:val="18"/>
                <w:szCs w:val="18"/>
              </w:rPr>
            </w:pPr>
            <w:r w:rsidRPr="00A34CF7">
              <w:rPr>
                <w:rFonts w:eastAsia="Calibri" w:asciiTheme="minorHAnsi" w:hAnsiTheme="minorHAnsi" w:cstheme="minorHAnsi"/>
                <w:b/>
                <w:color w:val="000000"/>
                <w:sz w:val="18"/>
                <w:szCs w:val="18"/>
              </w:rPr>
              <w:t>Responses</w:t>
            </w:r>
          </w:p>
        </w:tc>
        <w:tc>
          <w:tcPr>
            <w:tcW w:w="1583" w:type="dxa"/>
            <w:gridSpan w:val="2"/>
            <w:tcBorders>
              <w:top w:val="single" w:color="000000" w:sz="8" w:space="0"/>
              <w:left w:val="nil"/>
              <w:bottom w:val="single" w:color="000000" w:sz="8" w:space="0"/>
              <w:right w:val="single" w:color="000000" w:sz="8" w:space="0"/>
            </w:tcBorders>
            <w:shd w:val="clear" w:color="auto" w:fill="5B9BD5"/>
            <w:vAlign w:val="center"/>
          </w:tcPr>
          <w:p w:rsidRPr="00A34CF7" w:rsidR="00B54A1D" w:rsidP="00651827" w:rsidRDefault="00A56326" w14:paraId="1362D3B0" w14:textId="77777777">
            <w:pPr>
              <w:widowControl/>
              <w:jc w:val="center"/>
              <w:rPr>
                <w:rFonts w:eastAsia="Calibri" w:asciiTheme="minorHAnsi" w:hAnsiTheme="minorHAnsi" w:cstheme="minorHAnsi"/>
                <w:b/>
                <w:color w:val="000000"/>
                <w:sz w:val="18"/>
                <w:szCs w:val="18"/>
              </w:rPr>
            </w:pPr>
            <w:r w:rsidRPr="00A34CF7">
              <w:rPr>
                <w:rFonts w:eastAsia="Calibri" w:asciiTheme="minorHAnsi" w:hAnsiTheme="minorHAnsi" w:cstheme="minorHAnsi"/>
                <w:b/>
                <w:color w:val="000000"/>
                <w:sz w:val="18"/>
                <w:szCs w:val="18"/>
              </w:rPr>
              <w:t>Burden Hours</w:t>
            </w:r>
          </w:p>
        </w:tc>
        <w:tc>
          <w:tcPr>
            <w:tcW w:w="341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Pr="00A34CF7" w:rsidR="00B54A1D" w:rsidP="00651827" w:rsidRDefault="00A56326" w14:paraId="515FBEE9" w14:textId="77777777">
            <w:pPr>
              <w:widowControl/>
              <w:jc w:val="center"/>
              <w:rPr>
                <w:rFonts w:eastAsia="Calibri" w:asciiTheme="minorHAnsi" w:hAnsiTheme="minorHAnsi" w:cstheme="minorHAnsi"/>
                <w:b/>
                <w:color w:val="000000"/>
                <w:sz w:val="18"/>
                <w:szCs w:val="18"/>
              </w:rPr>
            </w:pPr>
            <w:r w:rsidRPr="00A34CF7">
              <w:rPr>
                <w:rFonts w:eastAsia="Calibri" w:asciiTheme="minorHAnsi" w:hAnsiTheme="minorHAnsi" w:cstheme="minorHAnsi"/>
                <w:b/>
                <w:color w:val="000000"/>
                <w:sz w:val="18"/>
                <w:szCs w:val="18"/>
              </w:rPr>
              <w:t>Reason for change or adjustment</w:t>
            </w:r>
          </w:p>
        </w:tc>
      </w:tr>
      <w:tr w:rsidRPr="00A34CF7" w:rsidR="00A34CF7" w:rsidTr="00A34CF7" w14:paraId="3FD23AAF" w14:textId="77777777">
        <w:trPr>
          <w:trHeight w:val="781"/>
          <w:jc w:val="center"/>
        </w:trPr>
        <w:tc>
          <w:tcPr>
            <w:tcW w:w="244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Pr="00A34CF7" w:rsidR="00B54A1D" w:rsidP="00651827" w:rsidRDefault="00B54A1D" w14:paraId="6634FD8A" w14:textId="77777777">
            <w:pPr>
              <w:pBdr>
                <w:top w:val="nil"/>
                <w:left w:val="nil"/>
                <w:bottom w:val="nil"/>
                <w:right w:val="nil"/>
                <w:between w:val="nil"/>
              </w:pBdr>
              <w:rPr>
                <w:rFonts w:eastAsia="Calibri" w:asciiTheme="minorHAnsi" w:hAnsiTheme="minorHAnsi" w:cstheme="minorHAnsi"/>
                <w:b/>
                <w:color w:val="000000"/>
                <w:sz w:val="18"/>
                <w:szCs w:val="18"/>
              </w:rPr>
            </w:pPr>
          </w:p>
        </w:tc>
        <w:tc>
          <w:tcPr>
            <w:tcW w:w="791" w:type="dxa"/>
            <w:tcBorders>
              <w:top w:val="nil"/>
              <w:left w:val="nil"/>
              <w:bottom w:val="single" w:color="000000" w:sz="8" w:space="0"/>
              <w:right w:val="dashed" w:color="000000" w:sz="8" w:space="0"/>
            </w:tcBorders>
            <w:shd w:val="clear" w:color="auto" w:fill="FBE4D5"/>
            <w:vAlign w:val="center"/>
          </w:tcPr>
          <w:p w:rsidRPr="00A34CF7" w:rsidR="00B54A1D" w:rsidP="00651827" w:rsidRDefault="00A56326" w14:paraId="19EF7BD7" w14:textId="77777777">
            <w:pPr>
              <w:widowControl/>
              <w:jc w:val="center"/>
              <w:rPr>
                <w:rFonts w:eastAsia="Calibri" w:asciiTheme="minorHAnsi" w:hAnsiTheme="minorHAnsi" w:cstheme="minorHAnsi"/>
                <w:color w:val="000000"/>
                <w:sz w:val="16"/>
                <w:szCs w:val="16"/>
              </w:rPr>
            </w:pPr>
            <w:r w:rsidRPr="00A34CF7">
              <w:rPr>
                <w:rFonts w:eastAsia="Calibri" w:asciiTheme="minorHAnsi" w:hAnsiTheme="minorHAnsi" w:cstheme="minorHAnsi"/>
                <w:color w:val="000000"/>
                <w:sz w:val="16"/>
                <w:szCs w:val="16"/>
              </w:rPr>
              <w:t>Current Renewal / Revision</w:t>
            </w:r>
          </w:p>
        </w:tc>
        <w:tc>
          <w:tcPr>
            <w:tcW w:w="792" w:type="dxa"/>
            <w:tcBorders>
              <w:top w:val="nil"/>
              <w:left w:val="nil"/>
              <w:bottom w:val="single" w:color="000000" w:sz="8" w:space="0"/>
              <w:right w:val="single" w:color="000000" w:sz="8" w:space="0"/>
            </w:tcBorders>
            <w:shd w:val="clear" w:color="auto" w:fill="FBE4D5"/>
            <w:vAlign w:val="center"/>
          </w:tcPr>
          <w:p w:rsidRPr="00A34CF7" w:rsidR="00B54A1D" w:rsidP="00651827" w:rsidRDefault="00A56326" w14:paraId="136E9F61" w14:textId="77777777">
            <w:pPr>
              <w:widowControl/>
              <w:jc w:val="center"/>
              <w:rPr>
                <w:rFonts w:eastAsia="Calibri" w:asciiTheme="minorHAnsi" w:hAnsiTheme="minorHAnsi" w:cstheme="minorHAnsi"/>
                <w:color w:val="000000"/>
                <w:sz w:val="16"/>
                <w:szCs w:val="16"/>
              </w:rPr>
            </w:pPr>
            <w:r w:rsidRPr="00A34CF7">
              <w:rPr>
                <w:rFonts w:eastAsia="Calibri" w:asciiTheme="minorHAnsi" w:hAnsiTheme="minorHAnsi" w:cstheme="minorHAnsi"/>
                <w:color w:val="000000"/>
                <w:sz w:val="16"/>
                <w:szCs w:val="16"/>
              </w:rPr>
              <w:t>Previous Renewal / Revision</w:t>
            </w:r>
          </w:p>
        </w:tc>
        <w:tc>
          <w:tcPr>
            <w:tcW w:w="791" w:type="dxa"/>
            <w:tcBorders>
              <w:top w:val="nil"/>
              <w:left w:val="nil"/>
              <w:bottom w:val="single" w:color="000000" w:sz="8" w:space="0"/>
              <w:right w:val="dashed" w:color="000000" w:sz="8" w:space="0"/>
            </w:tcBorders>
            <w:shd w:val="clear" w:color="auto" w:fill="FBE4D5"/>
            <w:vAlign w:val="center"/>
          </w:tcPr>
          <w:p w:rsidRPr="00A34CF7" w:rsidR="00B54A1D" w:rsidP="00651827" w:rsidRDefault="00A56326" w14:paraId="15E50F87" w14:textId="77777777">
            <w:pPr>
              <w:widowControl/>
              <w:jc w:val="center"/>
              <w:rPr>
                <w:rFonts w:eastAsia="Calibri" w:asciiTheme="minorHAnsi" w:hAnsiTheme="minorHAnsi" w:cstheme="minorHAnsi"/>
                <w:color w:val="000000"/>
                <w:sz w:val="16"/>
                <w:szCs w:val="16"/>
              </w:rPr>
            </w:pPr>
            <w:r w:rsidRPr="00A34CF7">
              <w:rPr>
                <w:rFonts w:eastAsia="Calibri" w:asciiTheme="minorHAnsi" w:hAnsiTheme="minorHAnsi" w:cstheme="minorHAnsi"/>
                <w:color w:val="000000"/>
                <w:sz w:val="16"/>
                <w:szCs w:val="16"/>
              </w:rPr>
              <w:t>Current Renewal / Revision</w:t>
            </w:r>
          </w:p>
        </w:tc>
        <w:tc>
          <w:tcPr>
            <w:tcW w:w="792" w:type="dxa"/>
            <w:tcBorders>
              <w:top w:val="nil"/>
              <w:left w:val="nil"/>
              <w:bottom w:val="single" w:color="000000" w:sz="8" w:space="0"/>
              <w:right w:val="single" w:color="000000" w:sz="8" w:space="0"/>
            </w:tcBorders>
            <w:shd w:val="clear" w:color="auto" w:fill="FBE4D5"/>
            <w:vAlign w:val="center"/>
          </w:tcPr>
          <w:p w:rsidRPr="00A34CF7" w:rsidR="00B54A1D" w:rsidP="00651827" w:rsidRDefault="00A56326" w14:paraId="0F9165DE" w14:textId="77777777">
            <w:pPr>
              <w:widowControl/>
              <w:jc w:val="center"/>
              <w:rPr>
                <w:rFonts w:eastAsia="Calibri" w:asciiTheme="minorHAnsi" w:hAnsiTheme="minorHAnsi" w:cstheme="minorHAnsi"/>
                <w:color w:val="000000"/>
                <w:sz w:val="16"/>
                <w:szCs w:val="16"/>
              </w:rPr>
            </w:pPr>
            <w:r w:rsidRPr="00A34CF7">
              <w:rPr>
                <w:rFonts w:eastAsia="Calibri" w:asciiTheme="minorHAnsi" w:hAnsiTheme="minorHAnsi" w:cstheme="minorHAnsi"/>
                <w:color w:val="000000"/>
                <w:sz w:val="16"/>
                <w:szCs w:val="16"/>
              </w:rPr>
              <w:t>Previous Renewal / Revision</w:t>
            </w:r>
          </w:p>
        </w:tc>
        <w:tc>
          <w:tcPr>
            <w:tcW w:w="791" w:type="dxa"/>
            <w:tcBorders>
              <w:top w:val="nil"/>
              <w:left w:val="nil"/>
              <w:bottom w:val="single" w:color="000000" w:sz="8" w:space="0"/>
              <w:right w:val="dashed" w:color="000000" w:sz="8" w:space="0"/>
            </w:tcBorders>
            <w:shd w:val="clear" w:color="auto" w:fill="FBE4D5"/>
            <w:vAlign w:val="center"/>
          </w:tcPr>
          <w:p w:rsidRPr="00A34CF7" w:rsidR="00B54A1D" w:rsidP="00651827" w:rsidRDefault="00A56326" w14:paraId="57FDB57C" w14:textId="77777777">
            <w:pPr>
              <w:widowControl/>
              <w:jc w:val="center"/>
              <w:rPr>
                <w:rFonts w:eastAsia="Calibri" w:asciiTheme="minorHAnsi" w:hAnsiTheme="minorHAnsi" w:cstheme="minorHAnsi"/>
                <w:color w:val="000000"/>
                <w:sz w:val="16"/>
                <w:szCs w:val="16"/>
              </w:rPr>
            </w:pPr>
            <w:r w:rsidRPr="00A34CF7">
              <w:rPr>
                <w:rFonts w:eastAsia="Calibri" w:asciiTheme="minorHAnsi" w:hAnsiTheme="minorHAnsi" w:cstheme="minorHAnsi"/>
                <w:color w:val="000000"/>
                <w:sz w:val="16"/>
                <w:szCs w:val="16"/>
              </w:rPr>
              <w:t>Current Renewal / Revision</w:t>
            </w:r>
          </w:p>
        </w:tc>
        <w:tc>
          <w:tcPr>
            <w:tcW w:w="792" w:type="dxa"/>
            <w:tcBorders>
              <w:top w:val="nil"/>
              <w:left w:val="nil"/>
              <w:bottom w:val="single" w:color="000000" w:sz="8" w:space="0"/>
              <w:right w:val="single" w:color="000000" w:sz="8" w:space="0"/>
            </w:tcBorders>
            <w:shd w:val="clear" w:color="auto" w:fill="FBE4D5"/>
            <w:vAlign w:val="center"/>
          </w:tcPr>
          <w:p w:rsidRPr="00A34CF7" w:rsidR="00B54A1D" w:rsidP="00651827" w:rsidRDefault="00A56326" w14:paraId="3B284CF5" w14:textId="77777777">
            <w:pPr>
              <w:widowControl/>
              <w:jc w:val="center"/>
              <w:rPr>
                <w:rFonts w:eastAsia="Calibri" w:asciiTheme="minorHAnsi" w:hAnsiTheme="minorHAnsi" w:cstheme="minorHAnsi"/>
                <w:color w:val="000000"/>
                <w:sz w:val="16"/>
                <w:szCs w:val="16"/>
              </w:rPr>
            </w:pPr>
            <w:r w:rsidRPr="00A34CF7">
              <w:rPr>
                <w:rFonts w:eastAsia="Calibri" w:asciiTheme="minorHAnsi" w:hAnsiTheme="minorHAnsi" w:cstheme="minorHAnsi"/>
                <w:color w:val="000000"/>
                <w:sz w:val="16"/>
                <w:szCs w:val="16"/>
              </w:rPr>
              <w:t>Previous Renewal / Revision</w:t>
            </w:r>
          </w:p>
        </w:tc>
        <w:tc>
          <w:tcPr>
            <w:tcW w:w="341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Pr="00A34CF7" w:rsidR="00B54A1D" w:rsidP="00651827" w:rsidRDefault="00B54A1D" w14:paraId="141D36F6" w14:textId="77777777">
            <w:pPr>
              <w:pBdr>
                <w:top w:val="nil"/>
                <w:left w:val="nil"/>
                <w:bottom w:val="nil"/>
                <w:right w:val="nil"/>
                <w:between w:val="nil"/>
              </w:pBdr>
              <w:rPr>
                <w:rFonts w:eastAsia="Calibri" w:asciiTheme="minorHAnsi" w:hAnsiTheme="minorHAnsi" w:cstheme="minorHAnsi"/>
                <w:color w:val="000000"/>
                <w:sz w:val="18"/>
                <w:szCs w:val="18"/>
              </w:rPr>
            </w:pPr>
          </w:p>
        </w:tc>
      </w:tr>
      <w:tr w:rsidRPr="00A34CF7" w:rsidR="00A34CF7" w:rsidTr="00A34CF7" w14:paraId="7D946769" w14:textId="77777777">
        <w:trPr>
          <w:trHeight w:val="697"/>
          <w:jc w:val="center"/>
        </w:trPr>
        <w:tc>
          <w:tcPr>
            <w:tcW w:w="2440" w:type="dxa"/>
            <w:tcBorders>
              <w:top w:val="nil"/>
              <w:left w:val="single" w:color="000000" w:sz="8" w:space="0"/>
              <w:bottom w:val="single" w:color="000000" w:sz="8" w:space="0"/>
              <w:right w:val="single" w:color="000000" w:sz="8" w:space="0"/>
            </w:tcBorders>
            <w:shd w:val="clear" w:color="auto" w:fill="auto"/>
            <w:vAlign w:val="center"/>
          </w:tcPr>
          <w:p w:rsidRPr="00A34CF7" w:rsidR="00B54A1D" w:rsidP="00651827" w:rsidRDefault="00F077F1" w14:paraId="7F2211B4" w14:textId="12DFC1BB">
            <w:pPr>
              <w:widowControl/>
              <w:rPr>
                <w:rFonts w:eastAsia="Calibri" w:asciiTheme="minorHAnsi" w:hAnsiTheme="minorHAnsi" w:cstheme="minorHAnsi"/>
                <w:color w:val="000000"/>
                <w:sz w:val="18"/>
                <w:szCs w:val="18"/>
              </w:rPr>
            </w:pPr>
            <w:r w:rsidRPr="00A34CF7">
              <w:rPr>
                <w:rFonts w:eastAsia="Calibri" w:asciiTheme="minorHAnsi" w:hAnsiTheme="minorHAnsi" w:cstheme="minorHAnsi"/>
                <w:color w:val="000000"/>
                <w:sz w:val="18"/>
                <w:szCs w:val="18"/>
              </w:rPr>
              <w:t>Commercial Operator’s Annual Report</w:t>
            </w:r>
          </w:p>
        </w:tc>
        <w:tc>
          <w:tcPr>
            <w:tcW w:w="791" w:type="dxa"/>
            <w:tcBorders>
              <w:top w:val="nil"/>
              <w:left w:val="nil"/>
              <w:bottom w:val="dotted" w:color="000000" w:sz="4" w:space="0"/>
              <w:right w:val="dashed" w:color="000000" w:sz="8" w:space="0"/>
            </w:tcBorders>
            <w:shd w:val="clear" w:color="auto" w:fill="auto"/>
            <w:vAlign w:val="center"/>
          </w:tcPr>
          <w:p w:rsidRPr="00A34CF7" w:rsidR="00B54A1D" w:rsidP="00651827" w:rsidRDefault="008F3F82" w14:paraId="590E2731" w14:textId="075CEC76">
            <w:pPr>
              <w:widowControl/>
              <w:jc w:val="center"/>
              <w:rPr>
                <w:rFonts w:eastAsia="Calibri" w:asciiTheme="minorHAnsi" w:hAnsiTheme="minorHAnsi" w:cstheme="minorHAnsi"/>
                <w:color w:val="000000"/>
                <w:sz w:val="18"/>
                <w:szCs w:val="18"/>
              </w:rPr>
            </w:pPr>
            <w:r w:rsidRPr="00A34CF7">
              <w:rPr>
                <w:rFonts w:eastAsia="Calibri" w:asciiTheme="minorHAnsi" w:hAnsiTheme="minorHAnsi" w:cstheme="minorHAnsi"/>
                <w:color w:val="000000"/>
                <w:sz w:val="18"/>
                <w:szCs w:val="18"/>
              </w:rPr>
              <w:t>72</w:t>
            </w:r>
            <w:r w:rsidRPr="00A34CF7" w:rsidR="00A56326">
              <w:rPr>
                <w:rFonts w:eastAsia="Calibri" w:asciiTheme="minorHAnsi" w:hAnsiTheme="minorHAnsi" w:cstheme="minorHAnsi"/>
                <w:color w:val="000000"/>
                <w:sz w:val="18"/>
                <w:szCs w:val="18"/>
              </w:rPr>
              <w:t> </w:t>
            </w:r>
          </w:p>
        </w:tc>
        <w:tc>
          <w:tcPr>
            <w:tcW w:w="792" w:type="dxa"/>
            <w:tcBorders>
              <w:top w:val="nil"/>
              <w:left w:val="nil"/>
              <w:bottom w:val="dotted" w:color="000000" w:sz="4" w:space="0"/>
              <w:right w:val="single" w:color="000000" w:sz="8" w:space="0"/>
            </w:tcBorders>
            <w:shd w:val="clear" w:color="auto" w:fill="auto"/>
            <w:vAlign w:val="center"/>
          </w:tcPr>
          <w:p w:rsidRPr="00A34CF7" w:rsidR="00B54A1D" w:rsidP="00651827" w:rsidRDefault="007203F4" w14:paraId="0F0265EF" w14:textId="6C8B76A4">
            <w:pPr>
              <w:widowControl/>
              <w:jc w:val="center"/>
              <w:rPr>
                <w:rFonts w:eastAsia="Calibri" w:asciiTheme="minorHAnsi" w:hAnsiTheme="minorHAnsi" w:cstheme="minorHAnsi"/>
                <w:color w:val="000000"/>
                <w:sz w:val="18"/>
                <w:szCs w:val="18"/>
              </w:rPr>
            </w:pPr>
            <w:r w:rsidRPr="00A34CF7">
              <w:rPr>
                <w:rFonts w:eastAsia="Calibri" w:asciiTheme="minorHAnsi" w:hAnsiTheme="minorHAnsi" w:cstheme="minorHAnsi"/>
                <w:color w:val="000000"/>
                <w:sz w:val="18"/>
                <w:szCs w:val="18"/>
              </w:rPr>
              <w:t>98</w:t>
            </w:r>
          </w:p>
        </w:tc>
        <w:tc>
          <w:tcPr>
            <w:tcW w:w="791" w:type="dxa"/>
            <w:tcBorders>
              <w:top w:val="nil"/>
              <w:left w:val="nil"/>
              <w:bottom w:val="dotted" w:color="000000" w:sz="4" w:space="0"/>
              <w:right w:val="dashed" w:color="000000" w:sz="8" w:space="0"/>
            </w:tcBorders>
            <w:shd w:val="clear" w:color="auto" w:fill="auto"/>
            <w:vAlign w:val="center"/>
          </w:tcPr>
          <w:p w:rsidRPr="00A34CF7" w:rsidR="00B54A1D" w:rsidP="00651827" w:rsidRDefault="008F3F82" w14:paraId="6A0D4136" w14:textId="72CE2EBF">
            <w:pPr>
              <w:widowControl/>
              <w:jc w:val="center"/>
              <w:rPr>
                <w:rFonts w:eastAsia="Calibri" w:asciiTheme="minorHAnsi" w:hAnsiTheme="minorHAnsi" w:cstheme="minorHAnsi"/>
                <w:color w:val="000000"/>
                <w:sz w:val="18"/>
                <w:szCs w:val="18"/>
              </w:rPr>
            </w:pPr>
            <w:r w:rsidRPr="00A34CF7">
              <w:rPr>
                <w:rFonts w:eastAsia="Calibri" w:asciiTheme="minorHAnsi" w:hAnsiTheme="minorHAnsi" w:cstheme="minorHAnsi"/>
                <w:color w:val="000000"/>
                <w:sz w:val="18"/>
                <w:szCs w:val="18"/>
              </w:rPr>
              <w:t>72</w:t>
            </w:r>
          </w:p>
        </w:tc>
        <w:tc>
          <w:tcPr>
            <w:tcW w:w="792" w:type="dxa"/>
            <w:tcBorders>
              <w:top w:val="nil"/>
              <w:left w:val="nil"/>
              <w:bottom w:val="dotted" w:color="000000" w:sz="4" w:space="0"/>
              <w:right w:val="single" w:color="000000" w:sz="8" w:space="0"/>
            </w:tcBorders>
            <w:shd w:val="clear" w:color="auto" w:fill="auto"/>
            <w:vAlign w:val="center"/>
          </w:tcPr>
          <w:p w:rsidRPr="00A34CF7" w:rsidR="00B54A1D" w:rsidP="00651827" w:rsidRDefault="007203F4" w14:paraId="198BA816" w14:textId="4080EE09">
            <w:pPr>
              <w:widowControl/>
              <w:jc w:val="center"/>
              <w:rPr>
                <w:rFonts w:eastAsia="Calibri" w:asciiTheme="minorHAnsi" w:hAnsiTheme="minorHAnsi" w:cstheme="minorHAnsi"/>
                <w:color w:val="000000"/>
                <w:sz w:val="18"/>
                <w:szCs w:val="18"/>
              </w:rPr>
            </w:pPr>
            <w:r w:rsidRPr="00A34CF7">
              <w:rPr>
                <w:rFonts w:eastAsia="Calibri" w:asciiTheme="minorHAnsi" w:hAnsiTheme="minorHAnsi" w:cstheme="minorHAnsi"/>
                <w:color w:val="000000"/>
                <w:sz w:val="18"/>
                <w:szCs w:val="18"/>
              </w:rPr>
              <w:t>98</w:t>
            </w:r>
          </w:p>
        </w:tc>
        <w:tc>
          <w:tcPr>
            <w:tcW w:w="791" w:type="dxa"/>
            <w:tcBorders>
              <w:top w:val="nil"/>
              <w:left w:val="nil"/>
              <w:bottom w:val="dotted" w:color="000000" w:sz="4" w:space="0"/>
              <w:right w:val="dashed" w:color="000000" w:sz="8" w:space="0"/>
            </w:tcBorders>
            <w:shd w:val="clear" w:color="auto" w:fill="auto"/>
            <w:vAlign w:val="center"/>
          </w:tcPr>
          <w:p w:rsidRPr="00A34CF7" w:rsidR="00B54A1D" w:rsidP="00651827" w:rsidRDefault="008F3F82" w14:paraId="1DBC03F3" w14:textId="3ECC1640">
            <w:pPr>
              <w:widowControl/>
              <w:jc w:val="center"/>
              <w:rPr>
                <w:rFonts w:eastAsia="Calibri" w:asciiTheme="minorHAnsi" w:hAnsiTheme="minorHAnsi" w:cstheme="minorHAnsi"/>
                <w:color w:val="000000"/>
                <w:sz w:val="18"/>
                <w:szCs w:val="18"/>
              </w:rPr>
            </w:pPr>
            <w:r w:rsidRPr="00A34CF7">
              <w:rPr>
                <w:rFonts w:eastAsia="Calibri" w:asciiTheme="minorHAnsi" w:hAnsiTheme="minorHAnsi" w:cstheme="minorHAnsi"/>
                <w:color w:val="000000"/>
                <w:sz w:val="18"/>
                <w:szCs w:val="18"/>
              </w:rPr>
              <w:t>576</w:t>
            </w:r>
          </w:p>
        </w:tc>
        <w:tc>
          <w:tcPr>
            <w:tcW w:w="792" w:type="dxa"/>
            <w:tcBorders>
              <w:top w:val="nil"/>
              <w:left w:val="nil"/>
              <w:bottom w:val="dotted" w:color="000000" w:sz="4" w:space="0"/>
              <w:right w:val="single" w:color="000000" w:sz="8" w:space="0"/>
            </w:tcBorders>
            <w:shd w:val="clear" w:color="auto" w:fill="auto"/>
            <w:vAlign w:val="center"/>
          </w:tcPr>
          <w:p w:rsidRPr="00A34CF7" w:rsidR="00B54A1D" w:rsidP="00651827" w:rsidRDefault="007203F4" w14:paraId="50F03E58" w14:textId="2D77CDE5">
            <w:pPr>
              <w:widowControl/>
              <w:jc w:val="center"/>
              <w:rPr>
                <w:rFonts w:eastAsia="Calibri" w:asciiTheme="minorHAnsi" w:hAnsiTheme="minorHAnsi" w:cstheme="minorHAnsi"/>
                <w:color w:val="000000"/>
                <w:sz w:val="18"/>
                <w:szCs w:val="18"/>
              </w:rPr>
            </w:pPr>
            <w:r w:rsidRPr="00A34CF7">
              <w:rPr>
                <w:rFonts w:eastAsia="Calibri" w:asciiTheme="minorHAnsi" w:hAnsiTheme="minorHAnsi" w:cstheme="minorHAnsi"/>
                <w:color w:val="000000"/>
                <w:sz w:val="18"/>
                <w:szCs w:val="18"/>
              </w:rPr>
              <w:t>784</w:t>
            </w:r>
          </w:p>
        </w:tc>
        <w:tc>
          <w:tcPr>
            <w:tcW w:w="3410" w:type="dxa"/>
            <w:tcBorders>
              <w:top w:val="nil"/>
              <w:left w:val="nil"/>
              <w:bottom w:val="dotted" w:color="000000" w:sz="4" w:space="0"/>
              <w:right w:val="single" w:color="000000" w:sz="8" w:space="0"/>
            </w:tcBorders>
            <w:shd w:val="clear" w:color="auto" w:fill="auto"/>
            <w:vAlign w:val="center"/>
          </w:tcPr>
          <w:p w:rsidRPr="00A34CF7" w:rsidR="00B54A1D" w:rsidP="004B1DC6" w:rsidRDefault="00007A4E" w14:paraId="2B94913C" w14:textId="1EED6296">
            <w:pPr>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The previous number</w:t>
            </w:r>
            <w:r w:rsidR="004B1DC6">
              <w:rPr>
                <w:rFonts w:eastAsia="Calibri" w:asciiTheme="minorHAnsi" w:hAnsiTheme="minorHAnsi" w:cstheme="minorHAnsi"/>
                <w:color w:val="000000"/>
                <w:sz w:val="18"/>
                <w:szCs w:val="18"/>
              </w:rPr>
              <w:t xml:space="preserve"> of respondents, which effects the number of responses and burden hours,</w:t>
            </w:r>
            <w:r>
              <w:rPr>
                <w:rFonts w:eastAsia="Calibri" w:asciiTheme="minorHAnsi" w:hAnsiTheme="minorHAnsi" w:cstheme="minorHAnsi"/>
                <w:color w:val="000000"/>
                <w:sz w:val="18"/>
                <w:szCs w:val="18"/>
              </w:rPr>
              <w:t xml:space="preserve"> may have included </w:t>
            </w:r>
            <w:r w:rsidR="004B1DC6">
              <w:rPr>
                <w:rFonts w:eastAsia="Calibri" w:asciiTheme="minorHAnsi" w:hAnsiTheme="minorHAnsi" w:cstheme="minorHAnsi"/>
                <w:color w:val="000000"/>
                <w:sz w:val="18"/>
                <w:szCs w:val="18"/>
              </w:rPr>
              <w:t>vessels</w:t>
            </w:r>
            <w:r>
              <w:rPr>
                <w:rFonts w:eastAsia="Calibri" w:asciiTheme="minorHAnsi" w:hAnsiTheme="minorHAnsi" w:cstheme="minorHAnsi"/>
                <w:color w:val="000000"/>
                <w:sz w:val="18"/>
                <w:szCs w:val="18"/>
              </w:rPr>
              <w:t xml:space="preserve"> </w:t>
            </w:r>
            <w:r w:rsidR="004B1DC6">
              <w:rPr>
                <w:rFonts w:eastAsia="Calibri" w:asciiTheme="minorHAnsi" w:hAnsiTheme="minorHAnsi" w:cstheme="minorHAnsi"/>
                <w:color w:val="000000"/>
                <w:sz w:val="18"/>
                <w:szCs w:val="18"/>
              </w:rPr>
              <w:t>that</w:t>
            </w:r>
            <w:r>
              <w:rPr>
                <w:rFonts w:eastAsia="Calibri" w:asciiTheme="minorHAnsi" w:hAnsiTheme="minorHAnsi" w:cstheme="minorHAnsi"/>
                <w:color w:val="000000"/>
                <w:sz w:val="18"/>
                <w:szCs w:val="18"/>
              </w:rPr>
              <w:t xml:space="preserve"> were not </w:t>
            </w:r>
            <w:r w:rsidR="004B1DC6">
              <w:rPr>
                <w:rFonts w:eastAsia="Calibri" w:asciiTheme="minorHAnsi" w:hAnsiTheme="minorHAnsi" w:cstheme="minorHAnsi"/>
                <w:color w:val="000000"/>
                <w:sz w:val="18"/>
                <w:szCs w:val="18"/>
              </w:rPr>
              <w:t>respondents to this collection</w:t>
            </w:r>
            <w:r>
              <w:rPr>
                <w:rFonts w:eastAsia="Calibri" w:asciiTheme="minorHAnsi" w:hAnsiTheme="minorHAnsi" w:cstheme="minorHAnsi"/>
                <w:color w:val="000000"/>
                <w:sz w:val="18"/>
                <w:szCs w:val="18"/>
              </w:rPr>
              <w:t xml:space="preserve">. </w:t>
            </w:r>
            <w:r w:rsidRPr="00007A4E">
              <w:rPr>
                <w:rFonts w:eastAsia="Calibri" w:asciiTheme="minorHAnsi" w:hAnsiTheme="minorHAnsi" w:cstheme="minorHAnsi"/>
                <w:color w:val="000000"/>
                <w:sz w:val="18"/>
                <w:szCs w:val="18"/>
              </w:rPr>
              <w:t>The COAR data d</w:t>
            </w:r>
            <w:r>
              <w:rPr>
                <w:rFonts w:eastAsia="Calibri" w:asciiTheme="minorHAnsi" w:hAnsiTheme="minorHAnsi" w:cstheme="minorHAnsi"/>
                <w:color w:val="000000"/>
                <w:sz w:val="18"/>
                <w:szCs w:val="18"/>
              </w:rPr>
              <w:t xml:space="preserve">o not differentiate vessels </w:t>
            </w:r>
            <w:proofErr w:type="gramStart"/>
            <w:r>
              <w:rPr>
                <w:rFonts w:eastAsia="Calibri" w:asciiTheme="minorHAnsi" w:hAnsiTheme="minorHAnsi" w:cstheme="minorHAnsi"/>
                <w:color w:val="000000"/>
                <w:sz w:val="18"/>
                <w:szCs w:val="18"/>
              </w:rPr>
              <w:t>in F</w:t>
            </w:r>
            <w:r w:rsidRPr="00007A4E">
              <w:rPr>
                <w:rFonts w:eastAsia="Calibri" w:asciiTheme="minorHAnsi" w:hAnsiTheme="minorHAnsi" w:cstheme="minorHAnsi"/>
                <w:color w:val="000000"/>
                <w:sz w:val="18"/>
                <w:szCs w:val="18"/>
              </w:rPr>
              <w:t>ederal groundfish fisheries in the EEZ from those in state managed fisheries in state waters</w:t>
            </w:r>
            <w:proofErr w:type="gramEnd"/>
            <w:r w:rsidRPr="00007A4E">
              <w:rPr>
                <w:rFonts w:eastAsia="Calibri" w:asciiTheme="minorHAnsi" w:hAnsiTheme="minorHAnsi" w:cstheme="minorHAnsi"/>
                <w:color w:val="000000"/>
                <w:sz w:val="18"/>
                <w:szCs w:val="18"/>
              </w:rPr>
              <w:t>.</w:t>
            </w:r>
            <w:r w:rsidR="005F4D30">
              <w:rPr>
                <w:rFonts w:eastAsia="Calibri" w:asciiTheme="minorHAnsi" w:hAnsiTheme="minorHAnsi" w:cstheme="minorHAnsi"/>
                <w:color w:val="000000"/>
                <w:sz w:val="18"/>
                <w:szCs w:val="18"/>
              </w:rPr>
              <w:t xml:space="preserve"> </w:t>
            </w:r>
            <w:r w:rsidR="004B1DC6">
              <w:rPr>
                <w:rFonts w:eastAsia="Calibri" w:asciiTheme="minorHAnsi" w:hAnsiTheme="minorHAnsi" w:cstheme="minorHAnsi"/>
                <w:color w:val="000000"/>
                <w:sz w:val="18"/>
                <w:szCs w:val="18"/>
              </w:rPr>
              <w:t xml:space="preserve">For this extension, data from the NMFS Alaska Region Catch Accounting System and the COAR data </w:t>
            </w:r>
            <w:proofErr w:type="gramStart"/>
            <w:r w:rsidR="004B1DC6">
              <w:rPr>
                <w:rFonts w:eastAsia="Calibri" w:asciiTheme="minorHAnsi" w:hAnsiTheme="minorHAnsi" w:cstheme="minorHAnsi"/>
                <w:color w:val="000000"/>
                <w:sz w:val="18"/>
                <w:szCs w:val="18"/>
              </w:rPr>
              <w:t>were used</w:t>
            </w:r>
            <w:proofErr w:type="gramEnd"/>
            <w:r w:rsidR="004B1DC6">
              <w:rPr>
                <w:rFonts w:eastAsia="Calibri" w:asciiTheme="minorHAnsi" w:hAnsiTheme="minorHAnsi" w:cstheme="minorHAnsi"/>
                <w:color w:val="000000"/>
                <w:sz w:val="18"/>
                <w:szCs w:val="18"/>
              </w:rPr>
              <w:t xml:space="preserve"> to try to differentiate between the two so only </w:t>
            </w:r>
            <w:r w:rsidRPr="004B1DC6" w:rsidR="004B1DC6">
              <w:rPr>
                <w:rFonts w:eastAsia="Calibri" w:asciiTheme="minorHAnsi" w:hAnsiTheme="minorHAnsi" w:cstheme="minorHAnsi"/>
                <w:color w:val="000000"/>
                <w:sz w:val="18"/>
                <w:szCs w:val="18"/>
              </w:rPr>
              <w:t>those req</w:t>
            </w:r>
            <w:r w:rsidR="004B1DC6">
              <w:rPr>
                <w:rFonts w:eastAsia="Calibri" w:asciiTheme="minorHAnsi" w:hAnsiTheme="minorHAnsi" w:cstheme="minorHAnsi"/>
                <w:color w:val="000000"/>
                <w:sz w:val="18"/>
                <w:szCs w:val="18"/>
              </w:rPr>
              <w:t>uired to submit the COAR due to NMFS regulations</w:t>
            </w:r>
            <w:r w:rsidRPr="004B1DC6" w:rsidR="004B1DC6">
              <w:rPr>
                <w:rFonts w:eastAsia="Calibri" w:asciiTheme="minorHAnsi" w:hAnsiTheme="minorHAnsi" w:cstheme="minorHAnsi"/>
                <w:color w:val="000000"/>
                <w:sz w:val="18"/>
                <w:szCs w:val="18"/>
              </w:rPr>
              <w:t xml:space="preserve"> are included in the counts.</w:t>
            </w:r>
            <w:r w:rsidR="000D3702">
              <w:rPr>
                <w:rFonts w:eastAsia="Calibri" w:asciiTheme="minorHAnsi" w:hAnsiTheme="minorHAnsi" w:cstheme="minorHAnsi"/>
                <w:color w:val="000000"/>
                <w:sz w:val="18"/>
                <w:szCs w:val="18"/>
              </w:rPr>
              <w:t xml:space="preserve"> </w:t>
            </w:r>
          </w:p>
        </w:tc>
      </w:tr>
      <w:tr w:rsidRPr="00A34CF7" w:rsidR="00A34CF7" w:rsidTr="00A34CF7" w14:paraId="68FE9582" w14:textId="77777777">
        <w:trPr>
          <w:trHeight w:val="356"/>
          <w:jc w:val="center"/>
        </w:trPr>
        <w:tc>
          <w:tcPr>
            <w:tcW w:w="2440" w:type="dxa"/>
            <w:tcBorders>
              <w:top w:val="single" w:color="000000" w:sz="8" w:space="0"/>
              <w:left w:val="single" w:color="000000" w:sz="8" w:space="0"/>
              <w:bottom w:val="single" w:color="000000" w:sz="8" w:space="0"/>
              <w:right w:val="nil"/>
            </w:tcBorders>
            <w:shd w:val="clear" w:color="auto" w:fill="FCE4D6"/>
            <w:vAlign w:val="center"/>
          </w:tcPr>
          <w:p w:rsidRPr="00A34CF7" w:rsidR="00B54A1D" w:rsidP="00651827" w:rsidRDefault="00A56326" w14:paraId="69981312" w14:textId="77777777">
            <w:pPr>
              <w:widowControl/>
              <w:jc w:val="center"/>
              <w:rPr>
                <w:rFonts w:eastAsia="Calibri" w:asciiTheme="minorHAnsi" w:hAnsiTheme="minorHAnsi" w:cstheme="minorHAnsi"/>
                <w:b/>
                <w:color w:val="000000"/>
                <w:sz w:val="18"/>
                <w:szCs w:val="18"/>
              </w:rPr>
            </w:pPr>
            <w:r w:rsidRPr="00A34CF7">
              <w:rPr>
                <w:rFonts w:eastAsia="Calibri" w:asciiTheme="minorHAnsi" w:hAnsiTheme="minorHAnsi" w:cstheme="minorHAnsi"/>
                <w:b/>
                <w:color w:val="000000"/>
                <w:sz w:val="18"/>
                <w:szCs w:val="18"/>
              </w:rPr>
              <w:t>Difference</w:t>
            </w:r>
          </w:p>
        </w:tc>
        <w:tc>
          <w:tcPr>
            <w:tcW w:w="1583"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Pr="00A34CF7" w:rsidR="00B54A1D" w:rsidP="00651827" w:rsidRDefault="00A56326" w14:paraId="0A207EB2" w14:textId="6DFEA33E">
            <w:pPr>
              <w:widowControl/>
              <w:jc w:val="center"/>
              <w:rPr>
                <w:rFonts w:eastAsia="Calibri" w:asciiTheme="minorHAnsi" w:hAnsiTheme="minorHAnsi" w:cstheme="minorHAnsi"/>
                <w:color w:val="000000"/>
                <w:sz w:val="18"/>
                <w:szCs w:val="18"/>
              </w:rPr>
            </w:pPr>
            <w:r w:rsidRPr="00A34CF7">
              <w:rPr>
                <w:rFonts w:eastAsia="Calibri" w:asciiTheme="minorHAnsi" w:hAnsiTheme="minorHAnsi" w:cstheme="minorHAnsi"/>
                <w:color w:val="000000"/>
                <w:sz w:val="18"/>
                <w:szCs w:val="18"/>
              </w:rPr>
              <w:t> </w:t>
            </w:r>
            <w:r w:rsidRPr="00A34CF7" w:rsidR="008F3F82">
              <w:rPr>
                <w:rFonts w:eastAsia="Calibri" w:asciiTheme="minorHAnsi" w:hAnsiTheme="minorHAnsi" w:cstheme="minorHAnsi"/>
                <w:color w:val="000000"/>
                <w:sz w:val="18"/>
                <w:szCs w:val="18"/>
              </w:rPr>
              <w:t>- 26</w:t>
            </w:r>
          </w:p>
        </w:tc>
        <w:tc>
          <w:tcPr>
            <w:tcW w:w="1583" w:type="dxa"/>
            <w:gridSpan w:val="2"/>
            <w:tcBorders>
              <w:top w:val="single" w:color="000000" w:sz="8" w:space="0"/>
              <w:left w:val="nil"/>
              <w:bottom w:val="single" w:color="000000" w:sz="8" w:space="0"/>
              <w:right w:val="single" w:color="000000" w:sz="8" w:space="0"/>
            </w:tcBorders>
            <w:shd w:val="clear" w:color="auto" w:fill="FCE4D6"/>
            <w:vAlign w:val="center"/>
          </w:tcPr>
          <w:p w:rsidRPr="00A34CF7" w:rsidR="00B54A1D" w:rsidP="00651827" w:rsidRDefault="00A56326" w14:paraId="1BA93C05" w14:textId="53536AE0">
            <w:pPr>
              <w:widowControl/>
              <w:jc w:val="center"/>
              <w:rPr>
                <w:rFonts w:eastAsia="Calibri" w:asciiTheme="minorHAnsi" w:hAnsiTheme="minorHAnsi" w:cstheme="minorHAnsi"/>
                <w:color w:val="000000"/>
                <w:sz w:val="18"/>
                <w:szCs w:val="18"/>
              </w:rPr>
            </w:pPr>
            <w:r w:rsidRPr="00A34CF7">
              <w:rPr>
                <w:rFonts w:eastAsia="Calibri" w:asciiTheme="minorHAnsi" w:hAnsiTheme="minorHAnsi" w:cstheme="minorHAnsi"/>
                <w:color w:val="000000"/>
                <w:sz w:val="18"/>
                <w:szCs w:val="18"/>
              </w:rPr>
              <w:t> </w:t>
            </w:r>
            <w:r w:rsidRPr="00A34CF7" w:rsidR="008F3F82">
              <w:rPr>
                <w:rFonts w:eastAsia="Calibri" w:asciiTheme="minorHAnsi" w:hAnsiTheme="minorHAnsi" w:cstheme="minorHAnsi"/>
                <w:color w:val="000000"/>
                <w:sz w:val="18"/>
                <w:szCs w:val="18"/>
              </w:rPr>
              <w:t>- 26</w:t>
            </w:r>
          </w:p>
        </w:tc>
        <w:tc>
          <w:tcPr>
            <w:tcW w:w="1583" w:type="dxa"/>
            <w:gridSpan w:val="2"/>
            <w:tcBorders>
              <w:top w:val="single" w:color="000000" w:sz="8" w:space="0"/>
              <w:left w:val="nil"/>
              <w:bottom w:val="single" w:color="000000" w:sz="8" w:space="0"/>
              <w:right w:val="single" w:color="000000" w:sz="4" w:space="0"/>
            </w:tcBorders>
            <w:shd w:val="clear" w:color="auto" w:fill="FCE4D6"/>
            <w:vAlign w:val="center"/>
          </w:tcPr>
          <w:p w:rsidRPr="00A34CF7" w:rsidR="00B54A1D" w:rsidP="00651827" w:rsidRDefault="00A56326" w14:paraId="46705EFD" w14:textId="06528FE1">
            <w:pPr>
              <w:widowControl/>
              <w:jc w:val="center"/>
              <w:rPr>
                <w:rFonts w:eastAsia="Calibri" w:asciiTheme="minorHAnsi" w:hAnsiTheme="minorHAnsi" w:cstheme="minorHAnsi"/>
                <w:color w:val="000000"/>
                <w:sz w:val="18"/>
                <w:szCs w:val="18"/>
              </w:rPr>
            </w:pPr>
            <w:r w:rsidRPr="00A34CF7">
              <w:rPr>
                <w:rFonts w:eastAsia="Calibri" w:asciiTheme="minorHAnsi" w:hAnsiTheme="minorHAnsi" w:cstheme="minorHAnsi"/>
                <w:color w:val="000000"/>
                <w:sz w:val="18"/>
                <w:szCs w:val="18"/>
              </w:rPr>
              <w:t> </w:t>
            </w:r>
            <w:r w:rsidRPr="00A34CF7" w:rsidR="008F3F82">
              <w:rPr>
                <w:rFonts w:eastAsia="Calibri" w:asciiTheme="minorHAnsi" w:hAnsiTheme="minorHAnsi" w:cstheme="minorHAnsi"/>
                <w:color w:val="000000"/>
                <w:sz w:val="18"/>
                <w:szCs w:val="18"/>
              </w:rPr>
              <w:t>- 208</w:t>
            </w:r>
          </w:p>
        </w:tc>
        <w:tc>
          <w:tcPr>
            <w:tcW w:w="3410" w:type="dxa"/>
            <w:tcBorders>
              <w:top w:val="single" w:color="000000" w:sz="8" w:space="0"/>
              <w:left w:val="nil"/>
              <w:bottom w:val="single" w:color="000000" w:sz="8" w:space="0"/>
              <w:right w:val="single" w:color="000000" w:sz="8" w:space="0"/>
            </w:tcBorders>
            <w:shd w:val="clear" w:color="auto" w:fill="000000"/>
            <w:vAlign w:val="center"/>
          </w:tcPr>
          <w:p w:rsidRPr="00A34CF7" w:rsidR="00B54A1D" w:rsidP="00651827" w:rsidRDefault="00A56326" w14:paraId="5FF8DB36" w14:textId="77777777">
            <w:pPr>
              <w:widowControl/>
              <w:rPr>
                <w:rFonts w:eastAsia="Calibri" w:asciiTheme="minorHAnsi" w:hAnsiTheme="minorHAnsi" w:cstheme="minorHAnsi"/>
                <w:color w:val="000000"/>
                <w:sz w:val="18"/>
                <w:szCs w:val="18"/>
              </w:rPr>
            </w:pPr>
            <w:r w:rsidRPr="00A34CF7">
              <w:rPr>
                <w:rFonts w:eastAsia="Calibri" w:asciiTheme="minorHAnsi" w:hAnsiTheme="minorHAnsi" w:cstheme="minorHAnsi"/>
                <w:color w:val="000000"/>
                <w:sz w:val="18"/>
                <w:szCs w:val="18"/>
              </w:rPr>
              <w:t> </w:t>
            </w:r>
          </w:p>
        </w:tc>
      </w:tr>
    </w:tbl>
    <w:p w:rsidRPr="000C19DE" w:rsidR="00B54A1D" w:rsidP="00651827" w:rsidRDefault="00B54A1D" w14:paraId="09BA95D7" w14:textId="7305CCAD">
      <w:pPr>
        <w:pBdr>
          <w:top w:val="nil"/>
          <w:left w:val="nil"/>
          <w:bottom w:val="nil"/>
          <w:right w:val="nil"/>
          <w:between w:val="nil"/>
        </w:pBdr>
        <w:rPr>
          <w:b/>
          <w:color w:val="000000"/>
        </w:rPr>
      </w:pPr>
    </w:p>
    <w:tbl>
      <w:tblPr>
        <w:tblStyle w:val="a4"/>
        <w:tblW w:w="10610" w:type="dxa"/>
        <w:jc w:val="center"/>
        <w:tblLayout w:type="fixed"/>
        <w:tblLook w:val="0400" w:firstRow="0" w:lastRow="0" w:firstColumn="0" w:lastColumn="0" w:noHBand="0" w:noVBand="1"/>
      </w:tblPr>
      <w:tblGrid>
        <w:gridCol w:w="2447"/>
        <w:gridCol w:w="873"/>
        <w:gridCol w:w="900"/>
        <w:gridCol w:w="810"/>
        <w:gridCol w:w="900"/>
        <w:gridCol w:w="4680"/>
      </w:tblGrid>
      <w:tr w:rsidRPr="00E86DCE" w:rsidR="00933E4A" w:rsidTr="00933E4A" w14:paraId="313FCB2D" w14:textId="77777777">
        <w:trPr>
          <w:trHeight w:val="277"/>
          <w:jc w:val="center"/>
        </w:trPr>
        <w:tc>
          <w:tcPr>
            <w:tcW w:w="2447"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Pr="00A34CF7" w:rsidR="00B54A1D" w:rsidP="00651827" w:rsidRDefault="00A56326" w14:paraId="74143E07" w14:textId="77777777">
            <w:pPr>
              <w:widowControl/>
              <w:jc w:val="center"/>
              <w:rPr>
                <w:rFonts w:ascii="Calibri" w:hAnsi="Calibri" w:eastAsia="Calibri" w:cs="Calibri"/>
                <w:b/>
                <w:color w:val="000000"/>
                <w:sz w:val="18"/>
                <w:szCs w:val="18"/>
              </w:rPr>
            </w:pPr>
            <w:r w:rsidRPr="00A34CF7">
              <w:rPr>
                <w:rFonts w:ascii="Calibri" w:hAnsi="Calibri" w:eastAsia="Calibri" w:cs="Calibri"/>
                <w:b/>
                <w:color w:val="000000"/>
                <w:sz w:val="18"/>
                <w:szCs w:val="18"/>
              </w:rPr>
              <w:t>Information Collection</w:t>
            </w:r>
          </w:p>
        </w:tc>
        <w:tc>
          <w:tcPr>
            <w:tcW w:w="1773" w:type="dxa"/>
            <w:gridSpan w:val="2"/>
            <w:tcBorders>
              <w:top w:val="single" w:color="000000" w:sz="8" w:space="0"/>
              <w:left w:val="nil"/>
              <w:bottom w:val="single" w:color="000000" w:sz="8" w:space="0"/>
              <w:right w:val="single" w:color="000000" w:sz="8" w:space="0"/>
            </w:tcBorders>
            <w:shd w:val="clear" w:color="auto" w:fill="5B9BD5"/>
            <w:vAlign w:val="center"/>
          </w:tcPr>
          <w:p w:rsidRPr="00A34CF7" w:rsidR="00B54A1D" w:rsidP="00651827" w:rsidRDefault="00A56326" w14:paraId="479C8F13" w14:textId="77777777">
            <w:pPr>
              <w:widowControl/>
              <w:jc w:val="center"/>
              <w:rPr>
                <w:rFonts w:ascii="Calibri" w:hAnsi="Calibri" w:eastAsia="Calibri" w:cs="Calibri"/>
                <w:b/>
                <w:color w:val="000000"/>
                <w:sz w:val="18"/>
                <w:szCs w:val="18"/>
              </w:rPr>
            </w:pPr>
            <w:r w:rsidRPr="00A34CF7">
              <w:rPr>
                <w:rFonts w:ascii="Calibri" w:hAnsi="Calibri" w:eastAsia="Calibri" w:cs="Calibri"/>
                <w:b/>
                <w:color w:val="000000"/>
                <w:sz w:val="18"/>
                <w:szCs w:val="18"/>
              </w:rPr>
              <w:t>Labor Costs</w:t>
            </w:r>
          </w:p>
        </w:tc>
        <w:tc>
          <w:tcPr>
            <w:tcW w:w="1710" w:type="dxa"/>
            <w:gridSpan w:val="2"/>
            <w:tcBorders>
              <w:top w:val="single" w:color="000000" w:sz="8" w:space="0"/>
              <w:left w:val="nil"/>
              <w:bottom w:val="single" w:color="000000" w:sz="8" w:space="0"/>
              <w:right w:val="single" w:color="000000" w:sz="8" w:space="0"/>
            </w:tcBorders>
            <w:shd w:val="clear" w:color="auto" w:fill="5B9BD5"/>
            <w:vAlign w:val="center"/>
          </w:tcPr>
          <w:p w:rsidRPr="00A34CF7" w:rsidR="00B54A1D" w:rsidP="00651827" w:rsidRDefault="00A56326" w14:paraId="5C29A18B" w14:textId="77777777">
            <w:pPr>
              <w:widowControl/>
              <w:jc w:val="center"/>
              <w:rPr>
                <w:rFonts w:ascii="Calibri" w:hAnsi="Calibri" w:eastAsia="Calibri" w:cs="Calibri"/>
                <w:b/>
                <w:color w:val="000000"/>
                <w:sz w:val="18"/>
                <w:szCs w:val="18"/>
              </w:rPr>
            </w:pPr>
            <w:r w:rsidRPr="00A34CF7">
              <w:rPr>
                <w:rFonts w:ascii="Calibri" w:hAnsi="Calibri" w:eastAsia="Calibri" w:cs="Calibri"/>
                <w:b/>
                <w:color w:val="000000"/>
                <w:sz w:val="18"/>
                <w:szCs w:val="18"/>
              </w:rPr>
              <w:t>Miscellaneous Costs</w:t>
            </w:r>
          </w:p>
        </w:tc>
        <w:tc>
          <w:tcPr>
            <w:tcW w:w="468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Pr="00A34CF7" w:rsidR="00B54A1D" w:rsidP="00651827" w:rsidRDefault="00A56326" w14:paraId="442742F0" w14:textId="77777777">
            <w:pPr>
              <w:widowControl/>
              <w:jc w:val="center"/>
              <w:rPr>
                <w:rFonts w:ascii="Calibri" w:hAnsi="Calibri" w:eastAsia="Calibri" w:cs="Calibri"/>
                <w:b/>
                <w:color w:val="000000"/>
                <w:sz w:val="18"/>
                <w:szCs w:val="18"/>
              </w:rPr>
            </w:pPr>
            <w:r w:rsidRPr="00A34CF7">
              <w:rPr>
                <w:rFonts w:ascii="Calibri" w:hAnsi="Calibri" w:eastAsia="Calibri" w:cs="Calibri"/>
                <w:b/>
                <w:color w:val="000000"/>
                <w:sz w:val="18"/>
                <w:szCs w:val="18"/>
              </w:rPr>
              <w:t>Reason for change or adjustment</w:t>
            </w:r>
          </w:p>
        </w:tc>
      </w:tr>
      <w:tr w:rsidRPr="00E86DCE" w:rsidR="00A34CF7" w:rsidTr="00933E4A" w14:paraId="53132F32" w14:textId="77777777">
        <w:trPr>
          <w:trHeight w:val="612"/>
          <w:jc w:val="center"/>
        </w:trPr>
        <w:tc>
          <w:tcPr>
            <w:tcW w:w="2447"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Pr="00A34CF7" w:rsidR="00B54A1D" w:rsidP="00651827" w:rsidRDefault="00B54A1D" w14:paraId="77625CF4" w14:textId="77777777">
            <w:pPr>
              <w:pBdr>
                <w:top w:val="nil"/>
                <w:left w:val="nil"/>
                <w:bottom w:val="nil"/>
                <w:right w:val="nil"/>
                <w:between w:val="nil"/>
              </w:pBdr>
              <w:rPr>
                <w:rFonts w:ascii="Calibri" w:hAnsi="Calibri" w:eastAsia="Calibri" w:cs="Calibri"/>
                <w:b/>
                <w:color w:val="000000"/>
                <w:sz w:val="18"/>
                <w:szCs w:val="18"/>
              </w:rPr>
            </w:pPr>
          </w:p>
        </w:tc>
        <w:tc>
          <w:tcPr>
            <w:tcW w:w="873" w:type="dxa"/>
            <w:tcBorders>
              <w:top w:val="nil"/>
              <w:left w:val="nil"/>
              <w:bottom w:val="single" w:color="000000" w:sz="8" w:space="0"/>
              <w:right w:val="dashed" w:color="000000" w:sz="8" w:space="0"/>
            </w:tcBorders>
            <w:shd w:val="clear" w:color="auto" w:fill="FBE4D5"/>
            <w:vAlign w:val="center"/>
          </w:tcPr>
          <w:p w:rsidRPr="00A34CF7" w:rsidR="00B54A1D" w:rsidP="00651827" w:rsidRDefault="00A56326" w14:paraId="1394F427" w14:textId="77777777">
            <w:pPr>
              <w:widowControl/>
              <w:jc w:val="center"/>
              <w:rPr>
                <w:rFonts w:ascii="Calibri" w:hAnsi="Calibri" w:eastAsia="Calibri" w:cs="Calibri"/>
                <w:color w:val="000000"/>
                <w:sz w:val="16"/>
                <w:szCs w:val="16"/>
              </w:rPr>
            </w:pPr>
            <w:r w:rsidRPr="00A34CF7">
              <w:rPr>
                <w:rFonts w:ascii="Calibri" w:hAnsi="Calibri" w:eastAsia="Calibri" w:cs="Calibri"/>
                <w:color w:val="000000"/>
                <w:sz w:val="16"/>
                <w:szCs w:val="16"/>
              </w:rPr>
              <w:t>Current</w:t>
            </w:r>
          </w:p>
        </w:tc>
        <w:tc>
          <w:tcPr>
            <w:tcW w:w="900" w:type="dxa"/>
            <w:tcBorders>
              <w:top w:val="nil"/>
              <w:left w:val="nil"/>
              <w:bottom w:val="single" w:color="000000" w:sz="8" w:space="0"/>
              <w:right w:val="single" w:color="000000" w:sz="8" w:space="0"/>
            </w:tcBorders>
            <w:shd w:val="clear" w:color="auto" w:fill="FBE4D5"/>
            <w:vAlign w:val="center"/>
          </w:tcPr>
          <w:p w:rsidRPr="00A34CF7" w:rsidR="00B54A1D" w:rsidP="00651827" w:rsidRDefault="00A56326" w14:paraId="54674B37" w14:textId="77777777">
            <w:pPr>
              <w:widowControl/>
              <w:jc w:val="center"/>
              <w:rPr>
                <w:rFonts w:ascii="Calibri" w:hAnsi="Calibri" w:eastAsia="Calibri" w:cs="Calibri"/>
                <w:color w:val="000000"/>
                <w:sz w:val="16"/>
                <w:szCs w:val="16"/>
              </w:rPr>
            </w:pPr>
            <w:r w:rsidRPr="00A34CF7">
              <w:rPr>
                <w:rFonts w:ascii="Calibri" w:hAnsi="Calibri" w:eastAsia="Calibri" w:cs="Calibri"/>
                <w:color w:val="000000"/>
                <w:sz w:val="16"/>
                <w:szCs w:val="16"/>
              </w:rPr>
              <w:t>Previous</w:t>
            </w:r>
          </w:p>
        </w:tc>
        <w:tc>
          <w:tcPr>
            <w:tcW w:w="810" w:type="dxa"/>
            <w:tcBorders>
              <w:top w:val="nil"/>
              <w:left w:val="nil"/>
              <w:bottom w:val="single" w:color="000000" w:sz="8" w:space="0"/>
              <w:right w:val="dashed" w:color="000000" w:sz="8" w:space="0"/>
            </w:tcBorders>
            <w:shd w:val="clear" w:color="auto" w:fill="FBE4D5"/>
            <w:vAlign w:val="center"/>
          </w:tcPr>
          <w:p w:rsidRPr="00A34CF7" w:rsidR="00B54A1D" w:rsidP="00651827" w:rsidRDefault="00A56326" w14:paraId="19BD6F06" w14:textId="77777777">
            <w:pPr>
              <w:widowControl/>
              <w:jc w:val="center"/>
              <w:rPr>
                <w:rFonts w:ascii="Calibri" w:hAnsi="Calibri" w:eastAsia="Calibri" w:cs="Calibri"/>
                <w:color w:val="000000"/>
                <w:sz w:val="16"/>
                <w:szCs w:val="16"/>
              </w:rPr>
            </w:pPr>
            <w:r w:rsidRPr="00A34CF7">
              <w:rPr>
                <w:rFonts w:ascii="Calibri" w:hAnsi="Calibri" w:eastAsia="Calibri" w:cs="Calibri"/>
                <w:color w:val="000000"/>
                <w:sz w:val="16"/>
                <w:szCs w:val="16"/>
              </w:rPr>
              <w:t>Current</w:t>
            </w:r>
          </w:p>
        </w:tc>
        <w:tc>
          <w:tcPr>
            <w:tcW w:w="900" w:type="dxa"/>
            <w:tcBorders>
              <w:top w:val="nil"/>
              <w:left w:val="nil"/>
              <w:bottom w:val="single" w:color="000000" w:sz="8" w:space="0"/>
              <w:right w:val="single" w:color="000000" w:sz="8" w:space="0"/>
            </w:tcBorders>
            <w:shd w:val="clear" w:color="auto" w:fill="FBE4D5"/>
            <w:vAlign w:val="center"/>
          </w:tcPr>
          <w:p w:rsidRPr="00A34CF7" w:rsidR="00B54A1D" w:rsidP="00651827" w:rsidRDefault="00A56326" w14:paraId="1358FE31" w14:textId="77777777">
            <w:pPr>
              <w:widowControl/>
              <w:jc w:val="center"/>
              <w:rPr>
                <w:rFonts w:ascii="Calibri" w:hAnsi="Calibri" w:eastAsia="Calibri" w:cs="Calibri"/>
                <w:color w:val="000000"/>
                <w:sz w:val="16"/>
                <w:szCs w:val="16"/>
              </w:rPr>
            </w:pPr>
            <w:r w:rsidRPr="00A34CF7">
              <w:rPr>
                <w:rFonts w:ascii="Calibri" w:hAnsi="Calibri" w:eastAsia="Calibri" w:cs="Calibri"/>
                <w:color w:val="000000"/>
                <w:sz w:val="16"/>
                <w:szCs w:val="16"/>
              </w:rPr>
              <w:t>Previous</w:t>
            </w:r>
          </w:p>
        </w:tc>
        <w:tc>
          <w:tcPr>
            <w:tcW w:w="468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Pr="00A34CF7" w:rsidR="00B54A1D" w:rsidP="00651827" w:rsidRDefault="00B54A1D" w14:paraId="581C5C71" w14:textId="77777777">
            <w:pPr>
              <w:pBdr>
                <w:top w:val="nil"/>
                <w:left w:val="nil"/>
                <w:bottom w:val="nil"/>
                <w:right w:val="nil"/>
                <w:between w:val="nil"/>
              </w:pBdr>
              <w:rPr>
                <w:rFonts w:ascii="Calibri" w:hAnsi="Calibri" w:eastAsia="Calibri" w:cs="Calibri"/>
                <w:color w:val="000000"/>
                <w:sz w:val="18"/>
                <w:szCs w:val="18"/>
              </w:rPr>
            </w:pPr>
          </w:p>
        </w:tc>
      </w:tr>
      <w:tr w:rsidRPr="00E86DCE" w:rsidR="00A34CF7" w:rsidTr="00933E4A" w14:paraId="452E89F4" w14:textId="77777777">
        <w:trPr>
          <w:trHeight w:val="747"/>
          <w:jc w:val="center"/>
        </w:trPr>
        <w:tc>
          <w:tcPr>
            <w:tcW w:w="2447" w:type="dxa"/>
            <w:tcBorders>
              <w:top w:val="nil"/>
              <w:left w:val="single" w:color="000000" w:sz="8" w:space="0"/>
              <w:bottom w:val="single" w:color="000000" w:sz="8" w:space="0"/>
              <w:right w:val="single" w:color="000000" w:sz="8" w:space="0"/>
            </w:tcBorders>
            <w:shd w:val="clear" w:color="auto" w:fill="auto"/>
            <w:vAlign w:val="center"/>
          </w:tcPr>
          <w:p w:rsidRPr="00A34CF7" w:rsidR="00B54A1D" w:rsidP="00651827" w:rsidRDefault="00F077F1" w14:paraId="22066A55" w14:textId="2FC774EF">
            <w:pPr>
              <w:widowControl/>
              <w:rPr>
                <w:rFonts w:eastAsia="Calibri" w:asciiTheme="minorHAnsi" w:hAnsiTheme="minorHAnsi" w:cstheme="minorHAnsi"/>
                <w:color w:val="000000"/>
                <w:sz w:val="18"/>
                <w:szCs w:val="18"/>
              </w:rPr>
            </w:pPr>
            <w:r w:rsidRPr="00A34CF7">
              <w:rPr>
                <w:rFonts w:eastAsia="Calibri" w:asciiTheme="minorHAnsi" w:hAnsiTheme="minorHAnsi" w:cstheme="minorHAnsi"/>
                <w:color w:val="000000"/>
                <w:sz w:val="18"/>
                <w:szCs w:val="18"/>
              </w:rPr>
              <w:t>Commercial Operator’s Annual Report</w:t>
            </w:r>
          </w:p>
        </w:tc>
        <w:tc>
          <w:tcPr>
            <w:tcW w:w="873" w:type="dxa"/>
            <w:tcBorders>
              <w:top w:val="nil"/>
              <w:left w:val="nil"/>
              <w:bottom w:val="dotted" w:color="000000" w:sz="4" w:space="0"/>
              <w:right w:val="dashed" w:color="000000" w:sz="8" w:space="0"/>
            </w:tcBorders>
            <w:shd w:val="clear" w:color="auto" w:fill="auto"/>
            <w:vAlign w:val="center"/>
          </w:tcPr>
          <w:p w:rsidRPr="00A34CF7" w:rsidR="00B54A1D" w:rsidP="00651827" w:rsidRDefault="00A56326" w14:paraId="6B29F832" w14:textId="1F818205">
            <w:pPr>
              <w:widowControl/>
              <w:jc w:val="center"/>
              <w:rPr>
                <w:rFonts w:eastAsia="Calibri" w:asciiTheme="minorHAnsi" w:hAnsiTheme="minorHAnsi" w:cstheme="minorHAnsi"/>
                <w:color w:val="000000"/>
                <w:sz w:val="18"/>
                <w:szCs w:val="18"/>
              </w:rPr>
            </w:pPr>
            <w:r w:rsidRPr="00A34CF7">
              <w:rPr>
                <w:rFonts w:eastAsia="Calibri" w:asciiTheme="minorHAnsi" w:hAnsiTheme="minorHAnsi" w:cstheme="minorHAnsi"/>
                <w:color w:val="000000"/>
                <w:sz w:val="18"/>
                <w:szCs w:val="18"/>
              </w:rPr>
              <w:t> </w:t>
            </w:r>
            <w:r w:rsidRPr="00A34CF7" w:rsidR="008F3F82">
              <w:rPr>
                <w:rFonts w:eastAsia="Calibri" w:asciiTheme="minorHAnsi" w:hAnsiTheme="minorHAnsi" w:cstheme="minorHAnsi"/>
                <w:color w:val="000000"/>
                <w:sz w:val="18"/>
                <w:szCs w:val="18"/>
              </w:rPr>
              <w:t>$24,313</w:t>
            </w:r>
          </w:p>
        </w:tc>
        <w:tc>
          <w:tcPr>
            <w:tcW w:w="900" w:type="dxa"/>
            <w:tcBorders>
              <w:top w:val="nil"/>
              <w:left w:val="nil"/>
              <w:bottom w:val="dotted" w:color="000000" w:sz="4" w:space="0"/>
              <w:right w:val="single" w:color="000000" w:sz="8" w:space="0"/>
            </w:tcBorders>
            <w:shd w:val="clear" w:color="auto" w:fill="auto"/>
            <w:vAlign w:val="center"/>
          </w:tcPr>
          <w:p w:rsidRPr="00A34CF7" w:rsidR="00B54A1D" w:rsidP="00651827" w:rsidRDefault="007203F4" w14:paraId="442394A5" w14:textId="2E87C690">
            <w:pPr>
              <w:widowControl/>
              <w:jc w:val="center"/>
              <w:rPr>
                <w:rFonts w:eastAsia="Calibri" w:asciiTheme="minorHAnsi" w:hAnsiTheme="minorHAnsi" w:cstheme="minorHAnsi"/>
                <w:color w:val="000000"/>
                <w:sz w:val="18"/>
                <w:szCs w:val="18"/>
              </w:rPr>
            </w:pPr>
            <w:r w:rsidRPr="00A34CF7">
              <w:rPr>
                <w:rFonts w:asciiTheme="minorHAnsi" w:hAnsiTheme="minorHAnsi" w:cstheme="minorHAnsi"/>
                <w:sz w:val="18"/>
                <w:szCs w:val="18"/>
              </w:rPr>
              <w:t>$29,008</w:t>
            </w:r>
          </w:p>
        </w:tc>
        <w:tc>
          <w:tcPr>
            <w:tcW w:w="810" w:type="dxa"/>
            <w:tcBorders>
              <w:top w:val="nil"/>
              <w:left w:val="nil"/>
              <w:bottom w:val="dotted" w:color="000000" w:sz="4" w:space="0"/>
              <w:right w:val="dashed" w:color="000000" w:sz="8" w:space="0"/>
            </w:tcBorders>
            <w:shd w:val="clear" w:color="auto" w:fill="auto"/>
            <w:vAlign w:val="center"/>
          </w:tcPr>
          <w:p w:rsidRPr="00A34CF7" w:rsidR="00B54A1D" w:rsidP="00651827" w:rsidRDefault="008F3F82" w14:paraId="240A48CC" w14:textId="67588D24">
            <w:pPr>
              <w:widowControl/>
              <w:jc w:val="center"/>
              <w:rPr>
                <w:rFonts w:eastAsia="Calibri" w:asciiTheme="minorHAnsi" w:hAnsiTheme="minorHAnsi" w:cstheme="minorHAnsi"/>
                <w:color w:val="000000"/>
                <w:sz w:val="18"/>
                <w:szCs w:val="18"/>
              </w:rPr>
            </w:pPr>
            <w:r w:rsidRPr="00A34CF7">
              <w:rPr>
                <w:rFonts w:eastAsia="Calibri" w:asciiTheme="minorHAnsi" w:hAnsiTheme="minorHAnsi" w:cstheme="minorHAnsi"/>
                <w:color w:val="000000"/>
                <w:sz w:val="18"/>
                <w:szCs w:val="18"/>
              </w:rPr>
              <w:t>$360</w:t>
            </w:r>
          </w:p>
        </w:tc>
        <w:tc>
          <w:tcPr>
            <w:tcW w:w="900" w:type="dxa"/>
            <w:tcBorders>
              <w:top w:val="nil"/>
              <w:left w:val="nil"/>
              <w:bottom w:val="dotted" w:color="000000" w:sz="4" w:space="0"/>
              <w:right w:val="single" w:color="000000" w:sz="8" w:space="0"/>
            </w:tcBorders>
            <w:shd w:val="clear" w:color="auto" w:fill="auto"/>
            <w:vAlign w:val="center"/>
          </w:tcPr>
          <w:p w:rsidRPr="00A34CF7" w:rsidR="00B54A1D" w:rsidP="00651827" w:rsidRDefault="007203F4" w14:paraId="39977F32" w14:textId="419B60C0">
            <w:pPr>
              <w:widowControl/>
              <w:jc w:val="center"/>
              <w:rPr>
                <w:rFonts w:eastAsia="Calibri" w:asciiTheme="minorHAnsi" w:hAnsiTheme="minorHAnsi" w:cstheme="minorHAnsi"/>
                <w:color w:val="000000"/>
                <w:sz w:val="18"/>
                <w:szCs w:val="18"/>
              </w:rPr>
            </w:pPr>
            <w:r w:rsidRPr="00A34CF7">
              <w:rPr>
                <w:rFonts w:eastAsia="Calibri" w:asciiTheme="minorHAnsi" w:hAnsiTheme="minorHAnsi" w:cstheme="minorHAnsi"/>
                <w:color w:val="000000"/>
                <w:sz w:val="18"/>
                <w:szCs w:val="18"/>
              </w:rPr>
              <w:t>$392</w:t>
            </w:r>
          </w:p>
        </w:tc>
        <w:tc>
          <w:tcPr>
            <w:tcW w:w="4680" w:type="dxa"/>
            <w:tcBorders>
              <w:top w:val="nil"/>
              <w:left w:val="nil"/>
              <w:bottom w:val="dotted" w:color="000000" w:sz="4" w:space="0"/>
              <w:right w:val="single" w:color="000000" w:sz="8" w:space="0"/>
            </w:tcBorders>
            <w:shd w:val="clear" w:color="auto" w:fill="auto"/>
            <w:vAlign w:val="center"/>
          </w:tcPr>
          <w:p w:rsidRPr="00A34CF7" w:rsidR="008F3F82" w:rsidP="00651827" w:rsidRDefault="008F3F82" w14:paraId="0D6EA363" w14:textId="26B2A5CF">
            <w:pPr>
              <w:widowControl/>
              <w:rPr>
                <w:rFonts w:eastAsia="Calibri" w:asciiTheme="minorHAnsi" w:hAnsiTheme="minorHAnsi" w:cstheme="minorHAnsi"/>
                <w:color w:val="000000"/>
                <w:sz w:val="18"/>
                <w:szCs w:val="18"/>
              </w:rPr>
            </w:pPr>
            <w:r w:rsidRPr="00007A4E">
              <w:rPr>
                <w:rFonts w:eastAsia="Calibri" w:asciiTheme="minorHAnsi" w:hAnsiTheme="minorHAnsi" w:cstheme="minorHAnsi"/>
                <w:color w:val="000000"/>
                <w:sz w:val="18"/>
                <w:szCs w:val="18"/>
              </w:rPr>
              <w:t xml:space="preserve">Labor Costs: </w:t>
            </w:r>
            <w:proofErr w:type="gramStart"/>
            <w:r w:rsidR="00007A4E">
              <w:rPr>
                <w:rFonts w:eastAsia="Calibri" w:asciiTheme="minorHAnsi" w:hAnsiTheme="minorHAnsi" w:cstheme="minorHAnsi"/>
                <w:color w:val="000000"/>
                <w:sz w:val="18"/>
                <w:szCs w:val="18"/>
              </w:rPr>
              <w:t>I</w:t>
            </w:r>
            <w:r w:rsidRPr="00007A4E" w:rsidR="00007A4E">
              <w:rPr>
                <w:rFonts w:eastAsia="Calibri" w:asciiTheme="minorHAnsi" w:hAnsiTheme="minorHAnsi" w:cstheme="minorHAnsi"/>
                <w:color w:val="000000"/>
                <w:sz w:val="18"/>
                <w:szCs w:val="18"/>
              </w:rPr>
              <w:t>s now based</w:t>
            </w:r>
            <w:proofErr w:type="gramEnd"/>
            <w:r w:rsidRPr="00007A4E" w:rsidR="00007A4E">
              <w:rPr>
                <w:rFonts w:eastAsia="Calibri" w:asciiTheme="minorHAnsi" w:hAnsiTheme="minorHAnsi" w:cstheme="minorHAnsi"/>
                <w:color w:val="000000"/>
                <w:sz w:val="18"/>
                <w:szCs w:val="18"/>
              </w:rPr>
              <w:t xml:space="preserve"> on</w:t>
            </w:r>
            <w:r w:rsidR="000D3702">
              <w:rPr>
                <w:rFonts w:eastAsia="Calibri" w:asciiTheme="minorHAnsi" w:hAnsiTheme="minorHAnsi" w:cstheme="minorHAnsi"/>
                <w:color w:val="000000"/>
                <w:sz w:val="18"/>
                <w:szCs w:val="18"/>
              </w:rPr>
              <w:t xml:space="preserve"> a</w:t>
            </w:r>
            <w:r w:rsidRPr="00007A4E" w:rsidR="00007A4E">
              <w:rPr>
                <w:rFonts w:eastAsia="Calibri" w:asciiTheme="minorHAnsi" w:hAnsiTheme="minorHAnsi" w:cstheme="minorHAnsi"/>
                <w:color w:val="000000"/>
                <w:sz w:val="18"/>
                <w:szCs w:val="18"/>
              </w:rPr>
              <w:t xml:space="preserve"> BLS hourly wage rate</w:t>
            </w:r>
            <w:r w:rsidR="00007A4E">
              <w:rPr>
                <w:rFonts w:eastAsia="Calibri" w:asciiTheme="minorHAnsi" w:hAnsiTheme="minorHAnsi" w:cstheme="minorHAnsi"/>
                <w:color w:val="000000"/>
                <w:sz w:val="18"/>
                <w:szCs w:val="18"/>
              </w:rPr>
              <w:t>.</w:t>
            </w:r>
          </w:p>
          <w:p w:rsidRPr="00A34CF7" w:rsidR="00B54A1D" w:rsidP="00651827" w:rsidRDefault="00094D57" w14:paraId="03F766C7" w14:textId="2DCF9756">
            <w:pPr>
              <w:widowControl/>
              <w:rPr>
                <w:rFonts w:eastAsia="Calibri" w:asciiTheme="minorHAnsi" w:hAnsiTheme="minorHAnsi" w:cstheme="minorHAnsi"/>
                <w:color w:val="000000"/>
                <w:sz w:val="18"/>
                <w:szCs w:val="18"/>
              </w:rPr>
            </w:pPr>
            <w:r w:rsidRPr="00A34CF7">
              <w:rPr>
                <w:rFonts w:eastAsia="Calibri" w:asciiTheme="minorHAnsi" w:hAnsiTheme="minorHAnsi" w:cstheme="minorHAnsi"/>
                <w:color w:val="000000"/>
                <w:sz w:val="18"/>
                <w:szCs w:val="18"/>
              </w:rPr>
              <w:t xml:space="preserve">Misc. Costs: </w:t>
            </w:r>
            <w:r w:rsidRPr="00A34CF7" w:rsidR="00775816">
              <w:rPr>
                <w:rFonts w:eastAsia="Calibri" w:asciiTheme="minorHAnsi" w:hAnsiTheme="minorHAnsi" w:cstheme="minorHAnsi"/>
                <w:color w:val="000000"/>
                <w:sz w:val="18"/>
                <w:szCs w:val="18"/>
              </w:rPr>
              <w:t xml:space="preserve">Revised </w:t>
            </w:r>
            <w:r w:rsidR="00007A4E">
              <w:rPr>
                <w:rFonts w:eastAsia="Calibri" w:asciiTheme="minorHAnsi" w:hAnsiTheme="minorHAnsi" w:cstheme="minorHAnsi"/>
                <w:color w:val="000000"/>
                <w:sz w:val="18"/>
                <w:szCs w:val="18"/>
              </w:rPr>
              <w:t xml:space="preserve">the </w:t>
            </w:r>
            <w:r w:rsidRPr="00A34CF7" w:rsidR="00775816">
              <w:rPr>
                <w:rFonts w:eastAsia="Calibri" w:asciiTheme="minorHAnsi" w:hAnsiTheme="minorHAnsi" w:cstheme="minorHAnsi"/>
                <w:color w:val="000000"/>
                <w:sz w:val="18"/>
                <w:szCs w:val="18"/>
              </w:rPr>
              <w:t>amount to account for typical inclusive general office services packages.</w:t>
            </w:r>
          </w:p>
        </w:tc>
      </w:tr>
      <w:tr w:rsidRPr="007C301D" w:rsidR="00A34CF7" w:rsidTr="00933E4A" w14:paraId="65F052FA" w14:textId="77777777">
        <w:trPr>
          <w:trHeight w:val="297"/>
          <w:jc w:val="center"/>
        </w:trPr>
        <w:tc>
          <w:tcPr>
            <w:tcW w:w="2447" w:type="dxa"/>
            <w:tcBorders>
              <w:top w:val="single" w:color="000000" w:sz="8" w:space="0"/>
              <w:left w:val="single" w:color="000000" w:sz="8" w:space="0"/>
              <w:bottom w:val="single" w:color="000000" w:sz="8" w:space="0"/>
              <w:right w:val="nil"/>
            </w:tcBorders>
            <w:shd w:val="clear" w:color="auto" w:fill="FCE4D6"/>
            <w:vAlign w:val="center"/>
          </w:tcPr>
          <w:p w:rsidRPr="00A34CF7" w:rsidR="00B54A1D" w:rsidP="00651827" w:rsidRDefault="00A56326" w14:paraId="69FC5AC1" w14:textId="77777777">
            <w:pPr>
              <w:widowControl/>
              <w:jc w:val="center"/>
              <w:rPr>
                <w:rFonts w:ascii="Calibri" w:hAnsi="Calibri" w:eastAsia="Calibri" w:cs="Calibri"/>
                <w:b/>
                <w:color w:val="000000"/>
                <w:sz w:val="18"/>
                <w:szCs w:val="18"/>
              </w:rPr>
            </w:pPr>
            <w:r w:rsidRPr="00A34CF7">
              <w:rPr>
                <w:rFonts w:ascii="Calibri" w:hAnsi="Calibri" w:eastAsia="Calibri" w:cs="Calibri"/>
                <w:b/>
                <w:color w:val="000000"/>
                <w:sz w:val="18"/>
                <w:szCs w:val="18"/>
              </w:rPr>
              <w:t>Difference</w:t>
            </w:r>
          </w:p>
        </w:tc>
        <w:tc>
          <w:tcPr>
            <w:tcW w:w="1773"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Pr="00A34CF7" w:rsidR="00B54A1D" w:rsidP="00651827" w:rsidRDefault="00A56326" w14:paraId="11327DBA" w14:textId="2514BB40">
            <w:pPr>
              <w:widowControl/>
              <w:jc w:val="center"/>
              <w:rPr>
                <w:rFonts w:ascii="Calibri" w:hAnsi="Calibri" w:eastAsia="Calibri" w:cs="Calibri"/>
                <w:color w:val="000000"/>
                <w:sz w:val="18"/>
                <w:szCs w:val="18"/>
              </w:rPr>
            </w:pPr>
            <w:r w:rsidRPr="00A34CF7">
              <w:rPr>
                <w:rFonts w:ascii="Calibri" w:hAnsi="Calibri" w:eastAsia="Calibri" w:cs="Calibri"/>
                <w:color w:val="000000"/>
                <w:sz w:val="18"/>
                <w:szCs w:val="18"/>
              </w:rPr>
              <w:t> </w:t>
            </w:r>
            <w:r w:rsidRPr="00A34CF7" w:rsidR="008F3F82">
              <w:rPr>
                <w:rFonts w:ascii="Calibri" w:hAnsi="Calibri" w:eastAsia="Calibri" w:cs="Calibri"/>
                <w:color w:val="000000"/>
                <w:sz w:val="18"/>
                <w:szCs w:val="18"/>
              </w:rPr>
              <w:t>- $4,695</w:t>
            </w:r>
          </w:p>
        </w:tc>
        <w:tc>
          <w:tcPr>
            <w:tcW w:w="1710" w:type="dxa"/>
            <w:gridSpan w:val="2"/>
            <w:tcBorders>
              <w:top w:val="single" w:color="000000" w:sz="8" w:space="0"/>
              <w:left w:val="nil"/>
              <w:bottom w:val="single" w:color="000000" w:sz="8" w:space="0"/>
              <w:right w:val="single" w:color="000000" w:sz="4" w:space="0"/>
            </w:tcBorders>
            <w:shd w:val="clear" w:color="auto" w:fill="FCE4D6"/>
            <w:vAlign w:val="center"/>
          </w:tcPr>
          <w:p w:rsidRPr="00A34CF7" w:rsidR="00B54A1D" w:rsidP="00651827" w:rsidRDefault="008F3F82" w14:paraId="590DF35A" w14:textId="3BA720D3">
            <w:pPr>
              <w:widowControl/>
              <w:jc w:val="center"/>
              <w:rPr>
                <w:rFonts w:ascii="Calibri" w:hAnsi="Calibri" w:eastAsia="Calibri" w:cs="Calibri"/>
                <w:color w:val="000000"/>
                <w:sz w:val="18"/>
                <w:szCs w:val="18"/>
              </w:rPr>
            </w:pPr>
            <w:r w:rsidRPr="00A34CF7">
              <w:rPr>
                <w:rFonts w:ascii="Calibri" w:hAnsi="Calibri" w:eastAsia="Calibri" w:cs="Calibri"/>
                <w:color w:val="000000"/>
                <w:sz w:val="18"/>
                <w:szCs w:val="18"/>
              </w:rPr>
              <w:t>- $32</w:t>
            </w:r>
            <w:r w:rsidRPr="00A34CF7" w:rsidR="00A56326">
              <w:rPr>
                <w:rFonts w:ascii="Calibri" w:hAnsi="Calibri" w:eastAsia="Calibri" w:cs="Calibri"/>
                <w:color w:val="000000"/>
                <w:sz w:val="18"/>
                <w:szCs w:val="18"/>
              </w:rPr>
              <w:t> </w:t>
            </w:r>
          </w:p>
        </w:tc>
        <w:tc>
          <w:tcPr>
            <w:tcW w:w="4680" w:type="dxa"/>
            <w:tcBorders>
              <w:top w:val="single" w:color="000000" w:sz="8" w:space="0"/>
              <w:left w:val="nil"/>
              <w:bottom w:val="single" w:color="000000" w:sz="8" w:space="0"/>
              <w:right w:val="single" w:color="000000" w:sz="8" w:space="0"/>
            </w:tcBorders>
            <w:shd w:val="clear" w:color="auto" w:fill="000000"/>
            <w:vAlign w:val="center"/>
          </w:tcPr>
          <w:p w:rsidRPr="00A34CF7" w:rsidR="00B54A1D" w:rsidP="00651827" w:rsidRDefault="00A56326" w14:paraId="073DB909" w14:textId="77777777">
            <w:pPr>
              <w:widowControl/>
              <w:rPr>
                <w:rFonts w:ascii="Calibri" w:hAnsi="Calibri" w:eastAsia="Calibri" w:cs="Calibri"/>
                <w:color w:val="000000"/>
                <w:sz w:val="18"/>
                <w:szCs w:val="18"/>
              </w:rPr>
            </w:pPr>
            <w:r w:rsidRPr="00A34CF7">
              <w:rPr>
                <w:rFonts w:ascii="Calibri" w:hAnsi="Calibri" w:eastAsia="Calibri" w:cs="Calibri"/>
                <w:color w:val="000000"/>
                <w:sz w:val="18"/>
                <w:szCs w:val="18"/>
              </w:rPr>
              <w:t> </w:t>
            </w:r>
          </w:p>
        </w:tc>
      </w:tr>
    </w:tbl>
    <w:p w:rsidR="00B54A1D" w:rsidP="00651827" w:rsidRDefault="00B54A1D" w14:paraId="2238CAF8" w14:textId="797DBCE8">
      <w:pPr>
        <w:pBdr>
          <w:top w:val="nil"/>
          <w:left w:val="nil"/>
          <w:bottom w:val="nil"/>
          <w:right w:val="nil"/>
          <w:between w:val="nil"/>
        </w:pBdr>
        <w:rPr>
          <w:b/>
          <w:color w:val="000000"/>
        </w:rPr>
      </w:pPr>
    </w:p>
    <w:p w:rsidR="00A34CF7" w:rsidP="00651827" w:rsidRDefault="00A34CF7" w14:paraId="67C50850" w14:textId="77777777">
      <w:pPr>
        <w:pBdr>
          <w:top w:val="nil"/>
          <w:left w:val="nil"/>
          <w:bottom w:val="nil"/>
          <w:right w:val="nil"/>
          <w:between w:val="nil"/>
        </w:pBdr>
        <w:rPr>
          <w:b/>
          <w:color w:val="000000"/>
        </w:rPr>
      </w:pPr>
    </w:p>
    <w:p w:rsidR="00B54A1D" w:rsidP="00651827" w:rsidRDefault="00EE1623" w14:paraId="77CF537F" w14:textId="6FB5321B">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A56326">
        <w:rPr>
          <w:b/>
          <w:color w:val="000000"/>
        </w:rPr>
        <w:t xml:space="preserve">For collections of information whose results </w:t>
      </w:r>
      <w:proofErr w:type="gramStart"/>
      <w:r w:rsidR="00A56326">
        <w:rPr>
          <w:b/>
          <w:color w:val="000000"/>
        </w:rPr>
        <w:t>will be published</w:t>
      </w:r>
      <w:proofErr w:type="gramEnd"/>
      <w:r w:rsidR="00A56326">
        <w:rPr>
          <w:b/>
          <w:color w:val="000000"/>
        </w:rPr>
        <w:t xml:space="preserve">, outline plans for tabulation and publication. Address any complex analytical techniques that </w:t>
      </w:r>
      <w:proofErr w:type="gramStart"/>
      <w:r w:rsidR="00A56326">
        <w:rPr>
          <w:b/>
          <w:color w:val="000000"/>
        </w:rPr>
        <w:t>will be used</w:t>
      </w:r>
      <w:proofErr w:type="gramEnd"/>
      <w:r w:rsidR="00A56326">
        <w:rPr>
          <w:b/>
          <w:color w:val="000000"/>
        </w:rPr>
        <w:t>. Provide the time schedule for the entire project, including beginning and ending dates of the collection of information, completion of report, publication dates, and other actions.</w:t>
      </w:r>
    </w:p>
    <w:p w:rsidR="00F51C04" w:rsidP="00651827" w:rsidRDefault="00F51C04" w14:paraId="184574BF" w14:textId="60F45D34">
      <w:pPr>
        <w:widowControl/>
        <w:pBdr>
          <w:top w:val="nil"/>
          <w:left w:val="nil"/>
          <w:bottom w:val="nil"/>
          <w:right w:val="nil"/>
          <w:between w:val="nil"/>
        </w:pBdr>
      </w:pPr>
    </w:p>
    <w:p w:rsidRPr="00586438" w:rsidR="00586438" w:rsidP="00651827" w:rsidRDefault="00586438" w14:paraId="4CEBFCA2" w14:textId="79DD8750">
      <w:pPr>
        <w:widowControl/>
        <w:tabs>
          <w:tab w:val="left" w:pos="360"/>
          <w:tab w:val="left" w:pos="720"/>
          <w:tab w:val="left" w:pos="1080"/>
        </w:tabs>
        <w:autoSpaceDE w:val="0"/>
        <w:autoSpaceDN w:val="0"/>
        <w:adjustRightInd w:val="0"/>
      </w:pPr>
      <w:r w:rsidRPr="00EE1623">
        <w:t xml:space="preserve">Individual data </w:t>
      </w:r>
      <w:r w:rsidRPr="00EE1623" w:rsidR="00EE1623">
        <w:t xml:space="preserve">from the COAR is confidential. </w:t>
      </w:r>
      <w:r w:rsidRPr="00EE1623">
        <w:t xml:space="preserve">The public (e.g., </w:t>
      </w:r>
      <w:proofErr w:type="gramStart"/>
      <w:r w:rsidRPr="00EE1623">
        <w:t>fishermen</w:t>
      </w:r>
      <w:proofErr w:type="gramEnd"/>
      <w:r w:rsidRPr="00EE1623">
        <w:t>, researchers, economists) requests and receives ad hoc reports (non</w:t>
      </w:r>
      <w:r w:rsidRPr="00EE1623">
        <w:noBreakHyphen/>
        <w:t>confidential data) from COAR data for various reasons.</w:t>
      </w:r>
      <w:r w:rsidR="005F4D30">
        <w:t xml:space="preserve"> </w:t>
      </w:r>
      <w:r w:rsidRPr="00EE1623">
        <w:t xml:space="preserve"> </w:t>
      </w:r>
      <w:r w:rsidRPr="00EE1623">
        <w:lastRenderedPageBreak/>
        <w:t xml:space="preserve">NMFS economists use data from COAR for a variety of tables that appear in an economic appendix to the annual Stock Assessment and Fishery Evaluation reports </w:t>
      </w:r>
      <w:proofErr w:type="gramStart"/>
      <w:r w:rsidRPr="00EE1623">
        <w:t>and also</w:t>
      </w:r>
      <w:proofErr w:type="gramEnd"/>
      <w:r w:rsidRPr="00EE1623">
        <w:t xml:space="preserve"> in regulatory analyses for groundfish fisheries such as supplemental environmental impact statements and regulatory impact reviews.</w:t>
      </w:r>
    </w:p>
    <w:p w:rsidRPr="00FC52DE" w:rsidR="00A34CF7" w:rsidP="00651827" w:rsidRDefault="00A34CF7" w14:paraId="09D0513F" w14:textId="77777777">
      <w:pPr>
        <w:widowControl/>
        <w:pBdr>
          <w:top w:val="nil"/>
          <w:left w:val="nil"/>
          <w:bottom w:val="nil"/>
          <w:right w:val="nil"/>
          <w:between w:val="nil"/>
        </w:pBdr>
      </w:pPr>
    </w:p>
    <w:p w:rsidR="00B54A1D" w:rsidP="00651827" w:rsidRDefault="00EE1623" w14:paraId="4694476C" w14:textId="146F6134">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A56326">
        <w:rPr>
          <w:b/>
          <w:color w:val="000000"/>
        </w:rPr>
        <w:t xml:space="preserve">If seeking approval </w:t>
      </w:r>
      <w:proofErr w:type="gramStart"/>
      <w:r w:rsidR="00A56326">
        <w:rPr>
          <w:b/>
          <w:color w:val="000000"/>
        </w:rPr>
        <w:t>to not display</w:t>
      </w:r>
      <w:proofErr w:type="gramEnd"/>
      <w:r w:rsidR="00A56326">
        <w:rPr>
          <w:b/>
          <w:color w:val="000000"/>
        </w:rPr>
        <w:t xml:space="preserve"> the expiration date for OMB approval of the information collection, explain the reasons that display would be inappropriate.</w:t>
      </w:r>
    </w:p>
    <w:p w:rsidRPr="00282920" w:rsidR="00F51C04" w:rsidP="00651827" w:rsidRDefault="00F51C04" w14:paraId="0009A59D" w14:textId="1447B9CE">
      <w:pPr>
        <w:widowControl/>
        <w:rPr>
          <w:color w:val="2F5496"/>
        </w:rPr>
      </w:pPr>
    </w:p>
    <w:p w:rsidRPr="00586438" w:rsidR="00586438" w:rsidP="00651827" w:rsidRDefault="005F2434" w14:paraId="1D8BB68B" w14:textId="134DBE9F">
      <w:pPr>
        <w:widowControl/>
        <w:tabs>
          <w:tab w:val="left" w:pos="360"/>
          <w:tab w:val="left" w:pos="720"/>
          <w:tab w:val="left" w:pos="1080"/>
        </w:tabs>
        <w:autoSpaceDE w:val="0"/>
        <w:autoSpaceDN w:val="0"/>
        <w:adjustRightInd w:val="0"/>
      </w:pPr>
      <w:r w:rsidRPr="005F2434">
        <w:t xml:space="preserve">The OMB control number and expiration date </w:t>
      </w:r>
      <w:proofErr w:type="gramStart"/>
      <w:r w:rsidRPr="005F2434">
        <w:t>will not be displayed</w:t>
      </w:r>
      <w:proofErr w:type="gramEnd"/>
      <w:r w:rsidRPr="005F2434">
        <w:t xml:space="preserve"> because </w:t>
      </w:r>
      <w:r>
        <w:t>the COAR is a State of Alaska form</w:t>
      </w:r>
      <w:r w:rsidRPr="005F2434">
        <w:t>.</w:t>
      </w:r>
      <w:r w:rsidR="005F4D30">
        <w:t xml:space="preserve"> </w:t>
      </w:r>
    </w:p>
    <w:p w:rsidRPr="00693666" w:rsidR="00B54A1D" w:rsidP="00651827" w:rsidRDefault="00B54A1D" w14:paraId="3D509557" w14:textId="77777777">
      <w:pPr>
        <w:widowControl/>
      </w:pPr>
    </w:p>
    <w:p w:rsidR="00B54A1D" w:rsidP="00651827" w:rsidRDefault="00E64A72" w14:paraId="577DEF50" w14:textId="07E3D5A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A56326">
        <w:rPr>
          <w:b/>
          <w:color w:val="000000"/>
        </w:rPr>
        <w:t>Explain each exception to the certification statement identified in “Certification for Paperwork Reduction Act Submissions."</w:t>
      </w:r>
    </w:p>
    <w:p w:rsidR="00693666" w:rsidP="00651827" w:rsidRDefault="00693666" w14:paraId="3B99D51C" w14:textId="77777777">
      <w:pPr>
        <w:widowControl/>
        <w:jc w:val="both"/>
      </w:pPr>
    </w:p>
    <w:p w:rsidR="00B54A1D" w:rsidP="00651827" w:rsidRDefault="00A56326" w14:paraId="7F0B237C" w14:textId="02D835EF">
      <w:pPr>
        <w:widowControl/>
        <w:jc w:val="both"/>
      </w:pPr>
      <w:r>
        <w:t>The agency certifies comp</w:t>
      </w:r>
      <w:bookmarkStart w:name="_GoBack" w:id="0"/>
      <w:bookmarkEnd w:id="0"/>
      <w:r>
        <w:t xml:space="preserve">liance with </w:t>
      </w:r>
      <w:hyperlink r:id="rId30">
        <w:r>
          <w:rPr>
            <w:color w:val="0563C1"/>
            <w:u w:val="single"/>
          </w:rPr>
          <w:t>5 CFR 1320.9</w:t>
        </w:r>
      </w:hyperlink>
      <w:hyperlink r:id="rId31">
        <w:r>
          <w:rPr>
            <w:color w:val="0563C1"/>
          </w:rPr>
          <w:t xml:space="preserve"> </w:t>
        </w:r>
      </w:hyperlink>
      <w:r>
        <w:t xml:space="preserve">and the related provisions of </w:t>
      </w:r>
      <w:hyperlink r:id="rId32">
        <w:r>
          <w:rPr>
            <w:color w:val="0563C1"/>
            <w:u w:val="single"/>
          </w:rPr>
          <w:t>5 CFR</w:t>
        </w:r>
      </w:hyperlink>
      <w:r>
        <w:rPr>
          <w:color w:val="0563C1"/>
        </w:rPr>
        <w:t xml:space="preserve"> </w:t>
      </w:r>
      <w:hyperlink r:id="rId33">
        <w:r>
          <w:rPr>
            <w:color w:val="0563C1"/>
            <w:u w:val="single"/>
          </w:rPr>
          <w:t>1320.8(b)(3)</w:t>
        </w:r>
      </w:hyperlink>
      <w:r>
        <w:t>.</w:t>
      </w:r>
    </w:p>
    <w:p w:rsidR="00B54A1D" w:rsidP="00651827" w:rsidRDefault="00B54A1D" w14:paraId="695D5B75" w14:textId="77777777">
      <w:pPr>
        <w:widowControl/>
        <w:jc w:val="both"/>
      </w:pPr>
    </w:p>
    <w:p w:rsidR="00B54A1D" w:rsidP="00651827" w:rsidRDefault="00B54A1D" w14:paraId="3D8A8AD2" w14:textId="77777777">
      <w:pPr>
        <w:widowControl/>
        <w:jc w:val="both"/>
      </w:pPr>
    </w:p>
    <w:sectPr w:rsidR="00B54A1D" w:rsidSect="00631FA6">
      <w:pgSz w:w="12240" w:h="15840"/>
      <w:pgMar w:top="1080" w:right="1080" w:bottom="1440" w:left="108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A96FA" w14:textId="77777777" w:rsidR="00D91563" w:rsidRDefault="00D91563">
      <w:r>
        <w:separator/>
      </w:r>
    </w:p>
  </w:endnote>
  <w:endnote w:type="continuationSeparator" w:id="0">
    <w:p w14:paraId="587F5639" w14:textId="77777777" w:rsidR="00D91563" w:rsidRDefault="00D9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773871"/>
      <w:docPartObj>
        <w:docPartGallery w:val="Page Numbers (Bottom of Page)"/>
        <w:docPartUnique/>
      </w:docPartObj>
    </w:sdtPr>
    <w:sdtEndPr>
      <w:rPr>
        <w:noProof/>
        <w:sz w:val="20"/>
        <w:szCs w:val="20"/>
      </w:rPr>
    </w:sdtEndPr>
    <w:sdtContent>
      <w:p w14:paraId="4A08AECE" w14:textId="20827110" w:rsidR="007B0562" w:rsidRPr="006B7B47" w:rsidRDefault="007B0562">
        <w:pPr>
          <w:pStyle w:val="Footer"/>
          <w:jc w:val="center"/>
          <w:rPr>
            <w:sz w:val="20"/>
            <w:szCs w:val="20"/>
          </w:rPr>
        </w:pPr>
        <w:r w:rsidRPr="006B7B47">
          <w:rPr>
            <w:sz w:val="20"/>
            <w:szCs w:val="20"/>
          </w:rPr>
          <w:fldChar w:fldCharType="begin"/>
        </w:r>
        <w:r w:rsidRPr="006B7B47">
          <w:rPr>
            <w:sz w:val="20"/>
            <w:szCs w:val="20"/>
          </w:rPr>
          <w:instrText xml:space="preserve"> PAGE   \* MERGEFORMAT </w:instrText>
        </w:r>
        <w:r w:rsidRPr="006B7B47">
          <w:rPr>
            <w:sz w:val="20"/>
            <w:szCs w:val="20"/>
          </w:rPr>
          <w:fldChar w:fldCharType="separate"/>
        </w:r>
        <w:r w:rsidR="00A23935">
          <w:rPr>
            <w:noProof/>
            <w:sz w:val="20"/>
            <w:szCs w:val="20"/>
          </w:rPr>
          <w:t>8</w:t>
        </w:r>
        <w:r w:rsidRPr="006B7B47">
          <w:rPr>
            <w:noProof/>
            <w:sz w:val="20"/>
            <w:szCs w:val="20"/>
          </w:rPr>
          <w:fldChar w:fldCharType="end"/>
        </w:r>
      </w:p>
    </w:sdtContent>
  </w:sdt>
  <w:p w14:paraId="2518E07C" w14:textId="2D4706F5" w:rsidR="00E96AEB" w:rsidRDefault="00E96AEB">
    <w:pPr>
      <w:pBdr>
        <w:top w:val="nil"/>
        <w:left w:val="nil"/>
        <w:bottom w:val="nil"/>
        <w:right w:val="nil"/>
        <w:between w:val="nil"/>
      </w:pBdr>
      <w:spacing w:line="14" w:lineRule="auto"/>
      <w:rPr>
        <w:color w:val="000000"/>
        <w:sz w:val="20"/>
        <w:szCs w:val="20"/>
      </w:rPr>
    </w:pPr>
  </w:p>
  <w:p w14:paraId="18E2A90B" w14:textId="77777777" w:rsidR="006B7B47" w:rsidRDefault="006B7B4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715AA" w14:textId="77777777" w:rsidR="00D91563" w:rsidRDefault="00D91563">
      <w:r>
        <w:separator/>
      </w:r>
    </w:p>
  </w:footnote>
  <w:footnote w:type="continuationSeparator" w:id="0">
    <w:p w14:paraId="0F9B59E4" w14:textId="77777777" w:rsidR="00D91563" w:rsidRDefault="00D91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E4115"/>
    <w:multiLevelType w:val="multilevel"/>
    <w:tmpl w:val="1430F3E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15:restartNumberingAfterBreak="0">
    <w:nsid w:val="13D7506B"/>
    <w:multiLevelType w:val="multilevel"/>
    <w:tmpl w:val="D11E0F1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15:restartNumberingAfterBreak="0">
    <w:nsid w:val="18A7787A"/>
    <w:multiLevelType w:val="multilevel"/>
    <w:tmpl w:val="48B8102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15:restartNumberingAfterBreak="0">
    <w:nsid w:val="1FEF3FDC"/>
    <w:multiLevelType w:val="hybridMultilevel"/>
    <w:tmpl w:val="40B4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34849"/>
    <w:multiLevelType w:val="multilevel"/>
    <w:tmpl w:val="B320723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40CF0507"/>
    <w:multiLevelType w:val="multilevel"/>
    <w:tmpl w:val="0642663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15:restartNumberingAfterBreak="0">
    <w:nsid w:val="4A6E23D5"/>
    <w:multiLevelType w:val="multilevel"/>
    <w:tmpl w:val="9B127CE0"/>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7" w15:restartNumberingAfterBreak="0">
    <w:nsid w:val="4C0B046D"/>
    <w:multiLevelType w:val="multilevel"/>
    <w:tmpl w:val="DF2C3990"/>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8" w15:restartNumberingAfterBreak="0">
    <w:nsid w:val="610A7C7C"/>
    <w:multiLevelType w:val="multilevel"/>
    <w:tmpl w:val="E0EC42D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9" w15:restartNumberingAfterBreak="0">
    <w:nsid w:val="67AD121C"/>
    <w:multiLevelType w:val="hybridMultilevel"/>
    <w:tmpl w:val="BE78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EC6015"/>
    <w:multiLevelType w:val="multilevel"/>
    <w:tmpl w:val="91CE153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1" w15:restartNumberingAfterBreak="0">
    <w:nsid w:val="7006678F"/>
    <w:multiLevelType w:val="hybridMultilevel"/>
    <w:tmpl w:val="5126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239B9"/>
    <w:multiLevelType w:val="multilevel"/>
    <w:tmpl w:val="5198A6C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3" w15:restartNumberingAfterBreak="0">
    <w:nsid w:val="7C837524"/>
    <w:multiLevelType w:val="multilevel"/>
    <w:tmpl w:val="81981A6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12"/>
  </w:num>
  <w:num w:numId="2">
    <w:abstractNumId w:val="8"/>
  </w:num>
  <w:num w:numId="3">
    <w:abstractNumId w:val="4"/>
  </w:num>
  <w:num w:numId="4">
    <w:abstractNumId w:val="1"/>
  </w:num>
  <w:num w:numId="5">
    <w:abstractNumId w:val="2"/>
  </w:num>
  <w:num w:numId="6">
    <w:abstractNumId w:val="5"/>
  </w:num>
  <w:num w:numId="7">
    <w:abstractNumId w:val="13"/>
  </w:num>
  <w:num w:numId="8">
    <w:abstractNumId w:val="0"/>
  </w:num>
  <w:num w:numId="9">
    <w:abstractNumId w:val="7"/>
  </w:num>
  <w:num w:numId="10">
    <w:abstractNumId w:val="10"/>
  </w:num>
  <w:num w:numId="11">
    <w:abstractNumId w:val="6"/>
  </w:num>
  <w:num w:numId="12">
    <w:abstractNumId w:val="9"/>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1D"/>
    <w:rsid w:val="00007A4E"/>
    <w:rsid w:val="0002216C"/>
    <w:rsid w:val="00045111"/>
    <w:rsid w:val="000637C5"/>
    <w:rsid w:val="00081B24"/>
    <w:rsid w:val="00093485"/>
    <w:rsid w:val="00094D57"/>
    <w:rsid w:val="000A033B"/>
    <w:rsid w:val="000C19DE"/>
    <w:rsid w:val="000C65EF"/>
    <w:rsid w:val="000C6611"/>
    <w:rsid w:val="000C7490"/>
    <w:rsid w:val="000D3702"/>
    <w:rsid w:val="000E3266"/>
    <w:rsid w:val="000E69E8"/>
    <w:rsid w:val="000E6D8B"/>
    <w:rsid w:val="000F6B1A"/>
    <w:rsid w:val="001002BE"/>
    <w:rsid w:val="0010602D"/>
    <w:rsid w:val="00121509"/>
    <w:rsid w:val="0013103F"/>
    <w:rsid w:val="001367FA"/>
    <w:rsid w:val="00140EE3"/>
    <w:rsid w:val="00141191"/>
    <w:rsid w:val="001464BC"/>
    <w:rsid w:val="001975F4"/>
    <w:rsid w:val="001C0788"/>
    <w:rsid w:val="001D1A60"/>
    <w:rsid w:val="002029C6"/>
    <w:rsid w:val="00202A87"/>
    <w:rsid w:val="00282920"/>
    <w:rsid w:val="0028348E"/>
    <w:rsid w:val="00286BE0"/>
    <w:rsid w:val="00290F53"/>
    <w:rsid w:val="002949EE"/>
    <w:rsid w:val="002B5792"/>
    <w:rsid w:val="002D4DC6"/>
    <w:rsid w:val="002D742E"/>
    <w:rsid w:val="002F074D"/>
    <w:rsid w:val="00310805"/>
    <w:rsid w:val="00313DCC"/>
    <w:rsid w:val="00357E0F"/>
    <w:rsid w:val="003620F5"/>
    <w:rsid w:val="00364C2A"/>
    <w:rsid w:val="00373957"/>
    <w:rsid w:val="00381BCE"/>
    <w:rsid w:val="003847B2"/>
    <w:rsid w:val="00384A90"/>
    <w:rsid w:val="00386575"/>
    <w:rsid w:val="00390632"/>
    <w:rsid w:val="003D00C1"/>
    <w:rsid w:val="003F5E21"/>
    <w:rsid w:val="00405569"/>
    <w:rsid w:val="00417E80"/>
    <w:rsid w:val="004327D4"/>
    <w:rsid w:val="00444C98"/>
    <w:rsid w:val="004459E2"/>
    <w:rsid w:val="00451A83"/>
    <w:rsid w:val="00472187"/>
    <w:rsid w:val="00491A88"/>
    <w:rsid w:val="004A0693"/>
    <w:rsid w:val="004A136D"/>
    <w:rsid w:val="004B1DC6"/>
    <w:rsid w:val="004C222A"/>
    <w:rsid w:val="004D1720"/>
    <w:rsid w:val="00504F86"/>
    <w:rsid w:val="0053007D"/>
    <w:rsid w:val="005323C6"/>
    <w:rsid w:val="0054235E"/>
    <w:rsid w:val="005546D5"/>
    <w:rsid w:val="00573292"/>
    <w:rsid w:val="0058561E"/>
    <w:rsid w:val="00586438"/>
    <w:rsid w:val="00592161"/>
    <w:rsid w:val="005A371E"/>
    <w:rsid w:val="005A51EB"/>
    <w:rsid w:val="005B70B7"/>
    <w:rsid w:val="005E4D40"/>
    <w:rsid w:val="005E5AB0"/>
    <w:rsid w:val="005F02B5"/>
    <w:rsid w:val="005F2434"/>
    <w:rsid w:val="005F2C79"/>
    <w:rsid w:val="005F4D30"/>
    <w:rsid w:val="005F6585"/>
    <w:rsid w:val="00631FA6"/>
    <w:rsid w:val="00641447"/>
    <w:rsid w:val="00651827"/>
    <w:rsid w:val="00653BA4"/>
    <w:rsid w:val="0066535B"/>
    <w:rsid w:val="00671F24"/>
    <w:rsid w:val="00693666"/>
    <w:rsid w:val="006A0BD0"/>
    <w:rsid w:val="006A5952"/>
    <w:rsid w:val="006A7513"/>
    <w:rsid w:val="006B7B47"/>
    <w:rsid w:val="006D0AA0"/>
    <w:rsid w:val="006E159C"/>
    <w:rsid w:val="007203F4"/>
    <w:rsid w:val="00726D10"/>
    <w:rsid w:val="00727FC8"/>
    <w:rsid w:val="007504BE"/>
    <w:rsid w:val="00756228"/>
    <w:rsid w:val="007618B8"/>
    <w:rsid w:val="00771551"/>
    <w:rsid w:val="00775816"/>
    <w:rsid w:val="0079660C"/>
    <w:rsid w:val="007A1DA6"/>
    <w:rsid w:val="007B0562"/>
    <w:rsid w:val="007B136B"/>
    <w:rsid w:val="007C301D"/>
    <w:rsid w:val="007E3205"/>
    <w:rsid w:val="007E4BD1"/>
    <w:rsid w:val="007E5C19"/>
    <w:rsid w:val="00806517"/>
    <w:rsid w:val="00812AEC"/>
    <w:rsid w:val="0081396B"/>
    <w:rsid w:val="00813F59"/>
    <w:rsid w:val="008221C8"/>
    <w:rsid w:val="00843115"/>
    <w:rsid w:val="00875894"/>
    <w:rsid w:val="00891699"/>
    <w:rsid w:val="008922C7"/>
    <w:rsid w:val="00895D2A"/>
    <w:rsid w:val="00895E5A"/>
    <w:rsid w:val="008A302E"/>
    <w:rsid w:val="008E5645"/>
    <w:rsid w:val="008F3F82"/>
    <w:rsid w:val="00926F0B"/>
    <w:rsid w:val="00933E4A"/>
    <w:rsid w:val="00956E00"/>
    <w:rsid w:val="009728A8"/>
    <w:rsid w:val="009728DC"/>
    <w:rsid w:val="009A4CDB"/>
    <w:rsid w:val="009B4DD2"/>
    <w:rsid w:val="009C7783"/>
    <w:rsid w:val="009D111F"/>
    <w:rsid w:val="009F22D2"/>
    <w:rsid w:val="00A048B9"/>
    <w:rsid w:val="00A1399E"/>
    <w:rsid w:val="00A23935"/>
    <w:rsid w:val="00A25206"/>
    <w:rsid w:val="00A313CF"/>
    <w:rsid w:val="00A34CF7"/>
    <w:rsid w:val="00A36217"/>
    <w:rsid w:val="00A51A19"/>
    <w:rsid w:val="00A56326"/>
    <w:rsid w:val="00A748C1"/>
    <w:rsid w:val="00A75800"/>
    <w:rsid w:val="00A82688"/>
    <w:rsid w:val="00A84B7C"/>
    <w:rsid w:val="00AA18E7"/>
    <w:rsid w:val="00AC7AD7"/>
    <w:rsid w:val="00AC7C99"/>
    <w:rsid w:val="00AD2000"/>
    <w:rsid w:val="00AD4A70"/>
    <w:rsid w:val="00B132B9"/>
    <w:rsid w:val="00B33403"/>
    <w:rsid w:val="00B36B52"/>
    <w:rsid w:val="00B401B2"/>
    <w:rsid w:val="00B546F7"/>
    <w:rsid w:val="00B54A1D"/>
    <w:rsid w:val="00B6687E"/>
    <w:rsid w:val="00B86FC9"/>
    <w:rsid w:val="00B93A66"/>
    <w:rsid w:val="00B94854"/>
    <w:rsid w:val="00BA1318"/>
    <w:rsid w:val="00BC15A8"/>
    <w:rsid w:val="00C12D5D"/>
    <w:rsid w:val="00C36D4A"/>
    <w:rsid w:val="00C54D5C"/>
    <w:rsid w:val="00C61F7A"/>
    <w:rsid w:val="00C657F7"/>
    <w:rsid w:val="00C8243A"/>
    <w:rsid w:val="00C87861"/>
    <w:rsid w:val="00CA170E"/>
    <w:rsid w:val="00CA4AE4"/>
    <w:rsid w:val="00CC00D7"/>
    <w:rsid w:val="00D16F12"/>
    <w:rsid w:val="00D266F9"/>
    <w:rsid w:val="00D5036C"/>
    <w:rsid w:val="00D61923"/>
    <w:rsid w:val="00D6636E"/>
    <w:rsid w:val="00D91563"/>
    <w:rsid w:val="00D96500"/>
    <w:rsid w:val="00DA3D78"/>
    <w:rsid w:val="00DB2263"/>
    <w:rsid w:val="00DC7281"/>
    <w:rsid w:val="00E11EA8"/>
    <w:rsid w:val="00E17804"/>
    <w:rsid w:val="00E20BF2"/>
    <w:rsid w:val="00E2390B"/>
    <w:rsid w:val="00E27620"/>
    <w:rsid w:val="00E374F9"/>
    <w:rsid w:val="00E52139"/>
    <w:rsid w:val="00E5701D"/>
    <w:rsid w:val="00E64A72"/>
    <w:rsid w:val="00E6545C"/>
    <w:rsid w:val="00E86DCE"/>
    <w:rsid w:val="00E96AEB"/>
    <w:rsid w:val="00E96D00"/>
    <w:rsid w:val="00EA4E9B"/>
    <w:rsid w:val="00EB617E"/>
    <w:rsid w:val="00EC6B33"/>
    <w:rsid w:val="00ED6E29"/>
    <w:rsid w:val="00ED75BB"/>
    <w:rsid w:val="00EE1623"/>
    <w:rsid w:val="00EF6EE9"/>
    <w:rsid w:val="00F077F1"/>
    <w:rsid w:val="00F32E63"/>
    <w:rsid w:val="00F51C04"/>
    <w:rsid w:val="00F732AC"/>
    <w:rsid w:val="00F74AD4"/>
    <w:rsid w:val="00FA527F"/>
    <w:rsid w:val="00FC4A60"/>
    <w:rsid w:val="00FC52DE"/>
    <w:rsid w:val="00FE1796"/>
    <w:rsid w:val="00FE78B3"/>
    <w:rsid w:val="00FF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5FA38AC0"/>
  <w15:docId w15:val="{62DC8626-9E8D-434B-934F-7FF370C6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7618B8"/>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7618B8"/>
    <w:rPr>
      <w:rFonts w:ascii="Arial" w:eastAsia="Arial" w:hAnsi="Arial" w:cs="Arial"/>
      <w:b/>
      <w:bCs/>
      <w:color w:val="2E5395"/>
      <w:sz w:val="20"/>
      <w:szCs w:val="20"/>
    </w:rPr>
  </w:style>
  <w:style w:type="paragraph" w:styleId="Revision">
    <w:name w:val="Revision"/>
    <w:hidden/>
    <w:uiPriority w:val="99"/>
    <w:semiHidden/>
    <w:rsid w:val="00E96AE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fg.seafood-coord@alaska.gov" TargetMode="External"/><Relationship Id="rId18" Type="http://schemas.openxmlformats.org/officeDocument/2006/relationships/hyperlink" Target="https://elandings.atlassian.net/wiki/spaces/doc/pages/60227665/Commercial+Operator+s+Annual+Report+-+COAR+-+User+Documentation+and+Downloadable+Video" TargetMode="External"/><Relationship Id="rId26" Type="http://schemas.openxmlformats.org/officeDocument/2006/relationships/hyperlink" Target="https://elandings.atlassian.net/wiki/spaces/doc/pages/379650058/PRIVACY+ACT+STATEMENT+for+the+ADF+G+Commercial+Operators+Annual+Report" TargetMode="External"/><Relationship Id="rId3" Type="http://schemas.openxmlformats.org/officeDocument/2006/relationships/numbering" Target="numbering.xml"/><Relationship Id="rId21" Type="http://schemas.openxmlformats.org/officeDocument/2006/relationships/hyperlink" Target="https://www.congress.gov/105/plaws/publ277/PLAW-105publ277.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dfg.alaska.gov/index.cfm?adfg=fishlicense.coar" TargetMode="External"/><Relationship Id="rId17" Type="http://schemas.openxmlformats.org/officeDocument/2006/relationships/hyperlink" Target="https://elandings.alaska.gov/" TargetMode="External"/><Relationship Id="rId25" Type="http://schemas.openxmlformats.org/officeDocument/2006/relationships/hyperlink" Target="http://www.osec.doc.gov/opog/PrivacyAct/SORNs/noaa-6.html" TargetMode="External"/><Relationship Id="rId33" Type="http://schemas.openxmlformats.org/officeDocument/2006/relationships/hyperlink" Target="http://www.gpo.gov/fdsys/pkg/CFR-2014-title5-vol3/pdf/CFR-2014-title5-vol3-sec1320-8.pdf" TargetMode="External"/><Relationship Id="rId2" Type="http://schemas.openxmlformats.org/officeDocument/2006/relationships/customXml" Target="../customXml/item2.xml"/><Relationship Id="rId16" Type="http://schemas.openxmlformats.org/officeDocument/2006/relationships/hyperlink" Target="http://www.adfg.alaska.gov/index.cfm?adfg=fishlicense.coar" TargetMode="External"/><Relationship Id="rId20" Type="http://schemas.openxmlformats.org/officeDocument/2006/relationships/hyperlink" Target="https://www.fisheries.noaa.gov/resource/document/magnuson-stevens-fishery-conservation-and-management-act" TargetMode="External"/><Relationship Id="rId29" Type="http://schemas.openxmlformats.org/officeDocument/2006/relationships/hyperlink" Target="https://www.bls.gov/oes/current/oes_4266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a7cc9ae9f46b7a5f95c9bec97b160417&amp;mc=true&amp;node=se50.13.679_15&amp;rgn=div8" TargetMode="External"/><Relationship Id="rId24" Type="http://schemas.openxmlformats.org/officeDocument/2006/relationships/hyperlink" Target="http://www.corporateservices.noaa.gov/ames/administrative_orders/chapter_216/216-100.html" TargetMode="External"/><Relationship Id="rId32" Type="http://schemas.openxmlformats.org/officeDocument/2006/relationships/hyperlink" Target="http://www.gpo.gov/fdsys/pkg/CFR-2014-title5-vol3/pdf/CFR-2014-title5-vol3-sec1320-8.pdf"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23" Type="http://schemas.openxmlformats.org/officeDocument/2006/relationships/hyperlink" Target="https://www.federalregister.gov/documents/2021/01/11/2021-00301/agency-information-collection-activities-submission-to-the-office-of-management-and-budget-omb-for" TargetMode="External"/><Relationship Id="rId28" Type="http://schemas.openxmlformats.org/officeDocument/2006/relationships/footer" Target="footer1.xml"/><Relationship Id="rId10" Type="http://schemas.openxmlformats.org/officeDocument/2006/relationships/hyperlink" Target="http://www.akleg.gov/basis/aac.asp" TargetMode="External"/><Relationship Id="rId19" Type="http://schemas.openxmlformats.org/officeDocument/2006/relationships/hyperlink" Target="https://www.reginfo.gov/public/jsp/Utilities/EO_Redirect.jsp" TargetMode="External"/><Relationship Id="rId31" Type="http://schemas.openxmlformats.org/officeDocument/2006/relationships/hyperlink" Target="http://www.gpo.gov/fdsys/pkg/CFR-2014-title5-vol3/pdf/CFR-2014-title5-vol3-sec1320-9.pdf" TargetMode="External"/><Relationship Id="rId4" Type="http://schemas.openxmlformats.org/officeDocument/2006/relationships/styles" Target="styles.xml"/><Relationship Id="rId9" Type="http://schemas.openxmlformats.org/officeDocument/2006/relationships/hyperlink" Target="https://alaskafisheries.noaa.gov/node/28003" TargetMode="External"/><Relationship Id="rId14" Type="http://schemas.openxmlformats.org/officeDocument/2006/relationships/hyperlink" Target="https://elandings.alaska.gov/" TargetMode="External"/><Relationship Id="rId22" Type="http://schemas.openxmlformats.org/officeDocument/2006/relationships/hyperlink" Target="https://www.sba.gov/advocacy/regulatory-flexibility-act" TargetMode="External"/><Relationship Id="rId27" Type="http://schemas.openxmlformats.org/officeDocument/2006/relationships/hyperlink" Target="https://www.osec.doc.gov/opog/privacy/noaa%20pias/noaa4700_pia_saop_approved.pdf" TargetMode="External"/><Relationship Id="rId30" Type="http://schemas.openxmlformats.org/officeDocument/2006/relationships/hyperlink" Target="http://www.gpo.gov/fdsys/pkg/CFR-2014-title5-vol3/pdf/CFR-2014-title5-vol3-sec1320-9.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B92ACC-D57B-4D5A-811A-DBEDB1FF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8</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Dumas, Sheleen (Federal)</dc:creator>
  <cp:lastModifiedBy>Janet.Peery</cp:lastModifiedBy>
  <cp:revision>27</cp:revision>
  <dcterms:created xsi:type="dcterms:W3CDTF">2021-04-14T16:28:00Z</dcterms:created>
  <dcterms:modified xsi:type="dcterms:W3CDTF">2021-05-06T15:49:00Z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