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5D93" w:rsidR="000D0476" w:rsidRDefault="000D0476">
      <w:pPr>
        <w:widowControl/>
        <w:jc w:val="center"/>
        <w:rPr>
          <w:rFonts w:ascii="Arial" w:hAnsi="Arial" w:cs="Arial"/>
          <w:b/>
          <w:bCs/>
        </w:rPr>
      </w:pPr>
      <w:r w:rsidRPr="00B75D93">
        <w:rPr>
          <w:rFonts w:ascii="Arial" w:hAnsi="Arial" w:cs="Arial"/>
          <w:b/>
          <w:bCs/>
        </w:rPr>
        <w:t>SUPPORTING STATEMENT</w:t>
      </w:r>
    </w:p>
    <w:p w:rsidRPr="00B75D93" w:rsidR="00B75D93" w:rsidRDefault="00B75D93">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Pr="00B75D93" w:rsidR="00B75D93" w:rsidP="00B75D93" w:rsidRDefault="00B75D93">
      <w:pPr>
        <w:widowControl/>
        <w:jc w:val="center"/>
        <w:rPr>
          <w:rFonts w:ascii="Arial" w:hAnsi="Arial" w:cs="Arial"/>
        </w:rPr>
      </w:pPr>
      <w:r w:rsidRPr="00B75D93">
        <w:rPr>
          <w:rFonts w:ascii="Arial" w:hAnsi="Arial" w:cs="Arial"/>
          <w:b/>
          <w:bCs/>
        </w:rPr>
        <w:t>Recording Assignments</w:t>
      </w:r>
    </w:p>
    <w:p w:rsidR="000D0476" w:rsidRDefault="000D0476">
      <w:pPr>
        <w:widowControl/>
        <w:jc w:val="center"/>
        <w:rPr>
          <w:rFonts w:ascii="Arial" w:hAnsi="Arial" w:cs="Arial"/>
          <w:b/>
          <w:bCs/>
        </w:rPr>
      </w:pPr>
      <w:r w:rsidRPr="00B75D93">
        <w:rPr>
          <w:rFonts w:ascii="Arial" w:hAnsi="Arial" w:cs="Arial"/>
          <w:b/>
          <w:bCs/>
        </w:rPr>
        <w:t>OMB CONTROL NUMBER 0651-0027</w:t>
      </w:r>
    </w:p>
    <w:p w:rsidRPr="00431AC1" w:rsidR="00431AC1" w:rsidRDefault="002115F0">
      <w:pPr>
        <w:widowControl/>
        <w:jc w:val="center"/>
        <w:rPr>
          <w:rFonts w:ascii="Arial" w:hAnsi="Arial" w:cs="Arial"/>
          <w:b/>
          <w:bCs/>
          <w:color w:val="FF0000"/>
        </w:rPr>
      </w:pPr>
      <w:r>
        <w:rPr>
          <w:rFonts w:ascii="Arial" w:hAnsi="Arial" w:cs="Arial"/>
          <w:b/>
          <w:bCs/>
        </w:rPr>
        <w:t>(</w:t>
      </w:r>
      <w:r w:rsidR="00A17011">
        <w:rPr>
          <w:rFonts w:ascii="Arial" w:hAnsi="Arial" w:cs="Arial"/>
          <w:b/>
          <w:bCs/>
        </w:rPr>
        <w:t>2</w:t>
      </w:r>
      <w:r>
        <w:rPr>
          <w:rFonts w:ascii="Arial" w:hAnsi="Arial" w:cs="Arial"/>
          <w:b/>
          <w:bCs/>
        </w:rPr>
        <w:t>021)</w:t>
      </w:r>
    </w:p>
    <w:p w:rsidRPr="00476F66" w:rsidR="000D0476" w:rsidRDefault="000D0476">
      <w:pPr>
        <w:widowControl/>
        <w:ind w:firstLine="1440"/>
        <w:rPr>
          <w:rFonts w:ascii="Arial" w:hAnsi="Arial" w:cs="Arial"/>
          <w:color w:val="0000FF"/>
        </w:rPr>
      </w:pPr>
    </w:p>
    <w:p w:rsidRPr="00476F66" w:rsidR="000D0476" w:rsidRDefault="000D0476">
      <w:pPr>
        <w:widowControl/>
        <w:rPr>
          <w:rFonts w:ascii="Arial" w:hAnsi="Arial" w:cs="Arial"/>
          <w:color w:val="0000FF"/>
        </w:rPr>
      </w:pPr>
    </w:p>
    <w:p w:rsidRPr="00476F66" w:rsidR="000D0476" w:rsidRDefault="000D0476">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Pr="00476F66" w:rsidR="000D0476" w:rsidRDefault="000D0476">
      <w:pPr>
        <w:widowControl/>
        <w:jc w:val="both"/>
        <w:rPr>
          <w:rFonts w:ascii="Arial" w:hAnsi="Arial" w:cs="Arial"/>
        </w:rPr>
      </w:pPr>
    </w:p>
    <w:p w:rsidRPr="00476F66" w:rsidR="000D0476" w:rsidRDefault="000D0476">
      <w:pPr>
        <w:widowControl/>
        <w:jc w:val="both"/>
        <w:rPr>
          <w:rFonts w:ascii="Arial" w:hAnsi="Arial" w:cs="Arial"/>
        </w:rPr>
      </w:pPr>
      <w:r w:rsidRPr="00476F66">
        <w:rPr>
          <w:rFonts w:ascii="Arial" w:hAnsi="Arial" w:cs="Arial"/>
          <w:b/>
          <w:bCs/>
        </w:rPr>
        <w:t>1.</w:t>
      </w:r>
      <w:r w:rsidRPr="00476F66">
        <w:rPr>
          <w:rFonts w:ascii="Arial" w:hAnsi="Arial" w:cs="Arial"/>
          <w:b/>
          <w:bCs/>
        </w:rPr>
        <w:tab/>
      </w:r>
      <w:r w:rsidRPr="00AD773C" w:rsidR="00AD773C">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D0476" w:rsidRDefault="000D0476">
      <w:pPr>
        <w:widowControl/>
        <w:jc w:val="both"/>
        <w:rPr>
          <w:rFonts w:ascii="Arial" w:hAnsi="Arial" w:cs="Arial"/>
          <w:color w:val="0000FF"/>
        </w:rPr>
      </w:pPr>
    </w:p>
    <w:p w:rsidR="004F7F92" w:rsidP="004F7F92" w:rsidRDefault="004F7F92">
      <w:pPr>
        <w:widowControl/>
        <w:jc w:val="both"/>
        <w:rPr>
          <w:rFonts w:ascii="Arial" w:hAnsi="Arial" w:cs="Arial"/>
        </w:rPr>
      </w:pPr>
      <w:r w:rsidRPr="004F7F92">
        <w:rPr>
          <w:rFonts w:ascii="Arial" w:hAnsi="Arial" w:cs="Arial"/>
        </w:rPr>
        <w:t>This collection of information is required by 35 U.S.C. §§ 261 and 262 for patents and 15 U.S.C. §§ 1057 and 1060 for trademarks</w:t>
      </w:r>
      <w:r w:rsidR="00025204">
        <w:rPr>
          <w:rFonts w:ascii="Arial" w:hAnsi="Arial" w:cs="Arial"/>
        </w:rPr>
        <w:t xml:space="preserve"> and the </w:t>
      </w:r>
      <w:r w:rsidRPr="00025204" w:rsidR="00025204">
        <w:rPr>
          <w:rFonts w:ascii="Arial" w:hAnsi="Arial" w:cs="Arial"/>
        </w:rPr>
        <w:t>Leahy Smith America Invents Act</w:t>
      </w:r>
      <w:r w:rsidR="00025204">
        <w:rPr>
          <w:rFonts w:ascii="Arial" w:hAnsi="Arial" w:cs="Arial"/>
        </w:rPr>
        <w:t>,  P.L. 112-29 section 4</w:t>
      </w:r>
      <w:r w:rsidRPr="004F7F92">
        <w:rPr>
          <w:rFonts w:ascii="Arial" w:hAnsi="Arial" w:cs="Arial"/>
        </w:rPr>
        <w:t xml:space="preserve">.  These statutes authorize the United States Patent and Trademark Office (USPTO) to record patent and trademark assignment documents, including transfers of properties (i.e. patents and trademarks), liens, licenses, assignments of interest, security interests, mergers, and explanations of transactions or other documents that record the transfer of ownership of a particular patent or trademark property from one party to another.  Assignments are recorded for </w:t>
      </w:r>
      <w:r w:rsidR="00C101D0">
        <w:rPr>
          <w:rFonts w:ascii="Arial" w:hAnsi="Arial" w:cs="Arial"/>
        </w:rPr>
        <w:t xml:space="preserve">patent </w:t>
      </w:r>
      <w:r w:rsidRPr="004F7F92">
        <w:rPr>
          <w:rFonts w:ascii="Arial" w:hAnsi="Arial" w:cs="Arial"/>
        </w:rPr>
        <w:t>applications, patents, and trademark registrations.</w:t>
      </w:r>
    </w:p>
    <w:p w:rsidR="00500822" w:rsidP="004F7F92" w:rsidRDefault="00500822">
      <w:pPr>
        <w:widowControl/>
        <w:jc w:val="both"/>
        <w:rPr>
          <w:rFonts w:ascii="Arial" w:hAnsi="Arial" w:cs="Arial"/>
        </w:rPr>
      </w:pPr>
    </w:p>
    <w:p w:rsidR="004F7F92" w:rsidP="004F7F92" w:rsidRDefault="004F7F92">
      <w:pPr>
        <w:widowControl/>
        <w:jc w:val="both"/>
        <w:rPr>
          <w:rFonts w:ascii="Arial" w:hAnsi="Arial" w:cs="Arial"/>
        </w:rPr>
      </w:pPr>
      <w:r w:rsidRPr="004F7F92">
        <w:rPr>
          <w:rFonts w:ascii="Arial" w:hAnsi="Arial" w:cs="Arial"/>
        </w:rPr>
        <w:t xml:space="preserve">The USPTO administers these statutes through 37 CFR 2.146, 2.171, </w:t>
      </w:r>
      <w:r w:rsidR="003950BF">
        <w:rPr>
          <w:rFonts w:ascii="Arial" w:hAnsi="Arial" w:cs="Arial"/>
        </w:rPr>
        <w:t xml:space="preserve">3.11, </w:t>
      </w:r>
      <w:r w:rsidR="00A66548">
        <w:rPr>
          <w:rFonts w:ascii="Arial" w:hAnsi="Arial" w:cs="Arial"/>
        </w:rPr>
        <w:t>and 37 CFR Part 3.  These regulations</w:t>
      </w:r>
      <w:r w:rsidRPr="004F7F92">
        <w:rPr>
          <w:rFonts w:ascii="Arial" w:hAnsi="Arial" w:cs="Arial"/>
        </w:rPr>
        <w:t xml:space="preserve"> permit the public, corporations, other federal agencies, and Government-owned or Government-controlled corporations to submit patent and trademark assignment documents and other documents related to title transfers to the USPTO.  In accordance with 37 CFR 3.54, the recording of an assignment document by the USPTO is an administrative action and not a determination of the validity of the document or of the effect that the document has on the title to an application, patent, or trademark.</w:t>
      </w:r>
    </w:p>
    <w:p w:rsidR="00500822" w:rsidP="004F7F92" w:rsidRDefault="00500822">
      <w:pPr>
        <w:widowControl/>
        <w:jc w:val="both"/>
        <w:rPr>
          <w:rFonts w:ascii="Arial" w:hAnsi="Arial" w:cs="Arial"/>
        </w:rPr>
      </w:pPr>
    </w:p>
    <w:p w:rsidR="004F7F92" w:rsidP="004F7F92" w:rsidRDefault="004F7F92">
      <w:pPr>
        <w:widowControl/>
        <w:jc w:val="both"/>
        <w:rPr>
          <w:rFonts w:ascii="Arial" w:hAnsi="Arial" w:cs="Arial"/>
        </w:rPr>
      </w:pPr>
      <w:r w:rsidRPr="004F7F92">
        <w:rPr>
          <w:rFonts w:ascii="Arial" w:hAnsi="Arial" w:cs="Arial"/>
        </w:rPr>
        <w:t xml:space="preserve">Once the assignment documents are recorded, they are available for public inspection.  The only exceptions are those documents that are sealed under secrecy orders according to 37 CFR 3.58 or related to unpublished patent applications maintained in confidence under 35 U.S.C. § 122 and 37 CFR 1.14.  The public uses these records to conduct ownership and chain-of-title searches.  The public may view these records either at the USPTO Public Search Facilities or at the </w:t>
      </w:r>
      <w:r w:rsidRPr="00572A86">
        <w:rPr>
          <w:rFonts w:ascii="Arial" w:hAnsi="Arial" w:cs="Arial"/>
        </w:rPr>
        <w:t>National Archives and Records Administration</w:t>
      </w:r>
      <w:r w:rsidR="00A66548">
        <w:rPr>
          <w:rFonts w:ascii="Arial" w:hAnsi="Arial" w:cs="Arial"/>
        </w:rPr>
        <w:t xml:space="preserve"> (NARA)</w:t>
      </w:r>
      <w:r w:rsidRPr="00572A86">
        <w:rPr>
          <w:rFonts w:ascii="Arial" w:hAnsi="Arial" w:cs="Arial"/>
        </w:rPr>
        <w:t xml:space="preserve">, depending on the date they </w:t>
      </w:r>
      <w:proofErr w:type="gramStart"/>
      <w:r w:rsidRPr="00572A86">
        <w:rPr>
          <w:rFonts w:ascii="Arial" w:hAnsi="Arial" w:cs="Arial"/>
        </w:rPr>
        <w:t>were recorded</w:t>
      </w:r>
      <w:proofErr w:type="gramEnd"/>
      <w:r w:rsidRPr="00572A86">
        <w:rPr>
          <w:rFonts w:ascii="Arial" w:hAnsi="Arial" w:cs="Arial"/>
        </w:rPr>
        <w:t xml:space="preserve">.  The public may also search patent and trademark assignment information online through the USPTO </w:t>
      </w:r>
      <w:r w:rsidR="00310CB9">
        <w:rPr>
          <w:rFonts w:ascii="Arial" w:hAnsi="Arial" w:cs="Arial"/>
        </w:rPr>
        <w:t>web</w:t>
      </w:r>
      <w:r w:rsidRPr="00572A86" w:rsidR="00405A51">
        <w:rPr>
          <w:rFonts w:ascii="Arial" w:hAnsi="Arial" w:cs="Arial"/>
        </w:rPr>
        <w:t>site</w:t>
      </w:r>
      <w:r w:rsidRPr="00572A86">
        <w:rPr>
          <w:rFonts w:ascii="Arial" w:hAnsi="Arial" w:cs="Arial"/>
        </w:rPr>
        <w:t>.</w:t>
      </w:r>
    </w:p>
    <w:p w:rsidRPr="004F7F92" w:rsidR="00500822" w:rsidP="004F7F92" w:rsidRDefault="00500822">
      <w:pPr>
        <w:widowControl/>
        <w:jc w:val="both"/>
        <w:rPr>
          <w:rFonts w:ascii="Arial" w:hAnsi="Arial" w:cs="Arial"/>
        </w:rPr>
      </w:pPr>
    </w:p>
    <w:p w:rsidR="00500822" w:rsidP="004F7F92" w:rsidRDefault="004F7F92">
      <w:pPr>
        <w:widowControl/>
        <w:jc w:val="both"/>
        <w:rPr>
          <w:rFonts w:ascii="Arial" w:hAnsi="Arial" w:cs="Arial"/>
        </w:rPr>
      </w:pPr>
      <w:r w:rsidRPr="004F7F92">
        <w:rPr>
          <w:rFonts w:ascii="Arial" w:hAnsi="Arial" w:cs="Arial"/>
        </w:rPr>
        <w:t xml:space="preserve">In order to file a request to record an assignment, the respondent must submit an appropriate cover sheet along with copies of the assignment documents to be recorded.  The USPTO provides two paper forms for this purpose, the Patent </w:t>
      </w:r>
      <w:r w:rsidR="00C101D0">
        <w:rPr>
          <w:rFonts w:ascii="Arial" w:hAnsi="Arial" w:cs="Arial"/>
        </w:rPr>
        <w:t xml:space="preserve">Assignment </w:t>
      </w:r>
      <w:r w:rsidRPr="004F7F92">
        <w:rPr>
          <w:rFonts w:ascii="Arial" w:hAnsi="Arial" w:cs="Arial"/>
        </w:rPr>
        <w:t xml:space="preserve">Recordation Cover Sheet (PTO-1595) and the Trademark </w:t>
      </w:r>
      <w:r w:rsidR="00C101D0">
        <w:rPr>
          <w:rFonts w:ascii="Arial" w:hAnsi="Arial" w:cs="Arial"/>
        </w:rPr>
        <w:t xml:space="preserve">Assignment </w:t>
      </w:r>
      <w:r w:rsidRPr="004F7F92">
        <w:rPr>
          <w:rFonts w:ascii="Arial" w:hAnsi="Arial" w:cs="Arial"/>
        </w:rPr>
        <w:t xml:space="preserve">Recordation </w:t>
      </w:r>
      <w:r w:rsidRPr="004F7F92">
        <w:rPr>
          <w:rFonts w:ascii="Arial" w:hAnsi="Arial" w:cs="Arial"/>
        </w:rPr>
        <w:lastRenderedPageBreak/>
        <w:t xml:space="preserve">Cover Sheet (PTO-1594), which capture all of the necessary data for </w:t>
      </w:r>
      <w:r w:rsidR="00C101D0">
        <w:rPr>
          <w:rFonts w:ascii="Arial" w:hAnsi="Arial" w:cs="Arial"/>
        </w:rPr>
        <w:t>creating</w:t>
      </w:r>
      <w:r w:rsidRPr="004F7F92" w:rsidR="00C101D0">
        <w:rPr>
          <w:rFonts w:ascii="Arial" w:hAnsi="Arial" w:cs="Arial"/>
        </w:rPr>
        <w:t xml:space="preserve"> </w:t>
      </w:r>
      <w:r w:rsidRPr="004F7F92">
        <w:rPr>
          <w:rFonts w:ascii="Arial" w:hAnsi="Arial" w:cs="Arial"/>
        </w:rPr>
        <w:t xml:space="preserve">various assignment </w:t>
      </w:r>
      <w:r w:rsidR="00C101D0">
        <w:rPr>
          <w:rFonts w:ascii="Arial" w:hAnsi="Arial" w:cs="Arial"/>
        </w:rPr>
        <w:t>requests</w:t>
      </w:r>
      <w:r w:rsidRPr="004F7F92">
        <w:rPr>
          <w:rFonts w:ascii="Arial" w:hAnsi="Arial" w:cs="Arial"/>
        </w:rPr>
        <w:t xml:space="preserve">.  </w:t>
      </w:r>
    </w:p>
    <w:p w:rsidRPr="00277EF1" w:rsidR="00500822" w:rsidP="00500822" w:rsidRDefault="00500822">
      <w:pPr>
        <w:widowControl/>
        <w:jc w:val="both"/>
        <w:rPr>
          <w:rFonts w:ascii="Arial" w:hAnsi="Arial" w:cs="Arial"/>
          <w:color w:val="0000FF"/>
        </w:rPr>
      </w:pPr>
    </w:p>
    <w:p w:rsidR="00C101D0" w:rsidP="00C101D0" w:rsidRDefault="004F7F92">
      <w:pPr>
        <w:widowControl/>
        <w:jc w:val="both"/>
        <w:rPr>
          <w:rFonts w:ascii="Arial" w:hAnsi="Arial" w:cs="Arial"/>
        </w:rPr>
      </w:pPr>
      <w:r w:rsidRPr="004F7F92">
        <w:rPr>
          <w:rFonts w:ascii="Arial" w:hAnsi="Arial" w:cs="Arial"/>
        </w:rPr>
        <w:t xml:space="preserve">Customers may also submit assignments online by using the Electronic Patent Assignment System (EPAS) and the Electronic Trademark Assignment System (ETAS), which are available through the USPTO </w:t>
      </w:r>
      <w:r w:rsidR="00310CB9">
        <w:rPr>
          <w:rFonts w:ascii="Arial" w:hAnsi="Arial" w:cs="Arial"/>
        </w:rPr>
        <w:t>web</w:t>
      </w:r>
      <w:r w:rsidR="00405A51">
        <w:rPr>
          <w:rFonts w:ascii="Arial" w:hAnsi="Arial" w:cs="Arial"/>
        </w:rPr>
        <w:t>site</w:t>
      </w:r>
      <w:r w:rsidRPr="004F7F92">
        <w:rPr>
          <w:rFonts w:ascii="Arial" w:hAnsi="Arial" w:cs="Arial"/>
        </w:rPr>
        <w:t xml:space="preserve">.  These systems allow customers to fill out the required cover sheet information online using </w:t>
      </w:r>
      <w:r w:rsidR="005A40C4">
        <w:rPr>
          <w:rFonts w:ascii="Arial" w:hAnsi="Arial" w:cs="Arial"/>
        </w:rPr>
        <w:t>W</w:t>
      </w:r>
      <w:r w:rsidRPr="004F7F92">
        <w:rPr>
          <w:rFonts w:ascii="Arial" w:hAnsi="Arial" w:cs="Arial"/>
        </w:rPr>
        <w:t>eb-based forms and then attach the electronic assignment documents to be submitted for recordation.</w:t>
      </w:r>
      <w:r w:rsidR="00C101D0">
        <w:rPr>
          <w:rFonts w:ascii="Arial" w:hAnsi="Arial" w:cs="Arial"/>
        </w:rPr>
        <w:t xml:space="preserve">  </w:t>
      </w:r>
      <w:r w:rsidRPr="004F7F92" w:rsidR="00C101D0">
        <w:rPr>
          <w:rFonts w:ascii="Arial" w:hAnsi="Arial" w:cs="Arial"/>
        </w:rPr>
        <w:t xml:space="preserve">These forms </w:t>
      </w:r>
      <w:proofErr w:type="gramStart"/>
      <w:r w:rsidRPr="004F7F92" w:rsidR="00C101D0">
        <w:rPr>
          <w:rFonts w:ascii="Arial" w:hAnsi="Arial" w:cs="Arial"/>
        </w:rPr>
        <w:t>may</w:t>
      </w:r>
      <w:r w:rsidR="00C101D0">
        <w:rPr>
          <w:rFonts w:ascii="Arial" w:hAnsi="Arial" w:cs="Arial"/>
        </w:rPr>
        <w:t xml:space="preserve"> also </w:t>
      </w:r>
      <w:r w:rsidRPr="004F7F92" w:rsidR="00C101D0">
        <w:rPr>
          <w:rFonts w:ascii="Arial" w:hAnsi="Arial" w:cs="Arial"/>
        </w:rPr>
        <w:t>be downloaded</w:t>
      </w:r>
      <w:proofErr w:type="gramEnd"/>
      <w:r w:rsidRPr="004F7F92" w:rsidR="00C101D0">
        <w:rPr>
          <w:rFonts w:ascii="Arial" w:hAnsi="Arial" w:cs="Arial"/>
        </w:rPr>
        <w:t xml:space="preserve"> in PDF format from the USPTO </w:t>
      </w:r>
      <w:r w:rsidR="00310CB9">
        <w:rPr>
          <w:rFonts w:ascii="Arial" w:hAnsi="Arial" w:cs="Arial"/>
        </w:rPr>
        <w:t>web</w:t>
      </w:r>
      <w:r w:rsidR="00C101D0">
        <w:rPr>
          <w:rFonts w:ascii="Arial" w:hAnsi="Arial" w:cs="Arial"/>
        </w:rPr>
        <w:t>site</w:t>
      </w:r>
      <w:r w:rsidRPr="004F7F92" w:rsidR="00C101D0">
        <w:rPr>
          <w:rFonts w:ascii="Arial" w:hAnsi="Arial" w:cs="Arial"/>
        </w:rPr>
        <w:t>.</w:t>
      </w:r>
    </w:p>
    <w:p w:rsidR="004F7F92" w:rsidRDefault="004F7F92">
      <w:pPr>
        <w:widowControl/>
        <w:jc w:val="both"/>
        <w:rPr>
          <w:rFonts w:ascii="Arial" w:hAnsi="Arial" w:cs="Arial"/>
          <w:color w:val="0000FF"/>
        </w:rPr>
      </w:pPr>
    </w:p>
    <w:p w:rsidRPr="003F0D10" w:rsidR="000D0476" w:rsidRDefault="000D0476">
      <w:pPr>
        <w:widowControl/>
        <w:jc w:val="both"/>
        <w:rPr>
          <w:rFonts w:ascii="Arial" w:hAnsi="Arial" w:cs="Arial"/>
        </w:rPr>
      </w:pPr>
      <w:r w:rsidRPr="003F0D10">
        <w:rPr>
          <w:rFonts w:ascii="Arial" w:hAnsi="Arial" w:cs="Arial"/>
        </w:rPr>
        <w:t xml:space="preserve">Table 1 provides the specific statutes and regulations authorizing the USPTO to collect the information </w:t>
      </w:r>
      <w:r w:rsidR="001A3093">
        <w:rPr>
          <w:rFonts w:ascii="Arial" w:hAnsi="Arial" w:cs="Arial"/>
        </w:rPr>
        <w:t>discussed above.</w:t>
      </w:r>
    </w:p>
    <w:p w:rsidRPr="00476F66" w:rsidR="000D0476" w:rsidRDefault="000D0476">
      <w:pPr>
        <w:widowControl/>
        <w:jc w:val="both"/>
        <w:rPr>
          <w:rFonts w:ascii="Arial" w:hAnsi="Arial" w:cs="Arial"/>
          <w:color w:val="0000FF"/>
        </w:rPr>
      </w:pPr>
    </w:p>
    <w:p w:rsidRPr="00DB6FA7" w:rsidR="000D0476" w:rsidRDefault="000D0476">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158" w:type="dxa"/>
        <w:tblInd w:w="120" w:type="dxa"/>
        <w:tblLayout w:type="fixed"/>
        <w:tblCellMar>
          <w:left w:w="120" w:type="dxa"/>
          <w:right w:w="120" w:type="dxa"/>
        </w:tblCellMar>
        <w:tblLook w:val="0000" w:firstRow="0" w:lastRow="0" w:firstColumn="0" w:lastColumn="0" w:noHBand="0" w:noVBand="0"/>
      </w:tblPr>
      <w:tblGrid>
        <w:gridCol w:w="630"/>
        <w:gridCol w:w="2049"/>
        <w:gridCol w:w="2721"/>
        <w:gridCol w:w="3758"/>
      </w:tblGrid>
      <w:tr w:rsidRPr="00335DEE" w:rsidR="000B3CCC" w:rsidTr="008647F6">
        <w:trPr>
          <w:trHeight w:val="518"/>
        </w:trPr>
        <w:tc>
          <w:tcPr>
            <w:tcW w:w="630" w:type="dxa"/>
            <w:tcBorders>
              <w:top w:val="single" w:color="000000" w:sz="7" w:space="0"/>
              <w:left w:val="single" w:color="000000" w:sz="7" w:space="0"/>
              <w:bottom w:val="single" w:color="000000" w:sz="7" w:space="0"/>
              <w:right w:val="single" w:color="000000" w:sz="7" w:space="0"/>
            </w:tcBorders>
          </w:tcPr>
          <w:p w:rsidRPr="000B3CCC" w:rsidR="000B3CCC" w:rsidP="000B3CCC" w:rsidRDefault="00B069BC">
            <w:pPr>
              <w:spacing w:before="240"/>
              <w:rPr>
                <w:rFonts w:ascii="Arial" w:hAnsi="Arial" w:cs="Arial"/>
                <w:b/>
                <w:sz w:val="16"/>
                <w:szCs w:val="16"/>
              </w:rPr>
            </w:pPr>
            <w:r>
              <w:rPr>
                <w:rFonts w:ascii="Arial" w:hAnsi="Arial" w:cs="Arial"/>
                <w:b/>
                <w:sz w:val="16"/>
                <w:szCs w:val="16"/>
              </w:rPr>
              <w:t>Item No.</w:t>
            </w:r>
          </w:p>
        </w:tc>
        <w:tc>
          <w:tcPr>
            <w:tcW w:w="2049" w:type="dxa"/>
            <w:tcBorders>
              <w:top w:val="single" w:color="000000" w:sz="7" w:space="0"/>
              <w:left w:val="single" w:color="000000" w:sz="7" w:space="0"/>
              <w:bottom w:val="single" w:color="000000" w:sz="7" w:space="0"/>
              <w:right w:val="single" w:color="000000" w:sz="7" w:space="0"/>
            </w:tcBorders>
          </w:tcPr>
          <w:p w:rsidRPr="00335DEE" w:rsidR="000B3CCC" w:rsidP="000B3CCC" w:rsidRDefault="000B3CCC">
            <w:pPr>
              <w:widowControl/>
              <w:spacing w:before="240" w:after="58"/>
              <w:rPr>
                <w:rFonts w:ascii="Arial" w:hAnsi="Arial" w:cs="Arial"/>
                <w:sz w:val="16"/>
                <w:szCs w:val="16"/>
              </w:rPr>
            </w:pPr>
            <w:r w:rsidRPr="00335DEE">
              <w:rPr>
                <w:rFonts w:ascii="Arial" w:hAnsi="Arial" w:cs="Arial"/>
                <w:b/>
                <w:bCs/>
                <w:sz w:val="16"/>
                <w:szCs w:val="16"/>
              </w:rPr>
              <w:t>Requirement</w:t>
            </w:r>
          </w:p>
        </w:tc>
        <w:tc>
          <w:tcPr>
            <w:tcW w:w="2721" w:type="dxa"/>
            <w:tcBorders>
              <w:top w:val="single" w:color="000000" w:sz="7" w:space="0"/>
              <w:left w:val="single" w:color="000000" w:sz="7" w:space="0"/>
              <w:bottom w:val="single" w:color="000000" w:sz="7" w:space="0"/>
              <w:right w:val="single" w:color="000000" w:sz="7" w:space="0"/>
            </w:tcBorders>
          </w:tcPr>
          <w:p w:rsidRPr="00335DEE" w:rsidR="000B3CCC" w:rsidP="000B3CCC" w:rsidRDefault="000B3CCC">
            <w:pPr>
              <w:widowControl/>
              <w:spacing w:before="240" w:after="58"/>
              <w:rPr>
                <w:rFonts w:ascii="Arial" w:hAnsi="Arial" w:cs="Arial"/>
                <w:sz w:val="16"/>
                <w:szCs w:val="16"/>
              </w:rPr>
            </w:pPr>
            <w:r w:rsidRPr="00335DEE">
              <w:rPr>
                <w:rFonts w:ascii="Arial" w:hAnsi="Arial" w:cs="Arial"/>
                <w:b/>
                <w:bCs/>
                <w:sz w:val="16"/>
                <w:szCs w:val="16"/>
              </w:rPr>
              <w:t>Statute</w:t>
            </w:r>
          </w:p>
        </w:tc>
        <w:tc>
          <w:tcPr>
            <w:tcW w:w="3758" w:type="dxa"/>
            <w:tcBorders>
              <w:top w:val="single" w:color="000000" w:sz="7" w:space="0"/>
              <w:left w:val="single" w:color="000000" w:sz="7" w:space="0"/>
              <w:bottom w:val="single" w:color="000000" w:sz="7" w:space="0"/>
              <w:right w:val="single" w:color="000000" w:sz="7" w:space="0"/>
            </w:tcBorders>
          </w:tcPr>
          <w:p w:rsidRPr="00335DEE" w:rsidR="000B3CCC" w:rsidP="005A28FE" w:rsidRDefault="00B069BC">
            <w:pPr>
              <w:widowControl/>
              <w:spacing w:before="240" w:after="58"/>
              <w:rPr>
                <w:rFonts w:ascii="Arial" w:hAnsi="Arial" w:cs="Arial"/>
                <w:sz w:val="16"/>
                <w:szCs w:val="16"/>
              </w:rPr>
            </w:pPr>
            <w:r w:rsidRPr="00335DEE">
              <w:rPr>
                <w:rFonts w:ascii="Arial" w:hAnsi="Arial" w:cs="Arial"/>
                <w:b/>
                <w:bCs/>
                <w:sz w:val="16"/>
                <w:szCs w:val="16"/>
              </w:rPr>
              <w:t>R</w:t>
            </w:r>
            <w:r>
              <w:rPr>
                <w:rFonts w:ascii="Arial" w:hAnsi="Arial" w:cs="Arial"/>
                <w:b/>
                <w:bCs/>
                <w:sz w:val="16"/>
                <w:szCs w:val="16"/>
              </w:rPr>
              <w:t>egulations</w:t>
            </w:r>
          </w:p>
        </w:tc>
      </w:tr>
      <w:tr w:rsidRPr="00335DEE" w:rsidR="000B3CCC" w:rsidTr="008647F6">
        <w:trPr>
          <w:trHeight w:val="542"/>
        </w:trPr>
        <w:tc>
          <w:tcPr>
            <w:tcW w:w="630" w:type="dxa"/>
            <w:tcBorders>
              <w:top w:val="single" w:color="000000" w:sz="7" w:space="0"/>
              <w:left w:val="single" w:color="000000" w:sz="7" w:space="0"/>
              <w:bottom w:val="single" w:color="000000" w:sz="7" w:space="0"/>
              <w:right w:val="single" w:color="000000" w:sz="7" w:space="0"/>
            </w:tcBorders>
            <w:vAlign w:val="center"/>
          </w:tcPr>
          <w:p w:rsidRPr="00426A34" w:rsidR="000B3CCC" w:rsidP="000B3CCC" w:rsidRDefault="000B3CCC">
            <w:pPr>
              <w:jc w:val="center"/>
              <w:rPr>
                <w:rFonts w:ascii="Arial" w:hAnsi="Arial" w:cs="Arial"/>
                <w:b/>
                <w:sz w:val="16"/>
                <w:szCs w:val="16"/>
              </w:rPr>
            </w:pPr>
            <w:r w:rsidRPr="00426A34">
              <w:rPr>
                <w:rFonts w:ascii="Arial" w:hAnsi="Arial" w:cs="Arial"/>
                <w:b/>
                <w:sz w:val="16"/>
                <w:szCs w:val="16"/>
              </w:rPr>
              <w:t>1</w:t>
            </w:r>
          </w:p>
        </w:tc>
        <w:tc>
          <w:tcPr>
            <w:tcW w:w="2049" w:type="dxa"/>
            <w:tcBorders>
              <w:top w:val="single" w:color="000000" w:sz="7" w:space="0"/>
              <w:left w:val="single" w:color="000000" w:sz="7" w:space="0"/>
              <w:bottom w:val="single" w:color="000000" w:sz="7" w:space="0"/>
              <w:right w:val="single" w:color="000000" w:sz="7" w:space="0"/>
            </w:tcBorders>
          </w:tcPr>
          <w:p w:rsidRPr="00335DEE" w:rsidR="000B3CCC" w:rsidP="00F73E74" w:rsidRDefault="000B3CCC">
            <w:pPr>
              <w:rPr>
                <w:rFonts w:ascii="Arial" w:hAnsi="Arial" w:cs="Arial"/>
                <w:sz w:val="16"/>
                <w:szCs w:val="16"/>
              </w:rPr>
            </w:pPr>
          </w:p>
          <w:p w:rsidRPr="006E3131" w:rsidR="006E3131" w:rsidP="006E3131" w:rsidRDefault="006E3131">
            <w:pPr>
              <w:rPr>
                <w:rFonts w:ascii="Arial" w:hAnsi="Arial" w:eastAsia="Calibri" w:cs="Arial"/>
                <w:sz w:val="16"/>
                <w:szCs w:val="16"/>
              </w:rPr>
            </w:pPr>
            <w:r w:rsidRPr="006E3131">
              <w:rPr>
                <w:rFonts w:ascii="Arial" w:hAnsi="Arial" w:eastAsia="Calibri" w:cs="Arial"/>
                <w:sz w:val="16"/>
                <w:szCs w:val="16"/>
              </w:rPr>
              <w:t>Trademark Assignment System (ETAS)</w:t>
            </w:r>
          </w:p>
          <w:p w:rsidRPr="006E3131" w:rsidR="006E3131" w:rsidP="006E3131" w:rsidRDefault="006E3131">
            <w:pPr>
              <w:rPr>
                <w:rFonts w:ascii="Arial" w:hAnsi="Arial" w:eastAsia="Calibri" w:cs="Arial"/>
                <w:bCs/>
                <w:sz w:val="16"/>
                <w:szCs w:val="16"/>
              </w:rPr>
            </w:pPr>
          </w:p>
          <w:p w:rsidRPr="00335DEE" w:rsidR="000B3CCC" w:rsidP="006E3131" w:rsidRDefault="006E3131">
            <w:pPr>
              <w:widowControl/>
              <w:spacing w:after="58"/>
              <w:rPr>
                <w:rFonts w:ascii="Arial" w:hAnsi="Arial" w:cs="Arial"/>
                <w:sz w:val="16"/>
                <w:szCs w:val="16"/>
              </w:rPr>
            </w:pPr>
            <w:r w:rsidRPr="006E3131">
              <w:rPr>
                <w:rFonts w:ascii="Arial" w:hAnsi="Arial" w:eastAsia="Calibri" w:cs="Arial"/>
                <w:b/>
                <w:sz w:val="16"/>
                <w:szCs w:val="16"/>
              </w:rPr>
              <w:t>(PTO-1594)</w:t>
            </w:r>
          </w:p>
        </w:tc>
        <w:tc>
          <w:tcPr>
            <w:tcW w:w="2721" w:type="dxa"/>
            <w:tcBorders>
              <w:top w:val="single" w:color="000000" w:sz="7" w:space="0"/>
              <w:left w:val="single" w:color="000000" w:sz="7" w:space="0"/>
              <w:bottom w:val="single" w:color="000000" w:sz="7" w:space="0"/>
              <w:right w:val="single" w:color="000000" w:sz="7" w:space="0"/>
            </w:tcBorders>
          </w:tcPr>
          <w:p w:rsidRPr="00335DEE" w:rsidR="000B3CCC" w:rsidP="00F73E74" w:rsidRDefault="000B3CCC">
            <w:pPr>
              <w:rPr>
                <w:rFonts w:ascii="Arial" w:hAnsi="Arial" w:cs="Arial"/>
                <w:sz w:val="16"/>
                <w:szCs w:val="16"/>
              </w:rPr>
            </w:pPr>
          </w:p>
          <w:p w:rsidRPr="00335DEE" w:rsidR="000B3CCC" w:rsidP="00F73E74" w:rsidRDefault="000B3CCC">
            <w:pPr>
              <w:widowControl/>
              <w:spacing w:after="58"/>
              <w:rPr>
                <w:rFonts w:ascii="Arial" w:hAnsi="Arial" w:cs="Arial"/>
                <w:sz w:val="16"/>
                <w:szCs w:val="16"/>
              </w:rPr>
            </w:pPr>
            <w:r w:rsidRPr="00335DEE">
              <w:rPr>
                <w:rFonts w:ascii="Arial" w:hAnsi="Arial" w:cs="Arial"/>
                <w:sz w:val="16"/>
                <w:szCs w:val="16"/>
              </w:rPr>
              <w:t xml:space="preserve">15 U.S.C. </w:t>
            </w:r>
            <w:r>
              <w:rPr>
                <w:rFonts w:ascii="Arial" w:hAnsi="Arial" w:cs="Arial"/>
                <w:sz w:val="16"/>
                <w:szCs w:val="16"/>
              </w:rPr>
              <w:t>§§</w:t>
            </w:r>
            <w:r w:rsidRPr="00335DEE">
              <w:rPr>
                <w:rFonts w:ascii="Arial" w:hAnsi="Arial" w:cs="Arial"/>
                <w:sz w:val="16"/>
                <w:szCs w:val="16"/>
              </w:rPr>
              <w:t xml:space="preserve"> 1057 and 1060</w:t>
            </w:r>
          </w:p>
        </w:tc>
        <w:tc>
          <w:tcPr>
            <w:tcW w:w="3758" w:type="dxa"/>
            <w:tcBorders>
              <w:top w:val="single" w:color="000000" w:sz="7" w:space="0"/>
              <w:left w:val="single" w:color="000000" w:sz="7" w:space="0"/>
              <w:bottom w:val="single" w:color="000000" w:sz="7" w:space="0"/>
              <w:right w:val="single" w:color="000000" w:sz="7" w:space="0"/>
            </w:tcBorders>
          </w:tcPr>
          <w:p w:rsidRPr="00335DEE" w:rsidR="000B3CCC" w:rsidP="00F73E74" w:rsidRDefault="000B3CCC">
            <w:pPr>
              <w:rPr>
                <w:rFonts w:ascii="Arial" w:hAnsi="Arial" w:cs="Arial"/>
                <w:sz w:val="16"/>
                <w:szCs w:val="16"/>
              </w:rPr>
            </w:pPr>
          </w:p>
          <w:p w:rsidRPr="00335DEE" w:rsidR="000B3CCC" w:rsidP="00F73E74" w:rsidRDefault="000B3CCC">
            <w:pPr>
              <w:widowControl/>
              <w:spacing w:after="58"/>
              <w:rPr>
                <w:rFonts w:ascii="Arial" w:hAnsi="Arial" w:cs="Arial"/>
                <w:sz w:val="16"/>
                <w:szCs w:val="16"/>
              </w:rPr>
            </w:pPr>
            <w:r w:rsidRPr="00335DEE">
              <w:rPr>
                <w:rFonts w:ascii="Arial" w:hAnsi="Arial" w:cs="Arial"/>
                <w:sz w:val="16"/>
                <w:szCs w:val="16"/>
              </w:rPr>
              <w:t>37 CFR 3.11, 3.16, 3.25, 3.26, 3.28, 3.31, 3.34, and 3.41; 37 CFR 2.146 and 2.171</w:t>
            </w:r>
          </w:p>
        </w:tc>
      </w:tr>
      <w:tr w:rsidRPr="00335DEE" w:rsidR="000B3CCC" w:rsidTr="008647F6">
        <w:trPr>
          <w:trHeight w:val="542"/>
        </w:trPr>
        <w:tc>
          <w:tcPr>
            <w:tcW w:w="630" w:type="dxa"/>
            <w:tcBorders>
              <w:top w:val="single" w:color="000000" w:sz="7" w:space="0"/>
              <w:left w:val="single" w:color="000000" w:sz="7" w:space="0"/>
              <w:bottom w:val="single" w:color="000000" w:sz="7" w:space="0"/>
              <w:right w:val="single" w:color="000000" w:sz="7" w:space="0"/>
            </w:tcBorders>
            <w:vAlign w:val="center"/>
          </w:tcPr>
          <w:p w:rsidRPr="00426A34" w:rsidR="000B3CCC" w:rsidP="000B3CCC" w:rsidRDefault="006E3131">
            <w:pPr>
              <w:jc w:val="center"/>
              <w:rPr>
                <w:rFonts w:ascii="Arial" w:hAnsi="Arial" w:cs="Arial"/>
                <w:b/>
                <w:sz w:val="16"/>
                <w:szCs w:val="16"/>
              </w:rPr>
            </w:pPr>
            <w:r>
              <w:rPr>
                <w:rFonts w:ascii="Arial" w:hAnsi="Arial" w:cs="Arial"/>
                <w:b/>
                <w:sz w:val="16"/>
                <w:szCs w:val="16"/>
              </w:rPr>
              <w:t>2</w:t>
            </w:r>
          </w:p>
        </w:tc>
        <w:tc>
          <w:tcPr>
            <w:tcW w:w="2049" w:type="dxa"/>
            <w:tcBorders>
              <w:top w:val="single" w:color="000000" w:sz="7" w:space="0"/>
              <w:left w:val="single" w:color="000000" w:sz="7" w:space="0"/>
              <w:bottom w:val="single" w:color="000000" w:sz="7" w:space="0"/>
              <w:right w:val="single" w:color="000000" w:sz="7" w:space="0"/>
            </w:tcBorders>
          </w:tcPr>
          <w:p w:rsidRPr="00335DEE" w:rsidR="000B3CCC" w:rsidP="000B3CCC" w:rsidRDefault="000B3CCC">
            <w:pPr>
              <w:rPr>
                <w:rFonts w:ascii="Arial" w:hAnsi="Arial" w:cs="Arial"/>
                <w:sz w:val="16"/>
                <w:szCs w:val="16"/>
              </w:rPr>
            </w:pPr>
          </w:p>
          <w:p w:rsidR="006E3131" w:rsidP="006E3131" w:rsidRDefault="006E3131">
            <w:pPr>
              <w:rPr>
                <w:rFonts w:eastAsia="Calibri" w:cs="Courier New"/>
                <w:sz w:val="16"/>
                <w:szCs w:val="16"/>
              </w:rPr>
            </w:pPr>
            <w:r w:rsidRPr="0044121F">
              <w:rPr>
                <w:rFonts w:eastAsia="Calibri" w:cs="Courier New"/>
                <w:sz w:val="16"/>
                <w:szCs w:val="16"/>
              </w:rPr>
              <w:t xml:space="preserve">Patent Assignment System (EPAS) </w:t>
            </w:r>
          </w:p>
          <w:p w:rsidRPr="0044121F" w:rsidR="006E3131" w:rsidP="006E3131" w:rsidRDefault="006E3131">
            <w:pPr>
              <w:rPr>
                <w:rFonts w:eastAsia="Calibri" w:cs="Courier New"/>
                <w:bCs/>
                <w:sz w:val="16"/>
                <w:szCs w:val="16"/>
              </w:rPr>
            </w:pPr>
          </w:p>
          <w:p w:rsidRPr="00335DEE" w:rsidR="000B3CCC" w:rsidP="006E3131" w:rsidRDefault="006E3131">
            <w:pPr>
              <w:widowControl/>
              <w:spacing w:after="58"/>
              <w:rPr>
                <w:rFonts w:ascii="Arial" w:hAnsi="Arial" w:cs="Arial"/>
                <w:sz w:val="16"/>
                <w:szCs w:val="16"/>
              </w:rPr>
            </w:pPr>
            <w:r w:rsidRPr="0044121F">
              <w:rPr>
                <w:rFonts w:eastAsia="Calibri" w:cs="Courier New"/>
                <w:b/>
                <w:sz w:val="16"/>
                <w:szCs w:val="16"/>
              </w:rPr>
              <w:t>(PTO-1595)</w:t>
            </w:r>
          </w:p>
        </w:tc>
        <w:tc>
          <w:tcPr>
            <w:tcW w:w="2721" w:type="dxa"/>
            <w:tcBorders>
              <w:top w:val="single" w:color="000000" w:sz="7" w:space="0"/>
              <w:left w:val="single" w:color="000000" w:sz="7" w:space="0"/>
              <w:bottom w:val="single" w:color="000000" w:sz="7" w:space="0"/>
              <w:right w:val="single" w:color="000000" w:sz="7" w:space="0"/>
            </w:tcBorders>
          </w:tcPr>
          <w:p w:rsidRPr="00335DEE" w:rsidR="000B3CCC" w:rsidP="000B3CCC" w:rsidRDefault="000B3CCC">
            <w:pPr>
              <w:rPr>
                <w:rFonts w:ascii="Arial" w:hAnsi="Arial" w:cs="Arial"/>
                <w:sz w:val="16"/>
                <w:szCs w:val="16"/>
              </w:rPr>
            </w:pPr>
          </w:p>
          <w:p w:rsidRPr="00335DEE" w:rsidR="000B3CCC" w:rsidP="000B3CCC" w:rsidRDefault="000B3CCC">
            <w:pPr>
              <w:widowControl/>
              <w:spacing w:after="58"/>
              <w:rPr>
                <w:rFonts w:ascii="Arial" w:hAnsi="Arial" w:cs="Arial"/>
                <w:sz w:val="16"/>
                <w:szCs w:val="16"/>
              </w:rPr>
            </w:pPr>
            <w:r w:rsidRPr="00335DEE">
              <w:rPr>
                <w:rFonts w:ascii="Arial" w:hAnsi="Arial" w:cs="Arial"/>
                <w:sz w:val="16"/>
                <w:szCs w:val="16"/>
              </w:rPr>
              <w:t xml:space="preserve">35 U.S.C. </w:t>
            </w:r>
            <w:r>
              <w:rPr>
                <w:rFonts w:ascii="Arial" w:hAnsi="Arial" w:cs="Arial"/>
                <w:sz w:val="16"/>
                <w:szCs w:val="16"/>
              </w:rPr>
              <w:t>§§</w:t>
            </w:r>
            <w:r w:rsidRPr="00335DEE">
              <w:rPr>
                <w:rFonts w:ascii="Arial" w:hAnsi="Arial" w:cs="Arial"/>
                <w:sz w:val="16"/>
                <w:szCs w:val="16"/>
              </w:rPr>
              <w:t xml:space="preserve"> 261 and 262</w:t>
            </w:r>
          </w:p>
        </w:tc>
        <w:tc>
          <w:tcPr>
            <w:tcW w:w="3758" w:type="dxa"/>
            <w:tcBorders>
              <w:top w:val="single" w:color="000000" w:sz="7" w:space="0"/>
              <w:left w:val="single" w:color="000000" w:sz="7" w:space="0"/>
              <w:bottom w:val="single" w:color="000000" w:sz="7" w:space="0"/>
              <w:right w:val="single" w:color="000000" w:sz="7" w:space="0"/>
            </w:tcBorders>
          </w:tcPr>
          <w:p w:rsidRPr="00335DEE" w:rsidR="000B3CCC" w:rsidP="000B3CCC" w:rsidRDefault="000B3CCC">
            <w:pPr>
              <w:rPr>
                <w:rFonts w:ascii="Arial" w:hAnsi="Arial" w:cs="Arial"/>
                <w:sz w:val="16"/>
                <w:szCs w:val="16"/>
              </w:rPr>
            </w:pPr>
          </w:p>
          <w:p w:rsidRPr="00335DEE" w:rsidR="000B3CCC" w:rsidP="000B3CCC" w:rsidRDefault="000B3CCC">
            <w:pPr>
              <w:widowControl/>
              <w:spacing w:after="58"/>
              <w:rPr>
                <w:rFonts w:ascii="Arial" w:hAnsi="Arial" w:cs="Arial"/>
                <w:sz w:val="16"/>
                <w:szCs w:val="16"/>
              </w:rPr>
            </w:pPr>
            <w:r w:rsidRPr="00335DEE">
              <w:rPr>
                <w:rFonts w:ascii="Arial" w:hAnsi="Arial" w:cs="Arial"/>
                <w:sz w:val="16"/>
                <w:szCs w:val="16"/>
              </w:rPr>
              <w:t>37 CFR 3.11, 3.21, 3.24, 3.26, 3.28, 3.31, 3.34, and 3.41</w:t>
            </w:r>
          </w:p>
        </w:tc>
      </w:tr>
    </w:tbl>
    <w:p w:rsidR="000D0476" w:rsidRDefault="000D0476">
      <w:pPr>
        <w:widowControl/>
        <w:jc w:val="both"/>
        <w:rPr>
          <w:rFonts w:ascii="Arial" w:hAnsi="Arial" w:cs="Arial"/>
          <w:color w:val="0000FF"/>
        </w:rPr>
      </w:pPr>
    </w:p>
    <w:p w:rsidRPr="00476F66" w:rsidR="001A3093" w:rsidRDefault="001A3093">
      <w:pPr>
        <w:widowControl/>
        <w:jc w:val="both"/>
        <w:rPr>
          <w:rFonts w:ascii="Arial" w:hAnsi="Arial" w:cs="Arial"/>
          <w:color w:val="0000FF"/>
        </w:rPr>
      </w:pPr>
    </w:p>
    <w:p w:rsidRPr="0056760B" w:rsidR="000D0476" w:rsidRDefault="000D0476">
      <w:pPr>
        <w:widowControl/>
        <w:jc w:val="both"/>
        <w:rPr>
          <w:rFonts w:ascii="Arial" w:hAnsi="Arial" w:cs="Arial"/>
        </w:rPr>
      </w:pPr>
      <w:r w:rsidRPr="0056760B">
        <w:rPr>
          <w:rFonts w:ascii="Arial" w:hAnsi="Arial" w:cs="Arial"/>
          <w:b/>
          <w:bCs/>
        </w:rPr>
        <w:t>2.</w:t>
      </w:r>
      <w:r w:rsidRPr="0056760B">
        <w:rPr>
          <w:rFonts w:ascii="Arial" w:hAnsi="Arial" w:cs="Arial"/>
          <w:b/>
          <w:bCs/>
        </w:rPr>
        <w:tab/>
      </w:r>
      <w:r w:rsidRPr="00AD773C" w:rsidR="00AD773C">
        <w:rPr>
          <w:rFonts w:ascii="Arial" w:hAnsi="Arial" w:cs="Arial"/>
          <w:b/>
          <w:bCs/>
        </w:rPr>
        <w:t xml:space="preserve">Indicate how, by whom, and for what purpose the information is to </w:t>
      </w:r>
      <w:proofErr w:type="gramStart"/>
      <w:r w:rsidRPr="00AD773C" w:rsidR="00AD773C">
        <w:rPr>
          <w:rFonts w:ascii="Arial" w:hAnsi="Arial" w:cs="Arial"/>
          <w:b/>
          <w:bCs/>
        </w:rPr>
        <w:t>be used</w:t>
      </w:r>
      <w:proofErr w:type="gramEnd"/>
      <w:r w:rsidRPr="00AD773C" w:rsidR="00AD773C">
        <w:rPr>
          <w:rFonts w:ascii="Arial" w:hAnsi="Arial" w:cs="Arial"/>
          <w:b/>
          <w:bCs/>
        </w:rPr>
        <w:t>. Except for a new collection, indicate the actual use the agency has made of the information received from the current collection.</w:t>
      </w:r>
    </w:p>
    <w:p w:rsidR="000D0476" w:rsidRDefault="000D0476">
      <w:pPr>
        <w:widowControl/>
        <w:jc w:val="both"/>
        <w:rPr>
          <w:rFonts w:ascii="Arial" w:hAnsi="Arial" w:cs="Arial"/>
          <w:color w:val="0000FF"/>
        </w:rPr>
      </w:pPr>
    </w:p>
    <w:p w:rsidR="00940178" w:rsidP="0023366F" w:rsidRDefault="000D0476">
      <w:pPr>
        <w:widowControl/>
        <w:jc w:val="both"/>
        <w:rPr>
          <w:rFonts w:ascii="Arial" w:hAnsi="Arial" w:cs="Arial"/>
        </w:rPr>
      </w:pPr>
      <w:r w:rsidRPr="00AF547B">
        <w:rPr>
          <w:rFonts w:ascii="Arial" w:hAnsi="Arial" w:cs="Arial"/>
        </w:rPr>
        <w:t>The public uses this information collection to submit patent and trademark assignment documents recorded by the USPTO</w:t>
      </w:r>
      <w:r w:rsidRPr="00AF547B" w:rsidR="00035FC3">
        <w:rPr>
          <w:rFonts w:ascii="Arial" w:hAnsi="Arial" w:cs="Arial"/>
        </w:rPr>
        <w:t xml:space="preserve">. </w:t>
      </w:r>
      <w:r w:rsidRPr="00AF547B" w:rsidR="005F5E24">
        <w:rPr>
          <w:rFonts w:ascii="Arial" w:hAnsi="Arial" w:cs="Arial"/>
        </w:rPr>
        <w:t xml:space="preserve"> </w:t>
      </w:r>
      <w:r w:rsidRPr="00AF547B">
        <w:rPr>
          <w:rFonts w:ascii="Arial" w:hAnsi="Arial" w:cs="Arial"/>
        </w:rPr>
        <w:t>Except for those documents sealed under secrecy orders or related to unpublished patent applications, patent and trademark assignment records may be inspected by the public after they are recorded</w:t>
      </w:r>
      <w:r w:rsidRPr="00AF547B" w:rsidR="00035FC3">
        <w:rPr>
          <w:rFonts w:ascii="Arial" w:hAnsi="Arial" w:cs="Arial"/>
        </w:rPr>
        <w:t>.</w:t>
      </w:r>
    </w:p>
    <w:p w:rsidRPr="00CE67D4" w:rsidR="000D0476" w:rsidRDefault="000D0476">
      <w:pPr>
        <w:widowControl/>
        <w:jc w:val="both"/>
        <w:rPr>
          <w:rFonts w:ascii="Arial" w:hAnsi="Arial" w:cs="Arial"/>
          <w:color w:val="0000FF"/>
        </w:rPr>
      </w:pPr>
    </w:p>
    <w:p w:rsidR="005B6AB3" w:rsidP="008D5A6F" w:rsidRDefault="005B6AB3">
      <w:pPr>
        <w:widowControl/>
        <w:jc w:val="both"/>
        <w:rPr>
          <w:rFonts w:ascii="Arial" w:hAnsi="Arial" w:cs="Arial"/>
        </w:rPr>
      </w:pPr>
      <w:r w:rsidRPr="005B6AB3">
        <w:rPr>
          <w:rFonts w:ascii="Arial" w:hAnsi="Arial" w:cs="Arial"/>
        </w:rPr>
        <w:t xml:space="preserve">The information collected, maintained and used in this </w:t>
      </w:r>
      <w:r w:rsidR="00B069BC">
        <w:rPr>
          <w:rFonts w:ascii="Arial" w:hAnsi="Arial" w:cs="Arial"/>
        </w:rPr>
        <w:t xml:space="preserve">information </w:t>
      </w:r>
      <w:r w:rsidRPr="005B6AB3">
        <w:rPr>
          <w:rFonts w:ascii="Arial" w:hAnsi="Arial" w:cs="Arial"/>
        </w:rPr>
        <w:t xml:space="preserve">collection is based on OMB and USPTO guidelines.  This includes the basic information quality standards established in the Paperwork Reduction Act (44 U.S.C. Chapter 35), in OMB Circular A-130, and in the OMB information quality guidelines. </w:t>
      </w:r>
    </w:p>
    <w:p w:rsidRPr="0023366F" w:rsidR="007F0E84" w:rsidP="008D5A6F" w:rsidRDefault="007F0E84">
      <w:pPr>
        <w:widowControl/>
        <w:jc w:val="both"/>
        <w:rPr>
          <w:rFonts w:ascii="Arial" w:hAnsi="Arial" w:cs="Arial"/>
        </w:rPr>
      </w:pPr>
    </w:p>
    <w:p w:rsidRPr="008D5A6F" w:rsidR="000D0476" w:rsidP="008D5A6F" w:rsidRDefault="000D0476">
      <w:pPr>
        <w:widowControl/>
        <w:jc w:val="both"/>
        <w:rPr>
          <w:rFonts w:ascii="Arial" w:hAnsi="Arial" w:cs="Arial"/>
        </w:rPr>
      </w:pPr>
      <w:r w:rsidRPr="008D5A6F">
        <w:rPr>
          <w:rFonts w:ascii="Arial" w:hAnsi="Arial" w:cs="Arial"/>
        </w:rPr>
        <w:t xml:space="preserve">Table 2 outlines how this collection of information </w:t>
      </w:r>
      <w:r w:rsidRPr="008D5A6F" w:rsidR="00FA7E57">
        <w:rPr>
          <w:rFonts w:ascii="Arial" w:hAnsi="Arial" w:cs="Arial"/>
        </w:rPr>
        <w:t>i</w:t>
      </w:r>
      <w:r w:rsidRPr="008D5A6F">
        <w:rPr>
          <w:rFonts w:ascii="Arial" w:hAnsi="Arial" w:cs="Arial"/>
        </w:rPr>
        <w:t>s used b</w:t>
      </w:r>
      <w:r w:rsidRPr="008D5A6F" w:rsidR="00FA7E57">
        <w:rPr>
          <w:rFonts w:ascii="Arial" w:hAnsi="Arial" w:cs="Arial"/>
        </w:rPr>
        <w:t>y the public and the USPTO:</w:t>
      </w:r>
    </w:p>
    <w:p w:rsidRPr="00476F66" w:rsidR="000D0476" w:rsidRDefault="000D0476">
      <w:pPr>
        <w:widowControl/>
        <w:jc w:val="both"/>
        <w:rPr>
          <w:rFonts w:ascii="Arial" w:hAnsi="Arial" w:cs="Arial"/>
          <w:color w:val="0000FF"/>
        </w:rPr>
      </w:pPr>
    </w:p>
    <w:p w:rsidRPr="00CD7C5E" w:rsidR="000D0476" w:rsidP="009A6A42" w:rsidRDefault="00C7288C">
      <w:pPr>
        <w:keepNext/>
        <w:widowControl/>
        <w:jc w:val="both"/>
        <w:rPr>
          <w:rFonts w:ascii="Arial" w:hAnsi="Arial" w:cs="Arial"/>
        </w:rPr>
      </w:pPr>
      <w:r>
        <w:rPr>
          <w:rFonts w:ascii="Arial" w:hAnsi="Arial" w:cs="Arial"/>
          <w:b/>
          <w:bCs/>
          <w:sz w:val="20"/>
          <w:szCs w:val="20"/>
        </w:rPr>
        <w:br w:type="page"/>
      </w:r>
      <w:r w:rsidRPr="00CD7C5E" w:rsidR="000D0476">
        <w:rPr>
          <w:rFonts w:ascii="Arial" w:hAnsi="Arial" w:cs="Arial"/>
          <w:b/>
          <w:bCs/>
          <w:sz w:val="20"/>
          <w:szCs w:val="20"/>
        </w:rPr>
        <w:lastRenderedPageBreak/>
        <w:t>Table 2:  Needs and Uses</w:t>
      </w:r>
    </w:p>
    <w:tbl>
      <w:tblPr>
        <w:tblW w:w="9360" w:type="dxa"/>
        <w:tblInd w:w="120" w:type="dxa"/>
        <w:tblLayout w:type="fixed"/>
        <w:tblCellMar>
          <w:left w:w="120" w:type="dxa"/>
          <w:right w:w="120" w:type="dxa"/>
        </w:tblCellMar>
        <w:tblLook w:val="0000" w:firstRow="0" w:lastRow="0" w:firstColumn="0" w:lastColumn="0" w:noHBand="0" w:noVBand="0"/>
      </w:tblPr>
      <w:tblGrid>
        <w:gridCol w:w="630"/>
        <w:gridCol w:w="1710"/>
        <w:gridCol w:w="990"/>
        <w:gridCol w:w="6030"/>
      </w:tblGrid>
      <w:tr w:rsidRPr="00AD3F42" w:rsidR="00D222A7" w:rsidTr="008647F6">
        <w:tc>
          <w:tcPr>
            <w:tcW w:w="630" w:type="dxa"/>
            <w:tcBorders>
              <w:top w:val="single" w:color="000000" w:sz="7" w:space="0"/>
              <w:left w:val="single" w:color="000000" w:sz="7" w:space="0"/>
              <w:bottom w:val="single" w:color="000000" w:sz="7" w:space="0"/>
              <w:right w:val="single" w:color="000000" w:sz="7" w:space="0"/>
            </w:tcBorders>
          </w:tcPr>
          <w:p w:rsidRPr="00AD3F42" w:rsidR="00D222A7" w:rsidP="00400C95" w:rsidRDefault="00D222A7">
            <w:pPr>
              <w:spacing w:line="120" w:lineRule="exact"/>
              <w:rPr>
                <w:rFonts w:ascii="Arial" w:hAnsi="Arial" w:cs="Arial"/>
              </w:rPr>
            </w:pPr>
          </w:p>
          <w:p w:rsidRPr="00AD3F42" w:rsidR="00D222A7" w:rsidP="00D222A7" w:rsidRDefault="00B069BC">
            <w:pPr>
              <w:widowControl/>
              <w:spacing w:after="58"/>
              <w:rPr>
                <w:rFonts w:ascii="Arial" w:hAnsi="Arial" w:cs="Arial"/>
                <w:sz w:val="16"/>
                <w:szCs w:val="16"/>
              </w:rPr>
            </w:pPr>
            <w:r>
              <w:rPr>
                <w:rFonts w:ascii="Arial" w:hAnsi="Arial" w:cs="Arial"/>
                <w:b/>
                <w:bCs/>
                <w:sz w:val="16"/>
                <w:szCs w:val="16"/>
              </w:rPr>
              <w:t>Item No.</w:t>
            </w:r>
          </w:p>
        </w:tc>
        <w:tc>
          <w:tcPr>
            <w:tcW w:w="1710" w:type="dxa"/>
            <w:tcBorders>
              <w:top w:val="single" w:color="000000" w:sz="7" w:space="0"/>
              <w:left w:val="single" w:color="000000" w:sz="7" w:space="0"/>
              <w:bottom w:val="single" w:color="000000" w:sz="7" w:space="0"/>
              <w:right w:val="single" w:color="000000" w:sz="7" w:space="0"/>
            </w:tcBorders>
          </w:tcPr>
          <w:p w:rsidRPr="00AD3F42" w:rsidR="00D222A7" w:rsidRDefault="00D222A7">
            <w:pPr>
              <w:spacing w:line="120" w:lineRule="exact"/>
              <w:rPr>
                <w:rFonts w:ascii="Arial" w:hAnsi="Arial" w:cs="Arial"/>
              </w:rPr>
            </w:pPr>
          </w:p>
          <w:p w:rsidRPr="00AD3F42" w:rsidR="00D222A7" w:rsidRDefault="00D222A7">
            <w:pPr>
              <w:widowControl/>
              <w:spacing w:after="58"/>
              <w:rPr>
                <w:rFonts w:ascii="Arial" w:hAnsi="Arial" w:cs="Arial"/>
                <w:sz w:val="16"/>
                <w:szCs w:val="16"/>
              </w:rPr>
            </w:pPr>
            <w:r w:rsidRPr="00AD3F42">
              <w:rPr>
                <w:rFonts w:ascii="Arial" w:hAnsi="Arial" w:cs="Arial"/>
                <w:b/>
                <w:bCs/>
                <w:sz w:val="16"/>
                <w:szCs w:val="16"/>
              </w:rPr>
              <w:t>Form and Function</w:t>
            </w:r>
          </w:p>
        </w:tc>
        <w:tc>
          <w:tcPr>
            <w:tcW w:w="990" w:type="dxa"/>
            <w:tcBorders>
              <w:top w:val="single" w:color="000000" w:sz="7" w:space="0"/>
              <w:left w:val="single" w:color="000000" w:sz="7" w:space="0"/>
              <w:bottom w:val="single" w:color="000000" w:sz="7" w:space="0"/>
              <w:right w:val="single" w:color="000000" w:sz="7" w:space="0"/>
            </w:tcBorders>
          </w:tcPr>
          <w:p w:rsidRPr="00AD3F42" w:rsidR="00D222A7" w:rsidRDefault="00D222A7">
            <w:pPr>
              <w:spacing w:line="120" w:lineRule="exact"/>
              <w:rPr>
                <w:rFonts w:ascii="Arial" w:hAnsi="Arial" w:cs="Arial"/>
                <w:sz w:val="16"/>
                <w:szCs w:val="16"/>
              </w:rPr>
            </w:pPr>
          </w:p>
          <w:p w:rsidRPr="00AD3F42" w:rsidR="00D222A7" w:rsidRDefault="00D222A7">
            <w:pPr>
              <w:widowControl/>
              <w:spacing w:after="58"/>
              <w:rPr>
                <w:rFonts w:ascii="Arial" w:hAnsi="Arial" w:cs="Arial"/>
                <w:sz w:val="16"/>
                <w:szCs w:val="16"/>
              </w:rPr>
            </w:pPr>
            <w:r w:rsidRPr="00AD3F42">
              <w:rPr>
                <w:rFonts w:ascii="Arial" w:hAnsi="Arial" w:cs="Arial"/>
                <w:b/>
                <w:bCs/>
                <w:sz w:val="16"/>
                <w:szCs w:val="16"/>
              </w:rPr>
              <w:t xml:space="preserve">Form </w:t>
            </w:r>
            <w:r w:rsidR="00A66548">
              <w:rPr>
                <w:rFonts w:ascii="Arial" w:hAnsi="Arial" w:cs="Arial"/>
                <w:b/>
                <w:bCs/>
                <w:sz w:val="16"/>
                <w:szCs w:val="16"/>
              </w:rPr>
              <w:t>No.</w:t>
            </w:r>
          </w:p>
        </w:tc>
        <w:tc>
          <w:tcPr>
            <w:tcW w:w="6030" w:type="dxa"/>
            <w:tcBorders>
              <w:top w:val="single" w:color="000000" w:sz="7" w:space="0"/>
              <w:left w:val="single" w:color="000000" w:sz="7" w:space="0"/>
              <w:bottom w:val="single" w:color="000000" w:sz="7" w:space="0"/>
              <w:right w:val="single" w:color="000000" w:sz="7" w:space="0"/>
            </w:tcBorders>
          </w:tcPr>
          <w:p w:rsidRPr="00AD3F42" w:rsidR="00D222A7" w:rsidRDefault="00D222A7">
            <w:pPr>
              <w:spacing w:line="120" w:lineRule="exact"/>
              <w:rPr>
                <w:rFonts w:ascii="Arial" w:hAnsi="Arial" w:cs="Arial"/>
                <w:sz w:val="16"/>
                <w:szCs w:val="16"/>
              </w:rPr>
            </w:pPr>
          </w:p>
          <w:p w:rsidRPr="00AD3F42" w:rsidR="00D222A7" w:rsidRDefault="00D222A7">
            <w:pPr>
              <w:widowControl/>
              <w:spacing w:after="58"/>
              <w:rPr>
                <w:rFonts w:ascii="Arial" w:hAnsi="Arial" w:cs="Arial"/>
                <w:sz w:val="16"/>
                <w:szCs w:val="16"/>
              </w:rPr>
            </w:pPr>
            <w:r w:rsidRPr="00AD3F42">
              <w:rPr>
                <w:rFonts w:ascii="Arial" w:hAnsi="Arial" w:cs="Arial"/>
                <w:b/>
                <w:bCs/>
                <w:sz w:val="16"/>
                <w:szCs w:val="16"/>
              </w:rPr>
              <w:t>Needs and Uses</w:t>
            </w:r>
          </w:p>
        </w:tc>
      </w:tr>
      <w:tr w:rsidRPr="00476F66" w:rsidR="006E3131" w:rsidTr="00545D1E">
        <w:trPr>
          <w:trHeight w:val="1837"/>
        </w:trPr>
        <w:tc>
          <w:tcPr>
            <w:tcW w:w="630" w:type="dxa"/>
            <w:tcBorders>
              <w:top w:val="single" w:color="000000" w:sz="7" w:space="0"/>
              <w:left w:val="single" w:color="000000" w:sz="7" w:space="0"/>
              <w:bottom w:val="single" w:color="000000" w:sz="7" w:space="0"/>
              <w:right w:val="single" w:color="000000" w:sz="7" w:space="0"/>
            </w:tcBorders>
            <w:vAlign w:val="center"/>
          </w:tcPr>
          <w:p w:rsidRPr="00426A34" w:rsidR="006E3131" w:rsidP="006E3131" w:rsidRDefault="006E3131">
            <w:pPr>
              <w:jc w:val="center"/>
              <w:rPr>
                <w:rFonts w:ascii="Arial" w:hAnsi="Arial" w:cs="Arial"/>
                <w:b/>
                <w:sz w:val="16"/>
                <w:szCs w:val="16"/>
              </w:rPr>
            </w:pPr>
            <w:r w:rsidRPr="00426A34">
              <w:rPr>
                <w:rFonts w:ascii="Arial" w:hAnsi="Arial" w:cs="Arial"/>
                <w:b/>
                <w:sz w:val="16"/>
                <w:szCs w:val="16"/>
              </w:rPr>
              <w:t>1</w:t>
            </w:r>
          </w:p>
        </w:tc>
        <w:tc>
          <w:tcPr>
            <w:tcW w:w="1710" w:type="dxa"/>
            <w:tcBorders>
              <w:top w:val="single" w:color="000000" w:sz="7" w:space="0"/>
              <w:left w:val="single" w:color="000000" w:sz="7" w:space="0"/>
              <w:bottom w:val="single" w:color="000000" w:sz="7" w:space="0"/>
              <w:right w:val="single" w:color="000000" w:sz="7" w:space="0"/>
            </w:tcBorders>
          </w:tcPr>
          <w:p w:rsidRPr="00335DEE" w:rsidR="006E3131" w:rsidP="006E3131" w:rsidRDefault="006E3131">
            <w:pPr>
              <w:rPr>
                <w:rFonts w:ascii="Arial" w:hAnsi="Arial" w:cs="Arial"/>
                <w:sz w:val="16"/>
                <w:szCs w:val="16"/>
              </w:rPr>
            </w:pPr>
          </w:p>
          <w:p w:rsidRPr="006E3131" w:rsidR="006E3131" w:rsidP="006E3131" w:rsidRDefault="006E3131">
            <w:pPr>
              <w:rPr>
                <w:rFonts w:ascii="Arial" w:hAnsi="Arial" w:eastAsia="Calibri" w:cs="Arial"/>
                <w:sz w:val="16"/>
                <w:szCs w:val="16"/>
              </w:rPr>
            </w:pPr>
            <w:r w:rsidRPr="006E3131">
              <w:rPr>
                <w:rFonts w:ascii="Arial" w:hAnsi="Arial" w:eastAsia="Calibri" w:cs="Arial"/>
                <w:sz w:val="16"/>
                <w:szCs w:val="16"/>
              </w:rPr>
              <w:t>Trademark Assignment System (ETAS)</w:t>
            </w:r>
          </w:p>
          <w:p w:rsidRPr="006E3131" w:rsidR="006E3131" w:rsidP="006E3131" w:rsidRDefault="006E3131">
            <w:pPr>
              <w:rPr>
                <w:rFonts w:ascii="Arial" w:hAnsi="Arial" w:eastAsia="Calibri" w:cs="Arial"/>
                <w:bCs/>
                <w:sz w:val="16"/>
                <w:szCs w:val="16"/>
              </w:rPr>
            </w:pPr>
          </w:p>
          <w:p w:rsidRPr="00335DEE" w:rsidR="006E3131" w:rsidP="006E3131" w:rsidRDefault="006E3131">
            <w:pPr>
              <w:widowControl/>
              <w:spacing w:after="58"/>
              <w:rPr>
                <w:rFonts w:ascii="Arial" w:hAnsi="Arial" w:cs="Arial"/>
                <w:sz w:val="16"/>
                <w:szCs w:val="16"/>
              </w:rPr>
            </w:pPr>
            <w:r w:rsidRPr="006E3131">
              <w:rPr>
                <w:rFonts w:ascii="Arial" w:hAnsi="Arial" w:eastAsia="Calibri" w:cs="Arial"/>
                <w:b/>
                <w:sz w:val="16"/>
                <w:szCs w:val="16"/>
              </w:rPr>
              <w:t>(PTO-1594)</w:t>
            </w:r>
          </w:p>
        </w:tc>
        <w:tc>
          <w:tcPr>
            <w:tcW w:w="990" w:type="dxa"/>
            <w:tcBorders>
              <w:top w:val="single" w:color="000000" w:sz="7" w:space="0"/>
              <w:left w:val="single" w:color="000000" w:sz="7" w:space="0"/>
              <w:bottom w:val="single" w:color="000000" w:sz="7" w:space="0"/>
              <w:right w:val="single" w:color="000000" w:sz="7" w:space="0"/>
            </w:tcBorders>
          </w:tcPr>
          <w:p w:rsidRPr="00DC6C59" w:rsidR="006E3131" w:rsidP="006E3131" w:rsidRDefault="006E3131">
            <w:pPr>
              <w:spacing w:line="120" w:lineRule="exact"/>
              <w:rPr>
                <w:rFonts w:ascii="Arial" w:hAnsi="Arial" w:cs="Arial"/>
                <w:sz w:val="16"/>
                <w:szCs w:val="16"/>
              </w:rPr>
            </w:pPr>
          </w:p>
          <w:p w:rsidRPr="00DC6C59" w:rsidR="006E3131" w:rsidP="006E3131" w:rsidRDefault="006E3131">
            <w:pPr>
              <w:widowControl/>
              <w:rPr>
                <w:rFonts w:ascii="Arial" w:hAnsi="Arial" w:cs="Arial"/>
                <w:sz w:val="16"/>
                <w:szCs w:val="16"/>
              </w:rPr>
            </w:pPr>
            <w:r w:rsidRPr="00DC6C59">
              <w:rPr>
                <w:rFonts w:ascii="Arial" w:hAnsi="Arial" w:cs="Arial"/>
                <w:sz w:val="16"/>
                <w:szCs w:val="16"/>
              </w:rPr>
              <w:t xml:space="preserve">PTO-1594 </w:t>
            </w:r>
          </w:p>
          <w:p w:rsidRPr="00DC6C59" w:rsidR="006E3131" w:rsidP="006E3131" w:rsidRDefault="006E3131">
            <w:pPr>
              <w:widowControl/>
              <w:spacing w:after="58"/>
              <w:rPr>
                <w:rFonts w:ascii="Arial" w:hAnsi="Arial" w:cs="Arial"/>
                <w:sz w:val="16"/>
                <w:szCs w:val="16"/>
              </w:rPr>
            </w:pPr>
          </w:p>
        </w:tc>
        <w:tc>
          <w:tcPr>
            <w:tcW w:w="6030" w:type="dxa"/>
            <w:tcBorders>
              <w:top w:val="single" w:color="000000" w:sz="7" w:space="0"/>
              <w:left w:val="single" w:color="000000" w:sz="7" w:space="0"/>
              <w:bottom w:val="single" w:color="000000" w:sz="7" w:space="0"/>
              <w:right w:val="single" w:color="000000" w:sz="7" w:space="0"/>
            </w:tcBorders>
          </w:tcPr>
          <w:p w:rsidRPr="00DC6C59" w:rsidR="006E3131" w:rsidP="006E3131" w:rsidRDefault="006E3131">
            <w:pPr>
              <w:spacing w:line="120" w:lineRule="exact"/>
              <w:rPr>
                <w:rFonts w:ascii="Arial" w:hAnsi="Arial" w:cs="Arial"/>
                <w:sz w:val="16"/>
                <w:szCs w:val="16"/>
              </w:rPr>
            </w:pPr>
          </w:p>
          <w:p w:rsidRPr="00DC6C59" w:rsidR="006E3131" w:rsidP="006E3131" w:rsidRDefault="006E3131">
            <w:pPr>
              <w:pStyle w:val="Style"/>
              <w:widowControl/>
              <w:numPr>
                <w:ilvl w:val="0"/>
                <w:numId w:val="6"/>
              </w:numPr>
              <w:tabs>
                <w:tab w:val="left" w:pos="-1440"/>
              </w:tabs>
              <w:rPr>
                <w:rFonts w:ascii="Arial" w:hAnsi="Arial" w:cs="Arial"/>
                <w:sz w:val="16"/>
                <w:szCs w:val="16"/>
              </w:rPr>
            </w:pPr>
            <w:r w:rsidRPr="00DC6C59">
              <w:rPr>
                <w:rFonts w:ascii="Arial" w:hAnsi="Arial" w:cs="Arial"/>
                <w:sz w:val="16"/>
                <w:szCs w:val="16"/>
              </w:rPr>
              <w:t>Used by the public to submit assignment documents indicating the transfer of rights, title, and interest in a trademark property from one party to another for recording by the USPTO.</w:t>
            </w:r>
          </w:p>
          <w:p w:rsidRPr="00DC6C59" w:rsidR="006E3131" w:rsidP="006E3131" w:rsidRDefault="006E3131">
            <w:pPr>
              <w:pStyle w:val="Style"/>
              <w:widowControl/>
              <w:numPr>
                <w:ilvl w:val="0"/>
                <w:numId w:val="6"/>
              </w:numPr>
              <w:tabs>
                <w:tab w:val="left" w:pos="-1440"/>
              </w:tabs>
              <w:rPr>
                <w:rFonts w:ascii="Arial" w:hAnsi="Arial" w:cs="Arial"/>
                <w:sz w:val="16"/>
                <w:szCs w:val="16"/>
              </w:rPr>
            </w:pPr>
            <w:r w:rsidRPr="00DC6C59">
              <w:rPr>
                <w:rFonts w:ascii="Arial" w:hAnsi="Arial" w:cs="Arial"/>
                <w:sz w:val="16"/>
                <w:szCs w:val="16"/>
              </w:rPr>
              <w:t>Used by the public to submit corrected cover sheets or documents to the USPTO for recording.</w:t>
            </w:r>
          </w:p>
          <w:p w:rsidRPr="00DC6C59" w:rsidR="006E3131" w:rsidP="006E3131" w:rsidRDefault="006E3131">
            <w:pPr>
              <w:pStyle w:val="Style"/>
              <w:widowControl/>
              <w:numPr>
                <w:ilvl w:val="0"/>
                <w:numId w:val="6"/>
              </w:numPr>
              <w:tabs>
                <w:tab w:val="left" w:pos="-1440"/>
              </w:tabs>
              <w:rPr>
                <w:rFonts w:ascii="Arial" w:hAnsi="Arial" w:cs="Arial"/>
                <w:sz w:val="16"/>
                <w:szCs w:val="16"/>
              </w:rPr>
            </w:pPr>
            <w:r w:rsidRPr="00DC6C59">
              <w:rPr>
                <w:rFonts w:ascii="Arial" w:hAnsi="Arial" w:cs="Arial"/>
                <w:sz w:val="16"/>
                <w:szCs w:val="16"/>
              </w:rPr>
              <w:t>Used by the USPTO to process and record marks, assignments, or other associated documents.</w:t>
            </w:r>
          </w:p>
          <w:p w:rsidRPr="00DC6C59" w:rsidR="006E3131" w:rsidP="006E3131" w:rsidRDefault="006E3131">
            <w:pPr>
              <w:pStyle w:val="Style"/>
              <w:widowControl/>
              <w:numPr>
                <w:ilvl w:val="0"/>
                <w:numId w:val="6"/>
              </w:numPr>
              <w:tabs>
                <w:tab w:val="left" w:pos="-1440"/>
              </w:tabs>
              <w:rPr>
                <w:rFonts w:ascii="Arial" w:hAnsi="Arial" w:cs="Arial"/>
                <w:sz w:val="16"/>
                <w:szCs w:val="16"/>
              </w:rPr>
            </w:pPr>
            <w:r w:rsidRPr="00DC6C59">
              <w:rPr>
                <w:rFonts w:ascii="Arial" w:hAnsi="Arial" w:cs="Arial"/>
                <w:sz w:val="16"/>
                <w:szCs w:val="16"/>
              </w:rPr>
              <w:t>Used by the USPTO to ensure that all relevant bibliographic data is entered in the files and the searchable public database.</w:t>
            </w:r>
          </w:p>
        </w:tc>
      </w:tr>
      <w:tr w:rsidRPr="00476F66" w:rsidR="006E3131" w:rsidTr="00545D1E">
        <w:trPr>
          <w:trHeight w:val="1873"/>
        </w:trPr>
        <w:tc>
          <w:tcPr>
            <w:tcW w:w="630" w:type="dxa"/>
            <w:tcBorders>
              <w:top w:val="single" w:color="000000" w:sz="7" w:space="0"/>
              <w:left w:val="single" w:color="000000" w:sz="7" w:space="0"/>
              <w:bottom w:val="single" w:color="000000" w:sz="7" w:space="0"/>
              <w:right w:val="single" w:color="000000" w:sz="7" w:space="0"/>
            </w:tcBorders>
            <w:vAlign w:val="center"/>
          </w:tcPr>
          <w:p w:rsidRPr="00426A34" w:rsidR="006E3131" w:rsidP="006E3131" w:rsidRDefault="006E3131">
            <w:pPr>
              <w:jc w:val="center"/>
              <w:rPr>
                <w:rFonts w:ascii="Arial" w:hAnsi="Arial" w:cs="Arial"/>
                <w:b/>
                <w:sz w:val="16"/>
                <w:szCs w:val="16"/>
              </w:rPr>
            </w:pPr>
            <w:r>
              <w:rPr>
                <w:rFonts w:ascii="Arial" w:hAnsi="Arial" w:cs="Arial"/>
                <w:b/>
                <w:sz w:val="16"/>
                <w:szCs w:val="16"/>
              </w:rPr>
              <w:t>2</w:t>
            </w:r>
          </w:p>
        </w:tc>
        <w:tc>
          <w:tcPr>
            <w:tcW w:w="1710" w:type="dxa"/>
            <w:tcBorders>
              <w:top w:val="single" w:color="000000" w:sz="7" w:space="0"/>
              <w:left w:val="single" w:color="000000" w:sz="7" w:space="0"/>
              <w:bottom w:val="single" w:color="000000" w:sz="7" w:space="0"/>
              <w:right w:val="single" w:color="000000" w:sz="7" w:space="0"/>
            </w:tcBorders>
          </w:tcPr>
          <w:p w:rsidRPr="00335DEE" w:rsidR="006E3131" w:rsidP="006E3131" w:rsidRDefault="006E3131">
            <w:pPr>
              <w:rPr>
                <w:rFonts w:ascii="Arial" w:hAnsi="Arial" w:cs="Arial"/>
                <w:sz w:val="16"/>
                <w:szCs w:val="16"/>
              </w:rPr>
            </w:pPr>
          </w:p>
          <w:p w:rsidR="006E3131" w:rsidP="006E3131" w:rsidRDefault="006E3131">
            <w:pPr>
              <w:rPr>
                <w:rFonts w:eastAsia="Calibri" w:cs="Courier New"/>
                <w:sz w:val="16"/>
                <w:szCs w:val="16"/>
              </w:rPr>
            </w:pPr>
            <w:r w:rsidRPr="0044121F">
              <w:rPr>
                <w:rFonts w:eastAsia="Calibri" w:cs="Courier New"/>
                <w:sz w:val="16"/>
                <w:szCs w:val="16"/>
              </w:rPr>
              <w:t xml:space="preserve">Patent Assignment System (EPAS) </w:t>
            </w:r>
          </w:p>
          <w:p w:rsidRPr="0044121F" w:rsidR="006E3131" w:rsidP="006E3131" w:rsidRDefault="006E3131">
            <w:pPr>
              <w:rPr>
                <w:rFonts w:eastAsia="Calibri" w:cs="Courier New"/>
                <w:bCs/>
                <w:sz w:val="16"/>
                <w:szCs w:val="16"/>
              </w:rPr>
            </w:pPr>
          </w:p>
          <w:p w:rsidRPr="00335DEE" w:rsidR="006E3131" w:rsidP="006E3131" w:rsidRDefault="006E3131">
            <w:pPr>
              <w:widowControl/>
              <w:spacing w:after="58"/>
              <w:rPr>
                <w:rFonts w:ascii="Arial" w:hAnsi="Arial" w:cs="Arial"/>
                <w:sz w:val="16"/>
                <w:szCs w:val="16"/>
              </w:rPr>
            </w:pPr>
            <w:r w:rsidRPr="0044121F">
              <w:rPr>
                <w:rFonts w:eastAsia="Calibri" w:cs="Courier New"/>
                <w:b/>
                <w:sz w:val="16"/>
                <w:szCs w:val="16"/>
              </w:rPr>
              <w:t>(PTO-1595)</w:t>
            </w:r>
          </w:p>
        </w:tc>
        <w:tc>
          <w:tcPr>
            <w:tcW w:w="990" w:type="dxa"/>
            <w:tcBorders>
              <w:top w:val="single" w:color="000000" w:sz="7" w:space="0"/>
              <w:left w:val="single" w:color="000000" w:sz="7" w:space="0"/>
              <w:bottom w:val="single" w:color="000000" w:sz="7" w:space="0"/>
              <w:right w:val="single" w:color="000000" w:sz="7" w:space="0"/>
            </w:tcBorders>
          </w:tcPr>
          <w:p w:rsidRPr="00DC6C59" w:rsidR="006E3131" w:rsidP="006E3131" w:rsidRDefault="006E3131">
            <w:pPr>
              <w:spacing w:line="120" w:lineRule="exact"/>
              <w:rPr>
                <w:rFonts w:ascii="Arial" w:hAnsi="Arial" w:cs="Arial"/>
                <w:sz w:val="16"/>
                <w:szCs w:val="16"/>
              </w:rPr>
            </w:pPr>
          </w:p>
          <w:p w:rsidRPr="00DC6C59" w:rsidR="006E3131" w:rsidP="006E3131" w:rsidRDefault="006E3131">
            <w:pPr>
              <w:widowControl/>
              <w:spacing w:after="58"/>
              <w:rPr>
                <w:rFonts w:ascii="Arial" w:hAnsi="Arial" w:cs="Arial"/>
                <w:sz w:val="16"/>
                <w:szCs w:val="16"/>
              </w:rPr>
            </w:pPr>
            <w:r w:rsidRPr="00DC6C59">
              <w:rPr>
                <w:rFonts w:ascii="Arial" w:hAnsi="Arial" w:cs="Arial"/>
                <w:sz w:val="16"/>
                <w:szCs w:val="16"/>
              </w:rPr>
              <w:t>PTO-1595</w:t>
            </w:r>
          </w:p>
        </w:tc>
        <w:tc>
          <w:tcPr>
            <w:tcW w:w="6030" w:type="dxa"/>
            <w:tcBorders>
              <w:top w:val="single" w:color="000000" w:sz="7" w:space="0"/>
              <w:left w:val="single" w:color="000000" w:sz="7" w:space="0"/>
              <w:bottom w:val="single" w:color="000000" w:sz="7" w:space="0"/>
              <w:right w:val="single" w:color="000000" w:sz="7" w:space="0"/>
            </w:tcBorders>
          </w:tcPr>
          <w:p w:rsidRPr="00DC6C59" w:rsidR="006E3131" w:rsidP="006E3131" w:rsidRDefault="006E3131">
            <w:pPr>
              <w:spacing w:line="120" w:lineRule="exact"/>
              <w:rPr>
                <w:rFonts w:ascii="Arial" w:hAnsi="Arial" w:cs="Arial"/>
                <w:sz w:val="16"/>
                <w:szCs w:val="16"/>
              </w:rPr>
            </w:pPr>
          </w:p>
          <w:p w:rsidRPr="00DC6C59" w:rsidR="006E3131" w:rsidP="006E3131" w:rsidRDefault="006E3131">
            <w:pPr>
              <w:pStyle w:val="Style"/>
              <w:widowControl/>
              <w:numPr>
                <w:ilvl w:val="0"/>
                <w:numId w:val="6"/>
              </w:numPr>
              <w:tabs>
                <w:tab w:val="left" w:pos="-1440"/>
              </w:tabs>
              <w:rPr>
                <w:rFonts w:ascii="Arial" w:hAnsi="Arial" w:cs="Arial"/>
                <w:sz w:val="16"/>
                <w:szCs w:val="16"/>
              </w:rPr>
            </w:pPr>
            <w:r w:rsidRPr="00DC6C59">
              <w:rPr>
                <w:rFonts w:ascii="Arial" w:hAnsi="Arial" w:cs="Arial"/>
                <w:sz w:val="16"/>
                <w:szCs w:val="16"/>
              </w:rPr>
              <w:t xml:space="preserve">Used by the public to submit patent assignment documents online through the USPTO </w:t>
            </w:r>
            <w:r w:rsidR="00310CB9">
              <w:rPr>
                <w:rFonts w:ascii="Arial" w:hAnsi="Arial" w:cs="Arial"/>
                <w:sz w:val="16"/>
                <w:szCs w:val="16"/>
              </w:rPr>
              <w:t>web</w:t>
            </w:r>
            <w:r>
              <w:rPr>
                <w:rFonts w:ascii="Arial" w:hAnsi="Arial" w:cs="Arial"/>
                <w:sz w:val="16"/>
                <w:szCs w:val="16"/>
              </w:rPr>
              <w:t>site</w:t>
            </w:r>
            <w:r w:rsidRPr="00DC6C59">
              <w:rPr>
                <w:rFonts w:ascii="Arial" w:hAnsi="Arial" w:cs="Arial"/>
                <w:sz w:val="16"/>
                <w:szCs w:val="16"/>
              </w:rPr>
              <w:t>.</w:t>
            </w:r>
          </w:p>
          <w:p w:rsidRPr="00DC6C59" w:rsidR="006E3131" w:rsidP="006E3131" w:rsidRDefault="006E3131">
            <w:pPr>
              <w:pStyle w:val="Style"/>
              <w:widowControl/>
              <w:numPr>
                <w:ilvl w:val="0"/>
                <w:numId w:val="6"/>
              </w:numPr>
              <w:tabs>
                <w:tab w:val="left" w:pos="-1440"/>
              </w:tabs>
              <w:rPr>
                <w:rFonts w:ascii="Arial" w:hAnsi="Arial" w:cs="Arial"/>
                <w:sz w:val="16"/>
                <w:szCs w:val="16"/>
              </w:rPr>
            </w:pPr>
            <w:r w:rsidRPr="00DC6C59">
              <w:rPr>
                <w:rFonts w:ascii="Arial" w:hAnsi="Arial" w:cs="Arial"/>
                <w:sz w:val="16"/>
                <w:szCs w:val="16"/>
              </w:rPr>
              <w:t>Used by the public to submit corrected cover sheets or documents to the USPTO for recording.</w:t>
            </w:r>
          </w:p>
          <w:p w:rsidRPr="00DC6C59" w:rsidR="006E3131" w:rsidP="006E3131" w:rsidRDefault="006E3131">
            <w:pPr>
              <w:pStyle w:val="Style"/>
              <w:widowControl/>
              <w:numPr>
                <w:ilvl w:val="0"/>
                <w:numId w:val="6"/>
              </w:numPr>
              <w:tabs>
                <w:tab w:val="left" w:pos="-1440"/>
              </w:tabs>
              <w:rPr>
                <w:rFonts w:ascii="Arial" w:hAnsi="Arial" w:cs="Arial"/>
                <w:sz w:val="16"/>
                <w:szCs w:val="16"/>
              </w:rPr>
            </w:pPr>
            <w:r w:rsidRPr="00DC6C59">
              <w:rPr>
                <w:rFonts w:ascii="Arial" w:hAnsi="Arial" w:cs="Arial"/>
                <w:sz w:val="16"/>
                <w:szCs w:val="16"/>
              </w:rPr>
              <w:t>Used by the USPTO to process and record patents, patent assignments, or other associated documents.</w:t>
            </w:r>
          </w:p>
          <w:p w:rsidRPr="00DC6C59" w:rsidR="006E3131" w:rsidP="006E3131" w:rsidRDefault="006E3131">
            <w:pPr>
              <w:pStyle w:val="Style"/>
              <w:widowControl/>
              <w:numPr>
                <w:ilvl w:val="0"/>
                <w:numId w:val="6"/>
              </w:numPr>
              <w:tabs>
                <w:tab w:val="left" w:pos="-1440"/>
              </w:tabs>
              <w:rPr>
                <w:rFonts w:ascii="Arial" w:hAnsi="Arial" w:cs="Arial"/>
                <w:sz w:val="16"/>
                <w:szCs w:val="16"/>
              </w:rPr>
            </w:pPr>
            <w:r w:rsidRPr="00DC6C59">
              <w:rPr>
                <w:rFonts w:ascii="Arial" w:hAnsi="Arial" w:cs="Arial"/>
                <w:sz w:val="16"/>
                <w:szCs w:val="16"/>
              </w:rPr>
              <w:t>Used by the USPTO to ensure that all relevant bibliographic data is entered in the files and the searchable public database.</w:t>
            </w:r>
          </w:p>
        </w:tc>
      </w:tr>
    </w:tbl>
    <w:p w:rsidR="000D0476" w:rsidRDefault="000D0476">
      <w:pPr>
        <w:widowControl/>
        <w:jc w:val="both"/>
        <w:rPr>
          <w:rFonts w:ascii="Arial" w:hAnsi="Arial" w:cs="Arial"/>
          <w:color w:val="0000FF"/>
        </w:rPr>
      </w:pPr>
    </w:p>
    <w:p w:rsidRPr="00476F66" w:rsidR="001A3093" w:rsidRDefault="001A3093">
      <w:pPr>
        <w:widowControl/>
        <w:jc w:val="both"/>
        <w:rPr>
          <w:rFonts w:ascii="Arial" w:hAnsi="Arial" w:cs="Arial"/>
          <w:color w:val="0000FF"/>
        </w:rPr>
      </w:pPr>
    </w:p>
    <w:p w:rsidRPr="00432944" w:rsidR="000D0476" w:rsidRDefault="000D0476">
      <w:pPr>
        <w:widowControl/>
        <w:tabs>
          <w:tab w:val="left" w:pos="-984"/>
          <w:tab w:val="left" w:pos="-720"/>
          <w:tab w:val="left" w:pos="720"/>
        </w:tabs>
        <w:jc w:val="both"/>
        <w:rPr>
          <w:rFonts w:ascii="Arial" w:hAnsi="Arial" w:cs="Arial"/>
          <w:b/>
          <w:bCs/>
        </w:rPr>
      </w:pPr>
      <w:r w:rsidRPr="00432944">
        <w:rPr>
          <w:rFonts w:ascii="Arial" w:hAnsi="Arial" w:cs="Arial"/>
          <w:b/>
          <w:bCs/>
        </w:rPr>
        <w:t>3.</w:t>
      </w:r>
      <w:r w:rsidRPr="00432944">
        <w:rPr>
          <w:rFonts w:ascii="Arial" w:hAnsi="Arial" w:cs="Arial"/>
          <w:b/>
          <w:bCs/>
        </w:rPr>
        <w:tab/>
      </w:r>
      <w:r w:rsidRPr="00AD773C" w:rsidR="00AD773C">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DB63BA">
        <w:rPr>
          <w:rFonts w:ascii="Arial" w:hAnsi="Arial" w:cs="Arial"/>
          <w:b/>
          <w:bCs/>
        </w:rPr>
        <w:t xml:space="preserve">information </w:t>
      </w:r>
      <w:r w:rsidRPr="00AD773C" w:rsidR="00AD773C">
        <w:rPr>
          <w:rFonts w:ascii="Arial" w:hAnsi="Arial" w:cs="Arial"/>
          <w:b/>
          <w:bCs/>
        </w:rPr>
        <w:t>collection. Also describe any consideration of using information technology to reduce burden.</w:t>
      </w:r>
    </w:p>
    <w:p w:rsidRPr="00432944" w:rsidR="000D0476" w:rsidRDefault="000D0476">
      <w:pPr>
        <w:widowControl/>
        <w:tabs>
          <w:tab w:val="left" w:pos="-984"/>
          <w:tab w:val="left" w:pos="-720"/>
          <w:tab w:val="left" w:pos="720"/>
        </w:tabs>
        <w:jc w:val="both"/>
        <w:rPr>
          <w:rFonts w:ascii="Arial" w:hAnsi="Arial" w:cs="Arial"/>
        </w:rPr>
      </w:pPr>
    </w:p>
    <w:p w:rsidRPr="00432944" w:rsidR="000D0476" w:rsidRDefault="001A3093">
      <w:pPr>
        <w:widowControl/>
        <w:tabs>
          <w:tab w:val="left" w:pos="-984"/>
          <w:tab w:val="left" w:pos="-720"/>
          <w:tab w:val="left" w:pos="720"/>
        </w:tabs>
        <w:jc w:val="both"/>
        <w:rPr>
          <w:rFonts w:ascii="Arial" w:hAnsi="Arial" w:cs="Arial"/>
        </w:rPr>
      </w:pPr>
      <w:r>
        <w:rPr>
          <w:rFonts w:ascii="Arial" w:hAnsi="Arial" w:cs="Arial"/>
        </w:rPr>
        <w:t>The</w:t>
      </w:r>
      <w:r w:rsidRPr="00432944" w:rsidR="000D0476">
        <w:rPr>
          <w:rFonts w:ascii="Arial" w:hAnsi="Arial" w:cs="Arial"/>
        </w:rPr>
        <w:t xml:space="preserve"> forms associated with this </w:t>
      </w:r>
      <w:r w:rsidR="00DB63BA">
        <w:rPr>
          <w:rFonts w:ascii="Arial" w:hAnsi="Arial" w:cs="Arial"/>
        </w:rPr>
        <w:t xml:space="preserve">information </w:t>
      </w:r>
      <w:r w:rsidR="006E3131">
        <w:rPr>
          <w:rFonts w:ascii="Arial" w:hAnsi="Arial" w:cs="Arial"/>
        </w:rPr>
        <w:t xml:space="preserve">collection, the Patent Assignment </w:t>
      </w:r>
      <w:r w:rsidRPr="00432944" w:rsidR="000D0476">
        <w:rPr>
          <w:rFonts w:ascii="Arial" w:hAnsi="Arial" w:cs="Arial"/>
        </w:rPr>
        <w:t xml:space="preserve">Recordation </w:t>
      </w:r>
      <w:r w:rsidRPr="00432944">
        <w:rPr>
          <w:rFonts w:ascii="Arial" w:hAnsi="Arial" w:cs="Arial"/>
        </w:rPr>
        <w:t>Form (</w:t>
      </w:r>
      <w:r w:rsidRPr="00432944" w:rsidR="000D0476">
        <w:rPr>
          <w:rFonts w:ascii="Arial" w:hAnsi="Arial" w:cs="Arial"/>
        </w:rPr>
        <w:t xml:space="preserve">PTO-1595) and the Trademark </w:t>
      </w:r>
      <w:r w:rsidR="006E3131">
        <w:rPr>
          <w:rFonts w:ascii="Arial" w:hAnsi="Arial" w:cs="Arial"/>
        </w:rPr>
        <w:t xml:space="preserve">Assignment </w:t>
      </w:r>
      <w:r w:rsidRPr="00432944" w:rsidR="000D0476">
        <w:rPr>
          <w:rFonts w:ascii="Arial" w:hAnsi="Arial" w:cs="Arial"/>
        </w:rPr>
        <w:t>Recordation Form (PTO-1594</w:t>
      </w:r>
      <w:proofErr w:type="gramStart"/>
      <w:r w:rsidRPr="00432944" w:rsidR="000D0476">
        <w:rPr>
          <w:rFonts w:ascii="Arial" w:hAnsi="Arial" w:cs="Arial"/>
        </w:rPr>
        <w:t>),</w:t>
      </w:r>
      <w:proofErr w:type="gramEnd"/>
      <w:r w:rsidRPr="00432944" w:rsidR="000D0476">
        <w:rPr>
          <w:rFonts w:ascii="Arial" w:hAnsi="Arial" w:cs="Arial"/>
        </w:rPr>
        <w:t xml:space="preserve"> may be downloaded from the USPTO </w:t>
      </w:r>
      <w:r w:rsidR="00310CB9">
        <w:rPr>
          <w:rFonts w:ascii="Arial" w:hAnsi="Arial" w:cs="Arial"/>
        </w:rPr>
        <w:t>web</w:t>
      </w:r>
      <w:r w:rsidRPr="00432944" w:rsidR="00405A51">
        <w:rPr>
          <w:rFonts w:ascii="Arial" w:hAnsi="Arial" w:cs="Arial"/>
        </w:rPr>
        <w:t>site</w:t>
      </w:r>
      <w:r w:rsidR="006E3131">
        <w:rPr>
          <w:rFonts w:ascii="Arial" w:hAnsi="Arial" w:cs="Arial"/>
        </w:rPr>
        <w:t xml:space="preserve"> as </w:t>
      </w:r>
      <w:r w:rsidRPr="00432944" w:rsidR="00653731">
        <w:rPr>
          <w:rFonts w:ascii="Arial" w:hAnsi="Arial" w:cs="Arial"/>
        </w:rPr>
        <w:t>PDF files</w:t>
      </w:r>
      <w:r w:rsidR="00A66548">
        <w:rPr>
          <w:rFonts w:ascii="Arial" w:hAnsi="Arial" w:cs="Arial"/>
        </w:rPr>
        <w:t>.  These PDF</w:t>
      </w:r>
      <w:r w:rsidR="006E3131">
        <w:rPr>
          <w:rFonts w:ascii="Arial" w:hAnsi="Arial" w:cs="Arial"/>
        </w:rPr>
        <w:t xml:space="preserve">s </w:t>
      </w:r>
      <w:proofErr w:type="gramStart"/>
      <w:r w:rsidR="006E3131">
        <w:rPr>
          <w:rFonts w:ascii="Arial" w:hAnsi="Arial" w:cs="Arial"/>
        </w:rPr>
        <w:t>can be</w:t>
      </w:r>
      <w:r w:rsidR="00A66548">
        <w:rPr>
          <w:rFonts w:ascii="Arial" w:hAnsi="Arial" w:cs="Arial"/>
        </w:rPr>
        <w:t xml:space="preserve"> completed electronically</w:t>
      </w:r>
      <w:r w:rsidRPr="00432944" w:rsidR="000D0476">
        <w:rPr>
          <w:rFonts w:ascii="Arial" w:hAnsi="Arial" w:cs="Arial"/>
        </w:rPr>
        <w:t xml:space="preserve"> and then printed for </w:t>
      </w:r>
      <w:r w:rsidRPr="00432944" w:rsidR="003C15BE">
        <w:rPr>
          <w:rFonts w:ascii="Arial" w:hAnsi="Arial" w:cs="Arial"/>
        </w:rPr>
        <w:t>mailing or faxing to the USPTO</w:t>
      </w:r>
      <w:proofErr w:type="gramEnd"/>
      <w:r w:rsidRPr="00432944" w:rsidR="003C15BE">
        <w:rPr>
          <w:rFonts w:ascii="Arial" w:hAnsi="Arial" w:cs="Arial"/>
        </w:rPr>
        <w:t>.</w:t>
      </w:r>
      <w:r w:rsidRPr="00432944" w:rsidR="000D0476">
        <w:rPr>
          <w:rFonts w:ascii="Arial" w:hAnsi="Arial" w:cs="Arial"/>
        </w:rPr>
        <w:t xml:space="preserve"> </w:t>
      </w:r>
      <w:r w:rsidRPr="00432944" w:rsidR="00653731">
        <w:rPr>
          <w:rFonts w:ascii="Arial" w:hAnsi="Arial" w:cs="Arial"/>
        </w:rPr>
        <w:t xml:space="preserve"> </w:t>
      </w:r>
      <w:r w:rsidRPr="00432944" w:rsidR="000D0476">
        <w:rPr>
          <w:rFonts w:ascii="Arial" w:hAnsi="Arial" w:cs="Arial"/>
        </w:rPr>
        <w:t xml:space="preserve">Once </w:t>
      </w:r>
      <w:r w:rsidRPr="00432944" w:rsidR="006E3131">
        <w:rPr>
          <w:rFonts w:ascii="Arial" w:hAnsi="Arial" w:cs="Arial"/>
        </w:rPr>
        <w:t>received</w:t>
      </w:r>
      <w:r w:rsidRPr="00432944" w:rsidR="000D0476">
        <w:rPr>
          <w:rFonts w:ascii="Arial" w:hAnsi="Arial" w:cs="Arial"/>
        </w:rPr>
        <w:t xml:space="preserve"> the cover sheets and associated assignment documents are scanned directly into the </w:t>
      </w:r>
      <w:r w:rsidRPr="00432944" w:rsidR="00611D43">
        <w:rPr>
          <w:rFonts w:ascii="Arial" w:hAnsi="Arial" w:cs="Arial"/>
        </w:rPr>
        <w:t>assignment document workflow system</w:t>
      </w:r>
      <w:r w:rsidRPr="00432944" w:rsidR="00035FC3">
        <w:rPr>
          <w:rFonts w:ascii="Arial" w:hAnsi="Arial" w:cs="Arial"/>
        </w:rPr>
        <w:t xml:space="preserve">. </w:t>
      </w:r>
      <w:r w:rsidRPr="00432944" w:rsidR="00653731">
        <w:rPr>
          <w:rFonts w:ascii="Arial" w:hAnsi="Arial" w:cs="Arial"/>
        </w:rPr>
        <w:t xml:space="preserve"> </w:t>
      </w:r>
      <w:r w:rsidRPr="00432944" w:rsidR="00611D43">
        <w:rPr>
          <w:rFonts w:ascii="Arial" w:hAnsi="Arial" w:cs="Arial"/>
        </w:rPr>
        <w:t xml:space="preserve">Fax submission streamlines the processing of </w:t>
      </w:r>
      <w:r w:rsidR="00D25B01">
        <w:rPr>
          <w:rFonts w:ascii="Arial" w:hAnsi="Arial" w:cs="Arial"/>
        </w:rPr>
        <w:t xml:space="preserve">paper </w:t>
      </w:r>
      <w:r w:rsidRPr="00432944" w:rsidR="00611D43">
        <w:rPr>
          <w:rFonts w:ascii="Arial" w:hAnsi="Arial" w:cs="Arial"/>
        </w:rPr>
        <w:t>assignment documents by enabling the USPTO to skip the paper scanning stage and provide the customer with t</w:t>
      </w:r>
      <w:r w:rsidRPr="00432944" w:rsidR="000D0476">
        <w:rPr>
          <w:rFonts w:ascii="Arial" w:hAnsi="Arial" w:cs="Arial"/>
        </w:rPr>
        <w:t>he resulting Notice of Recordation by return fax</w:t>
      </w:r>
      <w:r w:rsidRPr="00432944" w:rsidR="00035FC3">
        <w:rPr>
          <w:rFonts w:ascii="Arial" w:hAnsi="Arial" w:cs="Arial"/>
        </w:rPr>
        <w:t xml:space="preserve">. </w:t>
      </w:r>
    </w:p>
    <w:p w:rsidRPr="00432944" w:rsidR="000D0476" w:rsidRDefault="000D0476">
      <w:pPr>
        <w:widowControl/>
        <w:tabs>
          <w:tab w:val="left" w:pos="-984"/>
          <w:tab w:val="left" w:pos="-720"/>
          <w:tab w:val="left" w:pos="720"/>
        </w:tabs>
        <w:jc w:val="both"/>
        <w:rPr>
          <w:rFonts w:ascii="Arial" w:hAnsi="Arial" w:cs="Arial"/>
        </w:rPr>
        <w:sectPr w:rsidRPr="00432944" w:rsidR="000D0476" w:rsidSect="00D31DB0">
          <w:footerReference w:type="even" r:id="rId12"/>
          <w:footerReference w:type="default" r:id="rId13"/>
          <w:type w:val="continuous"/>
          <w:pgSz w:w="12240" w:h="15840"/>
          <w:pgMar w:top="1440" w:right="1440" w:bottom="1440" w:left="1440" w:header="1440" w:footer="1440" w:gutter="0"/>
          <w:cols w:space="720"/>
          <w:noEndnote/>
          <w:titlePg/>
        </w:sectPr>
      </w:pPr>
    </w:p>
    <w:p w:rsidRPr="00432944" w:rsidR="000D0476" w:rsidRDefault="000D0476">
      <w:pPr>
        <w:widowControl/>
        <w:tabs>
          <w:tab w:val="left" w:pos="-984"/>
          <w:tab w:val="left" w:pos="-720"/>
          <w:tab w:val="left" w:pos="720"/>
        </w:tabs>
        <w:jc w:val="both"/>
        <w:rPr>
          <w:rFonts w:ascii="Arial" w:hAnsi="Arial" w:cs="Arial"/>
        </w:rPr>
      </w:pPr>
    </w:p>
    <w:p w:rsidRPr="00432944" w:rsidR="000D0476" w:rsidRDefault="000D0476">
      <w:pPr>
        <w:widowControl/>
        <w:tabs>
          <w:tab w:val="left" w:pos="-984"/>
          <w:tab w:val="left" w:pos="-720"/>
          <w:tab w:val="left" w:pos="720"/>
        </w:tabs>
        <w:jc w:val="both"/>
        <w:rPr>
          <w:rFonts w:ascii="Arial" w:hAnsi="Arial" w:cs="Arial"/>
        </w:rPr>
        <w:sectPr w:rsidRPr="00432944" w:rsidR="000D0476">
          <w:type w:val="continuous"/>
          <w:pgSz w:w="12240" w:h="15840"/>
          <w:pgMar w:top="1440" w:right="1440" w:bottom="1440" w:left="1440" w:header="1440" w:footer="1440" w:gutter="0"/>
          <w:cols w:space="720"/>
          <w:noEndnote/>
        </w:sectPr>
      </w:pPr>
    </w:p>
    <w:p w:rsidRPr="00432944" w:rsidR="000D0476" w:rsidRDefault="000D0476">
      <w:pPr>
        <w:widowControl/>
        <w:tabs>
          <w:tab w:val="left" w:pos="-984"/>
          <w:tab w:val="left" w:pos="-720"/>
          <w:tab w:val="left" w:pos="720"/>
        </w:tabs>
        <w:jc w:val="both"/>
        <w:rPr>
          <w:rFonts w:ascii="Arial" w:hAnsi="Arial" w:cs="Arial"/>
        </w:rPr>
      </w:pPr>
      <w:r w:rsidRPr="00432944">
        <w:rPr>
          <w:rFonts w:ascii="Arial" w:hAnsi="Arial" w:cs="Arial"/>
        </w:rPr>
        <w:t xml:space="preserve">The USPTO also </w:t>
      </w:r>
      <w:r w:rsidRPr="00432944" w:rsidR="00362946">
        <w:rPr>
          <w:rFonts w:ascii="Arial" w:hAnsi="Arial" w:cs="Arial"/>
        </w:rPr>
        <w:t xml:space="preserve">offers </w:t>
      </w:r>
      <w:r w:rsidRPr="00432944" w:rsidR="009E4B76">
        <w:rPr>
          <w:rFonts w:ascii="Arial" w:hAnsi="Arial" w:cs="Arial"/>
        </w:rPr>
        <w:t>electronic</w:t>
      </w:r>
      <w:r w:rsidRPr="00432944">
        <w:rPr>
          <w:rFonts w:ascii="Arial" w:hAnsi="Arial" w:cs="Arial"/>
        </w:rPr>
        <w:t xml:space="preserve"> filing options for both pat</w:t>
      </w:r>
      <w:r w:rsidRPr="00432944" w:rsidR="003C15BE">
        <w:rPr>
          <w:rFonts w:ascii="Arial" w:hAnsi="Arial" w:cs="Arial"/>
        </w:rPr>
        <w:t xml:space="preserve">ent and trademark assignments. </w:t>
      </w:r>
      <w:r w:rsidR="00F8361D">
        <w:rPr>
          <w:rFonts w:ascii="Arial" w:hAnsi="Arial" w:cs="Arial"/>
        </w:rPr>
        <w:t xml:space="preserve"> </w:t>
      </w:r>
      <w:r w:rsidR="00242388">
        <w:rPr>
          <w:rFonts w:ascii="Arial" w:hAnsi="Arial" w:cs="Arial"/>
        </w:rPr>
        <w:t>EPAS and ETAS</w:t>
      </w:r>
      <w:r w:rsidRPr="00432944">
        <w:rPr>
          <w:rFonts w:ascii="Arial" w:hAnsi="Arial" w:cs="Arial"/>
        </w:rPr>
        <w:t xml:space="preserve"> are both available to cu</w:t>
      </w:r>
      <w:r w:rsidRPr="00432944" w:rsidR="003C15BE">
        <w:rPr>
          <w:rFonts w:ascii="Arial" w:hAnsi="Arial" w:cs="Arial"/>
        </w:rPr>
        <w:t xml:space="preserve">stomers on the USPTO </w:t>
      </w:r>
      <w:r w:rsidR="00310CB9">
        <w:rPr>
          <w:rFonts w:ascii="Arial" w:hAnsi="Arial" w:cs="Arial"/>
        </w:rPr>
        <w:t>web</w:t>
      </w:r>
      <w:r w:rsidRPr="00432944" w:rsidR="00405A51">
        <w:rPr>
          <w:rFonts w:ascii="Arial" w:hAnsi="Arial" w:cs="Arial"/>
        </w:rPr>
        <w:t>site</w:t>
      </w:r>
      <w:r w:rsidRPr="00432944" w:rsidR="009E4B76">
        <w:rPr>
          <w:rFonts w:ascii="Arial" w:hAnsi="Arial" w:cs="Arial"/>
        </w:rPr>
        <w:t xml:space="preserve">.  </w:t>
      </w:r>
      <w:r w:rsidRPr="00432944">
        <w:rPr>
          <w:rFonts w:ascii="Arial" w:hAnsi="Arial" w:cs="Arial"/>
        </w:rPr>
        <w:t xml:space="preserve">EPAS and ETAS allow customers to enter the </w:t>
      </w:r>
      <w:r w:rsidRPr="00432944" w:rsidR="00362946">
        <w:rPr>
          <w:rFonts w:ascii="Arial" w:hAnsi="Arial" w:cs="Arial"/>
        </w:rPr>
        <w:t xml:space="preserve">required </w:t>
      </w:r>
      <w:r w:rsidRPr="00432944">
        <w:rPr>
          <w:rFonts w:ascii="Arial" w:hAnsi="Arial" w:cs="Arial"/>
        </w:rPr>
        <w:t xml:space="preserve">assignment data, attach the supporting documentation in </w:t>
      </w:r>
      <w:r w:rsidRPr="00432944" w:rsidR="00362946">
        <w:rPr>
          <w:rFonts w:ascii="Arial" w:hAnsi="Arial" w:cs="Arial"/>
        </w:rPr>
        <w:t>electronic</w:t>
      </w:r>
      <w:r w:rsidRPr="00432944">
        <w:rPr>
          <w:rFonts w:ascii="Arial" w:hAnsi="Arial" w:cs="Arial"/>
        </w:rPr>
        <w:t xml:space="preserve"> format, and submit the</w:t>
      </w:r>
      <w:r w:rsidRPr="00432944" w:rsidR="00362946">
        <w:rPr>
          <w:rFonts w:ascii="Arial" w:hAnsi="Arial" w:cs="Arial"/>
        </w:rPr>
        <w:t xml:space="preserve"> assignment recordation request online</w:t>
      </w:r>
      <w:r w:rsidRPr="00432944" w:rsidR="00035FC3">
        <w:rPr>
          <w:rFonts w:ascii="Arial" w:hAnsi="Arial" w:cs="Arial"/>
        </w:rPr>
        <w:t xml:space="preserve">. </w:t>
      </w:r>
      <w:r w:rsidRPr="00432944" w:rsidR="009E4B76">
        <w:rPr>
          <w:rFonts w:ascii="Arial" w:hAnsi="Arial" w:cs="Arial"/>
        </w:rPr>
        <w:t xml:space="preserve"> </w:t>
      </w:r>
      <w:r w:rsidRPr="00432944">
        <w:rPr>
          <w:rFonts w:ascii="Arial" w:hAnsi="Arial" w:cs="Arial"/>
        </w:rPr>
        <w:t>Payment of filing fees can be made by credit card, USPTO deposit account, or e</w:t>
      </w:r>
      <w:r w:rsidRPr="00432944" w:rsidR="003C15BE">
        <w:rPr>
          <w:rFonts w:ascii="Arial" w:hAnsi="Arial" w:cs="Arial"/>
        </w:rPr>
        <w:t xml:space="preserve">lectronic fund transfer (EFT). </w:t>
      </w:r>
      <w:r w:rsidRPr="00432944" w:rsidR="00432944">
        <w:rPr>
          <w:rFonts w:ascii="Arial" w:hAnsi="Arial" w:cs="Arial"/>
        </w:rPr>
        <w:t xml:space="preserve"> </w:t>
      </w:r>
      <w:r w:rsidRPr="00432944">
        <w:rPr>
          <w:rFonts w:ascii="Arial" w:hAnsi="Arial" w:cs="Arial"/>
        </w:rPr>
        <w:t>After the payment transaction is completed, an electronic confirmation receipt is displayed on the scree</w:t>
      </w:r>
      <w:r w:rsidRPr="00432944" w:rsidR="003C15BE">
        <w:rPr>
          <w:rFonts w:ascii="Arial" w:hAnsi="Arial" w:cs="Arial"/>
        </w:rPr>
        <w:t xml:space="preserve">n and emailed to the customer. </w:t>
      </w:r>
    </w:p>
    <w:p w:rsidRPr="00432944" w:rsidR="009E4B76" w:rsidRDefault="009E4B76">
      <w:pPr>
        <w:widowControl/>
        <w:tabs>
          <w:tab w:val="left" w:pos="-984"/>
          <w:tab w:val="left" w:pos="-720"/>
          <w:tab w:val="left" w:pos="720"/>
        </w:tabs>
        <w:jc w:val="both"/>
        <w:rPr>
          <w:rFonts w:ascii="Arial" w:hAnsi="Arial" w:cs="Arial"/>
        </w:rPr>
      </w:pPr>
    </w:p>
    <w:p w:rsidRPr="00432944" w:rsidR="009E4B76" w:rsidRDefault="009E4B76">
      <w:pPr>
        <w:widowControl/>
        <w:tabs>
          <w:tab w:val="left" w:pos="-984"/>
          <w:tab w:val="left" w:pos="-720"/>
          <w:tab w:val="left" w:pos="720"/>
        </w:tabs>
        <w:jc w:val="both"/>
        <w:rPr>
          <w:rFonts w:ascii="Arial" w:hAnsi="Arial" w:cs="Arial"/>
        </w:rPr>
      </w:pPr>
      <w:r w:rsidRPr="00432944">
        <w:rPr>
          <w:rFonts w:ascii="Arial" w:hAnsi="Arial" w:cs="Arial"/>
        </w:rPr>
        <w:lastRenderedPageBreak/>
        <w:t xml:space="preserve">After being electronically processed and recorded, the assignment information is fed into the appropriate patent or trademark database system. </w:t>
      </w:r>
      <w:r w:rsidR="00F8361D">
        <w:rPr>
          <w:rFonts w:ascii="Arial" w:hAnsi="Arial" w:cs="Arial"/>
        </w:rPr>
        <w:t xml:space="preserve"> </w:t>
      </w:r>
      <w:r w:rsidRPr="00432944">
        <w:rPr>
          <w:rFonts w:ascii="Arial" w:hAnsi="Arial" w:cs="Arial"/>
        </w:rPr>
        <w:t xml:space="preserve">Information about recorded patent and trademark assignments </w:t>
      </w:r>
      <w:proofErr w:type="gramStart"/>
      <w:r w:rsidRPr="00432944">
        <w:rPr>
          <w:rFonts w:ascii="Arial" w:hAnsi="Arial" w:cs="Arial"/>
        </w:rPr>
        <w:t>is disseminated</w:t>
      </w:r>
      <w:proofErr w:type="gramEnd"/>
      <w:r w:rsidRPr="00432944">
        <w:rPr>
          <w:rFonts w:ascii="Arial" w:hAnsi="Arial" w:cs="Arial"/>
        </w:rPr>
        <w:t xml:space="preserve"> t</w:t>
      </w:r>
      <w:r w:rsidR="00310CB9">
        <w:rPr>
          <w:rFonts w:ascii="Arial" w:hAnsi="Arial" w:cs="Arial"/>
        </w:rPr>
        <w:t>o the public through the USPTO web</w:t>
      </w:r>
      <w:r w:rsidRPr="00432944">
        <w:rPr>
          <w:rFonts w:ascii="Arial" w:hAnsi="Arial" w:cs="Arial"/>
        </w:rPr>
        <w:t>site, where customers may search for the assignment information associated with a specific application, patent, or trademark registration.</w:t>
      </w:r>
    </w:p>
    <w:p w:rsidR="000D0476" w:rsidRDefault="000D0476">
      <w:pPr>
        <w:widowControl/>
        <w:tabs>
          <w:tab w:val="left" w:pos="-984"/>
          <w:tab w:val="left" w:pos="-720"/>
          <w:tab w:val="left" w:pos="720"/>
        </w:tabs>
        <w:jc w:val="both"/>
        <w:rPr>
          <w:rFonts w:ascii="Arial" w:hAnsi="Arial" w:cs="Arial"/>
          <w:color w:val="0000FF"/>
        </w:rPr>
      </w:pPr>
    </w:p>
    <w:p w:rsidRPr="00476F66" w:rsidR="001A3093" w:rsidRDefault="001A3093">
      <w:pPr>
        <w:widowControl/>
        <w:tabs>
          <w:tab w:val="left" w:pos="-984"/>
          <w:tab w:val="left" w:pos="-720"/>
          <w:tab w:val="left" w:pos="720"/>
        </w:tabs>
        <w:jc w:val="both"/>
        <w:rPr>
          <w:rFonts w:ascii="Arial" w:hAnsi="Arial" w:cs="Arial"/>
          <w:color w:val="0000FF"/>
        </w:rPr>
      </w:pPr>
    </w:p>
    <w:p w:rsidRPr="0056760B" w:rsidR="000D0476" w:rsidRDefault="000D0476">
      <w:pPr>
        <w:widowControl/>
        <w:tabs>
          <w:tab w:val="left" w:pos="-984"/>
          <w:tab w:val="left" w:pos="-720"/>
          <w:tab w:val="left" w:pos="720"/>
        </w:tabs>
        <w:jc w:val="both"/>
        <w:rPr>
          <w:rFonts w:ascii="Arial" w:hAnsi="Arial" w:cs="Arial"/>
        </w:rPr>
      </w:pPr>
      <w:r w:rsidRPr="0056760B">
        <w:rPr>
          <w:rFonts w:ascii="Arial" w:hAnsi="Arial" w:cs="Arial"/>
          <w:b/>
          <w:bCs/>
        </w:rPr>
        <w:t>4.</w:t>
      </w:r>
      <w:r w:rsidRPr="0056760B">
        <w:rPr>
          <w:rFonts w:ascii="Arial" w:hAnsi="Arial" w:cs="Arial"/>
          <w:b/>
          <w:bCs/>
        </w:rPr>
        <w:tab/>
      </w:r>
      <w:r w:rsidRPr="00B617C6" w:rsidR="00B617C6">
        <w:rPr>
          <w:rFonts w:ascii="Arial" w:hAnsi="Arial" w:cs="Arial"/>
          <w:b/>
          <w:bCs/>
        </w:rPr>
        <w:t>Describe efforts to identify duplication. Show specifically why any similar information already available cannot be used or modified for use for the purposes described in Item 2 above.</w:t>
      </w:r>
    </w:p>
    <w:p w:rsidRPr="00196159" w:rsidR="000D0476" w:rsidRDefault="000D0476">
      <w:pPr>
        <w:widowControl/>
        <w:tabs>
          <w:tab w:val="left" w:pos="-984"/>
          <w:tab w:val="left" w:pos="-720"/>
          <w:tab w:val="left" w:pos="720"/>
        </w:tabs>
        <w:jc w:val="both"/>
        <w:rPr>
          <w:rFonts w:ascii="Arial" w:hAnsi="Arial" w:cs="Arial"/>
        </w:rPr>
      </w:pPr>
    </w:p>
    <w:p w:rsidRPr="00196159" w:rsidR="000D0476" w:rsidRDefault="000D0476">
      <w:pPr>
        <w:widowControl/>
        <w:tabs>
          <w:tab w:val="left" w:pos="-984"/>
          <w:tab w:val="left" w:pos="-720"/>
          <w:tab w:val="left" w:pos="720"/>
        </w:tabs>
        <w:jc w:val="both"/>
        <w:rPr>
          <w:rFonts w:ascii="Arial" w:hAnsi="Arial" w:cs="Arial"/>
        </w:rPr>
      </w:pPr>
      <w:r w:rsidRPr="00196159">
        <w:rPr>
          <w:rFonts w:ascii="Arial" w:hAnsi="Arial" w:cs="Arial"/>
        </w:rPr>
        <w:t>The information collected is required for the USPTO to record an assignment transaction and is not collected elsewhere</w:t>
      </w:r>
      <w:r w:rsidRPr="00196159" w:rsidR="00035FC3">
        <w:rPr>
          <w:rFonts w:ascii="Arial" w:hAnsi="Arial" w:cs="Arial"/>
        </w:rPr>
        <w:t xml:space="preserve">. </w:t>
      </w:r>
      <w:r w:rsidR="00930880">
        <w:rPr>
          <w:rFonts w:ascii="Arial" w:hAnsi="Arial" w:cs="Arial"/>
        </w:rPr>
        <w:t xml:space="preserve"> </w:t>
      </w:r>
      <w:r w:rsidR="00FA56E6">
        <w:rPr>
          <w:rFonts w:ascii="Arial" w:hAnsi="Arial" w:cs="Arial"/>
        </w:rPr>
        <w:t>However, t</w:t>
      </w:r>
      <w:r w:rsidRPr="00196159">
        <w:rPr>
          <w:rFonts w:ascii="Arial" w:hAnsi="Arial" w:cs="Arial"/>
        </w:rPr>
        <w:t xml:space="preserve">he information regarding the current owner(s) of the interest (address and type of entity) </w:t>
      </w:r>
      <w:r w:rsidR="00FA56E6">
        <w:rPr>
          <w:rFonts w:ascii="Arial" w:hAnsi="Arial" w:cs="Arial"/>
        </w:rPr>
        <w:t>may</w:t>
      </w:r>
      <w:r w:rsidRPr="00196159" w:rsidR="00FA56E6">
        <w:rPr>
          <w:rFonts w:ascii="Arial" w:hAnsi="Arial" w:cs="Arial"/>
        </w:rPr>
        <w:t xml:space="preserve"> </w:t>
      </w:r>
      <w:r w:rsidRPr="00196159">
        <w:rPr>
          <w:rFonts w:ascii="Arial" w:hAnsi="Arial" w:cs="Arial"/>
        </w:rPr>
        <w:t xml:space="preserve">already </w:t>
      </w:r>
      <w:r w:rsidR="00FA56E6">
        <w:rPr>
          <w:rFonts w:ascii="Arial" w:hAnsi="Arial" w:cs="Arial"/>
        </w:rPr>
        <w:t xml:space="preserve">be </w:t>
      </w:r>
      <w:r w:rsidRPr="00196159">
        <w:rPr>
          <w:rFonts w:ascii="Arial" w:hAnsi="Arial" w:cs="Arial"/>
        </w:rPr>
        <w:t>maintained by the USPTO</w:t>
      </w:r>
      <w:r w:rsidRPr="00196159" w:rsidR="00035FC3">
        <w:rPr>
          <w:rFonts w:ascii="Arial" w:hAnsi="Arial" w:cs="Arial"/>
        </w:rPr>
        <w:t xml:space="preserve">. </w:t>
      </w:r>
      <w:r w:rsidR="00930880">
        <w:rPr>
          <w:rFonts w:ascii="Arial" w:hAnsi="Arial" w:cs="Arial"/>
        </w:rPr>
        <w:t xml:space="preserve"> </w:t>
      </w:r>
      <w:r w:rsidRPr="00196159">
        <w:rPr>
          <w:rFonts w:ascii="Arial" w:hAnsi="Arial" w:cs="Arial"/>
        </w:rPr>
        <w:t>However, this information is submitted routinely and could be required to distinguish between entities of the same name</w:t>
      </w:r>
      <w:r w:rsidRPr="00196159" w:rsidR="00035FC3">
        <w:rPr>
          <w:rFonts w:ascii="Arial" w:hAnsi="Arial" w:cs="Arial"/>
        </w:rPr>
        <w:t xml:space="preserve">. </w:t>
      </w:r>
      <w:r w:rsidR="00930880">
        <w:rPr>
          <w:rFonts w:ascii="Arial" w:hAnsi="Arial" w:cs="Arial"/>
        </w:rPr>
        <w:t xml:space="preserve"> </w:t>
      </w:r>
      <w:r w:rsidRPr="00196159">
        <w:rPr>
          <w:rFonts w:ascii="Arial" w:hAnsi="Arial" w:cs="Arial"/>
        </w:rPr>
        <w:t>Customers who file electronically using EPAS or ETAS may save this data from an assignment request as a template to be</w:t>
      </w:r>
      <w:r w:rsidRPr="00196159" w:rsidR="005301EC">
        <w:rPr>
          <w:rFonts w:ascii="Arial" w:hAnsi="Arial" w:cs="Arial"/>
        </w:rPr>
        <w:t xml:space="preserve"> reused in future submissions.</w:t>
      </w:r>
    </w:p>
    <w:p w:rsidR="000D0476" w:rsidRDefault="000D0476">
      <w:pPr>
        <w:widowControl/>
        <w:tabs>
          <w:tab w:val="left" w:pos="-984"/>
          <w:tab w:val="left" w:pos="-720"/>
          <w:tab w:val="left" w:pos="720"/>
        </w:tabs>
        <w:jc w:val="both"/>
        <w:rPr>
          <w:rFonts w:ascii="Arial" w:hAnsi="Arial" w:cs="Arial"/>
          <w:color w:val="0000FF"/>
        </w:rPr>
      </w:pPr>
    </w:p>
    <w:p w:rsidRPr="00476F66" w:rsidR="001A3093" w:rsidRDefault="001A3093">
      <w:pPr>
        <w:widowControl/>
        <w:tabs>
          <w:tab w:val="left" w:pos="-984"/>
          <w:tab w:val="left" w:pos="-720"/>
          <w:tab w:val="left" w:pos="720"/>
        </w:tabs>
        <w:jc w:val="both"/>
        <w:rPr>
          <w:rFonts w:ascii="Arial" w:hAnsi="Arial" w:cs="Arial"/>
          <w:color w:val="0000FF"/>
        </w:rPr>
      </w:pPr>
    </w:p>
    <w:p w:rsidRPr="0056760B" w:rsidR="000D0476" w:rsidP="00C967B2" w:rsidRDefault="000D0476">
      <w:pPr>
        <w:keepNext/>
        <w:widowControl/>
        <w:tabs>
          <w:tab w:val="left" w:pos="-984"/>
          <w:tab w:val="left" w:pos="-720"/>
          <w:tab w:val="left" w:pos="720"/>
        </w:tabs>
        <w:jc w:val="both"/>
        <w:rPr>
          <w:rFonts w:ascii="Arial" w:hAnsi="Arial" w:cs="Arial"/>
        </w:rPr>
      </w:pPr>
      <w:r w:rsidRPr="0056760B">
        <w:rPr>
          <w:rFonts w:ascii="Arial" w:hAnsi="Arial" w:cs="Arial"/>
          <w:b/>
          <w:bCs/>
        </w:rPr>
        <w:t>5.</w:t>
      </w:r>
      <w:r w:rsidRPr="0056760B">
        <w:rPr>
          <w:rFonts w:ascii="Arial" w:hAnsi="Arial" w:cs="Arial"/>
          <w:b/>
          <w:bCs/>
        </w:rPr>
        <w:tab/>
      </w:r>
      <w:r w:rsidRPr="00B617C6" w:rsidR="00B617C6">
        <w:rPr>
          <w:rFonts w:ascii="Arial" w:hAnsi="Arial" w:cs="Arial"/>
          <w:b/>
          <w:bCs/>
        </w:rPr>
        <w:t xml:space="preserve">If the collection of information </w:t>
      </w:r>
      <w:proofErr w:type="gramStart"/>
      <w:r w:rsidRPr="00B617C6" w:rsidR="00B617C6">
        <w:rPr>
          <w:rFonts w:ascii="Arial" w:hAnsi="Arial" w:cs="Arial"/>
          <w:b/>
          <w:bCs/>
        </w:rPr>
        <w:t>impacts</w:t>
      </w:r>
      <w:proofErr w:type="gramEnd"/>
      <w:r w:rsidRPr="00B617C6" w:rsidR="00B617C6">
        <w:rPr>
          <w:rFonts w:ascii="Arial" w:hAnsi="Arial" w:cs="Arial"/>
          <w:b/>
          <w:bCs/>
        </w:rPr>
        <w:t xml:space="preserve"> small businesses or other small entities, describe any methods used to minimize burden.</w:t>
      </w:r>
    </w:p>
    <w:p w:rsidRPr="005301EC" w:rsidR="000D0476" w:rsidP="00C967B2" w:rsidRDefault="000D0476">
      <w:pPr>
        <w:keepNext/>
        <w:widowControl/>
        <w:tabs>
          <w:tab w:val="left" w:pos="-984"/>
          <w:tab w:val="left" w:pos="-720"/>
          <w:tab w:val="left" w:pos="720"/>
        </w:tabs>
        <w:jc w:val="both"/>
        <w:rPr>
          <w:rFonts w:ascii="Arial" w:hAnsi="Arial" w:cs="Arial"/>
        </w:rPr>
      </w:pPr>
    </w:p>
    <w:p w:rsidRPr="00196159" w:rsidR="000D0476" w:rsidRDefault="000D0476">
      <w:pPr>
        <w:widowControl/>
        <w:tabs>
          <w:tab w:val="left" w:pos="-984"/>
          <w:tab w:val="left" w:pos="-720"/>
          <w:tab w:val="left" w:pos="720"/>
        </w:tabs>
        <w:jc w:val="both"/>
        <w:rPr>
          <w:rFonts w:ascii="Arial" w:hAnsi="Arial" w:cs="Arial"/>
        </w:rPr>
      </w:pPr>
      <w:r w:rsidRPr="00196159">
        <w:rPr>
          <w:rFonts w:ascii="Arial" w:hAnsi="Arial" w:cs="Arial"/>
        </w:rPr>
        <w:t>The information collected is the minimum needed to execute the transaction and to ensure that the recording of the assignment is complete</w:t>
      </w:r>
      <w:r w:rsidRPr="00196159" w:rsidR="00035FC3">
        <w:rPr>
          <w:rFonts w:ascii="Arial" w:hAnsi="Arial" w:cs="Arial"/>
        </w:rPr>
        <w:t xml:space="preserve">. </w:t>
      </w:r>
      <w:r w:rsidR="002B2B14">
        <w:rPr>
          <w:rFonts w:ascii="Arial" w:hAnsi="Arial" w:cs="Arial"/>
        </w:rPr>
        <w:t xml:space="preserve"> </w:t>
      </w:r>
      <w:r w:rsidRPr="00196159">
        <w:rPr>
          <w:rFonts w:ascii="Arial" w:hAnsi="Arial" w:cs="Arial"/>
        </w:rPr>
        <w:t>This collection of information does not impose a significant economic impact or put an unnecessary burden on small entities or small businesses</w:t>
      </w:r>
      <w:r w:rsidRPr="00196159" w:rsidR="00035FC3">
        <w:rPr>
          <w:rFonts w:ascii="Arial" w:hAnsi="Arial" w:cs="Arial"/>
        </w:rPr>
        <w:t xml:space="preserve">. </w:t>
      </w:r>
      <w:r w:rsidR="002B2B14">
        <w:rPr>
          <w:rFonts w:ascii="Arial" w:hAnsi="Arial" w:cs="Arial"/>
        </w:rPr>
        <w:t xml:space="preserve"> </w:t>
      </w:r>
      <w:r w:rsidRPr="00196159">
        <w:rPr>
          <w:rFonts w:ascii="Arial" w:hAnsi="Arial" w:cs="Arial"/>
        </w:rPr>
        <w:t>The same information is required of every applicant and is not available from any other source.</w:t>
      </w:r>
    </w:p>
    <w:p w:rsidR="000D0476" w:rsidRDefault="000D0476">
      <w:pPr>
        <w:widowControl/>
        <w:tabs>
          <w:tab w:val="left" w:pos="-984"/>
          <w:tab w:val="left" w:pos="-720"/>
          <w:tab w:val="left" w:pos="720"/>
        </w:tabs>
        <w:jc w:val="both"/>
        <w:rPr>
          <w:rFonts w:ascii="Arial" w:hAnsi="Arial" w:cs="Arial"/>
          <w:color w:val="0000FF"/>
        </w:rPr>
      </w:pPr>
    </w:p>
    <w:p w:rsidRPr="00476F66" w:rsidR="001A3093" w:rsidRDefault="001A3093">
      <w:pPr>
        <w:widowControl/>
        <w:tabs>
          <w:tab w:val="left" w:pos="-984"/>
          <w:tab w:val="left" w:pos="-720"/>
          <w:tab w:val="left" w:pos="720"/>
        </w:tabs>
        <w:jc w:val="both"/>
        <w:rPr>
          <w:rFonts w:ascii="Arial" w:hAnsi="Arial" w:cs="Arial"/>
          <w:color w:val="0000FF"/>
        </w:rPr>
      </w:pPr>
    </w:p>
    <w:p w:rsidR="00C2337A" w:rsidP="00C2337A" w:rsidRDefault="000D0476">
      <w:pPr>
        <w:keepNext/>
        <w:keepLines/>
        <w:widowControl/>
        <w:tabs>
          <w:tab w:val="left" w:pos="-984"/>
          <w:tab w:val="left" w:pos="-720"/>
          <w:tab w:val="left" w:pos="720"/>
        </w:tabs>
        <w:jc w:val="both"/>
        <w:rPr>
          <w:rFonts w:ascii="Arial" w:hAnsi="Arial" w:cs="Arial"/>
          <w:b/>
          <w:bCs/>
        </w:rPr>
      </w:pPr>
      <w:r w:rsidRPr="0056760B">
        <w:rPr>
          <w:rFonts w:ascii="Arial" w:hAnsi="Arial" w:cs="Arial"/>
          <w:b/>
          <w:bCs/>
        </w:rPr>
        <w:t>6.</w:t>
      </w:r>
      <w:r w:rsidRPr="0056760B">
        <w:rPr>
          <w:rFonts w:ascii="Arial" w:hAnsi="Arial" w:cs="Arial"/>
          <w:b/>
          <w:bCs/>
        </w:rPr>
        <w:tab/>
      </w:r>
      <w:r w:rsidRPr="00667FA4" w:rsidR="00667FA4">
        <w:rPr>
          <w:rFonts w:ascii="Arial" w:hAnsi="Arial" w:cs="Arial"/>
          <w:b/>
          <w:bCs/>
        </w:rPr>
        <w:t xml:space="preserve">Describe the consequence to Federal program or policy activities if the </w:t>
      </w:r>
      <w:r w:rsidR="00DB63BA">
        <w:rPr>
          <w:rFonts w:ascii="Arial" w:hAnsi="Arial" w:cs="Arial"/>
          <w:b/>
          <w:bCs/>
        </w:rPr>
        <w:t xml:space="preserve">information </w:t>
      </w:r>
      <w:r w:rsidRPr="00667FA4" w:rsidR="00667FA4">
        <w:rPr>
          <w:rFonts w:ascii="Arial" w:hAnsi="Arial" w:cs="Arial"/>
          <w:b/>
          <w:bCs/>
        </w:rPr>
        <w:t xml:space="preserve">collection </w:t>
      </w:r>
      <w:proofErr w:type="gramStart"/>
      <w:r w:rsidRPr="00667FA4" w:rsidR="00667FA4">
        <w:rPr>
          <w:rFonts w:ascii="Arial" w:hAnsi="Arial" w:cs="Arial"/>
          <w:b/>
          <w:bCs/>
        </w:rPr>
        <w:t>is not conducted</w:t>
      </w:r>
      <w:proofErr w:type="gramEnd"/>
      <w:r w:rsidRPr="00667FA4" w:rsidR="00667FA4">
        <w:rPr>
          <w:rFonts w:ascii="Arial" w:hAnsi="Arial" w:cs="Arial"/>
          <w:b/>
          <w:bCs/>
        </w:rPr>
        <w:t xml:space="preserve"> or is conducted less frequently, as well as any technical or legal obstacles to reducing burden.</w:t>
      </w:r>
    </w:p>
    <w:p w:rsidR="00C2337A" w:rsidP="00C2337A" w:rsidRDefault="00C2337A">
      <w:pPr>
        <w:keepNext/>
        <w:keepLines/>
        <w:widowControl/>
        <w:tabs>
          <w:tab w:val="left" w:pos="-984"/>
          <w:tab w:val="left" w:pos="-720"/>
          <w:tab w:val="left" w:pos="720"/>
        </w:tabs>
        <w:jc w:val="both"/>
        <w:rPr>
          <w:rFonts w:ascii="Arial" w:hAnsi="Arial" w:cs="Arial"/>
          <w:b/>
          <w:bCs/>
        </w:rPr>
      </w:pPr>
    </w:p>
    <w:p w:rsidRPr="00C2337A" w:rsidR="000D0476" w:rsidP="00C2337A" w:rsidRDefault="000D0476">
      <w:pPr>
        <w:keepNext/>
        <w:keepLines/>
        <w:widowControl/>
        <w:tabs>
          <w:tab w:val="left" w:pos="-984"/>
          <w:tab w:val="left" w:pos="-720"/>
          <w:tab w:val="left" w:pos="720"/>
        </w:tabs>
        <w:jc w:val="both"/>
        <w:rPr>
          <w:rFonts w:ascii="Arial" w:hAnsi="Arial" w:cs="Arial"/>
        </w:rPr>
      </w:pPr>
      <w:r w:rsidRPr="00C2337A">
        <w:rPr>
          <w:rFonts w:ascii="Arial" w:hAnsi="Arial" w:cs="Arial"/>
        </w:rPr>
        <w:t xml:space="preserve">This information is collected only when an applicant submits a patent or trademark </w:t>
      </w:r>
      <w:r w:rsidRPr="00C2337A" w:rsidR="00CD7C5E">
        <w:rPr>
          <w:rFonts w:ascii="Arial" w:hAnsi="Arial" w:cs="Arial"/>
        </w:rPr>
        <w:t>assignment document</w:t>
      </w:r>
      <w:r w:rsidRPr="00C2337A">
        <w:rPr>
          <w:rFonts w:ascii="Arial" w:hAnsi="Arial" w:cs="Arial"/>
        </w:rPr>
        <w:t xml:space="preserve"> or other associated documents to the USPTO to be recorded</w:t>
      </w:r>
      <w:r w:rsidRPr="00C2337A" w:rsidR="00035FC3">
        <w:rPr>
          <w:rFonts w:ascii="Arial" w:hAnsi="Arial" w:cs="Arial"/>
        </w:rPr>
        <w:t>.</w:t>
      </w:r>
      <w:r w:rsidR="002B2B14">
        <w:rPr>
          <w:rFonts w:ascii="Arial" w:hAnsi="Arial" w:cs="Arial"/>
        </w:rPr>
        <w:t xml:space="preserve"> </w:t>
      </w:r>
      <w:r w:rsidRPr="00C2337A" w:rsidR="00035FC3">
        <w:rPr>
          <w:rFonts w:ascii="Arial" w:hAnsi="Arial" w:cs="Arial"/>
        </w:rPr>
        <w:t xml:space="preserve"> </w:t>
      </w:r>
      <w:r w:rsidRPr="00C2337A">
        <w:rPr>
          <w:rFonts w:ascii="Arial" w:hAnsi="Arial" w:cs="Arial"/>
        </w:rPr>
        <w:t>This information collection could not be conducted less frequently</w:t>
      </w:r>
      <w:r w:rsidRPr="00C2337A" w:rsidR="00035FC3">
        <w:rPr>
          <w:rFonts w:ascii="Arial" w:hAnsi="Arial" w:cs="Arial"/>
        </w:rPr>
        <w:t xml:space="preserve">. </w:t>
      </w:r>
      <w:r w:rsidR="002B2B14">
        <w:rPr>
          <w:rFonts w:ascii="Arial" w:hAnsi="Arial" w:cs="Arial"/>
        </w:rPr>
        <w:t xml:space="preserve"> </w:t>
      </w:r>
      <w:r w:rsidRPr="00C2337A">
        <w:rPr>
          <w:rFonts w:ascii="Arial" w:hAnsi="Arial" w:cs="Arial"/>
        </w:rPr>
        <w:t xml:space="preserve">If the collection of information were not conducted, the USPTO could not comply with the requirements of 35 U.S.C. </w:t>
      </w:r>
      <w:r w:rsidRPr="00C2337A" w:rsidR="00C2337A">
        <w:rPr>
          <w:rFonts w:ascii="Arial" w:hAnsi="Arial" w:cs="Arial"/>
        </w:rPr>
        <w:t>§§</w:t>
      </w:r>
      <w:r w:rsidRPr="00C2337A">
        <w:rPr>
          <w:rFonts w:ascii="Arial" w:hAnsi="Arial" w:cs="Arial"/>
        </w:rPr>
        <w:t xml:space="preserve"> 261 and 262</w:t>
      </w:r>
      <w:r w:rsidRPr="00C2337A" w:rsidR="00C2337A">
        <w:rPr>
          <w:rFonts w:ascii="Arial" w:hAnsi="Arial" w:cs="Arial"/>
        </w:rPr>
        <w:t xml:space="preserve"> and</w:t>
      </w:r>
      <w:r w:rsidRPr="00C2337A">
        <w:rPr>
          <w:rFonts w:ascii="Arial" w:hAnsi="Arial" w:cs="Arial"/>
        </w:rPr>
        <w:t xml:space="preserve"> 15 U.S.C. </w:t>
      </w:r>
      <w:r w:rsidRPr="00C2337A" w:rsidR="00C2337A">
        <w:rPr>
          <w:rFonts w:ascii="Arial" w:hAnsi="Arial" w:cs="Arial"/>
        </w:rPr>
        <w:t>§§</w:t>
      </w:r>
      <w:r w:rsidRPr="00C2337A">
        <w:rPr>
          <w:rFonts w:ascii="Arial" w:hAnsi="Arial" w:cs="Arial"/>
        </w:rPr>
        <w:t xml:space="preserve"> 1057 and 106</w:t>
      </w:r>
      <w:r w:rsidR="00242388">
        <w:rPr>
          <w:rFonts w:ascii="Arial" w:hAnsi="Arial" w:cs="Arial"/>
        </w:rPr>
        <w:t>0</w:t>
      </w:r>
      <w:r w:rsidRPr="00C2337A">
        <w:rPr>
          <w:rFonts w:ascii="Arial" w:hAnsi="Arial" w:cs="Arial"/>
        </w:rPr>
        <w:t>.</w:t>
      </w:r>
    </w:p>
    <w:p w:rsidRPr="00476F66" w:rsidR="000D0476" w:rsidRDefault="000D0476">
      <w:pPr>
        <w:widowControl/>
        <w:tabs>
          <w:tab w:val="left" w:pos="-984"/>
          <w:tab w:val="left" w:pos="-720"/>
          <w:tab w:val="left" w:pos="720"/>
        </w:tabs>
        <w:jc w:val="both"/>
        <w:rPr>
          <w:rFonts w:ascii="Arial" w:hAnsi="Arial" w:cs="Arial"/>
          <w:color w:val="0000FF"/>
        </w:rPr>
      </w:pPr>
    </w:p>
    <w:p w:rsidRPr="00667FA4" w:rsidR="00667FA4" w:rsidP="00667FA4" w:rsidRDefault="000D0476">
      <w:pPr>
        <w:keepNext/>
        <w:keepLines/>
        <w:widowControl/>
        <w:tabs>
          <w:tab w:val="left" w:pos="-984"/>
          <w:tab w:val="left" w:pos="-720"/>
          <w:tab w:val="left" w:pos="720"/>
        </w:tabs>
        <w:jc w:val="both"/>
        <w:rPr>
          <w:rFonts w:ascii="Arial" w:hAnsi="Arial" w:cs="Arial"/>
          <w:b/>
          <w:bCs/>
        </w:rPr>
      </w:pPr>
      <w:r w:rsidRPr="0056760B">
        <w:rPr>
          <w:rFonts w:ascii="Arial" w:hAnsi="Arial" w:cs="Arial"/>
          <w:b/>
          <w:bCs/>
        </w:rPr>
        <w:lastRenderedPageBreak/>
        <w:t>7.</w:t>
      </w:r>
      <w:r w:rsidRPr="0056760B">
        <w:rPr>
          <w:rFonts w:ascii="Arial" w:hAnsi="Arial" w:cs="Arial"/>
          <w:b/>
          <w:bCs/>
        </w:rPr>
        <w:tab/>
      </w:r>
      <w:r w:rsidRPr="00667FA4" w:rsidR="00667FA4">
        <w:rPr>
          <w:rFonts w:ascii="Arial" w:hAnsi="Arial" w:cs="Arial"/>
          <w:b/>
          <w:bCs/>
        </w:rPr>
        <w:t>Explain any special circumstances that would cause an information collection to be conducted in a manner:</w:t>
      </w:r>
    </w:p>
    <w:p w:rsidRPr="00667FA4" w:rsidR="00667FA4" w:rsidP="008647F6" w:rsidRDefault="00667FA4">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respondents to report information to the agency more often than quarterly;</w:t>
      </w:r>
    </w:p>
    <w:p w:rsidRPr="00667FA4" w:rsidR="00667FA4" w:rsidP="008647F6" w:rsidRDefault="00667FA4">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respondents to prepare a written response to a collection of information in fewer than 30 days after receipt of it;</w:t>
      </w:r>
    </w:p>
    <w:p w:rsidRPr="00667FA4" w:rsidR="00667FA4" w:rsidP="008647F6" w:rsidRDefault="00667FA4">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respondents to submit more than an original and two copies of any document;</w:t>
      </w:r>
    </w:p>
    <w:p w:rsidRPr="00667FA4" w:rsidR="00667FA4" w:rsidP="008647F6" w:rsidRDefault="00667FA4">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respondents to retain records, other than health, medical, government contract, grant-in-aid, or tax records, for more than three years;</w:t>
      </w:r>
    </w:p>
    <w:p w:rsidR="00667FA4" w:rsidP="008647F6" w:rsidRDefault="00667FA4">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in connection with a statistical survey, that is not designed to produce valid and reliable results that can be generalized to the universe of study;</w:t>
      </w:r>
    </w:p>
    <w:p w:rsidRPr="00667FA4" w:rsidR="00667FA4" w:rsidP="008647F6" w:rsidRDefault="00667FA4">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the use of a statistical data classification that has not been reviewed and approved by OMB;</w:t>
      </w:r>
    </w:p>
    <w:p w:rsidRPr="00667FA4" w:rsidR="00667FA4" w:rsidP="008647F6" w:rsidRDefault="00667FA4">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6760B" w:rsidR="000D0476" w:rsidP="008647F6" w:rsidRDefault="00667FA4">
      <w:pPr>
        <w:keepNext/>
        <w:keepLines/>
        <w:widowControl/>
        <w:numPr>
          <w:ilvl w:val="0"/>
          <w:numId w:val="16"/>
        </w:numPr>
        <w:tabs>
          <w:tab w:val="left" w:pos="-984"/>
          <w:tab w:val="left" w:pos="-720"/>
          <w:tab w:val="left" w:pos="720"/>
        </w:tabs>
        <w:jc w:val="both"/>
        <w:rPr>
          <w:rFonts w:ascii="Arial" w:hAnsi="Arial" w:cs="Arial"/>
        </w:rPr>
      </w:pPr>
      <w:r w:rsidRPr="00667FA4">
        <w:rPr>
          <w:rFonts w:ascii="Arial" w:hAnsi="Arial" w:cs="Arial"/>
          <w:b/>
          <w:bCs/>
        </w:rPr>
        <w:t>requiring respondents to submit proprietary trade secrets, or other confidential information unless the agency can demonstrate that it has instituted procedures to protect the information's confidentiality to the extent permitted by law.</w:t>
      </w:r>
    </w:p>
    <w:p w:rsidRPr="0056760B" w:rsidR="000D0476" w:rsidP="005F5E24" w:rsidRDefault="000D0476">
      <w:pPr>
        <w:keepNext/>
        <w:keepLines/>
        <w:widowControl/>
        <w:tabs>
          <w:tab w:val="left" w:pos="-984"/>
          <w:tab w:val="left" w:pos="-720"/>
          <w:tab w:val="left" w:pos="720"/>
        </w:tabs>
        <w:jc w:val="both"/>
        <w:rPr>
          <w:rFonts w:ascii="Arial" w:hAnsi="Arial" w:cs="Arial"/>
        </w:rPr>
      </w:pPr>
    </w:p>
    <w:p w:rsidRPr="00C93EDD" w:rsidR="000D0476" w:rsidRDefault="000D0476">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Pr="00C93EDD" w:rsidR="000D0476" w:rsidRDefault="000D0476">
      <w:pPr>
        <w:widowControl/>
        <w:tabs>
          <w:tab w:val="left" w:pos="-984"/>
          <w:tab w:val="left" w:pos="-720"/>
          <w:tab w:val="left" w:pos="720"/>
        </w:tabs>
        <w:jc w:val="both"/>
        <w:rPr>
          <w:rFonts w:ascii="Arial" w:hAnsi="Arial" w:cs="Arial"/>
        </w:rPr>
      </w:pPr>
    </w:p>
    <w:p w:rsidR="00667FA4" w:rsidP="00667FA4" w:rsidRDefault="000D0476">
      <w:pPr>
        <w:keepNext/>
        <w:keepLines/>
        <w:widowControl/>
        <w:tabs>
          <w:tab w:val="left" w:pos="-984"/>
          <w:tab w:val="left" w:pos="-720"/>
          <w:tab w:val="left" w:pos="720"/>
        </w:tabs>
        <w:jc w:val="both"/>
        <w:rPr>
          <w:rFonts w:ascii="Arial" w:hAnsi="Arial" w:cs="Arial"/>
          <w:b/>
          <w:bCs/>
        </w:rPr>
      </w:pPr>
      <w:r w:rsidRPr="0056760B">
        <w:rPr>
          <w:rFonts w:ascii="Arial" w:hAnsi="Arial" w:cs="Arial"/>
          <w:b/>
          <w:bCs/>
        </w:rPr>
        <w:lastRenderedPageBreak/>
        <w:t>8.</w:t>
      </w:r>
      <w:r w:rsidRPr="0056760B">
        <w:rPr>
          <w:rFonts w:ascii="Arial" w:hAnsi="Arial" w:cs="Arial"/>
          <w:b/>
          <w:bCs/>
        </w:rPr>
        <w:tab/>
      </w:r>
      <w:r w:rsidRPr="00667FA4" w:rsidR="00667FA4">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67FA4" w:rsidR="00667FA4" w:rsidP="00667FA4" w:rsidRDefault="00667FA4">
      <w:pPr>
        <w:keepNext/>
        <w:keepLines/>
        <w:widowControl/>
        <w:tabs>
          <w:tab w:val="left" w:pos="-984"/>
          <w:tab w:val="left" w:pos="-720"/>
          <w:tab w:val="left" w:pos="720"/>
        </w:tabs>
        <w:jc w:val="both"/>
        <w:rPr>
          <w:rFonts w:ascii="Arial" w:hAnsi="Arial" w:cs="Arial"/>
          <w:b/>
          <w:bCs/>
        </w:rPr>
      </w:pPr>
    </w:p>
    <w:p w:rsidR="00667FA4" w:rsidP="00667FA4" w:rsidRDefault="00667FA4">
      <w:pPr>
        <w:keepNext/>
        <w:keepLines/>
        <w:widowControl/>
        <w:tabs>
          <w:tab w:val="left" w:pos="-984"/>
          <w:tab w:val="left" w:pos="-720"/>
          <w:tab w:val="left" w:pos="720"/>
        </w:tabs>
        <w:jc w:val="both"/>
        <w:rPr>
          <w:rFonts w:ascii="Arial" w:hAnsi="Arial" w:cs="Arial"/>
          <w:b/>
          <w:bCs/>
        </w:rPr>
      </w:pPr>
      <w:r w:rsidRPr="00667FA4">
        <w:rPr>
          <w:rFonts w:ascii="Arial" w:hAnsi="Arial" w:cs="Arial"/>
          <w:b/>
          <w:bCs/>
        </w:rPr>
        <w:t xml:space="preserve">Describe efforts to consult with persons outside the agency to obtain their views on the availability of data, frequency of </w:t>
      </w:r>
      <w:r w:rsidR="00DB63BA">
        <w:rPr>
          <w:rFonts w:ascii="Arial" w:hAnsi="Arial" w:cs="Arial"/>
          <w:b/>
          <w:bCs/>
        </w:rPr>
        <w:t xml:space="preserve">information </w:t>
      </w:r>
      <w:r w:rsidRPr="00667FA4">
        <w:rPr>
          <w:rFonts w:ascii="Arial" w:hAnsi="Arial" w:cs="Arial"/>
          <w:b/>
          <w:bCs/>
        </w:rPr>
        <w:t>collection, the clarity of instructions and recordkeeping, disclosure, or reporting format (if any), and on the data elements to be recorded, disclosed, or reported.</w:t>
      </w:r>
    </w:p>
    <w:p w:rsidRPr="00667FA4" w:rsidR="00667FA4" w:rsidP="00667FA4" w:rsidRDefault="00667FA4">
      <w:pPr>
        <w:keepNext/>
        <w:keepLines/>
        <w:widowControl/>
        <w:tabs>
          <w:tab w:val="left" w:pos="-984"/>
          <w:tab w:val="left" w:pos="-720"/>
          <w:tab w:val="left" w:pos="720"/>
        </w:tabs>
        <w:jc w:val="both"/>
        <w:rPr>
          <w:rFonts w:ascii="Arial" w:hAnsi="Arial" w:cs="Arial"/>
          <w:b/>
          <w:bCs/>
        </w:rPr>
      </w:pPr>
    </w:p>
    <w:p w:rsidRPr="0056760B" w:rsidR="000D0476" w:rsidP="00667FA4" w:rsidRDefault="00667FA4">
      <w:pPr>
        <w:keepNext/>
        <w:keepLines/>
        <w:widowControl/>
        <w:tabs>
          <w:tab w:val="left" w:pos="-984"/>
          <w:tab w:val="left" w:pos="-720"/>
          <w:tab w:val="left" w:pos="720"/>
        </w:tabs>
        <w:jc w:val="both"/>
        <w:rPr>
          <w:rFonts w:ascii="Arial" w:hAnsi="Arial" w:cs="Arial"/>
        </w:rPr>
      </w:pPr>
      <w:r w:rsidRPr="00667FA4">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476F66" w:rsidR="000D0476" w:rsidP="00432944" w:rsidRDefault="000D0476">
      <w:pPr>
        <w:keepNext/>
        <w:keepLines/>
        <w:widowControl/>
        <w:tabs>
          <w:tab w:val="left" w:pos="-984"/>
          <w:tab w:val="left" w:pos="-720"/>
          <w:tab w:val="left" w:pos="720"/>
        </w:tabs>
        <w:jc w:val="both"/>
        <w:rPr>
          <w:rFonts w:ascii="Arial" w:hAnsi="Arial" w:cs="Arial"/>
          <w:color w:val="0000FF"/>
        </w:rPr>
      </w:pPr>
    </w:p>
    <w:p w:rsidR="000B3CCC" w:rsidP="00B94020" w:rsidRDefault="000D047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FA56E6">
        <w:rPr>
          <w:rFonts w:ascii="Arial" w:hAnsi="Arial" w:cs="Arial"/>
        </w:rPr>
        <w:t>April 16, 2021</w:t>
      </w:r>
      <w:r w:rsidRPr="00C93EDD" w:rsidR="00B33A94">
        <w:rPr>
          <w:rFonts w:ascii="Arial" w:hAnsi="Arial" w:cs="Arial"/>
        </w:rPr>
        <w:t xml:space="preserve"> </w:t>
      </w:r>
      <w:r w:rsidRPr="00C93EDD">
        <w:rPr>
          <w:rFonts w:ascii="Arial" w:hAnsi="Arial" w:cs="Arial"/>
        </w:rPr>
        <w:t>(</w:t>
      </w:r>
      <w:r w:rsidR="00741B52">
        <w:rPr>
          <w:rFonts w:ascii="Arial" w:hAnsi="Arial" w:cs="Arial"/>
        </w:rPr>
        <w:t>86</w:t>
      </w:r>
      <w:r w:rsidR="008119A1">
        <w:rPr>
          <w:rFonts w:ascii="Arial" w:hAnsi="Arial" w:cs="Arial"/>
        </w:rPr>
        <w:t xml:space="preserve"> </w:t>
      </w:r>
      <w:r w:rsidR="00741B52">
        <w:rPr>
          <w:rFonts w:ascii="Arial" w:hAnsi="Arial" w:cs="Arial"/>
        </w:rPr>
        <w:t xml:space="preserve"> FR </w:t>
      </w:r>
      <w:r w:rsidRPr="00741B52" w:rsidR="00741B52">
        <w:rPr>
          <w:rFonts w:ascii="Arial" w:hAnsi="Arial" w:cs="Arial"/>
        </w:rPr>
        <w:t xml:space="preserve"> 20121</w:t>
      </w:r>
      <w:r w:rsidRPr="00C93EDD">
        <w:rPr>
          <w:rFonts w:ascii="Arial" w:hAnsi="Arial" w:cs="Arial"/>
        </w:rPr>
        <w:t>)</w:t>
      </w:r>
      <w:r w:rsidRPr="00C93EDD" w:rsidR="00035FC3">
        <w:rPr>
          <w:rFonts w:ascii="Arial" w:hAnsi="Arial" w:cs="Arial"/>
        </w:rPr>
        <w:t>.</w:t>
      </w:r>
      <w:r w:rsidR="00A309E7">
        <w:rPr>
          <w:rFonts w:ascii="Arial" w:hAnsi="Arial" w:cs="Arial"/>
        </w:rPr>
        <w:t xml:space="preserve"> </w:t>
      </w:r>
      <w:r w:rsidRPr="00C93EDD" w:rsidR="00035FC3">
        <w:rPr>
          <w:rFonts w:ascii="Arial" w:hAnsi="Arial" w:cs="Arial"/>
        </w:rPr>
        <w:t xml:space="preserve"> </w:t>
      </w:r>
      <w:r w:rsidRPr="00C93EDD">
        <w:rPr>
          <w:rFonts w:ascii="Arial" w:hAnsi="Arial" w:cs="Arial"/>
        </w:rPr>
        <w:t xml:space="preserve">The comment period </w:t>
      </w:r>
      <w:r w:rsidRPr="007F0B6F">
        <w:rPr>
          <w:rFonts w:ascii="Arial" w:hAnsi="Arial" w:cs="Arial"/>
        </w:rPr>
        <w:t xml:space="preserve">ended on </w:t>
      </w:r>
      <w:r w:rsidR="00FA56E6">
        <w:rPr>
          <w:rFonts w:ascii="Arial" w:hAnsi="Arial" w:cs="Arial"/>
        </w:rPr>
        <w:t>June 15, 2021</w:t>
      </w:r>
      <w:r w:rsidRPr="007F0B6F" w:rsidR="00035FC3">
        <w:rPr>
          <w:rFonts w:ascii="Arial" w:hAnsi="Arial" w:cs="Arial"/>
        </w:rPr>
        <w:t>.</w:t>
      </w:r>
      <w:r w:rsidR="00A309E7">
        <w:rPr>
          <w:rFonts w:ascii="Arial" w:hAnsi="Arial" w:cs="Arial"/>
        </w:rPr>
        <w:t xml:space="preserve"> </w:t>
      </w:r>
      <w:r w:rsidR="00B33A94">
        <w:rPr>
          <w:rFonts w:ascii="Arial" w:hAnsi="Arial" w:cs="Arial"/>
        </w:rPr>
        <w:t>No</w:t>
      </w:r>
      <w:r w:rsidR="00D25B01">
        <w:rPr>
          <w:rFonts w:ascii="Arial" w:hAnsi="Arial" w:cs="Arial"/>
        </w:rPr>
        <w:t xml:space="preserve"> comment</w:t>
      </w:r>
      <w:r w:rsidR="00FA56E6">
        <w:rPr>
          <w:rFonts w:ascii="Arial" w:hAnsi="Arial" w:cs="Arial"/>
        </w:rPr>
        <w:t>s</w:t>
      </w:r>
      <w:r w:rsidR="00D25B01">
        <w:rPr>
          <w:rFonts w:ascii="Arial" w:hAnsi="Arial" w:cs="Arial"/>
        </w:rPr>
        <w:t xml:space="preserve"> w</w:t>
      </w:r>
      <w:r w:rsidR="00FA56E6">
        <w:rPr>
          <w:rFonts w:ascii="Arial" w:hAnsi="Arial" w:cs="Arial"/>
        </w:rPr>
        <w:t>ere</w:t>
      </w:r>
      <w:r w:rsidR="00D25B01">
        <w:rPr>
          <w:rFonts w:ascii="Arial" w:hAnsi="Arial" w:cs="Arial"/>
        </w:rPr>
        <w:t xml:space="preserve"> received from the public</w:t>
      </w:r>
      <w:r w:rsidR="000B3CCC">
        <w:rPr>
          <w:rFonts w:ascii="Arial" w:hAnsi="Arial" w:cs="Arial"/>
        </w:rPr>
        <w:t>.</w:t>
      </w:r>
    </w:p>
    <w:p w:rsidRPr="00D25B01" w:rsidR="00D25B01" w:rsidP="00B94020" w:rsidRDefault="00D25B01">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Pr="007F0B6F" w:rsidR="000D0476" w:rsidRDefault="000D0476">
      <w:pPr>
        <w:widowControl/>
        <w:tabs>
          <w:tab w:val="left" w:pos="-984"/>
          <w:tab w:val="left" w:pos="-720"/>
          <w:tab w:val="left" w:pos="720"/>
        </w:tabs>
        <w:jc w:val="both"/>
        <w:rPr>
          <w:rFonts w:ascii="Arial" w:hAnsi="Arial" w:cs="Arial"/>
        </w:rPr>
      </w:pPr>
      <w:r w:rsidRPr="007F0B6F">
        <w:rPr>
          <w:rFonts w:ascii="Arial" w:hAnsi="Arial" w:cs="Arial"/>
        </w:rPr>
        <w:t>The USPTO has long-standing relationships with groups from whom patent application information is collected, such as the American</w:t>
      </w:r>
      <w:r w:rsidRPr="00F462AC">
        <w:rPr>
          <w:rFonts w:ascii="Arial" w:hAnsi="Arial" w:cs="Arial"/>
        </w:rPr>
        <w:t xml:space="preserve"> Intellectual Property Law Association, as well as patent bar associations, independent inventor groups, and users of o</w:t>
      </w:r>
      <w:r w:rsidR="00EC71D7">
        <w:rPr>
          <w:rFonts w:ascii="Arial" w:hAnsi="Arial" w:cs="Arial"/>
        </w:rPr>
        <w:t xml:space="preserve">ur public search facilities.  </w:t>
      </w:r>
      <w:r w:rsidRPr="00F462AC">
        <w:rPr>
          <w:rFonts w:ascii="Arial" w:hAnsi="Arial" w:cs="Arial"/>
        </w:rPr>
        <w:t xml:space="preserve">Their views are expressed in regularly scheduled meetings and considered in developing proposals for information </w:t>
      </w:r>
      <w:r w:rsidRPr="007F0B6F">
        <w:rPr>
          <w:rFonts w:ascii="Arial" w:hAnsi="Arial" w:cs="Arial"/>
        </w:rPr>
        <w:t xml:space="preserve">collection requirements. </w:t>
      </w:r>
      <w:r w:rsidR="00A309E7">
        <w:rPr>
          <w:rFonts w:ascii="Arial" w:hAnsi="Arial" w:cs="Arial"/>
        </w:rPr>
        <w:t xml:space="preserve"> </w:t>
      </w:r>
      <w:r w:rsidRPr="007F0B6F">
        <w:rPr>
          <w:rFonts w:ascii="Arial" w:hAnsi="Arial" w:cs="Arial"/>
        </w:rPr>
        <w:t>There have been no comments or concerns expressed by these or similar organizations con</w:t>
      </w:r>
      <w:r w:rsidR="000B3CCC">
        <w:rPr>
          <w:rFonts w:ascii="Arial" w:hAnsi="Arial" w:cs="Arial"/>
        </w:rPr>
        <w:t xml:space="preserve">cerning this collection request.  </w:t>
      </w:r>
    </w:p>
    <w:p w:rsidR="000D0476" w:rsidRDefault="000D0476">
      <w:pPr>
        <w:widowControl/>
        <w:tabs>
          <w:tab w:val="left" w:pos="-984"/>
          <w:tab w:val="left" w:pos="-720"/>
          <w:tab w:val="left" w:pos="720"/>
        </w:tabs>
        <w:jc w:val="both"/>
        <w:rPr>
          <w:rFonts w:ascii="Arial" w:hAnsi="Arial" w:cs="Arial"/>
        </w:rPr>
      </w:pPr>
    </w:p>
    <w:p w:rsidRPr="0056760B" w:rsidR="001A3093" w:rsidRDefault="001A3093">
      <w:pPr>
        <w:widowControl/>
        <w:tabs>
          <w:tab w:val="left" w:pos="-984"/>
          <w:tab w:val="left" w:pos="-720"/>
          <w:tab w:val="left" w:pos="720"/>
        </w:tabs>
        <w:jc w:val="both"/>
        <w:rPr>
          <w:rFonts w:ascii="Arial" w:hAnsi="Arial" w:cs="Arial"/>
        </w:rPr>
      </w:pPr>
    </w:p>
    <w:p w:rsidRPr="0056760B" w:rsidR="000D0476" w:rsidRDefault="000D0476">
      <w:pPr>
        <w:widowControl/>
        <w:tabs>
          <w:tab w:val="left" w:pos="-984"/>
          <w:tab w:val="left" w:pos="-720"/>
          <w:tab w:val="left" w:pos="720"/>
        </w:tabs>
        <w:jc w:val="both"/>
        <w:rPr>
          <w:rFonts w:ascii="Arial" w:hAnsi="Arial" w:cs="Arial"/>
        </w:rPr>
      </w:pPr>
      <w:r w:rsidRPr="0056760B">
        <w:rPr>
          <w:rFonts w:ascii="Arial" w:hAnsi="Arial" w:cs="Arial"/>
          <w:b/>
          <w:bCs/>
        </w:rPr>
        <w:t>9.</w:t>
      </w:r>
      <w:r w:rsidRPr="0056760B">
        <w:rPr>
          <w:rFonts w:ascii="Arial" w:hAnsi="Arial" w:cs="Arial"/>
          <w:b/>
          <w:bCs/>
        </w:rPr>
        <w:tab/>
      </w:r>
      <w:r w:rsidRPr="00667FA4" w:rsidR="00667FA4">
        <w:rPr>
          <w:rFonts w:ascii="Arial" w:hAnsi="Arial" w:cs="Arial"/>
          <w:b/>
          <w:bCs/>
        </w:rPr>
        <w:t>Explain any decision to provide any payment or gift to respondents, other than remuneration of contractors or grantees.</w:t>
      </w:r>
    </w:p>
    <w:p w:rsidRPr="0056760B" w:rsidR="000D0476" w:rsidRDefault="000D0476">
      <w:pPr>
        <w:widowControl/>
        <w:tabs>
          <w:tab w:val="left" w:pos="-984"/>
          <w:tab w:val="left" w:pos="-720"/>
          <w:tab w:val="left" w:pos="720"/>
        </w:tabs>
        <w:jc w:val="both"/>
        <w:rPr>
          <w:rFonts w:ascii="Arial" w:hAnsi="Arial" w:cs="Arial"/>
        </w:rPr>
      </w:pPr>
    </w:p>
    <w:p w:rsidRPr="00F462AC" w:rsidR="000D0476" w:rsidRDefault="000D0476">
      <w:pPr>
        <w:widowControl/>
        <w:tabs>
          <w:tab w:val="left" w:pos="-984"/>
          <w:tab w:val="left" w:pos="-720"/>
          <w:tab w:val="left" w:pos="720"/>
        </w:tabs>
        <w:jc w:val="both"/>
        <w:rPr>
          <w:rFonts w:ascii="Arial" w:hAnsi="Arial" w:cs="Arial"/>
        </w:rPr>
      </w:pPr>
      <w:r w:rsidRPr="00F462AC">
        <w:rPr>
          <w:rFonts w:ascii="Arial" w:hAnsi="Arial" w:cs="Arial"/>
        </w:rPr>
        <w:t>This information collection does not involve a payment or gift to any respondent</w:t>
      </w:r>
      <w:r w:rsidRPr="00F462AC" w:rsidR="00035FC3">
        <w:rPr>
          <w:rFonts w:ascii="Arial" w:hAnsi="Arial" w:cs="Arial"/>
        </w:rPr>
        <w:t xml:space="preserve">. </w:t>
      </w:r>
    </w:p>
    <w:p w:rsidR="000D0476" w:rsidRDefault="000D0476">
      <w:pPr>
        <w:widowControl/>
        <w:tabs>
          <w:tab w:val="left" w:pos="-984"/>
          <w:tab w:val="left" w:pos="-720"/>
          <w:tab w:val="left" w:pos="720"/>
        </w:tabs>
        <w:jc w:val="both"/>
        <w:rPr>
          <w:rFonts w:ascii="Arial" w:hAnsi="Arial" w:cs="Arial"/>
          <w:color w:val="0000FF"/>
        </w:rPr>
      </w:pPr>
    </w:p>
    <w:p w:rsidRPr="00476F66" w:rsidR="001A3093" w:rsidRDefault="001A3093">
      <w:pPr>
        <w:widowControl/>
        <w:tabs>
          <w:tab w:val="left" w:pos="-984"/>
          <w:tab w:val="left" w:pos="-720"/>
          <w:tab w:val="left" w:pos="720"/>
        </w:tabs>
        <w:jc w:val="both"/>
        <w:rPr>
          <w:rFonts w:ascii="Arial" w:hAnsi="Arial" w:cs="Arial"/>
          <w:color w:val="0000FF"/>
        </w:rPr>
      </w:pPr>
    </w:p>
    <w:p w:rsidRPr="0056760B" w:rsidR="000D0476" w:rsidP="001F0D09" w:rsidRDefault="000D0476">
      <w:pPr>
        <w:keepNext/>
        <w:widowControl/>
        <w:tabs>
          <w:tab w:val="left" w:pos="-984"/>
          <w:tab w:val="left" w:pos="-720"/>
          <w:tab w:val="left" w:pos="720"/>
        </w:tabs>
        <w:jc w:val="both"/>
        <w:rPr>
          <w:rFonts w:ascii="Arial" w:hAnsi="Arial" w:cs="Arial"/>
        </w:rPr>
      </w:pPr>
      <w:r w:rsidRPr="0056760B">
        <w:rPr>
          <w:rFonts w:ascii="Arial" w:hAnsi="Arial" w:cs="Arial"/>
          <w:b/>
          <w:bCs/>
        </w:rPr>
        <w:t>10.</w:t>
      </w:r>
      <w:r w:rsidRPr="0056760B">
        <w:rPr>
          <w:rFonts w:ascii="Arial" w:hAnsi="Arial" w:cs="Arial"/>
          <w:b/>
          <w:bCs/>
        </w:rPr>
        <w:tab/>
      </w:r>
      <w:r w:rsidRPr="00667FA4" w:rsidR="00667FA4">
        <w:rPr>
          <w:rFonts w:ascii="Arial" w:hAnsi="Arial" w:cs="Arial"/>
          <w:b/>
          <w:bCs/>
        </w:rPr>
        <w:t xml:space="preserve">Describe any assurance of confidentiality provided to respondents and the basis for the assurance in statute, regulation, or agency policy. If the </w:t>
      </w:r>
      <w:r w:rsidR="00DB63BA">
        <w:rPr>
          <w:rFonts w:ascii="Arial" w:hAnsi="Arial" w:cs="Arial"/>
          <w:b/>
          <w:bCs/>
        </w:rPr>
        <w:t xml:space="preserve">information </w:t>
      </w:r>
      <w:r w:rsidRPr="00667FA4" w:rsidR="00667FA4">
        <w:rPr>
          <w:rFonts w:ascii="Arial" w:hAnsi="Arial" w:cs="Arial"/>
          <w:b/>
          <w:bCs/>
        </w:rPr>
        <w:t>collection requires a systems of records notice (SORN) or privacy impact assessment (PIA), those should be cited and described here.</w:t>
      </w:r>
    </w:p>
    <w:p w:rsidR="000D0476" w:rsidRDefault="000D0476">
      <w:pPr>
        <w:widowControl/>
        <w:tabs>
          <w:tab w:val="left" w:pos="-984"/>
          <w:tab w:val="left" w:pos="-720"/>
          <w:tab w:val="left" w:pos="720"/>
        </w:tabs>
        <w:jc w:val="both"/>
        <w:rPr>
          <w:rFonts w:ascii="Arial" w:hAnsi="Arial" w:cs="Arial"/>
          <w:color w:val="0000FF"/>
        </w:rPr>
      </w:pPr>
    </w:p>
    <w:p w:rsidR="00FA56E6" w:rsidP="008A7BE3" w:rsidRDefault="00242388">
      <w:pPr>
        <w:widowControl/>
        <w:tabs>
          <w:tab w:val="left" w:pos="-984"/>
          <w:tab w:val="left" w:pos="-720"/>
          <w:tab w:val="left" w:pos="720"/>
        </w:tabs>
        <w:jc w:val="both"/>
        <w:rPr>
          <w:rFonts w:ascii="Arial" w:hAnsi="Arial" w:cs="Arial"/>
        </w:rPr>
      </w:pPr>
      <w:r>
        <w:rPr>
          <w:rFonts w:ascii="Arial" w:hAnsi="Arial" w:cs="Arial"/>
        </w:rPr>
        <w:t>The USPTO</w:t>
      </w:r>
      <w:r w:rsidRPr="00956238" w:rsidR="008A7BE3">
        <w:rPr>
          <w:rFonts w:ascii="Arial" w:hAnsi="Arial" w:cs="Arial"/>
        </w:rPr>
        <w:t xml:space="preserve"> collects this information under authority of </w:t>
      </w:r>
      <w:r w:rsidR="00A50864">
        <w:rPr>
          <w:rFonts w:ascii="Arial" w:hAnsi="Arial" w:cs="Arial"/>
        </w:rPr>
        <w:t>37</w:t>
      </w:r>
      <w:r w:rsidRPr="00956238" w:rsidR="008A7BE3">
        <w:rPr>
          <w:rFonts w:ascii="Arial" w:hAnsi="Arial" w:cs="Arial"/>
        </w:rPr>
        <w:t xml:space="preserve"> CFR </w:t>
      </w:r>
      <w:r w:rsidR="00A50864">
        <w:rPr>
          <w:rFonts w:ascii="Arial" w:hAnsi="Arial" w:cs="Arial"/>
        </w:rPr>
        <w:t>3.11</w:t>
      </w:r>
      <w:r w:rsidRPr="00956238" w:rsidR="008A7BE3">
        <w:rPr>
          <w:rFonts w:ascii="Arial" w:hAnsi="Arial" w:cs="Arial"/>
        </w:rPr>
        <w:t xml:space="preserve">. The information in this system of records is used to manage patent application serial number, filing date, title of invention, applicant’s or inventor’s address and addresses of applicant’s duly appointed representatives. </w:t>
      </w:r>
    </w:p>
    <w:p w:rsidR="00A11284" w:rsidP="008A7BE3" w:rsidRDefault="00A11284">
      <w:pPr>
        <w:widowControl/>
        <w:tabs>
          <w:tab w:val="left" w:pos="-984"/>
          <w:tab w:val="left" w:pos="-720"/>
          <w:tab w:val="left" w:pos="720"/>
        </w:tabs>
        <w:jc w:val="both"/>
        <w:rPr>
          <w:rFonts w:ascii="Arial" w:hAnsi="Arial" w:cs="Arial"/>
        </w:rPr>
      </w:pPr>
    </w:p>
    <w:p w:rsidRPr="00956238" w:rsidR="00A11284" w:rsidP="00A11284" w:rsidRDefault="00A11284">
      <w:pPr>
        <w:widowControl/>
        <w:tabs>
          <w:tab w:val="left" w:pos="-984"/>
          <w:tab w:val="left" w:pos="-720"/>
          <w:tab w:val="left" w:pos="720"/>
        </w:tabs>
        <w:jc w:val="both"/>
        <w:rPr>
          <w:rFonts w:ascii="Arial" w:hAnsi="Arial" w:cs="Arial"/>
        </w:rPr>
      </w:pPr>
      <w:r w:rsidRPr="00956238">
        <w:rPr>
          <w:rFonts w:ascii="Arial" w:hAnsi="Arial" w:cs="Arial"/>
        </w:rPr>
        <w:lastRenderedPageBreak/>
        <w:t>The purposes of the system is to  maintain records related to assignments of property rights for patent applications and patents, including the documents submitted to the USPTO for recordation.</w:t>
      </w:r>
      <w:r>
        <w:rPr>
          <w:rFonts w:ascii="Arial" w:hAnsi="Arial" w:cs="Arial"/>
        </w:rPr>
        <w:t xml:space="preserve">  </w:t>
      </w:r>
      <w:r w:rsidRPr="00956238">
        <w:rPr>
          <w:rFonts w:ascii="Arial" w:hAnsi="Arial" w:cs="Arial"/>
        </w:rPr>
        <w:t>Categories of individuals covered by the system</w:t>
      </w:r>
      <w:r>
        <w:rPr>
          <w:rFonts w:ascii="Arial" w:hAnsi="Arial" w:cs="Arial"/>
        </w:rPr>
        <w:t xml:space="preserve"> includes</w:t>
      </w:r>
      <w:r w:rsidRPr="00956238">
        <w:rPr>
          <w:rFonts w:ascii="Arial" w:hAnsi="Arial" w:cs="Arial"/>
        </w:rPr>
        <w:t xml:space="preserve">: </w:t>
      </w:r>
      <w:r>
        <w:rPr>
          <w:rFonts w:ascii="Arial" w:hAnsi="Arial" w:cs="Arial"/>
        </w:rPr>
        <w:t>p</w:t>
      </w:r>
      <w:r w:rsidRPr="00956238">
        <w:rPr>
          <w:rFonts w:ascii="Arial" w:hAnsi="Arial" w:cs="Arial"/>
        </w:rPr>
        <w:t>ersons who have given or received property rights under an application for patent or a patent by means of a written i</w:t>
      </w:r>
      <w:r>
        <w:rPr>
          <w:rFonts w:ascii="Arial" w:hAnsi="Arial" w:cs="Arial"/>
        </w:rPr>
        <w:t>nstrument recorded in the USPTO,</w:t>
      </w:r>
      <w:r w:rsidRPr="00956238">
        <w:rPr>
          <w:rFonts w:ascii="Arial" w:hAnsi="Arial" w:cs="Arial"/>
        </w:rPr>
        <w:t xml:space="preserve"> intellectual property owners (deceased or incapacitated)</w:t>
      </w:r>
      <w:r>
        <w:rPr>
          <w:rFonts w:ascii="Arial" w:hAnsi="Arial" w:cs="Arial"/>
        </w:rPr>
        <w:t>,</w:t>
      </w:r>
      <w:r w:rsidRPr="00956238">
        <w:rPr>
          <w:rFonts w:ascii="Arial" w:hAnsi="Arial" w:cs="Arial"/>
        </w:rPr>
        <w:t xml:space="preserve"> and their legal representatives.</w:t>
      </w:r>
      <w:r>
        <w:rPr>
          <w:rFonts w:ascii="Arial" w:hAnsi="Arial" w:cs="Arial"/>
        </w:rPr>
        <w:t xml:space="preserve"> </w:t>
      </w:r>
      <w:r w:rsidRPr="00956238">
        <w:rPr>
          <w:rFonts w:ascii="Arial" w:hAnsi="Arial" w:cs="Arial"/>
        </w:rPr>
        <w:t>Categories of records in the system</w:t>
      </w:r>
      <w:r>
        <w:rPr>
          <w:rFonts w:ascii="Arial" w:hAnsi="Arial" w:cs="Arial"/>
        </w:rPr>
        <w:t xml:space="preserve"> includes a</w:t>
      </w:r>
      <w:r w:rsidRPr="00956238">
        <w:rPr>
          <w:rFonts w:ascii="Arial" w:hAnsi="Arial" w:cs="Arial"/>
        </w:rPr>
        <w:t>ssignments</w:t>
      </w:r>
      <w:r>
        <w:rPr>
          <w:rFonts w:ascii="Arial" w:hAnsi="Arial" w:cs="Arial"/>
        </w:rPr>
        <w:t>, grants, mortgages, liens,</w:t>
      </w:r>
      <w:r w:rsidRPr="00956238">
        <w:rPr>
          <w:rFonts w:ascii="Arial" w:hAnsi="Arial" w:cs="Arial"/>
        </w:rPr>
        <w:t xml:space="preserve"> encumbrances, licenses, and other instruments affecting title, letters testamentary, other court certificates and orders.</w:t>
      </w:r>
    </w:p>
    <w:p w:rsidR="00FA56E6" w:rsidP="008A7BE3" w:rsidRDefault="00FA56E6">
      <w:pPr>
        <w:widowControl/>
        <w:tabs>
          <w:tab w:val="left" w:pos="-984"/>
          <w:tab w:val="left" w:pos="-720"/>
          <w:tab w:val="left" w:pos="720"/>
        </w:tabs>
        <w:jc w:val="both"/>
        <w:rPr>
          <w:rFonts w:ascii="Arial" w:hAnsi="Arial" w:cs="Arial"/>
        </w:rPr>
      </w:pPr>
    </w:p>
    <w:p w:rsidRPr="00956238" w:rsidR="008A7BE3" w:rsidP="008A7BE3" w:rsidRDefault="008A7BE3">
      <w:pPr>
        <w:widowControl/>
        <w:tabs>
          <w:tab w:val="left" w:pos="-984"/>
          <w:tab w:val="left" w:pos="-720"/>
          <w:tab w:val="left" w:pos="720"/>
        </w:tabs>
        <w:jc w:val="both"/>
        <w:rPr>
          <w:rFonts w:ascii="Arial" w:hAnsi="Arial" w:cs="Arial"/>
        </w:rPr>
      </w:pPr>
      <w:r w:rsidRPr="00956238">
        <w:rPr>
          <w:rFonts w:ascii="Arial" w:hAnsi="Arial" w:cs="Arial"/>
        </w:rPr>
        <w:t xml:space="preserve">The information you provide is protected from disclosure to third parties in accordance with the Privacy Act. </w:t>
      </w:r>
      <w:proofErr w:type="gramStart"/>
      <w:r w:rsidRPr="00956238">
        <w:rPr>
          <w:rFonts w:ascii="Arial" w:hAnsi="Arial" w:cs="Arial"/>
        </w:rPr>
        <w:t xml:space="preserve">However, routine uses of this information may include disclosure to the following: to law enforcement and investigation in the event that the system of records indicates a violation or potential violation of law, whether civil, criminal, or regulatory in nature,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w:t>
      </w:r>
      <w:r w:rsidR="00A66548">
        <w:rPr>
          <w:rFonts w:ascii="Arial" w:hAnsi="Arial" w:cs="Arial"/>
        </w:rPr>
        <w:t>NARA</w:t>
      </w:r>
      <w:r w:rsidRPr="00956238">
        <w:rPr>
          <w:rFonts w:ascii="Arial" w:hAnsi="Arial" w:cs="Arial"/>
        </w:rPr>
        <w:t xml:space="preserve"> for inspection of records, and to share relevant information contained in this system with the Office of Management and Budget (OMB), which performs legislative coordination and clearance functions.</w:t>
      </w:r>
      <w:proofErr w:type="gramEnd"/>
      <w:r w:rsidRPr="00956238">
        <w:rPr>
          <w:rFonts w:ascii="Arial" w:hAnsi="Arial" w:cs="Arial"/>
        </w:rPr>
        <w:t xml:space="preserve"> Failure to provide any part of the requested information may result in an inability to process requests for </w:t>
      </w:r>
      <w:r w:rsidR="00FA56E6">
        <w:rPr>
          <w:rFonts w:ascii="Arial" w:hAnsi="Arial" w:cs="Arial"/>
        </w:rPr>
        <w:t xml:space="preserve">assignment </w:t>
      </w:r>
      <w:proofErr w:type="spellStart"/>
      <w:r w:rsidR="00FA56E6">
        <w:rPr>
          <w:rFonts w:ascii="Arial" w:hAnsi="Arial" w:cs="Arial"/>
        </w:rPr>
        <w:t>recordal</w:t>
      </w:r>
      <w:proofErr w:type="spellEnd"/>
      <w:r w:rsidRPr="00956238">
        <w:rPr>
          <w:rFonts w:ascii="Arial" w:hAnsi="Arial" w:cs="Arial"/>
        </w:rPr>
        <w:t xml:space="preserve">. The applicable Privacy Act System of Records Notice for this information is COMMERCE/PAT-TM-9, Patent Assignment Records: Federal Register / Vol. 78, No. 61 / Friday, March 29, 2013 / Notices available at </w:t>
      </w:r>
      <w:hyperlink w:history="1" r:id="rId14">
        <w:r w:rsidRPr="00956238">
          <w:rPr>
            <w:rStyle w:val="Hyperlink"/>
            <w:rFonts w:ascii="Arial" w:hAnsi="Arial" w:cs="Arial"/>
            <w:color w:val="auto"/>
          </w:rPr>
          <w:t>https://www.govinfo.gov/content/pkg/FR-2013-03-29/pdf/2013-07378.pdf</w:t>
        </w:r>
      </w:hyperlink>
    </w:p>
    <w:p w:rsidRPr="00956238" w:rsidR="008A7BE3" w:rsidP="008A7BE3" w:rsidRDefault="008A7BE3">
      <w:pPr>
        <w:widowControl/>
        <w:tabs>
          <w:tab w:val="left" w:pos="-984"/>
          <w:tab w:val="left" w:pos="-720"/>
          <w:tab w:val="left" w:pos="720"/>
        </w:tabs>
        <w:jc w:val="both"/>
        <w:rPr>
          <w:rFonts w:ascii="Arial" w:hAnsi="Arial" w:cs="Arial"/>
        </w:rPr>
      </w:pPr>
    </w:p>
    <w:p w:rsidRPr="00476F66" w:rsidR="008A7BE3" w:rsidP="008A7BE3" w:rsidRDefault="008A7BE3">
      <w:pPr>
        <w:widowControl/>
        <w:tabs>
          <w:tab w:val="left" w:pos="-984"/>
          <w:tab w:val="left" w:pos="-720"/>
          <w:tab w:val="left" w:pos="720"/>
        </w:tabs>
        <w:jc w:val="both"/>
        <w:rPr>
          <w:rFonts w:ascii="Arial" w:hAnsi="Arial" w:cs="Arial"/>
          <w:color w:val="0000FF"/>
        </w:rPr>
      </w:pPr>
    </w:p>
    <w:p w:rsidRPr="0056760B" w:rsidR="000D0476" w:rsidRDefault="000D0476">
      <w:pPr>
        <w:widowControl/>
        <w:tabs>
          <w:tab w:val="left" w:pos="-984"/>
          <w:tab w:val="left" w:pos="-720"/>
          <w:tab w:val="left" w:pos="720"/>
        </w:tabs>
        <w:jc w:val="both"/>
        <w:rPr>
          <w:rFonts w:ascii="Arial" w:hAnsi="Arial" w:cs="Arial"/>
        </w:rPr>
      </w:pPr>
      <w:r w:rsidRPr="0056760B">
        <w:rPr>
          <w:rFonts w:ascii="Arial" w:hAnsi="Arial" w:cs="Arial"/>
          <w:b/>
          <w:bCs/>
        </w:rPr>
        <w:t>11.</w:t>
      </w:r>
      <w:r w:rsidRPr="0056760B">
        <w:rPr>
          <w:rFonts w:ascii="Arial" w:hAnsi="Arial" w:cs="Arial"/>
          <w:b/>
          <w:bCs/>
        </w:rPr>
        <w:tab/>
      </w:r>
      <w:r w:rsidRPr="00667FA4" w:rsidR="00667FA4">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6760B" w:rsidR="000D0476" w:rsidRDefault="000D0476">
      <w:pPr>
        <w:widowControl/>
        <w:tabs>
          <w:tab w:val="left" w:pos="-984"/>
          <w:tab w:val="left" w:pos="-720"/>
          <w:tab w:val="left" w:pos="720"/>
        </w:tabs>
        <w:jc w:val="both"/>
        <w:rPr>
          <w:rFonts w:ascii="Arial" w:hAnsi="Arial" w:cs="Arial"/>
        </w:rPr>
      </w:pPr>
    </w:p>
    <w:p w:rsidRPr="00B62DF4" w:rsidR="000D0476" w:rsidRDefault="000D0476">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Pr="00476F66" w:rsidR="000D0476" w:rsidRDefault="000D0476">
      <w:pPr>
        <w:widowControl/>
        <w:tabs>
          <w:tab w:val="left" w:pos="-984"/>
          <w:tab w:val="left" w:pos="-720"/>
          <w:tab w:val="left" w:pos="720"/>
        </w:tabs>
        <w:jc w:val="both"/>
        <w:rPr>
          <w:rFonts w:ascii="Arial" w:hAnsi="Arial" w:cs="Arial"/>
          <w:color w:val="0000FF"/>
        </w:rPr>
      </w:pPr>
    </w:p>
    <w:p w:rsidRPr="00667FA4" w:rsidR="00667FA4" w:rsidP="00667FA4" w:rsidRDefault="000D0476">
      <w:pPr>
        <w:keepNext/>
        <w:keepLines/>
        <w:widowControl/>
        <w:tabs>
          <w:tab w:val="left" w:pos="-984"/>
          <w:tab w:val="left" w:pos="-720"/>
          <w:tab w:val="left" w:pos="720"/>
        </w:tabs>
        <w:jc w:val="both"/>
        <w:rPr>
          <w:rFonts w:ascii="Arial" w:hAnsi="Arial" w:cs="Arial"/>
          <w:b/>
          <w:bCs/>
        </w:rPr>
      </w:pPr>
      <w:r w:rsidRPr="0056760B">
        <w:rPr>
          <w:rFonts w:ascii="Arial" w:hAnsi="Arial" w:cs="Arial"/>
          <w:b/>
          <w:bCs/>
        </w:rPr>
        <w:lastRenderedPageBreak/>
        <w:t>12.</w:t>
      </w:r>
      <w:r w:rsidRPr="0056760B">
        <w:rPr>
          <w:rFonts w:ascii="Arial" w:hAnsi="Arial" w:cs="Arial"/>
          <w:b/>
          <w:bCs/>
        </w:rPr>
        <w:tab/>
      </w:r>
      <w:r w:rsidRPr="00667FA4" w:rsidR="00667FA4">
        <w:rPr>
          <w:rFonts w:ascii="Arial" w:hAnsi="Arial" w:cs="Arial"/>
          <w:b/>
          <w:bCs/>
        </w:rPr>
        <w:t>Provide estimates of the hour burden of the collection of information. The statement should:</w:t>
      </w:r>
    </w:p>
    <w:p w:rsidRPr="00667FA4" w:rsidR="00667FA4" w:rsidP="008647F6" w:rsidRDefault="00667FA4">
      <w:pPr>
        <w:keepNext/>
        <w:keepLines/>
        <w:widowControl/>
        <w:numPr>
          <w:ilvl w:val="0"/>
          <w:numId w:val="18"/>
        </w:numPr>
        <w:tabs>
          <w:tab w:val="left" w:pos="-984"/>
          <w:tab w:val="left" w:pos="-720"/>
          <w:tab w:val="left" w:pos="720"/>
        </w:tabs>
        <w:jc w:val="both"/>
        <w:rPr>
          <w:rFonts w:ascii="Arial" w:hAnsi="Arial" w:cs="Arial"/>
          <w:b/>
          <w:bCs/>
        </w:rPr>
      </w:pPr>
      <w:r w:rsidRPr="00667FA4">
        <w:rPr>
          <w:rFonts w:ascii="Arial" w:hAnsi="Arial" w:cs="Arial"/>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bCs/>
        </w:rPr>
        <w:t xml:space="preserve"> </w:t>
      </w:r>
      <w:r w:rsidRPr="00667FA4">
        <w:rPr>
          <w:rFonts w:ascii="Arial" w:hAnsi="Arial" w:cs="Arial"/>
          <w:b/>
          <w:bCs/>
        </w:rPr>
        <w:t>differences in activity, size, or complexity, show the range of estimated hour burden, and explain the reasons for the variance. Generally, estimates should not include burden hours for customary and usual business practices.</w:t>
      </w:r>
    </w:p>
    <w:p w:rsidRPr="00667FA4" w:rsidR="00667FA4" w:rsidP="008647F6" w:rsidRDefault="00667FA4">
      <w:pPr>
        <w:keepNext/>
        <w:keepLines/>
        <w:widowControl/>
        <w:numPr>
          <w:ilvl w:val="0"/>
          <w:numId w:val="18"/>
        </w:numPr>
        <w:tabs>
          <w:tab w:val="left" w:pos="-984"/>
          <w:tab w:val="left" w:pos="-720"/>
          <w:tab w:val="left" w:pos="720"/>
        </w:tabs>
        <w:jc w:val="both"/>
        <w:rPr>
          <w:rFonts w:ascii="Arial" w:hAnsi="Arial" w:cs="Arial"/>
          <w:b/>
          <w:bCs/>
        </w:rPr>
      </w:pPr>
      <w:r w:rsidRPr="00667FA4">
        <w:rPr>
          <w:rFonts w:ascii="Arial" w:hAnsi="Arial" w:cs="Arial"/>
          <w:b/>
          <w:bCs/>
        </w:rPr>
        <w:t>If this request for approval covers more than one form, provide separate hour burden estimates for each form and aggregate the hour burdens.</w:t>
      </w:r>
    </w:p>
    <w:p w:rsidRPr="0056760B" w:rsidR="000D0476" w:rsidP="008647F6" w:rsidRDefault="00667FA4">
      <w:pPr>
        <w:keepNext/>
        <w:keepLines/>
        <w:widowControl/>
        <w:numPr>
          <w:ilvl w:val="0"/>
          <w:numId w:val="18"/>
        </w:numPr>
        <w:tabs>
          <w:tab w:val="left" w:pos="-984"/>
          <w:tab w:val="left" w:pos="-720"/>
          <w:tab w:val="left" w:pos="720"/>
        </w:tabs>
        <w:jc w:val="both"/>
        <w:rPr>
          <w:rFonts w:ascii="Arial" w:hAnsi="Arial" w:cs="Arial"/>
        </w:rPr>
      </w:pPr>
      <w:r w:rsidRPr="00667FA4">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B62DF4" w:rsidR="000D0476" w:rsidRDefault="000D0476">
      <w:pPr>
        <w:keepNext/>
        <w:keepLines/>
        <w:widowControl/>
        <w:tabs>
          <w:tab w:val="left" w:pos="-984"/>
          <w:tab w:val="left" w:pos="-720"/>
          <w:tab w:val="left" w:pos="720"/>
        </w:tabs>
        <w:jc w:val="both"/>
        <w:rPr>
          <w:rFonts w:ascii="Arial" w:hAnsi="Arial" w:cs="Arial"/>
        </w:rPr>
      </w:pPr>
    </w:p>
    <w:p w:rsidRPr="00B62DF4" w:rsidR="000D0476" w:rsidRDefault="000D0476">
      <w:pPr>
        <w:keepLines/>
        <w:widowControl/>
        <w:tabs>
          <w:tab w:val="left" w:pos="-984"/>
          <w:tab w:val="left" w:pos="-720"/>
          <w:tab w:val="left" w:pos="720"/>
        </w:tabs>
        <w:jc w:val="both"/>
        <w:rPr>
          <w:rFonts w:ascii="Arial" w:hAnsi="Arial" w:cs="Arial"/>
        </w:rPr>
      </w:pPr>
      <w:r w:rsidRPr="00B62DF4">
        <w:rPr>
          <w:rFonts w:ascii="Arial" w:hAnsi="Arial" w:cs="Arial"/>
        </w:rPr>
        <w:t>Table</w:t>
      </w:r>
      <w:r w:rsidR="001A3093">
        <w:rPr>
          <w:rFonts w:ascii="Arial" w:hAnsi="Arial" w:cs="Arial"/>
        </w:rPr>
        <w:t>s</w:t>
      </w:r>
      <w:r w:rsidRPr="00B62DF4">
        <w:rPr>
          <w:rFonts w:ascii="Arial" w:hAnsi="Arial" w:cs="Arial"/>
        </w:rPr>
        <w:t xml:space="preserve"> 3 </w:t>
      </w:r>
      <w:r w:rsidR="001A3093">
        <w:rPr>
          <w:rFonts w:ascii="Arial" w:hAnsi="Arial" w:cs="Arial"/>
        </w:rPr>
        <w:t>and 4 calculate</w:t>
      </w:r>
      <w:r w:rsidRPr="00B62DF4">
        <w:rPr>
          <w:rFonts w:ascii="Arial" w:hAnsi="Arial" w:cs="Arial"/>
        </w:rPr>
        <w:t xml:space="preserve"> the burden hours and costs of this information collection to the public, based on the following factors:</w:t>
      </w:r>
    </w:p>
    <w:p w:rsidRPr="00B62DF4" w:rsidR="000D0476" w:rsidRDefault="000D0476">
      <w:pPr>
        <w:widowControl/>
        <w:tabs>
          <w:tab w:val="left" w:pos="-984"/>
          <w:tab w:val="left" w:pos="-720"/>
          <w:tab w:val="left" w:pos="720"/>
        </w:tabs>
        <w:jc w:val="both"/>
        <w:rPr>
          <w:rFonts w:ascii="Arial" w:hAnsi="Arial" w:cs="Arial"/>
        </w:rPr>
      </w:pPr>
    </w:p>
    <w:p w:rsidRPr="00B62DF4" w:rsidR="001F6D68" w:rsidP="003853D1" w:rsidRDefault="001F6D68">
      <w:pPr>
        <w:pStyle w:val="Style"/>
        <w:widowControl/>
        <w:numPr>
          <w:ilvl w:val="0"/>
          <w:numId w:val="4"/>
        </w:numPr>
        <w:tabs>
          <w:tab w:val="left" w:pos="-984"/>
          <w:tab w:val="left" w:pos="-720"/>
        </w:tabs>
        <w:jc w:val="both"/>
        <w:rPr>
          <w:rFonts w:ascii="Arial" w:hAnsi="Arial" w:cs="Arial"/>
        </w:rPr>
      </w:pPr>
      <w:r w:rsidRPr="00B62DF4">
        <w:rPr>
          <w:rFonts w:ascii="Arial" w:hAnsi="Arial" w:cs="Arial"/>
          <w:b/>
          <w:bCs/>
        </w:rPr>
        <w:t>Respondent Calculation Factors</w:t>
      </w:r>
    </w:p>
    <w:p w:rsidRPr="001C077C" w:rsidR="000D0476" w:rsidP="00724B40" w:rsidRDefault="002E5CF3">
      <w:pPr>
        <w:widowControl/>
        <w:tabs>
          <w:tab w:val="left" w:pos="-984"/>
          <w:tab w:val="left" w:pos="-720"/>
          <w:tab w:val="left" w:pos="720"/>
        </w:tabs>
        <w:ind w:left="720"/>
        <w:jc w:val="both"/>
        <w:rPr>
          <w:rFonts w:ascii="Arial" w:hAnsi="Arial" w:cs="Arial"/>
        </w:rPr>
      </w:pPr>
      <w:r w:rsidRPr="00B62DF4">
        <w:rPr>
          <w:rFonts w:ascii="Arial" w:hAnsi="Arial" w:cs="Arial"/>
        </w:rPr>
        <w:t>T</w:t>
      </w:r>
      <w:r w:rsidRPr="00B62DF4" w:rsidR="000D0476">
        <w:rPr>
          <w:rFonts w:ascii="Arial" w:hAnsi="Arial" w:cs="Arial"/>
        </w:rPr>
        <w:t>he USPTO estimates that it will receive approximately</w:t>
      </w:r>
      <w:r w:rsidR="00FF6BFF">
        <w:rPr>
          <w:rFonts w:ascii="Arial" w:hAnsi="Arial" w:cs="Arial"/>
        </w:rPr>
        <w:t xml:space="preserve"> </w:t>
      </w:r>
      <w:r w:rsidR="00FC5EF8">
        <w:rPr>
          <w:rFonts w:ascii="Arial" w:hAnsi="Arial" w:cs="Arial"/>
        </w:rPr>
        <w:t>6</w:t>
      </w:r>
      <w:r w:rsidR="005B7515">
        <w:rPr>
          <w:rFonts w:ascii="Arial" w:hAnsi="Arial" w:cs="Arial"/>
        </w:rPr>
        <w:t>49</w:t>
      </w:r>
      <w:r w:rsidR="00FC5EF8">
        <w:rPr>
          <w:rFonts w:ascii="Arial" w:hAnsi="Arial" w:cs="Arial"/>
        </w:rPr>
        <w:t>,</w:t>
      </w:r>
      <w:r w:rsidR="005B7515">
        <w:rPr>
          <w:rFonts w:ascii="Arial" w:hAnsi="Arial" w:cs="Arial"/>
        </w:rPr>
        <w:t>880</w:t>
      </w:r>
      <w:r w:rsidRPr="00B62DF4" w:rsidR="00FC5EF8">
        <w:rPr>
          <w:rFonts w:ascii="Arial" w:hAnsi="Arial" w:cs="Arial"/>
        </w:rPr>
        <w:t xml:space="preserve"> </w:t>
      </w:r>
      <w:r w:rsidRPr="00B62DF4">
        <w:rPr>
          <w:rFonts w:ascii="Arial" w:hAnsi="Arial" w:cs="Arial"/>
        </w:rPr>
        <w:t xml:space="preserve">total </w:t>
      </w:r>
      <w:r w:rsidRPr="00B62DF4" w:rsidR="000D0476">
        <w:rPr>
          <w:rFonts w:ascii="Arial" w:hAnsi="Arial" w:cs="Arial"/>
        </w:rPr>
        <w:t>responses per year for this</w:t>
      </w:r>
      <w:r w:rsidR="00DB63BA">
        <w:rPr>
          <w:rFonts w:ascii="Arial" w:hAnsi="Arial" w:cs="Arial"/>
        </w:rPr>
        <w:t xml:space="preserve"> information</w:t>
      </w:r>
      <w:r w:rsidRPr="00B62DF4" w:rsidR="000D0476">
        <w:rPr>
          <w:rFonts w:ascii="Arial" w:hAnsi="Arial" w:cs="Arial"/>
        </w:rPr>
        <w:t xml:space="preserve"> collection</w:t>
      </w:r>
      <w:r w:rsidRPr="00B62DF4">
        <w:rPr>
          <w:rFonts w:ascii="Arial" w:hAnsi="Arial" w:cs="Arial"/>
        </w:rPr>
        <w:t>.</w:t>
      </w:r>
      <w:r w:rsidR="00724B40">
        <w:rPr>
          <w:rFonts w:ascii="Arial" w:hAnsi="Arial" w:cs="Arial"/>
        </w:rPr>
        <w:t xml:space="preserve"> </w:t>
      </w:r>
      <w:r w:rsidRPr="00B62DF4" w:rsidR="000D0476">
        <w:rPr>
          <w:rFonts w:ascii="Arial" w:hAnsi="Arial" w:cs="Arial"/>
        </w:rPr>
        <w:t xml:space="preserve">The USPTO estimates that </w:t>
      </w:r>
      <w:r w:rsidRPr="00DF1D69" w:rsidR="000D0476">
        <w:rPr>
          <w:rFonts w:ascii="Arial" w:hAnsi="Arial" w:cs="Arial"/>
        </w:rPr>
        <w:t xml:space="preserve">approximately </w:t>
      </w:r>
      <w:r w:rsidR="00AC17B0">
        <w:rPr>
          <w:rFonts w:ascii="Arial" w:hAnsi="Arial" w:cs="Arial"/>
        </w:rPr>
        <w:t>99</w:t>
      </w:r>
      <w:r w:rsidRPr="00DF1D69" w:rsidR="000D0476">
        <w:rPr>
          <w:rFonts w:ascii="Arial" w:hAnsi="Arial" w:cs="Arial"/>
        </w:rPr>
        <w:t>% of the</w:t>
      </w:r>
      <w:r w:rsidRPr="00B62DF4" w:rsidR="000D0476">
        <w:rPr>
          <w:rFonts w:ascii="Arial" w:hAnsi="Arial" w:cs="Arial"/>
        </w:rPr>
        <w:t xml:space="preserve"> annual responses for this </w:t>
      </w:r>
      <w:r w:rsidR="00DB63BA">
        <w:rPr>
          <w:rFonts w:ascii="Arial" w:hAnsi="Arial" w:cs="Arial"/>
        </w:rPr>
        <w:t xml:space="preserve">information </w:t>
      </w:r>
      <w:r w:rsidRPr="00B62DF4" w:rsidR="000D0476">
        <w:rPr>
          <w:rFonts w:ascii="Arial" w:hAnsi="Arial" w:cs="Arial"/>
        </w:rPr>
        <w:t xml:space="preserve">collection </w:t>
      </w:r>
      <w:proofErr w:type="gramStart"/>
      <w:r w:rsidRPr="00B62DF4" w:rsidR="000D0476">
        <w:rPr>
          <w:rFonts w:ascii="Arial" w:hAnsi="Arial" w:cs="Arial"/>
        </w:rPr>
        <w:t>wil</w:t>
      </w:r>
      <w:r w:rsidR="006103EB">
        <w:rPr>
          <w:rFonts w:ascii="Arial" w:hAnsi="Arial" w:cs="Arial"/>
        </w:rPr>
        <w:t>l</w:t>
      </w:r>
      <w:r w:rsidRPr="00B62DF4" w:rsidR="000D0476">
        <w:rPr>
          <w:rFonts w:ascii="Arial" w:hAnsi="Arial" w:cs="Arial"/>
        </w:rPr>
        <w:t xml:space="preserve"> be submitted</w:t>
      </w:r>
      <w:proofErr w:type="gramEnd"/>
      <w:r w:rsidRPr="00B62DF4" w:rsidR="000D0476">
        <w:rPr>
          <w:rFonts w:ascii="Arial" w:hAnsi="Arial" w:cs="Arial"/>
        </w:rPr>
        <w:t xml:space="preserve"> electronically via EPAS or ETAS</w:t>
      </w:r>
      <w:r w:rsidRPr="00B62DF4" w:rsidR="00B62DF4">
        <w:rPr>
          <w:rFonts w:ascii="Arial" w:hAnsi="Arial" w:cs="Arial"/>
        </w:rPr>
        <w:t xml:space="preserve">, which customers may </w:t>
      </w:r>
      <w:r w:rsidRPr="001C077C" w:rsidR="00B62DF4">
        <w:rPr>
          <w:rFonts w:ascii="Arial" w:hAnsi="Arial" w:cs="Arial"/>
        </w:rPr>
        <w:t xml:space="preserve">access through the USPTO </w:t>
      </w:r>
      <w:r w:rsidR="00310CB9">
        <w:rPr>
          <w:rFonts w:ascii="Arial" w:hAnsi="Arial" w:cs="Arial"/>
        </w:rPr>
        <w:t>web</w:t>
      </w:r>
      <w:r w:rsidR="00405A51">
        <w:rPr>
          <w:rFonts w:ascii="Arial" w:hAnsi="Arial" w:cs="Arial"/>
        </w:rPr>
        <w:t>site</w:t>
      </w:r>
      <w:r w:rsidRPr="001C077C" w:rsidR="000D0476">
        <w:rPr>
          <w:rFonts w:ascii="Arial" w:hAnsi="Arial" w:cs="Arial"/>
        </w:rPr>
        <w:t>.</w:t>
      </w:r>
    </w:p>
    <w:p w:rsidRPr="001C077C" w:rsidR="000D0476" w:rsidRDefault="000D0476">
      <w:pPr>
        <w:widowControl/>
        <w:tabs>
          <w:tab w:val="left" w:pos="-984"/>
          <w:tab w:val="left" w:pos="-720"/>
          <w:tab w:val="left" w:pos="720"/>
        </w:tabs>
        <w:ind w:left="720"/>
        <w:jc w:val="both"/>
        <w:rPr>
          <w:rFonts w:ascii="Arial" w:hAnsi="Arial" w:cs="Arial"/>
        </w:rPr>
      </w:pPr>
    </w:p>
    <w:p w:rsidRPr="001C077C" w:rsidR="001F6D68" w:rsidP="003853D1" w:rsidRDefault="001F6D68">
      <w:pPr>
        <w:pStyle w:val="Style"/>
        <w:widowControl/>
        <w:numPr>
          <w:ilvl w:val="0"/>
          <w:numId w:val="4"/>
        </w:numPr>
        <w:tabs>
          <w:tab w:val="left" w:pos="-984"/>
          <w:tab w:val="left" w:pos="-720"/>
        </w:tabs>
        <w:jc w:val="both"/>
        <w:rPr>
          <w:rFonts w:ascii="Arial" w:hAnsi="Arial" w:cs="Arial"/>
          <w:b/>
          <w:bCs/>
        </w:rPr>
      </w:pPr>
      <w:r w:rsidRPr="001C077C">
        <w:rPr>
          <w:rFonts w:ascii="Arial" w:hAnsi="Arial" w:cs="Arial"/>
          <w:b/>
          <w:bCs/>
        </w:rPr>
        <w:t>Burden Hour Calculation Factors</w:t>
      </w:r>
    </w:p>
    <w:p w:rsidRPr="001C077C" w:rsidR="00912989" w:rsidRDefault="000D0476">
      <w:pPr>
        <w:widowControl/>
        <w:tabs>
          <w:tab w:val="left" w:pos="-984"/>
          <w:tab w:val="left" w:pos="-720"/>
          <w:tab w:val="left" w:pos="720"/>
        </w:tabs>
        <w:ind w:left="720"/>
        <w:jc w:val="both"/>
        <w:rPr>
          <w:rFonts w:ascii="Arial" w:hAnsi="Arial" w:cs="Arial"/>
        </w:rPr>
      </w:pPr>
      <w:r w:rsidRPr="001C077C">
        <w:rPr>
          <w:rFonts w:ascii="Arial" w:hAnsi="Arial" w:cs="Arial"/>
        </w:rPr>
        <w:t>The USPT</w:t>
      </w:r>
      <w:r w:rsidRPr="00F75316">
        <w:rPr>
          <w:rFonts w:ascii="Arial" w:hAnsi="Arial" w:cs="Arial"/>
        </w:rPr>
        <w:t xml:space="preserve">O estimates that it will take the public approximately 30 minutes (0.5 hours) to </w:t>
      </w:r>
      <w:r w:rsidRPr="00F75316" w:rsidR="00912989">
        <w:rPr>
          <w:rFonts w:ascii="Arial" w:hAnsi="Arial" w:cs="Arial"/>
        </w:rPr>
        <w:t>prepare and submit a patent or trademark recordation request.</w:t>
      </w:r>
      <w:r w:rsidRPr="00F75316" w:rsidR="00F75316">
        <w:rPr>
          <w:rFonts w:ascii="Arial" w:hAnsi="Arial" w:cs="Arial"/>
        </w:rPr>
        <w:t xml:space="preserve">  </w:t>
      </w:r>
      <w:r w:rsidRPr="00F75316" w:rsidR="00F75316">
        <w:rPr>
          <w:rFonts w:ascii="Arial" w:hAnsi="Arial"/>
        </w:rPr>
        <w:t xml:space="preserve">Using these burden factors, USPTO estimates that the total respondent hourly burden for this information collection is </w:t>
      </w:r>
      <w:r w:rsidR="00F75316">
        <w:rPr>
          <w:rFonts w:ascii="Arial" w:hAnsi="Arial"/>
        </w:rPr>
        <w:t>324,941</w:t>
      </w:r>
      <w:r w:rsidRPr="00F75316" w:rsidR="00F75316">
        <w:rPr>
          <w:rFonts w:ascii="Arial" w:hAnsi="Arial"/>
        </w:rPr>
        <w:t xml:space="preserve"> hours per year.</w:t>
      </w:r>
    </w:p>
    <w:p w:rsidRPr="001C077C" w:rsidR="000D0476" w:rsidRDefault="000D0476">
      <w:pPr>
        <w:widowControl/>
        <w:tabs>
          <w:tab w:val="left" w:pos="-984"/>
          <w:tab w:val="left" w:pos="-720"/>
          <w:tab w:val="left" w:pos="720"/>
        </w:tabs>
        <w:jc w:val="both"/>
        <w:rPr>
          <w:rFonts w:ascii="Arial" w:hAnsi="Arial" w:cs="Arial"/>
        </w:rPr>
      </w:pPr>
    </w:p>
    <w:p w:rsidRPr="001C077C" w:rsidR="001F6D68" w:rsidP="003853D1" w:rsidRDefault="001F6D68">
      <w:pPr>
        <w:pStyle w:val="Style"/>
        <w:widowControl/>
        <w:numPr>
          <w:ilvl w:val="0"/>
          <w:numId w:val="4"/>
        </w:numPr>
        <w:tabs>
          <w:tab w:val="left" w:pos="-984"/>
          <w:tab w:val="left" w:pos="-720"/>
        </w:tabs>
        <w:jc w:val="both"/>
        <w:rPr>
          <w:rFonts w:ascii="Arial" w:hAnsi="Arial" w:cs="Arial"/>
          <w:b/>
          <w:bCs/>
        </w:rPr>
      </w:pPr>
      <w:r w:rsidRPr="001C077C">
        <w:rPr>
          <w:rFonts w:ascii="Arial" w:hAnsi="Arial" w:cs="Arial"/>
          <w:b/>
          <w:bCs/>
        </w:rPr>
        <w:t>Cost Burden Calculation Factors</w:t>
      </w:r>
    </w:p>
    <w:p w:rsidRPr="00627CC7" w:rsidR="001F6D68" w:rsidRDefault="001F6D68">
      <w:pPr>
        <w:pStyle w:val="Style"/>
        <w:widowControl/>
        <w:tabs>
          <w:tab w:val="left" w:pos="-984"/>
          <w:tab w:val="left" w:pos="-720"/>
          <w:tab w:val="left" w:pos="720"/>
        </w:tabs>
        <w:jc w:val="both"/>
        <w:rPr>
          <w:rFonts w:ascii="Arial" w:hAnsi="Arial" w:cs="Arial"/>
          <w:color w:val="0000FF"/>
        </w:rPr>
        <w:sectPr w:rsidRPr="00627CC7" w:rsidR="001F6D68">
          <w:type w:val="continuous"/>
          <w:pgSz w:w="12240" w:h="15840"/>
          <w:pgMar w:top="1440" w:right="1440" w:bottom="1440" w:left="1440" w:header="1440" w:footer="1440" w:gutter="0"/>
          <w:cols w:space="720"/>
          <w:noEndnote/>
        </w:sectPr>
      </w:pPr>
    </w:p>
    <w:p w:rsidR="00827364" w:rsidRDefault="00827364">
      <w:pPr>
        <w:widowControl/>
        <w:tabs>
          <w:tab w:val="left" w:pos="-984"/>
          <w:tab w:val="left" w:pos="-720"/>
          <w:tab w:val="left" w:pos="720"/>
        </w:tabs>
        <w:ind w:left="720"/>
        <w:jc w:val="both"/>
        <w:rPr>
          <w:rFonts w:ascii="Arial" w:hAnsi="Arial" w:cs="Arial"/>
          <w:color w:val="0000FF"/>
        </w:rPr>
      </w:pPr>
    </w:p>
    <w:p w:rsidR="00F75316" w:rsidP="001A3093" w:rsidRDefault="00FB0371">
      <w:pPr>
        <w:pStyle w:val="BodyTextIndent2"/>
        <w:spacing w:line="240" w:lineRule="auto"/>
        <w:ind w:left="720"/>
      </w:pPr>
      <w:r w:rsidRPr="00E5756F">
        <w:rPr>
          <w:rFonts w:ascii="Arial" w:hAnsi="Arial" w:cs="Arial"/>
        </w:rPr>
        <w:t xml:space="preserve">The USPTO expects that the information in this </w:t>
      </w:r>
      <w:r w:rsidR="00242388">
        <w:rPr>
          <w:rFonts w:ascii="Arial" w:hAnsi="Arial" w:cs="Arial"/>
        </w:rPr>
        <w:t xml:space="preserve">information </w:t>
      </w:r>
      <w:r w:rsidRPr="00E5756F">
        <w:rPr>
          <w:rFonts w:ascii="Arial" w:hAnsi="Arial" w:cs="Arial"/>
        </w:rPr>
        <w:t xml:space="preserve">collection </w:t>
      </w:r>
      <w:proofErr w:type="gramStart"/>
      <w:r w:rsidRPr="00E5756F">
        <w:rPr>
          <w:rFonts w:ascii="Arial" w:hAnsi="Arial" w:cs="Arial"/>
        </w:rPr>
        <w:t>will be prepared</w:t>
      </w:r>
      <w:proofErr w:type="gramEnd"/>
      <w:r w:rsidRPr="00E5756F">
        <w:rPr>
          <w:rFonts w:ascii="Arial" w:hAnsi="Arial" w:cs="Arial"/>
        </w:rPr>
        <w:t xml:space="preserve"> </w:t>
      </w:r>
      <w:r w:rsidR="007D0BA4">
        <w:rPr>
          <w:rFonts w:ascii="Arial" w:hAnsi="Arial" w:cs="Arial"/>
        </w:rPr>
        <w:t xml:space="preserve">50% each by </w:t>
      </w:r>
      <w:r w:rsidRPr="00E5756F">
        <w:rPr>
          <w:rFonts w:ascii="Arial" w:hAnsi="Arial" w:cs="Arial"/>
        </w:rPr>
        <w:t xml:space="preserve">attorneys and </w:t>
      </w:r>
      <w:r w:rsidRPr="00F75316" w:rsidR="00E5756F">
        <w:rPr>
          <w:rFonts w:ascii="Arial" w:hAnsi="Arial" w:cs="Arial"/>
        </w:rPr>
        <w:t>paraprofessionals</w:t>
      </w:r>
      <w:r w:rsidRPr="00F75316" w:rsidR="007D0BA4">
        <w:rPr>
          <w:rFonts w:ascii="Arial" w:hAnsi="Arial" w:cs="Arial"/>
        </w:rPr>
        <w:t>. The rate for attorneys is $</w:t>
      </w:r>
      <w:r w:rsidRPr="00F75316" w:rsidR="00DB63BA">
        <w:rPr>
          <w:rFonts w:ascii="Arial" w:hAnsi="Arial" w:cs="Arial"/>
        </w:rPr>
        <w:t xml:space="preserve">400 </w:t>
      </w:r>
      <w:r w:rsidRPr="00F75316" w:rsidR="007D0BA4">
        <w:rPr>
          <w:rFonts w:ascii="Arial" w:hAnsi="Arial" w:cs="Arial"/>
        </w:rPr>
        <w:t>and the rate for paraprofessionals is $1</w:t>
      </w:r>
      <w:r w:rsidRPr="00F75316" w:rsidR="00AC17B0">
        <w:rPr>
          <w:rFonts w:ascii="Arial" w:hAnsi="Arial" w:cs="Arial"/>
        </w:rPr>
        <w:t>4</w:t>
      </w:r>
      <w:r w:rsidRPr="00F75316" w:rsidR="007D0BA4">
        <w:rPr>
          <w:rFonts w:ascii="Arial" w:hAnsi="Arial" w:cs="Arial"/>
        </w:rPr>
        <w:t xml:space="preserve">5, combining equally to an average </w:t>
      </w:r>
      <w:r w:rsidRPr="00F75316" w:rsidR="00827364">
        <w:rPr>
          <w:rFonts w:ascii="Arial" w:hAnsi="Arial" w:cs="Arial"/>
        </w:rPr>
        <w:t>of approximately $</w:t>
      </w:r>
      <w:r w:rsidRPr="00F75316" w:rsidR="00A11284">
        <w:rPr>
          <w:rFonts w:ascii="Arial" w:hAnsi="Arial" w:cs="Arial"/>
        </w:rPr>
        <w:t>273</w:t>
      </w:r>
      <w:r w:rsidRPr="00F75316" w:rsidDel="000E576C" w:rsidR="000E576C">
        <w:rPr>
          <w:rFonts w:ascii="Arial" w:hAnsi="Arial" w:cs="Arial"/>
        </w:rPr>
        <w:t xml:space="preserve"> </w:t>
      </w:r>
      <w:r w:rsidRPr="00F75316" w:rsidR="00827364">
        <w:rPr>
          <w:rFonts w:ascii="Arial" w:hAnsi="Arial" w:cs="Arial"/>
        </w:rPr>
        <w:t>per hour.</w:t>
      </w:r>
      <w:r w:rsidRPr="00F75316" w:rsidR="00F75316">
        <w:rPr>
          <w:rFonts w:ascii="Arial" w:hAnsi="Arial" w:cs="Arial"/>
        </w:rPr>
        <w:t xml:space="preserve">  Using this hourly rate, the USPTO estimates that the total respondent cost burden for this information collection is $</w:t>
      </w:r>
      <w:r w:rsidR="00F75316">
        <w:rPr>
          <w:rFonts w:ascii="Arial" w:hAnsi="Arial" w:cs="Arial"/>
        </w:rPr>
        <w:t>88,738,893</w:t>
      </w:r>
      <w:r w:rsidRPr="00F75316" w:rsidR="00F75316">
        <w:rPr>
          <w:rFonts w:ascii="Arial" w:hAnsi="Arial" w:cs="Arial"/>
        </w:rPr>
        <w:t xml:space="preserve"> per year.</w:t>
      </w:r>
    </w:p>
    <w:p w:rsidR="00741B52" w:rsidP="00AC17B0" w:rsidRDefault="00741B52">
      <w:pPr>
        <w:widowControl/>
        <w:tabs>
          <w:tab w:val="left" w:pos="-984"/>
          <w:tab w:val="left" w:pos="-720"/>
          <w:tab w:val="left" w:pos="720"/>
        </w:tabs>
        <w:jc w:val="both"/>
        <w:rPr>
          <w:rFonts w:ascii="Arial" w:hAnsi="Arial" w:cs="Arial"/>
          <w:color w:val="0000FF"/>
        </w:rPr>
      </w:pPr>
    </w:p>
    <w:p w:rsidRPr="002E5CFD" w:rsidR="00A11284" w:rsidP="00A11284" w:rsidRDefault="00A11284">
      <w:pPr>
        <w:pStyle w:val="NoSpacing"/>
        <w:jc w:val="both"/>
        <w:rPr>
          <w:b/>
          <w:szCs w:val="20"/>
        </w:rPr>
      </w:pPr>
      <w:r>
        <w:rPr>
          <w:b/>
          <w:szCs w:val="20"/>
        </w:rPr>
        <w:t>Table 3</w:t>
      </w:r>
      <w:r w:rsidRPr="004F3B59">
        <w:rPr>
          <w:b/>
          <w:szCs w:val="20"/>
        </w:rPr>
        <w:t xml:space="preserve">: Total Hourly Burden For </w:t>
      </w:r>
      <w:r>
        <w:rPr>
          <w:b/>
          <w:szCs w:val="20"/>
        </w:rPr>
        <w:t xml:space="preserve">Private Sector </w:t>
      </w:r>
      <w:r w:rsidRPr="004F3B59">
        <w:rPr>
          <w:b/>
          <w:szCs w:val="20"/>
        </w:rPr>
        <w:t>Respondents</w:t>
      </w:r>
    </w:p>
    <w:tbl>
      <w:tblPr>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4A0" w:firstRow="1" w:lastRow="0" w:firstColumn="1" w:lastColumn="0" w:noHBand="0" w:noVBand="1"/>
      </w:tblPr>
      <w:tblGrid>
        <w:gridCol w:w="600"/>
        <w:gridCol w:w="1821"/>
        <w:gridCol w:w="1232"/>
        <w:gridCol w:w="1072"/>
        <w:gridCol w:w="1183"/>
        <w:gridCol w:w="1143"/>
        <w:gridCol w:w="790"/>
        <w:gridCol w:w="1230"/>
      </w:tblGrid>
      <w:tr w:rsidRPr="0044121F" w:rsidR="00A11284" w:rsidTr="00545D1E">
        <w:trPr>
          <w:tblHeader/>
          <w:jc w:val="center"/>
        </w:trPr>
        <w:tc>
          <w:tcPr>
            <w:tcW w:w="338" w:type="pct"/>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lastRenderedPageBreak/>
              <w:t>Item No.</w:t>
            </w:r>
          </w:p>
        </w:tc>
        <w:tc>
          <w:tcPr>
            <w:tcW w:w="1011" w:type="pct"/>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Item</w:t>
            </w:r>
          </w:p>
        </w:tc>
        <w:tc>
          <w:tcPr>
            <w:tcW w:w="686" w:type="pct"/>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Estimated Annual Respondents</w:t>
            </w:r>
          </w:p>
        </w:tc>
        <w:tc>
          <w:tcPr>
            <w:tcW w:w="598" w:type="pct"/>
            <w:tcBorders>
              <w:bottom w:val="single" w:color="auto" w:sz="4" w:space="0"/>
            </w:tcBorders>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Estimated Annual Responses (year)</w:t>
            </w:r>
          </w:p>
          <w:p w:rsidR="00A11284" w:rsidP="00545D1E" w:rsidRDefault="00A11284">
            <w:pPr>
              <w:contextualSpacing/>
              <w:jc w:val="center"/>
              <w:rPr>
                <w:rFonts w:eastAsia="Calibri"/>
                <w:b/>
                <w:bCs/>
                <w:sz w:val="16"/>
                <w:szCs w:val="16"/>
              </w:rPr>
            </w:pPr>
          </w:p>
          <w:p w:rsidRPr="0044121F" w:rsidR="00A11284" w:rsidP="00545D1E" w:rsidRDefault="00A11284">
            <w:pPr>
              <w:contextualSpacing/>
              <w:jc w:val="center"/>
              <w:rPr>
                <w:rFonts w:eastAsia="Calibri"/>
                <w:b/>
                <w:bCs/>
                <w:sz w:val="16"/>
                <w:szCs w:val="16"/>
              </w:rPr>
            </w:pPr>
            <w:r w:rsidRPr="0044121F">
              <w:rPr>
                <w:rFonts w:eastAsia="Calibri"/>
                <w:b/>
                <w:sz w:val="16"/>
                <w:szCs w:val="16"/>
              </w:rPr>
              <w:t>(a)</w:t>
            </w:r>
          </w:p>
        </w:tc>
        <w:tc>
          <w:tcPr>
            <w:tcW w:w="659" w:type="pct"/>
            <w:tcBorders>
              <w:bottom w:val="single" w:color="auto" w:sz="4" w:space="0"/>
            </w:tcBorders>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Estimated Time for Response (</w:t>
            </w:r>
            <w:r>
              <w:rPr>
                <w:rFonts w:eastAsia="Calibri"/>
                <w:b/>
                <w:sz w:val="16"/>
                <w:szCs w:val="16"/>
              </w:rPr>
              <w:t>hour</w:t>
            </w:r>
            <w:r w:rsidRPr="0044121F">
              <w:rPr>
                <w:rFonts w:eastAsia="Calibri"/>
                <w:b/>
                <w:sz w:val="16"/>
                <w:szCs w:val="16"/>
              </w:rPr>
              <w:t>)</w:t>
            </w:r>
          </w:p>
          <w:p w:rsidR="00A11284" w:rsidP="00545D1E" w:rsidRDefault="00A11284">
            <w:pPr>
              <w:contextualSpacing/>
              <w:jc w:val="center"/>
              <w:rPr>
                <w:rFonts w:eastAsia="Calibri"/>
                <w:b/>
                <w:bCs/>
                <w:sz w:val="16"/>
                <w:szCs w:val="16"/>
              </w:rPr>
            </w:pPr>
          </w:p>
          <w:p w:rsidRPr="0044121F" w:rsidR="00A11284" w:rsidP="00545D1E" w:rsidRDefault="00A11284">
            <w:pPr>
              <w:contextualSpacing/>
              <w:jc w:val="center"/>
              <w:rPr>
                <w:rFonts w:eastAsia="Calibri"/>
                <w:b/>
                <w:bCs/>
                <w:sz w:val="16"/>
                <w:szCs w:val="16"/>
              </w:rPr>
            </w:pPr>
            <w:r w:rsidRPr="0044121F">
              <w:rPr>
                <w:rFonts w:eastAsia="Calibri"/>
                <w:b/>
                <w:sz w:val="16"/>
                <w:szCs w:val="16"/>
              </w:rPr>
              <w:t>(b)</w:t>
            </w:r>
          </w:p>
        </w:tc>
        <w:tc>
          <w:tcPr>
            <w:tcW w:w="637" w:type="pct"/>
            <w:tcBorders>
              <w:bottom w:val="single" w:color="auto" w:sz="4" w:space="0"/>
            </w:tcBorders>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Estimated Annual Burden (hours/year)</w:t>
            </w:r>
          </w:p>
          <w:p w:rsidRPr="0044121F" w:rsidR="00A11284" w:rsidP="00545D1E" w:rsidRDefault="00A11284">
            <w:pPr>
              <w:contextualSpacing/>
              <w:jc w:val="center"/>
              <w:rPr>
                <w:rFonts w:eastAsia="Calibri"/>
                <w:b/>
                <w:bCs/>
                <w:sz w:val="16"/>
                <w:szCs w:val="16"/>
              </w:rPr>
            </w:pPr>
          </w:p>
          <w:p w:rsidRPr="0044121F" w:rsidR="00A11284" w:rsidP="00545D1E" w:rsidRDefault="00A11284">
            <w:pPr>
              <w:contextualSpacing/>
              <w:jc w:val="center"/>
              <w:rPr>
                <w:rFonts w:eastAsia="Calibri"/>
                <w:b/>
                <w:bCs/>
                <w:sz w:val="16"/>
                <w:szCs w:val="16"/>
              </w:rPr>
            </w:pPr>
            <w:r w:rsidRPr="0044121F">
              <w:rPr>
                <w:rFonts w:eastAsia="Calibri"/>
                <w:b/>
                <w:sz w:val="16"/>
                <w:szCs w:val="16"/>
              </w:rPr>
              <w:t>(a) x (b)</w:t>
            </w:r>
            <w:r>
              <w:rPr>
                <w:rFonts w:eastAsia="Calibri"/>
                <w:b/>
                <w:sz w:val="16"/>
                <w:szCs w:val="16"/>
              </w:rPr>
              <w:t>= (c)</w:t>
            </w:r>
          </w:p>
        </w:tc>
        <w:tc>
          <w:tcPr>
            <w:tcW w:w="386" w:type="pct"/>
            <w:tcBorders>
              <w:bottom w:val="single" w:color="auto" w:sz="4" w:space="0"/>
            </w:tcBorders>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Rate</w:t>
            </w:r>
            <w:r>
              <w:rPr>
                <w:rStyle w:val="FootnoteReference"/>
                <w:rFonts w:eastAsia="Calibri"/>
                <w:b/>
                <w:sz w:val="16"/>
                <w:szCs w:val="16"/>
              </w:rPr>
              <w:footnoteReference w:id="2"/>
            </w:r>
          </w:p>
          <w:p w:rsidRPr="0044121F" w:rsidR="00A11284" w:rsidP="00545D1E" w:rsidRDefault="00A11284">
            <w:pPr>
              <w:contextualSpacing/>
              <w:jc w:val="center"/>
              <w:rPr>
                <w:rFonts w:eastAsia="Calibri"/>
                <w:b/>
                <w:bCs/>
                <w:sz w:val="16"/>
                <w:szCs w:val="16"/>
              </w:rPr>
            </w:pPr>
            <w:r w:rsidRPr="0044121F">
              <w:rPr>
                <w:rFonts w:eastAsia="Calibri"/>
                <w:b/>
                <w:sz w:val="16"/>
                <w:szCs w:val="16"/>
              </w:rPr>
              <w:t>($/hour)</w:t>
            </w:r>
          </w:p>
          <w:p w:rsidR="00A11284" w:rsidP="00545D1E" w:rsidRDefault="00A11284">
            <w:pPr>
              <w:contextualSpacing/>
              <w:jc w:val="center"/>
              <w:rPr>
                <w:rFonts w:eastAsia="Calibri"/>
                <w:b/>
                <w:bCs/>
                <w:sz w:val="16"/>
                <w:szCs w:val="16"/>
              </w:rPr>
            </w:pPr>
          </w:p>
          <w:p w:rsidR="00A11284" w:rsidP="00545D1E" w:rsidRDefault="00A11284">
            <w:pPr>
              <w:contextualSpacing/>
              <w:jc w:val="center"/>
              <w:rPr>
                <w:rFonts w:eastAsia="Calibri"/>
                <w:b/>
                <w:bCs/>
                <w:sz w:val="16"/>
                <w:szCs w:val="16"/>
              </w:rPr>
            </w:pPr>
          </w:p>
          <w:p w:rsidR="00A11284" w:rsidP="00545D1E" w:rsidRDefault="00A11284">
            <w:pPr>
              <w:contextualSpacing/>
              <w:jc w:val="center"/>
              <w:rPr>
                <w:rFonts w:eastAsia="Calibri"/>
                <w:b/>
                <w:bCs/>
                <w:sz w:val="16"/>
                <w:szCs w:val="16"/>
              </w:rPr>
            </w:pPr>
          </w:p>
          <w:p w:rsidRPr="0044121F" w:rsidR="00A11284" w:rsidP="00545D1E" w:rsidRDefault="00A11284">
            <w:pPr>
              <w:contextualSpacing/>
              <w:jc w:val="center"/>
              <w:rPr>
                <w:rFonts w:eastAsia="Calibri"/>
                <w:b/>
                <w:bCs/>
                <w:sz w:val="16"/>
                <w:szCs w:val="16"/>
              </w:rPr>
            </w:pPr>
            <w:r w:rsidRPr="0044121F">
              <w:rPr>
                <w:rFonts w:eastAsia="Calibri"/>
                <w:b/>
                <w:sz w:val="16"/>
                <w:szCs w:val="16"/>
              </w:rPr>
              <w:t>(d)</w:t>
            </w:r>
          </w:p>
        </w:tc>
        <w:tc>
          <w:tcPr>
            <w:tcW w:w="687" w:type="pct"/>
            <w:tcBorders>
              <w:bottom w:val="single" w:color="auto" w:sz="4" w:space="0"/>
            </w:tcBorders>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Estimated Annual</w:t>
            </w:r>
          </w:p>
          <w:p w:rsidRPr="0044121F" w:rsidR="00A11284" w:rsidP="00545D1E" w:rsidRDefault="00A11284">
            <w:pPr>
              <w:contextualSpacing/>
              <w:jc w:val="center"/>
              <w:rPr>
                <w:rFonts w:eastAsia="Calibri"/>
                <w:b/>
                <w:bCs/>
                <w:sz w:val="16"/>
                <w:szCs w:val="16"/>
              </w:rPr>
            </w:pPr>
            <w:r w:rsidRPr="0044121F">
              <w:rPr>
                <w:rFonts w:eastAsia="Calibri"/>
                <w:b/>
                <w:sz w:val="16"/>
                <w:szCs w:val="16"/>
              </w:rPr>
              <w:t>Burden</w:t>
            </w:r>
          </w:p>
          <w:p w:rsidR="00A11284" w:rsidP="00545D1E" w:rsidRDefault="00A11284">
            <w:pPr>
              <w:contextualSpacing/>
              <w:rPr>
                <w:rFonts w:eastAsia="Calibri"/>
                <w:b/>
                <w:bCs/>
                <w:sz w:val="16"/>
                <w:szCs w:val="16"/>
              </w:rPr>
            </w:pPr>
          </w:p>
          <w:p w:rsidRPr="0044121F" w:rsidR="00A11284" w:rsidP="00545D1E" w:rsidRDefault="00A11284">
            <w:pPr>
              <w:contextualSpacing/>
              <w:rPr>
                <w:rFonts w:eastAsia="Calibri"/>
                <w:b/>
                <w:bCs/>
                <w:sz w:val="16"/>
                <w:szCs w:val="16"/>
              </w:rPr>
            </w:pPr>
          </w:p>
          <w:p w:rsidRPr="0044121F" w:rsidR="00A11284" w:rsidP="00545D1E" w:rsidRDefault="00A11284">
            <w:pPr>
              <w:contextualSpacing/>
              <w:jc w:val="center"/>
              <w:rPr>
                <w:rFonts w:eastAsia="Calibri"/>
                <w:b/>
                <w:bCs/>
                <w:sz w:val="16"/>
                <w:szCs w:val="16"/>
              </w:rPr>
            </w:pPr>
            <w:r w:rsidRPr="0044121F">
              <w:rPr>
                <w:rFonts w:eastAsia="Calibri"/>
                <w:b/>
                <w:sz w:val="16"/>
                <w:szCs w:val="16"/>
              </w:rPr>
              <w:t>(c) x (d)</w:t>
            </w:r>
            <w:r>
              <w:rPr>
                <w:rFonts w:eastAsia="Calibri"/>
                <w:b/>
                <w:sz w:val="16"/>
                <w:szCs w:val="16"/>
              </w:rPr>
              <w:t>= (e)</w:t>
            </w:r>
          </w:p>
        </w:tc>
      </w:tr>
      <w:tr w:rsidRPr="0044121F" w:rsidR="00A11284" w:rsidTr="00545D1E">
        <w:trPr>
          <w:jc w:val="center"/>
        </w:trPr>
        <w:tc>
          <w:tcPr>
            <w:tcW w:w="338" w:type="pct"/>
            <w:shd w:val="clear" w:color="auto" w:fill="auto"/>
            <w:vAlign w:val="center"/>
          </w:tcPr>
          <w:p w:rsidRPr="0044121F" w:rsidR="00A11284" w:rsidP="00545D1E" w:rsidRDefault="00A11284">
            <w:pPr>
              <w:ind w:left="2160" w:hanging="2160"/>
              <w:contextualSpacing/>
              <w:jc w:val="center"/>
              <w:rPr>
                <w:rFonts w:eastAsia="Calibri"/>
                <w:b/>
                <w:bCs/>
                <w:sz w:val="16"/>
                <w:szCs w:val="16"/>
              </w:rPr>
            </w:pPr>
            <w:r>
              <w:rPr>
                <w:rFonts w:eastAsia="Calibri"/>
                <w:b/>
                <w:sz w:val="16"/>
                <w:szCs w:val="16"/>
              </w:rPr>
              <w:t>1</w:t>
            </w:r>
          </w:p>
        </w:tc>
        <w:tc>
          <w:tcPr>
            <w:tcW w:w="1011" w:type="pct"/>
            <w:shd w:val="clear" w:color="auto" w:fill="auto"/>
          </w:tcPr>
          <w:p w:rsidRPr="0044121F" w:rsidR="00A11284" w:rsidP="00545D1E" w:rsidRDefault="00A11284">
            <w:pPr>
              <w:rPr>
                <w:rFonts w:eastAsia="Calibri" w:cs="Courier New"/>
                <w:bCs/>
                <w:sz w:val="16"/>
                <w:szCs w:val="16"/>
              </w:rPr>
            </w:pPr>
          </w:p>
          <w:p w:rsidRPr="0044121F" w:rsidR="00A11284" w:rsidP="00545D1E" w:rsidRDefault="00A11284">
            <w:pPr>
              <w:rPr>
                <w:rFonts w:eastAsia="Calibri" w:cs="Courier New"/>
                <w:bCs/>
                <w:sz w:val="16"/>
                <w:szCs w:val="16"/>
              </w:rPr>
            </w:pPr>
            <w:r w:rsidRPr="0044121F">
              <w:rPr>
                <w:rFonts w:eastAsia="Calibri" w:cs="Courier New"/>
                <w:sz w:val="16"/>
                <w:szCs w:val="16"/>
              </w:rPr>
              <w:t>Trademark Assignment System (ETAS)</w:t>
            </w:r>
          </w:p>
          <w:p w:rsidRPr="0044121F" w:rsidR="00A11284" w:rsidP="00545D1E" w:rsidRDefault="00A11284">
            <w:pPr>
              <w:rPr>
                <w:rFonts w:eastAsia="Calibri" w:cs="Courier New"/>
                <w:b/>
                <w:bCs/>
                <w:sz w:val="16"/>
                <w:szCs w:val="16"/>
              </w:rPr>
            </w:pPr>
            <w:r w:rsidRPr="0044121F">
              <w:rPr>
                <w:rFonts w:eastAsia="Calibri" w:cs="Courier New"/>
                <w:b/>
                <w:sz w:val="16"/>
                <w:szCs w:val="16"/>
              </w:rPr>
              <w:t>(PTO-1594)</w:t>
            </w:r>
          </w:p>
        </w:tc>
        <w:tc>
          <w:tcPr>
            <w:tcW w:w="686" w:type="pct"/>
            <w:tcBorders>
              <w:top w:val="single" w:color="auto" w:sz="4" w:space="0"/>
              <w:bottom w:val="single" w:color="auto" w:sz="4" w:space="0"/>
              <w:right w:val="single" w:color="auto" w:sz="4" w:space="0"/>
            </w:tcBorders>
            <w:shd w:val="clear" w:color="auto" w:fill="auto"/>
            <w:vAlign w:val="center"/>
          </w:tcPr>
          <w:p w:rsidRPr="0044121F" w:rsidR="00A11284" w:rsidP="00545D1E" w:rsidRDefault="00A11284">
            <w:pPr>
              <w:contextualSpacing/>
              <w:rPr>
                <w:rFonts w:eastAsia="Calibri"/>
                <w:bCs/>
                <w:sz w:val="16"/>
                <w:szCs w:val="16"/>
              </w:rPr>
            </w:pPr>
            <w:r w:rsidRPr="004E08E7">
              <w:rPr>
                <w:rFonts w:eastAsia="Calibri"/>
                <w:sz w:val="16"/>
                <w:szCs w:val="16"/>
              </w:rPr>
              <w:t>35,984</w:t>
            </w:r>
          </w:p>
        </w:tc>
        <w:tc>
          <w:tcPr>
            <w:tcW w:w="598" w:type="pct"/>
            <w:tcBorders>
              <w:top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sidRPr="004E08E7">
              <w:rPr>
                <w:rFonts w:eastAsia="Calibri"/>
                <w:sz w:val="16"/>
                <w:szCs w:val="16"/>
              </w:rPr>
              <w:t>35,984</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Pr>
                <w:rFonts w:eastAsia="Calibri"/>
                <w:sz w:val="16"/>
                <w:szCs w:val="16"/>
              </w:rPr>
              <w:t>0.</w:t>
            </w:r>
            <w:r w:rsidRPr="004E08E7">
              <w:rPr>
                <w:rFonts w:eastAsia="Calibri"/>
                <w:sz w:val="16"/>
                <w:szCs w:val="16"/>
              </w:rPr>
              <w:t>5 (30 minutes)</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Pr>
                <w:rFonts w:eastAsia="Calibri"/>
                <w:sz w:val="16"/>
                <w:szCs w:val="16"/>
              </w:rPr>
              <w:t>17,992</w:t>
            </w: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Pr>
                <w:rFonts w:eastAsia="Calibri"/>
                <w:sz w:val="16"/>
                <w:szCs w:val="16"/>
              </w:rPr>
              <w:t>$273</w:t>
            </w:r>
          </w:p>
        </w:tc>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Pr>
                <w:rFonts w:eastAsia="Calibri"/>
                <w:color w:val="000000"/>
                <w:sz w:val="16"/>
                <w:szCs w:val="16"/>
              </w:rPr>
              <w:t>$4,911,816</w:t>
            </w:r>
          </w:p>
        </w:tc>
      </w:tr>
      <w:tr w:rsidRPr="0044121F" w:rsidR="00A11284" w:rsidTr="00545D1E">
        <w:trPr>
          <w:jc w:val="center"/>
        </w:trPr>
        <w:tc>
          <w:tcPr>
            <w:tcW w:w="338" w:type="pct"/>
            <w:shd w:val="clear" w:color="auto" w:fill="auto"/>
            <w:vAlign w:val="center"/>
          </w:tcPr>
          <w:p w:rsidR="00A11284" w:rsidP="00545D1E" w:rsidRDefault="00A11284">
            <w:pPr>
              <w:ind w:left="2160" w:hanging="2160"/>
              <w:contextualSpacing/>
              <w:jc w:val="center"/>
              <w:rPr>
                <w:rFonts w:eastAsia="Calibri"/>
                <w:b/>
                <w:bCs/>
                <w:sz w:val="16"/>
                <w:szCs w:val="16"/>
              </w:rPr>
            </w:pPr>
            <w:r>
              <w:rPr>
                <w:rFonts w:eastAsia="Calibri"/>
                <w:b/>
                <w:sz w:val="16"/>
                <w:szCs w:val="16"/>
              </w:rPr>
              <w:t>2</w:t>
            </w:r>
          </w:p>
        </w:tc>
        <w:tc>
          <w:tcPr>
            <w:tcW w:w="1011" w:type="pct"/>
            <w:shd w:val="clear" w:color="auto" w:fill="auto"/>
          </w:tcPr>
          <w:p w:rsidRPr="0044121F" w:rsidR="00A11284" w:rsidP="00545D1E" w:rsidRDefault="00A11284">
            <w:pPr>
              <w:rPr>
                <w:rFonts w:eastAsia="Calibri" w:cs="Courier New"/>
                <w:bCs/>
                <w:sz w:val="16"/>
                <w:szCs w:val="16"/>
              </w:rPr>
            </w:pPr>
          </w:p>
          <w:p w:rsidRPr="0044121F" w:rsidR="00A11284" w:rsidP="00545D1E" w:rsidRDefault="00A11284">
            <w:pPr>
              <w:rPr>
                <w:rFonts w:eastAsia="Calibri" w:cs="Courier New"/>
                <w:bCs/>
                <w:sz w:val="16"/>
                <w:szCs w:val="16"/>
              </w:rPr>
            </w:pPr>
            <w:r w:rsidRPr="0044121F">
              <w:rPr>
                <w:rFonts w:eastAsia="Calibri" w:cs="Courier New"/>
                <w:sz w:val="16"/>
                <w:szCs w:val="16"/>
              </w:rPr>
              <w:t xml:space="preserve">Patent Assignment System (EPAS) </w:t>
            </w:r>
          </w:p>
          <w:p w:rsidRPr="0044121F" w:rsidR="00A11284" w:rsidP="00545D1E" w:rsidRDefault="00A11284">
            <w:pPr>
              <w:rPr>
                <w:rFonts w:eastAsia="Calibri" w:cs="Courier New"/>
                <w:bCs/>
                <w:sz w:val="16"/>
                <w:szCs w:val="16"/>
              </w:rPr>
            </w:pPr>
            <w:r w:rsidRPr="0044121F">
              <w:rPr>
                <w:rFonts w:eastAsia="Calibri" w:cs="Courier New"/>
                <w:b/>
                <w:sz w:val="16"/>
                <w:szCs w:val="16"/>
              </w:rPr>
              <w:t xml:space="preserve">(PTO-1595) </w:t>
            </w:r>
          </w:p>
        </w:tc>
        <w:tc>
          <w:tcPr>
            <w:tcW w:w="686" w:type="pct"/>
            <w:tcBorders>
              <w:top w:val="single" w:color="auto" w:sz="4" w:space="0"/>
              <w:bottom w:val="single" w:color="auto" w:sz="4" w:space="0"/>
              <w:right w:val="single" w:color="auto" w:sz="4" w:space="0"/>
            </w:tcBorders>
            <w:shd w:val="clear" w:color="auto" w:fill="auto"/>
            <w:vAlign w:val="center"/>
          </w:tcPr>
          <w:p w:rsidRPr="0044121F" w:rsidR="00A11284" w:rsidP="00545D1E" w:rsidRDefault="00A11284">
            <w:pPr>
              <w:contextualSpacing/>
              <w:rPr>
                <w:rFonts w:eastAsia="Calibri"/>
                <w:bCs/>
                <w:sz w:val="16"/>
                <w:szCs w:val="16"/>
              </w:rPr>
            </w:pPr>
            <w:r w:rsidRPr="004E08E7">
              <w:rPr>
                <w:rFonts w:eastAsia="Calibri"/>
                <w:sz w:val="16"/>
                <w:szCs w:val="16"/>
              </w:rPr>
              <w:t>353,945</w:t>
            </w:r>
          </w:p>
        </w:tc>
        <w:tc>
          <w:tcPr>
            <w:tcW w:w="598" w:type="pct"/>
            <w:tcBorders>
              <w:top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sidRPr="004E08E7">
              <w:rPr>
                <w:rFonts w:eastAsia="Calibri"/>
                <w:sz w:val="16"/>
                <w:szCs w:val="16"/>
              </w:rPr>
              <w:t>353,945</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Pr>
                <w:rFonts w:eastAsia="Calibri"/>
                <w:sz w:val="16"/>
                <w:szCs w:val="16"/>
              </w:rPr>
              <w:t>0.</w:t>
            </w:r>
            <w:r w:rsidRPr="004E08E7">
              <w:rPr>
                <w:rFonts w:eastAsia="Calibri"/>
                <w:sz w:val="16"/>
                <w:szCs w:val="16"/>
              </w:rPr>
              <w:t>5 (30 minutes)</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sz w:val="16"/>
                <w:szCs w:val="16"/>
              </w:rPr>
            </w:pPr>
            <w:r w:rsidRPr="004E08E7">
              <w:rPr>
                <w:rFonts w:eastAsia="Calibri"/>
                <w:color w:val="000000"/>
                <w:sz w:val="16"/>
                <w:szCs w:val="16"/>
              </w:rPr>
              <w:t>17</w:t>
            </w:r>
            <w:r>
              <w:rPr>
                <w:rFonts w:eastAsia="Calibri"/>
                <w:color w:val="000000"/>
                <w:sz w:val="16"/>
                <w:szCs w:val="16"/>
              </w:rPr>
              <w:t>6,</w:t>
            </w:r>
            <w:r w:rsidRPr="004E08E7">
              <w:rPr>
                <w:rFonts w:eastAsia="Calibri"/>
                <w:color w:val="000000"/>
                <w:sz w:val="16"/>
                <w:szCs w:val="16"/>
              </w:rPr>
              <w:t>97</w:t>
            </w:r>
            <w:r>
              <w:rPr>
                <w:rFonts w:eastAsia="Calibri"/>
                <w:color w:val="000000"/>
                <w:sz w:val="16"/>
                <w:szCs w:val="16"/>
              </w:rPr>
              <w:t>3</w:t>
            </w: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sz w:val="16"/>
                <w:szCs w:val="16"/>
              </w:rPr>
            </w:pPr>
            <w:r>
              <w:rPr>
                <w:rFonts w:eastAsia="Calibri"/>
                <w:sz w:val="16"/>
                <w:szCs w:val="16"/>
              </w:rPr>
              <w:t>$273</w:t>
            </w:r>
          </w:p>
        </w:tc>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Pr>
                <w:rFonts w:eastAsia="Calibri"/>
                <w:color w:val="000000"/>
                <w:sz w:val="16"/>
                <w:szCs w:val="16"/>
              </w:rPr>
              <w:t>$48,313,629</w:t>
            </w:r>
          </w:p>
        </w:tc>
      </w:tr>
      <w:tr w:rsidRPr="0044121F" w:rsidR="00A11284" w:rsidTr="00545D1E">
        <w:trPr>
          <w:trHeight w:val="154"/>
          <w:jc w:val="center"/>
        </w:trPr>
        <w:tc>
          <w:tcPr>
            <w:tcW w:w="338" w:type="pct"/>
            <w:shd w:val="clear" w:color="auto" w:fill="auto"/>
            <w:vAlign w:val="center"/>
          </w:tcPr>
          <w:p w:rsidRPr="0044121F" w:rsidR="00A11284" w:rsidP="00545D1E" w:rsidRDefault="00A11284">
            <w:pPr>
              <w:contextualSpacing/>
              <w:rPr>
                <w:rFonts w:eastAsia="Calibri"/>
                <w:bCs/>
                <w:sz w:val="16"/>
                <w:szCs w:val="16"/>
              </w:rPr>
            </w:pPr>
            <w:r w:rsidRPr="0044121F">
              <w:rPr>
                <w:rFonts w:eastAsia="Calibri"/>
                <w:b/>
                <w:sz w:val="16"/>
                <w:szCs w:val="16"/>
              </w:rPr>
              <w:t>Total</w:t>
            </w:r>
          </w:p>
        </w:tc>
        <w:tc>
          <w:tcPr>
            <w:tcW w:w="1011" w:type="pct"/>
            <w:shd w:val="clear" w:color="auto" w:fill="auto"/>
            <w:vAlign w:val="center"/>
          </w:tcPr>
          <w:p w:rsidRPr="0044121F" w:rsidR="00A11284" w:rsidP="00545D1E" w:rsidRDefault="00A11284">
            <w:pPr>
              <w:contextualSpacing/>
              <w:rPr>
                <w:rFonts w:eastAsia="Calibri"/>
                <w:bCs/>
                <w:sz w:val="16"/>
                <w:szCs w:val="16"/>
              </w:rPr>
            </w:pPr>
          </w:p>
        </w:tc>
        <w:tc>
          <w:tcPr>
            <w:tcW w:w="686" w:type="pct"/>
            <w:tcBorders>
              <w:top w:val="single" w:color="auto" w:sz="4" w:space="0"/>
              <w:bottom w:val="single" w:color="auto" w:sz="4" w:space="0"/>
            </w:tcBorders>
            <w:shd w:val="clear" w:color="auto" w:fill="auto"/>
            <w:vAlign w:val="center"/>
          </w:tcPr>
          <w:p w:rsidRPr="0044121F" w:rsidR="00A11284" w:rsidP="00545D1E" w:rsidRDefault="00A11284">
            <w:pPr>
              <w:contextualSpacing/>
              <w:rPr>
                <w:rFonts w:eastAsia="Calibri"/>
                <w:b/>
                <w:bCs/>
                <w:sz w:val="16"/>
                <w:szCs w:val="16"/>
              </w:rPr>
            </w:pPr>
            <w:r w:rsidRPr="004E08E7">
              <w:rPr>
                <w:rFonts w:eastAsia="Calibri"/>
                <w:b/>
                <w:sz w:val="16"/>
                <w:szCs w:val="16"/>
              </w:rPr>
              <w:t>389,929</w:t>
            </w:r>
          </w:p>
        </w:tc>
        <w:tc>
          <w:tcPr>
            <w:tcW w:w="598" w:type="pct"/>
            <w:tcBorders>
              <w:top w:val="single" w:color="auto" w:sz="4" w:space="0"/>
              <w:bottom w:val="single" w:color="auto" w:sz="4" w:space="0"/>
            </w:tcBorders>
            <w:shd w:val="clear" w:color="auto" w:fill="auto"/>
            <w:vAlign w:val="center"/>
          </w:tcPr>
          <w:p w:rsidRPr="004E08E7" w:rsidR="00A11284" w:rsidP="00545D1E" w:rsidRDefault="00A11284">
            <w:pPr>
              <w:contextualSpacing/>
              <w:rPr>
                <w:rFonts w:eastAsia="Calibri"/>
                <w:b/>
                <w:bCs/>
                <w:sz w:val="16"/>
                <w:szCs w:val="16"/>
              </w:rPr>
            </w:pPr>
            <w:r w:rsidRPr="004E08E7">
              <w:rPr>
                <w:rFonts w:eastAsia="Calibri"/>
                <w:b/>
                <w:sz w:val="16"/>
                <w:szCs w:val="16"/>
              </w:rPr>
              <w:t>389,929</w:t>
            </w:r>
          </w:p>
        </w:tc>
        <w:tc>
          <w:tcPr>
            <w:tcW w:w="659" w:type="pct"/>
            <w:tcBorders>
              <w:top w:val="single" w:color="auto" w:sz="4" w:space="0"/>
              <w:bottom w:val="single" w:color="auto" w:sz="4" w:space="0"/>
            </w:tcBorders>
            <w:shd w:val="clear" w:color="auto" w:fill="auto"/>
            <w:vAlign w:val="center"/>
          </w:tcPr>
          <w:p w:rsidRPr="004E08E7" w:rsidR="00A11284" w:rsidP="00545D1E" w:rsidRDefault="00A11284">
            <w:pPr>
              <w:contextualSpacing/>
              <w:rPr>
                <w:rFonts w:eastAsia="Calibri"/>
                <w:b/>
                <w:bCs/>
                <w:sz w:val="16"/>
                <w:szCs w:val="16"/>
              </w:rPr>
            </w:pPr>
            <w:r w:rsidRPr="004E08E7">
              <w:rPr>
                <w:rFonts w:eastAsia="Calibri"/>
                <w:b/>
                <w:sz w:val="16"/>
                <w:szCs w:val="16"/>
              </w:rPr>
              <w:t>- - -</w:t>
            </w:r>
          </w:p>
        </w:tc>
        <w:tc>
          <w:tcPr>
            <w:tcW w:w="637" w:type="pct"/>
            <w:tcBorders>
              <w:top w:val="single" w:color="auto" w:sz="4" w:space="0"/>
              <w:left w:val="nil"/>
              <w:bottom w:val="single" w:color="auto" w:sz="4" w:space="0"/>
              <w:right w:val="nil"/>
            </w:tcBorders>
            <w:shd w:val="clear" w:color="auto" w:fill="auto"/>
            <w:vAlign w:val="center"/>
          </w:tcPr>
          <w:p w:rsidRPr="004E08E7" w:rsidR="00A11284" w:rsidP="00545D1E" w:rsidRDefault="00A11284">
            <w:pPr>
              <w:contextualSpacing/>
              <w:rPr>
                <w:rFonts w:eastAsia="Calibri"/>
                <w:b/>
                <w:bCs/>
                <w:sz w:val="16"/>
                <w:szCs w:val="16"/>
              </w:rPr>
            </w:pPr>
            <w:r w:rsidRPr="004E08E7">
              <w:rPr>
                <w:b/>
                <w:color w:val="000000"/>
                <w:sz w:val="16"/>
                <w:szCs w:val="16"/>
              </w:rPr>
              <w:t>19</w:t>
            </w:r>
            <w:r>
              <w:rPr>
                <w:b/>
                <w:color w:val="000000"/>
                <w:sz w:val="16"/>
                <w:szCs w:val="16"/>
              </w:rPr>
              <w:t>4,965</w:t>
            </w:r>
          </w:p>
        </w:tc>
        <w:tc>
          <w:tcPr>
            <w:tcW w:w="386" w:type="pct"/>
            <w:tcBorders>
              <w:top w:val="single" w:color="auto" w:sz="4" w:space="0"/>
              <w:bottom w:val="single" w:color="auto" w:sz="4" w:space="0"/>
            </w:tcBorders>
            <w:shd w:val="clear" w:color="auto" w:fill="auto"/>
            <w:vAlign w:val="center"/>
          </w:tcPr>
          <w:p w:rsidRPr="004E08E7" w:rsidR="00A11284" w:rsidP="00545D1E" w:rsidRDefault="00A11284">
            <w:pPr>
              <w:contextualSpacing/>
              <w:rPr>
                <w:rFonts w:eastAsia="Calibri"/>
                <w:b/>
                <w:bCs/>
                <w:sz w:val="16"/>
                <w:szCs w:val="16"/>
              </w:rPr>
            </w:pPr>
            <w:r w:rsidRPr="004E08E7">
              <w:rPr>
                <w:rFonts w:eastAsia="Calibri"/>
                <w:b/>
                <w:sz w:val="16"/>
                <w:szCs w:val="16"/>
              </w:rPr>
              <w:t>- - -</w:t>
            </w:r>
          </w:p>
        </w:tc>
        <w:tc>
          <w:tcPr>
            <w:tcW w:w="687" w:type="pct"/>
            <w:tcBorders>
              <w:top w:val="single" w:color="auto" w:sz="4" w:space="0"/>
              <w:left w:val="nil"/>
              <w:bottom w:val="single" w:color="auto" w:sz="4" w:space="0"/>
              <w:right w:val="single" w:color="auto" w:sz="4" w:space="0"/>
            </w:tcBorders>
            <w:shd w:val="clear" w:color="auto" w:fill="auto"/>
            <w:vAlign w:val="center"/>
          </w:tcPr>
          <w:p w:rsidRPr="004E08E7" w:rsidR="00A11284" w:rsidP="00545D1E" w:rsidRDefault="00A11284">
            <w:pPr>
              <w:rPr>
                <w:rFonts w:eastAsia="Calibri"/>
                <w:b/>
                <w:bCs/>
                <w:color w:val="000000"/>
                <w:sz w:val="16"/>
                <w:szCs w:val="16"/>
              </w:rPr>
            </w:pPr>
            <w:r>
              <w:rPr>
                <w:b/>
                <w:color w:val="000000"/>
                <w:sz w:val="16"/>
                <w:szCs w:val="16"/>
              </w:rPr>
              <w:t>$53,225,445</w:t>
            </w:r>
          </w:p>
        </w:tc>
      </w:tr>
    </w:tbl>
    <w:p w:rsidRPr="00A11284" w:rsidR="00A11284" w:rsidP="00A11284" w:rsidRDefault="00A11284">
      <w:pPr>
        <w:ind w:left="360"/>
        <w:rPr>
          <w:rFonts w:eastAsia="Calibri"/>
        </w:rPr>
      </w:pPr>
    </w:p>
    <w:p w:rsidR="00A11284" w:rsidP="00A11284" w:rsidRDefault="00A11284">
      <w:pPr>
        <w:pStyle w:val="NoSpacing"/>
        <w:jc w:val="both"/>
        <w:rPr>
          <w:b/>
          <w:szCs w:val="20"/>
        </w:rPr>
      </w:pPr>
      <w:r>
        <w:rPr>
          <w:b/>
          <w:szCs w:val="20"/>
        </w:rPr>
        <w:t>Table 4</w:t>
      </w:r>
      <w:r w:rsidRPr="004F3B59">
        <w:rPr>
          <w:b/>
          <w:szCs w:val="20"/>
        </w:rPr>
        <w:t xml:space="preserve">: Total Hourly Burden For </w:t>
      </w:r>
      <w:r>
        <w:rPr>
          <w:b/>
          <w:szCs w:val="20"/>
        </w:rPr>
        <w:t xml:space="preserve">Individuals or Households </w:t>
      </w:r>
      <w:r w:rsidRPr="004F3B59">
        <w:rPr>
          <w:b/>
          <w:szCs w:val="20"/>
        </w:rPr>
        <w:t>Respondents</w:t>
      </w:r>
    </w:p>
    <w:tbl>
      <w:tblPr>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4A0" w:firstRow="1" w:lastRow="0" w:firstColumn="1" w:lastColumn="0" w:noHBand="0" w:noVBand="1"/>
      </w:tblPr>
      <w:tblGrid>
        <w:gridCol w:w="603"/>
        <w:gridCol w:w="1759"/>
        <w:gridCol w:w="1235"/>
        <w:gridCol w:w="1075"/>
        <w:gridCol w:w="1226"/>
        <w:gridCol w:w="1147"/>
        <w:gridCol w:w="790"/>
        <w:gridCol w:w="1236"/>
      </w:tblGrid>
      <w:tr w:rsidRPr="0044121F" w:rsidR="00A11284" w:rsidTr="00545D1E">
        <w:trPr>
          <w:tblHeader/>
          <w:jc w:val="center"/>
        </w:trPr>
        <w:tc>
          <w:tcPr>
            <w:tcW w:w="338" w:type="pct"/>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Item No.</w:t>
            </w:r>
          </w:p>
        </w:tc>
        <w:tc>
          <w:tcPr>
            <w:tcW w:w="975" w:type="pct"/>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Item</w:t>
            </w:r>
          </w:p>
        </w:tc>
        <w:tc>
          <w:tcPr>
            <w:tcW w:w="686" w:type="pct"/>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Estimated Annual Respondents</w:t>
            </w:r>
          </w:p>
        </w:tc>
        <w:tc>
          <w:tcPr>
            <w:tcW w:w="598" w:type="pct"/>
            <w:tcBorders>
              <w:bottom w:val="single" w:color="auto" w:sz="4" w:space="0"/>
            </w:tcBorders>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Estimated Annual Responses (year)</w:t>
            </w:r>
          </w:p>
          <w:p w:rsidR="00A11284" w:rsidP="00545D1E" w:rsidRDefault="00A11284">
            <w:pPr>
              <w:contextualSpacing/>
              <w:jc w:val="center"/>
              <w:rPr>
                <w:rFonts w:eastAsia="Calibri"/>
                <w:b/>
                <w:bCs/>
                <w:sz w:val="16"/>
                <w:szCs w:val="16"/>
              </w:rPr>
            </w:pPr>
          </w:p>
          <w:p w:rsidRPr="0044121F" w:rsidR="00A11284" w:rsidP="00545D1E" w:rsidRDefault="00A11284">
            <w:pPr>
              <w:contextualSpacing/>
              <w:jc w:val="center"/>
              <w:rPr>
                <w:rFonts w:eastAsia="Calibri"/>
                <w:b/>
                <w:bCs/>
                <w:sz w:val="16"/>
                <w:szCs w:val="16"/>
              </w:rPr>
            </w:pPr>
            <w:r w:rsidRPr="0044121F">
              <w:rPr>
                <w:rFonts w:eastAsia="Calibri"/>
                <w:b/>
                <w:sz w:val="16"/>
                <w:szCs w:val="16"/>
              </w:rPr>
              <w:t>(a)</w:t>
            </w:r>
          </w:p>
        </w:tc>
        <w:tc>
          <w:tcPr>
            <w:tcW w:w="681" w:type="pct"/>
            <w:tcBorders>
              <w:bottom w:val="single" w:color="auto" w:sz="4" w:space="0"/>
            </w:tcBorders>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Estimated Time for Response (</w:t>
            </w:r>
            <w:r>
              <w:rPr>
                <w:rFonts w:eastAsia="Calibri"/>
                <w:b/>
                <w:sz w:val="16"/>
                <w:szCs w:val="16"/>
              </w:rPr>
              <w:t>hour</w:t>
            </w:r>
            <w:r w:rsidRPr="0044121F">
              <w:rPr>
                <w:rFonts w:eastAsia="Calibri"/>
                <w:b/>
                <w:sz w:val="16"/>
                <w:szCs w:val="16"/>
              </w:rPr>
              <w:t>)</w:t>
            </w:r>
          </w:p>
          <w:p w:rsidR="00A11284" w:rsidP="00545D1E" w:rsidRDefault="00A11284">
            <w:pPr>
              <w:contextualSpacing/>
              <w:jc w:val="center"/>
              <w:rPr>
                <w:rFonts w:eastAsia="Calibri"/>
                <w:b/>
                <w:bCs/>
                <w:sz w:val="16"/>
                <w:szCs w:val="16"/>
              </w:rPr>
            </w:pPr>
          </w:p>
          <w:p w:rsidRPr="0044121F" w:rsidR="00A11284" w:rsidP="00545D1E" w:rsidRDefault="00A11284">
            <w:pPr>
              <w:contextualSpacing/>
              <w:jc w:val="center"/>
              <w:rPr>
                <w:rFonts w:eastAsia="Calibri"/>
                <w:b/>
                <w:bCs/>
                <w:sz w:val="16"/>
                <w:szCs w:val="16"/>
              </w:rPr>
            </w:pPr>
            <w:r w:rsidRPr="0044121F">
              <w:rPr>
                <w:rFonts w:eastAsia="Calibri"/>
                <w:b/>
                <w:sz w:val="16"/>
                <w:szCs w:val="16"/>
              </w:rPr>
              <w:t>(b)</w:t>
            </w:r>
          </w:p>
        </w:tc>
        <w:tc>
          <w:tcPr>
            <w:tcW w:w="637" w:type="pct"/>
            <w:tcBorders>
              <w:bottom w:val="single" w:color="auto" w:sz="4" w:space="0"/>
            </w:tcBorders>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Estimated Annual Burden (hours/year)</w:t>
            </w:r>
          </w:p>
          <w:p w:rsidRPr="0044121F" w:rsidR="00A11284" w:rsidP="00545D1E" w:rsidRDefault="00A11284">
            <w:pPr>
              <w:contextualSpacing/>
              <w:jc w:val="center"/>
              <w:rPr>
                <w:rFonts w:eastAsia="Calibri"/>
                <w:b/>
                <w:bCs/>
                <w:sz w:val="16"/>
                <w:szCs w:val="16"/>
              </w:rPr>
            </w:pPr>
          </w:p>
          <w:p w:rsidRPr="0044121F" w:rsidR="00A11284" w:rsidP="00545D1E" w:rsidRDefault="00A11284">
            <w:pPr>
              <w:contextualSpacing/>
              <w:jc w:val="center"/>
              <w:rPr>
                <w:rFonts w:eastAsia="Calibri"/>
                <w:b/>
                <w:bCs/>
                <w:sz w:val="16"/>
                <w:szCs w:val="16"/>
              </w:rPr>
            </w:pPr>
            <w:r w:rsidRPr="0044121F">
              <w:rPr>
                <w:rFonts w:eastAsia="Calibri"/>
                <w:b/>
                <w:sz w:val="16"/>
                <w:szCs w:val="16"/>
              </w:rPr>
              <w:t>(a) x (b)</w:t>
            </w:r>
            <w:r>
              <w:rPr>
                <w:rFonts w:eastAsia="Calibri"/>
                <w:b/>
                <w:sz w:val="16"/>
                <w:szCs w:val="16"/>
              </w:rPr>
              <w:t>= (c)</w:t>
            </w:r>
          </w:p>
        </w:tc>
        <w:tc>
          <w:tcPr>
            <w:tcW w:w="399" w:type="pct"/>
            <w:tcBorders>
              <w:bottom w:val="single" w:color="auto" w:sz="4" w:space="0"/>
            </w:tcBorders>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Rate</w:t>
            </w:r>
            <w:r>
              <w:rPr>
                <w:rStyle w:val="FootnoteReference"/>
                <w:rFonts w:eastAsia="Calibri"/>
                <w:b/>
                <w:sz w:val="16"/>
                <w:szCs w:val="16"/>
              </w:rPr>
              <w:footnoteReference w:id="3"/>
            </w:r>
          </w:p>
          <w:p w:rsidRPr="0044121F" w:rsidR="00A11284" w:rsidP="00545D1E" w:rsidRDefault="00A11284">
            <w:pPr>
              <w:contextualSpacing/>
              <w:jc w:val="center"/>
              <w:rPr>
                <w:rFonts w:eastAsia="Calibri"/>
                <w:b/>
                <w:bCs/>
                <w:sz w:val="16"/>
                <w:szCs w:val="16"/>
              </w:rPr>
            </w:pPr>
            <w:r w:rsidRPr="0044121F">
              <w:rPr>
                <w:rFonts w:eastAsia="Calibri"/>
                <w:b/>
                <w:sz w:val="16"/>
                <w:szCs w:val="16"/>
              </w:rPr>
              <w:t>($/hour)</w:t>
            </w:r>
          </w:p>
          <w:p w:rsidR="00A11284" w:rsidP="00545D1E" w:rsidRDefault="00A11284">
            <w:pPr>
              <w:contextualSpacing/>
              <w:jc w:val="center"/>
              <w:rPr>
                <w:rFonts w:eastAsia="Calibri"/>
                <w:b/>
                <w:bCs/>
                <w:sz w:val="16"/>
                <w:szCs w:val="16"/>
              </w:rPr>
            </w:pPr>
          </w:p>
          <w:p w:rsidR="00A11284" w:rsidP="00545D1E" w:rsidRDefault="00A11284">
            <w:pPr>
              <w:contextualSpacing/>
              <w:jc w:val="center"/>
              <w:rPr>
                <w:rFonts w:eastAsia="Calibri"/>
                <w:b/>
                <w:bCs/>
                <w:sz w:val="16"/>
                <w:szCs w:val="16"/>
              </w:rPr>
            </w:pPr>
          </w:p>
          <w:p w:rsidR="00A11284" w:rsidP="00545D1E" w:rsidRDefault="00A11284">
            <w:pPr>
              <w:contextualSpacing/>
              <w:jc w:val="center"/>
              <w:rPr>
                <w:rFonts w:eastAsia="Calibri"/>
                <w:b/>
                <w:bCs/>
                <w:sz w:val="16"/>
                <w:szCs w:val="16"/>
              </w:rPr>
            </w:pPr>
          </w:p>
          <w:p w:rsidRPr="0044121F" w:rsidR="00A11284" w:rsidP="00545D1E" w:rsidRDefault="00A11284">
            <w:pPr>
              <w:contextualSpacing/>
              <w:jc w:val="center"/>
              <w:rPr>
                <w:rFonts w:eastAsia="Calibri"/>
                <w:b/>
                <w:bCs/>
                <w:sz w:val="16"/>
                <w:szCs w:val="16"/>
              </w:rPr>
            </w:pPr>
            <w:r w:rsidRPr="0044121F">
              <w:rPr>
                <w:rFonts w:eastAsia="Calibri"/>
                <w:b/>
                <w:sz w:val="16"/>
                <w:szCs w:val="16"/>
              </w:rPr>
              <w:t>(d)</w:t>
            </w:r>
          </w:p>
        </w:tc>
        <w:tc>
          <w:tcPr>
            <w:tcW w:w="687" w:type="pct"/>
            <w:tcBorders>
              <w:bottom w:val="single" w:color="auto" w:sz="4" w:space="0"/>
            </w:tcBorders>
            <w:shd w:val="clear" w:color="auto" w:fill="auto"/>
          </w:tcPr>
          <w:p w:rsidRPr="0044121F" w:rsidR="00A11284" w:rsidP="00545D1E" w:rsidRDefault="00A11284">
            <w:pPr>
              <w:contextualSpacing/>
              <w:jc w:val="center"/>
              <w:rPr>
                <w:rFonts w:eastAsia="Calibri"/>
                <w:b/>
                <w:bCs/>
                <w:sz w:val="16"/>
                <w:szCs w:val="16"/>
              </w:rPr>
            </w:pPr>
            <w:r w:rsidRPr="0044121F">
              <w:rPr>
                <w:rFonts w:eastAsia="Calibri"/>
                <w:b/>
                <w:sz w:val="16"/>
                <w:szCs w:val="16"/>
              </w:rPr>
              <w:t>Estimated Annual</w:t>
            </w:r>
          </w:p>
          <w:p w:rsidRPr="0044121F" w:rsidR="00A11284" w:rsidP="00545D1E" w:rsidRDefault="00A11284">
            <w:pPr>
              <w:contextualSpacing/>
              <w:jc w:val="center"/>
              <w:rPr>
                <w:rFonts w:eastAsia="Calibri"/>
                <w:b/>
                <w:bCs/>
                <w:sz w:val="16"/>
                <w:szCs w:val="16"/>
              </w:rPr>
            </w:pPr>
            <w:r w:rsidRPr="0044121F">
              <w:rPr>
                <w:rFonts w:eastAsia="Calibri"/>
                <w:b/>
                <w:sz w:val="16"/>
                <w:szCs w:val="16"/>
              </w:rPr>
              <w:t>Burden</w:t>
            </w:r>
          </w:p>
          <w:p w:rsidR="00A11284" w:rsidP="00545D1E" w:rsidRDefault="00A11284">
            <w:pPr>
              <w:contextualSpacing/>
              <w:rPr>
                <w:rFonts w:eastAsia="Calibri"/>
                <w:b/>
                <w:bCs/>
                <w:sz w:val="16"/>
                <w:szCs w:val="16"/>
              </w:rPr>
            </w:pPr>
          </w:p>
          <w:p w:rsidRPr="0044121F" w:rsidR="00A11284" w:rsidP="00545D1E" w:rsidRDefault="00A11284">
            <w:pPr>
              <w:contextualSpacing/>
              <w:rPr>
                <w:rFonts w:eastAsia="Calibri"/>
                <w:b/>
                <w:bCs/>
                <w:sz w:val="16"/>
                <w:szCs w:val="16"/>
              </w:rPr>
            </w:pPr>
          </w:p>
          <w:p w:rsidRPr="0044121F" w:rsidR="00A11284" w:rsidP="00545D1E" w:rsidRDefault="00A11284">
            <w:pPr>
              <w:contextualSpacing/>
              <w:jc w:val="center"/>
              <w:rPr>
                <w:rFonts w:eastAsia="Calibri"/>
                <w:b/>
                <w:bCs/>
                <w:sz w:val="16"/>
                <w:szCs w:val="16"/>
              </w:rPr>
            </w:pPr>
            <w:r w:rsidRPr="0044121F">
              <w:rPr>
                <w:rFonts w:eastAsia="Calibri"/>
                <w:b/>
                <w:sz w:val="16"/>
                <w:szCs w:val="16"/>
              </w:rPr>
              <w:t>(c) x (d)</w:t>
            </w:r>
            <w:r>
              <w:rPr>
                <w:rFonts w:eastAsia="Calibri"/>
                <w:b/>
                <w:sz w:val="16"/>
                <w:szCs w:val="16"/>
              </w:rPr>
              <w:t>= (e)</w:t>
            </w:r>
          </w:p>
        </w:tc>
      </w:tr>
      <w:tr w:rsidRPr="0044121F" w:rsidR="00A11284" w:rsidTr="00545D1E">
        <w:trPr>
          <w:jc w:val="center"/>
        </w:trPr>
        <w:tc>
          <w:tcPr>
            <w:tcW w:w="338" w:type="pct"/>
            <w:shd w:val="clear" w:color="auto" w:fill="auto"/>
            <w:vAlign w:val="center"/>
          </w:tcPr>
          <w:p w:rsidRPr="0044121F" w:rsidR="00A11284" w:rsidP="00545D1E" w:rsidRDefault="00A11284">
            <w:pPr>
              <w:ind w:left="2160" w:hanging="2160"/>
              <w:contextualSpacing/>
              <w:jc w:val="center"/>
              <w:rPr>
                <w:rFonts w:eastAsia="Calibri"/>
                <w:b/>
                <w:bCs/>
                <w:sz w:val="16"/>
                <w:szCs w:val="16"/>
              </w:rPr>
            </w:pPr>
            <w:r>
              <w:rPr>
                <w:rFonts w:eastAsia="Calibri"/>
                <w:b/>
                <w:sz w:val="16"/>
                <w:szCs w:val="16"/>
              </w:rPr>
              <w:t>1</w:t>
            </w:r>
          </w:p>
        </w:tc>
        <w:tc>
          <w:tcPr>
            <w:tcW w:w="975" w:type="pct"/>
            <w:shd w:val="clear" w:color="auto" w:fill="auto"/>
          </w:tcPr>
          <w:p w:rsidRPr="0044121F" w:rsidR="00A11284" w:rsidP="00545D1E" w:rsidRDefault="00A11284">
            <w:pPr>
              <w:rPr>
                <w:rFonts w:eastAsia="Calibri" w:cs="Courier New"/>
                <w:bCs/>
                <w:sz w:val="16"/>
                <w:szCs w:val="16"/>
              </w:rPr>
            </w:pPr>
          </w:p>
          <w:p w:rsidRPr="0044121F" w:rsidR="00A11284" w:rsidP="00545D1E" w:rsidRDefault="00A11284">
            <w:pPr>
              <w:rPr>
                <w:rFonts w:eastAsia="Calibri" w:cs="Courier New"/>
                <w:bCs/>
                <w:sz w:val="16"/>
                <w:szCs w:val="16"/>
              </w:rPr>
            </w:pPr>
            <w:r w:rsidRPr="0044121F">
              <w:rPr>
                <w:rFonts w:eastAsia="Calibri" w:cs="Courier New"/>
                <w:sz w:val="16"/>
                <w:szCs w:val="16"/>
              </w:rPr>
              <w:t>Trademark Assignment System (ETAS)</w:t>
            </w:r>
          </w:p>
          <w:p w:rsidRPr="0044121F" w:rsidR="00A11284" w:rsidP="00545D1E" w:rsidRDefault="00A11284">
            <w:pPr>
              <w:rPr>
                <w:rFonts w:eastAsia="Calibri" w:cs="Courier New"/>
                <w:b/>
                <w:bCs/>
                <w:sz w:val="16"/>
                <w:szCs w:val="16"/>
              </w:rPr>
            </w:pPr>
            <w:r w:rsidRPr="0044121F">
              <w:rPr>
                <w:rFonts w:eastAsia="Calibri" w:cs="Courier New"/>
                <w:b/>
                <w:sz w:val="16"/>
                <w:szCs w:val="16"/>
              </w:rPr>
              <w:t>(PTO-1594)</w:t>
            </w:r>
          </w:p>
        </w:tc>
        <w:tc>
          <w:tcPr>
            <w:tcW w:w="686" w:type="pct"/>
            <w:tcBorders>
              <w:top w:val="single" w:color="auto" w:sz="4" w:space="0"/>
              <w:bottom w:val="single" w:color="auto" w:sz="4" w:space="0"/>
              <w:right w:val="single" w:color="auto" w:sz="4" w:space="0"/>
            </w:tcBorders>
            <w:shd w:val="clear" w:color="auto" w:fill="auto"/>
            <w:vAlign w:val="center"/>
          </w:tcPr>
          <w:p w:rsidRPr="0044121F" w:rsidR="00A11284" w:rsidP="00545D1E" w:rsidRDefault="00A11284">
            <w:pPr>
              <w:contextualSpacing/>
              <w:rPr>
                <w:rFonts w:eastAsia="Calibri"/>
                <w:bCs/>
                <w:sz w:val="16"/>
                <w:szCs w:val="16"/>
              </w:rPr>
            </w:pPr>
            <w:r w:rsidRPr="004E08E7">
              <w:rPr>
                <w:rFonts w:eastAsia="Calibri"/>
                <w:sz w:val="16"/>
                <w:szCs w:val="16"/>
              </w:rPr>
              <w:t>23,989</w:t>
            </w:r>
          </w:p>
        </w:tc>
        <w:tc>
          <w:tcPr>
            <w:tcW w:w="598" w:type="pct"/>
            <w:tcBorders>
              <w:top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sidRPr="004E08E7">
              <w:rPr>
                <w:rFonts w:eastAsia="Calibri"/>
                <w:sz w:val="16"/>
                <w:szCs w:val="16"/>
              </w:rPr>
              <w:t>23,989</w:t>
            </w: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Pr>
                <w:rFonts w:eastAsia="Calibri"/>
                <w:sz w:val="16"/>
                <w:szCs w:val="16"/>
              </w:rPr>
              <w:t>0.</w:t>
            </w:r>
            <w:r w:rsidRPr="004E08E7">
              <w:rPr>
                <w:rFonts w:eastAsia="Calibri"/>
                <w:sz w:val="16"/>
                <w:szCs w:val="16"/>
              </w:rPr>
              <w:t>5 (30 minutes)</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sidRPr="004E08E7">
              <w:rPr>
                <w:rFonts w:eastAsia="Calibri"/>
                <w:color w:val="000000"/>
                <w:sz w:val="16"/>
                <w:szCs w:val="16"/>
              </w:rPr>
              <w:t>1</w:t>
            </w:r>
            <w:r>
              <w:rPr>
                <w:rFonts w:eastAsia="Calibri"/>
                <w:color w:val="000000"/>
                <w:sz w:val="16"/>
                <w:szCs w:val="16"/>
              </w:rPr>
              <w:t>1,995</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Pr>
                <w:rFonts w:eastAsia="Calibri"/>
                <w:sz w:val="16"/>
                <w:szCs w:val="16"/>
              </w:rPr>
              <w:t>$273</w:t>
            </w:r>
          </w:p>
        </w:tc>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Pr>
                <w:rFonts w:eastAsia="Calibri"/>
                <w:color w:val="000000"/>
                <w:sz w:val="16"/>
                <w:szCs w:val="16"/>
              </w:rPr>
              <w:t>$3,274,635</w:t>
            </w:r>
          </w:p>
        </w:tc>
      </w:tr>
      <w:tr w:rsidRPr="0044121F" w:rsidR="00A11284" w:rsidTr="00545D1E">
        <w:trPr>
          <w:jc w:val="center"/>
        </w:trPr>
        <w:tc>
          <w:tcPr>
            <w:tcW w:w="338" w:type="pct"/>
            <w:shd w:val="clear" w:color="auto" w:fill="auto"/>
            <w:vAlign w:val="center"/>
          </w:tcPr>
          <w:p w:rsidR="00A11284" w:rsidP="00545D1E" w:rsidRDefault="00A11284">
            <w:pPr>
              <w:ind w:left="2160" w:hanging="2160"/>
              <w:contextualSpacing/>
              <w:jc w:val="center"/>
              <w:rPr>
                <w:rFonts w:eastAsia="Calibri"/>
                <w:b/>
                <w:bCs/>
                <w:sz w:val="16"/>
                <w:szCs w:val="16"/>
              </w:rPr>
            </w:pPr>
            <w:r>
              <w:rPr>
                <w:rFonts w:eastAsia="Calibri"/>
                <w:b/>
                <w:sz w:val="16"/>
                <w:szCs w:val="16"/>
              </w:rPr>
              <w:t>2</w:t>
            </w:r>
          </w:p>
        </w:tc>
        <w:tc>
          <w:tcPr>
            <w:tcW w:w="975" w:type="pct"/>
            <w:shd w:val="clear" w:color="auto" w:fill="auto"/>
          </w:tcPr>
          <w:p w:rsidRPr="0044121F" w:rsidR="00A11284" w:rsidP="00545D1E" w:rsidRDefault="00A11284">
            <w:pPr>
              <w:rPr>
                <w:rFonts w:eastAsia="Calibri" w:cs="Courier New"/>
                <w:bCs/>
                <w:sz w:val="16"/>
                <w:szCs w:val="16"/>
              </w:rPr>
            </w:pPr>
          </w:p>
          <w:p w:rsidRPr="0044121F" w:rsidR="00A11284" w:rsidP="00545D1E" w:rsidRDefault="00A11284">
            <w:pPr>
              <w:rPr>
                <w:rFonts w:eastAsia="Calibri" w:cs="Courier New"/>
                <w:bCs/>
                <w:sz w:val="16"/>
                <w:szCs w:val="16"/>
              </w:rPr>
            </w:pPr>
            <w:r w:rsidRPr="0044121F">
              <w:rPr>
                <w:rFonts w:eastAsia="Calibri" w:cs="Courier New"/>
                <w:sz w:val="16"/>
                <w:szCs w:val="16"/>
              </w:rPr>
              <w:t xml:space="preserve">Patent Assignment System (EPAS) </w:t>
            </w:r>
          </w:p>
          <w:p w:rsidRPr="0044121F" w:rsidR="00A11284" w:rsidP="00545D1E" w:rsidRDefault="00A11284">
            <w:pPr>
              <w:rPr>
                <w:rFonts w:eastAsia="Calibri" w:cs="Courier New"/>
                <w:bCs/>
                <w:sz w:val="16"/>
                <w:szCs w:val="16"/>
              </w:rPr>
            </w:pPr>
            <w:r w:rsidRPr="0044121F">
              <w:rPr>
                <w:rFonts w:eastAsia="Calibri" w:cs="Courier New"/>
                <w:b/>
                <w:sz w:val="16"/>
                <w:szCs w:val="16"/>
              </w:rPr>
              <w:t xml:space="preserve">(PTO-1595) </w:t>
            </w:r>
          </w:p>
        </w:tc>
        <w:tc>
          <w:tcPr>
            <w:tcW w:w="686" w:type="pct"/>
            <w:tcBorders>
              <w:top w:val="single" w:color="auto" w:sz="4" w:space="0"/>
              <w:bottom w:val="single" w:color="auto" w:sz="4" w:space="0"/>
              <w:right w:val="single" w:color="auto" w:sz="4" w:space="0"/>
            </w:tcBorders>
            <w:shd w:val="clear" w:color="auto" w:fill="auto"/>
            <w:vAlign w:val="center"/>
          </w:tcPr>
          <w:p w:rsidRPr="0044121F" w:rsidR="00A11284" w:rsidP="00545D1E" w:rsidRDefault="00A11284">
            <w:pPr>
              <w:contextualSpacing/>
              <w:rPr>
                <w:rFonts w:eastAsia="Calibri"/>
                <w:bCs/>
                <w:sz w:val="16"/>
                <w:szCs w:val="16"/>
              </w:rPr>
            </w:pPr>
            <w:r w:rsidRPr="004E08E7">
              <w:rPr>
                <w:rFonts w:eastAsia="Calibri"/>
                <w:sz w:val="16"/>
                <w:szCs w:val="16"/>
              </w:rPr>
              <w:t>235,962</w:t>
            </w:r>
          </w:p>
        </w:tc>
        <w:tc>
          <w:tcPr>
            <w:tcW w:w="598" w:type="pct"/>
            <w:tcBorders>
              <w:top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sidRPr="004E08E7">
              <w:rPr>
                <w:rFonts w:eastAsia="Calibri"/>
                <w:sz w:val="16"/>
                <w:szCs w:val="16"/>
              </w:rPr>
              <w:t>235,962</w:t>
            </w:r>
          </w:p>
        </w:tc>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Pr>
                <w:rFonts w:eastAsia="Calibri"/>
                <w:sz w:val="16"/>
                <w:szCs w:val="16"/>
              </w:rPr>
              <w:t>0.</w:t>
            </w:r>
            <w:r w:rsidRPr="004E08E7">
              <w:rPr>
                <w:rFonts w:eastAsia="Calibri"/>
                <w:sz w:val="16"/>
                <w:szCs w:val="16"/>
              </w:rPr>
              <w:t>5 (30 minutes)</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sz w:val="16"/>
                <w:szCs w:val="16"/>
              </w:rPr>
            </w:pPr>
            <w:r>
              <w:rPr>
                <w:rFonts w:eastAsia="Calibri"/>
                <w:color w:val="000000"/>
                <w:sz w:val="16"/>
                <w:szCs w:val="16"/>
              </w:rPr>
              <w:t>11</w:t>
            </w:r>
            <w:r w:rsidRPr="004E08E7">
              <w:rPr>
                <w:rFonts w:eastAsia="Calibri"/>
                <w:color w:val="000000"/>
                <w:sz w:val="16"/>
                <w:szCs w:val="16"/>
              </w:rPr>
              <w:t>7</w:t>
            </w:r>
            <w:r>
              <w:rPr>
                <w:rFonts w:eastAsia="Calibri"/>
                <w:color w:val="000000"/>
                <w:sz w:val="16"/>
                <w:szCs w:val="16"/>
              </w:rPr>
              <w:t>,</w:t>
            </w:r>
            <w:r w:rsidRPr="004E08E7">
              <w:rPr>
                <w:rFonts w:eastAsia="Calibri"/>
                <w:color w:val="000000"/>
                <w:sz w:val="16"/>
                <w:szCs w:val="16"/>
              </w:rPr>
              <w:t>98</w:t>
            </w:r>
            <w:r>
              <w:rPr>
                <w:rFonts w:eastAsia="Calibri"/>
                <w:color w:val="000000"/>
                <w:sz w:val="16"/>
                <w:szCs w:val="16"/>
              </w:rPr>
              <w:t>1</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sz w:val="16"/>
                <w:szCs w:val="16"/>
              </w:rPr>
            </w:pPr>
            <w:r>
              <w:rPr>
                <w:rFonts w:eastAsia="Calibri"/>
                <w:sz w:val="16"/>
                <w:szCs w:val="16"/>
              </w:rPr>
              <w:t>$273</w:t>
            </w:r>
          </w:p>
        </w:tc>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A11284" w:rsidP="00545D1E" w:rsidRDefault="00A11284">
            <w:pPr>
              <w:contextualSpacing/>
              <w:rPr>
                <w:rFonts w:eastAsia="Calibri"/>
                <w:bCs/>
                <w:sz w:val="16"/>
                <w:szCs w:val="16"/>
              </w:rPr>
            </w:pPr>
            <w:r>
              <w:rPr>
                <w:rFonts w:eastAsia="Calibri"/>
                <w:color w:val="000000"/>
                <w:sz w:val="16"/>
                <w:szCs w:val="16"/>
              </w:rPr>
              <w:t>$</w:t>
            </w:r>
            <w:r w:rsidRPr="004E08E7">
              <w:rPr>
                <w:rFonts w:eastAsia="Calibri"/>
                <w:color w:val="000000"/>
                <w:sz w:val="16"/>
                <w:szCs w:val="16"/>
              </w:rPr>
              <w:t>3</w:t>
            </w:r>
            <w:r>
              <w:rPr>
                <w:rFonts w:eastAsia="Calibri"/>
                <w:color w:val="000000"/>
                <w:sz w:val="16"/>
                <w:szCs w:val="16"/>
              </w:rPr>
              <w:t>2</w:t>
            </w:r>
            <w:r w:rsidRPr="004E08E7">
              <w:rPr>
                <w:rFonts w:eastAsia="Calibri"/>
                <w:color w:val="000000"/>
                <w:sz w:val="16"/>
                <w:szCs w:val="16"/>
              </w:rPr>
              <w:t>,2</w:t>
            </w:r>
            <w:r>
              <w:rPr>
                <w:rFonts w:eastAsia="Calibri"/>
                <w:color w:val="000000"/>
                <w:sz w:val="16"/>
                <w:szCs w:val="16"/>
              </w:rPr>
              <w:t>08,813</w:t>
            </w:r>
          </w:p>
        </w:tc>
      </w:tr>
      <w:tr w:rsidRPr="0044121F" w:rsidR="00A11284" w:rsidTr="00545D1E">
        <w:trPr>
          <w:trHeight w:val="154"/>
          <w:jc w:val="center"/>
        </w:trPr>
        <w:tc>
          <w:tcPr>
            <w:tcW w:w="338" w:type="pct"/>
            <w:shd w:val="clear" w:color="auto" w:fill="auto"/>
            <w:vAlign w:val="center"/>
          </w:tcPr>
          <w:p w:rsidRPr="0044121F" w:rsidR="00A11284" w:rsidP="00545D1E" w:rsidRDefault="00A11284">
            <w:pPr>
              <w:contextualSpacing/>
              <w:rPr>
                <w:rFonts w:eastAsia="Calibri"/>
                <w:bCs/>
                <w:sz w:val="16"/>
                <w:szCs w:val="16"/>
              </w:rPr>
            </w:pPr>
            <w:r w:rsidRPr="0044121F">
              <w:rPr>
                <w:rFonts w:eastAsia="Calibri"/>
                <w:b/>
                <w:sz w:val="16"/>
                <w:szCs w:val="16"/>
              </w:rPr>
              <w:t>Total</w:t>
            </w:r>
          </w:p>
        </w:tc>
        <w:tc>
          <w:tcPr>
            <w:tcW w:w="975" w:type="pct"/>
            <w:shd w:val="clear" w:color="auto" w:fill="auto"/>
            <w:vAlign w:val="center"/>
          </w:tcPr>
          <w:p w:rsidRPr="0044121F" w:rsidR="00A11284" w:rsidP="00545D1E" w:rsidRDefault="00A11284">
            <w:pPr>
              <w:contextualSpacing/>
              <w:rPr>
                <w:rFonts w:eastAsia="Calibri"/>
                <w:bCs/>
                <w:sz w:val="16"/>
                <w:szCs w:val="16"/>
              </w:rPr>
            </w:pPr>
          </w:p>
        </w:tc>
        <w:tc>
          <w:tcPr>
            <w:tcW w:w="686" w:type="pct"/>
            <w:tcBorders>
              <w:top w:val="single" w:color="auto" w:sz="4" w:space="0"/>
              <w:bottom w:val="single" w:color="auto" w:sz="4" w:space="0"/>
            </w:tcBorders>
            <w:shd w:val="clear" w:color="auto" w:fill="auto"/>
            <w:vAlign w:val="center"/>
          </w:tcPr>
          <w:p w:rsidRPr="0044121F" w:rsidR="00A11284" w:rsidP="00545D1E" w:rsidRDefault="00A11284">
            <w:pPr>
              <w:contextualSpacing/>
              <w:rPr>
                <w:rFonts w:eastAsia="Calibri"/>
                <w:b/>
                <w:bCs/>
                <w:sz w:val="16"/>
                <w:szCs w:val="16"/>
              </w:rPr>
            </w:pPr>
            <w:r w:rsidRPr="004E08E7">
              <w:rPr>
                <w:rFonts w:eastAsia="Calibri"/>
                <w:b/>
                <w:sz w:val="16"/>
                <w:szCs w:val="16"/>
              </w:rPr>
              <w:t>259,951</w:t>
            </w:r>
          </w:p>
        </w:tc>
        <w:tc>
          <w:tcPr>
            <w:tcW w:w="598" w:type="pct"/>
            <w:tcBorders>
              <w:top w:val="single" w:color="auto" w:sz="4" w:space="0"/>
              <w:bottom w:val="single" w:color="auto" w:sz="4" w:space="0"/>
            </w:tcBorders>
            <w:shd w:val="clear" w:color="auto" w:fill="auto"/>
            <w:vAlign w:val="center"/>
          </w:tcPr>
          <w:p w:rsidRPr="004E08E7" w:rsidR="00A11284" w:rsidP="00545D1E" w:rsidRDefault="00A11284">
            <w:pPr>
              <w:contextualSpacing/>
              <w:rPr>
                <w:rFonts w:eastAsia="Calibri"/>
                <w:b/>
                <w:bCs/>
                <w:sz w:val="16"/>
                <w:szCs w:val="16"/>
              </w:rPr>
            </w:pPr>
            <w:r w:rsidRPr="004E08E7">
              <w:rPr>
                <w:rFonts w:eastAsia="Calibri"/>
                <w:b/>
                <w:sz w:val="16"/>
                <w:szCs w:val="16"/>
              </w:rPr>
              <w:t>259,951</w:t>
            </w:r>
          </w:p>
        </w:tc>
        <w:tc>
          <w:tcPr>
            <w:tcW w:w="681" w:type="pct"/>
            <w:tcBorders>
              <w:top w:val="single" w:color="auto" w:sz="4" w:space="0"/>
              <w:bottom w:val="single" w:color="auto" w:sz="4" w:space="0"/>
            </w:tcBorders>
            <w:shd w:val="clear" w:color="auto" w:fill="auto"/>
            <w:vAlign w:val="center"/>
          </w:tcPr>
          <w:p w:rsidRPr="004E08E7" w:rsidR="00A11284" w:rsidP="00545D1E" w:rsidRDefault="00A11284">
            <w:pPr>
              <w:contextualSpacing/>
              <w:rPr>
                <w:rFonts w:eastAsia="Calibri"/>
                <w:b/>
                <w:bCs/>
                <w:sz w:val="16"/>
                <w:szCs w:val="16"/>
              </w:rPr>
            </w:pPr>
            <w:r w:rsidRPr="004E08E7">
              <w:rPr>
                <w:rFonts w:eastAsia="Calibri"/>
                <w:b/>
                <w:sz w:val="16"/>
                <w:szCs w:val="16"/>
              </w:rPr>
              <w:t>- - -</w:t>
            </w:r>
          </w:p>
        </w:tc>
        <w:tc>
          <w:tcPr>
            <w:tcW w:w="637" w:type="pct"/>
            <w:tcBorders>
              <w:top w:val="single" w:color="auto" w:sz="4" w:space="0"/>
              <w:bottom w:val="single" w:color="auto" w:sz="4" w:space="0"/>
            </w:tcBorders>
            <w:shd w:val="clear" w:color="auto" w:fill="auto"/>
            <w:vAlign w:val="center"/>
          </w:tcPr>
          <w:p w:rsidRPr="004E08E7" w:rsidR="00A11284" w:rsidP="00545D1E" w:rsidRDefault="00A11284">
            <w:pPr>
              <w:contextualSpacing/>
              <w:rPr>
                <w:rFonts w:eastAsia="Calibri"/>
                <w:b/>
                <w:bCs/>
                <w:sz w:val="16"/>
                <w:szCs w:val="16"/>
              </w:rPr>
            </w:pPr>
            <w:r w:rsidRPr="007103C6">
              <w:rPr>
                <w:rFonts w:eastAsia="Calibri"/>
                <w:b/>
                <w:sz w:val="16"/>
                <w:szCs w:val="16"/>
              </w:rPr>
              <w:t>129,976</w:t>
            </w:r>
          </w:p>
        </w:tc>
        <w:tc>
          <w:tcPr>
            <w:tcW w:w="399" w:type="pct"/>
            <w:tcBorders>
              <w:top w:val="single" w:color="auto" w:sz="4" w:space="0"/>
              <w:bottom w:val="single" w:color="auto" w:sz="4" w:space="0"/>
            </w:tcBorders>
            <w:shd w:val="clear" w:color="auto" w:fill="auto"/>
            <w:vAlign w:val="center"/>
          </w:tcPr>
          <w:p w:rsidRPr="004E08E7" w:rsidR="00A11284" w:rsidP="00545D1E" w:rsidRDefault="00A11284">
            <w:pPr>
              <w:contextualSpacing/>
              <w:rPr>
                <w:rFonts w:eastAsia="Calibri"/>
                <w:b/>
                <w:bCs/>
                <w:sz w:val="16"/>
                <w:szCs w:val="16"/>
              </w:rPr>
            </w:pPr>
            <w:r w:rsidRPr="004E08E7">
              <w:rPr>
                <w:rFonts w:eastAsia="Calibri"/>
                <w:b/>
                <w:sz w:val="16"/>
                <w:szCs w:val="16"/>
              </w:rPr>
              <w:t>- - -</w:t>
            </w:r>
          </w:p>
        </w:tc>
        <w:tc>
          <w:tcPr>
            <w:tcW w:w="687" w:type="pct"/>
            <w:tcBorders>
              <w:top w:val="single" w:color="auto" w:sz="4" w:space="0"/>
              <w:left w:val="nil"/>
              <w:bottom w:val="single" w:color="auto" w:sz="4" w:space="0"/>
              <w:right w:val="single" w:color="auto" w:sz="4" w:space="0"/>
            </w:tcBorders>
            <w:shd w:val="clear" w:color="auto" w:fill="auto"/>
            <w:vAlign w:val="center"/>
          </w:tcPr>
          <w:p w:rsidRPr="004E08E7" w:rsidR="00A11284" w:rsidP="00545D1E" w:rsidRDefault="00A11284">
            <w:pPr>
              <w:rPr>
                <w:rFonts w:eastAsia="Calibri"/>
                <w:b/>
                <w:bCs/>
                <w:color w:val="000000"/>
                <w:sz w:val="16"/>
                <w:szCs w:val="16"/>
              </w:rPr>
            </w:pPr>
            <w:r>
              <w:rPr>
                <w:b/>
                <w:color w:val="000000"/>
                <w:sz w:val="16"/>
                <w:szCs w:val="16"/>
              </w:rPr>
              <w:t>$35,483,448</w:t>
            </w:r>
          </w:p>
        </w:tc>
      </w:tr>
    </w:tbl>
    <w:p w:rsidR="00A11284" w:rsidP="00AC17B0" w:rsidRDefault="00A11284">
      <w:pPr>
        <w:widowControl/>
        <w:tabs>
          <w:tab w:val="left" w:pos="-984"/>
          <w:tab w:val="left" w:pos="-720"/>
          <w:tab w:val="left" w:pos="720"/>
        </w:tabs>
        <w:jc w:val="both"/>
        <w:rPr>
          <w:rFonts w:ascii="Arial" w:hAnsi="Arial" w:cs="Arial"/>
          <w:color w:val="0000FF"/>
        </w:rPr>
      </w:pPr>
    </w:p>
    <w:p w:rsidR="00F51E78" w:rsidP="00AC17B0" w:rsidRDefault="00F51E78">
      <w:pPr>
        <w:widowControl/>
        <w:tabs>
          <w:tab w:val="left" w:pos="-984"/>
          <w:tab w:val="left" w:pos="-720"/>
          <w:tab w:val="left" w:pos="720"/>
        </w:tabs>
        <w:jc w:val="both"/>
        <w:rPr>
          <w:rFonts w:ascii="Arial" w:hAnsi="Arial" w:cs="Arial"/>
          <w:color w:val="0000FF"/>
        </w:rPr>
      </w:pPr>
    </w:p>
    <w:p w:rsidR="00F51E78" w:rsidP="00AC17B0" w:rsidRDefault="00F51E78">
      <w:pPr>
        <w:widowControl/>
        <w:tabs>
          <w:tab w:val="left" w:pos="-984"/>
          <w:tab w:val="left" w:pos="-720"/>
          <w:tab w:val="left" w:pos="720"/>
        </w:tabs>
        <w:jc w:val="both"/>
        <w:rPr>
          <w:rFonts w:ascii="Arial" w:hAnsi="Arial" w:cs="Arial"/>
          <w:color w:val="0000FF"/>
        </w:rPr>
      </w:pPr>
    </w:p>
    <w:p w:rsidRPr="00667FA4" w:rsidR="00667FA4" w:rsidP="00667FA4" w:rsidRDefault="000D0476">
      <w:pPr>
        <w:widowControl/>
        <w:tabs>
          <w:tab w:val="left" w:pos="-984"/>
          <w:tab w:val="left" w:pos="-720"/>
          <w:tab w:val="left" w:pos="720"/>
        </w:tabs>
        <w:jc w:val="both"/>
        <w:rPr>
          <w:rFonts w:ascii="Arial" w:hAnsi="Arial" w:cs="Arial"/>
          <w:b/>
          <w:bCs/>
        </w:rPr>
      </w:pPr>
      <w:r w:rsidRPr="0056760B">
        <w:rPr>
          <w:rFonts w:ascii="Arial" w:hAnsi="Arial" w:cs="Arial"/>
          <w:b/>
          <w:bCs/>
        </w:rPr>
        <w:t>13.</w:t>
      </w:r>
      <w:r w:rsidRPr="0056760B">
        <w:rPr>
          <w:rFonts w:ascii="Arial" w:hAnsi="Arial" w:cs="Arial"/>
          <w:b/>
          <w:bCs/>
        </w:rPr>
        <w:tab/>
      </w:r>
      <w:r w:rsidRPr="00667FA4" w:rsidR="00667FA4">
        <w:rPr>
          <w:rFonts w:ascii="Arial" w:hAnsi="Arial" w:cs="Arial"/>
          <w:b/>
          <w:bCs/>
        </w:rPr>
        <w:t>Provide an estimate for the total annual cost burden to respondents or record keepers resulting from the collection of information. (Do not include the cost of any hour burden already reflected on the burden worksheet).</w:t>
      </w:r>
    </w:p>
    <w:p w:rsidRPr="00667FA4" w:rsidR="00667FA4" w:rsidP="008647F6" w:rsidRDefault="00667FA4">
      <w:pPr>
        <w:widowControl/>
        <w:numPr>
          <w:ilvl w:val="0"/>
          <w:numId w:val="4"/>
        </w:numPr>
        <w:tabs>
          <w:tab w:val="left" w:pos="-984"/>
          <w:tab w:val="left" w:pos="-720"/>
        </w:tabs>
        <w:jc w:val="both"/>
        <w:rPr>
          <w:rFonts w:ascii="Arial" w:hAnsi="Arial" w:cs="Arial"/>
          <w:b/>
          <w:bCs/>
        </w:rPr>
      </w:pPr>
      <w:r w:rsidRPr="00667FA4">
        <w:rPr>
          <w:rFonts w:ascii="Arial" w:hAnsi="Arial" w:cs="Arial"/>
          <w:b/>
          <w:bCs/>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67FA4" w:rsidP="008647F6" w:rsidRDefault="00667FA4">
      <w:pPr>
        <w:widowControl/>
        <w:numPr>
          <w:ilvl w:val="0"/>
          <w:numId w:val="4"/>
        </w:numPr>
        <w:tabs>
          <w:tab w:val="left" w:pos="-984"/>
          <w:tab w:val="left" w:pos="-720"/>
        </w:tabs>
        <w:jc w:val="both"/>
        <w:rPr>
          <w:rFonts w:ascii="Arial" w:hAnsi="Arial" w:cs="Arial"/>
          <w:b/>
          <w:bCs/>
        </w:rPr>
      </w:pPr>
      <w:r w:rsidRPr="00667FA4">
        <w:rPr>
          <w:rFonts w:ascii="Arial" w:hAnsi="Arial" w:cs="Arial"/>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6760B" w:rsidR="000D0476" w:rsidP="008647F6" w:rsidRDefault="00667FA4">
      <w:pPr>
        <w:widowControl/>
        <w:numPr>
          <w:ilvl w:val="0"/>
          <w:numId w:val="4"/>
        </w:numPr>
        <w:tabs>
          <w:tab w:val="left" w:pos="-984"/>
          <w:tab w:val="left" w:pos="-720"/>
        </w:tabs>
        <w:jc w:val="both"/>
        <w:rPr>
          <w:rFonts w:ascii="Arial" w:hAnsi="Arial" w:cs="Arial"/>
        </w:rPr>
      </w:pPr>
      <w:r w:rsidRPr="00667FA4">
        <w:rPr>
          <w:rFonts w:ascii="Arial" w:hAnsi="Arial" w:cs="Arial"/>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D0476" w:rsidRDefault="000D0476">
      <w:pPr>
        <w:widowControl/>
        <w:tabs>
          <w:tab w:val="left" w:pos="-984"/>
          <w:tab w:val="left" w:pos="-720"/>
          <w:tab w:val="left" w:pos="720"/>
        </w:tabs>
        <w:jc w:val="both"/>
        <w:rPr>
          <w:rFonts w:ascii="Arial" w:hAnsi="Arial" w:cs="Arial"/>
          <w:color w:val="0000FF"/>
        </w:rPr>
      </w:pPr>
    </w:p>
    <w:p w:rsidRPr="004D7E4D" w:rsidR="000C285C" w:rsidP="000C285C" w:rsidRDefault="000C285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w:t>
      </w:r>
      <w:r w:rsidR="00DB63BA">
        <w:rPr>
          <w:bCs/>
          <w:color w:val="auto"/>
        </w:rPr>
        <w:t xml:space="preserve">information </w:t>
      </w:r>
      <w:r w:rsidRPr="00DF130C">
        <w:rPr>
          <w:bCs/>
          <w:color w:val="auto"/>
        </w:rPr>
        <w:t xml:space="preserve">collection is estimated to be </w:t>
      </w:r>
      <w:r w:rsidRPr="002A37BB">
        <w:rPr>
          <w:bCs/>
          <w:color w:val="auto"/>
        </w:rPr>
        <w:t>$</w:t>
      </w:r>
      <w:r w:rsidR="0042668E">
        <w:rPr>
          <w:bCs/>
          <w:iCs/>
          <w:color w:val="auto"/>
        </w:rPr>
        <w:t>3,9</w:t>
      </w:r>
      <w:r w:rsidR="00D66CD7">
        <w:rPr>
          <w:bCs/>
          <w:iCs/>
          <w:color w:val="auto"/>
        </w:rPr>
        <w:t>68</w:t>
      </w:r>
      <w:r w:rsidR="00DE2F4E">
        <w:rPr>
          <w:bCs/>
          <w:iCs/>
          <w:color w:val="auto"/>
        </w:rPr>
        <w:t>,075</w:t>
      </w:r>
      <w:r w:rsidR="00B30961">
        <w:rPr>
          <w:bCs/>
          <w:iCs/>
          <w:color w:val="auto"/>
        </w:rPr>
        <w:t xml:space="preserve"> </w:t>
      </w:r>
      <w:r w:rsidRPr="002A37BB">
        <w:rPr>
          <w:bCs/>
          <w:color w:val="auto"/>
        </w:rPr>
        <w:t xml:space="preserve">per year, which </w:t>
      </w:r>
      <w:r w:rsidRPr="00A65416">
        <w:rPr>
          <w:bCs/>
          <w:color w:val="auto"/>
        </w:rPr>
        <w:t xml:space="preserve">includes </w:t>
      </w:r>
      <w:r w:rsidR="0070312D">
        <w:rPr>
          <w:bCs/>
          <w:color w:val="auto"/>
        </w:rPr>
        <w:t>$</w:t>
      </w:r>
      <w:r w:rsidR="00A05AB8">
        <w:rPr>
          <w:bCs/>
          <w:color w:val="auto"/>
        </w:rPr>
        <w:t>3,969,795</w:t>
      </w:r>
      <w:r w:rsidR="0042668E">
        <w:rPr>
          <w:bCs/>
          <w:color w:val="auto"/>
        </w:rPr>
        <w:t xml:space="preserve"> </w:t>
      </w:r>
      <w:r w:rsidRPr="00A65416">
        <w:rPr>
          <w:bCs/>
          <w:color w:val="auto"/>
        </w:rPr>
        <w:t>in fees and $</w:t>
      </w:r>
      <w:r w:rsidR="0006123B">
        <w:t>2,28</w:t>
      </w:r>
      <w:r w:rsidR="00DE2F4E">
        <w:t>0</w:t>
      </w:r>
      <w:r w:rsidRPr="002A37BB" w:rsidR="0042668E">
        <w:rPr>
          <w:color w:val="auto"/>
        </w:rPr>
        <w:t xml:space="preserve"> </w:t>
      </w:r>
      <w:r w:rsidRPr="002A37BB">
        <w:rPr>
          <w:color w:val="auto"/>
        </w:rPr>
        <w:t xml:space="preserve">in </w:t>
      </w:r>
      <w:r w:rsidRPr="002A37BB">
        <w:rPr>
          <w:bCs/>
          <w:color w:val="auto"/>
        </w:rPr>
        <w:t>postage.</w:t>
      </w:r>
    </w:p>
    <w:p w:rsidR="000C285C" w:rsidRDefault="000C285C">
      <w:pPr>
        <w:widowControl/>
        <w:tabs>
          <w:tab w:val="left" w:pos="-984"/>
          <w:tab w:val="left" w:pos="-720"/>
          <w:tab w:val="left" w:pos="720"/>
        </w:tabs>
        <w:jc w:val="both"/>
        <w:rPr>
          <w:rFonts w:ascii="Arial" w:hAnsi="Arial" w:cs="Arial"/>
          <w:color w:val="0000FF"/>
        </w:rPr>
      </w:pPr>
    </w:p>
    <w:p w:rsidR="000C285C" w:rsidP="000C285C" w:rsidRDefault="000C285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DF130C">
        <w:rPr>
          <w:rFonts w:ascii="Arial" w:hAnsi="Arial"/>
          <w:u w:val="single"/>
        </w:rPr>
        <w:t>Fees</w:t>
      </w:r>
    </w:p>
    <w:p w:rsidRPr="003664AC" w:rsidR="000C285C" w:rsidP="000C285C" w:rsidRDefault="000C285C">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Pr="003664AC" w:rsidR="000C285C" w:rsidP="000C285C" w:rsidRDefault="000C285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 xml:space="preserve">There are fees associated with </w:t>
      </w:r>
      <w:r w:rsidRPr="003664AC">
        <w:rPr>
          <w:rFonts w:ascii="Arial" w:hAnsi="Arial" w:cs="Arial"/>
        </w:rPr>
        <w:t>submitting patent and trademark assignment documents to be recorded</w:t>
      </w:r>
      <w:r w:rsidRPr="003664AC">
        <w:rPr>
          <w:rFonts w:ascii="Arial" w:hAnsi="Arial"/>
        </w:rPr>
        <w:t xml:space="preserve">, for a </w:t>
      </w:r>
      <w:r w:rsidRPr="00A65416">
        <w:rPr>
          <w:rFonts w:ascii="Arial" w:hAnsi="Arial"/>
        </w:rPr>
        <w:t xml:space="preserve">total of </w:t>
      </w:r>
      <w:r w:rsidR="006D5ACE">
        <w:rPr>
          <w:rFonts w:ascii="Arial" w:hAnsi="Arial"/>
          <w:bCs/>
        </w:rPr>
        <w:t>$</w:t>
      </w:r>
      <w:r w:rsidR="007912C0">
        <w:rPr>
          <w:rFonts w:ascii="Arial" w:hAnsi="Arial"/>
          <w:bCs/>
        </w:rPr>
        <w:t>3,965,795</w:t>
      </w:r>
      <w:r w:rsidR="007912C0">
        <w:rPr>
          <w:rFonts w:ascii="Arial" w:hAnsi="Arial"/>
          <w:b/>
          <w:bCs/>
        </w:rPr>
        <w:t xml:space="preserve"> </w:t>
      </w:r>
      <w:r w:rsidRPr="003664AC">
        <w:rPr>
          <w:rFonts w:ascii="Arial" w:hAnsi="Arial"/>
        </w:rPr>
        <w:t>per year</w:t>
      </w:r>
      <w:r w:rsidRPr="003664AC" w:rsidR="00FE0E8A">
        <w:rPr>
          <w:rFonts w:ascii="Arial" w:hAnsi="Arial" w:cs="Arial"/>
        </w:rPr>
        <w:t xml:space="preserve"> as outlined in Table </w:t>
      </w:r>
      <w:r w:rsidR="004375CB">
        <w:rPr>
          <w:rFonts w:ascii="Arial" w:hAnsi="Arial" w:cs="Arial"/>
        </w:rPr>
        <w:t>5</w:t>
      </w:r>
      <w:r w:rsidRPr="003664AC" w:rsidR="00FE0E8A">
        <w:rPr>
          <w:rFonts w:ascii="Arial" w:hAnsi="Arial" w:cs="Arial"/>
        </w:rPr>
        <w:t xml:space="preserve"> below.</w:t>
      </w:r>
    </w:p>
    <w:p w:rsidR="000C285C" w:rsidP="000C285C" w:rsidRDefault="000C285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8000"/>
        </w:rPr>
      </w:pPr>
    </w:p>
    <w:p w:rsidRPr="00A65416" w:rsidR="00A65416" w:rsidP="00A65416" w:rsidRDefault="00A65416">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A65416">
        <w:rPr>
          <w:rFonts w:ascii="Arial" w:hAnsi="Arial" w:cs="Arial"/>
        </w:rPr>
        <w:t>The filing fee for submitting a patent</w:t>
      </w:r>
      <w:r>
        <w:rPr>
          <w:rFonts w:ascii="Arial" w:hAnsi="Arial" w:cs="Arial"/>
        </w:rPr>
        <w:t xml:space="preserve"> </w:t>
      </w:r>
      <w:r w:rsidRPr="00A65416">
        <w:rPr>
          <w:rFonts w:ascii="Arial" w:hAnsi="Arial" w:cs="Arial"/>
        </w:rPr>
        <w:t>assignment as indicated by 37 CFR</w:t>
      </w:r>
      <w:r>
        <w:rPr>
          <w:rFonts w:ascii="Arial" w:hAnsi="Arial" w:cs="Arial"/>
        </w:rPr>
        <w:t xml:space="preserve"> </w:t>
      </w:r>
      <w:r w:rsidRPr="00A65416">
        <w:rPr>
          <w:rFonts w:ascii="Arial" w:hAnsi="Arial" w:cs="Arial"/>
        </w:rPr>
        <w:t>1.21(h) is $</w:t>
      </w:r>
      <w:r>
        <w:rPr>
          <w:rFonts w:ascii="Arial" w:hAnsi="Arial" w:cs="Arial"/>
        </w:rPr>
        <w:t>5</w:t>
      </w:r>
      <w:r w:rsidRPr="00A65416">
        <w:rPr>
          <w:rFonts w:ascii="Arial" w:hAnsi="Arial" w:cs="Arial"/>
        </w:rPr>
        <w:t>0 per property for recording</w:t>
      </w:r>
      <w:r>
        <w:rPr>
          <w:rFonts w:ascii="Arial" w:hAnsi="Arial" w:cs="Arial"/>
        </w:rPr>
        <w:t xml:space="preserve"> </w:t>
      </w:r>
      <w:r w:rsidRPr="00A65416">
        <w:rPr>
          <w:rFonts w:ascii="Arial" w:hAnsi="Arial" w:cs="Arial"/>
        </w:rPr>
        <w:t>each document, while the filing fee for</w:t>
      </w:r>
      <w:r>
        <w:rPr>
          <w:rFonts w:ascii="Arial" w:hAnsi="Arial" w:cs="Arial"/>
        </w:rPr>
        <w:t xml:space="preserve"> </w:t>
      </w:r>
      <w:r w:rsidRPr="00A65416">
        <w:rPr>
          <w:rFonts w:ascii="Arial" w:hAnsi="Arial" w:cs="Arial"/>
        </w:rPr>
        <w:t>submitting a trademark assignment as</w:t>
      </w:r>
      <w:r>
        <w:rPr>
          <w:rFonts w:ascii="Arial" w:hAnsi="Arial" w:cs="Arial"/>
        </w:rPr>
        <w:t xml:space="preserve"> </w:t>
      </w:r>
      <w:r w:rsidRPr="00A65416">
        <w:rPr>
          <w:rFonts w:ascii="Arial" w:hAnsi="Arial" w:cs="Arial"/>
        </w:rPr>
        <w:t>indicated by 37 CFR 2.6(b)(6) is $</w:t>
      </w:r>
      <w:r>
        <w:rPr>
          <w:rFonts w:ascii="Arial" w:hAnsi="Arial" w:cs="Arial"/>
        </w:rPr>
        <w:t>4</w:t>
      </w:r>
      <w:r w:rsidRPr="00A65416">
        <w:rPr>
          <w:rFonts w:ascii="Arial" w:hAnsi="Arial" w:cs="Arial"/>
        </w:rPr>
        <w:t>0 for</w:t>
      </w:r>
      <w:r>
        <w:rPr>
          <w:rFonts w:ascii="Arial" w:hAnsi="Arial" w:cs="Arial"/>
        </w:rPr>
        <w:t xml:space="preserve"> </w:t>
      </w:r>
      <w:r w:rsidRPr="00A65416">
        <w:rPr>
          <w:rFonts w:ascii="Arial" w:hAnsi="Arial" w:cs="Arial"/>
        </w:rPr>
        <w:t>recording the first property in a</w:t>
      </w:r>
    </w:p>
    <w:p w:rsidR="00A21032" w:rsidP="00A65416" w:rsidRDefault="00A65416">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A65416">
        <w:rPr>
          <w:rFonts w:ascii="Arial" w:hAnsi="Arial" w:cs="Arial"/>
        </w:rPr>
        <w:t>document and $25 for each additional</w:t>
      </w:r>
      <w:r>
        <w:rPr>
          <w:rFonts w:ascii="Arial" w:hAnsi="Arial" w:cs="Arial"/>
        </w:rPr>
        <w:t xml:space="preserve"> </w:t>
      </w:r>
      <w:r w:rsidRPr="00A65416">
        <w:rPr>
          <w:rFonts w:ascii="Arial" w:hAnsi="Arial" w:cs="Arial"/>
        </w:rPr>
        <w:t>property in the same document. The</w:t>
      </w:r>
      <w:r>
        <w:rPr>
          <w:rFonts w:ascii="Arial" w:hAnsi="Arial" w:cs="Arial"/>
        </w:rPr>
        <w:t xml:space="preserve"> </w:t>
      </w:r>
      <w:r w:rsidRPr="00A65416">
        <w:rPr>
          <w:rFonts w:ascii="Arial" w:hAnsi="Arial" w:cs="Arial"/>
        </w:rPr>
        <w:t>USPTO estimates that the average fee for</w:t>
      </w:r>
      <w:r>
        <w:rPr>
          <w:rFonts w:ascii="Arial" w:hAnsi="Arial" w:cs="Arial"/>
        </w:rPr>
        <w:t xml:space="preserve"> </w:t>
      </w:r>
      <w:r w:rsidRPr="00A65416">
        <w:rPr>
          <w:rFonts w:ascii="Arial" w:hAnsi="Arial" w:cs="Arial"/>
        </w:rPr>
        <w:t>a patent assignment recordation request</w:t>
      </w:r>
      <w:r>
        <w:rPr>
          <w:rFonts w:ascii="Arial" w:hAnsi="Arial" w:cs="Arial"/>
        </w:rPr>
        <w:t xml:space="preserve"> </w:t>
      </w:r>
      <w:r w:rsidRPr="00A65416">
        <w:rPr>
          <w:rFonts w:ascii="Arial" w:hAnsi="Arial" w:cs="Arial"/>
        </w:rPr>
        <w:t>is approximately $</w:t>
      </w:r>
      <w:r w:rsidR="006D5ACE">
        <w:rPr>
          <w:rFonts w:ascii="Arial" w:hAnsi="Arial" w:cs="Arial"/>
        </w:rPr>
        <w:t>5</w:t>
      </w:r>
      <w:r w:rsidRPr="00A65416">
        <w:rPr>
          <w:rFonts w:ascii="Arial" w:hAnsi="Arial" w:cs="Arial"/>
        </w:rPr>
        <w:t>0 and that the</w:t>
      </w:r>
      <w:r>
        <w:rPr>
          <w:rFonts w:ascii="Arial" w:hAnsi="Arial" w:cs="Arial"/>
        </w:rPr>
        <w:t xml:space="preserve"> </w:t>
      </w:r>
      <w:r w:rsidRPr="00A65416">
        <w:rPr>
          <w:rFonts w:ascii="Arial" w:hAnsi="Arial" w:cs="Arial"/>
        </w:rPr>
        <w:t>average fee for a trademark assignment</w:t>
      </w:r>
      <w:r>
        <w:rPr>
          <w:rFonts w:ascii="Arial" w:hAnsi="Arial" w:cs="Arial"/>
        </w:rPr>
        <w:t xml:space="preserve"> </w:t>
      </w:r>
      <w:r w:rsidRPr="00A65416">
        <w:rPr>
          <w:rFonts w:ascii="Arial" w:hAnsi="Arial" w:cs="Arial"/>
        </w:rPr>
        <w:t>recordation request is approximately</w:t>
      </w:r>
      <w:r>
        <w:rPr>
          <w:rFonts w:ascii="Arial" w:hAnsi="Arial" w:cs="Arial"/>
        </w:rPr>
        <w:t xml:space="preserve"> </w:t>
      </w:r>
      <w:r w:rsidRPr="00A65416">
        <w:rPr>
          <w:rFonts w:ascii="Arial" w:hAnsi="Arial" w:cs="Arial"/>
        </w:rPr>
        <w:t>$65.</w:t>
      </w:r>
    </w:p>
    <w:p w:rsidR="00A21032" w:rsidP="00A21032" w:rsidRDefault="00A21032">
      <w:pPr>
        <w:widowControl/>
        <w:tabs>
          <w:tab w:val="left" w:pos="-984"/>
          <w:tab w:val="left" w:pos="-720"/>
          <w:tab w:val="left" w:pos="720"/>
        </w:tabs>
        <w:jc w:val="both"/>
        <w:rPr>
          <w:rFonts w:ascii="Arial" w:hAnsi="Arial" w:cs="Arial"/>
          <w:color w:val="0000FF"/>
        </w:rPr>
      </w:pPr>
    </w:p>
    <w:p w:rsidRPr="00381876" w:rsidR="00A11284" w:rsidP="00A11284" w:rsidRDefault="00A11284">
      <w:pPr>
        <w:pStyle w:val="NoSpacing"/>
        <w:jc w:val="both"/>
        <w:rPr>
          <w:b/>
          <w:szCs w:val="20"/>
        </w:rPr>
      </w:pPr>
      <w:r>
        <w:rPr>
          <w:b/>
          <w:szCs w:val="20"/>
        </w:rPr>
        <w:t>Table 5</w:t>
      </w:r>
      <w:r w:rsidRPr="004F3B59">
        <w:rPr>
          <w:b/>
          <w:szCs w:val="20"/>
        </w:rPr>
        <w:t xml:space="preserve">: </w:t>
      </w:r>
      <w:r>
        <w:rPr>
          <w:b/>
          <w:szCs w:val="20"/>
        </w:rPr>
        <w:t>Filing Fees</w:t>
      </w:r>
    </w:p>
    <w:tbl>
      <w:tblPr>
        <w:tblW w:w="957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Look w:val="04A0" w:firstRow="1" w:lastRow="0" w:firstColumn="1" w:lastColumn="0" w:noHBand="0" w:noVBand="1"/>
      </w:tblPr>
      <w:tblGrid>
        <w:gridCol w:w="565"/>
        <w:gridCol w:w="3179"/>
        <w:gridCol w:w="1944"/>
        <w:gridCol w:w="1944"/>
        <w:gridCol w:w="1944"/>
      </w:tblGrid>
      <w:tr w:rsidRPr="007277D7" w:rsidR="00A11284" w:rsidTr="00545D1E">
        <w:trPr>
          <w:cantSplit/>
          <w:tblHeader/>
        </w:trPr>
        <w:tc>
          <w:tcPr>
            <w:tcW w:w="565" w:type="dxa"/>
            <w:shd w:val="clear" w:color="auto" w:fill="auto"/>
          </w:tcPr>
          <w:p w:rsidRPr="0057011A" w:rsidR="00A11284" w:rsidP="00545D1E" w:rsidRDefault="00A11284">
            <w:pPr>
              <w:contextualSpacing/>
              <w:jc w:val="center"/>
              <w:rPr>
                <w:rFonts w:eastAsia="Calibri"/>
                <w:b/>
                <w:bCs/>
                <w:sz w:val="16"/>
                <w:szCs w:val="16"/>
              </w:rPr>
            </w:pPr>
            <w:r w:rsidRPr="0057011A">
              <w:rPr>
                <w:rFonts w:eastAsia="Calibri"/>
                <w:b/>
                <w:sz w:val="16"/>
                <w:szCs w:val="16"/>
              </w:rPr>
              <w:lastRenderedPageBreak/>
              <w:t>Item No.</w:t>
            </w:r>
          </w:p>
        </w:tc>
        <w:tc>
          <w:tcPr>
            <w:tcW w:w="3179" w:type="dxa"/>
            <w:shd w:val="clear" w:color="auto" w:fill="auto"/>
          </w:tcPr>
          <w:p w:rsidRPr="0057011A" w:rsidR="00A11284" w:rsidP="00545D1E" w:rsidRDefault="00A11284">
            <w:pPr>
              <w:contextualSpacing/>
              <w:jc w:val="center"/>
              <w:rPr>
                <w:rFonts w:eastAsia="Calibri"/>
                <w:b/>
                <w:bCs/>
                <w:sz w:val="16"/>
                <w:szCs w:val="16"/>
              </w:rPr>
            </w:pPr>
            <w:r w:rsidRPr="0057011A">
              <w:rPr>
                <w:rFonts w:eastAsia="Calibri"/>
                <w:b/>
                <w:sz w:val="16"/>
                <w:szCs w:val="16"/>
              </w:rPr>
              <w:t>Item</w:t>
            </w:r>
          </w:p>
        </w:tc>
        <w:tc>
          <w:tcPr>
            <w:tcW w:w="1944" w:type="dxa"/>
            <w:shd w:val="clear" w:color="auto" w:fill="auto"/>
          </w:tcPr>
          <w:p w:rsidRPr="0057011A" w:rsidR="00A11284" w:rsidP="00545D1E" w:rsidRDefault="00A11284">
            <w:pPr>
              <w:contextualSpacing/>
              <w:jc w:val="center"/>
              <w:rPr>
                <w:rFonts w:eastAsia="Calibri"/>
                <w:b/>
                <w:bCs/>
                <w:sz w:val="16"/>
                <w:szCs w:val="16"/>
              </w:rPr>
            </w:pPr>
            <w:r w:rsidRPr="0057011A">
              <w:rPr>
                <w:rFonts w:eastAsia="Calibri"/>
                <w:b/>
                <w:sz w:val="16"/>
                <w:szCs w:val="16"/>
              </w:rPr>
              <w:t>Estimated Annual Responses</w:t>
            </w:r>
          </w:p>
          <w:p w:rsidRPr="0057011A" w:rsidR="00A11284" w:rsidP="00545D1E" w:rsidRDefault="00A11284">
            <w:pPr>
              <w:contextualSpacing/>
              <w:jc w:val="center"/>
              <w:rPr>
                <w:rFonts w:eastAsia="Calibri"/>
                <w:b/>
                <w:bCs/>
                <w:sz w:val="16"/>
                <w:szCs w:val="16"/>
              </w:rPr>
            </w:pPr>
            <w:r w:rsidRPr="0057011A">
              <w:rPr>
                <w:rFonts w:eastAsia="Calibri"/>
                <w:b/>
                <w:sz w:val="16"/>
                <w:szCs w:val="16"/>
              </w:rPr>
              <w:t>(a)</w:t>
            </w:r>
          </w:p>
        </w:tc>
        <w:tc>
          <w:tcPr>
            <w:tcW w:w="1944" w:type="dxa"/>
            <w:shd w:val="clear" w:color="auto" w:fill="auto"/>
          </w:tcPr>
          <w:p w:rsidRPr="0057011A" w:rsidR="00A11284" w:rsidP="00545D1E" w:rsidRDefault="00A11284">
            <w:pPr>
              <w:contextualSpacing/>
              <w:jc w:val="center"/>
              <w:rPr>
                <w:rFonts w:eastAsia="Calibri"/>
                <w:b/>
                <w:bCs/>
                <w:sz w:val="16"/>
                <w:szCs w:val="16"/>
              </w:rPr>
            </w:pPr>
            <w:r w:rsidRPr="0057011A">
              <w:rPr>
                <w:rFonts w:eastAsia="Calibri"/>
                <w:b/>
                <w:sz w:val="16"/>
                <w:szCs w:val="16"/>
              </w:rPr>
              <w:t>Estimated Cost</w:t>
            </w:r>
          </w:p>
          <w:p w:rsidR="00A11284" w:rsidP="00545D1E" w:rsidRDefault="00A11284">
            <w:pPr>
              <w:contextualSpacing/>
              <w:jc w:val="center"/>
              <w:rPr>
                <w:rFonts w:eastAsia="Calibri"/>
                <w:b/>
                <w:bCs/>
                <w:sz w:val="16"/>
                <w:szCs w:val="16"/>
              </w:rPr>
            </w:pPr>
          </w:p>
          <w:p w:rsidRPr="0057011A" w:rsidR="00A11284" w:rsidP="00545D1E" w:rsidRDefault="00A11284">
            <w:pPr>
              <w:contextualSpacing/>
              <w:jc w:val="center"/>
              <w:rPr>
                <w:rFonts w:eastAsia="Calibri"/>
                <w:b/>
                <w:bCs/>
                <w:sz w:val="16"/>
                <w:szCs w:val="16"/>
              </w:rPr>
            </w:pPr>
            <w:r w:rsidRPr="0057011A">
              <w:rPr>
                <w:rFonts w:eastAsia="Calibri"/>
                <w:b/>
                <w:sz w:val="16"/>
                <w:szCs w:val="16"/>
              </w:rPr>
              <w:t>(b)</w:t>
            </w:r>
          </w:p>
        </w:tc>
        <w:tc>
          <w:tcPr>
            <w:tcW w:w="1944" w:type="dxa"/>
            <w:shd w:val="clear" w:color="auto" w:fill="auto"/>
          </w:tcPr>
          <w:p w:rsidRPr="0057011A" w:rsidR="00A11284" w:rsidP="00545D1E" w:rsidRDefault="00A11284">
            <w:pPr>
              <w:contextualSpacing/>
              <w:jc w:val="center"/>
              <w:rPr>
                <w:rFonts w:eastAsia="Calibri"/>
                <w:b/>
                <w:bCs/>
                <w:sz w:val="16"/>
                <w:szCs w:val="16"/>
              </w:rPr>
            </w:pPr>
            <w:r w:rsidRPr="0057011A">
              <w:rPr>
                <w:rFonts w:eastAsia="Calibri"/>
                <w:b/>
                <w:sz w:val="16"/>
                <w:szCs w:val="16"/>
              </w:rPr>
              <w:t>Estimated Non-Hour Cost Burden</w:t>
            </w:r>
          </w:p>
          <w:p w:rsidRPr="0057011A" w:rsidR="00A11284" w:rsidP="00545D1E" w:rsidRDefault="00A11284">
            <w:pPr>
              <w:jc w:val="center"/>
              <w:rPr>
                <w:rFonts w:eastAsia="Calibri"/>
                <w:b/>
                <w:bCs/>
                <w:sz w:val="16"/>
                <w:szCs w:val="16"/>
              </w:rPr>
            </w:pPr>
            <w:r w:rsidRPr="0057011A">
              <w:rPr>
                <w:rFonts w:eastAsia="Calibri"/>
                <w:b/>
                <w:sz w:val="16"/>
                <w:szCs w:val="16"/>
              </w:rPr>
              <w:t>(a) x (b) = (c)</w:t>
            </w:r>
          </w:p>
        </w:tc>
      </w:tr>
      <w:tr w:rsidRPr="007277D7" w:rsidR="00A11284" w:rsidTr="00545D1E">
        <w:tc>
          <w:tcPr>
            <w:tcW w:w="565" w:type="dxa"/>
            <w:shd w:val="clear" w:color="auto" w:fill="auto"/>
            <w:vAlign w:val="center"/>
          </w:tcPr>
          <w:p w:rsidRPr="0057011A" w:rsidR="00A11284" w:rsidP="00545D1E" w:rsidRDefault="00A11284">
            <w:pPr>
              <w:contextualSpacing/>
              <w:jc w:val="center"/>
              <w:rPr>
                <w:rFonts w:eastAsia="Calibri"/>
                <w:b/>
                <w:bCs/>
                <w:sz w:val="16"/>
                <w:szCs w:val="16"/>
              </w:rPr>
            </w:pPr>
            <w:r w:rsidRPr="0057011A">
              <w:rPr>
                <w:rFonts w:eastAsia="Calibri"/>
                <w:b/>
                <w:sz w:val="16"/>
                <w:szCs w:val="16"/>
              </w:rPr>
              <w:t>1</w:t>
            </w:r>
          </w:p>
        </w:tc>
        <w:tc>
          <w:tcPr>
            <w:tcW w:w="3179" w:type="dxa"/>
            <w:shd w:val="clear" w:color="auto" w:fill="auto"/>
            <w:vAlign w:val="center"/>
          </w:tcPr>
          <w:p w:rsidRPr="0057011A" w:rsidR="00A11284" w:rsidP="00545D1E" w:rsidRDefault="00A11284">
            <w:pPr>
              <w:ind w:left="2880" w:hanging="2880"/>
              <w:contextualSpacing/>
              <w:rPr>
                <w:rFonts w:eastAsia="Calibri"/>
                <w:bCs/>
                <w:sz w:val="16"/>
                <w:szCs w:val="16"/>
              </w:rPr>
            </w:pPr>
            <w:r w:rsidRPr="0057011A">
              <w:rPr>
                <w:rFonts w:eastAsia="Calibri"/>
                <w:sz w:val="16"/>
                <w:szCs w:val="16"/>
              </w:rPr>
              <w:t xml:space="preserve">Patent </w:t>
            </w:r>
            <w:r>
              <w:rPr>
                <w:rFonts w:eastAsia="Calibri"/>
                <w:sz w:val="16"/>
                <w:szCs w:val="16"/>
              </w:rPr>
              <w:t xml:space="preserve">Assignment </w:t>
            </w:r>
            <w:r w:rsidRPr="0057011A">
              <w:rPr>
                <w:rFonts w:eastAsia="Calibri"/>
                <w:sz w:val="16"/>
                <w:szCs w:val="16"/>
              </w:rPr>
              <w:t xml:space="preserve">Recordation Cover </w:t>
            </w:r>
          </w:p>
          <w:p w:rsidRPr="0057011A" w:rsidR="00A11284" w:rsidP="00545D1E" w:rsidRDefault="00A11284">
            <w:pPr>
              <w:ind w:left="2880" w:hanging="2880"/>
              <w:contextualSpacing/>
              <w:rPr>
                <w:rFonts w:eastAsia="Calibri"/>
                <w:bCs/>
                <w:sz w:val="16"/>
                <w:szCs w:val="16"/>
              </w:rPr>
            </w:pPr>
            <w:r w:rsidRPr="0057011A">
              <w:rPr>
                <w:rFonts w:eastAsia="Calibri"/>
                <w:sz w:val="16"/>
                <w:szCs w:val="16"/>
              </w:rPr>
              <w:t>Sheet (PTO-1595)</w:t>
            </w:r>
          </w:p>
        </w:tc>
        <w:tc>
          <w:tcPr>
            <w:tcW w:w="1944" w:type="dxa"/>
            <w:shd w:val="clear" w:color="auto" w:fill="auto"/>
            <w:vAlign w:val="center"/>
          </w:tcPr>
          <w:p w:rsidRPr="0057011A" w:rsidR="00A11284" w:rsidP="00545D1E" w:rsidRDefault="00A11284">
            <w:pPr>
              <w:contextualSpacing/>
              <w:rPr>
                <w:rFonts w:eastAsia="Calibri"/>
                <w:bCs/>
                <w:sz w:val="16"/>
                <w:szCs w:val="16"/>
              </w:rPr>
            </w:pPr>
            <w:r w:rsidRPr="0057011A">
              <w:rPr>
                <w:rFonts w:eastAsia="Calibri"/>
                <w:sz w:val="16"/>
                <w:szCs w:val="16"/>
              </w:rPr>
              <w:t>1</w:t>
            </w:r>
            <w:r>
              <w:rPr>
                <w:rFonts w:eastAsia="Calibri"/>
                <w:sz w:val="16"/>
                <w:szCs w:val="16"/>
              </w:rPr>
              <w:t>,</w:t>
            </w:r>
            <w:r w:rsidRPr="0057011A">
              <w:rPr>
                <w:rFonts w:eastAsia="Calibri"/>
                <w:sz w:val="16"/>
                <w:szCs w:val="16"/>
              </w:rPr>
              <w:t>351</w:t>
            </w:r>
          </w:p>
        </w:tc>
        <w:tc>
          <w:tcPr>
            <w:tcW w:w="1944" w:type="dxa"/>
            <w:shd w:val="clear" w:color="auto" w:fill="auto"/>
            <w:vAlign w:val="center"/>
          </w:tcPr>
          <w:p w:rsidRPr="0057011A" w:rsidR="00A11284" w:rsidP="00545D1E" w:rsidRDefault="00A11284">
            <w:pPr>
              <w:contextualSpacing/>
              <w:rPr>
                <w:rFonts w:eastAsia="Calibri"/>
                <w:bCs/>
                <w:sz w:val="16"/>
                <w:szCs w:val="16"/>
              </w:rPr>
            </w:pPr>
            <w:r w:rsidRPr="0057011A">
              <w:rPr>
                <w:rFonts w:eastAsia="Calibri"/>
                <w:sz w:val="16"/>
                <w:szCs w:val="16"/>
              </w:rPr>
              <w:t>$50</w:t>
            </w:r>
          </w:p>
        </w:tc>
        <w:tc>
          <w:tcPr>
            <w:tcW w:w="1944" w:type="dxa"/>
            <w:shd w:val="clear" w:color="auto" w:fill="auto"/>
            <w:vAlign w:val="center"/>
          </w:tcPr>
          <w:p w:rsidRPr="0057011A" w:rsidR="00A11284" w:rsidP="00545D1E" w:rsidRDefault="00A11284">
            <w:pPr>
              <w:spacing w:line="120" w:lineRule="exact"/>
              <w:rPr>
                <w:rFonts w:eastAsia="Calibri"/>
                <w:bCs/>
                <w:sz w:val="16"/>
                <w:szCs w:val="16"/>
              </w:rPr>
            </w:pPr>
          </w:p>
          <w:p w:rsidRPr="0057011A" w:rsidR="00A11284" w:rsidP="00545D1E" w:rsidRDefault="00A11284">
            <w:pPr>
              <w:spacing w:line="480" w:lineRule="auto"/>
              <w:rPr>
                <w:rFonts w:eastAsia="Calibri"/>
                <w:bCs/>
                <w:sz w:val="16"/>
                <w:szCs w:val="16"/>
              </w:rPr>
            </w:pPr>
            <w:r w:rsidRPr="0057011A">
              <w:rPr>
                <w:rFonts w:eastAsia="Calibri"/>
                <w:sz w:val="16"/>
                <w:szCs w:val="16"/>
              </w:rPr>
              <w:t>$67,550</w:t>
            </w:r>
          </w:p>
        </w:tc>
      </w:tr>
      <w:tr w:rsidRPr="007277D7" w:rsidR="00A11284" w:rsidTr="00545D1E">
        <w:tc>
          <w:tcPr>
            <w:tcW w:w="565" w:type="dxa"/>
            <w:shd w:val="clear" w:color="auto" w:fill="auto"/>
            <w:vAlign w:val="center"/>
          </w:tcPr>
          <w:p w:rsidRPr="0057011A" w:rsidR="00A11284" w:rsidP="00545D1E" w:rsidRDefault="00A11284">
            <w:pPr>
              <w:contextualSpacing/>
              <w:jc w:val="center"/>
              <w:rPr>
                <w:rFonts w:eastAsia="Calibri"/>
                <w:b/>
                <w:bCs/>
                <w:sz w:val="16"/>
                <w:szCs w:val="16"/>
              </w:rPr>
            </w:pPr>
            <w:r w:rsidRPr="0057011A">
              <w:rPr>
                <w:rFonts w:eastAsia="Calibri"/>
                <w:b/>
                <w:sz w:val="16"/>
                <w:szCs w:val="16"/>
              </w:rPr>
              <w:t>2</w:t>
            </w:r>
          </w:p>
        </w:tc>
        <w:tc>
          <w:tcPr>
            <w:tcW w:w="3179" w:type="dxa"/>
            <w:shd w:val="clear" w:color="auto" w:fill="auto"/>
            <w:vAlign w:val="center"/>
          </w:tcPr>
          <w:p w:rsidRPr="0057011A" w:rsidR="00A11284" w:rsidP="00A11284" w:rsidRDefault="00A11284">
            <w:pPr>
              <w:contextualSpacing/>
              <w:rPr>
                <w:rFonts w:eastAsia="Calibri"/>
                <w:bCs/>
                <w:sz w:val="16"/>
                <w:szCs w:val="16"/>
              </w:rPr>
            </w:pPr>
            <w:r w:rsidRPr="0057011A">
              <w:rPr>
                <w:rFonts w:eastAsia="Calibri"/>
                <w:sz w:val="16"/>
                <w:szCs w:val="16"/>
              </w:rPr>
              <w:t xml:space="preserve">Trademark </w:t>
            </w:r>
            <w:r>
              <w:rPr>
                <w:rFonts w:eastAsia="Calibri"/>
                <w:sz w:val="16"/>
                <w:szCs w:val="16"/>
              </w:rPr>
              <w:t xml:space="preserve">Assignment </w:t>
            </w:r>
            <w:r w:rsidRPr="0057011A">
              <w:rPr>
                <w:rFonts w:eastAsia="Calibri"/>
                <w:sz w:val="16"/>
                <w:szCs w:val="16"/>
              </w:rPr>
              <w:t>Recordation Cover Sheet (PTO-1594)</w:t>
            </w:r>
          </w:p>
        </w:tc>
        <w:tc>
          <w:tcPr>
            <w:tcW w:w="1944" w:type="dxa"/>
            <w:shd w:val="clear" w:color="auto" w:fill="auto"/>
            <w:vAlign w:val="center"/>
          </w:tcPr>
          <w:p w:rsidRPr="0057011A" w:rsidR="00A11284" w:rsidP="00545D1E" w:rsidRDefault="00A11284">
            <w:pPr>
              <w:contextualSpacing/>
              <w:rPr>
                <w:rFonts w:eastAsia="Calibri"/>
                <w:bCs/>
                <w:sz w:val="16"/>
                <w:szCs w:val="16"/>
              </w:rPr>
            </w:pPr>
            <w:r w:rsidRPr="0057011A">
              <w:rPr>
                <w:rFonts w:eastAsia="Calibri"/>
                <w:sz w:val="16"/>
                <w:szCs w:val="16"/>
              </w:rPr>
              <w:t>1</w:t>
            </w:r>
            <w:r>
              <w:rPr>
                <w:rFonts w:eastAsia="Calibri"/>
                <w:sz w:val="16"/>
                <w:szCs w:val="16"/>
              </w:rPr>
              <w:t>,</w:t>
            </w:r>
            <w:r w:rsidRPr="0057011A">
              <w:rPr>
                <w:rFonts w:eastAsia="Calibri"/>
                <w:sz w:val="16"/>
                <w:szCs w:val="16"/>
              </w:rPr>
              <w:t>050</w:t>
            </w:r>
          </w:p>
        </w:tc>
        <w:tc>
          <w:tcPr>
            <w:tcW w:w="1944" w:type="dxa"/>
            <w:shd w:val="clear" w:color="auto" w:fill="auto"/>
            <w:vAlign w:val="center"/>
          </w:tcPr>
          <w:p w:rsidRPr="0057011A" w:rsidR="00A11284" w:rsidP="00545D1E" w:rsidRDefault="00A11284">
            <w:pPr>
              <w:contextualSpacing/>
              <w:rPr>
                <w:rFonts w:eastAsia="Calibri"/>
                <w:bCs/>
                <w:sz w:val="16"/>
                <w:szCs w:val="16"/>
              </w:rPr>
            </w:pPr>
            <w:r w:rsidRPr="0057011A">
              <w:rPr>
                <w:rFonts w:eastAsia="Calibri"/>
                <w:sz w:val="16"/>
                <w:szCs w:val="16"/>
              </w:rPr>
              <w:t>$65</w:t>
            </w:r>
          </w:p>
        </w:tc>
        <w:tc>
          <w:tcPr>
            <w:tcW w:w="1944" w:type="dxa"/>
            <w:shd w:val="clear" w:color="auto" w:fill="auto"/>
            <w:vAlign w:val="center"/>
          </w:tcPr>
          <w:p w:rsidRPr="0057011A" w:rsidR="00A11284" w:rsidP="00545D1E" w:rsidRDefault="00A11284">
            <w:pPr>
              <w:spacing w:line="360" w:lineRule="auto"/>
              <w:rPr>
                <w:rFonts w:eastAsia="Calibri"/>
                <w:bCs/>
                <w:sz w:val="16"/>
                <w:szCs w:val="16"/>
              </w:rPr>
            </w:pPr>
            <w:r w:rsidRPr="0057011A">
              <w:rPr>
                <w:rFonts w:eastAsia="Calibri"/>
                <w:sz w:val="16"/>
                <w:szCs w:val="16"/>
              </w:rPr>
              <w:t>$68,250</w:t>
            </w:r>
          </w:p>
        </w:tc>
      </w:tr>
      <w:tr w:rsidRPr="007277D7" w:rsidR="00A11284" w:rsidTr="00545D1E">
        <w:tc>
          <w:tcPr>
            <w:tcW w:w="565" w:type="dxa"/>
            <w:shd w:val="clear" w:color="auto" w:fill="auto"/>
            <w:vAlign w:val="center"/>
          </w:tcPr>
          <w:p w:rsidRPr="0057011A" w:rsidR="00A11284" w:rsidP="00545D1E" w:rsidRDefault="00A11284">
            <w:pPr>
              <w:contextualSpacing/>
              <w:jc w:val="center"/>
              <w:rPr>
                <w:rFonts w:eastAsia="Calibri"/>
                <w:b/>
                <w:bCs/>
                <w:sz w:val="16"/>
                <w:szCs w:val="16"/>
              </w:rPr>
            </w:pPr>
            <w:r w:rsidRPr="0057011A">
              <w:rPr>
                <w:rFonts w:eastAsia="Calibri"/>
                <w:b/>
                <w:sz w:val="16"/>
                <w:szCs w:val="16"/>
              </w:rPr>
              <w:t>4</w:t>
            </w:r>
          </w:p>
        </w:tc>
        <w:tc>
          <w:tcPr>
            <w:tcW w:w="3179" w:type="dxa"/>
            <w:shd w:val="clear" w:color="auto" w:fill="auto"/>
            <w:vAlign w:val="center"/>
          </w:tcPr>
          <w:p w:rsidRPr="0057011A" w:rsidR="00A11284" w:rsidP="00545D1E" w:rsidRDefault="00A11284">
            <w:pPr>
              <w:contextualSpacing/>
              <w:rPr>
                <w:rFonts w:eastAsia="Calibri"/>
                <w:bCs/>
                <w:sz w:val="16"/>
                <w:szCs w:val="16"/>
              </w:rPr>
            </w:pPr>
            <w:r w:rsidRPr="0057011A">
              <w:rPr>
                <w:rFonts w:eastAsia="Calibri"/>
                <w:sz w:val="16"/>
                <w:szCs w:val="16"/>
              </w:rPr>
              <w:t>Electronic Trademark Assignment System (ETAS) (PTO-1594)</w:t>
            </w:r>
          </w:p>
        </w:tc>
        <w:tc>
          <w:tcPr>
            <w:tcW w:w="1944" w:type="dxa"/>
            <w:shd w:val="clear" w:color="auto" w:fill="auto"/>
            <w:vAlign w:val="center"/>
          </w:tcPr>
          <w:p w:rsidRPr="0057011A" w:rsidR="00A11284" w:rsidP="00545D1E" w:rsidRDefault="00A11284">
            <w:pPr>
              <w:contextualSpacing/>
              <w:rPr>
                <w:rFonts w:eastAsia="Calibri"/>
                <w:bCs/>
                <w:sz w:val="16"/>
                <w:szCs w:val="16"/>
              </w:rPr>
            </w:pPr>
            <w:r w:rsidRPr="0057011A">
              <w:rPr>
                <w:rFonts w:eastAsia="Calibri"/>
                <w:sz w:val="16"/>
                <w:szCs w:val="16"/>
              </w:rPr>
              <w:t>58,923</w:t>
            </w:r>
          </w:p>
        </w:tc>
        <w:tc>
          <w:tcPr>
            <w:tcW w:w="1944" w:type="dxa"/>
            <w:shd w:val="clear" w:color="auto" w:fill="auto"/>
            <w:vAlign w:val="center"/>
          </w:tcPr>
          <w:p w:rsidRPr="0057011A" w:rsidR="00A11284" w:rsidP="00545D1E" w:rsidRDefault="00A11284">
            <w:pPr>
              <w:contextualSpacing/>
              <w:rPr>
                <w:rFonts w:eastAsia="Calibri"/>
                <w:bCs/>
                <w:sz w:val="16"/>
                <w:szCs w:val="16"/>
              </w:rPr>
            </w:pPr>
            <w:r w:rsidRPr="0057011A">
              <w:rPr>
                <w:rFonts w:eastAsia="Calibri"/>
                <w:sz w:val="16"/>
                <w:szCs w:val="16"/>
              </w:rPr>
              <w:t>$65</w:t>
            </w:r>
          </w:p>
        </w:tc>
        <w:tc>
          <w:tcPr>
            <w:tcW w:w="1944" w:type="dxa"/>
            <w:shd w:val="clear" w:color="auto" w:fill="auto"/>
            <w:vAlign w:val="center"/>
          </w:tcPr>
          <w:p w:rsidRPr="0057011A" w:rsidR="00A11284" w:rsidP="00545D1E" w:rsidRDefault="00A11284">
            <w:pPr>
              <w:spacing w:line="120" w:lineRule="exact"/>
              <w:rPr>
                <w:rFonts w:eastAsia="Calibri"/>
                <w:bCs/>
                <w:sz w:val="16"/>
                <w:szCs w:val="16"/>
              </w:rPr>
            </w:pPr>
          </w:p>
          <w:p w:rsidRPr="0057011A" w:rsidR="00A11284" w:rsidP="00545D1E" w:rsidRDefault="00A11284">
            <w:pPr>
              <w:spacing w:line="360" w:lineRule="auto"/>
              <w:rPr>
                <w:rFonts w:eastAsia="Calibri"/>
                <w:bCs/>
                <w:sz w:val="16"/>
                <w:szCs w:val="16"/>
              </w:rPr>
            </w:pPr>
            <w:r w:rsidRPr="0057011A">
              <w:rPr>
                <w:rFonts w:eastAsia="Calibri"/>
                <w:sz w:val="16"/>
                <w:szCs w:val="16"/>
              </w:rPr>
              <w:t>$3,829,995</w:t>
            </w:r>
          </w:p>
        </w:tc>
      </w:tr>
      <w:tr w:rsidRPr="007277D7" w:rsidR="00A11284" w:rsidTr="00545D1E">
        <w:tc>
          <w:tcPr>
            <w:tcW w:w="565" w:type="dxa"/>
            <w:shd w:val="clear" w:color="auto" w:fill="auto"/>
            <w:vAlign w:val="center"/>
          </w:tcPr>
          <w:p w:rsidRPr="0057011A" w:rsidR="00A11284" w:rsidP="00545D1E" w:rsidRDefault="00A11284">
            <w:pPr>
              <w:contextualSpacing/>
              <w:rPr>
                <w:rFonts w:eastAsia="Calibri"/>
                <w:bCs/>
                <w:sz w:val="16"/>
                <w:szCs w:val="16"/>
              </w:rPr>
            </w:pPr>
          </w:p>
        </w:tc>
        <w:tc>
          <w:tcPr>
            <w:tcW w:w="3179" w:type="dxa"/>
            <w:shd w:val="clear" w:color="auto" w:fill="auto"/>
            <w:vAlign w:val="center"/>
          </w:tcPr>
          <w:p w:rsidRPr="0057011A" w:rsidR="00A11284" w:rsidP="00545D1E" w:rsidRDefault="00A11284">
            <w:pPr>
              <w:contextualSpacing/>
              <w:rPr>
                <w:rFonts w:eastAsia="Calibri"/>
                <w:bCs/>
                <w:sz w:val="16"/>
                <w:szCs w:val="16"/>
              </w:rPr>
            </w:pPr>
            <w:r w:rsidRPr="0057011A">
              <w:rPr>
                <w:rFonts w:eastAsia="Calibri"/>
                <w:b/>
                <w:sz w:val="16"/>
                <w:szCs w:val="16"/>
              </w:rPr>
              <w:t>Total</w:t>
            </w:r>
          </w:p>
        </w:tc>
        <w:tc>
          <w:tcPr>
            <w:tcW w:w="1944" w:type="dxa"/>
            <w:shd w:val="clear" w:color="auto" w:fill="auto"/>
            <w:vAlign w:val="center"/>
          </w:tcPr>
          <w:p w:rsidRPr="00B219E5" w:rsidR="00A11284" w:rsidP="00545D1E" w:rsidRDefault="00A11284">
            <w:pPr>
              <w:contextualSpacing/>
              <w:jc w:val="right"/>
              <w:rPr>
                <w:rFonts w:eastAsia="Calibri"/>
                <w:bCs/>
                <w:sz w:val="16"/>
                <w:szCs w:val="16"/>
              </w:rPr>
            </w:pPr>
            <w:r w:rsidRPr="00B219E5">
              <w:rPr>
                <w:rFonts w:eastAsia="Calibri"/>
                <w:sz w:val="16"/>
                <w:szCs w:val="16"/>
              </w:rPr>
              <w:t>- - -</w:t>
            </w:r>
          </w:p>
        </w:tc>
        <w:tc>
          <w:tcPr>
            <w:tcW w:w="1944" w:type="dxa"/>
            <w:shd w:val="clear" w:color="auto" w:fill="auto"/>
            <w:vAlign w:val="center"/>
          </w:tcPr>
          <w:p w:rsidRPr="00B219E5" w:rsidR="00A11284" w:rsidP="00545D1E" w:rsidRDefault="00A11284">
            <w:pPr>
              <w:contextualSpacing/>
              <w:jc w:val="right"/>
              <w:rPr>
                <w:rFonts w:eastAsia="Calibri"/>
                <w:bCs/>
                <w:sz w:val="16"/>
                <w:szCs w:val="16"/>
              </w:rPr>
            </w:pPr>
            <w:r w:rsidRPr="00B219E5">
              <w:rPr>
                <w:rFonts w:eastAsia="Calibri"/>
                <w:sz w:val="16"/>
                <w:szCs w:val="16"/>
              </w:rPr>
              <w:t>- - -</w:t>
            </w:r>
          </w:p>
        </w:tc>
        <w:tc>
          <w:tcPr>
            <w:tcW w:w="1944" w:type="dxa"/>
            <w:shd w:val="clear" w:color="auto" w:fill="auto"/>
            <w:vAlign w:val="center"/>
          </w:tcPr>
          <w:p w:rsidRPr="0057011A" w:rsidR="00A11284" w:rsidP="00545D1E" w:rsidRDefault="00A11284">
            <w:pPr>
              <w:contextualSpacing/>
              <w:rPr>
                <w:rFonts w:eastAsia="Calibri"/>
                <w:bCs/>
                <w:sz w:val="16"/>
                <w:szCs w:val="16"/>
              </w:rPr>
            </w:pPr>
            <w:r w:rsidRPr="0057011A">
              <w:rPr>
                <w:rFonts w:eastAsia="Calibri"/>
                <w:b/>
                <w:sz w:val="16"/>
                <w:szCs w:val="16"/>
              </w:rPr>
              <w:t>$3,965,795</w:t>
            </w:r>
          </w:p>
        </w:tc>
      </w:tr>
    </w:tbl>
    <w:p w:rsidR="000D0476" w:rsidRDefault="000D0476">
      <w:pPr>
        <w:widowControl/>
        <w:tabs>
          <w:tab w:val="left" w:pos="-984"/>
          <w:tab w:val="left" w:pos="-720"/>
          <w:tab w:val="left" w:pos="720"/>
        </w:tabs>
        <w:jc w:val="both"/>
        <w:rPr>
          <w:rFonts w:ascii="Arial" w:hAnsi="Arial" w:cs="Arial"/>
          <w:color w:val="0000FF"/>
        </w:rPr>
      </w:pPr>
    </w:p>
    <w:p w:rsidRPr="00090532" w:rsidR="006A2A1C" w:rsidP="006A2A1C" w:rsidRDefault="006A2A1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6A2A1C" w:rsidP="006A2A1C" w:rsidRDefault="006A2A1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Pr="00A11284" w:rsidR="00A11284" w:rsidP="00A11284" w:rsidRDefault="00A112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A11284">
        <w:rPr>
          <w:rFonts w:ascii="Arial" w:hAnsi="Arial" w:cs="Arial"/>
        </w:rPr>
        <w:t>Customers may incur postage costs when submitting a patent or trademark assignment request to the USPTO by mail. The Patent and Trademark Recordation Cover Sheets can be submitted by mail, for a total of 2,401 mailed submissions. The average postage cost for a mailed Patent or Trademark Recordation Form Cover Sheet is $0.95, resulting in a total postage cost of $2,</w:t>
      </w:r>
      <w:r w:rsidR="00DE2F4E">
        <w:rPr>
          <w:rFonts w:ascii="Arial" w:hAnsi="Arial" w:cs="Arial"/>
        </w:rPr>
        <w:t>280</w:t>
      </w:r>
      <w:r w:rsidRPr="00A11284">
        <w:rPr>
          <w:rFonts w:ascii="Arial" w:hAnsi="Arial" w:cs="Arial"/>
        </w:rPr>
        <w:t xml:space="preserve"> per year for this information collection.</w:t>
      </w:r>
    </w:p>
    <w:p w:rsidR="006A2A1C" w:rsidRDefault="006A2A1C">
      <w:pPr>
        <w:widowControl/>
        <w:tabs>
          <w:tab w:val="left" w:pos="-984"/>
          <w:tab w:val="left" w:pos="-720"/>
          <w:tab w:val="left" w:pos="720"/>
        </w:tabs>
        <w:jc w:val="both"/>
        <w:rPr>
          <w:rFonts w:ascii="Arial" w:hAnsi="Arial" w:cs="Arial"/>
          <w:color w:val="0000FF"/>
        </w:rPr>
      </w:pPr>
    </w:p>
    <w:p w:rsidR="001A3093" w:rsidRDefault="001A3093">
      <w:pPr>
        <w:widowControl/>
        <w:tabs>
          <w:tab w:val="left" w:pos="-984"/>
          <w:tab w:val="left" w:pos="-720"/>
          <w:tab w:val="left" w:pos="720"/>
        </w:tabs>
        <w:jc w:val="both"/>
        <w:rPr>
          <w:rFonts w:ascii="Arial" w:hAnsi="Arial" w:cs="Arial"/>
          <w:color w:val="0000FF"/>
        </w:rPr>
      </w:pPr>
    </w:p>
    <w:p w:rsidRPr="00EC4927" w:rsidR="000D0476" w:rsidP="00EC4927" w:rsidRDefault="000D0476">
      <w:pPr>
        <w:widowControl/>
        <w:tabs>
          <w:tab w:val="left" w:pos="-984"/>
          <w:tab w:val="left" w:pos="-720"/>
          <w:tab w:val="left" w:pos="720"/>
        </w:tabs>
        <w:jc w:val="both"/>
        <w:rPr>
          <w:rFonts w:ascii="Arial" w:hAnsi="Arial" w:cs="Arial"/>
          <w:b/>
        </w:rPr>
      </w:pPr>
      <w:r w:rsidRPr="0056760B">
        <w:rPr>
          <w:rFonts w:ascii="Arial" w:hAnsi="Arial" w:cs="Arial"/>
          <w:b/>
          <w:bCs/>
        </w:rPr>
        <w:t>14.</w:t>
      </w:r>
      <w:r w:rsidRPr="0056760B">
        <w:rPr>
          <w:rFonts w:ascii="Arial" w:hAnsi="Arial" w:cs="Arial"/>
          <w:b/>
          <w:bCs/>
        </w:rPr>
        <w:tab/>
      </w:r>
      <w:r w:rsidRPr="00667FA4" w:rsidR="00667FA4">
        <w:rPr>
          <w:rFonts w:ascii="Arial" w:hAnsi="Arial" w:cs="Arial"/>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C4927" w:rsidRDefault="00EC4927">
      <w:pPr>
        <w:keepLines/>
        <w:widowControl/>
        <w:tabs>
          <w:tab w:val="left" w:pos="-984"/>
          <w:tab w:val="left" w:pos="-720"/>
          <w:tab w:val="left" w:pos="720"/>
        </w:tabs>
        <w:jc w:val="both"/>
        <w:rPr>
          <w:rFonts w:ascii="Arial" w:hAnsi="Arial" w:cs="Arial"/>
          <w:color w:val="0000FF"/>
        </w:rPr>
      </w:pPr>
    </w:p>
    <w:p w:rsidRPr="007E5193" w:rsidR="007E5193" w:rsidP="00321808" w:rsidRDefault="007E519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both GS-7 Legal Instrument Examiners and GS-9 </w:t>
      </w:r>
      <w:r w:rsidR="001D5628">
        <w:rPr>
          <w:rFonts w:cs="Arial"/>
          <w:color w:val="auto"/>
        </w:rPr>
        <w:t>Legal Administrative Specialist</w:t>
      </w:r>
      <w:r w:rsidR="00A11284">
        <w:rPr>
          <w:rFonts w:cs="Arial"/>
          <w:color w:val="auto"/>
        </w:rPr>
        <w:t>s</w:t>
      </w:r>
      <w:r w:rsidR="001D5628">
        <w:rPr>
          <w:rFonts w:cs="Arial"/>
          <w:color w:val="auto"/>
        </w:rPr>
        <w:t xml:space="preserve"> </w:t>
      </w:r>
      <w:r w:rsidRPr="004D7E96">
        <w:rPr>
          <w:rFonts w:cs="Arial"/>
          <w:color w:val="auto"/>
        </w:rPr>
        <w:t>to process submissions for this information collection. The USPTO estimates that approximately 80% of the employees processing these submissions are GS-7, step 1</w:t>
      </w:r>
      <w:r w:rsidR="003B0F94">
        <w:rPr>
          <w:rFonts w:cs="Arial"/>
          <w:color w:val="auto"/>
        </w:rPr>
        <w:t>0</w:t>
      </w:r>
      <w:r w:rsidRPr="004D7E96">
        <w:rPr>
          <w:rFonts w:cs="Arial"/>
          <w:color w:val="auto"/>
        </w:rPr>
        <w:t xml:space="preserve"> and 20% are GS-9, step </w:t>
      </w:r>
      <w:r w:rsidR="00ED5FCA">
        <w:rPr>
          <w:rFonts w:cs="Arial"/>
          <w:color w:val="auto"/>
        </w:rPr>
        <w:t>9</w:t>
      </w:r>
      <w:r w:rsidRPr="004D7E96">
        <w:rPr>
          <w:rFonts w:cs="Arial"/>
          <w:color w:val="auto"/>
        </w:rPr>
        <w:t>.</w:t>
      </w:r>
    </w:p>
    <w:p w:rsidR="007E5193" w:rsidP="00321808" w:rsidRDefault="007E519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Pr="007E5193" w:rsidR="007E5193" w:rsidP="007E5193" w:rsidRDefault="0032180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7E5193">
        <w:rPr>
          <w:color w:val="auto"/>
        </w:rPr>
        <w:t xml:space="preserve">The USPTO estimates that the cost of a </w:t>
      </w:r>
      <w:hyperlink w:history="1" r:id="rId15">
        <w:r w:rsidRPr="00BB1BEF" w:rsidR="006061BF">
          <w:rPr>
            <w:rStyle w:val="Hyperlink"/>
          </w:rPr>
          <w:t>GS-7, step 10</w:t>
        </w:r>
      </w:hyperlink>
      <w:r w:rsidRPr="00D73CDB" w:rsidR="00DC65E7">
        <w:rPr>
          <w:rStyle w:val="FootnoteReference"/>
          <w:color w:val="auto"/>
          <w:vertAlign w:val="superscript"/>
        </w:rPr>
        <w:footnoteReference w:id="4"/>
      </w:r>
      <w:r w:rsidRPr="00D73CDB">
        <w:rPr>
          <w:color w:val="auto"/>
          <w:vertAlign w:val="superscript"/>
        </w:rPr>
        <w:t xml:space="preserve"> </w:t>
      </w:r>
      <w:r w:rsidRPr="007E5193">
        <w:rPr>
          <w:color w:val="auto"/>
        </w:rPr>
        <w:t>employee is $</w:t>
      </w:r>
      <w:r w:rsidR="006061BF">
        <w:rPr>
          <w:color w:val="auto"/>
        </w:rPr>
        <w:t>39.81</w:t>
      </w:r>
      <w:r w:rsidR="00D73CDB">
        <w:rPr>
          <w:color w:val="auto"/>
        </w:rPr>
        <w:t xml:space="preserve"> </w:t>
      </w:r>
      <w:r w:rsidRPr="007E5193">
        <w:rPr>
          <w:color w:val="auto"/>
        </w:rPr>
        <w:t>per hour (GS hourly rate of $</w:t>
      </w:r>
      <w:r w:rsidRPr="006061BF" w:rsidR="006061BF">
        <w:rPr>
          <w:color w:val="auto"/>
        </w:rPr>
        <w:t>30.62</w:t>
      </w:r>
      <w:r w:rsidR="006061BF">
        <w:rPr>
          <w:color w:val="auto"/>
        </w:rPr>
        <w:t xml:space="preserve"> </w:t>
      </w:r>
      <w:r w:rsidRPr="007E5193">
        <w:rPr>
          <w:color w:val="auto"/>
        </w:rPr>
        <w:t>with 30% ($</w:t>
      </w:r>
      <w:r w:rsidR="006061BF">
        <w:rPr>
          <w:color w:val="auto"/>
        </w:rPr>
        <w:t>9.19</w:t>
      </w:r>
      <w:r w:rsidRPr="007E5193">
        <w:rPr>
          <w:color w:val="auto"/>
        </w:rPr>
        <w:t>) added for benefits and overhead).</w:t>
      </w:r>
      <w:r w:rsidRPr="007E5193" w:rsidR="007E5193">
        <w:rPr>
          <w:color w:val="auto"/>
        </w:rPr>
        <w:t xml:space="preserve">  The USPTO estimates that the cost of a </w:t>
      </w:r>
      <w:hyperlink w:history="1" r:id="rId16">
        <w:r w:rsidRPr="00BB1BEF" w:rsidR="006061BF">
          <w:rPr>
            <w:rStyle w:val="Hyperlink"/>
          </w:rPr>
          <w:t>GS-9, step 9</w:t>
        </w:r>
      </w:hyperlink>
      <w:r w:rsidRPr="00D73CDB" w:rsidR="00DC65E7">
        <w:rPr>
          <w:rStyle w:val="FootnoteReference"/>
          <w:color w:val="auto"/>
          <w:vertAlign w:val="superscript"/>
        </w:rPr>
        <w:footnoteReference w:id="5"/>
      </w:r>
      <w:r w:rsidRPr="007E5193" w:rsidR="007E5193">
        <w:rPr>
          <w:color w:val="auto"/>
        </w:rPr>
        <w:t xml:space="preserve"> employee</w:t>
      </w:r>
      <w:r w:rsidR="00486030">
        <w:rPr>
          <w:color w:val="auto"/>
        </w:rPr>
        <w:t>s</w:t>
      </w:r>
      <w:r w:rsidRPr="007E5193" w:rsidR="007E5193">
        <w:rPr>
          <w:color w:val="auto"/>
        </w:rPr>
        <w:t xml:space="preserve"> is $</w:t>
      </w:r>
      <w:r w:rsidR="006061BF">
        <w:rPr>
          <w:color w:val="auto"/>
        </w:rPr>
        <w:t>47.44</w:t>
      </w:r>
      <w:r w:rsidR="00D73CDB">
        <w:rPr>
          <w:color w:val="auto"/>
        </w:rPr>
        <w:t xml:space="preserve"> </w:t>
      </w:r>
      <w:r w:rsidRPr="007E5193" w:rsidR="007E5193">
        <w:rPr>
          <w:color w:val="auto"/>
        </w:rPr>
        <w:t>per hour (GS hourly rate of $</w:t>
      </w:r>
      <w:r w:rsidRPr="006061BF" w:rsidR="006061BF">
        <w:rPr>
          <w:color w:val="auto"/>
        </w:rPr>
        <w:t>36.49</w:t>
      </w:r>
      <w:r w:rsidR="00D73CDB">
        <w:rPr>
          <w:color w:val="auto"/>
        </w:rPr>
        <w:t xml:space="preserve"> </w:t>
      </w:r>
      <w:r w:rsidRPr="007E5193" w:rsidR="007E5193">
        <w:rPr>
          <w:color w:val="auto"/>
        </w:rPr>
        <w:t>with 30% ($</w:t>
      </w:r>
      <w:r w:rsidR="006061BF">
        <w:rPr>
          <w:color w:val="auto"/>
        </w:rPr>
        <w:t>10.95</w:t>
      </w:r>
      <w:r w:rsidRPr="007E5193" w:rsidR="007E5193">
        <w:rPr>
          <w:color w:val="auto"/>
        </w:rPr>
        <w:t>) added for benefits and overhead).</w:t>
      </w:r>
    </w:p>
    <w:p w:rsidRPr="00321808" w:rsidR="00321808" w:rsidP="00321808" w:rsidRDefault="0032180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Pr="00DE3D89" w:rsidR="000D0476" w:rsidP="00EC4927" w:rsidRDefault="000D0476">
      <w:pPr>
        <w:widowControl/>
        <w:tabs>
          <w:tab w:val="left" w:pos="-984"/>
          <w:tab w:val="left" w:pos="-720"/>
          <w:tab w:val="left" w:pos="720"/>
        </w:tabs>
        <w:jc w:val="both"/>
        <w:rPr>
          <w:rFonts w:ascii="Arial" w:hAnsi="Arial" w:cs="Arial"/>
        </w:rPr>
      </w:pPr>
      <w:r w:rsidRPr="00DE3D89">
        <w:rPr>
          <w:rFonts w:ascii="Arial" w:hAnsi="Arial" w:cs="Arial"/>
        </w:rPr>
        <w:t>Based on the percentages of the employees processing these submissions, the average hourly rate for the USPTO staff processing these submissions is $</w:t>
      </w:r>
      <w:r w:rsidRPr="00BB1BEF" w:rsidR="00BB1BEF">
        <w:rPr>
          <w:rFonts w:ascii="Arial" w:hAnsi="Arial" w:cs="Arial"/>
        </w:rPr>
        <w:t>41.34</w:t>
      </w:r>
      <w:r w:rsidRPr="00BB1BEF" w:rsidDel="00BB1BEF" w:rsidR="00BB1BEF">
        <w:rPr>
          <w:rFonts w:ascii="Arial" w:hAnsi="Arial" w:cs="Arial"/>
        </w:rPr>
        <w:t xml:space="preserve"> </w:t>
      </w:r>
      <w:r w:rsidRPr="00DE3D89">
        <w:rPr>
          <w:rFonts w:ascii="Arial" w:hAnsi="Arial" w:cs="Arial"/>
        </w:rPr>
        <w:t>(80% of the GS-7, step 1</w:t>
      </w:r>
      <w:r w:rsidR="00ED5FCA">
        <w:rPr>
          <w:rFonts w:ascii="Arial" w:hAnsi="Arial" w:cs="Arial"/>
        </w:rPr>
        <w:t>0</w:t>
      </w:r>
      <w:r w:rsidRPr="00DE3D89">
        <w:rPr>
          <w:rFonts w:ascii="Arial" w:hAnsi="Arial" w:cs="Arial"/>
        </w:rPr>
        <w:t xml:space="preserve"> </w:t>
      </w:r>
      <w:r w:rsidRPr="00DE3D89" w:rsidR="00DE3D89">
        <w:rPr>
          <w:rFonts w:ascii="Arial" w:hAnsi="Arial" w:cs="Arial"/>
        </w:rPr>
        <w:t>hourly cost</w:t>
      </w:r>
      <w:r w:rsidRPr="00DE3D89">
        <w:rPr>
          <w:rFonts w:ascii="Arial" w:hAnsi="Arial" w:cs="Arial"/>
        </w:rPr>
        <w:t xml:space="preserve"> of $</w:t>
      </w:r>
      <w:r w:rsidR="00BB1BEF">
        <w:rPr>
          <w:rFonts w:ascii="Arial" w:hAnsi="Arial" w:cs="Arial"/>
        </w:rPr>
        <w:t>39.81</w:t>
      </w:r>
      <w:r w:rsidRPr="00DE3D89" w:rsidR="00AD059C">
        <w:rPr>
          <w:rFonts w:ascii="Arial" w:hAnsi="Arial" w:cs="Arial"/>
        </w:rPr>
        <w:t xml:space="preserve"> </w:t>
      </w:r>
      <w:r w:rsidRPr="00DE3D89">
        <w:rPr>
          <w:rFonts w:ascii="Arial" w:hAnsi="Arial" w:cs="Arial"/>
        </w:rPr>
        <w:t>is $</w:t>
      </w:r>
      <w:r w:rsidR="00BB1BEF">
        <w:rPr>
          <w:rFonts w:ascii="Arial" w:hAnsi="Arial" w:cs="Arial"/>
        </w:rPr>
        <w:t>31.85</w:t>
      </w:r>
      <w:r w:rsidRPr="00DE3D89">
        <w:rPr>
          <w:rFonts w:ascii="Arial" w:hAnsi="Arial" w:cs="Arial"/>
        </w:rPr>
        <w:t xml:space="preserve">; and 20% of the GS-9, step </w:t>
      </w:r>
      <w:r w:rsidR="00ED5FCA">
        <w:rPr>
          <w:rFonts w:ascii="Arial" w:hAnsi="Arial" w:cs="Arial"/>
        </w:rPr>
        <w:t>9</w:t>
      </w:r>
      <w:r w:rsidRPr="00DE3D89">
        <w:rPr>
          <w:rFonts w:ascii="Arial" w:hAnsi="Arial" w:cs="Arial"/>
        </w:rPr>
        <w:t xml:space="preserve"> </w:t>
      </w:r>
      <w:r w:rsidRPr="00DE3D89" w:rsidR="00DE3D89">
        <w:rPr>
          <w:rFonts w:ascii="Arial" w:hAnsi="Arial" w:cs="Arial"/>
        </w:rPr>
        <w:t>hourly cost</w:t>
      </w:r>
      <w:r w:rsidRPr="00DE3D89">
        <w:rPr>
          <w:rFonts w:ascii="Arial" w:hAnsi="Arial" w:cs="Arial"/>
        </w:rPr>
        <w:t xml:space="preserve"> of $</w:t>
      </w:r>
      <w:r w:rsidRPr="00BB1BEF" w:rsidR="00BB1BEF">
        <w:rPr>
          <w:rFonts w:ascii="Arial" w:hAnsi="Arial" w:cs="Arial"/>
        </w:rPr>
        <w:t>47.44</w:t>
      </w:r>
      <w:r w:rsidRPr="00DE3D89">
        <w:rPr>
          <w:rFonts w:ascii="Arial" w:hAnsi="Arial" w:cs="Arial"/>
        </w:rPr>
        <w:t>is $</w:t>
      </w:r>
      <w:r w:rsidR="00BB1BEF">
        <w:rPr>
          <w:rFonts w:ascii="Arial" w:hAnsi="Arial" w:cs="Arial"/>
        </w:rPr>
        <w:t>9.49</w:t>
      </w:r>
      <w:r w:rsidRPr="00DE3D89">
        <w:rPr>
          <w:rFonts w:ascii="Arial" w:hAnsi="Arial" w:cs="Arial"/>
        </w:rPr>
        <w:t>; for a total of $</w:t>
      </w:r>
      <w:r w:rsidRPr="00BB1BEF" w:rsidR="00BB1BEF">
        <w:rPr>
          <w:rFonts w:ascii="Arial" w:hAnsi="Arial" w:cs="Arial"/>
        </w:rPr>
        <w:t>41.34</w:t>
      </w:r>
      <w:r w:rsidRPr="00DE3D89">
        <w:rPr>
          <w:rFonts w:ascii="Arial" w:hAnsi="Arial" w:cs="Arial"/>
        </w:rPr>
        <w:t>).</w:t>
      </w:r>
    </w:p>
    <w:p w:rsidRPr="006B46CC" w:rsidR="000D0476" w:rsidRDefault="000D0476">
      <w:pPr>
        <w:widowControl/>
        <w:tabs>
          <w:tab w:val="left" w:pos="-984"/>
          <w:tab w:val="left" w:pos="-720"/>
          <w:tab w:val="left" w:pos="720"/>
        </w:tabs>
        <w:jc w:val="both"/>
        <w:rPr>
          <w:rFonts w:ascii="Arial" w:hAnsi="Arial" w:cs="Arial"/>
          <w:color w:val="0000FF"/>
        </w:rPr>
      </w:pPr>
    </w:p>
    <w:p w:rsidRPr="007E5193" w:rsidR="000D0476" w:rsidRDefault="000D0476">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30 minutes (0.5 hours) to process a request to record a patent or trademark assignment submitted with a paper cover sheet and 15 minutes (0.25 hours) to process an </w:t>
      </w:r>
      <w:r w:rsidRPr="004D7E96" w:rsidR="00951383">
        <w:rPr>
          <w:rFonts w:ascii="Arial" w:hAnsi="Arial" w:cs="Arial"/>
        </w:rPr>
        <w:t>online</w:t>
      </w:r>
      <w:r w:rsidRPr="007E5193">
        <w:rPr>
          <w:rFonts w:ascii="Arial" w:hAnsi="Arial" w:cs="Arial"/>
        </w:rPr>
        <w:t xml:space="preserve"> submission via EPAS or ETAS.</w:t>
      </w:r>
    </w:p>
    <w:p w:rsidRPr="006B46CC" w:rsidR="000D0476" w:rsidRDefault="000D0476">
      <w:pPr>
        <w:widowControl/>
        <w:tabs>
          <w:tab w:val="left" w:pos="-984"/>
          <w:tab w:val="left" w:pos="-720"/>
          <w:tab w:val="left" w:pos="720"/>
        </w:tabs>
        <w:jc w:val="both"/>
        <w:rPr>
          <w:rFonts w:ascii="Arial" w:hAnsi="Arial" w:cs="Arial"/>
          <w:color w:val="0000FF"/>
        </w:rPr>
      </w:pPr>
    </w:p>
    <w:p w:rsidR="000D0476" w:rsidRDefault="000D0476">
      <w:pPr>
        <w:widowControl/>
        <w:tabs>
          <w:tab w:val="left" w:pos="-984"/>
          <w:tab w:val="left" w:pos="-720"/>
          <w:tab w:val="left" w:pos="720"/>
        </w:tabs>
        <w:jc w:val="both"/>
        <w:rPr>
          <w:rFonts w:ascii="Arial" w:hAnsi="Arial" w:cs="Arial"/>
        </w:rPr>
      </w:pPr>
      <w:r w:rsidRPr="00321808">
        <w:rPr>
          <w:rFonts w:ascii="Arial" w:hAnsi="Arial" w:cs="Arial"/>
        </w:rPr>
        <w:t xml:space="preserve">Table </w:t>
      </w:r>
      <w:r w:rsidR="00371AA0">
        <w:rPr>
          <w:rFonts w:ascii="Arial" w:hAnsi="Arial" w:cs="Arial"/>
        </w:rPr>
        <w:t>6</w:t>
      </w:r>
      <w:r w:rsidRPr="00321808">
        <w:rPr>
          <w:rFonts w:ascii="Arial" w:hAnsi="Arial" w:cs="Arial"/>
        </w:rPr>
        <w:t xml:space="preserve"> calculates the burden hours and costs to the Federal Government for </w:t>
      </w:r>
      <w:r w:rsidRPr="00321808" w:rsidR="007465FA">
        <w:rPr>
          <w:rFonts w:ascii="Arial" w:hAnsi="Arial" w:cs="Arial"/>
        </w:rPr>
        <w:t>process</w:t>
      </w:r>
      <w:r w:rsidR="007465FA">
        <w:rPr>
          <w:rFonts w:ascii="Arial" w:hAnsi="Arial" w:cs="Arial"/>
        </w:rPr>
        <w:t>ing this</w:t>
      </w:r>
      <w:r w:rsidRPr="00321808" w:rsidR="00321808">
        <w:rPr>
          <w:rFonts w:ascii="Arial" w:hAnsi="Arial" w:cs="Arial"/>
        </w:rPr>
        <w:t xml:space="preserve"> information collection</w:t>
      </w:r>
      <w:r w:rsidR="00B34279">
        <w:rPr>
          <w:rFonts w:ascii="Arial" w:hAnsi="Arial" w:cs="Arial"/>
        </w:rPr>
        <w:t>:</w:t>
      </w:r>
    </w:p>
    <w:p w:rsidR="000D0476" w:rsidRDefault="000D0476">
      <w:pPr>
        <w:widowControl/>
        <w:tabs>
          <w:tab w:val="left" w:pos="-984"/>
          <w:tab w:val="left" w:pos="-720"/>
          <w:tab w:val="left" w:pos="720"/>
        </w:tabs>
        <w:jc w:val="both"/>
        <w:rPr>
          <w:rFonts w:ascii="Arial" w:hAnsi="Arial" w:cs="Arial"/>
          <w:color w:val="0000FF"/>
        </w:rPr>
      </w:pPr>
    </w:p>
    <w:p w:rsidRPr="00614F01" w:rsidR="000A61CF" w:rsidP="000A61CF" w:rsidRDefault="000A61CF">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Pr>
          <w:rFonts w:ascii="Arial" w:hAnsi="Arial" w:cs="Arial"/>
          <w:b/>
          <w:bCs/>
          <w:sz w:val="20"/>
          <w:szCs w:val="20"/>
        </w:rPr>
        <w:t>6</w:t>
      </w:r>
      <w:r w:rsidRPr="004F3B59">
        <w:rPr>
          <w:b/>
          <w:szCs w:val="20"/>
        </w:rPr>
        <w:t xml:space="preserve">: </w:t>
      </w:r>
      <w:r>
        <w:rPr>
          <w:rFonts w:ascii="Arial" w:hAnsi="Arial" w:cs="Arial"/>
          <w:b/>
          <w:bCs/>
          <w:sz w:val="20"/>
          <w:szCs w:val="20"/>
        </w:rPr>
        <w:t xml:space="preserve">Total Hourly </w:t>
      </w:r>
      <w:r w:rsidRPr="00614F01">
        <w:rPr>
          <w:rFonts w:ascii="Arial" w:hAnsi="Arial" w:cs="Arial"/>
          <w:b/>
          <w:bCs/>
          <w:sz w:val="20"/>
          <w:szCs w:val="20"/>
        </w:rPr>
        <w:t xml:space="preserve">Burden </w:t>
      </w:r>
      <w:r>
        <w:rPr>
          <w:rFonts w:ascii="Arial" w:hAnsi="Arial" w:cs="Arial"/>
          <w:b/>
          <w:bCs/>
          <w:sz w:val="20"/>
          <w:szCs w:val="20"/>
        </w:rPr>
        <w:t xml:space="preserve">for the Federal </w:t>
      </w:r>
      <w:r w:rsidRPr="00614F01">
        <w:rPr>
          <w:rFonts w:ascii="Arial" w:hAnsi="Arial" w:cs="Arial"/>
          <w:b/>
          <w:bCs/>
          <w:sz w:val="20"/>
          <w:szCs w:val="20"/>
        </w:rPr>
        <w:t>Government</w:t>
      </w:r>
    </w:p>
    <w:p w:rsidRPr="002E5CFD" w:rsidR="000A61CF" w:rsidP="000A61CF" w:rsidRDefault="000A61CF">
      <w:pPr>
        <w:pStyle w:val="NoSpacing"/>
        <w:jc w:val="both"/>
        <w:rPr>
          <w:b/>
          <w:szCs w:val="20"/>
        </w:rPr>
      </w:pPr>
    </w:p>
    <w:tbl>
      <w:tblPr>
        <w:tblW w:w="47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4A0" w:firstRow="1" w:lastRow="0" w:firstColumn="1" w:lastColumn="0" w:noHBand="0" w:noVBand="1"/>
      </w:tblPr>
      <w:tblGrid>
        <w:gridCol w:w="1413"/>
        <w:gridCol w:w="1820"/>
        <w:gridCol w:w="1070"/>
        <w:gridCol w:w="1181"/>
        <w:gridCol w:w="1144"/>
        <w:gridCol w:w="792"/>
        <w:gridCol w:w="1395"/>
      </w:tblGrid>
      <w:tr w:rsidRPr="0044121F" w:rsidR="000A61CF" w:rsidTr="001A3093">
        <w:trPr>
          <w:tblHeader/>
          <w:jc w:val="center"/>
        </w:trPr>
        <w:tc>
          <w:tcPr>
            <w:tcW w:w="801" w:type="pct"/>
            <w:shd w:val="clear" w:color="auto" w:fill="auto"/>
          </w:tcPr>
          <w:p w:rsidRPr="0044121F" w:rsidR="000A61CF" w:rsidP="00545D1E" w:rsidRDefault="000A61CF">
            <w:pPr>
              <w:contextualSpacing/>
              <w:jc w:val="center"/>
              <w:rPr>
                <w:rFonts w:eastAsia="Calibri"/>
                <w:b/>
                <w:bCs/>
                <w:sz w:val="16"/>
                <w:szCs w:val="16"/>
              </w:rPr>
            </w:pPr>
            <w:r w:rsidRPr="0044121F">
              <w:rPr>
                <w:rFonts w:eastAsia="Calibri"/>
                <w:b/>
                <w:sz w:val="16"/>
                <w:szCs w:val="16"/>
              </w:rPr>
              <w:t>Item No.</w:t>
            </w:r>
          </w:p>
        </w:tc>
        <w:tc>
          <w:tcPr>
            <w:tcW w:w="1032" w:type="pct"/>
            <w:shd w:val="clear" w:color="auto" w:fill="auto"/>
          </w:tcPr>
          <w:p w:rsidRPr="0044121F" w:rsidR="000A61CF" w:rsidP="00545D1E" w:rsidRDefault="000A61CF">
            <w:pPr>
              <w:contextualSpacing/>
              <w:jc w:val="center"/>
              <w:rPr>
                <w:rFonts w:eastAsia="Calibri"/>
                <w:b/>
                <w:bCs/>
                <w:sz w:val="16"/>
                <w:szCs w:val="16"/>
              </w:rPr>
            </w:pPr>
            <w:r w:rsidRPr="0044121F">
              <w:rPr>
                <w:rFonts w:eastAsia="Calibri"/>
                <w:b/>
                <w:sz w:val="16"/>
                <w:szCs w:val="16"/>
              </w:rPr>
              <w:t>Item</w:t>
            </w:r>
          </w:p>
        </w:tc>
        <w:tc>
          <w:tcPr>
            <w:tcW w:w="607" w:type="pct"/>
            <w:tcBorders>
              <w:bottom w:val="single" w:color="auto" w:sz="4" w:space="0"/>
            </w:tcBorders>
            <w:shd w:val="clear" w:color="auto" w:fill="auto"/>
          </w:tcPr>
          <w:p w:rsidRPr="0044121F" w:rsidR="000A61CF" w:rsidP="00545D1E" w:rsidRDefault="000A61CF">
            <w:pPr>
              <w:contextualSpacing/>
              <w:jc w:val="center"/>
              <w:rPr>
                <w:rFonts w:eastAsia="Calibri"/>
                <w:b/>
                <w:bCs/>
                <w:sz w:val="16"/>
                <w:szCs w:val="16"/>
              </w:rPr>
            </w:pPr>
            <w:r w:rsidRPr="0044121F">
              <w:rPr>
                <w:rFonts w:eastAsia="Calibri"/>
                <w:b/>
                <w:sz w:val="16"/>
                <w:szCs w:val="16"/>
              </w:rPr>
              <w:t>Estimated Annual Responses (year)</w:t>
            </w:r>
          </w:p>
          <w:p w:rsidR="000A61CF" w:rsidP="00545D1E" w:rsidRDefault="000A61CF">
            <w:pPr>
              <w:contextualSpacing/>
              <w:jc w:val="center"/>
              <w:rPr>
                <w:rFonts w:eastAsia="Calibri"/>
                <w:b/>
                <w:bCs/>
                <w:sz w:val="16"/>
                <w:szCs w:val="16"/>
              </w:rPr>
            </w:pPr>
          </w:p>
          <w:p w:rsidRPr="0044121F" w:rsidR="000A61CF" w:rsidP="00545D1E" w:rsidRDefault="000A61CF">
            <w:pPr>
              <w:contextualSpacing/>
              <w:jc w:val="center"/>
              <w:rPr>
                <w:rFonts w:eastAsia="Calibri"/>
                <w:b/>
                <w:bCs/>
                <w:sz w:val="16"/>
                <w:szCs w:val="16"/>
              </w:rPr>
            </w:pPr>
            <w:r w:rsidRPr="0044121F">
              <w:rPr>
                <w:rFonts w:eastAsia="Calibri"/>
                <w:b/>
                <w:sz w:val="16"/>
                <w:szCs w:val="16"/>
              </w:rPr>
              <w:t>(a)</w:t>
            </w:r>
          </w:p>
        </w:tc>
        <w:tc>
          <w:tcPr>
            <w:tcW w:w="670" w:type="pct"/>
            <w:tcBorders>
              <w:bottom w:val="single" w:color="auto" w:sz="4" w:space="0"/>
            </w:tcBorders>
            <w:shd w:val="clear" w:color="auto" w:fill="auto"/>
          </w:tcPr>
          <w:p w:rsidRPr="0044121F" w:rsidR="000A61CF" w:rsidP="00545D1E" w:rsidRDefault="000A61CF">
            <w:pPr>
              <w:contextualSpacing/>
              <w:jc w:val="center"/>
              <w:rPr>
                <w:rFonts w:eastAsia="Calibri"/>
                <w:b/>
                <w:bCs/>
                <w:sz w:val="16"/>
                <w:szCs w:val="16"/>
              </w:rPr>
            </w:pPr>
            <w:r w:rsidRPr="0044121F">
              <w:rPr>
                <w:rFonts w:eastAsia="Calibri"/>
                <w:b/>
                <w:sz w:val="16"/>
                <w:szCs w:val="16"/>
              </w:rPr>
              <w:t>Estimated Time for Response (</w:t>
            </w:r>
            <w:r>
              <w:rPr>
                <w:rFonts w:eastAsia="Calibri"/>
                <w:b/>
                <w:sz w:val="16"/>
                <w:szCs w:val="16"/>
              </w:rPr>
              <w:t>hour</w:t>
            </w:r>
            <w:r w:rsidRPr="0044121F">
              <w:rPr>
                <w:rFonts w:eastAsia="Calibri"/>
                <w:b/>
                <w:sz w:val="16"/>
                <w:szCs w:val="16"/>
              </w:rPr>
              <w:t>)</w:t>
            </w:r>
          </w:p>
          <w:p w:rsidR="000A61CF" w:rsidP="00545D1E" w:rsidRDefault="000A61CF">
            <w:pPr>
              <w:contextualSpacing/>
              <w:jc w:val="center"/>
              <w:rPr>
                <w:rFonts w:eastAsia="Calibri"/>
                <w:b/>
                <w:bCs/>
                <w:sz w:val="16"/>
                <w:szCs w:val="16"/>
              </w:rPr>
            </w:pPr>
          </w:p>
          <w:p w:rsidRPr="0044121F" w:rsidR="000A61CF" w:rsidP="00545D1E" w:rsidRDefault="000A61CF">
            <w:pPr>
              <w:contextualSpacing/>
              <w:jc w:val="center"/>
              <w:rPr>
                <w:rFonts w:eastAsia="Calibri"/>
                <w:b/>
                <w:bCs/>
                <w:sz w:val="16"/>
                <w:szCs w:val="16"/>
              </w:rPr>
            </w:pPr>
            <w:r w:rsidRPr="0044121F">
              <w:rPr>
                <w:rFonts w:eastAsia="Calibri"/>
                <w:b/>
                <w:sz w:val="16"/>
                <w:szCs w:val="16"/>
              </w:rPr>
              <w:t>(b)</w:t>
            </w:r>
          </w:p>
        </w:tc>
        <w:tc>
          <w:tcPr>
            <w:tcW w:w="649" w:type="pct"/>
            <w:tcBorders>
              <w:bottom w:val="single" w:color="auto" w:sz="4" w:space="0"/>
            </w:tcBorders>
            <w:shd w:val="clear" w:color="auto" w:fill="auto"/>
          </w:tcPr>
          <w:p w:rsidRPr="0044121F" w:rsidR="000A61CF" w:rsidP="00545D1E" w:rsidRDefault="000A61CF">
            <w:pPr>
              <w:contextualSpacing/>
              <w:jc w:val="center"/>
              <w:rPr>
                <w:rFonts w:eastAsia="Calibri"/>
                <w:b/>
                <w:bCs/>
                <w:sz w:val="16"/>
                <w:szCs w:val="16"/>
              </w:rPr>
            </w:pPr>
            <w:r w:rsidRPr="0044121F">
              <w:rPr>
                <w:rFonts w:eastAsia="Calibri"/>
                <w:b/>
                <w:sz w:val="16"/>
                <w:szCs w:val="16"/>
              </w:rPr>
              <w:t>Estimated Annual Burden (hours/year)</w:t>
            </w:r>
          </w:p>
          <w:p w:rsidRPr="0044121F" w:rsidR="000A61CF" w:rsidP="00545D1E" w:rsidRDefault="000A61CF">
            <w:pPr>
              <w:contextualSpacing/>
              <w:jc w:val="center"/>
              <w:rPr>
                <w:rFonts w:eastAsia="Calibri"/>
                <w:b/>
                <w:bCs/>
                <w:sz w:val="16"/>
                <w:szCs w:val="16"/>
              </w:rPr>
            </w:pPr>
          </w:p>
          <w:p w:rsidRPr="0044121F" w:rsidR="000A61CF" w:rsidP="00545D1E" w:rsidRDefault="000A61CF">
            <w:pPr>
              <w:contextualSpacing/>
              <w:jc w:val="center"/>
              <w:rPr>
                <w:rFonts w:eastAsia="Calibri"/>
                <w:b/>
                <w:bCs/>
                <w:sz w:val="16"/>
                <w:szCs w:val="16"/>
              </w:rPr>
            </w:pPr>
            <w:r w:rsidRPr="0044121F">
              <w:rPr>
                <w:rFonts w:eastAsia="Calibri"/>
                <w:b/>
                <w:sz w:val="16"/>
                <w:szCs w:val="16"/>
              </w:rPr>
              <w:t>(a) x (b)</w:t>
            </w:r>
            <w:r>
              <w:rPr>
                <w:rFonts w:eastAsia="Calibri"/>
                <w:b/>
                <w:sz w:val="16"/>
                <w:szCs w:val="16"/>
              </w:rPr>
              <w:t>= (c)</w:t>
            </w:r>
          </w:p>
        </w:tc>
        <w:tc>
          <w:tcPr>
            <w:tcW w:w="449" w:type="pct"/>
            <w:tcBorders>
              <w:bottom w:val="single" w:color="auto" w:sz="4" w:space="0"/>
            </w:tcBorders>
            <w:shd w:val="clear" w:color="auto" w:fill="auto"/>
          </w:tcPr>
          <w:p w:rsidRPr="0044121F" w:rsidR="000A61CF" w:rsidP="00545D1E" w:rsidRDefault="000A61CF">
            <w:pPr>
              <w:contextualSpacing/>
              <w:jc w:val="center"/>
              <w:rPr>
                <w:rFonts w:eastAsia="Calibri"/>
                <w:b/>
                <w:bCs/>
                <w:sz w:val="16"/>
                <w:szCs w:val="16"/>
              </w:rPr>
            </w:pPr>
            <w:r w:rsidRPr="0044121F">
              <w:rPr>
                <w:rFonts w:eastAsia="Calibri"/>
                <w:b/>
                <w:sz w:val="16"/>
                <w:szCs w:val="16"/>
              </w:rPr>
              <w:t>Rate</w:t>
            </w:r>
          </w:p>
          <w:p w:rsidRPr="0044121F" w:rsidR="000A61CF" w:rsidP="00545D1E" w:rsidRDefault="000A61CF">
            <w:pPr>
              <w:contextualSpacing/>
              <w:jc w:val="center"/>
              <w:rPr>
                <w:rFonts w:eastAsia="Calibri"/>
                <w:b/>
                <w:bCs/>
                <w:sz w:val="16"/>
                <w:szCs w:val="16"/>
              </w:rPr>
            </w:pPr>
            <w:r w:rsidRPr="0044121F">
              <w:rPr>
                <w:rFonts w:eastAsia="Calibri"/>
                <w:b/>
                <w:sz w:val="16"/>
                <w:szCs w:val="16"/>
              </w:rPr>
              <w:t>($/hour)</w:t>
            </w:r>
          </w:p>
          <w:p w:rsidR="000A61CF" w:rsidP="00545D1E" w:rsidRDefault="000A61CF">
            <w:pPr>
              <w:contextualSpacing/>
              <w:jc w:val="center"/>
              <w:rPr>
                <w:rFonts w:eastAsia="Calibri"/>
                <w:b/>
                <w:bCs/>
                <w:sz w:val="16"/>
                <w:szCs w:val="16"/>
              </w:rPr>
            </w:pPr>
          </w:p>
          <w:p w:rsidR="000A61CF" w:rsidP="00545D1E" w:rsidRDefault="000A61CF">
            <w:pPr>
              <w:contextualSpacing/>
              <w:jc w:val="center"/>
              <w:rPr>
                <w:rFonts w:eastAsia="Calibri"/>
                <w:b/>
                <w:bCs/>
                <w:sz w:val="16"/>
                <w:szCs w:val="16"/>
              </w:rPr>
            </w:pPr>
          </w:p>
          <w:p w:rsidR="000A61CF" w:rsidP="00545D1E" w:rsidRDefault="000A61CF">
            <w:pPr>
              <w:contextualSpacing/>
              <w:jc w:val="center"/>
              <w:rPr>
                <w:rFonts w:eastAsia="Calibri"/>
                <w:b/>
                <w:bCs/>
                <w:sz w:val="16"/>
                <w:szCs w:val="16"/>
              </w:rPr>
            </w:pPr>
          </w:p>
          <w:p w:rsidRPr="0044121F" w:rsidR="000A61CF" w:rsidP="00545D1E" w:rsidRDefault="000A61CF">
            <w:pPr>
              <w:contextualSpacing/>
              <w:jc w:val="center"/>
              <w:rPr>
                <w:rFonts w:eastAsia="Calibri"/>
                <w:b/>
                <w:bCs/>
                <w:sz w:val="16"/>
                <w:szCs w:val="16"/>
              </w:rPr>
            </w:pPr>
            <w:r w:rsidRPr="0044121F">
              <w:rPr>
                <w:rFonts w:eastAsia="Calibri"/>
                <w:b/>
                <w:sz w:val="16"/>
                <w:szCs w:val="16"/>
              </w:rPr>
              <w:t>(d)</w:t>
            </w:r>
          </w:p>
        </w:tc>
        <w:tc>
          <w:tcPr>
            <w:tcW w:w="791" w:type="pct"/>
            <w:tcBorders>
              <w:bottom w:val="single" w:color="auto" w:sz="4" w:space="0"/>
            </w:tcBorders>
            <w:shd w:val="clear" w:color="auto" w:fill="auto"/>
          </w:tcPr>
          <w:p w:rsidRPr="0044121F" w:rsidR="000A61CF" w:rsidP="00545D1E" w:rsidRDefault="000A61CF">
            <w:pPr>
              <w:contextualSpacing/>
              <w:jc w:val="center"/>
              <w:rPr>
                <w:rFonts w:eastAsia="Calibri"/>
                <w:b/>
                <w:bCs/>
                <w:sz w:val="16"/>
                <w:szCs w:val="16"/>
              </w:rPr>
            </w:pPr>
            <w:r w:rsidRPr="0044121F">
              <w:rPr>
                <w:rFonts w:eastAsia="Calibri"/>
                <w:b/>
                <w:sz w:val="16"/>
                <w:szCs w:val="16"/>
              </w:rPr>
              <w:t>Estimated Annual</w:t>
            </w:r>
          </w:p>
          <w:p w:rsidRPr="0044121F" w:rsidR="000A61CF" w:rsidP="00545D1E" w:rsidRDefault="000A61CF">
            <w:pPr>
              <w:contextualSpacing/>
              <w:jc w:val="center"/>
              <w:rPr>
                <w:rFonts w:eastAsia="Calibri"/>
                <w:b/>
                <w:bCs/>
                <w:sz w:val="16"/>
                <w:szCs w:val="16"/>
              </w:rPr>
            </w:pPr>
            <w:r>
              <w:rPr>
                <w:rFonts w:eastAsia="Calibri"/>
                <w:b/>
                <w:sz w:val="16"/>
                <w:szCs w:val="16"/>
              </w:rPr>
              <w:t>Costs</w:t>
            </w:r>
          </w:p>
          <w:p w:rsidR="000A61CF" w:rsidP="00545D1E" w:rsidRDefault="000A61CF">
            <w:pPr>
              <w:contextualSpacing/>
              <w:rPr>
                <w:rFonts w:eastAsia="Calibri"/>
                <w:b/>
                <w:bCs/>
                <w:sz w:val="16"/>
                <w:szCs w:val="16"/>
              </w:rPr>
            </w:pPr>
          </w:p>
          <w:p w:rsidRPr="0044121F" w:rsidR="000A61CF" w:rsidP="00545D1E" w:rsidRDefault="000A61CF">
            <w:pPr>
              <w:contextualSpacing/>
              <w:rPr>
                <w:rFonts w:eastAsia="Calibri"/>
                <w:b/>
                <w:bCs/>
                <w:sz w:val="16"/>
                <w:szCs w:val="16"/>
              </w:rPr>
            </w:pPr>
          </w:p>
          <w:p w:rsidRPr="0044121F" w:rsidR="000A61CF" w:rsidP="00545D1E" w:rsidRDefault="000A61CF">
            <w:pPr>
              <w:contextualSpacing/>
              <w:jc w:val="center"/>
              <w:rPr>
                <w:rFonts w:eastAsia="Calibri"/>
                <w:b/>
                <w:bCs/>
                <w:sz w:val="16"/>
                <w:szCs w:val="16"/>
              </w:rPr>
            </w:pPr>
            <w:r w:rsidRPr="0044121F">
              <w:rPr>
                <w:rFonts w:eastAsia="Calibri"/>
                <w:b/>
                <w:sz w:val="16"/>
                <w:szCs w:val="16"/>
              </w:rPr>
              <w:t>(c) x (d)</w:t>
            </w:r>
            <w:r>
              <w:rPr>
                <w:rFonts w:eastAsia="Calibri"/>
                <w:b/>
                <w:sz w:val="16"/>
                <w:szCs w:val="16"/>
              </w:rPr>
              <w:t>= (e)</w:t>
            </w:r>
          </w:p>
        </w:tc>
      </w:tr>
      <w:tr w:rsidRPr="0044121F" w:rsidR="000A61CF" w:rsidTr="001A3093">
        <w:trPr>
          <w:jc w:val="center"/>
        </w:trPr>
        <w:tc>
          <w:tcPr>
            <w:tcW w:w="801" w:type="pct"/>
            <w:shd w:val="clear" w:color="auto" w:fill="auto"/>
            <w:vAlign w:val="center"/>
          </w:tcPr>
          <w:p w:rsidRPr="0044121F" w:rsidR="000A61CF" w:rsidP="00545D1E" w:rsidRDefault="000A61CF">
            <w:pPr>
              <w:ind w:left="2160" w:hanging="2160"/>
              <w:contextualSpacing/>
              <w:jc w:val="center"/>
              <w:rPr>
                <w:rFonts w:eastAsia="Calibri"/>
                <w:b/>
                <w:bCs/>
                <w:sz w:val="16"/>
                <w:szCs w:val="16"/>
              </w:rPr>
            </w:pPr>
            <w:r>
              <w:rPr>
                <w:rFonts w:eastAsia="Calibri"/>
                <w:b/>
                <w:sz w:val="16"/>
                <w:szCs w:val="16"/>
              </w:rPr>
              <w:t>1</w:t>
            </w:r>
          </w:p>
        </w:tc>
        <w:tc>
          <w:tcPr>
            <w:tcW w:w="1032" w:type="pct"/>
            <w:shd w:val="clear" w:color="auto" w:fill="auto"/>
          </w:tcPr>
          <w:p w:rsidRPr="0044121F" w:rsidR="000A61CF" w:rsidP="00545D1E" w:rsidRDefault="000A61CF">
            <w:pPr>
              <w:rPr>
                <w:rFonts w:eastAsia="Calibri" w:cs="Courier New"/>
                <w:bCs/>
                <w:sz w:val="16"/>
                <w:szCs w:val="16"/>
              </w:rPr>
            </w:pPr>
          </w:p>
          <w:p w:rsidRPr="0044121F" w:rsidR="000A61CF" w:rsidP="00545D1E" w:rsidRDefault="000A61CF">
            <w:pPr>
              <w:rPr>
                <w:rFonts w:eastAsia="Calibri" w:cs="Courier New"/>
                <w:bCs/>
                <w:sz w:val="16"/>
                <w:szCs w:val="16"/>
              </w:rPr>
            </w:pPr>
            <w:r w:rsidRPr="0044121F">
              <w:rPr>
                <w:rFonts w:eastAsia="Calibri" w:cs="Courier New"/>
                <w:sz w:val="16"/>
                <w:szCs w:val="16"/>
              </w:rPr>
              <w:t>Trademark Assignment System (ETAS)</w:t>
            </w:r>
          </w:p>
          <w:p w:rsidRPr="0044121F" w:rsidR="000A61CF" w:rsidP="00545D1E" w:rsidRDefault="000A61CF">
            <w:pPr>
              <w:rPr>
                <w:rFonts w:eastAsia="Calibri" w:cs="Courier New"/>
                <w:b/>
                <w:bCs/>
                <w:sz w:val="16"/>
                <w:szCs w:val="16"/>
              </w:rPr>
            </w:pPr>
            <w:r w:rsidRPr="0044121F">
              <w:rPr>
                <w:rFonts w:eastAsia="Calibri" w:cs="Courier New"/>
                <w:b/>
                <w:sz w:val="16"/>
                <w:szCs w:val="16"/>
              </w:rPr>
              <w:t>(PTO-1594)</w:t>
            </w:r>
          </w:p>
        </w:tc>
        <w:tc>
          <w:tcPr>
            <w:tcW w:w="607" w:type="pct"/>
            <w:tcBorders>
              <w:top w:val="single" w:color="auto" w:sz="4" w:space="0"/>
              <w:bottom w:val="single" w:color="auto" w:sz="4" w:space="0"/>
              <w:right w:val="single" w:color="auto" w:sz="4" w:space="0"/>
            </w:tcBorders>
            <w:shd w:val="clear" w:color="auto" w:fill="auto"/>
            <w:vAlign w:val="center"/>
          </w:tcPr>
          <w:p w:rsidRPr="004E08E7" w:rsidR="000A61CF" w:rsidP="00545D1E" w:rsidRDefault="000A61CF">
            <w:pPr>
              <w:contextualSpacing/>
              <w:rPr>
                <w:rFonts w:eastAsia="Calibri"/>
                <w:bCs/>
                <w:sz w:val="16"/>
                <w:szCs w:val="16"/>
              </w:rPr>
            </w:pPr>
            <w:r>
              <w:rPr>
                <w:rFonts w:eastAsia="Calibri"/>
                <w:sz w:val="16"/>
                <w:szCs w:val="16"/>
              </w:rPr>
              <w:t>59,973</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0A61CF" w:rsidP="00545D1E" w:rsidRDefault="000A61CF">
            <w:pPr>
              <w:contextualSpacing/>
              <w:rPr>
                <w:rFonts w:eastAsia="Calibri"/>
                <w:bCs/>
                <w:sz w:val="16"/>
                <w:szCs w:val="16"/>
              </w:rPr>
            </w:pPr>
            <w:r>
              <w:rPr>
                <w:rFonts w:eastAsia="Calibri"/>
                <w:sz w:val="16"/>
                <w:szCs w:val="16"/>
              </w:rPr>
              <w:t>0.</w:t>
            </w:r>
            <w:r w:rsidRPr="004E08E7">
              <w:rPr>
                <w:rFonts w:eastAsia="Calibri"/>
                <w:sz w:val="16"/>
                <w:szCs w:val="16"/>
              </w:rPr>
              <w:t>5 (30 minutes)</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0A61CF" w:rsidP="00545D1E" w:rsidRDefault="000A61CF">
            <w:pPr>
              <w:contextualSpacing/>
              <w:rPr>
                <w:rFonts w:eastAsia="Calibri"/>
                <w:bCs/>
                <w:sz w:val="16"/>
                <w:szCs w:val="16"/>
              </w:rPr>
            </w:pPr>
            <w:r>
              <w:rPr>
                <w:rFonts w:eastAsia="Calibri"/>
                <w:sz w:val="16"/>
                <w:szCs w:val="16"/>
              </w:rPr>
              <w:t>17,992</w:t>
            </w: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0A61CF" w:rsidP="000A61CF" w:rsidRDefault="000A61CF">
            <w:pPr>
              <w:contextualSpacing/>
              <w:rPr>
                <w:rFonts w:eastAsia="Calibri"/>
                <w:bCs/>
                <w:sz w:val="16"/>
                <w:szCs w:val="16"/>
              </w:rPr>
            </w:pPr>
            <w:r>
              <w:rPr>
                <w:rFonts w:eastAsia="Calibri"/>
                <w:sz w:val="16"/>
                <w:szCs w:val="16"/>
              </w:rPr>
              <w:t>$41.34</w:t>
            </w:r>
          </w:p>
        </w:tc>
        <w:tc>
          <w:tcPr>
            <w:tcW w:w="791"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0A61CF" w:rsidP="000A61CF" w:rsidRDefault="000A61CF">
            <w:pPr>
              <w:contextualSpacing/>
              <w:rPr>
                <w:rFonts w:eastAsia="Calibri"/>
                <w:bCs/>
                <w:sz w:val="16"/>
                <w:szCs w:val="16"/>
              </w:rPr>
            </w:pPr>
            <w:r>
              <w:rPr>
                <w:rFonts w:eastAsia="Calibri"/>
                <w:color w:val="000000"/>
                <w:sz w:val="16"/>
                <w:szCs w:val="16"/>
              </w:rPr>
              <w:t>$743,789</w:t>
            </w:r>
          </w:p>
        </w:tc>
      </w:tr>
      <w:tr w:rsidRPr="0044121F" w:rsidR="000A61CF" w:rsidTr="001A3093">
        <w:trPr>
          <w:jc w:val="center"/>
        </w:trPr>
        <w:tc>
          <w:tcPr>
            <w:tcW w:w="801" w:type="pct"/>
            <w:shd w:val="clear" w:color="auto" w:fill="auto"/>
            <w:vAlign w:val="center"/>
          </w:tcPr>
          <w:p w:rsidR="000A61CF" w:rsidP="00545D1E" w:rsidRDefault="000A61CF">
            <w:pPr>
              <w:ind w:left="2160" w:hanging="2160"/>
              <w:contextualSpacing/>
              <w:jc w:val="center"/>
              <w:rPr>
                <w:rFonts w:eastAsia="Calibri"/>
                <w:b/>
                <w:bCs/>
                <w:sz w:val="16"/>
                <w:szCs w:val="16"/>
              </w:rPr>
            </w:pPr>
            <w:r>
              <w:rPr>
                <w:rFonts w:eastAsia="Calibri"/>
                <w:b/>
                <w:sz w:val="16"/>
                <w:szCs w:val="16"/>
              </w:rPr>
              <w:t>2</w:t>
            </w:r>
          </w:p>
        </w:tc>
        <w:tc>
          <w:tcPr>
            <w:tcW w:w="1032" w:type="pct"/>
            <w:shd w:val="clear" w:color="auto" w:fill="auto"/>
          </w:tcPr>
          <w:p w:rsidRPr="0044121F" w:rsidR="000A61CF" w:rsidP="00545D1E" w:rsidRDefault="000A61CF">
            <w:pPr>
              <w:rPr>
                <w:rFonts w:eastAsia="Calibri" w:cs="Courier New"/>
                <w:bCs/>
                <w:sz w:val="16"/>
                <w:szCs w:val="16"/>
              </w:rPr>
            </w:pPr>
          </w:p>
          <w:p w:rsidRPr="0044121F" w:rsidR="000A61CF" w:rsidP="00545D1E" w:rsidRDefault="000A61CF">
            <w:pPr>
              <w:rPr>
                <w:rFonts w:eastAsia="Calibri" w:cs="Courier New"/>
                <w:bCs/>
                <w:sz w:val="16"/>
                <w:szCs w:val="16"/>
              </w:rPr>
            </w:pPr>
            <w:r w:rsidRPr="0044121F">
              <w:rPr>
                <w:rFonts w:eastAsia="Calibri" w:cs="Courier New"/>
                <w:sz w:val="16"/>
                <w:szCs w:val="16"/>
              </w:rPr>
              <w:t xml:space="preserve">Patent Assignment System (EPAS) </w:t>
            </w:r>
          </w:p>
          <w:p w:rsidRPr="0044121F" w:rsidR="000A61CF" w:rsidP="00545D1E" w:rsidRDefault="000A61CF">
            <w:pPr>
              <w:rPr>
                <w:rFonts w:eastAsia="Calibri" w:cs="Courier New"/>
                <w:bCs/>
                <w:sz w:val="16"/>
                <w:szCs w:val="16"/>
              </w:rPr>
            </w:pPr>
            <w:r w:rsidRPr="0044121F">
              <w:rPr>
                <w:rFonts w:eastAsia="Calibri" w:cs="Courier New"/>
                <w:b/>
                <w:sz w:val="16"/>
                <w:szCs w:val="16"/>
              </w:rPr>
              <w:t xml:space="preserve">(PTO-1595) </w:t>
            </w:r>
          </w:p>
        </w:tc>
        <w:tc>
          <w:tcPr>
            <w:tcW w:w="607" w:type="pct"/>
            <w:tcBorders>
              <w:top w:val="single" w:color="auto" w:sz="4" w:space="0"/>
              <w:bottom w:val="single" w:color="auto" w:sz="4" w:space="0"/>
              <w:right w:val="single" w:color="auto" w:sz="4" w:space="0"/>
            </w:tcBorders>
            <w:shd w:val="clear" w:color="auto" w:fill="auto"/>
            <w:vAlign w:val="center"/>
          </w:tcPr>
          <w:p w:rsidRPr="004E08E7" w:rsidR="000A61CF" w:rsidP="00545D1E" w:rsidRDefault="000A61CF">
            <w:pPr>
              <w:contextualSpacing/>
              <w:rPr>
                <w:rFonts w:eastAsia="Calibri"/>
                <w:bCs/>
                <w:sz w:val="16"/>
                <w:szCs w:val="16"/>
              </w:rPr>
            </w:pPr>
            <w:r>
              <w:rPr>
                <w:rFonts w:eastAsia="Calibri"/>
                <w:sz w:val="16"/>
                <w:szCs w:val="16"/>
              </w:rPr>
              <w:t>589,907</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0A61CF" w:rsidP="00545D1E" w:rsidRDefault="000A61CF">
            <w:pPr>
              <w:contextualSpacing/>
              <w:rPr>
                <w:rFonts w:eastAsia="Calibri"/>
                <w:bCs/>
                <w:sz w:val="16"/>
                <w:szCs w:val="16"/>
              </w:rPr>
            </w:pPr>
            <w:r>
              <w:rPr>
                <w:rFonts w:eastAsia="Calibri"/>
                <w:sz w:val="16"/>
                <w:szCs w:val="16"/>
              </w:rPr>
              <w:t>0.</w:t>
            </w:r>
            <w:r w:rsidRPr="004E08E7">
              <w:rPr>
                <w:rFonts w:eastAsia="Calibri"/>
                <w:sz w:val="16"/>
                <w:szCs w:val="16"/>
              </w:rPr>
              <w:t>5 (30 minutes)</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0A61CF" w:rsidP="00545D1E" w:rsidRDefault="000A61CF">
            <w:pPr>
              <w:contextualSpacing/>
              <w:rPr>
                <w:rFonts w:eastAsia="Calibri"/>
                <w:sz w:val="16"/>
                <w:szCs w:val="16"/>
              </w:rPr>
            </w:pPr>
            <w:r>
              <w:rPr>
                <w:rFonts w:eastAsia="Calibri"/>
                <w:color w:val="000000"/>
                <w:sz w:val="16"/>
                <w:szCs w:val="16"/>
              </w:rPr>
              <w:t>294,954</w:t>
            </w: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0A61CF" w:rsidP="00545D1E" w:rsidRDefault="000A61CF">
            <w:pPr>
              <w:contextualSpacing/>
              <w:rPr>
                <w:rFonts w:eastAsia="Calibri"/>
                <w:sz w:val="16"/>
                <w:szCs w:val="16"/>
              </w:rPr>
            </w:pPr>
            <w:r>
              <w:rPr>
                <w:rFonts w:eastAsia="Calibri"/>
                <w:sz w:val="16"/>
                <w:szCs w:val="16"/>
              </w:rPr>
              <w:t>$41.34</w:t>
            </w:r>
          </w:p>
        </w:tc>
        <w:tc>
          <w:tcPr>
            <w:tcW w:w="791" w:type="pct"/>
            <w:tcBorders>
              <w:top w:val="single" w:color="auto" w:sz="4" w:space="0"/>
              <w:left w:val="single" w:color="auto" w:sz="4" w:space="0"/>
              <w:bottom w:val="single" w:color="auto" w:sz="4" w:space="0"/>
              <w:right w:val="single" w:color="auto" w:sz="4" w:space="0"/>
            </w:tcBorders>
            <w:shd w:val="clear" w:color="auto" w:fill="auto"/>
            <w:vAlign w:val="center"/>
          </w:tcPr>
          <w:p w:rsidRPr="004E08E7" w:rsidR="000A61CF" w:rsidP="000A61CF" w:rsidRDefault="000A61CF">
            <w:pPr>
              <w:contextualSpacing/>
              <w:rPr>
                <w:rFonts w:eastAsia="Calibri"/>
                <w:bCs/>
                <w:sz w:val="16"/>
                <w:szCs w:val="16"/>
              </w:rPr>
            </w:pPr>
            <w:r>
              <w:rPr>
                <w:rFonts w:eastAsia="Calibri"/>
                <w:color w:val="000000"/>
                <w:sz w:val="16"/>
                <w:szCs w:val="16"/>
              </w:rPr>
              <w:t>$12,193,398</w:t>
            </w:r>
          </w:p>
        </w:tc>
      </w:tr>
      <w:tr w:rsidRPr="0044121F" w:rsidR="000A61CF" w:rsidTr="001A3093">
        <w:trPr>
          <w:trHeight w:val="154"/>
          <w:jc w:val="center"/>
        </w:trPr>
        <w:tc>
          <w:tcPr>
            <w:tcW w:w="801" w:type="pct"/>
            <w:shd w:val="clear" w:color="auto" w:fill="auto"/>
            <w:vAlign w:val="center"/>
          </w:tcPr>
          <w:p w:rsidRPr="0044121F" w:rsidR="000A61CF" w:rsidP="00545D1E" w:rsidRDefault="000A61CF">
            <w:pPr>
              <w:contextualSpacing/>
              <w:rPr>
                <w:rFonts w:eastAsia="Calibri"/>
                <w:bCs/>
                <w:sz w:val="16"/>
                <w:szCs w:val="16"/>
              </w:rPr>
            </w:pPr>
            <w:r w:rsidRPr="0044121F">
              <w:rPr>
                <w:rFonts w:eastAsia="Calibri"/>
                <w:b/>
                <w:sz w:val="16"/>
                <w:szCs w:val="16"/>
              </w:rPr>
              <w:t>Total</w:t>
            </w:r>
          </w:p>
        </w:tc>
        <w:tc>
          <w:tcPr>
            <w:tcW w:w="1032" w:type="pct"/>
            <w:shd w:val="clear" w:color="auto" w:fill="auto"/>
            <w:vAlign w:val="center"/>
          </w:tcPr>
          <w:p w:rsidRPr="0044121F" w:rsidR="000A61CF" w:rsidP="00545D1E" w:rsidRDefault="000A61CF">
            <w:pPr>
              <w:contextualSpacing/>
              <w:rPr>
                <w:rFonts w:eastAsia="Calibri"/>
                <w:bCs/>
                <w:sz w:val="16"/>
                <w:szCs w:val="16"/>
              </w:rPr>
            </w:pPr>
          </w:p>
        </w:tc>
        <w:tc>
          <w:tcPr>
            <w:tcW w:w="607" w:type="pct"/>
            <w:tcBorders>
              <w:top w:val="single" w:color="auto" w:sz="4" w:space="0"/>
              <w:bottom w:val="single" w:color="auto" w:sz="4" w:space="0"/>
            </w:tcBorders>
            <w:shd w:val="clear" w:color="auto" w:fill="auto"/>
            <w:vAlign w:val="center"/>
          </w:tcPr>
          <w:p w:rsidRPr="004E08E7" w:rsidR="000A61CF" w:rsidP="00545D1E" w:rsidRDefault="000A61CF">
            <w:pPr>
              <w:contextualSpacing/>
              <w:rPr>
                <w:rFonts w:eastAsia="Calibri"/>
                <w:b/>
                <w:bCs/>
                <w:sz w:val="16"/>
                <w:szCs w:val="16"/>
              </w:rPr>
            </w:pPr>
            <w:r>
              <w:rPr>
                <w:rFonts w:eastAsia="Calibri"/>
                <w:b/>
                <w:sz w:val="16"/>
                <w:szCs w:val="16"/>
              </w:rPr>
              <w:t>649,880</w:t>
            </w:r>
          </w:p>
        </w:tc>
        <w:tc>
          <w:tcPr>
            <w:tcW w:w="670" w:type="pct"/>
            <w:tcBorders>
              <w:top w:val="single" w:color="auto" w:sz="4" w:space="0"/>
              <w:bottom w:val="single" w:color="auto" w:sz="4" w:space="0"/>
            </w:tcBorders>
            <w:shd w:val="clear" w:color="auto" w:fill="auto"/>
            <w:vAlign w:val="center"/>
          </w:tcPr>
          <w:p w:rsidRPr="004E08E7" w:rsidR="000A61CF" w:rsidP="00545D1E" w:rsidRDefault="000A61CF">
            <w:pPr>
              <w:contextualSpacing/>
              <w:rPr>
                <w:rFonts w:eastAsia="Calibri"/>
                <w:b/>
                <w:bCs/>
                <w:sz w:val="16"/>
                <w:szCs w:val="16"/>
              </w:rPr>
            </w:pPr>
            <w:r w:rsidRPr="004E08E7">
              <w:rPr>
                <w:rFonts w:eastAsia="Calibri"/>
                <w:b/>
                <w:sz w:val="16"/>
                <w:szCs w:val="16"/>
              </w:rPr>
              <w:t>- - -</w:t>
            </w:r>
          </w:p>
        </w:tc>
        <w:tc>
          <w:tcPr>
            <w:tcW w:w="649" w:type="pct"/>
            <w:tcBorders>
              <w:top w:val="single" w:color="auto" w:sz="4" w:space="0"/>
              <w:left w:val="nil"/>
              <w:bottom w:val="single" w:color="auto" w:sz="4" w:space="0"/>
              <w:right w:val="nil"/>
            </w:tcBorders>
            <w:shd w:val="clear" w:color="auto" w:fill="auto"/>
            <w:vAlign w:val="center"/>
          </w:tcPr>
          <w:p w:rsidRPr="004E08E7" w:rsidR="000A61CF" w:rsidP="00545D1E" w:rsidRDefault="000A61CF">
            <w:pPr>
              <w:contextualSpacing/>
              <w:rPr>
                <w:rFonts w:eastAsia="Calibri"/>
                <w:b/>
                <w:bCs/>
                <w:sz w:val="16"/>
                <w:szCs w:val="16"/>
              </w:rPr>
            </w:pPr>
            <w:r>
              <w:rPr>
                <w:b/>
                <w:color w:val="000000"/>
                <w:sz w:val="16"/>
                <w:szCs w:val="16"/>
              </w:rPr>
              <w:t>312,946</w:t>
            </w:r>
          </w:p>
        </w:tc>
        <w:tc>
          <w:tcPr>
            <w:tcW w:w="449" w:type="pct"/>
            <w:tcBorders>
              <w:top w:val="single" w:color="auto" w:sz="4" w:space="0"/>
              <w:bottom w:val="single" w:color="auto" w:sz="4" w:space="0"/>
            </w:tcBorders>
            <w:shd w:val="clear" w:color="auto" w:fill="auto"/>
            <w:vAlign w:val="center"/>
          </w:tcPr>
          <w:p w:rsidRPr="004E08E7" w:rsidR="000A61CF" w:rsidP="00545D1E" w:rsidRDefault="000A61CF">
            <w:pPr>
              <w:contextualSpacing/>
              <w:rPr>
                <w:rFonts w:eastAsia="Calibri"/>
                <w:b/>
                <w:bCs/>
                <w:sz w:val="16"/>
                <w:szCs w:val="16"/>
              </w:rPr>
            </w:pPr>
            <w:r w:rsidRPr="004E08E7">
              <w:rPr>
                <w:rFonts w:eastAsia="Calibri"/>
                <w:b/>
                <w:sz w:val="16"/>
                <w:szCs w:val="16"/>
              </w:rPr>
              <w:t>- - -</w:t>
            </w:r>
          </w:p>
        </w:tc>
        <w:tc>
          <w:tcPr>
            <w:tcW w:w="791" w:type="pct"/>
            <w:tcBorders>
              <w:top w:val="single" w:color="auto" w:sz="4" w:space="0"/>
              <w:left w:val="nil"/>
              <w:bottom w:val="single" w:color="auto" w:sz="4" w:space="0"/>
              <w:right w:val="single" w:color="auto" w:sz="4" w:space="0"/>
            </w:tcBorders>
            <w:shd w:val="clear" w:color="auto" w:fill="auto"/>
            <w:vAlign w:val="center"/>
          </w:tcPr>
          <w:p w:rsidRPr="004E08E7" w:rsidR="000A61CF" w:rsidP="000A61CF" w:rsidRDefault="000A61CF">
            <w:pPr>
              <w:rPr>
                <w:rFonts w:eastAsia="Calibri"/>
                <w:b/>
                <w:bCs/>
                <w:color w:val="000000"/>
                <w:sz w:val="16"/>
                <w:szCs w:val="16"/>
              </w:rPr>
            </w:pPr>
            <w:r>
              <w:rPr>
                <w:b/>
                <w:color w:val="000000"/>
                <w:sz w:val="16"/>
                <w:szCs w:val="16"/>
              </w:rPr>
              <w:t>$12,937,187</w:t>
            </w:r>
          </w:p>
        </w:tc>
      </w:tr>
    </w:tbl>
    <w:p w:rsidRPr="00476F66" w:rsidR="000A61CF" w:rsidRDefault="000A61CF">
      <w:pPr>
        <w:widowControl/>
        <w:tabs>
          <w:tab w:val="left" w:pos="-984"/>
          <w:tab w:val="left" w:pos="-720"/>
          <w:tab w:val="left" w:pos="720"/>
        </w:tabs>
        <w:jc w:val="both"/>
        <w:rPr>
          <w:rFonts w:ascii="Arial" w:hAnsi="Arial" w:cs="Arial"/>
          <w:color w:val="0000FF"/>
        </w:rPr>
        <w:sectPr w:rsidRPr="00476F66" w:rsidR="000A61CF">
          <w:type w:val="continuous"/>
          <w:pgSz w:w="12240" w:h="15840"/>
          <w:pgMar w:top="1440" w:right="1440" w:bottom="1440" w:left="1440" w:header="1440" w:footer="1440" w:gutter="0"/>
          <w:cols w:space="720"/>
          <w:noEndnote/>
        </w:sectPr>
      </w:pPr>
    </w:p>
    <w:p w:rsidRPr="00931AF7" w:rsidR="000A61CF" w:rsidRDefault="000A61CF">
      <w:pPr>
        <w:widowControl/>
        <w:tabs>
          <w:tab w:val="left" w:pos="-984"/>
          <w:tab w:val="left" w:pos="-720"/>
          <w:tab w:val="left" w:pos="720"/>
        </w:tabs>
        <w:jc w:val="both"/>
        <w:rPr>
          <w:rFonts w:ascii="Arial" w:hAnsi="Arial" w:cs="Arial"/>
        </w:rPr>
      </w:pPr>
    </w:p>
    <w:p w:rsidR="000D0476" w:rsidRDefault="000D0476">
      <w:pPr>
        <w:widowControl/>
        <w:tabs>
          <w:tab w:val="left" w:pos="-984"/>
          <w:tab w:val="left" w:pos="-720"/>
          <w:tab w:val="left" w:pos="720"/>
        </w:tabs>
        <w:jc w:val="both"/>
        <w:rPr>
          <w:rFonts w:ascii="Arial" w:hAnsi="Arial" w:cs="Arial"/>
          <w:b/>
          <w:bCs/>
        </w:rPr>
      </w:pPr>
      <w:r w:rsidRPr="00931AF7">
        <w:rPr>
          <w:rFonts w:ascii="Arial" w:hAnsi="Arial" w:cs="Arial"/>
          <w:b/>
          <w:bCs/>
        </w:rPr>
        <w:t>15.</w:t>
      </w:r>
      <w:r w:rsidRPr="00931AF7">
        <w:rPr>
          <w:rFonts w:ascii="Arial" w:hAnsi="Arial" w:cs="Arial"/>
          <w:b/>
          <w:bCs/>
        </w:rPr>
        <w:tab/>
      </w:r>
      <w:r w:rsidRPr="00667FA4" w:rsidR="00667FA4">
        <w:rPr>
          <w:rFonts w:ascii="Arial" w:hAnsi="Arial" w:cs="Arial"/>
          <w:b/>
          <w:bCs/>
        </w:rPr>
        <w:t>Explain the reasons for any program changes or adjustments reported on the burden worksheet.</w:t>
      </w:r>
    </w:p>
    <w:p w:rsidRPr="0056760B" w:rsidR="001A3093" w:rsidRDefault="001A3093">
      <w:pPr>
        <w:widowControl/>
        <w:tabs>
          <w:tab w:val="left" w:pos="-984"/>
          <w:tab w:val="left" w:pos="-720"/>
          <w:tab w:val="left" w:pos="720"/>
        </w:tabs>
        <w:jc w:val="both"/>
        <w:rPr>
          <w:rFonts w:ascii="Arial" w:hAnsi="Arial" w:cs="Arial"/>
        </w:rPr>
      </w:pPr>
    </w:p>
    <w:p w:rsidR="00E55D84" w:rsidRDefault="001A3093">
      <w:pPr>
        <w:widowControl/>
        <w:tabs>
          <w:tab w:val="left" w:pos="-984"/>
          <w:tab w:val="left" w:pos="-720"/>
          <w:tab w:val="left" w:pos="720"/>
        </w:tabs>
        <w:jc w:val="both"/>
        <w:rPr>
          <w:rFonts w:ascii="Arial" w:hAnsi="Arial" w:cs="Arial"/>
          <w:color w:val="0000FF"/>
        </w:rPr>
      </w:pPr>
      <w:r w:rsidRPr="0057074A">
        <w:rPr>
          <w:noProof/>
        </w:rPr>
        <w:drawing>
          <wp:inline distT="0" distB="0" distL="0" distR="0" wp14:anchorId="2253CFAC" wp14:editId="0452C95D">
            <wp:extent cx="6286500" cy="75994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22135" cy="764254"/>
                    </a:xfrm>
                    <a:prstGeom prst="rect">
                      <a:avLst/>
                    </a:prstGeom>
                    <a:noFill/>
                    <a:ln>
                      <a:noFill/>
                    </a:ln>
                  </pic:spPr>
                </pic:pic>
              </a:graphicData>
            </a:graphic>
          </wp:inline>
        </w:drawing>
      </w:r>
    </w:p>
    <w:p w:rsidR="008522FB" w:rsidP="008522FB" w:rsidRDefault="008522FB">
      <w:pPr>
        <w:pStyle w:val="Heading6"/>
        <w:keepLines w:val="0"/>
      </w:pPr>
    </w:p>
    <w:p w:rsidRPr="009A28D0" w:rsidR="008522FB" w:rsidP="008522FB" w:rsidRDefault="008522FB">
      <w:pPr>
        <w:pStyle w:val="Heading6"/>
        <w:keepLines w:val="0"/>
      </w:pPr>
      <w:r w:rsidRPr="009A28D0">
        <w:t>Changes in Responses and Burden Hours</w:t>
      </w:r>
    </w:p>
    <w:p w:rsidRPr="009A28D0" w:rsidR="008522FB" w:rsidP="008522FB" w:rsidRDefault="008522FB">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8522FB" w:rsidP="008522FB" w:rsidRDefault="008522FB">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9A28D0">
        <w:rPr>
          <w:rFonts w:ascii="Arial" w:hAnsi="Arial" w:cs="Arial"/>
        </w:rPr>
        <w:t xml:space="preserve">For this renewal, the USPTO estimates that the annual responses will </w:t>
      </w:r>
      <w:r w:rsidR="00461C83">
        <w:rPr>
          <w:rFonts w:ascii="Arial" w:hAnsi="Arial" w:cs="Arial"/>
        </w:rPr>
        <w:t>increase</w:t>
      </w:r>
      <w:r w:rsidRPr="009A28D0">
        <w:rPr>
          <w:rFonts w:ascii="Arial" w:hAnsi="Arial" w:cs="Arial"/>
        </w:rPr>
        <w:t xml:space="preserve"> by </w:t>
      </w:r>
      <w:r w:rsidR="007D1F40">
        <w:rPr>
          <w:rFonts w:ascii="Arial" w:hAnsi="Arial" w:cs="Arial"/>
        </w:rPr>
        <w:t>53,353</w:t>
      </w:r>
      <w:r w:rsidRPr="009A28D0">
        <w:rPr>
          <w:rFonts w:ascii="Arial" w:hAnsi="Arial" w:cs="Arial"/>
        </w:rPr>
        <w:t xml:space="preserve"> and the total burden hours will </w:t>
      </w:r>
      <w:r w:rsidR="00461C83">
        <w:rPr>
          <w:rFonts w:ascii="Arial" w:hAnsi="Arial" w:cs="Arial"/>
        </w:rPr>
        <w:t>increase</w:t>
      </w:r>
      <w:r w:rsidRPr="009A28D0">
        <w:rPr>
          <w:rFonts w:ascii="Arial" w:hAnsi="Arial" w:cs="Arial"/>
        </w:rPr>
        <w:t xml:space="preserve"> by </w:t>
      </w:r>
      <w:r w:rsidR="007D1F40">
        <w:rPr>
          <w:rFonts w:ascii="Arial" w:hAnsi="Arial" w:cs="Arial"/>
        </w:rPr>
        <w:t>26,677</w:t>
      </w:r>
      <w:r w:rsidRPr="009A28D0">
        <w:rPr>
          <w:rFonts w:ascii="Arial" w:hAnsi="Arial" w:cs="Arial"/>
        </w:rPr>
        <w:t xml:space="preserve"> from the currently approved burden for this </w:t>
      </w:r>
      <w:r w:rsidR="007B7366">
        <w:rPr>
          <w:rFonts w:ascii="Arial" w:hAnsi="Arial" w:cs="Arial"/>
        </w:rPr>
        <w:t xml:space="preserve">information </w:t>
      </w:r>
      <w:r w:rsidRPr="009A28D0">
        <w:rPr>
          <w:rFonts w:ascii="Arial" w:hAnsi="Arial" w:cs="Arial"/>
        </w:rPr>
        <w:t>collection.</w:t>
      </w:r>
      <w:r w:rsidRPr="009A28D0">
        <w:rPr>
          <w:rFonts w:ascii="Arial" w:hAnsi="Arial" w:cs="Arial"/>
          <w:color w:val="0000FF"/>
        </w:rPr>
        <w:t xml:space="preserve">  </w:t>
      </w:r>
      <w:r w:rsidRPr="009A28D0">
        <w:rPr>
          <w:rFonts w:ascii="Arial" w:hAnsi="Arial" w:cs="Arial"/>
        </w:rPr>
        <w:t>These changes ar</w:t>
      </w:r>
      <w:r w:rsidR="00461C83">
        <w:rPr>
          <w:rFonts w:ascii="Arial" w:hAnsi="Arial" w:cs="Arial"/>
        </w:rPr>
        <w:t>e due to</w:t>
      </w:r>
      <w:r w:rsidR="00BB7593">
        <w:rPr>
          <w:rFonts w:ascii="Arial" w:hAnsi="Arial" w:cs="Arial"/>
        </w:rPr>
        <w:t xml:space="preserve"> increases in A</w:t>
      </w:r>
      <w:bookmarkStart w:name="_GoBack" w:id="0"/>
      <w:bookmarkEnd w:id="0"/>
      <w:r w:rsidR="00855D88">
        <w:rPr>
          <w:rFonts w:ascii="Arial" w:hAnsi="Arial" w:cs="Arial"/>
        </w:rPr>
        <w:t>gency estimates.</w:t>
      </w:r>
    </w:p>
    <w:p w:rsidRPr="008522FB" w:rsidR="008522FB" w:rsidP="008522FB" w:rsidRDefault="008522FB">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Pr="009A28D0" w:rsidR="008522FB" w:rsidP="008522FB" w:rsidRDefault="008522FB">
      <w:pPr>
        <w:pStyle w:val="Heading6"/>
        <w:keepLines w:val="0"/>
      </w:pPr>
      <w:r w:rsidRPr="009A28D0">
        <w:lastRenderedPageBreak/>
        <w:t>Changes in Annual (Non-hour) Costs</w:t>
      </w:r>
    </w:p>
    <w:p w:rsidRPr="009A28D0" w:rsidR="008522FB" w:rsidP="008522FB" w:rsidRDefault="008522FB">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BB3764" w:rsidP="008522FB" w:rsidRDefault="008522FB">
      <w:pPr>
        <w:pStyle w:val="Heading6"/>
        <w:keepLines w:val="0"/>
      </w:pPr>
      <w:r w:rsidRPr="00394CCC">
        <w:rPr>
          <w:u w:val="none"/>
        </w:rPr>
        <w:t>For this renewal, the USPTO estimates that the total</w:t>
      </w:r>
      <w:r w:rsidR="007D1F40">
        <w:rPr>
          <w:u w:val="none"/>
        </w:rPr>
        <w:t xml:space="preserve"> annual (non-hour) costs will in</w:t>
      </w:r>
      <w:r w:rsidRPr="00394CCC">
        <w:rPr>
          <w:u w:val="none"/>
        </w:rPr>
        <w:t>crease by $</w:t>
      </w:r>
      <w:r w:rsidR="007D1F40">
        <w:rPr>
          <w:u w:val="none"/>
        </w:rPr>
        <w:t>775,701.  These increases are due to overall increase usage of the assignment system, especially by those paying fees for trademark assignments</w:t>
      </w:r>
      <w:r w:rsidR="00855D88">
        <w:rPr>
          <w:u w:val="none"/>
        </w:rPr>
        <w:t>.</w:t>
      </w:r>
    </w:p>
    <w:p w:rsidR="00F84F2D" w:rsidP="008522FB" w:rsidRDefault="00F84F2D">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Pr="0023366F" w:rsidR="001A3093" w:rsidP="008522FB" w:rsidRDefault="001A3093">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Pr="00E0554B" w:rsidR="000D0476" w:rsidRDefault="000D0476">
      <w:pPr>
        <w:widowControl/>
        <w:tabs>
          <w:tab w:val="left" w:pos="-984"/>
          <w:tab w:val="left" w:pos="-720"/>
          <w:tab w:val="left" w:pos="720"/>
        </w:tabs>
        <w:jc w:val="both"/>
        <w:rPr>
          <w:rFonts w:ascii="Arial" w:hAnsi="Arial" w:cs="Arial"/>
        </w:rPr>
      </w:pPr>
      <w:r w:rsidRPr="00E0554B">
        <w:rPr>
          <w:rFonts w:ascii="Arial" w:hAnsi="Arial" w:cs="Arial"/>
          <w:b/>
          <w:bCs/>
        </w:rPr>
        <w:t>16.</w:t>
      </w:r>
      <w:r w:rsidRPr="00E0554B">
        <w:rPr>
          <w:rFonts w:ascii="Arial" w:hAnsi="Arial" w:cs="Arial"/>
          <w:b/>
          <w:bCs/>
        </w:rPr>
        <w:tab/>
      </w:r>
      <w:r w:rsidRPr="00667FA4" w:rsidR="00667FA4">
        <w:rPr>
          <w:rFonts w:ascii="Arial" w:hAnsi="Arial" w:cs="Arial"/>
          <w:b/>
          <w:bCs/>
        </w:rPr>
        <w:t xml:space="preserve">For collections of information whose results </w:t>
      </w:r>
      <w:proofErr w:type="gramStart"/>
      <w:r w:rsidRPr="00667FA4" w:rsidR="00667FA4">
        <w:rPr>
          <w:rFonts w:ascii="Arial" w:hAnsi="Arial" w:cs="Arial"/>
          <w:b/>
          <w:bCs/>
        </w:rPr>
        <w:t>will be published</w:t>
      </w:r>
      <w:proofErr w:type="gramEnd"/>
      <w:r w:rsidRPr="00667FA4" w:rsidR="00667FA4">
        <w:rPr>
          <w:rFonts w:ascii="Arial" w:hAnsi="Arial" w:cs="Arial"/>
          <w:b/>
          <w:bCs/>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0554B" w:rsidR="000D0476" w:rsidRDefault="000D0476">
      <w:pPr>
        <w:widowControl/>
        <w:tabs>
          <w:tab w:val="left" w:pos="-984"/>
          <w:tab w:val="left" w:pos="-720"/>
          <w:tab w:val="left" w:pos="720"/>
        </w:tabs>
        <w:jc w:val="both"/>
        <w:rPr>
          <w:rFonts w:ascii="Arial" w:hAnsi="Arial" w:cs="Arial"/>
        </w:rPr>
      </w:pPr>
    </w:p>
    <w:p w:rsidRPr="00E0554B" w:rsidR="000D0476" w:rsidRDefault="000D0476">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sidRPr="00E0554B" w:rsidR="00E07532">
        <w:rPr>
          <w:rFonts w:ascii="Arial" w:hAnsi="Arial" w:cs="Arial"/>
        </w:rPr>
        <w:t xml:space="preserve">. </w:t>
      </w:r>
      <w:r w:rsidR="00F13873">
        <w:rPr>
          <w:rFonts w:ascii="Arial" w:hAnsi="Arial" w:cs="Arial"/>
        </w:rPr>
        <w:t xml:space="preserve"> </w:t>
      </w:r>
      <w:r w:rsidRPr="00E0554B">
        <w:rPr>
          <w:rFonts w:ascii="Arial" w:hAnsi="Arial" w:cs="Arial"/>
        </w:rPr>
        <w:t>However, patent and trademark assignment records are available to the public at the USPTO Public Search Facilities</w:t>
      </w:r>
      <w:r w:rsidR="001A3093">
        <w:rPr>
          <w:rFonts w:ascii="Arial" w:hAnsi="Arial" w:cs="Arial"/>
        </w:rPr>
        <w:t>, NARA,</w:t>
      </w:r>
      <w:r w:rsidRPr="00E0554B">
        <w:rPr>
          <w:rFonts w:ascii="Arial" w:hAnsi="Arial" w:cs="Arial"/>
        </w:rPr>
        <w:t xml:space="preserve"> and on the USPTO </w:t>
      </w:r>
      <w:r w:rsidR="00310CB9">
        <w:rPr>
          <w:rFonts w:ascii="Arial" w:hAnsi="Arial" w:cs="Arial"/>
        </w:rPr>
        <w:t>web</w:t>
      </w:r>
      <w:r w:rsidRPr="00E0554B" w:rsidR="00405A51">
        <w:rPr>
          <w:rFonts w:ascii="Arial" w:hAnsi="Arial" w:cs="Arial"/>
        </w:rPr>
        <w:t>site</w:t>
      </w:r>
      <w:r w:rsidRPr="00E0554B">
        <w:rPr>
          <w:rFonts w:ascii="Arial" w:hAnsi="Arial" w:cs="Arial"/>
        </w:rPr>
        <w:t>.</w:t>
      </w:r>
    </w:p>
    <w:p w:rsidR="000D0476" w:rsidRDefault="000D0476">
      <w:pPr>
        <w:widowControl/>
        <w:tabs>
          <w:tab w:val="left" w:pos="-984"/>
          <w:tab w:val="left" w:pos="-720"/>
          <w:tab w:val="left" w:pos="720"/>
        </w:tabs>
        <w:jc w:val="both"/>
        <w:rPr>
          <w:rFonts w:ascii="Arial" w:hAnsi="Arial" w:cs="Arial"/>
          <w:color w:val="0000FF"/>
        </w:rPr>
      </w:pPr>
    </w:p>
    <w:p w:rsidRPr="005327FC" w:rsidR="001A3093" w:rsidRDefault="001A3093">
      <w:pPr>
        <w:widowControl/>
        <w:tabs>
          <w:tab w:val="left" w:pos="-984"/>
          <w:tab w:val="left" w:pos="-720"/>
          <w:tab w:val="left" w:pos="720"/>
        </w:tabs>
        <w:jc w:val="both"/>
        <w:rPr>
          <w:rFonts w:ascii="Arial" w:hAnsi="Arial" w:cs="Arial"/>
          <w:color w:val="0000FF"/>
        </w:rPr>
      </w:pPr>
    </w:p>
    <w:p w:rsidRPr="0056760B" w:rsidR="000D0476" w:rsidRDefault="000D0476">
      <w:pPr>
        <w:keepNext/>
        <w:keepLines/>
        <w:widowControl/>
        <w:tabs>
          <w:tab w:val="left" w:pos="-984"/>
          <w:tab w:val="left" w:pos="-720"/>
          <w:tab w:val="left" w:pos="720"/>
        </w:tabs>
        <w:jc w:val="both"/>
        <w:rPr>
          <w:rFonts w:ascii="Arial" w:hAnsi="Arial" w:cs="Arial"/>
        </w:rPr>
      </w:pPr>
      <w:r w:rsidRPr="0056760B">
        <w:rPr>
          <w:rFonts w:ascii="Arial" w:hAnsi="Arial" w:cs="Arial"/>
          <w:b/>
          <w:bCs/>
        </w:rPr>
        <w:t>17.</w:t>
      </w:r>
      <w:r w:rsidRPr="0056760B">
        <w:rPr>
          <w:rFonts w:ascii="Arial" w:hAnsi="Arial" w:cs="Arial"/>
          <w:b/>
          <w:bCs/>
        </w:rPr>
        <w:tab/>
      </w:r>
      <w:r w:rsidRPr="00667FA4" w:rsidR="00667FA4">
        <w:rPr>
          <w:rFonts w:ascii="Arial" w:hAnsi="Arial" w:cs="Arial"/>
          <w:b/>
          <w:bCs/>
        </w:rPr>
        <w:t xml:space="preserve">If seeking approval </w:t>
      </w:r>
      <w:proofErr w:type="gramStart"/>
      <w:r w:rsidRPr="00667FA4" w:rsidR="00667FA4">
        <w:rPr>
          <w:rFonts w:ascii="Arial" w:hAnsi="Arial" w:cs="Arial"/>
          <w:b/>
          <w:bCs/>
        </w:rPr>
        <w:t>to not display</w:t>
      </w:r>
      <w:proofErr w:type="gramEnd"/>
      <w:r w:rsidRPr="00667FA4" w:rsidR="00667FA4">
        <w:rPr>
          <w:rFonts w:ascii="Arial" w:hAnsi="Arial" w:cs="Arial"/>
          <w:b/>
          <w:bCs/>
        </w:rPr>
        <w:t xml:space="preserve"> the expiration date for OMB approval of the information collection, explain the reasons that display would be inappropriate.</w:t>
      </w:r>
    </w:p>
    <w:p w:rsidRPr="00E0554B" w:rsidR="000D0476" w:rsidRDefault="000D0476">
      <w:pPr>
        <w:keepNext/>
        <w:keepLines/>
        <w:widowControl/>
        <w:tabs>
          <w:tab w:val="left" w:pos="-984"/>
          <w:tab w:val="left" w:pos="-720"/>
          <w:tab w:val="left" w:pos="720"/>
        </w:tabs>
        <w:jc w:val="both"/>
        <w:rPr>
          <w:rFonts w:ascii="Arial" w:hAnsi="Arial" w:cs="Arial"/>
        </w:rPr>
      </w:pPr>
    </w:p>
    <w:p w:rsidRPr="00855D88" w:rsidR="000D0476" w:rsidP="00855D88" w:rsidRDefault="000D0476">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sidR="00E0554B">
        <w:rPr>
          <w:rFonts w:ascii="Arial" w:hAnsi="Arial"/>
        </w:rPr>
        <w:t xml:space="preserve"> of OMB approval.</w:t>
      </w:r>
    </w:p>
    <w:p w:rsidR="000D0476" w:rsidRDefault="000D0476">
      <w:pPr>
        <w:widowControl/>
        <w:tabs>
          <w:tab w:val="left" w:pos="-984"/>
          <w:tab w:val="left" w:pos="-720"/>
          <w:tab w:val="left" w:pos="720"/>
        </w:tabs>
        <w:jc w:val="both"/>
        <w:rPr>
          <w:rFonts w:ascii="Arial" w:hAnsi="Arial" w:cs="Arial"/>
        </w:rPr>
      </w:pPr>
    </w:p>
    <w:p w:rsidRPr="0056760B" w:rsidR="001A3093" w:rsidRDefault="001A3093">
      <w:pPr>
        <w:widowControl/>
        <w:tabs>
          <w:tab w:val="left" w:pos="-984"/>
          <w:tab w:val="left" w:pos="-720"/>
          <w:tab w:val="left" w:pos="720"/>
        </w:tabs>
        <w:jc w:val="both"/>
        <w:rPr>
          <w:rFonts w:ascii="Arial" w:hAnsi="Arial" w:cs="Arial"/>
        </w:rPr>
      </w:pPr>
    </w:p>
    <w:p w:rsidRPr="00E0554B" w:rsidR="000D0476" w:rsidP="00A5416F" w:rsidRDefault="000D0476">
      <w:pPr>
        <w:keepNext/>
        <w:widowControl/>
        <w:tabs>
          <w:tab w:val="left" w:pos="-984"/>
          <w:tab w:val="left" w:pos="-720"/>
          <w:tab w:val="left" w:pos="720"/>
        </w:tabs>
        <w:jc w:val="both"/>
        <w:rPr>
          <w:rFonts w:ascii="Arial" w:hAnsi="Arial" w:cs="Arial"/>
        </w:rPr>
      </w:pPr>
      <w:r w:rsidRPr="00E0554B">
        <w:rPr>
          <w:rFonts w:ascii="Arial" w:hAnsi="Arial" w:cs="Arial"/>
          <w:b/>
          <w:bCs/>
        </w:rPr>
        <w:t>18.</w:t>
      </w:r>
      <w:r w:rsidRPr="00E0554B">
        <w:rPr>
          <w:rFonts w:ascii="Arial" w:hAnsi="Arial" w:cs="Arial"/>
          <w:b/>
          <w:bCs/>
        </w:rPr>
        <w:tab/>
      </w:r>
      <w:r w:rsidRPr="00667FA4" w:rsidR="00667FA4">
        <w:rPr>
          <w:rFonts w:ascii="Arial" w:hAnsi="Arial" w:cs="Arial"/>
          <w:b/>
          <w:bCs/>
        </w:rPr>
        <w:t>Explain each exception to the topics of the certification statement identified in “Certification for Paperwork Reduction Act Submissions.”</w:t>
      </w:r>
    </w:p>
    <w:p w:rsidRPr="00E0554B" w:rsidR="000D0476" w:rsidP="00A5416F" w:rsidRDefault="000D0476">
      <w:pPr>
        <w:keepNext/>
        <w:widowControl/>
        <w:tabs>
          <w:tab w:val="left" w:pos="-984"/>
          <w:tab w:val="left" w:pos="-720"/>
          <w:tab w:val="left" w:pos="720"/>
        </w:tabs>
        <w:jc w:val="both"/>
        <w:rPr>
          <w:rFonts w:ascii="Arial" w:hAnsi="Arial" w:cs="Arial"/>
        </w:rPr>
      </w:pPr>
    </w:p>
    <w:p w:rsidRPr="00E0554B" w:rsidR="000D0476" w:rsidRDefault="000D0476">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0D0476" w:rsidRDefault="000D0476">
      <w:pPr>
        <w:widowControl/>
        <w:tabs>
          <w:tab w:val="left" w:pos="-984"/>
          <w:tab w:val="left" w:pos="-720"/>
          <w:tab w:val="left" w:pos="720"/>
        </w:tabs>
        <w:jc w:val="both"/>
        <w:rPr>
          <w:rFonts w:ascii="Arial" w:hAnsi="Arial" w:cs="Arial"/>
          <w:color w:val="0000FF"/>
        </w:rPr>
      </w:pPr>
    </w:p>
    <w:p w:rsidRPr="00476F66" w:rsidR="001A3093" w:rsidRDefault="001A3093">
      <w:pPr>
        <w:widowControl/>
        <w:tabs>
          <w:tab w:val="left" w:pos="-984"/>
          <w:tab w:val="left" w:pos="-720"/>
          <w:tab w:val="left" w:pos="720"/>
        </w:tabs>
        <w:jc w:val="both"/>
        <w:rPr>
          <w:rFonts w:ascii="Arial" w:hAnsi="Arial" w:cs="Arial"/>
          <w:color w:val="0000FF"/>
        </w:rPr>
      </w:pPr>
    </w:p>
    <w:p w:rsidRPr="0056760B" w:rsidR="000D0476" w:rsidP="002E593B" w:rsidRDefault="000D0476">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Pr="0056760B" w:rsidR="000D0476" w:rsidP="002E593B" w:rsidRDefault="000D0476">
      <w:pPr>
        <w:keepNext/>
        <w:widowControl/>
        <w:tabs>
          <w:tab w:val="left" w:pos="-984"/>
          <w:tab w:val="left" w:pos="-720"/>
          <w:tab w:val="left" w:pos="720"/>
        </w:tabs>
        <w:jc w:val="both"/>
        <w:rPr>
          <w:rFonts w:ascii="Arial" w:hAnsi="Arial" w:cs="Arial"/>
        </w:rPr>
      </w:pPr>
    </w:p>
    <w:p w:rsidR="000D0476" w:rsidRDefault="000D0476">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R="000D0476" w:rsidSect="000D047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796" w:rsidRDefault="00345796">
      <w:r>
        <w:separator/>
      </w:r>
    </w:p>
  </w:endnote>
  <w:endnote w:type="continuationSeparator" w:id="0">
    <w:p w:rsidR="00345796" w:rsidRDefault="00345796">
      <w:r>
        <w:continuationSeparator/>
      </w:r>
    </w:p>
  </w:endnote>
  <w:endnote w:type="continuationNotice" w:id="1">
    <w:p w:rsidR="00345796" w:rsidRDefault="00345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45" w:rsidRDefault="00E81045" w:rsidP="00D31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1045" w:rsidRDefault="00E81045" w:rsidP="006E59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45" w:rsidRDefault="00E81045">
    <w:pPr>
      <w:spacing w:line="240" w:lineRule="exact"/>
    </w:pPr>
  </w:p>
  <w:p w:rsidR="00E81045" w:rsidRDefault="00E81045" w:rsidP="00D31DB0">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sidR="00BB7593">
      <w:rPr>
        <w:rFonts w:ascii="Arial" w:hAnsi="Arial" w:cs="Arial"/>
        <w:noProof/>
        <w:sz w:val="18"/>
        <w:szCs w:val="18"/>
      </w:rPr>
      <w:t>13</w:t>
    </w:r>
    <w:r>
      <w:rPr>
        <w:rFonts w:ascii="Arial" w:hAnsi="Arial" w:cs="Arial"/>
        <w:sz w:val="18"/>
        <w:szCs w:val="18"/>
      </w:rPr>
      <w:fldChar w:fldCharType="end"/>
    </w:r>
  </w:p>
  <w:p w:rsidR="00E81045" w:rsidRDefault="00E81045" w:rsidP="006E592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796" w:rsidRDefault="00345796">
      <w:r>
        <w:separator/>
      </w:r>
    </w:p>
  </w:footnote>
  <w:footnote w:type="continuationSeparator" w:id="0">
    <w:p w:rsidR="00345796" w:rsidRDefault="00345796">
      <w:r>
        <w:continuationSeparator/>
      </w:r>
    </w:p>
  </w:footnote>
  <w:footnote w:type="continuationNotice" w:id="1">
    <w:p w:rsidR="00345796" w:rsidRDefault="00345796"/>
  </w:footnote>
  <w:footnote w:id="2">
    <w:p w:rsidR="00A11284" w:rsidRPr="007C5458" w:rsidRDefault="00A11284" w:rsidP="00A11284">
      <w:pPr>
        <w:pStyle w:val="FootnoteText"/>
        <w:rPr>
          <w:sz w:val="16"/>
        </w:rPr>
      </w:pPr>
      <w:r>
        <w:rPr>
          <w:rStyle w:val="FootnoteReference"/>
        </w:rPr>
        <w:footnoteRef/>
      </w:r>
      <w:r>
        <w:t xml:space="preserve"> </w:t>
      </w:r>
      <w:r w:rsidRPr="007C5458">
        <w:rPr>
          <w:sz w:val="16"/>
        </w:rPr>
        <w:t xml:space="preserve">2019 Report of the Economic Survey, published by the Committee on Economics of Legal Practice of the American Intellectual Property Law Association (AIPLA); https://www.aipla.org/detail/journal-issue/2019-report-of-the-economic-survey. The USPTO uses the mean rate for attorneys in private </w:t>
      </w:r>
      <w:proofErr w:type="gramStart"/>
      <w:r w:rsidRPr="007C5458">
        <w:rPr>
          <w:sz w:val="16"/>
        </w:rPr>
        <w:t>firms which</w:t>
      </w:r>
      <w:proofErr w:type="gramEnd"/>
      <w:r w:rsidRPr="007C5458">
        <w:rPr>
          <w:sz w:val="16"/>
        </w:rPr>
        <w:t xml:space="preserve"> is $400 per hour. The hourly rate for paraprofessional/paralegals is estimated at $145 from data published in the 2018 Utilization and Compensation Survey by the National Association of Legal Assistants (NALA); </w:t>
      </w:r>
      <w:hyperlink r:id="rId1" w:history="1">
        <w:r w:rsidRPr="007C5458">
          <w:rPr>
            <w:rStyle w:val="Hyperlink"/>
          </w:rPr>
          <w:t>https://www.nala.org/paralegals/research-and-survey-findings</w:t>
        </w:r>
      </w:hyperlink>
      <w:r w:rsidRPr="007C5458">
        <w:rPr>
          <w:sz w:val="16"/>
        </w:rPr>
        <w:t xml:space="preserve">. </w:t>
      </w:r>
      <w:r w:rsidRPr="007C5458">
        <w:rPr>
          <w:rFonts w:cs="Courier New"/>
          <w:sz w:val="16"/>
        </w:rPr>
        <w:t>The USPTO estimates that the combined rate for respondents will be approximately $273 per hour.</w:t>
      </w:r>
    </w:p>
  </w:footnote>
  <w:footnote w:id="3">
    <w:p w:rsidR="00A11284" w:rsidRPr="007C5458" w:rsidRDefault="00A11284" w:rsidP="00A11284">
      <w:pPr>
        <w:pStyle w:val="FootnoteText"/>
        <w:rPr>
          <w:sz w:val="16"/>
        </w:rPr>
      </w:pPr>
      <w:r>
        <w:rPr>
          <w:rStyle w:val="FootnoteReference"/>
        </w:rPr>
        <w:footnoteRef/>
      </w:r>
      <w:r>
        <w:t xml:space="preserve"> </w:t>
      </w:r>
      <w:r w:rsidRPr="007C5458">
        <w:rPr>
          <w:sz w:val="16"/>
        </w:rPr>
        <w:t xml:space="preserve">2019 Report of the Economic Survey, published by the Committee on Economics of Legal Practice of the American Intellectual Property Law Association (AIPLA); https://www.aipla.org/detail/journal-issue/2019-report-of-the-economic-survey. The USPTO uses the mean rate for attorneys in private </w:t>
      </w:r>
      <w:proofErr w:type="gramStart"/>
      <w:r w:rsidRPr="007C5458">
        <w:rPr>
          <w:sz w:val="16"/>
        </w:rPr>
        <w:t>firms which</w:t>
      </w:r>
      <w:proofErr w:type="gramEnd"/>
      <w:r w:rsidRPr="007C5458">
        <w:rPr>
          <w:sz w:val="16"/>
        </w:rPr>
        <w:t xml:space="preserve"> is $400 per hour. The hourly rate for paraprofessional/paralegals is estimated at $145 from data published in the 2018 Utilization and Compensation Survey by the National Association of Legal Assistants (NALA); </w:t>
      </w:r>
      <w:hyperlink r:id="rId2" w:history="1">
        <w:r w:rsidRPr="007C5458">
          <w:rPr>
            <w:rStyle w:val="Hyperlink"/>
          </w:rPr>
          <w:t>https://www.nala.org/paralegals/research-and-survey-findings</w:t>
        </w:r>
      </w:hyperlink>
      <w:r w:rsidRPr="007C5458">
        <w:rPr>
          <w:sz w:val="16"/>
        </w:rPr>
        <w:t xml:space="preserve">. </w:t>
      </w:r>
      <w:r w:rsidRPr="007C5458">
        <w:rPr>
          <w:rFonts w:cs="Courier New"/>
          <w:sz w:val="16"/>
        </w:rPr>
        <w:t>The USPTO estimates that the combined rate for respondents will be approximately $273 per hour.</w:t>
      </w:r>
    </w:p>
  </w:footnote>
  <w:footnote w:id="4">
    <w:p w:rsidR="00DC65E7" w:rsidRDefault="00DC65E7">
      <w:pPr>
        <w:pStyle w:val="FootnoteText"/>
      </w:pPr>
      <w:r>
        <w:rPr>
          <w:rStyle w:val="FootnoteReference"/>
        </w:rPr>
        <w:footnoteRef/>
      </w:r>
      <w:r>
        <w:t xml:space="preserve"> </w:t>
      </w:r>
      <w:r w:rsidRPr="00DC65E7">
        <w:t>https://www.opm.gov/policy-data-oversight/pay-leave/salaries-wages/salary-tables/pdf/2021/DCB_h.pdf</w:t>
      </w:r>
    </w:p>
  </w:footnote>
  <w:footnote w:id="5">
    <w:p w:rsidR="00DC65E7" w:rsidRDefault="00DC65E7">
      <w:pPr>
        <w:pStyle w:val="FootnoteText"/>
      </w:pPr>
      <w:r>
        <w:rPr>
          <w:rStyle w:val="FootnoteReference"/>
        </w:rPr>
        <w:footnoteRef/>
      </w:r>
      <w:r>
        <w:t xml:space="preserve"> </w:t>
      </w:r>
      <w:r w:rsidRPr="00DC65E7">
        <w:t>https://www.opm.gov/policy-data-oversight/pay-leave/salaries-wages/salary-tables/pdf/2021/DCB_h.pdf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2769230"/>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singleLevel"/>
    <w:tmpl w:val="00000000"/>
    <w:lvl w:ilvl="0">
      <w:start w:val="1"/>
      <w:numFmt w:val="upperLetter"/>
      <w:pStyle w:val="QuickA"/>
      <w:lvlText w:val="%1."/>
      <w:lvlJc w:val="left"/>
      <w:pPr>
        <w:keepNext/>
        <w:keepLines/>
        <w:tabs>
          <w:tab w:val="num" w:pos="540"/>
        </w:tabs>
      </w:pPr>
      <w:rPr>
        <w:rFonts w:ascii="Arial" w:hAnsi="Arial" w:cs="Arial"/>
        <w:sz w:val="22"/>
        <w:szCs w:val="22"/>
      </w:rPr>
    </w:lvl>
  </w:abstractNum>
  <w:abstractNum w:abstractNumId="6" w15:restartNumberingAfterBreak="0">
    <w:nsid w:val="02AB7B3C"/>
    <w:multiLevelType w:val="hybridMultilevel"/>
    <w:tmpl w:val="81008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7" w15:restartNumberingAfterBreak="0">
    <w:nsid w:val="061A3FE3"/>
    <w:multiLevelType w:val="hybridMultilevel"/>
    <w:tmpl w:val="351A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E01205"/>
    <w:multiLevelType w:val="hybridMultilevel"/>
    <w:tmpl w:val="E30E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7469E"/>
    <w:multiLevelType w:val="hybridMultilevel"/>
    <w:tmpl w:val="9D4E3574"/>
    <w:lvl w:ilvl="0" w:tplc="6B041748">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C0519"/>
    <w:multiLevelType w:val="hybridMultilevel"/>
    <w:tmpl w:val="8484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A667F"/>
    <w:multiLevelType w:val="hybridMultilevel"/>
    <w:tmpl w:val="E298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85DB0"/>
    <w:multiLevelType w:val="hybridMultilevel"/>
    <w:tmpl w:val="4044F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B84CA0"/>
    <w:multiLevelType w:val="hybridMultilevel"/>
    <w:tmpl w:val="A9D8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034CD"/>
    <w:multiLevelType w:val="hybridMultilevel"/>
    <w:tmpl w:val="2A58CE60"/>
    <w:lvl w:ilvl="0" w:tplc="BB240E16">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8A56E7"/>
    <w:multiLevelType w:val="hybridMultilevel"/>
    <w:tmpl w:val="A852B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1979F5"/>
    <w:multiLevelType w:val="hybridMultilevel"/>
    <w:tmpl w:val="198C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F3959"/>
    <w:multiLevelType w:val="hybridMultilevel"/>
    <w:tmpl w:val="3F6C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5"/>
    <w:lvlOverride w:ilvl="0">
      <w:startOverride w:val="2"/>
      <w:lvl w:ilvl="0">
        <w:start w:val="2"/>
        <w:numFmt w:val="upperLetter"/>
        <w:pStyle w:val="QuickA"/>
        <w:lvlText w:val="%1."/>
        <w:lvlJc w:val="left"/>
      </w:lvl>
    </w:lvlOverride>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16"/>
  </w:num>
  <w:num w:numId="5">
    <w:abstractNumId w:val="6"/>
  </w:num>
  <w:num w:numId="6">
    <w:abstractNumId w:val="13"/>
  </w:num>
  <w:num w:numId="7">
    <w:abstractNumId w:val="10"/>
  </w:num>
  <w:num w:numId="8">
    <w:abstractNumId w:val="8"/>
  </w:num>
  <w:num w:numId="9">
    <w:abstractNumId w:val="19"/>
  </w:num>
  <w:num w:numId="10">
    <w:abstractNumId w:val="17"/>
  </w:num>
  <w:num w:numId="11">
    <w:abstractNumId w:val="20"/>
  </w:num>
  <w:num w:numId="12">
    <w:abstractNumId w:val="15"/>
  </w:num>
  <w:num w:numId="13">
    <w:abstractNumId w:val="14"/>
  </w:num>
  <w:num w:numId="14">
    <w:abstractNumId w:val="18"/>
  </w:num>
  <w:num w:numId="15">
    <w:abstractNumId w:val="9"/>
  </w:num>
  <w:num w:numId="16">
    <w:abstractNumId w:val="7"/>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76"/>
    <w:rsid w:val="00002C91"/>
    <w:rsid w:val="00007A79"/>
    <w:rsid w:val="000142FD"/>
    <w:rsid w:val="0002087C"/>
    <w:rsid w:val="00023B11"/>
    <w:rsid w:val="00024E28"/>
    <w:rsid w:val="00025204"/>
    <w:rsid w:val="00026473"/>
    <w:rsid w:val="000269ED"/>
    <w:rsid w:val="00032A04"/>
    <w:rsid w:val="00035FC3"/>
    <w:rsid w:val="000365E7"/>
    <w:rsid w:val="00036D5C"/>
    <w:rsid w:val="000374E5"/>
    <w:rsid w:val="0004500B"/>
    <w:rsid w:val="00054506"/>
    <w:rsid w:val="00056889"/>
    <w:rsid w:val="000609E7"/>
    <w:rsid w:val="0006123B"/>
    <w:rsid w:val="0006283D"/>
    <w:rsid w:val="00070047"/>
    <w:rsid w:val="00071063"/>
    <w:rsid w:val="00081070"/>
    <w:rsid w:val="00091D89"/>
    <w:rsid w:val="00092565"/>
    <w:rsid w:val="000A1053"/>
    <w:rsid w:val="000A61CF"/>
    <w:rsid w:val="000A6E24"/>
    <w:rsid w:val="000B3CCC"/>
    <w:rsid w:val="000B764D"/>
    <w:rsid w:val="000C285C"/>
    <w:rsid w:val="000D0476"/>
    <w:rsid w:val="000D7571"/>
    <w:rsid w:val="000E1206"/>
    <w:rsid w:val="000E576C"/>
    <w:rsid w:val="000E7449"/>
    <w:rsid w:val="00100E4E"/>
    <w:rsid w:val="00103CF9"/>
    <w:rsid w:val="00105305"/>
    <w:rsid w:val="0010758D"/>
    <w:rsid w:val="00112D89"/>
    <w:rsid w:val="00114CEC"/>
    <w:rsid w:val="001172BD"/>
    <w:rsid w:val="001325DB"/>
    <w:rsid w:val="0015182B"/>
    <w:rsid w:val="00160F39"/>
    <w:rsid w:val="001711E7"/>
    <w:rsid w:val="00171257"/>
    <w:rsid w:val="00171CB5"/>
    <w:rsid w:val="00175F7E"/>
    <w:rsid w:val="00177E9F"/>
    <w:rsid w:val="0018021D"/>
    <w:rsid w:val="00181F28"/>
    <w:rsid w:val="00183FDF"/>
    <w:rsid w:val="00193EBC"/>
    <w:rsid w:val="00196159"/>
    <w:rsid w:val="00197CBA"/>
    <w:rsid w:val="001A3093"/>
    <w:rsid w:val="001B23DD"/>
    <w:rsid w:val="001B3A18"/>
    <w:rsid w:val="001C077C"/>
    <w:rsid w:val="001C740A"/>
    <w:rsid w:val="001D01FB"/>
    <w:rsid w:val="001D2A6B"/>
    <w:rsid w:val="001D5628"/>
    <w:rsid w:val="001D5F82"/>
    <w:rsid w:val="001E52E1"/>
    <w:rsid w:val="001F0D09"/>
    <w:rsid w:val="001F6D68"/>
    <w:rsid w:val="00207DAE"/>
    <w:rsid w:val="002115F0"/>
    <w:rsid w:val="0021311D"/>
    <w:rsid w:val="00214C3A"/>
    <w:rsid w:val="00215743"/>
    <w:rsid w:val="0021771B"/>
    <w:rsid w:val="0022207A"/>
    <w:rsid w:val="002231F6"/>
    <w:rsid w:val="0022754D"/>
    <w:rsid w:val="0023366F"/>
    <w:rsid w:val="00235EAB"/>
    <w:rsid w:val="002363BF"/>
    <w:rsid w:val="0023646D"/>
    <w:rsid w:val="00242388"/>
    <w:rsid w:val="002442A7"/>
    <w:rsid w:val="00252296"/>
    <w:rsid w:val="002570C3"/>
    <w:rsid w:val="002619BD"/>
    <w:rsid w:val="00265669"/>
    <w:rsid w:val="00277544"/>
    <w:rsid w:val="00277EF1"/>
    <w:rsid w:val="00283C42"/>
    <w:rsid w:val="002A37BB"/>
    <w:rsid w:val="002A4976"/>
    <w:rsid w:val="002B0700"/>
    <w:rsid w:val="002B2B14"/>
    <w:rsid w:val="002C4289"/>
    <w:rsid w:val="002D1A4E"/>
    <w:rsid w:val="002D2D91"/>
    <w:rsid w:val="002E3F63"/>
    <w:rsid w:val="002E593B"/>
    <w:rsid w:val="002E5CF3"/>
    <w:rsid w:val="002F22A0"/>
    <w:rsid w:val="002F3AB4"/>
    <w:rsid w:val="002F3AD5"/>
    <w:rsid w:val="003026D7"/>
    <w:rsid w:val="003048C0"/>
    <w:rsid w:val="00304973"/>
    <w:rsid w:val="00310CB9"/>
    <w:rsid w:val="00320AFD"/>
    <w:rsid w:val="00321681"/>
    <w:rsid w:val="00321808"/>
    <w:rsid w:val="00321DBF"/>
    <w:rsid w:val="0032219D"/>
    <w:rsid w:val="00322E8E"/>
    <w:rsid w:val="00335DEE"/>
    <w:rsid w:val="003369AA"/>
    <w:rsid w:val="00344839"/>
    <w:rsid w:val="00345796"/>
    <w:rsid w:val="00355C37"/>
    <w:rsid w:val="00356E17"/>
    <w:rsid w:val="00362946"/>
    <w:rsid w:val="00365026"/>
    <w:rsid w:val="00365C5F"/>
    <w:rsid w:val="003664AC"/>
    <w:rsid w:val="00371227"/>
    <w:rsid w:val="00371AA0"/>
    <w:rsid w:val="0037246C"/>
    <w:rsid w:val="003725DD"/>
    <w:rsid w:val="00374135"/>
    <w:rsid w:val="00374475"/>
    <w:rsid w:val="003819E8"/>
    <w:rsid w:val="0038204E"/>
    <w:rsid w:val="003853D1"/>
    <w:rsid w:val="00386135"/>
    <w:rsid w:val="00391554"/>
    <w:rsid w:val="003924DC"/>
    <w:rsid w:val="003950BF"/>
    <w:rsid w:val="003964DB"/>
    <w:rsid w:val="00397244"/>
    <w:rsid w:val="00397DBA"/>
    <w:rsid w:val="003A044A"/>
    <w:rsid w:val="003A3DFC"/>
    <w:rsid w:val="003A7E5A"/>
    <w:rsid w:val="003B06F9"/>
    <w:rsid w:val="003B0F94"/>
    <w:rsid w:val="003B106F"/>
    <w:rsid w:val="003B56CE"/>
    <w:rsid w:val="003C15BE"/>
    <w:rsid w:val="003E4A21"/>
    <w:rsid w:val="003F0D10"/>
    <w:rsid w:val="003F3587"/>
    <w:rsid w:val="003F63C3"/>
    <w:rsid w:val="00400C95"/>
    <w:rsid w:val="00405A51"/>
    <w:rsid w:val="004121A9"/>
    <w:rsid w:val="0041668E"/>
    <w:rsid w:val="00416F5C"/>
    <w:rsid w:val="0042668E"/>
    <w:rsid w:val="00426A34"/>
    <w:rsid w:val="00431AC1"/>
    <w:rsid w:val="00432944"/>
    <w:rsid w:val="004330E0"/>
    <w:rsid w:val="004375CB"/>
    <w:rsid w:val="0044121F"/>
    <w:rsid w:val="00442150"/>
    <w:rsid w:val="00442846"/>
    <w:rsid w:val="004470F2"/>
    <w:rsid w:val="00450462"/>
    <w:rsid w:val="00461C83"/>
    <w:rsid w:val="00464320"/>
    <w:rsid w:val="0046797E"/>
    <w:rsid w:val="00476F66"/>
    <w:rsid w:val="004811D2"/>
    <w:rsid w:val="00486030"/>
    <w:rsid w:val="00494B25"/>
    <w:rsid w:val="004951A3"/>
    <w:rsid w:val="00495408"/>
    <w:rsid w:val="004955CA"/>
    <w:rsid w:val="004961B8"/>
    <w:rsid w:val="004A1E41"/>
    <w:rsid w:val="004A25FE"/>
    <w:rsid w:val="004B2666"/>
    <w:rsid w:val="004B6FB2"/>
    <w:rsid w:val="004C314E"/>
    <w:rsid w:val="004C6CD2"/>
    <w:rsid w:val="004D0C08"/>
    <w:rsid w:val="004D7E4D"/>
    <w:rsid w:val="004D7E96"/>
    <w:rsid w:val="004E2224"/>
    <w:rsid w:val="004F01AA"/>
    <w:rsid w:val="004F7F92"/>
    <w:rsid w:val="00500617"/>
    <w:rsid w:val="00500822"/>
    <w:rsid w:val="00511EF7"/>
    <w:rsid w:val="00513BA7"/>
    <w:rsid w:val="00527D0A"/>
    <w:rsid w:val="005301EC"/>
    <w:rsid w:val="005310DA"/>
    <w:rsid w:val="0053128F"/>
    <w:rsid w:val="00531917"/>
    <w:rsid w:val="005327FC"/>
    <w:rsid w:val="00533480"/>
    <w:rsid w:val="00545D1E"/>
    <w:rsid w:val="00556268"/>
    <w:rsid w:val="005625D5"/>
    <w:rsid w:val="005655B1"/>
    <w:rsid w:val="0056760B"/>
    <w:rsid w:val="005677AF"/>
    <w:rsid w:val="00572A86"/>
    <w:rsid w:val="0057367C"/>
    <w:rsid w:val="00580AF4"/>
    <w:rsid w:val="00581127"/>
    <w:rsid w:val="0058136E"/>
    <w:rsid w:val="00584C81"/>
    <w:rsid w:val="00585291"/>
    <w:rsid w:val="00594689"/>
    <w:rsid w:val="005A28FE"/>
    <w:rsid w:val="005A40C4"/>
    <w:rsid w:val="005B1D78"/>
    <w:rsid w:val="005B3E94"/>
    <w:rsid w:val="005B69A6"/>
    <w:rsid w:val="005B6AB3"/>
    <w:rsid w:val="005B7515"/>
    <w:rsid w:val="005C0D99"/>
    <w:rsid w:val="005C6226"/>
    <w:rsid w:val="005C62A0"/>
    <w:rsid w:val="005D15B4"/>
    <w:rsid w:val="005D746D"/>
    <w:rsid w:val="005E1AD0"/>
    <w:rsid w:val="005E2598"/>
    <w:rsid w:val="005E3CA6"/>
    <w:rsid w:val="005F3D0E"/>
    <w:rsid w:val="005F5E24"/>
    <w:rsid w:val="00602A07"/>
    <w:rsid w:val="006035F9"/>
    <w:rsid w:val="00603855"/>
    <w:rsid w:val="00605F97"/>
    <w:rsid w:val="006061BF"/>
    <w:rsid w:val="006103EB"/>
    <w:rsid w:val="00611D43"/>
    <w:rsid w:val="00612DA4"/>
    <w:rsid w:val="00614F01"/>
    <w:rsid w:val="0061529C"/>
    <w:rsid w:val="006208BA"/>
    <w:rsid w:val="00622ACD"/>
    <w:rsid w:val="00627CC7"/>
    <w:rsid w:val="00630EB8"/>
    <w:rsid w:val="00633333"/>
    <w:rsid w:val="00634887"/>
    <w:rsid w:val="006365A7"/>
    <w:rsid w:val="00636B95"/>
    <w:rsid w:val="0063701E"/>
    <w:rsid w:val="00641645"/>
    <w:rsid w:val="00644CE2"/>
    <w:rsid w:val="00646F6E"/>
    <w:rsid w:val="00653731"/>
    <w:rsid w:val="006539FE"/>
    <w:rsid w:val="00667FA4"/>
    <w:rsid w:val="00681DD7"/>
    <w:rsid w:val="00682D3C"/>
    <w:rsid w:val="0069070F"/>
    <w:rsid w:val="006939E7"/>
    <w:rsid w:val="006A1EB3"/>
    <w:rsid w:val="006A2A1C"/>
    <w:rsid w:val="006A303D"/>
    <w:rsid w:val="006A341E"/>
    <w:rsid w:val="006A409B"/>
    <w:rsid w:val="006B46CC"/>
    <w:rsid w:val="006B5891"/>
    <w:rsid w:val="006B6012"/>
    <w:rsid w:val="006C1AAE"/>
    <w:rsid w:val="006C40C1"/>
    <w:rsid w:val="006C60D7"/>
    <w:rsid w:val="006C793F"/>
    <w:rsid w:val="006D47A7"/>
    <w:rsid w:val="006D5ACE"/>
    <w:rsid w:val="006E3110"/>
    <w:rsid w:val="006E3131"/>
    <w:rsid w:val="006E47E9"/>
    <w:rsid w:val="006E5923"/>
    <w:rsid w:val="006F033D"/>
    <w:rsid w:val="006F7BA2"/>
    <w:rsid w:val="007003E1"/>
    <w:rsid w:val="0070312D"/>
    <w:rsid w:val="00706D06"/>
    <w:rsid w:val="007076C7"/>
    <w:rsid w:val="00713104"/>
    <w:rsid w:val="007136B2"/>
    <w:rsid w:val="00716776"/>
    <w:rsid w:val="00724066"/>
    <w:rsid w:val="00724B40"/>
    <w:rsid w:val="007252A6"/>
    <w:rsid w:val="00726EA2"/>
    <w:rsid w:val="00731BA6"/>
    <w:rsid w:val="00735407"/>
    <w:rsid w:val="00740406"/>
    <w:rsid w:val="0074092F"/>
    <w:rsid w:val="00741B52"/>
    <w:rsid w:val="007438AE"/>
    <w:rsid w:val="00744A9E"/>
    <w:rsid w:val="007465FA"/>
    <w:rsid w:val="00754FD5"/>
    <w:rsid w:val="00761C28"/>
    <w:rsid w:val="007621CE"/>
    <w:rsid w:val="00764CEB"/>
    <w:rsid w:val="00773E36"/>
    <w:rsid w:val="007751F9"/>
    <w:rsid w:val="007757B4"/>
    <w:rsid w:val="007849FC"/>
    <w:rsid w:val="0079125C"/>
    <w:rsid w:val="007912C0"/>
    <w:rsid w:val="00797939"/>
    <w:rsid w:val="007A5DBE"/>
    <w:rsid w:val="007B266E"/>
    <w:rsid w:val="007B6482"/>
    <w:rsid w:val="007B66D3"/>
    <w:rsid w:val="007B7366"/>
    <w:rsid w:val="007C735F"/>
    <w:rsid w:val="007D0BA4"/>
    <w:rsid w:val="007D1F40"/>
    <w:rsid w:val="007D2DB7"/>
    <w:rsid w:val="007D607F"/>
    <w:rsid w:val="007D6A3C"/>
    <w:rsid w:val="007E0476"/>
    <w:rsid w:val="007E1D1B"/>
    <w:rsid w:val="007E5052"/>
    <w:rsid w:val="007E5193"/>
    <w:rsid w:val="007E5EB2"/>
    <w:rsid w:val="007E7343"/>
    <w:rsid w:val="007F0A11"/>
    <w:rsid w:val="007F0B6F"/>
    <w:rsid w:val="007F0E84"/>
    <w:rsid w:val="007F19A4"/>
    <w:rsid w:val="007F4253"/>
    <w:rsid w:val="007F4BC8"/>
    <w:rsid w:val="007F7EE8"/>
    <w:rsid w:val="00802075"/>
    <w:rsid w:val="00803423"/>
    <w:rsid w:val="00804EA2"/>
    <w:rsid w:val="00807995"/>
    <w:rsid w:val="008119A1"/>
    <w:rsid w:val="0081273A"/>
    <w:rsid w:val="008252C3"/>
    <w:rsid w:val="00827364"/>
    <w:rsid w:val="00834657"/>
    <w:rsid w:val="008522FB"/>
    <w:rsid w:val="00855D88"/>
    <w:rsid w:val="008630CB"/>
    <w:rsid w:val="008647F6"/>
    <w:rsid w:val="00867A05"/>
    <w:rsid w:val="00870AB0"/>
    <w:rsid w:val="00885F8D"/>
    <w:rsid w:val="00896A5B"/>
    <w:rsid w:val="008A16FA"/>
    <w:rsid w:val="008A2370"/>
    <w:rsid w:val="008A7BE3"/>
    <w:rsid w:val="008A7C3A"/>
    <w:rsid w:val="008C48A9"/>
    <w:rsid w:val="008C59F5"/>
    <w:rsid w:val="008C603C"/>
    <w:rsid w:val="008D5A6F"/>
    <w:rsid w:val="008D5EEB"/>
    <w:rsid w:val="008E55A3"/>
    <w:rsid w:val="008F2836"/>
    <w:rsid w:val="008F6B5D"/>
    <w:rsid w:val="00900B2B"/>
    <w:rsid w:val="009012AA"/>
    <w:rsid w:val="0091073E"/>
    <w:rsid w:val="009118ED"/>
    <w:rsid w:val="00912989"/>
    <w:rsid w:val="00913928"/>
    <w:rsid w:val="00925C0D"/>
    <w:rsid w:val="00930880"/>
    <w:rsid w:val="00931AF7"/>
    <w:rsid w:val="00940178"/>
    <w:rsid w:val="00940C0A"/>
    <w:rsid w:val="00941884"/>
    <w:rsid w:val="00950A9C"/>
    <w:rsid w:val="00951383"/>
    <w:rsid w:val="00953D76"/>
    <w:rsid w:val="00956238"/>
    <w:rsid w:val="009677D1"/>
    <w:rsid w:val="0097724C"/>
    <w:rsid w:val="0098775A"/>
    <w:rsid w:val="009903AA"/>
    <w:rsid w:val="00994D16"/>
    <w:rsid w:val="009A6A42"/>
    <w:rsid w:val="009A7003"/>
    <w:rsid w:val="009B1086"/>
    <w:rsid w:val="009B2CB2"/>
    <w:rsid w:val="009B56F3"/>
    <w:rsid w:val="009B602D"/>
    <w:rsid w:val="009B6980"/>
    <w:rsid w:val="009C0209"/>
    <w:rsid w:val="009C6BBD"/>
    <w:rsid w:val="009C7E38"/>
    <w:rsid w:val="009D7087"/>
    <w:rsid w:val="009E031C"/>
    <w:rsid w:val="009E0FDF"/>
    <w:rsid w:val="009E4B76"/>
    <w:rsid w:val="009E5C31"/>
    <w:rsid w:val="009E68F0"/>
    <w:rsid w:val="009F022F"/>
    <w:rsid w:val="009F68C2"/>
    <w:rsid w:val="00A055C0"/>
    <w:rsid w:val="00A05AB8"/>
    <w:rsid w:val="00A11284"/>
    <w:rsid w:val="00A17011"/>
    <w:rsid w:val="00A21032"/>
    <w:rsid w:val="00A228FB"/>
    <w:rsid w:val="00A26D5F"/>
    <w:rsid w:val="00A309E7"/>
    <w:rsid w:val="00A31219"/>
    <w:rsid w:val="00A3363A"/>
    <w:rsid w:val="00A339B3"/>
    <w:rsid w:val="00A35B9E"/>
    <w:rsid w:val="00A44D9B"/>
    <w:rsid w:val="00A504DE"/>
    <w:rsid w:val="00A50864"/>
    <w:rsid w:val="00A5416F"/>
    <w:rsid w:val="00A5529A"/>
    <w:rsid w:val="00A57AB8"/>
    <w:rsid w:val="00A614F4"/>
    <w:rsid w:val="00A61585"/>
    <w:rsid w:val="00A62975"/>
    <w:rsid w:val="00A62FCF"/>
    <w:rsid w:val="00A65416"/>
    <w:rsid w:val="00A6634B"/>
    <w:rsid w:val="00A66548"/>
    <w:rsid w:val="00A82CB2"/>
    <w:rsid w:val="00A83705"/>
    <w:rsid w:val="00A83A48"/>
    <w:rsid w:val="00A863AA"/>
    <w:rsid w:val="00AA2FB5"/>
    <w:rsid w:val="00AA59B2"/>
    <w:rsid w:val="00AC17B0"/>
    <w:rsid w:val="00AD059C"/>
    <w:rsid w:val="00AD3F42"/>
    <w:rsid w:val="00AD4BF8"/>
    <w:rsid w:val="00AD773C"/>
    <w:rsid w:val="00AE1589"/>
    <w:rsid w:val="00AE2DD9"/>
    <w:rsid w:val="00AE3BD8"/>
    <w:rsid w:val="00AE4562"/>
    <w:rsid w:val="00AE5095"/>
    <w:rsid w:val="00AE50E1"/>
    <w:rsid w:val="00AF547B"/>
    <w:rsid w:val="00B01715"/>
    <w:rsid w:val="00B0254B"/>
    <w:rsid w:val="00B04496"/>
    <w:rsid w:val="00B069BC"/>
    <w:rsid w:val="00B06B7A"/>
    <w:rsid w:val="00B10D29"/>
    <w:rsid w:val="00B12644"/>
    <w:rsid w:val="00B133B5"/>
    <w:rsid w:val="00B1698F"/>
    <w:rsid w:val="00B211DA"/>
    <w:rsid w:val="00B22B51"/>
    <w:rsid w:val="00B266EB"/>
    <w:rsid w:val="00B30961"/>
    <w:rsid w:val="00B33A94"/>
    <w:rsid w:val="00B34279"/>
    <w:rsid w:val="00B364DC"/>
    <w:rsid w:val="00B50459"/>
    <w:rsid w:val="00B52050"/>
    <w:rsid w:val="00B53907"/>
    <w:rsid w:val="00B617C6"/>
    <w:rsid w:val="00B62DF4"/>
    <w:rsid w:val="00B65D77"/>
    <w:rsid w:val="00B70FEE"/>
    <w:rsid w:val="00B75D93"/>
    <w:rsid w:val="00B86ADD"/>
    <w:rsid w:val="00B90582"/>
    <w:rsid w:val="00B94020"/>
    <w:rsid w:val="00BA0CBE"/>
    <w:rsid w:val="00BA5F9D"/>
    <w:rsid w:val="00BB146D"/>
    <w:rsid w:val="00BB1BEF"/>
    <w:rsid w:val="00BB3764"/>
    <w:rsid w:val="00BB7593"/>
    <w:rsid w:val="00BC6A25"/>
    <w:rsid w:val="00BD17FD"/>
    <w:rsid w:val="00BE0BED"/>
    <w:rsid w:val="00BE1614"/>
    <w:rsid w:val="00BE5899"/>
    <w:rsid w:val="00BE6429"/>
    <w:rsid w:val="00BF137F"/>
    <w:rsid w:val="00BF2EA2"/>
    <w:rsid w:val="00BF36EF"/>
    <w:rsid w:val="00BF7D95"/>
    <w:rsid w:val="00C02671"/>
    <w:rsid w:val="00C05681"/>
    <w:rsid w:val="00C101D0"/>
    <w:rsid w:val="00C117AD"/>
    <w:rsid w:val="00C11D13"/>
    <w:rsid w:val="00C1570D"/>
    <w:rsid w:val="00C167C4"/>
    <w:rsid w:val="00C2337A"/>
    <w:rsid w:val="00C2701D"/>
    <w:rsid w:val="00C305C0"/>
    <w:rsid w:val="00C35BC2"/>
    <w:rsid w:val="00C43B62"/>
    <w:rsid w:val="00C500EA"/>
    <w:rsid w:val="00C5222E"/>
    <w:rsid w:val="00C52267"/>
    <w:rsid w:val="00C550CB"/>
    <w:rsid w:val="00C56B66"/>
    <w:rsid w:val="00C60402"/>
    <w:rsid w:val="00C6100C"/>
    <w:rsid w:val="00C6465C"/>
    <w:rsid w:val="00C662AB"/>
    <w:rsid w:val="00C7287D"/>
    <w:rsid w:val="00C7288C"/>
    <w:rsid w:val="00C75618"/>
    <w:rsid w:val="00C75F45"/>
    <w:rsid w:val="00C81781"/>
    <w:rsid w:val="00C81F77"/>
    <w:rsid w:val="00C8371D"/>
    <w:rsid w:val="00C921AB"/>
    <w:rsid w:val="00C92C1E"/>
    <w:rsid w:val="00C93EDD"/>
    <w:rsid w:val="00C94172"/>
    <w:rsid w:val="00C967B2"/>
    <w:rsid w:val="00CA1E02"/>
    <w:rsid w:val="00CB1946"/>
    <w:rsid w:val="00CB3F6B"/>
    <w:rsid w:val="00CB71AE"/>
    <w:rsid w:val="00CC65A0"/>
    <w:rsid w:val="00CC7EA6"/>
    <w:rsid w:val="00CD1795"/>
    <w:rsid w:val="00CD669E"/>
    <w:rsid w:val="00CD7C5E"/>
    <w:rsid w:val="00CE2C93"/>
    <w:rsid w:val="00CE67D4"/>
    <w:rsid w:val="00CF258D"/>
    <w:rsid w:val="00D03E03"/>
    <w:rsid w:val="00D11F2D"/>
    <w:rsid w:val="00D12707"/>
    <w:rsid w:val="00D1486D"/>
    <w:rsid w:val="00D17E4A"/>
    <w:rsid w:val="00D20B16"/>
    <w:rsid w:val="00D222A7"/>
    <w:rsid w:val="00D24A9E"/>
    <w:rsid w:val="00D25B01"/>
    <w:rsid w:val="00D31DB0"/>
    <w:rsid w:val="00D41D8E"/>
    <w:rsid w:val="00D4459B"/>
    <w:rsid w:val="00D46FA3"/>
    <w:rsid w:val="00D4722B"/>
    <w:rsid w:val="00D51E84"/>
    <w:rsid w:val="00D55E0F"/>
    <w:rsid w:val="00D65F36"/>
    <w:rsid w:val="00D66CD7"/>
    <w:rsid w:val="00D739E7"/>
    <w:rsid w:val="00D739EF"/>
    <w:rsid w:val="00D73CDB"/>
    <w:rsid w:val="00D81C28"/>
    <w:rsid w:val="00D81E7C"/>
    <w:rsid w:val="00D856F7"/>
    <w:rsid w:val="00D8629E"/>
    <w:rsid w:val="00D87CDC"/>
    <w:rsid w:val="00D94965"/>
    <w:rsid w:val="00DA14D8"/>
    <w:rsid w:val="00DA6675"/>
    <w:rsid w:val="00DB1E94"/>
    <w:rsid w:val="00DB3EAD"/>
    <w:rsid w:val="00DB63BA"/>
    <w:rsid w:val="00DB6FA7"/>
    <w:rsid w:val="00DC37D8"/>
    <w:rsid w:val="00DC65E7"/>
    <w:rsid w:val="00DC6C59"/>
    <w:rsid w:val="00DC7F73"/>
    <w:rsid w:val="00DD42B0"/>
    <w:rsid w:val="00DD482C"/>
    <w:rsid w:val="00DE0130"/>
    <w:rsid w:val="00DE2F4E"/>
    <w:rsid w:val="00DE33B1"/>
    <w:rsid w:val="00DE3D89"/>
    <w:rsid w:val="00DE659B"/>
    <w:rsid w:val="00DE682C"/>
    <w:rsid w:val="00DE6C6B"/>
    <w:rsid w:val="00DF1D69"/>
    <w:rsid w:val="00E010A0"/>
    <w:rsid w:val="00E01D94"/>
    <w:rsid w:val="00E0554B"/>
    <w:rsid w:val="00E07532"/>
    <w:rsid w:val="00E10227"/>
    <w:rsid w:val="00E10875"/>
    <w:rsid w:val="00E27897"/>
    <w:rsid w:val="00E334BD"/>
    <w:rsid w:val="00E35FE7"/>
    <w:rsid w:val="00E366AA"/>
    <w:rsid w:val="00E5093A"/>
    <w:rsid w:val="00E55D84"/>
    <w:rsid w:val="00E5756F"/>
    <w:rsid w:val="00E72527"/>
    <w:rsid w:val="00E748F1"/>
    <w:rsid w:val="00E81045"/>
    <w:rsid w:val="00E871E2"/>
    <w:rsid w:val="00E87906"/>
    <w:rsid w:val="00E954C3"/>
    <w:rsid w:val="00EA29F8"/>
    <w:rsid w:val="00EA63C5"/>
    <w:rsid w:val="00EB0769"/>
    <w:rsid w:val="00EB2C5C"/>
    <w:rsid w:val="00EB75C9"/>
    <w:rsid w:val="00EC0140"/>
    <w:rsid w:val="00EC3C3B"/>
    <w:rsid w:val="00EC4927"/>
    <w:rsid w:val="00EC71D7"/>
    <w:rsid w:val="00ED0B65"/>
    <w:rsid w:val="00ED5FCA"/>
    <w:rsid w:val="00EE2063"/>
    <w:rsid w:val="00EE225A"/>
    <w:rsid w:val="00EE3056"/>
    <w:rsid w:val="00EE3F28"/>
    <w:rsid w:val="00EF352B"/>
    <w:rsid w:val="00EF5A12"/>
    <w:rsid w:val="00F0091C"/>
    <w:rsid w:val="00F01FB9"/>
    <w:rsid w:val="00F046CA"/>
    <w:rsid w:val="00F04748"/>
    <w:rsid w:val="00F05E1C"/>
    <w:rsid w:val="00F07B53"/>
    <w:rsid w:val="00F13873"/>
    <w:rsid w:val="00F20E3D"/>
    <w:rsid w:val="00F362B5"/>
    <w:rsid w:val="00F36568"/>
    <w:rsid w:val="00F37A71"/>
    <w:rsid w:val="00F37EEC"/>
    <w:rsid w:val="00F41479"/>
    <w:rsid w:val="00F43CDB"/>
    <w:rsid w:val="00F45070"/>
    <w:rsid w:val="00F462AC"/>
    <w:rsid w:val="00F46E2B"/>
    <w:rsid w:val="00F51E78"/>
    <w:rsid w:val="00F6017D"/>
    <w:rsid w:val="00F673DC"/>
    <w:rsid w:val="00F73E74"/>
    <w:rsid w:val="00F75316"/>
    <w:rsid w:val="00F8361D"/>
    <w:rsid w:val="00F84EF4"/>
    <w:rsid w:val="00F84F2D"/>
    <w:rsid w:val="00F90A7E"/>
    <w:rsid w:val="00F94859"/>
    <w:rsid w:val="00FA192E"/>
    <w:rsid w:val="00FA56E6"/>
    <w:rsid w:val="00FA7E57"/>
    <w:rsid w:val="00FB0371"/>
    <w:rsid w:val="00FB2872"/>
    <w:rsid w:val="00FB6079"/>
    <w:rsid w:val="00FB611C"/>
    <w:rsid w:val="00FC5EF8"/>
    <w:rsid w:val="00FD22D1"/>
    <w:rsid w:val="00FD6A62"/>
    <w:rsid w:val="00FE0E8A"/>
    <w:rsid w:val="00FE13CF"/>
    <w:rsid w:val="00FE42E2"/>
    <w:rsid w:val="00FF0A07"/>
    <w:rsid w:val="00FF624E"/>
    <w:rsid w:val="00FF6BF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732B898"/>
  <w15:chartTrackingRefBased/>
  <w15:docId w15:val="{AF35DA0E-9D97-4858-8CC0-70B27FFD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6">
    <w:name w:val="heading 6"/>
    <w:basedOn w:val="Normal"/>
    <w:next w:val="Normal"/>
    <w:qFormat/>
    <w:rsid w:val="00B52050"/>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customStyle="1" w:styleId="QuickA">
    <w:name w:val="Quick A."/>
    <w:basedOn w:val="Normal"/>
    <w:pPr>
      <w:numPr>
        <w:numId w:val="1"/>
      </w:numPr>
      <w:ind w:left="540" w:hanging="540"/>
    </w:pPr>
  </w:style>
  <w:style w:type="paragraph" w:styleId="Header">
    <w:name w:val="header"/>
    <w:basedOn w:val="Normal"/>
    <w:rsid w:val="006E5923"/>
    <w:pPr>
      <w:tabs>
        <w:tab w:val="center" w:pos="4320"/>
        <w:tab w:val="right" w:pos="8640"/>
      </w:tabs>
    </w:pPr>
  </w:style>
  <w:style w:type="paragraph" w:styleId="Footer">
    <w:name w:val="footer"/>
    <w:basedOn w:val="Normal"/>
    <w:rsid w:val="006E5923"/>
    <w:pPr>
      <w:tabs>
        <w:tab w:val="center" w:pos="4320"/>
        <w:tab w:val="right" w:pos="8640"/>
      </w:tabs>
    </w:pPr>
  </w:style>
  <w:style w:type="character" w:styleId="PageNumber">
    <w:name w:val="page number"/>
    <w:basedOn w:val="DefaultParagraphFont"/>
    <w:rsid w:val="006E5923"/>
  </w:style>
  <w:style w:type="paragraph" w:styleId="BalloonText">
    <w:name w:val="Balloon Text"/>
    <w:basedOn w:val="Normal"/>
    <w:semiHidden/>
    <w:rsid w:val="00B10D29"/>
    <w:rPr>
      <w:rFonts w:ascii="Tahoma" w:hAnsi="Tahoma" w:cs="Tahoma"/>
      <w:sz w:val="16"/>
      <w:szCs w:val="16"/>
    </w:rPr>
  </w:style>
  <w:style w:type="paragraph" w:styleId="BodyText">
    <w:name w:val="Body Text"/>
    <w:basedOn w:val="Normal"/>
    <w:rsid w:val="000C285C"/>
    <w:pPr>
      <w:widowControl/>
      <w:autoSpaceDE/>
      <w:autoSpaceDN/>
      <w:adjustRightInd/>
      <w:jc w:val="both"/>
    </w:pPr>
    <w:rPr>
      <w:rFonts w:ascii="Arial" w:hAnsi="Arial"/>
      <w:color w:val="000000"/>
      <w:szCs w:val="20"/>
    </w:rPr>
  </w:style>
  <w:style w:type="paragraph" w:customStyle="1" w:styleId="a">
    <w:name w:val="آ"/>
    <w:basedOn w:val="Normal"/>
    <w:rsid w:val="003725DD"/>
    <w:pPr>
      <w:autoSpaceDE/>
      <w:autoSpaceDN/>
      <w:adjustRightInd/>
      <w:spacing w:line="240" w:lineRule="exact"/>
    </w:pPr>
    <w:rPr>
      <w:szCs w:val="20"/>
    </w:rPr>
  </w:style>
  <w:style w:type="paragraph" w:styleId="ListParagraph">
    <w:name w:val="List Paragraph"/>
    <w:basedOn w:val="Normal"/>
    <w:uiPriority w:val="34"/>
    <w:qFormat/>
    <w:rsid w:val="00BB3764"/>
    <w:pPr>
      <w:ind w:left="720"/>
    </w:pPr>
  </w:style>
  <w:style w:type="paragraph" w:styleId="BodyText2">
    <w:name w:val="Body Text 2"/>
    <w:basedOn w:val="Normal"/>
    <w:link w:val="BodyText2Char"/>
    <w:rsid w:val="005B6AB3"/>
    <w:pPr>
      <w:spacing w:after="120" w:line="480" w:lineRule="auto"/>
    </w:pPr>
  </w:style>
  <w:style w:type="character" w:customStyle="1" w:styleId="BodyText2Char">
    <w:name w:val="Body Text 2 Char"/>
    <w:link w:val="BodyText2"/>
    <w:rsid w:val="005B6AB3"/>
    <w:rPr>
      <w:sz w:val="24"/>
      <w:szCs w:val="24"/>
    </w:rPr>
  </w:style>
  <w:style w:type="character" w:styleId="CommentReference">
    <w:name w:val="annotation reference"/>
    <w:uiPriority w:val="99"/>
    <w:rsid w:val="00235EAB"/>
    <w:rPr>
      <w:sz w:val="16"/>
      <w:szCs w:val="16"/>
    </w:rPr>
  </w:style>
  <w:style w:type="paragraph" w:styleId="CommentText">
    <w:name w:val="annotation text"/>
    <w:basedOn w:val="Normal"/>
    <w:link w:val="CommentTextChar"/>
    <w:rsid w:val="00235EAB"/>
    <w:rPr>
      <w:sz w:val="20"/>
      <w:szCs w:val="20"/>
    </w:rPr>
  </w:style>
  <w:style w:type="character" w:customStyle="1" w:styleId="CommentTextChar">
    <w:name w:val="Comment Text Char"/>
    <w:basedOn w:val="DefaultParagraphFont"/>
    <w:link w:val="CommentText"/>
    <w:rsid w:val="00235EAB"/>
  </w:style>
  <w:style w:type="paragraph" w:styleId="CommentSubject">
    <w:name w:val="annotation subject"/>
    <w:basedOn w:val="CommentText"/>
    <w:next w:val="CommentText"/>
    <w:link w:val="CommentSubjectChar"/>
    <w:rsid w:val="00235EAB"/>
    <w:rPr>
      <w:b/>
      <w:bCs/>
    </w:rPr>
  </w:style>
  <w:style w:type="character" w:customStyle="1" w:styleId="CommentSubjectChar">
    <w:name w:val="Comment Subject Char"/>
    <w:link w:val="CommentSubject"/>
    <w:rsid w:val="00235EAB"/>
    <w:rPr>
      <w:b/>
      <w:bCs/>
    </w:rPr>
  </w:style>
  <w:style w:type="paragraph" w:styleId="Revision">
    <w:name w:val="Revision"/>
    <w:hidden/>
    <w:uiPriority w:val="99"/>
    <w:semiHidden/>
    <w:rsid w:val="00235EAB"/>
    <w:rPr>
      <w:sz w:val="24"/>
      <w:szCs w:val="24"/>
    </w:rPr>
  </w:style>
  <w:style w:type="paragraph" w:styleId="NoSpacing">
    <w:name w:val="No Spacing"/>
    <w:uiPriority w:val="1"/>
    <w:qFormat/>
    <w:rsid w:val="00461C83"/>
    <w:pPr>
      <w:widowControl w:val="0"/>
      <w:autoSpaceDE w:val="0"/>
      <w:autoSpaceDN w:val="0"/>
      <w:adjustRightInd w:val="0"/>
    </w:pPr>
    <w:rPr>
      <w:sz w:val="24"/>
      <w:szCs w:val="24"/>
    </w:rPr>
  </w:style>
  <w:style w:type="character" w:styleId="Hyperlink">
    <w:name w:val="Hyperlink"/>
    <w:rsid w:val="00B364DC"/>
    <w:rPr>
      <w:color w:val="0563C1"/>
      <w:u w:val="single"/>
    </w:rPr>
  </w:style>
  <w:style w:type="paragraph" w:styleId="FootnoteText">
    <w:name w:val="footnote text"/>
    <w:basedOn w:val="Normal"/>
    <w:link w:val="FootnoteTextChar"/>
    <w:uiPriority w:val="99"/>
    <w:rsid w:val="00B364DC"/>
    <w:rPr>
      <w:sz w:val="20"/>
      <w:szCs w:val="20"/>
    </w:rPr>
  </w:style>
  <w:style w:type="character" w:customStyle="1" w:styleId="FootnoteTextChar">
    <w:name w:val="Footnote Text Char"/>
    <w:basedOn w:val="DefaultParagraphFont"/>
    <w:link w:val="FootnoteText"/>
    <w:uiPriority w:val="99"/>
    <w:rsid w:val="00B364DC"/>
  </w:style>
  <w:style w:type="table" w:styleId="TableGrid">
    <w:name w:val="Table Grid"/>
    <w:basedOn w:val="TableNormal"/>
    <w:uiPriority w:val="59"/>
    <w:rsid w:val="004412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412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86A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F75316"/>
    <w:pPr>
      <w:spacing w:after="120" w:line="480" w:lineRule="auto"/>
      <w:ind w:left="360"/>
    </w:pPr>
  </w:style>
  <w:style w:type="character" w:customStyle="1" w:styleId="BodyTextIndent2Char">
    <w:name w:val="Body Text Indent 2 Char"/>
    <w:link w:val="BodyTextIndent2"/>
    <w:rsid w:val="00F753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50875">
      <w:bodyDiv w:val="1"/>
      <w:marLeft w:val="0"/>
      <w:marRight w:val="0"/>
      <w:marTop w:val="0"/>
      <w:marBottom w:val="0"/>
      <w:divBdr>
        <w:top w:val="none" w:sz="0" w:space="0" w:color="auto"/>
        <w:left w:val="none" w:sz="0" w:space="0" w:color="auto"/>
        <w:bottom w:val="none" w:sz="0" w:space="0" w:color="auto"/>
        <w:right w:val="none" w:sz="0" w:space="0" w:color="auto"/>
      </w:divBdr>
    </w:div>
    <w:div w:id="338656902">
      <w:bodyDiv w:val="1"/>
      <w:marLeft w:val="0"/>
      <w:marRight w:val="0"/>
      <w:marTop w:val="0"/>
      <w:marBottom w:val="0"/>
      <w:divBdr>
        <w:top w:val="none" w:sz="0" w:space="0" w:color="auto"/>
        <w:left w:val="none" w:sz="0" w:space="0" w:color="auto"/>
        <w:bottom w:val="none" w:sz="0" w:space="0" w:color="auto"/>
        <w:right w:val="none" w:sz="0" w:space="0" w:color="auto"/>
      </w:divBdr>
    </w:div>
    <w:div w:id="419982208">
      <w:bodyDiv w:val="1"/>
      <w:marLeft w:val="0"/>
      <w:marRight w:val="0"/>
      <w:marTop w:val="0"/>
      <w:marBottom w:val="0"/>
      <w:divBdr>
        <w:top w:val="none" w:sz="0" w:space="0" w:color="auto"/>
        <w:left w:val="none" w:sz="0" w:space="0" w:color="auto"/>
        <w:bottom w:val="none" w:sz="0" w:space="0" w:color="auto"/>
        <w:right w:val="none" w:sz="0" w:space="0" w:color="auto"/>
      </w:divBdr>
    </w:div>
    <w:div w:id="428039745">
      <w:bodyDiv w:val="1"/>
      <w:marLeft w:val="0"/>
      <w:marRight w:val="0"/>
      <w:marTop w:val="0"/>
      <w:marBottom w:val="0"/>
      <w:divBdr>
        <w:top w:val="none" w:sz="0" w:space="0" w:color="auto"/>
        <w:left w:val="none" w:sz="0" w:space="0" w:color="auto"/>
        <w:bottom w:val="none" w:sz="0" w:space="0" w:color="auto"/>
        <w:right w:val="none" w:sz="0" w:space="0" w:color="auto"/>
      </w:divBdr>
    </w:div>
    <w:div w:id="567305200">
      <w:bodyDiv w:val="1"/>
      <w:marLeft w:val="0"/>
      <w:marRight w:val="0"/>
      <w:marTop w:val="0"/>
      <w:marBottom w:val="0"/>
      <w:divBdr>
        <w:top w:val="none" w:sz="0" w:space="0" w:color="auto"/>
        <w:left w:val="none" w:sz="0" w:space="0" w:color="auto"/>
        <w:bottom w:val="none" w:sz="0" w:space="0" w:color="auto"/>
        <w:right w:val="none" w:sz="0" w:space="0" w:color="auto"/>
      </w:divBdr>
    </w:div>
    <w:div w:id="608315056">
      <w:bodyDiv w:val="1"/>
      <w:marLeft w:val="0"/>
      <w:marRight w:val="0"/>
      <w:marTop w:val="0"/>
      <w:marBottom w:val="0"/>
      <w:divBdr>
        <w:top w:val="none" w:sz="0" w:space="0" w:color="auto"/>
        <w:left w:val="none" w:sz="0" w:space="0" w:color="auto"/>
        <w:bottom w:val="none" w:sz="0" w:space="0" w:color="auto"/>
        <w:right w:val="none" w:sz="0" w:space="0" w:color="auto"/>
      </w:divBdr>
    </w:div>
    <w:div w:id="626472351">
      <w:bodyDiv w:val="1"/>
      <w:marLeft w:val="0"/>
      <w:marRight w:val="0"/>
      <w:marTop w:val="0"/>
      <w:marBottom w:val="0"/>
      <w:divBdr>
        <w:top w:val="none" w:sz="0" w:space="0" w:color="auto"/>
        <w:left w:val="none" w:sz="0" w:space="0" w:color="auto"/>
        <w:bottom w:val="none" w:sz="0" w:space="0" w:color="auto"/>
        <w:right w:val="none" w:sz="0" w:space="0" w:color="auto"/>
      </w:divBdr>
    </w:div>
    <w:div w:id="726420772">
      <w:bodyDiv w:val="1"/>
      <w:marLeft w:val="0"/>
      <w:marRight w:val="0"/>
      <w:marTop w:val="0"/>
      <w:marBottom w:val="0"/>
      <w:divBdr>
        <w:top w:val="none" w:sz="0" w:space="0" w:color="auto"/>
        <w:left w:val="none" w:sz="0" w:space="0" w:color="auto"/>
        <w:bottom w:val="none" w:sz="0" w:space="0" w:color="auto"/>
        <w:right w:val="none" w:sz="0" w:space="0" w:color="auto"/>
      </w:divBdr>
    </w:div>
    <w:div w:id="734011244">
      <w:bodyDiv w:val="1"/>
      <w:marLeft w:val="0"/>
      <w:marRight w:val="0"/>
      <w:marTop w:val="0"/>
      <w:marBottom w:val="0"/>
      <w:divBdr>
        <w:top w:val="none" w:sz="0" w:space="0" w:color="auto"/>
        <w:left w:val="none" w:sz="0" w:space="0" w:color="auto"/>
        <w:bottom w:val="none" w:sz="0" w:space="0" w:color="auto"/>
        <w:right w:val="none" w:sz="0" w:space="0" w:color="auto"/>
      </w:divBdr>
    </w:div>
    <w:div w:id="762729604">
      <w:bodyDiv w:val="1"/>
      <w:marLeft w:val="0"/>
      <w:marRight w:val="0"/>
      <w:marTop w:val="0"/>
      <w:marBottom w:val="0"/>
      <w:divBdr>
        <w:top w:val="none" w:sz="0" w:space="0" w:color="auto"/>
        <w:left w:val="none" w:sz="0" w:space="0" w:color="auto"/>
        <w:bottom w:val="none" w:sz="0" w:space="0" w:color="auto"/>
        <w:right w:val="none" w:sz="0" w:space="0" w:color="auto"/>
      </w:divBdr>
    </w:div>
    <w:div w:id="818619950">
      <w:bodyDiv w:val="1"/>
      <w:marLeft w:val="0"/>
      <w:marRight w:val="0"/>
      <w:marTop w:val="0"/>
      <w:marBottom w:val="0"/>
      <w:divBdr>
        <w:top w:val="none" w:sz="0" w:space="0" w:color="auto"/>
        <w:left w:val="none" w:sz="0" w:space="0" w:color="auto"/>
        <w:bottom w:val="none" w:sz="0" w:space="0" w:color="auto"/>
        <w:right w:val="none" w:sz="0" w:space="0" w:color="auto"/>
      </w:divBdr>
    </w:div>
    <w:div w:id="867260080">
      <w:bodyDiv w:val="1"/>
      <w:marLeft w:val="0"/>
      <w:marRight w:val="0"/>
      <w:marTop w:val="0"/>
      <w:marBottom w:val="0"/>
      <w:divBdr>
        <w:top w:val="none" w:sz="0" w:space="0" w:color="auto"/>
        <w:left w:val="none" w:sz="0" w:space="0" w:color="auto"/>
        <w:bottom w:val="none" w:sz="0" w:space="0" w:color="auto"/>
        <w:right w:val="none" w:sz="0" w:space="0" w:color="auto"/>
      </w:divBdr>
    </w:div>
    <w:div w:id="887568854">
      <w:bodyDiv w:val="1"/>
      <w:marLeft w:val="0"/>
      <w:marRight w:val="0"/>
      <w:marTop w:val="0"/>
      <w:marBottom w:val="0"/>
      <w:divBdr>
        <w:top w:val="none" w:sz="0" w:space="0" w:color="auto"/>
        <w:left w:val="none" w:sz="0" w:space="0" w:color="auto"/>
        <w:bottom w:val="none" w:sz="0" w:space="0" w:color="auto"/>
        <w:right w:val="none" w:sz="0" w:space="0" w:color="auto"/>
      </w:divBdr>
    </w:div>
    <w:div w:id="1052998329">
      <w:bodyDiv w:val="1"/>
      <w:marLeft w:val="0"/>
      <w:marRight w:val="0"/>
      <w:marTop w:val="0"/>
      <w:marBottom w:val="0"/>
      <w:divBdr>
        <w:top w:val="none" w:sz="0" w:space="0" w:color="auto"/>
        <w:left w:val="none" w:sz="0" w:space="0" w:color="auto"/>
        <w:bottom w:val="none" w:sz="0" w:space="0" w:color="auto"/>
        <w:right w:val="none" w:sz="0" w:space="0" w:color="auto"/>
      </w:divBdr>
    </w:div>
    <w:div w:id="1076779249">
      <w:bodyDiv w:val="1"/>
      <w:marLeft w:val="0"/>
      <w:marRight w:val="0"/>
      <w:marTop w:val="0"/>
      <w:marBottom w:val="0"/>
      <w:divBdr>
        <w:top w:val="none" w:sz="0" w:space="0" w:color="auto"/>
        <w:left w:val="none" w:sz="0" w:space="0" w:color="auto"/>
        <w:bottom w:val="none" w:sz="0" w:space="0" w:color="auto"/>
        <w:right w:val="none" w:sz="0" w:space="0" w:color="auto"/>
      </w:divBdr>
    </w:div>
    <w:div w:id="1079988447">
      <w:bodyDiv w:val="1"/>
      <w:marLeft w:val="0"/>
      <w:marRight w:val="0"/>
      <w:marTop w:val="0"/>
      <w:marBottom w:val="0"/>
      <w:divBdr>
        <w:top w:val="none" w:sz="0" w:space="0" w:color="auto"/>
        <w:left w:val="none" w:sz="0" w:space="0" w:color="auto"/>
        <w:bottom w:val="none" w:sz="0" w:space="0" w:color="auto"/>
        <w:right w:val="none" w:sz="0" w:space="0" w:color="auto"/>
      </w:divBdr>
    </w:div>
    <w:div w:id="1150974206">
      <w:bodyDiv w:val="1"/>
      <w:marLeft w:val="0"/>
      <w:marRight w:val="0"/>
      <w:marTop w:val="0"/>
      <w:marBottom w:val="0"/>
      <w:divBdr>
        <w:top w:val="none" w:sz="0" w:space="0" w:color="auto"/>
        <w:left w:val="none" w:sz="0" w:space="0" w:color="auto"/>
        <w:bottom w:val="none" w:sz="0" w:space="0" w:color="auto"/>
        <w:right w:val="none" w:sz="0" w:space="0" w:color="auto"/>
      </w:divBdr>
    </w:div>
    <w:div w:id="1259409608">
      <w:bodyDiv w:val="1"/>
      <w:marLeft w:val="0"/>
      <w:marRight w:val="0"/>
      <w:marTop w:val="0"/>
      <w:marBottom w:val="0"/>
      <w:divBdr>
        <w:top w:val="none" w:sz="0" w:space="0" w:color="auto"/>
        <w:left w:val="none" w:sz="0" w:space="0" w:color="auto"/>
        <w:bottom w:val="none" w:sz="0" w:space="0" w:color="auto"/>
        <w:right w:val="none" w:sz="0" w:space="0" w:color="auto"/>
      </w:divBdr>
    </w:div>
    <w:div w:id="1305356347">
      <w:bodyDiv w:val="1"/>
      <w:marLeft w:val="0"/>
      <w:marRight w:val="0"/>
      <w:marTop w:val="0"/>
      <w:marBottom w:val="0"/>
      <w:divBdr>
        <w:top w:val="none" w:sz="0" w:space="0" w:color="auto"/>
        <w:left w:val="none" w:sz="0" w:space="0" w:color="auto"/>
        <w:bottom w:val="none" w:sz="0" w:space="0" w:color="auto"/>
        <w:right w:val="none" w:sz="0" w:space="0" w:color="auto"/>
      </w:divBdr>
    </w:div>
    <w:div w:id="1658261099">
      <w:bodyDiv w:val="1"/>
      <w:marLeft w:val="0"/>
      <w:marRight w:val="0"/>
      <w:marTop w:val="0"/>
      <w:marBottom w:val="0"/>
      <w:divBdr>
        <w:top w:val="none" w:sz="0" w:space="0" w:color="auto"/>
        <w:left w:val="none" w:sz="0" w:space="0" w:color="auto"/>
        <w:bottom w:val="none" w:sz="0" w:space="0" w:color="auto"/>
        <w:right w:val="none" w:sz="0" w:space="0" w:color="auto"/>
      </w:divBdr>
    </w:div>
    <w:div w:id="1721827869">
      <w:bodyDiv w:val="1"/>
      <w:marLeft w:val="0"/>
      <w:marRight w:val="0"/>
      <w:marTop w:val="0"/>
      <w:marBottom w:val="0"/>
      <w:divBdr>
        <w:top w:val="none" w:sz="0" w:space="0" w:color="auto"/>
        <w:left w:val="none" w:sz="0" w:space="0" w:color="auto"/>
        <w:bottom w:val="none" w:sz="0" w:space="0" w:color="auto"/>
        <w:right w:val="none" w:sz="0" w:space="0" w:color="auto"/>
      </w:divBdr>
    </w:div>
    <w:div w:id="1731881293">
      <w:bodyDiv w:val="1"/>
      <w:marLeft w:val="0"/>
      <w:marRight w:val="0"/>
      <w:marTop w:val="0"/>
      <w:marBottom w:val="0"/>
      <w:divBdr>
        <w:top w:val="none" w:sz="0" w:space="0" w:color="auto"/>
        <w:left w:val="none" w:sz="0" w:space="0" w:color="auto"/>
        <w:bottom w:val="none" w:sz="0" w:space="0" w:color="auto"/>
        <w:right w:val="none" w:sz="0" w:space="0" w:color="auto"/>
      </w:divBdr>
    </w:div>
    <w:div w:id="1764060183">
      <w:bodyDiv w:val="1"/>
      <w:marLeft w:val="0"/>
      <w:marRight w:val="0"/>
      <w:marTop w:val="0"/>
      <w:marBottom w:val="0"/>
      <w:divBdr>
        <w:top w:val="none" w:sz="0" w:space="0" w:color="auto"/>
        <w:left w:val="none" w:sz="0" w:space="0" w:color="auto"/>
        <w:bottom w:val="none" w:sz="0" w:space="0" w:color="auto"/>
        <w:right w:val="none" w:sz="0" w:space="0" w:color="auto"/>
      </w:divBdr>
    </w:div>
    <w:div w:id="1846355768">
      <w:bodyDiv w:val="1"/>
      <w:marLeft w:val="0"/>
      <w:marRight w:val="0"/>
      <w:marTop w:val="0"/>
      <w:marBottom w:val="0"/>
      <w:divBdr>
        <w:top w:val="none" w:sz="0" w:space="0" w:color="auto"/>
        <w:left w:val="none" w:sz="0" w:space="0" w:color="auto"/>
        <w:bottom w:val="none" w:sz="0" w:space="0" w:color="auto"/>
        <w:right w:val="none" w:sz="0" w:space="0" w:color="auto"/>
      </w:divBdr>
    </w:div>
    <w:div w:id="1847017713">
      <w:bodyDiv w:val="1"/>
      <w:marLeft w:val="0"/>
      <w:marRight w:val="0"/>
      <w:marTop w:val="0"/>
      <w:marBottom w:val="0"/>
      <w:divBdr>
        <w:top w:val="none" w:sz="0" w:space="0" w:color="auto"/>
        <w:left w:val="none" w:sz="0" w:space="0" w:color="auto"/>
        <w:bottom w:val="none" w:sz="0" w:space="0" w:color="auto"/>
        <w:right w:val="none" w:sz="0" w:space="0" w:color="auto"/>
      </w:divBdr>
    </w:div>
    <w:div w:id="1942882548">
      <w:bodyDiv w:val="1"/>
      <w:marLeft w:val="0"/>
      <w:marRight w:val="0"/>
      <w:marTop w:val="0"/>
      <w:marBottom w:val="0"/>
      <w:divBdr>
        <w:top w:val="none" w:sz="0" w:space="0" w:color="auto"/>
        <w:left w:val="none" w:sz="0" w:space="0" w:color="auto"/>
        <w:bottom w:val="none" w:sz="0" w:space="0" w:color="auto"/>
        <w:right w:val="none" w:sz="0" w:space="0" w:color="auto"/>
      </w:divBdr>
    </w:div>
    <w:div w:id="2094350274">
      <w:bodyDiv w:val="1"/>
      <w:marLeft w:val="0"/>
      <w:marRight w:val="0"/>
      <w:marTop w:val="0"/>
      <w:marBottom w:val="0"/>
      <w:divBdr>
        <w:top w:val="none" w:sz="0" w:space="0" w:color="auto"/>
        <w:left w:val="none" w:sz="0" w:space="0" w:color="auto"/>
        <w:bottom w:val="none" w:sz="0" w:space="0" w:color="auto"/>
        <w:right w:val="none" w:sz="0" w:space="0" w:color="auto"/>
      </w:divBdr>
    </w:div>
    <w:div w:id="211597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1/DCB_h.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21/DCB_h.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nfo.gov/content/pkg/FR-2013-03-29/pdf/2013-07378.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la.org/paralegals/research-and-survey-findings" TargetMode="External"/><Relationship Id="rId1" Type="http://schemas.openxmlformats.org/officeDocument/2006/relationships/hyperlink" Target="https://www.nala.org/paralegals/research-and-survey-fin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4348-D9C8-49AD-A7E5-E3886CA56C19}">
  <ds:schemaRefs>
    <ds:schemaRef ds:uri="http://schemas.microsoft.com/office/2006/metadata/longProperties"/>
  </ds:schemaRefs>
</ds:datastoreItem>
</file>

<file path=customXml/itemProps2.xml><?xml version="1.0" encoding="utf-8"?>
<ds:datastoreItem xmlns:ds="http://schemas.openxmlformats.org/officeDocument/2006/customXml" ds:itemID="{AD8471DE-0DCD-4C9C-80EB-DD8A9EC9BF19}">
  <ds:schemaRefs>
    <ds:schemaRef ds:uri="http://schemas.microsoft.com/sharepoint/v3/contenttype/forms"/>
  </ds:schemaRefs>
</ds:datastoreItem>
</file>

<file path=customXml/itemProps3.xml><?xml version="1.0" encoding="utf-8"?>
<ds:datastoreItem xmlns:ds="http://schemas.openxmlformats.org/officeDocument/2006/customXml" ds:itemID="{618F5AF0-04D2-4BBC-A60F-F48760E6C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1B9F8-295D-4248-8ECF-662714EE97A3}">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dfc53cf-7c17-4489-98ab-5f87c96333b9"/>
    <ds:schemaRef ds:uri="e85de8a9-5cd3-41fe-a1a0-70bc17107555"/>
    <ds:schemaRef ds:uri="E85DE8A9-5CD3-41FE-A1A0-70BC17107555"/>
    <ds:schemaRef ds:uri="5DFC53CF-7C17-4489-98AB-5F87C96333B9"/>
    <ds:schemaRef ds:uri="http://www.w3.org/XML/1998/namespace"/>
    <ds:schemaRef ds:uri="http://purl.org/dc/dcmitype/"/>
  </ds:schemaRefs>
</ds:datastoreItem>
</file>

<file path=customXml/itemProps5.xml><?xml version="1.0" encoding="utf-8"?>
<ds:datastoreItem xmlns:ds="http://schemas.openxmlformats.org/officeDocument/2006/customXml" ds:itemID="{63D6A3DA-60BC-4E09-B12E-4B9B72BE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4227</Words>
  <Characters>24215</Characters>
  <Application>Microsoft Office Word</Application>
  <DocSecurity>0</DocSecurity>
  <Lines>590</Lines>
  <Paragraphs>270</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U.S. Patent and Trademark Office</Company>
  <LinksUpToDate>false</LinksUpToDate>
  <CharactersWithSpaces>28172</CharactersWithSpaces>
  <SharedDoc>false</SharedDoc>
  <HLinks>
    <vt:vector size="30" baseType="variant">
      <vt:variant>
        <vt:i4>4587637</vt:i4>
      </vt:variant>
      <vt:variant>
        <vt:i4>6</vt:i4>
      </vt:variant>
      <vt:variant>
        <vt:i4>0</vt:i4>
      </vt:variant>
      <vt:variant>
        <vt:i4>5</vt:i4>
      </vt:variant>
      <vt:variant>
        <vt:lpwstr>https://www.opm.gov/policy-data-oversight/pay-leave/salaries-wages/salary-tables/pdf/2021/DCB_h.pdf</vt:lpwstr>
      </vt:variant>
      <vt:variant>
        <vt:lpwstr/>
      </vt:variant>
      <vt:variant>
        <vt:i4>4587637</vt:i4>
      </vt:variant>
      <vt:variant>
        <vt:i4>3</vt:i4>
      </vt:variant>
      <vt:variant>
        <vt:i4>0</vt:i4>
      </vt:variant>
      <vt:variant>
        <vt:i4>5</vt:i4>
      </vt:variant>
      <vt:variant>
        <vt:lpwstr>https://www.opm.gov/policy-data-oversight/pay-leave/salaries-wages/salary-tables/pdf/2021/DCB_h.pdf</vt:lpwstr>
      </vt:variant>
      <vt:variant>
        <vt:lpwstr/>
      </vt:variant>
      <vt:variant>
        <vt:i4>5177428</vt:i4>
      </vt:variant>
      <vt:variant>
        <vt:i4>0</vt:i4>
      </vt:variant>
      <vt:variant>
        <vt:i4>0</vt:i4>
      </vt:variant>
      <vt:variant>
        <vt:i4>5</vt:i4>
      </vt:variant>
      <vt:variant>
        <vt:lpwstr>https://www.govinfo.gov/content/pkg/FR-2013-03-29/pdf/2013-07378.pdf</vt:lpwstr>
      </vt:variant>
      <vt:variant>
        <vt:lpwstr/>
      </vt:variant>
      <vt:variant>
        <vt:i4>4980823</vt:i4>
      </vt:variant>
      <vt:variant>
        <vt:i4>3</vt:i4>
      </vt:variant>
      <vt:variant>
        <vt:i4>0</vt:i4>
      </vt:variant>
      <vt:variant>
        <vt:i4>5</vt:i4>
      </vt:variant>
      <vt:variant>
        <vt:lpwstr>https://www.nala.org/paralegals/research-and-survey-findings</vt:lpwstr>
      </vt:variant>
      <vt:variant>
        <vt:lpwstr/>
      </vt:variant>
      <vt:variant>
        <vt:i4>4980823</vt:i4>
      </vt:variant>
      <vt:variant>
        <vt:i4>0</vt:i4>
      </vt:variant>
      <vt:variant>
        <vt:i4>0</vt:i4>
      </vt:variant>
      <vt:variant>
        <vt:i4>5</vt:i4>
      </vt:variant>
      <vt:variant>
        <vt:lpwstr>https://www.nala.org/paralegals/research-and-survey-findings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subject/>
  <dc:creator>Rob Flax</dc:creator>
  <cp:keywords/>
  <cp:lastModifiedBy>Hardy, Kimberly</cp:lastModifiedBy>
  <cp:revision>5</cp:revision>
  <cp:lastPrinted>2021-06-28T22:16:00Z</cp:lastPrinted>
  <dcterms:created xsi:type="dcterms:W3CDTF">2021-06-29T16:28:00Z</dcterms:created>
  <dcterms:modified xsi:type="dcterms:W3CDTF">2021-06-29T16:55:00Z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Owner">
    <vt:lpwstr>Thompson, Lee</vt:lpwstr>
  </property>
  <property fmtid="{D5CDD505-2E9C-101B-9397-08002B2CF9AE}" pid="4" name="display_urn:schemas-microsoft-com:office:office#SharedWithUsers">
    <vt:lpwstr>Isaac, Justin (AMBIT);Azam, Maryam (AMBIT);Sapah, Caesar (AMBIT)</vt:lpwstr>
  </property>
  <property fmtid="{D5CDD505-2E9C-101B-9397-08002B2CF9AE}" pid="5" name="SharedWithUsers">
    <vt:lpwstr>115;#Isaac, Justin (AMBIT);#594;#Azam, Maryam (AMBIT);#543;#Sapah, Caesar (AMBIT)</vt:lpwstr>
  </property>
</Properties>
</file>