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23" w:rsidP="009E6223" w:rsidRDefault="009E6223" w14:paraId="78427E1F" w14:textId="77777777">
      <w:pPr>
        <w:pStyle w:val="NormalWeb"/>
        <w:spacing w:line="288" w:lineRule="atLeast"/>
        <w:ind w:firstLine="480"/>
        <w:jc w:val="center"/>
        <w:rPr>
          <w:u w:val="single"/>
        </w:rPr>
      </w:pPr>
      <w:bookmarkStart w:name="cs31d" w:id="0"/>
      <w:bookmarkStart w:name="_GoBack" w:id="1"/>
      <w:bookmarkEnd w:id="1"/>
      <w:r>
        <w:rPr>
          <w:u w:val="single"/>
        </w:rPr>
        <w:t>SUPPORTING STATEMENT – PART B</w:t>
      </w:r>
    </w:p>
    <w:p w:rsidR="009E6223" w:rsidP="009E6223" w:rsidRDefault="009E6223" w14:paraId="29ED6253" w14:textId="77777777">
      <w:pPr>
        <w:pStyle w:val="NormalWeb"/>
        <w:spacing w:line="288" w:lineRule="atLeast"/>
      </w:pPr>
      <w:bookmarkStart w:name="cs32" w:id="2"/>
      <w:bookmarkEnd w:id="0"/>
      <w:r>
        <w:t xml:space="preserve">B.  </w:t>
      </w:r>
      <w:r>
        <w:rPr>
          <w:u w:val="single"/>
        </w:rPr>
        <w:t>COLLECTIONS OF INFORMATION EMPLOYING STATISTICAL METHODS</w:t>
      </w:r>
    </w:p>
    <w:bookmarkEnd w:id="2"/>
    <w:p w:rsidR="009E6223" w:rsidP="009E6223" w:rsidRDefault="009E6223" w14:paraId="12E1D5C2" w14:textId="77777777">
      <w:pPr>
        <w:pStyle w:val="NormalWeb"/>
        <w:spacing w:line="288" w:lineRule="atLeast"/>
      </w:pPr>
      <w:r>
        <w:t>If the collection of information employs statistical methods, it should be indicated in Item 17 of OMB Form 83-I, and the following information should be provided in this Supporting Statement:</w:t>
      </w:r>
    </w:p>
    <w:p w:rsidRPr="001348DB" w:rsidR="009E6223" w:rsidP="009E6223" w:rsidRDefault="009E6223" w14:paraId="7CD23184" w14:textId="22153668">
      <w:pPr>
        <w:pStyle w:val="NormalWeb"/>
        <w:spacing w:line="288" w:lineRule="atLeast"/>
        <w:rPr>
          <w:b/>
          <w:bCs/>
          <w:u w:val="single"/>
        </w:rPr>
      </w:pPr>
      <w:r w:rsidRPr="001348DB">
        <w:rPr>
          <w:b/>
          <w:bCs/>
        </w:rPr>
        <w:t xml:space="preserve">1.  </w:t>
      </w:r>
      <w:r w:rsidRPr="001348DB">
        <w:rPr>
          <w:b/>
          <w:bCs/>
          <w:u w:val="single"/>
        </w:rPr>
        <w:t>Description of the Activity</w:t>
      </w:r>
    </w:p>
    <w:p w:rsidRPr="001348DB" w:rsidR="009B160C" w:rsidP="009B160C" w:rsidRDefault="009B160C" w14:paraId="784DEF43" w14:textId="5F600F28">
      <w:pPr>
        <w:pStyle w:val="NormalWeb"/>
        <w:numPr>
          <w:ilvl w:val="0"/>
          <w:numId w:val="8"/>
        </w:numPr>
        <w:spacing w:line="288" w:lineRule="atLeast"/>
        <w:rPr>
          <w:b/>
          <w:bCs/>
          <w:i/>
          <w:iCs/>
        </w:rPr>
      </w:pPr>
      <w:r>
        <w:rPr>
          <w:b/>
          <w:bCs/>
          <w:i/>
          <w:iCs/>
        </w:rPr>
        <w:t>Employer Survey</w:t>
      </w:r>
    </w:p>
    <w:p w:rsidR="009E6223" w:rsidP="009E6223" w:rsidRDefault="009E6223" w14:paraId="26C27E14" w14:textId="7563C178">
      <w:pPr>
        <w:pStyle w:val="NormalWeb"/>
        <w:spacing w:line="288" w:lineRule="atLeast"/>
      </w:pPr>
      <w:r>
        <w:t xml:space="preserve">The purpose of this activity is to gather information from employers about their views on employing members of the National Guard and Reserve (G&amp;R). The universe of possible respondents is the set of all </w:t>
      </w:r>
      <w:r w:rsidR="001824E6">
        <w:t xml:space="preserve">private </w:t>
      </w:r>
      <w:r>
        <w:t xml:space="preserve">U.S. firms and federal, state and local government agencies, with a focus on those currently or recently employing </w:t>
      </w:r>
      <w:r w:rsidR="004D0B2F">
        <w:t>G&amp;R</w:t>
      </w:r>
      <w:r>
        <w:t xml:space="preserve"> members. Employers will be stratified by sector (federal government, state government, local government, and private sector) and size (number of employees). Our</w:t>
      </w:r>
      <w:r w:rsidR="001824E6">
        <w:t xml:space="preserve"> primary</w:t>
      </w:r>
      <w:r>
        <w:t xml:space="preserve"> analytical goal is to derive unbiased estimates that are representative of the population of firms</w:t>
      </w:r>
      <w:r w:rsidR="00F143AF">
        <w:t xml:space="preserve"> employing </w:t>
      </w:r>
      <w:r w:rsidR="004D0B2F">
        <w:t>G&amp;R</w:t>
      </w:r>
      <w:r w:rsidR="00F143AF">
        <w:t xml:space="preserve"> mem</w:t>
      </w:r>
      <w:r w:rsidR="002C5A6C">
        <w:t>b</w:t>
      </w:r>
      <w:r w:rsidR="00F143AF">
        <w:t>ers</w:t>
      </w:r>
      <w:r>
        <w:t xml:space="preserve"> within each stratum. </w:t>
      </w:r>
      <w:r w:rsidR="00675F8B">
        <w:t xml:space="preserve">We focus on stratum-level estimates rather than universe-level estimates because of two factors that inhibit meaningful aggregate summaries: (i) most </w:t>
      </w:r>
      <w:r w:rsidR="00AD3C49">
        <w:t xml:space="preserve">private </w:t>
      </w:r>
      <w:r w:rsidR="00675F8B">
        <w:t xml:space="preserve">firms </w:t>
      </w:r>
      <w:r w:rsidR="006805D4">
        <w:t xml:space="preserve">(including most private firms employing </w:t>
      </w:r>
      <w:r w:rsidR="004D0B2F">
        <w:t>G&amp;R</w:t>
      </w:r>
      <w:r w:rsidR="006805D4">
        <w:t xml:space="preserve"> personnel) </w:t>
      </w:r>
      <w:r w:rsidR="00675F8B">
        <w:t xml:space="preserve">are small but </w:t>
      </w:r>
      <w:r w:rsidR="00AD3C49">
        <w:t xml:space="preserve">most </w:t>
      </w:r>
      <w:r w:rsidR="004D0B2F">
        <w:t>G&amp;R</w:t>
      </w:r>
      <w:r w:rsidR="00675F8B">
        <w:t xml:space="preserve"> personnel work for large firms; and (ii) the lack of a consistent definition of a firm across the private and public sectors</w:t>
      </w:r>
      <w:r w:rsidR="0080286A">
        <w:t xml:space="preserve"> (i.e., there is no clear public sector analog </w:t>
      </w:r>
      <w:r w:rsidR="001266C3">
        <w:t>of</w:t>
      </w:r>
      <w:r w:rsidR="0080286A">
        <w:t xml:space="preserve"> a private</w:t>
      </w:r>
      <w:r w:rsidR="00735B85">
        <w:t>-</w:t>
      </w:r>
      <w:r w:rsidR="0080286A">
        <w:t>sector firm)</w:t>
      </w:r>
      <w:r w:rsidR="00675F8B">
        <w:t xml:space="preserve">. </w:t>
      </w:r>
      <w:r w:rsidR="002C5A6C">
        <w:t xml:space="preserve">While we will collect some data on </w:t>
      </w:r>
      <w:r w:rsidR="009A1344">
        <w:t>employers</w:t>
      </w:r>
      <w:r w:rsidR="002C5A6C">
        <w:t xml:space="preserve"> that do not employ </w:t>
      </w:r>
      <w:r w:rsidR="004D0B2F">
        <w:t>G&amp;R</w:t>
      </w:r>
      <w:r w:rsidR="003B62DD">
        <w:t xml:space="preserve"> personnel</w:t>
      </w:r>
      <w:r w:rsidR="002C5A6C">
        <w:t xml:space="preserve">, our approach is not designed to provide precise estimates </w:t>
      </w:r>
      <w:r w:rsidR="00BF2DE8">
        <w:t>for</w:t>
      </w:r>
      <w:r w:rsidR="002C5A6C">
        <w:t xml:space="preserve"> </w:t>
      </w:r>
      <w:r w:rsidR="00C92338">
        <w:t>this population</w:t>
      </w:r>
      <w:r w:rsidR="00BF2DE8">
        <w:t xml:space="preserve"> of employers</w:t>
      </w:r>
      <w:r w:rsidR="00C92338">
        <w:t>.</w:t>
      </w:r>
      <w:r w:rsidR="001A13CD">
        <w:t xml:space="preserve"> </w:t>
      </w:r>
      <w:r>
        <w:t xml:space="preserve">Our sampling design aims to provide adequate precision while meeting budgetary constraints and limiting respondent burden. </w:t>
      </w:r>
    </w:p>
    <w:p w:rsidRPr="008739FE" w:rsidR="009E6223" w:rsidP="006A5B9C" w:rsidRDefault="009E6223" w14:paraId="0E6B991D" w14:textId="339466DA">
      <w:pPr>
        <w:pStyle w:val="NormalWeb"/>
        <w:numPr>
          <w:ilvl w:val="0"/>
          <w:numId w:val="7"/>
        </w:numPr>
        <w:spacing w:line="288" w:lineRule="atLeast"/>
        <w:ind w:left="360" w:hanging="360"/>
        <w:rPr>
          <w:u w:val="single"/>
        </w:rPr>
      </w:pPr>
      <w:r w:rsidRPr="008739FE">
        <w:rPr>
          <w:u w:val="single"/>
        </w:rPr>
        <w:t>Private Sector:</w:t>
      </w:r>
    </w:p>
    <w:p w:rsidR="009E6223" w:rsidP="009E6223" w:rsidRDefault="009E6223" w14:paraId="50DDAAD3" w14:textId="59C1D86C">
      <w:pPr>
        <w:pStyle w:val="NormalWeb"/>
        <w:spacing w:line="288" w:lineRule="atLeast"/>
      </w:pPr>
      <w:r>
        <w:t xml:space="preserve">For private-sector firms, we will use different sampling strategies within each employment size stratum to effectively balance representativeness and respondent burden. We estimate that </w:t>
      </w:r>
      <w:r w:rsidR="00F314A0">
        <w:t xml:space="preserve">approximately </w:t>
      </w:r>
      <w:r w:rsidR="009F2384">
        <w:t xml:space="preserve">80% </w:t>
      </w:r>
      <w:r>
        <w:t xml:space="preserve">all large private firms (500 </w:t>
      </w:r>
      <w:r w:rsidR="003B104B">
        <w:t xml:space="preserve">or more </w:t>
      </w:r>
      <w:r>
        <w:t xml:space="preserve">employees) are </w:t>
      </w:r>
      <w:r w:rsidR="004D0B2F">
        <w:t>G&amp;R</w:t>
      </w:r>
      <w:r>
        <w:t xml:space="preserve"> employers. By contrast, we estimate that approximately </w:t>
      </w:r>
      <w:r w:rsidR="004969DC">
        <w:t xml:space="preserve">20% </w:t>
      </w:r>
      <w:r>
        <w:t xml:space="preserve">medium private firms (between </w:t>
      </w:r>
      <w:r w:rsidR="00057B51">
        <w:t>100</w:t>
      </w:r>
      <w:r>
        <w:t xml:space="preserve"> and </w:t>
      </w:r>
      <w:r w:rsidR="003B104B">
        <w:t xml:space="preserve">499 </w:t>
      </w:r>
      <w:r>
        <w:t xml:space="preserve">employees) and </w:t>
      </w:r>
      <w:r w:rsidR="00FE13AB">
        <w:t>approximately 1% of</w:t>
      </w:r>
      <w:r>
        <w:t xml:space="preserve"> small private firms (fewer than </w:t>
      </w:r>
      <w:r w:rsidR="00DD3235">
        <w:t>100</w:t>
      </w:r>
      <w:r>
        <w:t xml:space="preserve"> employees) are </w:t>
      </w:r>
      <w:r w:rsidR="004D0B2F">
        <w:t>G&amp;R</w:t>
      </w:r>
      <w:r>
        <w:t xml:space="preserve"> employers. </w:t>
      </w:r>
      <w:r w:rsidR="00DD3235">
        <w:t xml:space="preserve">These approximations are derived </w:t>
      </w:r>
      <w:r w:rsidR="009232C1">
        <w:t xml:space="preserve">by </w:t>
      </w:r>
      <w:r w:rsidR="0000201D">
        <w:t xml:space="preserve">combining data from the 2016 Annual Survey of Entrepreneurs </w:t>
      </w:r>
      <w:r w:rsidR="00A40527">
        <w:t xml:space="preserve">(ASE) </w:t>
      </w:r>
      <w:r w:rsidR="0000201D">
        <w:t>with the 2018 Status of Forces Survey</w:t>
      </w:r>
      <w:r w:rsidR="00A40527">
        <w:t xml:space="preserve"> </w:t>
      </w:r>
      <w:r w:rsidR="00397632">
        <w:t>of Reserve Component Members</w:t>
      </w:r>
      <w:r w:rsidR="00A40527">
        <w:t xml:space="preserve"> (SOFS</w:t>
      </w:r>
      <w:r w:rsidR="00397632">
        <w:t>-R</w:t>
      </w:r>
      <w:r w:rsidR="00A40527">
        <w:t>)</w:t>
      </w:r>
      <w:r w:rsidR="0000201D">
        <w:t>. The first dataset details the distribution of firms by number of employe</w:t>
      </w:r>
      <w:r w:rsidR="002C20A5">
        <w:t>e</w:t>
      </w:r>
      <w:r w:rsidR="0000201D">
        <w:t xml:space="preserve">s, while the second dataset contains information about the </w:t>
      </w:r>
      <w:r w:rsidR="00C27867">
        <w:t xml:space="preserve">proportion of </w:t>
      </w:r>
      <w:r w:rsidR="004D0B2F">
        <w:t>G&amp;R</w:t>
      </w:r>
      <w:r w:rsidR="00C27867">
        <w:t xml:space="preserve"> </w:t>
      </w:r>
      <w:r w:rsidR="00725DB4">
        <w:t xml:space="preserve">personnel </w:t>
      </w:r>
      <w:r w:rsidR="00C27867">
        <w:t>employed by firms of varying size.</w:t>
      </w:r>
      <w:r w:rsidR="0000201D">
        <w:t xml:space="preserve"> </w:t>
      </w:r>
      <w:r w:rsidR="001D4968">
        <w:t xml:space="preserve">We note that these are rough approximations, </w:t>
      </w:r>
      <w:r w:rsidR="0001154E">
        <w:t>based on assumption</w:t>
      </w:r>
      <w:r w:rsidR="00971305">
        <w:t>s</w:t>
      </w:r>
      <w:r w:rsidR="00027E45">
        <w:t xml:space="preserve"> about the</w:t>
      </w:r>
      <w:r w:rsidR="004D3A61">
        <w:t xml:space="preserve"> unknown</w:t>
      </w:r>
      <w:r w:rsidR="00027E45">
        <w:t xml:space="preserve"> distribution of </w:t>
      </w:r>
      <w:r w:rsidR="00037861">
        <w:t xml:space="preserve">the number of </w:t>
      </w:r>
      <w:r w:rsidR="004D0B2F">
        <w:t>G&amp;R</w:t>
      </w:r>
      <w:r w:rsidR="00027E45">
        <w:t xml:space="preserve"> employees </w:t>
      </w:r>
      <w:r w:rsidR="00037861">
        <w:t>in firms of varying size</w:t>
      </w:r>
      <w:r w:rsidR="00971305">
        <w:t>;</w:t>
      </w:r>
      <w:r w:rsidR="001D4968">
        <w:t xml:space="preserve"> the true </w:t>
      </w:r>
      <w:r w:rsidR="00640850">
        <w:t xml:space="preserve">proportions </w:t>
      </w:r>
      <w:r w:rsidR="00971305">
        <w:t>may</w:t>
      </w:r>
      <w:r w:rsidR="00236A2F">
        <w:t xml:space="preserve"> </w:t>
      </w:r>
      <w:r w:rsidR="00A53F57">
        <w:t>differ</w:t>
      </w:r>
      <w:r w:rsidR="00CE08C1">
        <w:t xml:space="preserve"> substantially.</w:t>
      </w:r>
      <w:r w:rsidR="00971305">
        <w:t xml:space="preserve"> </w:t>
      </w:r>
      <w:r w:rsidR="00220675">
        <w:t xml:space="preserve">However, </w:t>
      </w:r>
      <w:r w:rsidR="00BF1C02">
        <w:t>a basic feature that is evident from these</w:t>
      </w:r>
      <w:r w:rsidR="007E6639">
        <w:t xml:space="preserve"> estimates</w:t>
      </w:r>
      <w:r w:rsidR="000F2093">
        <w:t xml:space="preserve"> is that</w:t>
      </w:r>
      <w:r>
        <w:t xml:space="preserve"> a random sample of large and medium firms will likely yield an appreciable number of </w:t>
      </w:r>
      <w:r w:rsidR="004D0B2F">
        <w:t>G&amp;R</w:t>
      </w:r>
      <w:r>
        <w:t xml:space="preserve"> employers while a random sample of small firms will not. </w:t>
      </w:r>
    </w:p>
    <w:p w:rsidR="009E6223" w:rsidP="009E6223" w:rsidRDefault="009E6223" w14:paraId="62EF50D1" w14:textId="2011EFC5">
      <w:pPr>
        <w:pStyle w:val="NormalWeb"/>
        <w:spacing w:line="288" w:lineRule="atLeast"/>
      </w:pPr>
      <w:r>
        <w:lastRenderedPageBreak/>
        <w:t xml:space="preserve">For our sample of private-sector </w:t>
      </w:r>
      <w:r w:rsidR="004D0B2F">
        <w:t>G&amp;R</w:t>
      </w:r>
      <w:r>
        <w:t xml:space="preserve"> firms, we will </w:t>
      </w:r>
      <w:r w:rsidR="00463AFD">
        <w:t xml:space="preserve">collect a random sample of large </w:t>
      </w:r>
      <w:r w:rsidR="004E6587">
        <w:t>firms</w:t>
      </w:r>
      <w:r w:rsidR="00114120">
        <w:t xml:space="preserve"> (which are likely to employ G&amp;R personnel)</w:t>
      </w:r>
      <w:r>
        <w:t xml:space="preserve">, construct a convenience sample of small firms, and use a combined random sample and convenience sample for medium firms. </w:t>
      </w:r>
      <w:r w:rsidR="00813E57">
        <w:t>We use a convenience sampling approach for small firms</w:t>
      </w:r>
      <w:r w:rsidR="008F7866">
        <w:t>, drawing on data sources (described below) that consist predominantly of employers</w:t>
      </w:r>
      <w:r w:rsidR="003278DD">
        <w:t xml:space="preserve"> of G&amp;R personnel, because </w:t>
      </w:r>
      <w:r w:rsidR="00114120">
        <w:t>of</w:t>
      </w:r>
      <w:r w:rsidR="003278DD">
        <w:t xml:space="preserve"> the very low likelihood </w:t>
      </w:r>
      <w:r w:rsidR="004C0AD8">
        <w:t xml:space="preserve">that a small firm selected at random would employ G&amp;R </w:t>
      </w:r>
      <w:r w:rsidR="00114120">
        <w:t>members.</w:t>
      </w:r>
      <w:r w:rsidR="004C0AD8">
        <w:t xml:space="preserve"> </w:t>
      </w:r>
      <w:r w:rsidR="00E21188">
        <w:t>To ensure sufficient representation of very small businesses, we will stratify</w:t>
      </w:r>
      <w:r w:rsidR="00AF2A55">
        <w:t xml:space="preserve"> the selection of</w:t>
      </w:r>
      <w:r w:rsidR="00E21188">
        <w:t xml:space="preserve"> the small private firm </w:t>
      </w:r>
      <w:r w:rsidR="00AF2A55">
        <w:t>sample</w:t>
      </w:r>
      <w:r w:rsidR="00E21188">
        <w:t xml:space="preserve"> into </w:t>
      </w:r>
      <w:r w:rsidR="00DB0CD7">
        <w:t xml:space="preserve">firms with fewer than 50 employees and those with 50 to 99 employees. </w:t>
      </w:r>
      <w:r>
        <w:t xml:space="preserve">The combined </w:t>
      </w:r>
      <w:r w:rsidR="00DB0CD7">
        <w:t xml:space="preserve">sampling </w:t>
      </w:r>
      <w:r>
        <w:t xml:space="preserve">approach for medium-sized firms allows us to assess the degree of bias in the sources from which the convenience samples derive. This in turn will inform the analysis of our convenience sample of small-sized firms, for which a comparative random sample is not practically feasible and which is based on the same data sources as the medium-sized firm convenience sample. </w:t>
      </w:r>
    </w:p>
    <w:p w:rsidR="009E6223" w:rsidP="009E6223" w:rsidRDefault="00B310DE" w14:paraId="11FC5EE9" w14:textId="4E311501">
      <w:pPr>
        <w:pStyle w:val="NormalWeb"/>
        <w:spacing w:line="288" w:lineRule="atLeast"/>
      </w:pPr>
      <w:r>
        <w:t>While o</w:t>
      </w:r>
      <w:r w:rsidR="00236136">
        <w:t xml:space="preserve">ur primary analytical goal is to </w:t>
      </w:r>
      <w:r w:rsidR="003A3F04">
        <w:t xml:space="preserve">derive </w:t>
      </w:r>
      <w:r w:rsidR="008D1D63">
        <w:t>quantities</w:t>
      </w:r>
      <w:r w:rsidR="003A3F04">
        <w:t xml:space="preserve"> </w:t>
      </w:r>
      <w:r>
        <w:t xml:space="preserve">that </w:t>
      </w:r>
      <w:r w:rsidR="008D1D63">
        <w:t xml:space="preserve">are </w:t>
      </w:r>
      <w:r>
        <w:t>represent</w:t>
      </w:r>
      <w:r w:rsidR="00167474">
        <w:t>ative of</w:t>
      </w:r>
      <w:r>
        <w:t xml:space="preserve"> the population of </w:t>
      </w:r>
      <w:r w:rsidR="004D0B2F">
        <w:t>G&amp;R</w:t>
      </w:r>
      <w:r>
        <w:t xml:space="preserve"> employers</w:t>
      </w:r>
      <w:r w:rsidR="0014430C">
        <w:t xml:space="preserve">, </w:t>
      </w:r>
      <w:r w:rsidR="006E7742">
        <w:t xml:space="preserve">we will also survey </w:t>
      </w:r>
      <w:r w:rsidR="003B62DD">
        <w:t xml:space="preserve">firms not employing </w:t>
      </w:r>
      <w:r w:rsidR="004D0B2F">
        <w:t>G&amp;R</w:t>
      </w:r>
      <w:r w:rsidR="004E6587">
        <w:t xml:space="preserve"> </w:t>
      </w:r>
      <w:r w:rsidR="009F11EB">
        <w:t>personnel (non-</w:t>
      </w:r>
      <w:r w:rsidR="004D0B2F">
        <w:t>G&amp;R</w:t>
      </w:r>
      <w:r w:rsidR="009F11EB">
        <w:t xml:space="preserve"> </w:t>
      </w:r>
      <w:r w:rsidR="004E6587">
        <w:t>employers</w:t>
      </w:r>
      <w:r w:rsidR="009F11EB">
        <w:t>)</w:t>
      </w:r>
      <w:r w:rsidR="002B71C4">
        <w:t>. M</w:t>
      </w:r>
      <w:r w:rsidR="00C173FC">
        <w:t>any of the survey items are applicable to non-</w:t>
      </w:r>
      <w:r w:rsidR="004D0B2F">
        <w:t>G&amp;R</w:t>
      </w:r>
      <w:r w:rsidR="00C173FC">
        <w:t xml:space="preserve"> employers</w:t>
      </w:r>
      <w:r w:rsidR="00BD7798">
        <w:t xml:space="preserve"> and their perspective is relevant because </w:t>
      </w:r>
      <w:r w:rsidR="00176639">
        <w:t>while they do</w:t>
      </w:r>
      <w:r w:rsidR="000B167F">
        <w:t xml:space="preserve"> no</w:t>
      </w:r>
      <w:r w:rsidR="00176639">
        <w:t xml:space="preserve">t currently employ G&amp;R personnel, they </w:t>
      </w:r>
      <w:r w:rsidR="0060279E">
        <w:t xml:space="preserve">may have done so in the past or </w:t>
      </w:r>
      <w:r w:rsidR="00176639">
        <w:t>may do so in the future</w:t>
      </w:r>
      <w:r w:rsidR="00F229D7">
        <w:t>.</w:t>
      </w:r>
      <w:r w:rsidR="006C61E9">
        <w:t xml:space="preserve"> </w:t>
      </w:r>
      <w:r w:rsidR="009E6223">
        <w:t xml:space="preserve">Our sample of </w:t>
      </w:r>
      <w:r w:rsidR="007D391A">
        <w:t xml:space="preserve">large and </w:t>
      </w:r>
      <w:r w:rsidR="009E6223">
        <w:t>medium non-</w:t>
      </w:r>
      <w:r w:rsidR="004D0B2F">
        <w:t>G&amp;R</w:t>
      </w:r>
      <w:r w:rsidR="009E6223">
        <w:t xml:space="preserve"> </w:t>
      </w:r>
      <w:r w:rsidR="004C3039">
        <w:t xml:space="preserve">private </w:t>
      </w:r>
      <w:r w:rsidR="009E6223">
        <w:t xml:space="preserve">firms will be derived from the random sample of </w:t>
      </w:r>
      <w:r w:rsidR="00964401">
        <w:t xml:space="preserve">large and </w:t>
      </w:r>
      <w:r w:rsidR="009E6223">
        <w:t xml:space="preserve">medium firms that </w:t>
      </w:r>
      <w:r w:rsidR="009F11EB">
        <w:t xml:space="preserve">respond and </w:t>
      </w:r>
      <w:r w:rsidR="009E6223">
        <w:t xml:space="preserve">identify as not employing </w:t>
      </w:r>
      <w:r w:rsidR="004D0B2F">
        <w:t>G&amp;R</w:t>
      </w:r>
      <w:r w:rsidR="001770C4">
        <w:t>.</w:t>
      </w:r>
      <w:r w:rsidR="0033717A">
        <w:t xml:space="preserve"> Because we will not collect a random sample of small firms, we will not have a representative sample of non-</w:t>
      </w:r>
      <w:r w:rsidR="004D0B2F">
        <w:t>G&amp;R</w:t>
      </w:r>
      <w:r w:rsidR="0033717A">
        <w:t xml:space="preserve"> small firms</w:t>
      </w:r>
      <w:r w:rsidR="005C6C88">
        <w:t>.</w:t>
      </w:r>
      <w:r w:rsidR="00EE276D">
        <w:t xml:space="preserve"> </w:t>
      </w:r>
      <w:r w:rsidR="00D73747">
        <w:t>We also expect that our sample of large non-</w:t>
      </w:r>
      <w:r w:rsidR="004D0B2F">
        <w:t>G&amp;R</w:t>
      </w:r>
      <w:r w:rsidR="00D73747">
        <w:t xml:space="preserve"> firms will be small, since we expect the vast majority of large firms to employ</w:t>
      </w:r>
      <w:r w:rsidR="0030132B">
        <w:t xml:space="preserve"> </w:t>
      </w:r>
      <w:r w:rsidR="004D0B2F">
        <w:t>G&amp;R</w:t>
      </w:r>
      <w:r w:rsidR="004E1A2B">
        <w:t xml:space="preserve"> personnel</w:t>
      </w:r>
      <w:r w:rsidR="006F6BC0">
        <w:t>.</w:t>
      </w:r>
    </w:p>
    <w:p w:rsidR="009E6223" w:rsidP="009E6223" w:rsidRDefault="009E6223" w14:paraId="19D1C339" w14:textId="352A87DA">
      <w:pPr>
        <w:pStyle w:val="NormalWeb"/>
        <w:spacing w:line="288" w:lineRule="atLeast"/>
      </w:pPr>
      <w:r>
        <w:t xml:space="preserve">Our universe of private U.S. firms will be derived from the Dun &amp; Bradstreet </w:t>
      </w:r>
      <w:r w:rsidR="009B02DC">
        <w:t xml:space="preserve">Hoovers </w:t>
      </w:r>
      <w:r>
        <w:t xml:space="preserve">database, which </w:t>
      </w:r>
      <w:r w:rsidR="006C1C84">
        <w:t>to the best of our knowledge</w:t>
      </w:r>
      <w:r>
        <w:t xml:space="preserve"> is the largest existing collection of U.S. firm data available to researchers. Email contact information </w:t>
      </w:r>
      <w:r w:rsidR="00BB5333">
        <w:t xml:space="preserve">for </w:t>
      </w:r>
      <w:r>
        <w:t xml:space="preserve">a </w:t>
      </w:r>
      <w:r w:rsidR="00BB5333">
        <w:t xml:space="preserve">human resources </w:t>
      </w:r>
      <w:r>
        <w:t>representative</w:t>
      </w:r>
      <w:r w:rsidR="00BB5333">
        <w:t xml:space="preserve"> or other appropriate </w:t>
      </w:r>
      <w:r w:rsidR="003E0E90">
        <w:t xml:space="preserve">survey </w:t>
      </w:r>
      <w:r w:rsidR="00BB5333">
        <w:t>respondent</w:t>
      </w:r>
      <w:r>
        <w:t xml:space="preserve"> will be </w:t>
      </w:r>
      <w:r w:rsidR="002E229C">
        <w:t xml:space="preserve">retrieved from that database </w:t>
      </w:r>
      <w:r w:rsidR="001A3B95">
        <w:t xml:space="preserve">and supplemented as needed </w:t>
      </w:r>
      <w:r w:rsidR="003E0E90">
        <w:t>using a commercial email append service</w:t>
      </w:r>
      <w:r>
        <w:t>.</w:t>
      </w:r>
      <w:r w:rsidR="00D97C0A">
        <w:t xml:space="preserve"> Where email contact information is not available, outreach will be conducted by </w:t>
      </w:r>
      <w:r w:rsidR="00626358">
        <w:t>mail</w:t>
      </w:r>
      <w:r w:rsidR="005442E3">
        <w:t xml:space="preserve">. </w:t>
      </w:r>
      <w:r>
        <w:t xml:space="preserve">  </w:t>
      </w:r>
    </w:p>
    <w:p w:rsidR="009E6223" w:rsidP="009E6223" w:rsidRDefault="009E6223" w14:paraId="1F3B2C7D" w14:textId="6ACC0232">
      <w:pPr>
        <w:pStyle w:val="NormalWeb"/>
        <w:spacing w:line="288" w:lineRule="atLeast"/>
      </w:pPr>
      <w:r>
        <w:t xml:space="preserve">It is not possible to filter </w:t>
      </w:r>
      <w:r w:rsidR="00C2465F">
        <w:t xml:space="preserve">all </w:t>
      </w:r>
      <w:r>
        <w:t xml:space="preserve">public-sector entities from the Dun &amp; Bradstreet database explicitly, so we will take the following steps to limit the overlap between our private- and public-sector sampling frames. First, we will exclude </w:t>
      </w:r>
      <w:r w:rsidR="003E1735">
        <w:t>North American Industry Classification System (</w:t>
      </w:r>
      <w:r>
        <w:t>NAICS</w:t>
      </w:r>
      <w:r w:rsidR="003E1735">
        <w:t>)</w:t>
      </w:r>
      <w:r>
        <w:t xml:space="preserve"> code 92 (public administration), which is primarily comprised of public-sector entities, from the private-sector sampling frame. While other industry codes may contain both private- and public-sector firms, we will not explicitly remove them from our sampling frame of </w:t>
      </w:r>
      <w:r w:rsidR="003E1735">
        <w:t>private-</w:t>
      </w:r>
      <w:r>
        <w:t>sector firms. This is because, outside of NAICS 92, we expect a large majority of firms to be private</w:t>
      </w:r>
      <w:r w:rsidR="003E1735">
        <w:t xml:space="preserve"> </w:t>
      </w:r>
      <w:r>
        <w:t>sector.</w:t>
      </w:r>
      <w:r w:rsidR="00B23AE0">
        <w:t xml:space="preserve"> </w:t>
      </w:r>
      <w:r w:rsidR="00881EAF">
        <w:t xml:space="preserve">We will also exclude </w:t>
      </w:r>
      <w:r w:rsidR="000A2B03">
        <w:t xml:space="preserve">firms </w:t>
      </w:r>
      <w:r w:rsidR="00675CBE">
        <w:t xml:space="preserve">found in </w:t>
      </w:r>
      <w:r w:rsidR="000A2B03">
        <w:t>our public</w:t>
      </w:r>
      <w:r w:rsidR="00675CBE">
        <w:t>-sector</w:t>
      </w:r>
      <w:r w:rsidR="00C03CA4">
        <w:t xml:space="preserve"> sampling frame</w:t>
      </w:r>
      <w:r w:rsidR="00623DB8">
        <w:t xml:space="preserve">, </w:t>
      </w:r>
      <w:r w:rsidR="000132A1">
        <w:t>which consists of federal agencies, a subset of state agencies</w:t>
      </w:r>
      <w:r w:rsidR="002A00D2">
        <w:t>, and local governments</w:t>
      </w:r>
      <w:r w:rsidR="000A2B03">
        <w:t>.</w:t>
      </w:r>
      <w:r w:rsidR="007D5393">
        <w:t xml:space="preserve"> </w:t>
      </w:r>
      <w:r w:rsidR="00623DB8">
        <w:t>Our public sample is described in more deta</w:t>
      </w:r>
      <w:r w:rsidR="001B5139">
        <w:t>i</w:t>
      </w:r>
      <w:r w:rsidR="00623DB8">
        <w:t>l below.</w:t>
      </w:r>
      <w:r w:rsidR="001922A0">
        <w:t xml:space="preserve"> We note, however, that our public-sector sampling frame </w:t>
      </w:r>
      <w:r w:rsidR="001B5139">
        <w:t>is not a complete accounting of</w:t>
      </w:r>
      <w:r w:rsidR="001922A0">
        <w:t xml:space="preserve"> all public</w:t>
      </w:r>
      <w:r w:rsidR="001B5139">
        <w:t>-</w:t>
      </w:r>
      <w:r w:rsidR="001922A0">
        <w:t>sector entities</w:t>
      </w:r>
      <w:r w:rsidR="006113CE">
        <w:t xml:space="preserve">. </w:t>
      </w:r>
      <w:r w:rsidR="008337EA">
        <w:t>It is still possible that there are firms that are considered public-sector that are in</w:t>
      </w:r>
      <w:r w:rsidR="007F300B">
        <w:t xml:space="preserve"> neither</w:t>
      </w:r>
      <w:r w:rsidR="008337EA">
        <w:t xml:space="preserve"> NAICS 92 nor our public</w:t>
      </w:r>
      <w:r w:rsidR="003A689D">
        <w:t>-</w:t>
      </w:r>
      <w:r w:rsidR="008337EA">
        <w:t>sector sampling frame</w:t>
      </w:r>
      <w:r w:rsidR="003A689D">
        <w:t xml:space="preserve">. Such firms will remain in our </w:t>
      </w:r>
      <w:r w:rsidR="001B2CB2">
        <w:t xml:space="preserve">private sample frame, but we expect this to be a small proportion </w:t>
      </w:r>
      <w:r w:rsidR="001B2CB2">
        <w:lastRenderedPageBreak/>
        <w:t>of this frame</w:t>
      </w:r>
      <w:r w:rsidR="003966CC">
        <w:t>, and thus rarely sampled</w:t>
      </w:r>
      <w:r w:rsidR="001B2CB2">
        <w:t>.</w:t>
      </w:r>
      <w:r w:rsidR="008337EA">
        <w:t xml:space="preserve"> </w:t>
      </w:r>
      <w:r w:rsidR="00B23AE0">
        <w:t xml:space="preserve">As a result, in practice, our private-sector sample will be </w:t>
      </w:r>
      <w:r w:rsidR="009E4AB5">
        <w:t xml:space="preserve">an analysis of U.S. firms aside from </w:t>
      </w:r>
      <w:r w:rsidR="004E5E93">
        <w:t xml:space="preserve">those in </w:t>
      </w:r>
      <w:r w:rsidR="009E4AB5">
        <w:t>NAICS 92</w:t>
      </w:r>
      <w:r w:rsidR="0005758E">
        <w:t xml:space="preserve"> and our public-sample frame</w:t>
      </w:r>
      <w:r w:rsidR="009E4AB5">
        <w:t>.</w:t>
      </w:r>
      <w:r>
        <w:t xml:space="preserve"> </w:t>
      </w:r>
    </w:p>
    <w:p w:rsidR="009E6223" w:rsidP="009E6223" w:rsidRDefault="009E6223" w14:paraId="3C267587" w14:textId="457BCB62">
      <w:pPr>
        <w:pStyle w:val="NormalWeb"/>
        <w:spacing w:line="288" w:lineRule="atLeast"/>
      </w:pPr>
      <w:r>
        <w:t xml:space="preserve">To summarize, our sample of private-sector firms will be composed of </w:t>
      </w:r>
      <w:r w:rsidR="00994EDD">
        <w:t xml:space="preserve">four </w:t>
      </w:r>
      <w:r>
        <w:t>parts: (a)</w:t>
      </w:r>
      <w:r w:rsidR="00557347">
        <w:t xml:space="preserve"> a random sample of large firms</w:t>
      </w:r>
      <w:r>
        <w:t>, (b) a random sample of medium firms,</w:t>
      </w:r>
      <w:r w:rsidR="00CF35D2">
        <w:t xml:space="preserve"> (c</w:t>
      </w:r>
      <w:r>
        <w:t xml:space="preserve">) a convenience sample of </w:t>
      </w:r>
      <w:r w:rsidR="004D0B2F">
        <w:t>G&amp;R</w:t>
      </w:r>
      <w:r>
        <w:t xml:space="preserve"> medium firms, and (</w:t>
      </w:r>
      <w:r w:rsidR="00E032C9">
        <w:t>d</w:t>
      </w:r>
      <w:r>
        <w:t xml:space="preserve">) a convenience sample of </w:t>
      </w:r>
      <w:r w:rsidR="004D0B2F">
        <w:t>G&amp;R</w:t>
      </w:r>
      <w:r>
        <w:t xml:space="preserve"> small firms. </w:t>
      </w:r>
      <w:r w:rsidR="006940B7">
        <w:t>Sample selection for the convenience sample</w:t>
      </w:r>
      <w:r w:rsidR="00632C35">
        <w:t xml:space="preserve"> of small firms will be stratified into</w:t>
      </w:r>
      <w:r w:rsidR="00BF7AF2">
        <w:t xml:space="preserve"> two groups: very small businesses (fewer than 50 employees) and </w:t>
      </w:r>
      <w:r w:rsidR="006940B7">
        <w:t>businesses with between 50 and 99 employees.</w:t>
      </w:r>
      <w:r w:rsidR="00632C35">
        <w:t xml:space="preserve"> </w:t>
      </w:r>
      <w:r>
        <w:t>We summarize the sampling strategy of private firms in Table 1 and provide details below.</w:t>
      </w:r>
    </w:p>
    <w:p w:rsidR="009E6223" w:rsidP="009E6223" w:rsidRDefault="009E6223" w14:paraId="2A7785C6" w14:textId="77777777">
      <w:pPr>
        <w:pStyle w:val="NormalWeb"/>
        <w:spacing w:line="288" w:lineRule="atLeast"/>
      </w:pPr>
      <w:r>
        <w:t xml:space="preserve">Table 1: Summary of sampled populations for private-sector strata.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3"/>
        <w:gridCol w:w="3430"/>
        <w:gridCol w:w="3467"/>
      </w:tblGrid>
      <w:tr w:rsidR="009E6223" w:rsidTr="00B33484" w14:paraId="356EB9DF" w14:textId="77777777">
        <w:trPr>
          <w:trHeight w:val="341"/>
        </w:trPr>
        <w:tc>
          <w:tcPr>
            <w:tcW w:w="1312" w:type="pct"/>
            <w:shd w:val="clear" w:color="auto" w:fill="auto"/>
          </w:tcPr>
          <w:p w:rsidR="009E6223" w:rsidP="00BB14FA" w:rsidRDefault="009E6223" w14:paraId="4653CC94" w14:textId="77777777">
            <w:pPr>
              <w:pStyle w:val="NormalWeb"/>
              <w:spacing w:line="288" w:lineRule="atLeast"/>
              <w:jc w:val="center"/>
            </w:pPr>
            <w:r>
              <w:t>Size (employees)</w:t>
            </w:r>
          </w:p>
        </w:tc>
        <w:tc>
          <w:tcPr>
            <w:tcW w:w="1834" w:type="pct"/>
            <w:shd w:val="clear" w:color="auto" w:fill="auto"/>
          </w:tcPr>
          <w:p w:rsidR="009E6223" w:rsidP="00BB14FA" w:rsidRDefault="004D0B2F" w14:paraId="17DC26D4" w14:textId="567DE4C0">
            <w:pPr>
              <w:pStyle w:val="NormalWeb"/>
              <w:spacing w:line="288" w:lineRule="atLeast"/>
              <w:jc w:val="center"/>
            </w:pPr>
            <w:r>
              <w:t>G&amp;R</w:t>
            </w:r>
          </w:p>
        </w:tc>
        <w:tc>
          <w:tcPr>
            <w:tcW w:w="1854" w:type="pct"/>
            <w:shd w:val="clear" w:color="auto" w:fill="auto"/>
          </w:tcPr>
          <w:p w:rsidR="009E6223" w:rsidP="00BB14FA" w:rsidRDefault="009E6223" w14:paraId="73CA5D6B" w14:textId="36BD6E32">
            <w:pPr>
              <w:pStyle w:val="NormalWeb"/>
              <w:spacing w:line="288" w:lineRule="atLeast"/>
              <w:jc w:val="center"/>
            </w:pPr>
            <w:r>
              <w:t>Non-</w:t>
            </w:r>
            <w:r w:rsidR="004D0B2F">
              <w:t>G&amp;R</w:t>
            </w:r>
          </w:p>
        </w:tc>
      </w:tr>
      <w:tr w:rsidR="009E6223" w:rsidTr="00B33484" w14:paraId="0D4978C5" w14:textId="77777777">
        <w:trPr>
          <w:trHeight w:val="285"/>
        </w:trPr>
        <w:tc>
          <w:tcPr>
            <w:tcW w:w="1312" w:type="pct"/>
            <w:shd w:val="clear" w:color="auto" w:fill="auto"/>
          </w:tcPr>
          <w:p w:rsidR="009E6223" w:rsidP="00BB14FA" w:rsidRDefault="009E6223" w14:paraId="73DD7E58" w14:textId="77777777">
            <w:pPr>
              <w:pStyle w:val="NormalWeb"/>
              <w:spacing w:line="288" w:lineRule="atLeast"/>
              <w:jc w:val="center"/>
            </w:pPr>
            <w:r>
              <w:t>500+</w:t>
            </w:r>
          </w:p>
        </w:tc>
        <w:tc>
          <w:tcPr>
            <w:tcW w:w="1834" w:type="pct"/>
            <w:shd w:val="clear" w:color="auto" w:fill="auto"/>
          </w:tcPr>
          <w:p w:rsidR="009E6223" w:rsidP="00BB14FA" w:rsidRDefault="001157D0" w14:paraId="1344EA1C" w14:textId="1C3942D7">
            <w:pPr>
              <w:pStyle w:val="NormalWeb"/>
              <w:spacing w:line="288" w:lineRule="atLeast"/>
              <w:jc w:val="center"/>
            </w:pPr>
            <w:r>
              <w:t>Random Sample</w:t>
            </w:r>
          </w:p>
        </w:tc>
        <w:tc>
          <w:tcPr>
            <w:tcW w:w="1854" w:type="pct"/>
            <w:shd w:val="clear" w:color="auto" w:fill="auto"/>
          </w:tcPr>
          <w:p w:rsidR="009E6223" w:rsidP="00BB14FA" w:rsidRDefault="001157D0" w14:paraId="55D5FCA0" w14:textId="5BC6014E">
            <w:pPr>
              <w:pStyle w:val="NormalWeb"/>
              <w:spacing w:line="288" w:lineRule="atLeast"/>
              <w:jc w:val="center"/>
            </w:pPr>
            <w:r>
              <w:t>Random Sample</w:t>
            </w:r>
          </w:p>
        </w:tc>
      </w:tr>
      <w:tr w:rsidR="009E6223" w:rsidTr="00B33484" w14:paraId="332E7F90" w14:textId="77777777">
        <w:trPr>
          <w:trHeight w:val="285"/>
        </w:trPr>
        <w:tc>
          <w:tcPr>
            <w:tcW w:w="1312" w:type="pct"/>
            <w:shd w:val="clear" w:color="auto" w:fill="auto"/>
          </w:tcPr>
          <w:p w:rsidR="009E6223" w:rsidP="00BB14FA" w:rsidRDefault="009E6223" w14:paraId="56AACD98" w14:textId="562CE6F3">
            <w:pPr>
              <w:pStyle w:val="NormalWeb"/>
              <w:spacing w:line="288" w:lineRule="atLeast"/>
              <w:jc w:val="center"/>
            </w:pPr>
            <w:r>
              <w:t>[</w:t>
            </w:r>
            <w:r w:rsidR="001770C4">
              <w:t>100</w:t>
            </w:r>
            <w:r>
              <w:t>, 499]</w:t>
            </w:r>
          </w:p>
        </w:tc>
        <w:tc>
          <w:tcPr>
            <w:tcW w:w="1834" w:type="pct"/>
            <w:shd w:val="clear" w:color="auto" w:fill="auto"/>
          </w:tcPr>
          <w:p w:rsidR="009E6223" w:rsidP="00BB14FA" w:rsidRDefault="009E6223" w14:paraId="719E2A9D" w14:textId="77777777">
            <w:pPr>
              <w:pStyle w:val="NormalWeb"/>
              <w:spacing w:line="288" w:lineRule="atLeast"/>
              <w:jc w:val="center"/>
            </w:pPr>
            <w:r>
              <w:t>Convenience + Random sample</w:t>
            </w:r>
          </w:p>
        </w:tc>
        <w:tc>
          <w:tcPr>
            <w:tcW w:w="1854" w:type="pct"/>
            <w:shd w:val="clear" w:color="auto" w:fill="auto"/>
          </w:tcPr>
          <w:p w:rsidR="009E6223" w:rsidP="00BB14FA" w:rsidRDefault="009E6223" w14:paraId="5BD5C68A" w14:textId="77777777">
            <w:pPr>
              <w:pStyle w:val="NormalWeb"/>
              <w:spacing w:line="288" w:lineRule="atLeast"/>
              <w:jc w:val="center"/>
            </w:pPr>
            <w:r>
              <w:t>Random sample</w:t>
            </w:r>
          </w:p>
        </w:tc>
      </w:tr>
      <w:tr w:rsidR="009E6223" w:rsidTr="00B33484" w14:paraId="7EC57D36" w14:textId="77777777">
        <w:trPr>
          <w:trHeight w:val="285"/>
        </w:trPr>
        <w:tc>
          <w:tcPr>
            <w:tcW w:w="1312" w:type="pct"/>
            <w:shd w:val="clear" w:color="auto" w:fill="auto"/>
          </w:tcPr>
          <w:p w:rsidR="009E6223" w:rsidP="00BB14FA" w:rsidRDefault="009E6223" w14:paraId="19E09294" w14:textId="1A1AEBED">
            <w:pPr>
              <w:pStyle w:val="NormalWeb"/>
              <w:spacing w:line="288" w:lineRule="atLeast"/>
              <w:jc w:val="center"/>
            </w:pPr>
            <w:r>
              <w:t>&lt;</w:t>
            </w:r>
            <w:r w:rsidR="001770C4">
              <w:t>100</w:t>
            </w:r>
          </w:p>
        </w:tc>
        <w:tc>
          <w:tcPr>
            <w:tcW w:w="1834" w:type="pct"/>
            <w:shd w:val="clear" w:color="auto" w:fill="auto"/>
          </w:tcPr>
          <w:p w:rsidR="009E6223" w:rsidP="00BB14FA" w:rsidRDefault="009E6223" w14:paraId="5763F462" w14:textId="77777777">
            <w:pPr>
              <w:pStyle w:val="NormalWeb"/>
              <w:spacing w:line="288" w:lineRule="atLeast"/>
              <w:jc w:val="center"/>
            </w:pPr>
            <w:r>
              <w:t>Convenience sample</w:t>
            </w:r>
          </w:p>
        </w:tc>
        <w:tc>
          <w:tcPr>
            <w:tcW w:w="1854" w:type="pct"/>
            <w:shd w:val="clear" w:color="auto" w:fill="auto"/>
          </w:tcPr>
          <w:p w:rsidR="009E6223" w:rsidP="00BB14FA" w:rsidRDefault="007A648A" w14:paraId="30A32B6B" w14:textId="36820A89">
            <w:pPr>
              <w:pStyle w:val="NormalWeb"/>
              <w:spacing w:line="288" w:lineRule="atLeast"/>
              <w:jc w:val="center"/>
            </w:pPr>
            <w:r>
              <w:t>None</w:t>
            </w:r>
          </w:p>
        </w:tc>
      </w:tr>
    </w:tbl>
    <w:p w:rsidR="00277B55" w:rsidP="009E6223" w:rsidRDefault="003F620A" w14:paraId="33180A0E" w14:textId="31470054">
      <w:pPr>
        <w:pStyle w:val="NormalWeb"/>
        <w:spacing w:line="288" w:lineRule="atLeast"/>
      </w:pPr>
      <w:r>
        <w:t>Our random sample of</w:t>
      </w:r>
      <w:r w:rsidR="009E6223">
        <w:t xml:space="preserve"> large employers (sample (a)) will be</w:t>
      </w:r>
      <w:r w:rsidR="00806372">
        <w:t xml:space="preserve"> constructed by taking a random sample</w:t>
      </w:r>
      <w:r w:rsidR="009E6223">
        <w:t xml:space="preserve"> from the subset of </w:t>
      </w:r>
      <w:r w:rsidR="00156C33">
        <w:t xml:space="preserve">the </w:t>
      </w:r>
      <w:r w:rsidR="009E6223">
        <w:t>private-sector sampling frame with 500 or more employees</w:t>
      </w:r>
      <w:r w:rsidR="00DB7F98">
        <w:t xml:space="preserve"> in the Dun &amp; Bradstreet database</w:t>
      </w:r>
      <w:r w:rsidR="009E6223">
        <w:t xml:space="preserve">. </w:t>
      </w:r>
      <w:r w:rsidR="007E484D">
        <w:t>Similarly, o</w:t>
      </w:r>
      <w:r w:rsidR="00BF0E8C">
        <w:t>ur</w:t>
      </w:r>
      <w:r w:rsidR="009E6223">
        <w:t xml:space="preserve"> random sample of medium-sized private firms (sample (b)) will be constructed through a random sample of firms categorized as having between </w:t>
      </w:r>
      <w:r w:rsidR="00266ED5">
        <w:t>100</w:t>
      </w:r>
      <w:r w:rsidR="009E6223">
        <w:t xml:space="preserve"> and 499 employees in the Dun &amp; Bradstreet </w:t>
      </w:r>
      <w:r w:rsidRPr="00FF6DF8" w:rsidR="009E6223">
        <w:t>database</w:t>
      </w:r>
      <w:r w:rsidR="009E6223">
        <w:t xml:space="preserve">. </w:t>
      </w:r>
    </w:p>
    <w:p w:rsidR="00574C7E" w:rsidP="009E6223" w:rsidRDefault="009E6223" w14:paraId="4FC748C2" w14:textId="5ACDC4C9">
      <w:pPr>
        <w:pStyle w:val="NormalWeb"/>
        <w:spacing w:line="288" w:lineRule="atLeast"/>
      </w:pPr>
      <w:r>
        <w:t>Convenience samples for the medium and small firms (samples (</w:t>
      </w:r>
      <w:r w:rsidR="00073F13">
        <w:t>c</w:t>
      </w:r>
      <w:r>
        <w:t>) and (</w:t>
      </w:r>
      <w:r w:rsidR="00073F13">
        <w:t>d</w:t>
      </w:r>
      <w:r>
        <w:t>)) will be obtained through various available military data sources</w:t>
      </w:r>
      <w:r w:rsidR="00145746">
        <w:t xml:space="preserve"> that </w:t>
      </w:r>
      <w:r w:rsidR="000068D2">
        <w:t xml:space="preserve">consist primarily if not exclusively of </w:t>
      </w:r>
      <w:r w:rsidR="004D0B2F">
        <w:t>G&amp;R</w:t>
      </w:r>
      <w:r w:rsidR="00145746">
        <w:t xml:space="preserve"> employers</w:t>
      </w:r>
      <w:r>
        <w:t xml:space="preserve">. These sources include: </w:t>
      </w:r>
      <w:r w:rsidR="00084F7B">
        <w:t xml:space="preserve">the </w:t>
      </w:r>
      <w:r>
        <w:t>Civilian Employment Information</w:t>
      </w:r>
      <w:r w:rsidRPr="00084F7B" w:rsidR="00084F7B">
        <w:t xml:space="preserve"> (CEI) database from the Defense Manpower Data Center (DMDC)</w:t>
      </w:r>
      <w:r>
        <w:t xml:space="preserve"> (approximately </w:t>
      </w:r>
      <w:r w:rsidR="00575A6D">
        <w:t>150,</w:t>
      </w:r>
      <w:r>
        <w:t xml:space="preserve">000 unique firms represented), </w:t>
      </w:r>
      <w:r w:rsidRPr="00145746" w:rsidR="00145746">
        <w:t>information from Employer Support of the Guard and Reserve (ESGR) on employers who have received awards for their support of guard and reserve employees</w:t>
      </w:r>
      <w:r w:rsidR="00145746">
        <w:t xml:space="preserve"> (approximately 20,000 unique firms </w:t>
      </w:r>
      <w:r w:rsidR="00F75C66">
        <w:t xml:space="preserve">for Patriot </w:t>
      </w:r>
      <w:r w:rsidR="004F5491">
        <w:t>A</w:t>
      </w:r>
      <w:r w:rsidR="00F75C66">
        <w:t xml:space="preserve">wards and 300 for Freedom </w:t>
      </w:r>
      <w:r w:rsidR="004F5491">
        <w:t>A</w:t>
      </w:r>
      <w:r w:rsidR="00F75C66">
        <w:t>wards</w:t>
      </w:r>
      <w:r w:rsidR="00885CD5">
        <w:t xml:space="preserve">, see </w:t>
      </w:r>
      <w:r w:rsidRPr="00885CD5" w:rsidR="00885CD5">
        <w:t>https://www.esgr.mil/Employer-Awards/ESGR-Awards-Programs</w:t>
      </w:r>
      <w:r w:rsidR="00885CD5">
        <w:t xml:space="preserve"> for more information on these awards</w:t>
      </w:r>
      <w:r w:rsidR="00145746">
        <w:t>)</w:t>
      </w:r>
      <w:r w:rsidRPr="00145746" w:rsidR="00145746">
        <w:t>, and a list of organizations that have been named in inquiries to the ESGR call center</w:t>
      </w:r>
      <w:r>
        <w:t xml:space="preserve"> (approximately </w:t>
      </w:r>
      <w:r w:rsidR="0022558F">
        <w:t>3,000</w:t>
      </w:r>
      <w:r>
        <w:t xml:space="preserve"> unique firms</w:t>
      </w:r>
      <w:r w:rsidR="00B160AE">
        <w:t>)</w:t>
      </w:r>
      <w:r>
        <w:t xml:space="preserve">. </w:t>
      </w:r>
      <w:r w:rsidR="00A354FF">
        <w:t xml:space="preserve">We then will merge </w:t>
      </w:r>
      <w:r w:rsidR="009F269B">
        <w:t xml:space="preserve">information from </w:t>
      </w:r>
      <w:r w:rsidR="00A354FF">
        <w:t xml:space="preserve">firms identified through these sources into the Dun &amp; Bradstreet database, and filter out firms that are </w:t>
      </w:r>
      <w:r w:rsidR="000F098A">
        <w:t xml:space="preserve">(i) </w:t>
      </w:r>
      <w:r w:rsidR="00A354FF">
        <w:t>large employers</w:t>
      </w:r>
      <w:r w:rsidR="000F098A">
        <w:t>,</w:t>
      </w:r>
      <w:r w:rsidR="00A354FF">
        <w:t xml:space="preserve"> </w:t>
      </w:r>
      <w:r w:rsidR="000F098A">
        <w:t xml:space="preserve">(ii) </w:t>
      </w:r>
      <w:r w:rsidR="00082428">
        <w:t xml:space="preserve">medium firms </w:t>
      </w:r>
      <w:r w:rsidR="000F098A">
        <w:t>selected in our existing random sample, (iii)</w:t>
      </w:r>
      <w:r w:rsidR="00A354FF">
        <w:t xml:space="preserve"> NAICS 92 employers</w:t>
      </w:r>
      <w:r w:rsidR="00C57745">
        <w:t>, or (iv) belong to our public-sector sampling frame</w:t>
      </w:r>
      <w:r w:rsidR="00A354FF">
        <w:t xml:space="preserve">. After this </w:t>
      </w:r>
      <w:r w:rsidR="00464E46">
        <w:t xml:space="preserve">merging and </w:t>
      </w:r>
      <w:r w:rsidR="00A354FF">
        <w:t>filtering,</w:t>
      </w:r>
      <w:r w:rsidR="0085049B">
        <w:t xml:space="preserve"> random subsets of medium and small employers will </w:t>
      </w:r>
      <w:r w:rsidR="004B5E18">
        <w:t>be selected from the</w:t>
      </w:r>
      <w:r w:rsidR="0085049B">
        <w:t xml:space="preserve"> convenience </w:t>
      </w:r>
      <w:r w:rsidR="004B5E18">
        <w:t xml:space="preserve">sample population (i.e., we will not survey </w:t>
      </w:r>
      <w:r w:rsidR="002730B6">
        <w:t>all employers in these data sources and will randomly select those we do survey)</w:t>
      </w:r>
      <w:r w:rsidR="0085049B">
        <w:t xml:space="preserve">. </w:t>
      </w:r>
      <w:r w:rsidR="00051784">
        <w:t xml:space="preserve">We will </w:t>
      </w:r>
      <w:r w:rsidR="00944021">
        <w:t xml:space="preserve">deliberately select a portion of the small private firm </w:t>
      </w:r>
      <w:r w:rsidR="00B61E4B">
        <w:t xml:space="preserve">convenience </w:t>
      </w:r>
      <w:r w:rsidR="00944021">
        <w:t xml:space="preserve">sample from among those firms that match </w:t>
      </w:r>
      <w:r w:rsidR="00B61E4B">
        <w:t>that have fewer than 50 employees and another portion from the set of firms that have between 50 and 99 employees.</w:t>
      </w:r>
      <w:r w:rsidR="004A6EA9">
        <w:t xml:space="preserve"> The split between these two </w:t>
      </w:r>
      <w:r w:rsidR="0058776B">
        <w:t xml:space="preserve">portions will be </w:t>
      </w:r>
      <w:r w:rsidR="000F7F4E">
        <w:t xml:space="preserve">informed by the data and </w:t>
      </w:r>
      <w:r w:rsidR="005514C2">
        <w:t xml:space="preserve">to the extent feasible will </w:t>
      </w:r>
      <w:r w:rsidR="00E4145A">
        <w:t xml:space="preserve">prioritize gathering sufficient responses from very small private firms to </w:t>
      </w:r>
      <w:r w:rsidR="00032499">
        <w:t>enable statistically precise estimates for that group.</w:t>
      </w:r>
    </w:p>
    <w:p w:rsidR="00277B55" w:rsidP="009E6223" w:rsidRDefault="004D0A5E" w14:paraId="29FE49BE" w14:textId="3740E613">
      <w:pPr>
        <w:pStyle w:val="NormalWeb"/>
        <w:spacing w:line="288" w:lineRule="atLeast"/>
      </w:pPr>
      <w:r>
        <w:lastRenderedPageBreak/>
        <w:t>C</w:t>
      </w:r>
      <w:r w:rsidR="009E6223">
        <w:t xml:space="preserve">ontact information and business data </w:t>
      </w:r>
      <w:r w:rsidR="00C65153">
        <w:t xml:space="preserve">are </w:t>
      </w:r>
      <w:r w:rsidR="009E6223">
        <w:t xml:space="preserve">available through the Dun &amp; Bradstreet database </w:t>
      </w:r>
      <w:r w:rsidR="00F75C66">
        <w:t xml:space="preserve">for </w:t>
      </w:r>
      <w:r w:rsidR="009E6223">
        <w:t>our convenience sample</w:t>
      </w:r>
      <w:r w:rsidR="00DC4E8D">
        <w:t>s</w:t>
      </w:r>
      <w:r w:rsidR="009E6223">
        <w:t xml:space="preserve"> of medium and small firms. </w:t>
      </w:r>
      <w:r w:rsidR="00277B55">
        <w:t>We note that generating convenience samples as described relies on merg</w:t>
      </w:r>
      <w:r w:rsidR="00BB14FA">
        <w:t>ing</w:t>
      </w:r>
      <w:r w:rsidR="00277B55">
        <w:t xml:space="preserve"> </w:t>
      </w:r>
      <w:r w:rsidR="00F21364">
        <w:t xml:space="preserve">employer lists from Department of Defense (DoD) </w:t>
      </w:r>
      <w:r w:rsidR="00F87447">
        <w:t>sources</w:t>
      </w:r>
      <w:r w:rsidR="00AA10F2">
        <w:t xml:space="preserve"> with</w:t>
      </w:r>
      <w:r w:rsidR="00BB14FA">
        <w:t xml:space="preserve"> the</w:t>
      </w:r>
      <w:r w:rsidR="00AA10F2">
        <w:t xml:space="preserve"> Dun &amp; Bradstreet database. </w:t>
      </w:r>
      <w:r w:rsidR="0019230B">
        <w:t>As we developed our methodology, we</w:t>
      </w:r>
      <w:r w:rsidR="00CB5DF6">
        <w:t xml:space="preserve"> attempted </w:t>
      </w:r>
      <w:r w:rsidR="004A1D9E">
        <w:t xml:space="preserve">merging small subsets of these </w:t>
      </w:r>
      <w:r w:rsidR="00F21364">
        <w:t>DoD</w:t>
      </w:r>
      <w:r w:rsidR="004A1D9E">
        <w:t xml:space="preserve"> lists to Dun &amp; Bradstreet databases </w:t>
      </w:r>
      <w:r w:rsidR="002125F5">
        <w:t xml:space="preserve">and found generally high </w:t>
      </w:r>
      <w:r w:rsidR="00DC4715">
        <w:t xml:space="preserve">match rates. </w:t>
      </w:r>
      <w:r w:rsidR="00065083">
        <w:t>In particular,</w:t>
      </w:r>
      <w:r w:rsidR="00B74D97">
        <w:t xml:space="preserve"> the estimated proportions of successfully matched firms were:</w:t>
      </w:r>
      <w:r w:rsidR="00065083">
        <w:t xml:space="preserve"> 63% </w:t>
      </w:r>
      <w:r w:rsidR="00B74D97">
        <w:t>for</w:t>
      </w:r>
      <w:r w:rsidR="00065083">
        <w:t xml:space="preserve"> firms</w:t>
      </w:r>
      <w:r w:rsidR="00F079E5">
        <w:t xml:space="preserve"> in DoD’s CEI database</w:t>
      </w:r>
      <w:r w:rsidR="00065083">
        <w:t xml:space="preserve">, 81% </w:t>
      </w:r>
      <w:r w:rsidR="00B74D97">
        <w:t>for</w:t>
      </w:r>
      <w:r w:rsidR="00065083">
        <w:t xml:space="preserve"> Patriot Award firms, 37% </w:t>
      </w:r>
      <w:r w:rsidR="00B74D97">
        <w:t>for</w:t>
      </w:r>
      <w:r w:rsidR="00DB28BB">
        <w:t xml:space="preserve"> firms identified in ESGR </w:t>
      </w:r>
      <w:r w:rsidR="00065083">
        <w:t xml:space="preserve">call center </w:t>
      </w:r>
      <w:r w:rsidR="0050671A">
        <w:t>files</w:t>
      </w:r>
      <w:r w:rsidR="00065083">
        <w:t xml:space="preserve">, and 90% </w:t>
      </w:r>
      <w:r w:rsidR="00B74D97">
        <w:t>for</w:t>
      </w:r>
      <w:r w:rsidR="00065083">
        <w:t xml:space="preserve"> Freedom </w:t>
      </w:r>
      <w:r w:rsidR="002D55B7">
        <w:t>A</w:t>
      </w:r>
      <w:r w:rsidR="00065083">
        <w:t>ward fi</w:t>
      </w:r>
      <w:r w:rsidR="003C5668">
        <w:t>rms.</w:t>
      </w:r>
    </w:p>
    <w:p w:rsidR="009E6223" w:rsidP="009E6223" w:rsidRDefault="009E6223" w14:paraId="79617C8C" w14:textId="64D7D6AC">
      <w:pPr>
        <w:pStyle w:val="NormalWeb"/>
        <w:spacing w:line="288" w:lineRule="atLeast"/>
      </w:pPr>
      <w:r>
        <w:t xml:space="preserve">Table 2 lists the number of private U.S. firms within each size stratum. </w:t>
      </w:r>
      <w:r w:rsidR="007D0BC4">
        <w:t xml:space="preserve">As described above, estimated proportions of </w:t>
      </w:r>
      <w:r w:rsidR="004D0B2F">
        <w:t>G&amp;R</w:t>
      </w:r>
      <w:r w:rsidR="007D0BC4">
        <w:t xml:space="preserve"> firms</w:t>
      </w:r>
      <w:r w:rsidR="00244F85">
        <w:t xml:space="preserve"> in each sector</w:t>
      </w:r>
      <w:r w:rsidR="007D0BC4">
        <w:t xml:space="preserve"> are based on</w:t>
      </w:r>
      <w:r w:rsidR="009634A3">
        <w:t xml:space="preserve"> </w:t>
      </w:r>
      <w:r w:rsidR="008D64BC">
        <w:t>ASE and SOFS</w:t>
      </w:r>
      <w:r w:rsidR="00397632">
        <w:t>-R</w:t>
      </w:r>
      <w:r w:rsidR="008D64BC">
        <w:t xml:space="preserve"> dat</w:t>
      </w:r>
      <w:r w:rsidR="00610BE4">
        <w:t>a</w:t>
      </w:r>
      <w:r w:rsidR="00A53FEE">
        <w:t xml:space="preserve">. </w:t>
      </w:r>
      <w:r w:rsidR="00E849D0">
        <w:t xml:space="preserve">Total numbers of firms in each stratum are determined by the ASE. </w:t>
      </w:r>
      <w:r>
        <w:t>Table 3 lists the number of sampled firms and expected number of respondents within each stratum. To calculate approximate number of respondents, we assume a 5% response rate among non-</w:t>
      </w:r>
      <w:r w:rsidR="004D0B2F">
        <w:t>G&amp;R</w:t>
      </w:r>
      <w:r>
        <w:t xml:space="preserve"> firms and a 1</w:t>
      </w:r>
      <w:r w:rsidR="003B3BA1">
        <w:t>2</w:t>
      </w:r>
      <w:r>
        <w:t xml:space="preserve">% response rate for </w:t>
      </w:r>
      <w:r w:rsidR="004D0B2F">
        <w:t>G&amp;R</w:t>
      </w:r>
      <w:r>
        <w:t xml:space="preserve"> firms. Th</w:t>
      </w:r>
      <w:r w:rsidR="00293134">
        <w:t>e</w:t>
      </w:r>
      <w:r w:rsidR="003B3BA1">
        <w:t xml:space="preserve"> assumed response</w:t>
      </w:r>
      <w:r>
        <w:t xml:space="preserve"> rate </w:t>
      </w:r>
      <w:r w:rsidR="005245B0">
        <w:t>for</w:t>
      </w:r>
      <w:r w:rsidR="00F64D54">
        <w:t xml:space="preserve"> non-</w:t>
      </w:r>
      <w:r w:rsidR="004D0B2F">
        <w:t>G&amp;R</w:t>
      </w:r>
      <w:r>
        <w:t xml:space="preserve"> employers </w:t>
      </w:r>
      <w:r w:rsidR="00E558BA">
        <w:t xml:space="preserve">was similar to that observed in </w:t>
      </w:r>
      <w:r>
        <w:t xml:space="preserve">Gates, et al., </w:t>
      </w:r>
      <w:r w:rsidR="00E558BA">
        <w:t>(</w:t>
      </w:r>
      <w:r>
        <w:t>2013)</w:t>
      </w:r>
      <w:r w:rsidR="00351322">
        <w:t>.</w:t>
      </w:r>
      <w:r w:rsidR="00920AE9">
        <w:rPr>
          <w:rStyle w:val="FootnoteReference"/>
        </w:rPr>
        <w:footnoteReference w:id="2"/>
      </w:r>
      <w:r w:rsidR="00351322">
        <w:t xml:space="preserve"> Our</w:t>
      </w:r>
      <w:r w:rsidR="003B3BA1">
        <w:t xml:space="preserve"> assumed response rate of 12% for </w:t>
      </w:r>
      <w:r w:rsidR="004D0B2F">
        <w:t>G&amp;R</w:t>
      </w:r>
      <w:r w:rsidR="003B3BA1">
        <w:t xml:space="preserve"> firms is slightly lower than was observed in the previous study (17%). </w:t>
      </w:r>
    </w:p>
    <w:p w:rsidR="009E6223" w:rsidP="009E6223" w:rsidRDefault="009E6223" w14:paraId="2BF3F17C" w14:textId="1FD7BD57">
      <w:pPr>
        <w:pStyle w:val="NormalWeb"/>
        <w:spacing w:line="288" w:lineRule="atLeast"/>
      </w:pPr>
      <w:r>
        <w:t xml:space="preserve">Table 2: Number of all private U.S. firms and all private </w:t>
      </w:r>
      <w:r w:rsidR="004D0B2F">
        <w:t>G&amp;R</w:t>
      </w:r>
      <w:r>
        <w:t xml:space="preserve"> firms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4"/>
        <w:gridCol w:w="2524"/>
        <w:gridCol w:w="2534"/>
        <w:gridCol w:w="2468"/>
      </w:tblGrid>
      <w:tr w:rsidR="009E6223" w:rsidTr="00B33484" w14:paraId="33EBD122" w14:textId="77777777">
        <w:trPr>
          <w:trHeight w:val="341"/>
        </w:trPr>
        <w:tc>
          <w:tcPr>
            <w:tcW w:w="975" w:type="pct"/>
            <w:shd w:val="clear" w:color="auto" w:fill="auto"/>
          </w:tcPr>
          <w:p w:rsidR="009E6223" w:rsidP="00BB14FA" w:rsidRDefault="009E6223" w14:paraId="4883E7CE" w14:textId="77777777">
            <w:pPr>
              <w:pStyle w:val="NormalWeb"/>
              <w:spacing w:line="288" w:lineRule="atLeast"/>
              <w:jc w:val="center"/>
            </w:pPr>
            <w:r>
              <w:t>Size (employees)</w:t>
            </w:r>
          </w:p>
        </w:tc>
        <w:tc>
          <w:tcPr>
            <w:tcW w:w="1349" w:type="pct"/>
            <w:shd w:val="clear" w:color="auto" w:fill="auto"/>
          </w:tcPr>
          <w:p w:rsidR="009E6223" w:rsidP="00BB14FA" w:rsidRDefault="009E6223" w14:paraId="0760A7CD" w14:textId="77777777">
            <w:pPr>
              <w:pStyle w:val="NormalWeb"/>
              <w:spacing w:line="288" w:lineRule="atLeast"/>
              <w:jc w:val="center"/>
            </w:pPr>
            <w:r>
              <w:t>Approximate # of all firms</w:t>
            </w:r>
          </w:p>
        </w:tc>
        <w:tc>
          <w:tcPr>
            <w:tcW w:w="1355" w:type="pct"/>
            <w:shd w:val="clear" w:color="auto" w:fill="auto"/>
          </w:tcPr>
          <w:p w:rsidR="009E6223" w:rsidP="00BB14FA" w:rsidRDefault="004F2359" w14:paraId="22120E69" w14:textId="3B2211D4">
            <w:pPr>
              <w:pStyle w:val="NormalWeb"/>
              <w:spacing w:line="288" w:lineRule="atLeast"/>
              <w:jc w:val="center"/>
            </w:pPr>
            <w:r>
              <w:t>Estimated</w:t>
            </w:r>
            <w:r w:rsidR="009E6223">
              <w:t xml:space="preserve"> # of all </w:t>
            </w:r>
            <w:r w:rsidR="004D0B2F">
              <w:t>G&amp;R</w:t>
            </w:r>
            <w:r w:rsidR="009E6223">
              <w:t xml:space="preserve"> firms</w:t>
            </w:r>
          </w:p>
        </w:tc>
        <w:tc>
          <w:tcPr>
            <w:tcW w:w="1320" w:type="pct"/>
          </w:tcPr>
          <w:p w:rsidR="009E6223" w:rsidP="00BB14FA" w:rsidRDefault="00F0068B" w14:paraId="29BF88B2" w14:textId="63389C58">
            <w:pPr>
              <w:pStyle w:val="NormalWeb"/>
              <w:spacing w:line="288" w:lineRule="atLeast"/>
              <w:jc w:val="center"/>
            </w:pPr>
            <w:r>
              <w:t xml:space="preserve">Estimated </w:t>
            </w:r>
            <w:r w:rsidR="009E6223">
              <w:t xml:space="preserve">proportion of all firms that hire </w:t>
            </w:r>
            <w:r w:rsidR="004D0B2F">
              <w:t>G&amp;R</w:t>
            </w:r>
          </w:p>
        </w:tc>
      </w:tr>
      <w:tr w:rsidR="009E6223" w:rsidTr="00B33484" w14:paraId="204C7500" w14:textId="77777777">
        <w:trPr>
          <w:trHeight w:val="285"/>
        </w:trPr>
        <w:tc>
          <w:tcPr>
            <w:tcW w:w="975" w:type="pct"/>
            <w:shd w:val="clear" w:color="auto" w:fill="auto"/>
          </w:tcPr>
          <w:p w:rsidR="009E6223" w:rsidP="00BB14FA" w:rsidRDefault="009E6223" w14:paraId="78C2CF3A" w14:textId="77777777">
            <w:pPr>
              <w:pStyle w:val="NormalWeb"/>
              <w:spacing w:line="288" w:lineRule="atLeast"/>
              <w:jc w:val="center"/>
            </w:pPr>
            <w:r>
              <w:t>500+</w:t>
            </w:r>
          </w:p>
        </w:tc>
        <w:tc>
          <w:tcPr>
            <w:tcW w:w="1349" w:type="pct"/>
            <w:shd w:val="clear" w:color="auto" w:fill="auto"/>
          </w:tcPr>
          <w:p w:rsidR="009E6223" w:rsidP="00BB14FA" w:rsidRDefault="009E6223" w14:paraId="6494E804" w14:textId="77777777">
            <w:pPr>
              <w:pStyle w:val="NormalWeb"/>
              <w:spacing w:line="288" w:lineRule="atLeast"/>
              <w:jc w:val="center"/>
            </w:pPr>
            <w:r>
              <w:t>20,000</w:t>
            </w:r>
          </w:p>
        </w:tc>
        <w:tc>
          <w:tcPr>
            <w:tcW w:w="1355" w:type="pct"/>
            <w:shd w:val="clear" w:color="auto" w:fill="auto"/>
          </w:tcPr>
          <w:p w:rsidR="009E6223" w:rsidP="00BB14FA" w:rsidRDefault="00667146" w14:paraId="3F95DCB6" w14:textId="0DD2B822">
            <w:pPr>
              <w:pStyle w:val="NormalWeb"/>
              <w:spacing w:line="288" w:lineRule="atLeast"/>
              <w:jc w:val="center"/>
            </w:pPr>
            <w:r>
              <w:t>16</w:t>
            </w:r>
            <w:r w:rsidR="009E6223">
              <w:t>,000</w:t>
            </w:r>
          </w:p>
        </w:tc>
        <w:tc>
          <w:tcPr>
            <w:tcW w:w="1320" w:type="pct"/>
          </w:tcPr>
          <w:p w:rsidR="009E6223" w:rsidP="00BB14FA" w:rsidRDefault="007E484D" w14:paraId="7341043C" w14:textId="67EEB3DC">
            <w:pPr>
              <w:pStyle w:val="NormalWeb"/>
              <w:spacing w:line="288" w:lineRule="atLeast"/>
              <w:jc w:val="center"/>
            </w:pPr>
            <w:r>
              <w:t>8</w:t>
            </w:r>
            <w:r w:rsidR="009E6223">
              <w:t>0%</w:t>
            </w:r>
          </w:p>
        </w:tc>
      </w:tr>
      <w:tr w:rsidR="009E6223" w:rsidTr="00B33484" w14:paraId="3A77AA81" w14:textId="77777777">
        <w:trPr>
          <w:trHeight w:val="285"/>
        </w:trPr>
        <w:tc>
          <w:tcPr>
            <w:tcW w:w="975" w:type="pct"/>
            <w:shd w:val="clear" w:color="auto" w:fill="auto"/>
          </w:tcPr>
          <w:p w:rsidR="009E6223" w:rsidP="00BB14FA" w:rsidRDefault="009E6223" w14:paraId="30313693" w14:textId="4B76F203">
            <w:pPr>
              <w:pStyle w:val="NormalWeb"/>
              <w:spacing w:line="288" w:lineRule="atLeast"/>
              <w:jc w:val="center"/>
            </w:pPr>
            <w:r>
              <w:t>[</w:t>
            </w:r>
            <w:r w:rsidR="00F8388C">
              <w:t>10</w:t>
            </w:r>
            <w:r>
              <w:t>0, 499]</w:t>
            </w:r>
          </w:p>
        </w:tc>
        <w:tc>
          <w:tcPr>
            <w:tcW w:w="1349" w:type="pct"/>
            <w:shd w:val="clear" w:color="auto" w:fill="auto"/>
          </w:tcPr>
          <w:p w:rsidR="009E6223" w:rsidP="00BB14FA" w:rsidRDefault="000D18E9" w14:paraId="6B077A5E" w14:textId="2D2F36EE">
            <w:pPr>
              <w:pStyle w:val="NormalWeb"/>
              <w:spacing w:line="288" w:lineRule="atLeast"/>
              <w:jc w:val="center"/>
            </w:pPr>
            <w:r>
              <w:t>8</w:t>
            </w:r>
            <w:r w:rsidR="009E6223">
              <w:t>0,000</w:t>
            </w:r>
          </w:p>
        </w:tc>
        <w:tc>
          <w:tcPr>
            <w:tcW w:w="1355" w:type="pct"/>
            <w:shd w:val="clear" w:color="auto" w:fill="auto"/>
          </w:tcPr>
          <w:p w:rsidR="009E6223" w:rsidP="00BB14FA" w:rsidRDefault="000D18E9" w14:paraId="18EE679B" w14:textId="075B1A23">
            <w:pPr>
              <w:pStyle w:val="NormalWeb"/>
              <w:spacing w:line="288" w:lineRule="atLeast"/>
              <w:jc w:val="center"/>
            </w:pPr>
            <w:r>
              <w:t>16</w:t>
            </w:r>
            <w:r w:rsidR="009E6223">
              <w:t>,000</w:t>
            </w:r>
          </w:p>
        </w:tc>
        <w:tc>
          <w:tcPr>
            <w:tcW w:w="1320" w:type="pct"/>
          </w:tcPr>
          <w:p w:rsidR="009E6223" w:rsidP="00BB14FA" w:rsidRDefault="007E484D" w14:paraId="0D0957BD" w14:textId="4D0663BE">
            <w:pPr>
              <w:pStyle w:val="NormalWeb"/>
              <w:spacing w:line="288" w:lineRule="atLeast"/>
              <w:jc w:val="center"/>
            </w:pPr>
            <w:r>
              <w:t>2</w:t>
            </w:r>
            <w:r w:rsidR="009E6223">
              <w:t>0%</w:t>
            </w:r>
          </w:p>
        </w:tc>
      </w:tr>
      <w:tr w:rsidR="009E6223" w:rsidTr="00B33484" w14:paraId="1B2A81B7" w14:textId="77777777">
        <w:trPr>
          <w:trHeight w:val="285"/>
        </w:trPr>
        <w:tc>
          <w:tcPr>
            <w:tcW w:w="975" w:type="pct"/>
            <w:shd w:val="clear" w:color="auto" w:fill="auto"/>
          </w:tcPr>
          <w:p w:rsidR="009E6223" w:rsidP="00BB14FA" w:rsidRDefault="009E6223" w14:paraId="1BD4DD39" w14:textId="092D3E41">
            <w:pPr>
              <w:pStyle w:val="NormalWeb"/>
              <w:spacing w:line="288" w:lineRule="atLeast"/>
              <w:jc w:val="center"/>
            </w:pPr>
            <w:r>
              <w:t>&lt;</w:t>
            </w:r>
            <w:r w:rsidR="00F8388C">
              <w:t>10</w:t>
            </w:r>
            <w:r>
              <w:t>0</w:t>
            </w:r>
          </w:p>
        </w:tc>
        <w:tc>
          <w:tcPr>
            <w:tcW w:w="1349" w:type="pct"/>
            <w:shd w:val="clear" w:color="auto" w:fill="auto"/>
          </w:tcPr>
          <w:p w:rsidR="009E6223" w:rsidP="00BB14FA" w:rsidRDefault="009E6223" w14:paraId="50379CB0" w14:textId="77777777">
            <w:pPr>
              <w:pStyle w:val="NormalWeb"/>
              <w:spacing w:line="288" w:lineRule="atLeast"/>
              <w:jc w:val="center"/>
            </w:pPr>
            <w:r>
              <w:t>5,000,000</w:t>
            </w:r>
          </w:p>
        </w:tc>
        <w:tc>
          <w:tcPr>
            <w:tcW w:w="1355" w:type="pct"/>
            <w:shd w:val="clear" w:color="auto" w:fill="auto"/>
          </w:tcPr>
          <w:p w:rsidR="009E6223" w:rsidP="00BB14FA" w:rsidRDefault="009E6223" w14:paraId="0082E2A2" w14:textId="77777777">
            <w:pPr>
              <w:pStyle w:val="NormalWeb"/>
              <w:spacing w:line="288" w:lineRule="atLeast"/>
              <w:jc w:val="center"/>
            </w:pPr>
            <w:r>
              <w:t>50,000</w:t>
            </w:r>
          </w:p>
        </w:tc>
        <w:tc>
          <w:tcPr>
            <w:tcW w:w="1320" w:type="pct"/>
          </w:tcPr>
          <w:p w:rsidR="009E6223" w:rsidP="00BB14FA" w:rsidRDefault="009E6223" w14:paraId="383D1A66" w14:textId="77777777">
            <w:pPr>
              <w:pStyle w:val="NormalWeb"/>
              <w:spacing w:line="288" w:lineRule="atLeast"/>
              <w:jc w:val="center"/>
            </w:pPr>
            <w:r>
              <w:t>1%</w:t>
            </w:r>
          </w:p>
        </w:tc>
      </w:tr>
    </w:tbl>
    <w:p w:rsidR="009E6223" w:rsidP="009E6223" w:rsidRDefault="009E6223" w14:paraId="48BF136F" w14:textId="77777777">
      <w:pPr>
        <w:pStyle w:val="NormalWeb"/>
        <w:spacing w:line="288" w:lineRule="atLeast"/>
        <w:rPr>
          <w:u w:val="single"/>
        </w:rPr>
      </w:pPr>
      <w:r>
        <w:rPr>
          <w:u w:val="single"/>
        </w:rPr>
        <w:t>Table 3: Number of sampled private firms and expected number of respondents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7"/>
        <w:gridCol w:w="2337"/>
        <w:gridCol w:w="2338"/>
        <w:gridCol w:w="2338"/>
      </w:tblGrid>
      <w:tr w:rsidR="009E6223" w:rsidTr="00B33484" w14:paraId="734C77C0" w14:textId="77777777">
        <w:tc>
          <w:tcPr>
            <w:tcW w:w="1250" w:type="pct"/>
          </w:tcPr>
          <w:p w:rsidR="009E6223" w:rsidP="00BB14FA" w:rsidRDefault="009E6223" w14:paraId="65596DE0" w14:textId="77777777">
            <w:pPr>
              <w:pStyle w:val="NormalWeb"/>
              <w:spacing w:line="288" w:lineRule="atLeast"/>
              <w:jc w:val="center"/>
            </w:pPr>
            <w:r>
              <w:t>Size (employees)</w:t>
            </w:r>
          </w:p>
        </w:tc>
        <w:tc>
          <w:tcPr>
            <w:tcW w:w="1250" w:type="pct"/>
          </w:tcPr>
          <w:p w:rsidR="009E6223" w:rsidP="00BB14FA" w:rsidRDefault="009E6223" w14:paraId="32D92170" w14:textId="77777777">
            <w:pPr>
              <w:pStyle w:val="NormalWeb"/>
              <w:spacing w:line="288" w:lineRule="atLeast"/>
              <w:jc w:val="center"/>
            </w:pPr>
            <w:r>
              <w:t>Approximate # of sampled firms</w:t>
            </w:r>
          </w:p>
        </w:tc>
        <w:tc>
          <w:tcPr>
            <w:tcW w:w="1250" w:type="pct"/>
          </w:tcPr>
          <w:p w:rsidR="009E6223" w:rsidP="00BB14FA" w:rsidRDefault="009E6223" w14:paraId="4EE49137" w14:textId="27B9E901">
            <w:pPr>
              <w:pStyle w:val="NormalWeb"/>
              <w:spacing w:line="288" w:lineRule="atLeast"/>
              <w:jc w:val="center"/>
            </w:pPr>
            <w:r>
              <w:t xml:space="preserve">Approximate # of </w:t>
            </w:r>
            <w:r w:rsidR="004D0B2F">
              <w:t>G&amp;R</w:t>
            </w:r>
            <w:r>
              <w:t xml:space="preserve"> respondents</w:t>
            </w:r>
          </w:p>
        </w:tc>
        <w:tc>
          <w:tcPr>
            <w:tcW w:w="1250" w:type="pct"/>
          </w:tcPr>
          <w:p w:rsidR="009E6223" w:rsidP="00BB14FA" w:rsidRDefault="009E6223" w14:paraId="31A3C86B" w14:textId="222C9758">
            <w:pPr>
              <w:pStyle w:val="NormalWeb"/>
              <w:spacing w:line="288" w:lineRule="atLeast"/>
              <w:jc w:val="center"/>
            </w:pPr>
            <w:r>
              <w:t>Approximate # of non-</w:t>
            </w:r>
            <w:r w:rsidR="004D0B2F">
              <w:t>G&amp;R</w:t>
            </w:r>
            <w:r>
              <w:t xml:space="preserve"> respondents</w:t>
            </w:r>
          </w:p>
        </w:tc>
      </w:tr>
      <w:tr w:rsidR="009E6223" w:rsidTr="00B33484" w14:paraId="45063872" w14:textId="77777777">
        <w:tc>
          <w:tcPr>
            <w:tcW w:w="1250" w:type="pct"/>
          </w:tcPr>
          <w:p w:rsidR="009E6223" w:rsidP="00BB14FA" w:rsidRDefault="009E6223" w14:paraId="579AFA82" w14:textId="77777777">
            <w:pPr>
              <w:pStyle w:val="NormalWeb"/>
              <w:spacing w:line="288" w:lineRule="atLeast"/>
              <w:jc w:val="center"/>
            </w:pPr>
            <w:r>
              <w:t>500+</w:t>
            </w:r>
          </w:p>
        </w:tc>
        <w:tc>
          <w:tcPr>
            <w:tcW w:w="1250" w:type="pct"/>
          </w:tcPr>
          <w:p w:rsidR="009E6223" w:rsidP="00BB14FA" w:rsidRDefault="003731C3" w14:paraId="6F892D82" w14:textId="23B6C57D">
            <w:pPr>
              <w:pStyle w:val="NormalWeb"/>
              <w:spacing w:line="288" w:lineRule="atLeast"/>
              <w:jc w:val="center"/>
            </w:pPr>
            <w:r>
              <w:t>6,000</w:t>
            </w:r>
            <w:r w:rsidR="002730C1">
              <w:t xml:space="preserve"> (Random)</w:t>
            </w:r>
          </w:p>
        </w:tc>
        <w:tc>
          <w:tcPr>
            <w:tcW w:w="1250" w:type="pct"/>
          </w:tcPr>
          <w:p w:rsidR="009E6223" w:rsidP="00BB14FA" w:rsidRDefault="00775CF6" w14:paraId="7CA3BDB9" w14:textId="19D3201B">
            <w:pPr>
              <w:pStyle w:val="NormalWeb"/>
              <w:spacing w:line="288" w:lineRule="atLeast"/>
              <w:jc w:val="center"/>
            </w:pPr>
            <w:r>
              <w:t>57</w:t>
            </w:r>
            <w:r w:rsidR="00FE224A">
              <w:t>6</w:t>
            </w:r>
            <w:r w:rsidR="002730C1">
              <w:t xml:space="preserve"> (Random)</w:t>
            </w:r>
          </w:p>
        </w:tc>
        <w:tc>
          <w:tcPr>
            <w:tcW w:w="1250" w:type="pct"/>
          </w:tcPr>
          <w:p w:rsidR="009E6223" w:rsidP="00BB14FA" w:rsidRDefault="002159B2" w14:paraId="30B258D2" w14:textId="7574BC73">
            <w:pPr>
              <w:pStyle w:val="NormalWeb"/>
              <w:spacing w:line="288" w:lineRule="atLeast"/>
              <w:jc w:val="center"/>
            </w:pPr>
            <w:r>
              <w:t>6</w:t>
            </w:r>
            <w:r w:rsidR="003E2924">
              <w:t>0</w:t>
            </w:r>
            <w:r w:rsidR="002730C1">
              <w:t xml:space="preserve"> (Random)</w:t>
            </w:r>
          </w:p>
        </w:tc>
      </w:tr>
      <w:tr w:rsidR="009E6223" w:rsidTr="00B33484" w14:paraId="67C723A2" w14:textId="77777777">
        <w:tc>
          <w:tcPr>
            <w:tcW w:w="1250" w:type="pct"/>
          </w:tcPr>
          <w:p w:rsidR="009E6223" w:rsidP="00BB14FA" w:rsidRDefault="009E6223" w14:paraId="1AB0442F" w14:textId="1A6E8DC0">
            <w:pPr>
              <w:pStyle w:val="NormalWeb"/>
              <w:spacing w:line="288" w:lineRule="atLeast"/>
              <w:jc w:val="center"/>
            </w:pPr>
            <w:r>
              <w:t>[</w:t>
            </w:r>
            <w:r w:rsidR="003731C3">
              <w:t>100</w:t>
            </w:r>
            <w:r>
              <w:t>, 499]</w:t>
            </w:r>
          </w:p>
        </w:tc>
        <w:tc>
          <w:tcPr>
            <w:tcW w:w="1250" w:type="pct"/>
          </w:tcPr>
          <w:p w:rsidR="009E6223" w:rsidP="00BB14FA" w:rsidRDefault="003731C3" w14:paraId="77347F96" w14:textId="37747988">
            <w:pPr>
              <w:pStyle w:val="NormalWeb"/>
              <w:spacing w:line="288" w:lineRule="atLeast"/>
              <w:jc w:val="center"/>
            </w:pPr>
            <w:r>
              <w:t>3,750</w:t>
            </w:r>
            <w:r w:rsidR="009E6223">
              <w:t xml:space="preserve"> (Convenience) + </w:t>
            </w:r>
            <w:r>
              <w:t>6,250</w:t>
            </w:r>
            <w:r w:rsidR="009E6223">
              <w:t xml:space="preserve"> (Random)</w:t>
            </w:r>
          </w:p>
        </w:tc>
        <w:tc>
          <w:tcPr>
            <w:tcW w:w="1250" w:type="pct"/>
          </w:tcPr>
          <w:p w:rsidR="009E6223" w:rsidP="00BB14FA" w:rsidRDefault="003E2924" w14:paraId="340F8665" w14:textId="30881708">
            <w:pPr>
              <w:pStyle w:val="NormalWeb"/>
              <w:spacing w:line="288" w:lineRule="atLeast"/>
              <w:jc w:val="center"/>
            </w:pPr>
            <w:r>
              <w:t xml:space="preserve">450 </w:t>
            </w:r>
            <w:r w:rsidR="009E6223">
              <w:t xml:space="preserve">(Convenience) + </w:t>
            </w:r>
            <w:r>
              <w:t xml:space="preserve">150 </w:t>
            </w:r>
            <w:r w:rsidR="009E6223">
              <w:t>(Random)</w:t>
            </w:r>
          </w:p>
        </w:tc>
        <w:tc>
          <w:tcPr>
            <w:tcW w:w="1250" w:type="pct"/>
          </w:tcPr>
          <w:p w:rsidR="009E6223" w:rsidP="00BB14FA" w:rsidRDefault="003E2924" w14:paraId="52A38F8E" w14:textId="6FE84C2B">
            <w:pPr>
              <w:pStyle w:val="NormalWeb"/>
              <w:spacing w:line="288" w:lineRule="atLeast"/>
              <w:jc w:val="center"/>
            </w:pPr>
            <w:r>
              <w:t xml:space="preserve">250 </w:t>
            </w:r>
            <w:r w:rsidR="009E6223">
              <w:t>(Random)</w:t>
            </w:r>
          </w:p>
        </w:tc>
      </w:tr>
      <w:tr w:rsidR="009E6223" w:rsidTr="00B33484" w14:paraId="1BD6F813" w14:textId="77777777">
        <w:tc>
          <w:tcPr>
            <w:tcW w:w="1250" w:type="pct"/>
          </w:tcPr>
          <w:p w:rsidR="009E6223" w:rsidP="00BB14FA" w:rsidRDefault="009E6223" w14:paraId="5DAEF104" w14:textId="3DBF0BA7">
            <w:pPr>
              <w:pStyle w:val="NormalWeb"/>
              <w:spacing w:line="288" w:lineRule="atLeast"/>
              <w:jc w:val="center"/>
            </w:pPr>
            <w:r>
              <w:t>&lt;</w:t>
            </w:r>
            <w:r w:rsidR="003731C3">
              <w:t>100</w:t>
            </w:r>
          </w:p>
        </w:tc>
        <w:tc>
          <w:tcPr>
            <w:tcW w:w="1250" w:type="pct"/>
          </w:tcPr>
          <w:p w:rsidR="009E6223" w:rsidP="00BB14FA" w:rsidRDefault="003731C3" w14:paraId="1B610743" w14:textId="33043A9C">
            <w:pPr>
              <w:pStyle w:val="NormalWeb"/>
              <w:spacing w:line="288" w:lineRule="atLeast"/>
              <w:jc w:val="center"/>
            </w:pPr>
            <w:r>
              <w:t>5,000</w:t>
            </w:r>
            <w:r w:rsidR="00E068D7">
              <w:t xml:space="preserve"> in</w:t>
            </w:r>
            <w:r w:rsidR="009E6223">
              <w:t xml:space="preserve"> </w:t>
            </w:r>
            <w:r w:rsidR="009D6556">
              <w:t>total</w:t>
            </w:r>
            <w:r w:rsidR="00A03560">
              <w:t xml:space="preserve">; split between firms with &lt;50 and [50,99] </w:t>
            </w:r>
            <w:r w:rsidR="009E6223">
              <w:t xml:space="preserve">(Convenience) </w:t>
            </w:r>
          </w:p>
        </w:tc>
        <w:tc>
          <w:tcPr>
            <w:tcW w:w="1250" w:type="pct"/>
          </w:tcPr>
          <w:p w:rsidR="009E6223" w:rsidP="00BB14FA" w:rsidRDefault="003E2924" w14:paraId="746062E3" w14:textId="2778CFCC">
            <w:pPr>
              <w:pStyle w:val="NormalWeb"/>
              <w:spacing w:line="288" w:lineRule="atLeast"/>
              <w:jc w:val="center"/>
            </w:pPr>
            <w:r>
              <w:t xml:space="preserve">600 </w:t>
            </w:r>
            <w:r w:rsidR="009E6223">
              <w:t xml:space="preserve">(Convenience) </w:t>
            </w:r>
          </w:p>
        </w:tc>
        <w:tc>
          <w:tcPr>
            <w:tcW w:w="1250" w:type="pct"/>
          </w:tcPr>
          <w:p w:rsidR="009E6223" w:rsidP="00BB14FA" w:rsidRDefault="003731C3" w14:paraId="30BE9E98" w14:textId="60C8932F">
            <w:pPr>
              <w:pStyle w:val="NormalWeb"/>
              <w:spacing w:line="288" w:lineRule="atLeast"/>
              <w:jc w:val="center"/>
            </w:pPr>
            <w:r>
              <w:t>0</w:t>
            </w:r>
          </w:p>
        </w:tc>
      </w:tr>
      <w:tr w:rsidR="009E6223" w:rsidTr="00B33484" w14:paraId="17EA3C9B" w14:textId="77777777">
        <w:tc>
          <w:tcPr>
            <w:tcW w:w="1250" w:type="pct"/>
          </w:tcPr>
          <w:p w:rsidR="009E6223" w:rsidP="00BB14FA" w:rsidRDefault="009E6223" w14:paraId="20F7B5FD" w14:textId="77777777">
            <w:pPr>
              <w:pStyle w:val="NormalWeb"/>
              <w:spacing w:line="288" w:lineRule="atLeast"/>
              <w:jc w:val="center"/>
            </w:pPr>
            <w:r>
              <w:t>Total</w:t>
            </w:r>
          </w:p>
        </w:tc>
        <w:tc>
          <w:tcPr>
            <w:tcW w:w="1250" w:type="pct"/>
          </w:tcPr>
          <w:p w:rsidR="009E6223" w:rsidP="00BB14FA" w:rsidRDefault="003E2924" w14:paraId="5A0D7084" w14:textId="09C35642">
            <w:pPr>
              <w:pStyle w:val="NormalWeb"/>
              <w:spacing w:line="288" w:lineRule="atLeast"/>
              <w:jc w:val="center"/>
            </w:pPr>
            <w:r>
              <w:t>21</w:t>
            </w:r>
            <w:r w:rsidR="009E6223">
              <w:t>,000</w:t>
            </w:r>
          </w:p>
        </w:tc>
        <w:tc>
          <w:tcPr>
            <w:tcW w:w="1250" w:type="pct"/>
          </w:tcPr>
          <w:p w:rsidR="009E6223" w:rsidP="00BB14FA" w:rsidRDefault="003E2924" w14:paraId="50A26E57" w14:textId="56C1FE83">
            <w:pPr>
              <w:pStyle w:val="NormalWeb"/>
              <w:spacing w:line="288" w:lineRule="atLeast"/>
              <w:jc w:val="center"/>
            </w:pPr>
            <w:r>
              <w:t>1</w:t>
            </w:r>
            <w:r w:rsidR="00F27AF8">
              <w:t>,</w:t>
            </w:r>
            <w:r w:rsidR="003503C8">
              <w:t>77</w:t>
            </w:r>
            <w:r w:rsidR="00092397">
              <w:t>6</w:t>
            </w:r>
          </w:p>
        </w:tc>
        <w:tc>
          <w:tcPr>
            <w:tcW w:w="1250" w:type="pct"/>
          </w:tcPr>
          <w:p w:rsidR="009E6223" w:rsidP="00BB14FA" w:rsidRDefault="003E2924" w14:paraId="026FD926" w14:textId="214487A9">
            <w:pPr>
              <w:pStyle w:val="NormalWeb"/>
              <w:spacing w:line="288" w:lineRule="atLeast"/>
              <w:jc w:val="center"/>
            </w:pPr>
            <w:r>
              <w:t>3</w:t>
            </w:r>
            <w:r w:rsidR="003503C8">
              <w:t>10</w:t>
            </w:r>
          </w:p>
        </w:tc>
      </w:tr>
    </w:tbl>
    <w:p w:rsidR="009E6223" w:rsidP="006A5B9C" w:rsidRDefault="009E6223" w14:paraId="1023C9D3" w14:textId="5E6DF6A8">
      <w:pPr>
        <w:pStyle w:val="NormalWeb"/>
        <w:numPr>
          <w:ilvl w:val="0"/>
          <w:numId w:val="7"/>
        </w:numPr>
        <w:spacing w:line="288" w:lineRule="atLeast"/>
        <w:ind w:left="360" w:hanging="360"/>
        <w:rPr>
          <w:u w:val="single"/>
        </w:rPr>
      </w:pPr>
      <w:r>
        <w:rPr>
          <w:u w:val="single"/>
        </w:rPr>
        <w:lastRenderedPageBreak/>
        <w:t>Public Sector:</w:t>
      </w:r>
    </w:p>
    <w:p w:rsidRPr="004755C4" w:rsidR="009E6223" w:rsidP="009E6223" w:rsidRDefault="00864FA7" w14:paraId="48026105" w14:textId="299A3DC1">
      <w:pPr>
        <w:pStyle w:val="NormalWeb"/>
        <w:spacing w:line="288" w:lineRule="atLeast"/>
        <w:rPr>
          <w:u w:val="single"/>
        </w:rPr>
      </w:pPr>
      <w:r>
        <w:t>Based on the data sources mentioned above, we estimate that t</w:t>
      </w:r>
      <w:r w:rsidR="009E6223">
        <w:t xml:space="preserve">he public sector employs approximately 36% of </w:t>
      </w:r>
      <w:r w:rsidR="004D0B2F">
        <w:t>G&amp;R</w:t>
      </w:r>
      <w:r w:rsidR="009E6223">
        <w:t xml:space="preserve"> members. Therefore, an analysis of </w:t>
      </w:r>
      <w:r w:rsidR="00F0036A">
        <w:t xml:space="preserve">the experiences of </w:t>
      </w:r>
      <w:r w:rsidR="009E6223">
        <w:t>public sector employer</w:t>
      </w:r>
      <w:r w:rsidR="00F0036A">
        <w:t>s</w:t>
      </w:r>
      <w:r w:rsidR="009E6223">
        <w:t xml:space="preserve"> is critical to this study. Below we describe the sampling strategies for federal, state, and local employers.</w:t>
      </w:r>
      <w:r w:rsidRPr="00A91744" w:rsidR="009E6223">
        <w:t xml:space="preserve"> We summarize the overall sampling strategy in Table 4 below.  </w:t>
      </w:r>
    </w:p>
    <w:p w:rsidRPr="003C56D9" w:rsidR="009E6223" w:rsidP="00A91744" w:rsidRDefault="009E6223" w14:paraId="1CEBEC5B" w14:textId="3B80FC1A">
      <w:pPr>
        <w:pStyle w:val="NormalWeb"/>
        <w:numPr>
          <w:ilvl w:val="0"/>
          <w:numId w:val="3"/>
        </w:numPr>
        <w:spacing w:line="288" w:lineRule="atLeast"/>
      </w:pPr>
      <w:r w:rsidRPr="00BE6A31">
        <w:rPr>
          <w:i/>
          <w:iCs/>
        </w:rPr>
        <w:t>Federal government:</w:t>
      </w:r>
      <w:r w:rsidRPr="00A91744">
        <w:t xml:space="preserve"> Within the federal </w:t>
      </w:r>
      <w:r w:rsidR="00B84836">
        <w:t>portion</w:t>
      </w:r>
      <w:r w:rsidRPr="00A91744" w:rsidR="00B84836">
        <w:t xml:space="preserve"> </w:t>
      </w:r>
      <w:r w:rsidRPr="00A91744">
        <w:t xml:space="preserve">of the public sector, a firm will be defined by the </w:t>
      </w:r>
      <w:r w:rsidR="003B3594">
        <w:t>“L</w:t>
      </w:r>
      <w:r w:rsidRPr="00A91744">
        <w:t>evel 1</w:t>
      </w:r>
      <w:r w:rsidR="003B3594">
        <w:t>”</w:t>
      </w:r>
      <w:r w:rsidRPr="00A91744">
        <w:t xml:space="preserve"> sub</w:t>
      </w:r>
      <w:r w:rsidR="003B3594">
        <w:t>-</w:t>
      </w:r>
      <w:r w:rsidRPr="00A91744">
        <w:t xml:space="preserve">agency codes </w:t>
      </w:r>
      <w:r w:rsidR="00557559">
        <w:t>used for stratification purposes for the Office of Personnel Management’s</w:t>
      </w:r>
      <w:r w:rsidRPr="00A91744">
        <w:t xml:space="preserve"> Federal Employee Viewpoint Survey (FEVS). We will sample the entire universe of </w:t>
      </w:r>
      <w:r w:rsidRPr="00A91744" w:rsidR="00C56D47">
        <w:t>2</w:t>
      </w:r>
      <w:r w:rsidR="00C56D47">
        <w:t>11</w:t>
      </w:r>
      <w:r w:rsidRPr="00A91744" w:rsidR="00C56D47">
        <w:t xml:space="preserve"> </w:t>
      </w:r>
      <w:r w:rsidRPr="00A91744">
        <w:t xml:space="preserve">unique </w:t>
      </w:r>
      <w:r w:rsidR="00C56D47">
        <w:t>“L</w:t>
      </w:r>
      <w:r w:rsidRPr="00A91744">
        <w:t>evel 1</w:t>
      </w:r>
      <w:r w:rsidR="00C56D47">
        <w:t>”</w:t>
      </w:r>
      <w:r w:rsidRPr="00A91744">
        <w:t xml:space="preserve"> sub</w:t>
      </w:r>
      <w:r w:rsidR="00C56D47">
        <w:t>-agencies</w:t>
      </w:r>
      <w:r w:rsidR="00825BA1">
        <w:t xml:space="preserve">, including </w:t>
      </w:r>
      <w:r w:rsidR="004B00FC">
        <w:t>20</w:t>
      </w:r>
      <w:r w:rsidR="002553F8">
        <w:t>8</w:t>
      </w:r>
      <w:r w:rsidR="004B00FC">
        <w:t xml:space="preserve"> </w:t>
      </w:r>
      <w:r w:rsidR="002553F8">
        <w:t xml:space="preserve">from the 2019 FEVS plus </w:t>
      </w:r>
      <w:r w:rsidR="00825BA1">
        <w:t xml:space="preserve">three </w:t>
      </w:r>
      <w:r w:rsidR="002553F8">
        <w:t xml:space="preserve">“Level 1” </w:t>
      </w:r>
      <w:r w:rsidR="00825BA1">
        <w:t xml:space="preserve">sub-agencies from the Department of Veterans Affairs </w:t>
      </w:r>
      <w:r w:rsidR="008E5C94">
        <w:t>from the</w:t>
      </w:r>
      <w:r w:rsidR="001238B7">
        <w:t xml:space="preserve"> 2017 administration of the FEVS </w:t>
      </w:r>
      <w:r w:rsidR="008E5C94">
        <w:t xml:space="preserve">(the </w:t>
      </w:r>
      <w:r w:rsidR="007A258A">
        <w:t xml:space="preserve">VA </w:t>
      </w:r>
      <w:r w:rsidR="00374065">
        <w:t>did not participate in the FEVS in 2019)</w:t>
      </w:r>
      <w:r w:rsidRPr="00A91744">
        <w:t>.</w:t>
      </w:r>
      <w:r w:rsidR="00650C40">
        <w:t xml:space="preserve"> </w:t>
      </w:r>
      <w:r w:rsidRPr="00650C40" w:rsidR="00650C40">
        <w:t xml:space="preserve">Note that smaller organizations that are not separately itemized at the “Level 1” sub-agency level but rather fall under the umbrella of “All Other” organizations </w:t>
      </w:r>
      <w:r w:rsidR="00650C40">
        <w:t xml:space="preserve">within federal agencies </w:t>
      </w:r>
      <w:r w:rsidRPr="00650C40" w:rsidR="00650C40">
        <w:t>will not be surveyed. Survey findings, therefore, would be generalizable to the population of “Level 1” sub-agencies but not to smaller organizations.</w:t>
      </w:r>
      <w:r w:rsidR="00374065">
        <w:t xml:space="preserve"> </w:t>
      </w:r>
      <w:r w:rsidR="00650C40">
        <w:t xml:space="preserve">In addition, </w:t>
      </w:r>
      <w:r w:rsidR="00A9492C">
        <w:t xml:space="preserve">note that 60 of the sub-agencies to be surveyed are </w:t>
      </w:r>
      <w:r w:rsidR="005F4687">
        <w:t>in the Department of Defense (including the military services); while the</w:t>
      </w:r>
      <w:r w:rsidR="009261CD">
        <w:t>y</w:t>
      </w:r>
      <w:r w:rsidR="005F4687">
        <w:t xml:space="preserve"> contribute to the federal sample</w:t>
      </w:r>
      <w:r w:rsidR="009261CD">
        <w:t xml:space="preserve"> for analysis purposes</w:t>
      </w:r>
      <w:r w:rsidR="005F4687">
        <w:t xml:space="preserve">, </w:t>
      </w:r>
      <w:r w:rsidR="00702959">
        <w:t xml:space="preserve">we are separately seeking approval to survey those organizations through DoD’s </w:t>
      </w:r>
      <w:r w:rsidR="009261CD">
        <w:t>Report Control Symbol (RCS) licensing process.</w:t>
      </w:r>
      <w:r w:rsidR="00702959">
        <w:t xml:space="preserve"> </w:t>
      </w:r>
      <w:r w:rsidRPr="00A91744">
        <w:t xml:space="preserve">In Tables 5 and 6 below, we will assume that all federal </w:t>
      </w:r>
      <w:r w:rsidR="005D3D51">
        <w:t>“Level 1” sub-</w:t>
      </w:r>
      <w:r w:rsidRPr="00A91744">
        <w:t xml:space="preserve">agencies are employers of </w:t>
      </w:r>
      <w:r w:rsidRPr="00A91744" w:rsidR="004D0B2F">
        <w:t>G&amp;R</w:t>
      </w:r>
      <w:r w:rsidRPr="00A91744">
        <w:t xml:space="preserve">. We will also assume a 75% response rate among </w:t>
      </w:r>
      <w:r w:rsidR="00206445">
        <w:t xml:space="preserve">these </w:t>
      </w:r>
      <w:r w:rsidRPr="00A91744">
        <w:t xml:space="preserve">federal </w:t>
      </w:r>
      <w:r w:rsidR="00206445">
        <w:t>sub-</w:t>
      </w:r>
      <w:r w:rsidRPr="00A91744">
        <w:t xml:space="preserve">agencies. </w:t>
      </w:r>
      <w:r w:rsidRPr="003C56D9" w:rsidR="00093E9F">
        <w:br/>
      </w:r>
    </w:p>
    <w:p w:rsidR="009E6223" w:rsidP="009E6223" w:rsidRDefault="009E6223" w14:paraId="21D71203" w14:textId="763DC309">
      <w:pPr>
        <w:pStyle w:val="NormalWeb"/>
        <w:numPr>
          <w:ilvl w:val="0"/>
          <w:numId w:val="3"/>
        </w:numPr>
        <w:spacing w:line="288" w:lineRule="atLeast"/>
      </w:pPr>
      <w:r w:rsidRPr="00EC7FCC">
        <w:rPr>
          <w:i/>
          <w:iCs/>
        </w:rPr>
        <w:t>State governments:</w:t>
      </w:r>
      <w:r>
        <w:t xml:space="preserve"> At the state level, we will </w:t>
      </w:r>
      <w:r w:rsidR="001F3EA8">
        <w:t xml:space="preserve">first </w:t>
      </w:r>
      <w:r>
        <w:t xml:space="preserve">survey a central point of contact for each state (e.g., an HR director). </w:t>
      </w:r>
      <w:r w:rsidR="007E6BA5">
        <w:t>W</w:t>
      </w:r>
      <w:r>
        <w:t xml:space="preserve">e will also survey a central point of contact for agencies corresponding to each of the following </w:t>
      </w:r>
      <w:r w:rsidR="00F90ACA">
        <w:t>four</w:t>
      </w:r>
      <w:r w:rsidR="00674BA2">
        <w:t xml:space="preserve"> </w:t>
      </w:r>
      <w:r>
        <w:t xml:space="preserve">state-level government functions: corrections, judicial and legal, financial administration, and police protection. These </w:t>
      </w:r>
      <w:r w:rsidR="00F90ACA">
        <w:t>four</w:t>
      </w:r>
      <w:r>
        <w:t xml:space="preserve"> government functions are chosen because they </w:t>
      </w:r>
      <w:r w:rsidR="00F90ACA">
        <w:t xml:space="preserve">are among the </w:t>
      </w:r>
      <w:r>
        <w:t xml:space="preserve">10 </w:t>
      </w:r>
      <w:r w:rsidR="00AD4A88">
        <w:t>functions employing the most people</w:t>
      </w:r>
      <w:r>
        <w:t xml:space="preserve"> at the state level according to Annual Survey of Public Employment &amp; Payroll (ASPEP) data </w:t>
      </w:r>
      <w:r w:rsidR="00AD4A88">
        <w:t>(</w:t>
      </w:r>
      <w:r>
        <w:t>among government functions supported by all states</w:t>
      </w:r>
      <w:r w:rsidR="00AD4A88">
        <w:t>)</w:t>
      </w:r>
      <w:r w:rsidR="00F90ACA">
        <w:t xml:space="preserve">, and </w:t>
      </w:r>
      <w:r w:rsidR="00AD4A88">
        <w:t xml:space="preserve">also fall </w:t>
      </w:r>
      <w:r w:rsidR="00656B83">
        <w:t>predominantly</w:t>
      </w:r>
      <w:r w:rsidR="00AD4A88">
        <w:t xml:space="preserve"> within NAICS 92 (public administration)</w:t>
      </w:r>
      <w:r>
        <w:t xml:space="preserve">. </w:t>
      </w:r>
      <w:r w:rsidR="00AD4A88">
        <w:t>Other functions of state government that e</w:t>
      </w:r>
      <w:r w:rsidR="00B57FB7">
        <w:t xml:space="preserve">mploy large numbers of people (e.g., higher education and hospitals) </w:t>
      </w:r>
      <w:r w:rsidR="00F30F9D">
        <w:t xml:space="preserve">are divided between administrative functions included in NAICS 92 and implementing functions at </w:t>
      </w:r>
      <w:r w:rsidR="008D19B8">
        <w:t xml:space="preserve">entities </w:t>
      </w:r>
      <w:r w:rsidR="00233DC4">
        <w:t xml:space="preserve">outside NAICS 92 </w:t>
      </w:r>
      <w:r w:rsidR="008D19B8">
        <w:t>that may be captured in the</w:t>
      </w:r>
      <w:r w:rsidR="00487719">
        <w:t xml:space="preserve"> much</w:t>
      </w:r>
      <w:r w:rsidR="008D19B8">
        <w:t xml:space="preserve"> larger</w:t>
      </w:r>
      <w:r w:rsidR="00487719">
        <w:t xml:space="preserve"> sample</w:t>
      </w:r>
      <w:r w:rsidR="008D19B8">
        <w:t xml:space="preserve"> of employers </w:t>
      </w:r>
      <w:r w:rsidR="00487719">
        <w:t>drawn from Dun &amp; Bradstreet</w:t>
      </w:r>
      <w:r w:rsidR="008D19B8">
        <w:t>.</w:t>
      </w:r>
      <w:r w:rsidR="00C44095">
        <w:t xml:space="preserve"> </w:t>
      </w:r>
      <w:r w:rsidR="00656B83">
        <w:t xml:space="preserve">We </w:t>
      </w:r>
      <w:r w:rsidR="00487719">
        <w:t xml:space="preserve">plan to </w:t>
      </w:r>
      <w:r w:rsidR="00656B83">
        <w:t xml:space="preserve">use the state sample to </w:t>
      </w:r>
      <w:r w:rsidR="00487719">
        <w:t xml:space="preserve">shed light on organizations not captured in that larger sample, and therefore exclude those functions likely to be </w:t>
      </w:r>
      <w:r w:rsidR="00BF3EDF">
        <w:t>covered in the larger sample.</w:t>
      </w:r>
      <w:r>
        <w:t xml:space="preserve"> </w:t>
      </w:r>
      <w:r w:rsidR="00046FFB">
        <w:t>In addition to the 50 states, we will also survey three U.S. territories with National Guard units (Puerto Rico, Guam, and the U.S. Virgin Islan</w:t>
      </w:r>
      <w:r w:rsidR="008E0957">
        <w:t>d</w:t>
      </w:r>
      <w:r w:rsidR="00FC6DDA">
        <w:t>s</w:t>
      </w:r>
      <w:r w:rsidR="00046FFB">
        <w:t xml:space="preserve">), and the District of Columbia. </w:t>
      </w:r>
      <w:r>
        <w:t xml:space="preserve">With </w:t>
      </w:r>
      <w:r w:rsidR="00C44095">
        <w:t>four</w:t>
      </w:r>
      <w:r>
        <w:t xml:space="preserve"> agencies per state in addition to the central state point of contact for each state, the universe of state-level employers consists of </w:t>
      </w:r>
      <w:r w:rsidR="00BA1701">
        <w:t>270</w:t>
      </w:r>
      <w:r w:rsidR="00046FFB">
        <w:t xml:space="preserve"> </w:t>
      </w:r>
      <w:r>
        <w:t xml:space="preserve">firms. We will sample this entire universe of state-level employers. </w:t>
      </w:r>
    </w:p>
    <w:p w:rsidR="009E6223" w:rsidP="009E6223" w:rsidRDefault="009E6223" w14:paraId="52DAC459" w14:textId="3556A98A">
      <w:pPr>
        <w:pStyle w:val="NormalWeb"/>
        <w:spacing w:line="288" w:lineRule="atLeast"/>
        <w:ind w:left="720"/>
      </w:pPr>
      <w:r>
        <w:t xml:space="preserve">In Tables 5 and 6 below, we will assume that every state is an employer of </w:t>
      </w:r>
      <w:r w:rsidR="004D0B2F">
        <w:t>G&amp;R</w:t>
      </w:r>
      <w:r>
        <w:t xml:space="preserve"> and that 50% </w:t>
      </w:r>
      <w:r w:rsidR="00FC24AF">
        <w:t xml:space="preserve">of </w:t>
      </w:r>
      <w:r>
        <w:t xml:space="preserve">sub-state agencies are employers of </w:t>
      </w:r>
      <w:r w:rsidR="004D0B2F">
        <w:t>G&amp;R</w:t>
      </w:r>
      <w:r>
        <w:t xml:space="preserve">. We will assume a 100% response rate </w:t>
      </w:r>
      <w:r>
        <w:lastRenderedPageBreak/>
        <w:t xml:space="preserve">for the </w:t>
      </w:r>
      <w:r w:rsidR="00143B12">
        <w:t xml:space="preserve">54 </w:t>
      </w:r>
      <w:r>
        <w:t xml:space="preserve">the state-level samples (consistent with the response rates from the Census of Governments). For the sub-state agencies, we will assume 75% response rates for </w:t>
      </w:r>
      <w:r w:rsidR="004D0B2F">
        <w:t>G&amp;R</w:t>
      </w:r>
      <w:r>
        <w:t xml:space="preserve"> employers and 25% response rates for non-</w:t>
      </w:r>
      <w:r w:rsidR="004D0B2F">
        <w:t>G&amp;R</w:t>
      </w:r>
      <w:r>
        <w:t xml:space="preserve"> employers.    </w:t>
      </w:r>
    </w:p>
    <w:p w:rsidR="009E6223" w:rsidP="009E6223" w:rsidRDefault="009E6223" w14:paraId="2DAB5A35" w14:textId="51176918">
      <w:pPr>
        <w:pStyle w:val="NormalWeb"/>
        <w:numPr>
          <w:ilvl w:val="0"/>
          <w:numId w:val="3"/>
        </w:numPr>
        <w:spacing w:line="288" w:lineRule="atLeast"/>
      </w:pPr>
      <w:r w:rsidRPr="00EC7FCC">
        <w:rPr>
          <w:i/>
          <w:iCs/>
        </w:rPr>
        <w:t>Local governments:</w:t>
      </w:r>
      <w:r>
        <w:t xml:space="preserve"> Our universe of local governments will consist of </w:t>
      </w:r>
      <w:r w:rsidR="00B37253">
        <w:t xml:space="preserve">general purpose and special district </w:t>
      </w:r>
      <w:r>
        <w:t>governments listed in the 2017 Census of Governments</w:t>
      </w:r>
      <w:r w:rsidR="00AB749B">
        <w:t xml:space="preserve"> (COG)</w:t>
      </w:r>
      <w:r w:rsidR="00B37253">
        <w:t>. General purpose government</w:t>
      </w:r>
      <w:r w:rsidR="00CA4154">
        <w:t>s</w:t>
      </w:r>
      <w:r w:rsidR="00B37253">
        <w:t xml:space="preserve"> include</w:t>
      </w:r>
      <w:r>
        <w:t xml:space="preserve"> township, municipality, county</w:t>
      </w:r>
      <w:r w:rsidR="00B37253">
        <w:t xml:space="preserve"> governments.</w:t>
      </w:r>
      <w:r>
        <w:t xml:space="preserve"> Special districts are government entities established to perform one or a small number of government functions (e.g., fire, police, or utilities). In total, there are approximately </w:t>
      </w:r>
      <w:r w:rsidR="00CA4154">
        <w:t>78</w:t>
      </w:r>
      <w:r>
        <w:t xml:space="preserve">,000 </w:t>
      </w:r>
      <w:r w:rsidR="00CA4154">
        <w:t xml:space="preserve">general purpose and special district </w:t>
      </w:r>
      <w:r>
        <w:t xml:space="preserve">governments in the census. Unlike the federal and state samples, we will not be able to sample the universe of </w:t>
      </w:r>
      <w:r w:rsidR="00237165">
        <w:t xml:space="preserve">these </w:t>
      </w:r>
      <w:r>
        <w:t>governments both due to study cost and respondent burden. As such, we will samp</w:t>
      </w:r>
      <w:r w:rsidR="00433513">
        <w:t>le</w:t>
      </w:r>
      <w:r>
        <w:t xml:space="preserve"> within local governments. In particular, we will </w:t>
      </w:r>
      <w:r w:rsidR="00433513">
        <w:t xml:space="preserve">conduct a random sample of </w:t>
      </w:r>
      <w:r>
        <w:t>large</w:t>
      </w:r>
      <w:r w:rsidR="00237165">
        <w:t xml:space="preserve"> </w:t>
      </w:r>
      <w:r w:rsidR="00FF05BB">
        <w:t>general-purpose</w:t>
      </w:r>
      <w:r w:rsidR="007966A9">
        <w:t xml:space="preserve"> governments</w:t>
      </w:r>
      <w:r>
        <w:t xml:space="preserve"> (</w:t>
      </w:r>
      <w:r w:rsidR="00433513">
        <w:t xml:space="preserve">estimated </w:t>
      </w:r>
      <w:r>
        <w:t xml:space="preserve">500+ employees), </w:t>
      </w:r>
      <w:r w:rsidR="00A867FC">
        <w:t xml:space="preserve">because of our </w:t>
      </w:r>
      <w:r w:rsidR="006C152F">
        <w:t>interest in understanding the experiences of these larger entities that are more likely to be G&amp;R employer</w:t>
      </w:r>
      <w:r w:rsidR="00155EEF">
        <w:t>s</w:t>
      </w:r>
      <w:r w:rsidR="006C152F">
        <w:t>. We will pair this random sample with</w:t>
      </w:r>
      <w:r w:rsidR="00433513">
        <w:t xml:space="preserve"> </w:t>
      </w:r>
      <w:r w:rsidR="00F17126">
        <w:t>a convenience sample</w:t>
      </w:r>
      <w:r w:rsidR="006C152F">
        <w:t xml:space="preserve"> drawn from </w:t>
      </w:r>
      <w:r>
        <w:t>small or medium</w:t>
      </w:r>
      <w:r w:rsidR="00237165">
        <w:t xml:space="preserve"> </w:t>
      </w:r>
      <w:r w:rsidR="004F6981">
        <w:t>general-purpose</w:t>
      </w:r>
      <w:r>
        <w:t xml:space="preserve"> </w:t>
      </w:r>
      <w:r w:rsidR="007966A9">
        <w:t xml:space="preserve">governments </w:t>
      </w:r>
      <w:r>
        <w:t>(&lt;500</w:t>
      </w:r>
      <w:r w:rsidR="007966A9">
        <w:t xml:space="preserve"> employees</w:t>
      </w:r>
      <w:r>
        <w:t>) and special districts (for which we are unable to estimate the number of employees</w:t>
      </w:r>
      <w:r w:rsidR="006C152F">
        <w:t>), as well as</w:t>
      </w:r>
      <w:r w:rsidR="00D278BA">
        <w:t xml:space="preserve"> </w:t>
      </w:r>
      <w:r w:rsidR="0064216A">
        <w:t xml:space="preserve">large </w:t>
      </w:r>
      <w:r w:rsidR="004F6981">
        <w:t>general-</w:t>
      </w:r>
      <w:r w:rsidR="0064216A">
        <w:t>purpose governments not selected as part of the random sample</w:t>
      </w:r>
      <w:r w:rsidR="00D70718">
        <w:t>.</w:t>
      </w:r>
    </w:p>
    <w:p w:rsidR="00E50D06" w:rsidP="00E50D06" w:rsidRDefault="009E6223" w14:paraId="4371842C" w14:textId="2B1F23EF">
      <w:pPr>
        <w:pStyle w:val="NormalWeb"/>
        <w:spacing w:line="288" w:lineRule="atLeast"/>
        <w:ind w:left="720"/>
      </w:pPr>
      <w:r>
        <w:t>For the purposes of</w:t>
      </w:r>
      <w:r w:rsidR="001F3B36">
        <w:t xml:space="preserve"> </w:t>
      </w:r>
      <w:r w:rsidR="00213EBD">
        <w:t>identifying large local governments</w:t>
      </w:r>
      <w:r>
        <w:t xml:space="preserve">, we </w:t>
      </w:r>
      <w:r w:rsidR="000D4B4B">
        <w:t xml:space="preserve">will </w:t>
      </w:r>
      <w:r>
        <w:t xml:space="preserve">first </w:t>
      </w:r>
      <w:r w:rsidR="003634D6">
        <w:t xml:space="preserve">use regression models to </w:t>
      </w:r>
      <w:r>
        <w:t xml:space="preserve">estimate the relationship between population size and employment size using data from the Annual Survey of Public Employment &amp; Payroll (ASPEP). We then </w:t>
      </w:r>
      <w:r w:rsidR="00400E0B">
        <w:t xml:space="preserve">will </w:t>
      </w:r>
      <w:r>
        <w:t>use these regressions</w:t>
      </w:r>
      <w:r w:rsidR="003D6E4F">
        <w:t xml:space="preserve"> (which </w:t>
      </w:r>
      <w:r w:rsidR="003634D6">
        <w:t>will</w:t>
      </w:r>
      <w:r w:rsidR="003D6E4F">
        <w:t xml:space="preserve"> adjust for population size, government type, and interaction between population size and government type)</w:t>
      </w:r>
      <w:r>
        <w:t xml:space="preserve"> to estimate the number of employees in each of the </w:t>
      </w:r>
      <w:r w:rsidR="005149E0">
        <w:t>general-purpose</w:t>
      </w:r>
      <w:r w:rsidR="00400E0B">
        <w:t xml:space="preserve"> governments</w:t>
      </w:r>
      <w:r>
        <w:t>.</w:t>
      </w:r>
      <w:r w:rsidR="00CC1642">
        <w:t xml:space="preserve"> </w:t>
      </w:r>
      <w:r w:rsidR="00FE199A">
        <w:t xml:space="preserve">We will randomly select </w:t>
      </w:r>
      <w:r w:rsidR="00027352">
        <w:t>2,</w:t>
      </w:r>
      <w:r w:rsidR="002B259A">
        <w:t>5</w:t>
      </w:r>
      <w:r w:rsidR="00027352">
        <w:t>00 large local governments (</w:t>
      </w:r>
      <w:r w:rsidR="003A74BD">
        <w:t xml:space="preserve">estimated to have 500 or more employees) </w:t>
      </w:r>
      <w:r w:rsidR="00877FDC">
        <w:t>from among those that merge into the D</w:t>
      </w:r>
      <w:r w:rsidR="0045223B">
        <w:t xml:space="preserve">un </w:t>
      </w:r>
      <w:r w:rsidR="005149E0">
        <w:t>&amp;</w:t>
      </w:r>
      <w:r w:rsidR="0045223B">
        <w:t xml:space="preserve"> Bradstreet database</w:t>
      </w:r>
      <w:r w:rsidR="003A74BD">
        <w:t>.</w:t>
      </w:r>
      <w:r w:rsidR="0045223B">
        <w:t xml:space="preserve"> Preliminary merge attempts suggest that 80% of governments within the Census of Governments database can be matched to the Dun &amp; Bradstreet database. </w:t>
      </w:r>
    </w:p>
    <w:p w:rsidR="009E6223" w:rsidP="00E50D06" w:rsidRDefault="001F3B36" w14:paraId="21B06EDC" w14:textId="64B25706">
      <w:pPr>
        <w:pStyle w:val="NormalWeb"/>
        <w:spacing w:line="288" w:lineRule="atLeast"/>
        <w:ind w:left="720"/>
      </w:pPr>
      <w:r>
        <w:t xml:space="preserve">We will then construct a convenience sample </w:t>
      </w:r>
      <w:r w:rsidR="00AB749B">
        <w:t>of local governments by identifying the intersection of</w:t>
      </w:r>
      <w:r w:rsidR="000E7AA0">
        <w:t xml:space="preserve"> COG </w:t>
      </w:r>
      <w:r w:rsidR="00E50D06">
        <w:t>governments and</w:t>
      </w:r>
      <w:r w:rsidR="000E7AA0">
        <w:t xml:space="preserve"> </w:t>
      </w:r>
      <w:r w:rsidR="00FF222E">
        <w:t>G&amp;R-</w:t>
      </w:r>
      <w:r w:rsidR="00E50D06">
        <w:t>employ</w:t>
      </w:r>
      <w:r w:rsidR="00FF222E">
        <w:t>ing</w:t>
      </w:r>
      <w:r w:rsidR="00E50D06">
        <w:t xml:space="preserve"> organizations</w:t>
      </w:r>
      <w:r w:rsidR="000E7AA0">
        <w:t xml:space="preserve"> identified in </w:t>
      </w:r>
      <w:r w:rsidR="00CB3A71">
        <w:t xml:space="preserve">DoD </w:t>
      </w:r>
      <w:r w:rsidR="00EF2E2C">
        <w:t>sources</w:t>
      </w:r>
      <w:r w:rsidR="000E7AA0">
        <w:t xml:space="preserve"> (e.g., CEI, awards data, call center data)</w:t>
      </w:r>
      <w:r w:rsidR="00B22B2F">
        <w:t xml:space="preserve"> that match to the Dun &amp; Bradstreet data.</w:t>
      </w:r>
      <w:r w:rsidR="00A05903">
        <w:t xml:space="preserve"> </w:t>
      </w:r>
      <w:r w:rsidR="001D498B">
        <w:t xml:space="preserve">We will </w:t>
      </w:r>
      <w:r w:rsidR="00B22B2F">
        <w:t xml:space="preserve">remove </w:t>
      </w:r>
      <w:r w:rsidR="009D5EA6">
        <w:t>entities</w:t>
      </w:r>
      <w:r w:rsidR="00B22B2F">
        <w:t xml:space="preserve"> randomly selected for the large local government sample (to avoid resampling them) and will</w:t>
      </w:r>
      <w:r w:rsidR="001D498B">
        <w:t xml:space="preserve"> </w:t>
      </w:r>
      <w:r w:rsidR="009D5EA6">
        <w:t xml:space="preserve">then </w:t>
      </w:r>
      <w:r w:rsidR="001D498B">
        <w:t xml:space="preserve">take </w:t>
      </w:r>
      <w:r w:rsidR="00AF3C93">
        <w:t xml:space="preserve">a </w:t>
      </w:r>
      <w:r w:rsidR="001D498B">
        <w:t xml:space="preserve">random subset of </w:t>
      </w:r>
      <w:r w:rsidR="00CA0D10">
        <w:t>3,000 local governments</w:t>
      </w:r>
      <w:r w:rsidR="005A02C0">
        <w:t>.</w:t>
      </w:r>
      <w:r w:rsidR="007042F0">
        <w:t xml:space="preserve"> No random samples</w:t>
      </w:r>
      <w:r w:rsidR="009D5EA6">
        <w:t xml:space="preserve"> (of the population)</w:t>
      </w:r>
      <w:r w:rsidR="007042F0">
        <w:t xml:space="preserve"> will be taken of small-to-medium or special district local governments in order to reduce burden on these sectors. As a result, we do not expect to have an appreciable representation of </w:t>
      </w:r>
      <w:r w:rsidR="009D5EA6">
        <w:t>n</w:t>
      </w:r>
      <w:r w:rsidR="00DE737F">
        <w:t>on-</w:t>
      </w:r>
      <w:r w:rsidR="004D0B2F">
        <w:t>G&amp;R</w:t>
      </w:r>
      <w:r w:rsidR="00DE737F">
        <w:t xml:space="preserve"> firms in these strata.</w:t>
      </w:r>
      <w:r w:rsidR="007042F0">
        <w:t xml:space="preserve"> </w:t>
      </w:r>
      <w:r w:rsidR="009E6223">
        <w:t xml:space="preserve">In Tables 5 and 6 below, we assume that </w:t>
      </w:r>
      <w:r w:rsidR="000E5A6D">
        <w:t>80</w:t>
      </w:r>
      <w:r w:rsidR="009E6223">
        <w:t xml:space="preserve">% of large local governments are employers of </w:t>
      </w:r>
      <w:r w:rsidR="004D0B2F">
        <w:t>G&amp;R</w:t>
      </w:r>
      <w:r w:rsidR="009E6223">
        <w:t xml:space="preserve"> and </w:t>
      </w:r>
      <w:r w:rsidR="001F021E">
        <w:t xml:space="preserve">that 100% of firms within our convenience samples are employers of </w:t>
      </w:r>
      <w:r w:rsidR="004D0B2F">
        <w:t>G&amp;R</w:t>
      </w:r>
      <w:r w:rsidR="001F021E">
        <w:t xml:space="preserve">. </w:t>
      </w:r>
      <w:r w:rsidR="00D05345">
        <w:t xml:space="preserve">We assume that 10% of other-than-large local governments are G&amp;R employers. </w:t>
      </w:r>
      <w:r w:rsidR="009E6223">
        <w:t xml:space="preserve">We will also assume that the response rates of local governments </w:t>
      </w:r>
      <w:r w:rsidR="00B831D2">
        <w:t xml:space="preserve">are </w:t>
      </w:r>
      <w:r w:rsidR="009E6223">
        <w:t>1</w:t>
      </w:r>
      <w:r w:rsidR="00D06820">
        <w:t>2</w:t>
      </w:r>
      <w:r w:rsidR="009E6223">
        <w:t xml:space="preserve">% for </w:t>
      </w:r>
      <w:r w:rsidR="004D0B2F">
        <w:t>G&amp;R</w:t>
      </w:r>
      <w:r w:rsidR="009E6223">
        <w:t xml:space="preserve"> firms and 5% for non-</w:t>
      </w:r>
      <w:r w:rsidR="004D0B2F">
        <w:t>G&amp;R</w:t>
      </w:r>
      <w:r w:rsidR="009E6223">
        <w:t xml:space="preserve"> firms, as we did for the private sector. </w:t>
      </w:r>
    </w:p>
    <w:p w:rsidR="009E6223" w:rsidP="009E6223" w:rsidRDefault="009E6223" w14:paraId="0899ABF7" w14:textId="77777777">
      <w:pPr>
        <w:pStyle w:val="NormalWeb"/>
        <w:spacing w:line="288" w:lineRule="atLeast"/>
      </w:pPr>
      <w:r>
        <w:lastRenderedPageBreak/>
        <w:t>Table 4: Summary of sampled populations for public-sector strata.</w:t>
      </w:r>
    </w:p>
    <w:tbl>
      <w:tblPr>
        <w:tblW w:w="5000" w:type="pct"/>
        <w:shd w:val="clear" w:color="auto" w:fill="FFFFFF"/>
        <w:tblLook w:val="04A0" w:firstRow="1" w:lastRow="0" w:firstColumn="1" w:lastColumn="0" w:noHBand="0" w:noVBand="1"/>
      </w:tblPr>
      <w:tblGrid>
        <w:gridCol w:w="1231"/>
        <w:gridCol w:w="1384"/>
        <w:gridCol w:w="3318"/>
        <w:gridCol w:w="3407"/>
      </w:tblGrid>
      <w:tr w:rsidRPr="003F545B" w:rsidR="009E6223" w:rsidTr="00B33484" w14:paraId="0C07BC01" w14:textId="77777777">
        <w:trPr>
          <w:trHeight w:val="502"/>
        </w:trPr>
        <w:tc>
          <w:tcPr>
            <w:tcW w:w="1400" w:type="pct"/>
            <w:gridSpan w:val="2"/>
            <w:tcBorders>
              <w:top w:val="single" w:color="auto" w:sz="8" w:space="0"/>
              <w:left w:val="single" w:color="auto" w:sz="8" w:space="0"/>
              <w:bottom w:val="single" w:color="auto" w:sz="8" w:space="0"/>
              <w:right w:val="single" w:color="000000" w:sz="8" w:space="0"/>
            </w:tcBorders>
            <w:shd w:val="clear" w:color="auto" w:fill="FFFFFF"/>
            <w:vAlign w:val="center"/>
            <w:hideMark/>
          </w:tcPr>
          <w:p w:rsidRPr="003F545B" w:rsidR="009E6223" w:rsidP="00BB14FA" w:rsidRDefault="009E6223" w14:paraId="0A66E57F" w14:textId="77777777">
            <w:pPr>
              <w:jc w:val="center"/>
              <w:rPr>
                <w:color w:val="000000"/>
              </w:rPr>
            </w:pPr>
            <w:r w:rsidRPr="003F545B">
              <w:rPr>
                <w:color w:val="000000"/>
              </w:rPr>
              <w:t>Type</w:t>
            </w:r>
          </w:p>
        </w:tc>
        <w:tc>
          <w:tcPr>
            <w:tcW w:w="1776" w:type="pct"/>
            <w:tcBorders>
              <w:top w:val="single" w:color="auto" w:sz="8" w:space="0"/>
              <w:left w:val="nil"/>
              <w:bottom w:val="single" w:color="auto" w:sz="8" w:space="0"/>
              <w:right w:val="single" w:color="auto" w:sz="8" w:space="0"/>
            </w:tcBorders>
            <w:shd w:val="clear" w:color="auto" w:fill="FFFFFF"/>
            <w:vAlign w:val="center"/>
            <w:hideMark/>
          </w:tcPr>
          <w:p w:rsidRPr="003F545B" w:rsidR="009E6223" w:rsidP="00BB14FA" w:rsidRDefault="004D0B2F" w14:paraId="287EE68C" w14:textId="75C03285">
            <w:pPr>
              <w:jc w:val="center"/>
              <w:rPr>
                <w:color w:val="000000"/>
              </w:rPr>
            </w:pPr>
            <w:r>
              <w:rPr>
                <w:color w:val="000000"/>
              </w:rPr>
              <w:t>G&amp;R</w:t>
            </w:r>
          </w:p>
        </w:tc>
        <w:tc>
          <w:tcPr>
            <w:tcW w:w="1824" w:type="pct"/>
            <w:tcBorders>
              <w:top w:val="single" w:color="auto" w:sz="8" w:space="0"/>
              <w:left w:val="nil"/>
              <w:bottom w:val="single" w:color="auto" w:sz="8" w:space="0"/>
              <w:right w:val="single" w:color="auto" w:sz="8" w:space="0"/>
            </w:tcBorders>
            <w:shd w:val="clear" w:color="auto" w:fill="FFFFFF"/>
            <w:vAlign w:val="center"/>
            <w:hideMark/>
          </w:tcPr>
          <w:p w:rsidRPr="003F545B" w:rsidR="009E6223" w:rsidP="00BB14FA" w:rsidRDefault="009E6223" w14:paraId="275F3F2F" w14:textId="695F0496">
            <w:pPr>
              <w:jc w:val="center"/>
              <w:rPr>
                <w:color w:val="000000"/>
              </w:rPr>
            </w:pPr>
            <w:r>
              <w:rPr>
                <w:color w:val="000000"/>
              </w:rPr>
              <w:t>Non-</w:t>
            </w:r>
            <w:r w:rsidR="004D0B2F">
              <w:rPr>
                <w:color w:val="000000"/>
              </w:rPr>
              <w:t>G&amp;R</w:t>
            </w:r>
          </w:p>
        </w:tc>
      </w:tr>
      <w:tr w:rsidRPr="003F545B" w:rsidR="009E6223" w:rsidTr="00B33484" w14:paraId="5877E711" w14:textId="77777777">
        <w:trPr>
          <w:trHeight w:val="360"/>
        </w:trPr>
        <w:tc>
          <w:tcPr>
            <w:tcW w:w="1400" w:type="pct"/>
            <w:gridSpan w:val="2"/>
            <w:tcBorders>
              <w:top w:val="single" w:color="auto" w:sz="8" w:space="0"/>
              <w:left w:val="single" w:color="auto" w:sz="8" w:space="0"/>
              <w:bottom w:val="single" w:color="auto" w:sz="8" w:space="0"/>
              <w:right w:val="single" w:color="000000" w:sz="8" w:space="0"/>
            </w:tcBorders>
            <w:shd w:val="clear" w:color="auto" w:fill="FFFFFF"/>
            <w:vAlign w:val="center"/>
            <w:hideMark/>
          </w:tcPr>
          <w:p w:rsidRPr="003F545B" w:rsidR="009E6223" w:rsidP="00BB14FA" w:rsidRDefault="009E6223" w14:paraId="1FC4223F" w14:textId="77777777">
            <w:pPr>
              <w:jc w:val="center"/>
              <w:rPr>
                <w:color w:val="000000"/>
              </w:rPr>
            </w:pPr>
            <w:r w:rsidRPr="003F545B">
              <w:rPr>
                <w:color w:val="000000"/>
              </w:rPr>
              <w:t>Federal</w:t>
            </w:r>
          </w:p>
        </w:tc>
        <w:tc>
          <w:tcPr>
            <w:tcW w:w="1776"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9E6223" w14:paraId="426280FC" w14:textId="77777777">
            <w:pPr>
              <w:jc w:val="center"/>
              <w:rPr>
                <w:color w:val="000000"/>
              </w:rPr>
            </w:pPr>
            <w:r>
              <w:rPr>
                <w:color w:val="000000"/>
              </w:rPr>
              <w:t>Universe</w:t>
            </w:r>
          </w:p>
        </w:tc>
        <w:tc>
          <w:tcPr>
            <w:tcW w:w="1824"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9E6223" w14:paraId="57FB22EE" w14:textId="77777777">
            <w:pPr>
              <w:jc w:val="center"/>
              <w:rPr>
                <w:color w:val="000000"/>
              </w:rPr>
            </w:pPr>
            <w:r>
              <w:rPr>
                <w:color w:val="000000"/>
              </w:rPr>
              <w:t>Universe</w:t>
            </w:r>
          </w:p>
        </w:tc>
      </w:tr>
      <w:tr w:rsidRPr="003F545B" w:rsidR="009E6223" w:rsidTr="00B33484" w14:paraId="444434BC" w14:textId="77777777">
        <w:trPr>
          <w:trHeight w:val="360"/>
        </w:trPr>
        <w:tc>
          <w:tcPr>
            <w:tcW w:w="1400" w:type="pct"/>
            <w:gridSpan w:val="2"/>
            <w:tcBorders>
              <w:top w:val="single" w:color="auto" w:sz="8" w:space="0"/>
              <w:left w:val="single" w:color="auto" w:sz="8" w:space="0"/>
              <w:bottom w:val="single" w:color="auto" w:sz="8" w:space="0"/>
              <w:right w:val="single" w:color="000000" w:sz="8" w:space="0"/>
            </w:tcBorders>
            <w:shd w:val="clear" w:color="auto" w:fill="FFFFFF"/>
            <w:vAlign w:val="center"/>
            <w:hideMark/>
          </w:tcPr>
          <w:p w:rsidRPr="003F545B" w:rsidR="009E6223" w:rsidP="00BB14FA" w:rsidRDefault="009E6223" w14:paraId="0AE85284" w14:textId="77777777">
            <w:pPr>
              <w:jc w:val="center"/>
              <w:rPr>
                <w:color w:val="000000"/>
              </w:rPr>
            </w:pPr>
            <w:r w:rsidRPr="003F545B">
              <w:rPr>
                <w:color w:val="000000"/>
              </w:rPr>
              <w:t>State</w:t>
            </w:r>
          </w:p>
        </w:tc>
        <w:tc>
          <w:tcPr>
            <w:tcW w:w="1776"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9E6223" w14:paraId="0DB2558B" w14:textId="77777777">
            <w:pPr>
              <w:jc w:val="center"/>
              <w:rPr>
                <w:color w:val="000000"/>
              </w:rPr>
            </w:pPr>
            <w:r>
              <w:rPr>
                <w:color w:val="000000"/>
              </w:rPr>
              <w:t>Universe</w:t>
            </w:r>
          </w:p>
        </w:tc>
        <w:tc>
          <w:tcPr>
            <w:tcW w:w="1824"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9E6223" w14:paraId="0D8862D5" w14:textId="77777777">
            <w:pPr>
              <w:jc w:val="center"/>
              <w:rPr>
                <w:color w:val="000000"/>
              </w:rPr>
            </w:pPr>
            <w:r>
              <w:rPr>
                <w:color w:val="000000"/>
              </w:rPr>
              <w:t>Universe</w:t>
            </w:r>
          </w:p>
        </w:tc>
      </w:tr>
      <w:tr w:rsidRPr="003F545B" w:rsidR="009E6223" w:rsidTr="00B33484" w14:paraId="5C270BE5" w14:textId="77777777">
        <w:trPr>
          <w:trHeight w:val="360"/>
        </w:trPr>
        <w:tc>
          <w:tcPr>
            <w:tcW w:w="659" w:type="pct"/>
            <w:tcBorders>
              <w:top w:val="nil"/>
              <w:left w:val="single" w:color="auto" w:sz="8" w:space="0"/>
              <w:bottom w:val="nil"/>
              <w:right w:val="single" w:color="auto" w:sz="8" w:space="0"/>
            </w:tcBorders>
            <w:shd w:val="clear" w:color="auto" w:fill="FFFFFF"/>
            <w:vAlign w:val="center"/>
            <w:hideMark/>
          </w:tcPr>
          <w:p w:rsidRPr="003F545B" w:rsidR="009E6223" w:rsidP="00BB14FA" w:rsidRDefault="009E6223" w14:paraId="07A7E259" w14:textId="53B91AB4">
            <w:pPr>
              <w:jc w:val="center"/>
              <w:rPr>
                <w:color w:val="000000"/>
              </w:rPr>
            </w:pPr>
            <w:r w:rsidRPr="003F545B">
              <w:rPr>
                <w:color w:val="000000"/>
              </w:rPr>
              <w:t> </w:t>
            </w:r>
            <w:r w:rsidR="00095AD2">
              <w:rPr>
                <w:color w:val="000000"/>
              </w:rPr>
              <w:t>Local</w:t>
            </w:r>
          </w:p>
        </w:tc>
        <w:tc>
          <w:tcPr>
            <w:tcW w:w="741"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9E6223" w14:paraId="4EA31FD6" w14:textId="77777777">
            <w:pPr>
              <w:jc w:val="center"/>
              <w:rPr>
                <w:color w:val="000000"/>
              </w:rPr>
            </w:pPr>
            <w:r>
              <w:rPr>
                <w:color w:val="000000"/>
              </w:rPr>
              <w:t>Large</w:t>
            </w:r>
          </w:p>
        </w:tc>
        <w:tc>
          <w:tcPr>
            <w:tcW w:w="1776"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B653C0" w14:paraId="630934B9" w14:textId="7D3FDA76">
            <w:pPr>
              <w:jc w:val="center"/>
              <w:rPr>
                <w:color w:val="000000"/>
              </w:rPr>
            </w:pPr>
            <w:r>
              <w:rPr>
                <w:color w:val="000000"/>
              </w:rPr>
              <w:t>Random</w:t>
            </w:r>
          </w:p>
        </w:tc>
        <w:tc>
          <w:tcPr>
            <w:tcW w:w="1824"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B653C0" w14:paraId="73389131" w14:textId="15ACD742">
            <w:pPr>
              <w:jc w:val="center"/>
              <w:rPr>
                <w:color w:val="000000"/>
              </w:rPr>
            </w:pPr>
            <w:r>
              <w:rPr>
                <w:color w:val="000000"/>
              </w:rPr>
              <w:t>Random</w:t>
            </w:r>
          </w:p>
        </w:tc>
      </w:tr>
      <w:tr w:rsidRPr="003F545B" w:rsidR="009E6223" w:rsidTr="00B33484" w14:paraId="1C4C144A" w14:textId="77777777">
        <w:trPr>
          <w:trHeight w:val="360"/>
        </w:trPr>
        <w:tc>
          <w:tcPr>
            <w:tcW w:w="659" w:type="pct"/>
            <w:tcBorders>
              <w:top w:val="nil"/>
              <w:left w:val="single" w:color="auto" w:sz="8" w:space="0"/>
              <w:bottom w:val="single" w:color="auto" w:sz="8" w:space="0"/>
              <w:right w:val="single" w:color="auto" w:sz="8" w:space="0"/>
            </w:tcBorders>
            <w:shd w:val="clear" w:color="auto" w:fill="FFFFFF"/>
            <w:vAlign w:val="center"/>
            <w:hideMark/>
          </w:tcPr>
          <w:p w:rsidRPr="003F545B" w:rsidR="009E6223" w:rsidP="00BB14FA" w:rsidRDefault="009E6223" w14:paraId="4913A676" w14:textId="4D3D3464">
            <w:pPr>
              <w:jc w:val="center"/>
              <w:rPr>
                <w:color w:val="000000"/>
              </w:rPr>
            </w:pPr>
          </w:p>
        </w:tc>
        <w:tc>
          <w:tcPr>
            <w:tcW w:w="741"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C62C3A" w14:paraId="11E5CA92" w14:textId="400FB4D9">
            <w:pPr>
              <w:jc w:val="center"/>
              <w:rPr>
                <w:color w:val="000000"/>
              </w:rPr>
            </w:pPr>
            <w:r>
              <w:rPr>
                <w:color w:val="000000"/>
              </w:rPr>
              <w:t>All</w:t>
            </w:r>
          </w:p>
        </w:tc>
        <w:tc>
          <w:tcPr>
            <w:tcW w:w="1776"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9E6223" w14:paraId="37990461" w14:textId="3599BE7A">
            <w:pPr>
              <w:jc w:val="center"/>
              <w:rPr>
                <w:color w:val="000000"/>
              </w:rPr>
            </w:pPr>
            <w:r>
              <w:rPr>
                <w:color w:val="000000"/>
              </w:rPr>
              <w:t xml:space="preserve">Convenience </w:t>
            </w:r>
          </w:p>
        </w:tc>
        <w:tc>
          <w:tcPr>
            <w:tcW w:w="1824"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087606" w14:paraId="0449BFB4" w14:textId="662D1965">
            <w:pPr>
              <w:jc w:val="center"/>
              <w:rPr>
                <w:color w:val="000000"/>
              </w:rPr>
            </w:pPr>
            <w:r>
              <w:rPr>
                <w:color w:val="000000"/>
              </w:rPr>
              <w:t>None</w:t>
            </w:r>
          </w:p>
        </w:tc>
      </w:tr>
    </w:tbl>
    <w:p w:rsidRPr="00F3288D" w:rsidR="009E6223" w:rsidP="009E6223" w:rsidRDefault="009E6223" w14:paraId="2DB321B1" w14:textId="6F5B6ABC">
      <w:pPr>
        <w:pStyle w:val="NormalWeb"/>
        <w:spacing w:line="288" w:lineRule="atLeast"/>
      </w:pPr>
      <w:r>
        <w:t>Table 5: Number of all public</w:t>
      </w:r>
      <w:r w:rsidR="009A25D3">
        <w:t>-sector</w:t>
      </w:r>
      <w:r>
        <w:t xml:space="preserve"> </w:t>
      </w:r>
      <w:r w:rsidR="009A25D3">
        <w:t>employer organizations</w:t>
      </w:r>
      <w:r>
        <w:t xml:space="preserve"> and </w:t>
      </w:r>
      <w:r w:rsidR="009A25D3">
        <w:t>number with G&amp;R employees</w:t>
      </w:r>
    </w:p>
    <w:tbl>
      <w:tblPr>
        <w:tblW w:w="5000" w:type="pct"/>
        <w:tblLook w:val="04A0" w:firstRow="1" w:lastRow="0" w:firstColumn="1" w:lastColumn="0" w:noHBand="0" w:noVBand="1"/>
      </w:tblPr>
      <w:tblGrid>
        <w:gridCol w:w="1403"/>
        <w:gridCol w:w="1545"/>
        <w:gridCol w:w="2131"/>
        <w:gridCol w:w="2131"/>
        <w:gridCol w:w="2130"/>
      </w:tblGrid>
      <w:tr w:rsidR="009E6223" w:rsidTr="00B33484" w14:paraId="40433E0A" w14:textId="77777777">
        <w:trPr>
          <w:trHeight w:val="754"/>
        </w:trPr>
        <w:tc>
          <w:tcPr>
            <w:tcW w:w="1578" w:type="pct"/>
            <w:gridSpan w:val="2"/>
            <w:tcBorders>
              <w:top w:val="single" w:color="auto" w:sz="8" w:space="0"/>
              <w:left w:val="single" w:color="auto" w:sz="8" w:space="0"/>
              <w:bottom w:val="single" w:color="auto" w:sz="8" w:space="0"/>
              <w:right w:val="single" w:color="000000" w:themeColor="text1" w:sz="8" w:space="0"/>
            </w:tcBorders>
            <w:shd w:val="clear" w:color="auto" w:fill="FFFFFF" w:themeFill="background1"/>
            <w:vAlign w:val="center"/>
            <w:hideMark/>
          </w:tcPr>
          <w:p w:rsidR="009E6223" w:rsidP="00BB14FA" w:rsidRDefault="009E6223" w14:paraId="4C204FBA" w14:textId="77777777">
            <w:pPr>
              <w:jc w:val="center"/>
              <w:rPr>
                <w:color w:val="000000"/>
              </w:rPr>
            </w:pPr>
            <w:r>
              <w:rPr>
                <w:color w:val="000000"/>
              </w:rPr>
              <w:t>Type</w:t>
            </w:r>
          </w:p>
        </w:tc>
        <w:tc>
          <w:tcPr>
            <w:tcW w:w="1141" w:type="pct"/>
            <w:tcBorders>
              <w:top w:val="single" w:color="auto" w:sz="8" w:space="0"/>
              <w:left w:val="nil"/>
              <w:bottom w:val="single" w:color="auto" w:sz="8" w:space="0"/>
              <w:right w:val="single" w:color="auto" w:sz="8" w:space="0"/>
            </w:tcBorders>
            <w:shd w:val="clear" w:color="auto" w:fill="FFFFFF" w:themeFill="background1"/>
            <w:vAlign w:val="center"/>
            <w:hideMark/>
          </w:tcPr>
          <w:p w:rsidR="009E6223" w:rsidP="00BB14FA" w:rsidRDefault="009E6223" w14:paraId="0E9F76E7" w14:textId="77777777">
            <w:pPr>
              <w:jc w:val="center"/>
              <w:rPr>
                <w:color w:val="000000"/>
              </w:rPr>
            </w:pPr>
            <w:r>
              <w:rPr>
                <w:color w:val="000000"/>
              </w:rPr>
              <w:t>Approximate # of all firms</w:t>
            </w:r>
          </w:p>
        </w:tc>
        <w:tc>
          <w:tcPr>
            <w:tcW w:w="1141" w:type="pct"/>
            <w:tcBorders>
              <w:top w:val="single" w:color="auto" w:sz="8" w:space="0"/>
              <w:left w:val="nil"/>
              <w:bottom w:val="single" w:color="auto" w:sz="8" w:space="0"/>
              <w:right w:val="single" w:color="auto" w:sz="8" w:space="0"/>
            </w:tcBorders>
            <w:shd w:val="clear" w:color="auto" w:fill="FFFFFF" w:themeFill="background1"/>
            <w:vAlign w:val="center"/>
            <w:hideMark/>
          </w:tcPr>
          <w:p w:rsidR="009E6223" w:rsidP="00BB14FA" w:rsidRDefault="00423F99" w14:paraId="16A137B7" w14:textId="293265D3">
            <w:pPr>
              <w:jc w:val="center"/>
              <w:rPr>
                <w:color w:val="000000"/>
              </w:rPr>
            </w:pPr>
            <w:r>
              <w:rPr>
                <w:color w:val="000000"/>
              </w:rPr>
              <w:t xml:space="preserve">Estimated </w:t>
            </w:r>
            <w:r w:rsidR="009E6223">
              <w:rPr>
                <w:color w:val="000000"/>
              </w:rPr>
              <w:t xml:space="preserve"># of all </w:t>
            </w:r>
            <w:r w:rsidR="004D0B2F">
              <w:rPr>
                <w:color w:val="000000"/>
              </w:rPr>
              <w:t>G&amp;R</w:t>
            </w:r>
            <w:r w:rsidR="009E6223">
              <w:rPr>
                <w:color w:val="000000"/>
              </w:rPr>
              <w:t xml:space="preserve"> firms</w:t>
            </w:r>
          </w:p>
        </w:tc>
        <w:tc>
          <w:tcPr>
            <w:tcW w:w="1141" w:type="pct"/>
            <w:tcBorders>
              <w:top w:val="single" w:color="auto" w:sz="8" w:space="0"/>
              <w:left w:val="nil"/>
              <w:bottom w:val="single" w:color="auto" w:sz="8" w:space="0"/>
              <w:right w:val="single" w:color="auto" w:sz="8" w:space="0"/>
            </w:tcBorders>
            <w:shd w:val="clear" w:color="auto" w:fill="FFFFFF" w:themeFill="background1"/>
            <w:vAlign w:val="center"/>
            <w:hideMark/>
          </w:tcPr>
          <w:p w:rsidR="009E6223" w:rsidP="00BB14FA" w:rsidRDefault="00F82B72" w14:paraId="41E31902" w14:textId="7817C809">
            <w:pPr>
              <w:jc w:val="center"/>
              <w:rPr>
                <w:color w:val="000000"/>
              </w:rPr>
            </w:pPr>
            <w:r>
              <w:rPr>
                <w:color w:val="000000"/>
              </w:rPr>
              <w:t xml:space="preserve">Estimated </w:t>
            </w:r>
            <w:r w:rsidR="009E6223">
              <w:rPr>
                <w:color w:val="000000"/>
              </w:rPr>
              <w:t xml:space="preserve">Proportion of firms that hire </w:t>
            </w:r>
            <w:r w:rsidR="004D0B2F">
              <w:rPr>
                <w:color w:val="000000"/>
              </w:rPr>
              <w:t>G&amp;R</w:t>
            </w:r>
          </w:p>
        </w:tc>
      </w:tr>
      <w:tr w:rsidR="009E6223" w:rsidTr="00B33484" w14:paraId="3AA4E9E2" w14:textId="77777777">
        <w:trPr>
          <w:trHeight w:val="334"/>
        </w:trPr>
        <w:tc>
          <w:tcPr>
            <w:tcW w:w="1578" w:type="pct"/>
            <w:gridSpan w:val="2"/>
            <w:tcBorders>
              <w:top w:val="single" w:color="auto" w:sz="8" w:space="0"/>
              <w:left w:val="single" w:color="auto" w:sz="8" w:space="0"/>
              <w:bottom w:val="single" w:color="auto" w:sz="8" w:space="0"/>
              <w:right w:val="single" w:color="000000" w:themeColor="text1" w:sz="8" w:space="0"/>
            </w:tcBorders>
            <w:shd w:val="clear" w:color="auto" w:fill="FFFFFF" w:themeFill="background1"/>
            <w:vAlign w:val="center"/>
            <w:hideMark/>
          </w:tcPr>
          <w:p w:rsidR="009E6223" w:rsidP="00BB14FA" w:rsidRDefault="009E6223" w14:paraId="6EAFD714" w14:textId="77777777">
            <w:pPr>
              <w:jc w:val="center"/>
              <w:rPr>
                <w:color w:val="000000"/>
              </w:rPr>
            </w:pPr>
            <w:r>
              <w:rPr>
                <w:color w:val="000000"/>
              </w:rPr>
              <w:t>Federal</w:t>
            </w:r>
          </w:p>
        </w:tc>
        <w:tc>
          <w:tcPr>
            <w:tcW w:w="1141"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5A0CD5" w14:paraId="6ADB051C" w14:textId="4361EF0A">
            <w:pPr>
              <w:jc w:val="center"/>
              <w:rPr>
                <w:color w:val="000000"/>
              </w:rPr>
            </w:pPr>
            <w:r>
              <w:rPr>
                <w:color w:val="000000"/>
              </w:rPr>
              <w:t>211</w:t>
            </w:r>
          </w:p>
        </w:tc>
        <w:tc>
          <w:tcPr>
            <w:tcW w:w="1141"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5A0CD5" w14:paraId="6F600445" w14:textId="1F1C3085">
            <w:pPr>
              <w:jc w:val="center"/>
              <w:rPr>
                <w:color w:val="000000"/>
              </w:rPr>
            </w:pPr>
            <w:r>
              <w:rPr>
                <w:color w:val="000000"/>
              </w:rPr>
              <w:t>211</w:t>
            </w:r>
          </w:p>
        </w:tc>
        <w:tc>
          <w:tcPr>
            <w:tcW w:w="1141"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9E6223" w14:paraId="5190CA12" w14:textId="77777777">
            <w:pPr>
              <w:jc w:val="center"/>
              <w:rPr>
                <w:color w:val="000000"/>
              </w:rPr>
            </w:pPr>
            <w:r>
              <w:rPr>
                <w:color w:val="000000"/>
              </w:rPr>
              <w:t>100%</w:t>
            </w:r>
          </w:p>
        </w:tc>
      </w:tr>
      <w:tr w:rsidR="009E6223" w:rsidTr="00B33484" w14:paraId="7612326A" w14:textId="77777777">
        <w:trPr>
          <w:trHeight w:val="334"/>
        </w:trPr>
        <w:tc>
          <w:tcPr>
            <w:tcW w:w="1578" w:type="pct"/>
            <w:gridSpan w:val="2"/>
            <w:tcBorders>
              <w:top w:val="single" w:color="auto" w:sz="8" w:space="0"/>
              <w:left w:val="single" w:color="auto" w:sz="8" w:space="0"/>
              <w:bottom w:val="single" w:color="auto" w:sz="8" w:space="0"/>
              <w:right w:val="single" w:color="000000" w:themeColor="text1" w:sz="8" w:space="0"/>
            </w:tcBorders>
            <w:shd w:val="clear" w:color="auto" w:fill="FFFFFF" w:themeFill="background1"/>
            <w:vAlign w:val="center"/>
            <w:hideMark/>
          </w:tcPr>
          <w:p w:rsidR="009E6223" w:rsidP="00BB14FA" w:rsidRDefault="009E6223" w14:paraId="63AD58AB" w14:textId="77777777">
            <w:pPr>
              <w:jc w:val="center"/>
              <w:rPr>
                <w:color w:val="000000"/>
              </w:rPr>
            </w:pPr>
            <w:r>
              <w:rPr>
                <w:color w:val="000000"/>
              </w:rPr>
              <w:t>State</w:t>
            </w:r>
          </w:p>
        </w:tc>
        <w:tc>
          <w:tcPr>
            <w:tcW w:w="1141"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26192D" w14:paraId="0C2F8299" w14:textId="177E28A6">
            <w:pPr>
              <w:jc w:val="center"/>
              <w:rPr>
                <w:color w:val="000000"/>
              </w:rPr>
            </w:pPr>
            <w:r>
              <w:rPr>
                <w:color w:val="000000"/>
              </w:rPr>
              <w:t>270</w:t>
            </w:r>
          </w:p>
        </w:tc>
        <w:tc>
          <w:tcPr>
            <w:tcW w:w="1141"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C75910" w14:paraId="15B1DF55" w14:textId="65C6BA68">
            <w:pPr>
              <w:jc w:val="center"/>
              <w:rPr>
                <w:color w:val="000000"/>
              </w:rPr>
            </w:pPr>
            <w:r>
              <w:rPr>
                <w:color w:val="000000"/>
              </w:rPr>
              <w:t>162</w:t>
            </w:r>
          </w:p>
        </w:tc>
        <w:tc>
          <w:tcPr>
            <w:tcW w:w="1141"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A61411" w14:paraId="63D178BF" w14:textId="7A0E0E11">
            <w:pPr>
              <w:jc w:val="center"/>
              <w:rPr>
                <w:color w:val="000000"/>
              </w:rPr>
            </w:pPr>
            <w:r>
              <w:rPr>
                <w:color w:val="000000"/>
              </w:rPr>
              <w:t>60</w:t>
            </w:r>
            <w:r w:rsidR="009E6223">
              <w:rPr>
                <w:color w:val="000000"/>
              </w:rPr>
              <w:t>%</w:t>
            </w:r>
          </w:p>
        </w:tc>
      </w:tr>
      <w:tr w:rsidR="009E6223" w:rsidTr="00B33484" w14:paraId="104132B5" w14:textId="77777777">
        <w:trPr>
          <w:trHeight w:val="354"/>
        </w:trPr>
        <w:tc>
          <w:tcPr>
            <w:tcW w:w="751" w:type="pct"/>
            <w:tcBorders>
              <w:top w:val="nil"/>
              <w:left w:val="single" w:color="auto" w:sz="8" w:space="0"/>
              <w:bottom w:val="nil"/>
              <w:right w:val="single" w:color="auto" w:sz="8" w:space="0"/>
            </w:tcBorders>
            <w:shd w:val="clear" w:color="auto" w:fill="FFFFFF" w:themeFill="background1"/>
            <w:vAlign w:val="center"/>
            <w:hideMark/>
          </w:tcPr>
          <w:p w:rsidR="009E6223" w:rsidP="00BB14FA" w:rsidRDefault="00095AD2" w14:paraId="33251674" w14:textId="6D03A4DC">
            <w:pPr>
              <w:jc w:val="center"/>
              <w:rPr>
                <w:color w:val="000000"/>
              </w:rPr>
            </w:pPr>
            <w:r>
              <w:rPr>
                <w:color w:val="000000"/>
              </w:rPr>
              <w:t>Local</w:t>
            </w:r>
            <w:r w:rsidR="009E6223">
              <w:rPr>
                <w:color w:val="000000"/>
              </w:rPr>
              <w:t> </w:t>
            </w:r>
          </w:p>
        </w:tc>
        <w:tc>
          <w:tcPr>
            <w:tcW w:w="827"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9E6223" w14:paraId="30DB230E" w14:textId="77777777">
            <w:pPr>
              <w:jc w:val="center"/>
              <w:rPr>
                <w:color w:val="000000"/>
              </w:rPr>
            </w:pPr>
            <w:r w:rsidRPr="637FC8BC">
              <w:rPr>
                <w:color w:val="000000" w:themeColor="text1"/>
              </w:rPr>
              <w:t>Large</w:t>
            </w:r>
          </w:p>
        </w:tc>
        <w:tc>
          <w:tcPr>
            <w:tcW w:w="1141"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9E6223" w14:paraId="61DC8B6D" w14:textId="77777777">
            <w:pPr>
              <w:jc w:val="center"/>
              <w:rPr>
                <w:color w:val="000000"/>
              </w:rPr>
            </w:pPr>
            <w:r>
              <w:rPr>
                <w:color w:val="000000"/>
              </w:rPr>
              <w:t>4,700</w:t>
            </w:r>
          </w:p>
        </w:tc>
        <w:tc>
          <w:tcPr>
            <w:tcW w:w="1141"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C71354" w14:paraId="64DDCF67" w14:textId="6538DCF2">
            <w:pPr>
              <w:jc w:val="center"/>
              <w:rPr>
                <w:color w:val="000000"/>
              </w:rPr>
            </w:pPr>
            <w:r>
              <w:rPr>
                <w:color w:val="000000"/>
              </w:rPr>
              <w:t>3,</w:t>
            </w:r>
            <w:r w:rsidR="00095AD2">
              <w:rPr>
                <w:color w:val="000000"/>
              </w:rPr>
              <w:t>760</w:t>
            </w:r>
          </w:p>
        </w:tc>
        <w:tc>
          <w:tcPr>
            <w:tcW w:w="1141"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C71354" w14:paraId="2C6A9775" w14:textId="51812C72">
            <w:pPr>
              <w:jc w:val="center"/>
              <w:rPr>
                <w:color w:val="000000"/>
              </w:rPr>
            </w:pPr>
            <w:r w:rsidRPr="637FC8BC">
              <w:rPr>
                <w:color w:val="000000" w:themeColor="text1"/>
              </w:rPr>
              <w:t>80</w:t>
            </w:r>
            <w:r w:rsidRPr="637FC8BC" w:rsidR="009E6223">
              <w:rPr>
                <w:color w:val="000000" w:themeColor="text1"/>
              </w:rPr>
              <w:t>%</w:t>
            </w:r>
          </w:p>
        </w:tc>
      </w:tr>
      <w:tr w:rsidR="009E6223" w:rsidTr="00B33484" w14:paraId="123EEE39" w14:textId="77777777">
        <w:trPr>
          <w:trHeight w:val="354"/>
        </w:trPr>
        <w:tc>
          <w:tcPr>
            <w:tcW w:w="751" w:type="pct"/>
            <w:tcBorders>
              <w:top w:val="nil"/>
              <w:left w:val="single" w:color="auto" w:sz="8" w:space="0"/>
              <w:bottom w:val="single" w:color="auto" w:sz="8" w:space="0"/>
              <w:right w:val="single" w:color="auto" w:sz="8" w:space="0"/>
            </w:tcBorders>
            <w:shd w:val="clear" w:color="auto" w:fill="FFFFFF" w:themeFill="background1"/>
            <w:vAlign w:val="center"/>
            <w:hideMark/>
          </w:tcPr>
          <w:p w:rsidR="009E6223" w:rsidP="00BB14FA" w:rsidRDefault="009E6223" w14:paraId="60CCDC6F" w14:textId="77777777">
            <w:pPr>
              <w:jc w:val="center"/>
              <w:rPr>
                <w:color w:val="000000"/>
              </w:rPr>
            </w:pPr>
            <w:r>
              <w:rPr>
                <w:color w:val="000000"/>
              </w:rPr>
              <w:t> </w:t>
            </w:r>
          </w:p>
        </w:tc>
        <w:tc>
          <w:tcPr>
            <w:tcW w:w="827"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095AD2" w14:paraId="2E3171C1" w14:textId="51350DBD">
            <w:pPr>
              <w:jc w:val="center"/>
              <w:rPr>
                <w:color w:val="000000"/>
              </w:rPr>
            </w:pPr>
            <w:r>
              <w:rPr>
                <w:color w:val="000000"/>
              </w:rPr>
              <w:t>All</w:t>
            </w:r>
          </w:p>
        </w:tc>
        <w:tc>
          <w:tcPr>
            <w:tcW w:w="1141"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095AD2" w14:paraId="39E5D460" w14:textId="7B5CF7B4">
            <w:pPr>
              <w:jc w:val="center"/>
              <w:rPr>
                <w:color w:val="000000"/>
              </w:rPr>
            </w:pPr>
            <w:r>
              <w:rPr>
                <w:color w:val="000000"/>
              </w:rPr>
              <w:t>78</w:t>
            </w:r>
            <w:r w:rsidR="009E6223">
              <w:rPr>
                <w:color w:val="000000"/>
              </w:rPr>
              <w:t>,000</w:t>
            </w:r>
          </w:p>
        </w:tc>
        <w:tc>
          <w:tcPr>
            <w:tcW w:w="1141"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9D716A" w14:paraId="411149DB" w14:textId="2E8AC1E2">
            <w:pPr>
              <w:jc w:val="center"/>
              <w:rPr>
                <w:color w:val="000000"/>
              </w:rPr>
            </w:pPr>
            <w:r>
              <w:rPr>
                <w:color w:val="000000"/>
              </w:rPr>
              <w:t>11</w:t>
            </w:r>
            <w:r w:rsidR="009E6223">
              <w:rPr>
                <w:color w:val="000000"/>
              </w:rPr>
              <w:t>,</w:t>
            </w:r>
            <w:r>
              <w:rPr>
                <w:color w:val="000000"/>
              </w:rPr>
              <w:t>090</w:t>
            </w:r>
          </w:p>
        </w:tc>
        <w:tc>
          <w:tcPr>
            <w:tcW w:w="1141" w:type="pct"/>
            <w:tcBorders>
              <w:top w:val="nil"/>
              <w:left w:val="nil"/>
              <w:bottom w:val="single" w:color="auto" w:sz="8" w:space="0"/>
              <w:right w:val="single" w:color="auto" w:sz="8" w:space="0"/>
            </w:tcBorders>
            <w:shd w:val="clear" w:color="auto" w:fill="FFFFFF" w:themeFill="background1"/>
            <w:vAlign w:val="center"/>
            <w:hideMark/>
          </w:tcPr>
          <w:p w:rsidR="009E6223" w:rsidP="00BB14FA" w:rsidRDefault="00167D1E" w14:paraId="4F4B2E60" w14:textId="1C3CB83F">
            <w:pPr>
              <w:jc w:val="center"/>
              <w:rPr>
                <w:color w:val="000000"/>
              </w:rPr>
            </w:pPr>
            <w:r>
              <w:rPr>
                <w:color w:val="000000"/>
              </w:rPr>
              <w:t>14</w:t>
            </w:r>
            <w:r w:rsidR="009E6223">
              <w:rPr>
                <w:color w:val="000000"/>
              </w:rPr>
              <w:t>%</w:t>
            </w:r>
          </w:p>
        </w:tc>
      </w:tr>
    </w:tbl>
    <w:p w:rsidRPr="00A91744" w:rsidR="009E6223" w:rsidP="009E6223" w:rsidRDefault="009E6223" w14:paraId="1345AFEA" w14:textId="77777777">
      <w:pPr>
        <w:pStyle w:val="NormalWeb"/>
        <w:spacing w:line="288" w:lineRule="atLeast"/>
      </w:pPr>
      <w:r w:rsidRPr="00A91744">
        <w:t>Table 6: Number of sampled public firms and expected number of respondents</w:t>
      </w:r>
    </w:p>
    <w:tbl>
      <w:tblPr>
        <w:tblW w:w="5000" w:type="pct"/>
        <w:shd w:val="clear" w:color="auto" w:fill="FFFFFF"/>
        <w:tblLook w:val="04A0" w:firstRow="1" w:lastRow="0" w:firstColumn="1" w:lastColumn="0" w:noHBand="0" w:noVBand="1"/>
      </w:tblPr>
      <w:tblGrid>
        <w:gridCol w:w="1021"/>
        <w:gridCol w:w="1197"/>
        <w:gridCol w:w="2742"/>
        <w:gridCol w:w="2813"/>
        <w:gridCol w:w="1567"/>
      </w:tblGrid>
      <w:tr w:rsidRPr="003F545B" w:rsidR="009E6223" w:rsidTr="00B33484" w14:paraId="2D6362DA" w14:textId="77777777">
        <w:trPr>
          <w:trHeight w:val="799"/>
        </w:trPr>
        <w:tc>
          <w:tcPr>
            <w:tcW w:w="1186" w:type="pct"/>
            <w:gridSpan w:val="2"/>
            <w:tcBorders>
              <w:top w:val="single" w:color="auto" w:sz="8" w:space="0"/>
              <w:left w:val="single" w:color="auto" w:sz="8" w:space="0"/>
              <w:bottom w:val="single" w:color="auto" w:sz="8" w:space="0"/>
              <w:right w:val="single" w:color="000000" w:sz="8" w:space="0"/>
            </w:tcBorders>
            <w:shd w:val="clear" w:color="auto" w:fill="FFFFFF"/>
            <w:vAlign w:val="center"/>
            <w:hideMark/>
          </w:tcPr>
          <w:p w:rsidRPr="003F545B" w:rsidR="009E6223" w:rsidP="00BB14FA" w:rsidRDefault="009E6223" w14:paraId="737A681D" w14:textId="77777777">
            <w:pPr>
              <w:jc w:val="center"/>
              <w:rPr>
                <w:color w:val="000000"/>
              </w:rPr>
            </w:pPr>
            <w:r w:rsidRPr="003F545B">
              <w:rPr>
                <w:color w:val="000000"/>
              </w:rPr>
              <w:t>Type</w:t>
            </w:r>
          </w:p>
        </w:tc>
        <w:tc>
          <w:tcPr>
            <w:tcW w:w="1468" w:type="pct"/>
            <w:tcBorders>
              <w:top w:val="single" w:color="auto" w:sz="8" w:space="0"/>
              <w:left w:val="nil"/>
              <w:bottom w:val="single" w:color="auto" w:sz="8" w:space="0"/>
              <w:right w:val="single" w:color="auto" w:sz="8" w:space="0"/>
            </w:tcBorders>
            <w:shd w:val="clear" w:color="auto" w:fill="FFFFFF"/>
            <w:vAlign w:val="center"/>
            <w:hideMark/>
          </w:tcPr>
          <w:p w:rsidRPr="003F545B" w:rsidR="009E6223" w:rsidP="00BB14FA" w:rsidRDefault="009E6223" w14:paraId="39F92502" w14:textId="77777777">
            <w:pPr>
              <w:jc w:val="center"/>
              <w:rPr>
                <w:color w:val="000000"/>
              </w:rPr>
            </w:pPr>
            <w:r w:rsidRPr="003F545B">
              <w:rPr>
                <w:color w:val="000000"/>
              </w:rPr>
              <w:t>Approximate # of sampled firms</w:t>
            </w:r>
          </w:p>
        </w:tc>
        <w:tc>
          <w:tcPr>
            <w:tcW w:w="1506" w:type="pct"/>
            <w:tcBorders>
              <w:top w:val="single" w:color="auto" w:sz="8" w:space="0"/>
              <w:left w:val="nil"/>
              <w:bottom w:val="single" w:color="auto" w:sz="8" w:space="0"/>
              <w:right w:val="single" w:color="auto" w:sz="8" w:space="0"/>
            </w:tcBorders>
            <w:shd w:val="clear" w:color="auto" w:fill="FFFFFF"/>
            <w:vAlign w:val="center"/>
            <w:hideMark/>
          </w:tcPr>
          <w:p w:rsidRPr="003F545B" w:rsidR="009E6223" w:rsidP="00BB14FA" w:rsidRDefault="009E6223" w14:paraId="260D9CF6" w14:textId="607504C1">
            <w:pPr>
              <w:jc w:val="center"/>
              <w:rPr>
                <w:color w:val="000000"/>
              </w:rPr>
            </w:pPr>
            <w:r w:rsidRPr="003F545B">
              <w:rPr>
                <w:color w:val="000000"/>
              </w:rPr>
              <w:t xml:space="preserve">Approximate # of </w:t>
            </w:r>
            <w:r w:rsidR="004D0B2F">
              <w:rPr>
                <w:color w:val="000000"/>
              </w:rPr>
              <w:t>G&amp;R</w:t>
            </w:r>
            <w:r w:rsidRPr="003F545B">
              <w:rPr>
                <w:color w:val="000000"/>
              </w:rPr>
              <w:t xml:space="preserve"> respondents</w:t>
            </w:r>
          </w:p>
        </w:tc>
        <w:tc>
          <w:tcPr>
            <w:tcW w:w="840" w:type="pct"/>
            <w:tcBorders>
              <w:top w:val="single" w:color="auto" w:sz="8" w:space="0"/>
              <w:left w:val="nil"/>
              <w:bottom w:val="single" w:color="auto" w:sz="8" w:space="0"/>
              <w:right w:val="single" w:color="auto" w:sz="8" w:space="0"/>
            </w:tcBorders>
            <w:shd w:val="clear" w:color="auto" w:fill="FFFFFF"/>
            <w:vAlign w:val="center"/>
            <w:hideMark/>
          </w:tcPr>
          <w:p w:rsidRPr="003F545B" w:rsidR="009E6223" w:rsidP="00BB14FA" w:rsidRDefault="009E6223" w14:paraId="734B5E09" w14:textId="04443EFA">
            <w:pPr>
              <w:jc w:val="center"/>
              <w:rPr>
                <w:color w:val="000000"/>
              </w:rPr>
            </w:pPr>
            <w:r w:rsidRPr="003F545B">
              <w:rPr>
                <w:color w:val="000000"/>
              </w:rPr>
              <w:t>Approximate # of non-</w:t>
            </w:r>
            <w:r w:rsidR="004D0B2F">
              <w:rPr>
                <w:color w:val="000000"/>
              </w:rPr>
              <w:t>G&amp;R</w:t>
            </w:r>
            <w:r w:rsidRPr="003F545B">
              <w:rPr>
                <w:color w:val="000000"/>
              </w:rPr>
              <w:t xml:space="preserve"> respondents</w:t>
            </w:r>
          </w:p>
        </w:tc>
      </w:tr>
      <w:tr w:rsidRPr="003F545B" w:rsidR="009E6223" w:rsidTr="00B33484" w14:paraId="4F5CD522" w14:textId="77777777">
        <w:trPr>
          <w:trHeight w:val="360"/>
        </w:trPr>
        <w:tc>
          <w:tcPr>
            <w:tcW w:w="1186" w:type="pct"/>
            <w:gridSpan w:val="2"/>
            <w:tcBorders>
              <w:top w:val="single" w:color="auto" w:sz="8" w:space="0"/>
              <w:left w:val="single" w:color="auto" w:sz="8" w:space="0"/>
              <w:bottom w:val="single" w:color="auto" w:sz="8" w:space="0"/>
              <w:right w:val="single" w:color="000000" w:sz="8" w:space="0"/>
            </w:tcBorders>
            <w:shd w:val="clear" w:color="auto" w:fill="FFFFFF"/>
            <w:vAlign w:val="center"/>
            <w:hideMark/>
          </w:tcPr>
          <w:p w:rsidRPr="003F545B" w:rsidR="009E6223" w:rsidP="00BB14FA" w:rsidRDefault="009E6223" w14:paraId="58D4081B" w14:textId="77777777">
            <w:pPr>
              <w:jc w:val="center"/>
              <w:rPr>
                <w:color w:val="000000"/>
              </w:rPr>
            </w:pPr>
            <w:r w:rsidRPr="003F545B">
              <w:rPr>
                <w:color w:val="000000"/>
              </w:rPr>
              <w:t>Federal</w:t>
            </w:r>
          </w:p>
        </w:tc>
        <w:tc>
          <w:tcPr>
            <w:tcW w:w="1468"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E803C8" w14:paraId="5947D584" w14:textId="4930AEA6">
            <w:pPr>
              <w:jc w:val="center"/>
              <w:rPr>
                <w:color w:val="000000"/>
              </w:rPr>
            </w:pPr>
            <w:r w:rsidRPr="003F545B">
              <w:rPr>
                <w:color w:val="000000"/>
              </w:rPr>
              <w:t>2</w:t>
            </w:r>
            <w:r>
              <w:rPr>
                <w:color w:val="000000"/>
              </w:rPr>
              <w:t>11</w:t>
            </w:r>
          </w:p>
        </w:tc>
        <w:tc>
          <w:tcPr>
            <w:tcW w:w="1506"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F32771" w14:paraId="33D6FD66" w14:textId="49DDFAF3">
            <w:pPr>
              <w:jc w:val="center"/>
              <w:rPr>
                <w:color w:val="000000"/>
              </w:rPr>
            </w:pPr>
            <w:r>
              <w:rPr>
                <w:color w:val="000000"/>
              </w:rPr>
              <w:t>1</w:t>
            </w:r>
            <w:r w:rsidR="00E803C8">
              <w:rPr>
                <w:color w:val="000000"/>
              </w:rPr>
              <w:t>58</w:t>
            </w:r>
          </w:p>
        </w:tc>
        <w:tc>
          <w:tcPr>
            <w:tcW w:w="840"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9E6223" w14:paraId="59C400BA" w14:textId="77777777">
            <w:pPr>
              <w:jc w:val="center"/>
              <w:rPr>
                <w:color w:val="000000"/>
              </w:rPr>
            </w:pPr>
            <w:r w:rsidRPr="003F545B">
              <w:rPr>
                <w:color w:val="000000"/>
              </w:rPr>
              <w:t>0</w:t>
            </w:r>
          </w:p>
        </w:tc>
      </w:tr>
      <w:tr w:rsidRPr="003F545B" w:rsidR="009E6223" w:rsidTr="00B33484" w14:paraId="40876A98" w14:textId="77777777">
        <w:trPr>
          <w:trHeight w:val="360"/>
        </w:trPr>
        <w:tc>
          <w:tcPr>
            <w:tcW w:w="1186" w:type="pct"/>
            <w:gridSpan w:val="2"/>
            <w:tcBorders>
              <w:top w:val="single" w:color="auto" w:sz="8" w:space="0"/>
              <w:left w:val="single" w:color="auto" w:sz="8" w:space="0"/>
              <w:bottom w:val="single" w:color="auto" w:sz="8" w:space="0"/>
              <w:right w:val="single" w:color="000000" w:sz="8" w:space="0"/>
            </w:tcBorders>
            <w:shd w:val="clear" w:color="auto" w:fill="FFFFFF"/>
            <w:vAlign w:val="center"/>
            <w:hideMark/>
          </w:tcPr>
          <w:p w:rsidRPr="003F545B" w:rsidR="009E6223" w:rsidP="00BB14FA" w:rsidRDefault="009E6223" w14:paraId="376952F7" w14:textId="77777777">
            <w:pPr>
              <w:jc w:val="center"/>
              <w:rPr>
                <w:color w:val="000000"/>
              </w:rPr>
            </w:pPr>
            <w:r w:rsidRPr="003F545B">
              <w:rPr>
                <w:color w:val="000000"/>
              </w:rPr>
              <w:t>State</w:t>
            </w:r>
          </w:p>
        </w:tc>
        <w:tc>
          <w:tcPr>
            <w:tcW w:w="1468"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DF31E2" w14:paraId="5EA0B0DC" w14:textId="35B32E80">
            <w:pPr>
              <w:jc w:val="center"/>
              <w:rPr>
                <w:color w:val="000000"/>
              </w:rPr>
            </w:pPr>
            <w:r>
              <w:rPr>
                <w:color w:val="000000"/>
              </w:rPr>
              <w:t>594</w:t>
            </w:r>
          </w:p>
        </w:tc>
        <w:tc>
          <w:tcPr>
            <w:tcW w:w="1506"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4719A7" w14:paraId="55ADCDAC" w14:textId="469E12B3">
            <w:pPr>
              <w:jc w:val="center"/>
              <w:rPr>
                <w:color w:val="000000"/>
              </w:rPr>
            </w:pPr>
            <w:r>
              <w:rPr>
                <w:color w:val="000000"/>
              </w:rPr>
              <w:t>135</w:t>
            </w:r>
          </w:p>
        </w:tc>
        <w:tc>
          <w:tcPr>
            <w:tcW w:w="840"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4719A7" w14:paraId="07B832F4" w14:textId="394047A7">
            <w:pPr>
              <w:jc w:val="center"/>
              <w:rPr>
                <w:color w:val="000000"/>
              </w:rPr>
            </w:pPr>
            <w:r>
              <w:rPr>
                <w:color w:val="000000"/>
              </w:rPr>
              <w:t>27</w:t>
            </w:r>
          </w:p>
        </w:tc>
      </w:tr>
      <w:tr w:rsidRPr="003F545B" w:rsidR="009E6223" w:rsidTr="00373388" w14:paraId="75952BAD" w14:textId="77777777">
        <w:trPr>
          <w:trHeight w:val="360"/>
        </w:trPr>
        <w:tc>
          <w:tcPr>
            <w:tcW w:w="546" w:type="pct"/>
            <w:tcBorders>
              <w:top w:val="nil"/>
              <w:left w:val="single" w:color="auto" w:sz="8" w:space="0"/>
              <w:bottom w:val="nil"/>
              <w:right w:val="single" w:color="auto" w:sz="8" w:space="0"/>
            </w:tcBorders>
            <w:shd w:val="clear" w:color="auto" w:fill="FFFFFF"/>
            <w:vAlign w:val="center"/>
            <w:hideMark/>
          </w:tcPr>
          <w:p w:rsidRPr="003F545B" w:rsidR="009E6223" w:rsidP="00BB14FA" w:rsidRDefault="009E6223" w14:paraId="26112CA7" w14:textId="77777777">
            <w:pPr>
              <w:jc w:val="center"/>
              <w:rPr>
                <w:color w:val="000000"/>
              </w:rPr>
            </w:pPr>
            <w:r w:rsidRPr="003F545B">
              <w:rPr>
                <w:color w:val="000000"/>
              </w:rPr>
              <w:t> </w:t>
            </w:r>
          </w:p>
        </w:tc>
        <w:tc>
          <w:tcPr>
            <w:tcW w:w="641"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9E6223" w14:paraId="7BEAB790" w14:textId="77777777">
            <w:pPr>
              <w:jc w:val="center"/>
              <w:rPr>
                <w:color w:val="000000"/>
              </w:rPr>
            </w:pPr>
            <w:r>
              <w:rPr>
                <w:color w:val="000000"/>
              </w:rPr>
              <w:t>Large</w:t>
            </w:r>
          </w:p>
        </w:tc>
        <w:tc>
          <w:tcPr>
            <w:tcW w:w="1468"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4A2E87" w14:paraId="769118A7" w14:textId="75002EAF">
            <w:pPr>
              <w:jc w:val="center"/>
              <w:rPr>
                <w:color w:val="000000"/>
              </w:rPr>
            </w:pPr>
            <w:r>
              <w:rPr>
                <w:color w:val="000000"/>
              </w:rPr>
              <w:t>2,</w:t>
            </w:r>
            <w:r w:rsidR="00DF31E2">
              <w:rPr>
                <w:color w:val="000000"/>
              </w:rPr>
              <w:t>5</w:t>
            </w:r>
            <w:r>
              <w:rPr>
                <w:color w:val="000000"/>
              </w:rPr>
              <w:t>00 (</w:t>
            </w:r>
            <w:r w:rsidR="0043124E">
              <w:rPr>
                <w:color w:val="000000"/>
              </w:rPr>
              <w:t>R</w:t>
            </w:r>
            <w:r>
              <w:rPr>
                <w:color w:val="000000"/>
              </w:rPr>
              <w:t>andom)</w:t>
            </w:r>
          </w:p>
        </w:tc>
        <w:tc>
          <w:tcPr>
            <w:tcW w:w="1506"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4A2E87" w14:paraId="376BBCEC" w14:textId="230BEB6F">
            <w:pPr>
              <w:jc w:val="center"/>
              <w:rPr>
                <w:color w:val="000000"/>
              </w:rPr>
            </w:pPr>
            <w:r>
              <w:rPr>
                <w:color w:val="000000"/>
              </w:rPr>
              <w:t>240</w:t>
            </w:r>
            <w:r w:rsidR="0043124E">
              <w:rPr>
                <w:color w:val="000000"/>
              </w:rPr>
              <w:t xml:space="preserve"> (Random)</w:t>
            </w:r>
          </w:p>
        </w:tc>
        <w:tc>
          <w:tcPr>
            <w:tcW w:w="840"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4A2E87" w14:paraId="3B3B861F" w14:textId="76C19D54">
            <w:pPr>
              <w:jc w:val="center"/>
              <w:rPr>
                <w:color w:val="000000"/>
              </w:rPr>
            </w:pPr>
            <w:r>
              <w:rPr>
                <w:color w:val="000000"/>
              </w:rPr>
              <w:t>2</w:t>
            </w:r>
            <w:r w:rsidR="00197F07">
              <w:rPr>
                <w:color w:val="000000"/>
              </w:rPr>
              <w:t>5</w:t>
            </w:r>
          </w:p>
        </w:tc>
      </w:tr>
      <w:tr w:rsidRPr="003F545B" w:rsidR="009E6223" w:rsidTr="00373388" w14:paraId="078A06AF" w14:textId="77777777">
        <w:trPr>
          <w:trHeight w:val="360"/>
        </w:trPr>
        <w:tc>
          <w:tcPr>
            <w:tcW w:w="546" w:type="pct"/>
            <w:tcBorders>
              <w:top w:val="nil"/>
              <w:left w:val="single" w:color="auto" w:sz="8" w:space="0"/>
              <w:bottom w:val="nil"/>
              <w:right w:val="single" w:color="auto" w:sz="8" w:space="0"/>
            </w:tcBorders>
            <w:shd w:val="clear" w:color="auto" w:fill="FFFFFF"/>
            <w:vAlign w:val="center"/>
            <w:hideMark/>
          </w:tcPr>
          <w:p w:rsidRPr="003F545B" w:rsidR="009E6223" w:rsidP="00BB14FA" w:rsidRDefault="009E6223" w14:paraId="76B97292" w14:textId="77777777">
            <w:pPr>
              <w:jc w:val="center"/>
              <w:rPr>
                <w:color w:val="000000"/>
              </w:rPr>
            </w:pPr>
            <w:r w:rsidRPr="003F545B">
              <w:rPr>
                <w:color w:val="000000"/>
              </w:rPr>
              <w:t xml:space="preserve">Local </w:t>
            </w:r>
          </w:p>
        </w:tc>
        <w:tc>
          <w:tcPr>
            <w:tcW w:w="641"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197F07" w14:paraId="436D4C71" w14:textId="11C7A60B">
            <w:pPr>
              <w:jc w:val="center"/>
              <w:rPr>
                <w:color w:val="000000"/>
              </w:rPr>
            </w:pPr>
            <w:r>
              <w:rPr>
                <w:color w:val="000000"/>
              </w:rPr>
              <w:t>All</w:t>
            </w:r>
          </w:p>
        </w:tc>
        <w:tc>
          <w:tcPr>
            <w:tcW w:w="1468" w:type="pct"/>
            <w:tcBorders>
              <w:top w:val="nil"/>
              <w:left w:val="nil"/>
              <w:bottom w:val="single" w:color="auto" w:sz="8" w:space="0"/>
              <w:right w:val="single" w:color="auto" w:sz="8" w:space="0"/>
            </w:tcBorders>
            <w:shd w:val="clear" w:color="auto" w:fill="FFFFFF"/>
            <w:vAlign w:val="center"/>
            <w:hideMark/>
          </w:tcPr>
          <w:p w:rsidRPr="003F545B" w:rsidR="009E6223" w:rsidP="0043124E" w:rsidRDefault="00197F07" w14:paraId="34DCE4AD" w14:textId="1986A9CC">
            <w:pPr>
              <w:jc w:val="center"/>
              <w:rPr>
                <w:color w:val="000000"/>
              </w:rPr>
            </w:pPr>
            <w:r>
              <w:rPr>
                <w:color w:val="000000"/>
              </w:rPr>
              <w:t>3,0</w:t>
            </w:r>
            <w:r w:rsidR="0043124E">
              <w:rPr>
                <w:color w:val="000000"/>
              </w:rPr>
              <w:t>00</w:t>
            </w:r>
            <w:r w:rsidR="009E6223">
              <w:rPr>
                <w:color w:val="000000"/>
              </w:rPr>
              <w:t xml:space="preserve"> (Convenience) </w:t>
            </w:r>
          </w:p>
        </w:tc>
        <w:tc>
          <w:tcPr>
            <w:tcW w:w="1506" w:type="pct"/>
            <w:tcBorders>
              <w:top w:val="nil"/>
              <w:left w:val="nil"/>
              <w:bottom w:val="single" w:color="auto" w:sz="8" w:space="0"/>
              <w:right w:val="single" w:color="auto" w:sz="8" w:space="0"/>
            </w:tcBorders>
            <w:shd w:val="clear" w:color="auto" w:fill="FFFFFF"/>
            <w:vAlign w:val="center"/>
            <w:hideMark/>
          </w:tcPr>
          <w:p w:rsidRPr="003F545B" w:rsidR="009E6223" w:rsidP="0043124E" w:rsidRDefault="00197F07" w14:paraId="69EE746B" w14:textId="56107D8E">
            <w:pPr>
              <w:jc w:val="center"/>
              <w:rPr>
                <w:color w:val="000000"/>
              </w:rPr>
            </w:pPr>
            <w:r>
              <w:rPr>
                <w:color w:val="000000"/>
              </w:rPr>
              <w:t>36</w:t>
            </w:r>
            <w:r w:rsidR="0043124E">
              <w:rPr>
                <w:color w:val="000000"/>
              </w:rPr>
              <w:t>0</w:t>
            </w:r>
            <w:r w:rsidR="009E6223">
              <w:rPr>
                <w:color w:val="000000"/>
              </w:rPr>
              <w:t xml:space="preserve"> (Convenience)</w:t>
            </w:r>
          </w:p>
        </w:tc>
        <w:tc>
          <w:tcPr>
            <w:tcW w:w="840"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43124E" w14:paraId="7BF52B46" w14:textId="51AD9105">
            <w:pPr>
              <w:jc w:val="center"/>
              <w:rPr>
                <w:color w:val="000000"/>
              </w:rPr>
            </w:pPr>
            <w:r>
              <w:rPr>
                <w:color w:val="000000"/>
              </w:rPr>
              <w:t>0</w:t>
            </w:r>
          </w:p>
        </w:tc>
      </w:tr>
      <w:tr w:rsidRPr="003F545B" w:rsidR="009E6223" w:rsidTr="00B33484" w14:paraId="1B5C0B66" w14:textId="77777777">
        <w:trPr>
          <w:trHeight w:val="360"/>
        </w:trPr>
        <w:tc>
          <w:tcPr>
            <w:tcW w:w="1186" w:type="pct"/>
            <w:gridSpan w:val="2"/>
            <w:tcBorders>
              <w:top w:val="single" w:color="auto" w:sz="8" w:space="0"/>
              <w:left w:val="single" w:color="auto" w:sz="8" w:space="0"/>
              <w:bottom w:val="single" w:color="auto" w:sz="8" w:space="0"/>
              <w:right w:val="single" w:color="000000" w:sz="8" w:space="0"/>
            </w:tcBorders>
            <w:shd w:val="clear" w:color="auto" w:fill="FFFFFF"/>
            <w:vAlign w:val="center"/>
            <w:hideMark/>
          </w:tcPr>
          <w:p w:rsidRPr="003F545B" w:rsidR="009E6223" w:rsidP="00BB14FA" w:rsidRDefault="009E6223" w14:paraId="4A2D4414" w14:textId="77777777">
            <w:pPr>
              <w:jc w:val="center"/>
              <w:rPr>
                <w:color w:val="000000"/>
              </w:rPr>
            </w:pPr>
            <w:r>
              <w:rPr>
                <w:color w:val="000000"/>
              </w:rPr>
              <w:t>Total</w:t>
            </w:r>
          </w:p>
        </w:tc>
        <w:tc>
          <w:tcPr>
            <w:tcW w:w="1468" w:type="pct"/>
            <w:tcBorders>
              <w:top w:val="nil"/>
              <w:left w:val="nil"/>
              <w:bottom w:val="single" w:color="auto" w:sz="8" w:space="0"/>
              <w:right w:val="single" w:color="auto" w:sz="8" w:space="0"/>
            </w:tcBorders>
            <w:shd w:val="clear" w:color="auto" w:fill="FFFFFF"/>
            <w:vAlign w:val="center"/>
            <w:hideMark/>
          </w:tcPr>
          <w:p w:rsidRPr="002011C3" w:rsidR="009E6223" w:rsidP="00BB14FA" w:rsidRDefault="00BD52FE" w14:paraId="45998982" w14:textId="62709F33">
            <w:pPr>
              <w:jc w:val="center"/>
            </w:pPr>
            <w:r>
              <w:rPr>
                <w:color w:val="000000"/>
              </w:rPr>
              <w:t>6,</w:t>
            </w:r>
            <w:r w:rsidR="008E669D">
              <w:rPr>
                <w:color w:val="000000"/>
              </w:rPr>
              <w:t>305</w:t>
            </w:r>
          </w:p>
        </w:tc>
        <w:tc>
          <w:tcPr>
            <w:tcW w:w="1506"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BD52FE" w14:paraId="2E3D1CB1" w14:textId="10B3DAEC">
            <w:pPr>
              <w:jc w:val="center"/>
              <w:rPr>
                <w:color w:val="000000"/>
              </w:rPr>
            </w:pPr>
            <w:r>
              <w:rPr>
                <w:color w:val="000000"/>
              </w:rPr>
              <w:t>1,01</w:t>
            </w:r>
            <w:r w:rsidR="008E669D">
              <w:rPr>
                <w:color w:val="000000"/>
              </w:rPr>
              <w:t>5</w:t>
            </w:r>
          </w:p>
        </w:tc>
        <w:tc>
          <w:tcPr>
            <w:tcW w:w="840" w:type="pct"/>
            <w:tcBorders>
              <w:top w:val="nil"/>
              <w:left w:val="nil"/>
              <w:bottom w:val="single" w:color="auto" w:sz="8" w:space="0"/>
              <w:right w:val="single" w:color="auto" w:sz="8" w:space="0"/>
            </w:tcBorders>
            <w:shd w:val="clear" w:color="auto" w:fill="FFFFFF"/>
            <w:vAlign w:val="center"/>
            <w:hideMark/>
          </w:tcPr>
          <w:p w:rsidRPr="003F545B" w:rsidR="009E6223" w:rsidP="00BB14FA" w:rsidRDefault="001C04D2" w14:paraId="79826B51" w14:textId="2A477422">
            <w:pPr>
              <w:jc w:val="center"/>
              <w:rPr>
                <w:color w:val="000000"/>
              </w:rPr>
            </w:pPr>
            <w:r>
              <w:rPr>
                <w:color w:val="000000"/>
              </w:rPr>
              <w:t>93</w:t>
            </w:r>
          </w:p>
        </w:tc>
      </w:tr>
    </w:tbl>
    <w:p w:rsidR="00373388" w:rsidP="00636AB3" w:rsidRDefault="00373388" w14:paraId="7698EC85" w14:textId="6E5FFED3">
      <w:pPr>
        <w:pStyle w:val="NormalWeb"/>
        <w:numPr>
          <w:ilvl w:val="0"/>
          <w:numId w:val="8"/>
        </w:numPr>
        <w:spacing w:line="288" w:lineRule="atLeast"/>
        <w:rPr>
          <w:b/>
          <w:bCs/>
          <w:i/>
          <w:iCs/>
        </w:rPr>
      </w:pPr>
      <w:r w:rsidRPr="001348DB">
        <w:rPr>
          <w:b/>
          <w:bCs/>
          <w:i/>
          <w:iCs/>
        </w:rPr>
        <w:t xml:space="preserve">Employer </w:t>
      </w:r>
      <w:r>
        <w:rPr>
          <w:b/>
          <w:bCs/>
          <w:i/>
          <w:iCs/>
        </w:rPr>
        <w:t>Interviews</w:t>
      </w:r>
    </w:p>
    <w:p w:rsidRPr="00EC7FCC" w:rsidR="00BE6A31" w:rsidP="00BE6A31" w:rsidRDefault="00BE6A31" w14:paraId="06836B61" w14:textId="3822F51A">
      <w:pPr>
        <w:pStyle w:val="NormalWeb"/>
        <w:spacing w:line="288" w:lineRule="atLeast"/>
      </w:pPr>
      <w:r w:rsidRPr="00EC7FCC">
        <w:t xml:space="preserve">RAND will interview representatives from organizations from the private sector and public sector that either currently employ or recently employed </w:t>
      </w:r>
      <w:r w:rsidR="00D51076">
        <w:t>G&amp;R</w:t>
      </w:r>
      <w:r w:rsidRPr="00EC7FCC">
        <w:t xml:space="preserve"> members. We will ask about the organization’s experiences with G&amp;R employees and duty-related absences; the impact of duty-related absences on the organization; the Uniformed Services Employment and Reemployment Rights Act (USERRA); Employer Support of the Guard and Reserve (ESGR) programs and support; and recommendations for possible ways to better support civilian employers of G&amp;R members. In total, we will conduct 90 employer interviews, each expected to last approximately 45 minutes. This is a one-time interview; no follow-ups are planned.</w:t>
      </w:r>
    </w:p>
    <w:p w:rsidRPr="00EC7FCC" w:rsidR="00BE6A31" w:rsidP="00BE6A31" w:rsidRDefault="00BE6A31" w14:paraId="7ABB2155" w14:textId="2332026C">
      <w:pPr>
        <w:pStyle w:val="NormalWeb"/>
        <w:spacing w:line="288" w:lineRule="atLeast"/>
      </w:pPr>
      <w:r w:rsidRPr="00EC7FCC">
        <w:lastRenderedPageBreak/>
        <w:t xml:space="preserve">Given the small size of the National Guard and Reserve relative to the entire U.S. labor force, employing a guard or reserve member is a relatively rare event. Recognizing the challenge this poses to identifying suitable candidates for these in-depth interviews, our plan is to select organizations for interviews from lists of organizations that either received an award from DoD publicly recognizing them as an exemplary employer of G&amp;R personnel (e.g., a Patriot Award or Freedom Award) or submitted an inquiry to the ESGR support center via a telephone call or the ESGR website. The study team will use the information provided by the study sponsor to identify the appropriate point of contact to answer the interview questions on behalf of the organization (e.g., the lead human resources official for the organization). As needed, we will supplement this information by merging information from firms identified through these sources into the Dun &amp; Bradstreet database, using the process described </w:t>
      </w:r>
      <w:r w:rsidR="00636AB3">
        <w:t>in section 1(A)(i)</w:t>
      </w:r>
      <w:r w:rsidRPr="00EC7FCC">
        <w:t xml:space="preserve"> in the context of constructing convenience samples for the purposes of the employer survey.</w:t>
      </w:r>
    </w:p>
    <w:p w:rsidR="00373388" w:rsidP="009E6223" w:rsidRDefault="00BE6A31" w14:paraId="4B3620E6" w14:textId="2E20614D">
      <w:pPr>
        <w:pStyle w:val="NormalWeb"/>
        <w:spacing w:line="288" w:lineRule="atLeast"/>
      </w:pPr>
      <w:r w:rsidRPr="00EC7FCC">
        <w:t>The interviews that will be analyzed using qualitative methods, not statistical methods. The results are not intended to be generalizable to the entire population of civilian employers of RC personnel. We will, however, seek to achieve variation across employer types, such as sector (private vs. public), employer size (among private firms), and employer location, so that our qualitative findings may be informed by these varied perspectives.</w:t>
      </w:r>
    </w:p>
    <w:p w:rsidR="009E6223" w:rsidP="009E6223" w:rsidRDefault="009E6223" w14:paraId="799AB877" w14:textId="0E44CE70">
      <w:pPr>
        <w:pStyle w:val="NormalWeb"/>
        <w:spacing w:line="288" w:lineRule="atLeast"/>
        <w:rPr>
          <w:b/>
          <w:bCs/>
          <w:u w:val="single"/>
        </w:rPr>
      </w:pPr>
      <w:r w:rsidRPr="005A566C">
        <w:rPr>
          <w:b/>
          <w:bCs/>
        </w:rPr>
        <w:t xml:space="preserve">2.  </w:t>
      </w:r>
      <w:r w:rsidRPr="005A566C">
        <w:rPr>
          <w:b/>
          <w:bCs/>
          <w:u w:val="single"/>
        </w:rPr>
        <w:t>Procedures for the Collection of Information</w:t>
      </w:r>
    </w:p>
    <w:p w:rsidRPr="001348DB" w:rsidR="005A566C" w:rsidP="005A566C" w:rsidRDefault="005A566C" w14:paraId="08E234B3" w14:textId="77777777">
      <w:pPr>
        <w:pStyle w:val="NormalWeb"/>
        <w:numPr>
          <w:ilvl w:val="0"/>
          <w:numId w:val="11"/>
        </w:numPr>
        <w:spacing w:line="288" w:lineRule="atLeast"/>
        <w:rPr>
          <w:b/>
          <w:bCs/>
          <w:i/>
          <w:iCs/>
        </w:rPr>
      </w:pPr>
      <w:r>
        <w:rPr>
          <w:b/>
          <w:bCs/>
          <w:i/>
          <w:iCs/>
        </w:rPr>
        <w:t>Employer Survey</w:t>
      </w:r>
    </w:p>
    <w:p w:rsidRPr="00AD3988" w:rsidR="00AD3988" w:rsidP="00AD3988" w:rsidRDefault="009E6223" w14:paraId="34E9191B" w14:textId="0CC3667E">
      <w:pPr>
        <w:pStyle w:val="ListParagraph"/>
        <w:numPr>
          <w:ilvl w:val="0"/>
          <w:numId w:val="15"/>
        </w:numPr>
        <w:ind w:left="360" w:hanging="360"/>
        <w:jc w:val="both"/>
        <w:rPr>
          <w:iCs/>
          <w:u w:val="single"/>
        </w:rPr>
      </w:pPr>
      <w:r w:rsidRPr="00AD3988">
        <w:rPr>
          <w:u w:val="single"/>
        </w:rPr>
        <w:t>Sample allocation, stratification:</w:t>
      </w:r>
      <w:r w:rsidRPr="00AD3988">
        <w:rPr>
          <w:i/>
          <w:u w:val="single"/>
        </w:rPr>
        <w:t xml:space="preserve"> </w:t>
      </w:r>
    </w:p>
    <w:p w:rsidR="009E6223" w:rsidP="00AD3988" w:rsidRDefault="009E6223" w14:paraId="3FA3A950" w14:textId="3460EBC6">
      <w:pPr>
        <w:spacing w:before="120" w:after="120"/>
        <w:jc w:val="both"/>
      </w:pPr>
      <w:r>
        <w:t xml:space="preserve">Our sample of firms will consist of six primary strata: (i) large private firms, (ii) medium private firms, (iii) small private firms, (iv) federal government agencies, (v) state agencies and (vi) local agencies. Within each of these strata, </w:t>
      </w:r>
      <w:r w:rsidR="0010268F">
        <w:t xml:space="preserve">we will collect data on both </w:t>
      </w:r>
      <w:r w:rsidR="004D0B2F">
        <w:t>G&amp;R</w:t>
      </w:r>
      <w:r w:rsidR="0010268F">
        <w:t xml:space="preserve"> and non-</w:t>
      </w:r>
      <w:r w:rsidR="004D0B2F">
        <w:t>G&amp;R</w:t>
      </w:r>
      <w:r w:rsidR="0010268F">
        <w:t xml:space="preserve"> employing firms, although our primary concern will be to provide estimates for the population of </w:t>
      </w:r>
      <w:r w:rsidR="004D0B2F">
        <w:t>G&amp;R</w:t>
      </w:r>
      <w:r w:rsidR="0010268F">
        <w:t xml:space="preserve"> firms</w:t>
      </w:r>
      <w:r>
        <w:t xml:space="preserve">. For (i), </w:t>
      </w:r>
      <w:r w:rsidR="00E86F48">
        <w:t xml:space="preserve">we will randomly sample from </w:t>
      </w:r>
      <w:r>
        <w:t>the population of large firms. For (ii), a combination of a random sample and convenience sample will be employed. For (iii), a pure convenience sample will be necessary</w:t>
      </w:r>
      <w:r w:rsidR="009D4E53">
        <w:t>, which will be divided into sub-strata of firms employing fewer than 50 employees and firms with between 50 and 99 employees</w:t>
      </w:r>
      <w:r>
        <w:t xml:space="preserve">. For (iv) every federal agency (specified by </w:t>
      </w:r>
      <w:r w:rsidRPr="00D543E4" w:rsidR="00D543E4">
        <w:t>“</w:t>
      </w:r>
      <w:r w:rsidRPr="00A91744" w:rsidR="00D543E4">
        <w:t>L</w:t>
      </w:r>
      <w:r w:rsidRPr="00A91744">
        <w:t>evel 1</w:t>
      </w:r>
      <w:r w:rsidR="00D543E4">
        <w:t>”</w:t>
      </w:r>
      <w:r w:rsidRPr="00A91744">
        <w:t xml:space="preserve"> sub</w:t>
      </w:r>
      <w:r w:rsidR="00D543E4">
        <w:t>-a</w:t>
      </w:r>
      <w:r w:rsidRPr="00A91744">
        <w:t>gency codes</w:t>
      </w:r>
      <w:r>
        <w:t>) will be sample</w:t>
      </w:r>
      <w:r w:rsidR="008622A8">
        <w:t>d</w:t>
      </w:r>
      <w:r>
        <w:t xml:space="preserve">. For (v), we will sample a central contact </w:t>
      </w:r>
      <w:r w:rsidR="008622A8">
        <w:t xml:space="preserve">as well as four sub-agencies </w:t>
      </w:r>
      <w:r>
        <w:t>for every state</w:t>
      </w:r>
      <w:r w:rsidR="00D543E4">
        <w:t xml:space="preserve"> (plus </w:t>
      </w:r>
      <w:r w:rsidR="004C255E">
        <w:t>3 territories with Guard units and the District of Columbia)</w:t>
      </w:r>
      <w:r>
        <w:t>. For (vi),</w:t>
      </w:r>
      <w:r w:rsidR="00143987">
        <w:t xml:space="preserve"> we will draw a </w:t>
      </w:r>
      <w:r w:rsidR="00935C65">
        <w:t xml:space="preserve">random sample of </w:t>
      </w:r>
      <w:r>
        <w:t xml:space="preserve">large local governments </w:t>
      </w:r>
      <w:r w:rsidR="00143987">
        <w:t xml:space="preserve">and supplement it with </w:t>
      </w:r>
      <w:r>
        <w:t xml:space="preserve">a convenience sample of known </w:t>
      </w:r>
      <w:r w:rsidR="004D0B2F">
        <w:t>G&amp;R</w:t>
      </w:r>
      <w:r>
        <w:t xml:space="preserve"> employers</w:t>
      </w:r>
      <w:r w:rsidR="00143987">
        <w:t xml:space="preserve"> from among all sizes of local governments</w:t>
      </w:r>
      <w:r>
        <w:t xml:space="preserve">. </w:t>
      </w:r>
    </w:p>
    <w:p w:rsidRPr="00AD3988" w:rsidR="00AD3988" w:rsidP="00AD3988" w:rsidRDefault="009E6223" w14:paraId="3F6039D6" w14:textId="77777777">
      <w:pPr>
        <w:pStyle w:val="ListParagraph"/>
        <w:numPr>
          <w:ilvl w:val="0"/>
          <w:numId w:val="15"/>
        </w:numPr>
        <w:ind w:left="360" w:hanging="360"/>
        <w:jc w:val="both"/>
        <w:rPr>
          <w:iCs/>
        </w:rPr>
      </w:pPr>
      <w:r w:rsidRPr="00AD3988">
        <w:rPr>
          <w:u w:val="single"/>
        </w:rPr>
        <w:t>Estimation:</w:t>
      </w:r>
      <w:r w:rsidRPr="00AD3988">
        <w:rPr>
          <w:i/>
        </w:rPr>
        <w:t xml:space="preserve"> </w:t>
      </w:r>
    </w:p>
    <w:p w:rsidRPr="00AD3988" w:rsidR="00AE4361" w:rsidP="00AD3988" w:rsidRDefault="009E6223" w14:paraId="75C4F7A7" w14:textId="2AF62117">
      <w:pPr>
        <w:spacing w:before="120" w:after="120"/>
        <w:jc w:val="both"/>
        <w:rPr>
          <w:iCs/>
        </w:rPr>
      </w:pPr>
      <w:r w:rsidRPr="00AD3988">
        <w:rPr>
          <w:iCs/>
        </w:rPr>
        <w:t xml:space="preserve">In our analyses of collected survey data, the mean (for continuous responses) and proportions (for binary and categorical responses) will be computed within each of the six specified strata from part a. Confidence intervals will be constructed at the 95% level using appropriate statistical methodology. Consistent with other firm-level surveys, we expect a substantial level of survey nonresponse. When survey nonresponse is correlated with outcomes of interest, naïve estimates of means and proportions may exhibit nonresponse bias. We will appropriately adjust for </w:t>
      </w:r>
      <w:r w:rsidRPr="00AD3988">
        <w:rPr>
          <w:iCs/>
        </w:rPr>
        <w:lastRenderedPageBreak/>
        <w:t xml:space="preserve">nonresponse bias using standard propensity score weighting and time-to-response analyses. Where random or full-stratum samples are employed (strata (i), (iv), and (v)), nonresponse adjustment is all that will be required. </w:t>
      </w:r>
    </w:p>
    <w:p w:rsidRPr="00057961" w:rsidR="009E6223" w:rsidP="00057961" w:rsidRDefault="009E6223" w14:paraId="04A3341D" w14:textId="78038242">
      <w:pPr>
        <w:spacing w:before="120" w:after="120"/>
        <w:jc w:val="both"/>
        <w:rPr>
          <w:iCs/>
        </w:rPr>
      </w:pPr>
      <w:r w:rsidRPr="00057961">
        <w:rPr>
          <w:iCs/>
        </w:rPr>
        <w:t>For strata where convenience samples are used (strata (ii), (iii), and (vi)), adjusting only for nonresponse alone will only provide unbiased estimates for the population defined by the convenience sample. Additional adjustment will be needed to make the estimates representative of the population entire stratum. When both convenience and random samples are available (stratum (ii)</w:t>
      </w:r>
      <w:r w:rsidRPr="00057961" w:rsidR="00886AD1">
        <w:rPr>
          <w:iCs/>
        </w:rPr>
        <w:t>)</w:t>
      </w:r>
      <w:r w:rsidRPr="00057961">
        <w:rPr>
          <w:iCs/>
        </w:rPr>
        <w:t xml:space="preserve">, a smaller random sample can be used to assess the degree of bias in a larger convenience sample. In </w:t>
      </w:r>
      <w:r w:rsidRPr="00057961" w:rsidR="00596DD0">
        <w:rPr>
          <w:iCs/>
        </w:rPr>
        <w:t>this case</w:t>
      </w:r>
      <w:r w:rsidRPr="00057961">
        <w:rPr>
          <w:iCs/>
        </w:rPr>
        <w:t xml:space="preserve">, the two samples can be combined by adding post-stratification weights to the convenience sample. These poststratification weights can be determined by defining substrata and treating the random sample as the population of interest. For small </w:t>
      </w:r>
      <w:r w:rsidRPr="00057961" w:rsidR="00BA05E5">
        <w:rPr>
          <w:iCs/>
        </w:rPr>
        <w:t xml:space="preserve">private </w:t>
      </w:r>
      <w:r w:rsidRPr="00057961">
        <w:rPr>
          <w:iCs/>
        </w:rPr>
        <w:t>firms (stratum (iii)</w:t>
      </w:r>
      <w:r w:rsidRPr="00057961" w:rsidR="00BA05E5">
        <w:rPr>
          <w:iCs/>
        </w:rPr>
        <w:t>)</w:t>
      </w:r>
      <w:r w:rsidRPr="00057961">
        <w:rPr>
          <w:iCs/>
        </w:rPr>
        <w:t xml:space="preserve"> and local governments </w:t>
      </w:r>
      <w:r w:rsidRPr="00057961" w:rsidR="00BA05E5">
        <w:rPr>
          <w:iCs/>
        </w:rPr>
        <w:t xml:space="preserve">other than large local governments </w:t>
      </w:r>
      <w:r w:rsidRPr="00057961">
        <w:rPr>
          <w:iCs/>
        </w:rPr>
        <w:t>within stratum (vi))</w:t>
      </w:r>
      <w:r w:rsidRPr="00057961" w:rsidR="004E692B">
        <w:rPr>
          <w:iCs/>
        </w:rPr>
        <w:t>,</w:t>
      </w:r>
      <w:r w:rsidRPr="00057961">
        <w:rPr>
          <w:iCs/>
        </w:rPr>
        <w:t xml:space="preserve"> in which only a convenience sample is available, this strategy will not be available. In this case, the adjusted estimates will formally only be representative of the available convenience sample. However, if the random sample of medium-sized firms has similar characteristics to the convenience sample of medium-sized firms, this will serve as circumstantial evidence that the convenience sample of small firms is also similar to a random sample of small firms. Conversely, if the convenience sample of medium-sized firms is different from the random sample </w:t>
      </w:r>
      <w:r w:rsidR="00665404">
        <w:rPr>
          <w:iCs/>
        </w:rPr>
        <w:t>of these</w:t>
      </w:r>
      <w:r w:rsidRPr="00057961">
        <w:rPr>
          <w:iCs/>
        </w:rPr>
        <w:t xml:space="preserve"> firms, this would also cast doubt on the generalizability of the convenience sample of small firms.</w:t>
      </w:r>
    </w:p>
    <w:p w:rsidRPr="00500528" w:rsidR="00500528" w:rsidP="00500528" w:rsidRDefault="009E6223" w14:paraId="7C00E80A" w14:textId="5B8F1B6F">
      <w:pPr>
        <w:pStyle w:val="ListParagraph"/>
        <w:numPr>
          <w:ilvl w:val="0"/>
          <w:numId w:val="15"/>
        </w:numPr>
        <w:ind w:left="360" w:hanging="360"/>
        <w:jc w:val="both"/>
        <w:rPr>
          <w:i/>
        </w:rPr>
      </w:pPr>
      <w:r w:rsidRPr="00500528">
        <w:rPr>
          <w:u w:val="single"/>
        </w:rPr>
        <w:t>Degree of accuracy:</w:t>
      </w:r>
      <w:r w:rsidRPr="00500528">
        <w:rPr>
          <w:i/>
        </w:rPr>
        <w:t xml:space="preserve"> </w:t>
      </w:r>
    </w:p>
    <w:p w:rsidR="00665404" w:rsidP="00057961" w:rsidRDefault="009E6223" w14:paraId="2517BD91" w14:textId="7DEAD019">
      <w:pPr>
        <w:spacing w:before="120" w:after="120"/>
        <w:jc w:val="both"/>
        <w:rPr>
          <w:iCs/>
        </w:rPr>
      </w:pPr>
      <w:r w:rsidRPr="00057961">
        <w:rPr>
          <w:iCs/>
        </w:rPr>
        <w:t xml:space="preserve">Below is a summary of sample size calculations. For simplicity, we perform all calculations with respect to a binary outcome (i.e., a yes or no question). We will also assume that the true underlying population proportion is 0.5. This is because an assumed proportion of 0.5 will yield the most conservative (i.e., largest) sample size requirements. Finally, we assume a margin of error of 0.05 and a level of 0.95. That is, we require that the estimated proportion lies in the interval (0.45, 0.55) with probability 0.95. Under these assumptions, standard sample size formulae suggest a minimum sample size of 385, which is smaller than the expected number of completed surveys in each of the private </w:t>
      </w:r>
      <w:r w:rsidRPr="00057961" w:rsidR="00F74CB5">
        <w:rPr>
          <w:iCs/>
        </w:rPr>
        <w:t>sector strata</w:t>
      </w:r>
      <w:r w:rsidRPr="00057961">
        <w:rPr>
          <w:iCs/>
        </w:rPr>
        <w:t xml:space="preserve">. </w:t>
      </w:r>
      <w:r w:rsidR="008B4A99">
        <w:rPr>
          <w:iCs/>
        </w:rPr>
        <w:t xml:space="preserve">To the extent feasible and informed by the data, we </w:t>
      </w:r>
      <w:r w:rsidR="00181134">
        <w:rPr>
          <w:iCs/>
        </w:rPr>
        <w:t>will divide the small private</w:t>
      </w:r>
      <w:r w:rsidR="005042DC">
        <w:rPr>
          <w:iCs/>
        </w:rPr>
        <w:t xml:space="preserve"> firm strata such that the anticipated number of responses from the very small firm group (fewer than 50 employees) will exceed this </w:t>
      </w:r>
      <w:r w:rsidR="00131A23">
        <w:rPr>
          <w:iCs/>
        </w:rPr>
        <w:t xml:space="preserve">threshold as well. </w:t>
      </w:r>
      <w:r w:rsidR="00181134">
        <w:rPr>
          <w:iCs/>
        </w:rPr>
        <w:t xml:space="preserve"> </w:t>
      </w:r>
      <w:r w:rsidR="00131A23">
        <w:rPr>
          <w:iCs/>
        </w:rPr>
        <w:t xml:space="preserve">The expected number of completed surveys also exceeds </w:t>
      </w:r>
      <w:r w:rsidR="00914B7E">
        <w:rPr>
          <w:iCs/>
        </w:rPr>
        <w:t>385 for</w:t>
      </w:r>
      <w:r w:rsidRPr="00057961">
        <w:rPr>
          <w:iCs/>
        </w:rPr>
        <w:t xml:space="preserve"> </w:t>
      </w:r>
      <w:r w:rsidRPr="00057961" w:rsidR="004D0B2F">
        <w:rPr>
          <w:iCs/>
        </w:rPr>
        <w:t>G&amp;R</w:t>
      </w:r>
      <w:r w:rsidRPr="00057961">
        <w:rPr>
          <w:iCs/>
        </w:rPr>
        <w:t xml:space="preserve"> local governments</w:t>
      </w:r>
      <w:r w:rsidRPr="00057961" w:rsidR="00F1197D">
        <w:rPr>
          <w:iCs/>
        </w:rPr>
        <w:t xml:space="preserve"> when we </w:t>
      </w:r>
      <w:r w:rsidR="006B64CE">
        <w:rPr>
          <w:iCs/>
        </w:rPr>
        <w:t xml:space="preserve">combine </w:t>
      </w:r>
      <w:r w:rsidRPr="00057961" w:rsidR="00436FEC">
        <w:rPr>
          <w:iCs/>
        </w:rPr>
        <w:t xml:space="preserve">both </w:t>
      </w:r>
      <w:r w:rsidRPr="00057961" w:rsidR="008376EB">
        <w:rPr>
          <w:iCs/>
        </w:rPr>
        <w:t xml:space="preserve">the </w:t>
      </w:r>
      <w:r w:rsidRPr="00057961" w:rsidR="00436FEC">
        <w:rPr>
          <w:iCs/>
        </w:rPr>
        <w:t>random sample of large local governments and the convenience sample that includes large</w:t>
      </w:r>
      <w:r w:rsidRPr="00057961" w:rsidR="008376EB">
        <w:rPr>
          <w:iCs/>
        </w:rPr>
        <w:t>, small-to-medium, and special district</w:t>
      </w:r>
      <w:r w:rsidRPr="00057961" w:rsidR="00436FEC">
        <w:rPr>
          <w:iCs/>
        </w:rPr>
        <w:t>s</w:t>
      </w:r>
      <w:r w:rsidRPr="00057961" w:rsidR="0037094B">
        <w:rPr>
          <w:iCs/>
        </w:rPr>
        <w:t xml:space="preserve">. </w:t>
      </w:r>
      <w:r w:rsidRPr="00057961" w:rsidR="00716A80">
        <w:rPr>
          <w:iCs/>
        </w:rPr>
        <w:t xml:space="preserve">For </w:t>
      </w:r>
      <w:r w:rsidRPr="00057961">
        <w:rPr>
          <w:iCs/>
        </w:rPr>
        <w:t>the federal and state strata, the expected number of respondents is smaller than 385</w:t>
      </w:r>
      <w:r w:rsidRPr="00057961" w:rsidR="00716A80">
        <w:rPr>
          <w:iCs/>
        </w:rPr>
        <w:t xml:space="preserve">, however </w:t>
      </w:r>
      <w:r w:rsidRPr="00057961">
        <w:rPr>
          <w:iCs/>
        </w:rPr>
        <w:t>we intend to sample the universe for these str</w:t>
      </w:r>
      <w:r w:rsidRPr="00057961" w:rsidR="008B4242">
        <w:rPr>
          <w:iCs/>
        </w:rPr>
        <w:t>ata.</w:t>
      </w:r>
      <w:r w:rsidRPr="00057961">
        <w:rPr>
          <w:iCs/>
        </w:rPr>
        <w:t xml:space="preserve"> As such, follow-up efforts will be focused on increasing response rates within these strata. Another factor that may reduce our statistical efficiency is the effect of nonresponse bias corrections. </w:t>
      </w:r>
    </w:p>
    <w:p w:rsidRPr="00057961" w:rsidR="009E6223" w:rsidP="00057961" w:rsidRDefault="009E6223" w14:paraId="0412EC0B" w14:textId="39A90AFF">
      <w:pPr>
        <w:spacing w:before="120" w:after="120"/>
        <w:jc w:val="both"/>
        <w:rPr>
          <w:iCs/>
        </w:rPr>
      </w:pPr>
      <w:r w:rsidRPr="00057961">
        <w:rPr>
          <w:iCs/>
        </w:rPr>
        <w:t xml:space="preserve">Accounting for nonresponse corrections at the stage of study design is difficult because nonresponse weighting can either increase or decrease the variance of estimators, depending on the relationship between the adjustment variables and the outcome variables. One way to adjust for the increase in in variance due to nonresponse is consider the sample size necessary subject to a design effect (DEFF). In this case, the DEFF is the ratio of the variance of an estimator obtained through a random sample and the variance of an estimator of the same size obtained through nonresponse adjustment. Assuming a DEFF of 1.5 (which is large), yields a minimum required sample size of 577 under the same conservative assumptions described above. Under these </w:t>
      </w:r>
      <w:r w:rsidRPr="00057961">
        <w:rPr>
          <w:iCs/>
        </w:rPr>
        <w:lastRenderedPageBreak/>
        <w:t xml:space="preserve">assumptions, private firm strata and local governments should still reach required precision. </w:t>
      </w:r>
      <w:r w:rsidRPr="00057961" w:rsidR="00886AD1">
        <w:rPr>
          <w:iCs/>
        </w:rPr>
        <w:t>Note none of the non-</w:t>
      </w:r>
      <w:r w:rsidRPr="00057961" w:rsidR="004D0B2F">
        <w:rPr>
          <w:iCs/>
        </w:rPr>
        <w:t>G&amp;R</w:t>
      </w:r>
      <w:r w:rsidRPr="00057961" w:rsidR="00886AD1">
        <w:rPr>
          <w:iCs/>
        </w:rPr>
        <w:t xml:space="preserve"> firm strata have sufficient size to provide </w:t>
      </w:r>
      <w:r w:rsidRPr="00057961" w:rsidR="000C7BF1">
        <w:rPr>
          <w:iCs/>
        </w:rPr>
        <w:t xml:space="preserve">accurate estimates according to this criterion. </w:t>
      </w:r>
      <w:r w:rsidRPr="00057961" w:rsidR="002F3B47">
        <w:rPr>
          <w:iCs/>
        </w:rPr>
        <w:t>W</w:t>
      </w:r>
      <w:r w:rsidRPr="00057961" w:rsidR="000C7BF1">
        <w:rPr>
          <w:iCs/>
        </w:rPr>
        <w:t xml:space="preserve">e are utilizing a sampling strategy that prioritizes estimates for the population of </w:t>
      </w:r>
      <w:r w:rsidRPr="00057961" w:rsidR="004D0B2F">
        <w:rPr>
          <w:iCs/>
        </w:rPr>
        <w:t>G&amp;R</w:t>
      </w:r>
      <w:r w:rsidRPr="00057961" w:rsidR="000C7BF1">
        <w:rPr>
          <w:iCs/>
        </w:rPr>
        <w:t xml:space="preserve"> firms</w:t>
      </w:r>
      <w:r w:rsidRPr="00057961" w:rsidR="002F3B47">
        <w:rPr>
          <w:iCs/>
        </w:rPr>
        <w:t>, because t</w:t>
      </w:r>
      <w:r w:rsidRPr="00057961" w:rsidR="00D11954">
        <w:rPr>
          <w:iCs/>
        </w:rPr>
        <w:t>he experiences of these firms make them more likely to have policy-</w:t>
      </w:r>
      <w:r w:rsidRPr="00057961" w:rsidR="0059168B">
        <w:rPr>
          <w:iCs/>
        </w:rPr>
        <w:t>relevant</w:t>
      </w:r>
      <w:r w:rsidRPr="00057961" w:rsidR="00D11954">
        <w:rPr>
          <w:iCs/>
        </w:rPr>
        <w:t xml:space="preserve"> </w:t>
      </w:r>
      <w:r w:rsidRPr="00057961" w:rsidR="0059168B">
        <w:rPr>
          <w:iCs/>
        </w:rPr>
        <w:t>lessons to offer, as well as to reduce the burden to the public and to target finite project resources</w:t>
      </w:r>
      <w:r w:rsidRPr="00057961" w:rsidR="000C7BF1">
        <w:rPr>
          <w:iCs/>
        </w:rPr>
        <w:t xml:space="preserve">. </w:t>
      </w:r>
    </w:p>
    <w:p w:rsidRPr="00500528" w:rsidR="00500528" w:rsidP="00500528" w:rsidRDefault="009E6223" w14:paraId="32FD00FF" w14:textId="67964B79">
      <w:pPr>
        <w:pStyle w:val="ListParagraph"/>
        <w:numPr>
          <w:ilvl w:val="0"/>
          <w:numId w:val="15"/>
        </w:numPr>
        <w:ind w:left="360" w:hanging="360"/>
        <w:jc w:val="both"/>
        <w:rPr>
          <w:color w:val="000000"/>
        </w:rPr>
      </w:pPr>
      <w:r w:rsidRPr="00500528">
        <w:rPr>
          <w:u w:val="single"/>
        </w:rPr>
        <w:t>Unusual problems requiring specialized sampling procedures</w:t>
      </w:r>
      <w:r w:rsidRPr="00500528">
        <w:rPr>
          <w:color w:val="000000"/>
          <w:u w:val="single"/>
        </w:rPr>
        <w:t>:</w:t>
      </w:r>
      <w:r w:rsidRPr="00500528">
        <w:rPr>
          <w:color w:val="000000"/>
        </w:rPr>
        <w:t xml:space="preserve"> </w:t>
      </w:r>
    </w:p>
    <w:p w:rsidRPr="00057961" w:rsidR="009E6223" w:rsidP="00057961" w:rsidRDefault="009E6223" w14:paraId="64F61B9D" w14:textId="35782DFC">
      <w:pPr>
        <w:spacing w:before="120" w:after="120"/>
        <w:jc w:val="both"/>
        <w:rPr>
          <w:iCs/>
        </w:rPr>
      </w:pPr>
      <w:r w:rsidRPr="00057961">
        <w:rPr>
          <w:color w:val="000000"/>
        </w:rPr>
        <w:t>A limitation of our approach is the absence of a probability sample of small private firms</w:t>
      </w:r>
      <w:r w:rsidRPr="00057961" w:rsidR="00024F20">
        <w:rPr>
          <w:color w:val="000000"/>
        </w:rPr>
        <w:t xml:space="preserve"> and local governments</w:t>
      </w:r>
      <w:r w:rsidRPr="00057961">
        <w:rPr>
          <w:color w:val="000000"/>
        </w:rPr>
        <w:t xml:space="preserve">; this is necessary due to the sparsity of </w:t>
      </w:r>
      <w:r w:rsidRPr="00057961" w:rsidR="004D0B2F">
        <w:rPr>
          <w:color w:val="000000"/>
        </w:rPr>
        <w:t>G&amp;R</w:t>
      </w:r>
      <w:r w:rsidRPr="00057961">
        <w:rPr>
          <w:color w:val="000000"/>
        </w:rPr>
        <w:t xml:space="preserve"> employers among small firms. As described above </w:t>
      </w:r>
      <w:r w:rsidR="003C5F8E">
        <w:rPr>
          <w:color w:val="000000"/>
        </w:rPr>
        <w:t xml:space="preserve">in section 2(A)(ii). </w:t>
      </w:r>
      <w:r w:rsidRPr="00057961">
        <w:rPr>
          <w:color w:val="000000"/>
        </w:rPr>
        <w:t xml:space="preserve">this limitation is mitigated by the combination of a probability sample and a convenience sample for the medium-sized firms. </w:t>
      </w:r>
    </w:p>
    <w:p w:rsidR="00075795" w:rsidP="00075795" w:rsidRDefault="009E6223" w14:paraId="5F540D10" w14:textId="12103284">
      <w:pPr>
        <w:pStyle w:val="ListParagraph"/>
        <w:numPr>
          <w:ilvl w:val="0"/>
          <w:numId w:val="15"/>
        </w:numPr>
        <w:ind w:left="360" w:hanging="360"/>
        <w:jc w:val="both"/>
      </w:pPr>
      <w:r w:rsidRPr="00075795">
        <w:rPr>
          <w:u w:val="single"/>
        </w:rPr>
        <w:t>Reduce respondent burden:</w:t>
      </w:r>
      <w:r w:rsidRPr="00087542">
        <w:t xml:space="preserve"> </w:t>
      </w:r>
    </w:p>
    <w:p w:rsidRPr="00057961" w:rsidR="009E6223" w:rsidP="00057961" w:rsidRDefault="009E6223" w14:paraId="508E4A06" w14:textId="4143C11B">
      <w:pPr>
        <w:spacing w:before="120" w:after="120"/>
        <w:jc w:val="both"/>
        <w:rPr>
          <w:iCs/>
        </w:rPr>
      </w:pPr>
      <w:r>
        <w:t>We expect r</w:t>
      </w:r>
      <w:r w:rsidRPr="00087542">
        <w:t xml:space="preserve">espondent burden </w:t>
      </w:r>
      <w:r>
        <w:t xml:space="preserve">to be low </w:t>
      </w:r>
      <w:r w:rsidRPr="00087542">
        <w:t xml:space="preserve">for this </w:t>
      </w:r>
      <w:r>
        <w:t xml:space="preserve">one-time </w:t>
      </w:r>
      <w:r w:rsidRPr="00087542">
        <w:t>data coll</w:t>
      </w:r>
      <w:r>
        <w:t>ection.</w:t>
      </w:r>
      <w:r w:rsidR="00CE6A5C">
        <w:t xml:space="preserve"> Moreover, w</w:t>
      </w:r>
      <w:r w:rsidR="00F72D0C">
        <w:t xml:space="preserve">e </w:t>
      </w:r>
      <w:r w:rsidR="00A2746A">
        <w:t>decided to</w:t>
      </w:r>
      <w:r w:rsidR="00CE6A5C">
        <w:t xml:space="preserve"> not</w:t>
      </w:r>
      <w:r w:rsidR="00F72D0C">
        <w:t xml:space="preserve"> </w:t>
      </w:r>
      <w:r w:rsidR="00CE6A5C">
        <w:t>randomly</w:t>
      </w:r>
      <w:r w:rsidR="00F72D0C">
        <w:t xml:space="preserve"> sample small private firms or other-than-large local governments in part to reduce the burden on smaller organizations, which are less likely to employ G&amp;R personnel and for which responding to the data collection may be a larger burden relative to organization resources. </w:t>
      </w:r>
    </w:p>
    <w:p w:rsidRPr="003E5946" w:rsidR="00494507" w:rsidP="003E5946" w:rsidRDefault="00494507" w14:paraId="0AC50F88" w14:textId="07DC3E3B">
      <w:pPr>
        <w:pStyle w:val="NormalWeb"/>
        <w:numPr>
          <w:ilvl w:val="0"/>
          <w:numId w:val="11"/>
        </w:numPr>
        <w:spacing w:line="288" w:lineRule="atLeast"/>
        <w:rPr>
          <w:b/>
          <w:bCs/>
          <w:i/>
          <w:iCs/>
        </w:rPr>
      </w:pPr>
      <w:r w:rsidRPr="003E5946">
        <w:rPr>
          <w:b/>
          <w:bCs/>
          <w:i/>
          <w:iCs/>
        </w:rPr>
        <w:t>Employer Interviews</w:t>
      </w:r>
    </w:p>
    <w:p w:rsidR="00494507" w:rsidP="00494507" w:rsidRDefault="00494507" w14:paraId="3AC42D31" w14:textId="12489648">
      <w:pPr>
        <w:pStyle w:val="NormalWeb"/>
        <w:spacing w:line="288" w:lineRule="atLeast"/>
        <w:rPr>
          <w:i/>
          <w:iCs/>
        </w:rPr>
      </w:pPr>
      <w:r>
        <w:t xml:space="preserve">We will not formally stratify the </w:t>
      </w:r>
      <w:r w:rsidR="0040412A">
        <w:t xml:space="preserve">employer interview </w:t>
      </w:r>
      <w:r>
        <w:t>sample but will purposefully divide the universe of potential respondents into categories of firms developed based on the firm-level information available to us in the DoD-provided sources. Contingent on the nature of the data available from ESGR, groupings may include public or private sector firms, large or small businesses, first responder organizations, or employers based in different regions. These categories will not necessarily align with the identification of strata for the employer survey, owing to the different objectives of the two data collections. The employer survey is designed to yield estimates that are representative of organizations in each stratum while the interviews will not be analyzed using statistical methods. Nonetheless, we will randomly select organizations from within the specified categories. We will conduct outreach to encourage participation, as discussed below and will replace non-responding organizations within specified categories with another organization in that category until we have reached our targets within the category and our overall target of 90 interviews.</w:t>
      </w:r>
    </w:p>
    <w:p w:rsidR="003E5946" w:rsidP="003E5946" w:rsidRDefault="00494507" w14:paraId="2675EF2B" w14:textId="77777777">
      <w:pPr>
        <w:pStyle w:val="NormalWeb"/>
        <w:spacing w:line="288" w:lineRule="atLeast"/>
      </w:pPr>
      <w:r>
        <w:t>We will</w:t>
      </w:r>
      <w:r w:rsidRPr="001D4701">
        <w:t xml:space="preserve"> code the comments made during the interviews, and then analyze those results using qualitative methods. We may report differences/similarities </w:t>
      </w:r>
      <w:r>
        <w:t>by employer type</w:t>
      </w:r>
      <w:r w:rsidRPr="001D4701">
        <w:t xml:space="preserve"> but given the relatively small sample and how it will be selected (convenience sample), most findings will be reported for the entire group of interview participants. </w:t>
      </w:r>
      <w:r>
        <w:t>W</w:t>
      </w:r>
      <w:r w:rsidRPr="001D4701">
        <w:t xml:space="preserve">e may </w:t>
      </w:r>
      <w:r>
        <w:t>provide</w:t>
      </w:r>
      <w:r w:rsidRPr="001D4701">
        <w:t xml:space="preserve"> summary descriptive </w:t>
      </w:r>
      <w:r>
        <w:t>information about the types of employers we interviewed to help convey the variation in our sample. However, we will not use formal estimation procedures to analyze information collected during the interviews, for the sample overall or for any subgroups.</w:t>
      </w:r>
    </w:p>
    <w:p w:rsidRPr="003E5946" w:rsidR="00494507" w:rsidP="003E5946" w:rsidRDefault="00494507" w14:paraId="45CF3678" w14:textId="3E142901">
      <w:pPr>
        <w:pStyle w:val="NormalWeb"/>
        <w:spacing w:line="288" w:lineRule="atLeast"/>
        <w:rPr>
          <w:i/>
          <w:iCs/>
        </w:rPr>
      </w:pPr>
      <w:r>
        <w:t>We expect r</w:t>
      </w:r>
      <w:r w:rsidRPr="00087542">
        <w:t xml:space="preserve">espondent burden </w:t>
      </w:r>
      <w:r>
        <w:t xml:space="preserve">to be low </w:t>
      </w:r>
      <w:r w:rsidRPr="00087542">
        <w:t xml:space="preserve">for this </w:t>
      </w:r>
      <w:r>
        <w:t xml:space="preserve">one-time </w:t>
      </w:r>
      <w:r w:rsidRPr="00087542">
        <w:t>data coll</w:t>
      </w:r>
      <w:r>
        <w:t xml:space="preserve">ection. </w:t>
      </w:r>
    </w:p>
    <w:p w:rsidR="009E6223" w:rsidP="009E6223" w:rsidRDefault="009E6223" w14:paraId="7DBAA8E9" w14:textId="14DC5653">
      <w:pPr>
        <w:pStyle w:val="NormalWeb"/>
        <w:spacing w:line="288" w:lineRule="atLeast"/>
        <w:rPr>
          <w:b/>
          <w:bCs/>
          <w:u w:val="single"/>
        </w:rPr>
      </w:pPr>
      <w:r w:rsidRPr="00CE7530">
        <w:rPr>
          <w:b/>
          <w:bCs/>
        </w:rPr>
        <w:lastRenderedPageBreak/>
        <w:t xml:space="preserve">3.  </w:t>
      </w:r>
      <w:r w:rsidRPr="00CE7530">
        <w:rPr>
          <w:b/>
          <w:bCs/>
          <w:u w:val="single"/>
        </w:rPr>
        <w:t>Maximization of Response Rates, Non-response, and Reliability</w:t>
      </w:r>
    </w:p>
    <w:p w:rsidRPr="00CE7530" w:rsidR="00CE7530" w:rsidP="00CE7530" w:rsidRDefault="00CE7530" w14:paraId="63E85A5C" w14:textId="734C6D6B">
      <w:pPr>
        <w:pStyle w:val="NormalWeb"/>
        <w:numPr>
          <w:ilvl w:val="0"/>
          <w:numId w:val="12"/>
        </w:numPr>
        <w:spacing w:line="288" w:lineRule="atLeast"/>
        <w:rPr>
          <w:b/>
          <w:bCs/>
          <w:i/>
          <w:iCs/>
        </w:rPr>
      </w:pPr>
      <w:r>
        <w:rPr>
          <w:b/>
          <w:bCs/>
          <w:i/>
          <w:iCs/>
        </w:rPr>
        <w:t>Employer Survey</w:t>
      </w:r>
    </w:p>
    <w:p w:rsidR="00E71270" w:rsidP="009E6223" w:rsidRDefault="00D96FEE" w14:paraId="2D292764" w14:textId="2398D4A3">
      <w:pPr>
        <w:pStyle w:val="NormalWeb"/>
        <w:spacing w:line="288" w:lineRule="atLeast"/>
      </w:pPr>
      <w:r>
        <w:t>We</w:t>
      </w:r>
      <w:r w:rsidRPr="006E4F86" w:rsidR="009E6223">
        <w:t xml:space="preserve"> will employ various methods to improve the response rate </w:t>
      </w:r>
      <w:r w:rsidR="009E6223">
        <w:t>of the survey</w:t>
      </w:r>
      <w:r>
        <w:t xml:space="preserve">. </w:t>
      </w:r>
      <w:r w:rsidR="003C1874">
        <w:t>We</w:t>
      </w:r>
      <w:r>
        <w:t xml:space="preserve"> will </w:t>
      </w:r>
      <w:r w:rsidR="00DA0D0A">
        <w:t>obtain, whe</w:t>
      </w:r>
      <w:r w:rsidR="003C1874">
        <w:t>n</w:t>
      </w:r>
      <w:r w:rsidR="00DA0D0A">
        <w:t xml:space="preserve"> possible, </w:t>
      </w:r>
      <w:r w:rsidR="00C021D6">
        <w:t xml:space="preserve">names </w:t>
      </w:r>
      <w:r w:rsidR="001132D9">
        <w:t xml:space="preserve">and email contact information for appropriate respondents at each firm, </w:t>
      </w:r>
      <w:r w:rsidR="001B5320">
        <w:t xml:space="preserve">to improve the targeting of the survey to </w:t>
      </w:r>
      <w:r w:rsidR="00540DD2">
        <w:t xml:space="preserve">those best-positioned to respond. </w:t>
      </w:r>
      <w:r w:rsidR="00E71270">
        <w:t xml:space="preserve">This will include the use of a commercial email append service to supplement email information from Dun &amp; Bradstreet. </w:t>
      </w:r>
    </w:p>
    <w:p w:rsidR="009E6223" w:rsidP="009E6223" w:rsidRDefault="000B4F5F" w14:paraId="7CEEDF96" w14:textId="5649E705">
      <w:pPr>
        <w:pStyle w:val="NormalWeb"/>
        <w:spacing w:line="288" w:lineRule="atLeast"/>
      </w:pPr>
      <w:r>
        <w:t>Via the survey vendo</w:t>
      </w:r>
      <w:r w:rsidR="00280751">
        <w:t>r</w:t>
      </w:r>
      <w:r>
        <w:t xml:space="preserve">, </w:t>
      </w:r>
      <w:r w:rsidR="00AE2DEF">
        <w:t>NORC</w:t>
      </w:r>
      <w:r>
        <w:t xml:space="preserve">, we will </w:t>
      </w:r>
      <w:r w:rsidR="00280751">
        <w:t>mail</w:t>
      </w:r>
      <w:r>
        <w:t xml:space="preserve"> </w:t>
      </w:r>
      <w:r w:rsidR="00280751">
        <w:t xml:space="preserve">a hard copy invitation letter to all firms invited to participate. The invitation package will include a cover letter from the Department of Defense, which will highlight the importance of the survey to the </w:t>
      </w:r>
      <w:r w:rsidR="002D41EE">
        <w:t xml:space="preserve">Department </w:t>
      </w:r>
      <w:r w:rsidR="00780C08">
        <w:t xml:space="preserve">and how it will be used to inform policymaking to the </w:t>
      </w:r>
      <w:r w:rsidR="009574D8">
        <w:t xml:space="preserve">benefit of employers and current or potential </w:t>
      </w:r>
      <w:r w:rsidR="004D0B2F">
        <w:t>G&amp;R</w:t>
      </w:r>
      <w:r w:rsidR="009574D8">
        <w:t xml:space="preserve"> employees. The package </w:t>
      </w:r>
      <w:r w:rsidR="00E71270">
        <w:t>also will</w:t>
      </w:r>
      <w:r w:rsidR="009574D8">
        <w:t xml:space="preserve"> include </w:t>
      </w:r>
      <w:r w:rsidR="00C11903">
        <w:t>an invitation letter from RAND supplying the respondent with the web link to the online survey and a unique PIN they will use to access the survey</w:t>
      </w:r>
      <w:r w:rsidR="005B132A">
        <w:t xml:space="preserve">, along with a </w:t>
      </w:r>
      <w:r w:rsidR="00457E36">
        <w:t>fact sheet describing the content of the survey</w:t>
      </w:r>
      <w:r w:rsidR="00E71270">
        <w:t>,</w:t>
      </w:r>
      <w:r w:rsidR="00457E36">
        <w:t xml:space="preserve"> providing assurances about confidentiality</w:t>
      </w:r>
      <w:r w:rsidR="003C1874">
        <w:t xml:space="preserve">, and indicating that respondents will be able to print out a certificate </w:t>
      </w:r>
      <w:r w:rsidR="00E969E7">
        <w:t xml:space="preserve">of </w:t>
      </w:r>
      <w:r w:rsidR="005009B9">
        <w:t>participation upon completing the survey</w:t>
      </w:r>
      <w:r w:rsidR="00457E36">
        <w:t>.</w:t>
      </w:r>
      <w:r w:rsidR="005009B9">
        <w:t xml:space="preserve"> The vendor will </w:t>
      </w:r>
      <w:r w:rsidR="00934CEB">
        <w:t xml:space="preserve">send the same materials electronically to firms for which we are able to obtain email contact information. </w:t>
      </w:r>
      <w:r w:rsidR="00640FE2">
        <w:t xml:space="preserve">Follow-up to nonrespondents will include one mailed postcard </w:t>
      </w:r>
      <w:r w:rsidR="007C56F2">
        <w:t xml:space="preserve">to firms for which we do not have email contact information </w:t>
      </w:r>
      <w:r w:rsidR="00640FE2">
        <w:t>and up to three additional emails</w:t>
      </w:r>
      <w:r w:rsidR="002B13A3">
        <w:t xml:space="preserve"> to firms for which we do have emails.</w:t>
      </w:r>
    </w:p>
    <w:p w:rsidR="009E6223" w:rsidP="009E6223" w:rsidRDefault="009E6223" w14:paraId="730481E3" w14:textId="77777777">
      <w:pPr>
        <w:pStyle w:val="NormalWeb"/>
        <w:spacing w:line="288" w:lineRule="atLeast"/>
        <w:rPr>
          <w:iCs/>
        </w:rPr>
      </w:pPr>
      <w:r>
        <w:t xml:space="preserve">Despite efforts to minimize nonresponse, we still expect a high level of nonresponse, as is typical of firm-level surveys. We will use statistical methods to adjust for nonresponse bias and ensure that survey results are representative of the employer strata specified in section 1. In particular, we will use both propensity score weighting and time-to-response analysis. In propensity score weighting, data collected from respondents is reweighted so that the population of respondents is representative of the full population of both respondents and nonrespondents. A critical step in propensity score weighting is the estimation of firm-level propensity scores. </w:t>
      </w:r>
      <w:r>
        <w:rPr>
          <w:iCs/>
        </w:rPr>
        <w:t xml:space="preserve">Propensity scores will be computed using a flexible class of generalized boosted regression models. Methods for fitting these models for propensity score estimation is implemented in the R package TWANG. The TWANG package selects a model for propensity scores that minimizes imbalance between respondent and nonrespondent characteristics.  </w:t>
      </w:r>
    </w:p>
    <w:p w:rsidR="009E6223" w:rsidP="009E6223" w:rsidRDefault="009E6223" w14:paraId="0EF7E02C" w14:textId="56217788">
      <w:pPr>
        <w:pStyle w:val="NormalWeb"/>
        <w:spacing w:line="288" w:lineRule="atLeast"/>
        <w:rPr>
          <w:iCs/>
        </w:rPr>
      </w:pPr>
      <w:r>
        <w:rPr>
          <w:iCs/>
        </w:rPr>
        <w:t xml:space="preserve">The underlying assumption of all propensity score methods is that nonresponse is random conditional on modeled covariates. While standard, this assumption is not explicitly testable. These assumptions are more feasible when propensity score models are constructed on a rich set of covariates. We will use firm-level covariates for both public and private sector firms, including firm size, industry, and geography. One additional challenge is that, even conditional on characteristics observed by both respondents and nonrespondents, </w:t>
      </w:r>
      <w:r w:rsidR="004D0B2F">
        <w:rPr>
          <w:iCs/>
        </w:rPr>
        <w:t>G&amp;R</w:t>
      </w:r>
      <w:r>
        <w:rPr>
          <w:iCs/>
        </w:rPr>
        <w:t xml:space="preserve"> status is both unobserved for nonrespondents and likely to affect response rates. To account for this, we will compare results of three weighting strategies with different assumptions. As a baseline, we will compute propensity weighted estimates where propensity scores are modeled on all observed covariates. Next, we will perform a sensitivity analysis in which we assume response rates of </w:t>
      </w:r>
      <w:r w:rsidR="004D0B2F">
        <w:rPr>
          <w:iCs/>
        </w:rPr>
        <w:t>G&amp;R</w:t>
      </w:r>
      <w:r>
        <w:rPr>
          <w:iCs/>
        </w:rPr>
        <w:t xml:space="preserve"> and non-</w:t>
      </w:r>
      <w:r w:rsidR="004D0B2F">
        <w:rPr>
          <w:iCs/>
        </w:rPr>
        <w:t>G&amp;R</w:t>
      </w:r>
      <w:r>
        <w:rPr>
          <w:iCs/>
        </w:rPr>
        <w:t xml:space="preserve"> firms differ by a fixed ratio, conditional on covariates. By varying this ratio, </w:t>
      </w:r>
      <w:r>
        <w:rPr>
          <w:iCs/>
        </w:rPr>
        <w:lastRenderedPageBreak/>
        <w:t xml:space="preserve">we can determine the impact of unobserved </w:t>
      </w:r>
      <w:r w:rsidR="004D0B2F">
        <w:rPr>
          <w:iCs/>
        </w:rPr>
        <w:t>G&amp;R</w:t>
      </w:r>
      <w:r>
        <w:rPr>
          <w:iCs/>
        </w:rPr>
        <w:t xml:space="preserve"> status on estimates. Finally, we propose to model </w:t>
      </w:r>
      <w:r w:rsidR="004D0B2F">
        <w:rPr>
          <w:iCs/>
        </w:rPr>
        <w:t>G&amp;R</w:t>
      </w:r>
      <w:r>
        <w:rPr>
          <w:iCs/>
        </w:rPr>
        <w:t xml:space="preserve"> status on all observed respondents, for which </w:t>
      </w:r>
      <w:r w:rsidR="004D0B2F">
        <w:rPr>
          <w:iCs/>
        </w:rPr>
        <w:t>G&amp;R</w:t>
      </w:r>
      <w:r>
        <w:rPr>
          <w:iCs/>
        </w:rPr>
        <w:t xml:space="preserve"> status is known. We then multiply impute </w:t>
      </w:r>
      <w:r w:rsidR="004D0B2F">
        <w:rPr>
          <w:iCs/>
        </w:rPr>
        <w:t>G&amp;R</w:t>
      </w:r>
      <w:r>
        <w:rPr>
          <w:iCs/>
        </w:rPr>
        <w:t xml:space="preserve"> status for nonrespondents and evaluate the increased variance in estimates when </w:t>
      </w:r>
      <w:r w:rsidR="004D0B2F">
        <w:rPr>
          <w:iCs/>
        </w:rPr>
        <w:t>G&amp;R</w:t>
      </w:r>
      <w:r>
        <w:rPr>
          <w:iCs/>
        </w:rPr>
        <w:t xml:space="preserve"> status is included in the propensity score model. </w:t>
      </w:r>
    </w:p>
    <w:p w:rsidR="009E6223" w:rsidP="009E6223" w:rsidRDefault="009E6223" w14:paraId="565FB174" w14:textId="77777777">
      <w:pPr>
        <w:pStyle w:val="NormalWeb"/>
        <w:spacing w:line="288" w:lineRule="atLeast"/>
      </w:pPr>
      <w:r>
        <w:rPr>
          <w:iCs/>
        </w:rPr>
        <w:t xml:space="preserve">To supplement the propensity weighting analysis, we will also use a time-to-response analysis, which relies on a different assumption. Namely, time-to-response analyses assume that late respondents are characteristic of nonrespondents. To implement time-to-response analyses, we will automatically collect the date of completion of our web-based survey. We then test whether or not the distribution response outcomes depends on response time. If response time is predictive of responses, then there is evidence of nonresponse bias. </w:t>
      </w:r>
    </w:p>
    <w:p w:rsidR="009E6223" w:rsidP="009E6223" w:rsidRDefault="009E6223" w14:paraId="30279532" w14:textId="79287BDA">
      <w:pPr>
        <w:pStyle w:val="NormalWeb"/>
        <w:spacing w:line="288" w:lineRule="atLeast"/>
      </w:pPr>
      <w:r>
        <w:t>For all strata of interest, barring the population of small private firms</w:t>
      </w:r>
      <w:r w:rsidR="00DC489B">
        <w:t xml:space="preserve"> and local governments</w:t>
      </w:r>
      <w:r>
        <w:t>, random sampling combined with appropriate adjustments for nonresponse ensures generalizability within each stratum. For the small private firms</w:t>
      </w:r>
      <w:r w:rsidR="00005616">
        <w:t xml:space="preserve"> and local governments</w:t>
      </w:r>
      <w:r>
        <w:t>, which are not randomly sampled, even appropriate nonresponse corrections cannot ensure generalizability to the population stratum; instead we can only hope to generalize to the original convenience sample itself. This is a limitation of our design, which is necessary due to the sparsity of small firms</w:t>
      </w:r>
      <w:r w:rsidR="00005616">
        <w:t xml:space="preserve"> and local governments</w:t>
      </w:r>
      <w:r>
        <w:t xml:space="preserve"> employing </w:t>
      </w:r>
      <w:r w:rsidR="004D0B2F">
        <w:t>G&amp;R</w:t>
      </w:r>
      <w:r>
        <w:t xml:space="preserve"> members. However, it is also notable that </w:t>
      </w:r>
      <w:r w:rsidR="00005616">
        <w:t xml:space="preserve">these strata </w:t>
      </w:r>
      <w:r>
        <w:t xml:space="preserve">employ a relatively small proportion of </w:t>
      </w:r>
      <w:r w:rsidR="004D0B2F">
        <w:t>G&amp;R</w:t>
      </w:r>
      <w:r>
        <w:t xml:space="preserve"> members. </w:t>
      </w:r>
    </w:p>
    <w:p w:rsidR="00CE7530" w:rsidP="00CE7530" w:rsidRDefault="00CE7530" w14:paraId="212453A8" w14:textId="17E3BEB0">
      <w:pPr>
        <w:pStyle w:val="NormalWeb"/>
        <w:numPr>
          <w:ilvl w:val="0"/>
          <w:numId w:val="12"/>
        </w:numPr>
        <w:spacing w:line="288" w:lineRule="atLeast"/>
        <w:rPr>
          <w:b/>
          <w:bCs/>
          <w:i/>
          <w:iCs/>
        </w:rPr>
      </w:pPr>
      <w:r>
        <w:rPr>
          <w:b/>
          <w:bCs/>
          <w:i/>
          <w:iCs/>
        </w:rPr>
        <w:t>Employer Interviews</w:t>
      </w:r>
    </w:p>
    <w:p w:rsidRPr="00D1157C" w:rsidR="00D1157C" w:rsidP="00D1157C" w:rsidRDefault="00D1157C" w14:paraId="74E7DA4E" w14:textId="77777777">
      <w:pPr>
        <w:pStyle w:val="NormalWeb"/>
        <w:spacing w:line="288" w:lineRule="atLeast"/>
      </w:pPr>
      <w:r w:rsidRPr="00D1157C">
        <w:t xml:space="preserve">The study team will take several steps to encourage selected employers to participate in the interviews. First, we anticipate that restricting the sample to organizations with recent, documented evidence of having employed G&amp;R personnel increases the likelihood that prospective interviewees respondents at those organizations will find the prospect of an interview interesting and relevant to them. In particular, because these are organizations that either received recognition from ESGR or had reason to reach out to ESGR with an inquiry, there is reason to believe they may be able to shed light on the topics of interest to the study. </w:t>
      </w:r>
    </w:p>
    <w:p w:rsidRPr="00D1157C" w:rsidR="00D1157C" w:rsidP="00D1157C" w:rsidRDefault="00D1157C" w14:paraId="7DAEEB60" w14:textId="77777777">
      <w:pPr>
        <w:pStyle w:val="NormalWeb"/>
        <w:spacing w:line="288" w:lineRule="atLeast"/>
      </w:pPr>
      <w:r w:rsidRPr="00D1157C">
        <w:t>We will obtain, when possible, names and email contact information for appropriate respondents at each firm, to improve the targeting of the survey to those best-positioned to respond. We will send initial recruitment materials via U.S. mail. These materials will include a cover letter from DoD underscoring the value of the research to DoD, an invitation letter from RAND, and a fact sheet describing the interviews. This package will inform prospective interviewees that they will be contacted soon by RAND to schedule an interview. It also will include the RAND project leader’s business card, so that prospective interviewees may contact us with any questions.</w:t>
      </w:r>
    </w:p>
    <w:p w:rsidRPr="00D1157C" w:rsidR="00D1157C" w:rsidP="00D1157C" w:rsidRDefault="00D1157C" w14:paraId="17171EBC" w14:textId="3A88CA9F">
      <w:pPr>
        <w:pStyle w:val="NormalWeb"/>
        <w:spacing w:line="288" w:lineRule="atLeast"/>
      </w:pPr>
      <w:r w:rsidRPr="00D1157C">
        <w:t xml:space="preserve">We will then contact prospective interviewees by email (when available) or by phone (if email unavailable or we do not receive a response within a week to the email). Interviews will be scheduled within a few weeks of this outreach, to sustain momentum for those agreeing to participate. We will send reminder emails and/or make reminder phone calls, in the days leading up to the interviews. At the start of interviews, the interviewer will ask the interviewee if he or she has any questions and will offer to resend the materials or review the key details. We will </w:t>
      </w:r>
      <w:r w:rsidRPr="00D1157C">
        <w:lastRenderedPageBreak/>
        <w:t>further encourage participation by clearly establishing the confidentiality of the interviews in all communications. In the interview itself, the subject will be asked if he or she agrees to participate and consents to recording the interview.</w:t>
      </w:r>
    </w:p>
    <w:p w:rsidRPr="009145DC" w:rsidR="009E6223" w:rsidP="009E6223" w:rsidRDefault="009E6223" w14:paraId="799361C6" w14:textId="2CD1FC45">
      <w:pPr>
        <w:pStyle w:val="NormalWeb"/>
        <w:spacing w:line="288" w:lineRule="atLeast"/>
        <w:rPr>
          <w:b/>
          <w:bCs/>
          <w:u w:val="single"/>
        </w:rPr>
      </w:pPr>
      <w:r w:rsidRPr="009145DC">
        <w:rPr>
          <w:b/>
          <w:bCs/>
        </w:rPr>
        <w:t xml:space="preserve">4.  </w:t>
      </w:r>
      <w:r w:rsidRPr="009145DC">
        <w:rPr>
          <w:b/>
          <w:bCs/>
          <w:u w:val="single"/>
        </w:rPr>
        <w:t>Tests of Procedures</w:t>
      </w:r>
    </w:p>
    <w:p w:rsidRPr="00D1157C" w:rsidR="00D1157C" w:rsidP="00D1157C" w:rsidRDefault="00D1157C" w14:paraId="0EC7B9FD" w14:textId="537F7353">
      <w:pPr>
        <w:pStyle w:val="NormalWeb"/>
        <w:numPr>
          <w:ilvl w:val="0"/>
          <w:numId w:val="13"/>
        </w:numPr>
        <w:spacing w:line="288" w:lineRule="atLeast"/>
        <w:rPr>
          <w:b/>
          <w:bCs/>
          <w:i/>
          <w:iCs/>
        </w:rPr>
      </w:pPr>
      <w:r>
        <w:rPr>
          <w:b/>
          <w:bCs/>
          <w:i/>
          <w:iCs/>
        </w:rPr>
        <w:t>Employer Survey</w:t>
      </w:r>
    </w:p>
    <w:p w:rsidR="009E6223" w:rsidP="009E6223" w:rsidRDefault="006504B5" w14:paraId="261AD521" w14:textId="39DE48DF">
      <w:r>
        <w:t xml:space="preserve">The survey instrument </w:t>
      </w:r>
      <w:r w:rsidR="00920AA1">
        <w:t xml:space="preserve">was developed by drawing on </w:t>
      </w:r>
      <w:r w:rsidR="00345CB6">
        <w:t xml:space="preserve">questions that were first asked </w:t>
      </w:r>
      <w:r w:rsidR="00920AA1">
        <w:t>of employers as part of</w:t>
      </w:r>
      <w:r w:rsidR="00345CB6">
        <w:t xml:space="preserve"> DMDC’s 2011 </w:t>
      </w:r>
      <w:r w:rsidRPr="00345CB6" w:rsidR="00345CB6">
        <w:t>U.S. Department of Defense National Survey of Employers</w:t>
      </w:r>
      <w:r w:rsidR="00920AA1">
        <w:t xml:space="preserve">, </w:t>
      </w:r>
      <w:r w:rsidR="00443061">
        <w:t>revising and updating those questions as appropriate</w:t>
      </w:r>
      <w:r w:rsidR="000531A2">
        <w:t xml:space="preserve"> based on </w:t>
      </w:r>
      <w:r w:rsidR="008425E4">
        <w:t xml:space="preserve">responses to that survey and analyses of it included in </w:t>
      </w:r>
      <w:r w:rsidR="00775E7F">
        <w:t>a</w:t>
      </w:r>
      <w:r w:rsidR="008425E4">
        <w:t xml:space="preserve"> 2013 RAND study on employer experienced with G&amp;R personnel</w:t>
      </w:r>
      <w:r w:rsidR="00775E7F">
        <w:t xml:space="preserve"> (led by one of the current project principal investigators)</w:t>
      </w:r>
      <w:r w:rsidR="00443061">
        <w:t xml:space="preserve">, and </w:t>
      </w:r>
      <w:r w:rsidR="001509F3">
        <w:t xml:space="preserve">including additional or replacement questions based on </w:t>
      </w:r>
      <w:r w:rsidR="00AA4F81">
        <w:t xml:space="preserve">the goals of the current study. </w:t>
      </w:r>
      <w:r w:rsidR="008844FB">
        <w:t>We iterated with and incorporated feedback from the DoD sponsor in developing the survey instrument.</w:t>
      </w:r>
      <w:r w:rsidR="001509F3">
        <w:t xml:space="preserve"> </w:t>
      </w:r>
      <w:r w:rsidR="008844FB">
        <w:t>We also tested</w:t>
      </w:r>
      <w:r w:rsidR="00DF4797">
        <w:t xml:space="preserve"> the survey instrument</w:t>
      </w:r>
      <w:r w:rsidRPr="00087542" w:rsidR="009E6223">
        <w:t xml:space="preserve"> </w:t>
      </w:r>
      <w:r w:rsidR="008844FB">
        <w:t xml:space="preserve">by conducting cognitive interviews </w:t>
      </w:r>
      <w:r w:rsidRPr="00087542" w:rsidR="009E6223">
        <w:t xml:space="preserve">with </w:t>
      </w:r>
      <w:r w:rsidR="00AE2DEF">
        <w:t>five</w:t>
      </w:r>
      <w:r w:rsidRPr="00087542" w:rsidR="00AE2DEF">
        <w:t xml:space="preserve"> </w:t>
      </w:r>
      <w:r w:rsidRPr="00087542" w:rsidR="009E6223">
        <w:t>respondents</w:t>
      </w:r>
      <w:r w:rsidR="00DF4797">
        <w:t>,</w:t>
      </w:r>
      <w:r w:rsidRPr="00087542" w:rsidR="009E6223">
        <w:t xml:space="preserve"> and questions </w:t>
      </w:r>
      <w:r w:rsidR="00AE2DEF">
        <w:t>were</w:t>
      </w:r>
      <w:r w:rsidRPr="00087542" w:rsidR="009E6223">
        <w:t xml:space="preserve"> revised based on findings from th</w:t>
      </w:r>
      <w:r w:rsidR="008844FB">
        <w:t>ose</w:t>
      </w:r>
      <w:r w:rsidRPr="00087542" w:rsidR="009E6223">
        <w:t xml:space="preserve"> cognitive interviews</w:t>
      </w:r>
      <w:r w:rsidR="009E6223">
        <w:t xml:space="preserve">. </w:t>
      </w:r>
    </w:p>
    <w:p w:rsidRPr="00806343" w:rsidR="00806343" w:rsidP="00806343" w:rsidRDefault="00806343" w14:paraId="63E58FCB" w14:textId="75057B16">
      <w:pPr>
        <w:pStyle w:val="NormalWeb"/>
        <w:numPr>
          <w:ilvl w:val="0"/>
          <w:numId w:val="13"/>
        </w:numPr>
        <w:spacing w:line="288" w:lineRule="atLeast"/>
        <w:rPr>
          <w:b/>
          <w:bCs/>
          <w:i/>
          <w:iCs/>
        </w:rPr>
      </w:pPr>
      <w:r w:rsidRPr="00806343">
        <w:rPr>
          <w:b/>
          <w:bCs/>
          <w:i/>
          <w:iCs/>
        </w:rPr>
        <w:t>Employer Interviews</w:t>
      </w:r>
    </w:p>
    <w:p w:rsidR="00806343" w:rsidP="009E6223" w:rsidRDefault="00806343" w14:paraId="021E6A6D" w14:textId="34440B20">
      <w:r w:rsidRPr="00FB24F3">
        <w:t>RAND utilizes best practices in its design and execution of</w:t>
      </w:r>
      <w:r>
        <w:t xml:space="preserve"> interviews</w:t>
      </w:r>
      <w:r w:rsidRPr="00FB24F3">
        <w:t xml:space="preserve"> and in the subsequent </w:t>
      </w:r>
      <w:r>
        <w:t xml:space="preserve">qualitative </w:t>
      </w:r>
      <w:r w:rsidRPr="00FB24F3">
        <w:t>analysis</w:t>
      </w:r>
      <w:r>
        <w:t xml:space="preserve"> of interview comments</w:t>
      </w:r>
      <w:r w:rsidRPr="00FB24F3">
        <w:t xml:space="preserve">. </w:t>
      </w:r>
      <w:r>
        <w:t>To develop the interview protocol, the project team</w:t>
      </w:r>
      <w:r w:rsidRPr="00FB24F3">
        <w:t xml:space="preserve"> reviewed the results of </w:t>
      </w:r>
      <w:r w:rsidR="009F4187">
        <w:t>the</w:t>
      </w:r>
      <w:r>
        <w:t xml:space="preserve"> 2013 RAND study, which included a qualitative interview component. Additionally, we reviewed </w:t>
      </w:r>
      <w:r w:rsidRPr="00FB24F3">
        <w:t xml:space="preserve">responses from recent DMDC </w:t>
      </w:r>
      <w:r w:rsidR="00823CD4">
        <w:t>SOFS-R</w:t>
      </w:r>
      <w:r w:rsidRPr="00FB24F3">
        <w:t xml:space="preserve"> </w:t>
      </w:r>
      <w:r>
        <w:t>surveys, and incorporated feedback from the DoD sponsor of the research to refine the protocol</w:t>
      </w:r>
      <w:r w:rsidRPr="00FB24F3">
        <w:t xml:space="preserve">. </w:t>
      </w:r>
      <w:r>
        <w:t xml:space="preserve">The RAND team includes researchers and support staff with </w:t>
      </w:r>
      <w:r w:rsidRPr="00FB24F3">
        <w:t xml:space="preserve">extensive experience conducting </w:t>
      </w:r>
      <w:r>
        <w:t>interviews.</w:t>
      </w:r>
    </w:p>
    <w:p w:rsidRPr="009145DC" w:rsidR="009E6223" w:rsidP="00A91744" w:rsidRDefault="009E6223" w14:paraId="6E6F118D" w14:textId="23FE8A18">
      <w:pPr>
        <w:pStyle w:val="NormalWeb"/>
        <w:spacing w:line="288" w:lineRule="atLeast"/>
        <w:rPr>
          <w:b/>
          <w:bCs/>
          <w:u w:val="single"/>
        </w:rPr>
      </w:pPr>
      <w:r w:rsidRPr="009145DC">
        <w:rPr>
          <w:b/>
          <w:bCs/>
        </w:rPr>
        <w:t xml:space="preserve">5.  </w:t>
      </w:r>
      <w:r w:rsidRPr="009145DC">
        <w:rPr>
          <w:b/>
          <w:bCs/>
          <w:u w:val="single"/>
        </w:rPr>
        <w:t>Statistical Consultation and Information Analysis</w:t>
      </w:r>
    </w:p>
    <w:p w:rsidRPr="00806343" w:rsidR="009145DC" w:rsidP="009145DC" w:rsidRDefault="009145DC" w14:paraId="004C229B" w14:textId="0577E172">
      <w:pPr>
        <w:pStyle w:val="NormalWeb"/>
        <w:numPr>
          <w:ilvl w:val="0"/>
          <w:numId w:val="14"/>
        </w:numPr>
        <w:spacing w:line="288" w:lineRule="atLeast"/>
        <w:rPr>
          <w:b/>
          <w:bCs/>
          <w:i/>
          <w:iCs/>
        </w:rPr>
      </w:pPr>
      <w:r w:rsidRPr="00806343">
        <w:rPr>
          <w:b/>
          <w:bCs/>
          <w:i/>
          <w:iCs/>
        </w:rPr>
        <w:t>Employer</w:t>
      </w:r>
      <w:r w:rsidR="008E1CBF">
        <w:rPr>
          <w:b/>
          <w:bCs/>
          <w:i/>
          <w:iCs/>
        </w:rPr>
        <w:t xml:space="preserve"> Survey</w:t>
      </w:r>
    </w:p>
    <w:p w:rsidRPr="001B12A0" w:rsidR="007A0A21" w:rsidP="009E6223" w:rsidRDefault="001B12A0" w14:paraId="71B23A46" w14:textId="6A95EB6D">
      <w:pPr>
        <w:pStyle w:val="ListParagraph"/>
        <w:numPr>
          <w:ilvl w:val="0"/>
          <w:numId w:val="16"/>
        </w:numPr>
        <w:ind w:left="360" w:hanging="360"/>
        <w:rPr>
          <w:color w:val="000000"/>
          <w:u w:val="single"/>
        </w:rPr>
      </w:pPr>
      <w:r>
        <w:rPr>
          <w:color w:val="000000"/>
          <w:u w:val="single"/>
        </w:rPr>
        <w:t>Statistical Analysis</w:t>
      </w:r>
    </w:p>
    <w:p w:rsidRPr="00656EFA" w:rsidR="009E6223" w:rsidP="009E6223" w:rsidRDefault="009E6223" w14:paraId="360141C3" w14:textId="2798322F">
      <w:pPr>
        <w:rPr>
          <w:color w:val="000000"/>
        </w:rPr>
      </w:pPr>
      <w:r>
        <w:rPr>
          <w:color w:val="000000"/>
        </w:rPr>
        <w:t>Irineo Cabreros</w:t>
      </w:r>
      <w:r w:rsidR="00F1345F">
        <w:rPr>
          <w:color w:val="000000"/>
        </w:rPr>
        <w:t>, Ph.D.</w:t>
      </w:r>
    </w:p>
    <w:p w:rsidRPr="00656EFA" w:rsidR="009E6223" w:rsidP="009E6223" w:rsidRDefault="009E6223" w14:paraId="6944B346" w14:textId="77777777">
      <w:pPr>
        <w:rPr>
          <w:color w:val="000000"/>
        </w:rPr>
      </w:pPr>
      <w:r w:rsidRPr="00656EFA">
        <w:rPr>
          <w:color w:val="000000"/>
        </w:rPr>
        <w:t xml:space="preserve">Associate </w:t>
      </w:r>
      <w:r>
        <w:rPr>
          <w:color w:val="000000"/>
        </w:rPr>
        <w:t>Statistician</w:t>
      </w:r>
    </w:p>
    <w:p w:rsidRPr="00656EFA" w:rsidR="009E6223" w:rsidP="009E6223" w:rsidRDefault="009E6223" w14:paraId="0B9E71AE" w14:textId="77777777">
      <w:pPr>
        <w:rPr>
          <w:color w:val="000000"/>
        </w:rPr>
      </w:pPr>
      <w:r w:rsidRPr="00656EFA">
        <w:rPr>
          <w:color w:val="000000"/>
        </w:rPr>
        <w:t>RAND Corporation</w:t>
      </w:r>
    </w:p>
    <w:p w:rsidRPr="00656EFA" w:rsidR="009E6223" w:rsidP="009E6223" w:rsidRDefault="009E6223" w14:paraId="587BCD3E" w14:textId="77777777">
      <w:pPr>
        <w:rPr>
          <w:color w:val="000000"/>
        </w:rPr>
      </w:pPr>
      <w:r w:rsidRPr="00656EFA">
        <w:rPr>
          <w:color w:val="000000"/>
        </w:rPr>
        <w:t>1776 Main Street</w:t>
      </w:r>
    </w:p>
    <w:p w:rsidRPr="00656EFA" w:rsidR="009E6223" w:rsidP="009E6223" w:rsidRDefault="009E6223" w14:paraId="207DA3BC" w14:textId="77777777">
      <w:pPr>
        <w:rPr>
          <w:color w:val="000000"/>
        </w:rPr>
      </w:pPr>
      <w:r w:rsidRPr="00656EFA">
        <w:rPr>
          <w:color w:val="000000"/>
        </w:rPr>
        <w:t>Santa Monica, CA 90407</w:t>
      </w:r>
    </w:p>
    <w:p w:rsidRPr="00656EFA" w:rsidR="009E6223" w:rsidP="009E6223" w:rsidRDefault="009E6223" w14:paraId="0EFF1F78" w14:textId="77777777">
      <w:pPr>
        <w:rPr>
          <w:color w:val="000000"/>
        </w:rPr>
      </w:pPr>
      <w:r w:rsidRPr="00656EFA">
        <w:rPr>
          <w:color w:val="000000"/>
        </w:rPr>
        <w:t>Office: 310-393-0411 x</w:t>
      </w:r>
      <w:r w:rsidRPr="000221E3">
        <w:rPr>
          <w:rFonts w:ascii="Arial" w:hAnsi="Arial" w:cs="Arial"/>
          <w:color w:val="000000"/>
          <w:sz w:val="20"/>
          <w:szCs w:val="20"/>
          <w:shd w:val="clear" w:color="auto" w:fill="FFFFFF"/>
        </w:rPr>
        <w:t xml:space="preserve"> </w:t>
      </w:r>
      <w:r w:rsidRPr="000221E3">
        <w:rPr>
          <w:color w:val="000000"/>
        </w:rPr>
        <w:t>6361</w:t>
      </w:r>
    </w:p>
    <w:p w:rsidRPr="00656EFA" w:rsidR="009E6223" w:rsidP="009E6223" w:rsidRDefault="009E6223" w14:paraId="6C66EC99" w14:textId="77777777">
      <w:pPr>
        <w:rPr>
          <w:color w:val="000000"/>
        </w:rPr>
      </w:pPr>
      <w:r w:rsidRPr="00656EFA">
        <w:rPr>
          <w:color w:val="000000"/>
        </w:rPr>
        <w:t>Fax: 310-393-4818</w:t>
      </w:r>
    </w:p>
    <w:p w:rsidR="009E6223" w:rsidP="009E6223" w:rsidRDefault="009E6223" w14:paraId="438F97A7" w14:textId="77777777">
      <w:pPr>
        <w:rPr>
          <w:color w:val="000000"/>
        </w:rPr>
      </w:pPr>
      <w:r w:rsidRPr="00656EFA">
        <w:rPr>
          <w:color w:val="000000"/>
        </w:rPr>
        <w:t xml:space="preserve">Email: </w:t>
      </w:r>
      <w:hyperlink w:history="1" r:id="rId11">
        <w:r w:rsidRPr="003421D8">
          <w:rPr>
            <w:rStyle w:val="Hyperlink"/>
          </w:rPr>
          <w:t>cabreros@rand.org</w:t>
        </w:r>
      </w:hyperlink>
    </w:p>
    <w:p w:rsidRPr="00A81C3D" w:rsidR="009E6223" w:rsidP="001B12A0" w:rsidRDefault="009E6223" w14:paraId="4D640705" w14:textId="06C7B8E0">
      <w:pPr>
        <w:pStyle w:val="NormalWeb"/>
        <w:numPr>
          <w:ilvl w:val="0"/>
          <w:numId w:val="16"/>
        </w:numPr>
        <w:spacing w:line="288" w:lineRule="atLeast"/>
        <w:ind w:left="360" w:hanging="360"/>
        <w:rPr>
          <w:u w:val="single"/>
        </w:rPr>
      </w:pPr>
      <w:r w:rsidRPr="00A81C3D">
        <w:rPr>
          <w:u w:val="single"/>
        </w:rPr>
        <w:t>Provide name and organization of person(s) who will actually collect and analyze the collected information.</w:t>
      </w:r>
    </w:p>
    <w:p w:rsidR="007A0A21" w:rsidP="007A0A21" w:rsidRDefault="007A0A21" w14:paraId="54A90E0C" w14:textId="01C82236">
      <w:pPr>
        <w:pStyle w:val="NormalWeb"/>
        <w:spacing w:line="288" w:lineRule="atLeast"/>
      </w:pPr>
      <w:r>
        <w:t>NORC will collect the data under a formal purchase agreement with RAND:</w:t>
      </w:r>
    </w:p>
    <w:p w:rsidR="007A0A21" w:rsidP="007A0A21" w:rsidRDefault="007A0A21" w14:paraId="748CC6AF" w14:textId="77777777">
      <w:pPr>
        <w:pStyle w:val="NormalWeb"/>
        <w:spacing w:line="288" w:lineRule="atLeast"/>
      </w:pPr>
      <w:r>
        <w:lastRenderedPageBreak/>
        <w:t>Heidi Whitmore, M.P.P., Principal Research Scientist, NORC, whitmore-heidi@norc.org, (763) 478-6725</w:t>
      </w:r>
    </w:p>
    <w:p w:rsidRPr="00F92085" w:rsidR="007A0A21" w:rsidP="007A0A21" w:rsidRDefault="007A0A21" w14:paraId="57AF3018" w14:textId="000CB82D">
      <w:pPr>
        <w:pStyle w:val="NormalWeb"/>
        <w:spacing w:line="288" w:lineRule="atLeast"/>
      </w:pPr>
      <w:r>
        <w:t>The RAND project team will analyze the survey data under the supervision of the project’s co-principal investigators:</w:t>
      </w:r>
    </w:p>
    <w:p w:rsidR="007A0A21" w:rsidP="007A0A21" w:rsidRDefault="007A0A21" w14:paraId="4F4B333E" w14:textId="77777777">
      <w:pPr>
        <w:pStyle w:val="NormalWeb"/>
        <w:spacing w:line="288" w:lineRule="atLeast"/>
      </w:pPr>
      <w:r>
        <w:t>Laura Werber, Ph.D., RAND Corporation, lauraw@rand.org, (310) 393-0411 x6897</w:t>
      </w:r>
    </w:p>
    <w:p w:rsidR="007F0BA9" w:rsidP="00A91744" w:rsidRDefault="007A0A21" w14:paraId="6A14C0CB" w14:textId="6BEB56FF">
      <w:pPr>
        <w:pStyle w:val="NormalWeb"/>
      </w:pPr>
      <w:r>
        <w:t>Susan Gates, Ph.D., RAND Corporation, sgates@rand.org, (310) 393-0411 x7452</w:t>
      </w:r>
    </w:p>
    <w:p w:rsidR="001B12A0" w:rsidP="00A91744" w:rsidRDefault="001B12A0" w14:paraId="3E755A51" w14:textId="77777777">
      <w:pPr>
        <w:pStyle w:val="NormalWeb"/>
      </w:pPr>
    </w:p>
    <w:p w:rsidR="008E1CBF" w:rsidP="008E1CBF" w:rsidRDefault="008E1CBF" w14:paraId="61632D0B" w14:textId="37169BA2">
      <w:pPr>
        <w:pStyle w:val="NormalWeb"/>
        <w:numPr>
          <w:ilvl w:val="0"/>
          <w:numId w:val="14"/>
        </w:numPr>
        <w:rPr>
          <w:b/>
          <w:bCs/>
          <w:i/>
          <w:iCs/>
        </w:rPr>
      </w:pPr>
      <w:r>
        <w:rPr>
          <w:b/>
          <w:bCs/>
          <w:i/>
          <w:iCs/>
        </w:rPr>
        <w:t>Employer Interviews</w:t>
      </w:r>
    </w:p>
    <w:p w:rsidRPr="001B12A0" w:rsidR="001B12A0" w:rsidP="00786C27" w:rsidRDefault="00786C27" w14:paraId="795D7741" w14:textId="67A21A70">
      <w:pPr>
        <w:pStyle w:val="NormalWeb"/>
        <w:numPr>
          <w:ilvl w:val="0"/>
          <w:numId w:val="17"/>
        </w:numPr>
        <w:ind w:left="360" w:hanging="360"/>
      </w:pPr>
      <w:r>
        <w:rPr>
          <w:u w:val="single"/>
        </w:rPr>
        <w:t>Statistical Analysis</w:t>
      </w:r>
    </w:p>
    <w:p w:rsidR="001B12A0" w:rsidP="001B12A0" w:rsidRDefault="00165739" w14:paraId="53EBEFEC" w14:textId="710E7488">
      <w:pPr>
        <w:rPr>
          <w:color w:val="000000"/>
        </w:rPr>
      </w:pPr>
      <w:r>
        <w:rPr>
          <w:color w:val="000000"/>
        </w:rPr>
        <w:t>Not applicable</w:t>
      </w:r>
    </w:p>
    <w:p w:rsidRPr="007F0BA9" w:rsidR="007F0BA9" w:rsidP="00165739" w:rsidRDefault="007F0BA9" w14:paraId="29B9D479" w14:textId="7B8EF15A">
      <w:pPr>
        <w:pStyle w:val="NormalWeb"/>
        <w:numPr>
          <w:ilvl w:val="0"/>
          <w:numId w:val="17"/>
        </w:numPr>
        <w:spacing w:line="288" w:lineRule="atLeast"/>
        <w:ind w:left="360" w:hanging="360"/>
        <w:rPr>
          <w:u w:val="single"/>
        </w:rPr>
      </w:pPr>
      <w:r w:rsidRPr="007F0BA9">
        <w:rPr>
          <w:u w:val="single"/>
        </w:rPr>
        <w:t> Provide name and organization of person(s) who will actually collect and analyze the collected information.</w:t>
      </w:r>
    </w:p>
    <w:p w:rsidRPr="00F92085" w:rsidR="007F0BA9" w:rsidP="007F0BA9" w:rsidRDefault="007F0BA9" w14:paraId="5918E652" w14:textId="77777777">
      <w:pPr>
        <w:pStyle w:val="NormalWeb"/>
        <w:spacing w:line="288" w:lineRule="atLeast"/>
      </w:pPr>
      <w:r>
        <w:t>The RAND project team will collect and analyze the interview data under the supervision of the project’s co-principal investigators:</w:t>
      </w:r>
    </w:p>
    <w:p w:rsidR="007F0BA9" w:rsidP="007F0BA9" w:rsidRDefault="007F0BA9" w14:paraId="2B48B2C1" w14:textId="77777777">
      <w:pPr>
        <w:pStyle w:val="NormalWeb"/>
        <w:spacing w:line="288" w:lineRule="atLeast"/>
      </w:pPr>
      <w:r>
        <w:t>Laura Werber, Ph.D., RAND Corporation, lauraw@rand.org, (310) 393-0411 x6897</w:t>
      </w:r>
    </w:p>
    <w:p w:rsidR="007F0BA9" w:rsidP="007F0BA9" w:rsidRDefault="007F0BA9" w14:paraId="1EFE5D39" w14:textId="77777777">
      <w:pPr>
        <w:pStyle w:val="NormalWeb"/>
      </w:pPr>
      <w:r>
        <w:t>Susan Gates, Ph.D., RAND Corporation, sgates@rand.org, (310) 393-0411 x7452</w:t>
      </w:r>
    </w:p>
    <w:p w:rsidR="007F0BA9" w:rsidP="007F0BA9" w:rsidRDefault="007F0BA9" w14:paraId="2136FF0C" w14:textId="77777777">
      <w:pPr>
        <w:pStyle w:val="NormalWeb"/>
        <w:rPr>
          <w:b/>
          <w:bCs/>
          <w:i/>
          <w:iCs/>
        </w:rPr>
      </w:pPr>
    </w:p>
    <w:p w:rsidRPr="007F0BA9" w:rsidR="008E1CBF" w:rsidP="008E1CBF" w:rsidRDefault="008E1CBF" w14:paraId="236DCACB" w14:textId="77777777">
      <w:pPr>
        <w:pStyle w:val="NormalWeb"/>
        <w:rPr>
          <w:b/>
          <w:bCs/>
        </w:rPr>
      </w:pPr>
    </w:p>
    <w:sectPr w:rsidRPr="007F0BA9" w:rsidR="008E1CBF" w:rsidSect="00BB14F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A6A2A" w14:textId="77777777" w:rsidR="00F4542C" w:rsidRDefault="00F4542C">
      <w:r>
        <w:separator/>
      </w:r>
    </w:p>
  </w:endnote>
  <w:endnote w:type="continuationSeparator" w:id="0">
    <w:p w14:paraId="15AB93D0" w14:textId="77777777" w:rsidR="00F4542C" w:rsidRDefault="00F4542C">
      <w:r>
        <w:continuationSeparator/>
      </w:r>
    </w:p>
  </w:endnote>
  <w:endnote w:type="continuationNotice" w:id="1">
    <w:p w14:paraId="5927CCE0" w14:textId="77777777" w:rsidR="00F4542C" w:rsidRDefault="00F45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5F922" w14:textId="2F8C7865" w:rsidR="00875383" w:rsidRDefault="00875383">
    <w:pPr>
      <w:pStyle w:val="Footer"/>
      <w:jc w:val="center"/>
    </w:pPr>
    <w:r>
      <w:fldChar w:fldCharType="begin"/>
    </w:r>
    <w:r>
      <w:instrText xml:space="preserve"> PAGE   \* MERGEFORMAT </w:instrText>
    </w:r>
    <w:r>
      <w:fldChar w:fldCharType="separate"/>
    </w:r>
    <w:r w:rsidR="001953EC">
      <w:rPr>
        <w:noProof/>
      </w:rPr>
      <w:t>14</w:t>
    </w:r>
    <w:r>
      <w:fldChar w:fldCharType="end"/>
    </w:r>
  </w:p>
  <w:p w14:paraId="66B34DB7" w14:textId="77777777" w:rsidR="00875383" w:rsidRDefault="00875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E291C" w14:textId="77777777" w:rsidR="00F4542C" w:rsidRDefault="00F4542C">
      <w:r>
        <w:separator/>
      </w:r>
    </w:p>
  </w:footnote>
  <w:footnote w:type="continuationSeparator" w:id="0">
    <w:p w14:paraId="7BEC0397" w14:textId="77777777" w:rsidR="00F4542C" w:rsidRDefault="00F4542C">
      <w:r>
        <w:continuationSeparator/>
      </w:r>
    </w:p>
  </w:footnote>
  <w:footnote w:type="continuationNotice" w:id="1">
    <w:p w14:paraId="06582133" w14:textId="77777777" w:rsidR="00F4542C" w:rsidRDefault="00F4542C"/>
  </w:footnote>
  <w:footnote w:id="2">
    <w:p w14:paraId="47536837" w14:textId="52975C3A" w:rsidR="00920AE9" w:rsidRDefault="00920AE9">
      <w:pPr>
        <w:pStyle w:val="FootnoteText"/>
      </w:pPr>
      <w:r>
        <w:rPr>
          <w:rStyle w:val="FootnoteReference"/>
        </w:rPr>
        <w:footnoteRef/>
      </w:r>
      <w:r>
        <w:t xml:space="preserve"> </w:t>
      </w:r>
      <w:r w:rsidRPr="00920AE9">
        <w:t xml:space="preserve">Gates, Susan M., Geoffrey McGovern, Ivan Waggoner, John D. Winkler, Ashley Pierson, Lauren Andrews, and Peter Buryk, </w:t>
      </w:r>
      <w:r w:rsidRPr="00E17BC8">
        <w:rPr>
          <w:i/>
          <w:iCs/>
        </w:rPr>
        <w:t>Supporting Employers in the Reserve Operational Forces Era: Are Changes Needed to Reservists' Employment Rights Legislation, Policies, or Programs?</w:t>
      </w:r>
      <w:r w:rsidRPr="00920AE9">
        <w:t>, Santa Monica, Calif.: RAND Corporation, RR-152-OSD, 2013. As of March 04, 2021: https://www.rand.org/pubs/research_reports/RR152.html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23F7" w14:textId="77777777" w:rsidR="00875383" w:rsidRDefault="00875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F72"/>
    <w:multiLevelType w:val="hybridMultilevel"/>
    <w:tmpl w:val="2C203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1D06"/>
    <w:multiLevelType w:val="hybridMultilevel"/>
    <w:tmpl w:val="CD7461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2E33E8"/>
    <w:multiLevelType w:val="hybridMultilevel"/>
    <w:tmpl w:val="AC1A1210"/>
    <w:lvl w:ilvl="0" w:tplc="18EED496">
      <w:start w:val="1"/>
      <w:numFmt w:val="decimal"/>
      <w:lvlText w:val="%1."/>
      <w:lvlJc w:val="left"/>
      <w:pPr>
        <w:ind w:left="360" w:hanging="360"/>
      </w:pPr>
      <w:rPr>
        <w:rFonts w:hint="default"/>
      </w:rPr>
    </w:lvl>
    <w:lvl w:ilvl="1" w:tplc="9B1895B0">
      <w:start w:val="1"/>
      <w:numFmt w:val="lowerLetter"/>
      <w:lvlText w:val="%2."/>
      <w:lvlJc w:val="left"/>
      <w:pPr>
        <w:ind w:left="3420" w:hanging="360"/>
      </w:pPr>
      <w:rPr>
        <w:rFonts w:hint="default"/>
      </w:rPr>
    </w:lvl>
    <w:lvl w:ilvl="2" w:tplc="0409001B">
      <w:start w:val="1"/>
      <w:numFmt w:val="lowerRoman"/>
      <w:lvlText w:val="%3."/>
      <w:lvlJc w:val="right"/>
      <w:pPr>
        <w:ind w:left="1800" w:hanging="180"/>
      </w:pPr>
    </w:lvl>
    <w:lvl w:ilvl="3" w:tplc="2C1C841A">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2E7F78"/>
    <w:multiLevelType w:val="hybridMultilevel"/>
    <w:tmpl w:val="2F7E5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953C2"/>
    <w:multiLevelType w:val="hybridMultilevel"/>
    <w:tmpl w:val="F1D059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D0B6F"/>
    <w:multiLevelType w:val="hybridMultilevel"/>
    <w:tmpl w:val="CA7EC4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F38EF"/>
    <w:multiLevelType w:val="hybridMultilevel"/>
    <w:tmpl w:val="CD7461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922B19"/>
    <w:multiLevelType w:val="hybridMultilevel"/>
    <w:tmpl w:val="E77C42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F5711E"/>
    <w:multiLevelType w:val="hybridMultilevel"/>
    <w:tmpl w:val="03C88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B77BF"/>
    <w:multiLevelType w:val="hybridMultilevel"/>
    <w:tmpl w:val="C8AE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13524"/>
    <w:multiLevelType w:val="hybridMultilevel"/>
    <w:tmpl w:val="8B863462"/>
    <w:lvl w:ilvl="0" w:tplc="EEF26860">
      <w:start w:val="1"/>
      <w:numFmt w:val="lowerRoman"/>
      <w:lvlText w:val="%1."/>
      <w:lvlJc w:val="left"/>
      <w:pPr>
        <w:ind w:left="720" w:hanging="720"/>
      </w:pPr>
      <w:rPr>
        <w:rFonts w:hint="default"/>
        <w:i w:val="0"/>
        <w:i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263602"/>
    <w:multiLevelType w:val="hybridMultilevel"/>
    <w:tmpl w:val="23DE4B6A"/>
    <w:lvl w:ilvl="0" w:tplc="978E9148">
      <w:start w:val="1"/>
      <w:numFmt w:val="lowerRoman"/>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772B10"/>
    <w:multiLevelType w:val="hybridMultilevel"/>
    <w:tmpl w:val="CD7461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396149"/>
    <w:multiLevelType w:val="hybridMultilevel"/>
    <w:tmpl w:val="779AAB18"/>
    <w:lvl w:ilvl="0" w:tplc="8B9AF4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E521FA"/>
    <w:multiLevelType w:val="hybridMultilevel"/>
    <w:tmpl w:val="23DE4B6A"/>
    <w:lvl w:ilvl="0" w:tplc="978E9148">
      <w:start w:val="1"/>
      <w:numFmt w:val="lowerRoman"/>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DB57AE"/>
    <w:multiLevelType w:val="hybridMultilevel"/>
    <w:tmpl w:val="1FBA6590"/>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0B1B75"/>
    <w:multiLevelType w:val="hybridMultilevel"/>
    <w:tmpl w:val="0DE099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5"/>
  </w:num>
  <w:num w:numId="4">
    <w:abstractNumId w:val="9"/>
  </w:num>
  <w:num w:numId="5">
    <w:abstractNumId w:val="8"/>
  </w:num>
  <w:num w:numId="6">
    <w:abstractNumId w:val="3"/>
  </w:num>
  <w:num w:numId="7">
    <w:abstractNumId w:val="13"/>
  </w:num>
  <w:num w:numId="8">
    <w:abstractNumId w:val="7"/>
  </w:num>
  <w:num w:numId="9">
    <w:abstractNumId w:val="0"/>
  </w:num>
  <w:num w:numId="10">
    <w:abstractNumId w:val="4"/>
  </w:num>
  <w:num w:numId="11">
    <w:abstractNumId w:val="16"/>
  </w:num>
  <w:num w:numId="12">
    <w:abstractNumId w:val="6"/>
  </w:num>
  <w:num w:numId="13">
    <w:abstractNumId w:val="12"/>
  </w:num>
  <w:num w:numId="14">
    <w:abstractNumId w:val="1"/>
  </w:num>
  <w:num w:numId="15">
    <w:abstractNumId w:val="1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23"/>
    <w:rsid w:val="00001F99"/>
    <w:rsid w:val="0000201D"/>
    <w:rsid w:val="000040D1"/>
    <w:rsid w:val="00005616"/>
    <w:rsid w:val="000068D2"/>
    <w:rsid w:val="0001154E"/>
    <w:rsid w:val="00011D48"/>
    <w:rsid w:val="000132A1"/>
    <w:rsid w:val="00016C5E"/>
    <w:rsid w:val="00021ECC"/>
    <w:rsid w:val="00024F20"/>
    <w:rsid w:val="00027352"/>
    <w:rsid w:val="00027E45"/>
    <w:rsid w:val="0003123D"/>
    <w:rsid w:val="00032499"/>
    <w:rsid w:val="000349BF"/>
    <w:rsid w:val="0003505F"/>
    <w:rsid w:val="00037861"/>
    <w:rsid w:val="0004481B"/>
    <w:rsid w:val="00046FFB"/>
    <w:rsid w:val="000516B1"/>
    <w:rsid w:val="00051784"/>
    <w:rsid w:val="000531A2"/>
    <w:rsid w:val="0005348A"/>
    <w:rsid w:val="000536B8"/>
    <w:rsid w:val="0005758E"/>
    <w:rsid w:val="00057961"/>
    <w:rsid w:val="00057B51"/>
    <w:rsid w:val="00060715"/>
    <w:rsid w:val="00065083"/>
    <w:rsid w:val="00067A90"/>
    <w:rsid w:val="0007126A"/>
    <w:rsid w:val="00073F13"/>
    <w:rsid w:val="00075795"/>
    <w:rsid w:val="00082428"/>
    <w:rsid w:val="00082E93"/>
    <w:rsid w:val="00084F7B"/>
    <w:rsid w:val="0008573E"/>
    <w:rsid w:val="00087606"/>
    <w:rsid w:val="00092397"/>
    <w:rsid w:val="00093826"/>
    <w:rsid w:val="00093E9F"/>
    <w:rsid w:val="00095AD2"/>
    <w:rsid w:val="00095BFA"/>
    <w:rsid w:val="0009782B"/>
    <w:rsid w:val="000A0617"/>
    <w:rsid w:val="000A2B03"/>
    <w:rsid w:val="000A4B0F"/>
    <w:rsid w:val="000A5B3A"/>
    <w:rsid w:val="000B167F"/>
    <w:rsid w:val="000B1753"/>
    <w:rsid w:val="000B4F5F"/>
    <w:rsid w:val="000B7AA3"/>
    <w:rsid w:val="000C30BE"/>
    <w:rsid w:val="000C60B7"/>
    <w:rsid w:val="000C7BF1"/>
    <w:rsid w:val="000C7E6A"/>
    <w:rsid w:val="000D0DEE"/>
    <w:rsid w:val="000D18E9"/>
    <w:rsid w:val="000D4B4B"/>
    <w:rsid w:val="000D6F1D"/>
    <w:rsid w:val="000D7B94"/>
    <w:rsid w:val="000E0132"/>
    <w:rsid w:val="000E2857"/>
    <w:rsid w:val="000E3FFF"/>
    <w:rsid w:val="000E5A6D"/>
    <w:rsid w:val="000E6935"/>
    <w:rsid w:val="000E7AA0"/>
    <w:rsid w:val="000F098A"/>
    <w:rsid w:val="000F2093"/>
    <w:rsid w:val="000F4C43"/>
    <w:rsid w:val="000F59FE"/>
    <w:rsid w:val="000F7F4E"/>
    <w:rsid w:val="00100938"/>
    <w:rsid w:val="0010268F"/>
    <w:rsid w:val="001105F4"/>
    <w:rsid w:val="001132D9"/>
    <w:rsid w:val="00113AEA"/>
    <w:rsid w:val="00114120"/>
    <w:rsid w:val="00114BC2"/>
    <w:rsid w:val="001157D0"/>
    <w:rsid w:val="00121E43"/>
    <w:rsid w:val="00122F9E"/>
    <w:rsid w:val="001233EE"/>
    <w:rsid w:val="001238B7"/>
    <w:rsid w:val="0012504F"/>
    <w:rsid w:val="0012538B"/>
    <w:rsid w:val="001266C3"/>
    <w:rsid w:val="00127DAF"/>
    <w:rsid w:val="00131A23"/>
    <w:rsid w:val="00132694"/>
    <w:rsid w:val="001348DB"/>
    <w:rsid w:val="00140B30"/>
    <w:rsid w:val="001436F1"/>
    <w:rsid w:val="00143987"/>
    <w:rsid w:val="00143B12"/>
    <w:rsid w:val="0014430C"/>
    <w:rsid w:val="00145746"/>
    <w:rsid w:val="001509F3"/>
    <w:rsid w:val="0015102B"/>
    <w:rsid w:val="001539E6"/>
    <w:rsid w:val="00154698"/>
    <w:rsid w:val="00155EEF"/>
    <w:rsid w:val="00156C33"/>
    <w:rsid w:val="00160BF6"/>
    <w:rsid w:val="00160F38"/>
    <w:rsid w:val="00162688"/>
    <w:rsid w:val="00165739"/>
    <w:rsid w:val="001668A7"/>
    <w:rsid w:val="00167474"/>
    <w:rsid w:val="00167A3B"/>
    <w:rsid w:val="00167D1E"/>
    <w:rsid w:val="00173896"/>
    <w:rsid w:val="00174A21"/>
    <w:rsid w:val="00176639"/>
    <w:rsid w:val="001770C4"/>
    <w:rsid w:val="00181134"/>
    <w:rsid w:val="001811BC"/>
    <w:rsid w:val="001824E6"/>
    <w:rsid w:val="00183536"/>
    <w:rsid w:val="00183789"/>
    <w:rsid w:val="00184B2E"/>
    <w:rsid w:val="001867E4"/>
    <w:rsid w:val="001922A0"/>
    <w:rsid w:val="0019230B"/>
    <w:rsid w:val="001953EC"/>
    <w:rsid w:val="001967DC"/>
    <w:rsid w:val="00196C30"/>
    <w:rsid w:val="00197F07"/>
    <w:rsid w:val="001A13CD"/>
    <w:rsid w:val="001A3B95"/>
    <w:rsid w:val="001A4AF1"/>
    <w:rsid w:val="001A79C2"/>
    <w:rsid w:val="001B12A0"/>
    <w:rsid w:val="001B1FDB"/>
    <w:rsid w:val="001B247C"/>
    <w:rsid w:val="001B2CB2"/>
    <w:rsid w:val="001B34BB"/>
    <w:rsid w:val="001B5139"/>
    <w:rsid w:val="001B5320"/>
    <w:rsid w:val="001B78AC"/>
    <w:rsid w:val="001C04D2"/>
    <w:rsid w:val="001D1DC9"/>
    <w:rsid w:val="001D3F79"/>
    <w:rsid w:val="001D4968"/>
    <w:rsid w:val="001D498B"/>
    <w:rsid w:val="001E3F39"/>
    <w:rsid w:val="001E6054"/>
    <w:rsid w:val="001E681C"/>
    <w:rsid w:val="001F021E"/>
    <w:rsid w:val="001F1D7E"/>
    <w:rsid w:val="001F2242"/>
    <w:rsid w:val="001F31BD"/>
    <w:rsid w:val="001F3B36"/>
    <w:rsid w:val="001F3EA8"/>
    <w:rsid w:val="001F7F1F"/>
    <w:rsid w:val="0020484F"/>
    <w:rsid w:val="00205408"/>
    <w:rsid w:val="00206445"/>
    <w:rsid w:val="002125F5"/>
    <w:rsid w:val="00213EBD"/>
    <w:rsid w:val="0021437F"/>
    <w:rsid w:val="002159B2"/>
    <w:rsid w:val="0021632B"/>
    <w:rsid w:val="00216B89"/>
    <w:rsid w:val="00216FB4"/>
    <w:rsid w:val="00217ACD"/>
    <w:rsid w:val="00220564"/>
    <w:rsid w:val="00220675"/>
    <w:rsid w:val="00223880"/>
    <w:rsid w:val="0022558F"/>
    <w:rsid w:val="0022640A"/>
    <w:rsid w:val="00226FFC"/>
    <w:rsid w:val="00230D2D"/>
    <w:rsid w:val="002329E2"/>
    <w:rsid w:val="00233DC4"/>
    <w:rsid w:val="0023542B"/>
    <w:rsid w:val="00236136"/>
    <w:rsid w:val="00236A2F"/>
    <w:rsid w:val="00237165"/>
    <w:rsid w:val="0024227F"/>
    <w:rsid w:val="00243614"/>
    <w:rsid w:val="00244D44"/>
    <w:rsid w:val="00244F85"/>
    <w:rsid w:val="002505B3"/>
    <w:rsid w:val="00251940"/>
    <w:rsid w:val="002529E5"/>
    <w:rsid w:val="00252CDA"/>
    <w:rsid w:val="00253C83"/>
    <w:rsid w:val="002542A3"/>
    <w:rsid w:val="0025434D"/>
    <w:rsid w:val="002553F8"/>
    <w:rsid w:val="002560B2"/>
    <w:rsid w:val="00257A64"/>
    <w:rsid w:val="00260E65"/>
    <w:rsid w:val="0026192D"/>
    <w:rsid w:val="00266ED5"/>
    <w:rsid w:val="002674CB"/>
    <w:rsid w:val="00271E01"/>
    <w:rsid w:val="002730B6"/>
    <w:rsid w:val="002730C1"/>
    <w:rsid w:val="00274151"/>
    <w:rsid w:val="00277B55"/>
    <w:rsid w:val="00280751"/>
    <w:rsid w:val="00290AC2"/>
    <w:rsid w:val="00293134"/>
    <w:rsid w:val="002A00D2"/>
    <w:rsid w:val="002A085F"/>
    <w:rsid w:val="002B13A3"/>
    <w:rsid w:val="002B2507"/>
    <w:rsid w:val="002B259A"/>
    <w:rsid w:val="002B6495"/>
    <w:rsid w:val="002B71C4"/>
    <w:rsid w:val="002C20A5"/>
    <w:rsid w:val="002C4351"/>
    <w:rsid w:val="002C4C81"/>
    <w:rsid w:val="002C5A6C"/>
    <w:rsid w:val="002D2428"/>
    <w:rsid w:val="002D41EE"/>
    <w:rsid w:val="002D4BB0"/>
    <w:rsid w:val="002D55B7"/>
    <w:rsid w:val="002E229C"/>
    <w:rsid w:val="002E2FD6"/>
    <w:rsid w:val="002F2D88"/>
    <w:rsid w:val="002F35B5"/>
    <w:rsid w:val="002F3B47"/>
    <w:rsid w:val="002F6FB1"/>
    <w:rsid w:val="00300DFF"/>
    <w:rsid w:val="0030132B"/>
    <w:rsid w:val="00301FF4"/>
    <w:rsid w:val="003069BF"/>
    <w:rsid w:val="00306CA8"/>
    <w:rsid w:val="00313576"/>
    <w:rsid w:val="00314400"/>
    <w:rsid w:val="00324725"/>
    <w:rsid w:val="003278DD"/>
    <w:rsid w:val="00332401"/>
    <w:rsid w:val="0033717A"/>
    <w:rsid w:val="0034053D"/>
    <w:rsid w:val="003440BD"/>
    <w:rsid w:val="00344252"/>
    <w:rsid w:val="00345CB6"/>
    <w:rsid w:val="003503C8"/>
    <w:rsid w:val="00350D2A"/>
    <w:rsid w:val="00351322"/>
    <w:rsid w:val="00351B32"/>
    <w:rsid w:val="00352C70"/>
    <w:rsid w:val="003560D9"/>
    <w:rsid w:val="00356843"/>
    <w:rsid w:val="003625F2"/>
    <w:rsid w:val="003628E7"/>
    <w:rsid w:val="003634D6"/>
    <w:rsid w:val="0037094B"/>
    <w:rsid w:val="00371F74"/>
    <w:rsid w:val="003731C3"/>
    <w:rsid w:val="00373388"/>
    <w:rsid w:val="00374065"/>
    <w:rsid w:val="00381FF4"/>
    <w:rsid w:val="003836F4"/>
    <w:rsid w:val="003904AF"/>
    <w:rsid w:val="00394F82"/>
    <w:rsid w:val="003966CC"/>
    <w:rsid w:val="00397632"/>
    <w:rsid w:val="003A15C7"/>
    <w:rsid w:val="003A3F04"/>
    <w:rsid w:val="003A689D"/>
    <w:rsid w:val="003A74BD"/>
    <w:rsid w:val="003A79FD"/>
    <w:rsid w:val="003B104B"/>
    <w:rsid w:val="003B2DAF"/>
    <w:rsid w:val="003B3594"/>
    <w:rsid w:val="003B3BA1"/>
    <w:rsid w:val="003B511C"/>
    <w:rsid w:val="003B61D5"/>
    <w:rsid w:val="003B62DD"/>
    <w:rsid w:val="003B729F"/>
    <w:rsid w:val="003B7E4E"/>
    <w:rsid w:val="003C1874"/>
    <w:rsid w:val="003C5668"/>
    <w:rsid w:val="003C56D9"/>
    <w:rsid w:val="003C5F8E"/>
    <w:rsid w:val="003C687F"/>
    <w:rsid w:val="003C74A7"/>
    <w:rsid w:val="003C75BC"/>
    <w:rsid w:val="003D5429"/>
    <w:rsid w:val="003D5E29"/>
    <w:rsid w:val="003D6E4F"/>
    <w:rsid w:val="003E0E90"/>
    <w:rsid w:val="003E1735"/>
    <w:rsid w:val="003E1BDD"/>
    <w:rsid w:val="003E2924"/>
    <w:rsid w:val="003E35DB"/>
    <w:rsid w:val="003E3FF3"/>
    <w:rsid w:val="003E5510"/>
    <w:rsid w:val="003E5946"/>
    <w:rsid w:val="003F1845"/>
    <w:rsid w:val="003F40F8"/>
    <w:rsid w:val="003F620A"/>
    <w:rsid w:val="003F6E6B"/>
    <w:rsid w:val="003F786E"/>
    <w:rsid w:val="00400E0B"/>
    <w:rsid w:val="00401A7A"/>
    <w:rsid w:val="0040339D"/>
    <w:rsid w:val="0040412A"/>
    <w:rsid w:val="0041285B"/>
    <w:rsid w:val="00414193"/>
    <w:rsid w:val="00414F37"/>
    <w:rsid w:val="00421A33"/>
    <w:rsid w:val="00423F99"/>
    <w:rsid w:val="00423FD7"/>
    <w:rsid w:val="0043124E"/>
    <w:rsid w:val="00433513"/>
    <w:rsid w:val="00436099"/>
    <w:rsid w:val="00436FEC"/>
    <w:rsid w:val="004372FF"/>
    <w:rsid w:val="00437D8F"/>
    <w:rsid w:val="00443061"/>
    <w:rsid w:val="004436D1"/>
    <w:rsid w:val="00450A4D"/>
    <w:rsid w:val="0045223B"/>
    <w:rsid w:val="00453FA5"/>
    <w:rsid w:val="00457E36"/>
    <w:rsid w:val="004600A2"/>
    <w:rsid w:val="004617F5"/>
    <w:rsid w:val="0046207B"/>
    <w:rsid w:val="00463AFD"/>
    <w:rsid w:val="00464E46"/>
    <w:rsid w:val="004719A7"/>
    <w:rsid w:val="0048111E"/>
    <w:rsid w:val="00485A58"/>
    <w:rsid w:val="00486A7C"/>
    <w:rsid w:val="00487719"/>
    <w:rsid w:val="00487A65"/>
    <w:rsid w:val="00490156"/>
    <w:rsid w:val="00491257"/>
    <w:rsid w:val="00494372"/>
    <w:rsid w:val="00494507"/>
    <w:rsid w:val="004969DC"/>
    <w:rsid w:val="004A1D9E"/>
    <w:rsid w:val="004A233F"/>
    <w:rsid w:val="004A2E87"/>
    <w:rsid w:val="004A4683"/>
    <w:rsid w:val="004A6EA9"/>
    <w:rsid w:val="004B00FC"/>
    <w:rsid w:val="004B12FA"/>
    <w:rsid w:val="004B17F5"/>
    <w:rsid w:val="004B5148"/>
    <w:rsid w:val="004B5E18"/>
    <w:rsid w:val="004B6CB9"/>
    <w:rsid w:val="004C0AD8"/>
    <w:rsid w:val="004C255E"/>
    <w:rsid w:val="004C3039"/>
    <w:rsid w:val="004D0A5E"/>
    <w:rsid w:val="004D0B2F"/>
    <w:rsid w:val="004D3A61"/>
    <w:rsid w:val="004D78BE"/>
    <w:rsid w:val="004E1A2B"/>
    <w:rsid w:val="004E5E93"/>
    <w:rsid w:val="004E6587"/>
    <w:rsid w:val="004E692B"/>
    <w:rsid w:val="004E6C92"/>
    <w:rsid w:val="004F1617"/>
    <w:rsid w:val="004F2359"/>
    <w:rsid w:val="004F5491"/>
    <w:rsid w:val="004F590B"/>
    <w:rsid w:val="004F6770"/>
    <w:rsid w:val="004F6981"/>
    <w:rsid w:val="00500528"/>
    <w:rsid w:val="005009B9"/>
    <w:rsid w:val="00503750"/>
    <w:rsid w:val="005042DC"/>
    <w:rsid w:val="0050671A"/>
    <w:rsid w:val="0050769C"/>
    <w:rsid w:val="005149E0"/>
    <w:rsid w:val="00520050"/>
    <w:rsid w:val="00522D40"/>
    <w:rsid w:val="005234EE"/>
    <w:rsid w:val="005245B0"/>
    <w:rsid w:val="0053097C"/>
    <w:rsid w:val="00533771"/>
    <w:rsid w:val="005338EF"/>
    <w:rsid w:val="00533C0B"/>
    <w:rsid w:val="00535544"/>
    <w:rsid w:val="00540DD2"/>
    <w:rsid w:val="00541B11"/>
    <w:rsid w:val="00541B48"/>
    <w:rsid w:val="0054270C"/>
    <w:rsid w:val="005442E3"/>
    <w:rsid w:val="00545AE4"/>
    <w:rsid w:val="005514C2"/>
    <w:rsid w:val="00554440"/>
    <w:rsid w:val="00556904"/>
    <w:rsid w:val="00557250"/>
    <w:rsid w:val="00557347"/>
    <w:rsid w:val="00557559"/>
    <w:rsid w:val="0055770B"/>
    <w:rsid w:val="005618EE"/>
    <w:rsid w:val="00563454"/>
    <w:rsid w:val="00566B9E"/>
    <w:rsid w:val="00574C7E"/>
    <w:rsid w:val="00575A6D"/>
    <w:rsid w:val="00583217"/>
    <w:rsid w:val="00583F44"/>
    <w:rsid w:val="0058776B"/>
    <w:rsid w:val="0059168B"/>
    <w:rsid w:val="00591AA0"/>
    <w:rsid w:val="00591D0E"/>
    <w:rsid w:val="00591F84"/>
    <w:rsid w:val="00594C75"/>
    <w:rsid w:val="005959A6"/>
    <w:rsid w:val="00596DD0"/>
    <w:rsid w:val="005A02C0"/>
    <w:rsid w:val="005A0CD5"/>
    <w:rsid w:val="005A566C"/>
    <w:rsid w:val="005A69C6"/>
    <w:rsid w:val="005B132A"/>
    <w:rsid w:val="005B3989"/>
    <w:rsid w:val="005B61B0"/>
    <w:rsid w:val="005C2A54"/>
    <w:rsid w:val="005C2C87"/>
    <w:rsid w:val="005C50A2"/>
    <w:rsid w:val="005C6C88"/>
    <w:rsid w:val="005D00A2"/>
    <w:rsid w:val="005D3D51"/>
    <w:rsid w:val="005D6003"/>
    <w:rsid w:val="005D7590"/>
    <w:rsid w:val="005E124F"/>
    <w:rsid w:val="005E3305"/>
    <w:rsid w:val="005E696E"/>
    <w:rsid w:val="005F266D"/>
    <w:rsid w:val="005F448C"/>
    <w:rsid w:val="005F4687"/>
    <w:rsid w:val="005F6924"/>
    <w:rsid w:val="005F784C"/>
    <w:rsid w:val="00600E2E"/>
    <w:rsid w:val="00601062"/>
    <w:rsid w:val="0060279E"/>
    <w:rsid w:val="006040E2"/>
    <w:rsid w:val="00610196"/>
    <w:rsid w:val="00610BE4"/>
    <w:rsid w:val="006113CE"/>
    <w:rsid w:val="00623DB8"/>
    <w:rsid w:val="00626358"/>
    <w:rsid w:val="00626474"/>
    <w:rsid w:val="00630657"/>
    <w:rsid w:val="00632C35"/>
    <w:rsid w:val="00632DF9"/>
    <w:rsid w:val="00636813"/>
    <w:rsid w:val="00636AB3"/>
    <w:rsid w:val="00640850"/>
    <w:rsid w:val="00640FE2"/>
    <w:rsid w:val="0064216A"/>
    <w:rsid w:val="0064285B"/>
    <w:rsid w:val="00647D39"/>
    <w:rsid w:val="006504B5"/>
    <w:rsid w:val="00650C40"/>
    <w:rsid w:val="00653A2A"/>
    <w:rsid w:val="006549FC"/>
    <w:rsid w:val="006559CC"/>
    <w:rsid w:val="00656B83"/>
    <w:rsid w:val="00661618"/>
    <w:rsid w:val="00665345"/>
    <w:rsid w:val="00665404"/>
    <w:rsid w:val="00666029"/>
    <w:rsid w:val="00666BEB"/>
    <w:rsid w:val="00667146"/>
    <w:rsid w:val="00674BA2"/>
    <w:rsid w:val="00675CBE"/>
    <w:rsid w:val="00675F8B"/>
    <w:rsid w:val="006805D4"/>
    <w:rsid w:val="00683CA4"/>
    <w:rsid w:val="0069091B"/>
    <w:rsid w:val="006940B7"/>
    <w:rsid w:val="00696E6F"/>
    <w:rsid w:val="006A5B9C"/>
    <w:rsid w:val="006A6E64"/>
    <w:rsid w:val="006A711B"/>
    <w:rsid w:val="006B3D31"/>
    <w:rsid w:val="006B4261"/>
    <w:rsid w:val="006B52FC"/>
    <w:rsid w:val="006B64CE"/>
    <w:rsid w:val="006C152F"/>
    <w:rsid w:val="006C1C84"/>
    <w:rsid w:val="006C61E9"/>
    <w:rsid w:val="006D23D2"/>
    <w:rsid w:val="006D2B44"/>
    <w:rsid w:val="006D537D"/>
    <w:rsid w:val="006D5E86"/>
    <w:rsid w:val="006D64D8"/>
    <w:rsid w:val="006E48F7"/>
    <w:rsid w:val="006E7742"/>
    <w:rsid w:val="006F2B5F"/>
    <w:rsid w:val="006F6BC0"/>
    <w:rsid w:val="006F73AA"/>
    <w:rsid w:val="00702959"/>
    <w:rsid w:val="007042F0"/>
    <w:rsid w:val="0070572F"/>
    <w:rsid w:val="00705EE0"/>
    <w:rsid w:val="00710EC7"/>
    <w:rsid w:val="007114EA"/>
    <w:rsid w:val="007116BC"/>
    <w:rsid w:val="007147C2"/>
    <w:rsid w:val="00716A80"/>
    <w:rsid w:val="00716AF6"/>
    <w:rsid w:val="00717023"/>
    <w:rsid w:val="00723B15"/>
    <w:rsid w:val="00723E3D"/>
    <w:rsid w:val="00724D81"/>
    <w:rsid w:val="00724F94"/>
    <w:rsid w:val="00725108"/>
    <w:rsid w:val="00725DB4"/>
    <w:rsid w:val="00735B85"/>
    <w:rsid w:val="0074058A"/>
    <w:rsid w:val="00756CA2"/>
    <w:rsid w:val="00756D1E"/>
    <w:rsid w:val="0075721F"/>
    <w:rsid w:val="00757F4D"/>
    <w:rsid w:val="0076013D"/>
    <w:rsid w:val="00765015"/>
    <w:rsid w:val="007756B3"/>
    <w:rsid w:val="00775CF6"/>
    <w:rsid w:val="00775E7F"/>
    <w:rsid w:val="0077754A"/>
    <w:rsid w:val="00780C08"/>
    <w:rsid w:val="007812E9"/>
    <w:rsid w:val="007845F7"/>
    <w:rsid w:val="00786C27"/>
    <w:rsid w:val="00787DF8"/>
    <w:rsid w:val="00791083"/>
    <w:rsid w:val="007966A9"/>
    <w:rsid w:val="007A08D4"/>
    <w:rsid w:val="007A0A21"/>
    <w:rsid w:val="007A258A"/>
    <w:rsid w:val="007A4355"/>
    <w:rsid w:val="007A4A98"/>
    <w:rsid w:val="007A648A"/>
    <w:rsid w:val="007B2DAA"/>
    <w:rsid w:val="007B609C"/>
    <w:rsid w:val="007C56F2"/>
    <w:rsid w:val="007C672F"/>
    <w:rsid w:val="007C78EA"/>
    <w:rsid w:val="007D06BD"/>
    <w:rsid w:val="007D0BC4"/>
    <w:rsid w:val="007D1932"/>
    <w:rsid w:val="007D2FEA"/>
    <w:rsid w:val="007D391A"/>
    <w:rsid w:val="007D397C"/>
    <w:rsid w:val="007D5290"/>
    <w:rsid w:val="007D5393"/>
    <w:rsid w:val="007D5EC0"/>
    <w:rsid w:val="007E484D"/>
    <w:rsid w:val="007E6639"/>
    <w:rsid w:val="007E6BA5"/>
    <w:rsid w:val="007E6E05"/>
    <w:rsid w:val="007F0BA9"/>
    <w:rsid w:val="007F300B"/>
    <w:rsid w:val="007F305D"/>
    <w:rsid w:val="007F7197"/>
    <w:rsid w:val="0080286A"/>
    <w:rsid w:val="00806343"/>
    <w:rsid w:val="00806372"/>
    <w:rsid w:val="00807380"/>
    <w:rsid w:val="008132FA"/>
    <w:rsid w:val="00813E57"/>
    <w:rsid w:val="008157F7"/>
    <w:rsid w:val="00817662"/>
    <w:rsid w:val="0082071C"/>
    <w:rsid w:val="00823CD4"/>
    <w:rsid w:val="00825BA1"/>
    <w:rsid w:val="00830DBE"/>
    <w:rsid w:val="008325F2"/>
    <w:rsid w:val="008337EA"/>
    <w:rsid w:val="008376EB"/>
    <w:rsid w:val="008410E5"/>
    <w:rsid w:val="00842092"/>
    <w:rsid w:val="008425E4"/>
    <w:rsid w:val="008437BF"/>
    <w:rsid w:val="0085049B"/>
    <w:rsid w:val="00854020"/>
    <w:rsid w:val="008549F9"/>
    <w:rsid w:val="00860CB3"/>
    <w:rsid w:val="008622A8"/>
    <w:rsid w:val="00864C83"/>
    <w:rsid w:val="00864FA7"/>
    <w:rsid w:val="00865668"/>
    <w:rsid w:val="00866B8C"/>
    <w:rsid w:val="00871320"/>
    <w:rsid w:val="008729A2"/>
    <w:rsid w:val="00875383"/>
    <w:rsid w:val="00877F97"/>
    <w:rsid w:val="00877FDC"/>
    <w:rsid w:val="00881EAF"/>
    <w:rsid w:val="008844FB"/>
    <w:rsid w:val="00885CD5"/>
    <w:rsid w:val="00886AD1"/>
    <w:rsid w:val="008870DF"/>
    <w:rsid w:val="008908F5"/>
    <w:rsid w:val="008916A2"/>
    <w:rsid w:val="00894676"/>
    <w:rsid w:val="00894A27"/>
    <w:rsid w:val="0089515D"/>
    <w:rsid w:val="00897265"/>
    <w:rsid w:val="008A2E40"/>
    <w:rsid w:val="008A4D5C"/>
    <w:rsid w:val="008A5D69"/>
    <w:rsid w:val="008A6C97"/>
    <w:rsid w:val="008B4242"/>
    <w:rsid w:val="008B4A99"/>
    <w:rsid w:val="008C14A8"/>
    <w:rsid w:val="008C7BEC"/>
    <w:rsid w:val="008D102A"/>
    <w:rsid w:val="008D176B"/>
    <w:rsid w:val="008D19B8"/>
    <w:rsid w:val="008D1D63"/>
    <w:rsid w:val="008D2DA2"/>
    <w:rsid w:val="008D608A"/>
    <w:rsid w:val="008D64BC"/>
    <w:rsid w:val="008E0957"/>
    <w:rsid w:val="008E1CBF"/>
    <w:rsid w:val="008E5B05"/>
    <w:rsid w:val="008E5C94"/>
    <w:rsid w:val="008E669D"/>
    <w:rsid w:val="008F33DD"/>
    <w:rsid w:val="008F7866"/>
    <w:rsid w:val="00901312"/>
    <w:rsid w:val="00913769"/>
    <w:rsid w:val="009145DC"/>
    <w:rsid w:val="00914B7E"/>
    <w:rsid w:val="0091640F"/>
    <w:rsid w:val="009168F4"/>
    <w:rsid w:val="00920AA1"/>
    <w:rsid w:val="00920AE9"/>
    <w:rsid w:val="0092130A"/>
    <w:rsid w:val="009232C1"/>
    <w:rsid w:val="00924237"/>
    <w:rsid w:val="009261CD"/>
    <w:rsid w:val="00930231"/>
    <w:rsid w:val="00933D22"/>
    <w:rsid w:val="00934CEB"/>
    <w:rsid w:val="00935B4C"/>
    <w:rsid w:val="00935C65"/>
    <w:rsid w:val="00942E2A"/>
    <w:rsid w:val="00944021"/>
    <w:rsid w:val="0094446A"/>
    <w:rsid w:val="0095638F"/>
    <w:rsid w:val="009574D8"/>
    <w:rsid w:val="009634A3"/>
    <w:rsid w:val="00964401"/>
    <w:rsid w:val="009659CB"/>
    <w:rsid w:val="00967CFE"/>
    <w:rsid w:val="00971305"/>
    <w:rsid w:val="009835F7"/>
    <w:rsid w:val="00990CA0"/>
    <w:rsid w:val="00992265"/>
    <w:rsid w:val="00993798"/>
    <w:rsid w:val="00994EDD"/>
    <w:rsid w:val="009A1344"/>
    <w:rsid w:val="009A25D3"/>
    <w:rsid w:val="009B02DC"/>
    <w:rsid w:val="009B1544"/>
    <w:rsid w:val="009B160C"/>
    <w:rsid w:val="009B253D"/>
    <w:rsid w:val="009B2D93"/>
    <w:rsid w:val="009B369F"/>
    <w:rsid w:val="009C2AD1"/>
    <w:rsid w:val="009C32F3"/>
    <w:rsid w:val="009C34D9"/>
    <w:rsid w:val="009C465E"/>
    <w:rsid w:val="009C5CE4"/>
    <w:rsid w:val="009C75AF"/>
    <w:rsid w:val="009D0B84"/>
    <w:rsid w:val="009D4E53"/>
    <w:rsid w:val="009D5EA6"/>
    <w:rsid w:val="009D6556"/>
    <w:rsid w:val="009D716A"/>
    <w:rsid w:val="009D7500"/>
    <w:rsid w:val="009E284C"/>
    <w:rsid w:val="009E4AB5"/>
    <w:rsid w:val="009E511B"/>
    <w:rsid w:val="009E53F9"/>
    <w:rsid w:val="009E6223"/>
    <w:rsid w:val="009F11EB"/>
    <w:rsid w:val="009F2384"/>
    <w:rsid w:val="009F2642"/>
    <w:rsid w:val="009F269B"/>
    <w:rsid w:val="009F4187"/>
    <w:rsid w:val="00A02871"/>
    <w:rsid w:val="00A03560"/>
    <w:rsid w:val="00A05903"/>
    <w:rsid w:val="00A10341"/>
    <w:rsid w:val="00A22974"/>
    <w:rsid w:val="00A2746A"/>
    <w:rsid w:val="00A31E0B"/>
    <w:rsid w:val="00A32027"/>
    <w:rsid w:val="00A32666"/>
    <w:rsid w:val="00A354FF"/>
    <w:rsid w:val="00A40527"/>
    <w:rsid w:val="00A40DC3"/>
    <w:rsid w:val="00A41BD7"/>
    <w:rsid w:val="00A46261"/>
    <w:rsid w:val="00A46850"/>
    <w:rsid w:val="00A52424"/>
    <w:rsid w:val="00A53693"/>
    <w:rsid w:val="00A53F57"/>
    <w:rsid w:val="00A53FEE"/>
    <w:rsid w:val="00A5485A"/>
    <w:rsid w:val="00A5693F"/>
    <w:rsid w:val="00A61411"/>
    <w:rsid w:val="00A65268"/>
    <w:rsid w:val="00A724D7"/>
    <w:rsid w:val="00A74E33"/>
    <w:rsid w:val="00A77581"/>
    <w:rsid w:val="00A8085C"/>
    <w:rsid w:val="00A81989"/>
    <w:rsid w:val="00A81C3D"/>
    <w:rsid w:val="00A8236F"/>
    <w:rsid w:val="00A838D0"/>
    <w:rsid w:val="00A867FC"/>
    <w:rsid w:val="00A91744"/>
    <w:rsid w:val="00A91F49"/>
    <w:rsid w:val="00A9492C"/>
    <w:rsid w:val="00A94D4B"/>
    <w:rsid w:val="00A94F46"/>
    <w:rsid w:val="00A953E2"/>
    <w:rsid w:val="00A97E58"/>
    <w:rsid w:val="00AA10F2"/>
    <w:rsid w:val="00AA4F81"/>
    <w:rsid w:val="00AB025E"/>
    <w:rsid w:val="00AB2BCA"/>
    <w:rsid w:val="00AB456A"/>
    <w:rsid w:val="00AB749B"/>
    <w:rsid w:val="00AB7CFA"/>
    <w:rsid w:val="00AC538B"/>
    <w:rsid w:val="00AC6509"/>
    <w:rsid w:val="00AD04CE"/>
    <w:rsid w:val="00AD32D0"/>
    <w:rsid w:val="00AD3988"/>
    <w:rsid w:val="00AD3C49"/>
    <w:rsid w:val="00AD409B"/>
    <w:rsid w:val="00AD4A88"/>
    <w:rsid w:val="00AE2DEF"/>
    <w:rsid w:val="00AE4361"/>
    <w:rsid w:val="00AE450A"/>
    <w:rsid w:val="00AE7199"/>
    <w:rsid w:val="00AF1FA5"/>
    <w:rsid w:val="00AF2A55"/>
    <w:rsid w:val="00AF3C93"/>
    <w:rsid w:val="00AF423B"/>
    <w:rsid w:val="00B0232B"/>
    <w:rsid w:val="00B12B6D"/>
    <w:rsid w:val="00B142B8"/>
    <w:rsid w:val="00B15972"/>
    <w:rsid w:val="00B160AE"/>
    <w:rsid w:val="00B22B2F"/>
    <w:rsid w:val="00B23A16"/>
    <w:rsid w:val="00B23AE0"/>
    <w:rsid w:val="00B26A5A"/>
    <w:rsid w:val="00B310DE"/>
    <w:rsid w:val="00B33484"/>
    <w:rsid w:val="00B37253"/>
    <w:rsid w:val="00B43F9E"/>
    <w:rsid w:val="00B44E41"/>
    <w:rsid w:val="00B53394"/>
    <w:rsid w:val="00B5348A"/>
    <w:rsid w:val="00B5547E"/>
    <w:rsid w:val="00B57FB7"/>
    <w:rsid w:val="00B61E4B"/>
    <w:rsid w:val="00B633CE"/>
    <w:rsid w:val="00B653C0"/>
    <w:rsid w:val="00B74743"/>
    <w:rsid w:val="00B74D97"/>
    <w:rsid w:val="00B75B3F"/>
    <w:rsid w:val="00B831D2"/>
    <w:rsid w:val="00B83940"/>
    <w:rsid w:val="00B83B18"/>
    <w:rsid w:val="00B84836"/>
    <w:rsid w:val="00B84A56"/>
    <w:rsid w:val="00B85120"/>
    <w:rsid w:val="00B86824"/>
    <w:rsid w:val="00B92473"/>
    <w:rsid w:val="00B959AB"/>
    <w:rsid w:val="00BA05E5"/>
    <w:rsid w:val="00BA1701"/>
    <w:rsid w:val="00BA728D"/>
    <w:rsid w:val="00BB1270"/>
    <w:rsid w:val="00BB14FA"/>
    <w:rsid w:val="00BB1F52"/>
    <w:rsid w:val="00BB5333"/>
    <w:rsid w:val="00BB63CB"/>
    <w:rsid w:val="00BB66E1"/>
    <w:rsid w:val="00BC49EE"/>
    <w:rsid w:val="00BC68B9"/>
    <w:rsid w:val="00BD2BF6"/>
    <w:rsid w:val="00BD52FE"/>
    <w:rsid w:val="00BD7798"/>
    <w:rsid w:val="00BE0055"/>
    <w:rsid w:val="00BE3343"/>
    <w:rsid w:val="00BE6A31"/>
    <w:rsid w:val="00BF0E8C"/>
    <w:rsid w:val="00BF1075"/>
    <w:rsid w:val="00BF1929"/>
    <w:rsid w:val="00BF1C02"/>
    <w:rsid w:val="00BF2DE8"/>
    <w:rsid w:val="00BF31FC"/>
    <w:rsid w:val="00BF3EDF"/>
    <w:rsid w:val="00BF54C6"/>
    <w:rsid w:val="00BF56B6"/>
    <w:rsid w:val="00BF65CE"/>
    <w:rsid w:val="00BF682E"/>
    <w:rsid w:val="00BF7788"/>
    <w:rsid w:val="00BF7AF2"/>
    <w:rsid w:val="00C0101F"/>
    <w:rsid w:val="00C021D6"/>
    <w:rsid w:val="00C033A5"/>
    <w:rsid w:val="00C03CA4"/>
    <w:rsid w:val="00C0611B"/>
    <w:rsid w:val="00C06A1B"/>
    <w:rsid w:val="00C06BE6"/>
    <w:rsid w:val="00C07A36"/>
    <w:rsid w:val="00C11903"/>
    <w:rsid w:val="00C128D6"/>
    <w:rsid w:val="00C14082"/>
    <w:rsid w:val="00C1488E"/>
    <w:rsid w:val="00C173FC"/>
    <w:rsid w:val="00C229F0"/>
    <w:rsid w:val="00C243AA"/>
    <w:rsid w:val="00C2465F"/>
    <w:rsid w:val="00C27867"/>
    <w:rsid w:val="00C31892"/>
    <w:rsid w:val="00C31902"/>
    <w:rsid w:val="00C33910"/>
    <w:rsid w:val="00C34AE5"/>
    <w:rsid w:val="00C36DAC"/>
    <w:rsid w:val="00C36EEB"/>
    <w:rsid w:val="00C44095"/>
    <w:rsid w:val="00C53A00"/>
    <w:rsid w:val="00C541D5"/>
    <w:rsid w:val="00C5485B"/>
    <w:rsid w:val="00C56D47"/>
    <w:rsid w:val="00C57745"/>
    <w:rsid w:val="00C60478"/>
    <w:rsid w:val="00C62C3A"/>
    <w:rsid w:val="00C65153"/>
    <w:rsid w:val="00C666C3"/>
    <w:rsid w:val="00C66C06"/>
    <w:rsid w:val="00C712F3"/>
    <w:rsid w:val="00C71354"/>
    <w:rsid w:val="00C71D84"/>
    <w:rsid w:val="00C75910"/>
    <w:rsid w:val="00C77E1B"/>
    <w:rsid w:val="00C92338"/>
    <w:rsid w:val="00C94193"/>
    <w:rsid w:val="00CA0D10"/>
    <w:rsid w:val="00CA0FF9"/>
    <w:rsid w:val="00CA4154"/>
    <w:rsid w:val="00CA598E"/>
    <w:rsid w:val="00CA776C"/>
    <w:rsid w:val="00CB3A71"/>
    <w:rsid w:val="00CB5DF6"/>
    <w:rsid w:val="00CC1642"/>
    <w:rsid w:val="00CC22B4"/>
    <w:rsid w:val="00CC7C20"/>
    <w:rsid w:val="00CD1B3A"/>
    <w:rsid w:val="00CD310C"/>
    <w:rsid w:val="00CD4083"/>
    <w:rsid w:val="00CE08C1"/>
    <w:rsid w:val="00CE120D"/>
    <w:rsid w:val="00CE6A5C"/>
    <w:rsid w:val="00CE7530"/>
    <w:rsid w:val="00CF2417"/>
    <w:rsid w:val="00CF3225"/>
    <w:rsid w:val="00CF35D2"/>
    <w:rsid w:val="00D0256C"/>
    <w:rsid w:val="00D02DA4"/>
    <w:rsid w:val="00D035F7"/>
    <w:rsid w:val="00D03789"/>
    <w:rsid w:val="00D05345"/>
    <w:rsid w:val="00D06820"/>
    <w:rsid w:val="00D1157C"/>
    <w:rsid w:val="00D11954"/>
    <w:rsid w:val="00D274A9"/>
    <w:rsid w:val="00D278BA"/>
    <w:rsid w:val="00D30904"/>
    <w:rsid w:val="00D35A22"/>
    <w:rsid w:val="00D41427"/>
    <w:rsid w:val="00D45022"/>
    <w:rsid w:val="00D51076"/>
    <w:rsid w:val="00D543E4"/>
    <w:rsid w:val="00D55BF8"/>
    <w:rsid w:val="00D57AC6"/>
    <w:rsid w:val="00D62475"/>
    <w:rsid w:val="00D626B0"/>
    <w:rsid w:val="00D6385B"/>
    <w:rsid w:val="00D70718"/>
    <w:rsid w:val="00D71D71"/>
    <w:rsid w:val="00D73490"/>
    <w:rsid w:val="00D73747"/>
    <w:rsid w:val="00D745B4"/>
    <w:rsid w:val="00D75FD4"/>
    <w:rsid w:val="00D8160A"/>
    <w:rsid w:val="00D92E3C"/>
    <w:rsid w:val="00D94048"/>
    <w:rsid w:val="00D9617D"/>
    <w:rsid w:val="00D96470"/>
    <w:rsid w:val="00D96FEE"/>
    <w:rsid w:val="00D97C0A"/>
    <w:rsid w:val="00DA0409"/>
    <w:rsid w:val="00DA0D0A"/>
    <w:rsid w:val="00DA0D11"/>
    <w:rsid w:val="00DA2464"/>
    <w:rsid w:val="00DA6674"/>
    <w:rsid w:val="00DB0CD7"/>
    <w:rsid w:val="00DB28BB"/>
    <w:rsid w:val="00DB77B3"/>
    <w:rsid w:val="00DB7F98"/>
    <w:rsid w:val="00DC4715"/>
    <w:rsid w:val="00DC489B"/>
    <w:rsid w:val="00DC4E8D"/>
    <w:rsid w:val="00DD2359"/>
    <w:rsid w:val="00DD3235"/>
    <w:rsid w:val="00DD3312"/>
    <w:rsid w:val="00DE127C"/>
    <w:rsid w:val="00DE2C6E"/>
    <w:rsid w:val="00DE3F73"/>
    <w:rsid w:val="00DE685F"/>
    <w:rsid w:val="00DE737F"/>
    <w:rsid w:val="00DF31E2"/>
    <w:rsid w:val="00DF4797"/>
    <w:rsid w:val="00DF5580"/>
    <w:rsid w:val="00E032C9"/>
    <w:rsid w:val="00E046A4"/>
    <w:rsid w:val="00E068D7"/>
    <w:rsid w:val="00E06FE0"/>
    <w:rsid w:val="00E100B0"/>
    <w:rsid w:val="00E17BC8"/>
    <w:rsid w:val="00E21188"/>
    <w:rsid w:val="00E211D0"/>
    <w:rsid w:val="00E22403"/>
    <w:rsid w:val="00E2579A"/>
    <w:rsid w:val="00E36FF1"/>
    <w:rsid w:val="00E3775B"/>
    <w:rsid w:val="00E37C58"/>
    <w:rsid w:val="00E4145A"/>
    <w:rsid w:val="00E415D1"/>
    <w:rsid w:val="00E45AED"/>
    <w:rsid w:val="00E45D0C"/>
    <w:rsid w:val="00E50D06"/>
    <w:rsid w:val="00E558BA"/>
    <w:rsid w:val="00E5745E"/>
    <w:rsid w:val="00E62958"/>
    <w:rsid w:val="00E646E5"/>
    <w:rsid w:val="00E65484"/>
    <w:rsid w:val="00E679CD"/>
    <w:rsid w:val="00E71270"/>
    <w:rsid w:val="00E72160"/>
    <w:rsid w:val="00E771CE"/>
    <w:rsid w:val="00E77AA6"/>
    <w:rsid w:val="00E77D7B"/>
    <w:rsid w:val="00E803C8"/>
    <w:rsid w:val="00E826C2"/>
    <w:rsid w:val="00E83BF2"/>
    <w:rsid w:val="00E849D0"/>
    <w:rsid w:val="00E86F48"/>
    <w:rsid w:val="00E91686"/>
    <w:rsid w:val="00E969E7"/>
    <w:rsid w:val="00E9792D"/>
    <w:rsid w:val="00E97A39"/>
    <w:rsid w:val="00EB15E1"/>
    <w:rsid w:val="00EC7F41"/>
    <w:rsid w:val="00EC7FCC"/>
    <w:rsid w:val="00ED74DB"/>
    <w:rsid w:val="00ED7AF8"/>
    <w:rsid w:val="00EE276D"/>
    <w:rsid w:val="00EE4B0A"/>
    <w:rsid w:val="00EE5009"/>
    <w:rsid w:val="00EF1706"/>
    <w:rsid w:val="00EF2DEF"/>
    <w:rsid w:val="00EF2E2C"/>
    <w:rsid w:val="00EF7F3A"/>
    <w:rsid w:val="00F0036A"/>
    <w:rsid w:val="00F0068B"/>
    <w:rsid w:val="00F009FC"/>
    <w:rsid w:val="00F03626"/>
    <w:rsid w:val="00F079E5"/>
    <w:rsid w:val="00F1197D"/>
    <w:rsid w:val="00F1345F"/>
    <w:rsid w:val="00F143AF"/>
    <w:rsid w:val="00F17126"/>
    <w:rsid w:val="00F21364"/>
    <w:rsid w:val="00F229D7"/>
    <w:rsid w:val="00F23190"/>
    <w:rsid w:val="00F25546"/>
    <w:rsid w:val="00F2751B"/>
    <w:rsid w:val="00F27AF8"/>
    <w:rsid w:val="00F30C33"/>
    <w:rsid w:val="00F30F9D"/>
    <w:rsid w:val="00F314A0"/>
    <w:rsid w:val="00F32771"/>
    <w:rsid w:val="00F37184"/>
    <w:rsid w:val="00F4542C"/>
    <w:rsid w:val="00F457C6"/>
    <w:rsid w:val="00F5356E"/>
    <w:rsid w:val="00F57072"/>
    <w:rsid w:val="00F6222D"/>
    <w:rsid w:val="00F64D54"/>
    <w:rsid w:val="00F701AB"/>
    <w:rsid w:val="00F70705"/>
    <w:rsid w:val="00F72D0C"/>
    <w:rsid w:val="00F74CB5"/>
    <w:rsid w:val="00F75C66"/>
    <w:rsid w:val="00F77640"/>
    <w:rsid w:val="00F80B5F"/>
    <w:rsid w:val="00F82206"/>
    <w:rsid w:val="00F82B72"/>
    <w:rsid w:val="00F8388C"/>
    <w:rsid w:val="00F848CF"/>
    <w:rsid w:val="00F84D34"/>
    <w:rsid w:val="00F84EC4"/>
    <w:rsid w:val="00F850E0"/>
    <w:rsid w:val="00F86846"/>
    <w:rsid w:val="00F86B67"/>
    <w:rsid w:val="00F87447"/>
    <w:rsid w:val="00F90ACA"/>
    <w:rsid w:val="00FA339D"/>
    <w:rsid w:val="00FB2F2D"/>
    <w:rsid w:val="00FB4C18"/>
    <w:rsid w:val="00FC24AF"/>
    <w:rsid w:val="00FC6DDA"/>
    <w:rsid w:val="00FD189B"/>
    <w:rsid w:val="00FD18D0"/>
    <w:rsid w:val="00FD3758"/>
    <w:rsid w:val="00FD5DD4"/>
    <w:rsid w:val="00FE037D"/>
    <w:rsid w:val="00FE13AB"/>
    <w:rsid w:val="00FE199A"/>
    <w:rsid w:val="00FE224A"/>
    <w:rsid w:val="00FE7A61"/>
    <w:rsid w:val="00FE7D09"/>
    <w:rsid w:val="00FF05BB"/>
    <w:rsid w:val="00FF1BAC"/>
    <w:rsid w:val="00FF222E"/>
    <w:rsid w:val="00FF22B4"/>
    <w:rsid w:val="00FF3732"/>
    <w:rsid w:val="00FF6DF8"/>
    <w:rsid w:val="0BE2277A"/>
    <w:rsid w:val="1EE3C742"/>
    <w:rsid w:val="2CDFE296"/>
    <w:rsid w:val="637FC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1070"/>
  <w15:chartTrackingRefBased/>
  <w15:docId w15:val="{4011B1C7-202B-CD4C-B8E2-85DC1509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22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223"/>
    <w:rPr>
      <w:sz w:val="18"/>
      <w:szCs w:val="18"/>
    </w:rPr>
  </w:style>
  <w:style w:type="character" w:customStyle="1" w:styleId="BalloonTextChar">
    <w:name w:val="Balloon Text Char"/>
    <w:basedOn w:val="DefaultParagraphFont"/>
    <w:link w:val="BalloonText"/>
    <w:uiPriority w:val="99"/>
    <w:semiHidden/>
    <w:rsid w:val="009E6223"/>
    <w:rPr>
      <w:rFonts w:ascii="Times New Roman" w:hAnsi="Times New Roman" w:cs="Times New Roman"/>
      <w:sz w:val="18"/>
      <w:szCs w:val="18"/>
    </w:rPr>
  </w:style>
  <w:style w:type="paragraph" w:styleId="NormalWeb">
    <w:name w:val="Normal (Web)"/>
    <w:basedOn w:val="Normal"/>
    <w:uiPriority w:val="99"/>
    <w:unhideWhenUsed/>
    <w:rsid w:val="009E6223"/>
    <w:pPr>
      <w:spacing w:before="100" w:beforeAutospacing="1" w:after="100" w:afterAutospacing="1"/>
    </w:pPr>
  </w:style>
  <w:style w:type="paragraph" w:styleId="Header">
    <w:name w:val="header"/>
    <w:basedOn w:val="Normal"/>
    <w:link w:val="HeaderChar"/>
    <w:uiPriority w:val="99"/>
    <w:unhideWhenUsed/>
    <w:rsid w:val="009E6223"/>
    <w:pPr>
      <w:tabs>
        <w:tab w:val="center" w:pos="4680"/>
        <w:tab w:val="right" w:pos="9360"/>
      </w:tabs>
    </w:pPr>
  </w:style>
  <w:style w:type="character" w:customStyle="1" w:styleId="HeaderChar">
    <w:name w:val="Header Char"/>
    <w:basedOn w:val="DefaultParagraphFont"/>
    <w:link w:val="Header"/>
    <w:uiPriority w:val="99"/>
    <w:rsid w:val="009E6223"/>
    <w:rPr>
      <w:rFonts w:ascii="Times New Roman" w:eastAsia="Times New Roman" w:hAnsi="Times New Roman" w:cs="Times New Roman"/>
    </w:rPr>
  </w:style>
  <w:style w:type="paragraph" w:styleId="Footer">
    <w:name w:val="footer"/>
    <w:basedOn w:val="Normal"/>
    <w:link w:val="FooterChar"/>
    <w:uiPriority w:val="99"/>
    <w:unhideWhenUsed/>
    <w:rsid w:val="009E6223"/>
    <w:pPr>
      <w:tabs>
        <w:tab w:val="center" w:pos="4680"/>
        <w:tab w:val="right" w:pos="9360"/>
      </w:tabs>
    </w:pPr>
  </w:style>
  <w:style w:type="character" w:customStyle="1" w:styleId="FooterChar">
    <w:name w:val="Footer Char"/>
    <w:basedOn w:val="DefaultParagraphFont"/>
    <w:link w:val="Footer"/>
    <w:uiPriority w:val="99"/>
    <w:rsid w:val="009E6223"/>
    <w:rPr>
      <w:rFonts w:ascii="Times New Roman" w:eastAsia="Times New Roman" w:hAnsi="Times New Roman" w:cs="Times New Roman"/>
    </w:rPr>
  </w:style>
  <w:style w:type="character" w:styleId="CommentReference">
    <w:name w:val="annotation reference"/>
    <w:uiPriority w:val="99"/>
    <w:semiHidden/>
    <w:unhideWhenUsed/>
    <w:rsid w:val="009E6223"/>
    <w:rPr>
      <w:sz w:val="16"/>
      <w:szCs w:val="16"/>
    </w:rPr>
  </w:style>
  <w:style w:type="paragraph" w:styleId="CommentText">
    <w:name w:val="annotation text"/>
    <w:basedOn w:val="Normal"/>
    <w:link w:val="CommentTextChar"/>
    <w:uiPriority w:val="99"/>
    <w:unhideWhenUsed/>
    <w:rsid w:val="009E6223"/>
    <w:rPr>
      <w:sz w:val="20"/>
      <w:szCs w:val="20"/>
    </w:rPr>
  </w:style>
  <w:style w:type="character" w:customStyle="1" w:styleId="CommentTextChar">
    <w:name w:val="Comment Text Char"/>
    <w:basedOn w:val="DefaultParagraphFont"/>
    <w:link w:val="CommentText"/>
    <w:uiPriority w:val="99"/>
    <w:rsid w:val="009E62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6223"/>
    <w:rPr>
      <w:b/>
      <w:bCs/>
    </w:rPr>
  </w:style>
  <w:style w:type="character" w:customStyle="1" w:styleId="CommentSubjectChar">
    <w:name w:val="Comment Subject Char"/>
    <w:basedOn w:val="CommentTextChar"/>
    <w:link w:val="CommentSubject"/>
    <w:uiPriority w:val="99"/>
    <w:semiHidden/>
    <w:rsid w:val="009E6223"/>
    <w:rPr>
      <w:rFonts w:ascii="Times New Roman" w:eastAsia="Times New Roman" w:hAnsi="Times New Roman" w:cs="Times New Roman"/>
      <w:b/>
      <w:bCs/>
      <w:sz w:val="20"/>
      <w:szCs w:val="20"/>
    </w:rPr>
  </w:style>
  <w:style w:type="table" w:styleId="TableGrid">
    <w:name w:val="Table Grid"/>
    <w:basedOn w:val="TableNormal"/>
    <w:uiPriority w:val="59"/>
    <w:rsid w:val="009E6223"/>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223"/>
    <w:pPr>
      <w:spacing w:before="100" w:beforeAutospacing="1" w:after="100" w:afterAutospacing="1"/>
    </w:pPr>
  </w:style>
  <w:style w:type="character" w:styleId="Hyperlink">
    <w:name w:val="Hyperlink"/>
    <w:uiPriority w:val="99"/>
    <w:unhideWhenUsed/>
    <w:rsid w:val="009E6223"/>
    <w:rPr>
      <w:color w:val="0563C1"/>
      <w:u w:val="single"/>
    </w:rPr>
  </w:style>
  <w:style w:type="character" w:customStyle="1" w:styleId="UnresolvedMention1">
    <w:name w:val="Unresolved Mention1"/>
    <w:uiPriority w:val="99"/>
    <w:semiHidden/>
    <w:unhideWhenUsed/>
    <w:rsid w:val="009E6223"/>
    <w:rPr>
      <w:color w:val="605E5C"/>
      <w:shd w:val="clear" w:color="auto" w:fill="E1DFDD"/>
    </w:rPr>
  </w:style>
  <w:style w:type="character" w:styleId="FollowedHyperlink">
    <w:name w:val="FollowedHyperlink"/>
    <w:uiPriority w:val="99"/>
    <w:semiHidden/>
    <w:unhideWhenUsed/>
    <w:rsid w:val="009E6223"/>
    <w:rPr>
      <w:color w:val="954F72"/>
      <w:u w:val="single"/>
    </w:rPr>
  </w:style>
  <w:style w:type="paragraph" w:styleId="Revision">
    <w:name w:val="Revision"/>
    <w:hidden/>
    <w:uiPriority w:val="99"/>
    <w:semiHidden/>
    <w:rsid w:val="009E6223"/>
    <w:rPr>
      <w:rFonts w:ascii="Times New Roman" w:eastAsia="Times New Roman" w:hAnsi="Times New Roman" w:cs="Times New Roman"/>
    </w:rPr>
  </w:style>
  <w:style w:type="character" w:customStyle="1" w:styleId="apple-converted-space">
    <w:name w:val="apple-converted-space"/>
    <w:rsid w:val="009E6223"/>
  </w:style>
  <w:style w:type="paragraph" w:styleId="FootnoteText">
    <w:name w:val="footnote text"/>
    <w:basedOn w:val="Normal"/>
    <w:link w:val="FootnoteTextChar"/>
    <w:uiPriority w:val="99"/>
    <w:semiHidden/>
    <w:unhideWhenUsed/>
    <w:rsid w:val="00BF1075"/>
    <w:rPr>
      <w:sz w:val="20"/>
      <w:szCs w:val="20"/>
    </w:rPr>
  </w:style>
  <w:style w:type="character" w:customStyle="1" w:styleId="FootnoteTextChar">
    <w:name w:val="Footnote Text Char"/>
    <w:basedOn w:val="DefaultParagraphFont"/>
    <w:link w:val="FootnoteText"/>
    <w:uiPriority w:val="99"/>
    <w:semiHidden/>
    <w:rsid w:val="00BF1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10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361726">
      <w:bodyDiv w:val="1"/>
      <w:marLeft w:val="0"/>
      <w:marRight w:val="0"/>
      <w:marTop w:val="0"/>
      <w:marBottom w:val="0"/>
      <w:divBdr>
        <w:top w:val="none" w:sz="0" w:space="0" w:color="auto"/>
        <w:left w:val="none" w:sz="0" w:space="0" w:color="auto"/>
        <w:bottom w:val="none" w:sz="0" w:space="0" w:color="auto"/>
        <w:right w:val="none" w:sz="0" w:space="0" w:color="auto"/>
      </w:divBdr>
    </w:div>
    <w:div w:id="782192661">
      <w:bodyDiv w:val="1"/>
      <w:marLeft w:val="0"/>
      <w:marRight w:val="0"/>
      <w:marTop w:val="0"/>
      <w:marBottom w:val="0"/>
      <w:divBdr>
        <w:top w:val="none" w:sz="0" w:space="0" w:color="auto"/>
        <w:left w:val="none" w:sz="0" w:space="0" w:color="auto"/>
        <w:bottom w:val="none" w:sz="0" w:space="0" w:color="auto"/>
        <w:right w:val="none" w:sz="0" w:space="0" w:color="auto"/>
      </w:divBdr>
    </w:div>
    <w:div w:id="909849776">
      <w:bodyDiv w:val="1"/>
      <w:marLeft w:val="0"/>
      <w:marRight w:val="0"/>
      <w:marTop w:val="0"/>
      <w:marBottom w:val="0"/>
      <w:divBdr>
        <w:top w:val="none" w:sz="0" w:space="0" w:color="auto"/>
        <w:left w:val="none" w:sz="0" w:space="0" w:color="auto"/>
        <w:bottom w:val="none" w:sz="0" w:space="0" w:color="auto"/>
        <w:right w:val="none" w:sz="0" w:space="0" w:color="auto"/>
      </w:divBdr>
      <w:divsChild>
        <w:div w:id="460684205">
          <w:marLeft w:val="0"/>
          <w:marRight w:val="0"/>
          <w:marTop w:val="0"/>
          <w:marBottom w:val="0"/>
          <w:divBdr>
            <w:top w:val="none" w:sz="0" w:space="0" w:color="auto"/>
            <w:left w:val="none" w:sz="0" w:space="0" w:color="auto"/>
            <w:bottom w:val="none" w:sz="0" w:space="0" w:color="auto"/>
            <w:right w:val="none" w:sz="0" w:space="0" w:color="auto"/>
          </w:divBdr>
        </w:div>
      </w:divsChild>
    </w:div>
    <w:div w:id="91265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breros@ran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471CC346FB44498E27E46F36E5DE09" ma:contentTypeVersion="8" ma:contentTypeDescription="Create a new document." ma:contentTypeScope="" ma:versionID="1fa1dd40d1e01d268325cb19530f6f15">
  <xsd:schema xmlns:xsd="http://www.w3.org/2001/XMLSchema" xmlns:xs="http://www.w3.org/2001/XMLSchema" xmlns:p="http://schemas.microsoft.com/office/2006/metadata/properties" xmlns:ns2="22054f49-8b7b-467e-b07a-08cbbde63c04" targetNamespace="http://schemas.microsoft.com/office/2006/metadata/properties" ma:root="true" ma:fieldsID="bfe18dab2b842158a9f060a90288fe39" ns2:_="">
    <xsd:import namespace="22054f49-8b7b-467e-b07a-08cbbde63c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54f49-8b7b-467e-b07a-08cbbde6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314C1-2D3E-4785-9F6A-68D694ACF247}">
  <ds:schemaRefs>
    <ds:schemaRef ds:uri="http://schemas.microsoft.com/office/infopath/2007/PartnerControls"/>
    <ds:schemaRef ds:uri="http://purl.org/dc/terms/"/>
    <ds:schemaRef ds:uri="http://schemas.microsoft.com/office/2006/documentManagement/types"/>
    <ds:schemaRef ds:uri="22054f49-8b7b-467e-b07a-08cbbde63c04"/>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43B5BE-72AD-4A2F-A5BE-15D861AD5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54f49-8b7b-467e-b07a-08cbbde6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8F4F7-0340-4010-B187-85AA5DF574A5}">
  <ds:schemaRefs>
    <ds:schemaRef ds:uri="http://schemas.microsoft.com/sharepoint/v3/contenttype/forms"/>
  </ds:schemaRefs>
</ds:datastoreItem>
</file>

<file path=customXml/itemProps4.xml><?xml version="1.0" encoding="utf-8"?>
<ds:datastoreItem xmlns:ds="http://schemas.openxmlformats.org/officeDocument/2006/customXml" ds:itemID="{4F3100E5-AF85-4C6B-A6E2-D0E6603F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6111</Words>
  <Characters>34838</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40868</CharactersWithSpaces>
  <SharedDoc>false</SharedDoc>
  <HLinks>
    <vt:vector size="6" baseType="variant">
      <vt:variant>
        <vt:i4>2359320</vt:i4>
      </vt:variant>
      <vt:variant>
        <vt:i4>0</vt:i4>
      </vt:variant>
      <vt:variant>
        <vt:i4>0</vt:i4>
      </vt:variant>
      <vt:variant>
        <vt:i4>5</vt:i4>
      </vt:variant>
      <vt:variant>
        <vt:lpwstr>mailto:cabreros@rand.org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Cabreros, Irineo</dc:creator>
  <cp:keywords/>
  <dc:description/>
  <cp:lastModifiedBy>Ainspan, Nathan D CIV DODHRA DPFSC (USA)</cp:lastModifiedBy>
  <cp:revision>2</cp:revision>
  <dcterms:created xsi:type="dcterms:W3CDTF">2021-03-25T15:37:00Z</dcterms:created>
  <dcterms:modified xsi:type="dcterms:W3CDTF">2021-03-25T15:37:00Z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0x0101001A471CC346FB44498E27E46F36E5DE09</vt:lpwstr>
  </property>
</Properties>
</file>