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1CC82D8" w14:textId="797E823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ED5A59" w14:paraId="6DC44426" w14:textId="200ABCB1">
      <w:pPr>
        <w:jc w:val="center"/>
        <w:rPr>
          <w:rFonts w:asciiTheme="majorHAnsi" w:hAnsiTheme="majorHAnsi"/>
          <w:sz w:val="24"/>
        </w:rPr>
      </w:pPr>
      <w:r w:rsidRPr="00ED5A59">
        <w:rPr>
          <w:rFonts w:asciiTheme="majorHAnsi" w:hAnsiTheme="majorHAnsi"/>
          <w:sz w:val="24"/>
        </w:rPr>
        <w:t>Trusted Capital</w:t>
      </w:r>
      <w:r w:rsidR="003F17D1">
        <w:rPr>
          <w:rFonts w:asciiTheme="majorHAnsi" w:hAnsiTheme="majorHAnsi"/>
          <w:sz w:val="24"/>
        </w:rPr>
        <w:t xml:space="preserve"> Digital Marketplace Application</w:t>
      </w:r>
      <w:r w:rsidR="00D25D16">
        <w:rPr>
          <w:rFonts w:asciiTheme="majorHAnsi" w:hAnsiTheme="majorHAnsi"/>
          <w:sz w:val="24"/>
        </w:rPr>
        <w:t xml:space="preserve"> </w:t>
      </w:r>
      <w:r w:rsidRPr="00D25D16" w:rsidR="00D25D16">
        <w:rPr>
          <w:rFonts w:asciiTheme="majorHAnsi" w:hAnsiTheme="majorHAnsi"/>
          <w:sz w:val="24"/>
        </w:rPr>
        <w:t>–</w:t>
      </w:r>
      <w:r w:rsidR="00D25D16">
        <w:rPr>
          <w:rFonts w:asciiTheme="majorHAnsi" w:hAnsiTheme="majorHAnsi"/>
          <w:sz w:val="24"/>
        </w:rPr>
        <w:t xml:space="preserve"> 0704-</w:t>
      </w:r>
      <w:r w:rsidR="00C95E15">
        <w:rPr>
          <w:rFonts w:asciiTheme="majorHAnsi" w:hAnsiTheme="majorHAnsi"/>
          <w:sz w:val="24"/>
        </w:rPr>
        <w:t>0596</w:t>
      </w:r>
    </w:p>
    <w:p w:rsidR="005C7428" w:rsidP="006E563D" w:rsidRDefault="0027743E" w14:paraId="1D77620A"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750466" w:rsidR="005C7428">
        <w:rPr>
          <w:rFonts w:asciiTheme="majorHAnsi" w:hAnsiTheme="majorHAnsi"/>
          <w:sz w:val="24"/>
          <w:u w:val="single"/>
        </w:rPr>
        <w:t xml:space="preserve">Need for the Information </w:t>
      </w:r>
      <w:r w:rsidRPr="00750466" w:rsidR="0085688C">
        <w:rPr>
          <w:rFonts w:asciiTheme="majorHAnsi" w:hAnsiTheme="majorHAnsi"/>
          <w:sz w:val="24"/>
          <w:u w:val="single"/>
        </w:rPr>
        <w:t>Collection</w:t>
      </w:r>
      <w:r w:rsidRPr="0085688C" w:rsidR="0085688C">
        <w:rPr>
          <w:rFonts w:asciiTheme="majorHAnsi" w:hAnsiTheme="majorHAnsi"/>
          <w:sz w:val="24"/>
        </w:rPr>
        <w:t xml:space="preserve"> </w:t>
      </w:r>
    </w:p>
    <w:p w:rsidR="00931C4A" w:rsidP="00D64803" w:rsidRDefault="00931C4A" w14:paraId="634D936E" w14:textId="4D992470">
      <w:pPr>
        <w:spacing w:after="0" w:line="240" w:lineRule="auto"/>
        <w:rPr>
          <w:rFonts w:asciiTheme="majorHAnsi" w:hAnsiTheme="majorHAnsi"/>
          <w:sz w:val="24"/>
          <w:lang w:val="en-IE"/>
        </w:rPr>
      </w:pPr>
      <w:r w:rsidRPr="00931C4A">
        <w:rPr>
          <w:rFonts w:asciiTheme="majorHAnsi" w:hAnsiTheme="majorHAnsi"/>
          <w:sz w:val="24"/>
          <w:lang w:val="en-IE"/>
        </w:rPr>
        <w:t xml:space="preserve">The Under Secretary of </w:t>
      </w:r>
      <w:proofErr w:type="spellStart"/>
      <w:r w:rsidRPr="00931C4A">
        <w:rPr>
          <w:rFonts w:asciiTheme="majorHAnsi" w:hAnsiTheme="majorHAnsi"/>
          <w:sz w:val="24"/>
          <w:lang w:val="en-IE"/>
        </w:rPr>
        <w:t>Defense</w:t>
      </w:r>
      <w:proofErr w:type="spellEnd"/>
      <w:r w:rsidRPr="00931C4A">
        <w:rPr>
          <w:rFonts w:asciiTheme="majorHAnsi" w:hAnsiTheme="majorHAnsi"/>
          <w:sz w:val="24"/>
          <w:lang w:val="en-IE"/>
        </w:rPr>
        <w:t xml:space="preserve"> for Acquisition and Sustainment (USD(A&amp;S)) is “delegated authority to exercise, within assigned responsibilities and functions, all authority of the Secretary of </w:t>
      </w:r>
      <w:proofErr w:type="spellStart"/>
      <w:r w:rsidRPr="00931C4A">
        <w:rPr>
          <w:rFonts w:asciiTheme="majorHAnsi" w:hAnsiTheme="majorHAnsi"/>
          <w:sz w:val="24"/>
          <w:lang w:val="en-IE"/>
        </w:rPr>
        <w:t>Defense</w:t>
      </w:r>
      <w:proofErr w:type="spellEnd"/>
      <w:r w:rsidRPr="00931C4A">
        <w:rPr>
          <w:rFonts w:asciiTheme="majorHAnsi" w:hAnsiTheme="majorHAnsi"/>
          <w:sz w:val="24"/>
          <w:lang w:val="en-IE"/>
        </w:rPr>
        <w:t xml:space="preserve">” derived from statute, executive order (E.O.), or interagency agreement, “except where specifically limited by statute or E.O. to the Secretary of </w:t>
      </w:r>
      <w:proofErr w:type="spellStart"/>
      <w:r w:rsidRPr="00931C4A">
        <w:rPr>
          <w:rFonts w:asciiTheme="majorHAnsi" w:hAnsiTheme="majorHAnsi"/>
          <w:sz w:val="24"/>
          <w:lang w:val="en-IE"/>
        </w:rPr>
        <w:t>Defense</w:t>
      </w:r>
      <w:proofErr w:type="spellEnd"/>
      <w:r w:rsidRPr="00931C4A">
        <w:rPr>
          <w:rFonts w:asciiTheme="majorHAnsi" w:hAnsiTheme="majorHAnsi"/>
          <w:sz w:val="24"/>
          <w:lang w:val="en-IE"/>
        </w:rPr>
        <w:t>.”</w:t>
      </w:r>
      <w:r w:rsidR="00BD746F">
        <w:rPr>
          <w:rStyle w:val="FootnoteReference"/>
          <w:rFonts w:asciiTheme="majorHAnsi" w:hAnsiTheme="majorHAnsi"/>
          <w:sz w:val="24"/>
          <w:lang w:val="en-IE"/>
        </w:rPr>
        <w:footnoteReference w:id="1"/>
      </w:r>
      <w:r w:rsidRPr="00931C4A">
        <w:rPr>
          <w:rFonts w:asciiTheme="majorHAnsi" w:hAnsiTheme="majorHAnsi"/>
          <w:sz w:val="24"/>
          <w:lang w:val="en-IE"/>
        </w:rPr>
        <w:t xml:space="preserve">  Responsibilities of the USD(A&amp;S) include the establishment of policies to “maximize U.S. competitive advantage and ensure robust, secure, and resilient national industrial base capabilities” and “support and encourage small business.”</w:t>
      </w:r>
      <w:r w:rsidR="00BD746F">
        <w:rPr>
          <w:rStyle w:val="FootnoteReference"/>
          <w:rFonts w:asciiTheme="majorHAnsi" w:hAnsiTheme="majorHAnsi"/>
          <w:sz w:val="24"/>
          <w:lang w:val="en-IE"/>
        </w:rPr>
        <w:footnoteReference w:id="2"/>
      </w:r>
    </w:p>
    <w:p w:rsidR="00931C4A" w:rsidP="00D64803" w:rsidRDefault="00931C4A" w14:paraId="3CC394E9" w14:textId="77777777">
      <w:pPr>
        <w:spacing w:after="0" w:line="240" w:lineRule="auto"/>
        <w:rPr>
          <w:rFonts w:asciiTheme="majorHAnsi" w:hAnsiTheme="majorHAnsi"/>
          <w:sz w:val="24"/>
          <w:lang w:val="en-IE"/>
        </w:rPr>
      </w:pPr>
    </w:p>
    <w:p w:rsidR="006A6D88" w:rsidP="00D64803" w:rsidRDefault="00D64803" w14:paraId="79574DED" w14:textId="77777777">
      <w:pPr>
        <w:spacing w:after="0" w:line="240" w:lineRule="auto"/>
        <w:rPr>
          <w:rFonts w:ascii="Cambria" w:hAnsi="Cambria"/>
          <w:sz w:val="24"/>
        </w:rPr>
      </w:pPr>
      <w:r w:rsidRPr="00D64803">
        <w:rPr>
          <w:rFonts w:asciiTheme="majorHAnsi" w:hAnsiTheme="majorHAnsi"/>
          <w:sz w:val="24"/>
          <w:lang w:val="en-IE"/>
        </w:rPr>
        <w:t xml:space="preserve">Per the authority vested in the Secretary of </w:t>
      </w:r>
      <w:proofErr w:type="spellStart"/>
      <w:r w:rsidRPr="00D64803">
        <w:rPr>
          <w:rFonts w:asciiTheme="majorHAnsi" w:hAnsiTheme="majorHAnsi"/>
          <w:sz w:val="24"/>
          <w:lang w:val="en-IE"/>
        </w:rPr>
        <w:t>Defense</w:t>
      </w:r>
      <w:proofErr w:type="spellEnd"/>
      <w:r w:rsidRPr="00D64803">
        <w:rPr>
          <w:rFonts w:asciiTheme="majorHAnsi" w:hAnsiTheme="majorHAnsi"/>
          <w:sz w:val="24"/>
          <w:lang w:val="en-IE"/>
        </w:rPr>
        <w:t xml:space="preserve"> (SECDEF) by Section 1711 of the National </w:t>
      </w:r>
      <w:proofErr w:type="spellStart"/>
      <w:r w:rsidRPr="00D64803">
        <w:rPr>
          <w:rFonts w:asciiTheme="majorHAnsi" w:hAnsiTheme="majorHAnsi"/>
          <w:sz w:val="24"/>
          <w:lang w:val="en-IE"/>
        </w:rPr>
        <w:t>Defense</w:t>
      </w:r>
      <w:proofErr w:type="spellEnd"/>
      <w:r w:rsidRPr="00D64803">
        <w:rPr>
          <w:rFonts w:asciiTheme="majorHAnsi" w:hAnsiTheme="majorHAnsi"/>
          <w:sz w:val="24"/>
          <w:lang w:val="en-IE"/>
        </w:rPr>
        <w:t xml:space="preserve"> Authorization Act of 2018, </w:t>
      </w:r>
      <w:r w:rsidR="00EE1C2F">
        <w:rPr>
          <w:rFonts w:asciiTheme="majorHAnsi" w:hAnsiTheme="majorHAnsi"/>
          <w:sz w:val="24"/>
          <w:lang w:val="en-IE"/>
        </w:rPr>
        <w:t xml:space="preserve">the Office of the Under Secretary of </w:t>
      </w:r>
      <w:proofErr w:type="spellStart"/>
      <w:r w:rsidR="00EE1C2F">
        <w:rPr>
          <w:rFonts w:asciiTheme="majorHAnsi" w:hAnsiTheme="majorHAnsi"/>
          <w:sz w:val="24"/>
          <w:lang w:val="en-IE"/>
        </w:rPr>
        <w:t>Defense</w:t>
      </w:r>
      <w:proofErr w:type="spellEnd"/>
      <w:r w:rsidR="00EE1C2F">
        <w:rPr>
          <w:rFonts w:asciiTheme="majorHAnsi" w:hAnsiTheme="majorHAnsi"/>
          <w:sz w:val="24"/>
          <w:lang w:val="en-IE"/>
        </w:rPr>
        <w:t xml:space="preserve"> for </w:t>
      </w:r>
      <w:r w:rsidR="00CF0AD2">
        <w:rPr>
          <w:rFonts w:asciiTheme="majorHAnsi" w:hAnsiTheme="majorHAnsi"/>
          <w:sz w:val="24"/>
          <w:lang w:val="en-IE"/>
        </w:rPr>
        <w:t>A</w:t>
      </w:r>
      <w:r w:rsidR="00EE1C2F">
        <w:rPr>
          <w:rFonts w:asciiTheme="majorHAnsi" w:hAnsiTheme="majorHAnsi"/>
          <w:sz w:val="24"/>
          <w:lang w:val="en-IE"/>
        </w:rPr>
        <w:t xml:space="preserve">cquisition and Sustainment (OUSD(A&amp;S)) </w:t>
      </w:r>
      <w:r w:rsidRPr="00D64803">
        <w:rPr>
          <w:rFonts w:asciiTheme="majorHAnsi" w:hAnsiTheme="majorHAnsi"/>
          <w:sz w:val="24"/>
          <w:lang w:val="en-IE"/>
        </w:rPr>
        <w:t xml:space="preserve">has proposed a “Trusted Capital” initiative in the form of a public-private partnership designed to convene trusted sources of private capital with innovative companies critical to the </w:t>
      </w:r>
      <w:proofErr w:type="spellStart"/>
      <w:r w:rsidRPr="00D64803">
        <w:rPr>
          <w:rFonts w:asciiTheme="majorHAnsi" w:hAnsiTheme="majorHAnsi"/>
          <w:sz w:val="24"/>
          <w:lang w:val="en-IE"/>
        </w:rPr>
        <w:t>defense</w:t>
      </w:r>
      <w:proofErr w:type="spellEnd"/>
      <w:r w:rsidRPr="00D64803">
        <w:rPr>
          <w:rFonts w:asciiTheme="majorHAnsi" w:hAnsiTheme="majorHAnsi"/>
          <w:sz w:val="24"/>
          <w:lang w:val="en-IE"/>
        </w:rPr>
        <w:t xml:space="preserve"> industrial base (DIB) and national security.​</w:t>
      </w:r>
      <w:r w:rsidR="00EE1C2F">
        <w:rPr>
          <w:rFonts w:asciiTheme="majorHAnsi" w:hAnsiTheme="majorHAnsi"/>
          <w:sz w:val="24"/>
          <w:lang w:val="en-IE"/>
        </w:rPr>
        <w:t xml:space="preserve"> The initiative includes establishment of a Trusted Capital Digital Marketplace (TCDM)</w:t>
      </w:r>
      <w:r w:rsidR="00465663">
        <w:rPr>
          <w:rFonts w:asciiTheme="majorHAnsi" w:hAnsiTheme="majorHAnsi"/>
          <w:sz w:val="24"/>
          <w:lang w:val="en-IE"/>
        </w:rPr>
        <w:t xml:space="preserve"> </w:t>
      </w:r>
      <w:r w:rsidR="00465663">
        <w:rPr>
          <w:rFonts w:asciiTheme="majorHAnsi" w:hAnsiTheme="majorHAnsi"/>
          <w:sz w:val="24"/>
        </w:rPr>
        <w:t xml:space="preserve">to facilitate business relationships between eligible </w:t>
      </w:r>
      <w:r w:rsidRPr="00465663" w:rsidR="00465663">
        <w:rPr>
          <w:rFonts w:asciiTheme="majorHAnsi" w:hAnsiTheme="majorHAnsi"/>
          <w:sz w:val="24"/>
        </w:rPr>
        <w:t>investors (“Capital Providers”)</w:t>
      </w:r>
      <w:r w:rsidR="00465663">
        <w:rPr>
          <w:rFonts w:asciiTheme="majorHAnsi" w:hAnsiTheme="majorHAnsi"/>
          <w:sz w:val="24"/>
        </w:rPr>
        <w:t xml:space="preserve"> and eligible </w:t>
      </w:r>
      <w:r w:rsidRPr="00465663" w:rsidR="00465663">
        <w:rPr>
          <w:rFonts w:asciiTheme="majorHAnsi" w:hAnsiTheme="majorHAnsi"/>
          <w:sz w:val="24"/>
        </w:rPr>
        <w:t>small and medium-sized businesses that have been “</w:t>
      </w:r>
      <w:proofErr w:type="spellStart"/>
      <w:r w:rsidRPr="00465663" w:rsidR="00465663">
        <w:rPr>
          <w:rFonts w:asciiTheme="majorHAnsi" w:hAnsiTheme="majorHAnsi"/>
          <w:sz w:val="24"/>
        </w:rPr>
        <w:t>downselected</w:t>
      </w:r>
      <w:proofErr w:type="spellEnd"/>
      <w:r w:rsidRPr="00465663" w:rsidR="00465663">
        <w:rPr>
          <w:rFonts w:asciiTheme="majorHAnsi" w:hAnsiTheme="majorHAnsi"/>
          <w:sz w:val="24"/>
        </w:rPr>
        <w:t>” by</w:t>
      </w:r>
      <w:r w:rsidR="00465663">
        <w:rPr>
          <w:rFonts w:asciiTheme="majorHAnsi" w:hAnsiTheme="majorHAnsi"/>
          <w:sz w:val="24"/>
        </w:rPr>
        <w:t xml:space="preserve"> Department of Defense (DoD) Components </w:t>
      </w:r>
      <w:r w:rsidRPr="00465663" w:rsidR="00465663">
        <w:rPr>
          <w:rFonts w:asciiTheme="majorHAnsi" w:hAnsiTheme="majorHAnsi"/>
          <w:sz w:val="24"/>
        </w:rPr>
        <w:t>based on relevancy, technical merit, business viability, or innovativeness (“Capability Providers”)</w:t>
      </w:r>
      <w:r w:rsidR="00465663">
        <w:rPr>
          <w:rFonts w:asciiTheme="majorHAnsi" w:hAnsiTheme="majorHAnsi"/>
          <w:sz w:val="24"/>
        </w:rPr>
        <w:t>.</w:t>
      </w:r>
      <w:r w:rsidR="006A6D88">
        <w:t xml:space="preserve"> </w:t>
      </w:r>
      <w:r w:rsidRPr="00182A1E" w:rsidR="006A6D88">
        <w:rPr>
          <w:rFonts w:ascii="Cambria" w:hAnsi="Cambria"/>
          <w:sz w:val="24"/>
        </w:rPr>
        <w:t>Additional</w:t>
      </w:r>
      <w:r w:rsidR="006A6D88">
        <w:rPr>
          <w:rFonts w:ascii="Cambria" w:hAnsi="Cambria"/>
          <w:sz w:val="24"/>
        </w:rPr>
        <w:t xml:space="preserve"> legal authorities are outlined below:</w:t>
      </w:r>
    </w:p>
    <w:p w:rsidR="006A6D88" w:rsidP="00D64803" w:rsidRDefault="006A6D88" w14:paraId="5C168052" w14:textId="77777777">
      <w:pPr>
        <w:spacing w:after="0" w:line="240" w:lineRule="auto"/>
        <w:rPr>
          <w:rFonts w:ascii="Cambria" w:hAnsi="Cambria"/>
          <w:sz w:val="24"/>
        </w:rPr>
      </w:pPr>
    </w:p>
    <w:p w:rsidRPr="00182A1E" w:rsidR="006A6D88" w:rsidP="00182A1E" w:rsidRDefault="006A6D88" w14:paraId="4E56CFD6" w14:textId="7BC583E2">
      <w:pPr>
        <w:pStyle w:val="ListParagraph"/>
        <w:numPr>
          <w:ilvl w:val="0"/>
          <w:numId w:val="25"/>
        </w:numPr>
        <w:spacing w:after="0" w:line="240" w:lineRule="auto"/>
      </w:pPr>
      <w:r w:rsidRPr="006A6D88">
        <w:rPr>
          <w:rFonts w:ascii="Times New Roman" w:hAnsi="Times New Roman" w:eastAsia="Calibri" w:cs="Times New Roman"/>
          <w:color w:val="000000"/>
          <w:sz w:val="24"/>
          <w:szCs w:val="24"/>
        </w:rPr>
        <w:t>Section 2501 of title 10, United States Code, requires that the Secretary of Defense (SECDEF) develop a “national security strategy for the national technology and industrial base.” The strategy must address “the development, manufacture, and supply of items and technologies critical to the production and sustainment of advanced military weapon systems within the national technology and industrial base.”</w:t>
      </w:r>
      <w:r w:rsidRPr="006A6D88">
        <w:rPr>
          <w:rFonts w:ascii="Times New Roman" w:hAnsi="Times New Roman" w:eastAsia="Calibri" w:cs="Times New Roman"/>
          <w:color w:val="000000"/>
          <w:sz w:val="24"/>
          <w:szCs w:val="24"/>
          <w:vertAlign w:val="superscript"/>
        </w:rPr>
        <w:footnoteReference w:id="3"/>
      </w:r>
      <w:r w:rsidRPr="006A6D88">
        <w:rPr>
          <w:rFonts w:ascii="Times New Roman" w:hAnsi="Times New Roman" w:eastAsia="Calibri" w:cs="Times New Roman"/>
          <w:color w:val="000000"/>
          <w:sz w:val="24"/>
          <w:szCs w:val="24"/>
        </w:rPr>
        <w:t xml:space="preserve"> Additional requirements include, ensuring “generation of services capabilities that are not core functions of the armed forces” and “providing for the development, production, and integration of information technology within the national technology and industrial base.”</w:t>
      </w:r>
      <w:r w:rsidRPr="006A6D88">
        <w:rPr>
          <w:rFonts w:ascii="Times New Roman" w:hAnsi="Times New Roman" w:eastAsia="Calibri" w:cs="Times New Roman"/>
          <w:color w:val="000000"/>
          <w:sz w:val="24"/>
          <w:szCs w:val="24"/>
          <w:vertAlign w:val="superscript"/>
        </w:rPr>
        <w:footnoteReference w:id="4"/>
      </w:r>
      <w:r w:rsidRPr="006A6D88">
        <w:rPr>
          <w:rFonts w:ascii="Times New Roman" w:hAnsi="Times New Roman" w:eastAsia="Calibri" w:cs="Times New Roman"/>
          <w:color w:val="000000"/>
          <w:sz w:val="24"/>
          <w:szCs w:val="24"/>
        </w:rPr>
        <w:t xml:space="preserve"> Civil-military integration is a critical component of this strategy and policy that increases the Department’s reliance on commercial capabilities is mandated.</w:t>
      </w:r>
      <w:r w:rsidR="00BD746F">
        <w:rPr>
          <w:rStyle w:val="FootnoteReference"/>
          <w:rFonts w:ascii="Times New Roman" w:hAnsi="Times New Roman" w:eastAsia="Calibri" w:cs="Times New Roman"/>
          <w:color w:val="000000"/>
          <w:sz w:val="24"/>
          <w:szCs w:val="24"/>
        </w:rPr>
        <w:footnoteReference w:id="5"/>
      </w:r>
    </w:p>
    <w:p w:rsidRPr="00182A1E" w:rsidR="006A6D88" w:rsidP="00182A1E" w:rsidRDefault="006A6D88" w14:paraId="3F7F76C9" w14:textId="77777777">
      <w:pPr>
        <w:pStyle w:val="ListParagraph"/>
        <w:spacing w:after="0" w:line="240" w:lineRule="auto"/>
      </w:pPr>
    </w:p>
    <w:p w:rsidRPr="00182A1E" w:rsidR="006A6D88" w:rsidP="00182A1E" w:rsidRDefault="006A6D88" w14:paraId="0E0EF9E1" w14:textId="77777777">
      <w:pPr>
        <w:pStyle w:val="ListParagraph"/>
        <w:numPr>
          <w:ilvl w:val="0"/>
          <w:numId w:val="25"/>
        </w:numPr>
        <w:spacing w:after="0" w:line="240" w:lineRule="auto"/>
      </w:pPr>
      <w:r w:rsidRPr="006A6D88">
        <w:rPr>
          <w:rFonts w:ascii="Times New Roman" w:hAnsi="Times New Roman" w:eastAsia="Calibri" w:cs="Times New Roman"/>
          <w:color w:val="000000"/>
          <w:sz w:val="24"/>
          <w:szCs w:val="24"/>
        </w:rPr>
        <w:t xml:space="preserve">The above mandate was underscored by a directive set forth in Section 1711 of the National Defense Authorization Act (NDAA) for Fiscal Year (FY) 2018 to “assess the feasibility and advisability of increasing the capability of the defense industrial base” to support of military requirements and the production of “emerging defense and commercial technologies.”  Additionally, Section 885 of the FY 2018 NDAA required </w:t>
      </w:r>
      <w:r w:rsidRPr="006A6D88">
        <w:rPr>
          <w:rFonts w:ascii="Times New Roman" w:hAnsi="Times New Roman" w:eastAsia="Calibri" w:cs="Times New Roman"/>
          <w:color w:val="000000"/>
          <w:sz w:val="24"/>
          <w:szCs w:val="24"/>
        </w:rPr>
        <w:lastRenderedPageBreak/>
        <w:t>the SECDEF to “develop a process and procedures for limiting foreign access to technology through contracts, grants, cooperative agreements, or other transactions, when such limitation is in the interest of national security.”</w:t>
      </w:r>
    </w:p>
    <w:p w:rsidR="006A6D88" w:rsidP="00182A1E" w:rsidRDefault="006A6D88" w14:paraId="6F94DB7E" w14:textId="77777777">
      <w:pPr>
        <w:pStyle w:val="ListParagraph"/>
      </w:pPr>
    </w:p>
    <w:p w:rsidR="006A6D88" w:rsidP="00182A1E" w:rsidRDefault="006A6D88" w14:paraId="6DC039AB" w14:textId="351715FE">
      <w:pPr>
        <w:pStyle w:val="ListParagraph"/>
        <w:numPr>
          <w:ilvl w:val="0"/>
          <w:numId w:val="25"/>
        </w:numPr>
        <w:spacing w:after="0" w:line="240" w:lineRule="auto"/>
      </w:pPr>
      <w:r w:rsidRPr="006A6D88">
        <w:rPr>
          <w:rFonts w:ascii="Times New Roman" w:hAnsi="Times New Roman" w:eastAsia="Calibri" w:cs="Times New Roman"/>
          <w:color w:val="000000"/>
          <w:sz w:val="24"/>
          <w:szCs w:val="24"/>
        </w:rPr>
        <w:t>More recently, Section 845 of the NDAA for FY 2020 established a requirement for the SECDEF to “modernize” methods utilized to protect the defense industrial supply base. The Department must develop modernized processes and an “analytical framework for risk mitigation across the acquisition process.”</w:t>
      </w:r>
      <w:r w:rsidRPr="006A6D88">
        <w:rPr>
          <w:rFonts w:ascii="Times New Roman" w:hAnsi="Times New Roman" w:eastAsia="Calibri" w:cs="Times New Roman"/>
          <w:color w:val="000000"/>
          <w:sz w:val="24"/>
          <w:szCs w:val="24"/>
          <w:vertAlign w:val="superscript"/>
        </w:rPr>
        <w:footnoteReference w:id="6"/>
      </w:r>
      <w:r w:rsidRPr="006A6D88">
        <w:rPr>
          <w:rFonts w:ascii="Times New Roman" w:hAnsi="Times New Roman" w:eastAsia="Calibri" w:cs="Times New Roman"/>
          <w:color w:val="000000"/>
          <w:sz w:val="24"/>
          <w:szCs w:val="24"/>
        </w:rPr>
        <w:t xml:space="preserve"> </w:t>
      </w:r>
      <w:r w:rsidRPr="006A6D88">
        <w:rPr>
          <w:rFonts w:ascii="Times New Roman" w:hAnsi="Times New Roman" w:eastAsia="Calibri" w:cs="Times New Roman"/>
          <w:color w:val="000000"/>
          <w:sz w:val="24"/>
          <w:szCs w:val="24"/>
          <w:shd w:val="clear" w:color="auto" w:fill="FFFFFF"/>
        </w:rPr>
        <w:t>“Characterization and monitoring of risks posed by contractor behavior” is a required component of the framework.</w:t>
      </w:r>
      <w:r w:rsidRPr="006A6D88">
        <w:rPr>
          <w:rFonts w:ascii="Times New Roman" w:hAnsi="Times New Roman" w:eastAsia="Calibri" w:cs="Times New Roman"/>
          <w:color w:val="000000"/>
          <w:sz w:val="24"/>
          <w:szCs w:val="24"/>
          <w:shd w:val="clear" w:color="auto" w:fill="FFFFFF"/>
          <w:vertAlign w:val="superscript"/>
        </w:rPr>
        <w:footnoteReference w:id="7"/>
      </w:r>
      <w:r w:rsidRPr="006A6D88">
        <w:rPr>
          <w:rFonts w:ascii="Times New Roman" w:hAnsi="Times New Roman" w:eastAsia="Calibri" w:cs="Times New Roman"/>
          <w:color w:val="000000"/>
          <w:sz w:val="24"/>
          <w:szCs w:val="24"/>
          <w:shd w:val="clear" w:color="auto" w:fill="FFFFFF"/>
        </w:rPr>
        <w:t xml:space="preserve"> Such risks include ownership structures and foreign ownership among other factors.</w:t>
      </w:r>
      <w:r w:rsidR="003C7090">
        <w:rPr>
          <w:rStyle w:val="FootnoteReference"/>
          <w:rFonts w:ascii="Times New Roman" w:hAnsi="Times New Roman" w:eastAsia="Calibri" w:cs="Times New Roman"/>
          <w:color w:val="000000"/>
          <w:sz w:val="24"/>
          <w:szCs w:val="24"/>
          <w:shd w:val="clear" w:color="auto" w:fill="FFFFFF"/>
        </w:rPr>
        <w:footnoteReference w:id="8"/>
      </w:r>
    </w:p>
    <w:p w:rsidR="00931C4A" w:rsidP="00D64803" w:rsidRDefault="00931C4A" w14:paraId="288975BF" w14:textId="77777777">
      <w:pPr>
        <w:spacing w:after="0" w:line="240" w:lineRule="auto"/>
      </w:pPr>
    </w:p>
    <w:p w:rsidR="006A6D88" w:rsidP="00182A1E" w:rsidRDefault="006A6D88" w14:paraId="669B5D15" w14:textId="1A731161">
      <w:pPr>
        <w:spacing w:after="0" w:line="240" w:lineRule="auto"/>
        <w:rPr>
          <w:rFonts w:ascii="Times New Roman" w:hAnsi="Times New Roman" w:eastAsia="Times New Roman" w:cs="Times New Roman"/>
          <w:color w:val="000000"/>
          <w:sz w:val="24"/>
          <w:szCs w:val="24"/>
          <w:shd w:val="clear" w:color="auto" w:fill="FFFFFF"/>
        </w:rPr>
      </w:pPr>
      <w:r w:rsidRPr="006A6D88">
        <w:rPr>
          <w:rFonts w:ascii="Times New Roman" w:hAnsi="Times New Roman" w:eastAsia="Times New Roman" w:cs="Times New Roman"/>
          <w:color w:val="000000"/>
          <w:sz w:val="24"/>
          <w:szCs w:val="24"/>
        </w:rPr>
        <w:t>The information sought is essential to DoD's mission by ensuring the availability of defense articles, modernized defense-industrial base (DIB) capabilities, and force readiness</w:t>
      </w:r>
      <w:r w:rsidR="00C114F4">
        <w:rPr>
          <w:rFonts w:ascii="Times New Roman" w:hAnsi="Times New Roman" w:eastAsia="Times New Roman" w:cs="Times New Roman"/>
          <w:color w:val="000000"/>
          <w:sz w:val="24"/>
          <w:szCs w:val="24"/>
        </w:rPr>
        <w:t xml:space="preserve">. The </w:t>
      </w:r>
      <w:r w:rsidRPr="006A6D88">
        <w:rPr>
          <w:rFonts w:ascii="Times New Roman" w:hAnsi="Times New Roman" w:eastAsia="Times New Roman" w:cs="Times New Roman"/>
          <w:color w:val="000000"/>
          <w:sz w:val="24"/>
          <w:szCs w:val="24"/>
        </w:rPr>
        <w:t>Novel Coronavirus (COVID-19) pandemic</w:t>
      </w:r>
      <w:r w:rsidR="00C114F4">
        <w:rPr>
          <w:rFonts w:ascii="Times New Roman" w:hAnsi="Times New Roman" w:eastAsia="Times New Roman" w:cs="Times New Roman"/>
          <w:color w:val="000000"/>
          <w:sz w:val="24"/>
          <w:szCs w:val="24"/>
        </w:rPr>
        <w:t xml:space="preserve"> </w:t>
      </w:r>
      <w:r w:rsidRPr="006A6D88">
        <w:rPr>
          <w:rFonts w:ascii="Times New Roman" w:hAnsi="Times New Roman" w:eastAsia="Times New Roman" w:cs="Times New Roman"/>
          <w:color w:val="000000"/>
          <w:sz w:val="24"/>
          <w:szCs w:val="24"/>
          <w:shd w:val="clear" w:color="auto" w:fill="FFFFFF"/>
        </w:rPr>
        <w:t xml:space="preserve">highlighted the criticality of the security and resiliency of defense supply chains. The Federal emergency enabled DoD to accelerate initiatives to ascertain constraints and risks in our supply chains that were initially identified in the 2018 Executive Order (EO) 13806 report and further outlined in section 885 of the 2018 NDAA and section 845 of the 2020 NDAA. The Department uses these frameworks to continually update assessments and derive new programs to focus DoD’s resources and address the industrial base’s shortfalls. </w:t>
      </w:r>
    </w:p>
    <w:p w:rsidRPr="006A6D88" w:rsidR="006A6D88" w:rsidP="00182A1E" w:rsidRDefault="006A6D88" w14:paraId="7B5E3C5C" w14:textId="77777777">
      <w:pPr>
        <w:spacing w:after="0" w:line="240" w:lineRule="auto"/>
        <w:rPr>
          <w:rFonts w:ascii="Times New Roman" w:hAnsi="Times New Roman" w:eastAsia="Calibri" w:cs="Times New Roman"/>
          <w:color w:val="000000"/>
          <w:sz w:val="24"/>
          <w:szCs w:val="24"/>
        </w:rPr>
      </w:pPr>
    </w:p>
    <w:p w:rsidR="006A6D88" w:rsidP="00D64803" w:rsidRDefault="006A6D88" w14:paraId="11450899" w14:textId="6672BC4C">
      <w:pPr>
        <w:spacing w:after="0" w:line="240" w:lineRule="auto"/>
        <w:rPr>
          <w:rFonts w:asciiTheme="majorHAnsi" w:hAnsiTheme="majorHAnsi"/>
          <w:sz w:val="24"/>
        </w:rPr>
      </w:pPr>
      <w:r w:rsidRPr="006A6D88">
        <w:rPr>
          <w:rFonts w:asciiTheme="majorHAnsi" w:hAnsiTheme="majorHAnsi"/>
          <w:sz w:val="24"/>
        </w:rPr>
        <w:t>One of the risk archetypes identified in the report is foreign dependency on capital and supply chains. Although DoD will always have a diverse, domestic and international supply chain, we recognize that this comes with some risk. COVID-19 magnified that risk and the difficulties of stalling adversarial offshore sources of capital during times of global emergencies. From January to April 2020, China announced 57 outbound mergers and acquisitions worth $9.9 billion and 145 outbound investments worth $4.5 billion in the United States and other key allies accordi</w:t>
      </w:r>
      <w:r>
        <w:rPr>
          <w:rFonts w:asciiTheme="majorHAnsi" w:hAnsiTheme="majorHAnsi"/>
          <w:sz w:val="24"/>
        </w:rPr>
        <w:t>ng to the source GlobalData.com</w:t>
      </w:r>
      <w:r w:rsidRPr="006A6D88">
        <w:rPr>
          <w:rFonts w:asciiTheme="majorHAnsi" w:hAnsiTheme="majorHAnsi"/>
          <w:sz w:val="24"/>
        </w:rPr>
        <w:t xml:space="preserve">                 (</w:t>
      </w:r>
      <w:hyperlink w:history="1" r:id="rId8">
        <w:r w:rsidRPr="00983E69">
          <w:rPr>
            <w:rStyle w:val="Hyperlink"/>
            <w:rFonts w:asciiTheme="majorHAnsi" w:hAnsiTheme="majorHAnsi"/>
            <w:sz w:val="24"/>
          </w:rPr>
          <w:t>https://www.globaldata.com/covid-19/</w:t>
        </w:r>
      </w:hyperlink>
      <w:r w:rsidRPr="006A6D88">
        <w:rPr>
          <w:rFonts w:asciiTheme="majorHAnsi" w:hAnsiTheme="majorHAnsi"/>
          <w:sz w:val="24"/>
        </w:rPr>
        <w:t>)</w:t>
      </w:r>
      <w:r>
        <w:rPr>
          <w:rFonts w:asciiTheme="majorHAnsi" w:hAnsiTheme="majorHAnsi"/>
          <w:sz w:val="24"/>
        </w:rPr>
        <w:t>.</w:t>
      </w:r>
      <w:r w:rsidRPr="006A6D88">
        <w:rPr>
          <w:rFonts w:asciiTheme="majorHAnsi" w:hAnsiTheme="majorHAnsi"/>
          <w:sz w:val="24"/>
        </w:rPr>
        <w:t xml:space="preserve">  Most companies have some sort of cash reserves, or some sort of government support. However, as time goes on many companies will use up their reserves or government support will no longer be available. That’s when the crisis will begin, and this trend of predatory acquisitions will become more visible.</w:t>
      </w:r>
      <w:r>
        <w:rPr>
          <w:rFonts w:asciiTheme="majorHAnsi" w:hAnsiTheme="majorHAnsi"/>
          <w:sz w:val="24"/>
        </w:rPr>
        <w:t xml:space="preserve"> </w:t>
      </w:r>
    </w:p>
    <w:p w:rsidR="006A6D88" w:rsidP="00D64803" w:rsidRDefault="006A6D88" w14:paraId="42BF0B0E" w14:textId="77777777">
      <w:pPr>
        <w:spacing w:after="0" w:line="240" w:lineRule="auto"/>
        <w:rPr>
          <w:rFonts w:asciiTheme="majorHAnsi" w:hAnsiTheme="majorHAnsi"/>
          <w:sz w:val="24"/>
        </w:rPr>
      </w:pPr>
    </w:p>
    <w:p w:rsidR="00BD746F" w:rsidRDefault="009A2A08" w14:paraId="5264731B" w14:textId="417A8F1F">
      <w:pPr>
        <w:spacing w:after="0" w:line="240" w:lineRule="auto"/>
        <w:rPr>
          <w:rFonts w:asciiTheme="majorHAnsi" w:hAnsiTheme="majorHAnsi"/>
          <w:sz w:val="24"/>
        </w:rPr>
      </w:pPr>
      <w:r w:rsidRPr="009A2A08">
        <w:rPr>
          <w:rFonts w:asciiTheme="majorHAnsi" w:hAnsiTheme="majorHAnsi"/>
          <w:sz w:val="24"/>
        </w:rPr>
        <w:t xml:space="preserve">The OUSD A&amp;S Trusted Capital program offers critical technology companies an alternative to adversarial capital. To accomplish this important national </w:t>
      </w:r>
      <w:proofErr w:type="gramStart"/>
      <w:r w:rsidRPr="009A2A08">
        <w:rPr>
          <w:rFonts w:asciiTheme="majorHAnsi" w:hAnsiTheme="majorHAnsi"/>
          <w:sz w:val="24"/>
        </w:rPr>
        <w:t>security</w:t>
      </w:r>
      <w:proofErr w:type="gramEnd"/>
      <w:r w:rsidRPr="009A2A08">
        <w:rPr>
          <w:rFonts w:asciiTheme="majorHAnsi" w:hAnsiTheme="majorHAnsi"/>
          <w:sz w:val="24"/>
        </w:rPr>
        <w:t xml:space="preserve"> mission the Trusted Capital program requires the ability to gather data required to conduct national security and supply chain due diligence to prioritize “trusted” sources of commercial capital to offset direct financial distress in the Defense Industrial Base and </w:t>
      </w:r>
      <w:r w:rsidR="00C42CEC">
        <w:rPr>
          <w:rFonts w:asciiTheme="majorHAnsi" w:hAnsiTheme="majorHAnsi"/>
          <w:sz w:val="24"/>
        </w:rPr>
        <w:t xml:space="preserve">continue to </w:t>
      </w:r>
      <w:r w:rsidRPr="009A2A08">
        <w:rPr>
          <w:rFonts w:asciiTheme="majorHAnsi" w:hAnsiTheme="majorHAnsi"/>
          <w:sz w:val="24"/>
        </w:rPr>
        <w:t xml:space="preserve">support our partners affected by the virus with investments and local job creation. </w:t>
      </w:r>
    </w:p>
    <w:p w:rsidR="00ED3F4A" w:rsidP="00D64803" w:rsidRDefault="00ED3F4A" w14:paraId="6FD2F1FA" w14:textId="77777777">
      <w:pPr>
        <w:spacing w:after="0" w:line="240" w:lineRule="auto"/>
        <w:rPr>
          <w:rFonts w:asciiTheme="majorHAnsi" w:hAnsiTheme="majorHAnsi"/>
          <w:sz w:val="24"/>
          <w:lang w:val="en-IE"/>
        </w:rPr>
      </w:pPr>
    </w:p>
    <w:p w:rsidR="005C7428" w:rsidP="006E563D" w:rsidRDefault="00510F0C" w14:paraId="0A9A02AD"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EB7FF2" w:rsidR="005C7428">
        <w:rPr>
          <w:rFonts w:asciiTheme="majorHAnsi" w:hAnsiTheme="majorHAnsi"/>
          <w:sz w:val="24"/>
          <w:u w:val="single"/>
        </w:rPr>
        <w:t xml:space="preserve">Use of the </w:t>
      </w:r>
      <w:r w:rsidRPr="00EB7FF2" w:rsidR="0085688C">
        <w:rPr>
          <w:rFonts w:asciiTheme="majorHAnsi" w:hAnsiTheme="majorHAnsi"/>
          <w:sz w:val="24"/>
          <w:u w:val="single"/>
        </w:rPr>
        <w:t>Information</w:t>
      </w:r>
      <w:r w:rsidR="0085688C">
        <w:rPr>
          <w:rFonts w:asciiTheme="majorHAnsi" w:hAnsiTheme="majorHAnsi"/>
          <w:sz w:val="24"/>
        </w:rPr>
        <w:t xml:space="preserve"> </w:t>
      </w:r>
    </w:p>
    <w:p w:rsidR="005A0872" w:rsidP="006E563D" w:rsidRDefault="00EE1C2F" w14:paraId="25EEA809" w14:textId="15D16BF6">
      <w:pPr>
        <w:spacing w:after="0" w:line="240" w:lineRule="auto"/>
        <w:rPr>
          <w:rFonts w:asciiTheme="majorHAnsi" w:hAnsiTheme="majorHAnsi"/>
          <w:sz w:val="24"/>
        </w:rPr>
      </w:pPr>
      <w:r>
        <w:rPr>
          <w:rFonts w:asciiTheme="majorHAnsi" w:hAnsiTheme="majorHAnsi"/>
          <w:sz w:val="24"/>
        </w:rPr>
        <w:t>I</w:t>
      </w:r>
      <w:r w:rsidRPr="004B68C9" w:rsidR="004B68C9">
        <w:rPr>
          <w:rFonts w:asciiTheme="majorHAnsi" w:hAnsiTheme="majorHAnsi"/>
          <w:sz w:val="24"/>
        </w:rPr>
        <w:t xml:space="preserve">nformation collected </w:t>
      </w:r>
      <w:r w:rsidR="001F65BD">
        <w:rPr>
          <w:rFonts w:asciiTheme="majorHAnsi" w:hAnsiTheme="majorHAnsi"/>
          <w:sz w:val="24"/>
        </w:rPr>
        <w:t>is</w:t>
      </w:r>
      <w:r w:rsidRPr="004B68C9" w:rsidR="004B68C9">
        <w:rPr>
          <w:rFonts w:asciiTheme="majorHAnsi" w:hAnsiTheme="majorHAnsi"/>
          <w:sz w:val="24"/>
        </w:rPr>
        <w:t xml:space="preserve"> used </w:t>
      </w:r>
      <w:r w:rsidR="00851919">
        <w:rPr>
          <w:rFonts w:asciiTheme="majorHAnsi" w:hAnsiTheme="majorHAnsi"/>
          <w:sz w:val="24"/>
        </w:rPr>
        <w:t>in determining an applicant</w:t>
      </w:r>
      <w:r w:rsidR="00A5743E">
        <w:rPr>
          <w:rFonts w:asciiTheme="majorHAnsi" w:hAnsiTheme="majorHAnsi"/>
          <w:sz w:val="24"/>
        </w:rPr>
        <w:t>’</w:t>
      </w:r>
      <w:r w:rsidR="00851919">
        <w:rPr>
          <w:rFonts w:asciiTheme="majorHAnsi" w:hAnsiTheme="majorHAnsi"/>
          <w:sz w:val="24"/>
        </w:rPr>
        <w:t xml:space="preserve">s </w:t>
      </w:r>
      <w:r>
        <w:rPr>
          <w:rFonts w:asciiTheme="majorHAnsi" w:hAnsiTheme="majorHAnsi"/>
          <w:sz w:val="24"/>
        </w:rPr>
        <w:t>eligibility</w:t>
      </w:r>
      <w:r w:rsidR="002F7B39">
        <w:rPr>
          <w:rFonts w:asciiTheme="majorHAnsi" w:hAnsiTheme="majorHAnsi"/>
          <w:sz w:val="24"/>
        </w:rPr>
        <w:t xml:space="preserve"> for </w:t>
      </w:r>
      <w:r w:rsidR="00BD746F">
        <w:rPr>
          <w:rFonts w:asciiTheme="majorHAnsi" w:hAnsiTheme="majorHAnsi"/>
          <w:sz w:val="24"/>
        </w:rPr>
        <w:t xml:space="preserve">participation on the </w:t>
      </w:r>
      <w:r>
        <w:rPr>
          <w:rFonts w:asciiTheme="majorHAnsi" w:hAnsiTheme="majorHAnsi"/>
          <w:sz w:val="24"/>
        </w:rPr>
        <w:t>T</w:t>
      </w:r>
      <w:r w:rsidR="00BD746F">
        <w:rPr>
          <w:rFonts w:asciiTheme="majorHAnsi" w:hAnsiTheme="majorHAnsi"/>
          <w:sz w:val="24"/>
        </w:rPr>
        <w:t xml:space="preserve">rusted Capital </w:t>
      </w:r>
      <w:r>
        <w:rPr>
          <w:rFonts w:asciiTheme="majorHAnsi" w:hAnsiTheme="majorHAnsi"/>
          <w:sz w:val="24"/>
        </w:rPr>
        <w:t>D</w:t>
      </w:r>
      <w:r w:rsidR="00BD746F">
        <w:rPr>
          <w:rFonts w:asciiTheme="majorHAnsi" w:hAnsiTheme="majorHAnsi"/>
          <w:sz w:val="24"/>
        </w:rPr>
        <w:t xml:space="preserve">igital </w:t>
      </w:r>
      <w:r>
        <w:rPr>
          <w:rFonts w:asciiTheme="majorHAnsi" w:hAnsiTheme="majorHAnsi"/>
          <w:sz w:val="24"/>
        </w:rPr>
        <w:t>M</w:t>
      </w:r>
      <w:r w:rsidR="00BD746F">
        <w:rPr>
          <w:rFonts w:asciiTheme="majorHAnsi" w:hAnsiTheme="majorHAnsi"/>
          <w:sz w:val="24"/>
        </w:rPr>
        <w:t>arketplace (TCDM) platform</w:t>
      </w:r>
      <w:r w:rsidR="005916AA">
        <w:rPr>
          <w:rFonts w:asciiTheme="majorHAnsi" w:hAnsiTheme="majorHAnsi"/>
          <w:sz w:val="24"/>
        </w:rPr>
        <w:t xml:space="preserve">. </w:t>
      </w:r>
      <w:r w:rsidR="00CF0AD2">
        <w:rPr>
          <w:rFonts w:asciiTheme="majorHAnsi" w:hAnsiTheme="majorHAnsi"/>
          <w:sz w:val="24"/>
        </w:rPr>
        <w:t xml:space="preserve">Parties </w:t>
      </w:r>
      <w:r w:rsidR="005916AA">
        <w:rPr>
          <w:rFonts w:asciiTheme="majorHAnsi" w:hAnsiTheme="majorHAnsi"/>
          <w:sz w:val="24"/>
        </w:rPr>
        <w:t xml:space="preserve">will </w:t>
      </w:r>
      <w:r>
        <w:rPr>
          <w:rFonts w:asciiTheme="majorHAnsi" w:hAnsiTheme="majorHAnsi"/>
          <w:sz w:val="24"/>
        </w:rPr>
        <w:t xml:space="preserve">complete an </w:t>
      </w:r>
      <w:r w:rsidR="005916AA">
        <w:rPr>
          <w:rFonts w:asciiTheme="majorHAnsi" w:hAnsiTheme="majorHAnsi"/>
          <w:sz w:val="24"/>
        </w:rPr>
        <w:lastRenderedPageBreak/>
        <w:t>electronic</w:t>
      </w:r>
      <w:r>
        <w:rPr>
          <w:rFonts w:asciiTheme="majorHAnsi" w:hAnsiTheme="majorHAnsi"/>
          <w:sz w:val="24"/>
        </w:rPr>
        <w:t xml:space="preserve"> application</w:t>
      </w:r>
      <w:r w:rsidR="00465663">
        <w:rPr>
          <w:rFonts w:asciiTheme="majorHAnsi" w:hAnsiTheme="majorHAnsi"/>
          <w:sz w:val="24"/>
        </w:rPr>
        <w:t xml:space="preserve"> and be subjected to a due diligence screening process to assess for adversarial foreign ownership, influence, or control as well as other national security risks. </w:t>
      </w:r>
      <w:r>
        <w:rPr>
          <w:rFonts w:asciiTheme="majorHAnsi" w:hAnsiTheme="majorHAnsi"/>
          <w:sz w:val="24"/>
        </w:rPr>
        <w:t xml:space="preserve">In the event additional </w:t>
      </w:r>
      <w:r w:rsidR="00CF0AD2">
        <w:rPr>
          <w:rFonts w:asciiTheme="majorHAnsi" w:hAnsiTheme="majorHAnsi"/>
          <w:sz w:val="24"/>
        </w:rPr>
        <w:t>information</w:t>
      </w:r>
      <w:r w:rsidR="00465663">
        <w:rPr>
          <w:rFonts w:asciiTheme="majorHAnsi" w:hAnsiTheme="majorHAnsi"/>
          <w:sz w:val="24"/>
        </w:rPr>
        <w:t xml:space="preserve"> is necessary to process </w:t>
      </w:r>
      <w:r w:rsidR="007F5A79">
        <w:rPr>
          <w:rFonts w:asciiTheme="majorHAnsi" w:hAnsiTheme="majorHAnsi"/>
          <w:sz w:val="24"/>
        </w:rPr>
        <w:t>an</w:t>
      </w:r>
      <w:r w:rsidR="00465663">
        <w:rPr>
          <w:rFonts w:asciiTheme="majorHAnsi" w:hAnsiTheme="majorHAnsi"/>
          <w:sz w:val="24"/>
        </w:rPr>
        <w:t xml:space="preserve"> application, additional </w:t>
      </w:r>
      <w:r w:rsidR="00CF0AD2">
        <w:rPr>
          <w:rFonts w:asciiTheme="majorHAnsi" w:hAnsiTheme="majorHAnsi"/>
          <w:sz w:val="24"/>
        </w:rPr>
        <w:t xml:space="preserve">inquiries may </w:t>
      </w:r>
      <w:r w:rsidR="00465663">
        <w:rPr>
          <w:rFonts w:asciiTheme="majorHAnsi" w:hAnsiTheme="majorHAnsi"/>
          <w:sz w:val="24"/>
        </w:rPr>
        <w:t>be sent to</w:t>
      </w:r>
      <w:r w:rsidR="007F5A79">
        <w:rPr>
          <w:rFonts w:asciiTheme="majorHAnsi" w:hAnsiTheme="majorHAnsi"/>
          <w:sz w:val="24"/>
        </w:rPr>
        <w:t xml:space="preserve"> </w:t>
      </w:r>
      <w:r w:rsidR="00CF0AD2">
        <w:rPr>
          <w:rFonts w:asciiTheme="majorHAnsi" w:hAnsiTheme="majorHAnsi"/>
          <w:sz w:val="24"/>
        </w:rPr>
        <w:t>the applicant</w:t>
      </w:r>
      <w:r w:rsidR="00465663">
        <w:rPr>
          <w:rFonts w:asciiTheme="majorHAnsi" w:hAnsiTheme="majorHAnsi"/>
          <w:sz w:val="24"/>
        </w:rPr>
        <w:t xml:space="preserve">. </w:t>
      </w:r>
      <w:r w:rsidR="007F5A79">
        <w:rPr>
          <w:rFonts w:asciiTheme="majorHAnsi" w:hAnsiTheme="majorHAnsi"/>
          <w:sz w:val="24"/>
        </w:rPr>
        <w:t xml:space="preserve">Applicants that receive </w:t>
      </w:r>
      <w:r w:rsidR="00CF0AD2">
        <w:rPr>
          <w:rFonts w:asciiTheme="majorHAnsi" w:hAnsiTheme="majorHAnsi"/>
          <w:sz w:val="24"/>
        </w:rPr>
        <w:t xml:space="preserve">a </w:t>
      </w:r>
      <w:r w:rsidR="005A0872">
        <w:rPr>
          <w:rFonts w:asciiTheme="majorHAnsi" w:hAnsiTheme="majorHAnsi"/>
          <w:sz w:val="24"/>
        </w:rPr>
        <w:t xml:space="preserve">favorable </w:t>
      </w:r>
      <w:r w:rsidR="00CF0AD2">
        <w:rPr>
          <w:rFonts w:asciiTheme="majorHAnsi" w:hAnsiTheme="majorHAnsi"/>
          <w:sz w:val="24"/>
        </w:rPr>
        <w:t xml:space="preserve">due diligence screening </w:t>
      </w:r>
      <w:r w:rsidR="00465663">
        <w:rPr>
          <w:rFonts w:asciiTheme="majorHAnsi" w:hAnsiTheme="majorHAnsi"/>
          <w:sz w:val="24"/>
        </w:rPr>
        <w:t xml:space="preserve">adjudication </w:t>
      </w:r>
      <w:r w:rsidR="00CF0AD2">
        <w:rPr>
          <w:rFonts w:asciiTheme="majorHAnsi" w:hAnsiTheme="majorHAnsi"/>
          <w:sz w:val="24"/>
        </w:rPr>
        <w:t xml:space="preserve">by OUSD(A&amp;S) </w:t>
      </w:r>
      <w:r w:rsidR="00465663">
        <w:rPr>
          <w:rFonts w:asciiTheme="majorHAnsi" w:hAnsiTheme="majorHAnsi"/>
          <w:sz w:val="24"/>
        </w:rPr>
        <w:t xml:space="preserve">will be </w:t>
      </w:r>
      <w:r w:rsidR="00EB7FF2">
        <w:rPr>
          <w:rFonts w:asciiTheme="majorHAnsi" w:hAnsiTheme="majorHAnsi"/>
          <w:sz w:val="24"/>
        </w:rPr>
        <w:t xml:space="preserve">approved </w:t>
      </w:r>
      <w:r w:rsidR="00465663">
        <w:rPr>
          <w:rFonts w:asciiTheme="majorHAnsi" w:hAnsiTheme="majorHAnsi"/>
          <w:sz w:val="24"/>
        </w:rPr>
        <w:t xml:space="preserve">for TCDM </w:t>
      </w:r>
      <w:r w:rsidR="00BB4590">
        <w:rPr>
          <w:rFonts w:asciiTheme="majorHAnsi" w:hAnsiTheme="majorHAnsi"/>
          <w:sz w:val="24"/>
        </w:rPr>
        <w:t>participation.</w:t>
      </w:r>
      <w:r w:rsidR="00EB7FF2">
        <w:rPr>
          <w:rFonts w:asciiTheme="majorHAnsi" w:hAnsiTheme="majorHAnsi"/>
          <w:sz w:val="24"/>
        </w:rPr>
        <w:t xml:space="preserve"> </w:t>
      </w:r>
      <w:r w:rsidR="007F5A79">
        <w:rPr>
          <w:rFonts w:asciiTheme="majorHAnsi" w:hAnsiTheme="majorHAnsi"/>
          <w:sz w:val="24"/>
        </w:rPr>
        <w:t xml:space="preserve">In addition to initial application requirements, participants will be subject to continuous </w:t>
      </w:r>
      <w:r w:rsidR="00D97DA6">
        <w:rPr>
          <w:rFonts w:asciiTheme="majorHAnsi" w:hAnsiTheme="majorHAnsi"/>
          <w:sz w:val="24"/>
        </w:rPr>
        <w:t>reporting</w:t>
      </w:r>
      <w:r w:rsidR="007F5A79">
        <w:rPr>
          <w:rFonts w:asciiTheme="majorHAnsi" w:hAnsiTheme="majorHAnsi"/>
          <w:sz w:val="24"/>
        </w:rPr>
        <w:t xml:space="preserve"> obligations.</w:t>
      </w:r>
    </w:p>
    <w:p w:rsidRPr="007F5A79" w:rsidR="007F5A79" w:rsidP="006E563D" w:rsidRDefault="007F5A79" w14:paraId="509CCAC2" w14:textId="77777777">
      <w:pPr>
        <w:spacing w:after="0" w:line="240" w:lineRule="auto"/>
        <w:rPr>
          <w:rFonts w:asciiTheme="majorHAnsi" w:hAnsiTheme="majorHAnsi"/>
          <w:sz w:val="24"/>
        </w:rPr>
      </w:pPr>
    </w:p>
    <w:p w:rsidRPr="0085688C" w:rsidR="005C7428" w:rsidP="006E563D" w:rsidRDefault="005C7428" w14:paraId="2A2EC5F6"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ED5A59">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rsidRDefault="007F5A79" w14:paraId="5F6D2D28" w14:textId="1D31B7BA">
      <w:pPr>
        <w:spacing w:after="0" w:line="240" w:lineRule="auto"/>
        <w:rPr>
          <w:rFonts w:asciiTheme="majorHAnsi" w:hAnsiTheme="majorHAnsi"/>
          <w:sz w:val="24"/>
        </w:rPr>
      </w:pPr>
      <w:r>
        <w:rPr>
          <w:rFonts w:asciiTheme="majorHAnsi" w:hAnsiTheme="majorHAnsi"/>
          <w:sz w:val="24"/>
        </w:rPr>
        <w:t xml:space="preserve">All </w:t>
      </w:r>
      <w:r w:rsidRPr="00ED5A59" w:rsidR="00ED5A59">
        <w:rPr>
          <w:rFonts w:asciiTheme="majorHAnsi" w:hAnsiTheme="majorHAnsi"/>
          <w:sz w:val="24"/>
        </w:rPr>
        <w:t>responses will be collected electronically.</w:t>
      </w:r>
    </w:p>
    <w:p w:rsidRPr="00ED5A59" w:rsidR="00ED5A59" w:rsidP="006E563D" w:rsidRDefault="00ED5A59" w14:paraId="7A6A399C" w14:textId="77777777">
      <w:pPr>
        <w:spacing w:after="0" w:line="240" w:lineRule="auto"/>
        <w:rPr>
          <w:rFonts w:asciiTheme="majorHAnsi" w:hAnsiTheme="majorHAnsi"/>
          <w:sz w:val="24"/>
        </w:rPr>
      </w:pPr>
    </w:p>
    <w:p w:rsidR="00C97854" w:rsidP="00C97854" w:rsidRDefault="008635C4" w14:paraId="58310CF5" w14:textId="0A6D9B19">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14B22" w:rsidP="00C97854" w:rsidRDefault="00514B22" w14:paraId="29E3BB57" w14:textId="0D4962D0">
      <w:pPr>
        <w:spacing w:after="0" w:line="240" w:lineRule="auto"/>
        <w:rPr>
          <w:rFonts w:asciiTheme="majorHAnsi" w:hAnsiTheme="majorHAnsi"/>
          <w:sz w:val="24"/>
        </w:rPr>
      </w:pPr>
      <w:r w:rsidRPr="00514B22">
        <w:rPr>
          <w:rFonts w:asciiTheme="majorHAnsi" w:hAnsiTheme="majorHAnsi"/>
          <w:sz w:val="24"/>
        </w:rPr>
        <w:t>The information obtained through this collection is unique and is not already available for use or adaptation from another cleared source.</w:t>
      </w:r>
    </w:p>
    <w:p w:rsidR="00514B22" w:rsidP="00C97854" w:rsidRDefault="00514B22" w14:paraId="53607870" w14:textId="36F94757">
      <w:pPr>
        <w:spacing w:after="0" w:line="240" w:lineRule="auto"/>
        <w:rPr>
          <w:rFonts w:asciiTheme="majorHAnsi" w:hAnsiTheme="majorHAnsi"/>
          <w:sz w:val="24"/>
        </w:rPr>
      </w:pPr>
    </w:p>
    <w:p w:rsidRPr="00200261" w:rsidR="00514B22" w:rsidP="00C97854" w:rsidRDefault="00514B22" w14:paraId="1432A89A" w14:textId="1786B5AA">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514B22">
        <w:rPr>
          <w:rFonts w:asciiTheme="majorHAnsi" w:hAnsiTheme="majorHAnsi"/>
          <w:sz w:val="24"/>
          <w:u w:val="single"/>
        </w:rPr>
        <w:t>Burden on Small Businesses</w:t>
      </w:r>
    </w:p>
    <w:p w:rsidR="002567F9" w:rsidP="006E563D" w:rsidRDefault="004B68C9" w14:paraId="6CCAF36F" w14:textId="77777777">
      <w:pPr>
        <w:spacing w:after="0" w:line="240" w:lineRule="auto"/>
        <w:rPr>
          <w:rFonts w:asciiTheme="majorHAnsi" w:hAnsiTheme="majorHAnsi"/>
          <w:i/>
          <w:sz w:val="24"/>
        </w:rPr>
      </w:pPr>
      <w:r>
        <w:rPr>
          <w:rFonts w:asciiTheme="majorHAnsi" w:hAnsiTheme="majorHAnsi"/>
          <w:sz w:val="24"/>
        </w:rPr>
        <w:t>The infor</w:t>
      </w:r>
      <w:r w:rsidRPr="00C97854" w:rsidR="002567F9">
        <w:rPr>
          <w:rFonts w:asciiTheme="majorHAnsi" w:hAnsiTheme="majorHAnsi"/>
          <w:sz w:val="24"/>
        </w:rPr>
        <w:t>mation collection does not impose a significant economic impact on a substantial number of small businesses or entities.</w:t>
      </w:r>
      <w:r w:rsidRPr="002567F9" w:rsidR="002567F9">
        <w:rPr>
          <w:rFonts w:asciiTheme="majorHAnsi" w:hAnsiTheme="majorHAnsi"/>
          <w:i/>
          <w:sz w:val="24"/>
        </w:rPr>
        <w:t xml:space="preserve"> </w:t>
      </w:r>
    </w:p>
    <w:p w:rsidR="002567F9" w:rsidP="006E563D" w:rsidRDefault="002567F9" w14:paraId="40E9E0C3" w14:textId="77777777">
      <w:pPr>
        <w:spacing w:after="0" w:line="240" w:lineRule="auto"/>
        <w:rPr>
          <w:rFonts w:asciiTheme="majorHAnsi" w:hAnsiTheme="majorHAnsi"/>
          <w:i/>
          <w:sz w:val="24"/>
        </w:rPr>
      </w:pPr>
    </w:p>
    <w:p w:rsidR="002567F9" w:rsidP="006E563D" w:rsidRDefault="002567F9" w14:paraId="676060FE"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9F70CA">
        <w:rPr>
          <w:rFonts w:asciiTheme="majorHAnsi" w:hAnsiTheme="majorHAnsi"/>
          <w:sz w:val="24"/>
          <w:u w:val="single"/>
        </w:rPr>
        <w:t xml:space="preserve">Less Frequent </w:t>
      </w:r>
      <w:r w:rsidRPr="009F70CA" w:rsidR="0085688C">
        <w:rPr>
          <w:rFonts w:asciiTheme="majorHAnsi" w:hAnsiTheme="majorHAnsi"/>
          <w:sz w:val="24"/>
          <w:u w:val="single"/>
        </w:rPr>
        <w:t>Collection</w:t>
      </w:r>
      <w:r w:rsidR="0085688C">
        <w:rPr>
          <w:rFonts w:asciiTheme="majorHAnsi" w:hAnsiTheme="majorHAnsi"/>
          <w:sz w:val="24"/>
          <w:u w:val="single"/>
        </w:rPr>
        <w:t xml:space="preserve"> </w:t>
      </w:r>
    </w:p>
    <w:p w:rsidRPr="0085688C" w:rsidR="009F70CA" w:rsidP="006E563D" w:rsidRDefault="009F70CA" w14:paraId="7775ED67" w14:textId="77777777">
      <w:pPr>
        <w:spacing w:after="0" w:line="240" w:lineRule="auto"/>
        <w:rPr>
          <w:rFonts w:asciiTheme="majorHAnsi" w:hAnsiTheme="majorHAnsi"/>
          <w:sz w:val="24"/>
        </w:rPr>
      </w:pPr>
      <w:r>
        <w:rPr>
          <w:rFonts w:asciiTheme="majorHAnsi" w:hAnsiTheme="majorHAnsi"/>
          <w:sz w:val="24"/>
        </w:rPr>
        <w:t xml:space="preserve">This information is collected during </w:t>
      </w:r>
      <w:r w:rsidR="00B556A2">
        <w:rPr>
          <w:rFonts w:asciiTheme="majorHAnsi" w:hAnsiTheme="majorHAnsi"/>
          <w:sz w:val="24"/>
        </w:rPr>
        <w:t>initial</w:t>
      </w:r>
      <w:r>
        <w:rPr>
          <w:rFonts w:asciiTheme="majorHAnsi" w:hAnsiTheme="majorHAnsi"/>
          <w:sz w:val="24"/>
        </w:rPr>
        <w:t xml:space="preserve"> application to the program and is updated annually to ensure </w:t>
      </w:r>
      <w:r w:rsidR="00B556A2">
        <w:rPr>
          <w:rFonts w:asciiTheme="majorHAnsi" w:hAnsiTheme="majorHAnsi"/>
          <w:sz w:val="24"/>
        </w:rPr>
        <w:t>participants</w:t>
      </w:r>
      <w:r>
        <w:rPr>
          <w:rFonts w:asciiTheme="majorHAnsi" w:hAnsiTheme="majorHAnsi"/>
          <w:sz w:val="24"/>
        </w:rPr>
        <w:t xml:space="preserve"> remain compliant by disclosing any possible disqualifying </w:t>
      </w:r>
      <w:r w:rsidR="00B556A2">
        <w:rPr>
          <w:rFonts w:asciiTheme="majorHAnsi" w:hAnsiTheme="majorHAnsi"/>
          <w:sz w:val="24"/>
        </w:rPr>
        <w:t>information</w:t>
      </w:r>
      <w:r>
        <w:rPr>
          <w:rFonts w:asciiTheme="majorHAnsi" w:hAnsiTheme="majorHAnsi"/>
          <w:sz w:val="24"/>
        </w:rPr>
        <w:t xml:space="preserve">. </w:t>
      </w:r>
    </w:p>
    <w:p w:rsidR="00F86C35" w:rsidP="006E563D" w:rsidRDefault="00F86C35" w14:paraId="02216F4C" w14:textId="77777777">
      <w:pPr>
        <w:spacing w:after="0" w:line="240" w:lineRule="auto"/>
        <w:rPr>
          <w:rFonts w:asciiTheme="majorHAnsi" w:hAnsiTheme="majorHAnsi"/>
          <w:i/>
          <w:sz w:val="24"/>
        </w:rPr>
      </w:pPr>
    </w:p>
    <w:p w:rsidR="00C97854" w:rsidP="00C97854" w:rsidRDefault="00F86C35" w14:paraId="57B77938" w14:textId="77777777">
      <w:pPr>
        <w:spacing w:after="0" w:line="240" w:lineRule="auto"/>
        <w:rPr>
          <w:rFonts w:asciiTheme="majorHAnsi" w:hAnsiTheme="majorHAnsi"/>
          <w:sz w:val="24"/>
          <w:u w:val="single"/>
        </w:rPr>
      </w:pPr>
      <w:r w:rsidRPr="007F454F">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C97854" w:rsidR="00200261" w:rsidP="00C97854" w:rsidRDefault="00200261" w14:paraId="34B2458B" w14:textId="77777777">
      <w:pPr>
        <w:spacing w:after="0" w:line="240" w:lineRule="auto"/>
        <w:rPr>
          <w:rFonts w:asciiTheme="majorHAnsi" w:hAnsiTheme="majorHAnsi"/>
          <w:i/>
          <w:sz w:val="24"/>
          <w:szCs w:val="24"/>
        </w:rPr>
      </w:pPr>
      <w:r w:rsidRPr="00C97854">
        <w:rPr>
          <w:rFonts w:asciiTheme="majorHAnsi" w:hAnsiTheme="majorHAnsi"/>
          <w:sz w:val="24"/>
          <w:szCs w:val="24"/>
        </w:rPr>
        <w:t>This collection of information does not require collection to be conducted in a manner inconsistent with the guidelines delineated in 5 CFR 1320.5(d)(2).</w:t>
      </w:r>
    </w:p>
    <w:p w:rsidR="00200261" w:rsidP="00200261" w:rsidRDefault="00200261" w14:paraId="3622BB11"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D25D16">
        <w:rPr>
          <w:rFonts w:asciiTheme="majorHAnsi" w:hAnsiTheme="majorHAnsi" w:eastAsiaTheme="minorHAnsi" w:cstheme="minorBidi"/>
          <w:szCs w:val="22"/>
          <w:u w:val="single"/>
        </w:rPr>
        <w:t>Consultation and Public Comments</w:t>
      </w:r>
    </w:p>
    <w:p w:rsidR="00514B22" w:rsidP="00200261" w:rsidRDefault="00200261" w14:paraId="1B3DB781" w14:textId="7060997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FC5A66" w:rsidP="00FC5A66" w:rsidRDefault="00FC5A66" w14:paraId="469340C5" w14:textId="7C787CFB">
      <w:pPr>
        <w:pStyle w:val="NormalWeb"/>
        <w:spacing w:line="288" w:lineRule="atLeast"/>
        <w:rPr>
          <w:rFonts w:asciiTheme="majorHAnsi" w:hAnsiTheme="majorHAnsi" w:eastAsiaTheme="minorHAnsi" w:cstheme="minorBidi"/>
          <w:szCs w:val="22"/>
        </w:rPr>
      </w:pPr>
      <w:r w:rsidRPr="00FC5A66">
        <w:rPr>
          <w:rFonts w:asciiTheme="majorHAnsi" w:hAnsiTheme="majorHAnsi" w:eastAsiaTheme="minorHAnsi" w:cstheme="minorBidi"/>
          <w:szCs w:val="22"/>
        </w:rPr>
        <w:t xml:space="preserve">A 60-Day Federal Register Notice (FRN) for the collection published on </w:t>
      </w:r>
      <w:r w:rsidR="00F846BC">
        <w:rPr>
          <w:rFonts w:asciiTheme="majorHAnsi" w:hAnsiTheme="majorHAnsi" w:eastAsiaTheme="minorHAnsi" w:cstheme="minorBidi"/>
          <w:szCs w:val="22"/>
        </w:rPr>
        <w:t>Tues</w:t>
      </w:r>
      <w:r>
        <w:rPr>
          <w:rFonts w:asciiTheme="majorHAnsi" w:hAnsiTheme="majorHAnsi" w:eastAsiaTheme="minorHAnsi" w:cstheme="minorBidi"/>
          <w:szCs w:val="22"/>
        </w:rPr>
        <w:t>day, December 1, 2020.  The 60-Day FRN citation is 85 FRN 77187</w:t>
      </w:r>
      <w:r w:rsidRPr="00FC5A66">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1F65BD" w:rsidP="00FC5A66" w:rsidRDefault="001F65BD" w14:paraId="1085B8C9" w14:textId="2B41E5D9">
      <w:pPr>
        <w:pStyle w:val="NormalWeb"/>
        <w:spacing w:line="288" w:lineRule="atLeast"/>
        <w:rPr>
          <w:rFonts w:asciiTheme="majorHAnsi" w:hAnsiTheme="majorHAnsi" w:eastAsiaTheme="minorHAnsi" w:cstheme="minorBidi"/>
          <w:szCs w:val="22"/>
        </w:rPr>
      </w:pPr>
      <w:r w:rsidRPr="001F65BD">
        <w:rPr>
          <w:rFonts w:asciiTheme="majorHAnsi" w:hAnsiTheme="majorHAnsi" w:eastAsiaTheme="minorHAnsi" w:cstheme="minorBidi"/>
          <w:szCs w:val="22"/>
        </w:rPr>
        <w:t>No comments were received during the 60-Day Comment Period.</w:t>
      </w:r>
    </w:p>
    <w:p w:rsidR="001F65BD" w:rsidP="00200261" w:rsidRDefault="001F65BD" w14:paraId="38292479" w14:textId="7D25533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w:t>
      </w:r>
      <w:r w:rsidRPr="00CD3C01">
        <w:rPr>
          <w:rFonts w:asciiTheme="majorHAnsi" w:hAnsiTheme="majorHAnsi" w:eastAsiaTheme="minorHAnsi" w:cstheme="minorBidi"/>
          <w:szCs w:val="22"/>
        </w:rPr>
        <w:t xml:space="preserve">published on </w:t>
      </w:r>
      <w:r w:rsidRPr="00CD3C01" w:rsidR="00CD3C01">
        <w:rPr>
          <w:rFonts w:asciiTheme="majorHAnsi" w:hAnsiTheme="majorHAnsi" w:eastAsiaTheme="minorHAnsi" w:cstheme="minorBidi"/>
          <w:szCs w:val="22"/>
        </w:rPr>
        <w:t>Friday, May 28, 2021</w:t>
      </w:r>
      <w:r w:rsidRPr="00CD3C01">
        <w:rPr>
          <w:rFonts w:asciiTheme="majorHAnsi" w:hAnsiTheme="majorHAnsi" w:eastAsiaTheme="minorHAnsi" w:cstheme="minorBidi"/>
          <w:szCs w:val="22"/>
        </w:rPr>
        <w:t xml:space="preserve"> </w:t>
      </w:r>
      <w:r w:rsidRPr="00CD3C01" w:rsidR="00CC0B83">
        <w:rPr>
          <w:rFonts w:asciiTheme="majorHAnsi" w:hAnsiTheme="majorHAnsi" w:eastAsiaTheme="minorHAnsi" w:cstheme="minorBidi"/>
          <w:szCs w:val="22"/>
        </w:rPr>
        <w:t>2021</w:t>
      </w:r>
      <w:r w:rsidRPr="00CD3C01">
        <w:rPr>
          <w:rFonts w:asciiTheme="majorHAnsi" w:hAnsiTheme="majorHAnsi" w:eastAsiaTheme="minorHAnsi" w:cstheme="minorBidi"/>
          <w:szCs w:val="22"/>
        </w:rPr>
        <w:t xml:space="preserve">.  The 30-Day FRN citation is </w:t>
      </w:r>
      <w:r w:rsidRPr="00CD3C01" w:rsidR="00CD3C01">
        <w:rPr>
          <w:rFonts w:asciiTheme="majorHAnsi" w:hAnsiTheme="majorHAnsi" w:eastAsiaTheme="minorHAnsi" w:cstheme="minorBidi"/>
          <w:szCs w:val="22"/>
        </w:rPr>
        <w:t>86 FR 28812</w:t>
      </w:r>
      <w:r w:rsidRPr="00CD3C01">
        <w:rPr>
          <w:rFonts w:asciiTheme="majorHAnsi" w:hAnsiTheme="majorHAnsi" w:eastAsiaTheme="minorHAnsi" w:cstheme="minorBidi"/>
          <w:szCs w:val="22"/>
        </w:rPr>
        <w:t>.</w:t>
      </w:r>
      <w:bookmarkStart w:name="_GoBack" w:id="0"/>
      <w:bookmarkEnd w:id="0"/>
    </w:p>
    <w:p w:rsidR="00200261" w:rsidP="00200261" w:rsidRDefault="00200261" w14:paraId="38BCCEEA" w14:textId="67BC63E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3E5AC8B7" w14:textId="3DBDF4D4">
      <w:pPr>
        <w:pStyle w:val="NormalWeb"/>
        <w:spacing w:line="288" w:lineRule="atLeast"/>
        <w:rPr>
          <w:rFonts w:asciiTheme="majorHAnsi" w:hAnsiTheme="majorHAnsi"/>
          <w:i/>
        </w:rPr>
      </w:pPr>
      <w:r w:rsidRPr="00C97854">
        <w:rPr>
          <w:rFonts w:asciiTheme="majorHAnsi" w:hAnsiTheme="majorHAnsi" w:eastAsiaTheme="minorHAnsi" w:cstheme="minorBidi"/>
          <w:szCs w:val="22"/>
        </w:rPr>
        <w:t>No additional consultation was conducted for this submission.</w:t>
      </w:r>
      <w:r>
        <w:rPr>
          <w:rFonts w:asciiTheme="majorHAnsi" w:hAnsiTheme="majorHAnsi" w:eastAsiaTheme="minorHAnsi" w:cstheme="minorBidi"/>
          <w:szCs w:val="22"/>
        </w:rPr>
        <w:t xml:space="preserve"> </w:t>
      </w:r>
    </w:p>
    <w:p w:rsidRPr="006A13FA" w:rsidR="00C97854" w:rsidP="00C97854" w:rsidRDefault="006A13FA" w14:paraId="3BD2E8ED"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253E9AC6" w14:textId="77777777">
      <w:pPr>
        <w:spacing w:after="0" w:line="240" w:lineRule="auto"/>
        <w:rPr>
          <w:rFonts w:asciiTheme="majorHAnsi" w:hAnsiTheme="majorHAnsi"/>
          <w:i/>
          <w:sz w:val="24"/>
        </w:rPr>
      </w:pPr>
      <w:r w:rsidRPr="00C97854">
        <w:rPr>
          <w:rFonts w:asciiTheme="majorHAnsi" w:hAnsiTheme="majorHAnsi"/>
          <w:sz w:val="24"/>
        </w:rPr>
        <w:lastRenderedPageBreak/>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6DC46D20" w14:textId="77777777">
      <w:pPr>
        <w:spacing w:after="0" w:line="240" w:lineRule="auto"/>
        <w:rPr>
          <w:rFonts w:asciiTheme="majorHAnsi" w:hAnsiTheme="majorHAnsi"/>
          <w:i/>
          <w:sz w:val="24"/>
        </w:rPr>
      </w:pPr>
    </w:p>
    <w:p w:rsidR="009F70CA" w:rsidP="009F70CA" w:rsidRDefault="00F97482" w14:paraId="239B649B" w14:textId="27098E9D">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D25D16">
        <w:rPr>
          <w:rFonts w:asciiTheme="majorHAnsi" w:hAnsiTheme="majorHAnsi"/>
          <w:sz w:val="24"/>
          <w:u w:val="single"/>
        </w:rPr>
        <w:t>Confidentiality</w:t>
      </w:r>
      <w:r w:rsidRPr="0097496F" w:rsidR="0085688C">
        <w:rPr>
          <w:rFonts w:asciiTheme="majorHAnsi" w:hAnsiTheme="majorHAnsi"/>
          <w:sz w:val="24"/>
          <w:u w:val="single"/>
        </w:rPr>
        <w:t xml:space="preserve"> </w:t>
      </w:r>
    </w:p>
    <w:p w:rsidRPr="00A62905" w:rsidR="00BE7738" w:rsidP="009F70CA" w:rsidRDefault="00BE7738" w14:paraId="34B0E81D" w14:textId="0D28039A">
      <w:pPr>
        <w:spacing w:after="0" w:line="240" w:lineRule="auto"/>
        <w:rPr>
          <w:rFonts w:asciiTheme="majorHAnsi" w:hAnsiTheme="majorHAnsi"/>
          <w:sz w:val="24"/>
        </w:rPr>
      </w:pPr>
      <w:r w:rsidRPr="00A62905">
        <w:rPr>
          <w:rFonts w:asciiTheme="majorHAnsi" w:hAnsiTheme="majorHAnsi"/>
          <w:sz w:val="24"/>
        </w:rPr>
        <w:t>A Privacy Act Statement is not required for this collection because we are not requesting individuals to furnish personal information for a system of records.</w:t>
      </w:r>
    </w:p>
    <w:p w:rsidRPr="0097496F" w:rsidR="00BE7738" w:rsidP="009F70CA" w:rsidRDefault="00BE7738" w14:paraId="531ED79A" w14:textId="77777777">
      <w:pPr>
        <w:spacing w:after="0" w:line="240" w:lineRule="auto"/>
        <w:rPr>
          <w:rFonts w:asciiTheme="majorHAnsi" w:hAnsiTheme="majorHAnsi"/>
          <w:sz w:val="24"/>
          <w:u w:val="single"/>
        </w:rPr>
      </w:pPr>
    </w:p>
    <w:p w:rsidR="00BE7738" w:rsidP="009F70CA" w:rsidRDefault="00BE7738" w14:paraId="46090D9A" w14:textId="77777777">
      <w:pPr>
        <w:spacing w:after="0" w:line="240" w:lineRule="auto"/>
        <w:rPr>
          <w:rFonts w:asciiTheme="majorHAnsi" w:hAnsiTheme="majorHAnsi"/>
          <w:sz w:val="24"/>
        </w:rPr>
      </w:pPr>
      <w:r w:rsidRPr="00BE7738">
        <w:rPr>
          <w:rFonts w:asciiTheme="majorHAnsi" w:hAnsiTheme="majorHAnsi"/>
          <w:sz w:val="24"/>
        </w:rPr>
        <w:t xml:space="preserve">A System of Record Notice (SORN) is not required for this collection because records are not retrievable by PII. </w:t>
      </w:r>
    </w:p>
    <w:p w:rsidR="00BE7738" w:rsidP="009F70CA" w:rsidRDefault="00BE7738" w14:paraId="56EF5895" w14:textId="77777777">
      <w:pPr>
        <w:spacing w:after="0" w:line="240" w:lineRule="auto"/>
        <w:rPr>
          <w:rFonts w:asciiTheme="majorHAnsi" w:hAnsiTheme="majorHAnsi"/>
          <w:sz w:val="24"/>
        </w:rPr>
      </w:pPr>
    </w:p>
    <w:p w:rsidRPr="00FA1FA3" w:rsidR="005D5C81" w:rsidP="009F70CA" w:rsidRDefault="005D5C81" w14:paraId="6FD2E321" w14:textId="26E0605D">
      <w:pPr>
        <w:spacing w:after="0" w:line="240" w:lineRule="auto"/>
        <w:rPr>
          <w:rFonts w:asciiTheme="majorHAnsi" w:hAnsiTheme="majorHAnsi"/>
          <w:sz w:val="24"/>
          <w:u w:val="single"/>
        </w:rPr>
      </w:pPr>
      <w:r w:rsidRPr="00FA1FA3">
        <w:rPr>
          <w:rFonts w:asciiTheme="majorHAnsi" w:hAnsiTheme="majorHAnsi"/>
          <w:sz w:val="24"/>
        </w:rPr>
        <w:t xml:space="preserve">A draft copy of the PIA, </w:t>
      </w:r>
      <w:r w:rsidRPr="006641CC" w:rsidR="006641CC">
        <w:rPr>
          <w:rFonts w:asciiTheme="majorHAnsi" w:hAnsiTheme="majorHAnsi"/>
          <w:sz w:val="24"/>
        </w:rPr>
        <w:t>Trusted Capital Digital Marketplace (TCDM)</w:t>
      </w:r>
      <w:r w:rsidRPr="00FA1FA3">
        <w:rPr>
          <w:rFonts w:asciiTheme="majorHAnsi" w:hAnsiTheme="majorHAnsi"/>
          <w:sz w:val="24"/>
        </w:rPr>
        <w:t xml:space="preserve">, has been provided with this package for OMB’s review. </w:t>
      </w:r>
      <w:r w:rsidR="006641CC">
        <w:rPr>
          <w:rFonts w:asciiTheme="majorHAnsi" w:hAnsiTheme="majorHAnsi"/>
          <w:sz w:val="24"/>
        </w:rPr>
        <w:t>The PIA is in the process of b</w:t>
      </w:r>
      <w:r w:rsidR="00D745CD">
        <w:rPr>
          <w:rFonts w:asciiTheme="majorHAnsi" w:hAnsiTheme="majorHAnsi"/>
          <w:sz w:val="24"/>
        </w:rPr>
        <w:t>eing finalized.</w:t>
      </w:r>
    </w:p>
    <w:p w:rsidRPr="007F5A79" w:rsidR="00996894" w:rsidP="005D5C81" w:rsidRDefault="00996894" w14:paraId="086065AC" w14:textId="77777777">
      <w:pPr>
        <w:spacing w:after="0" w:line="240" w:lineRule="auto"/>
        <w:ind w:left="720"/>
        <w:rPr>
          <w:rFonts w:asciiTheme="majorHAnsi" w:hAnsiTheme="majorHAnsi"/>
          <w:sz w:val="24"/>
          <w:highlight w:val="yellow"/>
        </w:rPr>
      </w:pPr>
    </w:p>
    <w:p w:rsidRPr="00FA1FA3" w:rsidR="00B52F4E" w:rsidP="00996894" w:rsidRDefault="00D745CD" w14:paraId="7529348C" w14:textId="3F45F3B1">
      <w:pPr>
        <w:spacing w:after="0" w:line="240" w:lineRule="auto"/>
        <w:rPr>
          <w:rFonts w:asciiTheme="majorHAnsi" w:hAnsiTheme="majorHAnsi"/>
          <w:sz w:val="24"/>
        </w:rPr>
      </w:pPr>
      <w:r>
        <w:rPr>
          <w:rFonts w:asciiTheme="majorHAnsi" w:hAnsiTheme="majorHAnsi"/>
          <w:sz w:val="24"/>
        </w:rPr>
        <w:t>The Records Retention and Disposition Schedule is pending NARA approval of an SF-115 Request for Records Disposition Authority.</w:t>
      </w:r>
    </w:p>
    <w:p w:rsidR="00996894" w:rsidP="00996894" w:rsidRDefault="00996894" w14:paraId="48D1E07C" w14:textId="77777777">
      <w:pPr>
        <w:spacing w:after="0" w:line="240" w:lineRule="auto"/>
        <w:rPr>
          <w:rFonts w:asciiTheme="majorHAnsi" w:hAnsiTheme="majorHAnsi"/>
          <w:i/>
          <w:sz w:val="24"/>
        </w:rPr>
      </w:pPr>
    </w:p>
    <w:p w:rsidR="00996894" w:rsidP="00996894" w:rsidRDefault="00337EF1" w14:paraId="369DD82E"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AF30F4">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rsidRDefault="007F5A79" w14:paraId="6DF1DE8B" w14:textId="14F081CF">
      <w:pPr>
        <w:spacing w:after="0" w:line="240" w:lineRule="auto"/>
        <w:rPr>
          <w:rFonts w:asciiTheme="majorHAnsi" w:hAnsiTheme="majorHAnsi"/>
          <w:sz w:val="24"/>
        </w:rPr>
      </w:pPr>
      <w:r>
        <w:rPr>
          <w:rFonts w:asciiTheme="majorHAnsi" w:hAnsiTheme="majorHAnsi"/>
          <w:sz w:val="24"/>
        </w:rPr>
        <w:t>Business proprietary, b</w:t>
      </w:r>
      <w:r w:rsidRPr="009937D8" w:rsidR="009937D8">
        <w:rPr>
          <w:rFonts w:asciiTheme="majorHAnsi" w:hAnsiTheme="majorHAnsi"/>
          <w:sz w:val="24"/>
        </w:rPr>
        <w:t>anking</w:t>
      </w:r>
      <w:r>
        <w:rPr>
          <w:rFonts w:asciiTheme="majorHAnsi" w:hAnsiTheme="majorHAnsi"/>
          <w:sz w:val="24"/>
        </w:rPr>
        <w:t xml:space="preserve">, taxation, </w:t>
      </w:r>
      <w:r w:rsidRPr="009937D8" w:rsidR="009937D8">
        <w:rPr>
          <w:rFonts w:asciiTheme="majorHAnsi" w:hAnsiTheme="majorHAnsi"/>
          <w:sz w:val="24"/>
        </w:rPr>
        <w:t>and financial</w:t>
      </w:r>
      <w:r w:rsidR="009937D8">
        <w:rPr>
          <w:rFonts w:asciiTheme="majorHAnsi" w:hAnsiTheme="majorHAnsi"/>
          <w:i/>
          <w:sz w:val="24"/>
        </w:rPr>
        <w:t xml:space="preserve"> </w:t>
      </w:r>
      <w:r w:rsidR="009937D8">
        <w:rPr>
          <w:rFonts w:asciiTheme="majorHAnsi" w:hAnsiTheme="majorHAnsi"/>
          <w:sz w:val="24"/>
        </w:rPr>
        <w:t xml:space="preserve">questions are being asked to </w:t>
      </w:r>
      <w:r w:rsidR="00D50245">
        <w:rPr>
          <w:rFonts w:asciiTheme="majorHAnsi" w:hAnsiTheme="majorHAnsi"/>
          <w:sz w:val="24"/>
        </w:rPr>
        <w:t>assess</w:t>
      </w:r>
      <w:r w:rsidR="009937D8">
        <w:rPr>
          <w:rFonts w:asciiTheme="majorHAnsi" w:hAnsiTheme="majorHAnsi"/>
          <w:sz w:val="24"/>
        </w:rPr>
        <w:t xml:space="preserve"> </w:t>
      </w:r>
      <w:r>
        <w:rPr>
          <w:rFonts w:asciiTheme="majorHAnsi" w:hAnsiTheme="majorHAnsi"/>
          <w:sz w:val="24"/>
        </w:rPr>
        <w:t>capabilities of applicants and screen for adversarial foreign ownership, influence, or control as well as other national security risks</w:t>
      </w:r>
      <w:r w:rsidR="00BD746F">
        <w:rPr>
          <w:rFonts w:asciiTheme="majorHAnsi" w:hAnsiTheme="majorHAnsi"/>
          <w:sz w:val="24"/>
        </w:rPr>
        <w:t>.</w:t>
      </w:r>
    </w:p>
    <w:p w:rsidR="007F5A79" w:rsidP="00337EF1" w:rsidRDefault="007F5A79" w14:paraId="30400F77" w14:textId="77777777">
      <w:pPr>
        <w:spacing w:after="0" w:line="240" w:lineRule="auto"/>
        <w:rPr>
          <w:rFonts w:asciiTheme="majorHAnsi" w:hAnsiTheme="majorHAnsi"/>
          <w:sz w:val="24"/>
        </w:rPr>
      </w:pPr>
    </w:p>
    <w:p w:rsidR="00D21AA6" w:rsidP="00337EF1" w:rsidRDefault="00D21AA6" w14:paraId="72F3772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BF26F1" w:rsidR="00A76F7E">
        <w:rPr>
          <w:rFonts w:asciiTheme="majorHAnsi" w:hAnsiTheme="majorHAnsi"/>
          <w:sz w:val="24"/>
          <w:u w:val="single"/>
        </w:rPr>
        <w:t>Respondent Burden and its Labor Costs</w:t>
      </w:r>
    </w:p>
    <w:p w:rsidR="00B55E9F" w:rsidP="00B55E9F" w:rsidRDefault="00235D71" w14:paraId="012FDCC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243599A2" w14:textId="77777777">
      <w:pPr>
        <w:spacing w:after="0" w:line="240" w:lineRule="auto"/>
        <w:rPr>
          <w:rFonts w:asciiTheme="majorHAnsi" w:hAnsiTheme="majorHAnsi"/>
          <w:i/>
          <w:sz w:val="24"/>
        </w:rPr>
      </w:pPr>
    </w:p>
    <w:p w:rsidR="00235D71" w:rsidP="00235D71" w:rsidRDefault="00235D71" w14:paraId="37539F70" w14:textId="48FD7A3E">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A76F7E" w14:paraId="1E186AE3" w14:textId="319A250C">
      <w:pPr>
        <w:pStyle w:val="ListParagraph"/>
        <w:spacing w:after="0" w:line="240" w:lineRule="auto"/>
        <w:rPr>
          <w:rFonts w:asciiTheme="majorHAnsi" w:hAnsiTheme="majorHAnsi"/>
          <w:sz w:val="24"/>
        </w:rPr>
      </w:pPr>
      <w:r w:rsidRPr="00235D71">
        <w:rPr>
          <w:rFonts w:asciiTheme="majorHAnsi" w:hAnsiTheme="majorHAnsi"/>
          <w:sz w:val="24"/>
        </w:rPr>
        <w:t>[</w:t>
      </w:r>
      <w:r w:rsidR="00E14976">
        <w:rPr>
          <w:rFonts w:asciiTheme="majorHAnsi" w:hAnsiTheme="majorHAnsi"/>
          <w:sz w:val="24"/>
        </w:rPr>
        <w:t>Trusted Capital Application</w:t>
      </w:r>
      <w:r w:rsidRPr="00235D71">
        <w:rPr>
          <w:rFonts w:asciiTheme="majorHAnsi" w:hAnsiTheme="majorHAnsi"/>
          <w:sz w:val="24"/>
        </w:rPr>
        <w:t xml:space="preserve">] </w:t>
      </w:r>
    </w:p>
    <w:p w:rsidR="00235D71" w:rsidP="00235D71" w:rsidRDefault="00520B36" w14:paraId="29C9448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E14976">
        <w:rPr>
          <w:rFonts w:asciiTheme="majorHAnsi" w:hAnsiTheme="majorHAnsi"/>
          <w:sz w:val="24"/>
        </w:rPr>
        <w:t>300</w:t>
      </w:r>
    </w:p>
    <w:p w:rsidRPr="00E14976" w:rsidR="00235D71" w:rsidP="00235D71" w:rsidRDefault="00A76F7E" w14:paraId="2955F1F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w:t>
      </w:r>
      <w:r w:rsidRPr="00E14976" w:rsidR="00520B36">
        <w:rPr>
          <w:rFonts w:asciiTheme="majorHAnsi" w:hAnsiTheme="majorHAnsi"/>
          <w:sz w:val="24"/>
        </w:rPr>
        <w:t xml:space="preserve">Respondent: </w:t>
      </w:r>
      <w:r w:rsidRPr="00E14976" w:rsidR="00E14976">
        <w:rPr>
          <w:rFonts w:asciiTheme="majorHAnsi" w:hAnsiTheme="majorHAnsi"/>
          <w:sz w:val="24"/>
        </w:rPr>
        <w:t>1</w:t>
      </w:r>
    </w:p>
    <w:p w:rsidRPr="00E14976" w:rsidR="00235D71" w:rsidP="00235D71" w:rsidRDefault="00A76F7E" w14:paraId="61314AAE" w14:textId="77777777">
      <w:pPr>
        <w:pStyle w:val="ListParagraph"/>
        <w:numPr>
          <w:ilvl w:val="0"/>
          <w:numId w:val="15"/>
        </w:numPr>
        <w:spacing w:after="0" w:line="240" w:lineRule="auto"/>
        <w:rPr>
          <w:rFonts w:asciiTheme="majorHAnsi" w:hAnsiTheme="majorHAnsi"/>
          <w:sz w:val="24"/>
        </w:rPr>
      </w:pPr>
      <w:r w:rsidRPr="00E14976">
        <w:rPr>
          <w:rFonts w:asciiTheme="majorHAnsi" w:hAnsiTheme="majorHAnsi"/>
          <w:sz w:val="24"/>
        </w:rPr>
        <w:t>Num</w:t>
      </w:r>
      <w:r w:rsidRPr="00E14976" w:rsidR="00520B36">
        <w:rPr>
          <w:rFonts w:asciiTheme="majorHAnsi" w:hAnsiTheme="majorHAnsi"/>
          <w:sz w:val="24"/>
        </w:rPr>
        <w:t xml:space="preserve">ber of Total Annual Responses: </w:t>
      </w:r>
      <w:r w:rsidRPr="00E14976" w:rsidR="00E14976">
        <w:rPr>
          <w:rFonts w:asciiTheme="majorHAnsi" w:hAnsiTheme="majorHAnsi"/>
          <w:sz w:val="24"/>
        </w:rPr>
        <w:t>300</w:t>
      </w:r>
    </w:p>
    <w:p w:rsidR="00502FF3" w:rsidP="00235D71" w:rsidRDefault="00E14976" w14:paraId="3B0AD1E6"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1.5 hours</w:t>
      </w:r>
    </w:p>
    <w:p w:rsidR="00A76F7E" w:rsidP="00235D71" w:rsidRDefault="00E14976" w14:paraId="2923327B"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450 </w:t>
      </w:r>
      <w:r w:rsidR="00A77157">
        <w:rPr>
          <w:rFonts w:asciiTheme="majorHAnsi" w:hAnsiTheme="majorHAnsi"/>
          <w:sz w:val="24"/>
        </w:rPr>
        <w:t xml:space="preserve">hours </w:t>
      </w:r>
    </w:p>
    <w:p w:rsidR="00B55E9F" w:rsidP="00B55E9F" w:rsidRDefault="00B55E9F" w14:paraId="46546EED" w14:textId="77777777">
      <w:pPr>
        <w:pStyle w:val="ListParagraph"/>
        <w:spacing w:after="0" w:line="240" w:lineRule="auto"/>
        <w:ind w:left="1440"/>
        <w:rPr>
          <w:rFonts w:asciiTheme="majorHAnsi" w:hAnsiTheme="majorHAnsi"/>
          <w:sz w:val="24"/>
        </w:rPr>
      </w:pPr>
    </w:p>
    <w:p w:rsidR="00235D71" w:rsidP="00235D71" w:rsidRDefault="00235D71" w14:paraId="3030568F" w14:textId="3612C2BF">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49758B55"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E14976">
        <w:rPr>
          <w:rFonts w:asciiTheme="majorHAnsi" w:hAnsiTheme="majorHAnsi"/>
          <w:sz w:val="24"/>
        </w:rPr>
        <w:t>300</w:t>
      </w:r>
    </w:p>
    <w:p w:rsidR="00235D71" w:rsidP="00235D71" w:rsidRDefault="00235D71" w14:paraId="3D6F1E7C"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w:t>
      </w:r>
      <w:r w:rsidR="00E14976">
        <w:rPr>
          <w:rFonts w:asciiTheme="majorHAnsi" w:hAnsiTheme="majorHAnsi"/>
          <w:sz w:val="24"/>
        </w:rPr>
        <w:t>otal Number of Annual Responses: 300</w:t>
      </w:r>
    </w:p>
    <w:p w:rsidRPr="00235D71" w:rsidR="00A77157" w:rsidP="00337EF1" w:rsidRDefault="00235D71" w14:paraId="6AF15662"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E14976">
        <w:rPr>
          <w:rFonts w:asciiTheme="majorHAnsi" w:hAnsiTheme="majorHAnsi"/>
          <w:sz w:val="24"/>
        </w:rPr>
        <w:t>450</w:t>
      </w:r>
      <w:r>
        <w:rPr>
          <w:rFonts w:asciiTheme="majorHAnsi" w:hAnsiTheme="majorHAnsi"/>
          <w:sz w:val="24"/>
        </w:rPr>
        <w:t xml:space="preserve"> hours</w:t>
      </w:r>
    </w:p>
    <w:p w:rsidR="00520B36" w:rsidP="00337EF1" w:rsidRDefault="00520B36" w14:paraId="478BD78D" w14:textId="77777777">
      <w:pPr>
        <w:spacing w:after="0" w:line="240" w:lineRule="auto"/>
        <w:rPr>
          <w:rFonts w:asciiTheme="majorHAnsi" w:hAnsiTheme="majorHAnsi"/>
          <w:sz w:val="24"/>
        </w:rPr>
      </w:pPr>
    </w:p>
    <w:p w:rsidR="00105F45" w:rsidP="00337EF1" w:rsidRDefault="00235D71" w14:paraId="5AD91011" w14:textId="71D12309">
      <w:pPr>
        <w:spacing w:after="0" w:line="240" w:lineRule="auto"/>
        <w:rPr>
          <w:rFonts w:asciiTheme="majorHAnsi" w:hAnsiTheme="majorHAnsi"/>
          <w:sz w:val="24"/>
        </w:rPr>
      </w:pPr>
      <w:r>
        <w:rPr>
          <w:rFonts w:asciiTheme="majorHAnsi" w:hAnsiTheme="majorHAnsi"/>
          <w:sz w:val="24"/>
        </w:rPr>
        <w:t>Part B: LABOR COST OF RESPONDENT BURDEN</w:t>
      </w:r>
    </w:p>
    <w:p w:rsidR="0000286E" w:rsidP="00337EF1" w:rsidRDefault="0000286E" w14:paraId="7F3A0946" w14:textId="77777777">
      <w:pPr>
        <w:spacing w:after="0" w:line="240" w:lineRule="auto"/>
        <w:rPr>
          <w:rFonts w:asciiTheme="majorHAnsi" w:hAnsiTheme="majorHAnsi"/>
          <w:sz w:val="24"/>
        </w:rPr>
      </w:pPr>
    </w:p>
    <w:p w:rsidR="00235D71" w:rsidP="00235D71" w:rsidRDefault="00235D71" w14:paraId="5374394D" w14:textId="3867DD1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P="00235D71" w:rsidRDefault="00235D71" w14:paraId="2CC72374"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0B5695">
        <w:rPr>
          <w:rFonts w:asciiTheme="majorHAnsi" w:hAnsiTheme="majorHAnsi"/>
          <w:sz w:val="24"/>
        </w:rPr>
        <w:t>Trusted Capital Application</w:t>
      </w:r>
      <w:r w:rsidRPr="00235D71">
        <w:rPr>
          <w:rFonts w:asciiTheme="majorHAnsi" w:hAnsiTheme="majorHAnsi"/>
          <w:sz w:val="24"/>
        </w:rPr>
        <w:t xml:space="preserve">] </w:t>
      </w:r>
    </w:p>
    <w:p w:rsidR="00235D71" w:rsidP="00235D71" w:rsidRDefault="00235D71" w14:paraId="6EA7E2D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E14976">
        <w:rPr>
          <w:rFonts w:asciiTheme="majorHAnsi" w:hAnsiTheme="majorHAnsi"/>
          <w:sz w:val="24"/>
        </w:rPr>
        <w:t>300</w:t>
      </w:r>
    </w:p>
    <w:p w:rsidR="00761B19" w:rsidP="00761B19" w:rsidRDefault="000B5695" w14:paraId="39B754A9" w14:textId="77777777">
      <w:pPr>
        <w:pStyle w:val="ListParagraph"/>
        <w:numPr>
          <w:ilvl w:val="0"/>
          <w:numId w:val="17"/>
        </w:numPr>
        <w:spacing w:after="0" w:line="240" w:lineRule="auto"/>
        <w:rPr>
          <w:rFonts w:asciiTheme="majorHAnsi" w:hAnsiTheme="majorHAnsi"/>
          <w:sz w:val="24"/>
        </w:rPr>
      </w:pPr>
      <w:r w:rsidRPr="00761B19">
        <w:rPr>
          <w:rFonts w:asciiTheme="majorHAnsi" w:hAnsiTheme="majorHAnsi"/>
          <w:sz w:val="24"/>
        </w:rPr>
        <w:t>Response Time</w:t>
      </w:r>
      <w:r w:rsidRPr="00761B19" w:rsidR="00235D71">
        <w:rPr>
          <w:rFonts w:asciiTheme="majorHAnsi" w:hAnsiTheme="majorHAnsi"/>
          <w:sz w:val="24"/>
        </w:rPr>
        <w:t xml:space="preserve">: </w:t>
      </w:r>
      <w:r w:rsidRPr="00761B19" w:rsidR="00761B19">
        <w:rPr>
          <w:rFonts w:asciiTheme="majorHAnsi" w:hAnsiTheme="majorHAnsi"/>
          <w:sz w:val="24"/>
        </w:rPr>
        <w:t>1.</w:t>
      </w:r>
      <w:r w:rsidR="00761B19">
        <w:rPr>
          <w:rFonts w:asciiTheme="majorHAnsi" w:hAnsiTheme="majorHAnsi"/>
          <w:sz w:val="24"/>
        </w:rPr>
        <w:t>5 hours</w:t>
      </w:r>
    </w:p>
    <w:p w:rsidRPr="00761B19" w:rsidR="00235D71" w:rsidP="00761B19" w:rsidRDefault="00235D71" w14:paraId="4937B488" w14:textId="3B662B1A">
      <w:pPr>
        <w:pStyle w:val="ListParagraph"/>
        <w:numPr>
          <w:ilvl w:val="0"/>
          <w:numId w:val="17"/>
        </w:numPr>
        <w:spacing w:after="0" w:line="240" w:lineRule="auto"/>
        <w:rPr>
          <w:rFonts w:asciiTheme="majorHAnsi" w:hAnsiTheme="majorHAnsi"/>
          <w:sz w:val="24"/>
        </w:rPr>
      </w:pPr>
      <w:r w:rsidRPr="00761B19">
        <w:rPr>
          <w:rFonts w:asciiTheme="majorHAnsi" w:hAnsiTheme="majorHAnsi"/>
          <w:sz w:val="24"/>
        </w:rPr>
        <w:t xml:space="preserve">Respondent Hourly Wage: </w:t>
      </w:r>
      <w:r w:rsidRPr="00EE1C2F">
        <w:rPr>
          <w:rFonts w:asciiTheme="majorHAnsi" w:hAnsiTheme="majorHAnsi"/>
          <w:sz w:val="24"/>
        </w:rPr>
        <w:t>$</w:t>
      </w:r>
      <w:r w:rsidR="00BB4590">
        <w:rPr>
          <w:rFonts w:asciiTheme="majorHAnsi" w:hAnsiTheme="majorHAnsi"/>
          <w:sz w:val="24"/>
        </w:rPr>
        <w:t>50.33</w:t>
      </w:r>
    </w:p>
    <w:p w:rsidR="00235D71" w:rsidP="00235D71" w:rsidRDefault="00235D71" w14:paraId="791596C6" w14:textId="0B64060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EE1C2F">
        <w:rPr>
          <w:rFonts w:asciiTheme="majorHAnsi" w:hAnsiTheme="majorHAnsi"/>
          <w:sz w:val="24"/>
        </w:rPr>
        <w:t>$</w:t>
      </w:r>
      <w:r w:rsidR="00BB4590">
        <w:rPr>
          <w:rFonts w:asciiTheme="majorHAnsi" w:hAnsiTheme="majorHAnsi"/>
          <w:sz w:val="24"/>
        </w:rPr>
        <w:t>75.50</w:t>
      </w:r>
    </w:p>
    <w:p w:rsidR="00235D71" w:rsidP="00235D71" w:rsidRDefault="00235D71" w14:paraId="4C46342C" w14:textId="75438C2A">
      <w:pPr>
        <w:pStyle w:val="ListParagraph"/>
        <w:numPr>
          <w:ilvl w:val="0"/>
          <w:numId w:val="17"/>
        </w:numPr>
        <w:spacing w:after="0" w:line="240" w:lineRule="auto"/>
        <w:rPr>
          <w:rFonts w:asciiTheme="majorHAnsi" w:hAnsiTheme="majorHAnsi"/>
          <w:sz w:val="24"/>
        </w:rPr>
      </w:pPr>
      <w:r>
        <w:rPr>
          <w:rFonts w:asciiTheme="majorHAnsi" w:hAnsiTheme="majorHAnsi"/>
          <w:sz w:val="24"/>
        </w:rPr>
        <w:lastRenderedPageBreak/>
        <w:t xml:space="preserve">Total Labor Burden: </w:t>
      </w:r>
      <w:r w:rsidRPr="00EE1C2F">
        <w:rPr>
          <w:rFonts w:asciiTheme="majorHAnsi" w:hAnsiTheme="majorHAnsi"/>
          <w:sz w:val="24"/>
        </w:rPr>
        <w:t>$</w:t>
      </w:r>
      <w:r w:rsidR="0000286E">
        <w:rPr>
          <w:rFonts w:asciiTheme="majorHAnsi" w:hAnsiTheme="majorHAnsi"/>
          <w:sz w:val="24"/>
        </w:rPr>
        <w:t>22,648.50</w:t>
      </w:r>
    </w:p>
    <w:p w:rsidR="00B55E9F" w:rsidP="00B55E9F" w:rsidRDefault="00B55E9F" w14:paraId="3C4C5AC5" w14:textId="77777777">
      <w:pPr>
        <w:pStyle w:val="ListParagraph"/>
        <w:spacing w:after="0" w:line="240" w:lineRule="auto"/>
        <w:ind w:left="1440"/>
        <w:rPr>
          <w:rFonts w:asciiTheme="majorHAnsi" w:hAnsiTheme="majorHAnsi"/>
          <w:sz w:val="24"/>
        </w:rPr>
      </w:pPr>
    </w:p>
    <w:p w:rsidR="00235D71" w:rsidP="00235D71" w:rsidRDefault="00235D71" w14:paraId="584308C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EB50354"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0B5695">
        <w:rPr>
          <w:rFonts w:asciiTheme="majorHAnsi" w:hAnsiTheme="majorHAnsi"/>
          <w:sz w:val="24"/>
        </w:rPr>
        <w:t>300</w:t>
      </w:r>
    </w:p>
    <w:p w:rsidR="00235D71" w:rsidP="00235D71" w:rsidRDefault="00235D71" w14:paraId="214D6E1B" w14:textId="3B651AF3">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A72453" w:rsidR="00BB4590">
        <w:rPr>
          <w:rFonts w:asciiTheme="majorHAnsi" w:hAnsiTheme="majorHAnsi"/>
          <w:sz w:val="24"/>
        </w:rPr>
        <w:t>$</w:t>
      </w:r>
      <w:r w:rsidR="0000286E">
        <w:rPr>
          <w:rFonts w:asciiTheme="majorHAnsi" w:hAnsiTheme="majorHAnsi"/>
          <w:sz w:val="24"/>
        </w:rPr>
        <w:t>22,649</w:t>
      </w:r>
    </w:p>
    <w:p w:rsidR="00520B36" w:rsidP="006F2DF8" w:rsidRDefault="00520B36" w14:paraId="3285CB50" w14:textId="77777777">
      <w:pPr>
        <w:spacing w:after="0" w:line="240" w:lineRule="auto"/>
        <w:rPr>
          <w:rFonts w:asciiTheme="majorHAnsi" w:hAnsiTheme="majorHAnsi"/>
          <w:sz w:val="24"/>
        </w:rPr>
      </w:pPr>
    </w:p>
    <w:p w:rsidR="00520B36" w:rsidP="0019309D" w:rsidRDefault="0019309D" w14:paraId="51D59D2B" w14:textId="3ABEA0FA">
      <w:pPr>
        <w:spacing w:after="0" w:line="240" w:lineRule="auto"/>
        <w:rPr>
          <w:rFonts w:asciiTheme="majorHAnsi" w:hAnsiTheme="majorHAnsi"/>
          <w:sz w:val="24"/>
        </w:rPr>
      </w:pPr>
      <w:r w:rsidRPr="00A62905">
        <w:rPr>
          <w:rFonts w:asciiTheme="majorHAnsi" w:hAnsiTheme="majorHAnsi"/>
          <w:sz w:val="24"/>
        </w:rPr>
        <w:t xml:space="preserve">The Respondent </w:t>
      </w:r>
      <w:r w:rsidR="0000286E">
        <w:rPr>
          <w:rFonts w:asciiTheme="majorHAnsi" w:hAnsiTheme="majorHAnsi"/>
          <w:sz w:val="24"/>
        </w:rPr>
        <w:t>H</w:t>
      </w:r>
      <w:r w:rsidRPr="00BF26F1">
        <w:rPr>
          <w:rFonts w:asciiTheme="majorHAnsi" w:hAnsiTheme="majorHAnsi"/>
          <w:sz w:val="24"/>
        </w:rPr>
        <w:t xml:space="preserve">ourly </w:t>
      </w:r>
      <w:r w:rsidR="0000286E">
        <w:rPr>
          <w:rFonts w:asciiTheme="majorHAnsi" w:hAnsiTheme="majorHAnsi"/>
          <w:sz w:val="24"/>
        </w:rPr>
        <w:t>W</w:t>
      </w:r>
      <w:r w:rsidRPr="00A62905">
        <w:rPr>
          <w:rFonts w:asciiTheme="majorHAnsi" w:hAnsiTheme="majorHAnsi"/>
          <w:sz w:val="24"/>
        </w:rPr>
        <w:t xml:space="preserve">age was determined by using the </w:t>
      </w:r>
      <w:r w:rsidRPr="00BF26F1" w:rsidR="0000286E">
        <w:rPr>
          <w:rFonts w:asciiTheme="majorHAnsi" w:hAnsiTheme="majorHAnsi"/>
          <w:sz w:val="24"/>
        </w:rPr>
        <w:t>Bureau of Labor Statistics, Occupation Outlook Handbook, Management (Top Executives) 2019 median pay</w:t>
      </w:r>
      <w:r w:rsidRPr="00A62905" w:rsidR="0000286E">
        <w:rPr>
          <w:rFonts w:asciiTheme="majorHAnsi" w:hAnsiTheme="majorHAnsi"/>
          <w:sz w:val="24"/>
        </w:rPr>
        <w:t xml:space="preserve">. </w:t>
      </w:r>
      <w:r w:rsidRPr="00A62905">
        <w:rPr>
          <w:rFonts w:asciiTheme="majorHAnsi" w:hAnsiTheme="majorHAnsi"/>
          <w:sz w:val="24"/>
        </w:rPr>
        <w:t>(</w:t>
      </w:r>
      <w:hyperlink w:history="1" r:id="rId9">
        <w:r w:rsidRPr="00BF26F1" w:rsidR="0097496F">
          <w:rPr>
            <w:rStyle w:val="Hyperlink"/>
            <w:rFonts w:asciiTheme="majorHAnsi" w:hAnsiTheme="majorHAnsi"/>
            <w:sz w:val="24"/>
          </w:rPr>
          <w:t>https://www.bls.gov/oes/current/oes_nat.htm</w:t>
        </w:r>
      </w:hyperlink>
      <w:r w:rsidRPr="00BF26F1" w:rsidR="008A06EF">
        <w:rPr>
          <w:rFonts w:asciiTheme="majorHAnsi" w:hAnsiTheme="majorHAnsi"/>
          <w:sz w:val="24"/>
        </w:rPr>
        <w:t>)</w:t>
      </w:r>
    </w:p>
    <w:p w:rsidR="006F2DF8" w:rsidP="00337EF1" w:rsidRDefault="006F2DF8" w14:paraId="0AFB640C" w14:textId="77777777">
      <w:pPr>
        <w:spacing w:after="0" w:line="240" w:lineRule="auto"/>
        <w:rPr>
          <w:rFonts w:asciiTheme="majorHAnsi" w:hAnsiTheme="majorHAnsi"/>
          <w:sz w:val="24"/>
        </w:rPr>
      </w:pPr>
    </w:p>
    <w:p w:rsidRPr="0019309D" w:rsidR="00FC7BB5" w:rsidP="00FC7BB5" w:rsidRDefault="0019309D" w14:paraId="6939E9A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6DC504C7" w14:textId="77777777">
      <w:pPr>
        <w:spacing w:after="0" w:line="240" w:lineRule="auto"/>
        <w:rPr>
          <w:rFonts w:asciiTheme="majorHAnsi" w:hAnsiTheme="majorHAnsi"/>
          <w:sz w:val="24"/>
        </w:rPr>
      </w:pPr>
      <w:r w:rsidRPr="00FC7BB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A553C15" w14:textId="77777777">
      <w:pPr>
        <w:spacing w:after="0" w:line="240" w:lineRule="auto"/>
        <w:rPr>
          <w:rFonts w:asciiTheme="majorHAnsi" w:hAnsiTheme="majorHAnsi"/>
          <w:sz w:val="24"/>
        </w:rPr>
      </w:pPr>
    </w:p>
    <w:p w:rsidR="00F25499" w:rsidP="0019309D" w:rsidRDefault="00F25499" w14:paraId="72EEB9C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BF26F1">
        <w:rPr>
          <w:rFonts w:asciiTheme="majorHAnsi" w:hAnsiTheme="majorHAnsi"/>
          <w:sz w:val="24"/>
          <w:u w:val="single"/>
        </w:rPr>
        <w:t>Cost to the Federal Government</w:t>
      </w:r>
    </w:p>
    <w:p w:rsidR="00235D71" w:rsidP="0019309D" w:rsidRDefault="00235D71" w14:paraId="4B5A2AC9" w14:textId="77777777">
      <w:pPr>
        <w:spacing w:after="0" w:line="240" w:lineRule="auto"/>
        <w:rPr>
          <w:rFonts w:asciiTheme="majorHAnsi" w:hAnsiTheme="majorHAnsi"/>
          <w:sz w:val="24"/>
        </w:rPr>
      </w:pPr>
    </w:p>
    <w:p w:rsidRPr="00235D71" w:rsidR="00722FDB" w:rsidP="00722FDB" w:rsidRDefault="00235D71" w14:paraId="6D60C4D4" w14:textId="3A188898">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346BFC5E" w14:textId="77777777">
      <w:pPr>
        <w:pStyle w:val="ListParagraph"/>
        <w:spacing w:after="0" w:line="240" w:lineRule="auto"/>
        <w:rPr>
          <w:rFonts w:asciiTheme="majorHAnsi" w:hAnsiTheme="majorHAnsi"/>
          <w:sz w:val="24"/>
        </w:rPr>
      </w:pPr>
    </w:p>
    <w:p w:rsidRPr="00A40903" w:rsidR="00235D71" w:rsidP="00235D71" w:rsidRDefault="00235D71" w14:paraId="2DBD65A9" w14:textId="40FA2A0E">
      <w:pPr>
        <w:pStyle w:val="ListParagraph"/>
        <w:numPr>
          <w:ilvl w:val="0"/>
          <w:numId w:val="18"/>
        </w:numPr>
        <w:spacing w:after="0" w:line="240" w:lineRule="auto"/>
        <w:rPr>
          <w:rFonts w:asciiTheme="majorHAnsi" w:hAnsiTheme="majorHAnsi"/>
          <w:sz w:val="24"/>
        </w:rPr>
      </w:pPr>
      <w:r w:rsidRPr="00A40903">
        <w:rPr>
          <w:rFonts w:asciiTheme="majorHAnsi" w:hAnsiTheme="majorHAnsi"/>
          <w:sz w:val="24"/>
        </w:rPr>
        <w:t>Collection Instrument</w:t>
      </w:r>
    </w:p>
    <w:p w:rsidRPr="00A40903" w:rsidR="00235D71" w:rsidP="00235D71" w:rsidRDefault="00235D71" w14:paraId="38F06C1A" w14:textId="77777777">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 xml:space="preserve">Number of Total Annual Responses: </w:t>
      </w:r>
      <w:r w:rsidRPr="00A40903" w:rsidR="000B5695">
        <w:rPr>
          <w:rFonts w:asciiTheme="majorHAnsi" w:hAnsiTheme="majorHAnsi"/>
          <w:sz w:val="24"/>
        </w:rPr>
        <w:t>300</w:t>
      </w:r>
    </w:p>
    <w:p w:rsidRPr="00A40903" w:rsidR="00235D71" w:rsidP="00235D71" w:rsidRDefault="00235D71" w14:paraId="7A6FF31D" w14:textId="5F6C5084">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 xml:space="preserve">Processing Time per Response: </w:t>
      </w:r>
      <w:r w:rsidRPr="00A40903" w:rsidR="00A40903">
        <w:rPr>
          <w:rFonts w:asciiTheme="majorHAnsi" w:hAnsiTheme="majorHAnsi"/>
          <w:sz w:val="24"/>
        </w:rPr>
        <w:t>60</w:t>
      </w:r>
      <w:r w:rsidRPr="00A40903" w:rsidR="000B5695">
        <w:rPr>
          <w:rFonts w:asciiTheme="majorHAnsi" w:hAnsiTheme="majorHAnsi"/>
          <w:sz w:val="24"/>
        </w:rPr>
        <w:t xml:space="preserve"> </w:t>
      </w:r>
      <w:proofErr w:type="spellStart"/>
      <w:r w:rsidRPr="00A40903" w:rsidR="000B5695">
        <w:rPr>
          <w:rFonts w:asciiTheme="majorHAnsi" w:hAnsiTheme="majorHAnsi"/>
          <w:sz w:val="24"/>
        </w:rPr>
        <w:t>mins</w:t>
      </w:r>
      <w:proofErr w:type="spellEnd"/>
    </w:p>
    <w:p w:rsidRPr="00A40903" w:rsidR="00235D71" w:rsidP="00235D71" w:rsidRDefault="00235D71" w14:paraId="33CE9F4A" w14:textId="5959D468">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 xml:space="preserve">Hourly Wage of Worker(s) Processing </w:t>
      </w:r>
      <w:proofErr w:type="gramStart"/>
      <w:r w:rsidRPr="00A40903">
        <w:rPr>
          <w:rFonts w:asciiTheme="majorHAnsi" w:hAnsiTheme="majorHAnsi"/>
          <w:sz w:val="24"/>
        </w:rPr>
        <w:t>Responses :</w:t>
      </w:r>
      <w:proofErr w:type="gramEnd"/>
      <w:r w:rsidRPr="00A40903">
        <w:rPr>
          <w:rFonts w:asciiTheme="majorHAnsi" w:hAnsiTheme="majorHAnsi"/>
          <w:sz w:val="24"/>
        </w:rPr>
        <w:t xml:space="preserve"> $</w:t>
      </w:r>
      <w:r w:rsidRPr="00EE1C2F" w:rsidR="00A40903">
        <w:rPr>
          <w:rFonts w:asciiTheme="majorHAnsi" w:hAnsiTheme="majorHAnsi"/>
          <w:sz w:val="24"/>
        </w:rPr>
        <w:t>57.69</w:t>
      </w:r>
    </w:p>
    <w:p w:rsidRPr="00A40903" w:rsidR="00235D71" w:rsidP="00235D71" w:rsidRDefault="00235D71" w14:paraId="18C1A830" w14:textId="141D51BB">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Cost to Process Each Response: $</w:t>
      </w:r>
      <w:r w:rsidRPr="00EE1C2F" w:rsidR="00A40903">
        <w:rPr>
          <w:rFonts w:asciiTheme="majorHAnsi" w:hAnsiTheme="majorHAnsi"/>
          <w:sz w:val="24"/>
        </w:rPr>
        <w:t>57.69</w:t>
      </w:r>
    </w:p>
    <w:p w:rsidRPr="00A40903" w:rsidR="00235D71" w:rsidP="00235D71" w:rsidRDefault="00235D71" w14:paraId="585DE5CB" w14:textId="06EF7EDD">
      <w:pPr>
        <w:pStyle w:val="ListParagraph"/>
        <w:numPr>
          <w:ilvl w:val="0"/>
          <w:numId w:val="19"/>
        </w:numPr>
        <w:spacing w:after="0" w:line="240" w:lineRule="auto"/>
        <w:rPr>
          <w:rFonts w:asciiTheme="majorHAnsi" w:hAnsiTheme="majorHAnsi"/>
          <w:sz w:val="24"/>
        </w:rPr>
      </w:pPr>
      <w:r w:rsidRPr="00A40903">
        <w:rPr>
          <w:rFonts w:asciiTheme="majorHAnsi" w:hAnsiTheme="majorHAnsi"/>
          <w:sz w:val="24"/>
        </w:rPr>
        <w:t>Total Cost to Process Responses: $</w:t>
      </w:r>
      <w:r w:rsidRPr="00EE1C2F" w:rsidR="00A40903">
        <w:rPr>
          <w:rFonts w:asciiTheme="majorHAnsi" w:hAnsiTheme="majorHAnsi"/>
          <w:sz w:val="24"/>
        </w:rPr>
        <w:t>17,307</w:t>
      </w:r>
    </w:p>
    <w:p w:rsidRPr="00A40903" w:rsidR="00B55E9F" w:rsidP="00B55E9F" w:rsidRDefault="00B55E9F" w14:paraId="25458AF8" w14:textId="77777777">
      <w:pPr>
        <w:pStyle w:val="ListParagraph"/>
        <w:spacing w:after="0" w:line="240" w:lineRule="auto"/>
        <w:ind w:left="1440"/>
        <w:rPr>
          <w:rFonts w:asciiTheme="majorHAnsi" w:hAnsiTheme="majorHAnsi"/>
          <w:sz w:val="24"/>
        </w:rPr>
      </w:pPr>
    </w:p>
    <w:p w:rsidRPr="00A40903" w:rsidR="00235D71" w:rsidP="00235D71" w:rsidRDefault="00235D71" w14:paraId="77F106FC" w14:textId="77777777">
      <w:pPr>
        <w:pStyle w:val="ListParagraph"/>
        <w:numPr>
          <w:ilvl w:val="0"/>
          <w:numId w:val="18"/>
        </w:numPr>
        <w:spacing w:after="0" w:line="240" w:lineRule="auto"/>
        <w:rPr>
          <w:rFonts w:asciiTheme="majorHAnsi" w:hAnsiTheme="majorHAnsi"/>
          <w:sz w:val="24"/>
        </w:rPr>
      </w:pPr>
      <w:r w:rsidRPr="00A40903">
        <w:rPr>
          <w:rFonts w:asciiTheme="majorHAnsi" w:hAnsiTheme="majorHAnsi"/>
          <w:sz w:val="24"/>
        </w:rPr>
        <w:t>Overall Labor Burden to the Federal Government</w:t>
      </w:r>
    </w:p>
    <w:p w:rsidRPr="00A40903" w:rsidR="00235D71" w:rsidP="00235D71" w:rsidRDefault="00235D71" w14:paraId="74A5E8E8" w14:textId="54A7F890">
      <w:pPr>
        <w:pStyle w:val="ListParagraph"/>
        <w:numPr>
          <w:ilvl w:val="1"/>
          <w:numId w:val="18"/>
        </w:numPr>
        <w:spacing w:after="0" w:line="240" w:lineRule="auto"/>
        <w:rPr>
          <w:rFonts w:asciiTheme="majorHAnsi" w:hAnsiTheme="majorHAnsi"/>
          <w:sz w:val="24"/>
        </w:rPr>
      </w:pPr>
      <w:r w:rsidRPr="00A40903">
        <w:rPr>
          <w:rFonts w:asciiTheme="majorHAnsi" w:hAnsiTheme="majorHAnsi"/>
          <w:sz w:val="24"/>
        </w:rPr>
        <w:t xml:space="preserve">Total Number of Annual Responses: </w:t>
      </w:r>
      <w:r w:rsidRPr="00EE1C2F" w:rsidR="00A40903">
        <w:rPr>
          <w:rFonts w:asciiTheme="majorHAnsi" w:hAnsiTheme="majorHAnsi"/>
          <w:sz w:val="24"/>
        </w:rPr>
        <w:t>300</w:t>
      </w:r>
    </w:p>
    <w:p w:rsidR="00B55E9F" w:rsidP="00722FDB" w:rsidRDefault="00235D71" w14:paraId="1BE4F3C2" w14:textId="18F8A8C5">
      <w:pPr>
        <w:pStyle w:val="ListParagraph"/>
        <w:numPr>
          <w:ilvl w:val="1"/>
          <w:numId w:val="18"/>
        </w:numPr>
        <w:spacing w:after="0" w:line="240" w:lineRule="auto"/>
        <w:rPr>
          <w:rFonts w:asciiTheme="majorHAnsi" w:hAnsiTheme="majorHAnsi"/>
          <w:sz w:val="24"/>
        </w:rPr>
      </w:pPr>
      <w:r w:rsidRPr="00A40903">
        <w:rPr>
          <w:rFonts w:asciiTheme="majorHAnsi" w:hAnsiTheme="majorHAnsi"/>
          <w:sz w:val="24"/>
        </w:rPr>
        <w:t>Total Labor Burden</w:t>
      </w:r>
      <w:r w:rsidRPr="00BF26F1">
        <w:rPr>
          <w:rFonts w:asciiTheme="majorHAnsi" w:hAnsiTheme="majorHAnsi"/>
          <w:sz w:val="24"/>
        </w:rPr>
        <w:t>:</w:t>
      </w:r>
      <w:r w:rsidRPr="00A40903">
        <w:rPr>
          <w:rFonts w:asciiTheme="majorHAnsi" w:hAnsiTheme="majorHAnsi"/>
          <w:i/>
          <w:sz w:val="24"/>
        </w:rPr>
        <w:t xml:space="preserve"> </w:t>
      </w:r>
      <w:r w:rsidRPr="00EE1C2F">
        <w:rPr>
          <w:rFonts w:asciiTheme="majorHAnsi" w:hAnsiTheme="majorHAnsi"/>
          <w:sz w:val="24"/>
        </w:rPr>
        <w:t>$</w:t>
      </w:r>
      <w:r w:rsidRPr="00EE1C2F" w:rsidR="00A40903">
        <w:rPr>
          <w:rFonts w:asciiTheme="majorHAnsi" w:hAnsiTheme="majorHAnsi"/>
          <w:sz w:val="24"/>
        </w:rPr>
        <w:t>17,307</w:t>
      </w:r>
    </w:p>
    <w:p w:rsidR="00B55E9F" w:rsidP="00B55E9F" w:rsidRDefault="00B55E9F" w14:paraId="39682D79" w14:textId="77777777">
      <w:pPr>
        <w:spacing w:after="0" w:line="240" w:lineRule="auto"/>
        <w:rPr>
          <w:rFonts w:asciiTheme="majorHAnsi" w:hAnsiTheme="majorHAnsi"/>
          <w:sz w:val="24"/>
        </w:rPr>
      </w:pPr>
    </w:p>
    <w:p w:rsidRPr="00B55E9F" w:rsidR="00722FDB" w:rsidP="00B55E9F" w:rsidRDefault="00235D71" w14:paraId="6CA5462F"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1B826101" w14:textId="77777777">
      <w:pPr>
        <w:spacing w:after="0" w:line="240" w:lineRule="auto"/>
        <w:rPr>
          <w:rFonts w:asciiTheme="majorHAnsi" w:hAnsiTheme="majorHAnsi"/>
          <w:sz w:val="24"/>
        </w:rPr>
      </w:pPr>
    </w:p>
    <w:p w:rsidRPr="00235D71" w:rsidR="00235D71" w:rsidP="00235D71" w:rsidRDefault="00235D71" w14:paraId="73D0147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0AD0BE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F70CA">
        <w:rPr>
          <w:rFonts w:asciiTheme="majorHAnsi" w:hAnsiTheme="majorHAnsi"/>
          <w:sz w:val="24"/>
        </w:rPr>
        <w:t>0</w:t>
      </w:r>
    </w:p>
    <w:p w:rsidRPr="00235D71" w:rsidR="00235D71" w:rsidP="00235D71" w:rsidRDefault="00235D71" w14:paraId="59AEFA5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9F70CA">
        <w:rPr>
          <w:rFonts w:asciiTheme="majorHAnsi" w:hAnsiTheme="majorHAnsi"/>
          <w:sz w:val="24"/>
        </w:rPr>
        <w:t>0</w:t>
      </w:r>
    </w:p>
    <w:p w:rsidRPr="00235D71" w:rsidR="00235D71" w:rsidP="00235D71" w:rsidRDefault="00235D71" w14:paraId="28C65F0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9F70CA">
        <w:rPr>
          <w:rFonts w:asciiTheme="majorHAnsi" w:hAnsiTheme="majorHAnsi"/>
          <w:sz w:val="24"/>
        </w:rPr>
        <w:t>0</w:t>
      </w:r>
    </w:p>
    <w:p w:rsidRPr="00235D71" w:rsidR="00235D71" w:rsidP="00235D71" w:rsidRDefault="00235D71" w14:paraId="5D395D32" w14:textId="14504A9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A1FA3">
        <w:rPr>
          <w:rFonts w:asciiTheme="majorHAnsi" w:hAnsiTheme="majorHAnsi"/>
          <w:sz w:val="24"/>
        </w:rPr>
        <w:t>2,500,000 (Due Diligence Platform)</w:t>
      </w:r>
    </w:p>
    <w:p w:rsidRPr="00735D71" w:rsidR="00235D71" w:rsidP="00235D71" w:rsidRDefault="00235D71" w14:paraId="7CB94172" w14:textId="7D94C6CA">
      <w:pPr>
        <w:pStyle w:val="ListParagraph"/>
        <w:numPr>
          <w:ilvl w:val="1"/>
          <w:numId w:val="20"/>
        </w:numPr>
        <w:spacing w:after="0" w:line="240" w:lineRule="auto"/>
        <w:rPr>
          <w:rFonts w:asciiTheme="majorHAnsi" w:hAnsiTheme="majorHAnsi"/>
          <w:i/>
          <w:sz w:val="24"/>
        </w:rPr>
      </w:pPr>
      <w:r w:rsidRPr="00735D71">
        <w:rPr>
          <w:rFonts w:asciiTheme="majorHAnsi" w:hAnsiTheme="majorHAnsi"/>
          <w:sz w:val="24"/>
        </w:rPr>
        <w:t>Licensing Costs: $</w:t>
      </w:r>
      <w:r w:rsidRPr="00735D71" w:rsidR="00A62905">
        <w:rPr>
          <w:rFonts w:asciiTheme="majorHAnsi" w:hAnsiTheme="majorHAnsi"/>
          <w:sz w:val="24"/>
        </w:rPr>
        <w:t>0</w:t>
      </w:r>
    </w:p>
    <w:p w:rsidRPr="00735D71" w:rsidR="00235D71" w:rsidP="00235D71" w:rsidRDefault="00235D71" w14:paraId="6A109D09" w14:textId="4F9B3588">
      <w:pPr>
        <w:pStyle w:val="ListParagraph"/>
        <w:numPr>
          <w:ilvl w:val="1"/>
          <w:numId w:val="20"/>
        </w:numPr>
        <w:spacing w:after="0" w:line="240" w:lineRule="auto"/>
        <w:rPr>
          <w:rFonts w:asciiTheme="majorHAnsi" w:hAnsiTheme="majorHAnsi"/>
          <w:i/>
          <w:sz w:val="24"/>
        </w:rPr>
      </w:pPr>
      <w:r w:rsidRPr="00735D71">
        <w:rPr>
          <w:rFonts w:asciiTheme="majorHAnsi" w:hAnsiTheme="majorHAnsi"/>
          <w:sz w:val="24"/>
        </w:rPr>
        <w:t>Other: $</w:t>
      </w:r>
      <w:r w:rsidRPr="00735D71" w:rsidR="00A62905">
        <w:rPr>
          <w:rFonts w:asciiTheme="majorHAnsi" w:hAnsiTheme="majorHAnsi"/>
          <w:sz w:val="24"/>
        </w:rPr>
        <w:t>0</w:t>
      </w:r>
    </w:p>
    <w:p w:rsidRPr="00735D71" w:rsidR="00B55E9F" w:rsidP="00B55E9F" w:rsidRDefault="00B55E9F" w14:paraId="1A654E65" w14:textId="77777777">
      <w:pPr>
        <w:pStyle w:val="ListParagraph"/>
        <w:spacing w:after="0" w:line="240" w:lineRule="auto"/>
        <w:ind w:left="1440"/>
        <w:rPr>
          <w:rFonts w:asciiTheme="majorHAnsi" w:hAnsiTheme="majorHAnsi"/>
          <w:i/>
          <w:sz w:val="24"/>
        </w:rPr>
      </w:pPr>
    </w:p>
    <w:p w:rsidRPr="00735D71" w:rsidR="00235D71" w:rsidP="00B55E9F" w:rsidRDefault="00B55E9F" w14:paraId="3B7D304A" w14:textId="2839FA3B">
      <w:pPr>
        <w:pStyle w:val="ListParagraph"/>
        <w:numPr>
          <w:ilvl w:val="0"/>
          <w:numId w:val="20"/>
        </w:numPr>
        <w:spacing w:after="0" w:line="240" w:lineRule="auto"/>
        <w:rPr>
          <w:rFonts w:asciiTheme="majorHAnsi" w:hAnsiTheme="majorHAnsi"/>
          <w:i/>
          <w:sz w:val="24"/>
        </w:rPr>
      </w:pPr>
      <w:r w:rsidRPr="00735D71">
        <w:rPr>
          <w:rFonts w:asciiTheme="majorHAnsi" w:hAnsiTheme="majorHAnsi"/>
          <w:sz w:val="24"/>
        </w:rPr>
        <w:t>Total Operational and Maintenance Cost: $</w:t>
      </w:r>
      <w:r w:rsidR="00FA1FA3">
        <w:rPr>
          <w:rFonts w:asciiTheme="majorHAnsi" w:hAnsiTheme="majorHAnsi"/>
          <w:sz w:val="24"/>
        </w:rPr>
        <w:t>2,500,000</w:t>
      </w:r>
    </w:p>
    <w:p w:rsidRPr="00735D71" w:rsidR="00B55E9F" w:rsidP="00B55E9F" w:rsidRDefault="00B55E9F" w14:paraId="4CB2582E" w14:textId="77777777">
      <w:pPr>
        <w:spacing w:after="0" w:line="240" w:lineRule="auto"/>
        <w:rPr>
          <w:rFonts w:asciiTheme="majorHAnsi" w:hAnsiTheme="majorHAnsi"/>
          <w:i/>
          <w:sz w:val="24"/>
        </w:rPr>
      </w:pPr>
    </w:p>
    <w:p w:rsidRPr="00735D71" w:rsidR="00B55E9F" w:rsidP="00B55E9F" w:rsidRDefault="00B55E9F" w14:paraId="70EDB99F" w14:textId="77777777">
      <w:pPr>
        <w:spacing w:after="0" w:line="240" w:lineRule="auto"/>
        <w:rPr>
          <w:rFonts w:asciiTheme="majorHAnsi" w:hAnsiTheme="majorHAnsi"/>
          <w:sz w:val="24"/>
        </w:rPr>
      </w:pPr>
      <w:r w:rsidRPr="00735D71">
        <w:rPr>
          <w:rFonts w:asciiTheme="majorHAnsi" w:hAnsiTheme="majorHAnsi"/>
          <w:sz w:val="24"/>
        </w:rPr>
        <w:t>Part C: TOTAL COST TO THE FEDERAL GOVERNMENT</w:t>
      </w:r>
    </w:p>
    <w:p w:rsidRPr="00735D71" w:rsidR="00B55E9F" w:rsidP="00B55E9F" w:rsidRDefault="00B55E9F" w14:paraId="6AF6EB97" w14:textId="77777777">
      <w:pPr>
        <w:spacing w:after="0" w:line="240" w:lineRule="auto"/>
        <w:rPr>
          <w:rFonts w:asciiTheme="majorHAnsi" w:hAnsiTheme="majorHAnsi"/>
          <w:sz w:val="24"/>
        </w:rPr>
      </w:pPr>
    </w:p>
    <w:p w:rsidRPr="00735D71" w:rsidR="00486235" w:rsidP="00B55E9F" w:rsidRDefault="00B55E9F" w14:paraId="1DB8F02D" w14:textId="05A30B23">
      <w:pPr>
        <w:pStyle w:val="ListParagraph"/>
        <w:numPr>
          <w:ilvl w:val="0"/>
          <w:numId w:val="22"/>
        </w:numPr>
        <w:spacing w:after="0" w:line="240" w:lineRule="auto"/>
        <w:rPr>
          <w:rFonts w:asciiTheme="majorHAnsi" w:hAnsiTheme="majorHAnsi"/>
          <w:sz w:val="24"/>
        </w:rPr>
      </w:pPr>
      <w:r w:rsidRPr="00735D71">
        <w:rPr>
          <w:rFonts w:asciiTheme="majorHAnsi" w:hAnsiTheme="majorHAnsi"/>
          <w:sz w:val="24"/>
        </w:rPr>
        <w:t>Total Labor Cost to the Federal Government: $</w:t>
      </w:r>
      <w:r w:rsidRPr="00735D71" w:rsidR="00EE1C2F">
        <w:rPr>
          <w:rFonts w:asciiTheme="majorHAnsi" w:hAnsiTheme="majorHAnsi"/>
          <w:sz w:val="24"/>
        </w:rPr>
        <w:t>17,307</w:t>
      </w:r>
    </w:p>
    <w:p w:rsidRPr="00735D71" w:rsidR="00B55E9F" w:rsidP="00B55E9F" w:rsidRDefault="00B55E9F" w14:paraId="5AE2AC9D" w14:textId="77777777">
      <w:pPr>
        <w:pStyle w:val="ListParagraph"/>
        <w:spacing w:after="0" w:line="240" w:lineRule="auto"/>
        <w:rPr>
          <w:rFonts w:asciiTheme="majorHAnsi" w:hAnsiTheme="majorHAnsi"/>
          <w:sz w:val="24"/>
        </w:rPr>
      </w:pPr>
    </w:p>
    <w:p w:rsidRPr="00735D71" w:rsidR="00B55E9F" w:rsidP="00B55E9F" w:rsidRDefault="00B55E9F" w14:paraId="4504DAB4" w14:textId="10618FE1">
      <w:pPr>
        <w:pStyle w:val="ListParagraph"/>
        <w:numPr>
          <w:ilvl w:val="0"/>
          <w:numId w:val="22"/>
        </w:numPr>
        <w:spacing w:after="0" w:line="240" w:lineRule="auto"/>
        <w:rPr>
          <w:rFonts w:asciiTheme="majorHAnsi" w:hAnsiTheme="majorHAnsi"/>
          <w:sz w:val="24"/>
        </w:rPr>
      </w:pPr>
      <w:r w:rsidRPr="00735D71">
        <w:rPr>
          <w:rFonts w:asciiTheme="majorHAnsi" w:hAnsiTheme="majorHAnsi"/>
          <w:sz w:val="24"/>
        </w:rPr>
        <w:t>Total Operational and Maintenance Costs: $</w:t>
      </w:r>
      <w:r w:rsidRPr="00735D71" w:rsidR="00A62905">
        <w:rPr>
          <w:rFonts w:asciiTheme="majorHAnsi" w:hAnsiTheme="majorHAnsi"/>
          <w:sz w:val="24"/>
        </w:rPr>
        <w:t>0</w:t>
      </w:r>
    </w:p>
    <w:p w:rsidRPr="00735D71" w:rsidR="00B55E9F" w:rsidP="00B55E9F" w:rsidRDefault="00B55E9F" w14:paraId="6646F2CC" w14:textId="77777777">
      <w:pPr>
        <w:spacing w:after="0" w:line="240" w:lineRule="auto"/>
        <w:rPr>
          <w:rFonts w:asciiTheme="majorHAnsi" w:hAnsiTheme="majorHAnsi"/>
          <w:sz w:val="24"/>
        </w:rPr>
      </w:pPr>
    </w:p>
    <w:p w:rsidRPr="00735D71" w:rsidR="00B55E9F" w:rsidP="00B55E9F" w:rsidRDefault="00B55E9F" w14:paraId="4ADD59EB" w14:textId="775F317E">
      <w:pPr>
        <w:pStyle w:val="ListParagraph"/>
        <w:numPr>
          <w:ilvl w:val="0"/>
          <w:numId w:val="22"/>
        </w:numPr>
        <w:spacing w:after="0" w:line="240" w:lineRule="auto"/>
        <w:rPr>
          <w:rFonts w:asciiTheme="majorHAnsi" w:hAnsiTheme="majorHAnsi"/>
          <w:sz w:val="24"/>
        </w:rPr>
      </w:pPr>
      <w:r w:rsidRPr="00735D71">
        <w:rPr>
          <w:rFonts w:asciiTheme="majorHAnsi" w:hAnsiTheme="majorHAnsi"/>
          <w:sz w:val="24"/>
        </w:rPr>
        <w:t>Total</w:t>
      </w:r>
      <w:r w:rsidR="00FA1FA3">
        <w:rPr>
          <w:rFonts w:asciiTheme="majorHAnsi" w:hAnsiTheme="majorHAnsi"/>
          <w:sz w:val="24"/>
        </w:rPr>
        <w:t xml:space="preserve"> Cost to the Federal Government</w:t>
      </w:r>
      <w:r w:rsidRPr="00735D71">
        <w:rPr>
          <w:rFonts w:asciiTheme="majorHAnsi" w:hAnsiTheme="majorHAnsi"/>
          <w:sz w:val="24"/>
        </w:rPr>
        <w:t>: $</w:t>
      </w:r>
      <w:r w:rsidR="00FA1FA3">
        <w:rPr>
          <w:rFonts w:asciiTheme="majorHAnsi" w:hAnsiTheme="majorHAnsi"/>
          <w:sz w:val="24"/>
        </w:rPr>
        <w:t>2,517,307</w:t>
      </w:r>
    </w:p>
    <w:p w:rsidR="00486235" w:rsidP="00486235" w:rsidRDefault="00486235" w14:paraId="28CF7619" w14:textId="77777777">
      <w:pPr>
        <w:spacing w:after="0" w:line="240" w:lineRule="auto"/>
        <w:rPr>
          <w:rFonts w:asciiTheme="majorHAnsi" w:hAnsiTheme="majorHAnsi"/>
          <w:sz w:val="24"/>
        </w:rPr>
      </w:pPr>
    </w:p>
    <w:p w:rsidR="00FC7BB5" w:rsidP="00FC7BB5" w:rsidRDefault="00DA2B37" w14:paraId="39F25BDF" w14:textId="7777777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1F65BD" w:rsidP="00CC0B83" w:rsidRDefault="001F65BD" w14:paraId="4DF248B0" w14:textId="77777777">
      <w:pPr>
        <w:spacing w:after="0" w:line="240" w:lineRule="auto"/>
        <w:rPr>
          <w:rFonts w:asciiTheme="majorHAnsi" w:hAnsiTheme="majorHAnsi"/>
          <w:sz w:val="24"/>
        </w:rPr>
      </w:pPr>
      <w:r w:rsidRPr="00CC0B83">
        <w:rPr>
          <w:rFonts w:asciiTheme="majorHAnsi" w:hAnsiTheme="majorHAnsi"/>
          <w:sz w:val="24"/>
        </w:rPr>
        <w:t>There has been no change in burden since the last approval.</w:t>
      </w:r>
      <w:r>
        <w:rPr>
          <w:rFonts w:asciiTheme="majorHAnsi" w:hAnsiTheme="majorHAnsi"/>
          <w:sz w:val="24"/>
        </w:rPr>
        <w:t xml:space="preserve"> </w:t>
      </w:r>
    </w:p>
    <w:p w:rsidR="00DA2B37" w:rsidP="00CC0B83" w:rsidRDefault="00DA2B37" w14:paraId="2BC8D5A5" w14:textId="77777777">
      <w:pPr>
        <w:spacing w:after="0" w:line="240" w:lineRule="auto"/>
        <w:ind w:firstLine="720"/>
        <w:rPr>
          <w:rFonts w:asciiTheme="majorHAnsi" w:hAnsiTheme="majorHAnsi"/>
          <w:sz w:val="24"/>
        </w:rPr>
      </w:pPr>
    </w:p>
    <w:p w:rsidRPr="005C3A95" w:rsidR="00FC7BB5" w:rsidP="00FC7BB5" w:rsidRDefault="005C3A95" w14:paraId="52B8D503"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17D0A52A" w14:textId="77777777">
      <w:pPr>
        <w:spacing w:after="0" w:line="240" w:lineRule="auto"/>
        <w:rPr>
          <w:rFonts w:asciiTheme="majorHAnsi" w:hAnsiTheme="majorHAnsi"/>
          <w:sz w:val="24"/>
        </w:rPr>
      </w:pPr>
      <w:r w:rsidRPr="00FC7BB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3A5D0444" w14:textId="77777777">
      <w:pPr>
        <w:spacing w:after="0" w:line="240" w:lineRule="auto"/>
        <w:rPr>
          <w:rFonts w:asciiTheme="majorHAnsi" w:hAnsiTheme="majorHAnsi"/>
          <w:sz w:val="24"/>
        </w:rPr>
      </w:pPr>
    </w:p>
    <w:p w:rsidRPr="00C62D17" w:rsidR="00FC7BB5" w:rsidP="00FC7BB5" w:rsidRDefault="005C3A95" w14:paraId="1D796D89"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566BE986" w14:textId="77777777">
      <w:pPr>
        <w:spacing w:after="0" w:line="240" w:lineRule="auto"/>
        <w:rPr>
          <w:rFonts w:asciiTheme="majorHAnsi" w:hAnsiTheme="majorHAnsi"/>
          <w:sz w:val="24"/>
        </w:rPr>
      </w:pPr>
      <w:r w:rsidRPr="00FC7BB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04EAA1D5" w14:textId="77777777">
      <w:pPr>
        <w:spacing w:after="0" w:line="240" w:lineRule="auto"/>
        <w:rPr>
          <w:rFonts w:asciiTheme="majorHAnsi" w:hAnsiTheme="majorHAnsi"/>
          <w:sz w:val="24"/>
        </w:rPr>
      </w:pPr>
    </w:p>
    <w:p w:rsidRPr="0085688C" w:rsidR="00C62D17" w:rsidP="00486235" w:rsidRDefault="00C62D17" w14:paraId="384F2E4A"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14:paraId="50AF926A" w14:textId="77777777">
      <w:pPr>
        <w:spacing w:after="0" w:line="240" w:lineRule="auto"/>
        <w:rPr>
          <w:rFonts w:asciiTheme="majorHAnsi" w:hAnsiTheme="majorHAnsi"/>
          <w:i/>
          <w:sz w:val="24"/>
        </w:rPr>
      </w:pPr>
      <w:r w:rsidRPr="00FC7BB5">
        <w:rPr>
          <w:rFonts w:asciiTheme="majorHAnsi" w:hAnsiTheme="majorHAnsi"/>
          <w:sz w:val="24"/>
        </w:rPr>
        <w:t>We are not requesting an</w:t>
      </w:r>
      <w:r w:rsidRPr="00FC7BB5" w:rsidR="00420AE9">
        <w:rPr>
          <w:rFonts w:asciiTheme="majorHAnsi" w:hAnsiTheme="majorHAnsi"/>
          <w:sz w:val="24"/>
        </w:rPr>
        <w:t>y</w:t>
      </w:r>
      <w:r w:rsidRPr="00FC7BB5">
        <w:rPr>
          <w:rFonts w:asciiTheme="majorHAnsi" w:hAnsiTheme="majorHAnsi"/>
          <w:sz w:val="24"/>
        </w:rPr>
        <w:t xml:space="preserve"> exemption</w:t>
      </w:r>
      <w:r w:rsidRPr="00FC7BB5" w:rsidR="00420AE9">
        <w:rPr>
          <w:rFonts w:asciiTheme="majorHAnsi" w:hAnsiTheme="majorHAnsi"/>
          <w:sz w:val="24"/>
        </w:rPr>
        <w:t>s</w:t>
      </w:r>
      <w:r w:rsidRPr="00FC7BB5">
        <w:rPr>
          <w:rFonts w:asciiTheme="majorHAnsi" w:hAnsiTheme="majorHAnsi"/>
          <w:sz w:val="24"/>
        </w:rPr>
        <w:t xml:space="preserve"> to the provisions </w:t>
      </w:r>
      <w:r w:rsidRPr="00FC7BB5"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B94CA" w14:textId="77777777" w:rsidR="00CC052C" w:rsidRDefault="00CC052C" w:rsidP="00FB569C">
      <w:pPr>
        <w:spacing w:after="0" w:line="240" w:lineRule="auto"/>
      </w:pPr>
      <w:r>
        <w:separator/>
      </w:r>
    </w:p>
  </w:endnote>
  <w:endnote w:type="continuationSeparator" w:id="0">
    <w:p w14:paraId="0A241AF1" w14:textId="77777777" w:rsidR="00CC052C" w:rsidRDefault="00CC052C"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41DB6" w14:textId="77777777" w:rsidR="00CC052C" w:rsidRDefault="00CC052C" w:rsidP="00FB569C">
      <w:pPr>
        <w:spacing w:after="0" w:line="240" w:lineRule="auto"/>
      </w:pPr>
      <w:r>
        <w:separator/>
      </w:r>
    </w:p>
  </w:footnote>
  <w:footnote w:type="continuationSeparator" w:id="0">
    <w:p w14:paraId="4E288C7B" w14:textId="77777777" w:rsidR="00CC052C" w:rsidRDefault="00CC052C" w:rsidP="00FB569C">
      <w:pPr>
        <w:spacing w:after="0" w:line="240" w:lineRule="auto"/>
      </w:pPr>
      <w:r>
        <w:continuationSeparator/>
      </w:r>
    </w:p>
  </w:footnote>
  <w:footnote w:id="1">
    <w:p w14:paraId="0717AEAA" w14:textId="2DED182F" w:rsidR="00BD746F" w:rsidRPr="00182A1E" w:rsidRDefault="00BD746F">
      <w:pPr>
        <w:pStyle w:val="FootnoteText"/>
        <w:rPr>
          <w:rFonts w:ascii="Times New Roman" w:hAnsi="Times New Roman" w:cs="Times New Roman"/>
        </w:rPr>
      </w:pPr>
      <w:r w:rsidRPr="00182A1E">
        <w:rPr>
          <w:rStyle w:val="FootnoteReference"/>
          <w:rFonts w:ascii="Times New Roman" w:hAnsi="Times New Roman" w:cs="Times New Roman"/>
        </w:rPr>
        <w:footnoteRef/>
      </w:r>
      <w:r w:rsidRPr="00182A1E">
        <w:rPr>
          <w:rFonts w:ascii="Times New Roman" w:hAnsi="Times New Roman" w:cs="Times New Roman"/>
        </w:rPr>
        <w:t xml:space="preserve"> DoD Directive 5135.02</w:t>
      </w:r>
    </w:p>
  </w:footnote>
  <w:footnote w:id="2">
    <w:p w14:paraId="792C907E" w14:textId="72319C8C" w:rsidR="00BD746F" w:rsidRPr="00182A1E" w:rsidRDefault="00BD746F">
      <w:pPr>
        <w:pStyle w:val="FootnoteText"/>
        <w:rPr>
          <w:rFonts w:ascii="Times New Roman" w:hAnsi="Times New Roman" w:cs="Times New Roman"/>
        </w:rPr>
      </w:pPr>
      <w:r w:rsidRPr="00182A1E">
        <w:rPr>
          <w:rStyle w:val="FootnoteReference"/>
          <w:rFonts w:ascii="Times New Roman" w:hAnsi="Times New Roman" w:cs="Times New Roman"/>
        </w:rPr>
        <w:footnoteRef/>
      </w:r>
      <w:r w:rsidRPr="00182A1E">
        <w:rPr>
          <w:rFonts w:ascii="Times New Roman" w:hAnsi="Times New Roman" w:cs="Times New Roman"/>
        </w:rPr>
        <w:t xml:space="preserve"> Id.</w:t>
      </w:r>
    </w:p>
  </w:footnote>
  <w:footnote w:id="3">
    <w:p w14:paraId="00073AD5" w14:textId="77777777" w:rsidR="006A6D88" w:rsidRPr="00182A1E" w:rsidRDefault="006A6D88" w:rsidP="006A6D88">
      <w:pPr>
        <w:pStyle w:val="FootnoteText1"/>
        <w:rPr>
          <w:rFonts w:ascii="Times New Roman" w:hAnsi="Times New Roman" w:cs="Times New Roman"/>
        </w:rPr>
      </w:pPr>
      <w:r w:rsidRPr="00182A1E">
        <w:rPr>
          <w:rStyle w:val="FootnoteReference"/>
          <w:rFonts w:ascii="Times New Roman" w:hAnsi="Times New Roman" w:cs="Times New Roman"/>
        </w:rPr>
        <w:footnoteRef/>
      </w:r>
      <w:r w:rsidRPr="00182A1E">
        <w:rPr>
          <w:rFonts w:ascii="Times New Roman" w:hAnsi="Times New Roman" w:cs="Times New Roman"/>
        </w:rPr>
        <w:t xml:space="preserve"> 10 U.S. Code § 2501(a)(5)</w:t>
      </w:r>
    </w:p>
  </w:footnote>
  <w:footnote w:id="4">
    <w:p w14:paraId="3068BAAC" w14:textId="77777777" w:rsidR="006A6D88" w:rsidRPr="00182A1E" w:rsidRDefault="006A6D88" w:rsidP="006A6D88">
      <w:pPr>
        <w:pStyle w:val="FootnoteText1"/>
        <w:rPr>
          <w:rFonts w:ascii="Times New Roman" w:hAnsi="Times New Roman" w:cs="Times New Roman"/>
        </w:rPr>
      </w:pPr>
      <w:r w:rsidRPr="00182A1E">
        <w:rPr>
          <w:rStyle w:val="FootnoteReference"/>
          <w:rFonts w:ascii="Times New Roman" w:hAnsi="Times New Roman" w:cs="Times New Roman"/>
        </w:rPr>
        <w:footnoteRef/>
      </w:r>
      <w:r w:rsidRPr="00182A1E">
        <w:rPr>
          <w:rFonts w:ascii="Times New Roman" w:hAnsi="Times New Roman" w:cs="Times New Roman"/>
        </w:rPr>
        <w:t xml:space="preserve"> 10 U.S. Code § 2501(a)(6) and 10 U.S. Code § 2501(a)(7)</w:t>
      </w:r>
    </w:p>
  </w:footnote>
  <w:footnote w:id="5">
    <w:p w14:paraId="636179DF" w14:textId="4D7D2FE2" w:rsidR="00BD746F" w:rsidRDefault="00BD746F">
      <w:pPr>
        <w:pStyle w:val="FootnoteText"/>
      </w:pPr>
      <w:r w:rsidRPr="00182A1E">
        <w:rPr>
          <w:rStyle w:val="FootnoteReference"/>
          <w:rFonts w:ascii="Times New Roman" w:hAnsi="Times New Roman" w:cs="Times New Roman"/>
        </w:rPr>
        <w:footnoteRef/>
      </w:r>
      <w:r w:rsidRPr="00182A1E">
        <w:rPr>
          <w:rFonts w:ascii="Times New Roman" w:hAnsi="Times New Roman" w:cs="Times New Roman"/>
        </w:rPr>
        <w:t xml:space="preserve"> 10 U.S. Code § 2501(b)(1)</w:t>
      </w:r>
    </w:p>
  </w:footnote>
  <w:footnote w:id="6">
    <w:p w14:paraId="1E8702CF" w14:textId="77777777" w:rsidR="006A6D88" w:rsidRPr="00A933AB" w:rsidRDefault="006A6D88" w:rsidP="006A6D88">
      <w:pPr>
        <w:pStyle w:val="FootnoteText"/>
        <w:rPr>
          <w:rFonts w:ascii="Times New Roman" w:hAnsi="Times New Roman" w:cs="Times New Roman"/>
        </w:rPr>
      </w:pPr>
      <w:r w:rsidRPr="00A933AB">
        <w:rPr>
          <w:rStyle w:val="FootnoteReference"/>
          <w:rFonts w:ascii="Times New Roman" w:hAnsi="Times New Roman" w:cs="Times New Roman"/>
        </w:rPr>
        <w:footnoteRef/>
      </w:r>
      <w:r w:rsidRPr="00A933AB">
        <w:rPr>
          <w:rFonts w:ascii="Times New Roman" w:hAnsi="Times New Roman" w:cs="Times New Roman"/>
        </w:rPr>
        <w:t xml:space="preserve"> 10 U.S. Code § 2509(a) and 10 U.S. Code § 2509(b)1</w:t>
      </w:r>
    </w:p>
  </w:footnote>
  <w:footnote w:id="7">
    <w:p w14:paraId="3C838E66" w14:textId="77777777" w:rsidR="006A6D88" w:rsidRPr="00A933AB" w:rsidRDefault="006A6D88" w:rsidP="006A6D88">
      <w:pPr>
        <w:pStyle w:val="FootnoteText"/>
        <w:rPr>
          <w:rFonts w:ascii="Times New Roman" w:hAnsi="Times New Roman" w:cs="Times New Roman"/>
        </w:rPr>
      </w:pPr>
      <w:r w:rsidRPr="00A933AB">
        <w:rPr>
          <w:rStyle w:val="FootnoteReference"/>
          <w:rFonts w:ascii="Times New Roman" w:hAnsi="Times New Roman" w:cs="Times New Roman"/>
        </w:rPr>
        <w:footnoteRef/>
      </w:r>
      <w:r w:rsidRPr="00A933AB">
        <w:rPr>
          <w:rFonts w:ascii="Times New Roman" w:hAnsi="Times New Roman" w:cs="Times New Roman"/>
        </w:rPr>
        <w:t xml:space="preserve"> 10 U.S. Code § 2509 (b)(2)(B)</w:t>
      </w:r>
    </w:p>
  </w:footnote>
  <w:footnote w:id="8">
    <w:p w14:paraId="2A2F6310" w14:textId="4B0F3977" w:rsidR="003C7090" w:rsidRPr="002C77C3" w:rsidRDefault="003C709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31BC"/>
    <w:multiLevelType w:val="hybridMultilevel"/>
    <w:tmpl w:val="4688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247F1"/>
    <w:multiLevelType w:val="hybridMultilevel"/>
    <w:tmpl w:val="2CC247F1"/>
    <w:lvl w:ilvl="0" w:tplc="189210CE">
      <w:start w:val="1"/>
      <w:numFmt w:val="bullet"/>
      <w:lvlText w:val="l"/>
      <w:lvlJc w:val="left"/>
      <w:pPr>
        <w:tabs>
          <w:tab w:val="num" w:pos="360"/>
        </w:tabs>
        <w:ind w:left="360" w:hanging="360"/>
      </w:pPr>
      <w:rPr>
        <w:rFonts w:ascii="Wingdings" w:eastAsia="Wingdings" w:hAnsi="Wingdings" w:cs="Wingdings"/>
        <w:color w:val="000000"/>
        <w:sz w:val="16"/>
      </w:rPr>
    </w:lvl>
    <w:lvl w:ilvl="1" w:tplc="28C47168">
      <w:start w:val="1"/>
      <w:numFmt w:val="bullet"/>
      <w:lvlText w:val="¡"/>
      <w:lvlJc w:val="left"/>
      <w:pPr>
        <w:tabs>
          <w:tab w:val="num" w:pos="720"/>
        </w:tabs>
        <w:ind w:left="720" w:hanging="360"/>
      </w:pPr>
      <w:rPr>
        <w:rFonts w:ascii="Wingdings" w:eastAsia="Wingdings" w:hAnsi="Wingdings" w:cs="Wingdings"/>
        <w:color w:val="000000"/>
        <w:sz w:val="16"/>
      </w:rPr>
    </w:lvl>
    <w:lvl w:ilvl="2" w:tplc="3920F88E">
      <w:start w:val="1"/>
      <w:numFmt w:val="bullet"/>
      <w:lvlText w:val="¡"/>
      <w:lvlJc w:val="left"/>
      <w:pPr>
        <w:tabs>
          <w:tab w:val="num" w:pos="1080"/>
        </w:tabs>
        <w:ind w:left="1080" w:hanging="360"/>
      </w:pPr>
      <w:rPr>
        <w:rFonts w:ascii="Wingdings" w:eastAsia="Wingdings" w:hAnsi="Wingdings" w:cs="Wingdings"/>
        <w:color w:val="000000"/>
        <w:sz w:val="16"/>
      </w:rPr>
    </w:lvl>
    <w:lvl w:ilvl="3" w:tplc="2CDE9B38">
      <w:start w:val="1"/>
      <w:numFmt w:val="bullet"/>
      <w:lvlText w:val="¡"/>
      <w:lvlJc w:val="left"/>
      <w:pPr>
        <w:tabs>
          <w:tab w:val="num" w:pos="1440"/>
        </w:tabs>
        <w:ind w:left="1440" w:hanging="360"/>
      </w:pPr>
      <w:rPr>
        <w:rFonts w:ascii="Wingdings" w:eastAsia="Wingdings" w:hAnsi="Wingdings" w:cs="Wingdings"/>
        <w:color w:val="000000"/>
        <w:sz w:val="16"/>
      </w:rPr>
    </w:lvl>
    <w:lvl w:ilvl="4" w:tplc="442CB216">
      <w:start w:val="1"/>
      <w:numFmt w:val="bullet"/>
      <w:lvlText w:val="o"/>
      <w:lvlJc w:val="left"/>
      <w:pPr>
        <w:tabs>
          <w:tab w:val="num" w:pos="3600"/>
        </w:tabs>
        <w:ind w:left="3600" w:hanging="360"/>
      </w:pPr>
      <w:rPr>
        <w:rFonts w:ascii="Courier New" w:hAnsi="Courier New"/>
      </w:rPr>
    </w:lvl>
    <w:lvl w:ilvl="5" w:tplc="86305484">
      <w:start w:val="1"/>
      <w:numFmt w:val="bullet"/>
      <w:lvlText w:val=""/>
      <w:lvlJc w:val="left"/>
      <w:pPr>
        <w:tabs>
          <w:tab w:val="num" w:pos="4320"/>
        </w:tabs>
        <w:ind w:left="4320" w:hanging="360"/>
      </w:pPr>
      <w:rPr>
        <w:rFonts w:ascii="Wingdings" w:hAnsi="Wingdings"/>
      </w:rPr>
    </w:lvl>
    <w:lvl w:ilvl="6" w:tplc="A036C8B6">
      <w:start w:val="1"/>
      <w:numFmt w:val="bullet"/>
      <w:lvlText w:val=""/>
      <w:lvlJc w:val="left"/>
      <w:pPr>
        <w:tabs>
          <w:tab w:val="num" w:pos="5040"/>
        </w:tabs>
        <w:ind w:left="5040" w:hanging="360"/>
      </w:pPr>
      <w:rPr>
        <w:rFonts w:ascii="Symbol" w:hAnsi="Symbol"/>
      </w:rPr>
    </w:lvl>
    <w:lvl w:ilvl="7" w:tplc="8BB4F108">
      <w:start w:val="1"/>
      <w:numFmt w:val="bullet"/>
      <w:lvlText w:val="o"/>
      <w:lvlJc w:val="left"/>
      <w:pPr>
        <w:tabs>
          <w:tab w:val="num" w:pos="5760"/>
        </w:tabs>
        <w:ind w:left="5760" w:hanging="360"/>
      </w:pPr>
      <w:rPr>
        <w:rFonts w:ascii="Courier New" w:hAnsi="Courier New"/>
      </w:rPr>
    </w:lvl>
    <w:lvl w:ilvl="8" w:tplc="65C81CD8">
      <w:start w:val="1"/>
      <w:numFmt w:val="bullet"/>
      <w:lvlText w:val=""/>
      <w:lvlJc w:val="left"/>
      <w:pPr>
        <w:tabs>
          <w:tab w:val="num" w:pos="6480"/>
        </w:tabs>
        <w:ind w:left="6480" w:hanging="360"/>
      </w:pPr>
      <w:rPr>
        <w:rFonts w:ascii="Wingdings" w:hAnsi="Wingdings"/>
      </w:r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41B9C"/>
    <w:multiLevelType w:val="hybridMultilevel"/>
    <w:tmpl w:val="DAA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4"/>
  </w:num>
  <w:num w:numId="11">
    <w:abstractNumId w:val="17"/>
  </w:num>
  <w:num w:numId="12">
    <w:abstractNumId w:val="19"/>
  </w:num>
  <w:num w:numId="13">
    <w:abstractNumId w:val="25"/>
  </w:num>
  <w:num w:numId="14">
    <w:abstractNumId w:val="26"/>
  </w:num>
  <w:num w:numId="15">
    <w:abstractNumId w:val="11"/>
  </w:num>
  <w:num w:numId="16">
    <w:abstractNumId w:val="10"/>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5"/>
  </w:num>
  <w:num w:numId="24">
    <w:abstractNumId w:val="23"/>
  </w:num>
  <w:num w:numId="25">
    <w:abstractNumId w:val="24"/>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86E"/>
    <w:rsid w:val="000B0E70"/>
    <w:rsid w:val="000B5695"/>
    <w:rsid w:val="000F59AF"/>
    <w:rsid w:val="00105F45"/>
    <w:rsid w:val="00127B46"/>
    <w:rsid w:val="00162DB6"/>
    <w:rsid w:val="00182A1E"/>
    <w:rsid w:val="0019309D"/>
    <w:rsid w:val="001F526C"/>
    <w:rsid w:val="001F65BD"/>
    <w:rsid w:val="00200261"/>
    <w:rsid w:val="00203BC2"/>
    <w:rsid w:val="00211832"/>
    <w:rsid w:val="00222D1B"/>
    <w:rsid w:val="00235D71"/>
    <w:rsid w:val="0024335E"/>
    <w:rsid w:val="00254DCF"/>
    <w:rsid w:val="002567F9"/>
    <w:rsid w:val="0027743E"/>
    <w:rsid w:val="00294E92"/>
    <w:rsid w:val="002C77C3"/>
    <w:rsid w:val="002D7713"/>
    <w:rsid w:val="002F415D"/>
    <w:rsid w:val="002F7B39"/>
    <w:rsid w:val="003132E7"/>
    <w:rsid w:val="00320011"/>
    <w:rsid w:val="00331D7E"/>
    <w:rsid w:val="00337EF1"/>
    <w:rsid w:val="00340D9B"/>
    <w:rsid w:val="00394A8A"/>
    <w:rsid w:val="003C0540"/>
    <w:rsid w:val="003C7090"/>
    <w:rsid w:val="003F17D1"/>
    <w:rsid w:val="003F4655"/>
    <w:rsid w:val="00420AE9"/>
    <w:rsid w:val="00442494"/>
    <w:rsid w:val="00465663"/>
    <w:rsid w:val="00480AFF"/>
    <w:rsid w:val="00486235"/>
    <w:rsid w:val="00490797"/>
    <w:rsid w:val="004B68C9"/>
    <w:rsid w:val="004C74D6"/>
    <w:rsid w:val="004F4F5D"/>
    <w:rsid w:val="00502FF3"/>
    <w:rsid w:val="00510F0C"/>
    <w:rsid w:val="00513C2D"/>
    <w:rsid w:val="00514B22"/>
    <w:rsid w:val="00520B36"/>
    <w:rsid w:val="00571698"/>
    <w:rsid w:val="00576EDB"/>
    <w:rsid w:val="005916AA"/>
    <w:rsid w:val="00594B6B"/>
    <w:rsid w:val="00596BBA"/>
    <w:rsid w:val="005A0872"/>
    <w:rsid w:val="005C3A95"/>
    <w:rsid w:val="005C7428"/>
    <w:rsid w:val="005D5C81"/>
    <w:rsid w:val="00627307"/>
    <w:rsid w:val="00642741"/>
    <w:rsid w:val="0065530D"/>
    <w:rsid w:val="006641CC"/>
    <w:rsid w:val="00690D3E"/>
    <w:rsid w:val="006A13FA"/>
    <w:rsid w:val="006A6D88"/>
    <w:rsid w:val="006E563D"/>
    <w:rsid w:val="006F2DF8"/>
    <w:rsid w:val="00722FDB"/>
    <w:rsid w:val="00735D71"/>
    <w:rsid w:val="00750466"/>
    <w:rsid w:val="00761B19"/>
    <w:rsid w:val="0077261C"/>
    <w:rsid w:val="007C785D"/>
    <w:rsid w:val="007F454F"/>
    <w:rsid w:val="007F5A79"/>
    <w:rsid w:val="00851919"/>
    <w:rsid w:val="0085688C"/>
    <w:rsid w:val="008635C4"/>
    <w:rsid w:val="008A06EF"/>
    <w:rsid w:val="008D1294"/>
    <w:rsid w:val="008E3029"/>
    <w:rsid w:val="00901D9E"/>
    <w:rsid w:val="00931C4A"/>
    <w:rsid w:val="0097496F"/>
    <w:rsid w:val="0098628F"/>
    <w:rsid w:val="009937D8"/>
    <w:rsid w:val="00994F2B"/>
    <w:rsid w:val="00996894"/>
    <w:rsid w:val="009A2A08"/>
    <w:rsid w:val="009A6246"/>
    <w:rsid w:val="009F2544"/>
    <w:rsid w:val="009F70CA"/>
    <w:rsid w:val="00A1492C"/>
    <w:rsid w:val="00A40903"/>
    <w:rsid w:val="00A50A0F"/>
    <w:rsid w:val="00A5743E"/>
    <w:rsid w:val="00A62905"/>
    <w:rsid w:val="00A76F7E"/>
    <w:rsid w:val="00A77157"/>
    <w:rsid w:val="00AD2841"/>
    <w:rsid w:val="00AE6529"/>
    <w:rsid w:val="00AF30F4"/>
    <w:rsid w:val="00B52F4E"/>
    <w:rsid w:val="00B5395D"/>
    <w:rsid w:val="00B556A2"/>
    <w:rsid w:val="00B55E9F"/>
    <w:rsid w:val="00B74454"/>
    <w:rsid w:val="00B92295"/>
    <w:rsid w:val="00B933B0"/>
    <w:rsid w:val="00BB4590"/>
    <w:rsid w:val="00BD746F"/>
    <w:rsid w:val="00BD7755"/>
    <w:rsid w:val="00BE7738"/>
    <w:rsid w:val="00BF26F1"/>
    <w:rsid w:val="00C114F4"/>
    <w:rsid w:val="00C23997"/>
    <w:rsid w:val="00C33684"/>
    <w:rsid w:val="00C42CEC"/>
    <w:rsid w:val="00C62D17"/>
    <w:rsid w:val="00C808F4"/>
    <w:rsid w:val="00C95E15"/>
    <w:rsid w:val="00C97854"/>
    <w:rsid w:val="00CA15B1"/>
    <w:rsid w:val="00CC052C"/>
    <w:rsid w:val="00CC0B83"/>
    <w:rsid w:val="00CC24D5"/>
    <w:rsid w:val="00CC2835"/>
    <w:rsid w:val="00CD3C01"/>
    <w:rsid w:val="00CF0AD2"/>
    <w:rsid w:val="00D21AA6"/>
    <w:rsid w:val="00D25D16"/>
    <w:rsid w:val="00D43C9D"/>
    <w:rsid w:val="00D462F7"/>
    <w:rsid w:val="00D50245"/>
    <w:rsid w:val="00D61659"/>
    <w:rsid w:val="00D64803"/>
    <w:rsid w:val="00D734A2"/>
    <w:rsid w:val="00D745CD"/>
    <w:rsid w:val="00D97DA6"/>
    <w:rsid w:val="00DA2B37"/>
    <w:rsid w:val="00E14976"/>
    <w:rsid w:val="00E5409A"/>
    <w:rsid w:val="00E8379E"/>
    <w:rsid w:val="00E95FFB"/>
    <w:rsid w:val="00EA6C04"/>
    <w:rsid w:val="00EB7FF2"/>
    <w:rsid w:val="00ED3F4A"/>
    <w:rsid w:val="00ED5A59"/>
    <w:rsid w:val="00EE1C2F"/>
    <w:rsid w:val="00F25499"/>
    <w:rsid w:val="00F55A89"/>
    <w:rsid w:val="00F846BC"/>
    <w:rsid w:val="00F86C35"/>
    <w:rsid w:val="00F97482"/>
    <w:rsid w:val="00FA1FA3"/>
    <w:rsid w:val="00FB569C"/>
    <w:rsid w:val="00FC5A66"/>
    <w:rsid w:val="00FC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9D8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454"/>
    <w:rPr>
      <w:sz w:val="16"/>
      <w:szCs w:val="16"/>
    </w:rPr>
  </w:style>
  <w:style w:type="paragraph" w:styleId="CommentText">
    <w:name w:val="annotation text"/>
    <w:basedOn w:val="Normal"/>
    <w:link w:val="CommentTextChar"/>
    <w:uiPriority w:val="99"/>
    <w:semiHidden/>
    <w:unhideWhenUsed/>
    <w:rsid w:val="00B74454"/>
    <w:pPr>
      <w:spacing w:line="240" w:lineRule="auto"/>
    </w:pPr>
    <w:rPr>
      <w:sz w:val="20"/>
      <w:szCs w:val="20"/>
    </w:rPr>
  </w:style>
  <w:style w:type="character" w:customStyle="1" w:styleId="CommentTextChar">
    <w:name w:val="Comment Text Char"/>
    <w:basedOn w:val="DefaultParagraphFont"/>
    <w:link w:val="CommentText"/>
    <w:uiPriority w:val="99"/>
    <w:semiHidden/>
    <w:rsid w:val="00B74454"/>
    <w:rPr>
      <w:sz w:val="20"/>
      <w:szCs w:val="20"/>
    </w:rPr>
  </w:style>
  <w:style w:type="paragraph" w:styleId="CommentSubject">
    <w:name w:val="annotation subject"/>
    <w:basedOn w:val="CommentText"/>
    <w:next w:val="CommentText"/>
    <w:link w:val="CommentSubjectChar"/>
    <w:uiPriority w:val="99"/>
    <w:semiHidden/>
    <w:unhideWhenUsed/>
    <w:rsid w:val="00B74454"/>
    <w:rPr>
      <w:b/>
      <w:bCs/>
    </w:rPr>
  </w:style>
  <w:style w:type="character" w:customStyle="1" w:styleId="CommentSubjectChar">
    <w:name w:val="Comment Subject Char"/>
    <w:basedOn w:val="CommentTextChar"/>
    <w:link w:val="CommentSubject"/>
    <w:uiPriority w:val="99"/>
    <w:semiHidden/>
    <w:rsid w:val="00B74454"/>
    <w:rPr>
      <w:b/>
      <w:bCs/>
      <w:sz w:val="20"/>
      <w:szCs w:val="20"/>
    </w:rPr>
  </w:style>
  <w:style w:type="paragraph" w:styleId="Revision">
    <w:name w:val="Revision"/>
    <w:hidden/>
    <w:uiPriority w:val="99"/>
    <w:semiHidden/>
    <w:rsid w:val="00BE7738"/>
    <w:pPr>
      <w:spacing w:after="0" w:line="240" w:lineRule="auto"/>
    </w:pPr>
  </w:style>
  <w:style w:type="paragraph" w:customStyle="1" w:styleId="FootnoteText1">
    <w:name w:val="Footnote Text1"/>
    <w:basedOn w:val="Normal"/>
    <w:next w:val="FootnoteText"/>
    <w:link w:val="FootnoteTextChar"/>
    <w:uiPriority w:val="99"/>
    <w:semiHidden/>
    <w:unhideWhenUsed/>
    <w:rsid w:val="006A6D88"/>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A6D88"/>
    <w:rPr>
      <w:sz w:val="20"/>
      <w:szCs w:val="20"/>
    </w:rPr>
  </w:style>
  <w:style w:type="character" w:styleId="FootnoteReference">
    <w:name w:val="footnote reference"/>
    <w:basedOn w:val="DefaultParagraphFont"/>
    <w:uiPriority w:val="99"/>
    <w:semiHidden/>
    <w:unhideWhenUsed/>
    <w:rsid w:val="006A6D88"/>
    <w:rPr>
      <w:vertAlign w:val="superscript"/>
    </w:rPr>
  </w:style>
  <w:style w:type="paragraph" w:styleId="FootnoteText">
    <w:name w:val="footnote text"/>
    <w:basedOn w:val="Normal"/>
    <w:link w:val="FootnoteTextChar1"/>
    <w:uiPriority w:val="99"/>
    <w:semiHidden/>
    <w:unhideWhenUsed/>
    <w:rsid w:val="006A6D8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A6D88"/>
    <w:rPr>
      <w:sz w:val="20"/>
      <w:szCs w:val="20"/>
    </w:rPr>
  </w:style>
  <w:style w:type="paragraph" w:styleId="EndnoteText">
    <w:name w:val="endnote text"/>
    <w:basedOn w:val="Normal"/>
    <w:link w:val="EndnoteTextChar"/>
    <w:uiPriority w:val="99"/>
    <w:semiHidden/>
    <w:unhideWhenUsed/>
    <w:rsid w:val="00BD74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746F"/>
    <w:rPr>
      <w:sz w:val="20"/>
      <w:szCs w:val="20"/>
    </w:rPr>
  </w:style>
  <w:style w:type="character" w:styleId="EndnoteReference">
    <w:name w:val="endnote reference"/>
    <w:basedOn w:val="DefaultParagraphFont"/>
    <w:uiPriority w:val="99"/>
    <w:semiHidden/>
    <w:unhideWhenUsed/>
    <w:rsid w:val="00BD7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0448">
      <w:bodyDiv w:val="1"/>
      <w:marLeft w:val="0"/>
      <w:marRight w:val="0"/>
      <w:marTop w:val="0"/>
      <w:marBottom w:val="0"/>
      <w:divBdr>
        <w:top w:val="none" w:sz="0" w:space="0" w:color="auto"/>
        <w:left w:val="none" w:sz="0" w:space="0" w:color="auto"/>
        <w:bottom w:val="none" w:sz="0" w:space="0" w:color="auto"/>
        <w:right w:val="none" w:sz="0" w:space="0" w:color="auto"/>
      </w:divBdr>
    </w:div>
    <w:div w:id="634986138">
      <w:bodyDiv w:val="1"/>
      <w:marLeft w:val="0"/>
      <w:marRight w:val="0"/>
      <w:marTop w:val="0"/>
      <w:marBottom w:val="0"/>
      <w:divBdr>
        <w:top w:val="none" w:sz="0" w:space="0" w:color="auto"/>
        <w:left w:val="none" w:sz="0" w:space="0" w:color="auto"/>
        <w:bottom w:val="none" w:sz="0" w:space="0" w:color="auto"/>
        <w:right w:val="none" w:sz="0" w:space="0" w:color="auto"/>
      </w:divBdr>
    </w:div>
    <w:div w:id="15077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obaldata.com/covid-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CEBC-78CF-4CC6-9CE4-2BFB3032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8</cp:revision>
  <cp:lastPrinted>2016-09-20T19:55:00Z</cp:lastPrinted>
  <dcterms:created xsi:type="dcterms:W3CDTF">2021-02-19T16:25:00Z</dcterms:created>
  <dcterms:modified xsi:type="dcterms:W3CDTF">2021-05-28T14:38:00Z</dcterms:modified>
</cp:coreProperties>
</file>