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43A1" w:rsidR="009D6B44" w:rsidP="00495ADF" w:rsidRDefault="009D6B44" w14:paraId="3715B911" w14:textId="77777777">
      <w:pPr>
        <w:pStyle w:val="Cov-Date"/>
      </w:pPr>
      <w:bookmarkStart w:name="_Toc67387400" w:id="0"/>
    </w:p>
    <w:p w:rsidRPr="005C43A1" w:rsidR="00495ADF" w:rsidP="00495ADF" w:rsidRDefault="00495ADF" w14:paraId="2D8AF23B" w14:textId="77777777">
      <w:pPr>
        <w:pStyle w:val="Cov-Date"/>
      </w:pPr>
    </w:p>
    <w:p w:rsidR="00120BAF" w:rsidP="0055363C" w:rsidRDefault="00120BAF" w14:paraId="467B8F95" w14:textId="77777777">
      <w:pPr>
        <w:pStyle w:val="Cov-Title"/>
      </w:pPr>
      <w:r>
        <w:t>Maternal, Infant and Early Childhood Home Visiting Program</w:t>
      </w:r>
      <w:r w:rsidRPr="005C43A1" w:rsidR="0055363C">
        <w:t xml:space="preserve">: </w:t>
      </w:r>
    </w:p>
    <w:p w:rsidRPr="005C43A1" w:rsidR="00495ADF" w:rsidP="0055363C" w:rsidRDefault="00F30338" w14:paraId="0D403248" w14:textId="6AD84759">
      <w:pPr>
        <w:pStyle w:val="Cov-Title"/>
      </w:pPr>
      <w:r>
        <w:t>Pay for Outcomes</w:t>
      </w:r>
      <w:r w:rsidR="0098380F">
        <w:t xml:space="preserve"> Supplemental Information Request</w:t>
      </w:r>
    </w:p>
    <w:p w:rsidRPr="005C43A1" w:rsidR="00495ADF" w:rsidP="00495ADF" w:rsidRDefault="00495ADF" w14:paraId="72D59DE3" w14:textId="77777777">
      <w:pPr>
        <w:pStyle w:val="Cov-Title"/>
      </w:pPr>
    </w:p>
    <w:p w:rsidR="00495ADF" w:rsidP="00495ADF" w:rsidRDefault="00495ADF" w14:paraId="08171457" w14:textId="77777777">
      <w:pPr>
        <w:pStyle w:val="Cov-Title"/>
        <w:rPr>
          <w:sz w:val="40"/>
          <w:szCs w:val="40"/>
        </w:rPr>
      </w:pPr>
      <w:r w:rsidRPr="005C43A1">
        <w:rPr>
          <w:sz w:val="40"/>
          <w:szCs w:val="40"/>
        </w:rPr>
        <w:t>Supporting Statement</w:t>
      </w:r>
    </w:p>
    <w:p w:rsidR="00D55B6C" w:rsidP="00495ADF" w:rsidRDefault="00D55B6C" w14:paraId="7873FF48" w14:textId="77777777">
      <w:pPr>
        <w:pStyle w:val="Cov-Title"/>
        <w:rPr>
          <w:sz w:val="40"/>
          <w:szCs w:val="40"/>
        </w:rPr>
      </w:pPr>
    </w:p>
    <w:p w:rsidRPr="005C43A1" w:rsidR="00495ADF" w:rsidP="00D55B6C" w:rsidRDefault="00D55B6C" w14:paraId="15155768" w14:textId="77777777">
      <w:pPr>
        <w:pStyle w:val="Cov-Title"/>
      </w:pPr>
      <w:r>
        <w:rPr>
          <w:sz w:val="40"/>
          <w:szCs w:val="40"/>
        </w:rPr>
        <w:t>Part A</w:t>
      </w:r>
    </w:p>
    <w:p w:rsidRPr="005C43A1" w:rsidR="00495ADF" w:rsidP="00495ADF" w:rsidRDefault="00495ADF" w14:paraId="6EC6FA22" w14:textId="77777777">
      <w:pPr>
        <w:pStyle w:val="Cov-Date"/>
      </w:pPr>
    </w:p>
    <w:p w:rsidR="00495ADF" w:rsidP="00495ADF" w:rsidRDefault="00495ADF" w14:paraId="6276E3E2" w14:textId="77777777">
      <w:pPr>
        <w:pStyle w:val="Cov-Date"/>
      </w:pPr>
    </w:p>
    <w:p w:rsidR="00AA2200" w:rsidP="00495ADF" w:rsidRDefault="00AA2200" w14:paraId="061146EC" w14:textId="77777777">
      <w:pPr>
        <w:pStyle w:val="Cov-Date"/>
      </w:pPr>
    </w:p>
    <w:p w:rsidRPr="005C43A1" w:rsidR="00AA2200" w:rsidP="00495ADF" w:rsidRDefault="00AA2200" w14:paraId="5FDA7BD6" w14:textId="77777777">
      <w:pPr>
        <w:pStyle w:val="Cov-Date"/>
      </w:pPr>
    </w:p>
    <w:p w:rsidRPr="005C43A1" w:rsidR="00AA2200" w:rsidP="00495ADF" w:rsidRDefault="00AA2200" w14:paraId="02CC7F15" w14:textId="77777777">
      <w:pPr>
        <w:pStyle w:val="Cov-Date"/>
      </w:pPr>
    </w:p>
    <w:p w:rsidRPr="005C43A1" w:rsidR="00495ADF" w:rsidP="00495ADF" w:rsidRDefault="00495ADF" w14:paraId="36A93180" w14:textId="77777777">
      <w:pPr>
        <w:pStyle w:val="Cov-Address"/>
      </w:pPr>
    </w:p>
    <w:p w:rsidRPr="00CD5657" w:rsidR="0055363C" w:rsidP="00995FB5" w:rsidRDefault="00CD5657" w14:paraId="13DCDEEF" w14:textId="021A3A0A">
      <w:pPr>
        <w:pStyle w:val="Cov-Author"/>
      </w:pPr>
      <w:r w:rsidRPr="00CD5657">
        <w:t xml:space="preserve">Prepared By:  </w:t>
      </w:r>
      <w:r w:rsidR="00B04CD0">
        <w:t>Kyle Peplinski</w:t>
      </w:r>
    </w:p>
    <w:p w:rsidRPr="005C43A1" w:rsidR="0055363C" w:rsidP="0055363C" w:rsidRDefault="00B04CD0" w14:paraId="1B612BBA" w14:textId="6387388A">
      <w:pPr>
        <w:pStyle w:val="Cov-Address"/>
      </w:pPr>
      <w:r>
        <w:t>Branch Chief for Policy, Data, and Technical Assistance Coordination</w:t>
      </w:r>
    </w:p>
    <w:p w:rsidRPr="00F046AE" w:rsidR="00F046AE" w:rsidP="00F046AE" w:rsidRDefault="00F046AE" w14:paraId="31FBED59" w14:textId="77777777">
      <w:pPr>
        <w:pStyle w:val="Cov-Address"/>
      </w:pPr>
      <w:r w:rsidRPr="00F046AE">
        <w:t>Health Resources and Services Administration</w:t>
      </w:r>
    </w:p>
    <w:p w:rsidRPr="00F046AE" w:rsidR="00F046AE" w:rsidP="00F046AE" w:rsidRDefault="00F046AE" w14:paraId="28CD4FC4" w14:textId="77777777">
      <w:pPr>
        <w:pStyle w:val="Cov-Address"/>
      </w:pPr>
      <w:r w:rsidRPr="00F046AE">
        <w:lastRenderedPageBreak/>
        <w:t>Maternal and Child Health Bureau</w:t>
      </w:r>
    </w:p>
    <w:p w:rsidRPr="00F046AE" w:rsidR="00F046AE" w:rsidP="00F046AE" w:rsidRDefault="00F046AE" w14:paraId="6779E346" w14:textId="77777777">
      <w:pPr>
        <w:pStyle w:val="Cov-Address"/>
      </w:pPr>
      <w:r w:rsidRPr="00F046AE">
        <w:t>Division of Home Visiting and Early Childhood Systems</w:t>
      </w:r>
    </w:p>
    <w:p w:rsidRPr="00F046AE" w:rsidR="00F046AE" w:rsidP="00F046AE" w:rsidRDefault="00F046AE" w14:paraId="4A10E2CC" w14:textId="1722AF18">
      <w:pPr>
        <w:pStyle w:val="Cov-Address"/>
      </w:pPr>
      <w:r w:rsidRPr="00F046AE">
        <w:t xml:space="preserve">5600 Fisher Lane, Rm. </w:t>
      </w:r>
      <w:r w:rsidR="00FD7C70">
        <w:t>18N160</w:t>
      </w:r>
    </w:p>
    <w:p w:rsidR="00F046AE" w:rsidP="00F046AE" w:rsidRDefault="00F046AE" w14:paraId="100D2865" w14:textId="77777777">
      <w:pPr>
        <w:pStyle w:val="Cov-Address"/>
      </w:pPr>
      <w:r w:rsidRPr="00F046AE">
        <w:t xml:space="preserve">Rockville, MD 20857 </w:t>
      </w:r>
    </w:p>
    <w:p w:rsidRPr="005C43A1" w:rsidR="00495ADF" w:rsidP="00495ADF" w:rsidRDefault="00495ADF" w14:paraId="24C8256F" w14:textId="77777777">
      <w:pPr>
        <w:pStyle w:val="Cov-Address"/>
      </w:pPr>
    </w:p>
    <w:p w:rsidR="00495ADF" w:rsidP="00495ADF" w:rsidRDefault="00495ADF" w14:paraId="2D50D005" w14:textId="77777777">
      <w:pPr>
        <w:pStyle w:val="Cov-Address"/>
      </w:pPr>
    </w:p>
    <w:p w:rsidRPr="005C43A1" w:rsidR="00AC6ACE" w:rsidP="009D6B44" w:rsidRDefault="00AC6ACE" w14:paraId="5CCDDD62" w14:textId="06AC79D0">
      <w:pPr>
        <w:pStyle w:val="Cov-Address"/>
        <w:rPr>
          <w:b/>
          <w:color w:val="000000"/>
        </w:rPr>
      </w:pPr>
    </w:p>
    <w:p w:rsidRPr="005C43A1" w:rsidR="00AC6ACE" w:rsidP="00423334" w:rsidRDefault="00AC6ACE" w14:paraId="60B2CE8B" w14:textId="77777777">
      <w:pPr>
        <w:jc w:val="center"/>
        <w:rPr>
          <w:b/>
          <w:color w:val="000000"/>
        </w:rPr>
      </w:pPr>
    </w:p>
    <w:bookmarkEnd w:id="0"/>
    <w:p w:rsidRPr="005C43A1" w:rsidR="00A14087" w:rsidP="00832BA3" w:rsidRDefault="00A14087" w14:paraId="46AA9173" w14:textId="77777777">
      <w:pPr>
        <w:rPr>
          <w:b/>
          <w:bCs/>
          <w:caps/>
          <w:color w:val="000000"/>
        </w:rPr>
        <w:sectPr w:rsidRPr="005C43A1" w:rsidR="00A14087" w:rsidSect="00B2236C">
          <w:headerReference w:type="default" r:id="rId12"/>
          <w:footerReference w:type="even" r:id="rId13"/>
          <w:footerReference w:type="default" r:id="rId14"/>
          <w:pgSz w:w="12240" w:h="15840"/>
          <w:pgMar w:top="1440" w:right="1440" w:bottom="1440" w:left="1440" w:header="720" w:footer="720" w:gutter="0"/>
          <w:cols w:space="720"/>
          <w:titlePg/>
          <w:docGrid w:linePitch="360"/>
        </w:sectPr>
      </w:pPr>
    </w:p>
    <w:p w:rsidRPr="005C43A1" w:rsidR="00C65FD6" w:rsidP="00F72F56" w:rsidRDefault="001D3F03" w14:paraId="189AB249" w14:textId="77777777">
      <w:pPr>
        <w:pStyle w:val="TOC0"/>
      </w:pPr>
      <w:r w:rsidRPr="005C43A1">
        <w:lastRenderedPageBreak/>
        <w:fldChar w:fldCharType="begin"/>
      </w:r>
      <w:r w:rsidRPr="005C43A1" w:rsidR="00C65FD6">
        <w:instrText xml:space="preserve"> SEQ CHAPTER \h \r 1</w:instrText>
      </w:r>
      <w:r w:rsidRPr="005C43A1">
        <w:fldChar w:fldCharType="end"/>
      </w:r>
      <w:r w:rsidRPr="005C43A1" w:rsidR="00C65FD6">
        <w:rPr>
          <w:bCs/>
        </w:rPr>
        <w:t>TABLE OF CONTENTS</w:t>
      </w:r>
    </w:p>
    <w:p w:rsidR="00C058BF" w:rsidP="00C058BF" w:rsidRDefault="00AC6ACE" w14:paraId="52E8CFA9" w14:textId="6453C420">
      <w:pPr>
        <w:tabs>
          <w:tab w:val="right" w:pos="9360"/>
        </w:tabs>
        <w:rPr>
          <w:rFonts w:asciiTheme="minorHAnsi" w:hAnsiTheme="minorHAnsi" w:eastAsiaTheme="minorEastAsia" w:cstheme="minorBidi"/>
          <w:noProof/>
          <w:sz w:val="22"/>
          <w:szCs w:val="22"/>
        </w:rPr>
      </w:pPr>
      <w:r w:rsidRPr="005C43A1">
        <w:rPr>
          <w:b/>
          <w:color w:val="000000"/>
        </w:rPr>
        <w:t>Section</w:t>
      </w:r>
      <w:r w:rsidRPr="005C43A1">
        <w:rPr>
          <w:color w:val="000000"/>
        </w:rPr>
        <w:tab/>
      </w:r>
      <w:r w:rsidRPr="005C43A1">
        <w:rPr>
          <w:b/>
          <w:color w:val="000000"/>
        </w:rPr>
        <w:t>Page</w:t>
      </w:r>
      <w:bookmarkStart w:name="_Toc79980788" w:id="1"/>
      <w:r w:rsidRPr="005C43A1" w:rsidR="001D3F03">
        <w:rPr>
          <w:b/>
          <w:bCs/>
          <w:caps/>
          <w:color w:val="000000"/>
        </w:rPr>
        <w:fldChar w:fldCharType="begin"/>
      </w:r>
      <w:r w:rsidRPr="005C43A1" w:rsidR="002E5438">
        <w:rPr>
          <w:b/>
          <w:bCs/>
          <w:caps/>
          <w:color w:val="000000"/>
        </w:rPr>
        <w:instrText xml:space="preserve"> TOC \o "1-2" \h \z \t "Heading 3,3" </w:instrText>
      </w:r>
      <w:r w:rsidRPr="005C43A1" w:rsidR="001D3F03">
        <w:rPr>
          <w:b/>
          <w:bCs/>
          <w:caps/>
          <w:color w:val="000000"/>
        </w:rPr>
        <w:fldChar w:fldCharType="separate"/>
      </w:r>
    </w:p>
    <w:p w:rsidR="00C058BF" w:rsidRDefault="00B04CD0" w14:paraId="4873798F" w14:textId="6A2B6D3B">
      <w:pPr>
        <w:pStyle w:val="TOC1"/>
        <w:tabs>
          <w:tab w:val="left" w:pos="1350"/>
        </w:tabs>
        <w:rPr>
          <w:rFonts w:asciiTheme="minorHAnsi" w:hAnsiTheme="minorHAnsi" w:eastAsiaTheme="minorEastAsia" w:cstheme="minorBidi"/>
          <w:sz w:val="22"/>
          <w:szCs w:val="22"/>
        </w:rPr>
      </w:pPr>
      <w:hyperlink w:history="1" w:anchor="_Toc457313775">
        <w:r w:rsidRPr="00AA7371" w:rsidR="00C058BF">
          <w:rPr>
            <w:rStyle w:val="Hyperlink"/>
          </w:rPr>
          <w:t>A.</w:t>
        </w:r>
        <w:r w:rsidR="00C058BF">
          <w:rPr>
            <w:rFonts w:asciiTheme="minorHAnsi" w:hAnsiTheme="minorHAnsi" w:eastAsiaTheme="minorEastAsia" w:cstheme="minorBidi"/>
            <w:sz w:val="22"/>
            <w:szCs w:val="22"/>
          </w:rPr>
          <w:tab/>
        </w:r>
        <w:r w:rsidRPr="00AA7371" w:rsidR="00C058BF">
          <w:rPr>
            <w:rStyle w:val="Hyperlink"/>
          </w:rPr>
          <w:t>Justification</w:t>
        </w:r>
        <w:r w:rsidR="00C058BF">
          <w:rPr>
            <w:webHidden/>
          </w:rPr>
          <w:tab/>
        </w:r>
        <w:r w:rsidR="00C058BF">
          <w:rPr>
            <w:webHidden/>
          </w:rPr>
          <w:fldChar w:fldCharType="begin"/>
        </w:r>
        <w:r w:rsidR="00C058BF">
          <w:rPr>
            <w:webHidden/>
          </w:rPr>
          <w:instrText xml:space="preserve"> PAGEREF _Toc457313775 \h </w:instrText>
        </w:r>
        <w:r w:rsidR="00C058BF">
          <w:rPr>
            <w:webHidden/>
          </w:rPr>
        </w:r>
        <w:r w:rsidR="00C058BF">
          <w:rPr>
            <w:webHidden/>
          </w:rPr>
          <w:fldChar w:fldCharType="separate"/>
        </w:r>
        <w:r w:rsidR="009F74F9">
          <w:rPr>
            <w:webHidden/>
          </w:rPr>
          <w:t>2</w:t>
        </w:r>
        <w:r w:rsidR="00C058BF">
          <w:rPr>
            <w:webHidden/>
          </w:rPr>
          <w:fldChar w:fldCharType="end"/>
        </w:r>
      </w:hyperlink>
    </w:p>
    <w:p w:rsidR="00C058BF" w:rsidRDefault="00B04CD0" w14:paraId="110B43C2" w14:textId="58758A9C">
      <w:pPr>
        <w:pStyle w:val="TOC2"/>
        <w:tabs>
          <w:tab w:val="left" w:pos="1350"/>
        </w:tabs>
        <w:rPr>
          <w:rFonts w:asciiTheme="minorHAnsi" w:hAnsiTheme="minorHAnsi" w:eastAsiaTheme="minorEastAsia" w:cstheme="minorBidi"/>
          <w:sz w:val="22"/>
          <w:szCs w:val="22"/>
        </w:rPr>
      </w:pPr>
      <w:hyperlink w:history="1" w:anchor="_Toc457313776">
        <w:r w:rsidRPr="00AA7371" w:rsidR="00C058BF">
          <w:rPr>
            <w:rStyle w:val="Hyperlink"/>
          </w:rPr>
          <w:t>A.1</w:t>
        </w:r>
        <w:r w:rsidR="00C058BF">
          <w:rPr>
            <w:rFonts w:asciiTheme="minorHAnsi" w:hAnsiTheme="minorHAnsi" w:eastAsiaTheme="minorEastAsia" w:cstheme="minorBidi"/>
            <w:sz w:val="22"/>
            <w:szCs w:val="22"/>
          </w:rPr>
          <w:tab/>
        </w:r>
        <w:r w:rsidRPr="00AA7371" w:rsidR="00C058BF">
          <w:rPr>
            <w:rStyle w:val="Hyperlink"/>
          </w:rPr>
          <w:t>Circumstances Making the Collection of Information Necessary</w:t>
        </w:r>
        <w:r w:rsidR="00C058BF">
          <w:rPr>
            <w:webHidden/>
          </w:rPr>
          <w:tab/>
        </w:r>
        <w:r w:rsidR="00C058BF">
          <w:rPr>
            <w:webHidden/>
          </w:rPr>
          <w:fldChar w:fldCharType="begin"/>
        </w:r>
        <w:r w:rsidR="00C058BF">
          <w:rPr>
            <w:webHidden/>
          </w:rPr>
          <w:instrText xml:space="preserve"> PAGEREF _Toc457313776 \h </w:instrText>
        </w:r>
        <w:r w:rsidR="00C058BF">
          <w:rPr>
            <w:webHidden/>
          </w:rPr>
        </w:r>
        <w:r w:rsidR="00C058BF">
          <w:rPr>
            <w:webHidden/>
          </w:rPr>
          <w:fldChar w:fldCharType="separate"/>
        </w:r>
        <w:r w:rsidR="009F74F9">
          <w:rPr>
            <w:webHidden/>
          </w:rPr>
          <w:t>2</w:t>
        </w:r>
        <w:r w:rsidR="00C058BF">
          <w:rPr>
            <w:webHidden/>
          </w:rPr>
          <w:fldChar w:fldCharType="end"/>
        </w:r>
      </w:hyperlink>
    </w:p>
    <w:p w:rsidR="00C058BF" w:rsidRDefault="00B04CD0" w14:paraId="78333706" w14:textId="3206074C">
      <w:pPr>
        <w:pStyle w:val="TOC2"/>
        <w:tabs>
          <w:tab w:val="left" w:pos="1350"/>
        </w:tabs>
        <w:rPr>
          <w:rFonts w:asciiTheme="minorHAnsi" w:hAnsiTheme="minorHAnsi" w:eastAsiaTheme="minorEastAsia" w:cstheme="minorBidi"/>
          <w:sz w:val="22"/>
          <w:szCs w:val="22"/>
        </w:rPr>
      </w:pPr>
      <w:hyperlink w:history="1" w:anchor="_Toc457313777">
        <w:r w:rsidRPr="00AA7371" w:rsidR="00C058BF">
          <w:rPr>
            <w:rStyle w:val="Hyperlink"/>
          </w:rPr>
          <w:t>A.2</w:t>
        </w:r>
        <w:r w:rsidR="00C058BF">
          <w:rPr>
            <w:rFonts w:asciiTheme="minorHAnsi" w:hAnsiTheme="minorHAnsi" w:eastAsiaTheme="minorEastAsia" w:cstheme="minorBidi"/>
            <w:sz w:val="22"/>
            <w:szCs w:val="22"/>
          </w:rPr>
          <w:tab/>
        </w:r>
        <w:r w:rsidRPr="00AA7371" w:rsidR="00C058BF">
          <w:rPr>
            <w:rStyle w:val="Hyperlink"/>
          </w:rPr>
          <w:t>Purposes and Use of the Information Collection</w:t>
        </w:r>
        <w:r w:rsidR="00C058BF">
          <w:rPr>
            <w:webHidden/>
          </w:rPr>
          <w:tab/>
        </w:r>
        <w:r w:rsidR="00C058BF">
          <w:rPr>
            <w:webHidden/>
          </w:rPr>
          <w:fldChar w:fldCharType="begin"/>
        </w:r>
        <w:r w:rsidR="00C058BF">
          <w:rPr>
            <w:webHidden/>
          </w:rPr>
          <w:instrText xml:space="preserve"> PAGEREF _Toc457313777 \h </w:instrText>
        </w:r>
        <w:r w:rsidR="00C058BF">
          <w:rPr>
            <w:webHidden/>
          </w:rPr>
        </w:r>
        <w:r w:rsidR="00C058BF">
          <w:rPr>
            <w:webHidden/>
          </w:rPr>
          <w:fldChar w:fldCharType="separate"/>
        </w:r>
        <w:r w:rsidR="009F74F9">
          <w:rPr>
            <w:webHidden/>
          </w:rPr>
          <w:t>4</w:t>
        </w:r>
        <w:r w:rsidR="00C058BF">
          <w:rPr>
            <w:webHidden/>
          </w:rPr>
          <w:fldChar w:fldCharType="end"/>
        </w:r>
      </w:hyperlink>
    </w:p>
    <w:p w:rsidR="00C058BF" w:rsidRDefault="00B04CD0" w14:paraId="5FD2E14E" w14:textId="31AC93EC">
      <w:pPr>
        <w:pStyle w:val="TOC2"/>
        <w:tabs>
          <w:tab w:val="left" w:pos="1350"/>
        </w:tabs>
        <w:rPr>
          <w:rFonts w:asciiTheme="minorHAnsi" w:hAnsiTheme="minorHAnsi" w:eastAsiaTheme="minorEastAsia" w:cstheme="minorBidi"/>
          <w:sz w:val="22"/>
          <w:szCs w:val="22"/>
        </w:rPr>
      </w:pPr>
      <w:hyperlink w:history="1" w:anchor="_Toc457313778">
        <w:r w:rsidRPr="00AA7371" w:rsidR="00C058BF">
          <w:rPr>
            <w:rStyle w:val="Hyperlink"/>
          </w:rPr>
          <w:t>A.3</w:t>
        </w:r>
        <w:r w:rsidR="00C058BF">
          <w:rPr>
            <w:rFonts w:asciiTheme="minorHAnsi" w:hAnsiTheme="minorHAnsi" w:eastAsiaTheme="minorEastAsia" w:cstheme="minorBidi"/>
            <w:sz w:val="22"/>
            <w:szCs w:val="22"/>
          </w:rPr>
          <w:tab/>
        </w:r>
        <w:r w:rsidRPr="00AA7371" w:rsidR="00C058BF">
          <w:rPr>
            <w:rStyle w:val="Hyperlink"/>
          </w:rPr>
          <w:t>Use of Improved Information Technology and Burden Reduction</w:t>
        </w:r>
        <w:r w:rsidR="00C058BF">
          <w:rPr>
            <w:webHidden/>
          </w:rPr>
          <w:tab/>
        </w:r>
        <w:r w:rsidR="00C058BF">
          <w:rPr>
            <w:webHidden/>
          </w:rPr>
          <w:fldChar w:fldCharType="begin"/>
        </w:r>
        <w:r w:rsidR="00C058BF">
          <w:rPr>
            <w:webHidden/>
          </w:rPr>
          <w:instrText xml:space="preserve"> PAGEREF _Toc457313778 \h </w:instrText>
        </w:r>
        <w:r w:rsidR="00C058BF">
          <w:rPr>
            <w:webHidden/>
          </w:rPr>
        </w:r>
        <w:r w:rsidR="00C058BF">
          <w:rPr>
            <w:webHidden/>
          </w:rPr>
          <w:fldChar w:fldCharType="separate"/>
        </w:r>
        <w:r w:rsidR="009F74F9">
          <w:rPr>
            <w:webHidden/>
          </w:rPr>
          <w:t>6</w:t>
        </w:r>
        <w:r w:rsidR="00C058BF">
          <w:rPr>
            <w:webHidden/>
          </w:rPr>
          <w:fldChar w:fldCharType="end"/>
        </w:r>
      </w:hyperlink>
    </w:p>
    <w:p w:rsidR="00C058BF" w:rsidRDefault="00B04CD0" w14:paraId="381A5E8E" w14:textId="044B58D9">
      <w:pPr>
        <w:pStyle w:val="TOC2"/>
        <w:tabs>
          <w:tab w:val="left" w:pos="1350"/>
        </w:tabs>
        <w:rPr>
          <w:rFonts w:asciiTheme="minorHAnsi" w:hAnsiTheme="minorHAnsi" w:eastAsiaTheme="minorEastAsia" w:cstheme="minorBidi"/>
          <w:sz w:val="22"/>
          <w:szCs w:val="22"/>
        </w:rPr>
      </w:pPr>
      <w:hyperlink w:history="1" w:anchor="_Toc457313779">
        <w:r w:rsidRPr="00AA7371" w:rsidR="00C058BF">
          <w:rPr>
            <w:rStyle w:val="Hyperlink"/>
          </w:rPr>
          <w:t>A.4</w:t>
        </w:r>
        <w:r w:rsidR="00C058BF">
          <w:rPr>
            <w:rFonts w:asciiTheme="minorHAnsi" w:hAnsiTheme="minorHAnsi" w:eastAsiaTheme="minorEastAsia" w:cstheme="minorBidi"/>
            <w:sz w:val="22"/>
            <w:szCs w:val="22"/>
          </w:rPr>
          <w:tab/>
        </w:r>
        <w:r w:rsidRPr="00AA7371" w:rsidR="00C058BF">
          <w:rPr>
            <w:rStyle w:val="Hyperlink"/>
          </w:rPr>
          <w:t>Efforts to Identify Duplication and Use of Similar Information</w:t>
        </w:r>
        <w:r w:rsidR="00C058BF">
          <w:rPr>
            <w:webHidden/>
          </w:rPr>
          <w:tab/>
        </w:r>
        <w:r w:rsidR="00C058BF">
          <w:rPr>
            <w:webHidden/>
          </w:rPr>
          <w:fldChar w:fldCharType="begin"/>
        </w:r>
        <w:r w:rsidR="00C058BF">
          <w:rPr>
            <w:webHidden/>
          </w:rPr>
          <w:instrText xml:space="preserve"> PAGEREF _Toc457313779 \h </w:instrText>
        </w:r>
        <w:r w:rsidR="00C058BF">
          <w:rPr>
            <w:webHidden/>
          </w:rPr>
        </w:r>
        <w:r w:rsidR="00C058BF">
          <w:rPr>
            <w:webHidden/>
          </w:rPr>
          <w:fldChar w:fldCharType="separate"/>
        </w:r>
        <w:r w:rsidR="009F74F9">
          <w:rPr>
            <w:webHidden/>
          </w:rPr>
          <w:t>6</w:t>
        </w:r>
        <w:r w:rsidR="00C058BF">
          <w:rPr>
            <w:webHidden/>
          </w:rPr>
          <w:fldChar w:fldCharType="end"/>
        </w:r>
      </w:hyperlink>
    </w:p>
    <w:p w:rsidR="00C058BF" w:rsidRDefault="00B04CD0" w14:paraId="66AA32AB" w14:textId="3659DAAC">
      <w:pPr>
        <w:pStyle w:val="TOC2"/>
        <w:tabs>
          <w:tab w:val="left" w:pos="1350"/>
        </w:tabs>
        <w:rPr>
          <w:rFonts w:asciiTheme="minorHAnsi" w:hAnsiTheme="minorHAnsi" w:eastAsiaTheme="minorEastAsia" w:cstheme="minorBidi"/>
          <w:sz w:val="22"/>
          <w:szCs w:val="22"/>
        </w:rPr>
      </w:pPr>
      <w:hyperlink w:history="1" w:anchor="_Toc457313780">
        <w:r w:rsidRPr="00AA7371" w:rsidR="00C058BF">
          <w:rPr>
            <w:rStyle w:val="Hyperlink"/>
          </w:rPr>
          <w:t>A.5</w:t>
        </w:r>
        <w:r w:rsidR="00C058BF">
          <w:rPr>
            <w:rFonts w:asciiTheme="minorHAnsi" w:hAnsiTheme="minorHAnsi" w:eastAsiaTheme="minorEastAsia" w:cstheme="minorBidi"/>
            <w:sz w:val="22"/>
            <w:szCs w:val="22"/>
          </w:rPr>
          <w:tab/>
        </w:r>
        <w:r w:rsidRPr="00AA7371" w:rsidR="00C058BF">
          <w:rPr>
            <w:rStyle w:val="Hyperlink"/>
          </w:rPr>
          <w:t>Impact on Small Businesses or Other Small Entities</w:t>
        </w:r>
        <w:r w:rsidR="00C058BF">
          <w:rPr>
            <w:webHidden/>
          </w:rPr>
          <w:tab/>
        </w:r>
        <w:r w:rsidR="00C058BF">
          <w:rPr>
            <w:webHidden/>
          </w:rPr>
          <w:fldChar w:fldCharType="begin"/>
        </w:r>
        <w:r w:rsidR="00C058BF">
          <w:rPr>
            <w:webHidden/>
          </w:rPr>
          <w:instrText xml:space="preserve"> PAGEREF _Toc457313780 \h </w:instrText>
        </w:r>
        <w:r w:rsidR="00C058BF">
          <w:rPr>
            <w:webHidden/>
          </w:rPr>
        </w:r>
        <w:r w:rsidR="00C058BF">
          <w:rPr>
            <w:webHidden/>
          </w:rPr>
          <w:fldChar w:fldCharType="separate"/>
        </w:r>
        <w:r w:rsidR="009F74F9">
          <w:rPr>
            <w:webHidden/>
          </w:rPr>
          <w:t>8</w:t>
        </w:r>
        <w:r w:rsidR="00C058BF">
          <w:rPr>
            <w:webHidden/>
          </w:rPr>
          <w:fldChar w:fldCharType="end"/>
        </w:r>
      </w:hyperlink>
    </w:p>
    <w:p w:rsidR="00C058BF" w:rsidRDefault="00B04CD0" w14:paraId="2A66B618" w14:textId="237651D3">
      <w:pPr>
        <w:pStyle w:val="TOC2"/>
        <w:tabs>
          <w:tab w:val="left" w:pos="1350"/>
        </w:tabs>
        <w:rPr>
          <w:rFonts w:asciiTheme="minorHAnsi" w:hAnsiTheme="minorHAnsi" w:eastAsiaTheme="minorEastAsia" w:cstheme="minorBidi"/>
          <w:sz w:val="22"/>
          <w:szCs w:val="22"/>
        </w:rPr>
      </w:pPr>
      <w:hyperlink w:history="1" w:anchor="_Toc457313781">
        <w:r w:rsidRPr="00AA7371" w:rsidR="00C058BF">
          <w:rPr>
            <w:rStyle w:val="Hyperlink"/>
          </w:rPr>
          <w:t>A.6</w:t>
        </w:r>
        <w:r w:rsidR="00C058BF">
          <w:rPr>
            <w:rFonts w:asciiTheme="minorHAnsi" w:hAnsiTheme="minorHAnsi" w:eastAsiaTheme="minorEastAsia" w:cstheme="minorBidi"/>
            <w:sz w:val="22"/>
            <w:szCs w:val="22"/>
          </w:rPr>
          <w:tab/>
        </w:r>
        <w:r w:rsidRPr="00AA7371" w:rsidR="00C058BF">
          <w:rPr>
            <w:rStyle w:val="Hyperlink"/>
          </w:rPr>
          <w:t>Consequences of Collecting the Information Less Frequently</w:t>
        </w:r>
        <w:r w:rsidR="00C058BF">
          <w:rPr>
            <w:webHidden/>
          </w:rPr>
          <w:tab/>
        </w:r>
        <w:r w:rsidR="00C058BF">
          <w:rPr>
            <w:webHidden/>
          </w:rPr>
          <w:fldChar w:fldCharType="begin"/>
        </w:r>
        <w:r w:rsidR="00C058BF">
          <w:rPr>
            <w:webHidden/>
          </w:rPr>
          <w:instrText xml:space="preserve"> PAGEREF _Toc457313781 \h </w:instrText>
        </w:r>
        <w:r w:rsidR="00C058BF">
          <w:rPr>
            <w:webHidden/>
          </w:rPr>
        </w:r>
        <w:r w:rsidR="00C058BF">
          <w:rPr>
            <w:webHidden/>
          </w:rPr>
          <w:fldChar w:fldCharType="separate"/>
        </w:r>
        <w:r w:rsidR="009F74F9">
          <w:rPr>
            <w:webHidden/>
          </w:rPr>
          <w:t>8</w:t>
        </w:r>
        <w:r w:rsidR="00C058BF">
          <w:rPr>
            <w:webHidden/>
          </w:rPr>
          <w:fldChar w:fldCharType="end"/>
        </w:r>
      </w:hyperlink>
    </w:p>
    <w:p w:rsidR="00C058BF" w:rsidRDefault="00B04CD0" w14:paraId="416486BE" w14:textId="72676BA4">
      <w:pPr>
        <w:pStyle w:val="TOC2"/>
        <w:tabs>
          <w:tab w:val="left" w:pos="1350"/>
        </w:tabs>
        <w:rPr>
          <w:rFonts w:asciiTheme="minorHAnsi" w:hAnsiTheme="minorHAnsi" w:eastAsiaTheme="minorEastAsia" w:cstheme="minorBidi"/>
          <w:sz w:val="22"/>
          <w:szCs w:val="22"/>
        </w:rPr>
      </w:pPr>
      <w:hyperlink w:history="1" w:anchor="_Toc457313782">
        <w:r w:rsidRPr="00AA7371" w:rsidR="00C058BF">
          <w:rPr>
            <w:rStyle w:val="Hyperlink"/>
          </w:rPr>
          <w:t>A.7</w:t>
        </w:r>
        <w:r w:rsidR="00C058BF">
          <w:rPr>
            <w:rFonts w:asciiTheme="minorHAnsi" w:hAnsiTheme="minorHAnsi" w:eastAsiaTheme="minorEastAsia" w:cstheme="minorBidi"/>
            <w:sz w:val="22"/>
            <w:szCs w:val="22"/>
          </w:rPr>
          <w:tab/>
        </w:r>
        <w:r w:rsidRPr="00AA7371" w:rsidR="00C058BF">
          <w:rPr>
            <w:rStyle w:val="Hyperlink"/>
          </w:rPr>
          <w:t>Special Circumstances Relating to the Guidelines of 5 CFR1320.5</w:t>
        </w:r>
        <w:r w:rsidR="00C058BF">
          <w:rPr>
            <w:webHidden/>
          </w:rPr>
          <w:tab/>
        </w:r>
        <w:r w:rsidR="00C058BF">
          <w:rPr>
            <w:webHidden/>
          </w:rPr>
          <w:fldChar w:fldCharType="begin"/>
        </w:r>
        <w:r w:rsidR="00C058BF">
          <w:rPr>
            <w:webHidden/>
          </w:rPr>
          <w:instrText xml:space="preserve"> PAGEREF _Toc457313782 \h </w:instrText>
        </w:r>
        <w:r w:rsidR="00C058BF">
          <w:rPr>
            <w:webHidden/>
          </w:rPr>
        </w:r>
        <w:r w:rsidR="00C058BF">
          <w:rPr>
            <w:webHidden/>
          </w:rPr>
          <w:fldChar w:fldCharType="separate"/>
        </w:r>
        <w:r w:rsidR="009F74F9">
          <w:rPr>
            <w:webHidden/>
          </w:rPr>
          <w:t>8</w:t>
        </w:r>
        <w:r w:rsidR="00C058BF">
          <w:rPr>
            <w:webHidden/>
          </w:rPr>
          <w:fldChar w:fldCharType="end"/>
        </w:r>
      </w:hyperlink>
    </w:p>
    <w:p w:rsidR="00C058BF" w:rsidRDefault="00B04CD0" w14:paraId="48920090" w14:textId="3D494B07">
      <w:pPr>
        <w:pStyle w:val="TOC2"/>
        <w:tabs>
          <w:tab w:val="left" w:pos="1350"/>
        </w:tabs>
        <w:rPr>
          <w:rFonts w:asciiTheme="minorHAnsi" w:hAnsiTheme="minorHAnsi" w:eastAsiaTheme="minorEastAsia" w:cstheme="minorBidi"/>
          <w:sz w:val="22"/>
          <w:szCs w:val="22"/>
        </w:rPr>
      </w:pPr>
      <w:hyperlink w:history="1" w:anchor="_Toc457313783">
        <w:r w:rsidRPr="00AA7371" w:rsidR="00C058BF">
          <w:rPr>
            <w:rStyle w:val="Hyperlink"/>
          </w:rPr>
          <w:t>A.8</w:t>
        </w:r>
        <w:r w:rsidR="00C058BF">
          <w:rPr>
            <w:rFonts w:asciiTheme="minorHAnsi" w:hAnsiTheme="minorHAnsi" w:eastAsiaTheme="minorEastAsia" w:cstheme="minorBidi"/>
            <w:sz w:val="22"/>
            <w:szCs w:val="22"/>
          </w:rPr>
          <w:tab/>
        </w:r>
        <w:r w:rsidRPr="00AA7371" w:rsidR="00C058BF">
          <w:rPr>
            <w:rStyle w:val="Hyperlink"/>
          </w:rPr>
          <w:t>Comments in Response to the Federal Register Notice and Efforts to Consult Outside the Agency</w:t>
        </w:r>
        <w:r w:rsidR="00C058BF">
          <w:rPr>
            <w:webHidden/>
          </w:rPr>
          <w:tab/>
        </w:r>
        <w:r w:rsidR="00C058BF">
          <w:rPr>
            <w:webHidden/>
          </w:rPr>
          <w:fldChar w:fldCharType="begin"/>
        </w:r>
        <w:r w:rsidR="00C058BF">
          <w:rPr>
            <w:webHidden/>
          </w:rPr>
          <w:instrText xml:space="preserve"> PAGEREF _Toc457313783 \h </w:instrText>
        </w:r>
        <w:r w:rsidR="00C058BF">
          <w:rPr>
            <w:webHidden/>
          </w:rPr>
        </w:r>
        <w:r w:rsidR="00C058BF">
          <w:rPr>
            <w:webHidden/>
          </w:rPr>
          <w:fldChar w:fldCharType="separate"/>
        </w:r>
        <w:r w:rsidR="009F74F9">
          <w:rPr>
            <w:webHidden/>
          </w:rPr>
          <w:t>8</w:t>
        </w:r>
        <w:r w:rsidR="00C058BF">
          <w:rPr>
            <w:webHidden/>
          </w:rPr>
          <w:fldChar w:fldCharType="end"/>
        </w:r>
      </w:hyperlink>
    </w:p>
    <w:p w:rsidR="00C058BF" w:rsidRDefault="00B04CD0" w14:paraId="242C707A" w14:textId="423BD80C">
      <w:pPr>
        <w:pStyle w:val="TOC2"/>
        <w:tabs>
          <w:tab w:val="left" w:pos="1350"/>
        </w:tabs>
        <w:rPr>
          <w:rFonts w:asciiTheme="minorHAnsi" w:hAnsiTheme="minorHAnsi" w:eastAsiaTheme="minorEastAsia" w:cstheme="minorBidi"/>
          <w:sz w:val="22"/>
          <w:szCs w:val="22"/>
        </w:rPr>
      </w:pPr>
      <w:hyperlink w:history="1" w:anchor="_Toc457313784">
        <w:r w:rsidRPr="00AA7371" w:rsidR="00C058BF">
          <w:rPr>
            <w:rStyle w:val="Hyperlink"/>
          </w:rPr>
          <w:t>A.9</w:t>
        </w:r>
        <w:r w:rsidR="00C058BF">
          <w:rPr>
            <w:rFonts w:asciiTheme="minorHAnsi" w:hAnsiTheme="minorHAnsi" w:eastAsiaTheme="minorEastAsia" w:cstheme="minorBidi"/>
            <w:sz w:val="22"/>
            <w:szCs w:val="22"/>
          </w:rPr>
          <w:tab/>
        </w:r>
        <w:r w:rsidRPr="00AA7371" w:rsidR="00C058BF">
          <w:rPr>
            <w:rStyle w:val="Hyperlink"/>
          </w:rPr>
          <w:t>Explanation of Any Payment or Gift to Respondents</w:t>
        </w:r>
        <w:r w:rsidR="00C058BF">
          <w:rPr>
            <w:webHidden/>
          </w:rPr>
          <w:tab/>
        </w:r>
        <w:r w:rsidR="00C058BF">
          <w:rPr>
            <w:webHidden/>
          </w:rPr>
          <w:fldChar w:fldCharType="begin"/>
        </w:r>
        <w:r w:rsidR="00C058BF">
          <w:rPr>
            <w:webHidden/>
          </w:rPr>
          <w:instrText xml:space="preserve"> PAGEREF _Toc457313784 \h </w:instrText>
        </w:r>
        <w:r w:rsidR="00C058BF">
          <w:rPr>
            <w:webHidden/>
          </w:rPr>
        </w:r>
        <w:r w:rsidR="00C058BF">
          <w:rPr>
            <w:webHidden/>
          </w:rPr>
          <w:fldChar w:fldCharType="separate"/>
        </w:r>
        <w:r w:rsidR="009F74F9">
          <w:rPr>
            <w:webHidden/>
          </w:rPr>
          <w:t>9</w:t>
        </w:r>
        <w:r w:rsidR="00C058BF">
          <w:rPr>
            <w:webHidden/>
          </w:rPr>
          <w:fldChar w:fldCharType="end"/>
        </w:r>
      </w:hyperlink>
    </w:p>
    <w:p w:rsidR="00C058BF" w:rsidRDefault="00B04CD0" w14:paraId="57E3BBD4" w14:textId="530430F4">
      <w:pPr>
        <w:pStyle w:val="TOC2"/>
        <w:tabs>
          <w:tab w:val="left" w:pos="2340"/>
        </w:tabs>
        <w:rPr>
          <w:rFonts w:asciiTheme="minorHAnsi" w:hAnsiTheme="minorHAnsi" w:eastAsiaTheme="minorEastAsia" w:cstheme="minorBidi"/>
          <w:sz w:val="22"/>
          <w:szCs w:val="22"/>
        </w:rPr>
      </w:pPr>
      <w:hyperlink w:history="1" w:anchor="_Toc457313785">
        <w:r w:rsidRPr="00AA7371" w:rsidR="00C058BF">
          <w:rPr>
            <w:rStyle w:val="Hyperlink"/>
          </w:rPr>
          <w:t>A.10</w:t>
        </w:r>
        <w:r w:rsidR="00C058BF">
          <w:rPr>
            <w:rFonts w:asciiTheme="minorHAnsi" w:hAnsiTheme="minorHAnsi" w:eastAsiaTheme="minorEastAsia" w:cstheme="minorBidi"/>
            <w:sz w:val="22"/>
            <w:szCs w:val="22"/>
          </w:rPr>
          <w:tab/>
        </w:r>
        <w:r w:rsidRPr="00AA7371" w:rsidR="00C058BF">
          <w:rPr>
            <w:rStyle w:val="Hyperlink"/>
          </w:rPr>
          <w:t>Assurance of Confidentiality Provided to Respondents</w:t>
        </w:r>
        <w:r w:rsidR="00C058BF">
          <w:rPr>
            <w:webHidden/>
          </w:rPr>
          <w:tab/>
        </w:r>
        <w:r w:rsidR="00C058BF">
          <w:rPr>
            <w:webHidden/>
          </w:rPr>
          <w:fldChar w:fldCharType="begin"/>
        </w:r>
        <w:r w:rsidR="00C058BF">
          <w:rPr>
            <w:webHidden/>
          </w:rPr>
          <w:instrText xml:space="preserve"> PAGEREF _Toc457313785 \h </w:instrText>
        </w:r>
        <w:r w:rsidR="00C058BF">
          <w:rPr>
            <w:webHidden/>
          </w:rPr>
        </w:r>
        <w:r w:rsidR="00C058BF">
          <w:rPr>
            <w:webHidden/>
          </w:rPr>
          <w:fldChar w:fldCharType="separate"/>
        </w:r>
        <w:r w:rsidR="009F74F9">
          <w:rPr>
            <w:webHidden/>
          </w:rPr>
          <w:t>9</w:t>
        </w:r>
        <w:r w:rsidR="00C058BF">
          <w:rPr>
            <w:webHidden/>
          </w:rPr>
          <w:fldChar w:fldCharType="end"/>
        </w:r>
      </w:hyperlink>
    </w:p>
    <w:p w:rsidR="00C058BF" w:rsidRDefault="00B04CD0" w14:paraId="56A9A71B" w14:textId="218184A6">
      <w:pPr>
        <w:pStyle w:val="TOC2"/>
        <w:tabs>
          <w:tab w:val="left" w:pos="2340"/>
        </w:tabs>
        <w:rPr>
          <w:rFonts w:asciiTheme="minorHAnsi" w:hAnsiTheme="minorHAnsi" w:eastAsiaTheme="minorEastAsia" w:cstheme="minorBidi"/>
          <w:sz w:val="22"/>
          <w:szCs w:val="22"/>
        </w:rPr>
      </w:pPr>
      <w:hyperlink w:history="1" w:anchor="_Toc457313786">
        <w:r w:rsidRPr="00AA7371" w:rsidR="00C058BF">
          <w:rPr>
            <w:rStyle w:val="Hyperlink"/>
          </w:rPr>
          <w:t>A.11</w:t>
        </w:r>
        <w:r w:rsidR="00C058BF">
          <w:rPr>
            <w:rFonts w:asciiTheme="minorHAnsi" w:hAnsiTheme="minorHAnsi" w:eastAsiaTheme="minorEastAsia" w:cstheme="minorBidi"/>
            <w:sz w:val="22"/>
            <w:szCs w:val="22"/>
          </w:rPr>
          <w:tab/>
        </w:r>
        <w:r w:rsidRPr="00AA7371" w:rsidR="00C058BF">
          <w:rPr>
            <w:rStyle w:val="Hyperlink"/>
          </w:rPr>
          <w:t>Justification for Sensitive Questions</w:t>
        </w:r>
        <w:r w:rsidR="00C058BF">
          <w:rPr>
            <w:webHidden/>
          </w:rPr>
          <w:tab/>
        </w:r>
        <w:r w:rsidR="00C058BF">
          <w:rPr>
            <w:webHidden/>
          </w:rPr>
          <w:fldChar w:fldCharType="begin"/>
        </w:r>
        <w:r w:rsidR="00C058BF">
          <w:rPr>
            <w:webHidden/>
          </w:rPr>
          <w:instrText xml:space="preserve"> PAGEREF _Toc457313786 \h </w:instrText>
        </w:r>
        <w:r w:rsidR="00C058BF">
          <w:rPr>
            <w:webHidden/>
          </w:rPr>
        </w:r>
        <w:r w:rsidR="00C058BF">
          <w:rPr>
            <w:webHidden/>
          </w:rPr>
          <w:fldChar w:fldCharType="separate"/>
        </w:r>
        <w:r w:rsidR="009F74F9">
          <w:rPr>
            <w:webHidden/>
          </w:rPr>
          <w:t>10</w:t>
        </w:r>
        <w:r w:rsidR="00C058BF">
          <w:rPr>
            <w:webHidden/>
          </w:rPr>
          <w:fldChar w:fldCharType="end"/>
        </w:r>
      </w:hyperlink>
    </w:p>
    <w:p w:rsidR="00C058BF" w:rsidRDefault="00B04CD0" w14:paraId="457C90A6" w14:textId="1F963ACD">
      <w:pPr>
        <w:pStyle w:val="TOC2"/>
        <w:tabs>
          <w:tab w:val="left" w:pos="2340"/>
        </w:tabs>
        <w:rPr>
          <w:rFonts w:asciiTheme="minorHAnsi" w:hAnsiTheme="minorHAnsi" w:eastAsiaTheme="minorEastAsia" w:cstheme="minorBidi"/>
          <w:sz w:val="22"/>
          <w:szCs w:val="22"/>
        </w:rPr>
      </w:pPr>
      <w:hyperlink w:history="1" w:anchor="_Toc457313787">
        <w:r w:rsidRPr="00AA7371" w:rsidR="00C058BF">
          <w:rPr>
            <w:rStyle w:val="Hyperlink"/>
          </w:rPr>
          <w:t>A.12</w:t>
        </w:r>
        <w:r w:rsidR="00C058BF">
          <w:rPr>
            <w:rFonts w:asciiTheme="minorHAnsi" w:hAnsiTheme="minorHAnsi" w:eastAsiaTheme="minorEastAsia" w:cstheme="minorBidi"/>
            <w:sz w:val="22"/>
            <w:szCs w:val="22"/>
          </w:rPr>
          <w:tab/>
        </w:r>
        <w:r w:rsidRPr="00AA7371" w:rsidR="00C058BF">
          <w:rPr>
            <w:rStyle w:val="Hyperlink"/>
          </w:rPr>
          <w:t>Estimates of Annualized Burden Hours and Costs to Respondents</w:t>
        </w:r>
        <w:r w:rsidR="00C058BF">
          <w:rPr>
            <w:webHidden/>
          </w:rPr>
          <w:tab/>
        </w:r>
        <w:r w:rsidR="00C058BF">
          <w:rPr>
            <w:webHidden/>
          </w:rPr>
          <w:fldChar w:fldCharType="begin"/>
        </w:r>
        <w:r w:rsidR="00C058BF">
          <w:rPr>
            <w:webHidden/>
          </w:rPr>
          <w:instrText xml:space="preserve"> PAGEREF _Toc457313787 \h </w:instrText>
        </w:r>
        <w:r w:rsidR="00C058BF">
          <w:rPr>
            <w:webHidden/>
          </w:rPr>
        </w:r>
        <w:r w:rsidR="00C058BF">
          <w:rPr>
            <w:webHidden/>
          </w:rPr>
          <w:fldChar w:fldCharType="separate"/>
        </w:r>
        <w:r w:rsidR="009F74F9">
          <w:rPr>
            <w:webHidden/>
          </w:rPr>
          <w:t>10</w:t>
        </w:r>
        <w:r w:rsidR="00C058BF">
          <w:rPr>
            <w:webHidden/>
          </w:rPr>
          <w:fldChar w:fldCharType="end"/>
        </w:r>
      </w:hyperlink>
    </w:p>
    <w:p w:rsidR="00C058BF" w:rsidRDefault="00B04CD0" w14:paraId="56C601FA" w14:textId="05447F3C">
      <w:pPr>
        <w:pStyle w:val="TOC3"/>
        <w:tabs>
          <w:tab w:val="left" w:pos="2340"/>
        </w:tabs>
        <w:rPr>
          <w:rFonts w:asciiTheme="minorHAnsi" w:hAnsiTheme="minorHAnsi" w:eastAsiaTheme="minorEastAsia" w:cstheme="minorBidi"/>
          <w:sz w:val="22"/>
          <w:szCs w:val="22"/>
        </w:rPr>
      </w:pPr>
      <w:hyperlink w:history="1" w:anchor="_Toc457313788">
        <w:r w:rsidRPr="00AA7371" w:rsidR="00C058BF">
          <w:rPr>
            <w:rStyle w:val="Hyperlink"/>
          </w:rPr>
          <w:t>A.12.1</w:t>
        </w:r>
        <w:r w:rsidR="00C058BF">
          <w:rPr>
            <w:rFonts w:asciiTheme="minorHAnsi" w:hAnsiTheme="minorHAnsi" w:eastAsiaTheme="minorEastAsia" w:cstheme="minorBidi"/>
            <w:sz w:val="22"/>
            <w:szCs w:val="22"/>
          </w:rPr>
          <w:tab/>
        </w:r>
        <w:r w:rsidRPr="00AA7371" w:rsidR="00C058BF">
          <w:rPr>
            <w:rStyle w:val="Hyperlink"/>
          </w:rPr>
          <w:t>Estimated Annualized Burden Hours</w:t>
        </w:r>
        <w:r w:rsidR="00C058BF">
          <w:rPr>
            <w:webHidden/>
          </w:rPr>
          <w:tab/>
        </w:r>
        <w:r w:rsidR="00C058BF">
          <w:rPr>
            <w:webHidden/>
          </w:rPr>
          <w:fldChar w:fldCharType="begin"/>
        </w:r>
        <w:r w:rsidR="00C058BF">
          <w:rPr>
            <w:webHidden/>
          </w:rPr>
          <w:instrText xml:space="preserve"> PAGEREF _Toc457313788 \h </w:instrText>
        </w:r>
        <w:r w:rsidR="00C058BF">
          <w:rPr>
            <w:webHidden/>
          </w:rPr>
        </w:r>
        <w:r w:rsidR="00C058BF">
          <w:rPr>
            <w:webHidden/>
          </w:rPr>
          <w:fldChar w:fldCharType="separate"/>
        </w:r>
        <w:r w:rsidR="009F74F9">
          <w:rPr>
            <w:webHidden/>
          </w:rPr>
          <w:t>10</w:t>
        </w:r>
        <w:r w:rsidR="00C058BF">
          <w:rPr>
            <w:webHidden/>
          </w:rPr>
          <w:fldChar w:fldCharType="end"/>
        </w:r>
      </w:hyperlink>
    </w:p>
    <w:p w:rsidR="00C058BF" w:rsidRDefault="00B04CD0" w14:paraId="0546AD37" w14:textId="62640E98">
      <w:pPr>
        <w:pStyle w:val="TOC3"/>
        <w:tabs>
          <w:tab w:val="left" w:pos="2340"/>
        </w:tabs>
        <w:rPr>
          <w:rFonts w:asciiTheme="minorHAnsi" w:hAnsiTheme="minorHAnsi" w:eastAsiaTheme="minorEastAsia" w:cstheme="minorBidi"/>
          <w:sz w:val="22"/>
          <w:szCs w:val="22"/>
        </w:rPr>
      </w:pPr>
      <w:hyperlink w:history="1" w:anchor="_Toc457313789">
        <w:r w:rsidRPr="00AA7371" w:rsidR="00C058BF">
          <w:rPr>
            <w:rStyle w:val="Hyperlink"/>
          </w:rPr>
          <w:t>A.12.2</w:t>
        </w:r>
        <w:r w:rsidR="00C058BF">
          <w:rPr>
            <w:rFonts w:asciiTheme="minorHAnsi" w:hAnsiTheme="minorHAnsi" w:eastAsiaTheme="minorEastAsia" w:cstheme="minorBidi"/>
            <w:sz w:val="22"/>
            <w:szCs w:val="22"/>
          </w:rPr>
          <w:tab/>
        </w:r>
        <w:r w:rsidRPr="00AA7371" w:rsidR="00C058BF">
          <w:rPr>
            <w:rStyle w:val="Hyperlink"/>
          </w:rPr>
          <w:t>Estimated Annualized Cost to Respondents</w:t>
        </w:r>
        <w:r w:rsidR="00C058BF">
          <w:rPr>
            <w:webHidden/>
          </w:rPr>
          <w:tab/>
        </w:r>
        <w:r w:rsidR="00C058BF">
          <w:rPr>
            <w:webHidden/>
          </w:rPr>
          <w:fldChar w:fldCharType="begin"/>
        </w:r>
        <w:r w:rsidR="00C058BF">
          <w:rPr>
            <w:webHidden/>
          </w:rPr>
          <w:instrText xml:space="preserve"> PAGEREF _Toc457313789 \h </w:instrText>
        </w:r>
        <w:r w:rsidR="00C058BF">
          <w:rPr>
            <w:webHidden/>
          </w:rPr>
        </w:r>
        <w:r w:rsidR="00C058BF">
          <w:rPr>
            <w:webHidden/>
          </w:rPr>
          <w:fldChar w:fldCharType="separate"/>
        </w:r>
        <w:r w:rsidR="009F74F9">
          <w:rPr>
            <w:webHidden/>
          </w:rPr>
          <w:t>11</w:t>
        </w:r>
        <w:r w:rsidR="00C058BF">
          <w:rPr>
            <w:webHidden/>
          </w:rPr>
          <w:fldChar w:fldCharType="end"/>
        </w:r>
      </w:hyperlink>
    </w:p>
    <w:p w:rsidR="00C058BF" w:rsidRDefault="00B04CD0" w14:paraId="036FBED9" w14:textId="1A279971">
      <w:pPr>
        <w:pStyle w:val="TOC2"/>
        <w:tabs>
          <w:tab w:val="left" w:pos="2340"/>
        </w:tabs>
        <w:rPr>
          <w:rFonts w:asciiTheme="minorHAnsi" w:hAnsiTheme="minorHAnsi" w:eastAsiaTheme="minorEastAsia" w:cstheme="minorBidi"/>
          <w:sz w:val="22"/>
          <w:szCs w:val="22"/>
        </w:rPr>
      </w:pPr>
      <w:hyperlink w:history="1" w:anchor="_Toc457313790">
        <w:r w:rsidRPr="00AA7371" w:rsidR="00C058BF">
          <w:rPr>
            <w:rStyle w:val="Hyperlink"/>
          </w:rPr>
          <w:t>A.13</w:t>
        </w:r>
        <w:r w:rsidR="00C058BF">
          <w:rPr>
            <w:rFonts w:asciiTheme="minorHAnsi" w:hAnsiTheme="minorHAnsi" w:eastAsiaTheme="minorEastAsia" w:cstheme="minorBidi"/>
            <w:sz w:val="22"/>
            <w:szCs w:val="22"/>
          </w:rPr>
          <w:tab/>
        </w:r>
        <w:r w:rsidRPr="00AA7371" w:rsidR="00C058BF">
          <w:rPr>
            <w:rStyle w:val="Hyperlink"/>
          </w:rPr>
          <w:t xml:space="preserve">Estimates of Other Total Annual Cost Burden to Respondents or </w:t>
        </w:r>
        <w:r w:rsidR="00C058BF">
          <w:rPr>
            <w:rStyle w:val="Hyperlink"/>
          </w:rPr>
          <w:br/>
        </w:r>
        <w:r w:rsidRPr="00AA7371" w:rsidR="00C058BF">
          <w:rPr>
            <w:rStyle w:val="Hyperlink"/>
          </w:rPr>
          <w:t>Record Keepers</w:t>
        </w:r>
        <w:r w:rsidR="00C058BF">
          <w:rPr>
            <w:webHidden/>
          </w:rPr>
          <w:tab/>
        </w:r>
        <w:r w:rsidR="00C058BF">
          <w:rPr>
            <w:webHidden/>
          </w:rPr>
          <w:fldChar w:fldCharType="begin"/>
        </w:r>
        <w:r w:rsidR="00C058BF">
          <w:rPr>
            <w:webHidden/>
          </w:rPr>
          <w:instrText xml:space="preserve"> PAGEREF _Toc457313790 \h </w:instrText>
        </w:r>
        <w:r w:rsidR="00C058BF">
          <w:rPr>
            <w:webHidden/>
          </w:rPr>
        </w:r>
        <w:r w:rsidR="00C058BF">
          <w:rPr>
            <w:webHidden/>
          </w:rPr>
          <w:fldChar w:fldCharType="separate"/>
        </w:r>
        <w:r w:rsidR="009F74F9">
          <w:rPr>
            <w:webHidden/>
          </w:rPr>
          <w:t>11</w:t>
        </w:r>
        <w:r w:rsidR="00C058BF">
          <w:rPr>
            <w:webHidden/>
          </w:rPr>
          <w:fldChar w:fldCharType="end"/>
        </w:r>
      </w:hyperlink>
    </w:p>
    <w:p w:rsidR="00C058BF" w:rsidRDefault="00B04CD0" w14:paraId="70F93038" w14:textId="797525D0">
      <w:pPr>
        <w:pStyle w:val="TOC2"/>
        <w:tabs>
          <w:tab w:val="left" w:pos="2340"/>
        </w:tabs>
        <w:rPr>
          <w:rFonts w:asciiTheme="minorHAnsi" w:hAnsiTheme="minorHAnsi" w:eastAsiaTheme="minorEastAsia" w:cstheme="minorBidi"/>
          <w:sz w:val="22"/>
          <w:szCs w:val="22"/>
        </w:rPr>
      </w:pPr>
      <w:hyperlink w:history="1" w:anchor="_Toc457313791">
        <w:r w:rsidRPr="00AA7371" w:rsidR="00C058BF">
          <w:rPr>
            <w:rStyle w:val="Hyperlink"/>
          </w:rPr>
          <w:t>A.14</w:t>
        </w:r>
        <w:r w:rsidR="00C058BF">
          <w:rPr>
            <w:rFonts w:asciiTheme="minorHAnsi" w:hAnsiTheme="minorHAnsi" w:eastAsiaTheme="minorEastAsia" w:cstheme="minorBidi"/>
            <w:sz w:val="22"/>
            <w:szCs w:val="22"/>
          </w:rPr>
          <w:tab/>
        </w:r>
        <w:r w:rsidRPr="00AA7371" w:rsidR="00C058BF">
          <w:rPr>
            <w:rStyle w:val="Hyperlink"/>
          </w:rPr>
          <w:t>Annualized Cost to the Federal Government</w:t>
        </w:r>
        <w:r w:rsidR="00C058BF">
          <w:rPr>
            <w:webHidden/>
          </w:rPr>
          <w:tab/>
        </w:r>
        <w:r w:rsidR="00C058BF">
          <w:rPr>
            <w:webHidden/>
          </w:rPr>
          <w:fldChar w:fldCharType="begin"/>
        </w:r>
        <w:r w:rsidR="00C058BF">
          <w:rPr>
            <w:webHidden/>
          </w:rPr>
          <w:instrText xml:space="preserve"> PAGEREF _Toc457313791 \h </w:instrText>
        </w:r>
        <w:r w:rsidR="00C058BF">
          <w:rPr>
            <w:webHidden/>
          </w:rPr>
        </w:r>
        <w:r w:rsidR="00C058BF">
          <w:rPr>
            <w:webHidden/>
          </w:rPr>
          <w:fldChar w:fldCharType="separate"/>
        </w:r>
        <w:r w:rsidR="009F74F9">
          <w:rPr>
            <w:webHidden/>
          </w:rPr>
          <w:t>11</w:t>
        </w:r>
        <w:r w:rsidR="00C058BF">
          <w:rPr>
            <w:webHidden/>
          </w:rPr>
          <w:fldChar w:fldCharType="end"/>
        </w:r>
      </w:hyperlink>
    </w:p>
    <w:p w:rsidR="00C058BF" w:rsidRDefault="00B04CD0" w14:paraId="22BBC6B0" w14:textId="656C01D6">
      <w:pPr>
        <w:pStyle w:val="TOC2"/>
        <w:tabs>
          <w:tab w:val="left" w:pos="2340"/>
        </w:tabs>
        <w:rPr>
          <w:rFonts w:asciiTheme="minorHAnsi" w:hAnsiTheme="minorHAnsi" w:eastAsiaTheme="minorEastAsia" w:cstheme="minorBidi"/>
          <w:sz w:val="22"/>
          <w:szCs w:val="22"/>
        </w:rPr>
      </w:pPr>
      <w:hyperlink w:history="1" w:anchor="_Toc457313792">
        <w:r w:rsidRPr="00AA7371" w:rsidR="00C058BF">
          <w:rPr>
            <w:rStyle w:val="Hyperlink"/>
          </w:rPr>
          <w:t>A.15</w:t>
        </w:r>
        <w:r w:rsidR="00C058BF">
          <w:rPr>
            <w:rFonts w:asciiTheme="minorHAnsi" w:hAnsiTheme="minorHAnsi" w:eastAsiaTheme="minorEastAsia" w:cstheme="minorBidi"/>
            <w:sz w:val="22"/>
            <w:szCs w:val="22"/>
          </w:rPr>
          <w:tab/>
        </w:r>
        <w:r w:rsidRPr="00AA7371" w:rsidR="00C058BF">
          <w:rPr>
            <w:rStyle w:val="Hyperlink"/>
          </w:rPr>
          <w:t>Explanation for Program Changes or Adjustments</w:t>
        </w:r>
        <w:r w:rsidR="00C058BF">
          <w:rPr>
            <w:webHidden/>
          </w:rPr>
          <w:tab/>
        </w:r>
        <w:r w:rsidR="00C058BF">
          <w:rPr>
            <w:webHidden/>
          </w:rPr>
          <w:fldChar w:fldCharType="begin"/>
        </w:r>
        <w:r w:rsidR="00C058BF">
          <w:rPr>
            <w:webHidden/>
          </w:rPr>
          <w:instrText xml:space="preserve"> PAGEREF _Toc457313792 \h </w:instrText>
        </w:r>
        <w:r w:rsidR="00C058BF">
          <w:rPr>
            <w:webHidden/>
          </w:rPr>
        </w:r>
        <w:r w:rsidR="00C058BF">
          <w:rPr>
            <w:webHidden/>
          </w:rPr>
          <w:fldChar w:fldCharType="separate"/>
        </w:r>
        <w:r w:rsidR="009F74F9">
          <w:rPr>
            <w:webHidden/>
          </w:rPr>
          <w:t>12</w:t>
        </w:r>
        <w:r w:rsidR="00C058BF">
          <w:rPr>
            <w:webHidden/>
          </w:rPr>
          <w:fldChar w:fldCharType="end"/>
        </w:r>
      </w:hyperlink>
    </w:p>
    <w:p w:rsidR="00C058BF" w:rsidRDefault="00B04CD0" w14:paraId="18C2089C" w14:textId="1F822928">
      <w:pPr>
        <w:pStyle w:val="TOC2"/>
        <w:tabs>
          <w:tab w:val="left" w:pos="2340"/>
        </w:tabs>
        <w:rPr>
          <w:rFonts w:asciiTheme="minorHAnsi" w:hAnsiTheme="minorHAnsi" w:eastAsiaTheme="minorEastAsia" w:cstheme="minorBidi"/>
          <w:sz w:val="22"/>
          <w:szCs w:val="22"/>
        </w:rPr>
      </w:pPr>
      <w:hyperlink w:history="1" w:anchor="_Toc457313793">
        <w:r w:rsidRPr="00AA7371" w:rsidR="00C058BF">
          <w:rPr>
            <w:rStyle w:val="Hyperlink"/>
          </w:rPr>
          <w:t>A.16</w:t>
        </w:r>
        <w:r w:rsidR="00C058BF">
          <w:rPr>
            <w:rFonts w:asciiTheme="minorHAnsi" w:hAnsiTheme="minorHAnsi" w:eastAsiaTheme="minorEastAsia" w:cstheme="minorBidi"/>
            <w:sz w:val="22"/>
            <w:szCs w:val="22"/>
          </w:rPr>
          <w:tab/>
        </w:r>
        <w:r w:rsidRPr="00AA7371" w:rsidR="00C058BF">
          <w:rPr>
            <w:rStyle w:val="Hyperlink"/>
          </w:rPr>
          <w:t>Plans for Tabulation and Publication and Project Time Schedule</w:t>
        </w:r>
        <w:r w:rsidR="00C058BF">
          <w:rPr>
            <w:webHidden/>
          </w:rPr>
          <w:tab/>
        </w:r>
        <w:r w:rsidR="00C058BF">
          <w:rPr>
            <w:webHidden/>
          </w:rPr>
          <w:fldChar w:fldCharType="begin"/>
        </w:r>
        <w:r w:rsidR="00C058BF">
          <w:rPr>
            <w:webHidden/>
          </w:rPr>
          <w:instrText xml:space="preserve"> PAGEREF _Toc457313793 \h </w:instrText>
        </w:r>
        <w:r w:rsidR="00C058BF">
          <w:rPr>
            <w:webHidden/>
          </w:rPr>
        </w:r>
        <w:r w:rsidR="00C058BF">
          <w:rPr>
            <w:webHidden/>
          </w:rPr>
          <w:fldChar w:fldCharType="separate"/>
        </w:r>
        <w:r w:rsidR="009F74F9">
          <w:rPr>
            <w:webHidden/>
          </w:rPr>
          <w:t>12</w:t>
        </w:r>
        <w:r w:rsidR="00C058BF">
          <w:rPr>
            <w:webHidden/>
          </w:rPr>
          <w:fldChar w:fldCharType="end"/>
        </w:r>
      </w:hyperlink>
    </w:p>
    <w:p w:rsidR="00C058BF" w:rsidRDefault="00B04CD0" w14:paraId="66D104C3" w14:textId="215560B1">
      <w:pPr>
        <w:pStyle w:val="TOC3"/>
        <w:rPr>
          <w:rFonts w:asciiTheme="minorHAnsi" w:hAnsiTheme="minorHAnsi" w:eastAsiaTheme="minorEastAsia" w:cstheme="minorBidi"/>
          <w:sz w:val="22"/>
          <w:szCs w:val="22"/>
        </w:rPr>
      </w:pPr>
      <w:hyperlink w:history="1" w:anchor="_Toc457313794">
        <w:r w:rsidRPr="00AA7371" w:rsidR="00C058BF">
          <w:rPr>
            <w:rStyle w:val="Hyperlink"/>
          </w:rPr>
          <w:t>A.16.2 Publication Plan</w:t>
        </w:r>
        <w:r w:rsidR="00C058BF">
          <w:rPr>
            <w:webHidden/>
          </w:rPr>
          <w:tab/>
        </w:r>
        <w:r w:rsidR="00C058BF">
          <w:rPr>
            <w:webHidden/>
          </w:rPr>
          <w:fldChar w:fldCharType="begin"/>
        </w:r>
        <w:r w:rsidR="00C058BF">
          <w:rPr>
            <w:webHidden/>
          </w:rPr>
          <w:instrText xml:space="preserve"> PAGEREF _Toc457313794 \h </w:instrText>
        </w:r>
        <w:r w:rsidR="00C058BF">
          <w:rPr>
            <w:webHidden/>
          </w:rPr>
        </w:r>
        <w:r w:rsidR="00C058BF">
          <w:rPr>
            <w:webHidden/>
          </w:rPr>
          <w:fldChar w:fldCharType="separate"/>
        </w:r>
        <w:r w:rsidR="009F74F9">
          <w:rPr>
            <w:webHidden/>
          </w:rPr>
          <w:t>12</w:t>
        </w:r>
        <w:r w:rsidR="00C058BF">
          <w:rPr>
            <w:webHidden/>
          </w:rPr>
          <w:fldChar w:fldCharType="end"/>
        </w:r>
      </w:hyperlink>
    </w:p>
    <w:p w:rsidR="00C058BF" w:rsidRDefault="00B04CD0" w14:paraId="7BB0A09A" w14:textId="2AD4F640">
      <w:pPr>
        <w:pStyle w:val="TOC3"/>
        <w:tabs>
          <w:tab w:val="left" w:pos="2340"/>
        </w:tabs>
        <w:rPr>
          <w:rFonts w:asciiTheme="minorHAnsi" w:hAnsiTheme="minorHAnsi" w:eastAsiaTheme="minorEastAsia" w:cstheme="minorBidi"/>
          <w:sz w:val="22"/>
          <w:szCs w:val="22"/>
        </w:rPr>
      </w:pPr>
      <w:hyperlink w:history="1" w:anchor="_Toc457313795">
        <w:r w:rsidRPr="00AA7371" w:rsidR="00C058BF">
          <w:rPr>
            <w:rStyle w:val="Hyperlink"/>
          </w:rPr>
          <w:t>A.16.3</w:t>
        </w:r>
        <w:r w:rsidR="00C058BF">
          <w:rPr>
            <w:rFonts w:asciiTheme="minorHAnsi" w:hAnsiTheme="minorHAnsi" w:eastAsiaTheme="minorEastAsia" w:cstheme="minorBidi"/>
            <w:sz w:val="22"/>
            <w:szCs w:val="22"/>
          </w:rPr>
          <w:tab/>
        </w:r>
        <w:r w:rsidRPr="00AA7371" w:rsidR="00C058BF">
          <w:rPr>
            <w:rStyle w:val="Hyperlink"/>
          </w:rPr>
          <w:t>Project Timeline</w:t>
        </w:r>
        <w:r w:rsidR="00C058BF">
          <w:rPr>
            <w:webHidden/>
          </w:rPr>
          <w:tab/>
        </w:r>
        <w:r w:rsidR="00C058BF">
          <w:rPr>
            <w:webHidden/>
          </w:rPr>
          <w:fldChar w:fldCharType="begin"/>
        </w:r>
        <w:r w:rsidR="00C058BF">
          <w:rPr>
            <w:webHidden/>
          </w:rPr>
          <w:instrText xml:space="preserve"> PAGEREF _Toc457313795 \h </w:instrText>
        </w:r>
        <w:r w:rsidR="00C058BF">
          <w:rPr>
            <w:webHidden/>
          </w:rPr>
        </w:r>
        <w:r w:rsidR="00C058BF">
          <w:rPr>
            <w:webHidden/>
          </w:rPr>
          <w:fldChar w:fldCharType="separate"/>
        </w:r>
        <w:r w:rsidR="009F74F9">
          <w:rPr>
            <w:webHidden/>
          </w:rPr>
          <w:t>12</w:t>
        </w:r>
        <w:r w:rsidR="00C058BF">
          <w:rPr>
            <w:webHidden/>
          </w:rPr>
          <w:fldChar w:fldCharType="end"/>
        </w:r>
      </w:hyperlink>
    </w:p>
    <w:p w:rsidR="00C058BF" w:rsidRDefault="00B04CD0" w14:paraId="420E2623" w14:textId="11068184">
      <w:pPr>
        <w:pStyle w:val="TOC2"/>
        <w:tabs>
          <w:tab w:val="left" w:pos="2340"/>
        </w:tabs>
        <w:rPr>
          <w:rFonts w:asciiTheme="minorHAnsi" w:hAnsiTheme="minorHAnsi" w:eastAsiaTheme="minorEastAsia" w:cstheme="minorBidi"/>
          <w:sz w:val="22"/>
          <w:szCs w:val="22"/>
        </w:rPr>
      </w:pPr>
      <w:hyperlink w:history="1" w:anchor="_Toc457313796">
        <w:r w:rsidRPr="00AA7371" w:rsidR="00C058BF">
          <w:rPr>
            <w:rStyle w:val="Hyperlink"/>
          </w:rPr>
          <w:t>A.17</w:t>
        </w:r>
        <w:r w:rsidR="00C058BF">
          <w:rPr>
            <w:rFonts w:asciiTheme="minorHAnsi" w:hAnsiTheme="minorHAnsi" w:eastAsiaTheme="minorEastAsia" w:cstheme="minorBidi"/>
            <w:sz w:val="22"/>
            <w:szCs w:val="22"/>
          </w:rPr>
          <w:tab/>
        </w:r>
        <w:r w:rsidRPr="00AA7371" w:rsidR="00C058BF">
          <w:rPr>
            <w:rStyle w:val="Hyperlink"/>
          </w:rPr>
          <w:t>Reason(s) Display of OMB Expiration Date Is Inappropriate</w:t>
        </w:r>
        <w:r w:rsidR="00C058BF">
          <w:rPr>
            <w:webHidden/>
          </w:rPr>
          <w:tab/>
        </w:r>
        <w:r w:rsidR="00C058BF">
          <w:rPr>
            <w:webHidden/>
          </w:rPr>
          <w:fldChar w:fldCharType="begin"/>
        </w:r>
        <w:r w:rsidR="00C058BF">
          <w:rPr>
            <w:webHidden/>
          </w:rPr>
          <w:instrText xml:space="preserve"> PAGEREF _Toc457313796 \h </w:instrText>
        </w:r>
        <w:r w:rsidR="00C058BF">
          <w:rPr>
            <w:webHidden/>
          </w:rPr>
        </w:r>
        <w:r w:rsidR="00C058BF">
          <w:rPr>
            <w:webHidden/>
          </w:rPr>
          <w:fldChar w:fldCharType="separate"/>
        </w:r>
        <w:r w:rsidR="009F74F9">
          <w:rPr>
            <w:webHidden/>
          </w:rPr>
          <w:t>13</w:t>
        </w:r>
        <w:r w:rsidR="00C058BF">
          <w:rPr>
            <w:webHidden/>
          </w:rPr>
          <w:fldChar w:fldCharType="end"/>
        </w:r>
      </w:hyperlink>
    </w:p>
    <w:p w:rsidR="00C058BF" w:rsidRDefault="00B04CD0" w14:paraId="33D9DFA9" w14:textId="52AEF715">
      <w:pPr>
        <w:pStyle w:val="TOC2"/>
        <w:tabs>
          <w:tab w:val="left" w:pos="2340"/>
        </w:tabs>
        <w:rPr>
          <w:rFonts w:asciiTheme="minorHAnsi" w:hAnsiTheme="minorHAnsi" w:eastAsiaTheme="minorEastAsia" w:cstheme="minorBidi"/>
          <w:sz w:val="22"/>
          <w:szCs w:val="22"/>
        </w:rPr>
      </w:pPr>
      <w:hyperlink w:history="1" w:anchor="_Toc457313797">
        <w:r w:rsidRPr="00AA7371" w:rsidR="00C058BF">
          <w:rPr>
            <w:rStyle w:val="Hyperlink"/>
          </w:rPr>
          <w:t>A.18</w:t>
        </w:r>
        <w:r w:rsidR="00C058BF">
          <w:rPr>
            <w:rFonts w:asciiTheme="minorHAnsi" w:hAnsiTheme="minorHAnsi" w:eastAsiaTheme="minorEastAsia" w:cstheme="minorBidi"/>
            <w:sz w:val="22"/>
            <w:szCs w:val="22"/>
          </w:rPr>
          <w:tab/>
        </w:r>
        <w:r w:rsidRPr="00AA7371" w:rsidR="00C058BF">
          <w:rPr>
            <w:rStyle w:val="Hyperlink"/>
          </w:rPr>
          <w:t>Exceptions to Certification for Paperwork Reduction Act Submissions</w:t>
        </w:r>
        <w:r w:rsidR="00C058BF">
          <w:rPr>
            <w:webHidden/>
          </w:rPr>
          <w:tab/>
        </w:r>
        <w:r w:rsidR="00C058BF">
          <w:rPr>
            <w:webHidden/>
          </w:rPr>
          <w:fldChar w:fldCharType="begin"/>
        </w:r>
        <w:r w:rsidR="00C058BF">
          <w:rPr>
            <w:webHidden/>
          </w:rPr>
          <w:instrText xml:space="preserve"> PAGEREF _Toc457313797 \h </w:instrText>
        </w:r>
        <w:r w:rsidR="00C058BF">
          <w:rPr>
            <w:webHidden/>
          </w:rPr>
        </w:r>
        <w:r w:rsidR="00C058BF">
          <w:rPr>
            <w:webHidden/>
          </w:rPr>
          <w:fldChar w:fldCharType="separate"/>
        </w:r>
        <w:r w:rsidR="009F74F9">
          <w:rPr>
            <w:webHidden/>
          </w:rPr>
          <w:t>13</w:t>
        </w:r>
        <w:r w:rsidR="00C058BF">
          <w:rPr>
            <w:webHidden/>
          </w:rPr>
          <w:fldChar w:fldCharType="end"/>
        </w:r>
      </w:hyperlink>
    </w:p>
    <w:p w:rsidR="00C058BF" w:rsidRDefault="00B04CD0" w14:paraId="48663328" w14:textId="2B561543">
      <w:pPr>
        <w:pStyle w:val="TOC1"/>
        <w:rPr>
          <w:rFonts w:asciiTheme="minorHAnsi" w:hAnsiTheme="minorHAnsi" w:eastAsiaTheme="minorEastAsia" w:cstheme="minorBidi"/>
          <w:sz w:val="22"/>
          <w:szCs w:val="22"/>
        </w:rPr>
      </w:pPr>
      <w:hyperlink w:history="1" w:anchor="_Toc457313798">
        <w:r w:rsidRPr="00AA7371" w:rsidR="00C058BF">
          <w:rPr>
            <w:rStyle w:val="Hyperlink"/>
          </w:rPr>
          <w:t>References</w:t>
        </w:r>
        <w:r w:rsidR="00C058BF">
          <w:rPr>
            <w:webHidden/>
          </w:rPr>
          <w:tab/>
        </w:r>
        <w:r w:rsidR="00C058BF">
          <w:rPr>
            <w:webHidden/>
          </w:rPr>
          <w:fldChar w:fldCharType="begin"/>
        </w:r>
        <w:r w:rsidR="00C058BF">
          <w:rPr>
            <w:webHidden/>
          </w:rPr>
          <w:instrText xml:space="preserve"> PAGEREF _Toc457313798 \h </w:instrText>
        </w:r>
        <w:r w:rsidR="00C058BF">
          <w:rPr>
            <w:webHidden/>
          </w:rPr>
        </w:r>
        <w:r w:rsidR="00C058BF">
          <w:rPr>
            <w:webHidden/>
          </w:rPr>
          <w:fldChar w:fldCharType="separate"/>
        </w:r>
        <w:r w:rsidR="009F74F9">
          <w:rPr>
            <w:webHidden/>
          </w:rPr>
          <w:t>14</w:t>
        </w:r>
        <w:r w:rsidR="00C058BF">
          <w:rPr>
            <w:webHidden/>
          </w:rPr>
          <w:fldChar w:fldCharType="end"/>
        </w:r>
      </w:hyperlink>
    </w:p>
    <w:p w:rsidRPr="005C43A1" w:rsidR="00F72F56" w:rsidP="00A935D1" w:rsidRDefault="001D3F03" w14:paraId="7650800C" w14:textId="5BD73528">
      <w:pPr>
        <w:rPr>
          <w:noProof/>
        </w:rPr>
      </w:pPr>
      <w:r w:rsidRPr="005C43A1">
        <w:rPr>
          <w:b/>
          <w:bCs/>
          <w:caps/>
          <w:noProof/>
          <w:color w:val="000000"/>
        </w:rPr>
        <w:fldChar w:fldCharType="end"/>
      </w:r>
    </w:p>
    <w:p w:rsidRPr="005C43A1" w:rsidR="00A935D1" w:rsidP="00A935D1" w:rsidRDefault="00A935D1" w14:paraId="094D32CA" w14:textId="77777777"/>
    <w:p w:rsidRPr="005C43A1" w:rsidR="00F72F56" w:rsidP="00F72F56" w:rsidRDefault="00F72F56" w14:paraId="71A22E8B" w14:textId="77777777">
      <w:pPr>
        <w:rPr>
          <w:noProof/>
        </w:rPr>
      </w:pPr>
    </w:p>
    <w:p w:rsidR="00D55B6C" w:rsidP="00451757" w:rsidRDefault="00D55B6C" w14:paraId="75E08F6A" w14:textId="77777777">
      <w:pPr>
        <w:pStyle w:val="TOC0"/>
      </w:pPr>
    </w:p>
    <w:p w:rsidR="00D55B6C" w:rsidP="00451757" w:rsidRDefault="00D55B6C" w14:paraId="42EADEB4" w14:textId="77777777">
      <w:pPr>
        <w:pStyle w:val="TOC0"/>
      </w:pPr>
    </w:p>
    <w:p w:rsidRPr="005C43A1" w:rsidR="00451757" w:rsidP="00451757" w:rsidRDefault="00451757" w14:paraId="476E6958" w14:textId="77777777">
      <w:pPr>
        <w:pStyle w:val="TOC0"/>
      </w:pPr>
      <w:r w:rsidRPr="005C43A1">
        <w:t>LIST OF ATTACHMENTS</w:t>
      </w:r>
    </w:p>
    <w:p w:rsidRPr="005C43A1" w:rsidR="00451757" w:rsidP="00451757" w:rsidRDefault="00451757" w14:paraId="71CC3985" w14:textId="77777777">
      <w:pPr>
        <w:tabs>
          <w:tab w:val="left" w:pos="-1200"/>
          <w:tab w:val="left" w:pos="-720"/>
        </w:tabs>
        <w:ind w:left="2160" w:hanging="2160"/>
      </w:pPr>
    </w:p>
    <w:p w:rsidR="007D4CFC" w:rsidP="007D4CFC" w:rsidRDefault="002A2CE3" w14:paraId="7C1CCBEE" w14:textId="39BA550C">
      <w:r>
        <w:t xml:space="preserve">Attachment 1.  </w:t>
      </w:r>
      <w:r w:rsidR="0098380F">
        <w:t>Supplemental Information Request</w:t>
      </w:r>
    </w:p>
    <w:p w:rsidR="00F31793" w:rsidP="007D4CFC" w:rsidRDefault="00F31793" w14:paraId="3C5D8806" w14:textId="26E53B1D">
      <w:r>
        <w:t xml:space="preserve">Attachment 2.  PFO </w:t>
      </w:r>
      <w:proofErr w:type="spellStart"/>
      <w:r>
        <w:t>Workplan</w:t>
      </w:r>
      <w:proofErr w:type="spellEnd"/>
      <w:r>
        <w:t xml:space="preserve"> Timeline</w:t>
      </w:r>
      <w:r w:rsidR="00DA25AC">
        <w:t xml:space="preserve"> Template</w:t>
      </w:r>
    </w:p>
    <w:p w:rsidR="00A02943" w:rsidP="007D4CFC" w:rsidRDefault="00A02943" w14:paraId="5C58D9B3" w14:textId="6FDB173D">
      <w:r>
        <w:t>Attachment 3. 60-Day FRN</w:t>
      </w:r>
    </w:p>
    <w:p w:rsidR="00A02943" w:rsidP="007D4CFC" w:rsidRDefault="00A02943" w14:paraId="43176609" w14:textId="35969424">
      <w:r>
        <w:t>Attachment 4. Summary Table of Comments</w:t>
      </w:r>
    </w:p>
    <w:p w:rsidR="008C576C" w:rsidP="001F7C3C" w:rsidRDefault="008C576C" w14:paraId="10A349CF" w14:textId="77777777"/>
    <w:p w:rsidRPr="005C43A1" w:rsidR="00D43F13" w:rsidP="00932612" w:rsidRDefault="00D43F13" w14:paraId="31D4B654" w14:textId="77777777">
      <w:pPr>
        <w:pStyle w:val="Heading1"/>
        <w:rPr>
          <w:color w:val="000000"/>
          <w:szCs w:val="20"/>
        </w:rPr>
      </w:pPr>
      <w:bookmarkStart w:name="_Toc457313775" w:id="2"/>
      <w:r w:rsidRPr="005C43A1">
        <w:rPr>
          <w:color w:val="000000"/>
        </w:rPr>
        <w:t>A.</w:t>
      </w:r>
      <w:r w:rsidRPr="005C43A1" w:rsidR="00932612">
        <w:rPr>
          <w:color w:val="000000"/>
        </w:rPr>
        <w:tab/>
      </w:r>
      <w:r w:rsidRPr="005C43A1">
        <w:rPr>
          <w:color w:val="000000"/>
        </w:rPr>
        <w:t>Justification</w:t>
      </w:r>
      <w:bookmarkEnd w:id="1"/>
      <w:bookmarkEnd w:id="2"/>
    </w:p>
    <w:p w:rsidRPr="005C43A1" w:rsidR="00495ADF" w:rsidP="00495ADF" w:rsidRDefault="00495ADF" w14:paraId="48637999" w14:textId="77777777">
      <w:pPr>
        <w:pStyle w:val="Heading2"/>
      </w:pPr>
      <w:bookmarkStart w:name="_Toc88033459" w:id="3"/>
      <w:bookmarkStart w:name="_Toc457313776" w:id="4"/>
      <w:r w:rsidRPr="005C43A1">
        <w:t>A.1</w:t>
      </w:r>
      <w:r w:rsidRPr="005C43A1">
        <w:tab/>
        <w:t>Circumstances Making the Collection of Information Necessary</w:t>
      </w:r>
      <w:bookmarkEnd w:id="3"/>
      <w:bookmarkEnd w:id="4"/>
    </w:p>
    <w:p w:rsidR="00257478" w:rsidP="009D6B44" w:rsidRDefault="0055363C" w14:paraId="50883090" w14:textId="65634813">
      <w:pPr>
        <w:pStyle w:val="BodyText1"/>
        <w:spacing w:after="0"/>
        <w:rPr>
          <w:rFonts w:eastAsia="Batang"/>
          <w:szCs w:val="24"/>
        </w:rPr>
      </w:pPr>
      <w:r w:rsidRPr="005C43A1">
        <w:rPr>
          <w:rFonts w:eastAsia="Batang"/>
          <w:szCs w:val="24"/>
        </w:rPr>
        <w:t>This is a new</w:t>
      </w:r>
      <w:r w:rsidR="003A589F">
        <w:rPr>
          <w:rFonts w:eastAsia="Batang"/>
          <w:szCs w:val="24"/>
        </w:rPr>
        <w:t xml:space="preserve"> Supplemental Information Request (SIR)</w:t>
      </w:r>
      <w:r w:rsidR="00C058BF">
        <w:rPr>
          <w:rFonts w:eastAsia="Batang"/>
          <w:szCs w:val="24"/>
        </w:rPr>
        <w:t xml:space="preserve">. </w:t>
      </w:r>
      <w:bookmarkStart w:name="OLE_LINK3" w:id="5"/>
      <w:bookmarkStart w:name="OLE_LINK4" w:id="6"/>
      <w:r w:rsidR="00C058BF">
        <w:rPr>
          <w:rFonts w:eastAsia="Batang"/>
          <w:szCs w:val="24"/>
        </w:rPr>
        <w:t>The Health Resources and Services Administration (</w:t>
      </w:r>
      <w:r w:rsidR="00257478">
        <w:rPr>
          <w:rFonts w:eastAsia="Batang"/>
          <w:szCs w:val="24"/>
        </w:rPr>
        <w:t>HRSA</w:t>
      </w:r>
      <w:r w:rsidR="00C058BF">
        <w:rPr>
          <w:rFonts w:eastAsia="Batang"/>
          <w:szCs w:val="24"/>
        </w:rPr>
        <w:t>)</w:t>
      </w:r>
      <w:r w:rsidR="00F046AE">
        <w:rPr>
          <w:rFonts w:eastAsia="Batang"/>
          <w:szCs w:val="24"/>
        </w:rPr>
        <w:t xml:space="preserve"> </w:t>
      </w:r>
      <w:r w:rsidR="004E62E6">
        <w:rPr>
          <w:rFonts w:eastAsia="Batang"/>
          <w:szCs w:val="24"/>
        </w:rPr>
        <w:t xml:space="preserve">requests </w:t>
      </w:r>
      <w:r w:rsidR="00C058BF">
        <w:rPr>
          <w:rFonts w:eastAsia="Batang"/>
          <w:szCs w:val="24"/>
        </w:rPr>
        <w:t xml:space="preserve">Office of Management and Budget </w:t>
      </w:r>
      <w:r w:rsidR="00C058BF">
        <w:rPr>
          <w:rFonts w:eastAsia="Batang"/>
          <w:szCs w:val="24"/>
        </w:rPr>
        <w:lastRenderedPageBreak/>
        <w:t>(</w:t>
      </w:r>
      <w:r w:rsidR="004E62E6">
        <w:rPr>
          <w:rFonts w:eastAsia="Batang"/>
          <w:szCs w:val="24"/>
        </w:rPr>
        <w:t>OMB</w:t>
      </w:r>
      <w:r w:rsidR="00C058BF">
        <w:rPr>
          <w:rFonts w:eastAsia="Batang"/>
          <w:szCs w:val="24"/>
        </w:rPr>
        <w:t>)</w:t>
      </w:r>
      <w:r w:rsidR="004E62E6">
        <w:rPr>
          <w:rFonts w:eastAsia="Batang"/>
          <w:szCs w:val="24"/>
        </w:rPr>
        <w:t xml:space="preserve"> approval</w:t>
      </w:r>
      <w:r w:rsidR="00A209B8">
        <w:rPr>
          <w:rFonts w:eastAsia="Batang"/>
          <w:szCs w:val="24"/>
        </w:rPr>
        <w:t xml:space="preserve"> to </w:t>
      </w:r>
      <w:r w:rsidR="00876088">
        <w:rPr>
          <w:rFonts w:eastAsia="Batang"/>
          <w:szCs w:val="24"/>
        </w:rPr>
        <w:t xml:space="preserve">initiate data collection for </w:t>
      </w:r>
      <w:r w:rsidRPr="00393CC3" w:rsidR="00F30338">
        <w:rPr>
          <w:rFonts w:eastAsia="Batang"/>
          <w:szCs w:val="24"/>
        </w:rPr>
        <w:t>the initiation of a Pay for Outcomes</w:t>
      </w:r>
      <w:r w:rsidR="00393CC3">
        <w:rPr>
          <w:rFonts w:eastAsia="Batang"/>
          <w:szCs w:val="24"/>
        </w:rPr>
        <w:t xml:space="preserve"> </w:t>
      </w:r>
      <w:r w:rsidR="00DA0506">
        <w:rPr>
          <w:rFonts w:eastAsia="Batang"/>
          <w:szCs w:val="24"/>
        </w:rPr>
        <w:t>i</w:t>
      </w:r>
      <w:r w:rsidRPr="00393CC3" w:rsidR="00F30338">
        <w:rPr>
          <w:rFonts w:eastAsia="Batang"/>
          <w:szCs w:val="24"/>
        </w:rPr>
        <w:t xml:space="preserve">nitiative leveraging funding from the Maternal, Infant, and Early Childhood Home Visiting </w:t>
      </w:r>
      <w:r w:rsidR="00FB3105">
        <w:rPr>
          <w:rFonts w:eastAsia="Batang"/>
          <w:szCs w:val="24"/>
        </w:rPr>
        <w:t xml:space="preserve">(MIECHV) </w:t>
      </w:r>
      <w:r w:rsidRPr="00393CC3" w:rsidR="00F30338">
        <w:rPr>
          <w:rFonts w:eastAsia="Batang"/>
          <w:szCs w:val="24"/>
        </w:rPr>
        <w:t>Program</w:t>
      </w:r>
      <w:r w:rsidR="00D2261C">
        <w:rPr>
          <w:rFonts w:eastAsia="Batang"/>
          <w:szCs w:val="24"/>
        </w:rPr>
        <w:t>, as required through statutory change</w:t>
      </w:r>
      <w:r w:rsidR="00AF1219">
        <w:rPr>
          <w:rFonts w:eastAsia="Batang"/>
          <w:szCs w:val="24"/>
        </w:rPr>
        <w:t>s</w:t>
      </w:r>
      <w:r w:rsidR="00D2261C">
        <w:rPr>
          <w:rFonts w:eastAsia="Batang"/>
          <w:szCs w:val="24"/>
        </w:rPr>
        <w:t xml:space="preserve"> included in the Bipartisan Budget Act of 2018 (</w:t>
      </w:r>
      <w:r w:rsidR="00AF1219">
        <w:rPr>
          <w:rFonts w:eastAsia="Batang"/>
          <w:szCs w:val="24"/>
        </w:rPr>
        <w:t>P.L. 115-123</w:t>
      </w:r>
      <w:r w:rsidR="00D2261C">
        <w:rPr>
          <w:rFonts w:eastAsia="Batang"/>
          <w:szCs w:val="24"/>
        </w:rPr>
        <w:t>)</w:t>
      </w:r>
      <w:r w:rsidR="00876088">
        <w:rPr>
          <w:rFonts w:eastAsia="Batang"/>
          <w:szCs w:val="24"/>
        </w:rPr>
        <w:t xml:space="preserve">. </w:t>
      </w:r>
    </w:p>
    <w:p w:rsidRPr="009A4D4C" w:rsidR="00257478" w:rsidP="009D6B44" w:rsidRDefault="00BD1033" w14:paraId="6A44CA81" w14:textId="210230C7">
      <w:pPr>
        <w:pStyle w:val="Heading3NoTOC"/>
      </w:pPr>
      <w:r>
        <w:t xml:space="preserve">A.1.1 </w:t>
      </w:r>
      <w:r w:rsidR="00257478">
        <w:t>Background</w:t>
      </w:r>
    </w:p>
    <w:p w:rsidRPr="00181656" w:rsidR="00D3155E" w:rsidP="00181656" w:rsidRDefault="00D3155E" w14:paraId="5138F512" w14:textId="1704401C">
      <w:pPr>
        <w:pStyle w:val="BodyText1"/>
        <w:spacing w:after="0"/>
        <w:rPr>
          <w:rFonts w:eastAsia="Batang"/>
          <w:szCs w:val="24"/>
        </w:rPr>
      </w:pPr>
      <w:r w:rsidRPr="00181656">
        <w:rPr>
          <w:rFonts w:eastAsia="Batang"/>
          <w:szCs w:val="24"/>
        </w:rPr>
        <w:t>The MIECHV Program is authorized by Social Security Act, Title V, § 511(c) (42 U.S.C. § 711(c)) to support voluntary, evidence-based home visiting services for pregnant women and parents with young children up to kindergarten entry living in at-risk communities.</w:t>
      </w:r>
      <w:r w:rsidRPr="00181656">
        <w:rPr>
          <w:rFonts w:eastAsia="Batang"/>
          <w:szCs w:val="24"/>
        </w:rPr>
        <w:br/>
        <w:t xml:space="preserve">scientific research have shown that home visits by a nurse, social worker, early childhood educator, or other trained professional during pregnancy and in the first years of a child’s life improve the lives of children and families. Home visiting helps prevent child abuse and neglect, supports positive parenting, improves maternal and child health, and promotes child development and school readiness. </w:t>
      </w:r>
    </w:p>
    <w:p w:rsidR="00D3155E" w:rsidP="00181656" w:rsidRDefault="00D3155E" w14:paraId="3E1820D8" w14:textId="2D80D604">
      <w:pPr>
        <w:pStyle w:val="BodyText1"/>
        <w:spacing w:after="0"/>
        <w:rPr>
          <w:rFonts w:eastAsia="Batang"/>
          <w:szCs w:val="24"/>
        </w:rPr>
      </w:pPr>
      <w:r w:rsidRPr="00181656">
        <w:rPr>
          <w:rFonts w:eastAsia="Batang"/>
          <w:szCs w:val="24"/>
        </w:rPr>
        <w:t>Evidence-based home visiting can be cost-effective in the long term, with the most significant benefits identified as reduced spending on government programs and increased individual earnings. Costs for evidence-based home visiting programs are incurred at the time of service provision, yet participating parents and children may benefit over the course of their lives, and the economic value of improved outcomes typically exceeds costs over the long-term.</w:t>
      </w:r>
      <w:r w:rsidRPr="00181656">
        <w:rPr>
          <w:rFonts w:eastAsia="Batang"/>
          <w:szCs w:val="24"/>
        </w:rPr>
        <w:br/>
      </w:r>
      <w:r w:rsidRPr="00181656">
        <w:rPr>
          <w:rFonts w:eastAsia="Batang"/>
          <w:szCs w:val="24"/>
        </w:rPr>
        <w:lastRenderedPageBreak/>
        <w:t xml:space="preserve">instance, evidence-based home visiting programs may reduce government spending on special education (Individuals with Disabilities Education Act, Parts C and B), and reduce the need for public assistance programs such as Temporary Assistance for Needy Families (TANF), the Supplemental Nutrition Assistance Program (SNAP), and Medicaid. Further, improved outcomes for children and families can also produce social benefit more broadly through the life-long gains associated with better birth outcomes and maternal health, reductions in child abuse and neglect, and increases in family self-sufficiency. </w:t>
      </w:r>
    </w:p>
    <w:p w:rsidRPr="00181656" w:rsidR="00D161FC" w:rsidP="00181656" w:rsidRDefault="00D161FC" w14:paraId="49BC3EBC" w14:textId="4A822B1B">
      <w:pPr>
        <w:pStyle w:val="BodyText1"/>
        <w:spacing w:after="0"/>
        <w:rPr>
          <w:rFonts w:eastAsia="Batang"/>
          <w:szCs w:val="24"/>
        </w:rPr>
      </w:pPr>
      <w:r w:rsidRPr="00D161FC">
        <w:rPr>
          <w:rFonts w:eastAsia="Batang"/>
          <w:szCs w:val="24"/>
        </w:rPr>
        <w:t xml:space="preserve">Section 50605 of the Bipartisan Budget Act (BBA) of 2018 (Pub. L. 115- 123) added new Section 511(c)(3), which authorizes MIECHV recipients the option to use up to 25% of MIECHV funding for “outcomes or success payments related to a </w:t>
      </w:r>
      <w:r>
        <w:rPr>
          <w:rFonts w:eastAsia="Batang"/>
          <w:szCs w:val="24"/>
        </w:rPr>
        <w:t xml:space="preserve">pay for outcomes </w:t>
      </w:r>
      <w:r w:rsidR="00A901B2">
        <w:rPr>
          <w:rFonts w:eastAsia="Batang"/>
          <w:szCs w:val="24"/>
        </w:rPr>
        <w:t xml:space="preserve">(PFO) </w:t>
      </w:r>
      <w:r>
        <w:rPr>
          <w:rFonts w:eastAsia="Batang"/>
          <w:szCs w:val="24"/>
        </w:rPr>
        <w:t xml:space="preserve">initiative </w:t>
      </w:r>
      <w:r w:rsidRPr="00D161FC">
        <w:rPr>
          <w:rFonts w:eastAsia="Batang"/>
          <w:szCs w:val="24"/>
        </w:rPr>
        <w:t>that will not result in reduction of funding for home visiting services.</w:t>
      </w:r>
      <w:r w:rsidR="00B45634">
        <w:rPr>
          <w:rFonts w:eastAsia="Batang"/>
          <w:szCs w:val="24"/>
        </w:rPr>
        <w:t>”</w:t>
      </w:r>
      <w:r w:rsidRPr="00D161FC">
        <w:rPr>
          <w:rFonts w:eastAsia="Batang"/>
          <w:szCs w:val="24"/>
        </w:rPr>
        <w:t xml:space="preserve"> The new authority establishes new requirements, including that the PFO initiative “will not result in a reduction of funding for services delivered by the entity under a childhood home visitation program under this section while the eligible entity develops or operates such an initiative.”  Under Section 511(j)(3)(A), funds used by recipients for a PFO initiative remain available for expenditure by the eligible entity for not more than 10 years after the funds are made available.  </w:t>
      </w:r>
    </w:p>
    <w:p w:rsidR="008B65D2" w:rsidP="00DD1D1C" w:rsidRDefault="0044388D" w14:paraId="5412E54A" w14:textId="6D8077B2">
      <w:pPr>
        <w:pStyle w:val="BodyText1"/>
        <w:spacing w:after="0"/>
        <w:ind w:firstLine="0"/>
        <w:rPr>
          <w:rFonts w:eastAsia="Batang"/>
          <w:szCs w:val="24"/>
        </w:rPr>
      </w:pPr>
      <w:r>
        <w:rPr>
          <w:rFonts w:eastAsia="Batang"/>
          <w:szCs w:val="24"/>
        </w:rPr>
        <w:t>To meet st</w:t>
      </w:r>
      <w:r w:rsidR="00B45634">
        <w:rPr>
          <w:rFonts w:eastAsia="Batang"/>
          <w:szCs w:val="24"/>
        </w:rPr>
        <w:t>atutory requirements for a PFO i</w:t>
      </w:r>
      <w:r>
        <w:rPr>
          <w:rFonts w:eastAsia="Batang"/>
          <w:szCs w:val="24"/>
        </w:rPr>
        <w:t xml:space="preserve">nitiative, the initiative must include: </w:t>
      </w:r>
    </w:p>
    <w:p w:rsidR="0044388D" w:rsidP="0044388D" w:rsidRDefault="0044388D" w14:paraId="121DBB28" w14:textId="5307B328">
      <w:pPr>
        <w:pStyle w:val="BodyText1"/>
        <w:numPr>
          <w:ilvl w:val="0"/>
          <w:numId w:val="33"/>
        </w:numPr>
        <w:rPr>
          <w:rFonts w:eastAsia="Batang"/>
          <w:szCs w:val="24"/>
        </w:rPr>
      </w:pPr>
      <w:r>
        <w:rPr>
          <w:rFonts w:eastAsia="Batang"/>
          <w:szCs w:val="24"/>
        </w:rPr>
        <w:lastRenderedPageBreak/>
        <w:t xml:space="preserve">A feasibility study that describes how the proposed intervention is based on evidence of effectiveness; </w:t>
      </w:r>
    </w:p>
    <w:p w:rsidR="0044388D" w:rsidP="0044388D" w:rsidRDefault="0044388D" w14:paraId="6970F5EC" w14:textId="02157198">
      <w:pPr>
        <w:pStyle w:val="BodyText1"/>
        <w:numPr>
          <w:ilvl w:val="0"/>
          <w:numId w:val="33"/>
        </w:numPr>
        <w:rPr>
          <w:rFonts w:eastAsia="Batang"/>
          <w:szCs w:val="24"/>
        </w:rPr>
      </w:pPr>
      <w:r>
        <w:rPr>
          <w:rFonts w:eastAsia="Batang"/>
          <w:szCs w:val="24"/>
        </w:rPr>
        <w:t xml:space="preserve">A rigorous, third-party evaluation that uses experimental or quasi-experimental design or other research methodologies that allow for the strongest possible causal inferences to determine whether the initiative has met its proposed outcomes as a result of implementation; </w:t>
      </w:r>
    </w:p>
    <w:p w:rsidR="0044388D" w:rsidP="0044388D" w:rsidRDefault="0044388D" w14:paraId="0BB3933D" w14:textId="2D57057A">
      <w:pPr>
        <w:pStyle w:val="BodyText1"/>
        <w:numPr>
          <w:ilvl w:val="0"/>
          <w:numId w:val="33"/>
        </w:numPr>
        <w:rPr>
          <w:rFonts w:eastAsia="Batang"/>
          <w:szCs w:val="24"/>
        </w:rPr>
      </w:pPr>
      <w:r>
        <w:rPr>
          <w:rFonts w:eastAsia="Batang"/>
          <w:szCs w:val="24"/>
        </w:rPr>
        <w:t xml:space="preserve">An annual, publicly available report on the progress of the initiative; and </w:t>
      </w:r>
    </w:p>
    <w:p w:rsidRPr="0044388D" w:rsidR="0044388D" w:rsidP="0044388D" w:rsidRDefault="0044388D" w14:paraId="5503384C" w14:textId="23D867FD">
      <w:pPr>
        <w:pStyle w:val="BodyText1"/>
        <w:numPr>
          <w:ilvl w:val="0"/>
          <w:numId w:val="33"/>
        </w:numPr>
        <w:rPr>
          <w:rFonts w:eastAsia="Batang"/>
          <w:szCs w:val="24"/>
        </w:rPr>
      </w:pPr>
      <w:r>
        <w:rPr>
          <w:rFonts w:eastAsia="Batang"/>
          <w:szCs w:val="24"/>
        </w:rPr>
        <w:t xml:space="preserve">A requirement that payments are made to the recipient of the grant, contract, or cooperative agreement only when agreed upon outcomes are achieved, excluding payments made to a third party conducting the evaluation. </w:t>
      </w:r>
    </w:p>
    <w:p w:rsidR="0044388D" w:rsidP="00033EE6" w:rsidRDefault="000551EF" w14:paraId="57D5B506" w14:textId="30425BB7">
      <w:pPr>
        <w:pStyle w:val="BodyText1"/>
        <w:ind w:firstLine="0"/>
        <w:rPr>
          <w:rFonts w:eastAsia="Batang"/>
          <w:szCs w:val="24"/>
        </w:rPr>
      </w:pPr>
      <w:r>
        <w:rPr>
          <w:rFonts w:eastAsia="Batang"/>
          <w:szCs w:val="24"/>
        </w:rPr>
        <w:t>To collect the information described above, the SIR guidance</w:t>
      </w:r>
      <w:r w:rsidR="00F31793">
        <w:rPr>
          <w:rFonts w:eastAsia="Batang"/>
          <w:szCs w:val="24"/>
        </w:rPr>
        <w:t xml:space="preserve"> (Attachment 1)</w:t>
      </w:r>
      <w:r>
        <w:rPr>
          <w:rFonts w:eastAsia="Batang"/>
          <w:szCs w:val="24"/>
        </w:rPr>
        <w:t xml:space="preserve"> specifies</w:t>
      </w:r>
      <w:r w:rsidR="0044388D">
        <w:rPr>
          <w:rFonts w:eastAsia="Batang"/>
          <w:szCs w:val="24"/>
        </w:rPr>
        <w:t xml:space="preserve"> </w:t>
      </w:r>
      <w:r w:rsidR="00BE7545">
        <w:rPr>
          <w:rFonts w:eastAsia="Batang"/>
          <w:szCs w:val="24"/>
        </w:rPr>
        <w:t>that a complete PFO SIR Response includes</w:t>
      </w:r>
      <w:r w:rsidR="0044388D">
        <w:rPr>
          <w:rFonts w:eastAsia="Batang"/>
          <w:szCs w:val="24"/>
        </w:rPr>
        <w:t>:</w:t>
      </w:r>
    </w:p>
    <w:p w:rsidR="0044388D" w:rsidP="0044388D" w:rsidRDefault="0044388D" w14:paraId="13F7F230" w14:textId="6DAD979A">
      <w:pPr>
        <w:pStyle w:val="BodyText1"/>
        <w:numPr>
          <w:ilvl w:val="0"/>
          <w:numId w:val="34"/>
        </w:numPr>
        <w:rPr>
          <w:rFonts w:eastAsia="Batang"/>
          <w:szCs w:val="24"/>
        </w:rPr>
      </w:pPr>
      <w:r>
        <w:rPr>
          <w:rFonts w:eastAsia="Batang"/>
          <w:szCs w:val="24"/>
        </w:rPr>
        <w:t xml:space="preserve">PFO Narrative – a report that describes the </w:t>
      </w:r>
      <w:r w:rsidR="0045012A">
        <w:rPr>
          <w:rFonts w:eastAsia="Batang"/>
          <w:szCs w:val="24"/>
        </w:rPr>
        <w:t>res</w:t>
      </w:r>
      <w:r>
        <w:rPr>
          <w:rFonts w:eastAsia="Batang"/>
          <w:szCs w:val="24"/>
        </w:rPr>
        <w:t xml:space="preserve">ults of the feasibility study, </w:t>
      </w:r>
      <w:r w:rsidR="00A901B2">
        <w:rPr>
          <w:rFonts w:eastAsia="Batang"/>
          <w:szCs w:val="24"/>
        </w:rPr>
        <w:t>the proposed PFO i</w:t>
      </w:r>
      <w:r w:rsidR="0045012A">
        <w:rPr>
          <w:rFonts w:eastAsia="Batang"/>
          <w:szCs w:val="24"/>
        </w:rPr>
        <w:t xml:space="preserve">nitiative in detail, and the proposed evaluation plan. </w:t>
      </w:r>
    </w:p>
    <w:p w:rsidRPr="00BE7545" w:rsidR="00BE7545" w:rsidP="00BE7545" w:rsidRDefault="00BE7545" w14:paraId="2A266317" w14:textId="72B2B205">
      <w:pPr>
        <w:pStyle w:val="BodyText1"/>
        <w:numPr>
          <w:ilvl w:val="0"/>
          <w:numId w:val="34"/>
        </w:numPr>
        <w:rPr>
          <w:rFonts w:eastAsia="Batang"/>
          <w:szCs w:val="24"/>
        </w:rPr>
      </w:pPr>
      <w:r>
        <w:rPr>
          <w:rFonts w:eastAsia="Batang"/>
          <w:szCs w:val="24"/>
        </w:rPr>
        <w:t>Required Attachments:</w:t>
      </w:r>
    </w:p>
    <w:p w:rsidRPr="00BE7545" w:rsidR="00BE7545" w:rsidP="00BE7545" w:rsidRDefault="00BE7545" w14:paraId="24386CBB" w14:textId="0838A581">
      <w:pPr>
        <w:pStyle w:val="BodyText1"/>
        <w:numPr>
          <w:ilvl w:val="1"/>
          <w:numId w:val="34"/>
        </w:numPr>
        <w:rPr>
          <w:rFonts w:eastAsia="Batang"/>
          <w:szCs w:val="24"/>
        </w:rPr>
      </w:pPr>
      <w:r>
        <w:rPr>
          <w:rFonts w:eastAsia="Batang"/>
          <w:szCs w:val="24"/>
        </w:rPr>
        <w:t>A</w:t>
      </w:r>
      <w:r w:rsidRPr="00BE7545">
        <w:rPr>
          <w:rFonts w:eastAsia="Batang"/>
          <w:szCs w:val="24"/>
        </w:rPr>
        <w:t xml:space="preserve">ttachment A - PFO </w:t>
      </w:r>
      <w:proofErr w:type="spellStart"/>
      <w:r w:rsidRPr="00BE7545">
        <w:rPr>
          <w:rFonts w:eastAsia="Batang"/>
          <w:szCs w:val="24"/>
        </w:rPr>
        <w:t>Workplan</w:t>
      </w:r>
      <w:proofErr w:type="spellEnd"/>
      <w:r w:rsidRPr="00BE7545">
        <w:rPr>
          <w:rFonts w:eastAsia="Batang"/>
          <w:szCs w:val="24"/>
        </w:rPr>
        <w:t xml:space="preserve"> Timeline</w:t>
      </w:r>
      <w:r w:rsidR="00F31793">
        <w:rPr>
          <w:rFonts w:eastAsia="Batang"/>
          <w:szCs w:val="24"/>
        </w:rPr>
        <w:t xml:space="preserve"> </w:t>
      </w:r>
      <w:r w:rsidR="00DD1D1C">
        <w:rPr>
          <w:rFonts w:eastAsia="Batang"/>
          <w:szCs w:val="24"/>
        </w:rPr>
        <w:t>(Attachment 2)</w:t>
      </w:r>
    </w:p>
    <w:p w:rsidRPr="00BE7545" w:rsidR="00BE7545" w:rsidP="00BE7545" w:rsidRDefault="00BE7545" w14:paraId="330FD02B" w14:textId="1F826F87">
      <w:pPr>
        <w:pStyle w:val="BodyText1"/>
        <w:numPr>
          <w:ilvl w:val="1"/>
          <w:numId w:val="34"/>
        </w:numPr>
        <w:rPr>
          <w:rFonts w:eastAsia="Batang"/>
          <w:szCs w:val="24"/>
        </w:rPr>
      </w:pPr>
      <w:r w:rsidRPr="00BE7545">
        <w:rPr>
          <w:rFonts w:eastAsia="Batang"/>
          <w:szCs w:val="24"/>
        </w:rPr>
        <w:t>Attachment B - Completed Feasibility Study</w:t>
      </w:r>
    </w:p>
    <w:p w:rsidR="00BE7545" w:rsidP="00BE7545" w:rsidRDefault="00BE7545" w14:paraId="04C6F63D" w14:textId="44C2C8C6">
      <w:pPr>
        <w:pStyle w:val="BodyText1"/>
        <w:numPr>
          <w:ilvl w:val="1"/>
          <w:numId w:val="34"/>
        </w:numPr>
        <w:rPr>
          <w:rFonts w:eastAsia="Batang"/>
          <w:szCs w:val="24"/>
        </w:rPr>
      </w:pPr>
      <w:r w:rsidRPr="00BE7545">
        <w:rPr>
          <w:rFonts w:eastAsia="Batang"/>
          <w:szCs w:val="24"/>
        </w:rPr>
        <w:t>Attachment C - Partnership Agreements with Key PFO Partners</w:t>
      </w:r>
    </w:p>
    <w:bookmarkEnd w:id="5"/>
    <w:bookmarkEnd w:id="6"/>
    <w:p w:rsidRPr="003F4D14" w:rsidR="0055363C" w:rsidP="000256F5" w:rsidRDefault="003F4D14" w14:paraId="0B92D42D" w14:textId="2104B231">
      <w:pPr>
        <w:pStyle w:val="Heading4"/>
        <w:rPr>
          <w:b/>
        </w:rPr>
      </w:pPr>
      <w:r w:rsidRPr="003F4D14">
        <w:rPr>
          <w:b/>
        </w:rPr>
        <w:lastRenderedPageBreak/>
        <w:t xml:space="preserve">A.1.2. </w:t>
      </w:r>
      <w:r w:rsidRPr="003F4D14" w:rsidR="0055363C">
        <w:rPr>
          <w:b/>
        </w:rPr>
        <w:t>Overview of the Data Collection System</w:t>
      </w:r>
    </w:p>
    <w:p w:rsidR="00905FF3" w:rsidP="00640023" w:rsidRDefault="00640023" w14:paraId="0EF6022B" w14:textId="3A50BC5D">
      <w:pPr>
        <w:pStyle w:val="BodyText1"/>
      </w:pPr>
      <w:r w:rsidRPr="00905FF3">
        <w:t xml:space="preserve">Information will be collected from MIECHV awardees </w:t>
      </w:r>
      <w:r w:rsidRPr="00905FF3" w:rsidR="00905FF3">
        <w:t xml:space="preserve">through the PFO </w:t>
      </w:r>
      <w:r w:rsidR="00D3155E">
        <w:t>SIR Response</w:t>
      </w:r>
      <w:r w:rsidRPr="00905FF3" w:rsidR="00905FF3">
        <w:t xml:space="preserve">. Once </w:t>
      </w:r>
      <w:r w:rsidR="009F1995">
        <w:t xml:space="preserve">the application for MIECHV formula funding </w:t>
      </w:r>
      <w:r w:rsidRPr="00905FF3" w:rsidR="00905FF3">
        <w:t xml:space="preserve">been approved, awardees will have until </w:t>
      </w:r>
      <w:r w:rsidR="00905FF3">
        <w:t xml:space="preserve">120 days after the project period start date to submit their completed PFO </w:t>
      </w:r>
      <w:r w:rsidR="00D3155E">
        <w:t>SIR Response.</w:t>
      </w:r>
      <w:r w:rsidR="00905FF3">
        <w:t xml:space="preserve"> The timeline for completion and submission of the PFO </w:t>
      </w:r>
      <w:r w:rsidR="00404162">
        <w:t xml:space="preserve">SIR Response </w:t>
      </w:r>
      <w:r w:rsidR="00905FF3">
        <w:t xml:space="preserve">is outlined in </w:t>
      </w:r>
      <w:r w:rsidR="00334D67">
        <w:t xml:space="preserve">the PFO SIR and the </w:t>
      </w:r>
      <w:r w:rsidR="00404162">
        <w:t>MIECHV Awardee Notice of Grant Award</w:t>
      </w:r>
      <w:r w:rsidR="00905FF3">
        <w:t xml:space="preserve">. Awardees will submit the PFO </w:t>
      </w:r>
      <w:r w:rsidR="008331C3">
        <w:t xml:space="preserve">SIR Response </w:t>
      </w:r>
      <w:r w:rsidR="00905FF3">
        <w:t xml:space="preserve">as either a Word Document or PDF through HRSA’s Electronic Handbooks (EHBs), the software HRSA uses to maintain official grant records. </w:t>
      </w:r>
    </w:p>
    <w:p w:rsidRPr="00905FF3" w:rsidR="00905FF3" w:rsidP="00640023" w:rsidRDefault="00905FF3" w14:paraId="6896768B" w14:textId="3715ECD9">
      <w:pPr>
        <w:pStyle w:val="BodyText1"/>
      </w:pPr>
      <w:r>
        <w:t xml:space="preserve">The PFO </w:t>
      </w:r>
      <w:r w:rsidR="00095367">
        <w:t xml:space="preserve">SIR Response </w:t>
      </w:r>
      <w:r>
        <w:t xml:space="preserve">will be used to </w:t>
      </w:r>
      <w:r w:rsidR="00A901B2">
        <w:t xml:space="preserve">evaluate proposals, </w:t>
      </w:r>
      <w:r w:rsidR="008361AF">
        <w:t xml:space="preserve">provide technical assistance and support to awardees interested in implementing </w:t>
      </w:r>
      <w:r w:rsidR="00A901B2">
        <w:t>P</w:t>
      </w:r>
      <w:r w:rsidR="008361AF">
        <w:t xml:space="preserve">FO </w:t>
      </w:r>
      <w:r w:rsidR="00576BEF">
        <w:t>i</w:t>
      </w:r>
      <w:r w:rsidR="008361AF">
        <w:t>nitiative</w:t>
      </w:r>
      <w:r w:rsidR="00A901B2">
        <w:t>s</w:t>
      </w:r>
      <w:r w:rsidR="008361AF">
        <w:t xml:space="preserve">, and ensure that awardees are proposing PFO projects that meet the statutory requirements. </w:t>
      </w:r>
    </w:p>
    <w:p w:rsidRPr="005C43A1" w:rsidR="0055363C" w:rsidP="000256F5" w:rsidRDefault="0055363C" w14:paraId="7B987F4A" w14:textId="77777777">
      <w:pPr>
        <w:pStyle w:val="Heading4"/>
      </w:pPr>
      <w:r w:rsidRPr="005C43A1">
        <w:t xml:space="preserve">Items of Information to </w:t>
      </w:r>
      <w:r w:rsidR="00DA5075">
        <w:t>B</w:t>
      </w:r>
      <w:r w:rsidRPr="005C43A1">
        <w:t>e Collected</w:t>
      </w:r>
    </w:p>
    <w:p w:rsidR="00421037" w:rsidP="000256F5" w:rsidRDefault="001F7C3C" w14:paraId="7DE5E96B" w14:textId="2D1419D1">
      <w:pPr>
        <w:pStyle w:val="BodyText1"/>
        <w:ind w:firstLine="0"/>
      </w:pPr>
      <w:r>
        <w:tab/>
      </w:r>
      <w:r w:rsidRPr="00760ED7" w:rsidR="0055363C">
        <w:t>No individually identifiable information will be collected</w:t>
      </w:r>
      <w:r w:rsidRPr="00760ED7" w:rsidR="00760ED7">
        <w:t xml:space="preserve">. </w:t>
      </w:r>
      <w:r w:rsidRPr="00760ED7" w:rsidR="00A9194B">
        <w:t xml:space="preserve">Information collected during the OMB approval period will be </w:t>
      </w:r>
      <w:r w:rsidRPr="00760ED7" w:rsidR="00615C67">
        <w:t xml:space="preserve">maintained </w:t>
      </w:r>
      <w:r w:rsidR="00615C67">
        <w:t>for</w:t>
      </w:r>
      <w:r w:rsidR="00D46013">
        <w:t xml:space="preserve"> a </w:t>
      </w:r>
      <w:r w:rsidR="00905FF3">
        <w:t>period</w:t>
      </w:r>
      <w:r w:rsidR="00D46013">
        <w:t xml:space="preserve"> </w:t>
      </w:r>
      <w:r w:rsidR="00905FF3">
        <w:t xml:space="preserve">of time </w:t>
      </w:r>
      <w:r w:rsidR="00D46013">
        <w:t>specified in accordance with federal records management requirements</w:t>
      </w:r>
      <w:r w:rsidRPr="00760ED7" w:rsidR="00A9194B">
        <w:t xml:space="preserve">. </w:t>
      </w:r>
    </w:p>
    <w:p w:rsidR="00743B36" w:rsidP="000256F5" w:rsidRDefault="00743B36" w14:paraId="182C4B3E" w14:textId="130412A9">
      <w:pPr>
        <w:pStyle w:val="BodyText1"/>
        <w:ind w:firstLine="0"/>
      </w:pPr>
      <w:r w:rsidRPr="00905FF3">
        <w:t xml:space="preserve">In the </w:t>
      </w:r>
      <w:r w:rsidRPr="00905FF3" w:rsidR="00905FF3">
        <w:t>PFO</w:t>
      </w:r>
      <w:r w:rsidRPr="00905FF3">
        <w:t xml:space="preserve"> </w:t>
      </w:r>
      <w:r w:rsidR="00780DDB">
        <w:t>SIR Response</w:t>
      </w:r>
      <w:r w:rsidRPr="00905FF3">
        <w:t xml:space="preserve"> awardees will </w:t>
      </w:r>
      <w:r w:rsidR="005975D4">
        <w:t>include</w:t>
      </w:r>
      <w:r w:rsidRPr="00905FF3">
        <w:t>:</w:t>
      </w:r>
    </w:p>
    <w:p w:rsidR="005975D4" w:rsidP="005975D4" w:rsidRDefault="005975D4" w14:paraId="207BF68C" w14:textId="77777777">
      <w:pPr>
        <w:pStyle w:val="BodyText1"/>
        <w:numPr>
          <w:ilvl w:val="0"/>
          <w:numId w:val="38"/>
        </w:numPr>
      </w:pPr>
      <w:r w:rsidRPr="005975D4">
        <w:t xml:space="preserve">Introduction and Project Summary </w:t>
      </w:r>
    </w:p>
    <w:p w:rsidR="005975D4" w:rsidP="005975D4" w:rsidRDefault="005975D4" w14:paraId="4C152A77" w14:textId="77777777">
      <w:pPr>
        <w:pStyle w:val="BodyText1"/>
        <w:numPr>
          <w:ilvl w:val="0"/>
          <w:numId w:val="38"/>
        </w:numPr>
      </w:pPr>
      <w:r w:rsidRPr="005975D4">
        <w:t xml:space="preserve">PFO Feasibility Study Summary </w:t>
      </w:r>
    </w:p>
    <w:p w:rsidR="005975D4" w:rsidP="005975D4" w:rsidRDefault="005975D4" w14:paraId="0A8A3A5B" w14:textId="77777777">
      <w:pPr>
        <w:pStyle w:val="BodyText1"/>
        <w:numPr>
          <w:ilvl w:val="0"/>
          <w:numId w:val="38"/>
        </w:numPr>
      </w:pPr>
      <w:r w:rsidRPr="005975D4">
        <w:lastRenderedPageBreak/>
        <w:t xml:space="preserve">Target Population and Evidence-Based Models </w:t>
      </w:r>
    </w:p>
    <w:p w:rsidR="005975D4" w:rsidP="005975D4" w:rsidRDefault="005975D4" w14:paraId="7E7B66F4" w14:textId="77777777">
      <w:pPr>
        <w:pStyle w:val="BodyText1"/>
        <w:numPr>
          <w:ilvl w:val="0"/>
          <w:numId w:val="38"/>
        </w:numPr>
      </w:pPr>
      <w:r w:rsidRPr="005975D4">
        <w:t xml:space="preserve">Stakeholders and Partnership Structure </w:t>
      </w:r>
    </w:p>
    <w:p w:rsidR="005975D4" w:rsidP="005975D4" w:rsidRDefault="005975D4" w14:paraId="6B63FC7E" w14:textId="77777777">
      <w:pPr>
        <w:pStyle w:val="BodyText1"/>
        <w:numPr>
          <w:ilvl w:val="0"/>
          <w:numId w:val="38"/>
        </w:numPr>
      </w:pPr>
      <w:r>
        <w:t>P</w:t>
      </w:r>
      <w:r w:rsidRPr="005975D4">
        <w:t xml:space="preserve">FO Budget and Budget Narrative </w:t>
      </w:r>
    </w:p>
    <w:p w:rsidR="005975D4" w:rsidP="005975D4" w:rsidRDefault="005975D4" w14:paraId="063CE8E0" w14:textId="536B93E9">
      <w:pPr>
        <w:pStyle w:val="BodyText1"/>
        <w:numPr>
          <w:ilvl w:val="0"/>
          <w:numId w:val="38"/>
        </w:numPr>
      </w:pPr>
      <w:r w:rsidRPr="005975D4">
        <w:t>Selected Outcome Measure</w:t>
      </w:r>
      <w:r w:rsidR="00D3155E">
        <w:t>(</w:t>
      </w:r>
      <w:r w:rsidRPr="005975D4">
        <w:t>s</w:t>
      </w:r>
      <w:r w:rsidR="00D3155E">
        <w:t>)</w:t>
      </w:r>
    </w:p>
    <w:p w:rsidR="005975D4" w:rsidP="005975D4" w:rsidRDefault="005975D4" w14:paraId="0BE4A95E" w14:textId="77777777">
      <w:pPr>
        <w:pStyle w:val="BodyText1"/>
        <w:numPr>
          <w:ilvl w:val="0"/>
          <w:numId w:val="38"/>
        </w:numPr>
      </w:pPr>
      <w:r w:rsidRPr="005975D4">
        <w:t xml:space="preserve">Outcome Payments Criteria and Timing </w:t>
      </w:r>
    </w:p>
    <w:p w:rsidR="005975D4" w:rsidP="005975D4" w:rsidRDefault="005975D4" w14:paraId="3779924B" w14:textId="77777777">
      <w:pPr>
        <w:pStyle w:val="BodyText1"/>
        <w:numPr>
          <w:ilvl w:val="0"/>
          <w:numId w:val="38"/>
        </w:numPr>
      </w:pPr>
      <w:r w:rsidRPr="005975D4">
        <w:t xml:space="preserve">Third-Party Evaluation </w:t>
      </w:r>
    </w:p>
    <w:p w:rsidR="005975D4" w:rsidP="005975D4" w:rsidRDefault="005975D4" w14:paraId="528AC692" w14:textId="278274AF">
      <w:pPr>
        <w:pStyle w:val="BodyText1"/>
        <w:numPr>
          <w:ilvl w:val="0"/>
          <w:numId w:val="38"/>
        </w:numPr>
      </w:pPr>
      <w:r>
        <w:t>V</w:t>
      </w:r>
      <w:r w:rsidRPr="005975D4">
        <w:t>erification</w:t>
      </w:r>
      <w:r w:rsidR="000237EE">
        <w:t>s</w:t>
      </w:r>
      <w:r w:rsidRPr="005975D4">
        <w:t xml:space="preserve"> and Assurances</w:t>
      </w:r>
    </w:p>
    <w:p w:rsidR="0012235E" w:rsidP="00C3460C" w:rsidRDefault="002566B0" w14:paraId="6A75D72C" w14:textId="31156B78">
      <w:pPr>
        <w:pStyle w:val="BodyText1"/>
        <w:ind w:firstLine="0"/>
      </w:pPr>
      <w:r w:rsidRPr="002566B0">
        <w:t xml:space="preserve">An outline of the required report </w:t>
      </w:r>
      <w:r w:rsidR="005975D4">
        <w:t>and specific instructions for how to respond to each section is described in Section 4</w:t>
      </w:r>
      <w:r w:rsidRPr="002566B0">
        <w:t xml:space="preserve"> of </w:t>
      </w:r>
      <w:r w:rsidR="005975D4">
        <w:t>PFO SIR (</w:t>
      </w:r>
      <w:r w:rsidRPr="002566B0">
        <w:t>Attachment 1</w:t>
      </w:r>
      <w:r w:rsidR="005975D4">
        <w:t>)</w:t>
      </w:r>
      <w:r w:rsidRPr="002566B0">
        <w:t xml:space="preserve">. </w:t>
      </w:r>
      <w:r w:rsidR="0012235E">
        <w:t xml:space="preserve">In addition to the PFO </w:t>
      </w:r>
      <w:r w:rsidR="00F56FBD">
        <w:t>SIR Response</w:t>
      </w:r>
      <w:r w:rsidR="0012235E">
        <w:t xml:space="preserve">, awardees will provide </w:t>
      </w:r>
      <w:r w:rsidRPr="0012235E" w:rsidR="0012235E">
        <w:t xml:space="preserve">a detailed </w:t>
      </w:r>
      <w:proofErr w:type="spellStart"/>
      <w:r w:rsidRPr="0012235E" w:rsidR="0012235E">
        <w:t>workplan</w:t>
      </w:r>
      <w:proofErr w:type="spellEnd"/>
      <w:r w:rsidRPr="0012235E" w:rsidR="0012235E">
        <w:t xml:space="preserve"> for implementation of the PFO initiative, based on the PFO </w:t>
      </w:r>
      <w:proofErr w:type="spellStart"/>
      <w:r w:rsidRPr="0012235E" w:rsidR="0012235E">
        <w:t>Workplan</w:t>
      </w:r>
      <w:proofErr w:type="spellEnd"/>
      <w:r w:rsidRPr="0012235E" w:rsidR="0012235E">
        <w:t xml:space="preserve"> Timeline Template Attachment</w:t>
      </w:r>
      <w:r w:rsidR="005975D4">
        <w:t xml:space="preserve"> (Attachment 2)</w:t>
      </w:r>
      <w:r w:rsidRPr="0012235E" w:rsidR="0012235E">
        <w:t>.</w:t>
      </w:r>
      <w:r w:rsidR="005975D4">
        <w:t xml:space="preserve"> Awardees will also be required to submit their completed feasibility studies and partnership agreements with key PFO partners. The </w:t>
      </w:r>
      <w:r w:rsidR="00F56FBD">
        <w:t xml:space="preserve">PFO </w:t>
      </w:r>
      <w:r w:rsidR="005975D4">
        <w:t xml:space="preserve">SIR guidance provides specific instructions for submitting this information. </w:t>
      </w:r>
    </w:p>
    <w:p w:rsidRPr="002566B0" w:rsidR="002566B0" w:rsidP="005975D4" w:rsidRDefault="002566B0" w14:paraId="4A31522A" w14:textId="7DFFAEFB">
      <w:pPr>
        <w:pStyle w:val="BodyText1"/>
      </w:pPr>
      <w:r>
        <w:t xml:space="preserve">The information submitted </w:t>
      </w:r>
      <w:r w:rsidR="005E5A43">
        <w:t>in response to</w:t>
      </w:r>
      <w:r>
        <w:t xml:space="preserve"> the PFO </w:t>
      </w:r>
      <w:r w:rsidR="005E5A43">
        <w:t>SIR</w:t>
      </w:r>
      <w:r>
        <w:t xml:space="preserve"> will be used</w:t>
      </w:r>
      <w:r w:rsidR="00D257B1">
        <w:t xml:space="preserve"> to verify the feasibility and </w:t>
      </w:r>
      <w:r w:rsidR="005E5A43">
        <w:t xml:space="preserve">implementation </w:t>
      </w:r>
      <w:r w:rsidR="00D257B1">
        <w:t>planning of</w:t>
      </w:r>
      <w:r w:rsidR="00576BEF">
        <w:t xml:space="preserve"> PFO i</w:t>
      </w:r>
      <w:r w:rsidR="00D257B1">
        <w:t>nitiatives proposed by MIECHV awardees</w:t>
      </w:r>
      <w:r w:rsidR="001313AB">
        <w:t xml:space="preserve"> meets statutory requirements</w:t>
      </w:r>
      <w:r w:rsidR="00D257B1">
        <w:t xml:space="preserve">. </w:t>
      </w:r>
      <w:r w:rsidR="00991ABE">
        <w:t xml:space="preserve">The information collected through the PFO </w:t>
      </w:r>
      <w:r w:rsidR="000237EE">
        <w:t xml:space="preserve">SIR </w:t>
      </w:r>
      <w:r w:rsidR="000237EE">
        <w:lastRenderedPageBreak/>
        <w:t xml:space="preserve">Response </w:t>
      </w:r>
      <w:r w:rsidR="00991ABE">
        <w:t xml:space="preserve">will be maintained by HRSA and will comply with federal records management requirements. </w:t>
      </w:r>
    </w:p>
    <w:p w:rsidRPr="005C43A1" w:rsidR="00495ADF" w:rsidP="00495ADF" w:rsidRDefault="00495ADF" w14:paraId="7B64E618" w14:textId="77777777">
      <w:pPr>
        <w:pStyle w:val="Heading2"/>
      </w:pPr>
      <w:bookmarkStart w:name="_Toc88033460" w:id="7"/>
      <w:bookmarkStart w:name="_Toc457313777" w:id="8"/>
      <w:r w:rsidRPr="005C43A1">
        <w:t>A.2</w:t>
      </w:r>
      <w:r w:rsidRPr="005C43A1">
        <w:tab/>
        <w:t>Purposes and Use of the Information</w:t>
      </w:r>
      <w:bookmarkEnd w:id="7"/>
      <w:r w:rsidRPr="005C43A1">
        <w:t xml:space="preserve"> Collection</w:t>
      </w:r>
      <w:bookmarkEnd w:id="8"/>
    </w:p>
    <w:p w:rsidR="00CC5AC0" w:rsidP="00CC5AC0" w:rsidRDefault="00576BEF" w14:paraId="063CAFE9" w14:textId="3534A062">
      <w:pPr>
        <w:pStyle w:val="BodyText1"/>
        <w:rPr>
          <w:rFonts w:eastAsia="Batang"/>
          <w:szCs w:val="24"/>
        </w:rPr>
      </w:pPr>
      <w:r>
        <w:rPr>
          <w:rFonts w:eastAsia="Batang"/>
          <w:szCs w:val="24"/>
        </w:rPr>
        <w:t>HRSA considers PFO i</w:t>
      </w:r>
      <w:r w:rsidR="00CC5AC0">
        <w:rPr>
          <w:rFonts w:eastAsia="Batang"/>
          <w:szCs w:val="24"/>
        </w:rPr>
        <w:t>nitiatives to be an innovative approach to funding home visiting service delivery, which may result in program improvements including:</w:t>
      </w:r>
    </w:p>
    <w:p w:rsidRPr="00F73C5C" w:rsidR="00CC5AC0" w:rsidP="00D75F08" w:rsidRDefault="00D72DB3" w14:paraId="61352F3F" w14:textId="6FF26D89">
      <w:pPr>
        <w:pStyle w:val="BodyText1"/>
        <w:numPr>
          <w:ilvl w:val="0"/>
          <w:numId w:val="33"/>
        </w:numPr>
        <w:rPr>
          <w:rFonts w:eastAsia="Batang"/>
          <w:szCs w:val="24"/>
        </w:rPr>
      </w:pPr>
      <w:r>
        <w:rPr>
          <w:rFonts w:eastAsia="Batang"/>
          <w:szCs w:val="24"/>
        </w:rPr>
        <w:t>S</w:t>
      </w:r>
      <w:r w:rsidR="00CC5AC0">
        <w:rPr>
          <w:rFonts w:eastAsia="Batang"/>
          <w:szCs w:val="24"/>
        </w:rPr>
        <w:t xml:space="preserve">trategically targeting and investing in new or underserved populations; </w:t>
      </w:r>
    </w:p>
    <w:p w:rsidRPr="00F73C5C" w:rsidR="00CC5AC0" w:rsidP="00D75F08" w:rsidRDefault="00D72DB3" w14:paraId="5062672B" w14:textId="7F3E43A4">
      <w:pPr>
        <w:pStyle w:val="BodyText1"/>
        <w:numPr>
          <w:ilvl w:val="0"/>
          <w:numId w:val="33"/>
        </w:numPr>
        <w:rPr>
          <w:rFonts w:eastAsia="Batang"/>
          <w:szCs w:val="24"/>
        </w:rPr>
      </w:pPr>
      <w:r>
        <w:rPr>
          <w:rFonts w:eastAsia="Batang"/>
          <w:szCs w:val="24"/>
        </w:rPr>
        <w:t>I</w:t>
      </w:r>
      <w:r w:rsidR="00CC5AC0">
        <w:rPr>
          <w:rFonts w:eastAsia="Batang"/>
          <w:szCs w:val="24"/>
        </w:rPr>
        <w:t xml:space="preserve">mproving service delivery and performance through a focus on targeted outcomes; </w:t>
      </w:r>
    </w:p>
    <w:p w:rsidRPr="00F73C5C" w:rsidR="00CC5AC0" w:rsidP="00D75F08" w:rsidRDefault="00D72DB3" w14:paraId="6A1CA9F2" w14:textId="567E79E0">
      <w:pPr>
        <w:pStyle w:val="BodyText1"/>
        <w:numPr>
          <w:ilvl w:val="0"/>
          <w:numId w:val="33"/>
        </w:numPr>
        <w:rPr>
          <w:rFonts w:eastAsia="Batang"/>
          <w:szCs w:val="24"/>
        </w:rPr>
      </w:pPr>
      <w:r>
        <w:rPr>
          <w:rFonts w:eastAsia="Batang"/>
          <w:szCs w:val="24"/>
        </w:rPr>
        <w:t>E</w:t>
      </w:r>
      <w:r w:rsidR="00CC5AC0">
        <w:rPr>
          <w:rFonts w:eastAsia="Batang"/>
          <w:szCs w:val="24"/>
        </w:rPr>
        <w:t xml:space="preserve">xpanding service delivery to meet unmet needs by leveraging investors or other funding streams; and </w:t>
      </w:r>
    </w:p>
    <w:p w:rsidRPr="00EC2D85" w:rsidR="002022E4" w:rsidP="00EC2D85" w:rsidRDefault="00D72DB3" w14:paraId="54527B61" w14:textId="1083314C">
      <w:pPr>
        <w:pStyle w:val="BodyText1"/>
        <w:numPr>
          <w:ilvl w:val="0"/>
          <w:numId w:val="33"/>
        </w:numPr>
        <w:rPr>
          <w:rFonts w:eastAsia="Batang"/>
          <w:szCs w:val="24"/>
        </w:rPr>
      </w:pPr>
      <w:r>
        <w:rPr>
          <w:rFonts w:eastAsia="Batang"/>
          <w:szCs w:val="24"/>
        </w:rPr>
        <w:t>I</w:t>
      </w:r>
      <w:r w:rsidR="00CC5AC0">
        <w:rPr>
          <w:rFonts w:eastAsia="Batang"/>
          <w:szCs w:val="24"/>
        </w:rPr>
        <w:t xml:space="preserve">mproving data capacity, collection, reporting and management, particularly regarding program performance and achievement of outcomes.  </w:t>
      </w:r>
    </w:p>
    <w:p w:rsidRPr="002022E4" w:rsidR="00CC5AC0" w:rsidP="00CC5AC0" w:rsidRDefault="00CC5AC0" w14:paraId="3E9D9CF9" w14:textId="590ECCA0">
      <w:pPr>
        <w:pStyle w:val="BodyText1"/>
        <w:ind w:firstLine="360"/>
      </w:pPr>
      <w:r w:rsidRPr="00CC5AC0">
        <w:t>Information collected to</w:t>
      </w:r>
      <w:r w:rsidR="005B7B6C">
        <w:t xml:space="preserve"> implement a PFO i</w:t>
      </w:r>
      <w:r w:rsidRPr="00CC5AC0">
        <w:t xml:space="preserve">nitiative </w:t>
      </w:r>
      <w:r>
        <w:t xml:space="preserve">may reveal population trends, identify areas of increasing or decreasing risk, and identify resources to support families in need. The information collected may also inform strategic decision-making among MIECHV awardees and their stakeholders, in addition to identifying opportunities for collaboration to strengthen and expand services for at-risk families. </w:t>
      </w:r>
      <w:r w:rsidRPr="002022E4">
        <w:t>To meet statutory requirements for</w:t>
      </w:r>
      <w:r w:rsidR="005B7B6C">
        <w:t xml:space="preserve"> a PFO i</w:t>
      </w:r>
      <w:r w:rsidRPr="002022E4">
        <w:t xml:space="preserve">nitiative, the proposed initiative must include: </w:t>
      </w:r>
    </w:p>
    <w:p w:rsidR="00CC5AC0" w:rsidP="00CC5AC0" w:rsidRDefault="00CC5AC0" w14:paraId="3F9BCA9C" w14:textId="77777777">
      <w:pPr>
        <w:pStyle w:val="BodyText1"/>
        <w:numPr>
          <w:ilvl w:val="0"/>
          <w:numId w:val="33"/>
        </w:numPr>
        <w:rPr>
          <w:rFonts w:eastAsia="Batang"/>
          <w:szCs w:val="24"/>
        </w:rPr>
      </w:pPr>
      <w:r>
        <w:rPr>
          <w:rFonts w:eastAsia="Batang"/>
          <w:szCs w:val="24"/>
        </w:rPr>
        <w:lastRenderedPageBreak/>
        <w:t xml:space="preserve">A feasibility study that describes how the proposed intervention is based on evidence of effectiveness; </w:t>
      </w:r>
    </w:p>
    <w:p w:rsidR="00CC5AC0" w:rsidP="00CC5AC0" w:rsidRDefault="00CC5AC0" w14:paraId="56B88774" w14:textId="77777777">
      <w:pPr>
        <w:pStyle w:val="BodyText1"/>
        <w:numPr>
          <w:ilvl w:val="0"/>
          <w:numId w:val="33"/>
        </w:numPr>
        <w:rPr>
          <w:rFonts w:eastAsia="Batang"/>
          <w:szCs w:val="24"/>
        </w:rPr>
      </w:pPr>
      <w:r>
        <w:rPr>
          <w:rFonts w:eastAsia="Batang"/>
          <w:szCs w:val="24"/>
        </w:rPr>
        <w:t xml:space="preserve">A rigorous, third-party evaluation that uses experimental or quasi-experimental design or other research methodologies that allow for the strongest possible causal inferences to determine whether the initiative has met its proposed outcomes as a result of implementation; </w:t>
      </w:r>
    </w:p>
    <w:p w:rsidR="00CC5AC0" w:rsidP="00CC5AC0" w:rsidRDefault="00CC5AC0" w14:paraId="0031639B" w14:textId="77777777">
      <w:pPr>
        <w:pStyle w:val="BodyText1"/>
        <w:numPr>
          <w:ilvl w:val="0"/>
          <w:numId w:val="33"/>
        </w:numPr>
        <w:rPr>
          <w:rFonts w:eastAsia="Batang"/>
          <w:szCs w:val="24"/>
        </w:rPr>
      </w:pPr>
      <w:r>
        <w:rPr>
          <w:rFonts w:eastAsia="Batang"/>
          <w:szCs w:val="24"/>
        </w:rPr>
        <w:t xml:space="preserve">An annual, publicly available report on the progress of the initiative; and </w:t>
      </w:r>
    </w:p>
    <w:p w:rsidRPr="0044388D" w:rsidR="00CC5AC0" w:rsidP="00CC5AC0" w:rsidRDefault="00CC5AC0" w14:paraId="01C6EB75" w14:textId="77777777">
      <w:pPr>
        <w:pStyle w:val="BodyText1"/>
        <w:numPr>
          <w:ilvl w:val="0"/>
          <w:numId w:val="33"/>
        </w:numPr>
        <w:rPr>
          <w:rFonts w:eastAsia="Batang"/>
          <w:szCs w:val="24"/>
        </w:rPr>
      </w:pPr>
      <w:r>
        <w:rPr>
          <w:rFonts w:eastAsia="Batang"/>
          <w:szCs w:val="24"/>
        </w:rPr>
        <w:t xml:space="preserve">A requirement that payments are made to the recipient of the grant, contract, or cooperative agreement only when agreed upon outcomes are achieved, excluding payments made to a third party conducting the evaluation. </w:t>
      </w:r>
    </w:p>
    <w:p w:rsidR="00CC5AC0" w:rsidP="00CC5AC0" w:rsidRDefault="005B7B6C" w14:paraId="18B89591" w14:textId="08E29D4D">
      <w:pPr>
        <w:pStyle w:val="BodyText1"/>
        <w:ind w:firstLine="360"/>
      </w:pPr>
      <w:r>
        <w:t>A PFO i</w:t>
      </w:r>
      <w:r w:rsidR="00CC5AC0">
        <w:t xml:space="preserve">nitiative may not result in a reduction of funding for home visiting services, must be demonstrated as being feasible to implement, and include a rigorous, third-party evaluation to determine whether the initiative has met its proposed outcomes. </w:t>
      </w:r>
      <w:r w:rsidR="00CC5AC0">
        <w:tab/>
      </w:r>
    </w:p>
    <w:p w:rsidR="008361AF" w:rsidP="00CC5AC0" w:rsidRDefault="00CC5AC0" w14:paraId="144DFACA" w14:textId="05422925">
      <w:pPr>
        <w:pStyle w:val="BodyText1"/>
        <w:ind w:firstLine="360"/>
      </w:pPr>
      <w:r>
        <w:t xml:space="preserve">Instructions in the SIR </w:t>
      </w:r>
      <w:r w:rsidR="0075573A">
        <w:t xml:space="preserve">provide flexibility for awardees </w:t>
      </w:r>
      <w:r w:rsidR="00852942">
        <w:t xml:space="preserve">in </w:t>
      </w:r>
      <w:r w:rsidR="00D3155E">
        <w:t xml:space="preserve">how they meet the requirement </w:t>
      </w:r>
      <w:r w:rsidR="0075573A">
        <w:t>to assess the feasibili</w:t>
      </w:r>
      <w:r w:rsidR="005B7B6C">
        <w:t>ty of implementing a PFO i</w:t>
      </w:r>
      <w:r w:rsidR="0075573A">
        <w:t xml:space="preserve">nitiative and to </w:t>
      </w:r>
      <w:r w:rsidR="008361AF">
        <w:t>choos</w:t>
      </w:r>
      <w:r w:rsidR="005B7B6C">
        <w:t>e outcome measures for the PFO i</w:t>
      </w:r>
      <w:r w:rsidR="008361AF">
        <w:t>nitiative</w:t>
      </w:r>
      <w:r w:rsidR="0075573A">
        <w:t xml:space="preserve">. </w:t>
      </w:r>
      <w:r w:rsidR="008361AF">
        <w:t>The requirement of completion of a feasibility study may be satisfied in one of two ways:</w:t>
      </w:r>
    </w:p>
    <w:p w:rsidR="008361AF" w:rsidP="008361AF" w:rsidRDefault="008361AF" w14:paraId="2A8C3793" w14:textId="19D7839D">
      <w:pPr>
        <w:pStyle w:val="BodyText1"/>
        <w:numPr>
          <w:ilvl w:val="0"/>
          <w:numId w:val="36"/>
        </w:numPr>
      </w:pPr>
      <w:r>
        <w:t>Complet</w:t>
      </w:r>
      <w:r w:rsidR="00852942">
        <w:t>e</w:t>
      </w:r>
      <w:r>
        <w:t xml:space="preserve"> a new MIECHV PFO feasibility study based on the PFO feasibility study instructions found in the SIR, or </w:t>
      </w:r>
    </w:p>
    <w:p w:rsidRPr="00037DFD" w:rsidR="00852942" w:rsidP="00037DFD" w:rsidRDefault="00852942" w14:paraId="7073BBDD" w14:textId="56CB6A2B">
      <w:pPr>
        <w:pStyle w:val="BodyText1"/>
        <w:numPr>
          <w:ilvl w:val="0"/>
          <w:numId w:val="36"/>
        </w:numPr>
      </w:pPr>
      <w:r w:rsidRPr="00037DFD">
        <w:lastRenderedPageBreak/>
        <w:t xml:space="preserve">Use and submit a feasibility study completed within the past five years that assessed the same intervention and target population you are proposing in the PFO SIR Response. This feasibility study, which may have been supported by non-MIECHV funding sources, can be supplemented with any additional information necessary to submit a complete response to </w:t>
      </w:r>
      <w:r w:rsidR="002053CB">
        <w:t>the SIR</w:t>
      </w:r>
      <w:r w:rsidRPr="00037DFD">
        <w:t xml:space="preserve">. </w:t>
      </w:r>
    </w:p>
    <w:p w:rsidR="008361AF" w:rsidP="008361AF" w:rsidRDefault="00AD1541" w14:paraId="6DD15623" w14:textId="75C8A017">
      <w:pPr>
        <w:pStyle w:val="BodyText1"/>
        <w:ind w:firstLine="0"/>
      </w:pPr>
      <w:r>
        <w:t xml:space="preserve">When selecting one or more outcome measures for the PFO </w:t>
      </w:r>
      <w:r w:rsidR="005B7B6C">
        <w:t>i</w:t>
      </w:r>
      <w:r>
        <w:t>nitiative, awardees may choose either impact outcomes or process outcomes (or both), as long as the methodology for evaluating whether or not the outcomes have been achieved allows for the strongest possible causal inference. The outcome</w:t>
      </w:r>
      <w:r w:rsidR="005E5A43">
        <w:t xml:space="preserve"> measure(s)</w:t>
      </w:r>
      <w:r>
        <w:t xml:space="preserve"> and methodology quantifying its measurement may also be chosen by the awardee. It should be noted that possible outcomes are not limited to those that have been monetized in the literature, but they must align with the six MIECHV benchmark areas and at least one of the 19 MEICHV constructs. Further, awardees have the flexibility to choose the methodology used to determine payment amounts (in the form of outcome payments) for each of the target outcomes chosen. </w:t>
      </w:r>
      <w:r w:rsidR="005E5A43">
        <w:t xml:space="preserve">Outcome payments can only be made for those outcomes included in the PFO evaluation and payments can only be made after the evaluator has determined whether the outcomes have been achieved. </w:t>
      </w:r>
      <w:r w:rsidR="00852942">
        <w:t>T</w:t>
      </w:r>
      <w:r w:rsidR="00765892">
        <w:t>he rationale for selecting the payment amounts and describe how the payment amounts take into consideration federal, state and local public sector savings, cost avoidance, and social benefit</w:t>
      </w:r>
      <w:r w:rsidR="00852942">
        <w:t xml:space="preserve"> must be provided</w:t>
      </w:r>
      <w:r w:rsidR="00765892">
        <w:t xml:space="preserve">. </w:t>
      </w:r>
    </w:p>
    <w:p w:rsidRPr="00AD1541" w:rsidR="00A200F8" w:rsidP="00A200F8" w:rsidRDefault="00A200F8" w14:paraId="208F1CAB" w14:textId="418F67B8">
      <w:pPr>
        <w:pStyle w:val="BodyText1"/>
      </w:pPr>
      <w:r w:rsidRPr="00AD1541">
        <w:lastRenderedPageBreak/>
        <w:t xml:space="preserve">In addition to satisfying statutory requirements, HRSA anticipates MIECHV awardees may use </w:t>
      </w:r>
      <w:r w:rsidR="005B7B6C">
        <w:t>proposed PFO i</w:t>
      </w:r>
      <w:r w:rsidRPr="00AD1541" w:rsidR="00AD1541">
        <w:t>nitiatives</w:t>
      </w:r>
      <w:r w:rsidRPr="00AD1541">
        <w:t xml:space="preserve"> to: </w:t>
      </w:r>
    </w:p>
    <w:p w:rsidRPr="00AD1541" w:rsidR="00A200F8" w:rsidP="00A200F8" w:rsidRDefault="00D72DB3" w14:paraId="2D4B878A" w14:textId="105C59ED">
      <w:pPr>
        <w:pStyle w:val="BodyText1"/>
        <w:numPr>
          <w:ilvl w:val="0"/>
          <w:numId w:val="27"/>
        </w:numPr>
      </w:pPr>
      <w:r>
        <w:t>U</w:t>
      </w:r>
      <w:r w:rsidRPr="00AD1541" w:rsidR="00A200F8">
        <w:t xml:space="preserve">nderstand the current needs of families and children, and at-risk </w:t>
      </w:r>
      <w:r w:rsidRPr="00AD1541" w:rsidR="00345902">
        <w:t>counties</w:t>
      </w:r>
      <w:r w:rsidRPr="00AD1541" w:rsidR="00AD1541">
        <w:t>;</w:t>
      </w:r>
    </w:p>
    <w:p w:rsidRPr="00AD1541" w:rsidR="00A200F8" w:rsidP="00A200F8" w:rsidRDefault="00D72DB3" w14:paraId="459B948C" w14:textId="764BCA7E">
      <w:pPr>
        <w:pStyle w:val="BodyText1"/>
        <w:numPr>
          <w:ilvl w:val="0"/>
          <w:numId w:val="27"/>
        </w:numPr>
      </w:pPr>
      <w:r>
        <w:t>T</w:t>
      </w:r>
      <w:r w:rsidRPr="00AD1541" w:rsidR="00A200F8">
        <w:t xml:space="preserve">arget home visiting services to at-risk </w:t>
      </w:r>
      <w:r w:rsidRPr="00AD1541" w:rsidR="00345902">
        <w:t xml:space="preserve">counties </w:t>
      </w:r>
      <w:r w:rsidRPr="00AD1541" w:rsidR="00A200F8">
        <w:t>with evidence-based and promising approach home visiting m</w:t>
      </w:r>
      <w:r w:rsidRPr="00AD1541" w:rsidR="00AD1541">
        <w:t>odels that meet community needs;</w:t>
      </w:r>
    </w:p>
    <w:p w:rsidRPr="00AD1541" w:rsidR="00A200F8" w:rsidP="00A200F8" w:rsidRDefault="00D72DB3" w14:paraId="7C9E8969" w14:textId="4C5CA9FC">
      <w:pPr>
        <w:pStyle w:val="BodyText1"/>
        <w:numPr>
          <w:ilvl w:val="0"/>
          <w:numId w:val="27"/>
        </w:numPr>
      </w:pPr>
      <w:r>
        <w:t>S</w:t>
      </w:r>
      <w:r w:rsidRPr="00AD1541" w:rsidR="00A200F8">
        <w:t>upport statewide planning to develop and implement a continuum of home visiting services for eligible families and children prenatally through kindergarten</w:t>
      </w:r>
      <w:r w:rsidRPr="00AD1541" w:rsidR="00AD1541">
        <w:t xml:space="preserve"> entry;</w:t>
      </w:r>
    </w:p>
    <w:p w:rsidRPr="00AD1541" w:rsidR="00A200F8" w:rsidP="00A200F8" w:rsidRDefault="00D72DB3" w14:paraId="690A7714" w14:textId="1E069DCE">
      <w:pPr>
        <w:pStyle w:val="BodyText1"/>
        <w:numPr>
          <w:ilvl w:val="0"/>
          <w:numId w:val="27"/>
        </w:numPr>
      </w:pPr>
      <w:r>
        <w:t>I</w:t>
      </w:r>
      <w:r w:rsidRPr="00AD1541" w:rsidR="00A200F8">
        <w:t xml:space="preserve">nform public and private stakeholders about the unmet need for home visiting </w:t>
      </w:r>
      <w:r w:rsidRPr="00AD1541" w:rsidR="00AD1541">
        <w:t>and other services in the state;</w:t>
      </w:r>
    </w:p>
    <w:p w:rsidRPr="00AD1541" w:rsidR="00A200F8" w:rsidP="00A200F8" w:rsidRDefault="00D72DB3" w14:paraId="518736DF" w14:textId="0FCD3C12">
      <w:pPr>
        <w:pStyle w:val="BodyText1"/>
        <w:numPr>
          <w:ilvl w:val="0"/>
          <w:numId w:val="27"/>
        </w:numPr>
      </w:pPr>
      <w:r>
        <w:t>I</w:t>
      </w:r>
      <w:r w:rsidRPr="00AD1541" w:rsidR="00A200F8">
        <w:t>dentify opportunities for collaboration with state and local partners to establish appropriate linkages and referral networks to other community resources and supports and strengthen</w:t>
      </w:r>
      <w:r w:rsidRPr="00AD1541" w:rsidR="00AD1541">
        <w:t xml:space="preserve"> strong early childhood systems; and </w:t>
      </w:r>
    </w:p>
    <w:p w:rsidR="00EC0DC8" w:rsidP="00A200F8" w:rsidRDefault="00D72DB3" w14:paraId="56596779" w14:textId="66C04828">
      <w:pPr>
        <w:pStyle w:val="BodyText1"/>
        <w:numPr>
          <w:ilvl w:val="0"/>
          <w:numId w:val="27"/>
        </w:numPr>
      </w:pPr>
      <w:r>
        <w:t>D</w:t>
      </w:r>
      <w:r w:rsidRPr="00AD1541" w:rsidR="00A200F8">
        <w:t xml:space="preserve">irect technical assistance resources to enhance home visiting service delivery and improve coordination of services in at-risk </w:t>
      </w:r>
      <w:r w:rsidRPr="00AD1541" w:rsidR="00345902">
        <w:t>counties</w:t>
      </w:r>
      <w:r w:rsidRPr="00AD1541" w:rsidR="00A200F8">
        <w:t>.</w:t>
      </w:r>
    </w:p>
    <w:p w:rsidRPr="00AD1541" w:rsidR="003D46B9" w:rsidP="00A200F8" w:rsidRDefault="00D72DB3" w14:paraId="07533088" w14:textId="6D498C91">
      <w:pPr>
        <w:pStyle w:val="BodyText1"/>
        <w:numPr>
          <w:ilvl w:val="0"/>
          <w:numId w:val="27"/>
        </w:numPr>
      </w:pPr>
      <w:r>
        <w:t>S</w:t>
      </w:r>
      <w:r w:rsidR="007665D8">
        <w:t>upport home visiting sustainability through strategic partnerships.</w:t>
      </w:r>
    </w:p>
    <w:p w:rsidR="00AD1541" w:rsidP="007E207E" w:rsidRDefault="00AD1541" w14:paraId="5005765A" w14:textId="1152CF55">
      <w:pPr>
        <w:pStyle w:val="BodyText1"/>
        <w:rPr>
          <w:highlight w:val="yellow"/>
        </w:rPr>
      </w:pPr>
      <w:r>
        <w:t xml:space="preserve">HRSA intends to use the </w:t>
      </w:r>
      <w:r w:rsidR="00C3488F">
        <w:t>SIR Response</w:t>
      </w:r>
      <w:r>
        <w:t xml:space="preserve"> to </w:t>
      </w:r>
      <w:r w:rsidR="00D72DB3">
        <w:t xml:space="preserve">evaluate proposals, </w:t>
      </w:r>
      <w:r>
        <w:t>provide technical assistance and support for those in</w:t>
      </w:r>
      <w:r w:rsidR="005B7B6C">
        <w:t>terested in implementing PFO i</w:t>
      </w:r>
      <w:r>
        <w:t>nitiative</w:t>
      </w:r>
      <w:r w:rsidR="00D72DB3">
        <w:t>s</w:t>
      </w:r>
      <w:r>
        <w:t xml:space="preserve">, and ensure </w:t>
      </w:r>
      <w:r>
        <w:lastRenderedPageBreak/>
        <w:t>that awardees are proposing PFO projects that meet statutory requi</w:t>
      </w:r>
      <w:r w:rsidR="00395486">
        <w:t>rements</w:t>
      </w:r>
      <w:r>
        <w:t xml:space="preserve">. Additionally, HRSA may use the data collected through the PFO </w:t>
      </w:r>
      <w:r w:rsidR="005E23DE">
        <w:t>SIR response</w:t>
      </w:r>
      <w:r>
        <w:t xml:space="preserve"> to assess a national </w:t>
      </w:r>
      <w:r w:rsidR="005E23DE">
        <w:t>picture of feasibility for PFO i</w:t>
      </w:r>
      <w:r>
        <w:t xml:space="preserve">nitiatives, and analyze the data provided with other program data to understand how MIECHV-funded services reach at-risk families across the country. Analyses may inform future program policy-making, research papers or journal articles, and conference presentations. </w:t>
      </w:r>
    </w:p>
    <w:p w:rsidRPr="005C43A1" w:rsidR="0055363C" w:rsidP="002E5438" w:rsidRDefault="00BD1033" w14:paraId="0468585C" w14:textId="7FBD915D">
      <w:pPr>
        <w:pStyle w:val="Heading3NoTOC"/>
        <w:rPr>
          <w:lang w:val="en-US"/>
        </w:rPr>
      </w:pPr>
      <w:r>
        <w:rPr>
          <w:lang w:val="en-US"/>
        </w:rPr>
        <w:t xml:space="preserve">A.2.1 </w:t>
      </w:r>
      <w:r w:rsidRPr="005C43A1" w:rsidR="0055363C">
        <w:rPr>
          <w:lang w:val="en-US"/>
        </w:rPr>
        <w:t>Privacy Impact Assessment Information</w:t>
      </w:r>
    </w:p>
    <w:p w:rsidRPr="005C43A1" w:rsidR="000256F5" w:rsidP="00E427A6" w:rsidRDefault="00EE0B1B" w14:paraId="321274D3" w14:textId="34C8A7D6">
      <w:pPr>
        <w:pStyle w:val="BodyText1"/>
      </w:pPr>
      <w:r>
        <w:t>The proposed collection will have little or no effect on the respondent’s privacy</w:t>
      </w:r>
      <w:r w:rsidR="00C058BF">
        <w:t xml:space="preserve">. </w:t>
      </w:r>
      <w:r w:rsidRPr="005C43A1" w:rsidR="0055363C">
        <w:t>No</w:t>
      </w:r>
      <w:r w:rsidR="00C56583">
        <w:t xml:space="preserve"> information in identifiable form (</w:t>
      </w:r>
      <w:r w:rsidRPr="005C43A1" w:rsidR="00DF5387">
        <w:t>I</w:t>
      </w:r>
      <w:r w:rsidR="00DF5387">
        <w:t>I</w:t>
      </w:r>
      <w:r w:rsidRPr="005C43A1" w:rsidR="00DF5387">
        <w:t>F</w:t>
      </w:r>
      <w:r w:rsidR="00C56583">
        <w:t xml:space="preserve">) </w:t>
      </w:r>
      <w:r w:rsidR="00F024B4">
        <w:t>will be</w:t>
      </w:r>
      <w:r w:rsidRPr="005C43A1" w:rsidR="0055363C">
        <w:t xml:space="preserve"> collected.</w:t>
      </w:r>
      <w:r w:rsidR="007C01A5">
        <w:t xml:space="preserve"> </w:t>
      </w:r>
      <w:r w:rsidR="003D46B9">
        <w:t xml:space="preserve">Data will be collected </w:t>
      </w:r>
      <w:r w:rsidRPr="00802967" w:rsidR="007C01A5">
        <w:t>and used in aggregate form by HRSA.</w:t>
      </w:r>
      <w:r w:rsidR="007C01A5">
        <w:t xml:space="preserve"> </w:t>
      </w:r>
      <w:r w:rsidR="00802967">
        <w:t xml:space="preserve"> </w:t>
      </w:r>
    </w:p>
    <w:p w:rsidRPr="005C43A1" w:rsidR="00495ADF" w:rsidP="007F576C" w:rsidRDefault="00495ADF" w14:paraId="09188D5C" w14:textId="77777777">
      <w:pPr>
        <w:pStyle w:val="Heading2"/>
      </w:pPr>
      <w:bookmarkStart w:name="_Toc88033467" w:id="9"/>
      <w:bookmarkStart w:name="_Toc457313778" w:id="10"/>
      <w:r w:rsidRPr="005C43A1">
        <w:t>A.3</w:t>
      </w:r>
      <w:r w:rsidRPr="005C43A1">
        <w:tab/>
      </w:r>
      <w:bookmarkEnd w:id="9"/>
      <w:r w:rsidRPr="005C43A1">
        <w:t>Use of Improved Information Technology and Burden Reduction</w:t>
      </w:r>
      <w:bookmarkEnd w:id="10"/>
    </w:p>
    <w:p w:rsidRPr="00BD1033" w:rsidR="00BE4BDE" w:rsidP="007B5983" w:rsidRDefault="00BE4BDE" w14:paraId="1D3779C0" w14:textId="0E1405C0">
      <w:pPr>
        <w:pStyle w:val="BodyText1"/>
        <w:ind w:firstLine="0"/>
        <w:rPr>
          <w:b/>
          <w:i/>
        </w:rPr>
      </w:pPr>
      <w:r w:rsidRPr="00BD1033">
        <w:rPr>
          <w:b/>
          <w:i/>
        </w:rPr>
        <w:t>A.3.1 Use of Improved Information Technology</w:t>
      </w:r>
    </w:p>
    <w:p w:rsidR="00B00871" w:rsidP="00B00871" w:rsidRDefault="00BE4BDE" w14:paraId="0BD0658C" w14:textId="038D2DA3">
      <w:pPr>
        <w:pStyle w:val="BodyText1"/>
      </w:pPr>
      <w:r w:rsidRPr="00A60999">
        <w:t>All required information will be collected electronically via HRSA’s Electronic Handbook</w:t>
      </w:r>
      <w:r w:rsidRPr="00A60999" w:rsidR="005D343B">
        <w:t>s</w:t>
      </w:r>
      <w:r w:rsidRPr="00A60999">
        <w:t xml:space="preserve"> (EHB</w:t>
      </w:r>
      <w:r w:rsidRPr="00A60999" w:rsidR="005D343B">
        <w:t>s</w:t>
      </w:r>
      <w:r w:rsidR="0084679B">
        <w:t>)</w:t>
      </w:r>
      <w:r w:rsidRPr="00A60999" w:rsidR="00A60999">
        <w:t xml:space="preserve">. </w:t>
      </w:r>
      <w:r w:rsidRPr="00A60999" w:rsidR="00B00871">
        <w:t xml:space="preserve">Awardees will submit the </w:t>
      </w:r>
      <w:r w:rsidR="0084679B">
        <w:t xml:space="preserve">SIR Response, which includes the </w:t>
      </w:r>
      <w:r w:rsidRPr="00A60999" w:rsidR="00A60999">
        <w:t xml:space="preserve">PFO Narrative </w:t>
      </w:r>
      <w:r w:rsidR="00944108">
        <w:t>and required attachments</w:t>
      </w:r>
      <w:r w:rsidR="0084679B">
        <w:t>,</w:t>
      </w:r>
      <w:r w:rsidR="00944108">
        <w:t xml:space="preserve"> </w:t>
      </w:r>
      <w:r w:rsidRPr="00A60999" w:rsidR="00B00871">
        <w:t>directly to HRSA via the Electronic Handbooks (EHB) grant management application. The EHB</w:t>
      </w:r>
      <w:r w:rsidR="0084679B">
        <w:t>s</w:t>
      </w:r>
      <w:r w:rsidRPr="00A60999" w:rsidR="00B00871">
        <w:t xml:space="preserve"> is a web-based system that allows for easy submission of information directly to HRSA. The system is an electronic reporting tool used by MIECHV Program awardees for grant-related reporting requirements, and </w:t>
      </w:r>
      <w:r w:rsidRPr="00A60999" w:rsidR="00B00871">
        <w:lastRenderedPageBreak/>
        <w:t>allows for the appropriate storage, extraction, and management of needs assessment update information by federal staff. HRSA staff can also use the system to seek clarifications or additions to the submitted information, and request updated information to be resubmitted before approval through the EHBs.</w:t>
      </w:r>
      <w:r w:rsidR="00B00871">
        <w:t xml:space="preserve"> </w:t>
      </w:r>
    </w:p>
    <w:p w:rsidRPr="00BD1033" w:rsidR="00BE4BDE" w:rsidP="009A4963" w:rsidRDefault="00BE4BDE" w14:paraId="47D49168" w14:textId="4E22662B">
      <w:pPr>
        <w:pStyle w:val="BodyText1"/>
        <w:ind w:firstLine="0"/>
        <w:rPr>
          <w:b/>
          <w:i/>
        </w:rPr>
      </w:pPr>
      <w:r w:rsidRPr="00BD1033">
        <w:rPr>
          <w:b/>
          <w:i/>
        </w:rPr>
        <w:t>A.3.</w:t>
      </w:r>
      <w:r w:rsidR="00BD1033">
        <w:rPr>
          <w:b/>
          <w:i/>
        </w:rPr>
        <w:t>2</w:t>
      </w:r>
      <w:r w:rsidRPr="00BD1033">
        <w:rPr>
          <w:b/>
          <w:i/>
        </w:rPr>
        <w:t xml:space="preserve"> Burden Reduction</w:t>
      </w:r>
    </w:p>
    <w:p w:rsidR="00181D39" w:rsidP="00B00871" w:rsidRDefault="00A671BB" w14:paraId="30732CCE" w14:textId="4D85E744">
      <w:pPr>
        <w:pStyle w:val="BodyText1"/>
      </w:pPr>
      <w:r>
        <w:rPr>
          <w:rFonts w:eastAsia="Batang"/>
          <w:szCs w:val="24"/>
        </w:rPr>
        <w:t xml:space="preserve">To reduce burden, HRSA </w:t>
      </w:r>
      <w:r w:rsidR="00525B43">
        <w:rPr>
          <w:rFonts w:eastAsia="Batang"/>
          <w:szCs w:val="24"/>
        </w:rPr>
        <w:t xml:space="preserve">has identified points of flexibility in planning and made efforts to ensure awardees can use </w:t>
      </w:r>
      <w:r w:rsidR="007665D8">
        <w:rPr>
          <w:rFonts w:eastAsia="Batang"/>
          <w:szCs w:val="24"/>
        </w:rPr>
        <w:t>existing</w:t>
      </w:r>
      <w:r w:rsidR="00525B43">
        <w:rPr>
          <w:rFonts w:eastAsia="Batang"/>
          <w:szCs w:val="24"/>
        </w:rPr>
        <w:t xml:space="preserve"> information when possible. Awardees may choose the outco</w:t>
      </w:r>
      <w:r w:rsidR="005B7B6C">
        <w:rPr>
          <w:rFonts w:eastAsia="Batang"/>
          <w:szCs w:val="24"/>
        </w:rPr>
        <w:t>me measures used for their PFO i</w:t>
      </w:r>
      <w:r w:rsidR="00525B43">
        <w:rPr>
          <w:rFonts w:eastAsia="Batang"/>
          <w:szCs w:val="24"/>
        </w:rPr>
        <w:t xml:space="preserve">nitiative, either impact outcomes or process outcomes (or both), as long as the methodology for evaluation allows for the strongest possible causal inference. </w:t>
      </w:r>
      <w:r w:rsidR="00525B43">
        <w:t xml:space="preserve">The target outcome and methodology quantifying its measurement may also be chosen by the awardee. Further, potential outcomes are not limited to those that have been monetized in the literature. However, they must align with the six MIECHV benchmark areas (though addressing all of them is not required) and at least one of the 19 MIECHV constructs. </w:t>
      </w:r>
    </w:p>
    <w:p w:rsidR="00525B43" w:rsidP="00525B43" w:rsidRDefault="00525B43" w14:paraId="2A79D447" w14:textId="126B1B2B">
      <w:pPr>
        <w:pStyle w:val="BodyText1"/>
      </w:pPr>
      <w:r>
        <w:t xml:space="preserve">Additionally, </w:t>
      </w:r>
      <w:r w:rsidR="00705B96">
        <w:t>to</w:t>
      </w:r>
      <w:r w:rsidR="007665D8">
        <w:t xml:space="preserve"> </w:t>
      </w:r>
      <w:r>
        <w:t>reduc</w:t>
      </w:r>
      <w:r w:rsidR="00705B96">
        <w:t>e</w:t>
      </w:r>
      <w:r>
        <w:t xml:space="preserve"> burden, awardees are not required to complete a new PFO feasibility study to satisfy the requirements of the SIR if they have a previously completed feasibility study that qualifies. The requirement of completion of a feasibility study may be satisfied in one of two ways: </w:t>
      </w:r>
    </w:p>
    <w:p w:rsidR="00852942" w:rsidP="002D2899" w:rsidRDefault="00852942" w14:paraId="1FCAE330" w14:textId="40026DCC">
      <w:pPr>
        <w:pStyle w:val="BodyText1"/>
        <w:numPr>
          <w:ilvl w:val="0"/>
          <w:numId w:val="41"/>
        </w:numPr>
      </w:pPr>
      <w:r>
        <w:lastRenderedPageBreak/>
        <w:t xml:space="preserve">Complete a new MIECHV PFO feasibility study based on the PFO feasibility study instructions found in the SIR, or </w:t>
      </w:r>
    </w:p>
    <w:p w:rsidRPr="00A13D69" w:rsidR="00852942" w:rsidP="00A13D69" w:rsidRDefault="00852942" w14:paraId="457A662E" w14:textId="368B4135">
      <w:pPr>
        <w:pStyle w:val="BodyText1"/>
        <w:numPr>
          <w:ilvl w:val="0"/>
          <w:numId w:val="41"/>
        </w:numPr>
      </w:pPr>
      <w:r w:rsidRPr="00A13D69">
        <w:t xml:space="preserve">Use and submit a feasibility study completed within the past five years that assessed the same intervention and target population you are proposing in the PFO SIR Response. This feasibility study, which may have been supported by non-MIECHV funding sources, can be supplemented with any additional information necessary to submit a complete response to </w:t>
      </w:r>
      <w:r w:rsidR="0084679B">
        <w:t>the SIR</w:t>
      </w:r>
      <w:r w:rsidRPr="00A13D69">
        <w:t xml:space="preserve">. </w:t>
      </w:r>
    </w:p>
    <w:p w:rsidR="00525B43" w:rsidP="00B00871" w:rsidRDefault="00B00871" w14:paraId="54C0BE98" w14:textId="785D65C1">
      <w:pPr>
        <w:pStyle w:val="BodyText1"/>
        <w:rPr>
          <w:rFonts w:eastAsia="Batang"/>
          <w:szCs w:val="24"/>
        </w:rPr>
      </w:pPr>
      <w:r w:rsidRPr="00525B43">
        <w:rPr>
          <w:rFonts w:eastAsia="Batang"/>
          <w:szCs w:val="24"/>
        </w:rPr>
        <w:t xml:space="preserve">The SIR </w:t>
      </w:r>
      <w:r w:rsidRPr="00525B43" w:rsidR="00DC33D5">
        <w:rPr>
          <w:rFonts w:eastAsia="Batang"/>
          <w:szCs w:val="24"/>
        </w:rPr>
        <w:t xml:space="preserve">provides more information about </w:t>
      </w:r>
      <w:r w:rsidR="00525B43">
        <w:rPr>
          <w:rFonts w:eastAsia="Batang"/>
          <w:szCs w:val="24"/>
        </w:rPr>
        <w:t>conducting a feasibility study and propos</w:t>
      </w:r>
      <w:r w:rsidR="00705B96">
        <w:rPr>
          <w:rFonts w:eastAsia="Batang"/>
          <w:szCs w:val="24"/>
        </w:rPr>
        <w:t>ing</w:t>
      </w:r>
      <w:r w:rsidR="00525B43">
        <w:rPr>
          <w:rFonts w:eastAsia="Batang"/>
          <w:szCs w:val="24"/>
        </w:rPr>
        <w:t xml:space="preserve"> a PFO </w:t>
      </w:r>
      <w:r w:rsidR="002D2899">
        <w:rPr>
          <w:rFonts w:eastAsia="Batang"/>
          <w:szCs w:val="24"/>
        </w:rPr>
        <w:t>i</w:t>
      </w:r>
      <w:r w:rsidR="00525B43">
        <w:rPr>
          <w:rFonts w:eastAsia="Batang"/>
          <w:szCs w:val="24"/>
        </w:rPr>
        <w:t>nitiative. The instructions further describe the flexibility to reduce burden and support t</w:t>
      </w:r>
      <w:r w:rsidR="005B7B6C">
        <w:rPr>
          <w:rFonts w:eastAsia="Batang"/>
          <w:szCs w:val="24"/>
        </w:rPr>
        <w:t>he implementation of PFO i</w:t>
      </w:r>
      <w:r w:rsidR="00525B43">
        <w:rPr>
          <w:rFonts w:eastAsia="Batang"/>
          <w:szCs w:val="24"/>
        </w:rPr>
        <w:t>nitiatives</w:t>
      </w:r>
      <w:r w:rsidR="00705B96">
        <w:rPr>
          <w:rFonts w:eastAsia="Batang"/>
          <w:szCs w:val="24"/>
        </w:rPr>
        <w:t>.</w:t>
      </w:r>
    </w:p>
    <w:p w:rsidR="00BE4BDE" w:rsidP="009A4963" w:rsidRDefault="00495ADF" w14:paraId="78EFDAB3" w14:textId="107E9C82">
      <w:pPr>
        <w:pStyle w:val="Heading2"/>
        <w:rPr>
          <w:rFonts w:eastAsia="Batang"/>
        </w:rPr>
      </w:pPr>
      <w:bookmarkStart w:name="_Toc88033468" w:id="11"/>
      <w:bookmarkStart w:name="_Toc457313779" w:id="12"/>
      <w:r w:rsidRPr="005C43A1">
        <w:t>A.4</w:t>
      </w:r>
      <w:r w:rsidRPr="005C43A1">
        <w:tab/>
      </w:r>
      <w:bookmarkEnd w:id="11"/>
      <w:r w:rsidRPr="005C43A1">
        <w:t>Efforts to Identify Duplication and Use of Similar Information</w:t>
      </w:r>
      <w:bookmarkEnd w:id="12"/>
    </w:p>
    <w:p w:rsidR="00E952E6" w:rsidP="00E952E6" w:rsidRDefault="001C1A2B" w14:paraId="382BDA5A" w14:textId="4BB95265">
      <w:pPr>
        <w:pStyle w:val="BodyText1"/>
      </w:pPr>
      <w:r w:rsidRPr="001C1A2B">
        <w:rPr>
          <w:rFonts w:eastAsia="Batang"/>
          <w:szCs w:val="24"/>
        </w:rPr>
        <w:t>The information collected through this request is not available from another source. Only MIECHV Program awardees can supply the reques</w:t>
      </w:r>
      <w:r>
        <w:rPr>
          <w:rFonts w:eastAsia="Batang"/>
          <w:szCs w:val="24"/>
        </w:rPr>
        <w:t xml:space="preserve">ted information, though </w:t>
      </w:r>
      <w:r w:rsidRPr="00181D39">
        <w:rPr>
          <w:rFonts w:eastAsia="Batang"/>
          <w:szCs w:val="24"/>
        </w:rPr>
        <w:t>other sources of data</w:t>
      </w:r>
      <w:r w:rsidR="004723BC">
        <w:rPr>
          <w:rFonts w:eastAsia="Batang"/>
          <w:szCs w:val="24"/>
        </w:rPr>
        <w:t>, including administrative data and data collected through the needs assessment,</w:t>
      </w:r>
      <w:r w:rsidRPr="00181D39">
        <w:rPr>
          <w:rFonts w:eastAsia="Batang"/>
          <w:szCs w:val="24"/>
        </w:rPr>
        <w:t xml:space="preserve"> may support the </w:t>
      </w:r>
      <w:r w:rsidRPr="00181D39" w:rsidR="00181D39">
        <w:rPr>
          <w:rFonts w:eastAsia="Batang"/>
          <w:szCs w:val="24"/>
        </w:rPr>
        <w:t xml:space="preserve">PFO </w:t>
      </w:r>
      <w:r w:rsidR="008B1550">
        <w:rPr>
          <w:rFonts w:eastAsia="Batang"/>
          <w:szCs w:val="24"/>
        </w:rPr>
        <w:t>SIR Response</w:t>
      </w:r>
      <w:r w:rsidRPr="00181D39">
        <w:rPr>
          <w:rFonts w:eastAsia="Batang"/>
          <w:szCs w:val="24"/>
        </w:rPr>
        <w:t xml:space="preserve">. </w:t>
      </w:r>
      <w:r w:rsidR="00E952E6">
        <w:rPr>
          <w:rFonts w:eastAsia="Batang"/>
          <w:szCs w:val="24"/>
        </w:rPr>
        <w:t xml:space="preserve">This SIR is the first </w:t>
      </w:r>
      <w:r w:rsidR="005A0ECA">
        <w:rPr>
          <w:rFonts w:eastAsia="Batang"/>
          <w:szCs w:val="24"/>
        </w:rPr>
        <w:t xml:space="preserve">guidance </w:t>
      </w:r>
      <w:r w:rsidR="00E952E6">
        <w:rPr>
          <w:rFonts w:eastAsia="Batang"/>
          <w:szCs w:val="24"/>
        </w:rPr>
        <w:t>from HRSA to addre</w:t>
      </w:r>
      <w:r w:rsidR="005B7B6C">
        <w:rPr>
          <w:rFonts w:eastAsia="Batang"/>
          <w:szCs w:val="24"/>
        </w:rPr>
        <w:t>ss the implementation of a PFO i</w:t>
      </w:r>
      <w:r w:rsidR="00E952E6">
        <w:rPr>
          <w:rFonts w:eastAsia="Batang"/>
          <w:szCs w:val="24"/>
        </w:rPr>
        <w:t>nitiative; however, some states</w:t>
      </w:r>
      <w:r w:rsidR="00DD5455">
        <w:rPr>
          <w:rFonts w:eastAsia="Batang"/>
          <w:szCs w:val="24"/>
        </w:rPr>
        <w:t xml:space="preserve"> may</w:t>
      </w:r>
      <w:r w:rsidR="00E952E6">
        <w:rPr>
          <w:rFonts w:eastAsia="Batang"/>
          <w:szCs w:val="24"/>
        </w:rPr>
        <w:t xml:space="preserve"> have explored PFO as an innovative </w:t>
      </w:r>
      <w:r w:rsidR="004723BC">
        <w:rPr>
          <w:rFonts w:eastAsia="Batang"/>
          <w:szCs w:val="24"/>
        </w:rPr>
        <w:t>funding</w:t>
      </w:r>
      <w:r w:rsidR="00DD5455">
        <w:rPr>
          <w:rFonts w:eastAsia="Batang"/>
          <w:szCs w:val="24"/>
        </w:rPr>
        <w:t xml:space="preserve"> model and</w:t>
      </w:r>
      <w:r w:rsidR="00E952E6">
        <w:rPr>
          <w:rFonts w:eastAsia="Batang"/>
          <w:szCs w:val="24"/>
        </w:rPr>
        <w:t xml:space="preserve"> completed a feasibility study </w:t>
      </w:r>
      <w:r w:rsidR="005A0ECA">
        <w:rPr>
          <w:rFonts w:eastAsia="Batang"/>
          <w:szCs w:val="24"/>
        </w:rPr>
        <w:t>prior to the release of the SIR</w:t>
      </w:r>
      <w:r w:rsidR="00E952E6">
        <w:rPr>
          <w:rFonts w:eastAsia="Batang"/>
          <w:szCs w:val="24"/>
        </w:rPr>
        <w:t xml:space="preserve">. Therefore, the PFO </w:t>
      </w:r>
      <w:r w:rsidR="008B1550">
        <w:rPr>
          <w:rFonts w:eastAsia="Batang"/>
          <w:szCs w:val="24"/>
        </w:rPr>
        <w:t xml:space="preserve">SIR </w:t>
      </w:r>
      <w:r w:rsidR="00E952E6">
        <w:t xml:space="preserve">requirement of completion of a feasibility study may be satisfied </w:t>
      </w:r>
      <w:r w:rsidR="007F24D3">
        <w:t xml:space="preserve">by completing a new MIECHV PFO feasibility study, </w:t>
      </w:r>
      <w:r w:rsidR="007F24D3">
        <w:lastRenderedPageBreak/>
        <w:t>or by reporting on a recently completed feasibility study that meets HRSA’s requirements</w:t>
      </w:r>
      <w:r w:rsidR="005A0ECA">
        <w:t xml:space="preserve"> to reduce any potential duplication of effort</w:t>
      </w:r>
      <w:r w:rsidR="007F24D3">
        <w:t>.</w:t>
      </w:r>
    </w:p>
    <w:p w:rsidR="00003742" w:rsidP="00003742" w:rsidRDefault="00495ADF" w14:paraId="1E32BFDB" w14:textId="77777777">
      <w:pPr>
        <w:pStyle w:val="Heading2"/>
      </w:pPr>
      <w:bookmarkStart w:name="_Toc88033469" w:id="13"/>
      <w:bookmarkStart w:name="_Toc457313780" w:id="14"/>
      <w:r w:rsidRPr="005C43A1">
        <w:t>A.5</w:t>
      </w:r>
      <w:r w:rsidRPr="005C43A1">
        <w:tab/>
      </w:r>
      <w:bookmarkEnd w:id="13"/>
      <w:r w:rsidRPr="005C43A1">
        <w:t>Impact on Small Businesses or Other Small Entities</w:t>
      </w:r>
      <w:bookmarkEnd w:id="14"/>
    </w:p>
    <w:p w:rsidR="00BE305C" w:rsidP="002B60D3" w:rsidRDefault="00003742" w14:paraId="255BF384" w14:textId="66207FA7">
      <w:pPr>
        <w:spacing w:line="360" w:lineRule="auto"/>
        <w:rPr>
          <w:rFonts w:eastAsia="Batang"/>
        </w:rPr>
      </w:pPr>
      <w:r w:rsidRPr="002B60D3">
        <w:tab/>
      </w:r>
      <w:bookmarkStart w:name="_Toc88033470" w:id="15"/>
      <w:bookmarkStart w:name="_Toc457313781" w:id="16"/>
      <w:r w:rsidRPr="002B60D3" w:rsidR="00BF26AA">
        <w:rPr>
          <w:rFonts w:eastAsia="Batang"/>
        </w:rPr>
        <w:t xml:space="preserve">Awardees may choose to </w:t>
      </w:r>
      <w:r w:rsidR="00156B62">
        <w:rPr>
          <w:rFonts w:eastAsia="Batang"/>
        </w:rPr>
        <w:t xml:space="preserve">contract with a small business or other small entities to support </w:t>
      </w:r>
      <w:r w:rsidR="00982366">
        <w:rPr>
          <w:rFonts w:eastAsia="Batang"/>
        </w:rPr>
        <w:t>the completion of their</w:t>
      </w:r>
      <w:r w:rsidR="00BE305C">
        <w:rPr>
          <w:rFonts w:eastAsia="Batang"/>
        </w:rPr>
        <w:t xml:space="preserve"> PFO </w:t>
      </w:r>
      <w:r w:rsidR="0011008E">
        <w:rPr>
          <w:rFonts w:eastAsia="Batang"/>
        </w:rPr>
        <w:t xml:space="preserve">SIR Response </w:t>
      </w:r>
      <w:r w:rsidR="00BE305C">
        <w:rPr>
          <w:rFonts w:eastAsia="Batang"/>
        </w:rPr>
        <w:t xml:space="preserve">and proposed PFO </w:t>
      </w:r>
      <w:r w:rsidR="005B7B6C">
        <w:rPr>
          <w:rFonts w:eastAsia="Batang"/>
        </w:rPr>
        <w:t>i</w:t>
      </w:r>
      <w:r w:rsidR="00BE305C">
        <w:rPr>
          <w:rFonts w:eastAsia="Batang"/>
        </w:rPr>
        <w:t xml:space="preserve">nitiative. </w:t>
      </w:r>
      <w:r w:rsidR="00A02943">
        <w:rPr>
          <w:rFonts w:eastAsia="Batang"/>
        </w:rPr>
        <w:t>Local implementing agencies (</w:t>
      </w:r>
      <w:r w:rsidR="00BE305C">
        <w:rPr>
          <w:rFonts w:eastAsia="Batang"/>
        </w:rPr>
        <w:t>LIAs</w:t>
      </w:r>
      <w:r w:rsidR="00A02943">
        <w:rPr>
          <w:rFonts w:eastAsia="Batang"/>
        </w:rPr>
        <w:t>)</w:t>
      </w:r>
      <w:r w:rsidR="00BE305C">
        <w:rPr>
          <w:rFonts w:eastAsia="Batang"/>
        </w:rPr>
        <w:t xml:space="preserve"> are contracted by MIECHV awardees to implement evidence-based home visiting programs and may be small businesses; awardees may also </w:t>
      </w:r>
      <w:r w:rsidR="00DD5455">
        <w:rPr>
          <w:rFonts w:eastAsia="Batang"/>
        </w:rPr>
        <w:t xml:space="preserve">currently </w:t>
      </w:r>
      <w:r w:rsidR="00BE305C">
        <w:rPr>
          <w:rFonts w:eastAsia="Batang"/>
        </w:rPr>
        <w:t>wor</w:t>
      </w:r>
      <w:r w:rsidR="00DD5455">
        <w:rPr>
          <w:rFonts w:eastAsia="Batang"/>
        </w:rPr>
        <w:t xml:space="preserve">k closely with model developers, research organizations, and academic institutions to satisfy MIECHV requirements. HRSA anticipates that some awardees may choose to involve similar entities to meet the requirements of the </w:t>
      </w:r>
      <w:r w:rsidR="00852942">
        <w:rPr>
          <w:rFonts w:eastAsia="Batang"/>
        </w:rPr>
        <w:t xml:space="preserve">PFO </w:t>
      </w:r>
      <w:r w:rsidR="00DD5455">
        <w:rPr>
          <w:rFonts w:eastAsia="Batang"/>
        </w:rPr>
        <w:t xml:space="preserve">SIR; therefore, the information requested has been held to the minimum necessary to meet statutory requirements and to provide information that may inform program policy. </w:t>
      </w:r>
    </w:p>
    <w:p w:rsidRPr="005C43A1" w:rsidR="00495ADF" w:rsidP="00AA0BBC" w:rsidRDefault="00495ADF" w14:paraId="56A64179" w14:textId="372F5E8E">
      <w:pPr>
        <w:pStyle w:val="Heading2"/>
      </w:pPr>
      <w:r w:rsidRPr="005C43A1">
        <w:t>A.6</w:t>
      </w:r>
      <w:r w:rsidRPr="005C43A1">
        <w:tab/>
      </w:r>
      <w:bookmarkEnd w:id="15"/>
      <w:r w:rsidRPr="005C43A1">
        <w:t>Consequences of Collecting the Information Less Frequently</w:t>
      </w:r>
      <w:bookmarkEnd w:id="16"/>
    </w:p>
    <w:p w:rsidRPr="00DD5455" w:rsidR="00DD5455" w:rsidP="00DD5455" w:rsidRDefault="00563D28" w14:paraId="5A3135A4" w14:textId="3663714B">
      <w:pPr>
        <w:pStyle w:val="BodyText1"/>
      </w:pPr>
      <w:r w:rsidRPr="00DD5455">
        <w:t xml:space="preserve">The </w:t>
      </w:r>
      <w:r w:rsidRPr="00DD5455" w:rsidR="009A1C3D">
        <w:t>information collected through this request</w:t>
      </w:r>
      <w:r w:rsidRPr="00DD5455">
        <w:t xml:space="preserve"> will only be collected </w:t>
      </w:r>
      <w:r w:rsidR="007F5631">
        <w:t xml:space="preserve">from applicable awardee </w:t>
      </w:r>
      <w:r w:rsidRPr="00DD5455">
        <w:t>once</w:t>
      </w:r>
      <w:r w:rsidRPr="00DD5455" w:rsidR="00982366">
        <w:t>,</w:t>
      </w:r>
      <w:r w:rsidRPr="00DD5455" w:rsidR="009A1C3D">
        <w:t xml:space="preserve"> </w:t>
      </w:r>
      <w:r w:rsidRPr="00DD5455" w:rsidR="00DD5455">
        <w:t>120 days after the project period start date. The intended use of this information is to allow HRSA to ensure that awardees have complied with the st</w:t>
      </w:r>
      <w:r w:rsidR="005B7B6C">
        <w:t>atutory requirements for a PFO i</w:t>
      </w:r>
      <w:r w:rsidRPr="00DD5455" w:rsidR="00DD5455">
        <w:t xml:space="preserve">nitiative. The information will also allow HRSA to provide technical assistance and support for awardees interested in implementing a PFO </w:t>
      </w:r>
      <w:r w:rsidR="005B7B6C">
        <w:t>i</w:t>
      </w:r>
      <w:r w:rsidRPr="00DD5455" w:rsidR="00DD5455">
        <w:t xml:space="preserve">nitiative. The completion of the PFO </w:t>
      </w:r>
      <w:r w:rsidR="0084679B">
        <w:t>SIR Response</w:t>
      </w:r>
      <w:r w:rsidRPr="00DD5455" w:rsidR="00DD5455">
        <w:t xml:space="preserve"> and implementation of a PFO </w:t>
      </w:r>
      <w:r w:rsidR="005B7B6C">
        <w:t>i</w:t>
      </w:r>
      <w:r w:rsidRPr="00DD5455" w:rsidR="00DD5455">
        <w:t xml:space="preserve">nitiative </w:t>
      </w:r>
      <w:r w:rsidRPr="00DD5455" w:rsidR="00DD5455">
        <w:lastRenderedPageBreak/>
        <w:t>is not required</w:t>
      </w:r>
      <w:r w:rsidR="0084679B">
        <w:t xml:space="preserve"> of MIECHV awardees</w:t>
      </w:r>
      <w:r w:rsidRPr="00DD5455" w:rsidR="00DD5455">
        <w:t xml:space="preserve">; a PFO </w:t>
      </w:r>
      <w:r w:rsidR="0084679B">
        <w:t xml:space="preserve">SIR Response </w:t>
      </w:r>
      <w:r w:rsidRPr="00DD5455" w:rsidR="00DD5455">
        <w:t xml:space="preserve">is only required for awardees proposing to implement a PFO </w:t>
      </w:r>
      <w:r w:rsidR="005B7B6C">
        <w:t>i</w:t>
      </w:r>
      <w:r w:rsidRPr="00DD5455" w:rsidR="00DD5455">
        <w:t xml:space="preserve">nitiative that includes funding for outcome payments. </w:t>
      </w:r>
    </w:p>
    <w:p w:rsidRPr="005C43A1" w:rsidR="00495ADF" w:rsidP="00B14DA8" w:rsidRDefault="00495ADF" w14:paraId="554E661C" w14:textId="77777777">
      <w:pPr>
        <w:pStyle w:val="Heading2"/>
      </w:pPr>
      <w:bookmarkStart w:name="_Toc88033471" w:id="17"/>
      <w:bookmarkStart w:name="_Toc457313782" w:id="18"/>
      <w:r w:rsidRPr="005C43A1">
        <w:t>A.7</w:t>
      </w:r>
      <w:r w:rsidRPr="005C43A1">
        <w:tab/>
      </w:r>
      <w:bookmarkEnd w:id="17"/>
      <w:r w:rsidRPr="005C43A1">
        <w:t>Special Circumstances Relating to the Guidelines of 5 CFR1320.5</w:t>
      </w:r>
      <w:bookmarkEnd w:id="18"/>
    </w:p>
    <w:p w:rsidRPr="005C43A1" w:rsidR="0055363C" w:rsidP="00E427A6" w:rsidRDefault="0055363C" w14:paraId="3BB022A1" w14:textId="77777777">
      <w:pPr>
        <w:pStyle w:val="BodyText1"/>
      </w:pPr>
      <w:r w:rsidRPr="005C43A1">
        <w:t>This request fully complies with all guidelines of 5 CFR 1320.5. There are no special circumstances required.</w:t>
      </w:r>
    </w:p>
    <w:p w:rsidRPr="00EA5A64" w:rsidR="00003742" w:rsidP="00003742" w:rsidRDefault="00495ADF" w14:paraId="04D4CA0C" w14:textId="77777777">
      <w:pPr>
        <w:pStyle w:val="Heading2"/>
        <w:spacing w:line="276" w:lineRule="auto"/>
      </w:pPr>
      <w:bookmarkStart w:name="_Toc88033472" w:id="19"/>
      <w:bookmarkStart w:name="_Toc457313783" w:id="20"/>
      <w:r w:rsidRPr="005C43A1">
        <w:t>A.8</w:t>
      </w:r>
      <w:r w:rsidRPr="005C43A1">
        <w:tab/>
      </w:r>
      <w:bookmarkEnd w:id="19"/>
      <w:r w:rsidRPr="00876FAD">
        <w:t>Comments in Response to the Federal Register Notice and Efforts to Consult Outside the Agency</w:t>
      </w:r>
      <w:bookmarkEnd w:id="20"/>
    </w:p>
    <w:p w:rsidRPr="00876FAD" w:rsidR="0055363C" w:rsidP="00CA6C85" w:rsidRDefault="00003742" w14:paraId="24B11CFB" w14:textId="696C3D58">
      <w:pPr>
        <w:spacing w:line="360" w:lineRule="auto"/>
      </w:pPr>
      <w:r w:rsidRPr="00EA5A64">
        <w:tab/>
      </w:r>
      <w:r w:rsidRPr="00876FAD" w:rsidR="0055363C">
        <w:t>A 60-day notice for public comments on the proposed data collection activities required by</w:t>
      </w:r>
      <w:r w:rsidRPr="00876FAD" w:rsidR="00F90745">
        <w:t xml:space="preserve"> Section 3506(c)(2)(A) of the Paperwork Reduction Act of 1995</w:t>
      </w:r>
      <w:r w:rsidRPr="00876FAD" w:rsidR="0055363C">
        <w:t xml:space="preserve"> was published in the Federal Register on</w:t>
      </w:r>
      <w:r w:rsidRPr="00876FAD" w:rsidR="00D67CB2">
        <w:t xml:space="preserve"> </w:t>
      </w:r>
      <w:r w:rsidRPr="00876FAD" w:rsidR="008B0468">
        <w:t>July 8</w:t>
      </w:r>
      <w:r w:rsidRPr="00876FAD" w:rsidR="00BE32C4">
        <w:t>, 20</w:t>
      </w:r>
      <w:r w:rsidRPr="00876FAD" w:rsidR="008B0468">
        <w:t>20</w:t>
      </w:r>
      <w:r w:rsidRPr="00876FAD" w:rsidR="00B30A9A">
        <w:t xml:space="preserve"> </w:t>
      </w:r>
      <w:r w:rsidRPr="00876FAD" w:rsidR="0055363C">
        <w:t>(</w:t>
      </w:r>
      <w:r w:rsidRPr="00876FAD" w:rsidR="008B4073">
        <w:t xml:space="preserve">Document Number </w:t>
      </w:r>
      <w:r w:rsidRPr="00EA5A64" w:rsidR="008B0468">
        <w:t>2020-14658</w:t>
      </w:r>
      <w:r w:rsidRPr="00876FAD" w:rsidR="00831DF5">
        <w:t xml:space="preserve">; document citation </w:t>
      </w:r>
      <w:r w:rsidRPr="00EA5A64" w:rsidR="008B0468">
        <w:t>85 FR 41055</w:t>
      </w:r>
      <w:r w:rsidRPr="00876FAD" w:rsidR="00C05817">
        <w:t>,</w:t>
      </w:r>
      <w:r w:rsidRPr="00876FAD" w:rsidR="0055363C">
        <w:t xml:space="preserve"> pages </w:t>
      </w:r>
      <w:r w:rsidRPr="00EA5A64" w:rsidR="008B0468">
        <w:t>41055-41056</w:t>
      </w:r>
      <w:r w:rsidRPr="00876FAD" w:rsidR="0055363C">
        <w:t>) (</w:t>
      </w:r>
      <w:r w:rsidRPr="00876FAD" w:rsidR="000256F5">
        <w:t>Attachment </w:t>
      </w:r>
      <w:r w:rsidRPr="00876FAD" w:rsidR="00BE32C4">
        <w:t>3</w:t>
      </w:r>
      <w:r w:rsidRPr="00876FAD" w:rsidR="0055363C">
        <w:t>).</w:t>
      </w:r>
      <w:r w:rsidRPr="00876FAD" w:rsidR="00B30A9A">
        <w:t xml:space="preserve"> </w:t>
      </w:r>
      <w:r w:rsidRPr="00876FAD" w:rsidR="008B4073">
        <w:t>P</w:t>
      </w:r>
      <w:r w:rsidRPr="00876FAD" w:rsidR="00B30A9A">
        <w:t xml:space="preserve">ublic comments </w:t>
      </w:r>
      <w:r w:rsidRPr="00876FAD" w:rsidR="00090CC6">
        <w:t xml:space="preserve">were </w:t>
      </w:r>
      <w:r w:rsidRPr="00876FAD" w:rsidR="008B4073">
        <w:t xml:space="preserve">requested by </w:t>
      </w:r>
      <w:r w:rsidRPr="00876FAD" w:rsidR="008B0468">
        <w:t>September 8</w:t>
      </w:r>
      <w:r w:rsidRPr="00876FAD" w:rsidR="008B4073">
        <w:t>, 20</w:t>
      </w:r>
      <w:r w:rsidRPr="00876FAD" w:rsidR="008B0468">
        <w:t>20</w:t>
      </w:r>
      <w:r w:rsidRPr="00876FAD" w:rsidR="008B4073">
        <w:t>.</w:t>
      </w:r>
    </w:p>
    <w:p w:rsidRPr="00876FAD" w:rsidR="00090CC6" w:rsidP="00CA6C85" w:rsidRDefault="00003742" w14:paraId="2770F9ED" w14:textId="5F145F76">
      <w:pPr>
        <w:spacing w:line="360" w:lineRule="auto"/>
      </w:pPr>
      <w:r w:rsidRPr="00876FAD">
        <w:t>HRSA</w:t>
      </w:r>
      <w:r w:rsidRPr="00876FAD" w:rsidR="00A2677B">
        <w:t xml:space="preserve"> </w:t>
      </w:r>
      <w:r w:rsidRPr="00876FAD" w:rsidR="006A63CF">
        <w:t xml:space="preserve">received </w:t>
      </w:r>
      <w:r w:rsidRPr="00876FAD" w:rsidR="00C579EA">
        <w:t>4</w:t>
      </w:r>
      <w:r w:rsidRPr="00876FAD" w:rsidR="006A63CF">
        <w:t xml:space="preserve"> comments</w:t>
      </w:r>
      <w:r w:rsidRPr="00876FAD" w:rsidR="00A2677B">
        <w:t xml:space="preserve">. </w:t>
      </w:r>
      <w:r w:rsidRPr="00876FAD" w:rsidR="003742D3">
        <w:t>An abbreviated version of t</w:t>
      </w:r>
      <w:r w:rsidRPr="00876FAD" w:rsidR="00A2677B">
        <w:t>he comments and HRSA’s responses are provided below</w:t>
      </w:r>
      <w:r w:rsidRPr="00876FAD" w:rsidR="003742D3">
        <w:t xml:space="preserve"> (a full </w:t>
      </w:r>
      <w:r w:rsidRPr="00876FAD" w:rsidR="00982366">
        <w:t xml:space="preserve">description </w:t>
      </w:r>
      <w:r w:rsidRPr="00876FAD" w:rsidR="003742D3">
        <w:t xml:space="preserve">of the comments </w:t>
      </w:r>
      <w:r w:rsidRPr="00876FAD" w:rsidR="00982366">
        <w:t xml:space="preserve">is </w:t>
      </w:r>
      <w:r w:rsidRPr="00876FAD" w:rsidR="003742D3">
        <w:t xml:space="preserve">provided in </w:t>
      </w:r>
      <w:r w:rsidRPr="00876FAD" w:rsidR="0091229C">
        <w:t xml:space="preserve">Attachment </w:t>
      </w:r>
      <w:r w:rsidR="00A02943">
        <w:t>4</w:t>
      </w:r>
      <w:r w:rsidRPr="00876FAD" w:rsidR="003742D3">
        <w:t>)</w:t>
      </w:r>
      <w:r w:rsidRPr="00876FAD" w:rsidR="00A2677B">
        <w:t>:</w:t>
      </w:r>
    </w:p>
    <w:p w:rsidRPr="00876FAD" w:rsidR="00BA0B86" w:rsidP="00CA6C85" w:rsidRDefault="00BA0B86" w14:paraId="7EF23DB3" w14:textId="77777777">
      <w:pPr>
        <w:spacing w:line="360" w:lineRule="auto"/>
      </w:pPr>
    </w:p>
    <w:p w:rsidRPr="00876FAD" w:rsidR="00CA6C85" w:rsidP="002355FA" w:rsidRDefault="00124AE5" w14:paraId="37C60EBC" w14:textId="69E8A00D">
      <w:pPr>
        <w:pStyle w:val="ListParagraph"/>
        <w:numPr>
          <w:ilvl w:val="0"/>
          <w:numId w:val="29"/>
        </w:numPr>
        <w:spacing w:line="360" w:lineRule="auto"/>
      </w:pPr>
      <w:r w:rsidRPr="00876FAD">
        <w:t>Comment</w:t>
      </w:r>
      <w:r w:rsidRPr="00876FAD" w:rsidR="00BE32C4">
        <w:t xml:space="preserve">: </w:t>
      </w:r>
      <w:r w:rsidRPr="00876FAD" w:rsidR="007F24D3">
        <w:t xml:space="preserve">Respondents indicated that </w:t>
      </w:r>
      <w:r w:rsidRPr="00876FAD" w:rsidR="000957A8">
        <w:t xml:space="preserve">the guidance around third-party evaluators and those conducting the feasibility study should be further clarified. </w:t>
      </w:r>
    </w:p>
    <w:p w:rsidRPr="00835D1D" w:rsidR="000957A8" w:rsidP="00706224" w:rsidRDefault="00124AE5" w14:paraId="440EAFCC" w14:textId="71BBB64D">
      <w:pPr>
        <w:pStyle w:val="ListParagraph"/>
        <w:numPr>
          <w:ilvl w:val="1"/>
          <w:numId w:val="29"/>
        </w:numPr>
        <w:spacing w:line="360" w:lineRule="auto"/>
      </w:pPr>
      <w:r w:rsidRPr="00876FAD">
        <w:lastRenderedPageBreak/>
        <w:t xml:space="preserve">HRSA response: </w:t>
      </w:r>
      <w:r w:rsidRPr="00EA5A64" w:rsidR="000957A8">
        <w:t xml:space="preserve">Revised the SIR to further describe expectations and best practices associated with conducting </w:t>
      </w:r>
      <w:r w:rsidR="006A3FFE">
        <w:t>a</w:t>
      </w:r>
      <w:r w:rsidRPr="00EA5A64" w:rsidR="000957A8">
        <w:t xml:space="preserve"> feasibility study and ensuring independence and accountability in the process. HRSA does not, however, recommend specifying credentials or level of experience of evaluators or researchers as awardees </w:t>
      </w:r>
      <w:r w:rsidRPr="00835D1D" w:rsidR="000957A8">
        <w:t xml:space="preserve">should have the flexibility to determine what will work best for their context. </w:t>
      </w:r>
    </w:p>
    <w:p w:rsidR="00C810C8" w:rsidP="0019523D" w:rsidRDefault="00C810C8" w14:paraId="0427A047" w14:textId="1C27A025">
      <w:pPr>
        <w:pStyle w:val="ListParagraph"/>
        <w:numPr>
          <w:ilvl w:val="0"/>
          <w:numId w:val="29"/>
        </w:numPr>
        <w:spacing w:line="360" w:lineRule="auto"/>
      </w:pPr>
      <w:r>
        <w:t xml:space="preserve">Comment: Respondents indicated that the requirements specified in the SIR related to the selection of outcome measure allow for significant flexibility, and should be further clarified. </w:t>
      </w:r>
    </w:p>
    <w:p w:rsidR="00C810C8" w:rsidP="005A677E" w:rsidRDefault="00C810C8" w14:paraId="37375E78" w14:textId="347D1038">
      <w:pPr>
        <w:pStyle w:val="ListParagraph"/>
        <w:numPr>
          <w:ilvl w:val="1"/>
          <w:numId w:val="29"/>
        </w:numPr>
        <w:spacing w:line="360" w:lineRule="auto"/>
      </w:pPr>
      <w:r>
        <w:t xml:space="preserve">HRSA response: Revised the SIR to further clarify that applicants are to select outcome measure that will have meaningful impacts for the children and families served. </w:t>
      </w:r>
    </w:p>
    <w:p w:rsidRPr="00706224" w:rsidR="002355FA" w:rsidP="0019523D" w:rsidRDefault="002355FA" w14:paraId="47C99965" w14:textId="6A1D6138">
      <w:pPr>
        <w:pStyle w:val="ListParagraph"/>
        <w:numPr>
          <w:ilvl w:val="0"/>
          <w:numId w:val="29"/>
        </w:numPr>
        <w:spacing w:line="360" w:lineRule="auto"/>
      </w:pPr>
      <w:r w:rsidRPr="00706224">
        <w:t xml:space="preserve">Comment: </w:t>
      </w:r>
      <w:r w:rsidRPr="00706224" w:rsidR="00222F0F">
        <w:t xml:space="preserve">Respondents indicated </w:t>
      </w:r>
      <w:r w:rsidRPr="00706224" w:rsidR="0019523D">
        <w:t xml:space="preserve">that the requirement that recipients submit signed partnerships agreements with each PFO partner would be overly burdensome and unnecessary to the success of the PFO initiative. </w:t>
      </w:r>
      <w:r w:rsidRPr="00706224" w:rsidR="00222F0F">
        <w:t xml:space="preserve"> </w:t>
      </w:r>
    </w:p>
    <w:p w:rsidRPr="00706224" w:rsidR="000957A8" w:rsidP="000957A8" w:rsidRDefault="00222F0F" w14:paraId="4295A680" w14:textId="12498E09">
      <w:pPr>
        <w:pStyle w:val="ListParagraph"/>
        <w:numPr>
          <w:ilvl w:val="1"/>
          <w:numId w:val="29"/>
        </w:numPr>
        <w:spacing w:line="360" w:lineRule="auto"/>
      </w:pPr>
      <w:r w:rsidRPr="00706224">
        <w:lastRenderedPageBreak/>
        <w:t xml:space="preserve">HRSA response: </w:t>
      </w:r>
      <w:r w:rsidR="00675022">
        <w:t>Revised</w:t>
      </w:r>
      <w:r w:rsidRPr="00706224" w:rsidR="000957A8">
        <w:t xml:space="preserve"> the SIR to broaden the requirements around obtaining signed partnership agreements so that a “draft agreement” or letter of intent would be acceptable as well as a signed partnership agreement. </w:t>
      </w:r>
    </w:p>
    <w:p w:rsidR="00C810C8" w:rsidP="00706224" w:rsidRDefault="00C810C8" w14:paraId="256AE3C8" w14:textId="28831D96">
      <w:pPr>
        <w:pStyle w:val="ListParagraph"/>
        <w:numPr>
          <w:ilvl w:val="0"/>
          <w:numId w:val="29"/>
        </w:numPr>
        <w:spacing w:line="360" w:lineRule="auto"/>
      </w:pPr>
      <w:r>
        <w:t>Comment: Respondents noted that guidance provide around how to budget MIECHV funds for a PFO initiative needed further clarification. In particular, respondents sought further clarification on how to set aside fund for this purpose and re</w:t>
      </w:r>
      <w:r w:rsidR="006F37A8">
        <w:t>-</w:t>
      </w:r>
      <w:r>
        <w:t xml:space="preserve">budget if necessary. </w:t>
      </w:r>
    </w:p>
    <w:p w:rsidR="00C810C8" w:rsidP="005A677E" w:rsidRDefault="00C810C8" w14:paraId="7D433C66" w14:textId="0186178A">
      <w:pPr>
        <w:pStyle w:val="ListParagraph"/>
        <w:numPr>
          <w:ilvl w:val="1"/>
          <w:numId w:val="29"/>
        </w:numPr>
        <w:spacing w:line="360" w:lineRule="auto"/>
      </w:pPr>
      <w:r>
        <w:t>HRSA response: R</w:t>
      </w:r>
      <w:r w:rsidRPr="00C810C8">
        <w:t>evised the SIR to clarify that recipients can set aside funds in multiple years as part of one PFO initiative. Recipients must propose a PFO project period that reflects the project period of the entire initiative, and must work closely with HRSA to ensure appropriate monitoring of PFO funds over the 10-year period of availability.</w:t>
      </w:r>
    </w:p>
    <w:p w:rsidRPr="00706224" w:rsidR="000957A8" w:rsidP="00706224" w:rsidRDefault="000957A8" w14:paraId="52C11ACF" w14:textId="4ED390E8">
      <w:pPr>
        <w:pStyle w:val="ListParagraph"/>
        <w:numPr>
          <w:ilvl w:val="0"/>
          <w:numId w:val="29"/>
        </w:numPr>
        <w:spacing w:line="360" w:lineRule="auto"/>
      </w:pPr>
      <w:r w:rsidRPr="00706224">
        <w:t xml:space="preserve">Comment: </w:t>
      </w:r>
      <w:r w:rsidRPr="00706224" w:rsidR="0019523D">
        <w:t>Respondents indicated that the annual reports</w:t>
      </w:r>
      <w:r w:rsidRPr="00706224" w:rsidR="00EE2E33">
        <w:t xml:space="preserve"> produced by </w:t>
      </w:r>
      <w:proofErr w:type="gramStart"/>
      <w:r w:rsidRPr="00706224" w:rsidR="00EE2E33">
        <w:t xml:space="preserve">recipients, that are required by statute as part of PFO </w:t>
      </w:r>
      <w:r w:rsidR="00706224">
        <w:t>i</w:t>
      </w:r>
      <w:r w:rsidRPr="00706224" w:rsidR="00706224">
        <w:t>nitiative</w:t>
      </w:r>
      <w:r w:rsidRPr="00706224" w:rsidR="00EE2E33">
        <w:t>,</w:t>
      </w:r>
      <w:proofErr w:type="gramEnd"/>
      <w:r w:rsidRPr="00706224" w:rsidR="0019523D">
        <w:t xml:space="preserve"> should be made public. </w:t>
      </w:r>
    </w:p>
    <w:p w:rsidR="00222F0F" w:rsidP="00723B76" w:rsidRDefault="000957A8" w14:paraId="1FD87AFD" w14:textId="1865C10F">
      <w:pPr>
        <w:pStyle w:val="ListParagraph"/>
        <w:numPr>
          <w:ilvl w:val="1"/>
          <w:numId w:val="29"/>
        </w:numPr>
        <w:spacing w:line="360" w:lineRule="auto"/>
      </w:pPr>
      <w:r w:rsidRPr="00706224">
        <w:t xml:space="preserve">HRSA response: </w:t>
      </w:r>
      <w:r w:rsidRPr="00EA5A64">
        <w:t xml:space="preserve">Revised the SIR to clarify that the required annual reports must be made available to the public by the recipient and removed </w:t>
      </w:r>
      <w:r w:rsidRPr="00EA5A64">
        <w:lastRenderedPageBreak/>
        <w:t xml:space="preserve">language implying that the report will include outcomes that have been achieved and/or payments made. </w:t>
      </w:r>
    </w:p>
    <w:p w:rsidR="00C810C8" w:rsidP="005A677E" w:rsidRDefault="00C810C8" w14:paraId="12AC0A75" w14:textId="0E053FBA">
      <w:pPr>
        <w:pStyle w:val="ListParagraph"/>
        <w:numPr>
          <w:ilvl w:val="0"/>
          <w:numId w:val="29"/>
        </w:numPr>
        <w:spacing w:line="360" w:lineRule="auto"/>
      </w:pPr>
      <w:r>
        <w:t xml:space="preserve">Comment: Respondents noted that further guidance to ensure that </w:t>
      </w:r>
      <w:r w:rsidR="001326FF">
        <w:t xml:space="preserve">implementation of a </w:t>
      </w:r>
      <w:r>
        <w:t xml:space="preserve">PFO </w:t>
      </w:r>
      <w:r w:rsidR="001326FF">
        <w:t xml:space="preserve">initiative </w:t>
      </w:r>
      <w:r>
        <w:t>do</w:t>
      </w:r>
      <w:r w:rsidR="001326FF">
        <w:t>es</w:t>
      </w:r>
      <w:r>
        <w:t xml:space="preserve"> not </w:t>
      </w:r>
      <w:r w:rsidR="001326FF">
        <w:t>inhibit programs from maintaining</w:t>
      </w:r>
      <w:r>
        <w:t xml:space="preserve"> existing MIECHV service delivery </w:t>
      </w:r>
      <w:r w:rsidR="001326FF">
        <w:t>supports such as home visitor compensation and appropriate caseloads.</w:t>
      </w:r>
    </w:p>
    <w:p w:rsidRPr="00876FAD" w:rsidR="001326FF" w:rsidP="001326FF" w:rsidRDefault="001326FF" w14:paraId="7A6A82DB" w14:textId="32BA6A60">
      <w:pPr>
        <w:pStyle w:val="ListParagraph"/>
        <w:numPr>
          <w:ilvl w:val="1"/>
          <w:numId w:val="29"/>
        </w:numPr>
        <w:spacing w:line="360" w:lineRule="auto"/>
      </w:pPr>
      <w:r>
        <w:t>HRSA response: R</w:t>
      </w:r>
      <w:r w:rsidRPr="001326FF">
        <w:t>evised the SIR to clarify expectation that recipients continue to meet program and model fidelity requirements in the context of the requirement of no reduction of funding for services. HRSA will further develop and apply criteria as part of the review and approval process of any proposed PFO initiatives to ensure PFO initiatives have no negative impact on high-quality service delivery.</w:t>
      </w:r>
    </w:p>
    <w:p w:rsidRPr="00731E03" w:rsidR="00044FFD" w:rsidP="00FA6002" w:rsidRDefault="00044FFD" w14:paraId="02B3D009" w14:textId="7F1DD823">
      <w:pPr>
        <w:spacing w:line="360" w:lineRule="auto"/>
        <w:ind w:firstLine="720"/>
      </w:pPr>
      <w:r w:rsidRPr="00876FAD">
        <w:t>Other comments did not merit changes to the SIR guidance, but highlighted topics that would benefit from specific technical assistance</w:t>
      </w:r>
      <w:r w:rsidRPr="00876FAD" w:rsidR="008B0468">
        <w:t xml:space="preserve">, </w:t>
      </w:r>
      <w:r w:rsidRPr="00876FAD" w:rsidR="00EA5A64">
        <w:t>indicated support for various aspects of the guidance, or offered suggestions that were outside the intended scope of the guidance</w:t>
      </w:r>
      <w:r w:rsidRPr="00876FAD">
        <w:t xml:space="preserve">. HRSA will develop technical assistance materials </w:t>
      </w:r>
      <w:r w:rsidRPr="00876FAD" w:rsidR="00EA5A64">
        <w:t>designed to support MIECHV awardees in completing the requirements of the SIR guidance, conducting a feasibility study, and carrying out a PFO initiative</w:t>
      </w:r>
      <w:r w:rsidRPr="00876FAD">
        <w:t xml:space="preserve">. </w:t>
      </w:r>
      <w:r w:rsidRPr="00731E03" w:rsidR="00EA5A64">
        <w:t xml:space="preserve">Technical assistance materials will be available after the release of the PFO SIR guidance. </w:t>
      </w:r>
    </w:p>
    <w:p w:rsidRPr="00CA6C85" w:rsidR="00A2677B" w:rsidP="009A4963" w:rsidRDefault="002B2102" w14:paraId="512D028B" w14:textId="3F56AC01">
      <w:pPr>
        <w:spacing w:line="360" w:lineRule="auto"/>
        <w:ind w:firstLine="720"/>
      </w:pPr>
      <w:r w:rsidRPr="00731E03">
        <w:lastRenderedPageBreak/>
        <w:t xml:space="preserve">HRSA also held </w:t>
      </w:r>
      <w:r w:rsidRPr="00731E03" w:rsidR="00DB4C0D">
        <w:t>a</w:t>
      </w:r>
      <w:r w:rsidRPr="00731E03">
        <w:t xml:space="preserve"> listening session with MIECHV awardees on </w:t>
      </w:r>
      <w:r w:rsidRPr="00731E03" w:rsidR="00DB4C0D">
        <w:t>July</w:t>
      </w:r>
      <w:r w:rsidR="0062768C">
        <w:t xml:space="preserve"> 20</w:t>
      </w:r>
      <w:r w:rsidRPr="00731E03">
        <w:t>, 20</w:t>
      </w:r>
      <w:r w:rsidRPr="00731E03" w:rsidR="00DB4C0D">
        <w:t>20</w:t>
      </w:r>
      <w:r w:rsidRPr="00731E03">
        <w:t xml:space="preserve"> to provide an overview of our anticipated approach to </w:t>
      </w:r>
      <w:r w:rsidRPr="00731E03" w:rsidR="00DB4C0D">
        <w:t>PFO</w:t>
      </w:r>
      <w:r w:rsidRPr="00731E03">
        <w:t xml:space="preserve">, to answer any questions, and to solicit feedback and input. </w:t>
      </w:r>
      <w:r w:rsidRPr="00731E03" w:rsidR="006C5B50">
        <w:t>HRSA sought input</w:t>
      </w:r>
      <w:r w:rsidRPr="00731E03" w:rsidR="00846A8B">
        <w:t xml:space="preserve"> on the SIR guidance</w:t>
      </w:r>
      <w:r w:rsidRPr="00731E03" w:rsidR="006C5B50">
        <w:t xml:space="preserve"> </w:t>
      </w:r>
      <w:r w:rsidRPr="00731E03" w:rsidR="00846A8B">
        <w:t>from federal partners including a number of federal staff within HRSA</w:t>
      </w:r>
      <w:r w:rsidRPr="00731E03" w:rsidR="00DB4C0D">
        <w:t>.</w:t>
      </w:r>
    </w:p>
    <w:p w:rsidR="00495ADF" w:rsidP="00E07659" w:rsidRDefault="00495ADF" w14:paraId="39B17F95" w14:textId="13995FC7">
      <w:pPr>
        <w:pStyle w:val="Heading2"/>
      </w:pPr>
      <w:bookmarkStart w:name="_Toc88033473" w:id="21"/>
      <w:bookmarkStart w:name="_Toc457313784" w:id="22"/>
      <w:r w:rsidRPr="005C43A1">
        <w:t>A.9</w:t>
      </w:r>
      <w:r w:rsidRPr="005C43A1">
        <w:tab/>
      </w:r>
      <w:bookmarkEnd w:id="21"/>
      <w:r w:rsidRPr="005C43A1">
        <w:t>Explanation of Any Payment or Gift to Respondents</w:t>
      </w:r>
      <w:bookmarkEnd w:id="22"/>
    </w:p>
    <w:p w:rsidRPr="00213882" w:rsidR="00213882" w:rsidP="00213882" w:rsidRDefault="00213882" w14:paraId="7DFC149B" w14:textId="18636092">
      <w:pPr>
        <w:ind w:firstLine="720"/>
      </w:pPr>
      <w:r w:rsidRPr="00213882">
        <w:t>Respondents will not receive any payments or gifts.</w:t>
      </w:r>
    </w:p>
    <w:p w:rsidRPr="005C43A1" w:rsidR="00495ADF" w:rsidP="00E07659" w:rsidRDefault="00495ADF" w14:paraId="4709544D" w14:textId="77777777">
      <w:pPr>
        <w:pStyle w:val="Heading2"/>
      </w:pPr>
      <w:bookmarkStart w:name="_Toc88033474" w:id="23"/>
      <w:bookmarkStart w:name="_Toc457313785" w:id="24"/>
      <w:r w:rsidRPr="005C43A1">
        <w:t>A.10</w:t>
      </w:r>
      <w:r w:rsidRPr="005C43A1">
        <w:tab/>
      </w:r>
      <w:bookmarkEnd w:id="23"/>
      <w:r w:rsidRPr="005C43A1">
        <w:t>Assurance of Confidentiality Provided to Respondents</w:t>
      </w:r>
      <w:bookmarkEnd w:id="24"/>
    </w:p>
    <w:p w:rsidRPr="00191455" w:rsidR="00C03D72" w:rsidP="00191455" w:rsidRDefault="0055363C" w14:paraId="4BF3EACF" w14:textId="7975A64C">
      <w:pPr>
        <w:pStyle w:val="BodyText1"/>
        <w:rPr>
          <w:highlight w:val="yellow"/>
        </w:rPr>
      </w:pPr>
      <w:r w:rsidRPr="005C43A1">
        <w:t xml:space="preserve">Respondents are </w:t>
      </w:r>
      <w:r w:rsidR="00831DF5">
        <w:t xml:space="preserve">staff members of </w:t>
      </w:r>
      <w:r w:rsidR="003A7FA1">
        <w:t>MIECHV awardees</w:t>
      </w:r>
      <w:r w:rsidR="00AF35B4">
        <w:t xml:space="preserve">, specifically </w:t>
      </w:r>
      <w:r w:rsidR="003A7FA1">
        <w:t>state, jurisdiction, and nonprofit awardees. Awardee</w:t>
      </w:r>
      <w:r w:rsidR="00831DF5">
        <w:t xml:space="preserve"> staff members,</w:t>
      </w:r>
      <w:r w:rsidR="003A7FA1">
        <w:t xml:space="preserve"> such as program manager</w:t>
      </w:r>
      <w:r w:rsidR="003A1D9B">
        <w:t>s</w:t>
      </w:r>
      <w:r w:rsidR="003A7FA1">
        <w:t xml:space="preserve">, </w:t>
      </w:r>
      <w:r w:rsidR="00191455">
        <w:t xml:space="preserve">third-party evaluators, </w:t>
      </w:r>
      <w:r w:rsidR="00474665">
        <w:t xml:space="preserve">and/or </w:t>
      </w:r>
      <w:r w:rsidRPr="00191455" w:rsidR="003A7FA1">
        <w:t>data analyst</w:t>
      </w:r>
      <w:r w:rsidRPr="00191455" w:rsidR="003A1D9B">
        <w:t>s</w:t>
      </w:r>
      <w:r w:rsidRPr="00191455" w:rsidR="00831DF5">
        <w:t xml:space="preserve"> will be asked to complete</w:t>
      </w:r>
      <w:r w:rsidR="00191455">
        <w:t xml:space="preserve"> the PFO Narrative and provide information assessing the feasibility of implementation, </w:t>
      </w:r>
      <w:r w:rsidR="005B7B6C">
        <w:t>the design of the proposed PFO i</w:t>
      </w:r>
      <w:r w:rsidR="00191455">
        <w:t xml:space="preserve">nitiative, and the design of the accompanying rigorous, third-party evaluation. </w:t>
      </w:r>
      <w:r w:rsidR="004B1701">
        <w:t>MIECHV awardees may contract with other entities, such as academic institutions</w:t>
      </w:r>
      <w:r w:rsidR="009D092F">
        <w:t xml:space="preserve">, </w:t>
      </w:r>
      <w:r w:rsidR="004B1701">
        <w:t>research organization</w:t>
      </w:r>
      <w:r w:rsidR="00191455">
        <w:t>s</w:t>
      </w:r>
      <w:r w:rsidR="009D092F">
        <w:t xml:space="preserve"> or consultants</w:t>
      </w:r>
      <w:r w:rsidR="004B1701">
        <w:t xml:space="preserve">, to complete </w:t>
      </w:r>
      <w:r w:rsidR="00191455">
        <w:t xml:space="preserve">their PFO </w:t>
      </w:r>
      <w:r w:rsidR="00C16A03">
        <w:t xml:space="preserve">SIR Response, </w:t>
      </w:r>
      <w:r w:rsidR="00191455">
        <w:t>but</w:t>
      </w:r>
      <w:r w:rsidR="004B1701">
        <w:t xml:space="preserve"> state, jurisdiction, and nonprofit MIECHV awardees will submit their </w:t>
      </w:r>
      <w:r w:rsidRPr="00191455" w:rsidR="00191455">
        <w:t xml:space="preserve">PFO </w:t>
      </w:r>
      <w:r w:rsidR="00C16A03">
        <w:t>SIR Responses</w:t>
      </w:r>
      <w:r w:rsidRPr="00191455" w:rsidR="00C16A03">
        <w:t xml:space="preserve"> </w:t>
      </w:r>
      <w:r w:rsidRPr="00191455" w:rsidR="004B1701">
        <w:t>to HRSA</w:t>
      </w:r>
      <w:r w:rsidR="004B1701">
        <w:t xml:space="preserve">. </w:t>
      </w:r>
      <w:r w:rsidRPr="005C43A1" w:rsidR="00C03D72">
        <w:t xml:space="preserve">No </w:t>
      </w:r>
      <w:r w:rsidR="00AF35B4">
        <w:t xml:space="preserve">personally identifiable information (PII) is being collected through this SIR. </w:t>
      </w:r>
      <w:r w:rsidRPr="00191455" w:rsidR="00AF35B4">
        <w:t xml:space="preserve">All data will be reported in aggregate </w:t>
      </w:r>
      <w:r w:rsidRPr="00191455" w:rsidR="003A1D9B">
        <w:t xml:space="preserve">at the </w:t>
      </w:r>
      <w:r w:rsidR="009D092F">
        <w:t xml:space="preserve">PFO </w:t>
      </w:r>
      <w:r w:rsidR="008B29BB">
        <w:t>i</w:t>
      </w:r>
      <w:r w:rsidR="009D092F">
        <w:t xml:space="preserve">nitiative geographic </w:t>
      </w:r>
      <w:r w:rsidRPr="00191455" w:rsidR="00AF35B4">
        <w:t>level by the awardee. This project does not need IRB approval.</w:t>
      </w:r>
      <w:r w:rsidR="00AF35B4">
        <w:t xml:space="preserve"> </w:t>
      </w:r>
    </w:p>
    <w:p w:rsidRPr="005C43A1" w:rsidR="00495ADF" w:rsidP="00F66166" w:rsidRDefault="00495ADF" w14:paraId="2D4BB1BD" w14:textId="77777777">
      <w:pPr>
        <w:pStyle w:val="Heading2"/>
      </w:pPr>
      <w:bookmarkStart w:name="_Toc88033477" w:id="25"/>
      <w:bookmarkStart w:name="_Toc457313786" w:id="26"/>
      <w:r w:rsidRPr="005C43A1">
        <w:lastRenderedPageBreak/>
        <w:t>A.11</w:t>
      </w:r>
      <w:r w:rsidRPr="005C43A1">
        <w:tab/>
      </w:r>
      <w:bookmarkEnd w:id="25"/>
      <w:r w:rsidRPr="005C43A1">
        <w:t>Justification for Sensitive Questions</w:t>
      </w:r>
      <w:bookmarkEnd w:id="26"/>
    </w:p>
    <w:p w:rsidRPr="005C43A1" w:rsidR="0055363C" w:rsidP="00E427A6" w:rsidRDefault="003A1D9B" w14:paraId="4BEE6678" w14:textId="36746F69">
      <w:pPr>
        <w:pStyle w:val="BodyText1"/>
      </w:pPr>
      <w:r>
        <w:t>HRSA is</w:t>
      </w:r>
      <w:r w:rsidRPr="005C43A1" w:rsidR="0055363C">
        <w:t xml:space="preserve"> </w:t>
      </w:r>
      <w:r w:rsidRPr="00191455" w:rsidR="0055363C">
        <w:t xml:space="preserve">collecting </w:t>
      </w:r>
      <w:r w:rsidRPr="00191455" w:rsidR="00191455">
        <w:t>information</w:t>
      </w:r>
      <w:r w:rsidRPr="00191455" w:rsidR="0025661A">
        <w:t xml:space="preserve"> assessing </w:t>
      </w:r>
      <w:r w:rsidR="00191455">
        <w:t>PFO feasibility and statewide</w:t>
      </w:r>
      <w:r w:rsidR="00EA376B">
        <w:t xml:space="preserve"> or local</w:t>
      </w:r>
      <w:r w:rsidR="00191455">
        <w:t xml:space="preserve"> capacities for implementation,</w:t>
      </w:r>
      <w:r w:rsidRPr="005C43A1" w:rsidR="0055363C">
        <w:t xml:space="preserve"> not individual-level data. The </w:t>
      </w:r>
      <w:r w:rsidR="00191455">
        <w:t>PFO Narrative</w:t>
      </w:r>
      <w:r w:rsidR="0025661A">
        <w:t xml:space="preserve"> </w:t>
      </w:r>
      <w:r w:rsidRPr="005C43A1" w:rsidR="0055363C">
        <w:t>does not request sensitive or personally identifiable information.</w:t>
      </w:r>
    </w:p>
    <w:p w:rsidRPr="00B0565E" w:rsidR="0055363C" w:rsidP="002E5438" w:rsidRDefault="00495ADF" w14:paraId="13DDD606" w14:textId="77777777">
      <w:pPr>
        <w:pStyle w:val="Heading2"/>
      </w:pPr>
      <w:bookmarkStart w:name="_Toc88033478" w:id="27"/>
      <w:bookmarkStart w:name="_Toc457313787" w:id="28"/>
      <w:r w:rsidRPr="005C43A1">
        <w:t>A.12</w:t>
      </w:r>
      <w:r w:rsidRPr="005C43A1">
        <w:tab/>
      </w:r>
      <w:bookmarkEnd w:id="27"/>
      <w:r w:rsidRPr="005A677E">
        <w:t>Estimates of Annualized Burden Hours and Costs</w:t>
      </w:r>
      <w:bookmarkStart w:name="_Toc273528741" w:id="29"/>
      <w:bookmarkStart w:name="_Toc275433773" w:id="30"/>
      <w:bookmarkStart w:name="_Toc88033479" w:id="31"/>
      <w:r w:rsidRPr="005A677E" w:rsidR="002E5438">
        <w:t xml:space="preserve"> </w:t>
      </w:r>
      <w:r w:rsidRPr="005A677E" w:rsidR="0055363C">
        <w:t>to Respondents</w:t>
      </w:r>
      <w:bookmarkEnd w:id="28"/>
      <w:bookmarkEnd w:id="29"/>
      <w:bookmarkEnd w:id="30"/>
    </w:p>
    <w:p w:rsidRPr="005A677E" w:rsidR="0055363C" w:rsidP="002E5438" w:rsidRDefault="0055363C" w14:paraId="40686225" w14:textId="27EA829D">
      <w:pPr>
        <w:pStyle w:val="Heading3"/>
        <w:rPr>
          <w:lang w:val="en-US"/>
        </w:rPr>
      </w:pPr>
      <w:bookmarkStart w:name="_Toc275433774" w:id="32"/>
      <w:bookmarkStart w:name="_Toc457313788" w:id="33"/>
      <w:r w:rsidRPr="005A677E">
        <w:rPr>
          <w:lang w:val="en-US"/>
        </w:rPr>
        <w:t>A.12.1</w:t>
      </w:r>
      <w:r w:rsidRPr="005A677E">
        <w:rPr>
          <w:lang w:val="en-US"/>
        </w:rPr>
        <w:tab/>
        <w:t>Estimated Annualized Burden Hour</w:t>
      </w:r>
      <w:bookmarkEnd w:id="32"/>
      <w:bookmarkEnd w:id="33"/>
    </w:p>
    <w:p w:rsidRPr="005A677E" w:rsidR="000256F5" w:rsidP="001B189B" w:rsidRDefault="0055363C" w14:paraId="7F8A0798" w14:textId="4B83BF63">
      <w:pPr>
        <w:pStyle w:val="BodyText1"/>
      </w:pPr>
      <w:r w:rsidRPr="00B0565E">
        <w:t xml:space="preserve">The data collection process will be conducted </w:t>
      </w:r>
      <w:r w:rsidRPr="00B0565E" w:rsidR="00933F7A">
        <w:t>only once</w:t>
      </w:r>
      <w:r w:rsidRPr="00B0565E" w:rsidR="001B189B">
        <w:t>,</w:t>
      </w:r>
      <w:r w:rsidRPr="00B0565E" w:rsidR="00933F7A">
        <w:t xml:space="preserve"> </w:t>
      </w:r>
      <w:r w:rsidRPr="00B0565E" w:rsidR="00470E4A">
        <w:t xml:space="preserve">and the estimated burden per </w:t>
      </w:r>
      <w:r w:rsidRPr="00B0565E" w:rsidR="004D0963">
        <w:t>awardee</w:t>
      </w:r>
      <w:r w:rsidRPr="00B0565E" w:rsidR="007119AB">
        <w:t xml:space="preserve"> </w:t>
      </w:r>
      <w:r w:rsidRPr="00C00ED5" w:rsidR="00933F7A">
        <w:t xml:space="preserve">is </w:t>
      </w:r>
      <w:r w:rsidRPr="00C00ED5" w:rsidR="005B50F4">
        <w:t>9</w:t>
      </w:r>
      <w:r w:rsidRPr="00B0565E" w:rsidR="005B50F4">
        <w:t>2</w:t>
      </w:r>
      <w:r w:rsidRPr="00B0565E" w:rsidR="00706274">
        <w:t xml:space="preserve"> </w:t>
      </w:r>
      <w:r w:rsidRPr="00B0565E" w:rsidR="00470E4A">
        <w:t>hours</w:t>
      </w:r>
      <w:r w:rsidRPr="00B0565E">
        <w:t>.</w:t>
      </w:r>
      <w:r w:rsidRPr="00B0565E" w:rsidR="00AD2C3E">
        <w:t xml:space="preserve"> </w:t>
      </w:r>
      <w:r w:rsidRPr="005A677E" w:rsidR="00AD2C3E">
        <w:t xml:space="preserve">This burden estimate is based on </w:t>
      </w:r>
      <w:r w:rsidRPr="005A677E" w:rsidR="001A0794">
        <w:t xml:space="preserve">the average time needed to </w:t>
      </w:r>
      <w:r w:rsidRPr="005A677E" w:rsidR="005B50F4">
        <w:t>gather, organize and provide</w:t>
      </w:r>
      <w:r w:rsidRPr="005A677E" w:rsidR="001A0794">
        <w:t xml:space="preserve"> the information required by the SIR</w:t>
      </w:r>
      <w:r w:rsidRPr="005A677E" w:rsidR="00AD2C3E">
        <w:t xml:space="preserve"> </w:t>
      </w:r>
      <w:r w:rsidRPr="005A677E" w:rsidR="00090CC6">
        <w:t>and has been revised to reflect comment</w:t>
      </w:r>
      <w:r w:rsidRPr="005A677E" w:rsidR="00706274">
        <w:t>s</w:t>
      </w:r>
      <w:r w:rsidRPr="005A677E" w:rsidR="00090CC6">
        <w:t xml:space="preserve"> received </w:t>
      </w:r>
      <w:r w:rsidRPr="005A677E" w:rsidR="004D0963">
        <w:t xml:space="preserve">in response to </w:t>
      </w:r>
      <w:r w:rsidRPr="005A677E" w:rsidR="00090CC6">
        <w:t xml:space="preserve">the 60-day </w:t>
      </w:r>
      <w:r w:rsidRPr="005A677E" w:rsidR="004D0963">
        <w:t>Federal Register Notice public comment period</w:t>
      </w:r>
      <w:r w:rsidRPr="005A677E" w:rsidR="00AD2C3E">
        <w:t>.</w:t>
      </w:r>
    </w:p>
    <w:p w:rsidRPr="008B29BB" w:rsidR="000256F5" w:rsidP="00FC1732" w:rsidRDefault="0055363C" w14:paraId="6D525078" w14:textId="3E93DF2D">
      <w:pPr>
        <w:pStyle w:val="BodyText1"/>
      </w:pPr>
      <w:r w:rsidRPr="008B29BB">
        <w:t>We anticipate that the person</w:t>
      </w:r>
      <w:r w:rsidRPr="008B29BB" w:rsidR="007119AB">
        <w:t>s</w:t>
      </w:r>
      <w:r w:rsidRPr="008B29BB">
        <w:t xml:space="preserve"> completing the </w:t>
      </w:r>
      <w:r w:rsidR="005B50F4">
        <w:t xml:space="preserve">SIR Response </w:t>
      </w:r>
      <w:r w:rsidRPr="008B29BB">
        <w:t xml:space="preserve">will be </w:t>
      </w:r>
      <w:r w:rsidRPr="008B29BB" w:rsidR="007119AB">
        <w:t xml:space="preserve">home visiting program managers or other administrative directors employed by the </w:t>
      </w:r>
      <w:r w:rsidRPr="008B29BB" w:rsidR="00B679AD">
        <w:t>awardee, or contracted persons engaged to support awardees in completing the</w:t>
      </w:r>
      <w:r w:rsidR="005B50F4">
        <w:t xml:space="preserve"> SIR Response</w:t>
      </w:r>
      <w:r w:rsidRPr="008B29BB" w:rsidR="007119AB">
        <w:t xml:space="preserve">. The individuals responding should be </w:t>
      </w:r>
      <w:r w:rsidRPr="008B29BB">
        <w:t xml:space="preserve">familiar with everyday operations, management, and administration of all </w:t>
      </w:r>
      <w:r w:rsidRPr="008B29BB" w:rsidR="007119AB">
        <w:t xml:space="preserve">home visiting </w:t>
      </w:r>
      <w:r w:rsidRPr="008B29BB">
        <w:t>activities</w:t>
      </w:r>
      <w:r w:rsidRPr="008B29BB" w:rsidR="00FD4BDF">
        <w:t>, as well as data collection and analysis</w:t>
      </w:r>
      <w:r w:rsidRPr="008B29BB" w:rsidR="001A0794">
        <w:t xml:space="preserve">. </w:t>
      </w:r>
      <w:r w:rsidRPr="008B29BB" w:rsidR="004561A0">
        <w:t>W</w:t>
      </w:r>
      <w:r w:rsidRPr="008B29BB">
        <w:t xml:space="preserve">e expect that </w:t>
      </w:r>
      <w:r w:rsidRPr="008B29BB" w:rsidR="004561A0">
        <w:t>the primary respondent may</w:t>
      </w:r>
      <w:r w:rsidRPr="008B29BB">
        <w:t xml:space="preserve"> require assistance </w:t>
      </w:r>
      <w:r w:rsidRPr="008B29BB" w:rsidR="00FC1732">
        <w:t xml:space="preserve">from </w:t>
      </w:r>
      <w:r w:rsidRPr="008B29BB">
        <w:t>another program staff member</w:t>
      </w:r>
      <w:r w:rsidRPr="008B29BB" w:rsidR="00C058BF">
        <w:t xml:space="preserve">. </w:t>
      </w:r>
      <w:r w:rsidRPr="008B29BB" w:rsidR="002E5438">
        <w:rPr>
          <w:b/>
          <w:i/>
        </w:rPr>
        <w:t>Exhibit</w:t>
      </w:r>
      <w:r w:rsidRPr="008B29BB" w:rsidR="001B189B">
        <w:rPr>
          <w:b/>
          <w:i/>
        </w:rPr>
        <w:t xml:space="preserve"> </w:t>
      </w:r>
      <w:r w:rsidRPr="008B29BB" w:rsidR="00470E4A">
        <w:rPr>
          <w:b/>
          <w:i/>
        </w:rPr>
        <w:t>A.12</w:t>
      </w:r>
      <w:r w:rsidRPr="008B29BB" w:rsidR="00E14515">
        <w:rPr>
          <w:b/>
          <w:i/>
        </w:rPr>
        <w:t>-</w:t>
      </w:r>
      <w:r w:rsidRPr="008B29BB">
        <w:rPr>
          <w:b/>
          <w:i/>
        </w:rPr>
        <w:t>1</w:t>
      </w:r>
      <w:r w:rsidRPr="008B29BB">
        <w:t xml:space="preserve"> summarizes the annualized burden hours.</w:t>
      </w:r>
      <w:r w:rsidRPr="008B29BB" w:rsidR="00C05817">
        <w:t xml:space="preserve"> </w:t>
      </w:r>
    </w:p>
    <w:p w:rsidRPr="00B0565E" w:rsidR="0055363C" w:rsidP="00E427A6" w:rsidRDefault="002E5438" w14:paraId="09E60E59" w14:textId="77777777">
      <w:pPr>
        <w:pStyle w:val="FigureTitle"/>
      </w:pPr>
      <w:bookmarkStart w:name="_Toc275433791" w:id="34"/>
      <w:bookmarkStart w:name="_Toc307224724" w:id="35"/>
      <w:r w:rsidRPr="005A677E">
        <w:lastRenderedPageBreak/>
        <w:t xml:space="preserve">Exhibit </w:t>
      </w:r>
      <w:r w:rsidRPr="005A677E" w:rsidR="00470E4A">
        <w:t>A.12-</w:t>
      </w:r>
      <w:r w:rsidRPr="005A677E">
        <w:t>1.</w:t>
      </w:r>
      <w:r w:rsidRPr="005A677E">
        <w:tab/>
      </w:r>
      <w:r w:rsidRPr="005A677E" w:rsidR="0055363C">
        <w:t>Estimated Annualized Burden Hours</w:t>
      </w:r>
      <w:bookmarkEnd w:id="34"/>
      <w:bookmarkEnd w:id="35"/>
    </w:p>
    <w:tbl>
      <w:tblPr>
        <w:tblW w:w="9360" w:type="dxa"/>
        <w:tblInd w:w="93" w:type="dxa"/>
        <w:tblLayout w:type="fixed"/>
        <w:tblCellMar>
          <w:left w:w="115" w:type="dxa"/>
          <w:right w:w="115" w:type="dxa"/>
        </w:tblCellMar>
        <w:tblLook w:val="04A0" w:firstRow="1" w:lastRow="0" w:firstColumn="1" w:lastColumn="0" w:noHBand="0" w:noVBand="1"/>
      </w:tblPr>
      <w:tblGrid>
        <w:gridCol w:w="2092"/>
        <w:gridCol w:w="1950"/>
        <w:gridCol w:w="1950"/>
        <w:gridCol w:w="1950"/>
        <w:gridCol w:w="1418"/>
      </w:tblGrid>
      <w:tr w:rsidRPr="00B0565E" w:rsidR="0055363C" w:rsidTr="002E5438" w14:paraId="5F03B753" w14:textId="77777777">
        <w:trPr>
          <w:cantSplit/>
          <w:tblHeader/>
        </w:trPr>
        <w:tc>
          <w:tcPr>
            <w:tcW w:w="2092" w:type="dxa"/>
            <w:tcBorders>
              <w:top w:val="single" w:color="auto" w:sz="12" w:space="0"/>
              <w:left w:val="nil"/>
              <w:bottom w:val="single" w:color="auto" w:sz="4" w:space="0"/>
              <w:right w:val="nil"/>
            </w:tcBorders>
            <w:shd w:val="clear" w:color="auto" w:fill="auto"/>
            <w:vAlign w:val="bottom"/>
          </w:tcPr>
          <w:p w:rsidRPr="00B0565E" w:rsidR="0055363C" w:rsidP="00FC1732" w:rsidRDefault="0055363C" w14:paraId="59C11E75" w14:textId="77777777">
            <w:pPr>
              <w:keepNext/>
              <w:spacing w:before="60" w:after="60"/>
              <w:jc w:val="center"/>
              <w:rPr>
                <w:b/>
                <w:sz w:val="22"/>
              </w:rPr>
            </w:pPr>
            <w:r w:rsidRPr="00B0565E">
              <w:rPr>
                <w:b/>
                <w:sz w:val="22"/>
              </w:rPr>
              <w:t>Types of Respondent</w:t>
            </w:r>
          </w:p>
        </w:tc>
        <w:tc>
          <w:tcPr>
            <w:tcW w:w="1950" w:type="dxa"/>
            <w:tcBorders>
              <w:top w:val="single" w:color="auto" w:sz="12" w:space="0"/>
              <w:left w:val="nil"/>
              <w:bottom w:val="single" w:color="auto" w:sz="4" w:space="0"/>
              <w:right w:val="nil"/>
            </w:tcBorders>
            <w:shd w:val="clear" w:color="auto" w:fill="auto"/>
            <w:vAlign w:val="bottom"/>
          </w:tcPr>
          <w:p w:rsidRPr="00B0565E" w:rsidR="0055363C" w:rsidP="00E427A6" w:rsidRDefault="0055363C" w14:paraId="60BA5C32" w14:textId="77777777">
            <w:pPr>
              <w:keepNext/>
              <w:spacing w:before="60" w:after="60"/>
              <w:jc w:val="center"/>
              <w:rPr>
                <w:b/>
                <w:sz w:val="22"/>
              </w:rPr>
            </w:pPr>
            <w:r w:rsidRPr="00B0565E">
              <w:rPr>
                <w:b/>
                <w:sz w:val="22"/>
              </w:rPr>
              <w:t>Number of Respondents</w:t>
            </w:r>
          </w:p>
        </w:tc>
        <w:tc>
          <w:tcPr>
            <w:tcW w:w="1950" w:type="dxa"/>
            <w:tcBorders>
              <w:top w:val="single" w:color="auto" w:sz="12" w:space="0"/>
              <w:left w:val="nil"/>
              <w:bottom w:val="single" w:color="auto" w:sz="4" w:space="0"/>
              <w:right w:val="nil"/>
            </w:tcBorders>
            <w:shd w:val="clear" w:color="auto" w:fill="auto"/>
            <w:vAlign w:val="bottom"/>
          </w:tcPr>
          <w:p w:rsidRPr="00B0565E" w:rsidR="0055363C" w:rsidP="00CE02F4" w:rsidRDefault="0055363C" w14:paraId="686FE75E" w14:textId="15E4CF83">
            <w:pPr>
              <w:keepNext/>
              <w:spacing w:before="60" w:after="60"/>
              <w:jc w:val="center"/>
              <w:rPr>
                <w:b/>
                <w:sz w:val="22"/>
              </w:rPr>
            </w:pPr>
            <w:r w:rsidRPr="00B0565E">
              <w:rPr>
                <w:b/>
                <w:sz w:val="22"/>
              </w:rPr>
              <w:t xml:space="preserve">No. Responses per Respondent </w:t>
            </w:r>
          </w:p>
        </w:tc>
        <w:tc>
          <w:tcPr>
            <w:tcW w:w="1950" w:type="dxa"/>
            <w:tcBorders>
              <w:top w:val="single" w:color="auto" w:sz="12" w:space="0"/>
              <w:left w:val="nil"/>
              <w:bottom w:val="single" w:color="auto" w:sz="4" w:space="0"/>
              <w:right w:val="nil"/>
            </w:tcBorders>
            <w:shd w:val="clear" w:color="auto" w:fill="auto"/>
            <w:vAlign w:val="bottom"/>
          </w:tcPr>
          <w:p w:rsidRPr="00B0565E" w:rsidR="0055363C" w:rsidP="00E427A6" w:rsidRDefault="0055363C" w14:paraId="280BEEFF" w14:textId="77777777">
            <w:pPr>
              <w:keepNext/>
              <w:spacing w:before="60" w:after="60"/>
              <w:jc w:val="center"/>
              <w:rPr>
                <w:b/>
                <w:sz w:val="22"/>
              </w:rPr>
            </w:pPr>
            <w:r w:rsidRPr="00B0565E">
              <w:rPr>
                <w:b/>
                <w:sz w:val="22"/>
              </w:rPr>
              <w:t>Average Burden per Response (hours)</w:t>
            </w:r>
          </w:p>
        </w:tc>
        <w:tc>
          <w:tcPr>
            <w:tcW w:w="1418" w:type="dxa"/>
            <w:tcBorders>
              <w:top w:val="single" w:color="auto" w:sz="12" w:space="0"/>
              <w:left w:val="nil"/>
              <w:bottom w:val="single" w:color="auto" w:sz="4" w:space="0"/>
              <w:right w:val="nil"/>
            </w:tcBorders>
            <w:shd w:val="clear" w:color="auto" w:fill="auto"/>
            <w:vAlign w:val="bottom"/>
          </w:tcPr>
          <w:p w:rsidRPr="00B0565E" w:rsidR="0055363C" w:rsidP="00E427A6" w:rsidRDefault="0055363C" w14:paraId="6CDC6B0D" w14:textId="77777777">
            <w:pPr>
              <w:keepNext/>
              <w:spacing w:before="60" w:after="60"/>
              <w:jc w:val="center"/>
              <w:rPr>
                <w:b/>
                <w:sz w:val="22"/>
              </w:rPr>
            </w:pPr>
            <w:r w:rsidRPr="00B0565E">
              <w:rPr>
                <w:b/>
                <w:sz w:val="22"/>
              </w:rPr>
              <w:t>Total Burden (hours)</w:t>
            </w:r>
          </w:p>
        </w:tc>
      </w:tr>
      <w:tr w:rsidRPr="00B0565E" w:rsidR="0055363C" w:rsidTr="002E5438" w14:paraId="4C1DA1A2" w14:textId="77777777">
        <w:trPr>
          <w:cantSplit/>
        </w:trPr>
        <w:tc>
          <w:tcPr>
            <w:tcW w:w="2092" w:type="dxa"/>
            <w:tcBorders>
              <w:top w:val="single" w:color="auto" w:sz="4" w:space="0"/>
              <w:left w:val="nil"/>
              <w:bottom w:val="single" w:color="auto" w:sz="12" w:space="0"/>
              <w:right w:val="nil"/>
            </w:tcBorders>
            <w:shd w:val="clear" w:color="auto" w:fill="auto"/>
            <w:noWrap/>
          </w:tcPr>
          <w:p w:rsidRPr="00B0565E" w:rsidR="0055363C" w:rsidP="00E427A6" w:rsidRDefault="004D0963" w14:paraId="2C9CD0AF" w14:textId="674200C8">
            <w:pPr>
              <w:keepNext/>
              <w:spacing w:before="60" w:after="60"/>
              <w:rPr>
                <w:sz w:val="22"/>
              </w:rPr>
            </w:pPr>
            <w:r w:rsidRPr="00B0565E">
              <w:rPr>
                <w:sz w:val="22"/>
              </w:rPr>
              <w:t xml:space="preserve">MIECHV awardee </w:t>
            </w:r>
            <w:r w:rsidRPr="00B0565E" w:rsidR="001F20D2">
              <w:rPr>
                <w:sz w:val="22"/>
              </w:rPr>
              <w:t>staff</w:t>
            </w:r>
          </w:p>
        </w:tc>
        <w:tc>
          <w:tcPr>
            <w:tcW w:w="1950" w:type="dxa"/>
            <w:tcBorders>
              <w:top w:val="single" w:color="auto" w:sz="4" w:space="0"/>
              <w:left w:val="nil"/>
              <w:bottom w:val="single" w:color="auto" w:sz="12" w:space="0"/>
              <w:right w:val="nil"/>
            </w:tcBorders>
            <w:shd w:val="clear" w:color="auto" w:fill="auto"/>
            <w:noWrap/>
          </w:tcPr>
          <w:p w:rsidRPr="00B0565E" w:rsidR="0055363C" w:rsidP="00E427A6" w:rsidRDefault="00DB4C0D" w14:paraId="16FE81C6" w14:textId="0D6AA5E8">
            <w:pPr>
              <w:keepNext/>
              <w:spacing w:before="60" w:after="60"/>
              <w:jc w:val="center"/>
              <w:rPr>
                <w:sz w:val="22"/>
              </w:rPr>
            </w:pPr>
            <w:r w:rsidRPr="00B0565E">
              <w:rPr>
                <w:sz w:val="22"/>
              </w:rPr>
              <w:t>15</w:t>
            </w:r>
          </w:p>
        </w:tc>
        <w:tc>
          <w:tcPr>
            <w:tcW w:w="1950" w:type="dxa"/>
            <w:tcBorders>
              <w:top w:val="single" w:color="auto" w:sz="4" w:space="0"/>
              <w:left w:val="nil"/>
              <w:bottom w:val="single" w:color="auto" w:sz="12" w:space="0"/>
              <w:right w:val="nil"/>
            </w:tcBorders>
            <w:shd w:val="clear" w:color="auto" w:fill="auto"/>
            <w:noWrap/>
          </w:tcPr>
          <w:p w:rsidRPr="00B0565E" w:rsidR="0055363C" w:rsidP="00E427A6" w:rsidRDefault="001F20D2" w14:paraId="3CC5453F" w14:textId="7A2254D9">
            <w:pPr>
              <w:keepNext/>
              <w:spacing w:before="60" w:after="60"/>
              <w:jc w:val="center"/>
              <w:rPr>
                <w:sz w:val="22"/>
              </w:rPr>
            </w:pPr>
            <w:r w:rsidRPr="00B0565E">
              <w:rPr>
                <w:sz w:val="22"/>
              </w:rPr>
              <w:t>1</w:t>
            </w:r>
          </w:p>
        </w:tc>
        <w:tc>
          <w:tcPr>
            <w:tcW w:w="1950" w:type="dxa"/>
            <w:tcBorders>
              <w:top w:val="single" w:color="auto" w:sz="4" w:space="0"/>
              <w:left w:val="nil"/>
              <w:bottom w:val="single" w:color="auto" w:sz="12" w:space="0"/>
              <w:right w:val="nil"/>
            </w:tcBorders>
            <w:shd w:val="clear" w:color="auto" w:fill="auto"/>
            <w:noWrap/>
          </w:tcPr>
          <w:p w:rsidRPr="00C00ED5" w:rsidR="0055363C" w:rsidP="00E427A6" w:rsidRDefault="00DB4C0D" w14:paraId="76FE6431" w14:textId="3D3C337E">
            <w:pPr>
              <w:keepNext/>
              <w:spacing w:before="60" w:after="60"/>
              <w:jc w:val="center"/>
              <w:rPr>
                <w:sz w:val="22"/>
              </w:rPr>
            </w:pPr>
            <w:r w:rsidRPr="00B0565E">
              <w:rPr>
                <w:sz w:val="22"/>
              </w:rPr>
              <w:t>9</w:t>
            </w:r>
            <w:r w:rsidR="00C00ED5">
              <w:rPr>
                <w:sz w:val="22"/>
              </w:rPr>
              <w:t>2</w:t>
            </w:r>
          </w:p>
        </w:tc>
        <w:tc>
          <w:tcPr>
            <w:tcW w:w="1418" w:type="dxa"/>
            <w:tcBorders>
              <w:top w:val="single" w:color="auto" w:sz="4" w:space="0"/>
              <w:left w:val="nil"/>
              <w:bottom w:val="single" w:color="auto" w:sz="12" w:space="0"/>
              <w:right w:val="nil"/>
            </w:tcBorders>
            <w:shd w:val="clear" w:color="auto" w:fill="auto"/>
            <w:noWrap/>
          </w:tcPr>
          <w:p w:rsidRPr="00B0565E" w:rsidR="0055363C" w:rsidRDefault="00DB4C0D" w14:paraId="185691A2" w14:textId="0A8FD844">
            <w:pPr>
              <w:keepNext/>
              <w:spacing w:before="60" w:after="60"/>
              <w:jc w:val="center"/>
              <w:rPr>
                <w:sz w:val="22"/>
              </w:rPr>
            </w:pPr>
            <w:r w:rsidRPr="00B0565E">
              <w:rPr>
                <w:sz w:val="22"/>
              </w:rPr>
              <w:t>1</w:t>
            </w:r>
            <w:r w:rsidRPr="00B0565E" w:rsidR="00561B56">
              <w:rPr>
                <w:sz w:val="22"/>
              </w:rPr>
              <w:t>,</w:t>
            </w:r>
            <w:r w:rsidRPr="00B0565E">
              <w:rPr>
                <w:sz w:val="22"/>
              </w:rPr>
              <w:t>380</w:t>
            </w:r>
          </w:p>
        </w:tc>
      </w:tr>
    </w:tbl>
    <w:p w:rsidRPr="00B0565E" w:rsidR="0055363C" w:rsidP="0055363C" w:rsidRDefault="0055363C" w14:paraId="27CE9D05" w14:textId="77777777">
      <w:pPr>
        <w:pStyle w:val="exhibitsource"/>
        <w:spacing w:after="0" w:line="480" w:lineRule="auto"/>
      </w:pPr>
    </w:p>
    <w:p w:rsidRPr="005A677E" w:rsidR="0055363C" w:rsidP="009D6B44" w:rsidRDefault="0055363C" w14:paraId="3C6A8223" w14:textId="77777777">
      <w:pPr>
        <w:pStyle w:val="Heading3"/>
      </w:pPr>
      <w:bookmarkStart w:name="_Toc275433775" w:id="36"/>
      <w:bookmarkStart w:name="_Toc457313789" w:id="37"/>
      <w:r w:rsidRPr="00B0565E">
        <w:t>A.12.</w:t>
      </w:r>
      <w:r w:rsidRPr="00B0565E" w:rsidR="002E5438">
        <w:t>2</w:t>
      </w:r>
      <w:r w:rsidRPr="00B0565E">
        <w:tab/>
        <w:t>Estimated Annualized Cost to Respondents</w:t>
      </w:r>
      <w:bookmarkEnd w:id="36"/>
      <w:bookmarkEnd w:id="37"/>
    </w:p>
    <w:p w:rsidRPr="005A677E" w:rsidR="000256F5" w:rsidP="00E427A6" w:rsidRDefault="0055363C" w14:paraId="5D0F50D4" w14:textId="392F45B1">
      <w:pPr>
        <w:pStyle w:val="BodyText1"/>
      </w:pPr>
      <w:r w:rsidRPr="005A677E">
        <w:t xml:space="preserve">The estimated </w:t>
      </w:r>
      <w:r w:rsidRPr="005A677E" w:rsidR="00AD2C3E">
        <w:t>total</w:t>
      </w:r>
      <w:r w:rsidRPr="005A677E" w:rsidR="00470E4A">
        <w:t xml:space="preserve"> </w:t>
      </w:r>
      <w:r w:rsidRPr="005A677E">
        <w:t xml:space="preserve">cost to respondents is </w:t>
      </w:r>
      <w:r w:rsidRPr="005A677E" w:rsidR="004561A0">
        <w:t xml:space="preserve">approximately </w:t>
      </w:r>
      <w:r w:rsidRPr="005A677E">
        <w:t>$</w:t>
      </w:r>
      <w:r w:rsidRPr="005A677E" w:rsidR="00BC6EFB">
        <w:t>90,000</w:t>
      </w:r>
      <w:r w:rsidRPr="005A677E" w:rsidR="00090CC6">
        <w:t xml:space="preserve"> </w:t>
      </w:r>
      <w:r w:rsidRPr="005A677E">
        <w:t>(</w:t>
      </w:r>
      <w:r w:rsidRPr="005A677E">
        <w:rPr>
          <w:b/>
          <w:bCs/>
          <w:i/>
          <w:iCs/>
        </w:rPr>
        <w:t>Exhibit</w:t>
      </w:r>
      <w:r w:rsidRPr="005A677E" w:rsidR="002E5438">
        <w:rPr>
          <w:b/>
          <w:bCs/>
          <w:i/>
          <w:iCs/>
        </w:rPr>
        <w:t> </w:t>
      </w:r>
      <w:r w:rsidRPr="005A677E" w:rsidR="00470E4A">
        <w:rPr>
          <w:b/>
          <w:bCs/>
          <w:i/>
          <w:iCs/>
        </w:rPr>
        <w:t>A.12-</w:t>
      </w:r>
      <w:r w:rsidRPr="005A677E">
        <w:rPr>
          <w:b/>
          <w:bCs/>
          <w:i/>
          <w:iCs/>
        </w:rPr>
        <w:t>2</w:t>
      </w:r>
      <w:r w:rsidRPr="005A677E">
        <w:t xml:space="preserve">). This annualized cost to respondents is based on the average wage of </w:t>
      </w:r>
      <w:r w:rsidRPr="005A677E" w:rsidR="002368F4">
        <w:t xml:space="preserve">state government employed </w:t>
      </w:r>
      <w:r w:rsidRPr="005A677E" w:rsidR="00E805BC">
        <w:t>social and community service manager</w:t>
      </w:r>
      <w:r w:rsidRPr="005A677E" w:rsidR="002368F4">
        <w:t xml:space="preserve"> </w:t>
      </w:r>
      <w:r w:rsidRPr="005A677E" w:rsidR="00531A7E">
        <w:t xml:space="preserve">from </w:t>
      </w:r>
      <w:r w:rsidRPr="005A677E" w:rsidR="00274527">
        <w:t>the 201</w:t>
      </w:r>
      <w:r w:rsidRPr="005A677E" w:rsidR="005B50F4">
        <w:t>9</w:t>
      </w:r>
      <w:r w:rsidRPr="005A677E" w:rsidR="00274527">
        <w:t xml:space="preserve"> Bureau of Labor Statistics report on Wage Estimates</w:t>
      </w:r>
      <w:r w:rsidRPr="005A677E" w:rsidR="004561A0">
        <w:t xml:space="preserve"> (Bureau of Labor Statistics, 201</w:t>
      </w:r>
      <w:r w:rsidRPr="005A677E" w:rsidR="00E805BC">
        <w:t>9</w:t>
      </w:r>
      <w:r w:rsidRPr="005A677E" w:rsidR="004561A0">
        <w:t>)</w:t>
      </w:r>
      <w:r w:rsidRPr="005A677E" w:rsidR="002177D0">
        <w:t xml:space="preserve">.  </w:t>
      </w:r>
      <w:r w:rsidRPr="00B0565E" w:rsidR="00BC6EFB">
        <w:t>The average hourly wage was multiplied by 2 to account for the costs of fringe benefits and overhead.</w:t>
      </w:r>
    </w:p>
    <w:p w:rsidRPr="0035484B" w:rsidR="0055363C" w:rsidP="00E427A6" w:rsidRDefault="002E5438" w14:paraId="2F9CC63C" w14:textId="77777777">
      <w:pPr>
        <w:pStyle w:val="FigureTitle"/>
      </w:pPr>
      <w:bookmarkStart w:name="_Toc179173311" w:id="38"/>
      <w:bookmarkStart w:name="_Toc275433792" w:id="39"/>
      <w:bookmarkStart w:name="_Toc307224725" w:id="40"/>
      <w:r w:rsidRPr="005A677E">
        <w:t xml:space="preserve">Exhibit </w:t>
      </w:r>
      <w:r w:rsidRPr="005A677E" w:rsidR="00470E4A">
        <w:t>A.12-</w:t>
      </w:r>
      <w:r w:rsidRPr="005A677E">
        <w:t>2.</w:t>
      </w:r>
      <w:r w:rsidRPr="005A677E">
        <w:tab/>
      </w:r>
      <w:r w:rsidRPr="005A677E" w:rsidR="0055363C">
        <w:t>Estimated Annualized Cost to Respondents</w:t>
      </w:r>
      <w:bookmarkEnd w:id="38"/>
      <w:bookmarkEnd w:id="39"/>
      <w:bookmarkEnd w:id="40"/>
    </w:p>
    <w:tbl>
      <w:tblPr>
        <w:tblW w:w="9360" w:type="dxa"/>
        <w:tblInd w:w="93" w:type="dxa"/>
        <w:tblLayout w:type="fixed"/>
        <w:tblCellMar>
          <w:left w:w="115" w:type="dxa"/>
          <w:right w:w="115" w:type="dxa"/>
        </w:tblCellMar>
        <w:tblLook w:val="04A0" w:firstRow="1" w:lastRow="0" w:firstColumn="1" w:lastColumn="0" w:noHBand="0" w:noVBand="1"/>
      </w:tblPr>
      <w:tblGrid>
        <w:gridCol w:w="2092"/>
        <w:gridCol w:w="1595"/>
        <w:gridCol w:w="1980"/>
        <w:gridCol w:w="2275"/>
        <w:gridCol w:w="1418"/>
      </w:tblGrid>
      <w:tr w:rsidRPr="0035484B" w:rsidR="002E5438" w:rsidTr="002177D0" w14:paraId="7D433BF8" w14:textId="77777777">
        <w:trPr>
          <w:cantSplit/>
          <w:tblHeader/>
        </w:trPr>
        <w:tc>
          <w:tcPr>
            <w:tcW w:w="2092" w:type="dxa"/>
            <w:tcBorders>
              <w:top w:val="single" w:color="auto" w:sz="12" w:space="0"/>
              <w:left w:val="nil"/>
              <w:bottom w:val="single" w:color="auto" w:sz="4" w:space="0"/>
              <w:right w:val="nil"/>
            </w:tcBorders>
            <w:shd w:val="clear" w:color="auto" w:fill="auto"/>
            <w:vAlign w:val="bottom"/>
          </w:tcPr>
          <w:p w:rsidRPr="0035484B" w:rsidR="002E5438" w:rsidP="00FC1732" w:rsidRDefault="002E5438" w14:paraId="2C6DB0E2" w14:textId="77777777">
            <w:pPr>
              <w:keepNext/>
              <w:spacing w:before="80" w:after="80"/>
              <w:jc w:val="center"/>
              <w:rPr>
                <w:b/>
                <w:sz w:val="22"/>
              </w:rPr>
            </w:pPr>
            <w:r w:rsidRPr="0035484B">
              <w:rPr>
                <w:b/>
                <w:sz w:val="22"/>
              </w:rPr>
              <w:t>Type of Respondent</w:t>
            </w:r>
          </w:p>
        </w:tc>
        <w:tc>
          <w:tcPr>
            <w:tcW w:w="1595" w:type="dxa"/>
            <w:tcBorders>
              <w:top w:val="single" w:color="auto" w:sz="12" w:space="0"/>
              <w:left w:val="nil"/>
              <w:bottom w:val="single" w:color="auto" w:sz="4" w:space="0"/>
              <w:right w:val="nil"/>
            </w:tcBorders>
            <w:shd w:val="clear" w:color="auto" w:fill="auto"/>
            <w:vAlign w:val="bottom"/>
          </w:tcPr>
          <w:p w:rsidRPr="0035484B" w:rsidR="002E5438" w:rsidP="002E5438" w:rsidRDefault="00531A7E" w14:paraId="072793B7" w14:textId="77777777">
            <w:pPr>
              <w:keepNext/>
              <w:spacing w:before="80" w:after="80"/>
              <w:jc w:val="center"/>
              <w:rPr>
                <w:b/>
                <w:sz w:val="22"/>
              </w:rPr>
            </w:pPr>
            <w:r w:rsidRPr="0035484B">
              <w:rPr>
                <w:b/>
                <w:sz w:val="22"/>
              </w:rPr>
              <w:t>Number of Respondents</w:t>
            </w:r>
          </w:p>
        </w:tc>
        <w:tc>
          <w:tcPr>
            <w:tcW w:w="1980" w:type="dxa"/>
            <w:tcBorders>
              <w:top w:val="single" w:color="auto" w:sz="12" w:space="0"/>
              <w:left w:val="nil"/>
              <w:bottom w:val="single" w:color="auto" w:sz="4" w:space="0"/>
              <w:right w:val="nil"/>
            </w:tcBorders>
            <w:shd w:val="clear" w:color="auto" w:fill="auto"/>
            <w:vAlign w:val="bottom"/>
          </w:tcPr>
          <w:p w:rsidRPr="0035484B" w:rsidR="002E5438" w:rsidP="002E5438" w:rsidRDefault="00531A7E" w14:paraId="145A7D25" w14:textId="77777777">
            <w:pPr>
              <w:keepNext/>
              <w:spacing w:before="80" w:after="80"/>
              <w:jc w:val="center"/>
              <w:rPr>
                <w:b/>
                <w:sz w:val="22"/>
              </w:rPr>
            </w:pPr>
            <w:r w:rsidRPr="0035484B">
              <w:rPr>
                <w:b/>
                <w:sz w:val="22"/>
              </w:rPr>
              <w:t>Total Burden</w:t>
            </w:r>
            <w:r w:rsidRPr="0035484B">
              <w:rPr>
                <w:b/>
                <w:sz w:val="22"/>
              </w:rPr>
              <w:br/>
              <w:t>(hours)</w:t>
            </w:r>
          </w:p>
        </w:tc>
        <w:tc>
          <w:tcPr>
            <w:tcW w:w="2275" w:type="dxa"/>
            <w:tcBorders>
              <w:top w:val="single" w:color="auto" w:sz="12" w:space="0"/>
              <w:left w:val="nil"/>
              <w:bottom w:val="single" w:color="auto" w:sz="4" w:space="0"/>
              <w:right w:val="nil"/>
            </w:tcBorders>
            <w:shd w:val="clear" w:color="auto" w:fill="auto"/>
            <w:vAlign w:val="bottom"/>
          </w:tcPr>
          <w:p w:rsidRPr="0035484B" w:rsidR="002E5438" w:rsidP="002E5438" w:rsidRDefault="00531A7E" w14:paraId="6E7FA79D" w14:textId="77777777">
            <w:pPr>
              <w:keepNext/>
              <w:spacing w:before="80" w:after="80"/>
              <w:jc w:val="center"/>
              <w:rPr>
                <w:b/>
                <w:sz w:val="22"/>
              </w:rPr>
            </w:pPr>
            <w:r w:rsidRPr="0035484B">
              <w:rPr>
                <w:b/>
                <w:sz w:val="22"/>
              </w:rPr>
              <w:t>Average Hourly Wage</w:t>
            </w:r>
          </w:p>
        </w:tc>
        <w:tc>
          <w:tcPr>
            <w:tcW w:w="1418" w:type="dxa"/>
            <w:tcBorders>
              <w:top w:val="single" w:color="auto" w:sz="12" w:space="0"/>
              <w:left w:val="nil"/>
              <w:bottom w:val="single" w:color="auto" w:sz="4" w:space="0"/>
              <w:right w:val="nil"/>
            </w:tcBorders>
            <w:shd w:val="clear" w:color="auto" w:fill="auto"/>
            <w:vAlign w:val="bottom"/>
          </w:tcPr>
          <w:p w:rsidRPr="0035484B" w:rsidR="002E5438" w:rsidP="002E5438" w:rsidRDefault="00531A7E" w14:paraId="324E3490" w14:textId="77777777">
            <w:pPr>
              <w:keepNext/>
              <w:spacing w:before="80" w:after="80"/>
              <w:jc w:val="center"/>
              <w:rPr>
                <w:b/>
                <w:sz w:val="22"/>
              </w:rPr>
            </w:pPr>
            <w:r w:rsidRPr="0035484B">
              <w:rPr>
                <w:b/>
                <w:sz w:val="22"/>
              </w:rPr>
              <w:t>Total Respondent Cost ($)</w:t>
            </w:r>
          </w:p>
        </w:tc>
      </w:tr>
      <w:tr w:rsidRPr="0035484B" w:rsidR="002E5438" w:rsidTr="002177D0" w14:paraId="763912DA" w14:textId="77777777">
        <w:trPr>
          <w:cantSplit/>
        </w:trPr>
        <w:tc>
          <w:tcPr>
            <w:tcW w:w="2092" w:type="dxa"/>
            <w:tcBorders>
              <w:top w:val="single" w:color="auto" w:sz="4" w:space="0"/>
              <w:left w:val="nil"/>
              <w:bottom w:val="single" w:color="auto" w:sz="12" w:space="0"/>
              <w:right w:val="nil"/>
            </w:tcBorders>
            <w:shd w:val="clear" w:color="auto" w:fill="auto"/>
            <w:noWrap/>
          </w:tcPr>
          <w:p w:rsidRPr="0035484B" w:rsidR="002E5438" w:rsidP="00561B56" w:rsidRDefault="00B679AD" w14:paraId="17609A20" w14:textId="6A0831FD">
            <w:pPr>
              <w:keepNext/>
              <w:spacing w:before="80" w:after="80"/>
              <w:rPr>
                <w:sz w:val="22"/>
              </w:rPr>
            </w:pPr>
            <w:r w:rsidRPr="0035484B">
              <w:rPr>
                <w:sz w:val="22"/>
              </w:rPr>
              <w:t xml:space="preserve">State Government </w:t>
            </w:r>
            <w:r w:rsidR="00E805BC">
              <w:rPr>
                <w:sz w:val="22"/>
              </w:rPr>
              <w:t>Social and Community Service Manager</w:t>
            </w:r>
          </w:p>
        </w:tc>
        <w:tc>
          <w:tcPr>
            <w:tcW w:w="1595" w:type="dxa"/>
            <w:tcBorders>
              <w:top w:val="single" w:color="auto" w:sz="4" w:space="0"/>
              <w:left w:val="nil"/>
              <w:bottom w:val="single" w:color="auto" w:sz="12" w:space="0"/>
              <w:right w:val="nil"/>
            </w:tcBorders>
            <w:shd w:val="clear" w:color="auto" w:fill="auto"/>
            <w:noWrap/>
          </w:tcPr>
          <w:p w:rsidRPr="0035484B" w:rsidR="002E5438" w:rsidP="002E5438" w:rsidRDefault="007665D8" w14:paraId="70056902" w14:textId="416331CF">
            <w:pPr>
              <w:keepNext/>
              <w:spacing w:before="80" w:after="80"/>
              <w:jc w:val="center"/>
              <w:rPr>
                <w:sz w:val="22"/>
              </w:rPr>
            </w:pPr>
            <w:r>
              <w:rPr>
                <w:sz w:val="22"/>
                <w:szCs w:val="22"/>
              </w:rPr>
              <w:t>15</w:t>
            </w:r>
          </w:p>
        </w:tc>
        <w:tc>
          <w:tcPr>
            <w:tcW w:w="1980" w:type="dxa"/>
            <w:tcBorders>
              <w:top w:val="single" w:color="auto" w:sz="4" w:space="0"/>
              <w:left w:val="nil"/>
              <w:bottom w:val="single" w:color="auto" w:sz="12" w:space="0"/>
              <w:right w:val="nil"/>
            </w:tcBorders>
            <w:shd w:val="clear" w:color="auto" w:fill="auto"/>
            <w:noWrap/>
          </w:tcPr>
          <w:p w:rsidRPr="0035484B" w:rsidR="002E5438" w:rsidP="002E5438" w:rsidRDefault="00561B56" w14:paraId="1A9A5216" w14:textId="6E72307A">
            <w:pPr>
              <w:keepNext/>
              <w:spacing w:before="80" w:after="80"/>
              <w:jc w:val="center"/>
              <w:rPr>
                <w:sz w:val="22"/>
              </w:rPr>
            </w:pPr>
            <w:r>
              <w:rPr>
                <w:sz w:val="22"/>
                <w:szCs w:val="22"/>
              </w:rPr>
              <w:t>1,380</w:t>
            </w:r>
          </w:p>
        </w:tc>
        <w:tc>
          <w:tcPr>
            <w:tcW w:w="2275" w:type="dxa"/>
            <w:tcBorders>
              <w:top w:val="single" w:color="auto" w:sz="4" w:space="0"/>
              <w:left w:val="nil"/>
              <w:bottom w:val="single" w:color="auto" w:sz="12" w:space="0"/>
              <w:right w:val="nil"/>
            </w:tcBorders>
            <w:shd w:val="clear" w:color="auto" w:fill="auto"/>
            <w:noWrap/>
          </w:tcPr>
          <w:p w:rsidRPr="0035484B" w:rsidR="002E5438" w:rsidP="00E805BC" w:rsidRDefault="00531A7E" w14:paraId="2D4BE03F" w14:textId="52A748B1">
            <w:pPr>
              <w:keepNext/>
              <w:spacing w:before="80" w:after="80"/>
              <w:jc w:val="center"/>
              <w:rPr>
                <w:sz w:val="22"/>
              </w:rPr>
            </w:pPr>
            <w:r w:rsidRPr="0035484B">
              <w:rPr>
                <w:sz w:val="22"/>
                <w:szCs w:val="22"/>
              </w:rPr>
              <w:t>$</w:t>
            </w:r>
            <w:r w:rsidRPr="0035484B" w:rsidR="00B679AD">
              <w:rPr>
                <w:sz w:val="22"/>
                <w:szCs w:val="22"/>
              </w:rPr>
              <w:t>3</w:t>
            </w:r>
            <w:r w:rsidR="00E805BC">
              <w:rPr>
                <w:sz w:val="22"/>
                <w:szCs w:val="22"/>
              </w:rPr>
              <w:t>2</w:t>
            </w:r>
            <w:r w:rsidRPr="0035484B" w:rsidR="00B679AD">
              <w:rPr>
                <w:sz w:val="22"/>
                <w:szCs w:val="22"/>
              </w:rPr>
              <w:t>.</w:t>
            </w:r>
            <w:r w:rsidR="00E805BC">
              <w:rPr>
                <w:sz w:val="22"/>
                <w:szCs w:val="22"/>
              </w:rPr>
              <w:t>5</w:t>
            </w:r>
            <w:r w:rsidRPr="0035484B" w:rsidR="00B679AD">
              <w:rPr>
                <w:sz w:val="22"/>
                <w:szCs w:val="22"/>
              </w:rPr>
              <w:t>8</w:t>
            </w:r>
            <w:r w:rsidRPr="0035484B" w:rsidR="009522AC">
              <w:rPr>
                <w:sz w:val="22"/>
                <w:szCs w:val="22"/>
              </w:rPr>
              <w:t xml:space="preserve"> ($6</w:t>
            </w:r>
            <w:r w:rsidR="00BC6EFB">
              <w:rPr>
                <w:sz w:val="22"/>
                <w:szCs w:val="22"/>
              </w:rPr>
              <w:t>5</w:t>
            </w:r>
            <w:r w:rsidRPr="0035484B" w:rsidR="009522AC">
              <w:rPr>
                <w:sz w:val="22"/>
                <w:szCs w:val="22"/>
              </w:rPr>
              <w:t>.16 accounting for fringe benefits and overhead)</w:t>
            </w:r>
          </w:p>
        </w:tc>
        <w:tc>
          <w:tcPr>
            <w:tcW w:w="1418" w:type="dxa"/>
            <w:tcBorders>
              <w:top w:val="single" w:color="auto" w:sz="4" w:space="0"/>
              <w:left w:val="nil"/>
              <w:bottom w:val="single" w:color="auto" w:sz="12" w:space="0"/>
              <w:right w:val="nil"/>
            </w:tcBorders>
            <w:shd w:val="clear" w:color="auto" w:fill="auto"/>
            <w:noWrap/>
          </w:tcPr>
          <w:p w:rsidRPr="0035484B" w:rsidR="002E5438" w:rsidP="00BC6EFB" w:rsidRDefault="00531A7E" w14:paraId="52E6AAF3" w14:textId="3827DE42">
            <w:pPr>
              <w:keepNext/>
              <w:spacing w:before="80" w:after="80"/>
              <w:jc w:val="center"/>
              <w:rPr>
                <w:sz w:val="22"/>
              </w:rPr>
            </w:pPr>
            <w:r w:rsidRPr="0035484B">
              <w:rPr>
                <w:sz w:val="22"/>
                <w:szCs w:val="22"/>
              </w:rPr>
              <w:t>$</w:t>
            </w:r>
            <w:r w:rsidR="00BC6EFB">
              <w:rPr>
                <w:sz w:val="22"/>
                <w:szCs w:val="22"/>
              </w:rPr>
              <w:t>89,921</w:t>
            </w:r>
          </w:p>
        </w:tc>
      </w:tr>
    </w:tbl>
    <w:p w:rsidRPr="0035484B" w:rsidR="0055363C" w:rsidP="0055363C" w:rsidRDefault="0055363C" w14:paraId="06952897" w14:textId="77777777">
      <w:pPr>
        <w:pStyle w:val="exhibitsource"/>
        <w:spacing w:after="0" w:line="480" w:lineRule="auto"/>
      </w:pPr>
    </w:p>
    <w:p w:rsidRPr="0035484B" w:rsidR="00495ADF" w:rsidP="00F66166" w:rsidRDefault="00495ADF" w14:paraId="2342D1D8" w14:textId="77777777">
      <w:pPr>
        <w:pStyle w:val="Heading2"/>
      </w:pPr>
      <w:bookmarkStart w:name="_Toc457313790" w:id="41"/>
      <w:r w:rsidRPr="0035484B">
        <w:lastRenderedPageBreak/>
        <w:t>A.13</w:t>
      </w:r>
      <w:r w:rsidRPr="0035484B">
        <w:tab/>
      </w:r>
      <w:bookmarkEnd w:id="31"/>
      <w:r w:rsidRPr="0035484B">
        <w:t>Estimates of Other Total Annual Cost Burden to Respondents or Record</w:t>
      </w:r>
      <w:r w:rsidRPr="0035484B" w:rsidR="00512700">
        <w:t xml:space="preserve"> K</w:t>
      </w:r>
      <w:r w:rsidRPr="0035484B">
        <w:t>eepers</w:t>
      </w:r>
      <w:bookmarkEnd w:id="41"/>
    </w:p>
    <w:p w:rsidRPr="005B7B6C" w:rsidR="005B7B6C" w:rsidP="005B7B6C" w:rsidRDefault="00160F7E" w14:paraId="107AFDA6" w14:textId="35BC1E31">
      <w:pPr>
        <w:pStyle w:val="NormalWeb"/>
        <w:spacing w:after="120" w:afterAutospacing="0" w:line="360" w:lineRule="auto"/>
        <w:rPr>
          <w:rFonts w:ascii="Times New Roman" w:hAnsi="Times New Roman" w:eastAsia="Batang" w:cs="Times New Roman"/>
          <w:color w:val="auto"/>
          <w:szCs w:val="20"/>
        </w:rPr>
      </w:pPr>
      <w:r w:rsidRPr="005B7B6C">
        <w:rPr>
          <w:rFonts w:ascii="Times New Roman" w:hAnsi="Times New Roman" w:eastAsia="Batang" w:cs="Times New Roman"/>
          <w:color w:val="auto"/>
          <w:szCs w:val="20"/>
        </w:rPr>
        <w:t>HRSA</w:t>
      </w:r>
      <w:r w:rsidR="008B5C4D">
        <w:rPr>
          <w:rFonts w:ascii="Times New Roman" w:hAnsi="Times New Roman" w:eastAsia="Batang" w:cs="Times New Roman"/>
          <w:color w:val="auto"/>
          <w:szCs w:val="20"/>
        </w:rPr>
        <w:t xml:space="preserve">’s </w:t>
      </w:r>
      <w:r w:rsidRPr="005B7B6C" w:rsidR="006316CD">
        <w:rPr>
          <w:rFonts w:ascii="Times New Roman" w:hAnsi="Times New Roman" w:eastAsia="Batang" w:cs="Times New Roman"/>
          <w:color w:val="auto"/>
          <w:szCs w:val="20"/>
        </w:rPr>
        <w:t>FY</w:t>
      </w:r>
      <w:r w:rsidR="008B5C4D">
        <w:rPr>
          <w:rFonts w:ascii="Times New Roman" w:hAnsi="Times New Roman" w:eastAsia="Batang" w:cs="Times New Roman"/>
          <w:color w:val="auto"/>
          <w:szCs w:val="20"/>
        </w:rPr>
        <w:t xml:space="preserve"> </w:t>
      </w:r>
      <w:r w:rsidRPr="005B7B6C" w:rsidR="006316CD">
        <w:rPr>
          <w:rFonts w:ascii="Times New Roman" w:hAnsi="Times New Roman" w:eastAsia="Batang" w:cs="Times New Roman"/>
          <w:color w:val="auto"/>
          <w:szCs w:val="20"/>
        </w:rPr>
        <w:t>2021 MIECHV Formula NOFO include</w:t>
      </w:r>
      <w:r w:rsidR="008B5C4D">
        <w:rPr>
          <w:rFonts w:ascii="Times New Roman" w:hAnsi="Times New Roman" w:eastAsia="Batang" w:cs="Times New Roman"/>
          <w:color w:val="auto"/>
          <w:szCs w:val="20"/>
        </w:rPr>
        <w:t>s</w:t>
      </w:r>
      <w:r w:rsidRPr="005B7B6C" w:rsidR="006316CD">
        <w:rPr>
          <w:rFonts w:ascii="Times New Roman" w:hAnsi="Times New Roman" w:eastAsia="Batang" w:cs="Times New Roman"/>
          <w:color w:val="auto"/>
          <w:szCs w:val="20"/>
        </w:rPr>
        <w:t xml:space="preserve"> guidance on PFO budget authority. Up to 25% of the MIECHV award may be allocated for outcome payments related to a PFO Initiative; the 25% PFO </w:t>
      </w:r>
      <w:r w:rsidRPr="005B7B6C" w:rsidR="005B50F4">
        <w:rPr>
          <w:rFonts w:ascii="Times New Roman" w:hAnsi="Times New Roman" w:eastAsia="Batang" w:cs="Times New Roman"/>
          <w:color w:val="auto"/>
          <w:szCs w:val="20"/>
        </w:rPr>
        <w:t xml:space="preserve">outcome payment </w:t>
      </w:r>
      <w:r w:rsidRPr="005B7B6C" w:rsidR="006316CD">
        <w:rPr>
          <w:rFonts w:ascii="Times New Roman" w:hAnsi="Times New Roman" w:eastAsia="Batang" w:cs="Times New Roman"/>
          <w:color w:val="auto"/>
          <w:szCs w:val="20"/>
        </w:rPr>
        <w:t xml:space="preserve">limit does not apply to funds allocated to support other aspects of a PFO Initiative which may exceed the 25% limit. </w:t>
      </w:r>
    </w:p>
    <w:p w:rsidRPr="005B7B6C" w:rsidR="005B50F4" w:rsidP="005B7B6C" w:rsidRDefault="006316CD" w14:paraId="0482C8A0" w14:textId="55BC4C9C">
      <w:pPr>
        <w:pStyle w:val="NormalWeb"/>
        <w:spacing w:after="120" w:afterAutospacing="0" w:line="360" w:lineRule="auto"/>
        <w:rPr>
          <w:rFonts w:ascii="Times New Roman" w:hAnsi="Times New Roman" w:eastAsia="Batang" w:cs="Times New Roman"/>
          <w:color w:val="auto"/>
          <w:szCs w:val="20"/>
        </w:rPr>
      </w:pPr>
      <w:r w:rsidRPr="005B7B6C">
        <w:rPr>
          <w:rFonts w:ascii="Times New Roman" w:hAnsi="Times New Roman" w:eastAsia="Batang" w:cs="Times New Roman"/>
          <w:color w:val="auto"/>
          <w:szCs w:val="20"/>
        </w:rPr>
        <w:t>Awardees may use MIECHV funds to support the development, implementation</w:t>
      </w:r>
      <w:r w:rsidRPr="005B7B6C" w:rsidR="005B7B6C">
        <w:rPr>
          <w:rFonts w:ascii="Times New Roman" w:hAnsi="Times New Roman" w:eastAsia="Batang" w:cs="Times New Roman"/>
          <w:color w:val="auto"/>
          <w:szCs w:val="20"/>
        </w:rPr>
        <w:t>, and evaluation of the PFO i</w:t>
      </w:r>
      <w:r w:rsidRPr="005B7B6C">
        <w:rPr>
          <w:rFonts w:ascii="Times New Roman" w:hAnsi="Times New Roman" w:eastAsia="Batang" w:cs="Times New Roman"/>
          <w:color w:val="auto"/>
          <w:szCs w:val="20"/>
        </w:rPr>
        <w:t xml:space="preserve">nitiative as long as funding for the PFO Initiative does not result in a reduction of funding for services. </w:t>
      </w:r>
      <w:r w:rsidRPr="005B7B6C" w:rsidR="005B50F4">
        <w:rPr>
          <w:rFonts w:ascii="Times New Roman" w:hAnsi="Times New Roman" w:eastAsia="Batang" w:cs="Times New Roman"/>
          <w:color w:val="auto"/>
          <w:szCs w:val="20"/>
        </w:rPr>
        <w:t xml:space="preserve">In addition, MIECHV funds budgeted for a PFO initiative are subject to the standard MIECHV 10% statutory limit on use of funds for administrative expenditures. The 10% administrative expenditure cap applies to the total MIECHV Formula Award, including typical MIECHV program administration and any costs associated with PFO administration. Activity costs associated with a PFO initiative that would typically be subject to the 10% administrative cap (such as reporting costs, subrecipient monitoring expenses, etc.) are subject to the 10% cap. Costs for PFO Initiative activities typically subject to the 25% recipient-level infrastructure limit (such as professional development and training for recipient-level staff, model affiliation and accreditation fees, technical assistance provided by the recipient to the local implementing agencies, etc.) are also subject to the 25% recipient -level infrastructure limit. </w:t>
      </w:r>
    </w:p>
    <w:p w:rsidR="006316CD" w:rsidP="00E427A6" w:rsidRDefault="006316CD" w14:paraId="47AC38BF" w14:textId="38C9CA93">
      <w:pPr>
        <w:pStyle w:val="BodyText1"/>
        <w:rPr>
          <w:rFonts w:eastAsia="Batang"/>
        </w:rPr>
      </w:pPr>
      <w:r>
        <w:rPr>
          <w:rFonts w:eastAsia="Batang"/>
        </w:rPr>
        <w:lastRenderedPageBreak/>
        <w:t>Funds made available for a PFO Initiative within a fiscal year remain available for expenditure for up to 10 years after the funds are made available</w:t>
      </w:r>
      <w:r w:rsidR="00C16A03">
        <w:rPr>
          <w:rFonts w:eastAsia="Batang"/>
        </w:rPr>
        <w:t>.</w:t>
      </w:r>
    </w:p>
    <w:p w:rsidRPr="00457EF5" w:rsidR="00495ADF" w:rsidP="00D358C3" w:rsidRDefault="00495ADF" w14:paraId="1FE763EC" w14:textId="77777777">
      <w:pPr>
        <w:pStyle w:val="Heading2"/>
      </w:pPr>
      <w:bookmarkStart w:name="_Toc88033480" w:id="42"/>
      <w:bookmarkStart w:name="_Toc457313791" w:id="43"/>
      <w:r w:rsidRPr="0035484B">
        <w:t>A.14</w:t>
      </w:r>
      <w:r w:rsidRPr="0035484B">
        <w:tab/>
      </w:r>
      <w:bookmarkEnd w:id="42"/>
      <w:r w:rsidRPr="004533EC">
        <w:t>Annualized Cost to the Federal Government</w:t>
      </w:r>
      <w:bookmarkEnd w:id="43"/>
    </w:p>
    <w:p w:rsidRPr="004533EC" w:rsidR="00996D51" w:rsidP="004328EE" w:rsidRDefault="004328EE" w14:paraId="3935F2ED" w14:textId="025B978C">
      <w:pPr>
        <w:pStyle w:val="BodyText1"/>
        <w:spacing w:after="0"/>
      </w:pPr>
      <w:r w:rsidRPr="004533EC">
        <w:rPr>
          <w:b/>
          <w:i/>
        </w:rPr>
        <w:t>Exhibit A.14-1</w:t>
      </w:r>
      <w:r w:rsidRPr="004533EC">
        <w:t xml:space="preserve"> presents the types of costs to the government that will be incurred, which f</w:t>
      </w:r>
      <w:r w:rsidRPr="004533EC" w:rsidR="00740288">
        <w:t>all into the following categories:</w:t>
      </w:r>
    </w:p>
    <w:p w:rsidRPr="004533EC" w:rsidR="00740288" w:rsidP="00996D51" w:rsidRDefault="00740288" w14:paraId="436CCD2E" w14:textId="0ED18CB6">
      <w:pPr>
        <w:pStyle w:val="BodyText1"/>
        <w:numPr>
          <w:ilvl w:val="0"/>
          <w:numId w:val="30"/>
        </w:numPr>
        <w:spacing w:after="0" w:line="240" w:lineRule="auto"/>
      </w:pPr>
      <w:r w:rsidRPr="004533EC">
        <w:t>Cost of federal staff time for project oversight and development</w:t>
      </w:r>
    </w:p>
    <w:p w:rsidRPr="004533EC" w:rsidR="00740288" w:rsidP="00996D51" w:rsidRDefault="00740288" w14:paraId="400824D1" w14:textId="0FBCD3A2">
      <w:pPr>
        <w:pStyle w:val="BodyText1"/>
        <w:numPr>
          <w:ilvl w:val="0"/>
          <w:numId w:val="30"/>
        </w:numPr>
        <w:spacing w:after="0" w:line="240" w:lineRule="auto"/>
      </w:pPr>
      <w:r w:rsidRPr="004533EC">
        <w:t xml:space="preserve">Cost of federal staff time for technical assistance and review and approval of </w:t>
      </w:r>
      <w:r w:rsidRPr="004533EC" w:rsidR="006B5E53">
        <w:t>PFO SIR Response</w:t>
      </w:r>
    </w:p>
    <w:p w:rsidRPr="004533EC" w:rsidR="00740288" w:rsidP="00996D51" w:rsidRDefault="00740288" w14:paraId="13794E3B" w14:textId="242325E5">
      <w:pPr>
        <w:pStyle w:val="BodyText1"/>
        <w:numPr>
          <w:ilvl w:val="0"/>
          <w:numId w:val="30"/>
        </w:numPr>
        <w:spacing w:after="0" w:line="240" w:lineRule="auto"/>
      </w:pPr>
      <w:r w:rsidRPr="004533EC">
        <w:t xml:space="preserve">Cost of </w:t>
      </w:r>
      <w:r w:rsidRPr="004533EC" w:rsidR="003A1D9B">
        <w:t xml:space="preserve">federal and </w:t>
      </w:r>
      <w:r w:rsidRPr="004533EC">
        <w:t xml:space="preserve">contractual support for </w:t>
      </w:r>
      <w:r w:rsidRPr="004533EC" w:rsidR="004C3E92">
        <w:t>subject matter expert review</w:t>
      </w:r>
      <w:r w:rsidRPr="004533EC">
        <w:t xml:space="preserve"> and analysis</w:t>
      </w:r>
    </w:p>
    <w:p w:rsidRPr="004533EC" w:rsidR="002A41A6" w:rsidP="00913340" w:rsidRDefault="002A41A6" w14:paraId="5A7E4148" w14:textId="172238B2">
      <w:pPr>
        <w:pStyle w:val="BodyText1"/>
        <w:spacing w:after="0" w:line="240" w:lineRule="auto"/>
      </w:pPr>
    </w:p>
    <w:p w:rsidRPr="0035484B" w:rsidR="00913340" w:rsidP="00ED6A9A" w:rsidRDefault="004328EE" w14:paraId="0E7E1077" w14:textId="72D444BE">
      <w:pPr>
        <w:pStyle w:val="Heading3NoTOC"/>
        <w:rPr>
          <w:i w:val="0"/>
        </w:rPr>
      </w:pPr>
      <w:r w:rsidRPr="004533EC">
        <w:rPr>
          <w:i w:val="0"/>
        </w:rPr>
        <w:t>Exhibit A.14-1.</w:t>
      </w:r>
      <w:r w:rsidRPr="004533EC">
        <w:rPr>
          <w:i w:val="0"/>
        </w:rPr>
        <w:tab/>
        <w:t>Estimated Cost to the Federal Government</w:t>
      </w:r>
    </w:p>
    <w:tbl>
      <w:tblPr>
        <w:tblStyle w:val="TableGridLight"/>
        <w:tblW w:w="9445" w:type="dxa"/>
        <w:tblLook w:val="04A0" w:firstRow="1" w:lastRow="0" w:firstColumn="1" w:lastColumn="0" w:noHBand="0" w:noVBand="1"/>
      </w:tblPr>
      <w:tblGrid>
        <w:gridCol w:w="3858"/>
        <w:gridCol w:w="3946"/>
        <w:gridCol w:w="1641"/>
      </w:tblGrid>
      <w:tr w:rsidRPr="0035484B" w:rsidR="00913340" w:rsidTr="0038715D" w14:paraId="3608C760" w14:textId="77777777">
        <w:tc>
          <w:tcPr>
            <w:tcW w:w="3858" w:type="dxa"/>
          </w:tcPr>
          <w:p w:rsidRPr="0035484B" w:rsidR="00913340" w:rsidP="00BB22BA" w:rsidRDefault="00913340" w14:paraId="6430310D" w14:textId="6B52331B">
            <w:pPr>
              <w:pStyle w:val="BodyText1"/>
              <w:spacing w:after="0"/>
              <w:ind w:firstLine="0"/>
              <w:jc w:val="center"/>
              <w:rPr>
                <w:b/>
              </w:rPr>
            </w:pPr>
            <w:r w:rsidRPr="0035484B">
              <w:rPr>
                <w:b/>
              </w:rPr>
              <w:t>Type of Cost</w:t>
            </w:r>
          </w:p>
        </w:tc>
        <w:tc>
          <w:tcPr>
            <w:tcW w:w="3946" w:type="dxa"/>
          </w:tcPr>
          <w:p w:rsidRPr="0035484B" w:rsidR="00913340" w:rsidP="00BB22BA" w:rsidRDefault="00913340" w14:paraId="27D69944" w14:textId="4B7F8274">
            <w:pPr>
              <w:pStyle w:val="BodyText1"/>
              <w:spacing w:after="0"/>
              <w:ind w:firstLine="0"/>
              <w:jc w:val="center"/>
              <w:rPr>
                <w:b/>
              </w:rPr>
            </w:pPr>
            <w:r w:rsidRPr="0035484B">
              <w:rPr>
                <w:b/>
              </w:rPr>
              <w:t>Description of Services</w:t>
            </w:r>
          </w:p>
        </w:tc>
        <w:tc>
          <w:tcPr>
            <w:tcW w:w="1641" w:type="dxa"/>
          </w:tcPr>
          <w:p w:rsidRPr="0035484B" w:rsidR="00913340" w:rsidP="00BB22BA" w:rsidRDefault="00913340" w14:paraId="6EC27B80" w14:textId="5D5FA5D8">
            <w:pPr>
              <w:pStyle w:val="BodyText1"/>
              <w:spacing w:after="0"/>
              <w:ind w:firstLine="0"/>
              <w:jc w:val="center"/>
              <w:rPr>
                <w:b/>
              </w:rPr>
            </w:pPr>
            <w:r w:rsidRPr="0035484B">
              <w:rPr>
                <w:b/>
              </w:rPr>
              <w:t>Annual Cost</w:t>
            </w:r>
          </w:p>
        </w:tc>
      </w:tr>
      <w:tr w:rsidRPr="0035484B" w:rsidR="00913340" w:rsidTr="0038715D" w14:paraId="0B5656E6" w14:textId="77777777">
        <w:tc>
          <w:tcPr>
            <w:tcW w:w="3858" w:type="dxa"/>
          </w:tcPr>
          <w:p w:rsidRPr="0035484B" w:rsidR="00913340" w:rsidP="005B6DA4" w:rsidRDefault="007C7634" w14:paraId="09D57AAE" w14:textId="2A00D702">
            <w:pPr>
              <w:pStyle w:val="BodyText1"/>
              <w:spacing w:after="0"/>
              <w:ind w:firstLine="0"/>
            </w:pPr>
            <w:r w:rsidRPr="0035484B">
              <w:t xml:space="preserve">Government </w:t>
            </w:r>
            <w:r w:rsidR="005B6DA4">
              <w:t>Public Health Advisor</w:t>
            </w:r>
            <w:r w:rsidRPr="0035484B">
              <w:t xml:space="preserve"> (</w:t>
            </w:r>
            <w:r w:rsidR="005B6DA4">
              <w:t>30</w:t>
            </w:r>
            <w:r w:rsidRPr="0035484B">
              <w:t>%)</w:t>
            </w:r>
          </w:p>
        </w:tc>
        <w:tc>
          <w:tcPr>
            <w:tcW w:w="3946" w:type="dxa"/>
          </w:tcPr>
          <w:p w:rsidRPr="0035484B" w:rsidR="00913340" w:rsidP="00740288" w:rsidRDefault="007C7634" w14:paraId="5DD01FA7" w14:textId="79D19AC7">
            <w:pPr>
              <w:pStyle w:val="BodyText1"/>
              <w:spacing w:after="0"/>
              <w:ind w:firstLine="0"/>
            </w:pPr>
            <w:r w:rsidRPr="0035484B">
              <w:t>Project management and oversight, consultation, and development</w:t>
            </w:r>
            <w:r w:rsidR="005B6DA4">
              <w:t xml:space="preserve"> of data collection tools</w:t>
            </w:r>
          </w:p>
        </w:tc>
        <w:tc>
          <w:tcPr>
            <w:tcW w:w="1641" w:type="dxa"/>
          </w:tcPr>
          <w:p w:rsidRPr="0035484B" w:rsidR="00913340" w:rsidP="009751CD" w:rsidRDefault="007C7634" w14:paraId="145B3D96" w14:textId="3E24CC0E">
            <w:pPr>
              <w:pStyle w:val="BodyText1"/>
              <w:spacing w:after="0"/>
              <w:ind w:firstLine="0"/>
              <w:jc w:val="right"/>
            </w:pPr>
            <w:r w:rsidRPr="0035484B">
              <w:t>$</w:t>
            </w:r>
            <w:r w:rsidR="005B6DA4">
              <w:t>3</w:t>
            </w:r>
            <w:r w:rsidR="009751CD">
              <w:t>9</w:t>
            </w:r>
            <w:r w:rsidR="005B6DA4">
              <w:t>,</w:t>
            </w:r>
            <w:r w:rsidR="009751CD">
              <w:t>200</w:t>
            </w:r>
          </w:p>
        </w:tc>
      </w:tr>
      <w:tr w:rsidRPr="0035484B" w:rsidR="005B6DA4" w:rsidTr="0038715D" w14:paraId="332E3FCC" w14:textId="77777777">
        <w:tc>
          <w:tcPr>
            <w:tcW w:w="3858" w:type="dxa"/>
          </w:tcPr>
          <w:p w:rsidRPr="0035484B" w:rsidR="005B6DA4" w:rsidP="00740288" w:rsidRDefault="005B6DA4" w14:paraId="0A5059E6" w14:textId="1C1F759F">
            <w:pPr>
              <w:pStyle w:val="BodyText1"/>
              <w:spacing w:after="0"/>
              <w:ind w:firstLine="0"/>
            </w:pPr>
            <w:r w:rsidRPr="0035484B">
              <w:t>Government Project Officers (10%)</w:t>
            </w:r>
          </w:p>
        </w:tc>
        <w:tc>
          <w:tcPr>
            <w:tcW w:w="3946" w:type="dxa"/>
          </w:tcPr>
          <w:p w:rsidRPr="0035484B" w:rsidR="005B6DA4" w:rsidP="00740288" w:rsidRDefault="005B6DA4" w14:paraId="479583B4" w14:textId="60F64596">
            <w:pPr>
              <w:pStyle w:val="BodyText1"/>
              <w:spacing w:after="0"/>
              <w:ind w:firstLine="0"/>
            </w:pPr>
            <w:r>
              <w:t>2</w:t>
            </w:r>
            <w:r w:rsidRPr="0035484B">
              <w:t xml:space="preserve"> regional project officers to provide TA to awardees and review and approve </w:t>
            </w:r>
            <w:r>
              <w:t>PFO SIR Response submissions</w:t>
            </w:r>
          </w:p>
        </w:tc>
        <w:tc>
          <w:tcPr>
            <w:tcW w:w="1641" w:type="dxa"/>
          </w:tcPr>
          <w:p w:rsidRPr="0035484B" w:rsidR="005B6DA4" w:rsidP="009751CD" w:rsidRDefault="005B6DA4" w14:paraId="4DEA5E3E" w14:textId="1C8E758B">
            <w:pPr>
              <w:pStyle w:val="BodyText1"/>
              <w:spacing w:after="0"/>
              <w:ind w:firstLine="0"/>
              <w:jc w:val="right"/>
            </w:pPr>
            <w:r w:rsidRPr="0035484B">
              <w:t>$</w:t>
            </w:r>
            <w:r w:rsidR="00835D1D">
              <w:t>23,</w:t>
            </w:r>
            <w:r w:rsidR="009751CD">
              <w:t>425</w:t>
            </w:r>
          </w:p>
        </w:tc>
      </w:tr>
      <w:tr w:rsidRPr="0035484B" w:rsidR="005B6DA4" w:rsidTr="0038715D" w14:paraId="1493D099" w14:textId="77777777">
        <w:tc>
          <w:tcPr>
            <w:tcW w:w="3858" w:type="dxa"/>
          </w:tcPr>
          <w:p w:rsidRPr="0035484B" w:rsidR="005B6DA4" w:rsidP="007126D6" w:rsidRDefault="005B6DA4" w14:paraId="3F4B4727" w14:textId="77777777">
            <w:pPr>
              <w:pStyle w:val="BodyText1"/>
              <w:spacing w:after="0"/>
              <w:ind w:firstLine="0"/>
            </w:pPr>
          </w:p>
          <w:p w:rsidRPr="0035484B" w:rsidR="005B6DA4" w:rsidP="00835D1D" w:rsidRDefault="005B6DA4" w14:paraId="105255B2" w14:textId="563FC7F5">
            <w:pPr>
              <w:pStyle w:val="BodyText1"/>
              <w:spacing w:after="0"/>
              <w:ind w:firstLine="0"/>
            </w:pPr>
            <w:r w:rsidRPr="0035484B">
              <w:t>G</w:t>
            </w:r>
            <w:r w:rsidR="00CD0B7E">
              <w:t>overnment contracted support (80</w:t>
            </w:r>
            <w:r w:rsidRPr="0035484B">
              <w:t xml:space="preserve">%) </w:t>
            </w:r>
          </w:p>
        </w:tc>
        <w:tc>
          <w:tcPr>
            <w:tcW w:w="3946" w:type="dxa"/>
          </w:tcPr>
          <w:p w:rsidRPr="0035484B" w:rsidR="005B6DA4" w:rsidP="007126D6" w:rsidRDefault="005B6DA4" w14:paraId="55FCFB14" w14:textId="77777777">
            <w:pPr>
              <w:pStyle w:val="BodyText1"/>
              <w:spacing w:after="0"/>
              <w:ind w:firstLine="0"/>
            </w:pPr>
          </w:p>
          <w:p w:rsidRPr="0035484B" w:rsidR="005B6DA4" w:rsidP="00062AB5" w:rsidRDefault="005B6DA4" w14:paraId="41AE464F" w14:textId="13430EA4">
            <w:pPr>
              <w:pStyle w:val="BodyText1"/>
              <w:spacing w:after="0"/>
              <w:ind w:firstLine="0"/>
            </w:pPr>
            <w:r>
              <w:t>Support development of</w:t>
            </w:r>
            <w:r w:rsidRPr="0035484B">
              <w:t xml:space="preserve"> data collection tools, provide TA and technical support to awardees to report requested information, </w:t>
            </w:r>
            <w:r>
              <w:t>review</w:t>
            </w:r>
            <w:r w:rsidRPr="0035484B">
              <w:t xml:space="preserve"> and analysis</w:t>
            </w:r>
          </w:p>
        </w:tc>
        <w:tc>
          <w:tcPr>
            <w:tcW w:w="1641" w:type="dxa"/>
          </w:tcPr>
          <w:p w:rsidRPr="0035484B" w:rsidR="005B6DA4" w:rsidP="00B1510B" w:rsidRDefault="005B6DA4" w14:paraId="3A6A829E" w14:textId="77777777">
            <w:pPr>
              <w:pStyle w:val="BodyText1"/>
              <w:spacing w:after="0"/>
              <w:ind w:firstLine="0"/>
              <w:jc w:val="right"/>
            </w:pPr>
          </w:p>
          <w:p w:rsidRPr="0035484B" w:rsidR="005B6DA4" w:rsidP="00DC4E28" w:rsidRDefault="000D3133" w14:paraId="55CC2AD3" w14:textId="38DD92A6">
            <w:pPr>
              <w:pStyle w:val="BodyText1"/>
              <w:spacing w:after="0"/>
              <w:ind w:firstLine="0"/>
              <w:jc w:val="right"/>
            </w:pPr>
            <w:r>
              <w:t>$20,983</w:t>
            </w:r>
          </w:p>
        </w:tc>
      </w:tr>
      <w:tr w:rsidRPr="0035484B" w:rsidR="005B6DA4" w:rsidTr="0038715D" w14:paraId="42A60086" w14:textId="77777777">
        <w:tc>
          <w:tcPr>
            <w:tcW w:w="3858" w:type="dxa"/>
          </w:tcPr>
          <w:p w:rsidRPr="0035484B" w:rsidR="005B6DA4" w:rsidP="007126D6" w:rsidRDefault="005B6DA4" w14:paraId="6F596DF4" w14:textId="62BC5E92">
            <w:pPr>
              <w:pStyle w:val="BodyText1"/>
              <w:spacing w:after="0"/>
              <w:ind w:firstLine="0"/>
            </w:pPr>
            <w:r w:rsidRPr="0035484B">
              <w:rPr>
                <w:b/>
              </w:rPr>
              <w:t>Total Estimated Annual Cost</w:t>
            </w:r>
          </w:p>
        </w:tc>
        <w:tc>
          <w:tcPr>
            <w:tcW w:w="3946" w:type="dxa"/>
          </w:tcPr>
          <w:p w:rsidRPr="0035484B" w:rsidR="005B6DA4" w:rsidP="002F57A2" w:rsidRDefault="005B6DA4" w14:paraId="54DC238C" w14:textId="67C229DD">
            <w:pPr>
              <w:pStyle w:val="BodyText1"/>
              <w:spacing w:after="0"/>
              <w:ind w:firstLine="0"/>
            </w:pPr>
          </w:p>
        </w:tc>
        <w:tc>
          <w:tcPr>
            <w:tcW w:w="1641" w:type="dxa"/>
          </w:tcPr>
          <w:p w:rsidRPr="0035484B" w:rsidR="005B6DA4" w:rsidP="000D3133" w:rsidRDefault="005B6DA4" w14:paraId="1C4CA015" w14:textId="702F47A4">
            <w:pPr>
              <w:pStyle w:val="BodyText1"/>
              <w:spacing w:after="0"/>
              <w:ind w:firstLine="0"/>
              <w:jc w:val="right"/>
            </w:pPr>
            <w:r w:rsidRPr="0035484B">
              <w:rPr>
                <w:b/>
              </w:rPr>
              <w:t>$</w:t>
            </w:r>
            <w:r w:rsidR="00CD0B7E">
              <w:rPr>
                <w:b/>
              </w:rPr>
              <w:t>8</w:t>
            </w:r>
            <w:r w:rsidR="000D3133">
              <w:rPr>
                <w:b/>
              </w:rPr>
              <w:t>3</w:t>
            </w:r>
            <w:r w:rsidR="00CD0B7E">
              <w:rPr>
                <w:b/>
              </w:rPr>
              <w:t>,</w:t>
            </w:r>
            <w:r w:rsidR="000D3133">
              <w:rPr>
                <w:b/>
              </w:rPr>
              <w:t>608</w:t>
            </w:r>
            <w:r w:rsidRPr="0035484B" w:rsidR="009751CD">
              <w:rPr>
                <w:b/>
              </w:rPr>
              <w:t xml:space="preserve"> </w:t>
            </w:r>
          </w:p>
        </w:tc>
      </w:tr>
      <w:tr w:rsidRPr="0035484B" w:rsidR="005B6DA4" w:rsidTr="0038715D" w14:paraId="2F282C07" w14:textId="77777777">
        <w:trPr>
          <w:trHeight w:val="755"/>
        </w:trPr>
        <w:tc>
          <w:tcPr>
            <w:tcW w:w="3858" w:type="dxa"/>
          </w:tcPr>
          <w:p w:rsidRPr="0035484B" w:rsidR="005B6DA4" w:rsidP="00B1510B" w:rsidRDefault="005B6DA4" w14:paraId="148F3D0E" w14:textId="4243099A">
            <w:pPr>
              <w:pStyle w:val="BodyText1"/>
              <w:spacing w:after="0"/>
              <w:ind w:firstLine="0"/>
              <w:rPr>
                <w:b/>
              </w:rPr>
            </w:pPr>
          </w:p>
        </w:tc>
        <w:tc>
          <w:tcPr>
            <w:tcW w:w="3946" w:type="dxa"/>
          </w:tcPr>
          <w:p w:rsidRPr="0035484B" w:rsidR="005B6DA4" w:rsidP="00B1510B" w:rsidRDefault="005B6DA4" w14:paraId="56260C1D" w14:textId="77777777">
            <w:pPr>
              <w:pStyle w:val="BodyText1"/>
              <w:spacing w:after="0"/>
              <w:ind w:firstLine="0"/>
              <w:rPr>
                <w:b/>
              </w:rPr>
            </w:pPr>
          </w:p>
        </w:tc>
        <w:tc>
          <w:tcPr>
            <w:tcW w:w="1641" w:type="dxa"/>
          </w:tcPr>
          <w:p w:rsidRPr="0035484B" w:rsidR="005B6DA4" w:rsidP="003A1D9B" w:rsidRDefault="005B6DA4" w14:paraId="0CABA010" w14:textId="55E23A69">
            <w:pPr>
              <w:pStyle w:val="BodyText1"/>
              <w:spacing w:after="0"/>
              <w:ind w:firstLine="0"/>
              <w:jc w:val="right"/>
              <w:rPr>
                <w:b/>
              </w:rPr>
            </w:pPr>
          </w:p>
        </w:tc>
      </w:tr>
    </w:tbl>
    <w:p w:rsidRPr="0035484B" w:rsidR="00740288" w:rsidP="00740288" w:rsidRDefault="00740288" w14:paraId="2FBADAEB" w14:textId="77777777">
      <w:pPr>
        <w:pStyle w:val="BodyText1"/>
        <w:spacing w:after="0"/>
      </w:pPr>
      <w:r w:rsidRPr="0035484B">
        <w:lastRenderedPageBreak/>
        <w:t> </w:t>
      </w:r>
    </w:p>
    <w:p w:rsidRPr="004533EC" w:rsidR="00740288" w:rsidP="00740288" w:rsidRDefault="00740288" w14:paraId="2D12E510" w14:textId="5354DBBD">
      <w:pPr>
        <w:pStyle w:val="BodyText1"/>
        <w:spacing w:after="0"/>
      </w:pPr>
      <w:r w:rsidRPr="0035484B">
        <w:t> </w:t>
      </w:r>
      <w:r w:rsidRPr="004533EC">
        <w:t xml:space="preserve">HRSA estimates the average annual cost for the federal government will include personnel costs for project and contract oversight, instrument design, and analysis.  This will include federal </w:t>
      </w:r>
      <w:r w:rsidRPr="004533EC" w:rsidR="005B6DA4">
        <w:t>public health advisor</w:t>
      </w:r>
      <w:r w:rsidRPr="004533EC">
        <w:t xml:space="preserve"> at Grade 1</w:t>
      </w:r>
      <w:r w:rsidRPr="004533EC" w:rsidR="005B6DA4">
        <w:t>4</w:t>
      </w:r>
      <w:r w:rsidRPr="004533EC">
        <w:t xml:space="preserve"> Step </w:t>
      </w:r>
      <w:r w:rsidRPr="004533EC" w:rsidR="009751CD">
        <w:t>3</w:t>
      </w:r>
      <w:r w:rsidRPr="004533EC">
        <w:t xml:space="preserve"> </w:t>
      </w:r>
      <w:r w:rsidRPr="004533EC" w:rsidR="007126D6">
        <w:t>($</w:t>
      </w:r>
      <w:r w:rsidRPr="00C00ED5" w:rsidR="009751CD">
        <w:t xml:space="preserve">62.62 </w:t>
      </w:r>
      <w:r w:rsidRPr="004533EC">
        <w:t>hourly rate)</w:t>
      </w:r>
      <w:r w:rsidRPr="004533EC" w:rsidR="00522897">
        <w:t xml:space="preserve"> (Office of </w:t>
      </w:r>
      <w:r w:rsidRPr="004533EC" w:rsidR="002177D0">
        <w:t>Personnel</w:t>
      </w:r>
      <w:r w:rsidRPr="004533EC" w:rsidR="00522897">
        <w:t xml:space="preserve"> Management, 20</w:t>
      </w:r>
      <w:r w:rsidRPr="004533EC" w:rsidR="005B6DA4">
        <w:t>2</w:t>
      </w:r>
      <w:r w:rsidRPr="004533EC" w:rsidR="009751CD">
        <w:t>1</w:t>
      </w:r>
      <w:r w:rsidRPr="004533EC" w:rsidR="00522897">
        <w:t>)</w:t>
      </w:r>
      <w:r w:rsidRPr="004533EC">
        <w:t xml:space="preserve"> for </w:t>
      </w:r>
      <w:r w:rsidRPr="004533EC" w:rsidR="005B6DA4">
        <w:t xml:space="preserve">626 </w:t>
      </w:r>
      <w:r w:rsidRPr="004533EC">
        <w:t>hours.</w:t>
      </w:r>
    </w:p>
    <w:p w:rsidRPr="004533EC" w:rsidR="00942496" w:rsidP="00740288" w:rsidRDefault="00740288" w14:paraId="18ADB879" w14:textId="1E86FA45">
      <w:pPr>
        <w:pStyle w:val="BodyText1"/>
        <w:spacing w:after="0"/>
      </w:pPr>
      <w:r w:rsidRPr="004533EC">
        <w:t xml:space="preserve">Government costs will also include personnel costs for providing technical assistance to </w:t>
      </w:r>
      <w:r w:rsidRPr="004533EC" w:rsidR="004D0963">
        <w:t xml:space="preserve">awardees </w:t>
      </w:r>
      <w:r w:rsidRPr="004533EC">
        <w:t>and time for federal project officers to review and approv</w:t>
      </w:r>
      <w:r w:rsidRPr="004533EC" w:rsidR="001D3C88">
        <w:t>e needs assessment updates</w:t>
      </w:r>
      <w:r w:rsidRPr="004533EC">
        <w:t xml:space="preserve">.  These tasks will be completed by </w:t>
      </w:r>
      <w:r w:rsidRPr="004533EC" w:rsidR="00E3451A">
        <w:t xml:space="preserve">2 </w:t>
      </w:r>
      <w:r w:rsidRPr="004533EC">
        <w:t xml:space="preserve">federal project officers at </w:t>
      </w:r>
      <w:r w:rsidRPr="004533EC" w:rsidR="001D3C88">
        <w:t xml:space="preserve">an average </w:t>
      </w:r>
      <w:r w:rsidRPr="004533EC">
        <w:t>Grade 13 Step 5 ($</w:t>
      </w:r>
      <w:r w:rsidRPr="00C00ED5" w:rsidR="009751CD">
        <w:t>56.31</w:t>
      </w:r>
      <w:r w:rsidRPr="004533EC">
        <w:t xml:space="preserve">hourly rate) </w:t>
      </w:r>
      <w:r w:rsidRPr="004533EC" w:rsidR="00522897">
        <w:t xml:space="preserve">(Office of </w:t>
      </w:r>
      <w:r w:rsidRPr="004533EC" w:rsidR="002177D0">
        <w:t>Personnel</w:t>
      </w:r>
      <w:r w:rsidRPr="004533EC" w:rsidR="00522897">
        <w:t xml:space="preserve"> Management, 20</w:t>
      </w:r>
      <w:r w:rsidRPr="004533EC" w:rsidR="009751CD">
        <w:t>21</w:t>
      </w:r>
      <w:r w:rsidRPr="004533EC" w:rsidR="00522897">
        <w:t xml:space="preserve">) </w:t>
      </w:r>
      <w:r w:rsidRPr="004533EC">
        <w:t xml:space="preserve">for 208 hours each, or a total annual level of effort of </w:t>
      </w:r>
      <w:r w:rsidRPr="004533EC" w:rsidR="00835D1D">
        <w:t xml:space="preserve">416 </w:t>
      </w:r>
      <w:r w:rsidRPr="004533EC">
        <w:t>hours.</w:t>
      </w:r>
    </w:p>
    <w:p w:rsidRPr="005C43A1" w:rsidR="0055363C" w:rsidP="00DC2E3C" w:rsidRDefault="00740288" w14:paraId="24C5EC59" w14:textId="29DCAEE9">
      <w:pPr>
        <w:pStyle w:val="BodyText1"/>
        <w:spacing w:after="0"/>
      </w:pPr>
      <w:r w:rsidRPr="004533EC">
        <w:t xml:space="preserve">The total annual cost to the Federal Government of this requirement is </w:t>
      </w:r>
      <w:r w:rsidRPr="00C00ED5" w:rsidR="00CD0B7E">
        <w:t>$</w:t>
      </w:r>
      <w:r w:rsidRPr="00C00ED5" w:rsidR="009751CD">
        <w:t>8</w:t>
      </w:r>
      <w:r w:rsidR="000D3133">
        <w:t>3</w:t>
      </w:r>
      <w:r w:rsidRPr="00C00ED5" w:rsidR="009751CD">
        <w:t>,</w:t>
      </w:r>
      <w:r w:rsidR="000D3133">
        <w:t>608</w:t>
      </w:r>
      <w:r w:rsidRPr="004533EC">
        <w:t>.</w:t>
      </w:r>
      <w:r w:rsidRPr="00740288">
        <w:t xml:space="preserve"> </w:t>
      </w:r>
    </w:p>
    <w:p w:rsidRPr="005C43A1" w:rsidR="00F72F56" w:rsidP="00F72F56" w:rsidRDefault="00F72F56" w14:paraId="5808CDD3" w14:textId="47BA8914">
      <w:pPr>
        <w:pStyle w:val="Heading2"/>
      </w:pPr>
      <w:bookmarkStart w:name="_Toc88033481" w:id="44"/>
      <w:bookmarkStart w:name="_Toc457313792" w:id="45"/>
      <w:r w:rsidRPr="005C43A1">
        <w:t>A.15</w:t>
      </w:r>
      <w:r w:rsidRPr="005C43A1">
        <w:tab/>
      </w:r>
      <w:bookmarkEnd w:id="44"/>
      <w:r w:rsidRPr="005C43A1">
        <w:t>Explanation for Program Changes or Adjustments</w:t>
      </w:r>
      <w:bookmarkEnd w:id="45"/>
    </w:p>
    <w:p w:rsidRPr="005C43A1" w:rsidR="0055363C" w:rsidP="00E427A6" w:rsidRDefault="00C15D06" w14:paraId="64CCFA08" w14:textId="4053A916">
      <w:pPr>
        <w:pStyle w:val="BodyText1"/>
      </w:pPr>
      <w:r>
        <w:t>This is a new data collection</w:t>
      </w:r>
      <w:r w:rsidR="001D3C88">
        <w:t xml:space="preserve"> requirement</w:t>
      </w:r>
      <w:r w:rsidRPr="005C43A1" w:rsidR="0055363C">
        <w:t>.</w:t>
      </w:r>
    </w:p>
    <w:p w:rsidRPr="005C43A1" w:rsidR="00495ADF" w:rsidP="00F72F56" w:rsidRDefault="00495ADF" w14:paraId="26A0F1B4" w14:textId="77777777">
      <w:pPr>
        <w:pStyle w:val="Heading2"/>
      </w:pPr>
      <w:bookmarkStart w:name="_Toc88033482" w:id="46"/>
      <w:bookmarkStart w:name="_Toc457313793" w:id="47"/>
      <w:r w:rsidRPr="005C43A1">
        <w:t>A.16</w:t>
      </w:r>
      <w:r w:rsidRPr="005C43A1">
        <w:tab/>
      </w:r>
      <w:bookmarkEnd w:id="46"/>
      <w:r w:rsidRPr="005C43A1">
        <w:t>Plans for Tabulation and Publication and Project Time Schedule</w:t>
      </w:r>
      <w:bookmarkEnd w:id="47"/>
    </w:p>
    <w:p w:rsidRPr="00B500B6" w:rsidR="00F33FC0" w:rsidP="00147F79" w:rsidRDefault="00147F79" w14:paraId="55AE1A2D" w14:textId="24E5CCAE">
      <w:pPr>
        <w:pStyle w:val="BodyText1"/>
        <w:tabs>
          <w:tab w:val="left" w:pos="3420"/>
        </w:tabs>
        <w:rPr>
          <w:szCs w:val="24"/>
        </w:rPr>
      </w:pPr>
      <w:bookmarkStart w:name="_Toc275433780" w:id="48"/>
      <w:bookmarkStart w:name="_Toc88033483" w:id="49"/>
      <w:r w:rsidRPr="00B500B6">
        <w:t xml:space="preserve">Data and information submitted through the </w:t>
      </w:r>
      <w:r w:rsidRPr="00B500B6" w:rsidR="00B500B6">
        <w:t>PFO Narrative</w:t>
      </w:r>
      <w:r w:rsidRPr="00B500B6">
        <w:t xml:space="preserve"> </w:t>
      </w:r>
      <w:r w:rsidR="00506B2D">
        <w:t xml:space="preserve">and required attachments </w:t>
      </w:r>
      <w:r w:rsidRPr="00B500B6">
        <w:t xml:space="preserve">will </w:t>
      </w:r>
      <w:r w:rsidRPr="00B500B6" w:rsidR="007D4ED4">
        <w:t xml:space="preserve">be </w:t>
      </w:r>
      <w:r w:rsidRPr="00B500B6">
        <w:t xml:space="preserve">reviewed and synthesized by HRSA staff and contracted persons to inform program monitoring. Additional analysis may be conducted to examine </w:t>
      </w:r>
      <w:r w:rsidRPr="00B500B6" w:rsidR="00B500B6">
        <w:t xml:space="preserve">the feasibility </w:t>
      </w:r>
      <w:r w:rsidR="005B50F4">
        <w:t xml:space="preserve">and implementation </w:t>
      </w:r>
      <w:r w:rsidRPr="00B500B6" w:rsidR="00B500B6">
        <w:t>of PFO Initiatives across awardees</w:t>
      </w:r>
      <w:r w:rsidR="005B50F4">
        <w:t xml:space="preserve">. </w:t>
      </w:r>
      <w:r w:rsidRPr="00B500B6" w:rsidR="00C758FB">
        <w:rPr>
          <w:szCs w:val="24"/>
        </w:rPr>
        <w:t>Findings from this analysis may be used in publications or other public facing products.</w:t>
      </w:r>
    </w:p>
    <w:bookmarkEnd w:id="48"/>
    <w:p w:rsidRPr="005C43A1" w:rsidR="000256F5" w:rsidP="00942496" w:rsidRDefault="00C74FF8" w14:paraId="3740DFFA" w14:textId="735E3F45">
      <w:pPr>
        <w:pStyle w:val="BodyText1"/>
      </w:pPr>
      <w:r w:rsidRPr="00B500B6">
        <w:lastRenderedPageBreak/>
        <w:t xml:space="preserve">The findings from this information collection </w:t>
      </w:r>
      <w:r w:rsidRPr="00B500B6" w:rsidR="00951564">
        <w:t xml:space="preserve">and analyses </w:t>
      </w:r>
      <w:r w:rsidRPr="00B500B6" w:rsidR="00E20909">
        <w:t>may</w:t>
      </w:r>
      <w:r w:rsidRPr="00B500B6">
        <w:t xml:space="preserve"> be </w:t>
      </w:r>
      <w:r w:rsidRPr="00B500B6" w:rsidR="00E0019D">
        <w:t>complied and presented</w:t>
      </w:r>
      <w:r w:rsidRPr="00B500B6">
        <w:t xml:space="preserve"> </w:t>
      </w:r>
      <w:r w:rsidRPr="00B500B6" w:rsidR="00951564">
        <w:t xml:space="preserve">in a report </w:t>
      </w:r>
      <w:r w:rsidRPr="00B500B6" w:rsidR="00E20909">
        <w:t>by</w:t>
      </w:r>
      <w:r w:rsidRPr="00B500B6" w:rsidR="00951564">
        <w:t xml:space="preserve"> </w:t>
      </w:r>
      <w:r w:rsidRPr="00B500B6">
        <w:t xml:space="preserve">HRSA to inform </w:t>
      </w:r>
      <w:r w:rsidRPr="00B500B6" w:rsidR="00B500B6">
        <w:t xml:space="preserve">technical assistance and support that can be provided to awardees implementing PFO Initiatives. </w:t>
      </w:r>
      <w:r w:rsidRPr="00B500B6" w:rsidR="0055363C">
        <w:t xml:space="preserve">The expected time schedule for project activities is presented in </w:t>
      </w:r>
      <w:r w:rsidRPr="00B500B6" w:rsidR="00522AD4">
        <w:rPr>
          <w:b/>
          <w:bCs/>
          <w:i/>
          <w:iCs/>
        </w:rPr>
        <w:t>Exhibit </w:t>
      </w:r>
      <w:r w:rsidRPr="00B500B6" w:rsidR="00DA0B64">
        <w:rPr>
          <w:b/>
          <w:bCs/>
          <w:i/>
          <w:iCs/>
        </w:rPr>
        <w:t>A.16-2</w:t>
      </w:r>
      <w:r w:rsidRPr="00B500B6" w:rsidR="0055363C">
        <w:t>.</w:t>
      </w:r>
      <w:r w:rsidRPr="00B500B6" w:rsidR="00C758FB">
        <w:t xml:space="preserve"> HRSA is requesting a </w:t>
      </w:r>
      <w:r w:rsidRPr="00B500B6" w:rsidR="007D4ED4">
        <w:t>three-year</w:t>
      </w:r>
      <w:r w:rsidRPr="00B500B6" w:rsidR="00C758FB">
        <w:t xml:space="preserve"> clearance for this data collection activity.</w:t>
      </w:r>
    </w:p>
    <w:p w:rsidRPr="005C43A1" w:rsidR="0055363C" w:rsidP="00E427A6" w:rsidRDefault="00522AD4" w14:paraId="4EDD499E" w14:textId="242D7F89">
      <w:pPr>
        <w:pStyle w:val="FigureTitle"/>
      </w:pPr>
      <w:bookmarkStart w:name="_Toc275433795" w:id="50"/>
      <w:bookmarkStart w:name="_Toc307224728" w:id="51"/>
      <w:r w:rsidRPr="004533EC">
        <w:t xml:space="preserve">Exhibit </w:t>
      </w:r>
      <w:r w:rsidRPr="004533EC" w:rsidR="00C758FB">
        <w:t>A.16-1</w:t>
      </w:r>
      <w:r w:rsidRPr="004533EC">
        <w:t>.</w:t>
      </w:r>
      <w:r w:rsidRPr="004533EC">
        <w:tab/>
      </w:r>
      <w:r w:rsidRPr="004533EC" w:rsidR="0055363C">
        <w:t>Estimated Time Schedule for Project Activities</w:t>
      </w:r>
      <w:bookmarkEnd w:id="50"/>
      <w:bookmarkEnd w:id="51"/>
    </w:p>
    <w:tbl>
      <w:tblPr>
        <w:tblW w:w="9360" w:type="dxa"/>
        <w:tblInd w:w="86" w:type="dxa"/>
        <w:tblBorders>
          <w:top w:val="single" w:color="auto" w:sz="12" w:space="0"/>
          <w:bottom w:val="single" w:color="auto" w:sz="12" w:space="0"/>
        </w:tblBorders>
        <w:tblLayout w:type="fixed"/>
        <w:tblCellMar>
          <w:left w:w="115" w:type="dxa"/>
          <w:right w:w="115" w:type="dxa"/>
        </w:tblCellMar>
        <w:tblLook w:val="01E0" w:firstRow="1" w:lastRow="1" w:firstColumn="1" w:lastColumn="1" w:noHBand="0" w:noVBand="0"/>
      </w:tblPr>
      <w:tblGrid>
        <w:gridCol w:w="4619"/>
        <w:gridCol w:w="4741"/>
      </w:tblGrid>
      <w:tr w:rsidRPr="005C43A1" w:rsidR="0055363C" w:rsidTr="00522AD4" w14:paraId="7034EABA" w14:textId="77777777">
        <w:trPr>
          <w:cantSplit/>
        </w:trPr>
        <w:tc>
          <w:tcPr>
            <w:tcW w:w="4619" w:type="dxa"/>
            <w:tcBorders>
              <w:top w:val="single" w:color="auto" w:sz="12" w:space="0"/>
              <w:bottom w:val="single" w:color="auto" w:sz="6" w:space="0"/>
            </w:tcBorders>
            <w:vAlign w:val="bottom"/>
          </w:tcPr>
          <w:p w:rsidRPr="005C43A1" w:rsidR="0055363C" w:rsidP="00522AD4" w:rsidRDefault="0055363C" w14:paraId="1A5E1D66" w14:textId="77777777">
            <w:pPr>
              <w:keepNext/>
              <w:spacing w:before="60" w:after="60"/>
              <w:rPr>
                <w:b/>
                <w:sz w:val="22"/>
              </w:rPr>
            </w:pPr>
            <w:r w:rsidRPr="005C43A1">
              <w:rPr>
                <w:b/>
                <w:sz w:val="22"/>
              </w:rPr>
              <w:t>Activity</w:t>
            </w:r>
          </w:p>
        </w:tc>
        <w:tc>
          <w:tcPr>
            <w:tcW w:w="4741" w:type="dxa"/>
            <w:tcBorders>
              <w:top w:val="single" w:color="auto" w:sz="12" w:space="0"/>
              <w:bottom w:val="single" w:color="auto" w:sz="6" w:space="0"/>
            </w:tcBorders>
            <w:vAlign w:val="bottom"/>
          </w:tcPr>
          <w:p w:rsidRPr="005C43A1" w:rsidR="0055363C" w:rsidP="00522AD4" w:rsidRDefault="0055363C" w14:paraId="279A9438" w14:textId="77777777">
            <w:pPr>
              <w:keepNext/>
              <w:spacing w:before="60" w:after="60"/>
              <w:rPr>
                <w:b/>
                <w:sz w:val="22"/>
              </w:rPr>
            </w:pPr>
            <w:r w:rsidRPr="005C43A1">
              <w:rPr>
                <w:b/>
                <w:sz w:val="22"/>
              </w:rPr>
              <w:t>Expected Timeline</w:t>
            </w:r>
          </w:p>
        </w:tc>
      </w:tr>
      <w:tr w:rsidRPr="005C43A1" w:rsidR="0055363C" w:rsidTr="003E32D9" w14:paraId="695CCEEC" w14:textId="77777777">
        <w:trPr>
          <w:cantSplit/>
        </w:trPr>
        <w:tc>
          <w:tcPr>
            <w:tcW w:w="4619" w:type="dxa"/>
            <w:tcBorders>
              <w:top w:val="single" w:color="auto" w:sz="6" w:space="0"/>
              <w:bottom w:val="nil"/>
            </w:tcBorders>
          </w:tcPr>
          <w:p w:rsidRPr="005C43A1" w:rsidR="003E32D9" w:rsidP="00217ACB" w:rsidRDefault="0055363C" w14:paraId="391DDF3A" w14:textId="470C2138">
            <w:pPr>
              <w:keepNext/>
              <w:spacing w:before="60" w:after="60"/>
              <w:rPr>
                <w:sz w:val="22"/>
              </w:rPr>
            </w:pPr>
            <w:r w:rsidRPr="005C43A1">
              <w:rPr>
                <w:sz w:val="22"/>
              </w:rPr>
              <w:t xml:space="preserve">Development of final version </w:t>
            </w:r>
            <w:r w:rsidR="00217ACB">
              <w:rPr>
                <w:sz w:val="22"/>
              </w:rPr>
              <w:t>Supplemental Information Request based on feedback from the 60-day FRN and the 30-Day FRN</w:t>
            </w:r>
          </w:p>
        </w:tc>
        <w:tc>
          <w:tcPr>
            <w:tcW w:w="4741" w:type="dxa"/>
            <w:tcBorders>
              <w:top w:val="single" w:color="auto" w:sz="6" w:space="0"/>
              <w:bottom w:val="nil"/>
            </w:tcBorders>
          </w:tcPr>
          <w:p w:rsidRPr="005C43A1" w:rsidR="0055363C" w:rsidP="00201DEA" w:rsidRDefault="00B0565E" w14:paraId="4A097F13" w14:textId="670548EE">
            <w:pPr>
              <w:keepNext/>
              <w:spacing w:before="60" w:after="60"/>
              <w:rPr>
                <w:sz w:val="22"/>
              </w:rPr>
            </w:pPr>
            <w:r>
              <w:rPr>
                <w:sz w:val="22"/>
              </w:rPr>
              <w:t>March 2021</w:t>
            </w:r>
            <w:r w:rsidRPr="005C43A1" w:rsidR="0055363C">
              <w:rPr>
                <w:sz w:val="22"/>
              </w:rPr>
              <w:t xml:space="preserve"> </w:t>
            </w:r>
          </w:p>
        </w:tc>
      </w:tr>
      <w:tr w:rsidRPr="005C43A1" w:rsidR="003E32D9" w:rsidTr="003E32D9" w14:paraId="537355DC" w14:textId="77777777">
        <w:trPr>
          <w:cantSplit/>
        </w:trPr>
        <w:tc>
          <w:tcPr>
            <w:tcW w:w="4619" w:type="dxa"/>
            <w:tcBorders>
              <w:top w:val="nil"/>
              <w:bottom w:val="nil"/>
            </w:tcBorders>
          </w:tcPr>
          <w:p w:rsidR="00942496" w:rsidP="00522AD4" w:rsidRDefault="00942496" w14:paraId="17EA2166" w14:textId="77777777">
            <w:pPr>
              <w:keepNext/>
              <w:spacing w:before="60" w:after="60"/>
              <w:rPr>
                <w:sz w:val="22"/>
              </w:rPr>
            </w:pPr>
          </w:p>
          <w:p w:rsidRPr="005C43A1" w:rsidR="003E32D9" w:rsidP="00522AD4" w:rsidRDefault="003E32D9" w14:paraId="287B1777" w14:textId="3D4B96EF">
            <w:pPr>
              <w:keepNext/>
              <w:spacing w:before="60" w:after="60"/>
              <w:rPr>
                <w:sz w:val="22"/>
              </w:rPr>
            </w:pPr>
            <w:r>
              <w:rPr>
                <w:sz w:val="22"/>
              </w:rPr>
              <w:t xml:space="preserve">Receive OMB </w:t>
            </w:r>
            <w:r w:rsidR="00201DEA">
              <w:rPr>
                <w:sz w:val="22"/>
              </w:rPr>
              <w:t>a</w:t>
            </w:r>
            <w:r>
              <w:rPr>
                <w:sz w:val="22"/>
              </w:rPr>
              <w:t>pproval</w:t>
            </w:r>
          </w:p>
        </w:tc>
        <w:tc>
          <w:tcPr>
            <w:tcW w:w="4741" w:type="dxa"/>
            <w:tcBorders>
              <w:top w:val="nil"/>
              <w:bottom w:val="nil"/>
            </w:tcBorders>
          </w:tcPr>
          <w:p w:rsidRPr="005B50F4" w:rsidR="00942496" w:rsidP="00217ACB" w:rsidRDefault="00942496" w14:paraId="342A4CB2" w14:textId="77777777">
            <w:pPr>
              <w:keepNext/>
              <w:spacing w:before="60" w:after="60"/>
              <w:rPr>
                <w:sz w:val="22"/>
              </w:rPr>
            </w:pPr>
          </w:p>
          <w:p w:rsidRPr="005B50F4" w:rsidR="003E32D9" w:rsidP="00751C0F" w:rsidRDefault="00217ACB" w14:paraId="15400102" w14:textId="4ADA9101">
            <w:pPr>
              <w:keepNext/>
              <w:spacing w:before="60" w:after="60"/>
              <w:rPr>
                <w:sz w:val="22"/>
              </w:rPr>
            </w:pPr>
            <w:r w:rsidRPr="00A63C9D">
              <w:rPr>
                <w:sz w:val="22"/>
              </w:rPr>
              <w:t>By</w:t>
            </w:r>
            <w:r w:rsidRPr="005B50F4" w:rsidR="0092337C">
              <w:rPr>
                <w:sz w:val="22"/>
              </w:rPr>
              <w:t xml:space="preserve"> </w:t>
            </w:r>
            <w:r w:rsidR="00751C0F">
              <w:rPr>
                <w:sz w:val="22"/>
              </w:rPr>
              <w:t>June</w:t>
            </w:r>
            <w:r w:rsidRPr="005B50F4" w:rsidR="00751C0F">
              <w:rPr>
                <w:sz w:val="22"/>
              </w:rPr>
              <w:t xml:space="preserve"> </w:t>
            </w:r>
            <w:r w:rsidRPr="005B50F4" w:rsidR="00C74FF8">
              <w:rPr>
                <w:sz w:val="22"/>
              </w:rPr>
              <w:t>20</w:t>
            </w:r>
            <w:r w:rsidRPr="00A13D69" w:rsidR="00280F2F">
              <w:rPr>
                <w:sz w:val="22"/>
              </w:rPr>
              <w:t>21</w:t>
            </w:r>
            <w:r w:rsidRPr="005B50F4" w:rsidR="001164B3">
              <w:rPr>
                <w:sz w:val="22"/>
              </w:rPr>
              <w:t xml:space="preserve"> (estimated)</w:t>
            </w:r>
          </w:p>
        </w:tc>
      </w:tr>
      <w:tr w:rsidRPr="005C43A1" w:rsidR="0055363C" w:rsidTr="003E32D9" w14:paraId="16E3F9BF" w14:textId="77777777">
        <w:trPr>
          <w:cantSplit/>
        </w:trPr>
        <w:tc>
          <w:tcPr>
            <w:tcW w:w="4619" w:type="dxa"/>
            <w:tcBorders>
              <w:top w:val="nil"/>
            </w:tcBorders>
          </w:tcPr>
          <w:p w:rsidR="00942496" w:rsidP="00522AD4" w:rsidRDefault="00942496" w14:paraId="3836119B" w14:textId="77777777">
            <w:pPr>
              <w:keepNext/>
              <w:spacing w:before="60" w:after="60"/>
              <w:rPr>
                <w:sz w:val="22"/>
              </w:rPr>
            </w:pPr>
          </w:p>
          <w:p w:rsidRPr="005C43A1" w:rsidR="0055363C" w:rsidP="00522AD4" w:rsidRDefault="0055363C" w14:paraId="0AB1B23D" w14:textId="55CD189D">
            <w:pPr>
              <w:keepNext/>
              <w:spacing w:before="60" w:after="60"/>
              <w:rPr>
                <w:sz w:val="22"/>
              </w:rPr>
            </w:pPr>
            <w:r w:rsidRPr="005C43A1">
              <w:rPr>
                <w:sz w:val="22"/>
              </w:rPr>
              <w:t>Technical assistance</w:t>
            </w:r>
          </w:p>
        </w:tc>
        <w:tc>
          <w:tcPr>
            <w:tcW w:w="4741" w:type="dxa"/>
            <w:tcBorders>
              <w:top w:val="nil"/>
            </w:tcBorders>
          </w:tcPr>
          <w:p w:rsidRPr="005B50F4" w:rsidR="00942496" w:rsidP="00217ACB" w:rsidRDefault="00942496" w14:paraId="0F1D555C" w14:textId="77777777">
            <w:pPr>
              <w:keepNext/>
              <w:spacing w:before="60" w:after="60"/>
              <w:rPr>
                <w:sz w:val="22"/>
              </w:rPr>
            </w:pPr>
          </w:p>
          <w:p w:rsidRPr="005B50F4" w:rsidR="0055363C" w:rsidP="00217ACB" w:rsidRDefault="0055363C" w14:paraId="5E0F956A" w14:textId="0D4E4798">
            <w:pPr>
              <w:keepNext/>
              <w:spacing w:before="60" w:after="60"/>
              <w:rPr>
                <w:sz w:val="22"/>
              </w:rPr>
            </w:pPr>
            <w:r w:rsidRPr="00A63C9D">
              <w:rPr>
                <w:sz w:val="22"/>
              </w:rPr>
              <w:t xml:space="preserve">Ongoing, </w:t>
            </w:r>
            <w:r w:rsidRPr="005B50F4" w:rsidR="00217ACB">
              <w:rPr>
                <w:sz w:val="22"/>
              </w:rPr>
              <w:t>after the release of the final SIR guidance</w:t>
            </w:r>
          </w:p>
        </w:tc>
      </w:tr>
      <w:tr w:rsidRPr="005C43A1" w:rsidR="0055363C" w:rsidTr="00522AD4" w14:paraId="7E29AC34" w14:textId="77777777">
        <w:trPr>
          <w:cantSplit/>
        </w:trPr>
        <w:tc>
          <w:tcPr>
            <w:tcW w:w="4619" w:type="dxa"/>
          </w:tcPr>
          <w:p w:rsidRPr="005C43A1" w:rsidR="0055363C" w:rsidP="00522AD4" w:rsidRDefault="00C74FF8" w14:paraId="42F0DFFD" w14:textId="77777777">
            <w:pPr>
              <w:keepNext/>
              <w:spacing w:before="60" w:after="60"/>
              <w:rPr>
                <w:sz w:val="22"/>
              </w:rPr>
            </w:pPr>
            <w:r>
              <w:rPr>
                <w:sz w:val="22"/>
              </w:rPr>
              <w:t>Data collection</w:t>
            </w:r>
          </w:p>
        </w:tc>
        <w:tc>
          <w:tcPr>
            <w:tcW w:w="4741" w:type="dxa"/>
          </w:tcPr>
          <w:p w:rsidRPr="005B50F4" w:rsidR="0055363C" w:rsidP="00011675" w:rsidRDefault="008B29BB" w14:paraId="4BE3D330" w14:textId="47EAF101">
            <w:pPr>
              <w:keepNext/>
              <w:spacing w:before="60" w:after="60"/>
              <w:rPr>
                <w:sz w:val="22"/>
              </w:rPr>
            </w:pPr>
            <w:r>
              <w:rPr>
                <w:sz w:val="22"/>
              </w:rPr>
              <w:t xml:space="preserve">For projects proposed with FY 2021 funds, </w:t>
            </w:r>
            <w:r w:rsidRPr="008B29BB" w:rsidR="00280F2F">
              <w:rPr>
                <w:sz w:val="22"/>
              </w:rPr>
              <w:t xml:space="preserve">SIR Response </w:t>
            </w:r>
            <w:r w:rsidRPr="005B50F4" w:rsidR="00217ACB">
              <w:rPr>
                <w:sz w:val="22"/>
              </w:rPr>
              <w:t>can be submitted after the release of the final SIR</w:t>
            </w:r>
            <w:r>
              <w:rPr>
                <w:sz w:val="22"/>
              </w:rPr>
              <w:t>,</w:t>
            </w:r>
            <w:r w:rsidRPr="005B50F4" w:rsidR="00217ACB">
              <w:rPr>
                <w:sz w:val="22"/>
              </w:rPr>
              <w:t xml:space="preserve"> and no later tha</w:t>
            </w:r>
            <w:r w:rsidRPr="008B29BB" w:rsidR="005B50F4">
              <w:rPr>
                <w:sz w:val="22"/>
              </w:rPr>
              <w:t xml:space="preserve">n 120 days after </w:t>
            </w:r>
            <w:r>
              <w:rPr>
                <w:sz w:val="22"/>
              </w:rPr>
              <w:t>start of the respective project period</w:t>
            </w:r>
            <w:r w:rsidRPr="008B29BB" w:rsidR="005B50F4">
              <w:rPr>
                <w:sz w:val="22"/>
              </w:rPr>
              <w:t xml:space="preserve"> September 30, 2021 or no later than January 28, 2022 </w:t>
            </w:r>
            <w:r w:rsidRPr="005B50F4" w:rsidR="00217ACB">
              <w:rPr>
                <w:sz w:val="22"/>
              </w:rPr>
              <w:t xml:space="preserve"> </w:t>
            </w:r>
          </w:p>
        </w:tc>
      </w:tr>
      <w:tr w:rsidRPr="005C43A1" w:rsidR="004E202C" w:rsidTr="00522AD4" w14:paraId="187C8668" w14:textId="77777777">
        <w:trPr>
          <w:cantSplit/>
        </w:trPr>
        <w:tc>
          <w:tcPr>
            <w:tcW w:w="4619" w:type="dxa"/>
          </w:tcPr>
          <w:p w:rsidR="004E202C" w:rsidP="00522AD4" w:rsidRDefault="004E202C" w14:paraId="6FCD1DAD" w14:textId="6DE1CC49">
            <w:pPr>
              <w:keepNext/>
              <w:spacing w:before="60" w:after="60"/>
              <w:rPr>
                <w:sz w:val="22"/>
              </w:rPr>
            </w:pPr>
            <w:r>
              <w:rPr>
                <w:sz w:val="22"/>
              </w:rPr>
              <w:t xml:space="preserve">Synthesis </w:t>
            </w:r>
            <w:r w:rsidR="007F382D">
              <w:rPr>
                <w:sz w:val="22"/>
              </w:rPr>
              <w:t xml:space="preserve">and Publication </w:t>
            </w:r>
          </w:p>
        </w:tc>
        <w:tc>
          <w:tcPr>
            <w:tcW w:w="4741" w:type="dxa"/>
          </w:tcPr>
          <w:p w:rsidRPr="005B50F4" w:rsidR="004E202C" w:rsidP="00684F4C" w:rsidRDefault="00684F4C" w14:paraId="2AF873BB" w14:textId="0EE70376">
            <w:pPr>
              <w:keepNext/>
              <w:spacing w:before="60" w:after="60"/>
              <w:rPr>
                <w:sz w:val="22"/>
              </w:rPr>
            </w:pPr>
            <w:r w:rsidRPr="005B50F4">
              <w:rPr>
                <w:sz w:val="22"/>
              </w:rPr>
              <w:t xml:space="preserve">After </w:t>
            </w:r>
            <w:r w:rsidRPr="008B29BB" w:rsidR="005B50F4">
              <w:rPr>
                <w:sz w:val="22"/>
              </w:rPr>
              <w:t>January 28, 2</w:t>
            </w:r>
            <w:r w:rsidR="00813713">
              <w:rPr>
                <w:sz w:val="22"/>
              </w:rPr>
              <w:t>02</w:t>
            </w:r>
            <w:r w:rsidRPr="008B29BB" w:rsidR="005B50F4">
              <w:rPr>
                <w:sz w:val="22"/>
              </w:rPr>
              <w:t>2</w:t>
            </w:r>
            <w:r w:rsidRPr="005B50F4" w:rsidR="00C758FB">
              <w:rPr>
                <w:sz w:val="22"/>
              </w:rPr>
              <w:t xml:space="preserve"> information </w:t>
            </w:r>
            <w:r w:rsidRPr="005B50F4" w:rsidR="004E202C">
              <w:rPr>
                <w:sz w:val="22"/>
              </w:rPr>
              <w:t>may be synthesized</w:t>
            </w:r>
            <w:r w:rsidRPr="005B50F4" w:rsidR="007F382D">
              <w:rPr>
                <w:sz w:val="22"/>
              </w:rPr>
              <w:t>. Findings from this analysis may be used in publications or other public facing products.</w:t>
            </w:r>
          </w:p>
        </w:tc>
      </w:tr>
    </w:tbl>
    <w:p w:rsidRPr="005C43A1" w:rsidR="00495ADF" w:rsidP="006E2440" w:rsidRDefault="00495ADF" w14:paraId="1C50425E" w14:textId="77777777">
      <w:pPr>
        <w:pStyle w:val="Heading2"/>
      </w:pPr>
      <w:bookmarkStart w:name="_Toc457313796" w:id="52"/>
      <w:r w:rsidRPr="005C43A1">
        <w:t>A.17</w:t>
      </w:r>
      <w:r w:rsidRPr="005C43A1">
        <w:tab/>
      </w:r>
      <w:bookmarkStart w:name="_Toc88033484" w:id="53"/>
      <w:bookmarkEnd w:id="49"/>
      <w:r w:rsidRPr="005C43A1">
        <w:t>Reason(s) Display of OMB Expiration Date Is Inappropriate</w:t>
      </w:r>
      <w:bookmarkEnd w:id="52"/>
    </w:p>
    <w:p w:rsidRPr="005C43A1" w:rsidR="0055363C" w:rsidP="00E427A6" w:rsidRDefault="0055363C" w14:paraId="4E0ED59B" w14:textId="02BC2B9D">
      <w:pPr>
        <w:pStyle w:val="BodyText1"/>
      </w:pPr>
      <w:r w:rsidRPr="008B29BB">
        <w:t>No request for an exemption from displaying the expiration date for OMB approval is</w:t>
      </w:r>
      <w:r w:rsidRPr="008B29BB" w:rsidR="009F4C01">
        <w:t xml:space="preserve"> </w:t>
      </w:r>
      <w:r w:rsidRPr="008B29BB">
        <w:t>being sought.</w:t>
      </w:r>
      <w:r w:rsidRPr="008B29BB" w:rsidR="00E0019D">
        <w:t xml:space="preserve"> The OMB number and expiration date will be displayed on every page of every form/instrument.</w:t>
      </w:r>
    </w:p>
    <w:p w:rsidRPr="005C43A1" w:rsidR="00495ADF" w:rsidP="006E2440" w:rsidRDefault="00495ADF" w14:paraId="2A2583C3" w14:textId="77777777">
      <w:pPr>
        <w:pStyle w:val="Heading2"/>
      </w:pPr>
      <w:bookmarkStart w:name="_Toc457313797" w:id="54"/>
      <w:r w:rsidRPr="005C43A1">
        <w:lastRenderedPageBreak/>
        <w:t>A.18</w:t>
      </w:r>
      <w:r w:rsidRPr="005C43A1">
        <w:tab/>
      </w:r>
      <w:bookmarkEnd w:id="53"/>
      <w:r w:rsidRPr="005C43A1">
        <w:t>Exceptions to Certification for Paperwork Reduction Act Submissions</w:t>
      </w:r>
      <w:bookmarkEnd w:id="54"/>
    </w:p>
    <w:p w:rsidRPr="005C43A1" w:rsidR="00495ADF" w:rsidP="00522AD4" w:rsidRDefault="00C15D06" w14:paraId="7C3C8B41" w14:textId="77777777">
      <w:pPr>
        <w:pStyle w:val="BodyText1"/>
      </w:pPr>
      <w:r w:rsidRPr="00450552">
        <w:rPr>
          <w:szCs w:val="24"/>
        </w:rPr>
        <w:t>There are no exceptions to the certification.</w:t>
      </w:r>
      <w:r w:rsidRPr="005C43A1" w:rsidDel="00C15D06">
        <w:t xml:space="preserve"> </w:t>
      </w:r>
    </w:p>
    <w:p w:rsidRPr="005C43A1" w:rsidR="004920B6" w:rsidP="00F20A34" w:rsidRDefault="006E2440" w14:paraId="39B73E64" w14:textId="1D0C51E1">
      <w:pPr>
        <w:pStyle w:val="Heading1"/>
      </w:pPr>
      <w:bookmarkStart w:name="_Toc8007688" w:id="55"/>
      <w:bookmarkStart w:name="_Toc88033485" w:id="56"/>
      <w:r w:rsidRPr="005C43A1">
        <w:br w:type="page"/>
      </w:r>
      <w:bookmarkStart w:name="_Toc88033509" w:id="57"/>
      <w:bookmarkStart w:name="_Toc457313798" w:id="58"/>
      <w:bookmarkEnd w:id="55"/>
      <w:bookmarkEnd w:id="56"/>
      <w:r w:rsidRPr="005C43A1" w:rsidR="004920B6">
        <w:lastRenderedPageBreak/>
        <w:t>References</w:t>
      </w:r>
      <w:bookmarkEnd w:id="57"/>
      <w:bookmarkEnd w:id="58"/>
    </w:p>
    <w:p w:rsidRPr="005E7EC0" w:rsidR="002368F4" w:rsidP="005E7EC0" w:rsidRDefault="00557DE2" w14:paraId="5FA8C6F0" w14:textId="17D6C1AE">
      <w:pPr>
        <w:pStyle w:val="biblio"/>
        <w:rPr>
          <w:rStyle w:val="Hyperlink"/>
          <w:color w:val="auto"/>
          <w:u w:val="none"/>
        </w:rPr>
      </w:pPr>
      <w:r w:rsidRPr="00971756">
        <w:t>Bureau of Labor Statistics (201</w:t>
      </w:r>
      <w:r w:rsidR="00011675">
        <w:t>9</w:t>
      </w:r>
      <w:r w:rsidRPr="00971756">
        <w:t xml:space="preserve">). </w:t>
      </w:r>
      <w:r w:rsidRPr="00971756" w:rsidR="00201DEA">
        <w:t xml:space="preserve">May </w:t>
      </w:r>
      <w:r w:rsidR="005E7EC0">
        <w:t>20</w:t>
      </w:r>
      <w:r w:rsidR="00011675">
        <w:t>19</w:t>
      </w:r>
      <w:r w:rsidRPr="00971756" w:rsidR="00201DEA">
        <w:t xml:space="preserve"> National Occupational Employment and Wage</w:t>
      </w:r>
      <w:r w:rsidR="00971756">
        <w:t xml:space="preserve"> </w:t>
      </w:r>
      <w:r w:rsidR="005E7EC0">
        <w:t xml:space="preserve">Estimates, </w:t>
      </w:r>
      <w:r w:rsidRPr="00011675" w:rsidR="00011675">
        <w:t>11-9151 Social and Community Service Managers</w:t>
      </w:r>
      <w:r w:rsidRPr="00B04CD0" w:rsidR="00201DEA">
        <w:t>.</w:t>
      </w:r>
      <w:r w:rsidRPr="00971756" w:rsidR="00201DEA">
        <w:t xml:space="preserve"> Retrieved </w:t>
      </w:r>
      <w:r w:rsidRPr="00971756">
        <w:t xml:space="preserve">from </w:t>
      </w:r>
      <w:r w:rsidRPr="00011675" w:rsidR="00011675">
        <w:t>https://www.bls.gov/oes/2019/may/oes119151.htm</w:t>
      </w:r>
      <w:bookmarkStart w:name="_GoBack" w:id="59"/>
      <w:bookmarkEnd w:id="59"/>
    </w:p>
    <w:p w:rsidRPr="00522897" w:rsidR="00971756" w:rsidP="00522897" w:rsidRDefault="00522897" w14:paraId="5540D88D" w14:textId="6C4CA4C0">
      <w:pPr>
        <w:pStyle w:val="biblio"/>
      </w:pPr>
      <w:r w:rsidRPr="00522897">
        <w:t xml:space="preserve">Office of </w:t>
      </w:r>
      <w:r w:rsidR="002177D0">
        <w:t>Personnel</w:t>
      </w:r>
      <w:r w:rsidRPr="00522897">
        <w:t xml:space="preserve"> Management (2</w:t>
      </w:r>
      <w:r w:rsidR="00011675">
        <w:t>02</w:t>
      </w:r>
      <w:r w:rsidR="00B0565E">
        <w:t>1</w:t>
      </w:r>
      <w:r w:rsidRPr="00522897">
        <w:t>). SALARY TABLE 20</w:t>
      </w:r>
      <w:r w:rsidR="00011675">
        <w:t>20</w:t>
      </w:r>
      <w:r w:rsidRPr="00522897">
        <w:t xml:space="preserve">-DCB. Retrieved from </w:t>
      </w:r>
      <w:r w:rsidRPr="00B0565E" w:rsidR="00B0565E">
        <w:t>https://www.opm.gov/policy-data-oversight/pay-leave/salaries-wages/salary-tables/pdf/2021/DCB_h.pdf</w:t>
      </w:r>
    </w:p>
    <w:p w:rsidRPr="005C43A1" w:rsidR="00557DE2" w:rsidP="00D924CE" w:rsidRDefault="00557DE2" w14:paraId="43140D05" w14:textId="734451C1">
      <w:pPr>
        <w:pStyle w:val="biblio"/>
        <w:ind w:firstLine="0"/>
      </w:pPr>
    </w:p>
    <w:sectPr w:rsidRPr="005C43A1" w:rsidR="00557DE2" w:rsidSect="00E67EB8">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0F26" w14:textId="77777777" w:rsidR="0062519F" w:rsidRDefault="0062519F">
      <w:r>
        <w:separator/>
      </w:r>
    </w:p>
  </w:endnote>
  <w:endnote w:type="continuationSeparator" w:id="0">
    <w:p w14:paraId="55F3EFBB" w14:textId="77777777" w:rsidR="0062519F" w:rsidRDefault="0062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446B" w14:textId="77777777" w:rsidR="00181D39" w:rsidRDefault="00181D39"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490F1" w14:textId="77777777" w:rsidR="00181D39" w:rsidRDefault="00181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435570"/>
      <w:docPartObj>
        <w:docPartGallery w:val="Page Numbers (Bottom of Page)"/>
        <w:docPartUnique/>
      </w:docPartObj>
    </w:sdtPr>
    <w:sdtEndPr>
      <w:rPr>
        <w:noProof/>
      </w:rPr>
    </w:sdtEndPr>
    <w:sdtContent>
      <w:p w14:paraId="70ACBE35" w14:textId="3D47A56E" w:rsidR="00152435" w:rsidRDefault="00152435">
        <w:pPr>
          <w:pStyle w:val="Footer"/>
          <w:jc w:val="right"/>
        </w:pPr>
        <w:r>
          <w:fldChar w:fldCharType="begin"/>
        </w:r>
        <w:r>
          <w:instrText xml:space="preserve"> PAGE   \* MERGEFORMAT </w:instrText>
        </w:r>
        <w:r>
          <w:fldChar w:fldCharType="separate"/>
        </w:r>
        <w:r w:rsidR="00B04CD0">
          <w:rPr>
            <w:noProof/>
          </w:rPr>
          <w:t>18</w:t>
        </w:r>
        <w:r>
          <w:rPr>
            <w:noProof/>
          </w:rPr>
          <w:fldChar w:fldCharType="end"/>
        </w:r>
      </w:p>
    </w:sdtContent>
  </w:sdt>
  <w:p w14:paraId="7009932A" w14:textId="77777777" w:rsidR="00152435" w:rsidRDefault="0015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69884"/>
      <w:docPartObj>
        <w:docPartGallery w:val="Page Numbers (Bottom of Page)"/>
        <w:docPartUnique/>
      </w:docPartObj>
    </w:sdtPr>
    <w:sdtEndPr>
      <w:rPr>
        <w:noProof/>
        <w:sz w:val="22"/>
        <w:szCs w:val="22"/>
      </w:rPr>
    </w:sdtEndPr>
    <w:sdtContent>
      <w:p w14:paraId="24EC5F5D" w14:textId="4076DC12" w:rsidR="00181D39" w:rsidRPr="00C058BF" w:rsidRDefault="00181D39">
        <w:pPr>
          <w:pStyle w:val="Footer"/>
          <w:jc w:val="center"/>
          <w:rPr>
            <w:sz w:val="22"/>
            <w:szCs w:val="22"/>
          </w:rPr>
        </w:pPr>
        <w:r w:rsidRPr="00C058BF">
          <w:rPr>
            <w:sz w:val="22"/>
            <w:szCs w:val="22"/>
          </w:rPr>
          <w:fldChar w:fldCharType="begin"/>
        </w:r>
        <w:r w:rsidRPr="00C058BF">
          <w:rPr>
            <w:sz w:val="22"/>
            <w:szCs w:val="22"/>
          </w:rPr>
          <w:instrText xml:space="preserve"> PAGE   \* MERGEFORMAT </w:instrText>
        </w:r>
        <w:r w:rsidRPr="00C058BF">
          <w:rPr>
            <w:sz w:val="22"/>
            <w:szCs w:val="22"/>
          </w:rPr>
          <w:fldChar w:fldCharType="separate"/>
        </w:r>
        <w:r w:rsidR="00B04CD0">
          <w:rPr>
            <w:noProof/>
            <w:sz w:val="22"/>
            <w:szCs w:val="22"/>
          </w:rPr>
          <w:t>1</w:t>
        </w:r>
        <w:r w:rsidRPr="00C058BF">
          <w:rPr>
            <w:noProof/>
            <w:sz w:val="22"/>
            <w:szCs w:val="22"/>
          </w:rPr>
          <w:fldChar w:fldCharType="end"/>
        </w:r>
      </w:p>
    </w:sdtContent>
  </w:sdt>
  <w:p w14:paraId="2FB09436" w14:textId="77777777" w:rsidR="00181D39" w:rsidRDefault="00181D39" w:rsidP="00906F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F9E66" w14:textId="77777777" w:rsidR="0062519F" w:rsidRDefault="0062519F">
      <w:r>
        <w:separator/>
      </w:r>
    </w:p>
  </w:footnote>
  <w:footnote w:type="continuationSeparator" w:id="0">
    <w:p w14:paraId="314E88AF" w14:textId="77777777" w:rsidR="0062519F" w:rsidRDefault="0062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FEBA" w14:textId="77777777" w:rsidR="00181D39" w:rsidRDefault="00181D39" w:rsidP="00AA22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09000F"/>
    <w:lvl w:ilvl="0">
      <w:start w:val="1"/>
      <w:numFmt w:val="decimal"/>
      <w:lvlText w:val="%1."/>
      <w:lvlJc w:val="left"/>
      <w:pPr>
        <w:ind w:left="360" w:hanging="360"/>
      </w:pPr>
    </w:lvl>
  </w:abstractNum>
  <w:abstractNum w:abstractNumId="1" w15:restartNumberingAfterBreak="0">
    <w:nsid w:val="FFFFFF89"/>
    <w:multiLevelType w:val="singleLevel"/>
    <w:tmpl w:val="A69C45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306AA8"/>
    <w:multiLevelType w:val="hybridMultilevel"/>
    <w:tmpl w:val="0336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697E"/>
    <w:multiLevelType w:val="hybridMultilevel"/>
    <w:tmpl w:val="67FEE50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0BE20B91"/>
    <w:multiLevelType w:val="hybridMultilevel"/>
    <w:tmpl w:val="74C2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D3244"/>
    <w:multiLevelType w:val="hybridMultilevel"/>
    <w:tmpl w:val="D7AE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B400B"/>
    <w:multiLevelType w:val="hybridMultilevel"/>
    <w:tmpl w:val="FFA2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71050"/>
    <w:multiLevelType w:val="hybridMultilevel"/>
    <w:tmpl w:val="6A2C7162"/>
    <w:lvl w:ilvl="0" w:tplc="A10E3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C73C26"/>
    <w:multiLevelType w:val="multilevel"/>
    <w:tmpl w:val="85BE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F1B7C"/>
    <w:multiLevelType w:val="hybridMultilevel"/>
    <w:tmpl w:val="B70A6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57546"/>
    <w:multiLevelType w:val="multilevel"/>
    <w:tmpl w:val="BB46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71195"/>
    <w:multiLevelType w:val="hybridMultilevel"/>
    <w:tmpl w:val="78A8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A49F4"/>
    <w:multiLevelType w:val="hybridMultilevel"/>
    <w:tmpl w:val="74C2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21661"/>
    <w:multiLevelType w:val="hybridMultilevel"/>
    <w:tmpl w:val="640A5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E26A6"/>
    <w:multiLevelType w:val="hybridMultilevel"/>
    <w:tmpl w:val="DB18E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901445"/>
    <w:multiLevelType w:val="hybridMultilevel"/>
    <w:tmpl w:val="9E74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853A7"/>
    <w:multiLevelType w:val="hybridMultilevel"/>
    <w:tmpl w:val="0FF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21591"/>
    <w:multiLevelType w:val="hybridMultilevel"/>
    <w:tmpl w:val="F6CA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184D82"/>
    <w:multiLevelType w:val="hybridMultilevel"/>
    <w:tmpl w:val="54A6E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36396"/>
    <w:multiLevelType w:val="hybridMultilevel"/>
    <w:tmpl w:val="E974B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71B1E"/>
    <w:multiLevelType w:val="hybridMultilevel"/>
    <w:tmpl w:val="73FAC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830F0"/>
    <w:multiLevelType w:val="hybridMultilevel"/>
    <w:tmpl w:val="450E7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631D74"/>
    <w:multiLevelType w:val="hybridMultilevel"/>
    <w:tmpl w:val="B7B299A8"/>
    <w:lvl w:ilvl="0" w:tplc="5B32EBDC">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8C550B"/>
    <w:multiLevelType w:val="hybridMultilevel"/>
    <w:tmpl w:val="917C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A69BA"/>
    <w:multiLevelType w:val="hybridMultilevel"/>
    <w:tmpl w:val="831065BA"/>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4E5C5B"/>
    <w:multiLevelType w:val="hybridMultilevel"/>
    <w:tmpl w:val="B0229F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9F86715"/>
    <w:multiLevelType w:val="hybridMultilevel"/>
    <w:tmpl w:val="A1CE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93804"/>
    <w:multiLevelType w:val="hybridMultilevel"/>
    <w:tmpl w:val="3EBC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29"/>
  </w:num>
  <w:num w:numId="4">
    <w:abstractNumId w:val="34"/>
  </w:num>
  <w:num w:numId="5">
    <w:abstractNumId w:val="33"/>
  </w:num>
  <w:num w:numId="6">
    <w:abstractNumId w:val="21"/>
  </w:num>
  <w:num w:numId="7">
    <w:abstractNumId w:val="31"/>
  </w:num>
  <w:num w:numId="8">
    <w:abstractNumId w:val="22"/>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28"/>
  </w:num>
  <w:num w:numId="15">
    <w:abstractNumId w:val="20"/>
  </w:num>
  <w:num w:numId="16">
    <w:abstractNumId w:val="25"/>
  </w:num>
  <w:num w:numId="17">
    <w:abstractNumId w:val="13"/>
  </w:num>
  <w:num w:numId="18">
    <w:abstractNumId w:val="35"/>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8"/>
  </w:num>
  <w:num w:numId="23">
    <w:abstractNumId w:val="27"/>
  </w:num>
  <w:num w:numId="24">
    <w:abstractNumId w:val="10"/>
  </w:num>
  <w:num w:numId="25">
    <w:abstractNumId w:val="5"/>
  </w:num>
  <w:num w:numId="26">
    <w:abstractNumId w:val="15"/>
  </w:num>
  <w:num w:numId="27">
    <w:abstractNumId w:val="18"/>
  </w:num>
  <w:num w:numId="28">
    <w:abstractNumId w:val="36"/>
  </w:num>
  <w:num w:numId="29">
    <w:abstractNumId w:val="23"/>
  </w:num>
  <w:num w:numId="30">
    <w:abstractNumId w:val="12"/>
  </w:num>
  <w:num w:numId="31">
    <w:abstractNumId w:val="37"/>
  </w:num>
  <w:num w:numId="32">
    <w:abstractNumId w:val="7"/>
  </w:num>
  <w:num w:numId="33">
    <w:abstractNumId w:val="17"/>
  </w:num>
  <w:num w:numId="34">
    <w:abstractNumId w:val="26"/>
  </w:num>
  <w:num w:numId="35">
    <w:abstractNumId w:val="16"/>
  </w:num>
  <w:num w:numId="36">
    <w:abstractNumId w:val="19"/>
  </w:num>
  <w:num w:numId="37">
    <w:abstractNumId w:val="24"/>
  </w:num>
  <w:num w:numId="38">
    <w:abstractNumId w:val="2"/>
  </w:num>
  <w:num w:numId="39">
    <w:abstractNumId w:val="11"/>
  </w:num>
  <w:num w:numId="40">
    <w:abstractNumId w:val="9"/>
  </w:num>
  <w:num w:numId="41">
    <w:abstractNumId w:val="14"/>
  </w:num>
  <w:num w:numId="42">
    <w:abstractNumId w:val="4"/>
  </w:num>
  <w:num w:numId="4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3C"/>
    <w:rsid w:val="00003742"/>
    <w:rsid w:val="000047C1"/>
    <w:rsid w:val="00010285"/>
    <w:rsid w:val="00011675"/>
    <w:rsid w:val="00012F78"/>
    <w:rsid w:val="000146C4"/>
    <w:rsid w:val="00016E5D"/>
    <w:rsid w:val="0001715E"/>
    <w:rsid w:val="0002172D"/>
    <w:rsid w:val="0002177E"/>
    <w:rsid w:val="00021B81"/>
    <w:rsid w:val="00022190"/>
    <w:rsid w:val="000237EE"/>
    <w:rsid w:val="000256F5"/>
    <w:rsid w:val="00031442"/>
    <w:rsid w:val="00033EE6"/>
    <w:rsid w:val="00034321"/>
    <w:rsid w:val="00037DFD"/>
    <w:rsid w:val="00044FFD"/>
    <w:rsid w:val="00046D32"/>
    <w:rsid w:val="0005128B"/>
    <w:rsid w:val="00053D33"/>
    <w:rsid w:val="0005426B"/>
    <w:rsid w:val="000551EF"/>
    <w:rsid w:val="00055BD4"/>
    <w:rsid w:val="00056850"/>
    <w:rsid w:val="0006128E"/>
    <w:rsid w:val="00062AB5"/>
    <w:rsid w:val="00072C63"/>
    <w:rsid w:val="000757CB"/>
    <w:rsid w:val="00076442"/>
    <w:rsid w:val="0008176E"/>
    <w:rsid w:val="00086886"/>
    <w:rsid w:val="00090CC6"/>
    <w:rsid w:val="000930DB"/>
    <w:rsid w:val="00095020"/>
    <w:rsid w:val="00095367"/>
    <w:rsid w:val="000957A8"/>
    <w:rsid w:val="00095B10"/>
    <w:rsid w:val="000965F4"/>
    <w:rsid w:val="000A1BC4"/>
    <w:rsid w:val="000A31A6"/>
    <w:rsid w:val="000A3D71"/>
    <w:rsid w:val="000A609C"/>
    <w:rsid w:val="000B158E"/>
    <w:rsid w:val="000B325A"/>
    <w:rsid w:val="000B5B19"/>
    <w:rsid w:val="000B7975"/>
    <w:rsid w:val="000C0BF4"/>
    <w:rsid w:val="000C25AF"/>
    <w:rsid w:val="000C7B4E"/>
    <w:rsid w:val="000D09DC"/>
    <w:rsid w:val="000D3133"/>
    <w:rsid w:val="000E395A"/>
    <w:rsid w:val="000E5FA9"/>
    <w:rsid w:val="000E6546"/>
    <w:rsid w:val="000F0922"/>
    <w:rsid w:val="000F3D28"/>
    <w:rsid w:val="00104623"/>
    <w:rsid w:val="00105092"/>
    <w:rsid w:val="00106ADA"/>
    <w:rsid w:val="0011008E"/>
    <w:rsid w:val="001100ED"/>
    <w:rsid w:val="00110394"/>
    <w:rsid w:val="00110731"/>
    <w:rsid w:val="00111F54"/>
    <w:rsid w:val="00112C2B"/>
    <w:rsid w:val="001132DF"/>
    <w:rsid w:val="0011387B"/>
    <w:rsid w:val="0011486A"/>
    <w:rsid w:val="001164B3"/>
    <w:rsid w:val="00120524"/>
    <w:rsid w:val="00120BAF"/>
    <w:rsid w:val="0012235E"/>
    <w:rsid w:val="00124AE5"/>
    <w:rsid w:val="00126131"/>
    <w:rsid w:val="00127C8B"/>
    <w:rsid w:val="001302E1"/>
    <w:rsid w:val="00130D97"/>
    <w:rsid w:val="001313AB"/>
    <w:rsid w:val="001326FF"/>
    <w:rsid w:val="00136622"/>
    <w:rsid w:val="00136E1A"/>
    <w:rsid w:val="00142CC4"/>
    <w:rsid w:val="00145D2A"/>
    <w:rsid w:val="00147F79"/>
    <w:rsid w:val="00151395"/>
    <w:rsid w:val="00152435"/>
    <w:rsid w:val="00152DFC"/>
    <w:rsid w:val="00153FF9"/>
    <w:rsid w:val="00155573"/>
    <w:rsid w:val="00156B62"/>
    <w:rsid w:val="00160A74"/>
    <w:rsid w:val="00160F7E"/>
    <w:rsid w:val="00162E9D"/>
    <w:rsid w:val="00167563"/>
    <w:rsid w:val="00167B9C"/>
    <w:rsid w:val="0017124A"/>
    <w:rsid w:val="00171303"/>
    <w:rsid w:val="00175EE3"/>
    <w:rsid w:val="00180162"/>
    <w:rsid w:val="0018074D"/>
    <w:rsid w:val="00181656"/>
    <w:rsid w:val="00181D39"/>
    <w:rsid w:val="00182ED7"/>
    <w:rsid w:val="001832DE"/>
    <w:rsid w:val="00183DC2"/>
    <w:rsid w:val="0018563E"/>
    <w:rsid w:val="00191455"/>
    <w:rsid w:val="00192929"/>
    <w:rsid w:val="00194A21"/>
    <w:rsid w:val="0019523D"/>
    <w:rsid w:val="00196926"/>
    <w:rsid w:val="001A023A"/>
    <w:rsid w:val="001A0794"/>
    <w:rsid w:val="001A1A89"/>
    <w:rsid w:val="001A46F0"/>
    <w:rsid w:val="001A58E5"/>
    <w:rsid w:val="001A59DD"/>
    <w:rsid w:val="001A7A77"/>
    <w:rsid w:val="001B189B"/>
    <w:rsid w:val="001B2F93"/>
    <w:rsid w:val="001B3A7C"/>
    <w:rsid w:val="001B509F"/>
    <w:rsid w:val="001B5506"/>
    <w:rsid w:val="001B6122"/>
    <w:rsid w:val="001B78C1"/>
    <w:rsid w:val="001C1A2B"/>
    <w:rsid w:val="001C44EE"/>
    <w:rsid w:val="001C4E6E"/>
    <w:rsid w:val="001C610A"/>
    <w:rsid w:val="001D09F4"/>
    <w:rsid w:val="001D24CB"/>
    <w:rsid w:val="001D33C9"/>
    <w:rsid w:val="001D3A26"/>
    <w:rsid w:val="001D3C88"/>
    <w:rsid w:val="001D3F03"/>
    <w:rsid w:val="001D3F98"/>
    <w:rsid w:val="001D5EC8"/>
    <w:rsid w:val="001E2C0E"/>
    <w:rsid w:val="001E63EF"/>
    <w:rsid w:val="001E736B"/>
    <w:rsid w:val="001F20D2"/>
    <w:rsid w:val="001F2D0D"/>
    <w:rsid w:val="001F56B2"/>
    <w:rsid w:val="001F7C3C"/>
    <w:rsid w:val="00201DEA"/>
    <w:rsid w:val="002022E4"/>
    <w:rsid w:val="00203169"/>
    <w:rsid w:val="002053CB"/>
    <w:rsid w:val="002055DE"/>
    <w:rsid w:val="00206BAB"/>
    <w:rsid w:val="00207E8F"/>
    <w:rsid w:val="002119AC"/>
    <w:rsid w:val="00213567"/>
    <w:rsid w:val="00213882"/>
    <w:rsid w:val="00213C80"/>
    <w:rsid w:val="002145FF"/>
    <w:rsid w:val="00214E94"/>
    <w:rsid w:val="002177D0"/>
    <w:rsid w:val="002179E0"/>
    <w:rsid w:val="00217ACB"/>
    <w:rsid w:val="00221D72"/>
    <w:rsid w:val="002225B6"/>
    <w:rsid w:val="00222F0F"/>
    <w:rsid w:val="00223327"/>
    <w:rsid w:val="00223CDD"/>
    <w:rsid w:val="00224CCF"/>
    <w:rsid w:val="00230F66"/>
    <w:rsid w:val="0023369B"/>
    <w:rsid w:val="00233F7F"/>
    <w:rsid w:val="002355FA"/>
    <w:rsid w:val="002368F4"/>
    <w:rsid w:val="00236BC0"/>
    <w:rsid w:val="00237321"/>
    <w:rsid w:val="00242D2C"/>
    <w:rsid w:val="00244EF2"/>
    <w:rsid w:val="00246CCD"/>
    <w:rsid w:val="00250C26"/>
    <w:rsid w:val="0025209F"/>
    <w:rsid w:val="00252E5C"/>
    <w:rsid w:val="0025661A"/>
    <w:rsid w:val="002566B0"/>
    <w:rsid w:val="00256E22"/>
    <w:rsid w:val="00257478"/>
    <w:rsid w:val="002615E4"/>
    <w:rsid w:val="00261C7E"/>
    <w:rsid w:val="002677ED"/>
    <w:rsid w:val="00274527"/>
    <w:rsid w:val="00274C42"/>
    <w:rsid w:val="002772A2"/>
    <w:rsid w:val="002778F1"/>
    <w:rsid w:val="00280F2F"/>
    <w:rsid w:val="00281975"/>
    <w:rsid w:val="0028791B"/>
    <w:rsid w:val="002922D4"/>
    <w:rsid w:val="0029307A"/>
    <w:rsid w:val="002A1235"/>
    <w:rsid w:val="002A2993"/>
    <w:rsid w:val="002A2CE3"/>
    <w:rsid w:val="002A38E7"/>
    <w:rsid w:val="002A3CC2"/>
    <w:rsid w:val="002A41A6"/>
    <w:rsid w:val="002B2102"/>
    <w:rsid w:val="002B60A7"/>
    <w:rsid w:val="002B60D3"/>
    <w:rsid w:val="002C1356"/>
    <w:rsid w:val="002C3412"/>
    <w:rsid w:val="002C60A4"/>
    <w:rsid w:val="002C78C3"/>
    <w:rsid w:val="002D08D5"/>
    <w:rsid w:val="002D0D18"/>
    <w:rsid w:val="002D2899"/>
    <w:rsid w:val="002D49BB"/>
    <w:rsid w:val="002D6D64"/>
    <w:rsid w:val="002E39B8"/>
    <w:rsid w:val="002E5438"/>
    <w:rsid w:val="002E79F4"/>
    <w:rsid w:val="002F13DB"/>
    <w:rsid w:val="002F2DCE"/>
    <w:rsid w:val="002F3B3B"/>
    <w:rsid w:val="002F40CA"/>
    <w:rsid w:val="002F47CF"/>
    <w:rsid w:val="002F48EC"/>
    <w:rsid w:val="002F57A2"/>
    <w:rsid w:val="002F61BF"/>
    <w:rsid w:val="002F6523"/>
    <w:rsid w:val="002F799A"/>
    <w:rsid w:val="00302FC2"/>
    <w:rsid w:val="00305805"/>
    <w:rsid w:val="00306E7E"/>
    <w:rsid w:val="0030740D"/>
    <w:rsid w:val="00310485"/>
    <w:rsid w:val="003155FF"/>
    <w:rsid w:val="00316F30"/>
    <w:rsid w:val="003211DD"/>
    <w:rsid w:val="00325ED0"/>
    <w:rsid w:val="003270D3"/>
    <w:rsid w:val="00327FF0"/>
    <w:rsid w:val="00330C31"/>
    <w:rsid w:val="00331E3B"/>
    <w:rsid w:val="00334B7A"/>
    <w:rsid w:val="00334D67"/>
    <w:rsid w:val="003378A5"/>
    <w:rsid w:val="00340BD9"/>
    <w:rsid w:val="00341620"/>
    <w:rsid w:val="00343192"/>
    <w:rsid w:val="00343ADB"/>
    <w:rsid w:val="00343D5F"/>
    <w:rsid w:val="00345635"/>
    <w:rsid w:val="00345902"/>
    <w:rsid w:val="0034650B"/>
    <w:rsid w:val="00347889"/>
    <w:rsid w:val="003506F4"/>
    <w:rsid w:val="003520A7"/>
    <w:rsid w:val="0035250A"/>
    <w:rsid w:val="0035331F"/>
    <w:rsid w:val="003536ED"/>
    <w:rsid w:val="00353D07"/>
    <w:rsid w:val="003540A9"/>
    <w:rsid w:val="00354255"/>
    <w:rsid w:val="00354793"/>
    <w:rsid w:val="0035484B"/>
    <w:rsid w:val="00357746"/>
    <w:rsid w:val="00357AF0"/>
    <w:rsid w:val="00367C65"/>
    <w:rsid w:val="0037320E"/>
    <w:rsid w:val="003742D3"/>
    <w:rsid w:val="003817CE"/>
    <w:rsid w:val="0038190A"/>
    <w:rsid w:val="00384E1D"/>
    <w:rsid w:val="0038715D"/>
    <w:rsid w:val="003873D7"/>
    <w:rsid w:val="00393CC3"/>
    <w:rsid w:val="00395486"/>
    <w:rsid w:val="003A1D9B"/>
    <w:rsid w:val="003A589F"/>
    <w:rsid w:val="003A7FA1"/>
    <w:rsid w:val="003B3264"/>
    <w:rsid w:val="003B4C9B"/>
    <w:rsid w:val="003B5239"/>
    <w:rsid w:val="003B56FB"/>
    <w:rsid w:val="003B7B76"/>
    <w:rsid w:val="003C176A"/>
    <w:rsid w:val="003D289D"/>
    <w:rsid w:val="003D46B9"/>
    <w:rsid w:val="003D5F0F"/>
    <w:rsid w:val="003D6EC3"/>
    <w:rsid w:val="003E0853"/>
    <w:rsid w:val="003E0A59"/>
    <w:rsid w:val="003E32D9"/>
    <w:rsid w:val="003E4DEB"/>
    <w:rsid w:val="003E5576"/>
    <w:rsid w:val="003E6854"/>
    <w:rsid w:val="003F02AD"/>
    <w:rsid w:val="003F4D14"/>
    <w:rsid w:val="003F4EB1"/>
    <w:rsid w:val="003F707B"/>
    <w:rsid w:val="00400488"/>
    <w:rsid w:val="00400533"/>
    <w:rsid w:val="00402BAD"/>
    <w:rsid w:val="00404162"/>
    <w:rsid w:val="004059D1"/>
    <w:rsid w:val="00410364"/>
    <w:rsid w:val="00410E77"/>
    <w:rsid w:val="0041691A"/>
    <w:rsid w:val="00421037"/>
    <w:rsid w:val="004229EF"/>
    <w:rsid w:val="00422C26"/>
    <w:rsid w:val="00423334"/>
    <w:rsid w:val="00425085"/>
    <w:rsid w:val="00427554"/>
    <w:rsid w:val="004307BA"/>
    <w:rsid w:val="004316FE"/>
    <w:rsid w:val="00431D71"/>
    <w:rsid w:val="00432841"/>
    <w:rsid w:val="004328EE"/>
    <w:rsid w:val="00434BC5"/>
    <w:rsid w:val="00434DFE"/>
    <w:rsid w:val="004401FC"/>
    <w:rsid w:val="0044388D"/>
    <w:rsid w:val="004455D6"/>
    <w:rsid w:val="0045012A"/>
    <w:rsid w:val="00450243"/>
    <w:rsid w:val="00450552"/>
    <w:rsid w:val="00450E43"/>
    <w:rsid w:val="00451757"/>
    <w:rsid w:val="00453377"/>
    <w:rsid w:val="004533EC"/>
    <w:rsid w:val="0045406A"/>
    <w:rsid w:val="0045513E"/>
    <w:rsid w:val="004561A0"/>
    <w:rsid w:val="00457EF5"/>
    <w:rsid w:val="00463777"/>
    <w:rsid w:val="00463AEE"/>
    <w:rsid w:val="00463DD1"/>
    <w:rsid w:val="00464A68"/>
    <w:rsid w:val="00466609"/>
    <w:rsid w:val="00466CA9"/>
    <w:rsid w:val="00470E4A"/>
    <w:rsid w:val="004723BC"/>
    <w:rsid w:val="00472C21"/>
    <w:rsid w:val="0047358D"/>
    <w:rsid w:val="00474665"/>
    <w:rsid w:val="004751FF"/>
    <w:rsid w:val="00475CDB"/>
    <w:rsid w:val="00475E78"/>
    <w:rsid w:val="0047674A"/>
    <w:rsid w:val="00483CD4"/>
    <w:rsid w:val="0048504B"/>
    <w:rsid w:val="00487D49"/>
    <w:rsid w:val="004920B6"/>
    <w:rsid w:val="00492F67"/>
    <w:rsid w:val="0049317F"/>
    <w:rsid w:val="00495ADF"/>
    <w:rsid w:val="004A100D"/>
    <w:rsid w:val="004A2778"/>
    <w:rsid w:val="004B1701"/>
    <w:rsid w:val="004B3D04"/>
    <w:rsid w:val="004B3E35"/>
    <w:rsid w:val="004B505F"/>
    <w:rsid w:val="004C0743"/>
    <w:rsid w:val="004C0E0E"/>
    <w:rsid w:val="004C2423"/>
    <w:rsid w:val="004C3E92"/>
    <w:rsid w:val="004C439D"/>
    <w:rsid w:val="004C4C36"/>
    <w:rsid w:val="004C56A3"/>
    <w:rsid w:val="004D0161"/>
    <w:rsid w:val="004D0582"/>
    <w:rsid w:val="004D0963"/>
    <w:rsid w:val="004D3C37"/>
    <w:rsid w:val="004D407D"/>
    <w:rsid w:val="004D70B1"/>
    <w:rsid w:val="004E0E8D"/>
    <w:rsid w:val="004E202C"/>
    <w:rsid w:val="004E2575"/>
    <w:rsid w:val="004E330F"/>
    <w:rsid w:val="004E35A9"/>
    <w:rsid w:val="004E62E6"/>
    <w:rsid w:val="004E7827"/>
    <w:rsid w:val="004F167F"/>
    <w:rsid w:val="004F1E2D"/>
    <w:rsid w:val="004F5EB3"/>
    <w:rsid w:val="005004F8"/>
    <w:rsid w:val="0050115D"/>
    <w:rsid w:val="00504DCF"/>
    <w:rsid w:val="00506B2D"/>
    <w:rsid w:val="00511375"/>
    <w:rsid w:val="00512700"/>
    <w:rsid w:val="00512F04"/>
    <w:rsid w:val="00513A5F"/>
    <w:rsid w:val="00513E02"/>
    <w:rsid w:val="0051577F"/>
    <w:rsid w:val="00516D68"/>
    <w:rsid w:val="00517264"/>
    <w:rsid w:val="0051744A"/>
    <w:rsid w:val="005217EF"/>
    <w:rsid w:val="00522897"/>
    <w:rsid w:val="00522AD4"/>
    <w:rsid w:val="00525B43"/>
    <w:rsid w:val="00531587"/>
    <w:rsid w:val="00531A7E"/>
    <w:rsid w:val="00534DAB"/>
    <w:rsid w:val="005359C0"/>
    <w:rsid w:val="0053723B"/>
    <w:rsid w:val="005375D0"/>
    <w:rsid w:val="00541CA2"/>
    <w:rsid w:val="005453DD"/>
    <w:rsid w:val="00546209"/>
    <w:rsid w:val="00547F89"/>
    <w:rsid w:val="0055076B"/>
    <w:rsid w:val="00551F4D"/>
    <w:rsid w:val="0055363C"/>
    <w:rsid w:val="00553705"/>
    <w:rsid w:val="00555F75"/>
    <w:rsid w:val="00557329"/>
    <w:rsid w:val="0055752E"/>
    <w:rsid w:val="00557DE2"/>
    <w:rsid w:val="00561B56"/>
    <w:rsid w:val="00563438"/>
    <w:rsid w:val="00563D28"/>
    <w:rsid w:val="00566136"/>
    <w:rsid w:val="005749DD"/>
    <w:rsid w:val="00575AD6"/>
    <w:rsid w:val="00576BEF"/>
    <w:rsid w:val="0057707D"/>
    <w:rsid w:val="005828C3"/>
    <w:rsid w:val="0058360B"/>
    <w:rsid w:val="005909A3"/>
    <w:rsid w:val="00590C43"/>
    <w:rsid w:val="005912B9"/>
    <w:rsid w:val="00593089"/>
    <w:rsid w:val="00596F56"/>
    <w:rsid w:val="005975D4"/>
    <w:rsid w:val="005A0ECA"/>
    <w:rsid w:val="005A4570"/>
    <w:rsid w:val="005A677E"/>
    <w:rsid w:val="005A7F97"/>
    <w:rsid w:val="005B0649"/>
    <w:rsid w:val="005B21C5"/>
    <w:rsid w:val="005B2569"/>
    <w:rsid w:val="005B2EE5"/>
    <w:rsid w:val="005B4154"/>
    <w:rsid w:val="005B4A99"/>
    <w:rsid w:val="005B50F4"/>
    <w:rsid w:val="005B5170"/>
    <w:rsid w:val="005B6DA4"/>
    <w:rsid w:val="005B7B6C"/>
    <w:rsid w:val="005C255F"/>
    <w:rsid w:val="005C43A1"/>
    <w:rsid w:val="005D2B72"/>
    <w:rsid w:val="005D343B"/>
    <w:rsid w:val="005D69D6"/>
    <w:rsid w:val="005E1462"/>
    <w:rsid w:val="005E217C"/>
    <w:rsid w:val="005E23DE"/>
    <w:rsid w:val="005E39F2"/>
    <w:rsid w:val="005E3F9A"/>
    <w:rsid w:val="005E44E8"/>
    <w:rsid w:val="005E54D9"/>
    <w:rsid w:val="005E5A43"/>
    <w:rsid w:val="005E62F2"/>
    <w:rsid w:val="005E7EC0"/>
    <w:rsid w:val="005F2A4A"/>
    <w:rsid w:val="005F3E92"/>
    <w:rsid w:val="005F70D5"/>
    <w:rsid w:val="005F7903"/>
    <w:rsid w:val="006040A6"/>
    <w:rsid w:val="006048A8"/>
    <w:rsid w:val="00604E34"/>
    <w:rsid w:val="00605A8E"/>
    <w:rsid w:val="00605B8B"/>
    <w:rsid w:val="00606B18"/>
    <w:rsid w:val="00613A18"/>
    <w:rsid w:val="0061597D"/>
    <w:rsid w:val="00615C67"/>
    <w:rsid w:val="00622A6F"/>
    <w:rsid w:val="0062519F"/>
    <w:rsid w:val="00625DFD"/>
    <w:rsid w:val="006269EB"/>
    <w:rsid w:val="00626DBA"/>
    <w:rsid w:val="0062768C"/>
    <w:rsid w:val="006316CD"/>
    <w:rsid w:val="00632AAE"/>
    <w:rsid w:val="00635CB0"/>
    <w:rsid w:val="0063624A"/>
    <w:rsid w:val="00640023"/>
    <w:rsid w:val="00643F39"/>
    <w:rsid w:val="006442A1"/>
    <w:rsid w:val="00650BCB"/>
    <w:rsid w:val="00656427"/>
    <w:rsid w:val="00656709"/>
    <w:rsid w:val="00657935"/>
    <w:rsid w:val="0065799B"/>
    <w:rsid w:val="00662BD9"/>
    <w:rsid w:val="00663D09"/>
    <w:rsid w:val="006659B3"/>
    <w:rsid w:val="006713F3"/>
    <w:rsid w:val="00673F0F"/>
    <w:rsid w:val="00675022"/>
    <w:rsid w:val="006750F0"/>
    <w:rsid w:val="006763FF"/>
    <w:rsid w:val="006846B6"/>
    <w:rsid w:val="00684F4C"/>
    <w:rsid w:val="00691440"/>
    <w:rsid w:val="00691E2B"/>
    <w:rsid w:val="006921BD"/>
    <w:rsid w:val="006925A2"/>
    <w:rsid w:val="00693518"/>
    <w:rsid w:val="006969D6"/>
    <w:rsid w:val="00696ABE"/>
    <w:rsid w:val="006A10BF"/>
    <w:rsid w:val="006A2387"/>
    <w:rsid w:val="006A3FFE"/>
    <w:rsid w:val="006A604F"/>
    <w:rsid w:val="006A63CF"/>
    <w:rsid w:val="006A6E83"/>
    <w:rsid w:val="006B14CF"/>
    <w:rsid w:val="006B3CB0"/>
    <w:rsid w:val="006B4955"/>
    <w:rsid w:val="006B5E53"/>
    <w:rsid w:val="006C2222"/>
    <w:rsid w:val="006C3B2D"/>
    <w:rsid w:val="006C4382"/>
    <w:rsid w:val="006C5B50"/>
    <w:rsid w:val="006C660D"/>
    <w:rsid w:val="006D3678"/>
    <w:rsid w:val="006D4600"/>
    <w:rsid w:val="006D6C5C"/>
    <w:rsid w:val="006E2440"/>
    <w:rsid w:val="006E46F8"/>
    <w:rsid w:val="006E5049"/>
    <w:rsid w:val="006E5FD0"/>
    <w:rsid w:val="006E7579"/>
    <w:rsid w:val="006E7CDA"/>
    <w:rsid w:val="006F0CB5"/>
    <w:rsid w:val="006F37A8"/>
    <w:rsid w:val="00704485"/>
    <w:rsid w:val="00705B96"/>
    <w:rsid w:val="00706224"/>
    <w:rsid w:val="00706274"/>
    <w:rsid w:val="00706653"/>
    <w:rsid w:val="00707527"/>
    <w:rsid w:val="00707F96"/>
    <w:rsid w:val="007119AB"/>
    <w:rsid w:val="00712259"/>
    <w:rsid w:val="007126D6"/>
    <w:rsid w:val="0071443E"/>
    <w:rsid w:val="00717571"/>
    <w:rsid w:val="00720E5F"/>
    <w:rsid w:val="00721A38"/>
    <w:rsid w:val="00722078"/>
    <w:rsid w:val="00723637"/>
    <w:rsid w:val="00723B76"/>
    <w:rsid w:val="00726255"/>
    <w:rsid w:val="00731BA5"/>
    <w:rsid w:val="00731E03"/>
    <w:rsid w:val="0073414D"/>
    <w:rsid w:val="00735D36"/>
    <w:rsid w:val="00736695"/>
    <w:rsid w:val="00737857"/>
    <w:rsid w:val="00740288"/>
    <w:rsid w:val="00740566"/>
    <w:rsid w:val="00743B36"/>
    <w:rsid w:val="0074484B"/>
    <w:rsid w:val="00747F72"/>
    <w:rsid w:val="00751C0F"/>
    <w:rsid w:val="0075331E"/>
    <w:rsid w:val="00755297"/>
    <w:rsid w:val="0075573A"/>
    <w:rsid w:val="007558D1"/>
    <w:rsid w:val="00760ED7"/>
    <w:rsid w:val="0076448A"/>
    <w:rsid w:val="00764529"/>
    <w:rsid w:val="00764A50"/>
    <w:rsid w:val="00765892"/>
    <w:rsid w:val="007665D8"/>
    <w:rsid w:val="00773689"/>
    <w:rsid w:val="007741D3"/>
    <w:rsid w:val="007745A1"/>
    <w:rsid w:val="00776406"/>
    <w:rsid w:val="00780DDB"/>
    <w:rsid w:val="00781B1B"/>
    <w:rsid w:val="00782650"/>
    <w:rsid w:val="007838EC"/>
    <w:rsid w:val="00784047"/>
    <w:rsid w:val="00786C85"/>
    <w:rsid w:val="007872E0"/>
    <w:rsid w:val="00787D03"/>
    <w:rsid w:val="007A1905"/>
    <w:rsid w:val="007A4A37"/>
    <w:rsid w:val="007B18BA"/>
    <w:rsid w:val="007B18EA"/>
    <w:rsid w:val="007B5258"/>
    <w:rsid w:val="007B5983"/>
    <w:rsid w:val="007B5B2B"/>
    <w:rsid w:val="007C01A5"/>
    <w:rsid w:val="007C338B"/>
    <w:rsid w:val="007C3C05"/>
    <w:rsid w:val="007C47F1"/>
    <w:rsid w:val="007C4A4E"/>
    <w:rsid w:val="007C5DCF"/>
    <w:rsid w:val="007C61E4"/>
    <w:rsid w:val="007C7074"/>
    <w:rsid w:val="007C7634"/>
    <w:rsid w:val="007D2CE6"/>
    <w:rsid w:val="007D2CF0"/>
    <w:rsid w:val="007D3125"/>
    <w:rsid w:val="007D3457"/>
    <w:rsid w:val="007D4CFC"/>
    <w:rsid w:val="007D4ED4"/>
    <w:rsid w:val="007E0952"/>
    <w:rsid w:val="007E15BB"/>
    <w:rsid w:val="007E16F1"/>
    <w:rsid w:val="007E207E"/>
    <w:rsid w:val="007E4A5C"/>
    <w:rsid w:val="007E6753"/>
    <w:rsid w:val="007F1833"/>
    <w:rsid w:val="007F1EA3"/>
    <w:rsid w:val="007F24D3"/>
    <w:rsid w:val="007F293F"/>
    <w:rsid w:val="007F382D"/>
    <w:rsid w:val="007F50C9"/>
    <w:rsid w:val="007F5631"/>
    <w:rsid w:val="007F576C"/>
    <w:rsid w:val="007F7D99"/>
    <w:rsid w:val="0080175C"/>
    <w:rsid w:val="00802967"/>
    <w:rsid w:val="00804E98"/>
    <w:rsid w:val="00807E0E"/>
    <w:rsid w:val="00810192"/>
    <w:rsid w:val="00813713"/>
    <w:rsid w:val="00815BB0"/>
    <w:rsid w:val="0081656F"/>
    <w:rsid w:val="00817F15"/>
    <w:rsid w:val="00822461"/>
    <w:rsid w:val="008241F7"/>
    <w:rsid w:val="00824734"/>
    <w:rsid w:val="008311E6"/>
    <w:rsid w:val="00831DF5"/>
    <w:rsid w:val="00832BA3"/>
    <w:rsid w:val="008331C3"/>
    <w:rsid w:val="008357CC"/>
    <w:rsid w:val="00835D1D"/>
    <w:rsid w:val="008361AF"/>
    <w:rsid w:val="008423C2"/>
    <w:rsid w:val="0084679B"/>
    <w:rsid w:val="00846A8B"/>
    <w:rsid w:val="00847929"/>
    <w:rsid w:val="00847FE9"/>
    <w:rsid w:val="00852942"/>
    <w:rsid w:val="008548A1"/>
    <w:rsid w:val="008554F0"/>
    <w:rsid w:val="00855A4D"/>
    <w:rsid w:val="00856CF5"/>
    <w:rsid w:val="0086043F"/>
    <w:rsid w:val="008633DF"/>
    <w:rsid w:val="00870307"/>
    <w:rsid w:val="0087417D"/>
    <w:rsid w:val="00874CA7"/>
    <w:rsid w:val="00874EA9"/>
    <w:rsid w:val="00876088"/>
    <w:rsid w:val="00876FAD"/>
    <w:rsid w:val="00877EC6"/>
    <w:rsid w:val="008807B7"/>
    <w:rsid w:val="008808FA"/>
    <w:rsid w:val="008815DF"/>
    <w:rsid w:val="00885212"/>
    <w:rsid w:val="0089164E"/>
    <w:rsid w:val="00893E24"/>
    <w:rsid w:val="008A0231"/>
    <w:rsid w:val="008A0A0F"/>
    <w:rsid w:val="008A13E2"/>
    <w:rsid w:val="008A3CF6"/>
    <w:rsid w:val="008A4C91"/>
    <w:rsid w:val="008B0468"/>
    <w:rsid w:val="008B1550"/>
    <w:rsid w:val="008B16E3"/>
    <w:rsid w:val="008B29BB"/>
    <w:rsid w:val="008B3BC8"/>
    <w:rsid w:val="008B4073"/>
    <w:rsid w:val="008B50A8"/>
    <w:rsid w:val="008B58BF"/>
    <w:rsid w:val="008B5C4D"/>
    <w:rsid w:val="008B61A1"/>
    <w:rsid w:val="008B65D2"/>
    <w:rsid w:val="008B79CD"/>
    <w:rsid w:val="008C32FD"/>
    <w:rsid w:val="008C3DC5"/>
    <w:rsid w:val="008C3FC1"/>
    <w:rsid w:val="008C4EC0"/>
    <w:rsid w:val="008C576C"/>
    <w:rsid w:val="008C5C06"/>
    <w:rsid w:val="008D005E"/>
    <w:rsid w:val="008D0635"/>
    <w:rsid w:val="008D0BDF"/>
    <w:rsid w:val="008D1165"/>
    <w:rsid w:val="008D43BE"/>
    <w:rsid w:val="008E0EF2"/>
    <w:rsid w:val="008E56C9"/>
    <w:rsid w:val="008E7D6E"/>
    <w:rsid w:val="008F071F"/>
    <w:rsid w:val="008F3D28"/>
    <w:rsid w:val="008F5037"/>
    <w:rsid w:val="008F55FE"/>
    <w:rsid w:val="00900586"/>
    <w:rsid w:val="00905FF3"/>
    <w:rsid w:val="00906F6F"/>
    <w:rsid w:val="0091229C"/>
    <w:rsid w:val="00913340"/>
    <w:rsid w:val="009164CC"/>
    <w:rsid w:val="0092164B"/>
    <w:rsid w:val="00923075"/>
    <w:rsid w:val="0092337C"/>
    <w:rsid w:val="00924407"/>
    <w:rsid w:val="00926D45"/>
    <w:rsid w:val="00932612"/>
    <w:rsid w:val="00932B36"/>
    <w:rsid w:val="00932F9A"/>
    <w:rsid w:val="00933F7A"/>
    <w:rsid w:val="00937302"/>
    <w:rsid w:val="009405BF"/>
    <w:rsid w:val="00942496"/>
    <w:rsid w:val="00942ABD"/>
    <w:rsid w:val="00944108"/>
    <w:rsid w:val="00944BB4"/>
    <w:rsid w:val="00946D72"/>
    <w:rsid w:val="00947647"/>
    <w:rsid w:val="00947A84"/>
    <w:rsid w:val="00951564"/>
    <w:rsid w:val="009521AD"/>
    <w:rsid w:val="009522AC"/>
    <w:rsid w:val="00954944"/>
    <w:rsid w:val="009564D8"/>
    <w:rsid w:val="0096099F"/>
    <w:rsid w:val="00965597"/>
    <w:rsid w:val="00971756"/>
    <w:rsid w:val="00972892"/>
    <w:rsid w:val="00973DC7"/>
    <w:rsid w:val="009751CD"/>
    <w:rsid w:val="009752B7"/>
    <w:rsid w:val="00975B68"/>
    <w:rsid w:val="00981374"/>
    <w:rsid w:val="00982366"/>
    <w:rsid w:val="0098380F"/>
    <w:rsid w:val="009875AE"/>
    <w:rsid w:val="00991ABE"/>
    <w:rsid w:val="00995FB5"/>
    <w:rsid w:val="009963B7"/>
    <w:rsid w:val="00996D51"/>
    <w:rsid w:val="00997B58"/>
    <w:rsid w:val="00997C0A"/>
    <w:rsid w:val="009A0B54"/>
    <w:rsid w:val="009A1C3D"/>
    <w:rsid w:val="009A1D25"/>
    <w:rsid w:val="009A230F"/>
    <w:rsid w:val="009A41A4"/>
    <w:rsid w:val="009A4963"/>
    <w:rsid w:val="009A4D4C"/>
    <w:rsid w:val="009A5D09"/>
    <w:rsid w:val="009A6DEC"/>
    <w:rsid w:val="009A703B"/>
    <w:rsid w:val="009A73C6"/>
    <w:rsid w:val="009A7DB5"/>
    <w:rsid w:val="009B15C5"/>
    <w:rsid w:val="009B41A4"/>
    <w:rsid w:val="009B607C"/>
    <w:rsid w:val="009B66BB"/>
    <w:rsid w:val="009C6EA2"/>
    <w:rsid w:val="009D092F"/>
    <w:rsid w:val="009D0E6A"/>
    <w:rsid w:val="009D3619"/>
    <w:rsid w:val="009D6B44"/>
    <w:rsid w:val="009E0FB3"/>
    <w:rsid w:val="009E4DC5"/>
    <w:rsid w:val="009F1792"/>
    <w:rsid w:val="009F1995"/>
    <w:rsid w:val="009F2884"/>
    <w:rsid w:val="009F448A"/>
    <w:rsid w:val="009F4C01"/>
    <w:rsid w:val="009F5FDF"/>
    <w:rsid w:val="009F6C56"/>
    <w:rsid w:val="009F74F9"/>
    <w:rsid w:val="009F7679"/>
    <w:rsid w:val="00A00226"/>
    <w:rsid w:val="00A00CAE"/>
    <w:rsid w:val="00A02379"/>
    <w:rsid w:val="00A02943"/>
    <w:rsid w:val="00A04F8B"/>
    <w:rsid w:val="00A13D69"/>
    <w:rsid w:val="00A14087"/>
    <w:rsid w:val="00A15F7A"/>
    <w:rsid w:val="00A16980"/>
    <w:rsid w:val="00A200F8"/>
    <w:rsid w:val="00A209B8"/>
    <w:rsid w:val="00A234D4"/>
    <w:rsid w:val="00A24170"/>
    <w:rsid w:val="00A2677B"/>
    <w:rsid w:val="00A32B08"/>
    <w:rsid w:val="00A34261"/>
    <w:rsid w:val="00A40208"/>
    <w:rsid w:val="00A40D9F"/>
    <w:rsid w:val="00A4193F"/>
    <w:rsid w:val="00A41A6F"/>
    <w:rsid w:val="00A41B84"/>
    <w:rsid w:val="00A425A8"/>
    <w:rsid w:val="00A44174"/>
    <w:rsid w:val="00A45B43"/>
    <w:rsid w:val="00A46188"/>
    <w:rsid w:val="00A531F7"/>
    <w:rsid w:val="00A534C7"/>
    <w:rsid w:val="00A53954"/>
    <w:rsid w:val="00A54508"/>
    <w:rsid w:val="00A55658"/>
    <w:rsid w:val="00A57FFA"/>
    <w:rsid w:val="00A60999"/>
    <w:rsid w:val="00A62DED"/>
    <w:rsid w:val="00A63C9D"/>
    <w:rsid w:val="00A65419"/>
    <w:rsid w:val="00A664A2"/>
    <w:rsid w:val="00A66BE1"/>
    <w:rsid w:val="00A671BB"/>
    <w:rsid w:val="00A74D35"/>
    <w:rsid w:val="00A762B2"/>
    <w:rsid w:val="00A768DD"/>
    <w:rsid w:val="00A829A3"/>
    <w:rsid w:val="00A861AA"/>
    <w:rsid w:val="00A86AB6"/>
    <w:rsid w:val="00A86EDF"/>
    <w:rsid w:val="00A901B2"/>
    <w:rsid w:val="00A90645"/>
    <w:rsid w:val="00A9079D"/>
    <w:rsid w:val="00A9194B"/>
    <w:rsid w:val="00A93010"/>
    <w:rsid w:val="00A935D1"/>
    <w:rsid w:val="00A95E62"/>
    <w:rsid w:val="00AA01E3"/>
    <w:rsid w:val="00AA0BBC"/>
    <w:rsid w:val="00AA2200"/>
    <w:rsid w:val="00AA2527"/>
    <w:rsid w:val="00AA295A"/>
    <w:rsid w:val="00AA5527"/>
    <w:rsid w:val="00AA573E"/>
    <w:rsid w:val="00AA6DB6"/>
    <w:rsid w:val="00AB26EE"/>
    <w:rsid w:val="00AB6D73"/>
    <w:rsid w:val="00AC6ACE"/>
    <w:rsid w:val="00AD1541"/>
    <w:rsid w:val="00AD19AF"/>
    <w:rsid w:val="00AD2236"/>
    <w:rsid w:val="00AD2C3E"/>
    <w:rsid w:val="00AE192A"/>
    <w:rsid w:val="00AE5483"/>
    <w:rsid w:val="00AE6202"/>
    <w:rsid w:val="00AF0804"/>
    <w:rsid w:val="00AF1219"/>
    <w:rsid w:val="00AF35B4"/>
    <w:rsid w:val="00AF376C"/>
    <w:rsid w:val="00AF68DE"/>
    <w:rsid w:val="00AF6FCD"/>
    <w:rsid w:val="00B00871"/>
    <w:rsid w:val="00B025E6"/>
    <w:rsid w:val="00B04CD0"/>
    <w:rsid w:val="00B0565E"/>
    <w:rsid w:val="00B05C52"/>
    <w:rsid w:val="00B1141C"/>
    <w:rsid w:val="00B11FBB"/>
    <w:rsid w:val="00B12F53"/>
    <w:rsid w:val="00B14DA8"/>
    <w:rsid w:val="00B1510B"/>
    <w:rsid w:val="00B15B33"/>
    <w:rsid w:val="00B15E03"/>
    <w:rsid w:val="00B20569"/>
    <w:rsid w:val="00B21443"/>
    <w:rsid w:val="00B2236C"/>
    <w:rsid w:val="00B231F5"/>
    <w:rsid w:val="00B234E3"/>
    <w:rsid w:val="00B2400C"/>
    <w:rsid w:val="00B26EC9"/>
    <w:rsid w:val="00B30A9A"/>
    <w:rsid w:val="00B37A70"/>
    <w:rsid w:val="00B40509"/>
    <w:rsid w:val="00B432D0"/>
    <w:rsid w:val="00B4391F"/>
    <w:rsid w:val="00B4410E"/>
    <w:rsid w:val="00B45634"/>
    <w:rsid w:val="00B47675"/>
    <w:rsid w:val="00B500B6"/>
    <w:rsid w:val="00B53E72"/>
    <w:rsid w:val="00B54F7B"/>
    <w:rsid w:val="00B572FC"/>
    <w:rsid w:val="00B668C1"/>
    <w:rsid w:val="00B679AD"/>
    <w:rsid w:val="00B67F30"/>
    <w:rsid w:val="00B7092B"/>
    <w:rsid w:val="00B70AF8"/>
    <w:rsid w:val="00B73029"/>
    <w:rsid w:val="00B76002"/>
    <w:rsid w:val="00B77A91"/>
    <w:rsid w:val="00B80442"/>
    <w:rsid w:val="00B8081F"/>
    <w:rsid w:val="00B85174"/>
    <w:rsid w:val="00B854D4"/>
    <w:rsid w:val="00B90298"/>
    <w:rsid w:val="00B93358"/>
    <w:rsid w:val="00B96B3F"/>
    <w:rsid w:val="00B96C96"/>
    <w:rsid w:val="00B97D46"/>
    <w:rsid w:val="00BA0B86"/>
    <w:rsid w:val="00BA0F3D"/>
    <w:rsid w:val="00BA384D"/>
    <w:rsid w:val="00BA52EC"/>
    <w:rsid w:val="00BB22BA"/>
    <w:rsid w:val="00BB6DE5"/>
    <w:rsid w:val="00BB7CFA"/>
    <w:rsid w:val="00BC27F0"/>
    <w:rsid w:val="00BC378F"/>
    <w:rsid w:val="00BC6EFB"/>
    <w:rsid w:val="00BD0A69"/>
    <w:rsid w:val="00BD1033"/>
    <w:rsid w:val="00BD47F9"/>
    <w:rsid w:val="00BD60B3"/>
    <w:rsid w:val="00BE2D02"/>
    <w:rsid w:val="00BE305C"/>
    <w:rsid w:val="00BE32C4"/>
    <w:rsid w:val="00BE4187"/>
    <w:rsid w:val="00BE4639"/>
    <w:rsid w:val="00BE4BDE"/>
    <w:rsid w:val="00BE7545"/>
    <w:rsid w:val="00BF176E"/>
    <w:rsid w:val="00BF26AA"/>
    <w:rsid w:val="00BF2DDE"/>
    <w:rsid w:val="00BF3029"/>
    <w:rsid w:val="00BF6D21"/>
    <w:rsid w:val="00C00ED5"/>
    <w:rsid w:val="00C012CF"/>
    <w:rsid w:val="00C01AA5"/>
    <w:rsid w:val="00C0395E"/>
    <w:rsid w:val="00C03D72"/>
    <w:rsid w:val="00C04D8A"/>
    <w:rsid w:val="00C056FE"/>
    <w:rsid w:val="00C05817"/>
    <w:rsid w:val="00C058BF"/>
    <w:rsid w:val="00C10BB4"/>
    <w:rsid w:val="00C149ED"/>
    <w:rsid w:val="00C156AA"/>
    <w:rsid w:val="00C15D06"/>
    <w:rsid w:val="00C162E9"/>
    <w:rsid w:val="00C16A03"/>
    <w:rsid w:val="00C207AD"/>
    <w:rsid w:val="00C32C39"/>
    <w:rsid w:val="00C3460C"/>
    <w:rsid w:val="00C3488F"/>
    <w:rsid w:val="00C40D2F"/>
    <w:rsid w:val="00C43320"/>
    <w:rsid w:val="00C526D2"/>
    <w:rsid w:val="00C54030"/>
    <w:rsid w:val="00C54502"/>
    <w:rsid w:val="00C56316"/>
    <w:rsid w:val="00C56583"/>
    <w:rsid w:val="00C579EA"/>
    <w:rsid w:val="00C57DB3"/>
    <w:rsid w:val="00C57DF3"/>
    <w:rsid w:val="00C606F0"/>
    <w:rsid w:val="00C60F05"/>
    <w:rsid w:val="00C619F0"/>
    <w:rsid w:val="00C62587"/>
    <w:rsid w:val="00C62900"/>
    <w:rsid w:val="00C644A3"/>
    <w:rsid w:val="00C65FD6"/>
    <w:rsid w:val="00C70324"/>
    <w:rsid w:val="00C72CFF"/>
    <w:rsid w:val="00C74528"/>
    <w:rsid w:val="00C74FF8"/>
    <w:rsid w:val="00C75361"/>
    <w:rsid w:val="00C758FB"/>
    <w:rsid w:val="00C764DD"/>
    <w:rsid w:val="00C77DB4"/>
    <w:rsid w:val="00C810C8"/>
    <w:rsid w:val="00C81A36"/>
    <w:rsid w:val="00C834B3"/>
    <w:rsid w:val="00C844D6"/>
    <w:rsid w:val="00C90D46"/>
    <w:rsid w:val="00C93F07"/>
    <w:rsid w:val="00CA1153"/>
    <w:rsid w:val="00CA2A5A"/>
    <w:rsid w:val="00CA4F62"/>
    <w:rsid w:val="00CA56CB"/>
    <w:rsid w:val="00CA5AD3"/>
    <w:rsid w:val="00CA6261"/>
    <w:rsid w:val="00CA6A7F"/>
    <w:rsid w:val="00CA6C85"/>
    <w:rsid w:val="00CB0350"/>
    <w:rsid w:val="00CB231F"/>
    <w:rsid w:val="00CB3734"/>
    <w:rsid w:val="00CB6FA9"/>
    <w:rsid w:val="00CC0119"/>
    <w:rsid w:val="00CC0304"/>
    <w:rsid w:val="00CC2139"/>
    <w:rsid w:val="00CC5AC0"/>
    <w:rsid w:val="00CD0B7E"/>
    <w:rsid w:val="00CD0CA0"/>
    <w:rsid w:val="00CD1C60"/>
    <w:rsid w:val="00CD3575"/>
    <w:rsid w:val="00CD5657"/>
    <w:rsid w:val="00CD5B39"/>
    <w:rsid w:val="00CD6A6D"/>
    <w:rsid w:val="00CE02F4"/>
    <w:rsid w:val="00CF22F5"/>
    <w:rsid w:val="00CF5722"/>
    <w:rsid w:val="00CF5FF1"/>
    <w:rsid w:val="00D011CD"/>
    <w:rsid w:val="00D02BBD"/>
    <w:rsid w:val="00D03C09"/>
    <w:rsid w:val="00D06003"/>
    <w:rsid w:val="00D161FC"/>
    <w:rsid w:val="00D16898"/>
    <w:rsid w:val="00D17B6B"/>
    <w:rsid w:val="00D17E2D"/>
    <w:rsid w:val="00D21F8F"/>
    <w:rsid w:val="00D2261C"/>
    <w:rsid w:val="00D244ED"/>
    <w:rsid w:val="00D257B1"/>
    <w:rsid w:val="00D3155E"/>
    <w:rsid w:val="00D34D18"/>
    <w:rsid w:val="00D358C3"/>
    <w:rsid w:val="00D428B5"/>
    <w:rsid w:val="00D42A18"/>
    <w:rsid w:val="00D43859"/>
    <w:rsid w:val="00D43BE8"/>
    <w:rsid w:val="00D43F13"/>
    <w:rsid w:val="00D4534A"/>
    <w:rsid w:val="00D46013"/>
    <w:rsid w:val="00D467A0"/>
    <w:rsid w:val="00D46A91"/>
    <w:rsid w:val="00D46D1A"/>
    <w:rsid w:val="00D47208"/>
    <w:rsid w:val="00D51D8F"/>
    <w:rsid w:val="00D557BC"/>
    <w:rsid w:val="00D55B6C"/>
    <w:rsid w:val="00D571BA"/>
    <w:rsid w:val="00D65B44"/>
    <w:rsid w:val="00D6798C"/>
    <w:rsid w:val="00D67CB2"/>
    <w:rsid w:val="00D70C31"/>
    <w:rsid w:val="00D70D55"/>
    <w:rsid w:val="00D72DB3"/>
    <w:rsid w:val="00D73531"/>
    <w:rsid w:val="00D754DB"/>
    <w:rsid w:val="00D75F08"/>
    <w:rsid w:val="00D7688C"/>
    <w:rsid w:val="00D818D6"/>
    <w:rsid w:val="00D820DC"/>
    <w:rsid w:val="00D85062"/>
    <w:rsid w:val="00D901BC"/>
    <w:rsid w:val="00D901E3"/>
    <w:rsid w:val="00D924CE"/>
    <w:rsid w:val="00D924E3"/>
    <w:rsid w:val="00D946CC"/>
    <w:rsid w:val="00D96218"/>
    <w:rsid w:val="00DA0506"/>
    <w:rsid w:val="00DA0B64"/>
    <w:rsid w:val="00DA0C0D"/>
    <w:rsid w:val="00DA25AC"/>
    <w:rsid w:val="00DA41C9"/>
    <w:rsid w:val="00DA44D0"/>
    <w:rsid w:val="00DA5075"/>
    <w:rsid w:val="00DB24C3"/>
    <w:rsid w:val="00DB4C0D"/>
    <w:rsid w:val="00DB5E1A"/>
    <w:rsid w:val="00DB7C0B"/>
    <w:rsid w:val="00DC0690"/>
    <w:rsid w:val="00DC2E3C"/>
    <w:rsid w:val="00DC304E"/>
    <w:rsid w:val="00DC33D5"/>
    <w:rsid w:val="00DC4E28"/>
    <w:rsid w:val="00DC69D5"/>
    <w:rsid w:val="00DD1D1C"/>
    <w:rsid w:val="00DD248A"/>
    <w:rsid w:val="00DD5455"/>
    <w:rsid w:val="00DD549C"/>
    <w:rsid w:val="00DD779E"/>
    <w:rsid w:val="00DE2328"/>
    <w:rsid w:val="00DE3612"/>
    <w:rsid w:val="00DE445B"/>
    <w:rsid w:val="00DE5245"/>
    <w:rsid w:val="00DE5E8F"/>
    <w:rsid w:val="00DF32B3"/>
    <w:rsid w:val="00DF4C53"/>
    <w:rsid w:val="00DF5387"/>
    <w:rsid w:val="00DF5C44"/>
    <w:rsid w:val="00DF693C"/>
    <w:rsid w:val="00E0019D"/>
    <w:rsid w:val="00E0131B"/>
    <w:rsid w:val="00E01E85"/>
    <w:rsid w:val="00E07659"/>
    <w:rsid w:val="00E1300D"/>
    <w:rsid w:val="00E14515"/>
    <w:rsid w:val="00E14E3E"/>
    <w:rsid w:val="00E15FFC"/>
    <w:rsid w:val="00E17450"/>
    <w:rsid w:val="00E17FD0"/>
    <w:rsid w:val="00E20909"/>
    <w:rsid w:val="00E20C84"/>
    <w:rsid w:val="00E27FC2"/>
    <w:rsid w:val="00E3045E"/>
    <w:rsid w:val="00E31B61"/>
    <w:rsid w:val="00E3352F"/>
    <w:rsid w:val="00E3451A"/>
    <w:rsid w:val="00E410EE"/>
    <w:rsid w:val="00E427A6"/>
    <w:rsid w:val="00E431CB"/>
    <w:rsid w:val="00E5341B"/>
    <w:rsid w:val="00E55958"/>
    <w:rsid w:val="00E61B0D"/>
    <w:rsid w:val="00E62A23"/>
    <w:rsid w:val="00E6431E"/>
    <w:rsid w:val="00E65D46"/>
    <w:rsid w:val="00E666E3"/>
    <w:rsid w:val="00E66F29"/>
    <w:rsid w:val="00E67EB8"/>
    <w:rsid w:val="00E717B2"/>
    <w:rsid w:val="00E719CF"/>
    <w:rsid w:val="00E74EA3"/>
    <w:rsid w:val="00E8037F"/>
    <w:rsid w:val="00E805BC"/>
    <w:rsid w:val="00E80F1D"/>
    <w:rsid w:val="00E81C80"/>
    <w:rsid w:val="00E8217C"/>
    <w:rsid w:val="00E82257"/>
    <w:rsid w:val="00E90293"/>
    <w:rsid w:val="00E93544"/>
    <w:rsid w:val="00E952E6"/>
    <w:rsid w:val="00E96025"/>
    <w:rsid w:val="00E97BAB"/>
    <w:rsid w:val="00EA330E"/>
    <w:rsid w:val="00EA376B"/>
    <w:rsid w:val="00EA5A64"/>
    <w:rsid w:val="00EA5E7A"/>
    <w:rsid w:val="00EA6BB6"/>
    <w:rsid w:val="00EB1CF5"/>
    <w:rsid w:val="00EB1EA6"/>
    <w:rsid w:val="00EB4CBA"/>
    <w:rsid w:val="00EB69F3"/>
    <w:rsid w:val="00EC0DC8"/>
    <w:rsid w:val="00EC0E4D"/>
    <w:rsid w:val="00EC13CD"/>
    <w:rsid w:val="00EC2D85"/>
    <w:rsid w:val="00EC2E8F"/>
    <w:rsid w:val="00EC4C91"/>
    <w:rsid w:val="00EC71FF"/>
    <w:rsid w:val="00ED03BE"/>
    <w:rsid w:val="00ED0743"/>
    <w:rsid w:val="00ED09B0"/>
    <w:rsid w:val="00ED16CD"/>
    <w:rsid w:val="00ED4227"/>
    <w:rsid w:val="00ED5FF5"/>
    <w:rsid w:val="00ED69DB"/>
    <w:rsid w:val="00ED6A9A"/>
    <w:rsid w:val="00ED733C"/>
    <w:rsid w:val="00ED7393"/>
    <w:rsid w:val="00ED7B5F"/>
    <w:rsid w:val="00EE0B1B"/>
    <w:rsid w:val="00EE2E33"/>
    <w:rsid w:val="00EE3E63"/>
    <w:rsid w:val="00EE42E3"/>
    <w:rsid w:val="00EE7763"/>
    <w:rsid w:val="00EF2984"/>
    <w:rsid w:val="00EF3F85"/>
    <w:rsid w:val="00EF726C"/>
    <w:rsid w:val="00F024B4"/>
    <w:rsid w:val="00F02995"/>
    <w:rsid w:val="00F029B0"/>
    <w:rsid w:val="00F046AE"/>
    <w:rsid w:val="00F10E83"/>
    <w:rsid w:val="00F16BF3"/>
    <w:rsid w:val="00F177AE"/>
    <w:rsid w:val="00F17889"/>
    <w:rsid w:val="00F17979"/>
    <w:rsid w:val="00F2004B"/>
    <w:rsid w:val="00F20A34"/>
    <w:rsid w:val="00F22932"/>
    <w:rsid w:val="00F25296"/>
    <w:rsid w:val="00F26C05"/>
    <w:rsid w:val="00F27480"/>
    <w:rsid w:val="00F30338"/>
    <w:rsid w:val="00F30967"/>
    <w:rsid w:val="00F31793"/>
    <w:rsid w:val="00F33FC0"/>
    <w:rsid w:val="00F34137"/>
    <w:rsid w:val="00F35E39"/>
    <w:rsid w:val="00F41479"/>
    <w:rsid w:val="00F430D3"/>
    <w:rsid w:val="00F47939"/>
    <w:rsid w:val="00F512D4"/>
    <w:rsid w:val="00F522E7"/>
    <w:rsid w:val="00F54E65"/>
    <w:rsid w:val="00F5516F"/>
    <w:rsid w:val="00F553C3"/>
    <w:rsid w:val="00F563BE"/>
    <w:rsid w:val="00F56E1F"/>
    <w:rsid w:val="00F56FBD"/>
    <w:rsid w:val="00F641B6"/>
    <w:rsid w:val="00F64FF2"/>
    <w:rsid w:val="00F66166"/>
    <w:rsid w:val="00F6655A"/>
    <w:rsid w:val="00F66F80"/>
    <w:rsid w:val="00F72F56"/>
    <w:rsid w:val="00F73C5C"/>
    <w:rsid w:val="00F811D0"/>
    <w:rsid w:val="00F82D5A"/>
    <w:rsid w:val="00F84D13"/>
    <w:rsid w:val="00F86544"/>
    <w:rsid w:val="00F87497"/>
    <w:rsid w:val="00F90745"/>
    <w:rsid w:val="00F97687"/>
    <w:rsid w:val="00FA010B"/>
    <w:rsid w:val="00FA20EC"/>
    <w:rsid w:val="00FA3415"/>
    <w:rsid w:val="00FA4165"/>
    <w:rsid w:val="00FA525B"/>
    <w:rsid w:val="00FA6002"/>
    <w:rsid w:val="00FA7085"/>
    <w:rsid w:val="00FB07F4"/>
    <w:rsid w:val="00FB2E0C"/>
    <w:rsid w:val="00FB3105"/>
    <w:rsid w:val="00FB6086"/>
    <w:rsid w:val="00FC0C3A"/>
    <w:rsid w:val="00FC1732"/>
    <w:rsid w:val="00FC28BA"/>
    <w:rsid w:val="00FC3081"/>
    <w:rsid w:val="00FC6E5C"/>
    <w:rsid w:val="00FC7485"/>
    <w:rsid w:val="00FD26E7"/>
    <w:rsid w:val="00FD4747"/>
    <w:rsid w:val="00FD4BDF"/>
    <w:rsid w:val="00FD7883"/>
    <w:rsid w:val="00FD7C70"/>
    <w:rsid w:val="00FE3C52"/>
    <w:rsid w:val="00FE6CCD"/>
    <w:rsid w:val="00FE75FE"/>
    <w:rsid w:val="00FF0803"/>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8077843"/>
  <w15:docId w15:val="{0E131010-A495-4553-A6E2-ED8ADE10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rsid w:val="0055363C"/>
    <w:rPr>
      <w:sz w:val="20"/>
      <w:szCs w:val="20"/>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iPriority w:val="99"/>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t Char,fo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 w:type="table" w:styleId="TableGridLight">
    <w:name w:val="Grid Table Light"/>
    <w:basedOn w:val="TableNormal"/>
    <w:uiPriority w:val="40"/>
    <w:rsid w:val="005F70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010">
      <w:bodyDiv w:val="1"/>
      <w:marLeft w:val="0"/>
      <w:marRight w:val="0"/>
      <w:marTop w:val="0"/>
      <w:marBottom w:val="0"/>
      <w:divBdr>
        <w:top w:val="none" w:sz="0" w:space="0" w:color="auto"/>
        <w:left w:val="none" w:sz="0" w:space="0" w:color="auto"/>
        <w:bottom w:val="none" w:sz="0" w:space="0" w:color="auto"/>
        <w:right w:val="none" w:sz="0" w:space="0" w:color="auto"/>
      </w:divBdr>
      <w:divsChild>
        <w:div w:id="1062946978">
          <w:marLeft w:val="0"/>
          <w:marRight w:val="0"/>
          <w:marTop w:val="0"/>
          <w:marBottom w:val="0"/>
          <w:divBdr>
            <w:top w:val="none" w:sz="0" w:space="0" w:color="auto"/>
            <w:left w:val="none" w:sz="0" w:space="0" w:color="auto"/>
            <w:bottom w:val="none" w:sz="0" w:space="0" w:color="auto"/>
            <w:right w:val="none" w:sz="0" w:space="0" w:color="auto"/>
          </w:divBdr>
          <w:divsChild>
            <w:div w:id="1268778146">
              <w:marLeft w:val="0"/>
              <w:marRight w:val="0"/>
              <w:marTop w:val="0"/>
              <w:marBottom w:val="0"/>
              <w:divBdr>
                <w:top w:val="none" w:sz="0" w:space="0" w:color="auto"/>
                <w:left w:val="none" w:sz="0" w:space="0" w:color="auto"/>
                <w:bottom w:val="none" w:sz="0" w:space="0" w:color="auto"/>
                <w:right w:val="none" w:sz="0" w:space="0" w:color="auto"/>
              </w:divBdr>
              <w:divsChild>
                <w:div w:id="20932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27">
      <w:bodyDiv w:val="1"/>
      <w:marLeft w:val="0"/>
      <w:marRight w:val="0"/>
      <w:marTop w:val="0"/>
      <w:marBottom w:val="0"/>
      <w:divBdr>
        <w:top w:val="none" w:sz="0" w:space="0" w:color="auto"/>
        <w:left w:val="none" w:sz="0" w:space="0" w:color="auto"/>
        <w:bottom w:val="none" w:sz="0" w:space="0" w:color="auto"/>
        <w:right w:val="none" w:sz="0" w:space="0" w:color="auto"/>
      </w:divBdr>
    </w:div>
    <w:div w:id="308361985">
      <w:bodyDiv w:val="1"/>
      <w:marLeft w:val="0"/>
      <w:marRight w:val="0"/>
      <w:marTop w:val="0"/>
      <w:marBottom w:val="0"/>
      <w:divBdr>
        <w:top w:val="none" w:sz="0" w:space="0" w:color="auto"/>
        <w:left w:val="none" w:sz="0" w:space="0" w:color="auto"/>
        <w:bottom w:val="none" w:sz="0" w:space="0" w:color="auto"/>
        <w:right w:val="none" w:sz="0" w:space="0" w:color="auto"/>
      </w:divBdr>
      <w:divsChild>
        <w:div w:id="1395155011">
          <w:marLeft w:val="0"/>
          <w:marRight w:val="0"/>
          <w:marTop w:val="0"/>
          <w:marBottom w:val="0"/>
          <w:divBdr>
            <w:top w:val="none" w:sz="0" w:space="0" w:color="auto"/>
            <w:left w:val="none" w:sz="0" w:space="0" w:color="auto"/>
            <w:bottom w:val="none" w:sz="0" w:space="0" w:color="auto"/>
            <w:right w:val="none" w:sz="0" w:space="0" w:color="auto"/>
          </w:divBdr>
          <w:divsChild>
            <w:div w:id="141434521">
              <w:marLeft w:val="0"/>
              <w:marRight w:val="0"/>
              <w:marTop w:val="0"/>
              <w:marBottom w:val="0"/>
              <w:divBdr>
                <w:top w:val="none" w:sz="0" w:space="0" w:color="auto"/>
                <w:left w:val="none" w:sz="0" w:space="0" w:color="auto"/>
                <w:bottom w:val="none" w:sz="0" w:space="0" w:color="auto"/>
                <w:right w:val="none" w:sz="0" w:space="0" w:color="auto"/>
              </w:divBdr>
              <w:divsChild>
                <w:div w:id="980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95128">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02796155">
      <w:bodyDiv w:val="1"/>
      <w:marLeft w:val="0"/>
      <w:marRight w:val="0"/>
      <w:marTop w:val="0"/>
      <w:marBottom w:val="0"/>
      <w:divBdr>
        <w:top w:val="none" w:sz="0" w:space="0" w:color="auto"/>
        <w:left w:val="none" w:sz="0" w:space="0" w:color="auto"/>
        <w:bottom w:val="none" w:sz="0" w:space="0" w:color="auto"/>
        <w:right w:val="none" w:sz="0" w:space="0" w:color="auto"/>
      </w:divBdr>
      <w:divsChild>
        <w:div w:id="358703982">
          <w:marLeft w:val="0"/>
          <w:marRight w:val="0"/>
          <w:marTop w:val="0"/>
          <w:marBottom w:val="0"/>
          <w:divBdr>
            <w:top w:val="none" w:sz="0" w:space="0" w:color="auto"/>
            <w:left w:val="none" w:sz="0" w:space="0" w:color="auto"/>
            <w:bottom w:val="none" w:sz="0" w:space="0" w:color="auto"/>
            <w:right w:val="none" w:sz="0" w:space="0" w:color="auto"/>
          </w:divBdr>
          <w:divsChild>
            <w:div w:id="331497107">
              <w:marLeft w:val="0"/>
              <w:marRight w:val="0"/>
              <w:marTop w:val="0"/>
              <w:marBottom w:val="0"/>
              <w:divBdr>
                <w:top w:val="none" w:sz="0" w:space="0" w:color="auto"/>
                <w:left w:val="single" w:sz="6" w:space="0" w:color="E2E2E2"/>
                <w:bottom w:val="none" w:sz="0" w:space="0" w:color="auto"/>
                <w:right w:val="single" w:sz="6" w:space="0" w:color="E2E2E2"/>
              </w:divBdr>
              <w:divsChild>
                <w:div w:id="550699032">
                  <w:marLeft w:val="0"/>
                  <w:marRight w:val="0"/>
                  <w:marTop w:val="0"/>
                  <w:marBottom w:val="0"/>
                  <w:divBdr>
                    <w:top w:val="none" w:sz="0" w:space="0" w:color="auto"/>
                    <w:left w:val="none" w:sz="0" w:space="0" w:color="auto"/>
                    <w:bottom w:val="none" w:sz="0" w:space="0" w:color="auto"/>
                    <w:right w:val="none" w:sz="0" w:space="0" w:color="auto"/>
                  </w:divBdr>
                  <w:divsChild>
                    <w:div w:id="1438477848">
                      <w:marLeft w:val="0"/>
                      <w:marRight w:val="0"/>
                      <w:marTop w:val="0"/>
                      <w:marBottom w:val="0"/>
                      <w:divBdr>
                        <w:top w:val="none" w:sz="0" w:space="0" w:color="auto"/>
                        <w:left w:val="none" w:sz="0" w:space="0" w:color="auto"/>
                        <w:bottom w:val="none" w:sz="0" w:space="0" w:color="auto"/>
                        <w:right w:val="none" w:sz="0" w:space="0" w:color="auto"/>
                      </w:divBdr>
                      <w:divsChild>
                        <w:div w:id="8988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2293">
      <w:bodyDiv w:val="1"/>
      <w:marLeft w:val="0"/>
      <w:marRight w:val="0"/>
      <w:marTop w:val="0"/>
      <w:marBottom w:val="0"/>
      <w:divBdr>
        <w:top w:val="none" w:sz="0" w:space="0" w:color="auto"/>
        <w:left w:val="none" w:sz="0" w:space="0" w:color="auto"/>
        <w:bottom w:val="none" w:sz="0" w:space="0" w:color="auto"/>
        <w:right w:val="none" w:sz="0" w:space="0" w:color="auto"/>
      </w:divBdr>
      <w:divsChild>
        <w:div w:id="501163982">
          <w:marLeft w:val="0"/>
          <w:marRight w:val="0"/>
          <w:marTop w:val="0"/>
          <w:marBottom w:val="0"/>
          <w:divBdr>
            <w:top w:val="none" w:sz="0" w:space="0" w:color="auto"/>
            <w:left w:val="none" w:sz="0" w:space="0" w:color="auto"/>
            <w:bottom w:val="none" w:sz="0" w:space="0" w:color="auto"/>
            <w:right w:val="none" w:sz="0" w:space="0" w:color="auto"/>
          </w:divBdr>
          <w:divsChild>
            <w:div w:id="1673295854">
              <w:marLeft w:val="0"/>
              <w:marRight w:val="0"/>
              <w:marTop w:val="0"/>
              <w:marBottom w:val="0"/>
              <w:divBdr>
                <w:top w:val="none" w:sz="0" w:space="0" w:color="auto"/>
                <w:left w:val="none" w:sz="0" w:space="0" w:color="auto"/>
                <w:bottom w:val="none" w:sz="0" w:space="0" w:color="auto"/>
                <w:right w:val="none" w:sz="0" w:space="0" w:color="auto"/>
              </w:divBdr>
              <w:divsChild>
                <w:div w:id="972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25338151">
      <w:bodyDiv w:val="1"/>
      <w:marLeft w:val="0"/>
      <w:marRight w:val="0"/>
      <w:marTop w:val="0"/>
      <w:marBottom w:val="0"/>
      <w:divBdr>
        <w:top w:val="none" w:sz="0" w:space="0" w:color="auto"/>
        <w:left w:val="none" w:sz="0" w:space="0" w:color="auto"/>
        <w:bottom w:val="none" w:sz="0" w:space="0" w:color="auto"/>
        <w:right w:val="none" w:sz="0" w:space="0" w:color="auto"/>
      </w:divBdr>
      <w:divsChild>
        <w:div w:id="528876832">
          <w:marLeft w:val="0"/>
          <w:marRight w:val="0"/>
          <w:marTop w:val="0"/>
          <w:marBottom w:val="0"/>
          <w:divBdr>
            <w:top w:val="none" w:sz="0" w:space="0" w:color="auto"/>
            <w:left w:val="none" w:sz="0" w:space="0" w:color="auto"/>
            <w:bottom w:val="none" w:sz="0" w:space="0" w:color="auto"/>
            <w:right w:val="none" w:sz="0" w:space="0" w:color="auto"/>
          </w:divBdr>
          <w:divsChild>
            <w:div w:id="55444411">
              <w:marLeft w:val="0"/>
              <w:marRight w:val="0"/>
              <w:marTop w:val="0"/>
              <w:marBottom w:val="0"/>
              <w:divBdr>
                <w:top w:val="none" w:sz="0" w:space="0" w:color="auto"/>
                <w:left w:val="none" w:sz="0" w:space="0" w:color="auto"/>
                <w:bottom w:val="none" w:sz="0" w:space="0" w:color="auto"/>
                <w:right w:val="none" w:sz="0" w:space="0" w:color="auto"/>
              </w:divBdr>
              <w:divsChild>
                <w:div w:id="1557007798">
                  <w:marLeft w:val="0"/>
                  <w:marRight w:val="0"/>
                  <w:marTop w:val="0"/>
                  <w:marBottom w:val="0"/>
                  <w:divBdr>
                    <w:top w:val="none" w:sz="0" w:space="0" w:color="auto"/>
                    <w:left w:val="none" w:sz="0" w:space="0" w:color="auto"/>
                    <w:bottom w:val="none" w:sz="0" w:space="0" w:color="auto"/>
                    <w:right w:val="none" w:sz="0" w:space="0" w:color="auto"/>
                  </w:divBdr>
                </w:div>
              </w:divsChild>
            </w:div>
            <w:div w:id="278538767">
              <w:marLeft w:val="0"/>
              <w:marRight w:val="0"/>
              <w:marTop w:val="0"/>
              <w:marBottom w:val="0"/>
              <w:divBdr>
                <w:top w:val="none" w:sz="0" w:space="0" w:color="auto"/>
                <w:left w:val="none" w:sz="0" w:space="0" w:color="auto"/>
                <w:bottom w:val="none" w:sz="0" w:space="0" w:color="auto"/>
                <w:right w:val="none" w:sz="0" w:space="0" w:color="auto"/>
              </w:divBdr>
              <w:divsChild>
                <w:div w:id="7708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7081">
      <w:bodyDiv w:val="1"/>
      <w:marLeft w:val="0"/>
      <w:marRight w:val="0"/>
      <w:marTop w:val="0"/>
      <w:marBottom w:val="0"/>
      <w:divBdr>
        <w:top w:val="none" w:sz="0" w:space="0" w:color="auto"/>
        <w:left w:val="none" w:sz="0" w:space="0" w:color="auto"/>
        <w:bottom w:val="none" w:sz="0" w:space="0" w:color="auto"/>
        <w:right w:val="none" w:sz="0" w:space="0" w:color="auto"/>
      </w:divBdr>
      <w:divsChild>
        <w:div w:id="809128166">
          <w:marLeft w:val="0"/>
          <w:marRight w:val="0"/>
          <w:marTop w:val="0"/>
          <w:marBottom w:val="0"/>
          <w:divBdr>
            <w:top w:val="none" w:sz="0" w:space="0" w:color="auto"/>
            <w:left w:val="none" w:sz="0" w:space="0" w:color="auto"/>
            <w:bottom w:val="none" w:sz="0" w:space="0" w:color="auto"/>
            <w:right w:val="none" w:sz="0" w:space="0" w:color="auto"/>
          </w:divBdr>
          <w:divsChild>
            <w:div w:id="1269967849">
              <w:marLeft w:val="0"/>
              <w:marRight w:val="0"/>
              <w:marTop w:val="0"/>
              <w:marBottom w:val="0"/>
              <w:divBdr>
                <w:top w:val="none" w:sz="0" w:space="0" w:color="auto"/>
                <w:left w:val="none" w:sz="0" w:space="0" w:color="auto"/>
                <w:bottom w:val="none" w:sz="0" w:space="0" w:color="auto"/>
                <w:right w:val="none" w:sz="0" w:space="0" w:color="auto"/>
              </w:divBdr>
              <w:divsChild>
                <w:div w:id="4775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13128">
      <w:bodyDiv w:val="1"/>
      <w:marLeft w:val="0"/>
      <w:marRight w:val="0"/>
      <w:marTop w:val="0"/>
      <w:marBottom w:val="0"/>
      <w:divBdr>
        <w:top w:val="none" w:sz="0" w:space="0" w:color="auto"/>
        <w:left w:val="none" w:sz="0" w:space="0" w:color="auto"/>
        <w:bottom w:val="none" w:sz="0" w:space="0" w:color="auto"/>
        <w:right w:val="none" w:sz="0" w:space="0" w:color="auto"/>
      </w:divBdr>
      <w:divsChild>
        <w:div w:id="6257093">
          <w:marLeft w:val="0"/>
          <w:marRight w:val="0"/>
          <w:marTop w:val="0"/>
          <w:marBottom w:val="0"/>
          <w:divBdr>
            <w:top w:val="none" w:sz="0" w:space="0" w:color="auto"/>
            <w:left w:val="none" w:sz="0" w:space="0" w:color="auto"/>
            <w:bottom w:val="none" w:sz="0" w:space="0" w:color="auto"/>
            <w:right w:val="none" w:sz="0" w:space="0" w:color="auto"/>
          </w:divBdr>
          <w:divsChild>
            <w:div w:id="812720554">
              <w:marLeft w:val="0"/>
              <w:marRight w:val="0"/>
              <w:marTop w:val="0"/>
              <w:marBottom w:val="0"/>
              <w:divBdr>
                <w:top w:val="none" w:sz="0" w:space="0" w:color="auto"/>
                <w:left w:val="none" w:sz="0" w:space="0" w:color="auto"/>
                <w:bottom w:val="none" w:sz="0" w:space="0" w:color="auto"/>
                <w:right w:val="none" w:sz="0" w:space="0" w:color="auto"/>
              </w:divBdr>
              <w:divsChild>
                <w:div w:id="11825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01468">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46989088">
      <w:bodyDiv w:val="1"/>
      <w:marLeft w:val="0"/>
      <w:marRight w:val="0"/>
      <w:marTop w:val="0"/>
      <w:marBottom w:val="0"/>
      <w:divBdr>
        <w:top w:val="none" w:sz="0" w:space="0" w:color="auto"/>
        <w:left w:val="none" w:sz="0" w:space="0" w:color="auto"/>
        <w:bottom w:val="none" w:sz="0" w:space="0" w:color="auto"/>
        <w:right w:val="none" w:sz="0" w:space="0" w:color="auto"/>
      </w:divBdr>
    </w:div>
    <w:div w:id="889271688">
      <w:bodyDiv w:val="1"/>
      <w:marLeft w:val="0"/>
      <w:marRight w:val="0"/>
      <w:marTop w:val="0"/>
      <w:marBottom w:val="0"/>
      <w:divBdr>
        <w:top w:val="none" w:sz="0" w:space="0" w:color="auto"/>
        <w:left w:val="none" w:sz="0" w:space="0" w:color="auto"/>
        <w:bottom w:val="none" w:sz="0" w:space="0" w:color="auto"/>
        <w:right w:val="none" w:sz="0" w:space="0" w:color="auto"/>
      </w:divBdr>
      <w:divsChild>
        <w:div w:id="1006445321">
          <w:marLeft w:val="0"/>
          <w:marRight w:val="0"/>
          <w:marTop w:val="0"/>
          <w:marBottom w:val="0"/>
          <w:divBdr>
            <w:top w:val="none" w:sz="0" w:space="0" w:color="auto"/>
            <w:left w:val="none" w:sz="0" w:space="0" w:color="auto"/>
            <w:bottom w:val="none" w:sz="0" w:space="0" w:color="auto"/>
            <w:right w:val="none" w:sz="0" w:space="0" w:color="auto"/>
          </w:divBdr>
          <w:divsChild>
            <w:div w:id="2078551071">
              <w:marLeft w:val="0"/>
              <w:marRight w:val="0"/>
              <w:marTop w:val="0"/>
              <w:marBottom w:val="0"/>
              <w:divBdr>
                <w:top w:val="none" w:sz="0" w:space="0" w:color="auto"/>
                <w:left w:val="none" w:sz="0" w:space="0" w:color="auto"/>
                <w:bottom w:val="none" w:sz="0" w:space="0" w:color="auto"/>
                <w:right w:val="none" w:sz="0" w:space="0" w:color="auto"/>
              </w:divBdr>
              <w:divsChild>
                <w:div w:id="9129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11574">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3539">
      <w:bodyDiv w:val="1"/>
      <w:marLeft w:val="0"/>
      <w:marRight w:val="0"/>
      <w:marTop w:val="0"/>
      <w:marBottom w:val="0"/>
      <w:divBdr>
        <w:top w:val="none" w:sz="0" w:space="0" w:color="auto"/>
        <w:left w:val="none" w:sz="0" w:space="0" w:color="auto"/>
        <w:bottom w:val="none" w:sz="0" w:space="0" w:color="auto"/>
        <w:right w:val="none" w:sz="0" w:space="0" w:color="auto"/>
      </w:divBdr>
    </w:div>
    <w:div w:id="1596092281">
      <w:bodyDiv w:val="1"/>
      <w:marLeft w:val="0"/>
      <w:marRight w:val="0"/>
      <w:marTop w:val="0"/>
      <w:marBottom w:val="0"/>
      <w:divBdr>
        <w:top w:val="none" w:sz="0" w:space="0" w:color="auto"/>
        <w:left w:val="none" w:sz="0" w:space="0" w:color="auto"/>
        <w:bottom w:val="none" w:sz="0" w:space="0" w:color="auto"/>
        <w:right w:val="none" w:sz="0" w:space="0" w:color="auto"/>
      </w:divBdr>
      <w:divsChild>
        <w:div w:id="749812149">
          <w:marLeft w:val="0"/>
          <w:marRight w:val="0"/>
          <w:marTop w:val="0"/>
          <w:marBottom w:val="0"/>
          <w:divBdr>
            <w:top w:val="none" w:sz="0" w:space="0" w:color="auto"/>
            <w:left w:val="none" w:sz="0" w:space="0" w:color="auto"/>
            <w:bottom w:val="none" w:sz="0" w:space="0" w:color="auto"/>
            <w:right w:val="none" w:sz="0" w:space="0" w:color="auto"/>
          </w:divBdr>
          <w:divsChild>
            <w:div w:id="112942073">
              <w:marLeft w:val="0"/>
              <w:marRight w:val="0"/>
              <w:marTop w:val="0"/>
              <w:marBottom w:val="0"/>
              <w:divBdr>
                <w:top w:val="none" w:sz="0" w:space="0" w:color="auto"/>
                <w:left w:val="none" w:sz="0" w:space="0" w:color="auto"/>
                <w:bottom w:val="none" w:sz="0" w:space="0" w:color="auto"/>
                <w:right w:val="none" w:sz="0" w:space="0" w:color="auto"/>
              </w:divBdr>
              <w:divsChild>
                <w:div w:id="64765432">
                  <w:marLeft w:val="0"/>
                  <w:marRight w:val="0"/>
                  <w:marTop w:val="0"/>
                  <w:marBottom w:val="0"/>
                  <w:divBdr>
                    <w:top w:val="none" w:sz="0" w:space="0" w:color="auto"/>
                    <w:left w:val="none" w:sz="0" w:space="0" w:color="auto"/>
                    <w:bottom w:val="none" w:sz="0" w:space="0" w:color="auto"/>
                    <w:right w:val="none" w:sz="0" w:space="0" w:color="auto"/>
                  </w:divBdr>
                </w:div>
                <w:div w:id="1936667778">
                  <w:marLeft w:val="0"/>
                  <w:marRight w:val="0"/>
                  <w:marTop w:val="0"/>
                  <w:marBottom w:val="0"/>
                  <w:divBdr>
                    <w:top w:val="none" w:sz="0" w:space="0" w:color="auto"/>
                    <w:left w:val="none" w:sz="0" w:space="0" w:color="auto"/>
                    <w:bottom w:val="none" w:sz="0" w:space="0" w:color="auto"/>
                    <w:right w:val="none" w:sz="0" w:space="0" w:color="auto"/>
                  </w:divBdr>
                </w:div>
              </w:divsChild>
            </w:div>
            <w:div w:id="871840666">
              <w:marLeft w:val="0"/>
              <w:marRight w:val="0"/>
              <w:marTop w:val="0"/>
              <w:marBottom w:val="0"/>
              <w:divBdr>
                <w:top w:val="none" w:sz="0" w:space="0" w:color="auto"/>
                <w:left w:val="none" w:sz="0" w:space="0" w:color="auto"/>
                <w:bottom w:val="none" w:sz="0" w:space="0" w:color="auto"/>
                <w:right w:val="none" w:sz="0" w:space="0" w:color="auto"/>
              </w:divBdr>
              <w:divsChild>
                <w:div w:id="1382094380">
                  <w:marLeft w:val="0"/>
                  <w:marRight w:val="0"/>
                  <w:marTop w:val="0"/>
                  <w:marBottom w:val="0"/>
                  <w:divBdr>
                    <w:top w:val="none" w:sz="0" w:space="0" w:color="auto"/>
                    <w:left w:val="none" w:sz="0" w:space="0" w:color="auto"/>
                    <w:bottom w:val="none" w:sz="0" w:space="0" w:color="auto"/>
                    <w:right w:val="none" w:sz="0" w:space="0" w:color="auto"/>
                  </w:divBdr>
                </w:div>
              </w:divsChild>
            </w:div>
            <w:div w:id="1441340862">
              <w:marLeft w:val="0"/>
              <w:marRight w:val="0"/>
              <w:marTop w:val="0"/>
              <w:marBottom w:val="0"/>
              <w:divBdr>
                <w:top w:val="none" w:sz="0" w:space="0" w:color="auto"/>
                <w:left w:val="none" w:sz="0" w:space="0" w:color="auto"/>
                <w:bottom w:val="none" w:sz="0" w:space="0" w:color="auto"/>
                <w:right w:val="none" w:sz="0" w:space="0" w:color="auto"/>
              </w:divBdr>
              <w:divsChild>
                <w:div w:id="670334270">
                  <w:marLeft w:val="0"/>
                  <w:marRight w:val="0"/>
                  <w:marTop w:val="0"/>
                  <w:marBottom w:val="0"/>
                  <w:divBdr>
                    <w:top w:val="none" w:sz="0" w:space="0" w:color="auto"/>
                    <w:left w:val="none" w:sz="0" w:space="0" w:color="auto"/>
                    <w:bottom w:val="none" w:sz="0" w:space="0" w:color="auto"/>
                    <w:right w:val="none" w:sz="0" w:space="0" w:color="auto"/>
                  </w:divBdr>
                </w:div>
              </w:divsChild>
            </w:div>
            <w:div w:id="1839079247">
              <w:marLeft w:val="0"/>
              <w:marRight w:val="0"/>
              <w:marTop w:val="0"/>
              <w:marBottom w:val="0"/>
              <w:divBdr>
                <w:top w:val="none" w:sz="0" w:space="0" w:color="auto"/>
                <w:left w:val="none" w:sz="0" w:space="0" w:color="auto"/>
                <w:bottom w:val="none" w:sz="0" w:space="0" w:color="auto"/>
                <w:right w:val="none" w:sz="0" w:space="0" w:color="auto"/>
              </w:divBdr>
              <w:divsChild>
                <w:div w:id="20909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6162">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2299548">
      <w:bodyDiv w:val="1"/>
      <w:marLeft w:val="0"/>
      <w:marRight w:val="0"/>
      <w:marTop w:val="0"/>
      <w:marBottom w:val="0"/>
      <w:divBdr>
        <w:top w:val="none" w:sz="0" w:space="0" w:color="auto"/>
        <w:left w:val="none" w:sz="0" w:space="0" w:color="auto"/>
        <w:bottom w:val="none" w:sz="0" w:space="0" w:color="auto"/>
        <w:right w:val="none" w:sz="0" w:space="0" w:color="auto"/>
      </w:divBdr>
      <w:divsChild>
        <w:div w:id="842817088">
          <w:marLeft w:val="0"/>
          <w:marRight w:val="0"/>
          <w:marTop w:val="0"/>
          <w:marBottom w:val="0"/>
          <w:divBdr>
            <w:top w:val="none" w:sz="0" w:space="0" w:color="auto"/>
            <w:left w:val="none" w:sz="0" w:space="0" w:color="auto"/>
            <w:bottom w:val="none" w:sz="0" w:space="0" w:color="auto"/>
            <w:right w:val="none" w:sz="0" w:space="0" w:color="auto"/>
          </w:divBdr>
          <w:divsChild>
            <w:div w:id="14039722">
              <w:marLeft w:val="0"/>
              <w:marRight w:val="0"/>
              <w:marTop w:val="0"/>
              <w:marBottom w:val="0"/>
              <w:divBdr>
                <w:top w:val="none" w:sz="0" w:space="0" w:color="auto"/>
                <w:left w:val="none" w:sz="0" w:space="0" w:color="auto"/>
                <w:bottom w:val="none" w:sz="0" w:space="0" w:color="auto"/>
                <w:right w:val="none" w:sz="0" w:space="0" w:color="auto"/>
              </w:divBdr>
              <w:divsChild>
                <w:div w:id="11362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 w:id="2144273228">
      <w:bodyDiv w:val="1"/>
      <w:marLeft w:val="0"/>
      <w:marRight w:val="0"/>
      <w:marTop w:val="0"/>
      <w:marBottom w:val="0"/>
      <w:divBdr>
        <w:top w:val="none" w:sz="0" w:space="0" w:color="auto"/>
        <w:left w:val="none" w:sz="0" w:space="0" w:color="auto"/>
        <w:bottom w:val="none" w:sz="0" w:space="0" w:color="auto"/>
        <w:right w:val="none" w:sz="0" w:space="0" w:color="auto"/>
      </w:divBdr>
      <w:divsChild>
        <w:div w:id="865601653">
          <w:marLeft w:val="0"/>
          <w:marRight w:val="0"/>
          <w:marTop w:val="0"/>
          <w:marBottom w:val="0"/>
          <w:divBdr>
            <w:top w:val="none" w:sz="0" w:space="0" w:color="auto"/>
            <w:left w:val="none" w:sz="0" w:space="0" w:color="auto"/>
            <w:bottom w:val="none" w:sz="0" w:space="0" w:color="auto"/>
            <w:right w:val="none" w:sz="0" w:space="0" w:color="auto"/>
          </w:divBdr>
          <w:divsChild>
            <w:div w:id="75517542">
              <w:marLeft w:val="0"/>
              <w:marRight w:val="0"/>
              <w:marTop w:val="0"/>
              <w:marBottom w:val="0"/>
              <w:divBdr>
                <w:top w:val="none" w:sz="0" w:space="0" w:color="auto"/>
                <w:left w:val="none" w:sz="0" w:space="0" w:color="auto"/>
                <w:bottom w:val="none" w:sz="0" w:space="0" w:color="auto"/>
                <w:right w:val="none" w:sz="0" w:space="0" w:color="auto"/>
              </w:divBdr>
              <w:divsChild>
                <w:div w:id="8090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F25B913828B44AD63B0F7D23260C9" ma:contentTypeVersion="14" ma:contentTypeDescription="Create a new document." ma:contentTypeScope="" ma:versionID="51ff823a2e1909fa345b87be2963bf79">
  <xsd:schema xmlns:xsd="http://www.w3.org/2001/XMLSchema" xmlns:xs="http://www.w3.org/2001/XMLSchema" xmlns:p="http://schemas.microsoft.com/office/2006/metadata/properties" xmlns:ns2="053a5afd-1424-405b-82d9-63deec7446f8" xmlns:ns3="c7d0ed18-d4ec-4450-b043-97ba750af715" xmlns:ns4="d5b6d05d-2728-4b36-ba6b-6cee38f4245c" xmlns:ns5="e06151dd-1c79-42dd-9c04-f5fdca636736" targetNamespace="http://schemas.microsoft.com/office/2006/metadata/properties" ma:root="true" ma:fieldsID="68e8d6d3484be820cecc13066af8f84e" ns2:_="" ns3:_="" ns4:_="" ns5:_="">
    <xsd:import namespace="053a5afd-1424-405b-82d9-63deec7446f8"/>
    <xsd:import namespace="c7d0ed18-d4ec-4450-b043-97ba750af715"/>
    <xsd:import namespace="d5b6d05d-2728-4b36-ba6b-6cee38f4245c"/>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b6d05d-2728-4b36-ba6b-6cee38f4245c"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Memos"/>
                    <xsd:enumeration value="Policy Decision Documentation"/>
                    <xsd:enumeration value="FOAs (working liberary)"/>
                    <xsd:enumeration value="Letters to Grantees/Program Assistance Lett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DZXA3YQD6WY2-5483-7810</_dlc_DocId>
    <_dlc_DocIdUrl xmlns="053a5afd-1424-405b-82d9-63deec7446f8">
      <Url>https://sharepoint.hrsa.gov/teams/mchb/DHVECS/_layouts/15/DocIdRedir.aspx?ID=DZXA3YQD6WY2-5483-7810</Url>
      <Description>DZXA3YQD6WY2-5483-7810</Description>
    </_dlc_DocIdUrl>
    <TaxCatchAll xmlns="c7d0ed18-d4ec-4450-b043-97ba750af715"/>
    <Document_x0020_Type xmlns="d5b6d05d-2728-4b36-ba6b-6cee38f4245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10EF-BF53-445D-AEC5-29627D467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d5b6d05d-2728-4b36-ba6b-6cee38f4245c"/>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C58EC-7974-41EE-AE5D-5762C0B36AD7}">
  <ds:schemaRefs>
    <ds:schemaRef ds:uri="http://schemas.microsoft.com/sharepoint/events"/>
  </ds:schemaRefs>
</ds:datastoreItem>
</file>

<file path=customXml/itemProps3.xml><?xml version="1.0" encoding="utf-8"?>
<ds:datastoreItem xmlns:ds="http://schemas.openxmlformats.org/officeDocument/2006/customXml" ds:itemID="{88F499CC-85F8-456A-885D-4802404548D7}">
  <ds:schemaRefs>
    <ds:schemaRef ds:uri="c7d0ed18-d4ec-4450-b043-97ba750af715"/>
    <ds:schemaRef ds:uri="http://purl.org/dc/terms/"/>
    <ds:schemaRef ds:uri="e06151dd-1c79-42dd-9c04-f5fdca636736"/>
    <ds:schemaRef ds:uri="http://schemas.microsoft.com/office/2006/documentManagement/types"/>
    <ds:schemaRef ds:uri="d5b6d05d-2728-4b36-ba6b-6cee38f4245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D792B8B8-6271-47F4-931B-C99C05EA77F5}">
  <ds:schemaRefs>
    <ds:schemaRef ds:uri="http://schemas.microsoft.com/sharepoint/v3/contenttype/forms"/>
  </ds:schemaRefs>
</ds:datastoreItem>
</file>

<file path=customXml/itemProps5.xml><?xml version="1.0" encoding="utf-8"?>
<ds:datastoreItem xmlns:ds="http://schemas.openxmlformats.org/officeDocument/2006/customXml" ds:itemID="{530ED4BF-0460-4B37-B8D1-2199BA20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Part A_MIECHV Pay for Outcomes Guidance_jd</vt:lpstr>
    </vt:vector>
  </TitlesOfParts>
  <Company>RTI International</Company>
  <LinksUpToDate>false</LinksUpToDate>
  <CharactersWithSpaces>35173</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A_MIECHV Pay for Outcomes Guidance_jd</dc:title>
  <dc:subject/>
  <dc:creator>RTI_DP</dc:creator>
  <cp:keywords/>
  <dc:description/>
  <cp:lastModifiedBy>Peplinski, Kyle  (HRSA)</cp:lastModifiedBy>
  <cp:revision>2</cp:revision>
  <cp:lastPrinted>2016-06-30T13:58:00Z</cp:lastPrinted>
  <dcterms:created xsi:type="dcterms:W3CDTF">2021-04-21T20:46:00Z</dcterms:created>
  <dcterms:modified xsi:type="dcterms:W3CDTF">2021-04-21T20:46:00Z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0x01010090BF25B913828B44AD63B0F7D23260C9</vt:lpwstr>
  </property>
  <property fmtid="{D5CDD505-2E9C-101B-9397-08002B2CF9AE}" pid="3" name="_dlc_DocIdItemGuid">
    <vt:lpwstr>bafd9804-0096-4084-8279-85af6c186518</vt:lpwstr>
  </property>
  <property fmtid="{D5CDD505-2E9C-101B-9397-08002B2CF9AE}" pid="4" name="Order">
    <vt:r8>699500</vt:r8>
  </property>
</Properties>
</file>