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1608" w:rsidR="00357C8A" w:rsidP="00DB1433" w:rsidRDefault="00DB1433" w14:paraId="200CFF79" w14:textId="2DF3AB67">
      <w:pPr>
        <w:jc w:val="center"/>
        <w:rPr>
          <w:rFonts w:eastAsia="Calibri"/>
        </w:rPr>
      </w:pPr>
      <w:r w:rsidRPr="00F81608">
        <w:rPr>
          <w:rFonts w:eastAsia="Calibri"/>
        </w:rPr>
        <w:t>UNITED STATES FOOD</w:t>
      </w:r>
      <w:r>
        <w:rPr>
          <w:rFonts w:eastAsia="Calibri"/>
        </w:rPr>
        <w:t xml:space="preserve"> &amp;</w:t>
      </w:r>
      <w:r w:rsidRPr="00F81608">
        <w:rPr>
          <w:rFonts w:eastAsia="Calibri"/>
        </w:rPr>
        <w:t xml:space="preserve"> DRUG ADMINISTRATION</w:t>
      </w:r>
    </w:p>
    <w:p w:rsidRPr="00F81608" w:rsidR="00357C8A" w:rsidP="00DB1433" w:rsidRDefault="00357C8A" w14:paraId="2DB17B22" w14:textId="77777777">
      <w:pPr>
        <w:jc w:val="center"/>
        <w:rPr>
          <w:rFonts w:eastAsia="Calibri"/>
        </w:rPr>
      </w:pPr>
    </w:p>
    <w:p w:rsidR="00BD0C07" w:rsidP="00DB1433" w:rsidRDefault="00D76450" w14:paraId="43D092B3" w14:textId="62E44F0C">
      <w:pPr>
        <w:jc w:val="center"/>
      </w:pPr>
      <w:bookmarkStart w:name="_Hlk63758460" w:id="0"/>
      <w:r w:rsidRPr="00BD0C07">
        <w:rPr>
          <w:b/>
          <w:bCs/>
        </w:rPr>
        <w:t>Current Good Manufacturing Practice</w:t>
      </w:r>
      <w:bookmarkStart w:name="_Hlk42148445" w:id="1"/>
      <w:r w:rsidR="00F9615B">
        <w:rPr>
          <w:b/>
          <w:bCs/>
        </w:rPr>
        <w:t xml:space="preserve"> (CGMP)</w:t>
      </w:r>
      <w:r w:rsidR="00356FD4">
        <w:t xml:space="preserve">:  </w:t>
      </w:r>
    </w:p>
    <w:p w:rsidRPr="00F81608" w:rsidR="00BD0C07" w:rsidP="00DB1433" w:rsidRDefault="00D76450" w14:paraId="026A6E52" w14:textId="0BBFFD57">
      <w:pPr>
        <w:jc w:val="center"/>
      </w:pPr>
      <w:r w:rsidRPr="00F81608">
        <w:t xml:space="preserve">Manufacturing, Processing, Packing, and Holding of </w:t>
      </w:r>
      <w:r w:rsidR="00F7547D">
        <w:t>Drugs;</w:t>
      </w:r>
      <w:r w:rsidR="00D30BE7">
        <w:t xml:space="preserve"> GMP for </w:t>
      </w:r>
      <w:r w:rsidRPr="00F81608">
        <w:t xml:space="preserve">Finished Pharmaceuticals </w:t>
      </w:r>
      <w:r w:rsidR="007E7834">
        <w:t>(</w:t>
      </w:r>
      <w:r w:rsidRPr="00F81608">
        <w:t>Including Medical Gases</w:t>
      </w:r>
      <w:bookmarkEnd w:id="1"/>
      <w:r w:rsidR="00DB1433">
        <w:t xml:space="preserve"> </w:t>
      </w:r>
      <w:r w:rsidRPr="00F81608">
        <w:t>and Active Pharmaceutical Ingredients</w:t>
      </w:r>
      <w:r w:rsidR="00DB1433">
        <w:t>)</w:t>
      </w:r>
    </w:p>
    <w:bookmarkEnd w:id="0"/>
    <w:p w:rsidRPr="00F81608" w:rsidR="00352640" w:rsidP="00DB1433" w:rsidRDefault="00352640" w14:paraId="43CDF317" w14:textId="77777777">
      <w:pPr>
        <w:jc w:val="center"/>
        <w:rPr>
          <w:rFonts w:eastAsia="Calibri"/>
        </w:rPr>
      </w:pPr>
    </w:p>
    <w:p w:rsidRPr="00DB1433" w:rsidR="00357C8A" w:rsidP="00DB1433" w:rsidRDefault="00357C8A" w14:paraId="4EF39511" w14:textId="18BDCEDF">
      <w:pPr>
        <w:jc w:val="center"/>
        <w:rPr>
          <w:rFonts w:eastAsia="Calibri"/>
          <w:u w:val="single"/>
        </w:rPr>
      </w:pPr>
      <w:r w:rsidRPr="00DB1433">
        <w:rPr>
          <w:rFonts w:eastAsia="Calibri"/>
          <w:u w:val="single"/>
        </w:rPr>
        <w:t>OMB Control No. 0910-</w:t>
      </w:r>
      <w:r w:rsidRPr="00DB1433" w:rsidR="00352640">
        <w:rPr>
          <w:rFonts w:eastAsia="Calibri"/>
          <w:u w:val="single"/>
        </w:rPr>
        <w:t>0</w:t>
      </w:r>
      <w:r w:rsidRPr="00DB1433" w:rsidR="00174F6F">
        <w:rPr>
          <w:rFonts w:eastAsia="Calibri"/>
          <w:u w:val="single"/>
        </w:rPr>
        <w:t>139</w:t>
      </w:r>
    </w:p>
    <w:p w:rsidRPr="00F81608" w:rsidR="00DB0F42" w:rsidP="00B52D33" w:rsidRDefault="00DB0F42" w14:paraId="71AA939A" w14:textId="77777777">
      <w:pPr>
        <w:rPr>
          <w:rFonts w:eastAsia="Calibri"/>
        </w:rPr>
      </w:pPr>
    </w:p>
    <w:p w:rsidRPr="00F81608" w:rsidR="00357C8A" w:rsidP="00B52D33" w:rsidRDefault="00357C8A" w14:paraId="6A63607B" w14:textId="0217F933">
      <w:pPr>
        <w:rPr>
          <w:rFonts w:eastAsia="Calibri"/>
        </w:rPr>
      </w:pPr>
      <w:r w:rsidRPr="00F81608">
        <w:rPr>
          <w:rFonts w:eastAsia="Calibri"/>
        </w:rPr>
        <w:t>SUPPORTING STATEMENT</w:t>
      </w:r>
      <w:r w:rsidR="00DB1433">
        <w:rPr>
          <w:rFonts w:eastAsia="Calibri"/>
        </w:rPr>
        <w:t xml:space="preserve"> – </w:t>
      </w:r>
      <w:r w:rsidRPr="00F81608">
        <w:rPr>
          <w:rFonts w:eastAsia="Calibri"/>
        </w:rPr>
        <w:t>Part A:  Justification:</w:t>
      </w:r>
    </w:p>
    <w:p w:rsidRPr="00F81608" w:rsidR="000D79CC" w:rsidP="00B52D33" w:rsidRDefault="000D79CC" w14:paraId="01794EBD" w14:textId="77777777">
      <w:pPr>
        <w:rPr>
          <w:rFonts w:eastAsia="Calibri"/>
        </w:rPr>
      </w:pPr>
    </w:p>
    <w:p w:rsidR="00357C8A" w:rsidP="00B52D33" w:rsidRDefault="006016AE" w14:paraId="25CE6C66" w14:textId="6CBFC0F0">
      <w:pPr>
        <w:rPr>
          <w:rFonts w:eastAsia="Calibri"/>
        </w:rPr>
      </w:pPr>
      <w:r w:rsidRPr="00F81608">
        <w:rPr>
          <w:rFonts w:eastAsia="Calibri"/>
        </w:rPr>
        <w:t xml:space="preserve">1. </w:t>
      </w:r>
      <w:r w:rsidRPr="00BF3871" w:rsidR="00357C8A">
        <w:rPr>
          <w:rFonts w:eastAsia="Calibri"/>
          <w:u w:val="single"/>
        </w:rPr>
        <w:t>Circumstances Making the Collection of Information Necessary</w:t>
      </w:r>
    </w:p>
    <w:p w:rsidRPr="00F81608" w:rsidR="00DB1433" w:rsidP="00B52D33" w:rsidRDefault="00DB1433" w14:paraId="1359A5DD" w14:textId="77777777">
      <w:pPr>
        <w:rPr>
          <w:rFonts w:eastAsia="Calibri"/>
        </w:rPr>
      </w:pPr>
    </w:p>
    <w:p w:rsidRPr="00F81608" w:rsidR="00863091" w:rsidP="00B52D33" w:rsidRDefault="00627C2B" w14:paraId="7B214052" w14:textId="49C2B50E">
      <w:pPr>
        <w:rPr>
          <w:rFonts w:eastAsia="Calibri"/>
        </w:rPr>
      </w:pPr>
      <w:r>
        <w:rPr>
          <w:rFonts w:eastAsia="Calibri"/>
        </w:rPr>
        <w:t xml:space="preserve">Section 301 of the Federal Food, Drug, and Cosmetic Act </w:t>
      </w:r>
      <w:r w:rsidR="00B02516">
        <w:rPr>
          <w:rFonts w:eastAsia="Calibri"/>
        </w:rPr>
        <w:t>(</w:t>
      </w:r>
      <w:r w:rsidR="00A51B42">
        <w:rPr>
          <w:rFonts w:eastAsia="Calibri"/>
        </w:rPr>
        <w:t xml:space="preserve">FD&amp;C Act; </w:t>
      </w:r>
      <w:r w:rsidR="00B02516">
        <w:rPr>
          <w:rFonts w:eastAsia="Calibri"/>
        </w:rPr>
        <w:t>21 U.S.C. 3</w:t>
      </w:r>
      <w:r w:rsidR="003F6884">
        <w:rPr>
          <w:rFonts w:eastAsia="Calibri"/>
        </w:rPr>
        <w:t>3</w:t>
      </w:r>
      <w:r w:rsidR="00B02516">
        <w:rPr>
          <w:rFonts w:eastAsia="Calibri"/>
        </w:rPr>
        <w:t xml:space="preserve">1) </w:t>
      </w:r>
      <w:r>
        <w:rPr>
          <w:rFonts w:eastAsia="Calibri"/>
        </w:rPr>
        <w:t xml:space="preserve">prohibits the introduction </w:t>
      </w:r>
      <w:r w:rsidR="00880DAC">
        <w:rPr>
          <w:rFonts w:eastAsia="Calibri"/>
        </w:rPr>
        <w:t xml:space="preserve">into interstate commerce any drug that is adulterated.  </w:t>
      </w:r>
      <w:r w:rsidRPr="00F81608" w:rsidR="00863091">
        <w:rPr>
          <w:rFonts w:eastAsia="Calibri"/>
        </w:rPr>
        <w:t xml:space="preserve">This information collection supports </w:t>
      </w:r>
      <w:r w:rsidR="00880DAC">
        <w:rPr>
          <w:rFonts w:eastAsia="Calibri"/>
        </w:rPr>
        <w:t>Food and Drug Administration (</w:t>
      </w:r>
      <w:r w:rsidR="00EE3C67">
        <w:rPr>
          <w:rFonts w:eastAsia="Calibri"/>
        </w:rPr>
        <w:t>“</w:t>
      </w:r>
      <w:r w:rsidRPr="00F81608" w:rsidR="00863091">
        <w:rPr>
          <w:rFonts w:eastAsia="Calibri"/>
        </w:rPr>
        <w:t>FDA</w:t>
      </w:r>
      <w:r w:rsidR="00880DAC">
        <w:rPr>
          <w:rFonts w:eastAsia="Calibri"/>
        </w:rPr>
        <w:t>, the agency, us or we</w:t>
      </w:r>
      <w:r w:rsidR="00EE3C67">
        <w:rPr>
          <w:rFonts w:eastAsia="Calibri"/>
        </w:rPr>
        <w:t>”</w:t>
      </w:r>
      <w:r w:rsidR="00880DAC">
        <w:rPr>
          <w:rFonts w:eastAsia="Calibri"/>
        </w:rPr>
        <w:t>)</w:t>
      </w:r>
      <w:r w:rsidRPr="00F81608" w:rsidR="00863091">
        <w:rPr>
          <w:rFonts w:eastAsia="Calibri"/>
        </w:rPr>
        <w:t xml:space="preserve"> regulations that govern the manufacture, processing, packing, or holding of finished pharmaceuticals, including medical gases and </w:t>
      </w:r>
      <w:r w:rsidR="00B1003B">
        <w:rPr>
          <w:rFonts w:eastAsia="Calibri"/>
        </w:rPr>
        <w:t xml:space="preserve">active pharmaceutical ingredients </w:t>
      </w:r>
      <w:r w:rsidR="00651E03">
        <w:rPr>
          <w:rFonts w:eastAsia="Calibri"/>
        </w:rPr>
        <w:t>(</w:t>
      </w:r>
      <w:r w:rsidRPr="00F81608" w:rsidR="00863091">
        <w:rPr>
          <w:rFonts w:eastAsia="Calibri"/>
        </w:rPr>
        <w:t>APIs</w:t>
      </w:r>
      <w:r w:rsidR="00651E03">
        <w:rPr>
          <w:rFonts w:eastAsia="Calibri"/>
        </w:rPr>
        <w:t>)</w:t>
      </w:r>
      <w:r w:rsidRPr="00F81608" w:rsidR="00863091">
        <w:rPr>
          <w:rFonts w:eastAsia="Calibri"/>
        </w:rPr>
        <w:t>.  Under section 501(a)(2)(B) of the FD&amp;C Act (21 U.S.C 351(a)(2)(B)), a drug is adulterated if the methods used in, or the facilities or controls used for</w:t>
      </w:r>
      <w:r w:rsidR="003459DB">
        <w:rPr>
          <w:rFonts w:eastAsia="Calibri"/>
        </w:rPr>
        <w:t>,</w:t>
      </w:r>
      <w:r w:rsidRPr="00F81608" w:rsidR="00863091">
        <w:rPr>
          <w:rFonts w:eastAsia="Calibri"/>
        </w:rPr>
        <w:t xml:space="preserve"> its manufacture, processing, packing, or holding do not conform to or are not operated or administered in conformity with CGMP regulations.  FDA is responsible for enforcing the FD&amp;C Act as well as related statutes, including the Public Health Service Act</w:t>
      </w:r>
      <w:r w:rsidR="009C212E">
        <w:rPr>
          <w:rFonts w:eastAsia="Calibri"/>
        </w:rPr>
        <w:t xml:space="preserve">, which </w:t>
      </w:r>
      <w:r w:rsidR="00BE3BA8">
        <w:rPr>
          <w:rFonts w:eastAsia="Calibri"/>
        </w:rPr>
        <w:t xml:space="preserve">governs </w:t>
      </w:r>
      <w:r w:rsidR="00DF64DE">
        <w:rPr>
          <w:rFonts w:eastAsia="Calibri"/>
        </w:rPr>
        <w:t>regulation of biological products</w:t>
      </w:r>
      <w:r w:rsidRPr="00F81608" w:rsidR="00863091">
        <w:rPr>
          <w:rFonts w:eastAsia="Calibri"/>
        </w:rPr>
        <w:t>.  Congress enacted these laws to ensure that covered products meet applicable requirements regarding the safety, identity and strength, and the quality and purity characteristics they purport or are represented to possess and are labeled with adequate warnings and instructions for use.</w:t>
      </w:r>
    </w:p>
    <w:p w:rsidRPr="00F81608" w:rsidR="00863091" w:rsidP="00B52D33" w:rsidRDefault="00863091" w14:paraId="45AD8921" w14:textId="77777777">
      <w:pPr>
        <w:rPr>
          <w:rFonts w:eastAsia="Calibri"/>
        </w:rPr>
      </w:pPr>
    </w:p>
    <w:p w:rsidR="001125A5" w:rsidP="00B52D33" w:rsidRDefault="00B517F3" w14:paraId="724AC829" w14:textId="7A331F44">
      <w:pPr>
        <w:rPr>
          <w:rFonts w:eastAsia="Calibri"/>
        </w:rPr>
      </w:pPr>
      <w:r>
        <w:rPr>
          <w:rFonts w:eastAsia="Calibri"/>
        </w:rPr>
        <w:t>P</w:t>
      </w:r>
      <w:r w:rsidRPr="00F81608" w:rsidR="00F35FE5">
        <w:rPr>
          <w:rFonts w:eastAsia="Calibri"/>
        </w:rPr>
        <w:t>harmaceutical or drug quality-related</w:t>
      </w:r>
      <w:r w:rsidR="00221037">
        <w:rPr>
          <w:rFonts w:eastAsia="Calibri"/>
        </w:rPr>
        <w:t xml:space="preserve"> requirements</w:t>
      </w:r>
      <w:r w:rsidRPr="00F81608" w:rsidR="00F35FE5">
        <w:rPr>
          <w:rFonts w:eastAsia="Calibri"/>
        </w:rPr>
        <w:t xml:space="preserve"> appear in several parts of </w:t>
      </w:r>
      <w:r w:rsidR="005F3642">
        <w:rPr>
          <w:rFonts w:eastAsia="Calibri"/>
        </w:rPr>
        <w:t>agency regulations</w:t>
      </w:r>
      <w:r w:rsidR="003B6A70">
        <w:rPr>
          <w:rFonts w:eastAsia="Calibri"/>
        </w:rPr>
        <w:t>.</w:t>
      </w:r>
      <w:r w:rsidR="004C0D40">
        <w:rPr>
          <w:rFonts w:eastAsia="Calibri"/>
        </w:rPr>
        <w:t xml:space="preserve">  Regulations in 21 CFR part 210 set forth general GMP</w:t>
      </w:r>
      <w:r w:rsidR="00005D85">
        <w:rPr>
          <w:rFonts w:eastAsia="Calibri"/>
        </w:rPr>
        <w:t xml:space="preserve"> requir</w:t>
      </w:r>
      <w:r w:rsidR="008755C7">
        <w:rPr>
          <w:rFonts w:eastAsia="Calibri"/>
        </w:rPr>
        <w:t>e</w:t>
      </w:r>
      <w:r w:rsidR="00005D85">
        <w:rPr>
          <w:rFonts w:eastAsia="Calibri"/>
        </w:rPr>
        <w:t>ments</w:t>
      </w:r>
      <w:r w:rsidR="00581987">
        <w:rPr>
          <w:rFonts w:eastAsia="Calibri"/>
        </w:rPr>
        <w:t xml:space="preserve"> </w:t>
      </w:r>
      <w:r w:rsidR="0098231E">
        <w:rPr>
          <w:rFonts w:eastAsia="Calibri"/>
        </w:rPr>
        <w:t xml:space="preserve">applicable to </w:t>
      </w:r>
      <w:r w:rsidR="00A6282C">
        <w:rPr>
          <w:rFonts w:eastAsia="Calibri"/>
        </w:rPr>
        <w:t>drugs subject to 21 CFR parts 211, 225, 226</w:t>
      </w:r>
      <w:r w:rsidR="00903DB0">
        <w:rPr>
          <w:rFonts w:eastAsia="Calibri"/>
        </w:rPr>
        <w:t>; biological products for human use subject to 21 CFR parts 600 through 680</w:t>
      </w:r>
      <w:r w:rsidR="009B5BD3">
        <w:rPr>
          <w:rFonts w:eastAsia="Calibri"/>
        </w:rPr>
        <w:t xml:space="preserve">; </w:t>
      </w:r>
      <w:r w:rsidR="00FF782A">
        <w:rPr>
          <w:rFonts w:eastAsia="Calibri"/>
        </w:rPr>
        <w:t xml:space="preserve">and </w:t>
      </w:r>
      <w:r w:rsidR="009B5BD3">
        <w:rPr>
          <w:rFonts w:eastAsia="Calibri"/>
        </w:rPr>
        <w:t>human cell and tissue-based products</w:t>
      </w:r>
      <w:r w:rsidR="002F6460">
        <w:rPr>
          <w:rFonts w:eastAsia="Calibri"/>
        </w:rPr>
        <w:t xml:space="preserve"> subject to</w:t>
      </w:r>
      <w:r w:rsidR="009B5BD3">
        <w:rPr>
          <w:rFonts w:eastAsia="Calibri"/>
        </w:rPr>
        <w:t xml:space="preserve"> 21 CFR </w:t>
      </w:r>
      <w:r w:rsidR="00717EA5">
        <w:rPr>
          <w:rFonts w:eastAsia="Calibri"/>
        </w:rPr>
        <w:t>1271.</w:t>
      </w:r>
      <w:r w:rsidR="00FF782A">
        <w:rPr>
          <w:rFonts w:eastAsia="Calibri"/>
        </w:rPr>
        <w:t xml:space="preserve">  </w:t>
      </w:r>
      <w:r w:rsidR="00581987">
        <w:rPr>
          <w:rFonts w:eastAsia="Calibri"/>
        </w:rPr>
        <w:t>Regulations in 21 CFR part 211 set forth the minimum GMP for prep</w:t>
      </w:r>
      <w:r w:rsidR="003F48C4">
        <w:rPr>
          <w:rFonts w:eastAsia="Calibri"/>
        </w:rPr>
        <w:t>aration of drug products, including medical gases and APIs</w:t>
      </w:r>
      <w:r w:rsidR="005136AD">
        <w:rPr>
          <w:rFonts w:eastAsia="Calibri"/>
        </w:rPr>
        <w:t xml:space="preserve"> and apply to drug products </w:t>
      </w:r>
      <w:r w:rsidR="00F03EF0">
        <w:rPr>
          <w:rFonts w:eastAsia="Calibri"/>
        </w:rPr>
        <w:t>for administration to humans or animals</w:t>
      </w:r>
      <w:r w:rsidR="00002958">
        <w:rPr>
          <w:rFonts w:eastAsia="Calibri"/>
        </w:rPr>
        <w:t>;</w:t>
      </w:r>
      <w:r w:rsidR="002242B5">
        <w:rPr>
          <w:rFonts w:eastAsia="Calibri"/>
        </w:rPr>
        <w:t xml:space="preserve"> biological products for human use</w:t>
      </w:r>
      <w:r w:rsidR="00887C16">
        <w:rPr>
          <w:rFonts w:eastAsia="Calibri"/>
        </w:rPr>
        <w:t xml:space="preserve"> covered in parts 21 CFR parts 600-680; and human cells and tissue-based products covered in 21 CFR part 1271.</w:t>
      </w:r>
      <w:r w:rsidR="0039186C">
        <w:rPr>
          <w:rFonts w:eastAsia="Calibri"/>
        </w:rPr>
        <w:t xml:space="preserve">  </w:t>
      </w:r>
      <w:r w:rsidRPr="00F81608" w:rsidR="00863091">
        <w:rPr>
          <w:rFonts w:eastAsia="Calibri"/>
        </w:rPr>
        <w:t>The regulations enable a common understanding of the regulatory process by describing requirements that drug manufacturers, applicants, and FDA must follow</w:t>
      </w:r>
      <w:r w:rsidR="009C6857">
        <w:rPr>
          <w:rFonts w:eastAsia="Calibri"/>
        </w:rPr>
        <w:t>, including record</w:t>
      </w:r>
      <w:r w:rsidR="00851576">
        <w:rPr>
          <w:rFonts w:eastAsia="Calibri"/>
        </w:rPr>
        <w:t>keeping subject to FDA inspection.</w:t>
      </w:r>
    </w:p>
    <w:p w:rsidR="001125A5" w:rsidP="00B52D33" w:rsidRDefault="001125A5" w14:paraId="6FD9ECBF" w14:textId="77777777">
      <w:pPr>
        <w:rPr>
          <w:rFonts w:eastAsia="Calibri"/>
        </w:rPr>
      </w:pPr>
    </w:p>
    <w:p w:rsidRPr="00F81608" w:rsidR="00380CA3" w:rsidP="00B52D33" w:rsidRDefault="00863091" w14:paraId="42871573" w14:textId="5D26E3CB">
      <w:pPr>
        <w:rPr>
          <w:rFonts w:eastAsia="Calibri"/>
        </w:rPr>
      </w:pPr>
      <w:r w:rsidRPr="00F81608">
        <w:rPr>
          <w:rFonts w:eastAsia="Calibri"/>
        </w:rPr>
        <w:t>Under 21 CFR part 211 (see 21 CFR 211.94(e)(1)), specific requirements for medical gas containers and closures a</w:t>
      </w:r>
      <w:r w:rsidR="006C134D">
        <w:rPr>
          <w:rFonts w:eastAsia="Calibri"/>
        </w:rPr>
        <w:t xml:space="preserve">pply.  </w:t>
      </w:r>
      <w:r w:rsidR="00CF2511">
        <w:rPr>
          <w:rFonts w:eastAsia="Calibri"/>
        </w:rPr>
        <w:t>Because a</w:t>
      </w:r>
      <w:r w:rsidRPr="00CF2511" w:rsidR="00CF2511">
        <w:rPr>
          <w:rFonts w:eastAsia="Calibri"/>
        </w:rPr>
        <w:t xml:space="preserve"> number of injuries and deaths resulted from medical gases not being produced or handled properly</w:t>
      </w:r>
      <w:r w:rsidR="005C698F">
        <w:rPr>
          <w:rFonts w:eastAsia="Calibri"/>
        </w:rPr>
        <w:t>, we established the applicable regulations</w:t>
      </w:r>
      <w:r w:rsidR="00271419">
        <w:rPr>
          <w:rFonts w:eastAsia="Calibri"/>
        </w:rPr>
        <w:t xml:space="preserve"> (0910-</w:t>
      </w:r>
      <w:r w:rsidR="008734C8">
        <w:rPr>
          <w:rFonts w:eastAsia="Calibri"/>
        </w:rPr>
        <w:t>AC53)</w:t>
      </w:r>
      <w:r w:rsidRPr="00CF2511" w:rsidR="00CF2511">
        <w:rPr>
          <w:rFonts w:eastAsia="Calibri"/>
        </w:rPr>
        <w:t>.</w:t>
      </w:r>
      <w:r w:rsidR="00271419">
        <w:rPr>
          <w:rFonts w:eastAsia="Calibri"/>
        </w:rPr>
        <w:t xml:space="preserve">  </w:t>
      </w:r>
      <w:r w:rsidR="00380CA3">
        <w:rPr>
          <w:rFonts w:eastAsia="Calibri"/>
        </w:rPr>
        <w:t>To assist respondents with the</w:t>
      </w:r>
      <w:r w:rsidR="006C134D">
        <w:rPr>
          <w:rFonts w:eastAsia="Calibri"/>
        </w:rPr>
        <w:t>se provisions</w:t>
      </w:r>
      <w:r w:rsidR="00380CA3">
        <w:rPr>
          <w:rFonts w:eastAsia="Calibri"/>
        </w:rPr>
        <w:t xml:space="preserve"> we </w:t>
      </w:r>
      <w:r w:rsidR="00AD4AC8">
        <w:rPr>
          <w:rFonts w:eastAsia="Calibri"/>
        </w:rPr>
        <w:t xml:space="preserve">also </w:t>
      </w:r>
      <w:r w:rsidR="005160FA">
        <w:rPr>
          <w:rFonts w:eastAsia="Calibri"/>
        </w:rPr>
        <w:t xml:space="preserve">developed the </w:t>
      </w:r>
      <w:r w:rsidR="006C134D">
        <w:rPr>
          <w:rFonts w:eastAsia="Calibri"/>
        </w:rPr>
        <w:t xml:space="preserve">draft </w:t>
      </w:r>
      <w:r w:rsidR="005160FA">
        <w:rPr>
          <w:rFonts w:eastAsia="Calibri"/>
        </w:rPr>
        <w:t xml:space="preserve">guidance document, </w:t>
      </w:r>
      <w:r w:rsidR="006C134D">
        <w:rPr>
          <w:rFonts w:eastAsia="Calibri"/>
        </w:rPr>
        <w:t>“</w:t>
      </w:r>
      <w:r w:rsidRPr="00C84557" w:rsidR="001125A5">
        <w:rPr>
          <w:rFonts w:eastAsia="Calibri"/>
          <w:i/>
          <w:iCs/>
        </w:rPr>
        <w:t>Current Good Manufacturing Practice for Medical Gases</w:t>
      </w:r>
      <w:r w:rsidRPr="001125A5" w:rsidR="001125A5">
        <w:rPr>
          <w:rFonts w:eastAsia="Calibri"/>
        </w:rPr>
        <w:t>”</w:t>
      </w:r>
      <w:r w:rsidR="00954A4D">
        <w:rPr>
          <w:rFonts w:eastAsia="Calibri"/>
        </w:rPr>
        <w:t xml:space="preserve"> (June 2017).</w:t>
      </w:r>
      <w:r w:rsidR="00C84557">
        <w:rPr>
          <w:rFonts w:eastAsia="Calibri"/>
        </w:rPr>
        <w:t xml:space="preserve">  </w:t>
      </w:r>
      <w:r w:rsidR="0010619C">
        <w:rPr>
          <w:rFonts w:eastAsia="Calibri"/>
        </w:rPr>
        <w:t xml:space="preserve">The guidance is being issued consistent with our Good Guidance Practice regulations in 21 CFR 10.115, which provide for public comment at any time.  </w:t>
      </w:r>
      <w:r w:rsidR="00C84557">
        <w:rPr>
          <w:rFonts w:eastAsia="Calibri"/>
        </w:rPr>
        <w:t>While we intend to finalize the guidance</w:t>
      </w:r>
      <w:r w:rsidR="00580FB9">
        <w:rPr>
          <w:rFonts w:eastAsia="Calibri"/>
        </w:rPr>
        <w:t>,</w:t>
      </w:r>
      <w:r w:rsidR="00AD4AC8">
        <w:rPr>
          <w:rFonts w:eastAsia="Calibri"/>
        </w:rPr>
        <w:t xml:space="preserve"> </w:t>
      </w:r>
      <w:r w:rsidR="005602C6">
        <w:rPr>
          <w:rFonts w:eastAsia="Calibri"/>
        </w:rPr>
        <w:t xml:space="preserve">we believe that </w:t>
      </w:r>
      <w:r w:rsidRPr="00FE61E3" w:rsidR="00FE61E3">
        <w:rPr>
          <w:rFonts w:eastAsia="Calibri"/>
        </w:rPr>
        <w:t>guidance</w:t>
      </w:r>
      <w:r w:rsidR="005602C6">
        <w:rPr>
          <w:rFonts w:eastAsia="Calibri"/>
        </w:rPr>
        <w:t xml:space="preserve"> </w:t>
      </w:r>
      <w:r w:rsidR="003B5CD9">
        <w:rPr>
          <w:rFonts w:eastAsia="Calibri"/>
        </w:rPr>
        <w:t xml:space="preserve">regarding </w:t>
      </w:r>
      <w:r w:rsidRPr="00FE61E3" w:rsidR="00FE61E3">
        <w:rPr>
          <w:rFonts w:eastAsia="Calibri"/>
        </w:rPr>
        <w:t xml:space="preserve">regulations </w:t>
      </w:r>
      <w:r w:rsidR="003B5CD9">
        <w:rPr>
          <w:rFonts w:eastAsia="Calibri"/>
        </w:rPr>
        <w:t xml:space="preserve">applicable </w:t>
      </w:r>
      <w:r w:rsidRPr="00FE61E3" w:rsidR="00FE61E3">
        <w:rPr>
          <w:rFonts w:eastAsia="Calibri"/>
        </w:rPr>
        <w:t xml:space="preserve">to medical gases </w:t>
      </w:r>
      <w:r w:rsidR="007E695A">
        <w:rPr>
          <w:rFonts w:eastAsia="Calibri"/>
        </w:rPr>
        <w:t xml:space="preserve">is </w:t>
      </w:r>
      <w:r w:rsidRPr="00FE61E3" w:rsidR="00FE61E3">
        <w:rPr>
          <w:rFonts w:eastAsia="Calibri"/>
        </w:rPr>
        <w:t>useful</w:t>
      </w:r>
      <w:r w:rsidR="007E695A">
        <w:rPr>
          <w:rFonts w:eastAsia="Calibri"/>
        </w:rPr>
        <w:t xml:space="preserve"> to respondents to the information collection</w:t>
      </w:r>
      <w:r w:rsidRPr="001125A5" w:rsidR="001125A5">
        <w:rPr>
          <w:rFonts w:eastAsia="Calibri"/>
        </w:rPr>
        <w:t xml:space="preserve">.  </w:t>
      </w:r>
    </w:p>
    <w:p w:rsidRPr="00F81608" w:rsidR="0068036E" w:rsidP="00B52D33" w:rsidRDefault="0068036E" w14:paraId="59B3A46C" w14:textId="77777777"/>
    <w:p w:rsidRPr="00F81608" w:rsidR="008A479D" w:rsidP="00B52D33" w:rsidRDefault="008A479D" w14:paraId="5BB7A76A" w14:textId="12E91DE8">
      <w:pPr>
        <w:rPr>
          <w:rFonts w:eastAsia="Calibri"/>
        </w:rPr>
      </w:pPr>
      <w:r w:rsidRPr="00F81608">
        <w:rPr>
          <w:rFonts w:eastAsia="Calibri"/>
        </w:rPr>
        <w:t xml:space="preserve">We therefore request extension of OMB approval for the information collection </w:t>
      </w:r>
      <w:r w:rsidR="00397081">
        <w:rPr>
          <w:rFonts w:eastAsia="Calibri"/>
        </w:rPr>
        <w:t xml:space="preserve">provisions in 21 CFR </w:t>
      </w:r>
      <w:r w:rsidRPr="00F81608">
        <w:rPr>
          <w:rFonts w:eastAsia="Calibri"/>
        </w:rPr>
        <w:t>parts 210 and 211</w:t>
      </w:r>
      <w:r w:rsidR="00397081">
        <w:rPr>
          <w:rFonts w:eastAsia="Calibri"/>
        </w:rPr>
        <w:t>,</w:t>
      </w:r>
      <w:r w:rsidR="00892FE7">
        <w:rPr>
          <w:rFonts w:eastAsia="Calibri"/>
        </w:rPr>
        <w:t xml:space="preserve"> along with the associated guidance </w:t>
      </w:r>
      <w:r w:rsidR="003D7E11">
        <w:rPr>
          <w:rFonts w:eastAsia="Calibri"/>
        </w:rPr>
        <w:t>discussed in this supporting statement.</w:t>
      </w:r>
    </w:p>
    <w:p w:rsidRPr="00F81608" w:rsidR="008A479D" w:rsidP="00B52D33" w:rsidRDefault="008A479D" w14:paraId="2F9E61BB" w14:textId="77777777">
      <w:pPr>
        <w:rPr>
          <w:rFonts w:eastAsia="Calibri"/>
        </w:rPr>
      </w:pPr>
    </w:p>
    <w:p w:rsidRPr="00F81608" w:rsidR="00357C8A" w:rsidP="00B52D33" w:rsidRDefault="00380CA3" w14:paraId="6A17FCB3" w14:textId="0400773D">
      <w:pPr>
        <w:rPr>
          <w:rFonts w:eastAsia="Calibri"/>
        </w:rPr>
      </w:pPr>
      <w:r>
        <w:rPr>
          <w:rFonts w:eastAsia="Calibri"/>
        </w:rPr>
        <w:t xml:space="preserve">2.  </w:t>
      </w:r>
      <w:r w:rsidRPr="00912E87" w:rsidR="00357C8A">
        <w:rPr>
          <w:rFonts w:eastAsia="Calibri"/>
          <w:u w:val="single"/>
        </w:rPr>
        <w:t>Purpose and Use of the Information Collection</w:t>
      </w:r>
      <w:r w:rsidRPr="00F81608" w:rsidR="00357C8A">
        <w:rPr>
          <w:rFonts w:eastAsia="Calibri"/>
        </w:rPr>
        <w:t xml:space="preserve"> </w:t>
      </w:r>
    </w:p>
    <w:p w:rsidR="00380CA3" w:rsidP="00B52D33" w:rsidRDefault="00380CA3" w14:paraId="728AA7AA" w14:textId="77777777">
      <w:pPr>
        <w:rPr>
          <w:rFonts w:eastAsia="Calibri"/>
        </w:rPr>
      </w:pPr>
    </w:p>
    <w:p w:rsidRPr="00F81608" w:rsidR="00723FCA" w:rsidP="00B52D33" w:rsidRDefault="0094459C" w14:paraId="354660F4" w14:textId="4B2633F0">
      <w:pPr>
        <w:rPr>
          <w:rFonts w:eastAsia="Calibri"/>
        </w:rPr>
      </w:pPr>
      <w:r>
        <w:rPr>
          <w:rFonts w:eastAsia="Calibri"/>
        </w:rPr>
        <w:t>S</w:t>
      </w:r>
      <w:r w:rsidRPr="00F81608" w:rsidR="00723FCA">
        <w:rPr>
          <w:rFonts w:eastAsia="Calibri"/>
        </w:rPr>
        <w:t>ection 704 of the FD&amp;C Act (21 U.S.C. 374)</w:t>
      </w:r>
      <w:r>
        <w:rPr>
          <w:rFonts w:eastAsia="Calibri"/>
        </w:rPr>
        <w:t xml:space="preserve"> </w:t>
      </w:r>
      <w:r w:rsidR="003F3608">
        <w:rPr>
          <w:rFonts w:eastAsia="Calibri"/>
        </w:rPr>
        <w:t xml:space="preserve">provides for inspections </w:t>
      </w:r>
      <w:r w:rsidR="007915D0">
        <w:rPr>
          <w:rFonts w:eastAsia="Calibri"/>
        </w:rPr>
        <w:t xml:space="preserve">by FDA to ensure </w:t>
      </w:r>
      <w:r w:rsidRPr="00F81608" w:rsidR="00723FCA">
        <w:rPr>
          <w:rFonts w:eastAsia="Calibri"/>
        </w:rPr>
        <w:t xml:space="preserve">compliance with </w:t>
      </w:r>
      <w:r w:rsidR="007915D0">
        <w:rPr>
          <w:rFonts w:eastAsia="Calibri"/>
        </w:rPr>
        <w:t xml:space="preserve">statutory and </w:t>
      </w:r>
      <w:r w:rsidRPr="00F81608" w:rsidR="00723FCA">
        <w:rPr>
          <w:rFonts w:eastAsia="Calibri"/>
        </w:rPr>
        <w:t>regulatory requirements</w:t>
      </w:r>
      <w:r w:rsidR="007915D0">
        <w:rPr>
          <w:rFonts w:eastAsia="Calibri"/>
        </w:rPr>
        <w:t>.</w:t>
      </w:r>
      <w:r w:rsidR="00186E8F">
        <w:rPr>
          <w:rFonts w:eastAsia="Calibri"/>
        </w:rPr>
        <w:t xml:space="preserve">  </w:t>
      </w:r>
      <w:r w:rsidRPr="00F81608" w:rsidR="00723FCA">
        <w:rPr>
          <w:rFonts w:eastAsia="Calibri"/>
        </w:rPr>
        <w:t>The information collection also facilitates product recall activities in the event a product recall becomes necessary.</w:t>
      </w:r>
    </w:p>
    <w:p w:rsidR="005160FA" w:rsidP="00B52D33" w:rsidRDefault="005160FA" w14:paraId="49526F04" w14:textId="77777777">
      <w:pPr>
        <w:rPr>
          <w:rFonts w:eastAsia="Calibri"/>
        </w:rPr>
      </w:pPr>
    </w:p>
    <w:p w:rsidRPr="00F81608" w:rsidR="00357C8A" w:rsidP="00B52D33" w:rsidRDefault="005160FA" w14:paraId="68024921" w14:textId="29E1294C">
      <w:pPr>
        <w:rPr>
          <w:rFonts w:eastAsia="Calibri"/>
        </w:rPr>
      </w:pPr>
      <w:r>
        <w:rPr>
          <w:rFonts w:eastAsia="Calibri"/>
        </w:rPr>
        <w:t xml:space="preserve">3.  </w:t>
      </w:r>
      <w:r w:rsidRPr="005160FA" w:rsidR="00357C8A">
        <w:rPr>
          <w:rFonts w:eastAsia="Calibri"/>
          <w:u w:val="single"/>
        </w:rPr>
        <w:t>Use of Improved Information Technology and Burden Reduction</w:t>
      </w:r>
    </w:p>
    <w:p w:rsidR="005160FA" w:rsidP="00B52D33" w:rsidRDefault="005160FA" w14:paraId="3D67C5B6" w14:textId="77777777"/>
    <w:p w:rsidR="00723FCA" w:rsidP="00B52D33" w:rsidRDefault="00723FCA" w14:paraId="3ABC64AF" w14:textId="645AEF5A">
      <w:r w:rsidRPr="00F81608">
        <w:t>Although the regulations do not prescribe specific recordkeeping methods, we believe all respondents will use electronic means to fulfill the information collection requirements.</w:t>
      </w:r>
      <w:r w:rsidR="00186E8F">
        <w:t xml:space="preserve">  We</w:t>
      </w:r>
      <w:r w:rsidR="007127E5">
        <w:t xml:space="preserve"> strive</w:t>
      </w:r>
      <w:r w:rsidR="00186E8F">
        <w:t xml:space="preserve"> to </w:t>
      </w:r>
      <w:r w:rsidR="007127E5">
        <w:t xml:space="preserve">increase the utility of agency operating systems and databases to </w:t>
      </w:r>
      <w:r w:rsidR="003A3087">
        <w:t xml:space="preserve">improve </w:t>
      </w:r>
      <w:r w:rsidR="007127E5">
        <w:t xml:space="preserve">all </w:t>
      </w:r>
      <w:r w:rsidR="002C5D74">
        <w:t xml:space="preserve">aspects of </w:t>
      </w:r>
      <w:r w:rsidR="007127E5">
        <w:t>information collection activities as our resources permit</w:t>
      </w:r>
      <w:r w:rsidR="0000046F">
        <w:t>.  On our website we discuss data submission</w:t>
      </w:r>
      <w:r w:rsidR="00B53908">
        <w:t xml:space="preserve"> standards</w:t>
      </w:r>
      <w:r w:rsidR="0000046F">
        <w:t xml:space="preserve"> and </w:t>
      </w:r>
      <w:r w:rsidR="00367EC4">
        <w:t xml:space="preserve">therefore </w:t>
      </w:r>
      <w:r w:rsidR="0000046F">
        <w:t>recommend</w:t>
      </w:r>
      <w:r w:rsidR="00404261">
        <w:t xml:space="preserve"> respondents adopt recordkeeping </w:t>
      </w:r>
      <w:r w:rsidR="00C854F3">
        <w:t>practices in light of related data submissions that may be contemplated</w:t>
      </w:r>
      <w:r w:rsidR="009219E9">
        <w:t>.</w:t>
      </w:r>
    </w:p>
    <w:p w:rsidRPr="00F81608" w:rsidR="008F3E93" w:rsidP="00B52D33" w:rsidRDefault="008F3E93" w14:paraId="5F25D280" w14:textId="77777777"/>
    <w:p w:rsidR="008F3E93" w:rsidP="00B52D33" w:rsidRDefault="008F3E93" w14:paraId="26FCD28F" w14:textId="77777777">
      <w:pPr>
        <w:rPr>
          <w:rFonts w:eastAsia="Calibri"/>
        </w:rPr>
      </w:pPr>
      <w:r>
        <w:rPr>
          <w:rFonts w:eastAsia="Calibri"/>
        </w:rPr>
        <w:t xml:space="preserve">4.  </w:t>
      </w:r>
      <w:r w:rsidRPr="008F3E93" w:rsidR="00357C8A">
        <w:rPr>
          <w:rFonts w:eastAsia="Calibri"/>
          <w:u w:val="single"/>
        </w:rPr>
        <w:t>Efforts to Identify Duplication and Use of Similar Information</w:t>
      </w:r>
    </w:p>
    <w:p w:rsidRPr="00F81608" w:rsidR="00357C8A" w:rsidP="00B52D33" w:rsidRDefault="00357C8A" w14:paraId="686F646A" w14:textId="4E6C2CBB">
      <w:pPr>
        <w:rPr>
          <w:rFonts w:eastAsia="Calibri"/>
        </w:rPr>
      </w:pPr>
      <w:r w:rsidRPr="00F81608">
        <w:rPr>
          <w:rFonts w:eastAsia="Calibri"/>
        </w:rPr>
        <w:t xml:space="preserve"> </w:t>
      </w:r>
    </w:p>
    <w:p w:rsidRPr="00F81608" w:rsidR="00487DF8" w:rsidP="00B52D33" w:rsidRDefault="00487DF8" w14:paraId="146C245B" w14:textId="044D8DC4">
      <w:r w:rsidRPr="00F81608">
        <w:t>We are unaware of duplicative information collection.</w:t>
      </w:r>
    </w:p>
    <w:p w:rsidRPr="00F81608" w:rsidR="00487DF8" w:rsidP="00B52D33" w:rsidRDefault="00487DF8" w14:paraId="3F01BB7A" w14:textId="77777777"/>
    <w:p w:rsidRPr="00F81608" w:rsidR="00357C8A" w:rsidP="00B52D33" w:rsidRDefault="00392C8E" w14:paraId="408215E1" w14:textId="6C3C8D12">
      <w:pPr>
        <w:rPr>
          <w:rFonts w:eastAsia="Calibri"/>
        </w:rPr>
      </w:pPr>
      <w:r>
        <w:rPr>
          <w:rFonts w:eastAsia="Calibri"/>
        </w:rPr>
        <w:t xml:space="preserve">5.  </w:t>
      </w:r>
      <w:r w:rsidRPr="008F3E93" w:rsidR="00357C8A">
        <w:rPr>
          <w:rFonts w:eastAsia="Calibri"/>
          <w:u w:val="single"/>
        </w:rPr>
        <w:t>Impact on Small Businesses or Other Small Entities</w:t>
      </w:r>
    </w:p>
    <w:p w:rsidR="008F3E93" w:rsidP="00B52D33" w:rsidRDefault="008F3E93" w14:paraId="15D03663" w14:textId="77777777">
      <w:pPr>
        <w:rPr>
          <w:rFonts w:eastAsia="Calibri"/>
        </w:rPr>
      </w:pPr>
    </w:p>
    <w:p w:rsidRPr="00F81608" w:rsidR="00A26F74" w:rsidP="00B52D33" w:rsidRDefault="00E46C78" w14:paraId="598E3B6B" w14:textId="44C9AFDB">
      <w:pPr>
        <w:rPr>
          <w:rFonts w:eastAsia="Calibri"/>
        </w:rPr>
      </w:pPr>
      <w:r>
        <w:rPr>
          <w:rFonts w:eastAsia="Calibri"/>
        </w:rPr>
        <w:t xml:space="preserve">The information collection poses no undue burden on small entities.  </w:t>
      </w:r>
      <w:r w:rsidR="00FD6F2F">
        <w:rPr>
          <w:rFonts w:eastAsia="Calibri"/>
        </w:rPr>
        <w:t>To help small businesses comply with agency regulations w</w:t>
      </w:r>
      <w:r w:rsidRPr="00F81608" w:rsidR="00A26F74">
        <w:rPr>
          <w:rFonts w:eastAsia="Calibri"/>
        </w:rPr>
        <w:t xml:space="preserve">e provide assistance </w:t>
      </w:r>
      <w:r w:rsidR="00FD6F2F">
        <w:rPr>
          <w:rFonts w:eastAsia="Calibri"/>
        </w:rPr>
        <w:t xml:space="preserve">and resources </w:t>
      </w:r>
      <w:r w:rsidRPr="00F81608" w:rsidR="00A26F74">
        <w:rPr>
          <w:rFonts w:eastAsia="Calibri"/>
        </w:rPr>
        <w:t xml:space="preserve">through </w:t>
      </w:r>
      <w:r w:rsidR="00FD6F2F">
        <w:rPr>
          <w:rFonts w:eastAsia="Calibri"/>
        </w:rPr>
        <w:t>a</w:t>
      </w:r>
      <w:r w:rsidRPr="00F81608" w:rsidR="00A26F74">
        <w:rPr>
          <w:rFonts w:eastAsia="Calibri"/>
        </w:rPr>
        <w:t xml:space="preserve">gency staff and </w:t>
      </w:r>
      <w:r w:rsidR="007F1AA8">
        <w:rPr>
          <w:rFonts w:eastAsia="Calibri"/>
        </w:rPr>
        <w:t xml:space="preserve">information </w:t>
      </w:r>
      <w:r w:rsidRPr="00F81608" w:rsidR="00A26F74">
        <w:rPr>
          <w:rFonts w:eastAsia="Calibri"/>
        </w:rPr>
        <w:t xml:space="preserve">available </w:t>
      </w:r>
      <w:r w:rsidR="007F1AA8">
        <w:rPr>
          <w:rFonts w:eastAsia="Calibri"/>
        </w:rPr>
        <w:t xml:space="preserve">from </w:t>
      </w:r>
      <w:r w:rsidRPr="00F81608" w:rsidR="00A26F74">
        <w:rPr>
          <w:rFonts w:eastAsia="Calibri"/>
        </w:rPr>
        <w:t xml:space="preserve">our website at </w:t>
      </w:r>
      <w:hyperlink w:history="1" r:id="rId8">
        <w:r w:rsidRPr="00F81608" w:rsidR="00A26F74">
          <w:rPr>
            <w:rStyle w:val="Hyperlink"/>
            <w:rFonts w:eastAsia="Calibri"/>
          </w:rPr>
          <w:t>www.fda.gov</w:t>
        </w:r>
      </w:hyperlink>
      <w:r w:rsidRPr="00F81608" w:rsidR="00A26F74">
        <w:rPr>
          <w:rFonts w:eastAsia="Calibri"/>
        </w:rPr>
        <w:t>.</w:t>
      </w:r>
    </w:p>
    <w:p w:rsidR="007F1AA8" w:rsidP="00B52D33" w:rsidRDefault="007F1AA8" w14:paraId="618EF9A2" w14:textId="77777777"/>
    <w:p w:rsidRPr="00F81608" w:rsidR="00357C8A" w:rsidP="00B52D33" w:rsidRDefault="007E3F0F" w14:paraId="408A5A2D" w14:textId="7F9711B3">
      <w:pPr>
        <w:rPr>
          <w:rFonts w:eastAsia="Calibri"/>
        </w:rPr>
      </w:pPr>
      <w:r>
        <w:t xml:space="preserve">6.  </w:t>
      </w:r>
      <w:r w:rsidRPr="00392C8E" w:rsidR="00357C8A">
        <w:rPr>
          <w:rFonts w:eastAsia="Calibri"/>
          <w:u w:val="single"/>
        </w:rPr>
        <w:t>Consequences of Collecting the Information Less Frequently</w:t>
      </w:r>
    </w:p>
    <w:p w:rsidR="001F4723" w:rsidP="00B52D33" w:rsidRDefault="001F4723" w14:paraId="43EA6CBE" w14:textId="77777777"/>
    <w:p w:rsidRPr="00F81608" w:rsidR="005F31EA" w:rsidP="00B52D33" w:rsidRDefault="001F4723" w14:paraId="16B2562E" w14:textId="3D62F822">
      <w:r>
        <w:t>The i</w:t>
      </w:r>
      <w:r w:rsidRPr="00F81608" w:rsidR="005F31EA">
        <w:t>nformation collection schedule is consistent with statutory provisions and applicable regulations.</w:t>
      </w:r>
    </w:p>
    <w:p w:rsidRPr="00F81608" w:rsidR="00F73713" w:rsidP="00B52D33" w:rsidRDefault="00F73713" w14:paraId="52A0D06B" w14:textId="77777777"/>
    <w:p w:rsidRPr="00F81608" w:rsidR="00357C8A" w:rsidP="00B52D33" w:rsidRDefault="007E3F0F" w14:paraId="7E686B10" w14:textId="4CAEF8A2">
      <w:pPr>
        <w:rPr>
          <w:rFonts w:eastAsia="Calibri"/>
        </w:rPr>
      </w:pPr>
      <w:r>
        <w:rPr>
          <w:rFonts w:eastAsia="Calibri"/>
        </w:rPr>
        <w:t xml:space="preserve">7.  </w:t>
      </w:r>
      <w:r w:rsidRPr="00392C8E" w:rsidR="00357C8A">
        <w:rPr>
          <w:rFonts w:eastAsia="Calibri"/>
          <w:u w:val="single"/>
        </w:rPr>
        <w:t>Special Circumstances Relating to the Guidelines of 5 CFR 1320.5</w:t>
      </w:r>
    </w:p>
    <w:p w:rsidR="007E3F0F" w:rsidP="00B52D33" w:rsidRDefault="007E3F0F" w14:paraId="66B9DA81" w14:textId="77777777"/>
    <w:p w:rsidRPr="00F81608" w:rsidR="000635F6" w:rsidP="00B52D33" w:rsidRDefault="000635F6" w14:paraId="06E04EFC" w14:textId="6F854520">
      <w:r w:rsidRPr="00F81608">
        <w:t>There are no special circumstances for the collection of information.</w:t>
      </w:r>
    </w:p>
    <w:p w:rsidR="007E3F0F" w:rsidP="00B52D33" w:rsidRDefault="007E3F0F" w14:paraId="4170A0B7" w14:textId="77777777">
      <w:pPr>
        <w:rPr>
          <w:rFonts w:eastAsia="Calibri"/>
        </w:rPr>
      </w:pPr>
    </w:p>
    <w:p w:rsidRPr="00F81608" w:rsidR="00357C8A" w:rsidP="00B52D33" w:rsidRDefault="007E3F0F" w14:paraId="6642CAEC" w14:textId="38779098">
      <w:pPr>
        <w:rPr>
          <w:rFonts w:eastAsia="Calibri"/>
        </w:rPr>
      </w:pPr>
      <w:r>
        <w:rPr>
          <w:rFonts w:eastAsia="Calibri"/>
        </w:rPr>
        <w:t xml:space="preserve">8.  </w:t>
      </w:r>
      <w:r w:rsidRPr="00392C8E" w:rsidR="00357C8A">
        <w:rPr>
          <w:rFonts w:eastAsia="Calibri"/>
          <w:u w:val="single"/>
        </w:rPr>
        <w:t>Comments in Response to the Federal Register Notice and Efforts to Consult Outside the Agency</w:t>
      </w:r>
    </w:p>
    <w:p w:rsidR="007E3F0F" w:rsidP="00B52D33" w:rsidRDefault="007E3F0F" w14:paraId="4C97F84D" w14:textId="77777777">
      <w:pPr>
        <w:rPr>
          <w:rFonts w:eastAsia="Calibri"/>
        </w:rPr>
      </w:pPr>
    </w:p>
    <w:p w:rsidRPr="000A521C" w:rsidR="000A521C" w:rsidP="000A521C" w:rsidRDefault="007E3F0F" w14:paraId="78D31DD2" w14:textId="24C95B40">
      <w:pPr>
        <w:rPr>
          <w:rFonts w:eastAsia="Calibri"/>
        </w:rPr>
      </w:pPr>
      <w:r>
        <w:rPr>
          <w:rFonts w:eastAsia="Calibri"/>
        </w:rPr>
        <w:t xml:space="preserve">In the </w:t>
      </w:r>
      <w:r w:rsidRPr="00041B80">
        <w:rPr>
          <w:rFonts w:eastAsia="Calibri"/>
          <w:u w:val="single"/>
        </w:rPr>
        <w:t>Federal Register</w:t>
      </w:r>
      <w:r>
        <w:rPr>
          <w:rFonts w:eastAsia="Calibri"/>
        </w:rPr>
        <w:t xml:space="preserve"> of </w:t>
      </w:r>
      <w:r w:rsidRPr="00F81608" w:rsidR="00863091">
        <w:rPr>
          <w:rFonts w:eastAsia="Calibri"/>
        </w:rPr>
        <w:t>March 3, 2021 (86 FR 12466)</w:t>
      </w:r>
      <w:r>
        <w:rPr>
          <w:rFonts w:eastAsia="Calibri"/>
        </w:rPr>
        <w:t>, we published a 60-day notice soliciting comment on the proposed collection of information.</w:t>
      </w:r>
      <w:bookmarkStart w:name="_Hlk70576436" w:id="2"/>
      <w:r w:rsidR="007F7779">
        <w:rPr>
          <w:rFonts w:eastAsia="Calibri"/>
        </w:rPr>
        <w:t xml:space="preserve">  </w:t>
      </w:r>
      <w:r w:rsidRPr="0090302A" w:rsidR="0090302A">
        <w:rPr>
          <w:rFonts w:eastAsia="Calibri"/>
        </w:rPr>
        <w:t>One comment was received requesting clarification on FDA’s basis in calculating its burden estimate.</w:t>
      </w:r>
      <w:r w:rsidR="00656738">
        <w:rPr>
          <w:rFonts w:eastAsia="Calibri"/>
        </w:rPr>
        <w:t xml:space="preserve">  </w:t>
      </w:r>
      <w:r w:rsidRPr="007F7779" w:rsidR="007F7779">
        <w:rPr>
          <w:rFonts w:eastAsia="Calibri"/>
        </w:rPr>
        <w:t>In response to th</w:t>
      </w:r>
      <w:r w:rsidR="00847F78">
        <w:rPr>
          <w:rFonts w:eastAsia="Calibri"/>
        </w:rPr>
        <w:t>e</w:t>
      </w:r>
      <w:r w:rsidRPr="007F7779" w:rsidR="007F7779">
        <w:rPr>
          <w:rFonts w:eastAsia="Calibri"/>
        </w:rPr>
        <w:t xml:space="preserve"> comment </w:t>
      </w:r>
      <w:r w:rsidR="007F7779">
        <w:rPr>
          <w:rFonts w:eastAsia="Calibri"/>
        </w:rPr>
        <w:t xml:space="preserve">we </w:t>
      </w:r>
      <w:r w:rsidR="0033563F">
        <w:rPr>
          <w:rFonts w:eastAsia="Calibri"/>
        </w:rPr>
        <w:t xml:space="preserve">discussed </w:t>
      </w:r>
      <w:r w:rsidR="007F7779">
        <w:rPr>
          <w:rFonts w:eastAsia="Calibri"/>
        </w:rPr>
        <w:t xml:space="preserve">in our 30-day notice </w:t>
      </w:r>
      <w:r w:rsidR="00847F78">
        <w:rPr>
          <w:rFonts w:eastAsia="Calibri"/>
        </w:rPr>
        <w:t>of June 10, 2021 (86 FR 30960)</w:t>
      </w:r>
      <w:r w:rsidR="004C7232">
        <w:rPr>
          <w:rFonts w:eastAsia="Calibri"/>
        </w:rPr>
        <w:t>,</w:t>
      </w:r>
      <w:r w:rsidR="00847F78">
        <w:rPr>
          <w:rFonts w:eastAsia="Calibri"/>
        </w:rPr>
        <w:t xml:space="preserve"> </w:t>
      </w:r>
      <w:r w:rsidR="004C782D">
        <w:rPr>
          <w:rFonts w:eastAsia="Calibri"/>
        </w:rPr>
        <w:t xml:space="preserve">the information </w:t>
      </w:r>
      <w:r w:rsidR="00FE6DE8">
        <w:rPr>
          <w:rFonts w:eastAsia="Calibri"/>
        </w:rPr>
        <w:t>upon which we</w:t>
      </w:r>
      <w:r w:rsidR="00241C4A">
        <w:rPr>
          <w:rFonts w:eastAsia="Calibri"/>
        </w:rPr>
        <w:t xml:space="preserve"> </w:t>
      </w:r>
      <w:r w:rsidR="00241C4A">
        <w:rPr>
          <w:rFonts w:eastAsia="Calibri"/>
        </w:rPr>
        <w:lastRenderedPageBreak/>
        <w:t>relied</w:t>
      </w:r>
      <w:r w:rsidR="00F6175A">
        <w:rPr>
          <w:rFonts w:eastAsia="Calibri"/>
        </w:rPr>
        <w:t>.</w:t>
      </w:r>
      <w:r w:rsidR="00F940A7">
        <w:rPr>
          <w:rFonts w:eastAsia="Calibri"/>
        </w:rPr>
        <w:t xml:space="preserve">  </w:t>
      </w:r>
      <w:bookmarkEnd w:id="2"/>
      <w:r w:rsidRPr="000A521C" w:rsidR="000A521C">
        <w:rPr>
          <w:rFonts w:eastAsia="Calibri"/>
        </w:rPr>
        <w:t xml:space="preserve">At the same time, the comment offered no formula or method upon which alternative figures might be derived.  </w:t>
      </w:r>
      <w:r w:rsidR="004C782D">
        <w:rPr>
          <w:rFonts w:eastAsia="Calibri"/>
        </w:rPr>
        <w:t xml:space="preserve">We informed all readers that </w:t>
      </w:r>
      <w:r w:rsidRPr="000A521C" w:rsidR="000A521C">
        <w:rPr>
          <w:rFonts w:eastAsia="Calibri"/>
        </w:rPr>
        <w:t>details regarding all approved information collections currently in use by FDA, we</w:t>
      </w:r>
      <w:r w:rsidR="00737C71">
        <w:rPr>
          <w:rFonts w:eastAsia="Calibri"/>
        </w:rPr>
        <w:t>re available</w:t>
      </w:r>
      <w:r w:rsidR="009C6F0F">
        <w:rPr>
          <w:rFonts w:eastAsia="Calibri"/>
        </w:rPr>
        <w:t xml:space="preserve"> at </w:t>
      </w:r>
      <w:r w:rsidRPr="009C6F0F" w:rsidR="009C6F0F">
        <w:rPr>
          <w:rFonts w:eastAsia="Calibri"/>
        </w:rPr>
        <w:t>https://www.reginfo.gov/public</w:t>
      </w:r>
      <w:r w:rsidR="009C6F0F">
        <w:rPr>
          <w:rFonts w:eastAsia="Calibri"/>
        </w:rPr>
        <w:t>/</w:t>
      </w:r>
      <w:r w:rsidR="00CA4808">
        <w:rPr>
          <w:rFonts w:eastAsia="Calibri"/>
        </w:rPr>
        <w:t xml:space="preserve">.  </w:t>
      </w:r>
      <w:r w:rsidR="00737C71">
        <w:rPr>
          <w:rFonts w:eastAsia="Calibri"/>
        </w:rPr>
        <w:t>We also explained that, w</w:t>
      </w:r>
      <w:r w:rsidRPr="000A521C" w:rsidR="000A521C">
        <w:rPr>
          <w:rFonts w:eastAsia="Calibri"/>
        </w:rPr>
        <w:t>ith regard to this information collection specifically, our estimate of burden as defined in 44 U.S.C. 3502(2), is based on our experience with routine inspections</w:t>
      </w:r>
      <w:r w:rsidR="00D57C66">
        <w:rPr>
          <w:rFonts w:eastAsia="Calibri"/>
        </w:rPr>
        <w:t xml:space="preserve">, </w:t>
      </w:r>
      <w:r w:rsidRPr="000A521C" w:rsidR="000A521C">
        <w:rPr>
          <w:rFonts w:eastAsia="Calibri"/>
        </w:rPr>
        <w:t>informal communications with industry</w:t>
      </w:r>
      <w:r w:rsidR="00725293">
        <w:rPr>
          <w:rFonts w:eastAsia="Calibri"/>
        </w:rPr>
        <w:t>, and our experience with the collection</w:t>
      </w:r>
      <w:r w:rsidR="00D8518B">
        <w:rPr>
          <w:rFonts w:eastAsia="Calibri"/>
        </w:rPr>
        <w:t xml:space="preserve">.  Finally, we also communicated that, </w:t>
      </w:r>
      <w:r w:rsidRPr="000A521C" w:rsidR="000A521C">
        <w:rPr>
          <w:rFonts w:eastAsia="Calibri"/>
        </w:rPr>
        <w:t>as noted in our 60-day notice, we</w:t>
      </w:r>
      <w:r w:rsidR="00103909">
        <w:rPr>
          <w:rFonts w:eastAsia="Calibri"/>
        </w:rPr>
        <w:t xml:space="preserve"> adjusted our figures to</w:t>
      </w:r>
      <w:r w:rsidRPr="000A521C" w:rsidR="000A521C">
        <w:rPr>
          <w:rFonts w:eastAsia="Calibri"/>
        </w:rPr>
        <w:t xml:space="preserve"> account for burden that API and finished dosage manufacturers</w:t>
      </w:r>
      <w:r w:rsidR="00C6288B">
        <w:rPr>
          <w:rFonts w:eastAsia="Calibri"/>
        </w:rPr>
        <w:t xml:space="preserve"> </w:t>
      </w:r>
      <w:r w:rsidR="00721DFA">
        <w:rPr>
          <w:rFonts w:eastAsia="Calibri"/>
        </w:rPr>
        <w:t xml:space="preserve">may incur </w:t>
      </w:r>
      <w:r w:rsidR="00977125">
        <w:rPr>
          <w:rFonts w:eastAsia="Calibri"/>
        </w:rPr>
        <w:t xml:space="preserve">acknowledging that </w:t>
      </w:r>
      <w:r w:rsidR="007A4467">
        <w:rPr>
          <w:rFonts w:eastAsia="Calibri"/>
        </w:rPr>
        <w:t xml:space="preserve">the </w:t>
      </w:r>
      <w:r w:rsidR="00977125">
        <w:rPr>
          <w:rFonts w:eastAsia="Calibri"/>
        </w:rPr>
        <w:t xml:space="preserve">applicable </w:t>
      </w:r>
      <w:r w:rsidRPr="000A521C" w:rsidR="000A521C">
        <w:rPr>
          <w:rFonts w:eastAsia="Calibri"/>
        </w:rPr>
        <w:t xml:space="preserve">recordkeeping requirements </w:t>
      </w:r>
      <w:r w:rsidR="007A4467">
        <w:rPr>
          <w:rFonts w:eastAsia="Calibri"/>
        </w:rPr>
        <w:t xml:space="preserve">are </w:t>
      </w:r>
      <w:r w:rsidR="00C80F16">
        <w:rPr>
          <w:rFonts w:eastAsia="Calibri"/>
        </w:rPr>
        <w:t>discussed</w:t>
      </w:r>
      <w:r w:rsidRPr="000A521C" w:rsidR="000A521C">
        <w:rPr>
          <w:rFonts w:eastAsia="Calibri"/>
        </w:rPr>
        <w:t xml:space="preserve"> in </w:t>
      </w:r>
      <w:r w:rsidR="001D4CE6">
        <w:rPr>
          <w:rFonts w:eastAsia="Calibri"/>
        </w:rPr>
        <w:t>associated a</w:t>
      </w:r>
      <w:r w:rsidRPr="000A521C" w:rsidR="000A521C">
        <w:rPr>
          <w:rFonts w:eastAsia="Calibri"/>
        </w:rPr>
        <w:t>gency guidance</w:t>
      </w:r>
      <w:r w:rsidRPr="000A521C" w:rsidR="000A521C">
        <w:rPr>
          <w:rFonts w:eastAsia="Calibri"/>
          <w:vertAlign w:val="superscript"/>
        </w:rPr>
        <w:footnoteReference w:id="1"/>
      </w:r>
      <w:r w:rsidR="00725293">
        <w:rPr>
          <w:rFonts w:eastAsia="Calibri"/>
        </w:rPr>
        <w:t xml:space="preserve"> and apply to</w:t>
      </w:r>
      <w:r w:rsidR="005B504B">
        <w:rPr>
          <w:rFonts w:eastAsia="Calibri"/>
        </w:rPr>
        <w:t xml:space="preserve"> these respondents.</w:t>
      </w:r>
      <w:r w:rsidRPr="000A521C" w:rsidR="000A521C">
        <w:rPr>
          <w:rFonts w:eastAsia="Calibri"/>
        </w:rPr>
        <w:t xml:space="preserve"> </w:t>
      </w:r>
    </w:p>
    <w:p w:rsidR="00E32A01" w:rsidP="00BA266D" w:rsidRDefault="00E32A01" w14:paraId="689394E0" w14:textId="562BFDAB">
      <w:pPr>
        <w:rPr>
          <w:rFonts w:eastAsia="Calibri"/>
        </w:rPr>
      </w:pPr>
    </w:p>
    <w:p w:rsidRPr="00F81608" w:rsidR="00357C8A" w:rsidP="00B52D33" w:rsidRDefault="00DF6921" w14:paraId="30541E49" w14:textId="13AAD52D">
      <w:pPr>
        <w:rPr>
          <w:rFonts w:eastAsia="Calibri"/>
        </w:rPr>
      </w:pPr>
      <w:r>
        <w:rPr>
          <w:rFonts w:eastAsia="Calibri"/>
        </w:rPr>
        <w:t xml:space="preserve">9.  </w:t>
      </w:r>
      <w:r w:rsidRPr="00392C8E">
        <w:rPr>
          <w:rFonts w:eastAsia="Calibri"/>
          <w:u w:val="single"/>
        </w:rPr>
        <w:t xml:space="preserve">Explanation </w:t>
      </w:r>
      <w:r w:rsidRPr="00392C8E" w:rsidR="00357C8A">
        <w:rPr>
          <w:rFonts w:eastAsia="Calibri"/>
          <w:u w:val="single"/>
        </w:rPr>
        <w:t>of Any Payment or Gift to Respondents</w:t>
      </w:r>
    </w:p>
    <w:p w:rsidR="00DF6921" w:rsidP="00B52D33" w:rsidRDefault="00DF6921" w14:paraId="4FE8F460" w14:textId="77777777">
      <w:pPr>
        <w:rPr>
          <w:rFonts w:eastAsia="Calibri"/>
        </w:rPr>
      </w:pPr>
    </w:p>
    <w:p w:rsidRPr="00F81608" w:rsidR="00357C8A" w:rsidP="00B52D33" w:rsidRDefault="00792947" w14:paraId="261AB382" w14:textId="1BC0D646">
      <w:pPr>
        <w:rPr>
          <w:rFonts w:eastAsia="Calibri"/>
        </w:rPr>
      </w:pPr>
      <w:r w:rsidRPr="00F81608">
        <w:rPr>
          <w:rFonts w:eastAsia="Calibri"/>
        </w:rPr>
        <w:t>There are no incentives, payments</w:t>
      </w:r>
      <w:r w:rsidRPr="00F81608" w:rsidR="009677B1">
        <w:rPr>
          <w:rFonts w:eastAsia="Calibri"/>
        </w:rPr>
        <w:t>,</w:t>
      </w:r>
      <w:r w:rsidRPr="00F81608">
        <w:rPr>
          <w:rFonts w:eastAsia="Calibri"/>
        </w:rPr>
        <w:t xml:space="preserve"> or gifts associated with this information collection.</w:t>
      </w:r>
    </w:p>
    <w:p w:rsidR="00DF6921" w:rsidP="00B52D33" w:rsidRDefault="00DF6921" w14:paraId="45459B0C" w14:textId="77777777">
      <w:pPr>
        <w:rPr>
          <w:rFonts w:eastAsia="Calibri"/>
        </w:rPr>
      </w:pPr>
    </w:p>
    <w:p w:rsidRPr="00F81608" w:rsidR="00357C8A" w:rsidP="00B52D33" w:rsidRDefault="00DF6921" w14:paraId="696545A9" w14:textId="4D3DADD3">
      <w:pPr>
        <w:rPr>
          <w:rFonts w:eastAsia="Calibri"/>
        </w:rPr>
      </w:pPr>
      <w:r>
        <w:rPr>
          <w:rFonts w:eastAsia="Calibri"/>
        </w:rPr>
        <w:t xml:space="preserve">10.  </w:t>
      </w:r>
      <w:r w:rsidRPr="00392C8E" w:rsidR="00357C8A">
        <w:rPr>
          <w:rFonts w:eastAsia="Calibri"/>
          <w:u w:val="single"/>
        </w:rPr>
        <w:t>Assurance of Confidentiality Provided to Respondents</w:t>
      </w:r>
    </w:p>
    <w:p w:rsidR="00DF6921" w:rsidP="00B52D33" w:rsidRDefault="00DF6921" w14:paraId="545A0AA9" w14:textId="77777777">
      <w:pPr>
        <w:rPr>
          <w:rFonts w:eastAsia="Calibri"/>
        </w:rPr>
      </w:pPr>
    </w:p>
    <w:p w:rsidRPr="00F81608" w:rsidR="004D4C23" w:rsidP="00B52D33" w:rsidRDefault="004D4C23" w14:paraId="68F6A374" w14:textId="7704D7E1">
      <w:pPr>
        <w:rPr>
          <w:rFonts w:eastAsia="Calibri"/>
        </w:rPr>
      </w:pPr>
      <w:r w:rsidRPr="00F81608">
        <w:rPr>
          <w:rFonts w:eastAsia="Calibri"/>
        </w:rPr>
        <w:t>In preparing this supporting statement, we consulted with our Privacy Office to ensure appropriate identification and handing of information collected.</w:t>
      </w:r>
      <w:r w:rsidR="00AD5CFB">
        <w:rPr>
          <w:rFonts w:eastAsia="Calibri"/>
        </w:rPr>
        <w:t xml:space="preserve">  </w:t>
      </w:r>
      <w:r w:rsidRPr="00F81608">
        <w:rPr>
          <w:rFonts w:eastAsia="Calibri"/>
        </w:rPr>
        <w:t>This ICR does not collect personally identifiable information (PII) or information of a personal nature.</w:t>
      </w:r>
      <w:r w:rsidR="007B465E">
        <w:rPr>
          <w:rFonts w:eastAsia="Calibri"/>
        </w:rPr>
        <w:t xml:space="preserve">  </w:t>
      </w:r>
      <w:r w:rsidR="00E82FAE">
        <w:rPr>
          <w:rFonts w:eastAsia="Calibri"/>
        </w:rPr>
        <w:t xml:space="preserve">We </w:t>
      </w:r>
      <w:r w:rsidRPr="00F81608">
        <w:rPr>
          <w:rFonts w:eastAsia="Calibri"/>
        </w:rPr>
        <w:t>further determined that th</w:t>
      </w:r>
      <w:r w:rsidR="00E82FAE">
        <w:rPr>
          <w:rFonts w:eastAsia="Calibri"/>
        </w:rPr>
        <w:t xml:space="preserve">e information </w:t>
      </w:r>
      <w:r w:rsidRPr="00F81608">
        <w:rPr>
          <w:rFonts w:eastAsia="Calibri"/>
        </w:rPr>
        <w:t xml:space="preserve">collection is not subject to the Privacy Act of 1974 and the particular notice and other requirements of the </w:t>
      </w:r>
      <w:r w:rsidR="00E82FAE">
        <w:rPr>
          <w:rFonts w:eastAsia="Calibri"/>
        </w:rPr>
        <w:t xml:space="preserve">Privacy </w:t>
      </w:r>
      <w:r w:rsidRPr="00F81608">
        <w:rPr>
          <w:rFonts w:eastAsia="Calibri"/>
        </w:rPr>
        <w:t>Act do not apply.  FDA (including vendors or service providers acting on behalf of FDA) does not use name or any other personal identifier to retrieve records from the information collected.</w:t>
      </w:r>
    </w:p>
    <w:p w:rsidR="00CB15D6" w:rsidP="00B52D33" w:rsidRDefault="00CB15D6" w14:paraId="1376960D" w14:textId="77777777">
      <w:pPr>
        <w:rPr>
          <w:rFonts w:eastAsia="Calibri"/>
        </w:rPr>
      </w:pPr>
    </w:p>
    <w:p w:rsidRPr="00F81608" w:rsidR="004D4C23" w:rsidP="00B52D33" w:rsidRDefault="004D4C23" w14:paraId="77B80820" w14:textId="565DADB3">
      <w:pPr>
        <w:rPr>
          <w:rFonts w:eastAsia="Calibri"/>
        </w:rPr>
      </w:pPr>
      <w:r w:rsidRPr="00F81608">
        <w:rPr>
          <w:rFonts w:eastAsia="Calibri"/>
        </w:rPr>
        <w:t>Under the Freedom of Information Act (FOIA) (5 U.S.C. 552), the public has broad access to</w:t>
      </w:r>
      <w:r w:rsidR="009072AC">
        <w:rPr>
          <w:rFonts w:eastAsia="Calibri"/>
        </w:rPr>
        <w:t xml:space="preserve"> certain information</w:t>
      </w:r>
      <w:r w:rsidR="003C5909">
        <w:rPr>
          <w:rFonts w:eastAsia="Calibri"/>
        </w:rPr>
        <w:t>,</w:t>
      </w:r>
      <w:r w:rsidR="00167256">
        <w:rPr>
          <w:rFonts w:eastAsia="Calibri"/>
        </w:rPr>
        <w:t xml:space="preserve"> but </w:t>
      </w:r>
      <w:r w:rsidRPr="00F81608">
        <w:rPr>
          <w:rFonts w:eastAsia="Calibri"/>
        </w:rPr>
        <w:t xml:space="preserve">FOIA </w:t>
      </w:r>
      <w:r w:rsidR="003C5909">
        <w:rPr>
          <w:rFonts w:eastAsia="Calibri"/>
        </w:rPr>
        <w:t xml:space="preserve">also </w:t>
      </w:r>
      <w:r w:rsidRPr="00F81608">
        <w:rPr>
          <w:rFonts w:eastAsia="Calibri"/>
        </w:rPr>
        <w:t>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00CE2779">
        <w:rPr>
          <w:rFonts w:eastAsia="Calibri"/>
        </w:rPr>
        <w:t xml:space="preserve">  </w:t>
      </w:r>
      <w:r w:rsidR="00510E0D">
        <w:rPr>
          <w:rFonts w:eastAsia="Calibri"/>
        </w:rPr>
        <w:t>At the same time</w:t>
      </w:r>
      <w:r w:rsidR="00CE2779">
        <w:rPr>
          <w:rFonts w:eastAsia="Calibri"/>
        </w:rPr>
        <w:t>, c</w:t>
      </w:r>
      <w:r w:rsidRPr="00F81608">
        <w:rPr>
          <w:rFonts w:eastAsia="Calibri"/>
        </w:rPr>
        <w:t>ertain data and information collected during an inspection of drug manufacturing establishment</w:t>
      </w:r>
      <w:r w:rsidR="00510E0D">
        <w:rPr>
          <w:rFonts w:eastAsia="Calibri"/>
        </w:rPr>
        <w:t>s</w:t>
      </w:r>
      <w:r w:rsidRPr="00F81608">
        <w:rPr>
          <w:rFonts w:eastAsia="Calibri"/>
        </w:rPr>
        <w:t xml:space="preserve"> for the purpose of enforcing compliance with CGMP regulations are considered confidential and not releasable to the public</w:t>
      </w:r>
      <w:r w:rsidR="00CB15D6">
        <w:rPr>
          <w:rFonts w:eastAsia="Calibri"/>
        </w:rPr>
        <w:t>, nor information collection subject to review and approval under the PRA</w:t>
      </w:r>
      <w:r w:rsidR="00FF6FE1">
        <w:rPr>
          <w:rFonts w:eastAsia="Calibri"/>
        </w:rPr>
        <w:t xml:space="preserve"> as it pertains to information collection during the course of administrative actions </w:t>
      </w:r>
      <w:r w:rsidR="00E02EE7">
        <w:rPr>
          <w:rFonts w:eastAsia="Calibri"/>
        </w:rPr>
        <w:t>by the agency</w:t>
      </w:r>
      <w:r w:rsidRPr="00F81608">
        <w:rPr>
          <w:rFonts w:eastAsia="Calibri"/>
        </w:rPr>
        <w:t xml:space="preserve">. </w:t>
      </w:r>
      <w:r w:rsidRPr="00F81608" w:rsidR="005D51E2">
        <w:rPr>
          <w:rFonts w:eastAsia="Calibri"/>
        </w:rPr>
        <w:t xml:space="preserve"> </w:t>
      </w:r>
      <w:r w:rsidRPr="00F81608">
        <w:rPr>
          <w:rFonts w:eastAsia="Calibri"/>
        </w:rPr>
        <w:t>Confidentiality is maintained for trade secret or confidential, commercial or financial information under 21 CFR 20.61 and investigatory records under 21 CFR 20.64.  In addition, certain subparagraphs of 21 CFR 314.430 provide confidentiality of information contained in NDAs and ANDAs.</w:t>
      </w:r>
    </w:p>
    <w:p w:rsidR="00CB15D6" w:rsidP="00B52D33" w:rsidRDefault="00CB15D6" w14:paraId="2CBADA0A" w14:textId="77777777">
      <w:pPr>
        <w:rPr>
          <w:rFonts w:eastAsia="Calibri"/>
        </w:rPr>
      </w:pPr>
    </w:p>
    <w:p w:rsidRPr="00F81608" w:rsidR="00357C8A" w:rsidP="00B52D33" w:rsidRDefault="00CB15D6" w14:paraId="6A1CB087" w14:textId="6844A929">
      <w:pPr>
        <w:rPr>
          <w:rFonts w:eastAsia="Calibri"/>
        </w:rPr>
      </w:pPr>
      <w:r>
        <w:rPr>
          <w:rFonts w:eastAsia="Calibri"/>
        </w:rPr>
        <w:t>1</w:t>
      </w:r>
      <w:r w:rsidR="00AD55F9">
        <w:rPr>
          <w:rFonts w:eastAsia="Calibri"/>
        </w:rPr>
        <w:t>1</w:t>
      </w:r>
      <w:r>
        <w:rPr>
          <w:rFonts w:eastAsia="Calibri"/>
        </w:rPr>
        <w:t xml:space="preserve">.  </w:t>
      </w:r>
      <w:r w:rsidRPr="00167256" w:rsidR="00357C8A">
        <w:rPr>
          <w:rFonts w:eastAsia="Calibri"/>
          <w:u w:val="single"/>
        </w:rPr>
        <w:t>Justification for Sensitive Questions</w:t>
      </w:r>
    </w:p>
    <w:p w:rsidR="00CD7F7F" w:rsidP="00B52D33" w:rsidRDefault="00CD7F7F" w14:paraId="4F94AFE3" w14:textId="77777777">
      <w:pPr>
        <w:rPr>
          <w:rFonts w:eastAsia="Calibri"/>
        </w:rPr>
      </w:pPr>
    </w:p>
    <w:p w:rsidR="00CD7F7F" w:rsidP="00B52D33" w:rsidRDefault="00357C8A" w14:paraId="042FB466" w14:textId="3407B002">
      <w:pPr>
        <w:rPr>
          <w:rFonts w:eastAsia="Calibri"/>
        </w:rPr>
      </w:pPr>
      <w:r w:rsidRPr="00F81608">
        <w:rPr>
          <w:rFonts w:eastAsia="Calibri"/>
        </w:rPr>
        <w:t>The collection of information does not involve questions</w:t>
      </w:r>
      <w:r w:rsidR="00E02EE7">
        <w:rPr>
          <w:rFonts w:eastAsia="Calibri"/>
        </w:rPr>
        <w:t xml:space="preserve"> of a sensitive</w:t>
      </w:r>
      <w:r w:rsidRPr="00F81608">
        <w:rPr>
          <w:rFonts w:eastAsia="Calibri"/>
        </w:rPr>
        <w:t>.</w:t>
      </w:r>
    </w:p>
    <w:p w:rsidR="00833C08" w:rsidP="00B52D33" w:rsidRDefault="00833C08" w14:paraId="25F80230" w14:textId="3678AD86">
      <w:pPr>
        <w:rPr>
          <w:rFonts w:eastAsia="Calibri"/>
        </w:rPr>
      </w:pPr>
    </w:p>
    <w:p w:rsidR="00833C08" w:rsidP="00B52D33" w:rsidRDefault="00833C08" w14:paraId="4EA5CF76" w14:textId="0DDCCCFC">
      <w:pPr>
        <w:rPr>
          <w:rFonts w:eastAsia="Calibri"/>
        </w:rPr>
      </w:pPr>
      <w:r>
        <w:rPr>
          <w:rFonts w:eastAsia="Calibri"/>
        </w:rPr>
        <w:t xml:space="preserve">12.  </w:t>
      </w:r>
      <w:r w:rsidRPr="00E27550">
        <w:rPr>
          <w:rFonts w:eastAsia="Calibri"/>
          <w:u w:val="single"/>
        </w:rPr>
        <w:t>Estimate</w:t>
      </w:r>
      <w:r w:rsidRPr="00E27550" w:rsidR="00E32041">
        <w:rPr>
          <w:rFonts w:eastAsia="Calibri"/>
          <w:u w:val="single"/>
        </w:rPr>
        <w:t>s of Annualized Burden</w:t>
      </w:r>
    </w:p>
    <w:p w:rsidR="00E32041" w:rsidP="00B52D33" w:rsidRDefault="00E32041" w14:paraId="3D25984F" w14:textId="6650E9BC">
      <w:pPr>
        <w:rPr>
          <w:rFonts w:eastAsia="Calibri"/>
        </w:rPr>
      </w:pPr>
    </w:p>
    <w:p w:rsidR="00E32041" w:rsidP="00B52D33" w:rsidRDefault="00E32041" w14:paraId="4923C5BC" w14:textId="60EE207F">
      <w:pPr>
        <w:rPr>
          <w:rFonts w:eastAsia="Calibri"/>
        </w:rPr>
      </w:pPr>
      <w:r>
        <w:rPr>
          <w:rFonts w:eastAsia="Calibri"/>
        </w:rPr>
        <w:tab/>
      </w:r>
      <w:r w:rsidRPr="00E27550">
        <w:rPr>
          <w:rFonts w:eastAsia="Calibri"/>
          <w:i/>
          <w:iCs/>
        </w:rPr>
        <w:t>12a.  Estimated Annualized Hour Burden</w:t>
      </w:r>
    </w:p>
    <w:p w:rsidRPr="001C113A" w:rsidR="001C113A" w:rsidP="00B52D33" w:rsidRDefault="001C113A" w14:paraId="2A6191A3" w14:textId="77777777">
      <w:pPr>
        <w:rPr>
          <w:rFonts w:eastAsia="Calibri"/>
        </w:rPr>
      </w:pPr>
    </w:p>
    <w:p w:rsidRPr="00B070A6" w:rsidR="00B070A6" w:rsidP="00B070A6" w:rsidRDefault="00B070A6" w14:paraId="589838F1" w14:textId="77777777">
      <w:pPr>
        <w:jc w:val="center"/>
        <w:rPr>
          <w:sz w:val="20"/>
          <w:szCs w:val="20"/>
        </w:rPr>
      </w:pPr>
      <w:r w:rsidRPr="00B070A6">
        <w:rPr>
          <w:sz w:val="20"/>
          <w:szCs w:val="20"/>
        </w:rPr>
        <w:t>Table 1.--Estimated Annual Recordkeeping Burden--APIs, Finished Pharmaceuticals, and Medical Gases</w:t>
      </w:r>
      <w:r w:rsidRPr="00B070A6">
        <w:rPr>
          <w:sz w:val="20"/>
          <w:szCs w:val="20"/>
          <w:vertAlign w:val="superscript"/>
        </w:rPr>
        <w:t>1,2</w:t>
      </w:r>
    </w:p>
    <w:tbl>
      <w:tblPr>
        <w:tblW w:w="4949"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01"/>
        <w:gridCol w:w="1497"/>
        <w:gridCol w:w="1497"/>
        <w:gridCol w:w="1123"/>
        <w:gridCol w:w="1590"/>
        <w:gridCol w:w="1213"/>
      </w:tblGrid>
      <w:tr w:rsidRPr="00B070A6" w:rsidR="00B070A6" w:rsidTr="00B070A6" w14:paraId="0BF985B3" w14:textId="77777777">
        <w:trPr>
          <w:cantSplit/>
          <w:tblHeader/>
        </w:trPr>
        <w:tc>
          <w:tcPr>
            <w:tcW w:w="2701" w:type="dxa"/>
            <w:shd w:val="clear" w:color="auto" w:fill="auto"/>
            <w:tcMar>
              <w:top w:w="0" w:type="dxa"/>
              <w:left w:w="108" w:type="dxa"/>
              <w:bottom w:w="0" w:type="dxa"/>
              <w:right w:w="108" w:type="dxa"/>
            </w:tcMar>
            <w:hideMark/>
          </w:tcPr>
          <w:p w:rsidRPr="00B070A6" w:rsidR="00B070A6" w:rsidP="00B070A6" w:rsidRDefault="00B070A6" w14:paraId="62CD64F8" w14:textId="77777777">
            <w:pPr>
              <w:spacing w:line="252" w:lineRule="auto"/>
              <w:jc w:val="center"/>
              <w:rPr>
                <w:sz w:val="20"/>
                <w:szCs w:val="20"/>
              </w:rPr>
            </w:pPr>
            <w:r w:rsidRPr="00B070A6">
              <w:rPr>
                <w:sz w:val="20"/>
                <w:szCs w:val="20"/>
              </w:rPr>
              <w:t>Section 501(a)(2)(B) of the FD&amp;C Act; Parts 210 and 211</w:t>
            </w:r>
          </w:p>
        </w:tc>
        <w:tc>
          <w:tcPr>
            <w:tcW w:w="1497" w:type="dxa"/>
            <w:shd w:val="clear" w:color="auto" w:fill="auto"/>
            <w:tcMar>
              <w:top w:w="0" w:type="dxa"/>
              <w:left w:w="108" w:type="dxa"/>
              <w:bottom w:w="0" w:type="dxa"/>
              <w:right w:w="108" w:type="dxa"/>
            </w:tcMar>
            <w:hideMark/>
          </w:tcPr>
          <w:p w:rsidRPr="00B070A6" w:rsidR="00B070A6" w:rsidP="00B070A6" w:rsidRDefault="00B070A6" w14:paraId="7CA75BC0" w14:textId="77777777">
            <w:pPr>
              <w:spacing w:line="252" w:lineRule="auto"/>
              <w:jc w:val="center"/>
              <w:rPr>
                <w:sz w:val="20"/>
                <w:szCs w:val="20"/>
              </w:rPr>
            </w:pPr>
            <w:r w:rsidRPr="00B070A6">
              <w:rPr>
                <w:sz w:val="20"/>
                <w:szCs w:val="20"/>
              </w:rPr>
              <w:t>No. of Recordkeepers</w:t>
            </w:r>
          </w:p>
        </w:tc>
        <w:tc>
          <w:tcPr>
            <w:tcW w:w="1497" w:type="dxa"/>
            <w:shd w:val="clear" w:color="auto" w:fill="auto"/>
            <w:tcMar>
              <w:top w:w="0" w:type="dxa"/>
              <w:left w:w="108" w:type="dxa"/>
              <w:bottom w:w="0" w:type="dxa"/>
              <w:right w:w="108" w:type="dxa"/>
            </w:tcMar>
            <w:hideMark/>
          </w:tcPr>
          <w:p w:rsidRPr="00B070A6" w:rsidR="00B070A6" w:rsidP="00B070A6" w:rsidRDefault="00B070A6" w14:paraId="3B77D6E7" w14:textId="77777777">
            <w:pPr>
              <w:spacing w:line="252" w:lineRule="auto"/>
              <w:jc w:val="center"/>
              <w:rPr>
                <w:sz w:val="20"/>
                <w:szCs w:val="20"/>
              </w:rPr>
            </w:pPr>
            <w:r w:rsidRPr="00B070A6">
              <w:rPr>
                <w:sz w:val="20"/>
                <w:szCs w:val="20"/>
              </w:rPr>
              <w:t>No. of Records per Recordkeeper</w:t>
            </w:r>
          </w:p>
        </w:tc>
        <w:tc>
          <w:tcPr>
            <w:tcW w:w="1123" w:type="dxa"/>
            <w:shd w:val="clear" w:color="auto" w:fill="auto"/>
            <w:tcMar>
              <w:top w:w="0" w:type="dxa"/>
              <w:left w:w="108" w:type="dxa"/>
              <w:bottom w:w="0" w:type="dxa"/>
              <w:right w:w="108" w:type="dxa"/>
            </w:tcMar>
            <w:hideMark/>
          </w:tcPr>
          <w:p w:rsidRPr="00B070A6" w:rsidR="00B070A6" w:rsidP="00B070A6" w:rsidRDefault="00B070A6" w14:paraId="7F7C2305" w14:textId="77777777">
            <w:pPr>
              <w:spacing w:line="252" w:lineRule="auto"/>
              <w:jc w:val="center"/>
              <w:rPr>
                <w:sz w:val="20"/>
                <w:szCs w:val="20"/>
              </w:rPr>
            </w:pPr>
            <w:r w:rsidRPr="00B070A6">
              <w:rPr>
                <w:sz w:val="20"/>
                <w:szCs w:val="20"/>
              </w:rPr>
              <w:t>Total Annual Records</w:t>
            </w:r>
          </w:p>
        </w:tc>
        <w:tc>
          <w:tcPr>
            <w:tcW w:w="1590" w:type="dxa"/>
            <w:shd w:val="clear" w:color="auto" w:fill="auto"/>
            <w:tcMar>
              <w:top w:w="0" w:type="dxa"/>
              <w:left w:w="108" w:type="dxa"/>
              <w:bottom w:w="0" w:type="dxa"/>
              <w:right w:w="108" w:type="dxa"/>
            </w:tcMar>
            <w:hideMark/>
          </w:tcPr>
          <w:p w:rsidRPr="00B070A6" w:rsidR="00B070A6" w:rsidP="00B070A6" w:rsidRDefault="00B070A6" w14:paraId="5858857B" w14:textId="77777777">
            <w:pPr>
              <w:spacing w:line="252" w:lineRule="auto"/>
              <w:jc w:val="center"/>
              <w:rPr>
                <w:sz w:val="20"/>
                <w:szCs w:val="20"/>
              </w:rPr>
            </w:pPr>
            <w:r w:rsidRPr="00B070A6">
              <w:rPr>
                <w:sz w:val="20"/>
                <w:szCs w:val="20"/>
              </w:rPr>
              <w:t>Average Burden per Recordkeeping</w:t>
            </w:r>
          </w:p>
        </w:tc>
        <w:tc>
          <w:tcPr>
            <w:tcW w:w="1213" w:type="dxa"/>
            <w:shd w:val="clear" w:color="auto" w:fill="auto"/>
            <w:tcMar>
              <w:top w:w="0" w:type="dxa"/>
              <w:left w:w="108" w:type="dxa"/>
              <w:bottom w:w="0" w:type="dxa"/>
              <w:right w:w="108" w:type="dxa"/>
            </w:tcMar>
            <w:hideMark/>
          </w:tcPr>
          <w:p w:rsidRPr="00B070A6" w:rsidR="00B070A6" w:rsidP="00B070A6" w:rsidRDefault="00B070A6" w14:paraId="57059387" w14:textId="77777777">
            <w:pPr>
              <w:spacing w:line="252" w:lineRule="auto"/>
              <w:jc w:val="center"/>
              <w:rPr>
                <w:sz w:val="20"/>
                <w:szCs w:val="20"/>
              </w:rPr>
            </w:pPr>
            <w:r w:rsidRPr="00B070A6">
              <w:rPr>
                <w:sz w:val="20"/>
                <w:szCs w:val="20"/>
              </w:rPr>
              <w:t>Total Hours</w:t>
            </w:r>
          </w:p>
        </w:tc>
      </w:tr>
      <w:tr w:rsidRPr="00B070A6" w:rsidR="00B070A6" w:rsidTr="00B070A6" w14:paraId="5D93F525" w14:textId="77777777">
        <w:trPr>
          <w:cantSplit/>
        </w:trPr>
        <w:tc>
          <w:tcPr>
            <w:tcW w:w="2701" w:type="dxa"/>
            <w:tcMar>
              <w:top w:w="0" w:type="dxa"/>
              <w:left w:w="108" w:type="dxa"/>
              <w:bottom w:w="0" w:type="dxa"/>
              <w:right w:w="108" w:type="dxa"/>
            </w:tcMar>
            <w:vAlign w:val="center"/>
            <w:hideMark/>
          </w:tcPr>
          <w:p w:rsidRPr="00B070A6" w:rsidR="00B070A6" w:rsidP="00B070A6" w:rsidRDefault="00B070A6" w14:paraId="7E8AEDD4" w14:textId="77777777">
            <w:pPr>
              <w:spacing w:line="252" w:lineRule="auto"/>
              <w:rPr>
                <w:sz w:val="20"/>
                <w:szCs w:val="20"/>
              </w:rPr>
            </w:pPr>
            <w:r w:rsidRPr="00B070A6">
              <w:rPr>
                <w:sz w:val="20"/>
                <w:szCs w:val="20"/>
              </w:rPr>
              <w:t>CGMP API Manufacturers</w:t>
            </w:r>
          </w:p>
        </w:tc>
        <w:tc>
          <w:tcPr>
            <w:tcW w:w="1497" w:type="dxa"/>
            <w:tcMar>
              <w:top w:w="0" w:type="dxa"/>
              <w:left w:w="108" w:type="dxa"/>
              <w:bottom w:w="0" w:type="dxa"/>
              <w:right w:w="108" w:type="dxa"/>
            </w:tcMar>
            <w:vAlign w:val="center"/>
          </w:tcPr>
          <w:p w:rsidRPr="00B070A6" w:rsidR="00B070A6" w:rsidP="00B070A6" w:rsidRDefault="00B070A6" w14:paraId="32D2DAFF" w14:textId="77777777">
            <w:pPr>
              <w:spacing w:line="252" w:lineRule="auto"/>
              <w:jc w:val="right"/>
              <w:rPr>
                <w:sz w:val="20"/>
                <w:szCs w:val="20"/>
              </w:rPr>
            </w:pPr>
            <w:r w:rsidRPr="00B070A6">
              <w:rPr>
                <w:sz w:val="20"/>
                <w:szCs w:val="20"/>
              </w:rPr>
              <w:t>1,260</w:t>
            </w:r>
          </w:p>
        </w:tc>
        <w:tc>
          <w:tcPr>
            <w:tcW w:w="1497" w:type="dxa"/>
            <w:tcMar>
              <w:top w:w="0" w:type="dxa"/>
              <w:left w:w="108" w:type="dxa"/>
              <w:bottom w:w="0" w:type="dxa"/>
              <w:right w:w="108" w:type="dxa"/>
            </w:tcMar>
            <w:vAlign w:val="center"/>
          </w:tcPr>
          <w:p w:rsidRPr="00B070A6" w:rsidR="00B070A6" w:rsidP="00B070A6" w:rsidRDefault="00B070A6" w14:paraId="5E284193" w14:textId="77777777">
            <w:pPr>
              <w:spacing w:line="252" w:lineRule="auto"/>
              <w:jc w:val="right"/>
              <w:rPr>
                <w:sz w:val="20"/>
                <w:szCs w:val="20"/>
              </w:rPr>
            </w:pPr>
            <w:r w:rsidRPr="00B070A6">
              <w:rPr>
                <w:sz w:val="20"/>
                <w:szCs w:val="20"/>
              </w:rPr>
              <w:t>256</w:t>
            </w:r>
          </w:p>
        </w:tc>
        <w:tc>
          <w:tcPr>
            <w:tcW w:w="1123" w:type="dxa"/>
            <w:tcMar>
              <w:top w:w="0" w:type="dxa"/>
              <w:left w:w="108" w:type="dxa"/>
              <w:bottom w:w="0" w:type="dxa"/>
              <w:right w:w="108" w:type="dxa"/>
            </w:tcMar>
            <w:vAlign w:val="center"/>
          </w:tcPr>
          <w:p w:rsidRPr="00B070A6" w:rsidR="00B070A6" w:rsidP="00B070A6" w:rsidRDefault="00B070A6" w14:paraId="4968958B" w14:textId="77777777">
            <w:pPr>
              <w:spacing w:line="252" w:lineRule="auto"/>
              <w:jc w:val="right"/>
              <w:rPr>
                <w:sz w:val="20"/>
                <w:szCs w:val="20"/>
              </w:rPr>
            </w:pPr>
            <w:r w:rsidRPr="00B070A6">
              <w:rPr>
                <w:sz w:val="20"/>
                <w:szCs w:val="20"/>
              </w:rPr>
              <w:t>322,560</w:t>
            </w:r>
          </w:p>
        </w:tc>
        <w:tc>
          <w:tcPr>
            <w:tcW w:w="1590" w:type="dxa"/>
            <w:tcMar>
              <w:top w:w="0" w:type="dxa"/>
              <w:left w:w="108" w:type="dxa"/>
              <w:bottom w:w="0" w:type="dxa"/>
              <w:right w:w="108" w:type="dxa"/>
            </w:tcMar>
            <w:vAlign w:val="center"/>
          </w:tcPr>
          <w:p w:rsidRPr="00B070A6" w:rsidR="00B070A6" w:rsidP="00B070A6" w:rsidRDefault="00B070A6" w14:paraId="4C3DD9F9" w14:textId="77777777">
            <w:pPr>
              <w:spacing w:line="252" w:lineRule="auto"/>
              <w:jc w:val="right"/>
              <w:rPr>
                <w:sz w:val="20"/>
                <w:szCs w:val="20"/>
              </w:rPr>
            </w:pPr>
            <w:r w:rsidRPr="00B070A6">
              <w:rPr>
                <w:sz w:val="20"/>
                <w:szCs w:val="20"/>
              </w:rPr>
              <w:t xml:space="preserve">0.82 </w:t>
            </w:r>
          </w:p>
          <w:p w:rsidRPr="00B070A6" w:rsidR="00B070A6" w:rsidP="00B070A6" w:rsidRDefault="00B070A6" w14:paraId="7BE0158C" w14:textId="77777777">
            <w:pPr>
              <w:spacing w:line="252" w:lineRule="auto"/>
              <w:jc w:val="right"/>
              <w:rPr>
                <w:sz w:val="20"/>
                <w:szCs w:val="20"/>
              </w:rPr>
            </w:pPr>
            <w:r w:rsidRPr="00B070A6">
              <w:rPr>
                <w:sz w:val="20"/>
                <w:szCs w:val="20"/>
              </w:rPr>
              <w:t>(49.2 minutes)</w:t>
            </w:r>
          </w:p>
        </w:tc>
        <w:tc>
          <w:tcPr>
            <w:tcW w:w="1213" w:type="dxa"/>
            <w:tcMar>
              <w:top w:w="0" w:type="dxa"/>
              <w:left w:w="108" w:type="dxa"/>
              <w:bottom w:w="0" w:type="dxa"/>
              <w:right w:w="108" w:type="dxa"/>
            </w:tcMar>
            <w:vAlign w:val="center"/>
          </w:tcPr>
          <w:p w:rsidRPr="00B070A6" w:rsidR="00B070A6" w:rsidP="00B070A6" w:rsidRDefault="00B070A6" w14:paraId="5EA791DF" w14:textId="77777777">
            <w:pPr>
              <w:spacing w:line="252" w:lineRule="auto"/>
              <w:jc w:val="right"/>
              <w:rPr>
                <w:sz w:val="20"/>
                <w:szCs w:val="20"/>
              </w:rPr>
            </w:pPr>
            <w:r w:rsidRPr="00B070A6">
              <w:rPr>
                <w:sz w:val="20"/>
                <w:szCs w:val="20"/>
              </w:rPr>
              <w:t>264,499</w:t>
            </w:r>
          </w:p>
        </w:tc>
      </w:tr>
      <w:tr w:rsidRPr="00B070A6" w:rsidR="00B070A6" w:rsidTr="00B070A6" w14:paraId="46E74DA1" w14:textId="77777777">
        <w:trPr>
          <w:cantSplit/>
        </w:trPr>
        <w:tc>
          <w:tcPr>
            <w:tcW w:w="2701" w:type="dxa"/>
            <w:tcMar>
              <w:top w:w="0" w:type="dxa"/>
              <w:left w:w="108" w:type="dxa"/>
              <w:bottom w:w="0" w:type="dxa"/>
              <w:right w:w="108" w:type="dxa"/>
            </w:tcMar>
            <w:vAlign w:val="center"/>
            <w:hideMark/>
          </w:tcPr>
          <w:p w:rsidRPr="00B070A6" w:rsidR="00B070A6" w:rsidP="00B070A6" w:rsidRDefault="00B070A6" w14:paraId="1030842E" w14:textId="77777777">
            <w:pPr>
              <w:spacing w:line="252" w:lineRule="auto"/>
              <w:rPr>
                <w:sz w:val="20"/>
                <w:szCs w:val="20"/>
              </w:rPr>
            </w:pPr>
            <w:r w:rsidRPr="00B070A6">
              <w:rPr>
                <w:sz w:val="20"/>
                <w:szCs w:val="20"/>
              </w:rPr>
              <w:t>CGMP Finished Pharmaceuticals Manufacturers (excludes medical gases)</w:t>
            </w:r>
          </w:p>
        </w:tc>
        <w:tc>
          <w:tcPr>
            <w:tcW w:w="1497" w:type="dxa"/>
            <w:tcMar>
              <w:top w:w="0" w:type="dxa"/>
              <w:left w:w="108" w:type="dxa"/>
              <w:bottom w:w="0" w:type="dxa"/>
              <w:right w:w="108" w:type="dxa"/>
            </w:tcMar>
            <w:vAlign w:val="center"/>
          </w:tcPr>
          <w:p w:rsidRPr="00B070A6" w:rsidR="00B070A6" w:rsidP="00B070A6" w:rsidRDefault="00B070A6" w14:paraId="304B963A" w14:textId="77777777">
            <w:pPr>
              <w:spacing w:line="252" w:lineRule="auto"/>
              <w:jc w:val="right"/>
              <w:rPr>
                <w:sz w:val="20"/>
                <w:szCs w:val="20"/>
              </w:rPr>
            </w:pPr>
            <w:r w:rsidRPr="00B070A6">
              <w:rPr>
                <w:sz w:val="20"/>
                <w:szCs w:val="20"/>
              </w:rPr>
              <w:t>3,270</w:t>
            </w:r>
          </w:p>
        </w:tc>
        <w:tc>
          <w:tcPr>
            <w:tcW w:w="1497" w:type="dxa"/>
            <w:tcMar>
              <w:top w:w="0" w:type="dxa"/>
              <w:left w:w="108" w:type="dxa"/>
              <w:bottom w:w="0" w:type="dxa"/>
              <w:right w:w="108" w:type="dxa"/>
            </w:tcMar>
            <w:vAlign w:val="center"/>
          </w:tcPr>
          <w:p w:rsidRPr="00B070A6" w:rsidR="00B070A6" w:rsidP="00B070A6" w:rsidRDefault="00B070A6" w14:paraId="5ECF0DC7" w14:textId="77777777">
            <w:pPr>
              <w:spacing w:line="252" w:lineRule="auto"/>
              <w:jc w:val="right"/>
              <w:rPr>
                <w:sz w:val="20"/>
                <w:szCs w:val="20"/>
              </w:rPr>
            </w:pPr>
            <w:r w:rsidRPr="00B070A6">
              <w:rPr>
                <w:sz w:val="20"/>
                <w:szCs w:val="20"/>
              </w:rPr>
              <w:t>299</w:t>
            </w:r>
          </w:p>
        </w:tc>
        <w:tc>
          <w:tcPr>
            <w:tcW w:w="1123" w:type="dxa"/>
            <w:tcMar>
              <w:top w:w="0" w:type="dxa"/>
              <w:left w:w="108" w:type="dxa"/>
              <w:bottom w:w="0" w:type="dxa"/>
              <w:right w:w="108" w:type="dxa"/>
            </w:tcMar>
            <w:vAlign w:val="center"/>
          </w:tcPr>
          <w:p w:rsidRPr="00B070A6" w:rsidR="00B070A6" w:rsidP="00B070A6" w:rsidRDefault="00B070A6" w14:paraId="48507BE9" w14:textId="77777777">
            <w:pPr>
              <w:spacing w:line="252" w:lineRule="auto"/>
              <w:jc w:val="right"/>
              <w:rPr>
                <w:sz w:val="20"/>
                <w:szCs w:val="20"/>
              </w:rPr>
            </w:pPr>
            <w:r w:rsidRPr="00B070A6">
              <w:rPr>
                <w:sz w:val="20"/>
                <w:szCs w:val="20"/>
              </w:rPr>
              <w:t>977,730</w:t>
            </w:r>
          </w:p>
        </w:tc>
        <w:tc>
          <w:tcPr>
            <w:tcW w:w="1590" w:type="dxa"/>
            <w:tcMar>
              <w:top w:w="0" w:type="dxa"/>
              <w:left w:w="108" w:type="dxa"/>
              <w:bottom w:w="0" w:type="dxa"/>
              <w:right w:w="108" w:type="dxa"/>
            </w:tcMar>
            <w:vAlign w:val="center"/>
          </w:tcPr>
          <w:p w:rsidRPr="00B070A6" w:rsidR="00B070A6" w:rsidP="00B070A6" w:rsidRDefault="00B070A6" w14:paraId="52AE73B5" w14:textId="77777777">
            <w:pPr>
              <w:spacing w:line="252" w:lineRule="auto"/>
              <w:jc w:val="right"/>
              <w:rPr>
                <w:sz w:val="20"/>
                <w:szCs w:val="20"/>
              </w:rPr>
            </w:pPr>
            <w:r w:rsidRPr="00B070A6">
              <w:rPr>
                <w:sz w:val="20"/>
                <w:szCs w:val="20"/>
              </w:rPr>
              <w:t>0.64</w:t>
            </w:r>
          </w:p>
          <w:p w:rsidRPr="00B070A6" w:rsidR="00B070A6" w:rsidP="00B070A6" w:rsidRDefault="00B070A6" w14:paraId="0999CD56" w14:textId="77777777">
            <w:pPr>
              <w:spacing w:line="252" w:lineRule="auto"/>
              <w:jc w:val="right"/>
              <w:rPr>
                <w:sz w:val="20"/>
                <w:szCs w:val="20"/>
              </w:rPr>
            </w:pPr>
            <w:r w:rsidRPr="00B070A6">
              <w:rPr>
                <w:sz w:val="20"/>
                <w:szCs w:val="20"/>
              </w:rPr>
              <w:t>(38 minutes)</w:t>
            </w:r>
          </w:p>
        </w:tc>
        <w:tc>
          <w:tcPr>
            <w:tcW w:w="1213" w:type="dxa"/>
            <w:tcMar>
              <w:top w:w="0" w:type="dxa"/>
              <w:left w:w="108" w:type="dxa"/>
              <w:bottom w:w="0" w:type="dxa"/>
              <w:right w:w="108" w:type="dxa"/>
            </w:tcMar>
            <w:vAlign w:val="center"/>
          </w:tcPr>
          <w:p w:rsidRPr="00B070A6" w:rsidR="00B070A6" w:rsidP="00B070A6" w:rsidRDefault="00B070A6" w14:paraId="6C6702E7" w14:textId="77777777">
            <w:pPr>
              <w:spacing w:line="252" w:lineRule="auto"/>
              <w:jc w:val="right"/>
              <w:rPr>
                <w:sz w:val="20"/>
                <w:szCs w:val="20"/>
              </w:rPr>
            </w:pPr>
            <w:r w:rsidRPr="00B070A6">
              <w:rPr>
                <w:sz w:val="20"/>
                <w:szCs w:val="20"/>
              </w:rPr>
              <w:t>625,747</w:t>
            </w:r>
          </w:p>
        </w:tc>
      </w:tr>
      <w:tr w:rsidRPr="00B070A6" w:rsidR="00B070A6" w:rsidTr="00B070A6" w14:paraId="0232C30B" w14:textId="77777777">
        <w:trPr>
          <w:cantSplit/>
        </w:trPr>
        <w:tc>
          <w:tcPr>
            <w:tcW w:w="2701" w:type="dxa"/>
            <w:tcMar>
              <w:top w:w="0" w:type="dxa"/>
              <w:left w:w="108" w:type="dxa"/>
              <w:bottom w:w="0" w:type="dxa"/>
              <w:right w:w="108" w:type="dxa"/>
            </w:tcMar>
            <w:vAlign w:val="center"/>
            <w:hideMark/>
          </w:tcPr>
          <w:p w:rsidRPr="00B070A6" w:rsidR="00B070A6" w:rsidP="00B070A6" w:rsidRDefault="00B070A6" w14:paraId="329A011E" w14:textId="77777777">
            <w:pPr>
              <w:spacing w:line="252" w:lineRule="auto"/>
              <w:rPr>
                <w:sz w:val="20"/>
                <w:szCs w:val="20"/>
              </w:rPr>
            </w:pPr>
            <w:r w:rsidRPr="00B070A6">
              <w:rPr>
                <w:sz w:val="20"/>
                <w:szCs w:val="20"/>
              </w:rPr>
              <w:t>CGMP Medical Gases Manufacturers</w:t>
            </w:r>
          </w:p>
        </w:tc>
        <w:tc>
          <w:tcPr>
            <w:tcW w:w="1497" w:type="dxa"/>
            <w:tcMar>
              <w:top w:w="0" w:type="dxa"/>
              <w:left w:w="108" w:type="dxa"/>
              <w:bottom w:w="0" w:type="dxa"/>
              <w:right w:w="108" w:type="dxa"/>
            </w:tcMar>
            <w:vAlign w:val="center"/>
          </w:tcPr>
          <w:p w:rsidRPr="00B070A6" w:rsidR="00B070A6" w:rsidP="00B070A6" w:rsidRDefault="00B070A6" w14:paraId="59299764" w14:textId="77777777">
            <w:pPr>
              <w:spacing w:line="252" w:lineRule="auto"/>
              <w:jc w:val="right"/>
              <w:rPr>
                <w:sz w:val="20"/>
                <w:szCs w:val="20"/>
              </w:rPr>
            </w:pPr>
            <w:r w:rsidRPr="00B070A6">
              <w:rPr>
                <w:sz w:val="20"/>
                <w:szCs w:val="20"/>
              </w:rPr>
              <w:t>2,284</w:t>
            </w:r>
          </w:p>
        </w:tc>
        <w:tc>
          <w:tcPr>
            <w:tcW w:w="1497" w:type="dxa"/>
            <w:tcMar>
              <w:top w:w="0" w:type="dxa"/>
              <w:left w:w="108" w:type="dxa"/>
              <w:bottom w:w="0" w:type="dxa"/>
              <w:right w:w="108" w:type="dxa"/>
            </w:tcMar>
            <w:vAlign w:val="center"/>
          </w:tcPr>
          <w:p w:rsidRPr="00B070A6" w:rsidR="00B070A6" w:rsidP="00B070A6" w:rsidRDefault="00B070A6" w14:paraId="2BA1B9B6" w14:textId="77777777">
            <w:pPr>
              <w:spacing w:line="252" w:lineRule="auto"/>
              <w:jc w:val="right"/>
              <w:rPr>
                <w:sz w:val="20"/>
                <w:szCs w:val="20"/>
              </w:rPr>
            </w:pPr>
            <w:r w:rsidRPr="00B070A6">
              <w:rPr>
                <w:sz w:val="20"/>
                <w:szCs w:val="20"/>
              </w:rPr>
              <w:t>280</w:t>
            </w:r>
          </w:p>
        </w:tc>
        <w:tc>
          <w:tcPr>
            <w:tcW w:w="1123" w:type="dxa"/>
            <w:tcMar>
              <w:top w:w="0" w:type="dxa"/>
              <w:left w:w="108" w:type="dxa"/>
              <w:bottom w:w="0" w:type="dxa"/>
              <w:right w:w="108" w:type="dxa"/>
            </w:tcMar>
            <w:vAlign w:val="center"/>
          </w:tcPr>
          <w:p w:rsidRPr="00B070A6" w:rsidR="00B070A6" w:rsidP="00B070A6" w:rsidRDefault="00B070A6" w14:paraId="765E418C" w14:textId="77777777">
            <w:pPr>
              <w:spacing w:line="252" w:lineRule="auto"/>
              <w:jc w:val="right"/>
              <w:rPr>
                <w:sz w:val="20"/>
                <w:szCs w:val="20"/>
              </w:rPr>
            </w:pPr>
            <w:r w:rsidRPr="00B070A6">
              <w:rPr>
                <w:sz w:val="20"/>
                <w:szCs w:val="20"/>
              </w:rPr>
              <w:t>639,520</w:t>
            </w:r>
          </w:p>
        </w:tc>
        <w:tc>
          <w:tcPr>
            <w:tcW w:w="1590" w:type="dxa"/>
            <w:tcMar>
              <w:top w:w="0" w:type="dxa"/>
              <w:left w:w="108" w:type="dxa"/>
              <w:bottom w:w="0" w:type="dxa"/>
              <w:right w:w="108" w:type="dxa"/>
            </w:tcMar>
            <w:vAlign w:val="center"/>
          </w:tcPr>
          <w:p w:rsidRPr="00B070A6" w:rsidR="00B070A6" w:rsidP="00B070A6" w:rsidRDefault="00B070A6" w14:paraId="19058E2D" w14:textId="77777777">
            <w:pPr>
              <w:spacing w:line="252" w:lineRule="auto"/>
              <w:jc w:val="right"/>
              <w:rPr>
                <w:sz w:val="20"/>
                <w:szCs w:val="20"/>
              </w:rPr>
            </w:pPr>
            <w:r w:rsidRPr="00B070A6">
              <w:rPr>
                <w:sz w:val="20"/>
                <w:szCs w:val="20"/>
              </w:rPr>
              <w:t xml:space="preserve">0.62 </w:t>
            </w:r>
          </w:p>
          <w:p w:rsidRPr="00B070A6" w:rsidR="00B070A6" w:rsidP="00B070A6" w:rsidRDefault="00B070A6" w14:paraId="052C00A2" w14:textId="77777777">
            <w:pPr>
              <w:spacing w:line="252" w:lineRule="auto"/>
              <w:jc w:val="right"/>
              <w:rPr>
                <w:sz w:val="20"/>
                <w:szCs w:val="20"/>
              </w:rPr>
            </w:pPr>
            <w:r w:rsidRPr="00B070A6">
              <w:rPr>
                <w:sz w:val="20"/>
                <w:szCs w:val="20"/>
              </w:rPr>
              <w:t>(37 minutes)</w:t>
            </w:r>
          </w:p>
        </w:tc>
        <w:tc>
          <w:tcPr>
            <w:tcW w:w="1213" w:type="dxa"/>
            <w:tcMar>
              <w:top w:w="0" w:type="dxa"/>
              <w:left w:w="108" w:type="dxa"/>
              <w:bottom w:w="0" w:type="dxa"/>
              <w:right w:w="108" w:type="dxa"/>
            </w:tcMar>
            <w:vAlign w:val="center"/>
          </w:tcPr>
          <w:p w:rsidRPr="00B070A6" w:rsidR="00B070A6" w:rsidP="00B070A6" w:rsidRDefault="00B070A6" w14:paraId="042107BE" w14:textId="77777777">
            <w:pPr>
              <w:spacing w:line="252" w:lineRule="auto"/>
              <w:jc w:val="right"/>
              <w:rPr>
                <w:sz w:val="20"/>
                <w:szCs w:val="20"/>
              </w:rPr>
            </w:pPr>
            <w:r w:rsidRPr="00B070A6">
              <w:rPr>
                <w:sz w:val="20"/>
                <w:szCs w:val="20"/>
              </w:rPr>
              <w:t>396,502</w:t>
            </w:r>
          </w:p>
        </w:tc>
      </w:tr>
      <w:tr w:rsidRPr="00B070A6" w:rsidR="00B070A6" w:rsidTr="00B070A6" w14:paraId="090A0759" w14:textId="77777777">
        <w:trPr>
          <w:cantSplit/>
        </w:trPr>
        <w:tc>
          <w:tcPr>
            <w:tcW w:w="2701" w:type="dxa"/>
            <w:tcMar>
              <w:top w:w="0" w:type="dxa"/>
              <w:left w:w="108" w:type="dxa"/>
              <w:bottom w:w="0" w:type="dxa"/>
              <w:right w:w="108" w:type="dxa"/>
            </w:tcMar>
            <w:vAlign w:val="center"/>
          </w:tcPr>
          <w:p w:rsidRPr="00B070A6" w:rsidR="00B070A6" w:rsidP="00B070A6" w:rsidRDefault="00B070A6" w14:paraId="70712741" w14:textId="77777777">
            <w:pPr>
              <w:spacing w:line="252" w:lineRule="auto"/>
              <w:rPr>
                <w:sz w:val="20"/>
                <w:szCs w:val="20"/>
              </w:rPr>
            </w:pPr>
            <w:r w:rsidRPr="00B070A6">
              <w:rPr>
                <w:sz w:val="20"/>
                <w:szCs w:val="20"/>
              </w:rPr>
              <w:t>Total</w:t>
            </w:r>
          </w:p>
        </w:tc>
        <w:tc>
          <w:tcPr>
            <w:tcW w:w="1497" w:type="dxa"/>
            <w:tcMar>
              <w:top w:w="0" w:type="dxa"/>
              <w:left w:w="108" w:type="dxa"/>
              <w:bottom w:w="0" w:type="dxa"/>
              <w:right w:w="108" w:type="dxa"/>
            </w:tcMar>
            <w:vAlign w:val="center"/>
          </w:tcPr>
          <w:p w:rsidRPr="00B070A6" w:rsidR="00B070A6" w:rsidP="00B070A6" w:rsidRDefault="00B070A6" w14:paraId="3FFBD38A" w14:textId="77777777">
            <w:pPr>
              <w:spacing w:line="252" w:lineRule="auto"/>
              <w:jc w:val="right"/>
              <w:rPr>
                <w:sz w:val="20"/>
                <w:szCs w:val="20"/>
              </w:rPr>
            </w:pPr>
          </w:p>
        </w:tc>
        <w:tc>
          <w:tcPr>
            <w:tcW w:w="1497" w:type="dxa"/>
            <w:tcMar>
              <w:top w:w="0" w:type="dxa"/>
              <w:left w:w="108" w:type="dxa"/>
              <w:bottom w:w="0" w:type="dxa"/>
              <w:right w:w="108" w:type="dxa"/>
            </w:tcMar>
            <w:vAlign w:val="center"/>
          </w:tcPr>
          <w:p w:rsidRPr="00B070A6" w:rsidR="00B070A6" w:rsidP="00B070A6" w:rsidRDefault="00B070A6" w14:paraId="3AEF2754" w14:textId="77777777">
            <w:pPr>
              <w:spacing w:line="252" w:lineRule="auto"/>
              <w:jc w:val="right"/>
              <w:rPr>
                <w:sz w:val="20"/>
                <w:szCs w:val="20"/>
              </w:rPr>
            </w:pPr>
          </w:p>
        </w:tc>
        <w:tc>
          <w:tcPr>
            <w:tcW w:w="1123" w:type="dxa"/>
            <w:tcMar>
              <w:top w:w="0" w:type="dxa"/>
              <w:left w:w="108" w:type="dxa"/>
              <w:bottom w:w="0" w:type="dxa"/>
              <w:right w:w="108" w:type="dxa"/>
            </w:tcMar>
            <w:vAlign w:val="center"/>
          </w:tcPr>
          <w:p w:rsidRPr="00B070A6" w:rsidR="00B070A6" w:rsidP="00B070A6" w:rsidRDefault="00B070A6" w14:paraId="03C4A553" w14:textId="77777777">
            <w:pPr>
              <w:spacing w:line="252" w:lineRule="auto"/>
              <w:jc w:val="right"/>
              <w:rPr>
                <w:sz w:val="20"/>
                <w:szCs w:val="20"/>
              </w:rPr>
            </w:pPr>
            <w:r w:rsidRPr="00B070A6">
              <w:rPr>
                <w:sz w:val="20"/>
                <w:szCs w:val="20"/>
              </w:rPr>
              <w:t>1,939,810</w:t>
            </w:r>
          </w:p>
        </w:tc>
        <w:tc>
          <w:tcPr>
            <w:tcW w:w="1590" w:type="dxa"/>
            <w:tcMar>
              <w:top w:w="0" w:type="dxa"/>
              <w:left w:w="108" w:type="dxa"/>
              <w:bottom w:w="0" w:type="dxa"/>
              <w:right w:w="108" w:type="dxa"/>
            </w:tcMar>
            <w:vAlign w:val="center"/>
          </w:tcPr>
          <w:p w:rsidRPr="00B070A6" w:rsidR="00B070A6" w:rsidP="00B070A6" w:rsidRDefault="00B070A6" w14:paraId="2A071288" w14:textId="77777777">
            <w:pPr>
              <w:spacing w:line="252" w:lineRule="auto"/>
              <w:jc w:val="right"/>
              <w:rPr>
                <w:sz w:val="20"/>
                <w:szCs w:val="20"/>
              </w:rPr>
            </w:pPr>
          </w:p>
        </w:tc>
        <w:tc>
          <w:tcPr>
            <w:tcW w:w="1213" w:type="dxa"/>
            <w:tcMar>
              <w:top w:w="0" w:type="dxa"/>
              <w:left w:w="108" w:type="dxa"/>
              <w:bottom w:w="0" w:type="dxa"/>
              <w:right w:w="108" w:type="dxa"/>
            </w:tcMar>
            <w:vAlign w:val="center"/>
          </w:tcPr>
          <w:p w:rsidRPr="00B070A6" w:rsidR="00B070A6" w:rsidP="00B070A6" w:rsidRDefault="00B070A6" w14:paraId="6C5EB9C7" w14:textId="77777777">
            <w:pPr>
              <w:spacing w:line="252" w:lineRule="auto"/>
              <w:jc w:val="right"/>
              <w:rPr>
                <w:sz w:val="20"/>
                <w:szCs w:val="20"/>
              </w:rPr>
            </w:pPr>
            <w:r w:rsidRPr="00B070A6">
              <w:rPr>
                <w:sz w:val="20"/>
                <w:szCs w:val="20"/>
              </w:rPr>
              <w:t>1,286,748</w:t>
            </w:r>
          </w:p>
        </w:tc>
      </w:tr>
    </w:tbl>
    <w:p w:rsidRPr="00B070A6" w:rsidR="00B070A6" w:rsidP="00B070A6" w:rsidRDefault="00D84275" w14:paraId="60C8A524" w14:textId="479162D0">
      <w:pPr>
        <w:rPr>
          <w:sz w:val="20"/>
          <w:szCs w:val="20"/>
        </w:rPr>
      </w:pPr>
      <w:r>
        <w:rPr>
          <w:sz w:val="20"/>
          <w:szCs w:val="20"/>
          <w:vertAlign w:val="superscript"/>
        </w:rPr>
        <w:t xml:space="preserve">  </w:t>
      </w:r>
      <w:r w:rsidRPr="00B070A6" w:rsidR="00B070A6">
        <w:rPr>
          <w:sz w:val="20"/>
          <w:szCs w:val="20"/>
          <w:vertAlign w:val="superscript"/>
        </w:rPr>
        <w:t>1</w:t>
      </w:r>
      <w:r w:rsidRPr="00B070A6" w:rsidR="00B070A6">
        <w:rPr>
          <w:sz w:val="20"/>
          <w:szCs w:val="20"/>
        </w:rPr>
        <w:t xml:space="preserve"> There are no capital or operating and maintenance costs associated with the information collection.</w:t>
      </w:r>
    </w:p>
    <w:p w:rsidRPr="00E1319F" w:rsidR="003431F7" w:rsidP="00D84275" w:rsidRDefault="00D84275" w14:paraId="3CAC7238" w14:textId="765DF9DC">
      <w:pPr>
        <w:rPr>
          <w:sz w:val="20"/>
          <w:szCs w:val="20"/>
        </w:rPr>
      </w:pPr>
      <w:r>
        <w:rPr>
          <w:sz w:val="20"/>
          <w:szCs w:val="20"/>
          <w:vertAlign w:val="superscript"/>
        </w:rPr>
        <w:t xml:space="preserve">  </w:t>
      </w:r>
      <w:r w:rsidRPr="00B070A6" w:rsidR="00B070A6">
        <w:rPr>
          <w:sz w:val="20"/>
          <w:szCs w:val="20"/>
          <w:vertAlign w:val="superscript"/>
        </w:rPr>
        <w:t>2</w:t>
      </w:r>
      <w:r w:rsidRPr="00B070A6" w:rsidR="00B070A6">
        <w:rPr>
          <w:sz w:val="20"/>
          <w:szCs w:val="20"/>
        </w:rPr>
        <w:t xml:space="preserve"> Records and burden per activity have been averaged and rounded.</w:t>
      </w:r>
    </w:p>
    <w:p w:rsidR="003431F7" w:rsidP="00B52D33" w:rsidRDefault="003431F7" w14:paraId="30619E6C" w14:textId="0E4759DF">
      <w:pPr>
        <w:rPr>
          <w:rFonts w:eastAsia="Calibri"/>
        </w:rPr>
      </w:pPr>
    </w:p>
    <w:p w:rsidR="00D84275" w:rsidP="00B52D33" w:rsidRDefault="00047BFB" w14:paraId="624F77AF" w14:textId="2E350A6B">
      <w:pPr>
        <w:rPr>
          <w:rFonts w:eastAsia="Calibri"/>
        </w:rPr>
      </w:pPr>
      <w:r>
        <w:rPr>
          <w:rFonts w:eastAsia="Calibri"/>
        </w:rPr>
        <w:tab/>
      </w:r>
      <w:bookmarkStart w:name="_GoBack" w:id="3"/>
      <w:bookmarkEnd w:id="3"/>
      <w:r w:rsidR="001C113A">
        <w:rPr>
          <w:rFonts w:eastAsia="Calibri"/>
        </w:rPr>
        <w:t>As noted previously, o</w:t>
      </w:r>
      <w:r w:rsidR="00D84275">
        <w:rPr>
          <w:rFonts w:eastAsia="Calibri"/>
        </w:rPr>
        <w:t>u</w:t>
      </w:r>
      <w:r w:rsidR="009A4DAA">
        <w:rPr>
          <w:rFonts w:eastAsia="Calibri"/>
        </w:rPr>
        <w:t>r</w:t>
      </w:r>
      <w:r w:rsidR="00732566">
        <w:rPr>
          <w:rFonts w:eastAsia="Calibri"/>
        </w:rPr>
        <w:t xml:space="preserve"> figures are</w:t>
      </w:r>
      <w:r w:rsidR="009A4DAA">
        <w:rPr>
          <w:rFonts w:eastAsia="Calibri"/>
        </w:rPr>
        <w:t xml:space="preserve"> based on our experience with the information collection </w:t>
      </w:r>
      <w:r w:rsidR="00214F6C">
        <w:rPr>
          <w:rFonts w:eastAsia="Calibri"/>
        </w:rPr>
        <w:t xml:space="preserve">along with agency data and </w:t>
      </w:r>
      <w:r w:rsidR="009A4DAA">
        <w:rPr>
          <w:rFonts w:eastAsia="Calibri"/>
        </w:rPr>
        <w:t>reflect</w:t>
      </w:r>
      <w:r w:rsidR="009375E8">
        <w:rPr>
          <w:rFonts w:eastAsia="Calibri"/>
        </w:rPr>
        <w:t xml:space="preserve"> burden we attribute to the applicable </w:t>
      </w:r>
      <w:r w:rsidRPr="007129C4" w:rsidR="007129C4">
        <w:rPr>
          <w:rFonts w:eastAsia="Calibri"/>
        </w:rPr>
        <w:t>recordkeeping requirements</w:t>
      </w:r>
      <w:r w:rsidR="00214F6C">
        <w:rPr>
          <w:rFonts w:eastAsia="Calibri"/>
        </w:rPr>
        <w:t xml:space="preserve"> and to those respondents we believe may incur such burden</w:t>
      </w:r>
      <w:r w:rsidR="00420ACA">
        <w:rPr>
          <w:rFonts w:eastAsia="Calibri"/>
        </w:rPr>
        <w:t xml:space="preserve">.  </w:t>
      </w:r>
      <w:r w:rsidRPr="007129C4" w:rsidR="007129C4">
        <w:rPr>
          <w:rFonts w:eastAsia="Calibri"/>
        </w:rPr>
        <w:t>These activities include, among others, establishing and maintaining standard operating procedures; the need to consult outside experts; recommendations pertaining to documenting equipment cleaning and maintenance; and requirements and recommendations pertaining to master production records, control records, and distribution records.</w:t>
      </w:r>
    </w:p>
    <w:p w:rsidRPr="003431F7" w:rsidR="007129C4" w:rsidP="00B52D33" w:rsidRDefault="007129C4" w14:paraId="69B3489B" w14:textId="77777777">
      <w:pPr>
        <w:rPr>
          <w:rFonts w:eastAsia="Calibri"/>
        </w:rPr>
      </w:pPr>
    </w:p>
    <w:p w:rsidRPr="00E27550" w:rsidR="00357C8A" w:rsidP="00B52D33" w:rsidRDefault="00E27550" w14:paraId="611EE949" w14:textId="6ADAF446">
      <w:pPr>
        <w:rPr>
          <w:rFonts w:eastAsia="Calibri"/>
          <w:i/>
          <w:iCs/>
        </w:rPr>
      </w:pPr>
      <w:r>
        <w:rPr>
          <w:rFonts w:eastAsia="Calibri"/>
        </w:rPr>
        <w:tab/>
      </w:r>
      <w:r w:rsidRPr="00E27550" w:rsidR="00357C8A">
        <w:rPr>
          <w:rFonts w:eastAsia="Calibri"/>
          <w:i/>
          <w:iCs/>
        </w:rPr>
        <w:t>12b.  Annualized Cost Burden Estimate</w:t>
      </w:r>
    </w:p>
    <w:p w:rsidR="003C7F46" w:rsidP="00B52D33" w:rsidRDefault="003C7F46" w14:paraId="33E5651D" w14:textId="77777777">
      <w:pPr>
        <w:rPr>
          <w:rFonts w:eastAsia="Calibri"/>
        </w:rPr>
      </w:pPr>
    </w:p>
    <w:p w:rsidRPr="006150A0" w:rsidR="005D51E2" w:rsidP="00B52D33" w:rsidRDefault="003C7F46" w14:paraId="1B59C85D" w14:textId="4D459ED7">
      <w:r>
        <w:rPr>
          <w:rFonts w:eastAsia="Calibri"/>
        </w:rPr>
        <w:tab/>
        <w:t>We calculated annu</w:t>
      </w:r>
      <w:r w:rsidR="0064476C">
        <w:rPr>
          <w:rFonts w:eastAsia="Calibri"/>
        </w:rPr>
        <w:t>a</w:t>
      </w:r>
      <w:r>
        <w:rPr>
          <w:rFonts w:eastAsia="Calibri"/>
        </w:rPr>
        <w:t xml:space="preserve">lized cost burden by </w:t>
      </w:r>
      <w:r w:rsidR="0064476C">
        <w:rPr>
          <w:rFonts w:eastAsia="Calibri"/>
        </w:rPr>
        <w:t>multiplying the total number of annualized hours by</w:t>
      </w:r>
      <w:r w:rsidR="006D1656">
        <w:rPr>
          <w:rFonts w:eastAsia="Calibri"/>
        </w:rPr>
        <w:t xml:space="preserve"> an hourly wage rate</w:t>
      </w:r>
      <w:r w:rsidR="00EA4222">
        <w:rPr>
          <w:rFonts w:eastAsia="Calibri"/>
        </w:rPr>
        <w:t xml:space="preserve"> $85 </w:t>
      </w:r>
      <w:r w:rsidR="00166285">
        <w:rPr>
          <w:rFonts w:eastAsia="Calibri"/>
        </w:rPr>
        <w:t>applicable to a</w:t>
      </w:r>
      <w:r w:rsidR="00C17667">
        <w:rPr>
          <w:rFonts w:eastAsia="Calibri"/>
        </w:rPr>
        <w:t xml:space="preserve"> </w:t>
      </w:r>
      <w:r w:rsidR="00D019F2">
        <w:rPr>
          <w:rFonts w:eastAsia="Calibri"/>
        </w:rPr>
        <w:t>Pharmaceutical Industry employee</w:t>
      </w:r>
      <w:r w:rsidR="006150A0">
        <w:rPr>
          <w:rFonts w:eastAsia="Calibri"/>
        </w:rPr>
        <w:t xml:space="preserve">, </w:t>
      </w:r>
      <w:r w:rsidR="00EA4222">
        <w:rPr>
          <w:rFonts w:eastAsia="Calibri"/>
        </w:rPr>
        <w:t xml:space="preserve">for a total of </w:t>
      </w:r>
      <w:r w:rsidR="0064476C">
        <w:rPr>
          <w:rFonts w:eastAsia="Calibri"/>
        </w:rPr>
        <w:t xml:space="preserve"> </w:t>
      </w:r>
      <w:r w:rsidRPr="00F81608" w:rsidR="004F7F47">
        <w:t>$</w:t>
      </w:r>
      <w:r w:rsidRPr="00F81608" w:rsidR="002B5A37">
        <w:t>111,</w:t>
      </w:r>
      <w:r w:rsidRPr="00F81608" w:rsidR="006114BC">
        <w:t>886,690</w:t>
      </w:r>
      <w:r w:rsidRPr="00F81608" w:rsidR="005D51E2">
        <w:rPr>
          <w:rFonts w:eastAsia="Calibri"/>
        </w:rPr>
        <w:t>.</w:t>
      </w:r>
    </w:p>
    <w:p w:rsidRPr="00F81608" w:rsidR="005D51E2" w:rsidP="00B52D33" w:rsidRDefault="005D51E2" w14:paraId="5E684783" w14:textId="77777777">
      <w:pPr>
        <w:rPr>
          <w:rFonts w:eastAsia="Calibri"/>
        </w:rPr>
      </w:pPr>
    </w:p>
    <w:p w:rsidRPr="00F81608" w:rsidR="00357C8A" w:rsidP="00B52D33" w:rsidRDefault="006150A0" w14:paraId="618C617A" w14:textId="7968B0AD">
      <w:pPr>
        <w:rPr>
          <w:rFonts w:eastAsia="Calibri"/>
        </w:rPr>
      </w:pPr>
      <w:r>
        <w:rPr>
          <w:rFonts w:eastAsia="Calibri"/>
        </w:rPr>
        <w:t xml:space="preserve">13.  </w:t>
      </w:r>
      <w:r w:rsidRPr="006150A0" w:rsidR="00357C8A">
        <w:rPr>
          <w:rFonts w:eastAsia="Calibri"/>
          <w:u w:val="single"/>
        </w:rPr>
        <w:t xml:space="preserve">Estimates of Other Total Annual Costs </w:t>
      </w:r>
      <w:r w:rsidRPr="006150A0" w:rsidR="00590E90">
        <w:rPr>
          <w:rFonts w:eastAsia="Calibri"/>
          <w:u w:val="single"/>
        </w:rPr>
        <w:t xml:space="preserve">to Respondents/Recordkeepers or </w:t>
      </w:r>
      <w:r w:rsidRPr="006150A0" w:rsidR="00357C8A">
        <w:rPr>
          <w:rFonts w:eastAsia="Calibri"/>
          <w:u w:val="single"/>
        </w:rPr>
        <w:t>Capital Costs</w:t>
      </w:r>
      <w:r w:rsidRPr="00F81608" w:rsidR="00357C8A">
        <w:rPr>
          <w:rFonts w:eastAsia="Calibri"/>
        </w:rPr>
        <w:t xml:space="preserve"> </w:t>
      </w:r>
    </w:p>
    <w:p w:rsidR="006150A0" w:rsidP="00B52D33" w:rsidRDefault="006150A0" w14:paraId="2E157B5D" w14:textId="77777777">
      <w:pPr>
        <w:rPr>
          <w:rFonts w:eastAsia="Calibri"/>
        </w:rPr>
      </w:pPr>
    </w:p>
    <w:p w:rsidR="0022425B" w:rsidP="00B52D33" w:rsidRDefault="00B529C0" w14:paraId="61846CF2" w14:textId="395D449F">
      <w:pPr>
        <w:rPr>
          <w:rFonts w:eastAsia="Calibri"/>
        </w:rPr>
      </w:pPr>
      <w:r>
        <w:rPr>
          <w:rFonts w:eastAsia="Calibri"/>
        </w:rPr>
        <w:t xml:space="preserve">We estimate </w:t>
      </w:r>
      <w:r w:rsidRPr="00F81608" w:rsidR="00CE12A9">
        <w:rPr>
          <w:rFonts w:eastAsia="Calibri"/>
        </w:rPr>
        <w:t>no capital, start-up, operating, or maintenance costs associated with this information collection.</w:t>
      </w:r>
    </w:p>
    <w:p w:rsidRPr="00F81608" w:rsidR="006150A0" w:rsidP="00B52D33" w:rsidRDefault="006150A0" w14:paraId="3E22FB22" w14:textId="77777777">
      <w:pPr>
        <w:rPr>
          <w:rFonts w:eastAsia="Calibri"/>
        </w:rPr>
      </w:pPr>
    </w:p>
    <w:p w:rsidRPr="00F81608" w:rsidR="00357C8A" w:rsidP="00B52D33" w:rsidRDefault="006150A0" w14:paraId="305461C6" w14:textId="748ED9F5">
      <w:pPr>
        <w:rPr>
          <w:rFonts w:eastAsia="Calibri"/>
        </w:rPr>
      </w:pPr>
      <w:r>
        <w:rPr>
          <w:rFonts w:eastAsia="Calibri"/>
        </w:rPr>
        <w:t xml:space="preserve">14.  </w:t>
      </w:r>
      <w:r w:rsidRPr="00B44404" w:rsidR="00357C8A">
        <w:rPr>
          <w:rFonts w:eastAsia="Calibri"/>
          <w:u w:val="single"/>
        </w:rPr>
        <w:t>Annualized Cost to the Federal Government</w:t>
      </w:r>
    </w:p>
    <w:p w:rsidR="006150A0" w:rsidP="00B52D33" w:rsidRDefault="006150A0" w14:paraId="3E1065FC" w14:textId="77777777">
      <w:bookmarkStart w:name="_Hlk57180862" w:id="4"/>
    </w:p>
    <w:p w:rsidR="006F190B" w:rsidP="00B52D33" w:rsidRDefault="006F190B" w14:paraId="61BFC4B5" w14:textId="4931E46C">
      <w:r w:rsidRPr="00F81608">
        <w:t>We allocate approximately 375 full-time-employees (FTEs) annually to ensur</w:t>
      </w:r>
      <w:r w:rsidR="00D86640">
        <w:t xml:space="preserve">ing </w:t>
      </w:r>
      <w:r w:rsidRPr="00F81608">
        <w:t>compliance with the</w:t>
      </w:r>
      <w:r w:rsidR="00D175F5">
        <w:t xml:space="preserve"> statutory and regulatory requirements</w:t>
      </w:r>
      <w:r w:rsidRPr="00F81608">
        <w:t>.</w:t>
      </w:r>
      <w:r w:rsidR="006150A0">
        <w:t xml:space="preserve">  </w:t>
      </w:r>
      <w:r w:rsidRPr="00F81608">
        <w:t xml:space="preserve">Using 2018 Office of Personnel Management and U.S. Bureau of Labor Statistics data and assuming a </w:t>
      </w:r>
      <w:r w:rsidRPr="00F81608" w:rsidR="00610E26">
        <w:t>fully loaded</w:t>
      </w:r>
      <w:r w:rsidRPr="00F81608">
        <w:t xml:space="preserve"> annual salary of $175,000, we calculate </w:t>
      </w:r>
      <w:r w:rsidR="00D175F5">
        <w:t xml:space="preserve">an </w:t>
      </w:r>
      <w:r w:rsidRPr="00F81608">
        <w:t xml:space="preserve">annual cost to the Federal government </w:t>
      </w:r>
      <w:r w:rsidR="00D175F5">
        <w:t>of</w:t>
      </w:r>
      <w:r w:rsidRPr="00F81608">
        <w:t xml:space="preserve"> $65,625,000.</w:t>
      </w:r>
    </w:p>
    <w:p w:rsidRPr="00F81608" w:rsidR="006150A0" w:rsidP="00B52D33" w:rsidRDefault="006150A0" w14:paraId="54C506D4" w14:textId="77777777"/>
    <w:bookmarkEnd w:id="4"/>
    <w:p w:rsidRPr="00F81608" w:rsidR="00357C8A" w:rsidP="00B52D33" w:rsidRDefault="00B529C0" w14:paraId="14EA4A12" w14:textId="4A1E5277">
      <w:pPr>
        <w:rPr>
          <w:rFonts w:eastAsia="Calibri"/>
        </w:rPr>
      </w:pPr>
      <w:r>
        <w:rPr>
          <w:rFonts w:eastAsia="Calibri"/>
        </w:rPr>
        <w:br w:type="page"/>
      </w:r>
      <w:r w:rsidR="006150A0">
        <w:rPr>
          <w:rFonts w:eastAsia="Calibri"/>
        </w:rPr>
        <w:lastRenderedPageBreak/>
        <w:t xml:space="preserve">15.  </w:t>
      </w:r>
      <w:r w:rsidRPr="00B44404" w:rsidR="00357C8A">
        <w:rPr>
          <w:rFonts w:eastAsia="Calibri"/>
          <w:u w:val="single"/>
        </w:rPr>
        <w:t>Explanation for Program Changes or Adjustments</w:t>
      </w:r>
    </w:p>
    <w:p w:rsidR="006150A0" w:rsidP="00B52D33" w:rsidRDefault="006150A0" w14:paraId="0DCD5A8E" w14:textId="77777777"/>
    <w:p w:rsidR="001A1B8F" w:rsidP="00B52D33" w:rsidRDefault="005D14F7" w14:paraId="1E8A37BE" w14:textId="0F24D117">
      <w:r>
        <w:t>We have made adjustments to t</w:t>
      </w:r>
      <w:r w:rsidR="006150A0">
        <w:t>he information</w:t>
      </w:r>
      <w:r w:rsidR="00B3702A">
        <w:t xml:space="preserve"> collection.  We </w:t>
      </w:r>
      <w:r w:rsidR="006150A0">
        <w:t xml:space="preserve">retitled the collection to better </w:t>
      </w:r>
      <w:r w:rsidR="00D20206">
        <w:t>align with agency regulations its intended to support.</w:t>
      </w:r>
      <w:r w:rsidR="00463547">
        <w:t xml:space="preserve">  Also, t</w:t>
      </w:r>
      <w:r w:rsidRPr="00463547" w:rsidR="00463547">
        <w:t xml:space="preserve">o demonstrate products comply with </w:t>
      </w:r>
      <w:r>
        <w:t xml:space="preserve">applicable </w:t>
      </w:r>
      <w:r w:rsidRPr="00463547" w:rsidR="00463547">
        <w:t>requirements, API manufacturers must maintain CGMP records</w:t>
      </w:r>
      <w:r w:rsidR="00463547">
        <w:t xml:space="preserve"> and therefore we have included them in our accounting of respondents to the information collection.  </w:t>
      </w:r>
      <w:r w:rsidR="00D20206">
        <w:t xml:space="preserve">We have also </w:t>
      </w:r>
      <w:r w:rsidR="004A7DCE">
        <w:t xml:space="preserve">reorganized the IC elements </w:t>
      </w:r>
      <w:r w:rsidR="003158F9">
        <w:t>by sub</w:t>
      </w:r>
      <w:r w:rsidR="004A7DCE">
        <w:t xml:space="preserve">set of </w:t>
      </w:r>
      <w:r w:rsidR="00EE5645">
        <w:t>applicable recordkeeping</w:t>
      </w:r>
      <w:r w:rsidR="004A7DCE">
        <w:t>, rather than by regulatory provision.</w:t>
      </w:r>
      <w:r w:rsidR="00506985">
        <w:t xml:space="preserve">  These adjustments</w:t>
      </w:r>
      <w:r w:rsidR="001E5BDC">
        <w:t xml:space="preserve"> apply as follows</w:t>
      </w:r>
      <w:r w:rsidR="001A1B8F">
        <w:t>:</w:t>
      </w:r>
    </w:p>
    <w:p w:rsidR="001A1B8F" w:rsidP="00B52D33" w:rsidRDefault="001A1B8F" w14:paraId="2327B1E6" w14:textId="77777777"/>
    <w:p w:rsidR="001A1B8F" w:rsidP="00463547" w:rsidRDefault="00350450" w14:paraId="69AB227D" w14:textId="69F45567">
      <w:pPr>
        <w:numPr>
          <w:ilvl w:val="0"/>
          <w:numId w:val="17"/>
        </w:numPr>
      </w:pPr>
      <w:r>
        <w:t xml:space="preserve">a </w:t>
      </w:r>
      <w:r w:rsidRPr="001A1B8F" w:rsidR="001A1B8F">
        <w:t>decrease of 29,073 hours and 1,762 records annually for CGMP for finished pharmaceutical manufacturers, excluding those manufacturers of medical gase</w:t>
      </w:r>
      <w:r w:rsidR="001A1B8F">
        <w:t>s;</w:t>
      </w:r>
    </w:p>
    <w:p w:rsidR="00463547" w:rsidP="00463547" w:rsidRDefault="001A1B8F" w14:paraId="329DCBAE" w14:textId="2758F278">
      <w:pPr>
        <w:numPr>
          <w:ilvl w:val="0"/>
          <w:numId w:val="17"/>
        </w:numPr>
      </w:pPr>
      <w:r w:rsidRPr="001A1B8F">
        <w:t>a</w:t>
      </w:r>
      <w:r w:rsidR="00350450">
        <w:t xml:space="preserve"> </w:t>
      </w:r>
      <w:r w:rsidRPr="001A1B8F">
        <w:t>decrease of 486 hours and 1,574 records annually for medical gas manufacturers</w:t>
      </w:r>
      <w:r w:rsidR="00463547">
        <w:t xml:space="preserve">; </w:t>
      </w:r>
      <w:r w:rsidR="00065F2D">
        <w:t xml:space="preserve">and </w:t>
      </w:r>
    </w:p>
    <w:p w:rsidR="00506985" w:rsidP="00463547" w:rsidRDefault="00463547" w14:paraId="7FD60653" w14:textId="1A5AA4E9">
      <w:pPr>
        <w:numPr>
          <w:ilvl w:val="0"/>
          <w:numId w:val="17"/>
        </w:numPr>
      </w:pPr>
      <w:r>
        <w:t xml:space="preserve">our </w:t>
      </w:r>
      <w:r w:rsidRPr="001A1B8F" w:rsidR="001A1B8F">
        <w:t>inclusion of API manufacturers in this collection represents an addition of 264,499 hours and 322,560 records prepared</w:t>
      </w:r>
      <w:r w:rsidR="00065F2D">
        <w:t>.</w:t>
      </w:r>
    </w:p>
    <w:p w:rsidR="00CA0713" w:rsidP="00CA0713" w:rsidRDefault="00CA0713" w14:paraId="19AEB39E" w14:textId="3EEBCF0A"/>
    <w:p w:rsidR="00CA0713" w:rsidP="00CA0713" w:rsidRDefault="00065F2D" w14:paraId="777286A0" w14:textId="01759751">
      <w:r>
        <w:t>The result is a</w:t>
      </w:r>
      <w:r w:rsidR="000C0705">
        <w:t xml:space="preserve">n overall increase </w:t>
      </w:r>
      <w:r w:rsidR="00350450">
        <w:t xml:space="preserve">of </w:t>
      </w:r>
      <w:r w:rsidR="00DF6ED4">
        <w:t>319,224 responses and 234,940</w:t>
      </w:r>
      <w:r w:rsidR="00B3702A">
        <w:t xml:space="preserve"> hours annually</w:t>
      </w:r>
      <w:r w:rsidR="000C0705">
        <w:t xml:space="preserve"> to the information collection.</w:t>
      </w:r>
    </w:p>
    <w:p w:rsidR="00506985" w:rsidP="00B52D33" w:rsidRDefault="00506985" w14:paraId="13239565" w14:textId="77777777"/>
    <w:p w:rsidRPr="0016240D" w:rsidR="00357C8A" w:rsidP="00B52D33" w:rsidRDefault="0016240D" w14:paraId="2D37F0AB" w14:textId="185A5FFB">
      <w:r>
        <w:rPr>
          <w:rFonts w:eastAsia="Calibri"/>
        </w:rPr>
        <w:t xml:space="preserve">16.  </w:t>
      </w:r>
      <w:r w:rsidRPr="0016240D" w:rsidR="00357C8A">
        <w:rPr>
          <w:rFonts w:eastAsia="Calibri"/>
          <w:u w:val="single"/>
        </w:rPr>
        <w:t>Plans for Tabulation and Publication and Project Time Schedule</w:t>
      </w:r>
    </w:p>
    <w:p w:rsidR="0016240D" w:rsidP="00B52D33" w:rsidRDefault="0016240D" w14:paraId="2EC070E9" w14:textId="77777777">
      <w:pPr>
        <w:rPr>
          <w:rFonts w:eastAsia="Calibri"/>
        </w:rPr>
      </w:pPr>
    </w:p>
    <w:p w:rsidRPr="00F81608" w:rsidR="00357C8A" w:rsidP="00B52D33" w:rsidRDefault="00357C8A" w14:paraId="56188B17" w14:textId="5E20E365">
      <w:pPr>
        <w:rPr>
          <w:rFonts w:eastAsia="Calibri"/>
        </w:rPr>
      </w:pPr>
      <w:r w:rsidRPr="00F81608">
        <w:rPr>
          <w:rFonts w:eastAsia="Calibri"/>
        </w:rPr>
        <w:t>This information collected will not be published or tabulated.</w:t>
      </w:r>
    </w:p>
    <w:p w:rsidR="0016240D" w:rsidP="00B52D33" w:rsidRDefault="0016240D" w14:paraId="6712307B" w14:textId="77777777">
      <w:pPr>
        <w:rPr>
          <w:rFonts w:eastAsia="Calibri"/>
        </w:rPr>
      </w:pPr>
    </w:p>
    <w:p w:rsidRPr="00F81608" w:rsidR="00357C8A" w:rsidP="00B52D33" w:rsidRDefault="0016240D" w14:paraId="069CC953" w14:textId="5C3BFB41">
      <w:pPr>
        <w:rPr>
          <w:rFonts w:eastAsia="Calibri"/>
        </w:rPr>
      </w:pPr>
      <w:r>
        <w:rPr>
          <w:rFonts w:eastAsia="Calibri"/>
        </w:rPr>
        <w:t xml:space="preserve">17.  </w:t>
      </w:r>
      <w:r w:rsidRPr="0016240D" w:rsidR="00357C8A">
        <w:rPr>
          <w:rFonts w:eastAsia="Calibri"/>
          <w:u w:val="single"/>
        </w:rPr>
        <w:t>Reason(s) Display of OMB Expiration Date is Inappropriate</w:t>
      </w:r>
    </w:p>
    <w:p w:rsidR="0016240D" w:rsidP="00B52D33" w:rsidRDefault="0016240D" w14:paraId="447A8971" w14:textId="77777777">
      <w:pPr>
        <w:rPr>
          <w:rFonts w:eastAsia="Calibri"/>
        </w:rPr>
      </w:pPr>
    </w:p>
    <w:p w:rsidRPr="00F81608" w:rsidR="00400031" w:rsidP="00B52D33" w:rsidRDefault="00400031" w14:paraId="47E43212" w14:textId="29EEFCF4">
      <w:pPr>
        <w:rPr>
          <w:rFonts w:eastAsia="Calibri"/>
        </w:rPr>
      </w:pPr>
      <w:r w:rsidRPr="00F81608">
        <w:rPr>
          <w:rFonts w:eastAsia="Calibri"/>
        </w:rPr>
        <w:t>The OMB expiration dat</w:t>
      </w:r>
      <w:r w:rsidR="0016240D">
        <w:rPr>
          <w:rFonts w:eastAsia="Calibri"/>
        </w:rPr>
        <w:t>e</w:t>
      </w:r>
      <w:r w:rsidRPr="00F81608">
        <w:rPr>
          <w:rFonts w:eastAsia="Calibri"/>
        </w:rPr>
        <w:t xml:space="preserve"> will be displayed </w:t>
      </w:r>
      <w:r w:rsidR="0016240D">
        <w:rPr>
          <w:rFonts w:eastAsia="Calibri"/>
        </w:rPr>
        <w:t xml:space="preserve">as </w:t>
      </w:r>
      <w:r w:rsidRPr="00F81608">
        <w:rPr>
          <w:rFonts w:eastAsia="Calibri"/>
        </w:rPr>
        <w:t xml:space="preserve">required. </w:t>
      </w:r>
    </w:p>
    <w:p w:rsidR="0016240D" w:rsidP="00B52D33" w:rsidRDefault="0016240D" w14:paraId="54EB3FE7" w14:textId="77777777">
      <w:pPr>
        <w:rPr>
          <w:rFonts w:eastAsia="Calibri"/>
        </w:rPr>
      </w:pPr>
    </w:p>
    <w:p w:rsidRPr="00F81608" w:rsidR="00CE12A9" w:rsidP="00B52D33" w:rsidRDefault="0016240D" w14:paraId="1861A9DE" w14:textId="4C467D4E">
      <w:pPr>
        <w:rPr>
          <w:rFonts w:eastAsia="Calibri"/>
        </w:rPr>
      </w:pPr>
      <w:r>
        <w:rPr>
          <w:rFonts w:eastAsia="Calibri"/>
        </w:rPr>
        <w:t xml:space="preserve">18.  </w:t>
      </w:r>
      <w:r w:rsidRPr="0016240D" w:rsidR="00357C8A">
        <w:rPr>
          <w:rFonts w:eastAsia="Calibri"/>
          <w:u w:val="single"/>
        </w:rPr>
        <w:t>Exceptions to Certification for Paperwork Reduction Act Submissions</w:t>
      </w:r>
    </w:p>
    <w:p w:rsidR="0016240D" w:rsidP="00B52D33" w:rsidRDefault="0016240D" w14:paraId="4B0BF523" w14:textId="77777777">
      <w:pPr>
        <w:rPr>
          <w:rFonts w:eastAsia="Calibri"/>
        </w:rPr>
      </w:pPr>
    </w:p>
    <w:p w:rsidRPr="00F81608" w:rsidR="00544138" w:rsidP="00B52D33" w:rsidRDefault="007E59A8" w14:paraId="75BE6E81" w14:textId="474206CE">
      <w:pPr>
        <w:rPr>
          <w:rFonts w:eastAsia="Calibri"/>
        </w:rPr>
      </w:pPr>
      <w:r w:rsidRPr="00F81608">
        <w:rPr>
          <w:rFonts w:eastAsia="Calibri"/>
        </w:rPr>
        <w:t>There are no exceptions to the certification.</w:t>
      </w:r>
    </w:p>
    <w:sectPr w:rsidRPr="00F81608" w:rsidR="00544138" w:rsidSect="00912E87">
      <w:footerReference w:type="even" r:id="rId9"/>
      <w:footerReference w:type="default" r:id="rId10"/>
      <w:pgSz w:w="12240" w:h="15840" w:code="1"/>
      <w:pgMar w:top="1440"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0BC5F" w14:textId="77777777" w:rsidR="0040755D" w:rsidRDefault="0040755D">
      <w:r>
        <w:separator/>
      </w:r>
    </w:p>
  </w:endnote>
  <w:endnote w:type="continuationSeparator" w:id="0">
    <w:p w14:paraId="3610553C" w14:textId="77777777" w:rsidR="0040755D" w:rsidRDefault="0040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51FC" w14:textId="77777777" w:rsidR="002F25D1" w:rsidRDefault="002F25D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D8F389" w14:textId="77777777" w:rsidR="002F25D1" w:rsidRDefault="002F2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A2F3" w14:textId="77777777" w:rsidR="002F25D1" w:rsidRDefault="002F25D1" w:rsidP="00F50F2A">
    <w:pPr>
      <w:pStyle w:val="Footer"/>
      <w:framePr w:wrap="around" w:vAnchor="text" w:hAnchor="margin" w:xAlign="center" w:y="46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B3539B1" w14:textId="642A0AF1" w:rsidR="002F25D1" w:rsidRDefault="002F25D1">
    <w:pPr>
      <w:pStyle w:val="Footer"/>
    </w:pPr>
  </w:p>
  <w:p w14:paraId="3BF2B364" w14:textId="747029A0" w:rsidR="00F50F2A" w:rsidRDefault="00F50F2A">
    <w:pPr>
      <w:pStyle w:val="Footer"/>
    </w:pPr>
  </w:p>
  <w:p w14:paraId="0DF9E5B3" w14:textId="46EDC032" w:rsidR="00FD0C3F" w:rsidRDefault="00FD0C3F">
    <w:pPr>
      <w:pStyle w:val="Footer"/>
    </w:pPr>
  </w:p>
  <w:p w14:paraId="29F31289" w14:textId="77777777" w:rsidR="00FD0C3F" w:rsidRDefault="00FD0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5CF76" w14:textId="77777777" w:rsidR="0040755D" w:rsidRPr="008A479D" w:rsidRDefault="0040755D" w:rsidP="008A479D">
      <w:pPr>
        <w:pStyle w:val="Footer"/>
      </w:pPr>
    </w:p>
  </w:footnote>
  <w:footnote w:type="continuationSeparator" w:id="0">
    <w:p w14:paraId="0A9142F1" w14:textId="77777777" w:rsidR="0040755D" w:rsidRDefault="0040755D">
      <w:r>
        <w:continuationSeparator/>
      </w:r>
    </w:p>
  </w:footnote>
  <w:footnote w:id="1">
    <w:p w14:paraId="70AF770A" w14:textId="0FA9F5D6" w:rsidR="000A521C" w:rsidRDefault="000A521C" w:rsidP="000A521C">
      <w:pPr>
        <w:pStyle w:val="FootnoteText"/>
      </w:pPr>
      <w:r>
        <w:rPr>
          <w:rStyle w:val="FootnoteReference"/>
        </w:rPr>
        <w:footnoteRef/>
      </w:r>
      <w:r>
        <w:t xml:space="preserve"> See </w:t>
      </w:r>
      <w:r w:rsidR="009F14D6">
        <w:t>the guidance document</w:t>
      </w:r>
      <w:r>
        <w:t>, “</w:t>
      </w:r>
      <w:r w:rsidRPr="009F14D6">
        <w:rPr>
          <w:i/>
          <w:iCs/>
        </w:rPr>
        <w:t>Q7 Good Manufacturing Practice Guidance for Active Pharmaceutical Ingredients; Guidance for Industry</w:t>
      </w:r>
      <w:r>
        <w:t>” (September 2016).</w:t>
      </w:r>
      <w:r w:rsidR="009F14D6">
        <w:t xml:space="preserve">  While we do not believe the guidance includes</w:t>
      </w:r>
      <w:r w:rsidR="00205D15">
        <w:t xml:space="preserve"> information collection beyond that already required by the regulations, we have adjusted our estimate to include this set of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0582"/>
    <w:multiLevelType w:val="hybridMultilevel"/>
    <w:tmpl w:val="19DECE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567B5"/>
    <w:multiLevelType w:val="hybridMultilevel"/>
    <w:tmpl w:val="8A8EDE40"/>
    <w:lvl w:ilvl="0" w:tplc="0409000F">
      <w:start w:val="1"/>
      <w:numFmt w:val="decimal"/>
      <w:lvlText w:val="%1."/>
      <w:lvlJc w:val="left"/>
      <w:pPr>
        <w:ind w:left="2430" w:hanging="360"/>
      </w:pPr>
    </w:lvl>
    <w:lvl w:ilvl="1" w:tplc="64408308">
      <w:start w:val="1"/>
      <w:numFmt w:val="lowerLetter"/>
      <w:lvlText w:val="%2."/>
      <w:lvlJc w:val="left"/>
      <w:pPr>
        <w:ind w:left="3150" w:hanging="360"/>
      </w:pPr>
      <w:rPr>
        <w:i w:val="0"/>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561967"/>
    <w:multiLevelType w:val="hybridMultilevel"/>
    <w:tmpl w:val="E15AC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E53765"/>
    <w:multiLevelType w:val="hybridMultilevel"/>
    <w:tmpl w:val="98C40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5357DB5"/>
    <w:multiLevelType w:val="hybridMultilevel"/>
    <w:tmpl w:val="3F9C93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D61D44"/>
    <w:multiLevelType w:val="hybridMultilevel"/>
    <w:tmpl w:val="EA50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658D0"/>
    <w:multiLevelType w:val="hybridMultilevel"/>
    <w:tmpl w:val="358CB0FA"/>
    <w:lvl w:ilvl="0" w:tplc="D9180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7D0FAC"/>
    <w:multiLevelType w:val="hybridMultilevel"/>
    <w:tmpl w:val="C914BC06"/>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76E81"/>
    <w:multiLevelType w:val="hybridMultilevel"/>
    <w:tmpl w:val="4C467FD0"/>
    <w:lvl w:ilvl="0" w:tplc="CF302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421A13"/>
    <w:multiLevelType w:val="hybridMultilevel"/>
    <w:tmpl w:val="21B2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13"/>
  </w:num>
  <w:num w:numId="4">
    <w:abstractNumId w:val="7"/>
  </w:num>
  <w:num w:numId="5">
    <w:abstractNumId w:val="16"/>
  </w:num>
  <w:num w:numId="6">
    <w:abstractNumId w:val="1"/>
  </w:num>
  <w:num w:numId="7">
    <w:abstractNumId w:val="4"/>
    <w:lvlOverride w:ilvl="0"/>
    <w:lvlOverride w:ilvl="1"/>
    <w:lvlOverride w:ilvl="2"/>
    <w:lvlOverride w:ilvl="3"/>
    <w:lvlOverride w:ilvl="4"/>
    <w:lvlOverride w:ilvl="5"/>
    <w:lvlOverride w:ilvl="6"/>
    <w:lvlOverride w:ilvl="7"/>
    <w:lvlOverride w:ilvl="8"/>
  </w:num>
  <w:num w:numId="8">
    <w:abstractNumId w:val="9"/>
  </w:num>
  <w:num w:numId="9">
    <w:abstractNumId w:val="11"/>
  </w:num>
  <w:num w:numId="10">
    <w:abstractNumId w:val="3"/>
  </w:num>
  <w:num w:numId="11">
    <w:abstractNumId w:val="5"/>
    <w:lvlOverride w:ilvl="0"/>
    <w:lvlOverride w:ilvl="1"/>
    <w:lvlOverride w:ilvl="2"/>
    <w:lvlOverride w:ilvl="3"/>
    <w:lvlOverride w:ilvl="4"/>
    <w:lvlOverride w:ilvl="5"/>
    <w:lvlOverride w:ilvl="6"/>
    <w:lvlOverride w:ilvl="7"/>
    <w:lvlOverride w:ilvl="8"/>
  </w:num>
  <w:num w:numId="12">
    <w:abstractNumId w:val="10"/>
  </w:num>
  <w:num w:numId="13">
    <w:abstractNumId w:val="0"/>
  </w:num>
  <w:num w:numId="14">
    <w:abstractNumId w:val="6"/>
  </w:num>
  <w:num w:numId="15">
    <w:abstractNumId w:val="14"/>
  </w:num>
  <w:num w:numId="16">
    <w:abstractNumId w:val="8"/>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0046F"/>
    <w:rsid w:val="00002958"/>
    <w:rsid w:val="00005D85"/>
    <w:rsid w:val="000065A3"/>
    <w:rsid w:val="000146F9"/>
    <w:rsid w:val="000204D6"/>
    <w:rsid w:val="00021D3D"/>
    <w:rsid w:val="00026444"/>
    <w:rsid w:val="00031A2C"/>
    <w:rsid w:val="00037708"/>
    <w:rsid w:val="00041B80"/>
    <w:rsid w:val="00042B93"/>
    <w:rsid w:val="00043C7F"/>
    <w:rsid w:val="000467A8"/>
    <w:rsid w:val="00046C7B"/>
    <w:rsid w:val="00047BFB"/>
    <w:rsid w:val="0005242A"/>
    <w:rsid w:val="000635F6"/>
    <w:rsid w:val="0006570F"/>
    <w:rsid w:val="00065F2D"/>
    <w:rsid w:val="00067C40"/>
    <w:rsid w:val="00067C5E"/>
    <w:rsid w:val="00075DE8"/>
    <w:rsid w:val="000819E2"/>
    <w:rsid w:val="00084675"/>
    <w:rsid w:val="0008507A"/>
    <w:rsid w:val="00087439"/>
    <w:rsid w:val="00096C40"/>
    <w:rsid w:val="000A521C"/>
    <w:rsid w:val="000B2D29"/>
    <w:rsid w:val="000C0705"/>
    <w:rsid w:val="000C1260"/>
    <w:rsid w:val="000C560C"/>
    <w:rsid w:val="000D080B"/>
    <w:rsid w:val="000D48FD"/>
    <w:rsid w:val="000D57FE"/>
    <w:rsid w:val="000D688D"/>
    <w:rsid w:val="000D79CC"/>
    <w:rsid w:val="000D7DED"/>
    <w:rsid w:val="000E07CB"/>
    <w:rsid w:val="000E1C64"/>
    <w:rsid w:val="000F33BB"/>
    <w:rsid w:val="000F7119"/>
    <w:rsid w:val="001006A6"/>
    <w:rsid w:val="00100739"/>
    <w:rsid w:val="00103909"/>
    <w:rsid w:val="0010493E"/>
    <w:rsid w:val="0010619C"/>
    <w:rsid w:val="001075D3"/>
    <w:rsid w:val="00107885"/>
    <w:rsid w:val="00110ACE"/>
    <w:rsid w:val="001125A5"/>
    <w:rsid w:val="00114FC4"/>
    <w:rsid w:val="00115893"/>
    <w:rsid w:val="0012329C"/>
    <w:rsid w:val="0013160F"/>
    <w:rsid w:val="0013434A"/>
    <w:rsid w:val="00134A81"/>
    <w:rsid w:val="00134FA7"/>
    <w:rsid w:val="00135F6F"/>
    <w:rsid w:val="00137950"/>
    <w:rsid w:val="00151549"/>
    <w:rsid w:val="00152F29"/>
    <w:rsid w:val="0016240D"/>
    <w:rsid w:val="00166285"/>
    <w:rsid w:val="00167256"/>
    <w:rsid w:val="00174D54"/>
    <w:rsid w:val="00174F6F"/>
    <w:rsid w:val="0017702C"/>
    <w:rsid w:val="00185270"/>
    <w:rsid w:val="001868DD"/>
    <w:rsid w:val="00186E8F"/>
    <w:rsid w:val="001A1B8F"/>
    <w:rsid w:val="001A2F34"/>
    <w:rsid w:val="001A3B5A"/>
    <w:rsid w:val="001B7CE9"/>
    <w:rsid w:val="001C113A"/>
    <w:rsid w:val="001D495A"/>
    <w:rsid w:val="001D4CE6"/>
    <w:rsid w:val="001E244C"/>
    <w:rsid w:val="001E5BDC"/>
    <w:rsid w:val="001E6161"/>
    <w:rsid w:val="001E75D6"/>
    <w:rsid w:val="001E76AE"/>
    <w:rsid w:val="001F1437"/>
    <w:rsid w:val="001F2C4A"/>
    <w:rsid w:val="001F4723"/>
    <w:rsid w:val="00205D15"/>
    <w:rsid w:val="00206799"/>
    <w:rsid w:val="002074FE"/>
    <w:rsid w:val="00214F6C"/>
    <w:rsid w:val="00221037"/>
    <w:rsid w:val="0022425B"/>
    <w:rsid w:val="002242B5"/>
    <w:rsid w:val="0022555D"/>
    <w:rsid w:val="002259EF"/>
    <w:rsid w:val="002332B9"/>
    <w:rsid w:val="00241C4A"/>
    <w:rsid w:val="00242ED1"/>
    <w:rsid w:val="002444BB"/>
    <w:rsid w:val="00254069"/>
    <w:rsid w:val="00261212"/>
    <w:rsid w:val="00262AFB"/>
    <w:rsid w:val="00266500"/>
    <w:rsid w:val="00270748"/>
    <w:rsid w:val="00270C40"/>
    <w:rsid w:val="00271419"/>
    <w:rsid w:val="002734E5"/>
    <w:rsid w:val="002746DB"/>
    <w:rsid w:val="00280CAF"/>
    <w:rsid w:val="00282A59"/>
    <w:rsid w:val="00282F09"/>
    <w:rsid w:val="0029020C"/>
    <w:rsid w:val="00291810"/>
    <w:rsid w:val="00294D62"/>
    <w:rsid w:val="00297532"/>
    <w:rsid w:val="00297FFD"/>
    <w:rsid w:val="002A1210"/>
    <w:rsid w:val="002A47D2"/>
    <w:rsid w:val="002A7FB5"/>
    <w:rsid w:val="002B2074"/>
    <w:rsid w:val="002B5A37"/>
    <w:rsid w:val="002C0F48"/>
    <w:rsid w:val="002C31FF"/>
    <w:rsid w:val="002C5D74"/>
    <w:rsid w:val="002D14D8"/>
    <w:rsid w:val="002D4799"/>
    <w:rsid w:val="002E3FA4"/>
    <w:rsid w:val="002E53A5"/>
    <w:rsid w:val="002E64B8"/>
    <w:rsid w:val="002E6834"/>
    <w:rsid w:val="002F1A89"/>
    <w:rsid w:val="002F25D1"/>
    <w:rsid w:val="002F6460"/>
    <w:rsid w:val="003113FF"/>
    <w:rsid w:val="00312622"/>
    <w:rsid w:val="003158F9"/>
    <w:rsid w:val="00322142"/>
    <w:rsid w:val="0032277F"/>
    <w:rsid w:val="0033563F"/>
    <w:rsid w:val="00336B69"/>
    <w:rsid w:val="0034011C"/>
    <w:rsid w:val="0034302B"/>
    <w:rsid w:val="003431F7"/>
    <w:rsid w:val="003459DB"/>
    <w:rsid w:val="00350450"/>
    <w:rsid w:val="00350523"/>
    <w:rsid w:val="0035189D"/>
    <w:rsid w:val="00352640"/>
    <w:rsid w:val="00355764"/>
    <w:rsid w:val="00355B62"/>
    <w:rsid w:val="00356FD4"/>
    <w:rsid w:val="003574DA"/>
    <w:rsid w:val="00357C8A"/>
    <w:rsid w:val="00367EC4"/>
    <w:rsid w:val="003729E6"/>
    <w:rsid w:val="003740BC"/>
    <w:rsid w:val="0037456B"/>
    <w:rsid w:val="003801A3"/>
    <w:rsid w:val="00380CA3"/>
    <w:rsid w:val="00383D90"/>
    <w:rsid w:val="003870AE"/>
    <w:rsid w:val="0039186C"/>
    <w:rsid w:val="00392C8E"/>
    <w:rsid w:val="00397081"/>
    <w:rsid w:val="003A1A27"/>
    <w:rsid w:val="003A3087"/>
    <w:rsid w:val="003A50CC"/>
    <w:rsid w:val="003A6703"/>
    <w:rsid w:val="003A7891"/>
    <w:rsid w:val="003B42B3"/>
    <w:rsid w:val="003B5AD0"/>
    <w:rsid w:val="003B5CD9"/>
    <w:rsid w:val="003B6384"/>
    <w:rsid w:val="003B6A70"/>
    <w:rsid w:val="003C0FE2"/>
    <w:rsid w:val="003C4EBB"/>
    <w:rsid w:val="003C5909"/>
    <w:rsid w:val="003C7F46"/>
    <w:rsid w:val="003D1531"/>
    <w:rsid w:val="003D350B"/>
    <w:rsid w:val="003D5BB6"/>
    <w:rsid w:val="003D7E11"/>
    <w:rsid w:val="003E4EC6"/>
    <w:rsid w:val="003E527E"/>
    <w:rsid w:val="003E553E"/>
    <w:rsid w:val="003E7078"/>
    <w:rsid w:val="003F1552"/>
    <w:rsid w:val="003F3608"/>
    <w:rsid w:val="003F3DF5"/>
    <w:rsid w:val="003F44CF"/>
    <w:rsid w:val="003F48C4"/>
    <w:rsid w:val="003F6884"/>
    <w:rsid w:val="003F73B8"/>
    <w:rsid w:val="00400031"/>
    <w:rsid w:val="0040297E"/>
    <w:rsid w:val="00404261"/>
    <w:rsid w:val="0040755D"/>
    <w:rsid w:val="00411D11"/>
    <w:rsid w:val="00414494"/>
    <w:rsid w:val="00414860"/>
    <w:rsid w:val="00415E23"/>
    <w:rsid w:val="0041670D"/>
    <w:rsid w:val="00420ACA"/>
    <w:rsid w:val="00422E68"/>
    <w:rsid w:val="00423272"/>
    <w:rsid w:val="00424061"/>
    <w:rsid w:val="00425192"/>
    <w:rsid w:val="0042587A"/>
    <w:rsid w:val="00431437"/>
    <w:rsid w:val="00442A3C"/>
    <w:rsid w:val="00443969"/>
    <w:rsid w:val="00446FDD"/>
    <w:rsid w:val="00447D74"/>
    <w:rsid w:val="00450101"/>
    <w:rsid w:val="00450A74"/>
    <w:rsid w:val="004546BF"/>
    <w:rsid w:val="00463547"/>
    <w:rsid w:val="00465350"/>
    <w:rsid w:val="00475CC4"/>
    <w:rsid w:val="00476B91"/>
    <w:rsid w:val="004846BF"/>
    <w:rsid w:val="00487DF8"/>
    <w:rsid w:val="00490998"/>
    <w:rsid w:val="00494912"/>
    <w:rsid w:val="004A5323"/>
    <w:rsid w:val="004A5A99"/>
    <w:rsid w:val="004A7DCE"/>
    <w:rsid w:val="004C0D40"/>
    <w:rsid w:val="004C6979"/>
    <w:rsid w:val="004C6FDD"/>
    <w:rsid w:val="004C7232"/>
    <w:rsid w:val="004C782D"/>
    <w:rsid w:val="004D13A2"/>
    <w:rsid w:val="004D3E7A"/>
    <w:rsid w:val="004D4C23"/>
    <w:rsid w:val="004D5FAF"/>
    <w:rsid w:val="004F45F2"/>
    <w:rsid w:val="004F594B"/>
    <w:rsid w:val="004F61E1"/>
    <w:rsid w:val="004F7F47"/>
    <w:rsid w:val="005031A5"/>
    <w:rsid w:val="00504E93"/>
    <w:rsid w:val="00506985"/>
    <w:rsid w:val="00510E0D"/>
    <w:rsid w:val="005136AD"/>
    <w:rsid w:val="00513EF9"/>
    <w:rsid w:val="005160FA"/>
    <w:rsid w:val="0052261E"/>
    <w:rsid w:val="00526B8E"/>
    <w:rsid w:val="0053380B"/>
    <w:rsid w:val="00543194"/>
    <w:rsid w:val="00544138"/>
    <w:rsid w:val="00550AC9"/>
    <w:rsid w:val="00554DB1"/>
    <w:rsid w:val="00554E34"/>
    <w:rsid w:val="00554F57"/>
    <w:rsid w:val="005602C6"/>
    <w:rsid w:val="00561877"/>
    <w:rsid w:val="005624B0"/>
    <w:rsid w:val="00565609"/>
    <w:rsid w:val="0056588C"/>
    <w:rsid w:val="005741A2"/>
    <w:rsid w:val="00580FB9"/>
    <w:rsid w:val="00581987"/>
    <w:rsid w:val="00584583"/>
    <w:rsid w:val="00590E90"/>
    <w:rsid w:val="00590EEB"/>
    <w:rsid w:val="005A4099"/>
    <w:rsid w:val="005B504B"/>
    <w:rsid w:val="005C38B2"/>
    <w:rsid w:val="005C5029"/>
    <w:rsid w:val="005C55C2"/>
    <w:rsid w:val="005C698F"/>
    <w:rsid w:val="005C71CA"/>
    <w:rsid w:val="005C745C"/>
    <w:rsid w:val="005D14F7"/>
    <w:rsid w:val="005D4DF5"/>
    <w:rsid w:val="005D51E2"/>
    <w:rsid w:val="005D65DD"/>
    <w:rsid w:val="005E3E87"/>
    <w:rsid w:val="005E42BA"/>
    <w:rsid w:val="005F01C9"/>
    <w:rsid w:val="005F31EA"/>
    <w:rsid w:val="005F3642"/>
    <w:rsid w:val="006016AE"/>
    <w:rsid w:val="006023FF"/>
    <w:rsid w:val="0060489E"/>
    <w:rsid w:val="00607960"/>
    <w:rsid w:val="00610E26"/>
    <w:rsid w:val="006114BC"/>
    <w:rsid w:val="00611D6B"/>
    <w:rsid w:val="006150A0"/>
    <w:rsid w:val="00624FD0"/>
    <w:rsid w:val="00625CFD"/>
    <w:rsid w:val="00627148"/>
    <w:rsid w:val="00627C2B"/>
    <w:rsid w:val="006326EC"/>
    <w:rsid w:val="006339FF"/>
    <w:rsid w:val="006403E6"/>
    <w:rsid w:val="0064476C"/>
    <w:rsid w:val="00650BF7"/>
    <w:rsid w:val="00651E03"/>
    <w:rsid w:val="00656738"/>
    <w:rsid w:val="0065703D"/>
    <w:rsid w:val="00663A42"/>
    <w:rsid w:val="006641C7"/>
    <w:rsid w:val="006705EA"/>
    <w:rsid w:val="00670BE2"/>
    <w:rsid w:val="0068036E"/>
    <w:rsid w:val="00687824"/>
    <w:rsid w:val="006916D9"/>
    <w:rsid w:val="006A0872"/>
    <w:rsid w:val="006A0E05"/>
    <w:rsid w:val="006A26C6"/>
    <w:rsid w:val="006A465A"/>
    <w:rsid w:val="006A60F1"/>
    <w:rsid w:val="006A7D5D"/>
    <w:rsid w:val="006B4445"/>
    <w:rsid w:val="006C134D"/>
    <w:rsid w:val="006D0C12"/>
    <w:rsid w:val="006D1656"/>
    <w:rsid w:val="006D5D57"/>
    <w:rsid w:val="006E2538"/>
    <w:rsid w:val="006E302F"/>
    <w:rsid w:val="006E3B66"/>
    <w:rsid w:val="006F190B"/>
    <w:rsid w:val="006F4D6D"/>
    <w:rsid w:val="006F4E81"/>
    <w:rsid w:val="00704410"/>
    <w:rsid w:val="00705086"/>
    <w:rsid w:val="00705800"/>
    <w:rsid w:val="00707316"/>
    <w:rsid w:val="00710880"/>
    <w:rsid w:val="007127E5"/>
    <w:rsid w:val="007129C4"/>
    <w:rsid w:val="00716E66"/>
    <w:rsid w:val="00717EA5"/>
    <w:rsid w:val="00721DFA"/>
    <w:rsid w:val="00722001"/>
    <w:rsid w:val="00723FCA"/>
    <w:rsid w:val="00725293"/>
    <w:rsid w:val="00732566"/>
    <w:rsid w:val="0073572C"/>
    <w:rsid w:val="00735D0A"/>
    <w:rsid w:val="00737C71"/>
    <w:rsid w:val="00750FFB"/>
    <w:rsid w:val="00751E66"/>
    <w:rsid w:val="00754497"/>
    <w:rsid w:val="007815FC"/>
    <w:rsid w:val="0078418A"/>
    <w:rsid w:val="00784A75"/>
    <w:rsid w:val="00787C39"/>
    <w:rsid w:val="007915D0"/>
    <w:rsid w:val="00792947"/>
    <w:rsid w:val="00795DF3"/>
    <w:rsid w:val="007A19E0"/>
    <w:rsid w:val="007A373C"/>
    <w:rsid w:val="007A4467"/>
    <w:rsid w:val="007B225C"/>
    <w:rsid w:val="007B465E"/>
    <w:rsid w:val="007C46C3"/>
    <w:rsid w:val="007C6B29"/>
    <w:rsid w:val="007C6BDD"/>
    <w:rsid w:val="007C75B1"/>
    <w:rsid w:val="007D3DFC"/>
    <w:rsid w:val="007E2F07"/>
    <w:rsid w:val="007E3F0F"/>
    <w:rsid w:val="007E59A8"/>
    <w:rsid w:val="007E695A"/>
    <w:rsid w:val="007E7834"/>
    <w:rsid w:val="007F1AA8"/>
    <w:rsid w:val="007F4BA4"/>
    <w:rsid w:val="007F7779"/>
    <w:rsid w:val="00800368"/>
    <w:rsid w:val="00804D84"/>
    <w:rsid w:val="0080776D"/>
    <w:rsid w:val="00810145"/>
    <w:rsid w:val="00810429"/>
    <w:rsid w:val="008108FA"/>
    <w:rsid w:val="00810FF1"/>
    <w:rsid w:val="00822336"/>
    <w:rsid w:val="00822B52"/>
    <w:rsid w:val="00823DFA"/>
    <w:rsid w:val="00833C08"/>
    <w:rsid w:val="0083567A"/>
    <w:rsid w:val="00842DB7"/>
    <w:rsid w:val="00843752"/>
    <w:rsid w:val="0084479F"/>
    <w:rsid w:val="008455FC"/>
    <w:rsid w:val="00847F78"/>
    <w:rsid w:val="00851576"/>
    <w:rsid w:val="008567D9"/>
    <w:rsid w:val="0085725E"/>
    <w:rsid w:val="00863091"/>
    <w:rsid w:val="008734C8"/>
    <w:rsid w:val="00873D4F"/>
    <w:rsid w:val="0087509F"/>
    <w:rsid w:val="008755C7"/>
    <w:rsid w:val="00875BC3"/>
    <w:rsid w:val="00880B82"/>
    <w:rsid w:val="00880DAC"/>
    <w:rsid w:val="0088228C"/>
    <w:rsid w:val="00885B09"/>
    <w:rsid w:val="00887C16"/>
    <w:rsid w:val="00892400"/>
    <w:rsid w:val="00892FE7"/>
    <w:rsid w:val="00895E86"/>
    <w:rsid w:val="008A209D"/>
    <w:rsid w:val="008A22BB"/>
    <w:rsid w:val="008A479D"/>
    <w:rsid w:val="008A4D44"/>
    <w:rsid w:val="008A547C"/>
    <w:rsid w:val="008B035D"/>
    <w:rsid w:val="008B0E29"/>
    <w:rsid w:val="008B0EFA"/>
    <w:rsid w:val="008B30AB"/>
    <w:rsid w:val="008C08E9"/>
    <w:rsid w:val="008C3BB8"/>
    <w:rsid w:val="008C4B65"/>
    <w:rsid w:val="008D252A"/>
    <w:rsid w:val="008E05D9"/>
    <w:rsid w:val="008E5F55"/>
    <w:rsid w:val="008E7C6A"/>
    <w:rsid w:val="008F3E93"/>
    <w:rsid w:val="009009E7"/>
    <w:rsid w:val="0090302A"/>
    <w:rsid w:val="00903DB0"/>
    <w:rsid w:val="00905DEF"/>
    <w:rsid w:val="00906056"/>
    <w:rsid w:val="009072AC"/>
    <w:rsid w:val="009122AE"/>
    <w:rsid w:val="00912E87"/>
    <w:rsid w:val="00913B43"/>
    <w:rsid w:val="009219E9"/>
    <w:rsid w:val="00923181"/>
    <w:rsid w:val="00930203"/>
    <w:rsid w:val="009311D2"/>
    <w:rsid w:val="009311E6"/>
    <w:rsid w:val="00931275"/>
    <w:rsid w:val="0093249C"/>
    <w:rsid w:val="009325D6"/>
    <w:rsid w:val="00936AC7"/>
    <w:rsid w:val="009375E8"/>
    <w:rsid w:val="0094459C"/>
    <w:rsid w:val="00946BBD"/>
    <w:rsid w:val="00953B64"/>
    <w:rsid w:val="00954A4D"/>
    <w:rsid w:val="009646A7"/>
    <w:rsid w:val="009677B1"/>
    <w:rsid w:val="00970A88"/>
    <w:rsid w:val="00977125"/>
    <w:rsid w:val="0097762A"/>
    <w:rsid w:val="0098172D"/>
    <w:rsid w:val="009818A1"/>
    <w:rsid w:val="0098231E"/>
    <w:rsid w:val="009A1674"/>
    <w:rsid w:val="009A4DAA"/>
    <w:rsid w:val="009A6074"/>
    <w:rsid w:val="009B38BE"/>
    <w:rsid w:val="009B4DF2"/>
    <w:rsid w:val="009B5BD3"/>
    <w:rsid w:val="009C212E"/>
    <w:rsid w:val="009C32D6"/>
    <w:rsid w:val="009C684F"/>
    <w:rsid w:val="009C6857"/>
    <w:rsid w:val="009C6F0F"/>
    <w:rsid w:val="009D028A"/>
    <w:rsid w:val="009D074C"/>
    <w:rsid w:val="009D4200"/>
    <w:rsid w:val="009D6E73"/>
    <w:rsid w:val="009E7111"/>
    <w:rsid w:val="009E7E3C"/>
    <w:rsid w:val="009F0B48"/>
    <w:rsid w:val="009F14D6"/>
    <w:rsid w:val="009F1F1D"/>
    <w:rsid w:val="009F2B4F"/>
    <w:rsid w:val="009F3C63"/>
    <w:rsid w:val="009F66B5"/>
    <w:rsid w:val="00A00E3B"/>
    <w:rsid w:val="00A02F10"/>
    <w:rsid w:val="00A10495"/>
    <w:rsid w:val="00A1060C"/>
    <w:rsid w:val="00A16221"/>
    <w:rsid w:val="00A20A7D"/>
    <w:rsid w:val="00A26F74"/>
    <w:rsid w:val="00A35D42"/>
    <w:rsid w:val="00A46CCF"/>
    <w:rsid w:val="00A506DE"/>
    <w:rsid w:val="00A51B42"/>
    <w:rsid w:val="00A53451"/>
    <w:rsid w:val="00A6282C"/>
    <w:rsid w:val="00A65B77"/>
    <w:rsid w:val="00A70426"/>
    <w:rsid w:val="00A707CC"/>
    <w:rsid w:val="00A71410"/>
    <w:rsid w:val="00A842F4"/>
    <w:rsid w:val="00A91E9A"/>
    <w:rsid w:val="00A93ED9"/>
    <w:rsid w:val="00A96221"/>
    <w:rsid w:val="00AC0AD3"/>
    <w:rsid w:val="00AC230D"/>
    <w:rsid w:val="00AC2DBB"/>
    <w:rsid w:val="00AC6A99"/>
    <w:rsid w:val="00AD4AC8"/>
    <w:rsid w:val="00AD55F9"/>
    <w:rsid w:val="00AD5CFB"/>
    <w:rsid w:val="00AD6048"/>
    <w:rsid w:val="00AF3CD7"/>
    <w:rsid w:val="00B02516"/>
    <w:rsid w:val="00B055EF"/>
    <w:rsid w:val="00B06B5B"/>
    <w:rsid w:val="00B070A6"/>
    <w:rsid w:val="00B1003B"/>
    <w:rsid w:val="00B2290A"/>
    <w:rsid w:val="00B23769"/>
    <w:rsid w:val="00B24AAD"/>
    <w:rsid w:val="00B3702A"/>
    <w:rsid w:val="00B41789"/>
    <w:rsid w:val="00B42D87"/>
    <w:rsid w:val="00B44404"/>
    <w:rsid w:val="00B517F3"/>
    <w:rsid w:val="00B529C0"/>
    <w:rsid w:val="00B52D33"/>
    <w:rsid w:val="00B53908"/>
    <w:rsid w:val="00B81808"/>
    <w:rsid w:val="00B83D9A"/>
    <w:rsid w:val="00B86DFA"/>
    <w:rsid w:val="00B936D0"/>
    <w:rsid w:val="00B9516A"/>
    <w:rsid w:val="00BA266D"/>
    <w:rsid w:val="00BB15FB"/>
    <w:rsid w:val="00BD0C07"/>
    <w:rsid w:val="00BD3D5B"/>
    <w:rsid w:val="00BD405E"/>
    <w:rsid w:val="00BD673C"/>
    <w:rsid w:val="00BE3600"/>
    <w:rsid w:val="00BE3BA8"/>
    <w:rsid w:val="00BF3871"/>
    <w:rsid w:val="00BF5245"/>
    <w:rsid w:val="00C01F6F"/>
    <w:rsid w:val="00C041EA"/>
    <w:rsid w:val="00C05ED5"/>
    <w:rsid w:val="00C137A7"/>
    <w:rsid w:val="00C13BBD"/>
    <w:rsid w:val="00C149AB"/>
    <w:rsid w:val="00C16929"/>
    <w:rsid w:val="00C17667"/>
    <w:rsid w:val="00C20690"/>
    <w:rsid w:val="00C36020"/>
    <w:rsid w:val="00C40694"/>
    <w:rsid w:val="00C40E70"/>
    <w:rsid w:val="00C41FAA"/>
    <w:rsid w:val="00C479BF"/>
    <w:rsid w:val="00C5124B"/>
    <w:rsid w:val="00C56FE9"/>
    <w:rsid w:val="00C6288B"/>
    <w:rsid w:val="00C66BEE"/>
    <w:rsid w:val="00C70542"/>
    <w:rsid w:val="00C75CBF"/>
    <w:rsid w:val="00C80F16"/>
    <w:rsid w:val="00C82C29"/>
    <w:rsid w:val="00C84557"/>
    <w:rsid w:val="00C854F3"/>
    <w:rsid w:val="00CA0713"/>
    <w:rsid w:val="00CA24C2"/>
    <w:rsid w:val="00CA24F2"/>
    <w:rsid w:val="00CA264F"/>
    <w:rsid w:val="00CA4252"/>
    <w:rsid w:val="00CA4808"/>
    <w:rsid w:val="00CB15D6"/>
    <w:rsid w:val="00CB2896"/>
    <w:rsid w:val="00CB5385"/>
    <w:rsid w:val="00CC2894"/>
    <w:rsid w:val="00CD08FD"/>
    <w:rsid w:val="00CD77C3"/>
    <w:rsid w:val="00CD7F7F"/>
    <w:rsid w:val="00CE112C"/>
    <w:rsid w:val="00CE12A9"/>
    <w:rsid w:val="00CE2779"/>
    <w:rsid w:val="00CE6042"/>
    <w:rsid w:val="00CF2511"/>
    <w:rsid w:val="00CF55D4"/>
    <w:rsid w:val="00D019F2"/>
    <w:rsid w:val="00D05531"/>
    <w:rsid w:val="00D175F5"/>
    <w:rsid w:val="00D20206"/>
    <w:rsid w:val="00D26009"/>
    <w:rsid w:val="00D30BE7"/>
    <w:rsid w:val="00D57C66"/>
    <w:rsid w:val="00D608DA"/>
    <w:rsid w:val="00D664DA"/>
    <w:rsid w:val="00D730BF"/>
    <w:rsid w:val="00D76450"/>
    <w:rsid w:val="00D84275"/>
    <w:rsid w:val="00D8518B"/>
    <w:rsid w:val="00D852F4"/>
    <w:rsid w:val="00D86640"/>
    <w:rsid w:val="00D9409B"/>
    <w:rsid w:val="00D96654"/>
    <w:rsid w:val="00DA6F42"/>
    <w:rsid w:val="00DB0F42"/>
    <w:rsid w:val="00DB1110"/>
    <w:rsid w:val="00DB1433"/>
    <w:rsid w:val="00DB3730"/>
    <w:rsid w:val="00DC371B"/>
    <w:rsid w:val="00DC3788"/>
    <w:rsid w:val="00DC76C7"/>
    <w:rsid w:val="00DD09F5"/>
    <w:rsid w:val="00DD0E02"/>
    <w:rsid w:val="00DD4201"/>
    <w:rsid w:val="00DD5E9F"/>
    <w:rsid w:val="00DE5711"/>
    <w:rsid w:val="00DE6038"/>
    <w:rsid w:val="00DE6690"/>
    <w:rsid w:val="00DE6F7F"/>
    <w:rsid w:val="00DF64DE"/>
    <w:rsid w:val="00DF6921"/>
    <w:rsid w:val="00DF6ED4"/>
    <w:rsid w:val="00E00EA0"/>
    <w:rsid w:val="00E021CB"/>
    <w:rsid w:val="00E02EE7"/>
    <w:rsid w:val="00E1319F"/>
    <w:rsid w:val="00E138F1"/>
    <w:rsid w:val="00E1772F"/>
    <w:rsid w:val="00E20EC6"/>
    <w:rsid w:val="00E2309D"/>
    <w:rsid w:val="00E26758"/>
    <w:rsid w:val="00E27550"/>
    <w:rsid w:val="00E32041"/>
    <w:rsid w:val="00E32A01"/>
    <w:rsid w:val="00E4357B"/>
    <w:rsid w:val="00E443A7"/>
    <w:rsid w:val="00E45904"/>
    <w:rsid w:val="00E46C78"/>
    <w:rsid w:val="00E622D6"/>
    <w:rsid w:val="00E63DE5"/>
    <w:rsid w:val="00E647AF"/>
    <w:rsid w:val="00E647C7"/>
    <w:rsid w:val="00E65A37"/>
    <w:rsid w:val="00E65EF7"/>
    <w:rsid w:val="00E70F14"/>
    <w:rsid w:val="00E7475A"/>
    <w:rsid w:val="00E77B48"/>
    <w:rsid w:val="00E82FAE"/>
    <w:rsid w:val="00E857FB"/>
    <w:rsid w:val="00E91799"/>
    <w:rsid w:val="00E9675B"/>
    <w:rsid w:val="00E96BDA"/>
    <w:rsid w:val="00E97DF8"/>
    <w:rsid w:val="00EA21FE"/>
    <w:rsid w:val="00EA34E3"/>
    <w:rsid w:val="00EA4222"/>
    <w:rsid w:val="00EB7538"/>
    <w:rsid w:val="00EB7EB6"/>
    <w:rsid w:val="00EC1868"/>
    <w:rsid w:val="00ED10BD"/>
    <w:rsid w:val="00EE3C67"/>
    <w:rsid w:val="00EE5645"/>
    <w:rsid w:val="00EE6468"/>
    <w:rsid w:val="00EF6AFB"/>
    <w:rsid w:val="00F03EF0"/>
    <w:rsid w:val="00F1299B"/>
    <w:rsid w:val="00F13BDD"/>
    <w:rsid w:val="00F207A4"/>
    <w:rsid w:val="00F2137C"/>
    <w:rsid w:val="00F24521"/>
    <w:rsid w:val="00F25173"/>
    <w:rsid w:val="00F302B1"/>
    <w:rsid w:val="00F31AB9"/>
    <w:rsid w:val="00F355AC"/>
    <w:rsid w:val="00F35FE5"/>
    <w:rsid w:val="00F40CF7"/>
    <w:rsid w:val="00F44194"/>
    <w:rsid w:val="00F44434"/>
    <w:rsid w:val="00F50F2A"/>
    <w:rsid w:val="00F57357"/>
    <w:rsid w:val="00F6175A"/>
    <w:rsid w:val="00F620E7"/>
    <w:rsid w:val="00F71A5A"/>
    <w:rsid w:val="00F73713"/>
    <w:rsid w:val="00F73A1A"/>
    <w:rsid w:val="00F74980"/>
    <w:rsid w:val="00F7547D"/>
    <w:rsid w:val="00F769E0"/>
    <w:rsid w:val="00F81608"/>
    <w:rsid w:val="00F83549"/>
    <w:rsid w:val="00F940A7"/>
    <w:rsid w:val="00F9615B"/>
    <w:rsid w:val="00F978D2"/>
    <w:rsid w:val="00FA4716"/>
    <w:rsid w:val="00FA4A46"/>
    <w:rsid w:val="00FA75FE"/>
    <w:rsid w:val="00FB0241"/>
    <w:rsid w:val="00FB1032"/>
    <w:rsid w:val="00FB2DA2"/>
    <w:rsid w:val="00FB39BC"/>
    <w:rsid w:val="00FB6A53"/>
    <w:rsid w:val="00FC11CA"/>
    <w:rsid w:val="00FC6BDE"/>
    <w:rsid w:val="00FD0C3F"/>
    <w:rsid w:val="00FD30F8"/>
    <w:rsid w:val="00FD6F2F"/>
    <w:rsid w:val="00FE4EC1"/>
    <w:rsid w:val="00FE545F"/>
    <w:rsid w:val="00FE61E3"/>
    <w:rsid w:val="00FE6DE8"/>
    <w:rsid w:val="00FF6138"/>
    <w:rsid w:val="00FF6FE1"/>
    <w:rsid w:val="00FF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1DF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CE12A9"/>
    <w:rPr>
      <w:sz w:val="16"/>
      <w:szCs w:val="16"/>
    </w:rPr>
  </w:style>
  <w:style w:type="paragraph" w:styleId="CommentText">
    <w:name w:val="annotation text"/>
    <w:basedOn w:val="Normal"/>
    <w:link w:val="CommentTextChar"/>
    <w:uiPriority w:val="99"/>
    <w:rsid w:val="00CE12A9"/>
    <w:rPr>
      <w:sz w:val="20"/>
      <w:szCs w:val="20"/>
    </w:rPr>
  </w:style>
  <w:style w:type="character" w:customStyle="1" w:styleId="CommentTextChar">
    <w:name w:val="Comment Text Char"/>
    <w:basedOn w:val="DefaultParagraphFont"/>
    <w:link w:val="CommentText"/>
    <w:uiPriority w:val="99"/>
    <w:rsid w:val="00CE12A9"/>
  </w:style>
  <w:style w:type="paragraph" w:styleId="CommentSubject">
    <w:name w:val="annotation subject"/>
    <w:basedOn w:val="CommentText"/>
    <w:next w:val="CommentText"/>
    <w:link w:val="CommentSubjectChar"/>
    <w:rsid w:val="00CE12A9"/>
    <w:rPr>
      <w:b/>
      <w:bCs/>
    </w:rPr>
  </w:style>
  <w:style w:type="character" w:customStyle="1" w:styleId="CommentSubjectChar">
    <w:name w:val="Comment Subject Char"/>
    <w:link w:val="CommentSubject"/>
    <w:rsid w:val="00CE12A9"/>
    <w:rPr>
      <w:b/>
      <w:bCs/>
    </w:rPr>
  </w:style>
  <w:style w:type="paragraph" w:styleId="FootnoteText">
    <w:name w:val="footnote text"/>
    <w:basedOn w:val="Normal"/>
    <w:link w:val="FootnoteTextChar"/>
    <w:rsid w:val="00174F6F"/>
    <w:rPr>
      <w:sz w:val="20"/>
      <w:szCs w:val="20"/>
    </w:rPr>
  </w:style>
  <w:style w:type="character" w:customStyle="1" w:styleId="FootnoteTextChar">
    <w:name w:val="Footnote Text Char"/>
    <w:basedOn w:val="DefaultParagraphFont"/>
    <w:link w:val="FootnoteText"/>
    <w:rsid w:val="00174F6F"/>
  </w:style>
  <w:style w:type="character" w:styleId="FootnoteReference">
    <w:name w:val="footnote reference"/>
    <w:rsid w:val="00174F6F"/>
    <w:rPr>
      <w:vertAlign w:val="superscript"/>
    </w:rPr>
  </w:style>
  <w:style w:type="paragraph" w:styleId="BodyText">
    <w:name w:val="Body Text"/>
    <w:basedOn w:val="Normal"/>
    <w:link w:val="BodyTextChar"/>
    <w:rsid w:val="00723FCA"/>
    <w:pPr>
      <w:spacing w:after="120"/>
    </w:pPr>
  </w:style>
  <w:style w:type="character" w:customStyle="1" w:styleId="BodyTextChar">
    <w:name w:val="Body Text Char"/>
    <w:link w:val="BodyText"/>
    <w:rsid w:val="00723FCA"/>
    <w:rPr>
      <w:sz w:val="24"/>
      <w:szCs w:val="24"/>
    </w:rPr>
  </w:style>
  <w:style w:type="paragraph" w:customStyle="1" w:styleId="TableParagraph">
    <w:name w:val="Table Paragraph"/>
    <w:basedOn w:val="Normal"/>
    <w:uiPriority w:val="1"/>
    <w:qFormat/>
    <w:rsid w:val="005D51E2"/>
    <w:pPr>
      <w:widowControl w:val="0"/>
    </w:pPr>
    <w:rPr>
      <w:rFonts w:ascii="Calibri" w:eastAsia="Calibri" w:hAnsi="Calibri"/>
      <w:sz w:val="22"/>
      <w:szCs w:val="22"/>
    </w:rPr>
  </w:style>
  <w:style w:type="paragraph" w:styleId="Revision">
    <w:name w:val="Revision"/>
    <w:hidden/>
    <w:uiPriority w:val="99"/>
    <w:semiHidden/>
    <w:rsid w:val="000F33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3932">
      <w:bodyDiv w:val="1"/>
      <w:marLeft w:val="0"/>
      <w:marRight w:val="0"/>
      <w:marTop w:val="0"/>
      <w:marBottom w:val="0"/>
      <w:divBdr>
        <w:top w:val="none" w:sz="0" w:space="0" w:color="auto"/>
        <w:left w:val="none" w:sz="0" w:space="0" w:color="auto"/>
        <w:bottom w:val="none" w:sz="0" w:space="0" w:color="auto"/>
        <w:right w:val="none" w:sz="0" w:space="0" w:color="auto"/>
      </w:divBdr>
    </w:div>
    <w:div w:id="93870052">
      <w:bodyDiv w:val="1"/>
      <w:marLeft w:val="0"/>
      <w:marRight w:val="0"/>
      <w:marTop w:val="0"/>
      <w:marBottom w:val="0"/>
      <w:divBdr>
        <w:top w:val="none" w:sz="0" w:space="0" w:color="auto"/>
        <w:left w:val="none" w:sz="0" w:space="0" w:color="auto"/>
        <w:bottom w:val="none" w:sz="0" w:space="0" w:color="auto"/>
        <w:right w:val="none" w:sz="0" w:space="0" w:color="auto"/>
      </w:divBdr>
    </w:div>
    <w:div w:id="427043978">
      <w:bodyDiv w:val="1"/>
      <w:marLeft w:val="0"/>
      <w:marRight w:val="0"/>
      <w:marTop w:val="0"/>
      <w:marBottom w:val="0"/>
      <w:divBdr>
        <w:top w:val="none" w:sz="0" w:space="0" w:color="auto"/>
        <w:left w:val="none" w:sz="0" w:space="0" w:color="auto"/>
        <w:bottom w:val="none" w:sz="0" w:space="0" w:color="auto"/>
        <w:right w:val="none" w:sz="0" w:space="0" w:color="auto"/>
      </w:divBdr>
    </w:div>
    <w:div w:id="523130676">
      <w:bodyDiv w:val="1"/>
      <w:marLeft w:val="0"/>
      <w:marRight w:val="0"/>
      <w:marTop w:val="0"/>
      <w:marBottom w:val="0"/>
      <w:divBdr>
        <w:top w:val="none" w:sz="0" w:space="0" w:color="auto"/>
        <w:left w:val="none" w:sz="0" w:space="0" w:color="auto"/>
        <w:bottom w:val="none" w:sz="0" w:space="0" w:color="auto"/>
        <w:right w:val="none" w:sz="0" w:space="0" w:color="auto"/>
      </w:divBdr>
    </w:div>
    <w:div w:id="599945280">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944845269">
      <w:bodyDiv w:val="1"/>
      <w:marLeft w:val="0"/>
      <w:marRight w:val="0"/>
      <w:marTop w:val="0"/>
      <w:marBottom w:val="0"/>
      <w:divBdr>
        <w:top w:val="none" w:sz="0" w:space="0" w:color="auto"/>
        <w:left w:val="none" w:sz="0" w:space="0" w:color="auto"/>
        <w:bottom w:val="none" w:sz="0" w:space="0" w:color="auto"/>
        <w:right w:val="none" w:sz="0" w:space="0" w:color="auto"/>
      </w:divBdr>
    </w:div>
    <w:div w:id="115572984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296981471">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593734365">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58361605">
      <w:bodyDiv w:val="1"/>
      <w:marLeft w:val="0"/>
      <w:marRight w:val="0"/>
      <w:marTop w:val="0"/>
      <w:marBottom w:val="0"/>
      <w:divBdr>
        <w:top w:val="none" w:sz="0" w:space="0" w:color="auto"/>
        <w:left w:val="none" w:sz="0" w:space="0" w:color="auto"/>
        <w:bottom w:val="none" w:sz="0" w:space="0" w:color="auto"/>
        <w:right w:val="none" w:sz="0" w:space="0" w:color="auto"/>
      </w:divBdr>
    </w:div>
    <w:div w:id="1862089510">
      <w:bodyDiv w:val="1"/>
      <w:marLeft w:val="0"/>
      <w:marRight w:val="0"/>
      <w:marTop w:val="0"/>
      <w:marBottom w:val="0"/>
      <w:divBdr>
        <w:top w:val="none" w:sz="0" w:space="0" w:color="auto"/>
        <w:left w:val="none" w:sz="0" w:space="0" w:color="auto"/>
        <w:bottom w:val="none" w:sz="0" w:space="0" w:color="auto"/>
        <w:right w:val="none" w:sz="0" w:space="0" w:color="auto"/>
      </w:divBdr>
    </w:div>
    <w:div w:id="1968048592">
      <w:bodyDiv w:val="1"/>
      <w:marLeft w:val="0"/>
      <w:marRight w:val="0"/>
      <w:marTop w:val="0"/>
      <w:marBottom w:val="0"/>
      <w:divBdr>
        <w:top w:val="none" w:sz="0" w:space="0" w:color="auto"/>
        <w:left w:val="none" w:sz="0" w:space="0" w:color="auto"/>
        <w:bottom w:val="none" w:sz="0" w:space="0" w:color="auto"/>
        <w:right w:val="none" w:sz="0" w:space="0" w:color="auto"/>
      </w:divBdr>
    </w:div>
    <w:div w:id="20922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217C-BFE0-4E0C-BBAE-8FD29DE4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Links>
    <vt:vector size="24" baseType="variant">
      <vt:variant>
        <vt:i4>5046349</vt:i4>
      </vt:variant>
      <vt:variant>
        <vt:i4>9</vt:i4>
      </vt:variant>
      <vt:variant>
        <vt:i4>0</vt:i4>
      </vt:variant>
      <vt:variant>
        <vt:i4>5</vt:i4>
      </vt:variant>
      <vt:variant>
        <vt:lpwstr>https://www.fda.gov/media/116754/download</vt:lpwstr>
      </vt:variant>
      <vt:variant>
        <vt:lpwstr/>
      </vt:variant>
      <vt:variant>
        <vt:i4>3997813</vt:i4>
      </vt:variant>
      <vt:variant>
        <vt:i4>6</vt:i4>
      </vt:variant>
      <vt:variant>
        <vt:i4>0</vt:i4>
      </vt:variant>
      <vt:variant>
        <vt:i4>5</vt:i4>
      </vt:variant>
      <vt:variant>
        <vt:lpwstr>http://www.fda.gov/</vt:lpwstr>
      </vt:variant>
      <vt:variant>
        <vt:lpwstr/>
      </vt:variant>
      <vt:variant>
        <vt:i4>5046349</vt:i4>
      </vt:variant>
      <vt:variant>
        <vt:i4>3</vt:i4>
      </vt:variant>
      <vt:variant>
        <vt:i4>0</vt:i4>
      </vt:variant>
      <vt:variant>
        <vt:i4>5</vt:i4>
      </vt:variant>
      <vt:variant>
        <vt:lpwstr>https://www.fda.gov/media/116754/download</vt:lpwstr>
      </vt:variant>
      <vt:variant>
        <vt:lpwstr/>
      </vt:variant>
      <vt:variant>
        <vt:i4>3080316</vt:i4>
      </vt:variant>
      <vt:variant>
        <vt:i4>0</vt:i4>
      </vt:variant>
      <vt:variant>
        <vt:i4>0</vt:i4>
      </vt:variant>
      <vt:variant>
        <vt:i4>5</vt:i4>
      </vt:variant>
      <vt:variant>
        <vt:lpwstr>https://www.fda.gov/regulatory-information/search-fda-guidance-documents/current-good-manufacturing-practice-medical-gases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2021-06-23T17:33:00Z</dcterms:created>
  <dcterms:modified xsi:type="dcterms:W3CDTF">2021-06-23T17:34:00Z</dcterms:modified>
</cp:coreProperties>
</file>