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CD4AE5" w:rsidRDefault="00357C8A" w14:paraId="5CA484FC" w14:textId="77777777">
      <w:pPr>
        <w:jc w:val="center"/>
        <w:rPr>
          <w:rFonts w:eastAsia="Calibri"/>
        </w:rPr>
      </w:pPr>
      <w:r w:rsidRPr="00357C8A">
        <w:rPr>
          <w:rFonts w:eastAsia="Calibri"/>
        </w:rPr>
        <w:t>United States Food and Drug Administration</w:t>
      </w:r>
    </w:p>
    <w:p w:rsidR="00357C8A" w:rsidP="00357C8A" w:rsidRDefault="00357C8A" w14:paraId="2E8E8D57" w14:textId="77777777">
      <w:pPr>
        <w:jc w:val="center"/>
        <w:rPr>
          <w:rFonts w:eastAsia="Calibri"/>
        </w:rPr>
      </w:pPr>
    </w:p>
    <w:p w:rsidR="00357C8A" w:rsidP="00357C8A" w:rsidRDefault="005A68E4" w14:paraId="2DD11B9F" w14:textId="77777777">
      <w:pPr>
        <w:jc w:val="center"/>
        <w:rPr>
          <w:rFonts w:eastAsia="Calibri"/>
        </w:rPr>
      </w:pPr>
      <w:bookmarkStart w:name="_Hlk47373939" w:id="0"/>
      <w:bookmarkStart w:name="_Hlk47375182" w:id="1"/>
      <w:r w:rsidRPr="005A68E4">
        <w:rPr>
          <w:rFonts w:eastAsia="Calibri"/>
        </w:rPr>
        <w:t>State Enforcement Notifications</w:t>
      </w:r>
      <w:bookmarkEnd w:id="0"/>
    </w:p>
    <w:bookmarkEnd w:id="1"/>
    <w:p w:rsidR="00357C8A" w:rsidP="00357C8A" w:rsidRDefault="00357C8A" w14:paraId="4A1D7482" w14:textId="77777777">
      <w:pPr>
        <w:jc w:val="center"/>
        <w:rPr>
          <w:rFonts w:eastAsia="Calibri"/>
        </w:rPr>
      </w:pPr>
    </w:p>
    <w:p w:rsidR="00357C8A" w:rsidP="00357C8A" w:rsidRDefault="00357C8A" w14:paraId="670B7F95" w14:textId="77777777">
      <w:pPr>
        <w:jc w:val="center"/>
        <w:rPr>
          <w:rFonts w:eastAsia="Calibri"/>
        </w:rPr>
      </w:pPr>
      <w:r w:rsidRPr="00357C8A">
        <w:rPr>
          <w:rFonts w:eastAsia="Calibri"/>
        </w:rPr>
        <w:t>OMB Control No. 0910-</w:t>
      </w:r>
      <w:r w:rsidR="005A68E4">
        <w:rPr>
          <w:rFonts w:eastAsia="Calibri"/>
        </w:rPr>
        <w:t>0275</w:t>
      </w:r>
    </w:p>
    <w:p w:rsidR="00357C8A" w:rsidP="00357C8A" w:rsidRDefault="00357C8A" w14:paraId="3F2A6799" w14:textId="77777777">
      <w:pPr>
        <w:jc w:val="center"/>
        <w:rPr>
          <w:rFonts w:eastAsia="Calibri"/>
        </w:rPr>
      </w:pPr>
    </w:p>
    <w:p w:rsidR="005A68E4" w:rsidP="000D79CC" w:rsidRDefault="005A68E4" w14:paraId="03EE2294" w14:textId="77777777">
      <w:pPr>
        <w:rPr>
          <w:rFonts w:eastAsia="Calibri"/>
          <w:b/>
        </w:rPr>
      </w:pPr>
    </w:p>
    <w:p w:rsidR="00357C8A" w:rsidP="000D79CC" w:rsidRDefault="00DE7FA3" w14:paraId="61B12DAD" w14:textId="59DB2704">
      <w:pPr>
        <w:rPr>
          <w:rFonts w:eastAsia="Calibri"/>
        </w:rPr>
      </w:pPr>
      <w:r>
        <w:rPr>
          <w:rFonts w:eastAsia="Calibri"/>
          <w:bCs/>
        </w:rPr>
        <w:t xml:space="preserve">SUPPORTING STATEMENT </w:t>
      </w:r>
      <w:r w:rsidRPr="00357C8A" w:rsidR="00357C8A">
        <w:rPr>
          <w:rFonts w:eastAsia="Calibri"/>
          <w:b/>
        </w:rPr>
        <w:t>Part A:  Justification</w:t>
      </w:r>
      <w:r w:rsidRPr="00357C8A" w:rsidR="00357C8A">
        <w:rPr>
          <w:rFonts w:eastAsia="Calibri"/>
        </w:rPr>
        <w:t>:</w:t>
      </w:r>
    </w:p>
    <w:p w:rsidRPr="00357C8A" w:rsidR="000D79CC" w:rsidP="000D79CC" w:rsidRDefault="000D79CC" w14:paraId="6532429A" w14:textId="77777777">
      <w:pPr>
        <w:rPr>
          <w:rFonts w:eastAsia="Calibri"/>
        </w:rPr>
      </w:pPr>
    </w:p>
    <w:p w:rsidRPr="00357C8A" w:rsidR="00357C8A" w:rsidP="006705EA" w:rsidRDefault="00357C8A" w14:paraId="5431F85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5C71CA" w:rsidR="003E4492" w:rsidP="00760B1D" w:rsidRDefault="003E4492" w14:paraId="1C111F1D" w14:textId="77777777">
      <w:pPr>
        <w:ind w:left="360"/>
        <w:rPr>
          <w:rFonts w:eastAsia="Calibri"/>
        </w:rPr>
      </w:pPr>
      <w:bookmarkStart w:name="_Hlk47374226" w:id="2"/>
      <w:r w:rsidRPr="003E4492">
        <w:rPr>
          <w:rFonts w:eastAsia="Calibri"/>
        </w:rPr>
        <w:t>This information collection supports Food and Drug Administration (FDA, us or we) regulations.</w:t>
      </w:r>
      <w:r w:rsidR="00823C7F">
        <w:rPr>
          <w:rFonts w:eastAsia="Calibri"/>
        </w:rPr>
        <w:t xml:space="preserve"> </w:t>
      </w:r>
      <w:r w:rsidRPr="003E4492">
        <w:rPr>
          <w:rFonts w:eastAsia="Calibri"/>
        </w:rPr>
        <w:t xml:space="preserve"> </w:t>
      </w:r>
      <w:r w:rsidRPr="00E65928" w:rsidR="00E65928">
        <w:rPr>
          <w:rFonts w:eastAsia="Calibri"/>
        </w:rPr>
        <w:t>Section 310(b) of the Federal Food, Drug, and Cosmetic Act (FD&amp;C Act) (21 U.S.C. 337(b)) authorizes a State to enforce certain sections of the FD&amp;C Act in their own name and within their own jurisdiction.  However, before doing so, a State must provide notice to FDA according to 21 CFR 100.2.  The information required in a letter of notification under § 100.2(d) enables us to identify the food against which a State intends to take action and to advise that State whether Federal enforcement action against the food has been taken or is in process.  With certain narrow exceptions, Federal enforcement action precludes State action under the FD&amp;C Act.</w:t>
      </w:r>
    </w:p>
    <w:bookmarkEnd w:id="2"/>
    <w:p w:rsidR="00423272" w:rsidP="00760B1D" w:rsidRDefault="00423272" w14:paraId="57E35887" w14:textId="77777777">
      <w:pPr>
        <w:ind w:left="360"/>
        <w:rPr>
          <w:rFonts w:eastAsia="Calibri"/>
        </w:rPr>
      </w:pPr>
    </w:p>
    <w:p w:rsidRPr="005E75E3" w:rsidR="00357C8A" w:rsidP="00760B1D" w:rsidRDefault="00423272" w14:paraId="47C80756" w14:textId="77777777">
      <w:pPr>
        <w:ind w:left="360"/>
        <w:rPr>
          <w:rFonts w:eastAsia="Calibri"/>
          <w:color w:val="000000"/>
        </w:rPr>
      </w:pPr>
      <w:r w:rsidRPr="005C71CA">
        <w:rPr>
          <w:rFonts w:eastAsia="Calibri"/>
        </w:rPr>
        <w:t>We therefore request extension of OMB approval</w:t>
      </w:r>
      <w:r w:rsidR="00823C7F">
        <w:rPr>
          <w:rFonts w:eastAsia="Calibri"/>
        </w:rPr>
        <w:t xml:space="preserve"> for</w:t>
      </w:r>
      <w:r w:rsidRPr="005C71CA">
        <w:rPr>
          <w:rFonts w:eastAsia="Calibri"/>
        </w:rPr>
        <w:t xml:space="preserve"> </w:t>
      </w:r>
      <w:r w:rsidR="00823C7F">
        <w:rPr>
          <w:rFonts w:eastAsia="Calibri"/>
        </w:rPr>
        <w:t>the information collection</w:t>
      </w:r>
      <w:r w:rsidRPr="005C71CA">
        <w:rPr>
          <w:rFonts w:eastAsia="Calibri"/>
        </w:rPr>
        <w:t xml:space="preserve"> provisions found </w:t>
      </w:r>
      <w:r w:rsidR="00823C7F">
        <w:rPr>
          <w:rFonts w:eastAsia="Calibri"/>
        </w:rPr>
        <w:t>under</w:t>
      </w:r>
      <w:r w:rsidRPr="005C71CA">
        <w:rPr>
          <w:rFonts w:eastAsia="Calibri"/>
        </w:rPr>
        <w:t xml:space="preserve"> 21 CFR </w:t>
      </w:r>
      <w:r w:rsidR="00823C7F">
        <w:rPr>
          <w:rFonts w:eastAsia="Calibri"/>
        </w:rPr>
        <w:t>100.2:</w:t>
      </w:r>
      <w:r w:rsidRPr="00823C7F" w:rsidR="00823C7F">
        <w:rPr>
          <w:i/>
          <w:sz w:val="22"/>
          <w:szCs w:val="22"/>
        </w:rPr>
        <w:t xml:space="preserve"> </w:t>
      </w:r>
      <w:r w:rsidRPr="00D45C8A" w:rsidR="00823C7F">
        <w:rPr>
          <w:i/>
        </w:rPr>
        <w:t>State Enforcement of Federal Regulations</w:t>
      </w:r>
      <w:r w:rsidRPr="00D45C8A" w:rsidR="0074534B">
        <w:t>.</w:t>
      </w:r>
    </w:p>
    <w:p w:rsidRPr="005E75E3" w:rsidR="00823C7F" w:rsidP="00D67254" w:rsidRDefault="00823C7F" w14:paraId="5FCE5558" w14:textId="77777777">
      <w:pPr>
        <w:rPr>
          <w:rFonts w:eastAsia="Calibri"/>
          <w:color w:val="000000"/>
        </w:rPr>
      </w:pPr>
    </w:p>
    <w:p w:rsidRPr="00357C8A" w:rsidR="00357C8A" w:rsidP="006705EA" w:rsidRDefault="00357C8A" w14:paraId="09ACE86A"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23C7F" w:rsidP="00760B1D" w:rsidRDefault="00823C7F" w14:paraId="495CDD02" w14:textId="77777777">
      <w:pPr>
        <w:pStyle w:val="BodyText"/>
        <w:spacing w:after="0"/>
        <w:ind w:left="360" w:right="236"/>
      </w:pPr>
      <w:r>
        <w:t>Section 310(b) of the FD&amp;C Act provides that States must give notice to us before taking action to enforce certain provisions of the food misbranding provisions of the FD&amp;C Act.  This information will be used by the agency in reaching a conclusion as to whether Federal action is being or will be taken against the same product that is under consideration for action by the State.</w:t>
      </w:r>
    </w:p>
    <w:p w:rsidR="00823C7F" w:rsidP="00760B1D" w:rsidRDefault="00823C7F" w14:paraId="0A977FE7" w14:textId="77777777">
      <w:pPr>
        <w:pStyle w:val="BodyText"/>
        <w:spacing w:after="0"/>
        <w:ind w:left="360"/>
      </w:pPr>
    </w:p>
    <w:p w:rsidR="00AD50A6" w:rsidP="00760B1D" w:rsidRDefault="00823C7F" w14:paraId="71128327" w14:textId="77777777">
      <w:pPr>
        <w:pStyle w:val="BodyText"/>
        <w:spacing w:after="0"/>
        <w:ind w:left="360" w:right="276"/>
      </w:pPr>
      <w:r>
        <w:rPr>
          <w:i/>
        </w:rPr>
        <w:t>Description of Respondents</w:t>
      </w:r>
      <w:r>
        <w:t>: The respondents are State governments that enforce certain sections of the FD&amp;C Act relating to misbranding of foods and food standards of identity.</w:t>
      </w:r>
    </w:p>
    <w:p w:rsidRPr="005E75E3" w:rsidR="00357C8A" w:rsidP="00D45C8A" w:rsidRDefault="00357C8A" w14:paraId="6E3E5EE2" w14:textId="77777777">
      <w:pPr>
        <w:pStyle w:val="BodyText"/>
        <w:spacing w:after="0"/>
        <w:ind w:right="276"/>
        <w:rPr>
          <w:rFonts w:eastAsia="Calibri"/>
        </w:rPr>
      </w:pPr>
    </w:p>
    <w:p w:rsidRPr="00357C8A" w:rsidR="00357C8A" w:rsidP="006705EA" w:rsidRDefault="00357C8A" w14:paraId="69CAFDB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5E75E3" w:rsidR="00357C8A" w:rsidP="00760B1D" w:rsidRDefault="00823C7F" w14:paraId="2B740177" w14:textId="53FA48B0">
      <w:pPr>
        <w:spacing w:after="200"/>
        <w:ind w:left="360"/>
        <w:rPr>
          <w:rFonts w:eastAsia="Calibri"/>
          <w:color w:val="000000"/>
        </w:rPr>
      </w:pPr>
      <w:r w:rsidRPr="00823C7F">
        <w:rPr>
          <w:rFonts w:eastAsia="Calibri"/>
        </w:rPr>
        <w:t xml:space="preserve">The regulation (21 CFR 100.2) for State notices of enforcement actions does not specifically prescribe the use of automated, electronic, mechanical or other technological techniques or other forms of information technology as necessary for use by the States. </w:t>
      </w:r>
      <w:r>
        <w:rPr>
          <w:rFonts w:eastAsia="Calibri"/>
        </w:rPr>
        <w:t xml:space="preserve"> </w:t>
      </w:r>
      <w:r w:rsidRPr="00823C7F">
        <w:rPr>
          <w:rFonts w:eastAsia="Calibri"/>
        </w:rPr>
        <w:t xml:space="preserve">States are free to use whatever forms of information technology may best assist them in their development of a notice. </w:t>
      </w:r>
      <w:r>
        <w:rPr>
          <w:rFonts w:eastAsia="Calibri"/>
        </w:rPr>
        <w:t xml:space="preserve"> </w:t>
      </w:r>
      <w:r w:rsidRPr="00823C7F">
        <w:rPr>
          <w:rFonts w:eastAsia="Calibri"/>
        </w:rPr>
        <w:t xml:space="preserve">We estimate any notifications received </w:t>
      </w:r>
      <w:r>
        <w:rPr>
          <w:rFonts w:eastAsia="Calibri"/>
        </w:rPr>
        <w:t xml:space="preserve">(e.g., 100%) </w:t>
      </w:r>
      <w:r w:rsidRPr="00823C7F">
        <w:rPr>
          <w:rFonts w:eastAsia="Calibri"/>
        </w:rPr>
        <w:t>in the next three years will be submitted electronically.</w:t>
      </w:r>
      <w:r w:rsidR="003C4597">
        <w:rPr>
          <w:rFonts w:eastAsia="Calibri"/>
        </w:rPr>
        <w:t xml:space="preserve"> </w:t>
      </w:r>
    </w:p>
    <w:p w:rsidRPr="00357C8A" w:rsidR="00357C8A" w:rsidP="006705EA" w:rsidRDefault="00357C8A" w14:paraId="1C68FD9C"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E75E3" w:rsidR="000C1260" w:rsidP="00760B1D" w:rsidRDefault="0053380B" w14:paraId="02D6192D" w14:textId="7FE085DC">
      <w:pPr>
        <w:spacing w:after="200"/>
        <w:ind w:left="360"/>
        <w:rPr>
          <w:rFonts w:eastAsia="Calibri"/>
          <w:color w:val="000000"/>
        </w:rPr>
      </w:pPr>
      <w:r w:rsidRPr="005C71CA">
        <w:t>We are unaware of duplicative information collection.</w:t>
      </w:r>
      <w:r w:rsidR="00AB1E6F">
        <w:t xml:space="preserve">  </w:t>
      </w:r>
      <w:r w:rsidRPr="00AB1E6F" w:rsidR="00AB1E6F">
        <w:t xml:space="preserve">Notifications </w:t>
      </w:r>
      <w:r w:rsidRPr="00276D1F" w:rsidR="00276D1F">
        <w:t>provisions of</w:t>
      </w:r>
      <w:r w:rsidRPr="00AB1E6F" w:rsidR="00AB1E6F">
        <w:t xml:space="preserve"> 21 CFR 100.2(d) should prevent State duplication of an FDA enforcement action against a food for certain violations of the FD&amp;C Act. </w:t>
      </w:r>
      <w:r w:rsidR="004077F1">
        <w:t xml:space="preserve"> </w:t>
      </w:r>
      <w:r w:rsidRPr="004077F1" w:rsidR="004077F1">
        <w:t xml:space="preserve">The notification provisions are limited to certain labeling requirements of the FD&amp;C Act that are enforced by FDA.  Because Federal enforcement of </w:t>
      </w:r>
      <w:r w:rsidRPr="004077F1" w:rsidR="004077F1">
        <w:lastRenderedPageBreak/>
        <w:t xml:space="preserve">these provisions is exclusive to FDA, there is no likelihood of enforcement duplication by </w:t>
      </w:r>
      <w:r w:rsidR="002737E1">
        <w:t xml:space="preserve"> </w:t>
      </w:r>
      <w:r w:rsidRPr="004077F1" w:rsidR="004077F1">
        <w:t>other Federal agencies.</w:t>
      </w:r>
      <w:r w:rsidR="000E3A63">
        <w:t xml:space="preserve"> </w:t>
      </w:r>
    </w:p>
    <w:p w:rsidRPr="00357C8A" w:rsidR="00357C8A" w:rsidP="006705EA" w:rsidRDefault="00357C8A" w14:paraId="6A907C1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760B1D" w:rsidRDefault="000E3A63" w14:paraId="43F610D2" w14:textId="77777777">
      <w:pPr>
        <w:spacing w:after="200"/>
        <w:ind w:left="360"/>
        <w:rPr>
          <w:rFonts w:eastAsia="Calibri"/>
        </w:rPr>
      </w:pPr>
      <w:r w:rsidRPr="000E3A63">
        <w:rPr>
          <w:rFonts w:eastAsia="Calibri"/>
        </w:rPr>
        <w:t xml:space="preserve">The provisions of 21 CFR 100.2(d) are specific to State governments and are not applicable to small businesses. </w:t>
      </w:r>
      <w:r>
        <w:rPr>
          <w:rFonts w:eastAsia="Calibri"/>
        </w:rPr>
        <w:t xml:space="preserve"> </w:t>
      </w:r>
      <w:r w:rsidR="004077F1">
        <w:rPr>
          <w:rFonts w:eastAsia="Calibri"/>
        </w:rPr>
        <w:t>We</w:t>
      </w:r>
      <w:r w:rsidRPr="000E3A63" w:rsidR="004077F1">
        <w:rPr>
          <w:rFonts w:eastAsia="Calibri"/>
        </w:rPr>
        <w:t xml:space="preserve"> </w:t>
      </w:r>
      <w:r w:rsidRPr="000E3A63">
        <w:rPr>
          <w:rFonts w:eastAsia="Calibri"/>
        </w:rPr>
        <w:t xml:space="preserve">estimate that </w:t>
      </w:r>
      <w:r w:rsidR="003E0448">
        <w:rPr>
          <w:rFonts w:eastAsia="Calibri"/>
        </w:rPr>
        <w:t xml:space="preserve">none of the </w:t>
      </w:r>
      <w:r w:rsidRPr="000E3A63">
        <w:rPr>
          <w:rFonts w:eastAsia="Calibri"/>
        </w:rPr>
        <w:t>respondents are small businesses.</w:t>
      </w:r>
    </w:p>
    <w:p w:rsidRPr="00357C8A" w:rsidR="00357C8A" w:rsidP="006705EA" w:rsidRDefault="00357C8A" w14:paraId="51F0202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5E75E3" w:rsidR="00357C8A" w:rsidP="00760B1D" w:rsidRDefault="000E3A63" w14:paraId="040F6107" w14:textId="77777777">
      <w:pPr>
        <w:spacing w:after="200"/>
        <w:ind w:left="360"/>
        <w:rPr>
          <w:rFonts w:eastAsia="Calibri"/>
          <w:color w:val="000000"/>
        </w:rPr>
      </w:pPr>
      <w:r w:rsidRPr="000E3A63">
        <w:rPr>
          <w:rFonts w:eastAsia="Calibri"/>
        </w:rPr>
        <w:t xml:space="preserve">Data collection occurs occasionally. </w:t>
      </w:r>
      <w:r>
        <w:rPr>
          <w:rFonts w:eastAsia="Calibri"/>
        </w:rPr>
        <w:t xml:space="preserve"> </w:t>
      </w:r>
      <w:r w:rsidRPr="000E3A63">
        <w:rPr>
          <w:rFonts w:eastAsia="Calibri"/>
        </w:rPr>
        <w:t>There are no consequences to Federal program or policy activities if the information is not collected or is collected less frequently.</w:t>
      </w:r>
    </w:p>
    <w:p w:rsidRPr="00357C8A" w:rsidR="00357C8A" w:rsidP="006705EA" w:rsidRDefault="00357C8A" w14:paraId="5D09F4A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760B1D" w:rsidRDefault="003E0448" w14:paraId="61FA88F9" w14:textId="77777777">
      <w:pPr>
        <w:spacing w:after="200"/>
        <w:ind w:firstLine="360"/>
        <w:rPr>
          <w:rFonts w:eastAsia="Calibri"/>
        </w:rPr>
      </w:pPr>
      <w:r>
        <w:rPr>
          <w:rFonts w:eastAsia="Calibri"/>
        </w:rPr>
        <w:t>There are no special circumstances associated with this information collection</w:t>
      </w:r>
      <w:r w:rsidRPr="000E3A63" w:rsidR="000E3A63">
        <w:rPr>
          <w:rFonts w:eastAsia="Calibri"/>
        </w:rPr>
        <w:t>.</w:t>
      </w:r>
    </w:p>
    <w:p w:rsidRPr="00357C8A" w:rsidR="00357C8A" w:rsidP="006705EA" w:rsidRDefault="00357C8A" w14:paraId="6365930B" w14:textId="11ED08DB">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r w:rsidR="002737E1">
        <w:rPr>
          <w:rFonts w:eastAsia="Calibri"/>
          <w:u w:val="single"/>
        </w:rPr>
        <w:t xml:space="preserve"> </w:t>
      </w:r>
    </w:p>
    <w:p w:rsidRPr="005E75E3" w:rsidR="00357C8A" w:rsidP="00760B1D" w:rsidRDefault="000E3A63" w14:paraId="4AC6FDFD" w14:textId="4D798742">
      <w:pPr>
        <w:spacing w:after="200"/>
        <w:ind w:left="360"/>
        <w:rPr>
          <w:rFonts w:eastAsia="Calibri"/>
          <w:color w:val="000000"/>
        </w:rPr>
      </w:pPr>
      <w:r w:rsidRPr="000E3A63">
        <w:rPr>
          <w:rFonts w:eastAsia="Calibri"/>
        </w:rPr>
        <w:t xml:space="preserve">In accordance with 5 CFR 1320.8(d), </w:t>
      </w:r>
      <w:r>
        <w:rPr>
          <w:rFonts w:eastAsia="Calibri"/>
        </w:rPr>
        <w:t>we</w:t>
      </w:r>
      <w:r w:rsidRPr="000E3A63">
        <w:rPr>
          <w:rFonts w:eastAsia="Calibri"/>
        </w:rPr>
        <w:t xml:space="preserve"> published a 60-day notice for public comment in the </w:t>
      </w:r>
      <w:r w:rsidRPr="00D45C8A">
        <w:rPr>
          <w:rFonts w:eastAsia="Calibri"/>
          <w:i/>
          <w:iCs/>
        </w:rPr>
        <w:t>Federal Register</w:t>
      </w:r>
      <w:r w:rsidRPr="000E3A63">
        <w:rPr>
          <w:rFonts w:eastAsia="Calibri"/>
        </w:rPr>
        <w:t xml:space="preserve"> of </w:t>
      </w:r>
      <w:r w:rsidR="004161A3">
        <w:rPr>
          <w:rFonts w:eastAsia="Calibri"/>
        </w:rPr>
        <w:t>December 17</w:t>
      </w:r>
      <w:r w:rsidRPr="000E3A63">
        <w:rPr>
          <w:rFonts w:eastAsia="Calibri"/>
        </w:rPr>
        <w:t>, 20</w:t>
      </w:r>
      <w:r>
        <w:rPr>
          <w:rFonts w:eastAsia="Calibri"/>
        </w:rPr>
        <w:t>20</w:t>
      </w:r>
      <w:r w:rsidRPr="000E3A63">
        <w:rPr>
          <w:rFonts w:eastAsia="Calibri"/>
        </w:rPr>
        <w:t xml:space="preserve"> (8</w:t>
      </w:r>
      <w:r>
        <w:rPr>
          <w:rFonts w:eastAsia="Calibri"/>
        </w:rPr>
        <w:t>5</w:t>
      </w:r>
      <w:r w:rsidRPr="000E3A63">
        <w:rPr>
          <w:rFonts w:eastAsia="Calibri"/>
        </w:rPr>
        <w:t xml:space="preserve"> FR </w:t>
      </w:r>
      <w:r w:rsidR="004161A3">
        <w:rPr>
          <w:rFonts w:eastAsia="Calibri"/>
        </w:rPr>
        <w:t>81932</w:t>
      </w:r>
      <w:r w:rsidRPr="000E3A63">
        <w:rPr>
          <w:rFonts w:eastAsia="Calibri"/>
        </w:rPr>
        <w:t xml:space="preserve">). </w:t>
      </w:r>
      <w:r>
        <w:rPr>
          <w:rFonts w:eastAsia="Calibri"/>
        </w:rPr>
        <w:t xml:space="preserve"> </w:t>
      </w:r>
      <w:r w:rsidRPr="000E3A63">
        <w:rPr>
          <w:rFonts w:eastAsia="Calibri"/>
        </w:rPr>
        <w:t>No comments were received.</w:t>
      </w:r>
      <w:r w:rsidR="002737E1">
        <w:rPr>
          <w:rFonts w:eastAsia="Calibri"/>
        </w:rPr>
        <w:t xml:space="preserve"> </w:t>
      </w:r>
    </w:p>
    <w:p w:rsidRPr="00357C8A" w:rsidR="00357C8A" w:rsidP="006705EA" w:rsidRDefault="00357C8A" w14:paraId="4F0AA97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5E75E3" w:rsidR="00357C8A" w:rsidP="00760B1D" w:rsidRDefault="002737E1" w14:paraId="6713991C" w14:textId="2D25646E">
      <w:pPr>
        <w:spacing w:after="200"/>
        <w:ind w:firstLine="360"/>
        <w:rPr>
          <w:rFonts w:eastAsia="Calibri"/>
          <w:color w:val="000000"/>
        </w:rPr>
      </w:pPr>
      <w:r>
        <w:rPr>
          <w:rFonts w:eastAsia="Calibri"/>
        </w:rPr>
        <w:t xml:space="preserve">FDA </w:t>
      </w:r>
      <w:r w:rsidRPr="000E3A63" w:rsidR="000E3A63">
        <w:rPr>
          <w:rFonts w:eastAsia="Calibri"/>
        </w:rPr>
        <w:t>do</w:t>
      </w:r>
      <w:r>
        <w:rPr>
          <w:rFonts w:eastAsia="Calibri"/>
        </w:rPr>
        <w:t>es</w:t>
      </w:r>
      <w:r w:rsidRPr="000E3A63" w:rsidR="000E3A63">
        <w:rPr>
          <w:rFonts w:eastAsia="Calibri"/>
        </w:rPr>
        <w:t xml:space="preserve"> not provide any payments or gifts to respondents.</w:t>
      </w:r>
      <w:r w:rsidR="009F70ED">
        <w:rPr>
          <w:rFonts w:eastAsia="Calibri"/>
        </w:rPr>
        <w:t xml:space="preserve"> </w:t>
      </w:r>
    </w:p>
    <w:p w:rsidRPr="00357C8A" w:rsidR="00357C8A" w:rsidP="006705EA" w:rsidRDefault="00357C8A" w14:paraId="75E5BC6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F70ED" w:rsidP="00760B1D" w:rsidRDefault="009F70ED" w14:paraId="097AD26F" w14:textId="77777777">
      <w:pPr>
        <w:spacing w:after="200"/>
        <w:ind w:left="360"/>
        <w:rPr>
          <w:rFonts w:eastAsia="Calibri"/>
        </w:rPr>
      </w:pPr>
      <w:r w:rsidRPr="009F70ED">
        <w:rPr>
          <w:rFonts w:eastAsia="Calibri"/>
        </w:rPr>
        <w:t xml:space="preserve">State notification letters submitted to FDA under section 310(b) of the </w:t>
      </w:r>
      <w:bookmarkStart w:name="_Hlk71614897" w:id="3"/>
      <w:r w:rsidRPr="009F70ED">
        <w:rPr>
          <w:rFonts w:eastAsia="Calibri"/>
        </w:rPr>
        <w:t>FD&amp;C</w:t>
      </w:r>
      <w:bookmarkEnd w:id="3"/>
      <w:r w:rsidRPr="009F70ED">
        <w:rPr>
          <w:rFonts w:eastAsia="Calibri"/>
        </w:rPr>
        <w:t xml:space="preserve"> Act will contain information compiled for law enforcement purposes and may contain trade</w:t>
      </w:r>
      <w:r>
        <w:rPr>
          <w:rFonts w:eastAsia="Calibri"/>
        </w:rPr>
        <w:t xml:space="preserve"> </w:t>
      </w:r>
      <w:r w:rsidRPr="009F70ED">
        <w:rPr>
          <w:rFonts w:eastAsia="Calibri"/>
        </w:rPr>
        <w:t xml:space="preserve">secrets or confidential commercial or financial information. </w:t>
      </w:r>
      <w:r>
        <w:rPr>
          <w:rFonts w:eastAsia="Calibri"/>
        </w:rPr>
        <w:t xml:space="preserve"> </w:t>
      </w:r>
      <w:r w:rsidRPr="009F70ED">
        <w:rPr>
          <w:rFonts w:eastAsia="Calibri"/>
        </w:rPr>
        <w:t xml:space="preserve">Accordingly, 21 CFR 100.2(i) provides that information contained in the required notification letters will be exempt from public disclosure to the same extent to which such information would be exempt under 21 CFR 20.61, 20.64, and 20.88. </w:t>
      </w:r>
      <w:r>
        <w:rPr>
          <w:rFonts w:eastAsia="Calibri"/>
        </w:rPr>
        <w:t xml:space="preserve"> </w:t>
      </w:r>
      <w:r w:rsidRPr="009F70ED">
        <w:rPr>
          <w:rFonts w:eastAsia="Calibri"/>
        </w:rPr>
        <w:t>This information is also safeguarded by section 301(j) of the FD&amp;C Act and would be protected from disclosure under the Freedom of Information Act (FOIA) under sections 552(a) and (b) (5 U.S.C. 552(a) and (b)).</w:t>
      </w:r>
    </w:p>
    <w:p w:rsidRPr="00D67254" w:rsidR="009F70ED" w:rsidP="00760B1D" w:rsidRDefault="009F70ED" w14:paraId="47E79336" w14:textId="77777777">
      <w:pPr>
        <w:spacing w:after="200"/>
        <w:ind w:left="360"/>
        <w:rPr>
          <w:rFonts w:eastAsia="Calibri"/>
          <w:i/>
        </w:rPr>
      </w:pPr>
      <w:r w:rsidRPr="00D67254">
        <w:rPr>
          <w:rFonts w:eastAsia="Calibri"/>
          <w:i/>
        </w:rPr>
        <w:t>Privacy Act</w:t>
      </w:r>
    </w:p>
    <w:p w:rsidRPr="005C1864" w:rsidR="005C1864" w:rsidP="00760B1D" w:rsidRDefault="005C1864" w14:paraId="1A0762E0" w14:textId="77777777">
      <w:pPr>
        <w:spacing w:after="200"/>
        <w:ind w:left="360"/>
        <w:rPr>
          <w:rFonts w:eastAsia="Calibri"/>
        </w:rPr>
      </w:pPr>
      <w:r w:rsidRPr="005C1864">
        <w:rPr>
          <w:rFonts w:eastAsia="Calibri"/>
        </w:rPr>
        <w:t xml:space="preserve">In preparing this </w:t>
      </w:r>
      <w:r w:rsidR="00276D1F">
        <w:rPr>
          <w:rFonts w:eastAsia="Calibri"/>
        </w:rPr>
        <w:t>s</w:t>
      </w:r>
      <w:r w:rsidRPr="005C1864">
        <w:rPr>
          <w:rFonts w:eastAsia="Calibri"/>
        </w:rPr>
        <w:t xml:space="preserve">upporting </w:t>
      </w:r>
      <w:r w:rsidR="00276D1F">
        <w:rPr>
          <w:rFonts w:eastAsia="Calibri"/>
        </w:rPr>
        <w:t>s</w:t>
      </w:r>
      <w:r w:rsidRPr="005C1864">
        <w:rPr>
          <w:rFonts w:eastAsia="Calibri"/>
        </w:rPr>
        <w:t>tatement, we consulted with our Privacy Office to ensure appropriate handling of information collected.</w:t>
      </w:r>
    </w:p>
    <w:p w:rsidRPr="005C1864" w:rsidR="005C1864" w:rsidP="00760B1D" w:rsidRDefault="005C1864" w14:paraId="2868E034" w14:textId="77777777">
      <w:pPr>
        <w:spacing w:after="200"/>
        <w:ind w:left="360"/>
        <w:rPr>
          <w:rFonts w:eastAsia="Calibri"/>
        </w:rPr>
      </w:pPr>
      <w:r w:rsidRPr="005C1864">
        <w:rPr>
          <w:rFonts w:eastAsia="Calibri"/>
        </w:rPr>
        <w:t xml:space="preserve">This ICR does not collect personally identifiable information (PII) or information of a personal nature. </w:t>
      </w:r>
      <w:r w:rsidR="00276D1F">
        <w:rPr>
          <w:rFonts w:eastAsia="Calibri"/>
        </w:rPr>
        <w:t xml:space="preserve"> </w:t>
      </w:r>
      <w:r w:rsidRPr="005C1864">
        <w:rPr>
          <w:rFonts w:eastAsia="Calibri"/>
        </w:rPr>
        <w:t xml:space="preserve">This information collection supports </w:t>
      </w:r>
      <w:r>
        <w:rPr>
          <w:rFonts w:eastAsia="Calibri"/>
        </w:rPr>
        <w:t xml:space="preserve">an </w:t>
      </w:r>
      <w:r w:rsidRPr="005C1864">
        <w:rPr>
          <w:rFonts w:eastAsia="Calibri"/>
        </w:rPr>
        <w:t>FDA regulation</w:t>
      </w:r>
      <w:r>
        <w:rPr>
          <w:rFonts w:eastAsia="Calibri"/>
        </w:rPr>
        <w:t xml:space="preserve">, </w:t>
      </w:r>
      <w:r w:rsidRPr="00276D1F" w:rsidR="00276D1F">
        <w:rPr>
          <w:rFonts w:eastAsia="Calibri"/>
        </w:rPr>
        <w:t>21 CFR 100.2</w:t>
      </w:r>
      <w:r w:rsidR="00276D1F">
        <w:rPr>
          <w:rFonts w:eastAsia="Calibri"/>
        </w:rPr>
        <w:t xml:space="preserve"> as well as </w:t>
      </w:r>
      <w:r>
        <w:rPr>
          <w:rFonts w:eastAsia="Calibri"/>
        </w:rPr>
        <w:t>s</w:t>
      </w:r>
      <w:r w:rsidRPr="005C1864">
        <w:rPr>
          <w:rFonts w:eastAsia="Calibri"/>
        </w:rPr>
        <w:t xml:space="preserve">ection 403A(b) of the </w:t>
      </w:r>
      <w:r w:rsidRPr="00276D1F" w:rsidR="00276D1F">
        <w:rPr>
          <w:rFonts w:eastAsia="Calibri"/>
        </w:rPr>
        <w:t>FD&amp;C</w:t>
      </w:r>
      <w:r w:rsidRPr="005C1864">
        <w:rPr>
          <w:rFonts w:eastAsia="Calibri"/>
        </w:rPr>
        <w:t xml:space="preserve"> Act.</w:t>
      </w:r>
    </w:p>
    <w:p w:rsidRPr="005C1864" w:rsidR="005C1864" w:rsidP="00760B1D" w:rsidRDefault="00276D1F" w14:paraId="5A6DE08A" w14:textId="77777777">
      <w:pPr>
        <w:spacing w:after="200"/>
        <w:ind w:left="360"/>
        <w:rPr>
          <w:rFonts w:eastAsia="Calibri"/>
        </w:rPr>
      </w:pPr>
      <w:r>
        <w:rPr>
          <w:rFonts w:eastAsia="Calibri"/>
        </w:rPr>
        <w:t>We</w:t>
      </w:r>
      <w:r w:rsidRPr="005C1864">
        <w:rPr>
          <w:rFonts w:eastAsia="Calibri"/>
        </w:rPr>
        <w:t xml:space="preserve"> </w:t>
      </w:r>
      <w:r w:rsidRPr="005C1864" w:rsidR="005C1864">
        <w:rPr>
          <w:rFonts w:eastAsia="Calibri"/>
        </w:rPr>
        <w:t xml:space="preserve">further determined that this collection is not subject to the Privacy Act of 1974 and the particular notice and other requirements of the Act do not apply. </w:t>
      </w:r>
      <w:r w:rsidR="005C1864">
        <w:rPr>
          <w:rFonts w:eastAsia="Calibri"/>
        </w:rPr>
        <w:t xml:space="preserve"> </w:t>
      </w:r>
      <w:r w:rsidRPr="005C1864" w:rsidR="005C1864">
        <w:rPr>
          <w:rFonts w:eastAsia="Calibri"/>
        </w:rPr>
        <w:t xml:space="preserve">Specifically, </w:t>
      </w:r>
      <w:r>
        <w:rPr>
          <w:rFonts w:eastAsia="Calibri"/>
        </w:rPr>
        <w:t>we</w:t>
      </w:r>
      <w:r w:rsidRPr="005C1864">
        <w:rPr>
          <w:rFonts w:eastAsia="Calibri"/>
        </w:rPr>
        <w:t xml:space="preserve"> </w:t>
      </w:r>
      <w:r w:rsidRPr="005C1864" w:rsidR="005C1864">
        <w:rPr>
          <w:rFonts w:eastAsia="Calibri"/>
        </w:rPr>
        <w:t>(including vendors or service providers acting on behalf of FDA) do not use name or any other personal identifier to retrieve records from the information collected</w:t>
      </w:r>
      <w:r w:rsidR="005C1864">
        <w:rPr>
          <w:rFonts w:eastAsia="Calibri"/>
        </w:rPr>
        <w:t>.</w:t>
      </w:r>
    </w:p>
    <w:p w:rsidRPr="001075D3" w:rsidR="001075D3" w:rsidP="00760B1D" w:rsidRDefault="005C1864" w14:paraId="444BEA12" w14:textId="77777777">
      <w:pPr>
        <w:spacing w:after="200"/>
        <w:ind w:left="360"/>
      </w:pPr>
      <w:r w:rsidRPr="005C1864">
        <w:rPr>
          <w:rFonts w:eastAsia="Calibri"/>
        </w:rPr>
        <w:lastRenderedPageBreak/>
        <w:t xml:space="preserve">Under FOIA (5 U.S.C. 552), the public has broad access to government documents. </w:t>
      </w:r>
      <w:r>
        <w:rPr>
          <w:rFonts w:eastAsia="Calibri"/>
        </w:rPr>
        <w:t xml:space="preserve"> </w:t>
      </w:r>
      <w:r w:rsidRPr="005C1864">
        <w:rPr>
          <w:rFonts w:eastAsia="Calibri"/>
        </w:rPr>
        <w:t xml:space="preserve">However, FOIA provides certain exemptions from mandatory public disclosure of government records (5 U.S.C. 552(b)(1-9)).  </w:t>
      </w:r>
      <w:r w:rsidR="00276D1F">
        <w:rPr>
          <w:rFonts w:eastAsia="Calibri"/>
        </w:rPr>
        <w:t>We</w:t>
      </w:r>
      <w:r w:rsidRPr="005C1864" w:rsidR="00276D1F">
        <w:rPr>
          <w:rFonts w:eastAsia="Calibri"/>
        </w:rPr>
        <w:t xml:space="preserve"> </w:t>
      </w:r>
      <w:r w:rsidRPr="005C1864">
        <w:rPr>
          <w:rFonts w:eastAsia="Calibri"/>
        </w:rPr>
        <w:t xml:space="preserve">will make the fullest possible disclosure of records to the public, consistent with the rights of individuals to privacy, the property rights of persons in trade and confidential commercial or financial information. </w:t>
      </w:r>
    </w:p>
    <w:p w:rsidRPr="00357C8A" w:rsidR="00357C8A" w:rsidP="006705EA" w:rsidRDefault="00357C8A" w14:paraId="2F5F8982" w14:textId="77777777">
      <w:pPr>
        <w:numPr>
          <w:ilvl w:val="0"/>
          <w:numId w:val="6"/>
        </w:numPr>
        <w:spacing w:after="200" w:line="276" w:lineRule="auto"/>
        <w:rPr>
          <w:rFonts w:eastAsia="Calibri"/>
        </w:rPr>
      </w:pPr>
      <w:r w:rsidRPr="00357C8A">
        <w:rPr>
          <w:rFonts w:eastAsia="Calibri"/>
          <w:u w:val="single"/>
        </w:rPr>
        <w:t>Justification for Sensitive Questions</w:t>
      </w:r>
    </w:p>
    <w:p w:rsidRPr="005E75E3" w:rsidR="00357C8A" w:rsidP="00760B1D" w:rsidRDefault="009F70ED" w14:paraId="7F2B1950" w14:textId="25C4C372">
      <w:pPr>
        <w:spacing w:after="200"/>
        <w:ind w:left="360"/>
        <w:rPr>
          <w:rFonts w:eastAsia="Calibri"/>
          <w:color w:val="000000"/>
        </w:rPr>
      </w:pPr>
      <w:r w:rsidRPr="009F70ED">
        <w:rPr>
          <w:rFonts w:eastAsia="Calibri"/>
        </w:rPr>
        <w:t>This information collection does not involve any questions that are of a personally sensitive nature.</w:t>
      </w:r>
      <w:r w:rsidR="002737E1">
        <w:rPr>
          <w:rFonts w:eastAsia="Calibri"/>
        </w:rPr>
        <w:t xml:space="preserve"> </w:t>
      </w:r>
    </w:p>
    <w:p w:rsidRPr="00357C8A" w:rsidR="00357C8A" w:rsidP="006705EA" w:rsidRDefault="00357C8A" w14:paraId="3377112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79D96E50" w14:textId="77777777">
      <w:pPr>
        <w:spacing w:after="200"/>
        <w:ind w:left="360"/>
        <w:rPr>
          <w:rFonts w:eastAsia="Calibri"/>
        </w:rPr>
      </w:pPr>
      <w:r w:rsidRPr="005C71CA">
        <w:rPr>
          <w:rFonts w:eastAsia="Calibri"/>
        </w:rPr>
        <w:t xml:space="preserve">12a.  </w:t>
      </w:r>
      <w:r w:rsidRPr="00760B1D">
        <w:rPr>
          <w:rFonts w:eastAsia="Calibri"/>
          <w:u w:val="single"/>
        </w:rPr>
        <w:t>Annualized Hour Burden Estimate</w:t>
      </w:r>
    </w:p>
    <w:p w:rsidRPr="009F70ED" w:rsidR="009F70ED" w:rsidP="009F70ED" w:rsidRDefault="00A4132D" w14:paraId="2569E3E8" w14:textId="77777777">
      <w:pPr>
        <w:widowControl w:val="0"/>
        <w:autoSpaceDE w:val="0"/>
        <w:autoSpaceDN w:val="0"/>
        <w:spacing w:before="90"/>
        <w:ind w:left="820"/>
      </w:pPr>
      <w:r>
        <w:t>We</w:t>
      </w:r>
      <w:r w:rsidRPr="009F70ED">
        <w:t xml:space="preserve"> </w:t>
      </w:r>
      <w:r w:rsidRPr="009F70ED" w:rsidR="009F70ED">
        <w:t>estimate the burden of this collection of information as follows:</w:t>
      </w:r>
    </w:p>
    <w:p w:rsidRPr="009F70ED" w:rsidR="009F70ED" w:rsidP="009F70ED" w:rsidRDefault="009F70ED" w14:paraId="6A590409" w14:textId="77777777">
      <w:pPr>
        <w:widowControl w:val="0"/>
        <w:autoSpaceDE w:val="0"/>
        <w:autoSpaceDN w:val="0"/>
        <w:spacing w:before="4"/>
      </w:pPr>
    </w:p>
    <w:tbl>
      <w:tblPr>
        <w:tblW w:w="0" w:type="auto"/>
        <w:tblInd w:w="8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00"/>
        <w:gridCol w:w="1440"/>
        <w:gridCol w:w="1622"/>
        <w:gridCol w:w="1351"/>
        <w:gridCol w:w="1351"/>
        <w:gridCol w:w="1071"/>
      </w:tblGrid>
      <w:tr w:rsidRPr="009F70ED" w:rsidR="009F70ED" w:rsidTr="005E75E3" w14:paraId="40C8B625" w14:textId="77777777">
        <w:trPr>
          <w:trHeight w:val="252"/>
        </w:trPr>
        <w:tc>
          <w:tcPr>
            <w:tcW w:w="8635" w:type="dxa"/>
            <w:gridSpan w:val="6"/>
          </w:tcPr>
          <w:p w:rsidRPr="00D67254" w:rsidR="009F70ED" w:rsidP="009F70ED" w:rsidRDefault="009F70ED" w14:paraId="73FCB56B" w14:textId="77777777">
            <w:pPr>
              <w:widowControl w:val="0"/>
              <w:autoSpaceDE w:val="0"/>
              <w:autoSpaceDN w:val="0"/>
              <w:spacing w:line="233" w:lineRule="exact"/>
              <w:ind w:left="2239"/>
              <w:rPr>
                <w:sz w:val="20"/>
                <w:szCs w:val="20"/>
              </w:rPr>
            </w:pPr>
            <w:r w:rsidRPr="00D67254">
              <w:rPr>
                <w:sz w:val="20"/>
                <w:szCs w:val="20"/>
              </w:rPr>
              <w:t xml:space="preserve">Table </w:t>
            </w:r>
            <w:r w:rsidRPr="00D67254" w:rsidR="00D67254">
              <w:rPr>
                <w:sz w:val="20"/>
                <w:szCs w:val="20"/>
              </w:rPr>
              <w:t>1.--</w:t>
            </w:r>
            <w:r w:rsidRPr="00D67254">
              <w:rPr>
                <w:sz w:val="20"/>
                <w:szCs w:val="20"/>
              </w:rPr>
              <w:t>Estimated Annual Reporting Burden</w:t>
            </w:r>
            <w:r w:rsidRPr="00D67254">
              <w:rPr>
                <w:sz w:val="20"/>
                <w:szCs w:val="20"/>
                <w:vertAlign w:val="superscript"/>
              </w:rPr>
              <w:t>1</w:t>
            </w:r>
          </w:p>
        </w:tc>
      </w:tr>
      <w:tr w:rsidRPr="009F70ED" w:rsidR="009F70ED" w:rsidTr="005E75E3" w14:paraId="734835A5" w14:textId="77777777">
        <w:trPr>
          <w:trHeight w:val="759"/>
        </w:trPr>
        <w:tc>
          <w:tcPr>
            <w:tcW w:w="1800" w:type="dxa"/>
          </w:tcPr>
          <w:p w:rsidRPr="00D67254" w:rsidR="009F70ED" w:rsidP="009F70ED" w:rsidRDefault="009F70ED" w14:paraId="6F006F0C" w14:textId="77777777">
            <w:pPr>
              <w:widowControl w:val="0"/>
              <w:autoSpaceDE w:val="0"/>
              <w:autoSpaceDN w:val="0"/>
              <w:spacing w:line="251" w:lineRule="exact"/>
              <w:ind w:left="196"/>
              <w:rPr>
                <w:sz w:val="20"/>
                <w:szCs w:val="20"/>
              </w:rPr>
            </w:pPr>
            <w:r w:rsidRPr="00D67254">
              <w:rPr>
                <w:sz w:val="20"/>
                <w:szCs w:val="20"/>
              </w:rPr>
              <w:t>21 CFR Section</w:t>
            </w:r>
          </w:p>
        </w:tc>
        <w:tc>
          <w:tcPr>
            <w:tcW w:w="1440" w:type="dxa"/>
          </w:tcPr>
          <w:p w:rsidRPr="00D67254" w:rsidR="009F70ED" w:rsidP="009F70ED" w:rsidRDefault="009F70ED" w14:paraId="7EB115BE" w14:textId="77777777">
            <w:pPr>
              <w:widowControl w:val="0"/>
              <w:autoSpaceDE w:val="0"/>
              <w:autoSpaceDN w:val="0"/>
              <w:ind w:left="157" w:right="128" w:firstLine="280"/>
              <w:rPr>
                <w:sz w:val="20"/>
                <w:szCs w:val="20"/>
              </w:rPr>
            </w:pPr>
            <w:r w:rsidRPr="00D67254">
              <w:rPr>
                <w:sz w:val="20"/>
                <w:szCs w:val="20"/>
              </w:rPr>
              <w:t>No. of Respondents</w:t>
            </w:r>
          </w:p>
        </w:tc>
        <w:tc>
          <w:tcPr>
            <w:tcW w:w="1622" w:type="dxa"/>
          </w:tcPr>
          <w:p w:rsidRPr="00D67254" w:rsidR="009F70ED" w:rsidP="009F70ED" w:rsidRDefault="009F70ED" w14:paraId="6A9C19EC" w14:textId="77777777">
            <w:pPr>
              <w:widowControl w:val="0"/>
              <w:autoSpaceDE w:val="0"/>
              <w:autoSpaceDN w:val="0"/>
              <w:ind w:left="178" w:right="166" w:hanging="2"/>
              <w:jc w:val="center"/>
              <w:rPr>
                <w:sz w:val="20"/>
                <w:szCs w:val="20"/>
              </w:rPr>
            </w:pPr>
            <w:r w:rsidRPr="00D67254">
              <w:rPr>
                <w:sz w:val="20"/>
                <w:szCs w:val="20"/>
              </w:rPr>
              <w:t>No. of Responses</w:t>
            </w:r>
            <w:r w:rsidRPr="00D67254">
              <w:rPr>
                <w:spacing w:val="-2"/>
                <w:sz w:val="20"/>
                <w:szCs w:val="20"/>
              </w:rPr>
              <w:t xml:space="preserve"> </w:t>
            </w:r>
            <w:r w:rsidRPr="00D67254">
              <w:rPr>
                <w:spacing w:val="-5"/>
                <w:sz w:val="20"/>
                <w:szCs w:val="20"/>
              </w:rPr>
              <w:t>per</w:t>
            </w:r>
          </w:p>
          <w:p w:rsidRPr="00D67254" w:rsidR="009F70ED" w:rsidP="009F70ED" w:rsidRDefault="009F70ED" w14:paraId="019B7557" w14:textId="77777777">
            <w:pPr>
              <w:widowControl w:val="0"/>
              <w:autoSpaceDE w:val="0"/>
              <w:autoSpaceDN w:val="0"/>
              <w:spacing w:line="235" w:lineRule="exact"/>
              <w:ind w:left="271" w:right="261"/>
              <w:jc w:val="center"/>
              <w:rPr>
                <w:sz w:val="20"/>
                <w:szCs w:val="20"/>
              </w:rPr>
            </w:pPr>
            <w:r w:rsidRPr="00D67254">
              <w:rPr>
                <w:sz w:val="20"/>
                <w:szCs w:val="20"/>
              </w:rPr>
              <w:t>Respondent</w:t>
            </w:r>
          </w:p>
        </w:tc>
        <w:tc>
          <w:tcPr>
            <w:tcW w:w="1351" w:type="dxa"/>
          </w:tcPr>
          <w:p w:rsidRPr="00D67254" w:rsidR="009F70ED" w:rsidP="009F70ED" w:rsidRDefault="009F70ED" w14:paraId="43F12EB9" w14:textId="77777777">
            <w:pPr>
              <w:widowControl w:val="0"/>
              <w:autoSpaceDE w:val="0"/>
              <w:autoSpaceDN w:val="0"/>
              <w:ind w:left="351" w:right="339" w:firstLine="2"/>
              <w:jc w:val="center"/>
              <w:rPr>
                <w:sz w:val="20"/>
                <w:szCs w:val="20"/>
              </w:rPr>
            </w:pPr>
            <w:r w:rsidRPr="00D67254">
              <w:rPr>
                <w:sz w:val="20"/>
                <w:szCs w:val="20"/>
              </w:rPr>
              <w:t>Total Annual</w:t>
            </w:r>
          </w:p>
          <w:p w:rsidRPr="00D67254" w:rsidR="009F70ED" w:rsidP="009F70ED" w:rsidRDefault="009F70ED" w14:paraId="169A37D1" w14:textId="77777777">
            <w:pPr>
              <w:widowControl w:val="0"/>
              <w:autoSpaceDE w:val="0"/>
              <w:autoSpaceDN w:val="0"/>
              <w:spacing w:line="235" w:lineRule="exact"/>
              <w:ind w:left="190" w:right="181"/>
              <w:jc w:val="center"/>
              <w:rPr>
                <w:sz w:val="20"/>
                <w:szCs w:val="20"/>
              </w:rPr>
            </w:pPr>
            <w:r w:rsidRPr="00D67254">
              <w:rPr>
                <w:sz w:val="20"/>
                <w:szCs w:val="20"/>
              </w:rPr>
              <w:t>Responses</w:t>
            </w:r>
          </w:p>
        </w:tc>
        <w:tc>
          <w:tcPr>
            <w:tcW w:w="1351" w:type="dxa"/>
          </w:tcPr>
          <w:p w:rsidRPr="00D67254" w:rsidR="009F70ED" w:rsidP="009F70ED" w:rsidRDefault="009F70ED" w14:paraId="355C0C3E" w14:textId="77777777">
            <w:pPr>
              <w:widowControl w:val="0"/>
              <w:autoSpaceDE w:val="0"/>
              <w:autoSpaceDN w:val="0"/>
              <w:ind w:left="184" w:firstLine="119"/>
              <w:rPr>
                <w:sz w:val="20"/>
                <w:szCs w:val="20"/>
              </w:rPr>
            </w:pPr>
            <w:r w:rsidRPr="00D67254">
              <w:rPr>
                <w:sz w:val="20"/>
                <w:szCs w:val="20"/>
              </w:rPr>
              <w:t>Average Burden</w:t>
            </w:r>
            <w:r w:rsidRPr="00D67254">
              <w:rPr>
                <w:spacing w:val="-2"/>
                <w:sz w:val="20"/>
                <w:szCs w:val="20"/>
              </w:rPr>
              <w:t xml:space="preserve"> </w:t>
            </w:r>
            <w:r w:rsidRPr="00D67254">
              <w:rPr>
                <w:spacing w:val="-5"/>
                <w:sz w:val="20"/>
                <w:szCs w:val="20"/>
              </w:rPr>
              <w:t>per</w:t>
            </w:r>
          </w:p>
          <w:p w:rsidRPr="00D67254" w:rsidR="009F70ED" w:rsidP="009F70ED" w:rsidRDefault="009F70ED" w14:paraId="274E6CA8" w14:textId="77777777">
            <w:pPr>
              <w:widowControl w:val="0"/>
              <w:autoSpaceDE w:val="0"/>
              <w:autoSpaceDN w:val="0"/>
              <w:spacing w:line="235" w:lineRule="exact"/>
              <w:ind w:left="253"/>
              <w:rPr>
                <w:sz w:val="20"/>
                <w:szCs w:val="20"/>
              </w:rPr>
            </w:pPr>
            <w:r w:rsidRPr="00D67254">
              <w:rPr>
                <w:sz w:val="20"/>
                <w:szCs w:val="20"/>
              </w:rPr>
              <w:t>Response</w:t>
            </w:r>
          </w:p>
        </w:tc>
        <w:tc>
          <w:tcPr>
            <w:tcW w:w="1071" w:type="dxa"/>
          </w:tcPr>
          <w:p w:rsidRPr="00D67254" w:rsidR="009F70ED" w:rsidP="009F70ED" w:rsidRDefault="009F70ED" w14:paraId="06AB4379" w14:textId="77777777">
            <w:pPr>
              <w:widowControl w:val="0"/>
              <w:autoSpaceDE w:val="0"/>
              <w:autoSpaceDN w:val="0"/>
              <w:ind w:left="267" w:right="236" w:firstLine="37"/>
              <w:rPr>
                <w:sz w:val="20"/>
                <w:szCs w:val="20"/>
              </w:rPr>
            </w:pPr>
            <w:r w:rsidRPr="00D67254">
              <w:rPr>
                <w:sz w:val="20"/>
                <w:szCs w:val="20"/>
              </w:rPr>
              <w:t>Total Hours</w:t>
            </w:r>
          </w:p>
        </w:tc>
      </w:tr>
      <w:tr w:rsidRPr="009F70ED" w:rsidR="009F70ED" w:rsidTr="005E75E3" w14:paraId="6C006BF5" w14:textId="77777777">
        <w:trPr>
          <w:trHeight w:val="252"/>
        </w:trPr>
        <w:tc>
          <w:tcPr>
            <w:tcW w:w="1800" w:type="dxa"/>
          </w:tcPr>
          <w:p w:rsidRPr="00D67254" w:rsidR="009F70ED" w:rsidP="00760B1D" w:rsidRDefault="009F70ED" w14:paraId="343F0017" w14:textId="77777777">
            <w:pPr>
              <w:widowControl w:val="0"/>
              <w:autoSpaceDE w:val="0"/>
              <w:autoSpaceDN w:val="0"/>
              <w:spacing w:line="233" w:lineRule="exact"/>
              <w:ind w:left="107"/>
              <w:jc w:val="center"/>
              <w:rPr>
                <w:sz w:val="20"/>
                <w:szCs w:val="20"/>
              </w:rPr>
            </w:pPr>
            <w:r w:rsidRPr="00D67254">
              <w:rPr>
                <w:sz w:val="20"/>
                <w:szCs w:val="20"/>
              </w:rPr>
              <w:t>100.2(d)</w:t>
            </w:r>
          </w:p>
        </w:tc>
        <w:tc>
          <w:tcPr>
            <w:tcW w:w="1440" w:type="dxa"/>
          </w:tcPr>
          <w:p w:rsidRPr="00D67254" w:rsidR="009F70ED" w:rsidP="00760B1D" w:rsidRDefault="009F70ED" w14:paraId="6FF343A6" w14:textId="77777777">
            <w:pPr>
              <w:widowControl w:val="0"/>
              <w:autoSpaceDE w:val="0"/>
              <w:autoSpaceDN w:val="0"/>
              <w:spacing w:line="233" w:lineRule="exact"/>
              <w:ind w:right="96"/>
              <w:jc w:val="center"/>
              <w:rPr>
                <w:sz w:val="20"/>
                <w:szCs w:val="20"/>
              </w:rPr>
            </w:pPr>
            <w:r w:rsidRPr="00D67254">
              <w:rPr>
                <w:w w:val="99"/>
                <w:sz w:val="20"/>
                <w:szCs w:val="20"/>
              </w:rPr>
              <w:t>1</w:t>
            </w:r>
          </w:p>
        </w:tc>
        <w:tc>
          <w:tcPr>
            <w:tcW w:w="1622" w:type="dxa"/>
          </w:tcPr>
          <w:p w:rsidRPr="00D67254" w:rsidR="009F70ED" w:rsidP="00760B1D" w:rsidRDefault="009F70ED" w14:paraId="62773A94" w14:textId="77777777">
            <w:pPr>
              <w:widowControl w:val="0"/>
              <w:autoSpaceDE w:val="0"/>
              <w:autoSpaceDN w:val="0"/>
              <w:spacing w:line="233" w:lineRule="exact"/>
              <w:ind w:right="96"/>
              <w:jc w:val="center"/>
              <w:rPr>
                <w:sz w:val="20"/>
                <w:szCs w:val="20"/>
              </w:rPr>
            </w:pPr>
            <w:r w:rsidRPr="00D67254">
              <w:rPr>
                <w:w w:val="99"/>
                <w:sz w:val="20"/>
                <w:szCs w:val="20"/>
              </w:rPr>
              <w:t>1</w:t>
            </w:r>
          </w:p>
        </w:tc>
        <w:tc>
          <w:tcPr>
            <w:tcW w:w="1351" w:type="dxa"/>
          </w:tcPr>
          <w:p w:rsidRPr="00D67254" w:rsidR="009F70ED" w:rsidP="00760B1D" w:rsidRDefault="009F70ED" w14:paraId="130F2299" w14:textId="77777777">
            <w:pPr>
              <w:widowControl w:val="0"/>
              <w:autoSpaceDE w:val="0"/>
              <w:autoSpaceDN w:val="0"/>
              <w:spacing w:line="233" w:lineRule="exact"/>
              <w:ind w:right="94"/>
              <w:jc w:val="center"/>
              <w:rPr>
                <w:sz w:val="20"/>
                <w:szCs w:val="20"/>
              </w:rPr>
            </w:pPr>
            <w:r w:rsidRPr="00D67254">
              <w:rPr>
                <w:w w:val="99"/>
                <w:sz w:val="20"/>
                <w:szCs w:val="20"/>
              </w:rPr>
              <w:t>1</w:t>
            </w:r>
          </w:p>
        </w:tc>
        <w:tc>
          <w:tcPr>
            <w:tcW w:w="1351" w:type="dxa"/>
          </w:tcPr>
          <w:p w:rsidRPr="00D67254" w:rsidR="009F70ED" w:rsidP="00760B1D" w:rsidRDefault="009F70ED" w14:paraId="46AF1176" w14:textId="77777777">
            <w:pPr>
              <w:widowControl w:val="0"/>
              <w:autoSpaceDE w:val="0"/>
              <w:autoSpaceDN w:val="0"/>
              <w:spacing w:line="233" w:lineRule="exact"/>
              <w:ind w:right="94"/>
              <w:jc w:val="center"/>
              <w:rPr>
                <w:sz w:val="20"/>
                <w:szCs w:val="20"/>
              </w:rPr>
            </w:pPr>
            <w:r w:rsidRPr="00D67254">
              <w:rPr>
                <w:w w:val="95"/>
                <w:sz w:val="20"/>
                <w:szCs w:val="20"/>
              </w:rPr>
              <w:t>10</w:t>
            </w:r>
          </w:p>
        </w:tc>
        <w:tc>
          <w:tcPr>
            <w:tcW w:w="1071" w:type="dxa"/>
          </w:tcPr>
          <w:p w:rsidRPr="00D67254" w:rsidR="009F70ED" w:rsidP="00760B1D" w:rsidRDefault="009F70ED" w14:paraId="453DB974" w14:textId="77777777">
            <w:pPr>
              <w:widowControl w:val="0"/>
              <w:autoSpaceDE w:val="0"/>
              <w:autoSpaceDN w:val="0"/>
              <w:spacing w:line="233" w:lineRule="exact"/>
              <w:ind w:right="95"/>
              <w:jc w:val="center"/>
              <w:rPr>
                <w:sz w:val="20"/>
                <w:szCs w:val="20"/>
              </w:rPr>
            </w:pPr>
            <w:r w:rsidRPr="00D67254">
              <w:rPr>
                <w:w w:val="95"/>
                <w:sz w:val="20"/>
                <w:szCs w:val="20"/>
              </w:rPr>
              <w:t>10</w:t>
            </w:r>
          </w:p>
        </w:tc>
      </w:tr>
    </w:tbl>
    <w:p w:rsidRPr="00D45C8A" w:rsidR="009F70ED" w:rsidP="009F70ED" w:rsidRDefault="00A4132D" w14:paraId="673A8785" w14:textId="77777777">
      <w:pPr>
        <w:widowControl w:val="0"/>
        <w:autoSpaceDE w:val="0"/>
        <w:autoSpaceDN w:val="0"/>
        <w:ind w:left="820"/>
        <w:rPr>
          <w:sz w:val="20"/>
          <w:szCs w:val="20"/>
        </w:rPr>
      </w:pPr>
      <w:r w:rsidRPr="00D45C8A">
        <w:rPr>
          <w:sz w:val="20"/>
          <w:szCs w:val="20"/>
          <w:vertAlign w:val="superscript"/>
        </w:rPr>
        <w:t>1</w:t>
      </w:r>
      <w:r w:rsidRPr="00D45C8A">
        <w:rPr>
          <w:sz w:val="20"/>
          <w:szCs w:val="20"/>
        </w:rPr>
        <w:t>T</w:t>
      </w:r>
      <w:r w:rsidRPr="00D45C8A" w:rsidR="009F70ED">
        <w:rPr>
          <w:sz w:val="20"/>
          <w:szCs w:val="20"/>
        </w:rPr>
        <w:t>here are no capital costs or operating and maintenance costs associated with this collection of information.</w:t>
      </w:r>
    </w:p>
    <w:p w:rsidRPr="009F70ED" w:rsidR="009F70ED" w:rsidP="009F70ED" w:rsidRDefault="009F70ED" w14:paraId="4B6DDA59" w14:textId="77777777">
      <w:pPr>
        <w:widowControl w:val="0"/>
        <w:autoSpaceDE w:val="0"/>
        <w:autoSpaceDN w:val="0"/>
        <w:spacing w:before="2"/>
      </w:pPr>
    </w:p>
    <w:p w:rsidR="00A55906" w:rsidP="009F70ED" w:rsidRDefault="009F70ED" w14:paraId="117CC194" w14:textId="77777777">
      <w:pPr>
        <w:widowControl w:val="0"/>
        <w:autoSpaceDE w:val="0"/>
        <w:autoSpaceDN w:val="0"/>
        <w:ind w:left="819" w:right="217"/>
      </w:pPr>
      <w:r w:rsidRPr="009F70ED">
        <w:t xml:space="preserve">The estimated reporting burden for 21 CFR 100.2(d) is minimal because enforcement notifications are seldom used by States. </w:t>
      </w:r>
      <w:r>
        <w:t xml:space="preserve"> </w:t>
      </w:r>
      <w:r w:rsidRPr="009F70ED">
        <w:t>During the last 3 years, we have not received any new enforcement notifications; therefore, we estimate that one or fewer notifications will be submitted</w:t>
      </w:r>
      <w:r w:rsidRPr="009F70ED">
        <w:rPr>
          <w:spacing w:val="-1"/>
        </w:rPr>
        <w:t xml:space="preserve"> </w:t>
      </w:r>
      <w:r w:rsidRPr="009F70ED">
        <w:t>annually.</w:t>
      </w:r>
      <w:r w:rsidR="004161A3">
        <w:t xml:space="preserve">  </w:t>
      </w:r>
    </w:p>
    <w:p w:rsidR="00A55906" w:rsidP="009F70ED" w:rsidRDefault="00A55906" w14:paraId="7B6421FD" w14:textId="77777777">
      <w:pPr>
        <w:widowControl w:val="0"/>
        <w:autoSpaceDE w:val="0"/>
        <w:autoSpaceDN w:val="0"/>
        <w:ind w:left="819" w:right="217"/>
      </w:pPr>
    </w:p>
    <w:p w:rsidR="009F70ED" w:rsidP="009F70ED" w:rsidRDefault="009F70ED" w14:paraId="505E6ACA" w14:textId="7A1B10E5">
      <w:pPr>
        <w:widowControl w:val="0"/>
        <w:autoSpaceDE w:val="0"/>
        <w:autoSpaceDN w:val="0"/>
        <w:ind w:left="819" w:right="217"/>
      </w:pPr>
      <w:r w:rsidRPr="009F70ED">
        <w:t>Although we have not received any new enforcement notifications in the last 3 years, we believe these information collection provisions should be extended to provide for the potential future need of a State government to submit enforcement notifications informing us when it intends to take enforcement action under the FD&amp;C Act against a particular food located in the State.</w:t>
      </w:r>
    </w:p>
    <w:p w:rsidRPr="005E75E3" w:rsidR="00D67254" w:rsidP="009F70ED" w:rsidRDefault="00D67254" w14:paraId="513394C8" w14:textId="77777777">
      <w:pPr>
        <w:widowControl w:val="0"/>
        <w:autoSpaceDE w:val="0"/>
        <w:autoSpaceDN w:val="0"/>
        <w:ind w:left="819" w:right="217"/>
        <w:rPr>
          <w:color w:val="000000"/>
        </w:rPr>
      </w:pPr>
    </w:p>
    <w:p w:rsidRPr="005C71CA" w:rsidR="00357C8A" w:rsidP="00DC371B" w:rsidRDefault="00357C8A" w14:paraId="42DFAED9" w14:textId="77777777">
      <w:pPr>
        <w:spacing w:after="200"/>
        <w:ind w:left="360"/>
        <w:rPr>
          <w:rFonts w:eastAsia="Calibri"/>
        </w:rPr>
      </w:pPr>
      <w:r w:rsidRPr="005C71CA">
        <w:rPr>
          <w:rFonts w:eastAsia="Calibri"/>
        </w:rPr>
        <w:t xml:space="preserve">12b.  </w:t>
      </w:r>
      <w:r w:rsidRPr="00760B1D">
        <w:rPr>
          <w:rFonts w:eastAsia="Calibri"/>
          <w:u w:val="single"/>
        </w:rPr>
        <w:t>Annualized Cost Burden Estimate</w:t>
      </w:r>
    </w:p>
    <w:p w:rsidR="00542985" w:rsidP="009F70ED" w:rsidRDefault="00A55906" w14:paraId="1A438DC8" w14:textId="7D29FA44">
      <w:pPr>
        <w:widowControl w:val="0"/>
        <w:autoSpaceDE w:val="0"/>
        <w:autoSpaceDN w:val="0"/>
        <w:spacing w:before="90"/>
        <w:ind w:left="820" w:right="150"/>
      </w:pPr>
      <w:r>
        <w:t>FDA</w:t>
      </w:r>
      <w:r w:rsidRPr="009F70ED" w:rsidR="00A4132D">
        <w:t xml:space="preserve"> </w:t>
      </w:r>
      <w:r w:rsidRPr="009F70ED" w:rsidR="009F70ED">
        <w:t>estimate</w:t>
      </w:r>
      <w:r>
        <w:t>s</w:t>
      </w:r>
      <w:r w:rsidRPr="009F70ED" w:rsidR="009F70ED">
        <w:t xml:space="preserve"> the annualized burden hour cost to a respondent for completion and submission of an enforcement notification to be approximately $</w:t>
      </w:r>
      <w:r w:rsidR="009F70ED">
        <w:t>8</w:t>
      </w:r>
      <w:r w:rsidR="00A45FA8">
        <w:t>35</w:t>
      </w:r>
      <w:r w:rsidR="009F70ED">
        <w:t>.</w:t>
      </w:r>
      <w:r w:rsidR="00A45FA8">
        <w:t>6</w:t>
      </w:r>
      <w:r w:rsidR="009F70ED">
        <w:t>0</w:t>
      </w:r>
      <w:r w:rsidRPr="009F70ED" w:rsidR="009F70ED">
        <w:t>.</w:t>
      </w:r>
      <w:r w:rsidR="009F70ED">
        <w:t xml:space="preserve"> </w:t>
      </w:r>
      <w:r w:rsidRPr="009F70ED" w:rsidR="009F70ED">
        <w:t xml:space="preserve"> </w:t>
      </w:r>
      <w:r>
        <w:t xml:space="preserve">FDA </w:t>
      </w:r>
      <w:r w:rsidRPr="009F70ED" w:rsidR="009F70ED">
        <w:t>estimate</w:t>
      </w:r>
      <w:r>
        <w:t>s</w:t>
      </w:r>
      <w:r w:rsidRPr="009F70ED" w:rsidR="009F70ED">
        <w:t xml:space="preserve"> that a State administrator’s average wage to be that of a Federal government employee at the GS-12/Step-1 rate for the Washington-Baltimore locality pay area for the year 20</w:t>
      </w:r>
      <w:r w:rsidR="009F70ED">
        <w:t>2</w:t>
      </w:r>
      <w:r w:rsidR="00A45FA8">
        <w:t>1</w:t>
      </w:r>
      <w:r w:rsidRPr="009F70ED" w:rsidR="009F70ED">
        <w:t>, which makes the annual wage cost for completion and submission approximately $</w:t>
      </w:r>
      <w:r w:rsidR="009F70ED">
        <w:t>41</w:t>
      </w:r>
      <w:r w:rsidR="00A45FA8">
        <w:t>7</w:t>
      </w:r>
      <w:r w:rsidR="009F70ED">
        <w:t>.</w:t>
      </w:r>
      <w:r w:rsidR="00A45FA8">
        <w:t>8</w:t>
      </w:r>
      <w:r w:rsidR="009F70ED">
        <w:t>0</w:t>
      </w:r>
      <w:r w:rsidRPr="009F70ED" w:rsidR="009F70ED">
        <w:t xml:space="preserve"> (10 hours x $</w:t>
      </w:r>
      <w:r w:rsidR="009F70ED">
        <w:t>41</w:t>
      </w:r>
      <w:r w:rsidRPr="009F70ED" w:rsidR="009F70ED">
        <w:t>.</w:t>
      </w:r>
      <w:r w:rsidR="00A45FA8">
        <w:t>78</w:t>
      </w:r>
      <w:r w:rsidRPr="009F70ED" w:rsidR="009F70ED">
        <w:t xml:space="preserve"> per hour). </w:t>
      </w:r>
      <w:r w:rsidR="008920C8">
        <w:t xml:space="preserve"> </w:t>
      </w:r>
      <w:r w:rsidRPr="009F70ED" w:rsidR="009F70ED">
        <w:t>To account for overhead, this cost is increased by 100 percent, making the total estimated burden hour cost to the respondent $</w:t>
      </w:r>
      <w:r w:rsidR="009F70ED">
        <w:t>8</w:t>
      </w:r>
      <w:r w:rsidR="00A45FA8">
        <w:t>35</w:t>
      </w:r>
      <w:r w:rsidR="009F70ED">
        <w:t>.</w:t>
      </w:r>
      <w:r w:rsidR="00A45FA8">
        <w:t>6</w:t>
      </w:r>
      <w:r w:rsidR="009F70ED">
        <w:t>0</w:t>
      </w:r>
      <w:r w:rsidRPr="009F70ED" w:rsidR="009F70ED">
        <w:t>.</w:t>
      </w:r>
    </w:p>
    <w:p w:rsidR="00542985" w:rsidP="00D45C8A" w:rsidRDefault="00542985" w14:paraId="2CA2E80E" w14:textId="77777777">
      <w:pPr>
        <w:widowControl w:val="0"/>
        <w:autoSpaceDE w:val="0"/>
        <w:autoSpaceDN w:val="0"/>
        <w:ind w:left="821" w:right="144"/>
      </w:pPr>
    </w:p>
    <w:p w:rsidR="008920C8" w:rsidP="00D45C8A" w:rsidRDefault="008920C8" w14:paraId="00AD35FC" w14:textId="77777777">
      <w:pPr>
        <w:widowControl w:val="0"/>
        <w:autoSpaceDE w:val="0"/>
        <w:autoSpaceDN w:val="0"/>
        <w:ind w:left="821" w:right="144"/>
        <w:jc w:val="center"/>
      </w:pPr>
      <w:r w:rsidRPr="00D0248C">
        <w:rPr>
          <w:sz w:val="20"/>
        </w:rPr>
        <w:t xml:space="preserve">Table 2.--Annual </w:t>
      </w:r>
      <w:r>
        <w:rPr>
          <w:sz w:val="20"/>
        </w:rPr>
        <w:t>Cost</w:t>
      </w:r>
      <w:r w:rsidRPr="00D0248C">
        <w:rPr>
          <w:sz w:val="20"/>
        </w:rPr>
        <w:t xml:space="preserve"> Burden</w:t>
      </w:r>
      <w:r>
        <w:rPr>
          <w:sz w:val="20"/>
        </w:rPr>
        <w:t xml:space="preserve"> Estimate</w:t>
      </w:r>
    </w:p>
    <w:tbl>
      <w:tblPr>
        <w:tblW w:w="0" w:type="auto"/>
        <w:tblInd w:w="9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800"/>
        <w:gridCol w:w="2394"/>
        <w:gridCol w:w="1926"/>
      </w:tblGrid>
      <w:tr w:rsidRPr="009F70ED" w:rsidR="009F70ED" w:rsidTr="005E75E3" w14:paraId="2BCB3245" w14:textId="77777777">
        <w:trPr>
          <w:trHeight w:val="551"/>
        </w:trPr>
        <w:tc>
          <w:tcPr>
            <w:tcW w:w="2160" w:type="dxa"/>
          </w:tcPr>
          <w:p w:rsidRPr="00D45C8A" w:rsidR="009F70ED" w:rsidP="00D45C8A" w:rsidRDefault="009F70ED" w14:paraId="0FFCB04F" w14:textId="77777777">
            <w:pPr>
              <w:widowControl w:val="0"/>
              <w:autoSpaceDE w:val="0"/>
              <w:autoSpaceDN w:val="0"/>
              <w:spacing w:line="276" w:lineRule="exact"/>
              <w:ind w:left="107" w:right="889"/>
              <w:jc w:val="center"/>
              <w:rPr>
                <w:sz w:val="20"/>
                <w:szCs w:val="20"/>
              </w:rPr>
            </w:pPr>
            <w:r w:rsidRPr="00D45C8A">
              <w:rPr>
                <w:sz w:val="20"/>
                <w:szCs w:val="20"/>
              </w:rPr>
              <w:t>Type of Respondent</w:t>
            </w:r>
          </w:p>
        </w:tc>
        <w:tc>
          <w:tcPr>
            <w:tcW w:w="1800" w:type="dxa"/>
          </w:tcPr>
          <w:p w:rsidRPr="00D45C8A" w:rsidR="009F70ED" w:rsidP="00D45C8A" w:rsidRDefault="009F70ED" w14:paraId="6C047D2C" w14:textId="77777777">
            <w:pPr>
              <w:widowControl w:val="0"/>
              <w:autoSpaceDE w:val="0"/>
              <w:autoSpaceDN w:val="0"/>
              <w:spacing w:line="276" w:lineRule="exact"/>
              <w:ind w:left="107" w:right="390"/>
              <w:jc w:val="center"/>
              <w:rPr>
                <w:sz w:val="20"/>
                <w:szCs w:val="20"/>
              </w:rPr>
            </w:pPr>
            <w:r w:rsidRPr="00D45C8A">
              <w:rPr>
                <w:sz w:val="20"/>
                <w:szCs w:val="20"/>
              </w:rPr>
              <w:t>Total Burden Hours</w:t>
            </w:r>
          </w:p>
        </w:tc>
        <w:tc>
          <w:tcPr>
            <w:tcW w:w="2394" w:type="dxa"/>
          </w:tcPr>
          <w:p w:rsidRPr="00D45C8A" w:rsidR="00EA3433" w:rsidP="00D45C8A" w:rsidRDefault="00EA3433" w14:paraId="0342E85A" w14:textId="77777777">
            <w:pPr>
              <w:widowControl w:val="0"/>
              <w:autoSpaceDE w:val="0"/>
              <w:autoSpaceDN w:val="0"/>
              <w:spacing w:line="273" w:lineRule="exact"/>
              <w:ind w:left="107"/>
              <w:jc w:val="center"/>
              <w:rPr>
                <w:sz w:val="20"/>
                <w:szCs w:val="20"/>
              </w:rPr>
            </w:pPr>
            <w:r w:rsidRPr="00D45C8A">
              <w:rPr>
                <w:sz w:val="20"/>
                <w:szCs w:val="20"/>
              </w:rPr>
              <w:t>Fully Loaded</w:t>
            </w:r>
          </w:p>
          <w:p w:rsidRPr="00D45C8A" w:rsidR="009F70ED" w:rsidP="00D45C8A" w:rsidRDefault="009F70ED" w14:paraId="38D87B05" w14:textId="77777777">
            <w:pPr>
              <w:widowControl w:val="0"/>
              <w:autoSpaceDE w:val="0"/>
              <w:autoSpaceDN w:val="0"/>
              <w:spacing w:line="273" w:lineRule="exact"/>
              <w:ind w:left="107"/>
              <w:jc w:val="center"/>
              <w:rPr>
                <w:sz w:val="20"/>
                <w:szCs w:val="20"/>
              </w:rPr>
            </w:pPr>
            <w:r w:rsidRPr="00D45C8A">
              <w:rPr>
                <w:sz w:val="20"/>
                <w:szCs w:val="20"/>
              </w:rPr>
              <w:t>Hourly Wage Rate</w:t>
            </w:r>
          </w:p>
        </w:tc>
        <w:tc>
          <w:tcPr>
            <w:tcW w:w="1926" w:type="dxa"/>
          </w:tcPr>
          <w:p w:rsidRPr="00D45C8A" w:rsidR="009F70ED" w:rsidP="00D45C8A" w:rsidRDefault="009F70ED" w14:paraId="63F43CBE" w14:textId="77777777">
            <w:pPr>
              <w:widowControl w:val="0"/>
              <w:autoSpaceDE w:val="0"/>
              <w:autoSpaceDN w:val="0"/>
              <w:spacing w:line="276" w:lineRule="exact"/>
              <w:ind w:left="107" w:right="90" w:hanging="1"/>
              <w:jc w:val="center"/>
              <w:rPr>
                <w:sz w:val="20"/>
                <w:szCs w:val="20"/>
              </w:rPr>
            </w:pPr>
            <w:r w:rsidRPr="00D45C8A">
              <w:rPr>
                <w:sz w:val="20"/>
                <w:szCs w:val="20"/>
              </w:rPr>
              <w:t>Total Respondent Costs</w:t>
            </w:r>
          </w:p>
        </w:tc>
      </w:tr>
      <w:tr w:rsidRPr="009F70ED" w:rsidR="009F70ED" w:rsidTr="005E75E3" w14:paraId="69BD845E" w14:textId="77777777">
        <w:trPr>
          <w:trHeight w:val="276"/>
        </w:trPr>
        <w:tc>
          <w:tcPr>
            <w:tcW w:w="2160" w:type="dxa"/>
          </w:tcPr>
          <w:p w:rsidRPr="00D45C8A" w:rsidR="009F70ED" w:rsidP="009F70ED" w:rsidRDefault="009F70ED" w14:paraId="2D545477" w14:textId="77777777">
            <w:pPr>
              <w:widowControl w:val="0"/>
              <w:autoSpaceDE w:val="0"/>
              <w:autoSpaceDN w:val="0"/>
              <w:spacing w:line="256" w:lineRule="exact"/>
              <w:ind w:left="107"/>
              <w:rPr>
                <w:sz w:val="20"/>
                <w:szCs w:val="20"/>
              </w:rPr>
            </w:pPr>
            <w:r w:rsidRPr="00D45C8A">
              <w:rPr>
                <w:sz w:val="20"/>
                <w:szCs w:val="20"/>
              </w:rPr>
              <w:t>State administrator</w:t>
            </w:r>
          </w:p>
        </w:tc>
        <w:tc>
          <w:tcPr>
            <w:tcW w:w="1800" w:type="dxa"/>
          </w:tcPr>
          <w:p w:rsidRPr="00D45C8A" w:rsidR="009F70ED" w:rsidP="00760B1D" w:rsidRDefault="009F70ED" w14:paraId="17391314" w14:textId="77777777">
            <w:pPr>
              <w:widowControl w:val="0"/>
              <w:autoSpaceDE w:val="0"/>
              <w:autoSpaceDN w:val="0"/>
              <w:spacing w:line="256" w:lineRule="exact"/>
              <w:ind w:left="106"/>
              <w:jc w:val="center"/>
              <w:rPr>
                <w:sz w:val="20"/>
                <w:szCs w:val="20"/>
              </w:rPr>
            </w:pPr>
            <w:r w:rsidRPr="00D45C8A">
              <w:rPr>
                <w:sz w:val="20"/>
                <w:szCs w:val="20"/>
              </w:rPr>
              <w:t>10</w:t>
            </w:r>
          </w:p>
        </w:tc>
        <w:tc>
          <w:tcPr>
            <w:tcW w:w="2394" w:type="dxa"/>
          </w:tcPr>
          <w:p w:rsidRPr="00D45C8A" w:rsidR="009F70ED" w:rsidP="00760B1D" w:rsidRDefault="009F70ED" w14:paraId="039DA270" w14:textId="77777777">
            <w:pPr>
              <w:widowControl w:val="0"/>
              <w:autoSpaceDE w:val="0"/>
              <w:autoSpaceDN w:val="0"/>
              <w:spacing w:line="256" w:lineRule="exact"/>
              <w:ind w:left="106"/>
              <w:jc w:val="center"/>
              <w:rPr>
                <w:sz w:val="20"/>
                <w:szCs w:val="20"/>
              </w:rPr>
            </w:pPr>
            <w:r w:rsidRPr="00D45C8A">
              <w:rPr>
                <w:sz w:val="20"/>
                <w:szCs w:val="20"/>
              </w:rPr>
              <w:t>$</w:t>
            </w:r>
            <w:r w:rsidRPr="00D45C8A" w:rsidR="00A45FA8">
              <w:rPr>
                <w:sz w:val="20"/>
                <w:szCs w:val="20"/>
              </w:rPr>
              <w:t>83</w:t>
            </w:r>
            <w:r w:rsidRPr="00D45C8A">
              <w:rPr>
                <w:sz w:val="20"/>
                <w:szCs w:val="20"/>
              </w:rPr>
              <w:t>.</w:t>
            </w:r>
            <w:r w:rsidRPr="00D45C8A" w:rsidR="00A45FA8">
              <w:rPr>
                <w:sz w:val="20"/>
                <w:szCs w:val="20"/>
              </w:rPr>
              <w:t>56</w:t>
            </w:r>
          </w:p>
        </w:tc>
        <w:tc>
          <w:tcPr>
            <w:tcW w:w="1926" w:type="dxa"/>
          </w:tcPr>
          <w:p w:rsidRPr="00D45C8A" w:rsidR="009F70ED" w:rsidP="00760B1D" w:rsidRDefault="009F70ED" w14:paraId="516D50B1" w14:textId="77777777">
            <w:pPr>
              <w:widowControl w:val="0"/>
              <w:autoSpaceDE w:val="0"/>
              <w:autoSpaceDN w:val="0"/>
              <w:spacing w:line="256" w:lineRule="exact"/>
              <w:ind w:left="106"/>
              <w:jc w:val="center"/>
              <w:rPr>
                <w:sz w:val="20"/>
                <w:szCs w:val="20"/>
              </w:rPr>
            </w:pPr>
            <w:r w:rsidRPr="00D45C8A">
              <w:rPr>
                <w:sz w:val="20"/>
                <w:szCs w:val="20"/>
              </w:rPr>
              <w:t>$</w:t>
            </w:r>
            <w:r w:rsidRPr="00D45C8A" w:rsidR="00EA3433">
              <w:rPr>
                <w:sz w:val="20"/>
                <w:szCs w:val="20"/>
              </w:rPr>
              <w:t>8</w:t>
            </w:r>
            <w:r w:rsidRPr="00D45C8A" w:rsidR="00A45FA8">
              <w:rPr>
                <w:sz w:val="20"/>
                <w:szCs w:val="20"/>
              </w:rPr>
              <w:t>35</w:t>
            </w:r>
            <w:r w:rsidRPr="00D45C8A" w:rsidR="00EA3433">
              <w:rPr>
                <w:sz w:val="20"/>
                <w:szCs w:val="20"/>
              </w:rPr>
              <w:t>.</w:t>
            </w:r>
            <w:r w:rsidRPr="00D45C8A" w:rsidR="00A45FA8">
              <w:rPr>
                <w:sz w:val="20"/>
                <w:szCs w:val="20"/>
              </w:rPr>
              <w:t>6</w:t>
            </w:r>
            <w:r w:rsidRPr="00D45C8A">
              <w:rPr>
                <w:sz w:val="20"/>
                <w:szCs w:val="20"/>
              </w:rPr>
              <w:t>0</w:t>
            </w:r>
          </w:p>
        </w:tc>
      </w:tr>
    </w:tbl>
    <w:p w:rsidR="00357C8A" w:rsidP="00357C8A" w:rsidRDefault="00357C8A" w14:paraId="268C03D5" w14:textId="77777777">
      <w:pPr>
        <w:rPr>
          <w:rFonts w:eastAsia="Calibri"/>
        </w:rPr>
      </w:pPr>
    </w:p>
    <w:p w:rsidR="008920C8" w:rsidP="00357C8A" w:rsidRDefault="008920C8" w14:paraId="647BDB9E" w14:textId="77777777">
      <w:pPr>
        <w:rPr>
          <w:rFonts w:eastAsia="Calibri"/>
        </w:rPr>
      </w:pPr>
    </w:p>
    <w:p w:rsidR="008920C8" w:rsidP="00357C8A" w:rsidRDefault="008920C8" w14:paraId="7EA5230C" w14:textId="77777777">
      <w:pPr>
        <w:rPr>
          <w:rFonts w:eastAsia="Calibri"/>
        </w:rPr>
      </w:pPr>
    </w:p>
    <w:p w:rsidRPr="00357C8A" w:rsidR="008920C8" w:rsidP="00357C8A" w:rsidRDefault="008920C8" w14:paraId="203E7DB8" w14:textId="77777777">
      <w:pPr>
        <w:rPr>
          <w:rFonts w:eastAsia="Calibri"/>
        </w:rPr>
      </w:pPr>
    </w:p>
    <w:p w:rsidRPr="00357C8A" w:rsidR="00357C8A" w:rsidP="006705EA" w:rsidRDefault="00357C8A" w14:paraId="1869C72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760B1D" w:rsidRDefault="00EA3433" w14:paraId="2D09C556" w14:textId="118C092F">
      <w:pPr>
        <w:spacing w:after="200" w:line="276" w:lineRule="auto"/>
        <w:ind w:left="360"/>
        <w:rPr>
          <w:rFonts w:eastAsia="Calibri"/>
          <w:u w:val="single"/>
        </w:rPr>
      </w:pPr>
      <w:r w:rsidRPr="00EA3433">
        <w:rPr>
          <w:rFonts w:eastAsia="Calibri"/>
        </w:rPr>
        <w:t>There are no capital, start-up, operating or maintenance costs associated with this information collection.</w:t>
      </w:r>
      <w:r w:rsidR="003A40E5">
        <w:rPr>
          <w:rFonts w:eastAsia="Calibri"/>
        </w:rPr>
        <w:t xml:space="preserve"> </w:t>
      </w:r>
    </w:p>
    <w:p w:rsidRPr="00357C8A" w:rsidR="00357C8A" w:rsidP="006705EA" w:rsidRDefault="00357C8A" w14:paraId="6AE4477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EA3433" w:rsidP="00760B1D" w:rsidRDefault="00EA3433" w14:paraId="529758AE" w14:textId="020E76B1">
      <w:pPr>
        <w:spacing w:after="200"/>
        <w:ind w:left="360"/>
        <w:rPr>
          <w:rFonts w:eastAsia="Calibri"/>
        </w:rPr>
      </w:pPr>
      <w:r w:rsidRPr="00EA3433">
        <w:rPr>
          <w:rFonts w:eastAsia="Calibri"/>
        </w:rPr>
        <w:t>We estimate an annualized cost to the Federal government attributable to the review and evaluation of enforcement notifications submitted under section 21 CFR 100.2(d) to be approximately $</w:t>
      </w:r>
      <w:r w:rsidR="00A45FA8">
        <w:rPr>
          <w:rFonts w:eastAsia="Calibri"/>
        </w:rPr>
        <w:t>3,974.40</w:t>
      </w:r>
      <w:r w:rsidRPr="00EA3433">
        <w:rPr>
          <w:rFonts w:eastAsia="Calibri"/>
        </w:rPr>
        <w:t xml:space="preserve">. </w:t>
      </w:r>
      <w:r w:rsidR="008920C8">
        <w:rPr>
          <w:rFonts w:eastAsia="Calibri"/>
        </w:rPr>
        <w:t xml:space="preserve"> </w:t>
      </w:r>
      <w:r w:rsidRPr="00EA3433">
        <w:rPr>
          <w:rFonts w:eastAsia="Calibri"/>
        </w:rPr>
        <w:t>This figure assumes that review and evaluation by a Federal employee takes about 40 hours per notification at $4</w:t>
      </w:r>
      <w:r>
        <w:rPr>
          <w:rFonts w:eastAsia="Calibri"/>
        </w:rPr>
        <w:t>9</w:t>
      </w:r>
      <w:r w:rsidRPr="00EA3433">
        <w:rPr>
          <w:rFonts w:eastAsia="Calibri"/>
        </w:rPr>
        <w:t>.</w:t>
      </w:r>
      <w:r w:rsidR="00A45FA8">
        <w:rPr>
          <w:rFonts w:eastAsia="Calibri"/>
        </w:rPr>
        <w:t>68</w:t>
      </w:r>
      <w:r w:rsidRPr="00EA3433">
        <w:rPr>
          <w:rFonts w:eastAsia="Calibri"/>
        </w:rPr>
        <w:t xml:space="preserve"> per hour (the GS-13/Step-1 salary rate for the Washington- Baltimore locality pay area for the year 20</w:t>
      </w:r>
      <w:r>
        <w:rPr>
          <w:rFonts w:eastAsia="Calibri"/>
        </w:rPr>
        <w:t>2</w:t>
      </w:r>
      <w:r w:rsidR="00A45FA8">
        <w:rPr>
          <w:rFonts w:eastAsia="Calibri"/>
        </w:rPr>
        <w:t>1</w:t>
      </w:r>
      <w:r w:rsidRPr="00EA3433">
        <w:rPr>
          <w:rFonts w:eastAsia="Calibri"/>
        </w:rPr>
        <w:t xml:space="preserve">). </w:t>
      </w:r>
      <w:r w:rsidR="008920C8">
        <w:rPr>
          <w:rFonts w:eastAsia="Calibri"/>
        </w:rPr>
        <w:t xml:space="preserve"> </w:t>
      </w:r>
      <w:r>
        <w:rPr>
          <w:rFonts w:eastAsia="Calibri"/>
        </w:rPr>
        <w:t>To account for overhead, we have doubled the hourly rate to $9</w:t>
      </w:r>
      <w:r w:rsidR="00073B1F">
        <w:rPr>
          <w:rFonts w:eastAsia="Calibri"/>
        </w:rPr>
        <w:t>9</w:t>
      </w:r>
      <w:r>
        <w:rPr>
          <w:rFonts w:eastAsia="Calibri"/>
        </w:rPr>
        <w:t>.3</w:t>
      </w:r>
      <w:r w:rsidR="008920C8">
        <w:rPr>
          <w:rFonts w:eastAsia="Calibri"/>
        </w:rPr>
        <w:t>6</w:t>
      </w:r>
      <w:r>
        <w:rPr>
          <w:rFonts w:eastAsia="Calibri"/>
        </w:rPr>
        <w:t>, which brings the annualized cost to $</w:t>
      </w:r>
      <w:r w:rsidR="00A45FA8">
        <w:rPr>
          <w:rFonts w:eastAsia="Calibri"/>
        </w:rPr>
        <w:t>3,974.40</w:t>
      </w:r>
      <w:r w:rsidR="00ED3105">
        <w:rPr>
          <w:rFonts w:eastAsia="Calibri"/>
        </w:rPr>
        <w:t xml:space="preserve"> (40 hours x </w:t>
      </w:r>
      <w:r w:rsidR="00D67254">
        <w:rPr>
          <w:rFonts w:eastAsia="Calibri"/>
        </w:rPr>
        <w:t>$</w:t>
      </w:r>
      <w:r w:rsidR="00A45FA8">
        <w:rPr>
          <w:rFonts w:eastAsia="Calibri"/>
        </w:rPr>
        <w:t>99.36</w:t>
      </w:r>
      <w:r w:rsidR="00D67254">
        <w:rPr>
          <w:rFonts w:eastAsia="Calibri"/>
        </w:rPr>
        <w:t>/h</w:t>
      </w:r>
      <w:r w:rsidR="00A73C16">
        <w:rPr>
          <w:rFonts w:eastAsia="Calibri"/>
        </w:rPr>
        <w:t>ou</w:t>
      </w:r>
      <w:r w:rsidR="00D67254">
        <w:rPr>
          <w:rFonts w:eastAsia="Calibri"/>
        </w:rPr>
        <w:t>r).</w:t>
      </w:r>
    </w:p>
    <w:p w:rsidRPr="00357C8A" w:rsidR="00357C8A" w:rsidP="00760B1D" w:rsidRDefault="00EA3433" w14:paraId="1331F623" w14:textId="77777777">
      <w:pPr>
        <w:spacing w:after="200"/>
        <w:ind w:left="360"/>
        <w:rPr>
          <w:rFonts w:eastAsia="Calibri"/>
        </w:rPr>
      </w:pPr>
      <w:r w:rsidRPr="00EA3433">
        <w:rPr>
          <w:rFonts w:eastAsia="Calibri"/>
        </w:rPr>
        <w:t xml:space="preserve">However, as stated previously, no notifications have been received since </w:t>
      </w:r>
      <w:r w:rsidR="008920C8">
        <w:rPr>
          <w:rFonts w:eastAsia="Calibri"/>
        </w:rPr>
        <w:t xml:space="preserve">the </w:t>
      </w:r>
      <w:r w:rsidRPr="00EA3433">
        <w:rPr>
          <w:rFonts w:eastAsia="Calibri"/>
        </w:rPr>
        <w:t>last OMB review of the information collection.</w:t>
      </w:r>
    </w:p>
    <w:p w:rsidR="00357C8A" w:rsidP="006705EA" w:rsidRDefault="00357C8A" w14:paraId="7EBC57E8"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E75E3" w:rsidR="00357C8A" w:rsidP="00760B1D" w:rsidRDefault="00D67254" w14:paraId="1A854C28" w14:textId="77777777">
      <w:pPr>
        <w:spacing w:after="200"/>
        <w:ind w:left="360"/>
        <w:rPr>
          <w:rFonts w:eastAsia="Calibri"/>
          <w:color w:val="000000"/>
        </w:rPr>
      </w:pPr>
      <w:r w:rsidRPr="00D67254">
        <w:rPr>
          <w:rFonts w:eastAsia="Calibri"/>
        </w:rPr>
        <w:t>Based on a review of the information collection since our last request for OMB approval, we have made no adjustments to our burden estimate.</w:t>
      </w:r>
    </w:p>
    <w:p w:rsidRPr="00357C8A" w:rsidR="00357C8A" w:rsidP="006705EA" w:rsidRDefault="00357C8A" w14:paraId="06C74B2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5E75E3" w:rsidR="00357C8A" w:rsidP="00760B1D" w:rsidRDefault="00D67254" w14:paraId="269B3951" w14:textId="77777777">
      <w:pPr>
        <w:spacing w:after="200"/>
        <w:ind w:firstLine="360"/>
        <w:rPr>
          <w:rFonts w:eastAsia="Calibri"/>
          <w:color w:val="000000"/>
        </w:rPr>
      </w:pPr>
      <w:r w:rsidRPr="00D67254">
        <w:t>The information obtained from this data collection will not be published</w:t>
      </w:r>
      <w:r>
        <w:t xml:space="preserve"> or tabulated.</w:t>
      </w:r>
    </w:p>
    <w:p w:rsidRPr="00357C8A" w:rsidR="00357C8A" w:rsidP="006705EA" w:rsidRDefault="00357C8A" w14:paraId="2BF28E9A"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5E75E3" w:rsidR="00357C8A" w:rsidP="00760B1D" w:rsidRDefault="00D67254" w14:paraId="135569F0" w14:textId="77777777">
      <w:pPr>
        <w:spacing w:after="200"/>
        <w:ind w:firstLine="360"/>
        <w:rPr>
          <w:rFonts w:eastAsia="Calibri"/>
          <w:color w:val="000000"/>
        </w:rPr>
      </w:pPr>
      <w:r w:rsidRPr="00D67254">
        <w:rPr>
          <w:rFonts w:eastAsia="Calibri"/>
        </w:rPr>
        <w:t>No approval is requested to not display the expiration date of OMB approval.</w:t>
      </w:r>
    </w:p>
    <w:p w:rsidRPr="00357C8A" w:rsidR="00357C8A" w:rsidP="006705EA" w:rsidRDefault="00357C8A" w14:paraId="4ECDD44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760B1D" w:rsidRDefault="00D67254" w14:paraId="4956B669" w14:textId="5B7BEE0C">
      <w:pPr>
        <w:spacing w:after="200"/>
        <w:ind w:firstLine="360"/>
        <w:rPr>
          <w:rFonts w:eastAsia="Calibri"/>
        </w:rPr>
      </w:pPr>
      <w:r w:rsidRPr="00D67254">
        <w:rPr>
          <w:rFonts w:eastAsia="Calibri"/>
        </w:rPr>
        <w:t>There are no exceptions to the certification.</w:t>
      </w:r>
      <w:r w:rsidR="00A73C16">
        <w:rPr>
          <w:rFonts w:eastAsia="Calibri"/>
        </w:rPr>
        <w:t xml:space="preserve"> </w:t>
      </w:r>
    </w:p>
    <w:sectPr w:rsidRPr="00C20690" w:rsidR="00544138"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EF96C" w14:textId="77777777" w:rsidR="00B1717E" w:rsidRDefault="00B1717E">
      <w:r>
        <w:separator/>
      </w:r>
    </w:p>
  </w:endnote>
  <w:endnote w:type="continuationSeparator" w:id="0">
    <w:p w14:paraId="534B75CE" w14:textId="77777777" w:rsidR="00B1717E" w:rsidRDefault="00B1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B63F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60697"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281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BE350C"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0C093" w14:textId="77777777" w:rsidR="00B1717E" w:rsidRDefault="00B1717E">
      <w:r>
        <w:separator/>
      </w:r>
    </w:p>
  </w:footnote>
  <w:footnote w:type="continuationSeparator" w:id="0">
    <w:p w14:paraId="1A1C675E" w14:textId="77777777" w:rsidR="00B1717E" w:rsidRDefault="00B17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3B1F"/>
    <w:rsid w:val="00075DE8"/>
    <w:rsid w:val="00076C4D"/>
    <w:rsid w:val="00087439"/>
    <w:rsid w:val="000C1260"/>
    <w:rsid w:val="000C560C"/>
    <w:rsid w:val="000D080B"/>
    <w:rsid w:val="000D453B"/>
    <w:rsid w:val="000D48FD"/>
    <w:rsid w:val="000D79CC"/>
    <w:rsid w:val="000E1C64"/>
    <w:rsid w:val="000E3A63"/>
    <w:rsid w:val="000F7119"/>
    <w:rsid w:val="00100739"/>
    <w:rsid w:val="0010493E"/>
    <w:rsid w:val="00105FC3"/>
    <w:rsid w:val="001075D3"/>
    <w:rsid w:val="00107885"/>
    <w:rsid w:val="00111AE3"/>
    <w:rsid w:val="00114FC4"/>
    <w:rsid w:val="0012329C"/>
    <w:rsid w:val="00134FA7"/>
    <w:rsid w:val="00137950"/>
    <w:rsid w:val="00152F29"/>
    <w:rsid w:val="00174D54"/>
    <w:rsid w:val="0017702C"/>
    <w:rsid w:val="00185270"/>
    <w:rsid w:val="001A3B5A"/>
    <w:rsid w:val="001B7CE9"/>
    <w:rsid w:val="001D495A"/>
    <w:rsid w:val="001E244C"/>
    <w:rsid w:val="001F1437"/>
    <w:rsid w:val="00206799"/>
    <w:rsid w:val="002074FE"/>
    <w:rsid w:val="002165C7"/>
    <w:rsid w:val="0022425B"/>
    <w:rsid w:val="002259EF"/>
    <w:rsid w:val="00242ED1"/>
    <w:rsid w:val="002444BB"/>
    <w:rsid w:val="00254069"/>
    <w:rsid w:val="00270748"/>
    <w:rsid w:val="002734E5"/>
    <w:rsid w:val="002737E1"/>
    <w:rsid w:val="002746DB"/>
    <w:rsid w:val="00276D1F"/>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4E"/>
    <w:rsid w:val="0032277F"/>
    <w:rsid w:val="00336B69"/>
    <w:rsid w:val="0034302B"/>
    <w:rsid w:val="00350523"/>
    <w:rsid w:val="0035189D"/>
    <w:rsid w:val="00355B62"/>
    <w:rsid w:val="00357C8A"/>
    <w:rsid w:val="003740BC"/>
    <w:rsid w:val="0037456B"/>
    <w:rsid w:val="003745D7"/>
    <w:rsid w:val="003801A3"/>
    <w:rsid w:val="00383D90"/>
    <w:rsid w:val="003870AE"/>
    <w:rsid w:val="003A1A27"/>
    <w:rsid w:val="003A40E5"/>
    <w:rsid w:val="003A50CC"/>
    <w:rsid w:val="003B42B3"/>
    <w:rsid w:val="003B6384"/>
    <w:rsid w:val="003C0FE2"/>
    <w:rsid w:val="003C4597"/>
    <w:rsid w:val="003C4EBB"/>
    <w:rsid w:val="003D1531"/>
    <w:rsid w:val="003E0448"/>
    <w:rsid w:val="003E4492"/>
    <w:rsid w:val="003E4EC6"/>
    <w:rsid w:val="003E527E"/>
    <w:rsid w:val="003E553E"/>
    <w:rsid w:val="003E7078"/>
    <w:rsid w:val="003F3DF5"/>
    <w:rsid w:val="003F73B8"/>
    <w:rsid w:val="0040297E"/>
    <w:rsid w:val="004077F1"/>
    <w:rsid w:val="00411D11"/>
    <w:rsid w:val="00414494"/>
    <w:rsid w:val="00415E23"/>
    <w:rsid w:val="004161A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6979"/>
    <w:rsid w:val="004D13A2"/>
    <w:rsid w:val="004D2D0C"/>
    <w:rsid w:val="004D3E7A"/>
    <w:rsid w:val="004F594B"/>
    <w:rsid w:val="004F61E1"/>
    <w:rsid w:val="0053380B"/>
    <w:rsid w:val="00542985"/>
    <w:rsid w:val="00543194"/>
    <w:rsid w:val="00544138"/>
    <w:rsid w:val="00551B05"/>
    <w:rsid w:val="00554E34"/>
    <w:rsid w:val="00584583"/>
    <w:rsid w:val="00590E90"/>
    <w:rsid w:val="00590EEB"/>
    <w:rsid w:val="005A4099"/>
    <w:rsid w:val="005A68E4"/>
    <w:rsid w:val="005C0D9F"/>
    <w:rsid w:val="005C1864"/>
    <w:rsid w:val="005C38B2"/>
    <w:rsid w:val="005C5029"/>
    <w:rsid w:val="005C55C2"/>
    <w:rsid w:val="005C71CA"/>
    <w:rsid w:val="005C745C"/>
    <w:rsid w:val="005D3C2B"/>
    <w:rsid w:val="005D4DF5"/>
    <w:rsid w:val="005E42BA"/>
    <w:rsid w:val="005E75E3"/>
    <w:rsid w:val="00611D6B"/>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138D3"/>
    <w:rsid w:val="00722001"/>
    <w:rsid w:val="0074534B"/>
    <w:rsid w:val="00751E66"/>
    <w:rsid w:val="00754497"/>
    <w:rsid w:val="00760B1D"/>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C7F"/>
    <w:rsid w:val="00823DFA"/>
    <w:rsid w:val="00842DB7"/>
    <w:rsid w:val="00843752"/>
    <w:rsid w:val="0084479F"/>
    <w:rsid w:val="00844CF0"/>
    <w:rsid w:val="0085725E"/>
    <w:rsid w:val="00873D4F"/>
    <w:rsid w:val="0087509F"/>
    <w:rsid w:val="00885B09"/>
    <w:rsid w:val="008920C8"/>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761AC"/>
    <w:rsid w:val="009818A1"/>
    <w:rsid w:val="009A1674"/>
    <w:rsid w:val="009B38BE"/>
    <w:rsid w:val="009B4DF2"/>
    <w:rsid w:val="009C684F"/>
    <w:rsid w:val="009D074C"/>
    <w:rsid w:val="009D6E73"/>
    <w:rsid w:val="009F1F1D"/>
    <w:rsid w:val="009F2B4F"/>
    <w:rsid w:val="009F37E7"/>
    <w:rsid w:val="009F3C63"/>
    <w:rsid w:val="009F66B5"/>
    <w:rsid w:val="009F70ED"/>
    <w:rsid w:val="00A02F10"/>
    <w:rsid w:val="00A16221"/>
    <w:rsid w:val="00A168F7"/>
    <w:rsid w:val="00A20A7D"/>
    <w:rsid w:val="00A35D42"/>
    <w:rsid w:val="00A4132D"/>
    <w:rsid w:val="00A45FA8"/>
    <w:rsid w:val="00A46CCF"/>
    <w:rsid w:val="00A506DE"/>
    <w:rsid w:val="00A53451"/>
    <w:rsid w:val="00A55906"/>
    <w:rsid w:val="00A70426"/>
    <w:rsid w:val="00A707CC"/>
    <w:rsid w:val="00A71410"/>
    <w:rsid w:val="00A73C16"/>
    <w:rsid w:val="00A91E9A"/>
    <w:rsid w:val="00A93ED9"/>
    <w:rsid w:val="00A96221"/>
    <w:rsid w:val="00AB1E6F"/>
    <w:rsid w:val="00AC2DBB"/>
    <w:rsid w:val="00AC6A99"/>
    <w:rsid w:val="00AD50A6"/>
    <w:rsid w:val="00AD6048"/>
    <w:rsid w:val="00B055EF"/>
    <w:rsid w:val="00B06B5B"/>
    <w:rsid w:val="00B1717E"/>
    <w:rsid w:val="00B23769"/>
    <w:rsid w:val="00B41789"/>
    <w:rsid w:val="00B766E5"/>
    <w:rsid w:val="00B81808"/>
    <w:rsid w:val="00B86DFA"/>
    <w:rsid w:val="00B936D0"/>
    <w:rsid w:val="00BB15FB"/>
    <w:rsid w:val="00BD3D5B"/>
    <w:rsid w:val="00BD6A59"/>
    <w:rsid w:val="00BE3600"/>
    <w:rsid w:val="00C01F6F"/>
    <w:rsid w:val="00C041EA"/>
    <w:rsid w:val="00C13BBD"/>
    <w:rsid w:val="00C149AB"/>
    <w:rsid w:val="00C16929"/>
    <w:rsid w:val="00C20690"/>
    <w:rsid w:val="00C36020"/>
    <w:rsid w:val="00C40694"/>
    <w:rsid w:val="00C44F0E"/>
    <w:rsid w:val="00C479BF"/>
    <w:rsid w:val="00C5124B"/>
    <w:rsid w:val="00C70542"/>
    <w:rsid w:val="00C75CBF"/>
    <w:rsid w:val="00CB5387"/>
    <w:rsid w:val="00CC2894"/>
    <w:rsid w:val="00CD233C"/>
    <w:rsid w:val="00CD4AE5"/>
    <w:rsid w:val="00CD77C3"/>
    <w:rsid w:val="00CE112C"/>
    <w:rsid w:val="00CE4F0F"/>
    <w:rsid w:val="00CF55D4"/>
    <w:rsid w:val="00D04D55"/>
    <w:rsid w:val="00D137E8"/>
    <w:rsid w:val="00D45C8A"/>
    <w:rsid w:val="00D608DA"/>
    <w:rsid w:val="00D67254"/>
    <w:rsid w:val="00D730BF"/>
    <w:rsid w:val="00D852F4"/>
    <w:rsid w:val="00DB1110"/>
    <w:rsid w:val="00DB3730"/>
    <w:rsid w:val="00DC371B"/>
    <w:rsid w:val="00DC3788"/>
    <w:rsid w:val="00DC76C7"/>
    <w:rsid w:val="00DD09F5"/>
    <w:rsid w:val="00DD0E02"/>
    <w:rsid w:val="00DD4201"/>
    <w:rsid w:val="00DD5E9F"/>
    <w:rsid w:val="00DE230D"/>
    <w:rsid w:val="00DE5711"/>
    <w:rsid w:val="00DE7FA3"/>
    <w:rsid w:val="00E00EA0"/>
    <w:rsid w:val="00E021CB"/>
    <w:rsid w:val="00E138F1"/>
    <w:rsid w:val="00E2309D"/>
    <w:rsid w:val="00E26758"/>
    <w:rsid w:val="00E4357B"/>
    <w:rsid w:val="00E443A7"/>
    <w:rsid w:val="00E45904"/>
    <w:rsid w:val="00E63DE5"/>
    <w:rsid w:val="00E647AF"/>
    <w:rsid w:val="00E647C7"/>
    <w:rsid w:val="00E65928"/>
    <w:rsid w:val="00E65A37"/>
    <w:rsid w:val="00E65EF7"/>
    <w:rsid w:val="00E77B48"/>
    <w:rsid w:val="00E857FB"/>
    <w:rsid w:val="00E91799"/>
    <w:rsid w:val="00E97DF8"/>
    <w:rsid w:val="00EA21FE"/>
    <w:rsid w:val="00EA3433"/>
    <w:rsid w:val="00EA34E3"/>
    <w:rsid w:val="00EB7538"/>
    <w:rsid w:val="00EC1868"/>
    <w:rsid w:val="00EC7D06"/>
    <w:rsid w:val="00ED2C7D"/>
    <w:rsid w:val="00ED3105"/>
    <w:rsid w:val="00EE6468"/>
    <w:rsid w:val="00F1299B"/>
    <w:rsid w:val="00F207A4"/>
    <w:rsid w:val="00F25173"/>
    <w:rsid w:val="00F252CB"/>
    <w:rsid w:val="00F355AC"/>
    <w:rsid w:val="00F40CF7"/>
    <w:rsid w:val="00F44194"/>
    <w:rsid w:val="00F71A5A"/>
    <w:rsid w:val="00F73A1A"/>
    <w:rsid w:val="00F769E0"/>
    <w:rsid w:val="00FA4A46"/>
    <w:rsid w:val="00FA75FE"/>
    <w:rsid w:val="00FB1032"/>
    <w:rsid w:val="00FB39BC"/>
    <w:rsid w:val="00FB6A53"/>
    <w:rsid w:val="00FC11CA"/>
    <w:rsid w:val="00FC16C1"/>
    <w:rsid w:val="00FC6BDE"/>
    <w:rsid w:val="00FD6873"/>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4C5C5"/>
  <w15:chartTrackingRefBased/>
  <w15:docId w15:val="{3FB1F991-6F0B-44C2-8351-ED3FFCDC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823C7F"/>
    <w:pPr>
      <w:spacing w:after="120"/>
    </w:pPr>
  </w:style>
  <w:style w:type="character" w:customStyle="1" w:styleId="BodyTextChar">
    <w:name w:val="Body Text Char"/>
    <w:link w:val="BodyText"/>
    <w:rsid w:val="00823C7F"/>
    <w:rPr>
      <w:sz w:val="24"/>
      <w:szCs w:val="24"/>
    </w:rPr>
  </w:style>
  <w:style w:type="character" w:styleId="CommentReference">
    <w:name w:val="annotation reference"/>
    <w:rsid w:val="00542985"/>
    <w:rPr>
      <w:sz w:val="16"/>
      <w:szCs w:val="16"/>
    </w:rPr>
  </w:style>
  <w:style w:type="paragraph" w:styleId="CommentText">
    <w:name w:val="annotation text"/>
    <w:basedOn w:val="Normal"/>
    <w:link w:val="CommentTextChar"/>
    <w:rsid w:val="00542985"/>
    <w:rPr>
      <w:sz w:val="20"/>
      <w:szCs w:val="20"/>
    </w:rPr>
  </w:style>
  <w:style w:type="character" w:customStyle="1" w:styleId="CommentTextChar">
    <w:name w:val="Comment Text Char"/>
    <w:basedOn w:val="DefaultParagraphFont"/>
    <w:link w:val="CommentText"/>
    <w:rsid w:val="00542985"/>
  </w:style>
  <w:style w:type="paragraph" w:styleId="CommentSubject">
    <w:name w:val="annotation subject"/>
    <w:basedOn w:val="CommentText"/>
    <w:next w:val="CommentText"/>
    <w:link w:val="CommentSubjectChar"/>
    <w:rsid w:val="00542985"/>
    <w:rPr>
      <w:b/>
      <w:bCs/>
    </w:rPr>
  </w:style>
  <w:style w:type="character" w:customStyle="1" w:styleId="CommentSubjectChar">
    <w:name w:val="Comment Subject Char"/>
    <w:link w:val="CommentSubject"/>
    <w:rsid w:val="0054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2019-07-03T16:25:00Z</cp:lastPrinted>
  <dcterms:created xsi:type="dcterms:W3CDTF">2021-05-27T20:03:00Z</dcterms:created>
  <dcterms:modified xsi:type="dcterms:W3CDTF">2021-05-27T20:03:00Z</dcterms:modified>
</cp:coreProperties>
</file>