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6D079D7C">
      <w:r>
        <w:t xml:space="preserve">This information collection is not a standard form.  </w:t>
      </w:r>
      <w:r w:rsidR="00B54DD6">
        <w:t>Respondents may send the CLIA lab information in any format mutually agreed upon by CDC and the respondents.  CDC anticipates receiving this information primarily via email.</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DF8A6" w14:textId="77777777" w:rsidR="00B54DD6" w:rsidRDefault="00B5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7660EFBC"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B54DD6">
      <w:rPr>
        <w:rFonts w:cstheme="minorHAnsi"/>
        <w:sz w:val="20"/>
        <w:szCs w:val="20"/>
      </w:rPr>
      <w:t>5</w:t>
    </w:r>
    <w:r w:rsidRPr="00AD6326">
      <w:rPr>
        <w:rFonts w:cstheme="minorHAnsi"/>
        <w:sz w:val="20"/>
        <w:szCs w:val="20"/>
      </w:rPr>
      <w:t xml:space="preserve"> minutes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AD6326">
      <w:rPr>
        <w:rFonts w:cstheme="minorHAnsi"/>
        <w:sz w:val="20"/>
        <w:szCs w:val="20"/>
      </w:rPr>
      <w:t>XXXX</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25B9A" w14:textId="77777777" w:rsidR="00B54DD6" w:rsidRDefault="00B54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2605" w14:textId="77777777" w:rsidR="00B54DD6" w:rsidRDefault="00B54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2D37A6EF" w:rsidR="007930F7" w:rsidRDefault="007930F7" w:rsidP="007930F7">
    <w:pPr>
      <w:pStyle w:val="Header"/>
      <w:jc w:val="right"/>
    </w:pPr>
    <w:r>
      <w:t>OMB Control No. 0920-XXXX</w:t>
    </w:r>
  </w:p>
  <w:p w14:paraId="4B0BD872" w14:textId="62799661" w:rsidR="007930F7" w:rsidRDefault="007930F7" w:rsidP="007930F7">
    <w:pPr>
      <w:pStyle w:val="Header"/>
      <w:jc w:val="right"/>
    </w:pPr>
    <w: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0947D" w14:textId="77777777" w:rsidR="00B54DD6" w:rsidRDefault="00B54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2526F8"/>
    <w:rsid w:val="00291798"/>
    <w:rsid w:val="007930F7"/>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3</cp:revision>
  <dcterms:created xsi:type="dcterms:W3CDTF">2021-02-19T14:53:00Z</dcterms:created>
  <dcterms:modified xsi:type="dcterms:W3CDTF">2021-02-19T14:54:00Z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