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D1E" w:rsidP="00595D1E" w:rsidRDefault="00595D1E" w14:paraId="6C962741" w14:textId="77777777">
      <w:pPr>
        <w:jc w:val="center"/>
        <w:rPr>
          <w:b/>
        </w:rPr>
      </w:pPr>
    </w:p>
    <w:p w:rsidR="00595D1E" w:rsidP="00595D1E" w:rsidRDefault="00595D1E" w14:paraId="576CD57C" w14:textId="77777777">
      <w:pPr>
        <w:jc w:val="center"/>
        <w:rPr>
          <w:b/>
        </w:rPr>
      </w:pPr>
    </w:p>
    <w:p w:rsidR="00595D1E" w:rsidP="00595D1E" w:rsidRDefault="00595D1E" w14:paraId="0546CD0B" w14:textId="77777777">
      <w:pPr>
        <w:jc w:val="center"/>
        <w:rPr>
          <w:b/>
        </w:rPr>
      </w:pPr>
    </w:p>
    <w:p w:rsidR="00595D1E" w:rsidP="00595D1E" w:rsidRDefault="00595D1E" w14:paraId="0834CE0E" w14:textId="77777777">
      <w:pPr>
        <w:jc w:val="center"/>
        <w:rPr>
          <w:b/>
        </w:rPr>
      </w:pPr>
    </w:p>
    <w:p w:rsidRPr="002B193F" w:rsidR="00595D1E" w:rsidP="002B193F" w:rsidRDefault="00595D1E" w14:paraId="26C86427" w14:textId="57005F90">
      <w:pPr>
        <w:spacing w:after="0"/>
        <w:jc w:val="center"/>
        <w:rPr>
          <w:sz w:val="36"/>
          <w:szCs w:val="36"/>
        </w:rPr>
      </w:pPr>
      <w:r w:rsidRPr="3B67B6BE">
        <w:rPr>
          <w:sz w:val="36"/>
          <w:szCs w:val="36"/>
        </w:rPr>
        <w:t xml:space="preserve">Supporting </w:t>
      </w:r>
      <w:proofErr w:type="gramStart"/>
      <w:r w:rsidRPr="3B67B6BE">
        <w:rPr>
          <w:sz w:val="36"/>
          <w:szCs w:val="36"/>
        </w:rPr>
        <w:t>Statement</w:t>
      </w:r>
      <w:proofErr w:type="gramEnd"/>
      <w:r w:rsidRPr="3B67B6BE">
        <w:rPr>
          <w:sz w:val="36"/>
          <w:szCs w:val="36"/>
        </w:rPr>
        <w:t xml:space="preserve"> A</w:t>
      </w:r>
      <w:r w:rsidRPr="3B67B6BE" w:rsidR="78420D7C">
        <w:rPr>
          <w:sz w:val="36"/>
          <w:szCs w:val="36"/>
        </w:rPr>
        <w:t xml:space="preserve"> for</w:t>
      </w:r>
    </w:p>
    <w:p w:rsidRPr="002B193F" w:rsidR="008529CC" w:rsidP="002B193F" w:rsidRDefault="00D64BD6" w14:paraId="2AEA7B97" w14:textId="74AE796D">
      <w:pPr>
        <w:jc w:val="center"/>
        <w:rPr>
          <w:sz w:val="32"/>
          <w:szCs w:val="32"/>
        </w:rPr>
      </w:pPr>
      <w:r>
        <w:rPr>
          <w:sz w:val="32"/>
          <w:szCs w:val="32"/>
        </w:rPr>
        <w:t xml:space="preserve">Federal COVID Response - </w:t>
      </w:r>
      <w:r w:rsidRPr="00366414" w:rsidR="00366414">
        <w:rPr>
          <w:sz w:val="32"/>
          <w:szCs w:val="32"/>
        </w:rPr>
        <w:t>Audience Feedback to Inform Ongoing Messaging and Strategies for "Combat COVID"</w:t>
      </w:r>
    </w:p>
    <w:p w:rsidRPr="002B193F" w:rsidR="00CB4C39" w:rsidP="002B193F" w:rsidRDefault="00003BE1" w14:paraId="51AB3D6E" w14:textId="40299367">
      <w:pPr>
        <w:jc w:val="center"/>
        <w:rPr>
          <w:sz w:val="32"/>
          <w:szCs w:val="32"/>
        </w:rPr>
      </w:pPr>
      <w:r w:rsidRPr="1A87680B">
        <w:rPr>
          <w:sz w:val="32"/>
          <w:szCs w:val="32"/>
        </w:rPr>
        <w:t>OMB#</w:t>
      </w:r>
      <w:r w:rsidRPr="1A87680B" w:rsidR="00A2740D">
        <w:rPr>
          <w:sz w:val="32"/>
          <w:szCs w:val="32"/>
        </w:rPr>
        <w:t xml:space="preserve"> </w:t>
      </w:r>
      <w:r w:rsidR="003826DD">
        <w:rPr>
          <w:sz w:val="32"/>
          <w:szCs w:val="32"/>
        </w:rPr>
        <w:t>0925</w:t>
      </w:r>
      <w:r w:rsidRPr="1A87680B" w:rsidR="00A2740D">
        <w:rPr>
          <w:sz w:val="32"/>
          <w:szCs w:val="32"/>
        </w:rPr>
        <w:t>-</w:t>
      </w:r>
      <w:r w:rsidRPr="1A87680B" w:rsidR="2A7CA632">
        <w:rPr>
          <w:sz w:val="32"/>
          <w:szCs w:val="32"/>
        </w:rPr>
        <w:t>XXXX</w:t>
      </w:r>
      <w:r w:rsidRPr="1A87680B" w:rsidR="00A2740D">
        <w:rPr>
          <w:sz w:val="32"/>
          <w:szCs w:val="32"/>
        </w:rPr>
        <w:t xml:space="preserve">, exp., </w:t>
      </w:r>
      <w:r w:rsidRPr="1A87680B" w:rsidR="77A41F11">
        <w:rPr>
          <w:sz w:val="32"/>
          <w:szCs w:val="32"/>
        </w:rPr>
        <w:t>XX/XX/XXXX</w:t>
      </w:r>
    </w:p>
    <w:p w:rsidRPr="002B193F" w:rsidR="00595D1E" w:rsidP="002B193F" w:rsidRDefault="00425C12" w14:paraId="5D943427" w14:textId="0B71ED88">
      <w:pPr>
        <w:jc w:val="center"/>
        <w:rPr>
          <w:sz w:val="32"/>
          <w:szCs w:val="32"/>
        </w:rPr>
      </w:pPr>
      <w:r>
        <w:rPr>
          <w:sz w:val="32"/>
          <w:szCs w:val="32"/>
          <w:highlight w:val="yellow"/>
        </w:rPr>
        <w:t>6</w:t>
      </w:r>
      <w:r w:rsidR="00FA6FAE">
        <w:rPr>
          <w:sz w:val="32"/>
          <w:szCs w:val="32"/>
          <w:highlight w:val="yellow"/>
        </w:rPr>
        <w:t>/</w:t>
      </w:r>
      <w:r>
        <w:rPr>
          <w:sz w:val="32"/>
          <w:szCs w:val="32"/>
          <w:highlight w:val="yellow"/>
        </w:rPr>
        <w:t>1</w:t>
      </w:r>
      <w:r w:rsidRPr="00366414" w:rsidR="00366414">
        <w:rPr>
          <w:sz w:val="32"/>
          <w:szCs w:val="32"/>
          <w:highlight w:val="yellow"/>
        </w:rPr>
        <w:t>/21</w:t>
      </w:r>
    </w:p>
    <w:p w:rsidRPr="002B193F" w:rsidR="00595D1E" w:rsidRDefault="00595D1E" w14:paraId="19A1A239" w14:textId="77777777">
      <w:pPr>
        <w:jc w:val="center"/>
      </w:pPr>
    </w:p>
    <w:p w:rsidRPr="002B193F" w:rsidR="00595D1E" w:rsidRDefault="00595D1E" w14:paraId="68D92751" w14:textId="77777777">
      <w:pPr>
        <w:jc w:val="center"/>
      </w:pPr>
    </w:p>
    <w:p w:rsidRPr="002B193F" w:rsidR="00FF1D87" w:rsidRDefault="00FF1D87" w14:paraId="39D3F73C" w14:textId="77777777">
      <w:pPr>
        <w:jc w:val="center"/>
      </w:pPr>
    </w:p>
    <w:p w:rsidR="00FF1D87" w:rsidP="00175FFD" w:rsidRDefault="008529CC" w14:paraId="09FB6999" w14:textId="77777777">
      <w:pPr>
        <w:spacing w:after="0"/>
        <w:rPr>
          <w:b/>
        </w:rPr>
      </w:pPr>
      <w:r w:rsidRPr="002B193F">
        <w:rPr>
          <w:sz w:val="32"/>
          <w:szCs w:val="32"/>
        </w:rPr>
        <w:t>Contact Information</w:t>
      </w:r>
      <w:r>
        <w:rPr>
          <w:b/>
        </w:rPr>
        <w:t xml:space="preserve">    </w:t>
      </w:r>
    </w:p>
    <w:p w:rsidRPr="00596191" w:rsidR="007D3181" w:rsidP="00175FFD" w:rsidRDefault="00FD1E93" w14:paraId="163A73A3" w14:textId="6B862559">
      <w:pPr>
        <w:spacing w:after="0"/>
      </w:pPr>
      <w:r w:rsidRPr="00596191">
        <w:rPr>
          <w:bCs/>
        </w:rPr>
        <w:t>Ryan Bayha</w:t>
      </w:r>
    </w:p>
    <w:p w:rsidRPr="00596191" w:rsidR="00322ABF" w:rsidP="00175FFD" w:rsidRDefault="00322ABF" w14:paraId="21D97033" w14:textId="221EFF72">
      <w:pPr>
        <w:spacing w:after="0"/>
      </w:pPr>
      <w:r w:rsidRPr="00596191">
        <w:t>National Institutes of Health</w:t>
      </w:r>
      <w:r w:rsidR="00335215">
        <w:rPr>
          <w:bCs/>
        </w:rPr>
        <w:t>, Office of Science Policy</w:t>
      </w:r>
    </w:p>
    <w:p w:rsidR="004A6197" w:rsidP="004A6197" w:rsidRDefault="004A6197" w14:paraId="363A3EF4" w14:textId="5211B212">
      <w:pPr>
        <w:spacing w:after="0"/>
        <w:rPr>
          <w:bCs/>
        </w:rPr>
      </w:pPr>
      <w:r w:rsidRPr="00596191">
        <w:t>6705 Rockledge Drive</w:t>
      </w:r>
      <w:r w:rsidR="003432D2">
        <w:rPr>
          <w:bCs/>
        </w:rPr>
        <w:t xml:space="preserve">, </w:t>
      </w:r>
      <w:r w:rsidRPr="003432D2" w:rsidR="003432D2">
        <w:rPr>
          <w:bCs/>
        </w:rPr>
        <w:t>Suite 750</w:t>
      </w:r>
      <w:r w:rsidR="003432D2">
        <w:rPr>
          <w:bCs/>
        </w:rPr>
        <w:t>, M</w:t>
      </w:r>
      <w:r w:rsidR="00335215">
        <w:rPr>
          <w:bCs/>
        </w:rPr>
        <w:t>SC 7985</w:t>
      </w:r>
    </w:p>
    <w:p w:rsidRPr="00596191" w:rsidR="003A3F86" w:rsidP="004A6197" w:rsidRDefault="003A3F86" w14:paraId="69DAC4C9" w14:textId="4FEC9B04">
      <w:pPr>
        <w:spacing w:after="0"/>
      </w:pPr>
      <w:r w:rsidRPr="003A3F86">
        <w:rPr>
          <w:bCs/>
        </w:rPr>
        <w:t>Bethesda, MD 20892-7985</w:t>
      </w:r>
    </w:p>
    <w:p w:rsidR="00610779" w:rsidP="00175FFD" w:rsidRDefault="00EF163F" w14:paraId="596E094F" w14:textId="5CC5889D">
      <w:pPr>
        <w:spacing w:after="0"/>
        <w:rPr>
          <w:b/>
        </w:rPr>
      </w:pPr>
      <w:hyperlink w:history="1" r:id="rId11">
        <w:r w:rsidR="00610779">
          <w:rPr>
            <w:rStyle w:val="Hyperlink"/>
            <w:rFonts w:ascii="Verdana" w:hAnsi="Verdana"/>
            <w:sz w:val="20"/>
            <w:szCs w:val="20"/>
          </w:rPr>
          <w:t>Ryan.Bayha@nih.hhs.gov</w:t>
        </w:r>
      </w:hyperlink>
    </w:p>
    <w:p w:rsidR="007D3181" w:rsidP="007D3181" w:rsidRDefault="007D3181" w14:paraId="6659B2FE" w14:textId="25C9C907">
      <w:pPr>
        <w:spacing w:after="0"/>
        <w:rPr>
          <w:b/>
        </w:rPr>
      </w:pPr>
    </w:p>
    <w:p w:rsidR="007D3181" w:rsidP="00D64BD6" w:rsidRDefault="007D3181" w14:paraId="4931D80D" w14:textId="183A41A4">
      <w:pPr>
        <w:spacing w:after="0"/>
        <w:jc w:val="center"/>
        <w:rPr>
          <w:b/>
        </w:rPr>
      </w:pPr>
    </w:p>
    <w:p w:rsidR="007D3181" w:rsidP="007D3181" w:rsidRDefault="007D3181" w14:paraId="0DF4FF08" w14:textId="77777777">
      <w:pPr>
        <w:spacing w:after="0"/>
        <w:rPr>
          <w:b/>
        </w:rPr>
      </w:pPr>
    </w:p>
    <w:p w:rsidRPr="006F7AFA" w:rsidR="007D3181" w:rsidP="007D3181" w:rsidRDefault="007D3181" w14:paraId="6EE94548" w14:textId="190D8073">
      <w:pPr>
        <w:rPr>
          <w:rFonts w:ascii="Times New Roman" w:hAnsi="Times New Roman" w:cs="Times New Roman"/>
          <w:b/>
          <w:sz w:val="24"/>
          <w:szCs w:val="24"/>
        </w:rPr>
      </w:pPr>
      <w:r w:rsidRPr="006F7AFA">
        <w:rPr>
          <w:rFonts w:ascii="Times New Roman" w:hAnsi="Times New Roman" w:cs="Times New Roman"/>
          <w:b/>
          <w:sz w:val="24"/>
          <w:szCs w:val="24"/>
        </w:rPr>
        <w:t>TYPE OF COLLECTION:</w:t>
      </w:r>
      <w:r w:rsidRPr="006F7AFA">
        <w:rPr>
          <w:rFonts w:ascii="Times New Roman" w:hAnsi="Times New Roman" w:cs="Times New Roman"/>
          <w:sz w:val="24"/>
          <w:szCs w:val="24"/>
        </w:rPr>
        <w:t xml:space="preserve"> </w:t>
      </w:r>
      <w:r w:rsidR="003826DD">
        <w:rPr>
          <w:rFonts w:ascii="Times New Roman" w:hAnsi="Times New Roman" w:cs="Times New Roman"/>
          <w:sz w:val="24"/>
          <w:szCs w:val="24"/>
        </w:rPr>
        <w:t xml:space="preserve">Emergency </w:t>
      </w:r>
    </w:p>
    <w:p w:rsidRPr="006F7AFA" w:rsidR="007D3181" w:rsidP="007D3181" w:rsidRDefault="007D3181" w14:paraId="0613CB1A" w14:textId="77777777">
      <w:pPr>
        <w:pStyle w:val="BodyTextIndent"/>
        <w:tabs>
          <w:tab w:val="left" w:pos="360"/>
        </w:tabs>
        <w:ind w:left="0"/>
        <w:rPr>
          <w:bCs/>
          <w:sz w:val="24"/>
          <w:szCs w:val="24"/>
        </w:rPr>
      </w:pPr>
    </w:p>
    <w:p w:rsidR="00595D1E" w:rsidP="005D5A8F" w:rsidRDefault="00595D1E" w14:paraId="0C65252C" w14:textId="2AD7C782">
      <w:pPr>
        <w:pStyle w:val="BodyTextIndent"/>
        <w:tabs>
          <w:tab w:val="left" w:pos="360"/>
        </w:tabs>
        <w:ind w:left="0"/>
        <w:rPr>
          <w:b/>
        </w:rPr>
      </w:pPr>
      <w:r w:rsidRPr="00113647">
        <w:rPr>
          <w:b/>
        </w:rPr>
        <w:br w:type="page"/>
      </w:r>
    </w:p>
    <w:p w:rsidR="00F66BE8" w:rsidP="005D5A8F" w:rsidRDefault="00F66BE8" w14:paraId="330DA024" w14:textId="0BB9B260">
      <w:pPr>
        <w:pStyle w:val="BodyTextIndent"/>
        <w:tabs>
          <w:tab w:val="left" w:pos="360"/>
        </w:tabs>
        <w:ind w:left="0"/>
        <w:rPr>
          <w:b/>
        </w:rPr>
      </w:pPr>
    </w:p>
    <w:p w:rsidR="00F66BE8" w:rsidRDefault="00F66BE8" w14:paraId="697CE0A8" w14:textId="4D64D84B">
      <w:pPr>
        <w:rPr>
          <w:b/>
        </w:rPr>
      </w:pPr>
      <w:r>
        <w:rPr>
          <w:b/>
        </w:rPr>
        <w:t>ATTACHMENTS:</w:t>
      </w:r>
    </w:p>
    <w:p w:rsidRPr="00ED1560" w:rsidR="00F66BE8" w:rsidP="00F66BE8" w:rsidRDefault="00F66BE8" w14:paraId="731780AF" w14:textId="77777777">
      <w:pPr>
        <w:spacing w:after="20"/>
      </w:pPr>
      <w:bookmarkStart w:name="_GoBack" w:id="0"/>
      <w:bookmarkEnd w:id="0"/>
    </w:p>
    <w:p w:rsidRPr="00ED1560" w:rsidR="00F66BE8" w:rsidP="00F66BE8" w:rsidRDefault="00F66BE8" w14:paraId="7F86939F" w14:textId="77777777">
      <w:pPr>
        <w:spacing w:after="20"/>
      </w:pPr>
      <w:r>
        <w:t xml:space="preserve">Attachment 1: Consumer Recruitment Screener </w:t>
      </w:r>
    </w:p>
    <w:p w:rsidRPr="00ED1560" w:rsidR="00F66BE8" w:rsidP="00F66BE8" w:rsidRDefault="00F66BE8" w14:paraId="68DA4946" w14:textId="77777777">
      <w:pPr>
        <w:spacing w:after="20"/>
      </w:pPr>
      <w:r>
        <w:t xml:space="preserve">Attachment 2: HCP Recruitment Screener </w:t>
      </w:r>
    </w:p>
    <w:p w:rsidRPr="00ED1560" w:rsidR="00F66BE8" w:rsidP="00F66BE8" w:rsidRDefault="00F66BE8" w14:paraId="1939EEDB" w14:textId="77777777">
      <w:pPr>
        <w:spacing w:after="20"/>
      </w:pPr>
      <w:r>
        <w:t xml:space="preserve">Attachment 3: Consumer Audience Feedback Team Moderator’s Guide for Team Discussions and In-Depth Interviews </w:t>
      </w:r>
    </w:p>
    <w:p w:rsidRPr="00ED1560" w:rsidR="00F66BE8" w:rsidP="00F66BE8" w:rsidRDefault="00F66BE8" w14:paraId="5E8CF4AA" w14:textId="77777777">
      <w:pPr>
        <w:spacing w:after="20"/>
      </w:pPr>
      <w:r>
        <w:t xml:space="preserve">Attachment 4: HCP Audience Feedback Team Moderator’s Guide for Team Discussions and In-Depth Interviews </w:t>
      </w:r>
    </w:p>
    <w:p w:rsidRPr="00ED1560" w:rsidR="00F66BE8" w:rsidP="00F66BE8" w:rsidRDefault="00F66BE8" w14:paraId="609304EF" w14:textId="77777777">
      <w:pPr>
        <w:spacing w:after="20"/>
      </w:pPr>
      <w:r>
        <w:t xml:space="preserve">Attachment 5: Audience Feedback Team Sample Online Bulletin Board Prompt </w:t>
      </w:r>
    </w:p>
    <w:p w:rsidRPr="00750A40" w:rsidR="00F66BE8" w:rsidP="00F66BE8" w:rsidRDefault="00F66BE8" w14:paraId="0331233D" w14:textId="77777777">
      <w:pPr>
        <w:spacing w:after="20"/>
      </w:pPr>
      <w:r>
        <w:t xml:space="preserve">Attachment 6: Custom Web Survey with Consumer and Provider Paths </w:t>
      </w:r>
    </w:p>
    <w:p w:rsidR="00F66BE8" w:rsidRDefault="00F66BE8" w14:paraId="6DFCBD34" w14:textId="76C37A59">
      <w:pPr>
        <w:rPr>
          <w:rFonts w:ascii="Times New Roman" w:hAnsi="Times New Roman" w:eastAsia="Times New Roman" w:cs="Times New Roman"/>
          <w:b/>
          <w:sz w:val="20"/>
          <w:szCs w:val="20"/>
          <w:lang w:eastAsia="zh-CN"/>
        </w:rPr>
      </w:pPr>
      <w:r>
        <w:rPr>
          <w:b/>
        </w:rPr>
        <w:br w:type="page"/>
      </w:r>
    </w:p>
    <w:p w:rsidRPr="00113647" w:rsidR="00B13CB2" w:rsidP="005D5A8F" w:rsidRDefault="00B13CB2" w14:paraId="27DAB0B4" w14:textId="77777777">
      <w:pPr>
        <w:pStyle w:val="BodyTextIndent"/>
        <w:tabs>
          <w:tab w:val="left" w:pos="360"/>
        </w:tabs>
        <w:ind w:left="0"/>
        <w:rPr>
          <w:b/>
        </w:rPr>
      </w:pPr>
    </w:p>
    <w:p w:rsidRPr="00113647" w:rsidR="00DB27F3" w:rsidP="008716F6" w:rsidRDefault="00AF01AD" w14:paraId="1F4FBF3C" w14:textId="1C97BFCC">
      <w:pPr>
        <w:spacing w:after="20"/>
        <w:jc w:val="center"/>
        <w:rPr>
          <w:b/>
        </w:rPr>
      </w:pPr>
      <w:r>
        <w:rPr>
          <w:b/>
        </w:rPr>
        <w:t xml:space="preserve">Mini </w:t>
      </w:r>
      <w:r w:rsidRPr="00113647" w:rsidR="008716F6">
        <w:rPr>
          <w:b/>
        </w:rPr>
        <w:t>Supporting Statement</w:t>
      </w:r>
      <w:r w:rsidR="008529CC">
        <w:rPr>
          <w:b/>
        </w:rPr>
        <w:t xml:space="preserve"> A</w:t>
      </w:r>
    </w:p>
    <w:p w:rsidR="008716F6" w:rsidP="008716F6" w:rsidRDefault="008716F6" w14:paraId="1541B169" w14:textId="77777777">
      <w:pPr>
        <w:spacing w:after="20"/>
      </w:pPr>
    </w:p>
    <w:p w:rsidR="008716F6" w:rsidP="008716F6" w:rsidRDefault="008716F6" w14:paraId="143FC5B1" w14:textId="77777777">
      <w:pPr>
        <w:spacing w:after="20"/>
        <w:rPr>
          <w:b/>
        </w:rPr>
      </w:pPr>
      <w:r w:rsidRPr="00113647">
        <w:rPr>
          <w:b/>
        </w:rPr>
        <w:t>A.1 Circumstances Making the Collection of Information Necessary</w:t>
      </w:r>
    </w:p>
    <w:p w:rsidR="00186E2E" w:rsidP="004E73FA" w:rsidRDefault="000C099E" w14:paraId="78CED66E" w14:textId="2877AAFA">
      <w:pPr>
        <w:spacing w:after="20"/>
      </w:pPr>
      <w:r>
        <w:t xml:space="preserve">On </w:t>
      </w:r>
      <w:r w:rsidR="00A86222">
        <w:t>February 24, 2021 The White House announced the continuation of</w:t>
      </w:r>
      <w:r w:rsidR="00154200">
        <w:t xml:space="preserve"> the national </w:t>
      </w:r>
      <w:r w:rsidR="00977638">
        <w:t>emergency concerning the COVID-19 pandemic.</w:t>
      </w:r>
      <w:r w:rsidR="00A86222">
        <w:t xml:space="preserve"> </w:t>
      </w:r>
      <w:r w:rsidR="00977638">
        <w:t>In response to the ongoing national emergency, t</w:t>
      </w:r>
      <w:r w:rsidR="004E73FA">
        <w:t xml:space="preserve">he Federal COVID Response (FCR) Team </w:t>
      </w:r>
      <w:r w:rsidR="00977638">
        <w:t>was established</w:t>
      </w:r>
      <w:r w:rsidR="00186E2E">
        <w:t xml:space="preserve">, along with the Combat COVID initiative (combatcovid.hhs.gov). </w:t>
      </w:r>
    </w:p>
    <w:p w:rsidR="00186E2E" w:rsidP="004E73FA" w:rsidRDefault="00186E2E" w14:paraId="0F445B9C" w14:textId="77777777">
      <w:pPr>
        <w:spacing w:after="20"/>
      </w:pPr>
    </w:p>
    <w:p w:rsidR="004E73FA" w:rsidP="004E73FA" w:rsidRDefault="00186E2E" w14:paraId="2CFDFD85" w14:textId="11E6F61D">
      <w:pPr>
        <w:spacing w:after="20"/>
      </w:pPr>
      <w:r>
        <w:t>The FCR Team is a cross-agency partnership</w:t>
      </w:r>
      <w:r w:rsidR="004E73FA">
        <w:t xml:space="preserve"> that includes the U.S. Department of Health and Human Services (HHS), including the National Institutes of Health (NIH) Office of the Director, Centers for Disease Control and Prevention (CDC), the U.S. Food and Drug Administration (FDA), the Biomedical Advanced Research and Development Authority (BARDA), and the U.S. Department of Defense (DOD). The FCR </w:t>
      </w:r>
      <w:r w:rsidR="00352CD7">
        <w:t xml:space="preserve">Team </w:t>
      </w:r>
      <w:r w:rsidR="000213ED">
        <w:t>oversees the C</w:t>
      </w:r>
      <w:r w:rsidR="00171FD9">
        <w:t>ombat COVID initiative</w:t>
      </w:r>
      <w:r w:rsidR="00E906D3">
        <w:t xml:space="preserve"> (including the combatcovid.hhs.gov website)</w:t>
      </w:r>
      <w:r w:rsidR="006351CB">
        <w:t>—a multifaceted effort to provide the general public and health</w:t>
      </w:r>
      <w:r w:rsidR="00271B60">
        <w:t>care</w:t>
      </w:r>
      <w:r w:rsidR="006351CB">
        <w:t xml:space="preserve"> providers with </w:t>
      </w:r>
      <w:r w:rsidR="00B0345C">
        <w:t>the latest evidence-base</w:t>
      </w:r>
      <w:r w:rsidR="006351CB">
        <w:t>d</w:t>
      </w:r>
      <w:r w:rsidR="00B0345C">
        <w:t xml:space="preserve"> information on COVID-19 treatment</w:t>
      </w:r>
      <w:r w:rsidR="00C066F3">
        <w:t>s</w:t>
      </w:r>
      <w:r w:rsidR="00B0345C">
        <w:t xml:space="preserve"> and </w:t>
      </w:r>
      <w:r w:rsidR="00B463C8">
        <w:t xml:space="preserve">the </w:t>
      </w:r>
      <w:r w:rsidR="004C4675">
        <w:t>Accelerating COVID-19 Therapeutic Interventions and Vaccines (</w:t>
      </w:r>
      <w:r w:rsidR="00B0345C">
        <w:t>A</w:t>
      </w:r>
      <w:r w:rsidR="00546286">
        <w:t>CTIV</w:t>
      </w:r>
      <w:r w:rsidR="004C4675">
        <w:t>)</w:t>
      </w:r>
      <w:r w:rsidR="00546286">
        <w:t xml:space="preserve"> clinical trials.</w:t>
      </w:r>
      <w:r w:rsidR="00D20E58">
        <w:t xml:space="preserve"> </w:t>
      </w:r>
    </w:p>
    <w:p w:rsidR="006D4924" w:rsidP="004E73FA" w:rsidRDefault="006D4924" w14:paraId="0FB59C9C" w14:textId="77777777">
      <w:pPr>
        <w:spacing w:after="20"/>
      </w:pPr>
    </w:p>
    <w:p w:rsidR="00AD7197" w:rsidP="004E73FA" w:rsidRDefault="006D4924" w14:paraId="537FF2A7" w14:textId="77777777">
      <w:pPr>
        <w:spacing w:after="20"/>
      </w:pPr>
      <w:r>
        <w:t xml:space="preserve">Together with </w:t>
      </w:r>
      <w:r w:rsidR="00726BA6">
        <w:t>their</w:t>
      </w:r>
      <w:r>
        <w:t xml:space="preserve"> contractor, the FCR Team is working to</w:t>
      </w:r>
      <w:r w:rsidR="00AD7197">
        <w:t>:</w:t>
      </w:r>
    </w:p>
    <w:p w:rsidR="00B85E54" w:rsidP="00AD7197" w:rsidRDefault="00AD7197" w14:paraId="37E36DD8" w14:textId="563A3332">
      <w:pPr>
        <w:pStyle w:val="ListParagraph"/>
        <w:numPr>
          <w:ilvl w:val="0"/>
          <w:numId w:val="10"/>
        </w:numPr>
        <w:spacing w:after="20"/>
      </w:pPr>
      <w:r>
        <w:t>A</w:t>
      </w:r>
      <w:r w:rsidR="006D4924">
        <w:t>ddress</w:t>
      </w:r>
      <w:r w:rsidR="00E64D6E">
        <w:t xml:space="preserve"> participation barriers and raise awareness of ACTIV clinical trials</w:t>
      </w:r>
      <w:r w:rsidR="00B85E54">
        <w:t xml:space="preserve">, </w:t>
      </w:r>
      <w:r w:rsidR="005073F1">
        <w:t>and</w:t>
      </w:r>
    </w:p>
    <w:p w:rsidR="006D4924" w:rsidP="00074C7A" w:rsidRDefault="007F1E88" w14:paraId="22F16090" w14:textId="35F15196">
      <w:pPr>
        <w:pStyle w:val="ListParagraph"/>
        <w:numPr>
          <w:ilvl w:val="0"/>
          <w:numId w:val="10"/>
        </w:numPr>
        <w:spacing w:after="20"/>
      </w:pPr>
      <w:r>
        <w:t>E</w:t>
      </w:r>
      <w:r w:rsidR="003304B6">
        <w:t xml:space="preserve">nsure the general </w:t>
      </w:r>
      <w:r w:rsidR="00B668E3">
        <w:t>public’s</w:t>
      </w:r>
      <w:r w:rsidR="003304B6">
        <w:t xml:space="preserve"> and health car</w:t>
      </w:r>
      <w:r w:rsidR="009B00D2">
        <w:t>e provide</w:t>
      </w:r>
      <w:r w:rsidR="00526022">
        <w:t>r’</w:t>
      </w:r>
      <w:r w:rsidR="00017E87">
        <w:t>s</w:t>
      </w:r>
      <w:r w:rsidR="009B00D2">
        <w:t xml:space="preserve"> needs are </w:t>
      </w:r>
      <w:r w:rsidR="00F35C86">
        <w:t xml:space="preserve">met as it pertains to </w:t>
      </w:r>
      <w:r w:rsidR="00C10839">
        <w:t>evidence-based information on these trials</w:t>
      </w:r>
      <w:r w:rsidR="00D729DB">
        <w:t xml:space="preserve">. </w:t>
      </w:r>
    </w:p>
    <w:p w:rsidR="003C687E" w:rsidP="004E73FA" w:rsidRDefault="003C687E" w14:paraId="65D5403E" w14:textId="77777777">
      <w:pPr>
        <w:spacing w:after="20"/>
      </w:pPr>
    </w:p>
    <w:p w:rsidR="007A2DA7" w:rsidP="004E73FA" w:rsidRDefault="00002266" w14:paraId="6BC851A6" w14:textId="647C8056">
      <w:pPr>
        <w:spacing w:after="20"/>
      </w:pPr>
      <w:r>
        <w:t>Because the</w:t>
      </w:r>
      <w:r w:rsidR="00B93477">
        <w:t xml:space="preserve"> </w:t>
      </w:r>
      <w:r w:rsidR="00C7391A">
        <w:t>COVID-19 treatment landscape</w:t>
      </w:r>
      <w:r w:rsidR="00B93477">
        <w:t xml:space="preserve"> continues to evolve, </w:t>
      </w:r>
      <w:r w:rsidR="006E4077">
        <w:t xml:space="preserve">new evidence-based information </w:t>
      </w:r>
      <w:r>
        <w:t xml:space="preserve">continues to </w:t>
      </w:r>
      <w:r w:rsidR="006E4077">
        <w:t>come to the forefront, and</w:t>
      </w:r>
      <w:r>
        <w:t xml:space="preserve"> audience </w:t>
      </w:r>
      <w:r w:rsidR="00906777">
        <w:t xml:space="preserve">needs </w:t>
      </w:r>
      <w:r w:rsidR="00B668E3">
        <w:t xml:space="preserve">continue to </w:t>
      </w:r>
      <w:r w:rsidR="00906777">
        <w:t xml:space="preserve">change, </w:t>
      </w:r>
      <w:r>
        <w:t xml:space="preserve">it is critical for the </w:t>
      </w:r>
      <w:r w:rsidR="00B668E3">
        <w:t>FCR Team</w:t>
      </w:r>
      <w:r>
        <w:t xml:space="preserve"> to </w:t>
      </w:r>
      <w:r w:rsidR="00292B2B">
        <w:t>collect</w:t>
      </w:r>
      <w:r w:rsidR="00173DB7">
        <w:t xml:space="preserve"> </w:t>
      </w:r>
      <w:r w:rsidR="007A2DA7">
        <w:t xml:space="preserve">quick </w:t>
      </w:r>
      <w:r w:rsidR="005073F1">
        <w:t>audience feedback</w:t>
      </w:r>
      <w:r w:rsidR="00173DB7">
        <w:t xml:space="preserve"> from the general public </w:t>
      </w:r>
      <w:r w:rsidR="00D227F3">
        <w:rPr>
          <w:rStyle w:val="normaltextrun"/>
          <w:color w:val="000000"/>
          <w:shd w:val="clear" w:color="auto" w:fill="FFFFFF"/>
        </w:rPr>
        <w:t xml:space="preserve">(especially from groups who have not historically been well-represented in clinical trials) </w:t>
      </w:r>
      <w:r w:rsidR="00173DB7">
        <w:t>and healthcare providers to identify these evolving needs</w:t>
      </w:r>
      <w:r w:rsidR="005073F1">
        <w:t xml:space="preserve">. </w:t>
      </w:r>
      <w:r w:rsidR="004D5131">
        <w:t xml:space="preserve">By understanding target audience needs, the FCR team will be able to properly develop and broadly disseminate </w:t>
      </w:r>
      <w:r w:rsidR="0074014A">
        <w:t xml:space="preserve">relevant </w:t>
      </w:r>
      <w:r w:rsidR="002904A3">
        <w:t>COVID-19 treatment and ACT</w:t>
      </w:r>
      <w:r w:rsidR="00894F5B">
        <w:t>I</w:t>
      </w:r>
      <w:r w:rsidR="002904A3">
        <w:t xml:space="preserve">V clinical trial </w:t>
      </w:r>
      <w:r w:rsidR="0074014A">
        <w:t>resources</w:t>
      </w:r>
      <w:r w:rsidR="002904A3">
        <w:t xml:space="preserve">. </w:t>
      </w:r>
    </w:p>
    <w:p w:rsidR="007A2DA7" w:rsidP="004E73FA" w:rsidRDefault="007A2DA7" w14:paraId="0900D3F2" w14:textId="77777777">
      <w:pPr>
        <w:spacing w:after="20"/>
      </w:pPr>
    </w:p>
    <w:p w:rsidR="003C687E" w:rsidP="004E73FA" w:rsidRDefault="007A2DA7" w14:paraId="0DBDE1A4" w14:textId="1754603A">
      <w:pPr>
        <w:spacing w:after="20"/>
      </w:pPr>
      <w:r>
        <w:t xml:space="preserve">Given the state of this national public health emergency, the FCR Team is requesting emergency clearance from the Office of Management and Budget </w:t>
      </w:r>
      <w:r w:rsidR="00B92CC7">
        <w:t xml:space="preserve">(OMB) </w:t>
      </w:r>
      <w:r>
        <w:t>to ensure the timely collection and application of data</w:t>
      </w:r>
      <w:r w:rsidR="00300F31">
        <w:t xml:space="preserve"> that is so critical to supporting efforts to mitigate the pandemic in the Unites States. </w:t>
      </w:r>
    </w:p>
    <w:p w:rsidR="004E73FA" w:rsidP="004E73FA" w:rsidRDefault="004E73FA" w14:paraId="26F3AEAF" w14:textId="4919A896">
      <w:pPr>
        <w:spacing w:after="20"/>
      </w:pPr>
    </w:p>
    <w:p w:rsidR="00DB7070" w:rsidP="004E73FA" w:rsidRDefault="00C326D0" w14:paraId="7865616C" w14:textId="13800CCD">
      <w:pPr>
        <w:spacing w:after="20"/>
      </w:pPr>
      <w:r>
        <w:t xml:space="preserve">The collection is authorized under </w:t>
      </w:r>
      <w:r w:rsidR="009D147C">
        <w:t>Title 42 United States Code Section 28</w:t>
      </w:r>
      <w:r w:rsidR="00447431">
        <w:t>5</w:t>
      </w:r>
      <w:r w:rsidR="002D1210">
        <w:t>.</w:t>
      </w:r>
    </w:p>
    <w:p w:rsidR="00DB7070" w:rsidP="004E73FA" w:rsidRDefault="00DB7070" w14:paraId="09B3ED55" w14:textId="77777777">
      <w:pPr>
        <w:spacing w:after="20"/>
      </w:pPr>
    </w:p>
    <w:p w:rsidR="008716F6" w:rsidP="008716F6" w:rsidRDefault="008716F6" w14:paraId="43F9EB3F" w14:textId="77777777">
      <w:pPr>
        <w:spacing w:after="20"/>
        <w:rPr>
          <w:b/>
        </w:rPr>
      </w:pPr>
      <w:r w:rsidRPr="00113647">
        <w:rPr>
          <w:b/>
        </w:rPr>
        <w:t>A.2 Purpose and Use of the Information Collection</w:t>
      </w:r>
    </w:p>
    <w:p w:rsidR="00AC0C3E" w:rsidP="00356650" w:rsidRDefault="00894F5B" w14:paraId="3AB62DA6" w14:textId="79A8C41B">
      <w:pPr>
        <w:spacing w:after="20"/>
      </w:pPr>
      <w:r>
        <w:t xml:space="preserve">The purpose of the information collection is to collect routine feedback </w:t>
      </w:r>
      <w:r w:rsidR="00186D8A">
        <w:t xml:space="preserve">from the Combat COVID </w:t>
      </w:r>
      <w:r w:rsidR="00A34ACB">
        <w:t>I</w:t>
      </w:r>
      <w:r w:rsidR="00186D8A">
        <w:t>nitiative’s two</w:t>
      </w:r>
      <w:r w:rsidR="000210EA">
        <w:t xml:space="preserve"> target audiences</w:t>
      </w:r>
      <w:r w:rsidR="005E7F74">
        <w:t xml:space="preserve"> (</w:t>
      </w:r>
      <w:r w:rsidR="000210EA">
        <w:t>the general public and healthcare providers</w:t>
      </w:r>
      <w:r w:rsidR="005E7F74">
        <w:t>)</w:t>
      </w:r>
      <w:r w:rsidR="000210EA">
        <w:t xml:space="preserve"> to </w:t>
      </w:r>
      <w:r w:rsidR="005E7F74">
        <w:t>identify</w:t>
      </w:r>
      <w:r w:rsidR="000210EA">
        <w:t xml:space="preserve"> evolving needs </w:t>
      </w:r>
      <w:r w:rsidR="00FC5A87">
        <w:t>and better disseminate relevant information</w:t>
      </w:r>
      <w:r w:rsidR="000210EA">
        <w:t xml:space="preserve"> </w:t>
      </w:r>
      <w:r w:rsidR="007B2C59">
        <w:t xml:space="preserve">as it </w:t>
      </w:r>
      <w:r w:rsidR="000210EA">
        <w:t>relate</w:t>
      </w:r>
      <w:r w:rsidR="00FC5A87">
        <w:t>s</w:t>
      </w:r>
      <w:r w:rsidR="000210EA">
        <w:t xml:space="preserve"> to COVID-19 treatment and ACTIV clinical trial resources</w:t>
      </w:r>
      <w:r w:rsidR="00601B85">
        <w:t>.</w:t>
      </w:r>
    </w:p>
    <w:p w:rsidR="00AC0C3E" w:rsidP="00356650" w:rsidRDefault="00AC0C3E" w14:paraId="3C0A0B19" w14:textId="77777777">
      <w:pPr>
        <w:spacing w:after="20"/>
      </w:pPr>
    </w:p>
    <w:p w:rsidR="00E56D36" w:rsidP="00356650" w:rsidRDefault="00774FEB" w14:paraId="1C3BB0CE" w14:textId="40BFA3A7">
      <w:pPr>
        <w:spacing w:after="20"/>
      </w:pPr>
      <w:r>
        <w:t xml:space="preserve">Data collected through this </w:t>
      </w:r>
      <w:r w:rsidR="00EF63F9">
        <w:t xml:space="preserve">emergency clearance </w:t>
      </w:r>
      <w:r>
        <w:t>will be used to inform the development and</w:t>
      </w:r>
      <w:r w:rsidR="00A5530F">
        <w:t xml:space="preserve"> broad</w:t>
      </w:r>
      <w:r>
        <w:t xml:space="preserve"> dissemination of </w:t>
      </w:r>
      <w:r w:rsidR="00A5530F">
        <w:t>Combat COVID resources</w:t>
      </w:r>
      <w:r w:rsidR="000D263A">
        <w:t>, including new or enhanced messages</w:t>
      </w:r>
      <w:r w:rsidR="005517E7">
        <w:t>, materials</w:t>
      </w:r>
      <w:r w:rsidR="00F2715C">
        <w:t>, communications strategies,</w:t>
      </w:r>
      <w:r w:rsidR="005517E7">
        <w:t xml:space="preserve"> and</w:t>
      </w:r>
      <w:r w:rsidR="00566B59">
        <w:t>/or</w:t>
      </w:r>
      <w:r w:rsidR="005517E7">
        <w:t xml:space="preserve"> web pages (combatcovid.hhs.gov). </w:t>
      </w:r>
      <w:r w:rsidR="00EE62FD">
        <w:t xml:space="preserve">The FCR team recognizes that this emergency submission </w:t>
      </w:r>
      <w:r w:rsidR="00EE62FD">
        <w:lastRenderedPageBreak/>
        <w:t>only authorizes data to be collected for six months following the approval date</w:t>
      </w:r>
      <w:r w:rsidR="00E56D36">
        <w:t xml:space="preserve"> and </w:t>
      </w:r>
      <w:r w:rsidR="00300F31">
        <w:t>will</w:t>
      </w:r>
      <w:r w:rsidR="00186E2E">
        <w:t xml:space="preserve"> conform</w:t>
      </w:r>
      <w:r w:rsidR="002D29C6">
        <w:t xml:space="preserve"> with this regulation.</w:t>
      </w:r>
      <w:r w:rsidR="00EE62FD">
        <w:t xml:space="preserve"> </w:t>
      </w:r>
    </w:p>
    <w:p w:rsidR="00E56D36" w:rsidP="00356650" w:rsidRDefault="00E56D36" w14:paraId="7CAB3123" w14:textId="77777777">
      <w:pPr>
        <w:spacing w:after="20"/>
      </w:pPr>
    </w:p>
    <w:p w:rsidR="00774FEB" w:rsidP="00356650" w:rsidRDefault="000B47A2" w14:paraId="095BE6E0" w14:textId="15FF14C3">
      <w:pPr>
        <w:spacing w:after="20"/>
      </w:pPr>
      <w:r>
        <w:t xml:space="preserve">In order to continue to respond to this national public health emergency through the </w:t>
      </w:r>
      <w:r w:rsidR="000C099E">
        <w:t xml:space="preserve">routine </w:t>
      </w:r>
      <w:r>
        <w:t>collection of data, t</w:t>
      </w:r>
      <w:r w:rsidR="00EE62FD">
        <w:t xml:space="preserve">he FCR team will </w:t>
      </w:r>
      <w:r>
        <w:t xml:space="preserve">begin </w:t>
      </w:r>
      <w:r w:rsidR="000C099E">
        <w:t xml:space="preserve">the process of developing and submitting a </w:t>
      </w:r>
      <w:r w:rsidR="0083047B">
        <w:t xml:space="preserve">separate </w:t>
      </w:r>
      <w:r w:rsidR="000C099E">
        <w:t xml:space="preserve">full clearance package for the </w:t>
      </w:r>
      <w:r w:rsidR="00B92CC7">
        <w:t>OMB’s</w:t>
      </w:r>
      <w:r w:rsidR="000C099E">
        <w:t xml:space="preserve"> consideration following the completion of this six-month emergency clearance.</w:t>
      </w:r>
      <w:r w:rsidR="00EE62FD">
        <w:t xml:space="preserve"> </w:t>
      </w:r>
    </w:p>
    <w:p w:rsidR="00356650" w:rsidP="00356650" w:rsidRDefault="00356650" w14:paraId="7F16E9F8" w14:textId="77777777">
      <w:pPr>
        <w:spacing w:after="20"/>
      </w:pPr>
    </w:p>
    <w:p w:rsidR="00356650" w:rsidP="00356650" w:rsidRDefault="0083047B" w14:paraId="28D60AAC" w14:textId="75CC3542">
      <w:pPr>
        <w:spacing w:after="20"/>
      </w:pPr>
      <w:r>
        <w:t>Upon emergency clearance approval, the</w:t>
      </w:r>
      <w:r w:rsidR="00566B59">
        <w:t xml:space="preserve"> team will employ t</w:t>
      </w:r>
      <w:r w:rsidR="00096667">
        <w:t>wo</w:t>
      </w:r>
      <w:r w:rsidR="00566B59">
        <w:t xml:space="preserve"> strategies to collect this routine audience feedback: </w:t>
      </w:r>
    </w:p>
    <w:p w:rsidR="00356650" w:rsidP="00356650" w:rsidRDefault="00356650" w14:paraId="36643630" w14:textId="77777777">
      <w:pPr>
        <w:spacing w:after="20"/>
      </w:pPr>
    </w:p>
    <w:p w:rsidR="00356650" w:rsidP="00AC0C3E" w:rsidRDefault="00227F9B" w14:paraId="3D7F90C7" w14:textId="6F271220">
      <w:pPr>
        <w:pStyle w:val="ListParagraph"/>
        <w:numPr>
          <w:ilvl w:val="0"/>
          <w:numId w:val="12"/>
        </w:numPr>
        <w:spacing w:after="20"/>
      </w:pPr>
      <w:r>
        <w:t xml:space="preserve">DATA COLLECTION STRATEGY 1: </w:t>
      </w:r>
      <w:r w:rsidR="009178A4">
        <w:t xml:space="preserve">Monthly </w:t>
      </w:r>
      <w:r w:rsidR="00AC0C3E">
        <w:t xml:space="preserve">60-minute </w:t>
      </w:r>
      <w:r w:rsidR="00044971">
        <w:t xml:space="preserve">virtual </w:t>
      </w:r>
      <w:r w:rsidR="00AC0C3E">
        <w:t>a</w:t>
      </w:r>
      <w:r w:rsidR="00356650">
        <w:t xml:space="preserve">udience feedback </w:t>
      </w:r>
      <w:proofErr w:type="gramStart"/>
      <w:r w:rsidR="00205BEC">
        <w:t>teams</w:t>
      </w:r>
      <w:proofErr w:type="gramEnd"/>
      <w:r w:rsidR="00205BEC">
        <w:t xml:space="preserve"> </w:t>
      </w:r>
      <w:r w:rsidR="00BE7AEB">
        <w:t>sessions</w:t>
      </w:r>
      <w:r w:rsidR="00356650">
        <w:t xml:space="preserve"> </w:t>
      </w:r>
      <w:r w:rsidR="00044971">
        <w:t>(</w:t>
      </w:r>
      <w:r w:rsidR="00BE7AEB">
        <w:t>through</w:t>
      </w:r>
      <w:r w:rsidR="00044971">
        <w:t xml:space="preserve"> </w:t>
      </w:r>
      <w:r w:rsidR="00357C78">
        <w:t>focus groups</w:t>
      </w:r>
      <w:r w:rsidR="00044971">
        <w:t xml:space="preserve">, in-depth interviews, online bulletin boards) </w:t>
      </w:r>
      <w:r w:rsidR="00356650">
        <w:t xml:space="preserve">for rapid </w:t>
      </w:r>
      <w:r w:rsidR="00242D6C">
        <w:t xml:space="preserve">qualitative </w:t>
      </w:r>
      <w:r w:rsidR="00356650">
        <w:t>testing of new Combat COVID messages, concepts, ideas, resources, webpages, and materials</w:t>
      </w:r>
      <w:r w:rsidR="00BE7AEB">
        <w:t>.</w:t>
      </w:r>
    </w:p>
    <w:p w:rsidR="00FA6FAE" w:rsidP="00A844A2" w:rsidRDefault="00564CA5" w14:paraId="552A5E7E" w14:textId="5F85AD01">
      <w:pPr>
        <w:pStyle w:val="ListParagraph"/>
        <w:numPr>
          <w:ilvl w:val="0"/>
          <w:numId w:val="12"/>
        </w:numPr>
        <w:spacing w:after="20"/>
      </w:pPr>
      <w:r>
        <w:t xml:space="preserve">DATA COLLECTION STRATEGY 2: </w:t>
      </w:r>
      <w:r w:rsidR="007D3666">
        <w:t>15-minute</w:t>
      </w:r>
      <w:r w:rsidR="00BE7AEB">
        <w:t xml:space="preserve"> </w:t>
      </w:r>
      <w:r w:rsidR="007D3666">
        <w:t>c</w:t>
      </w:r>
      <w:r w:rsidR="00356650">
        <w:t xml:space="preserve">ustom web surveys to </w:t>
      </w:r>
      <w:r w:rsidR="00242D6C">
        <w:t xml:space="preserve">quantitatively </w:t>
      </w:r>
      <w:r w:rsidR="00356650">
        <w:t xml:space="preserve">understand </w:t>
      </w:r>
      <w:r w:rsidR="00F7757B">
        <w:t xml:space="preserve">target audience needs, </w:t>
      </w:r>
      <w:r w:rsidR="00356650">
        <w:t>awareness of Combat COVID over time</w:t>
      </w:r>
      <w:r w:rsidR="00F7757B">
        <w:t>,</w:t>
      </w:r>
      <w:r w:rsidR="00356650">
        <w:t xml:space="preserve"> and inform ongoing messages and strategies</w:t>
      </w:r>
      <w:r w:rsidR="00357C78">
        <w:t>.</w:t>
      </w:r>
      <w:r w:rsidR="00356650">
        <w:t xml:space="preserve"> </w:t>
      </w:r>
    </w:p>
    <w:p w:rsidR="00356650" w:rsidP="00F534DB" w:rsidRDefault="00356650" w14:paraId="79C8BA2E" w14:textId="7785B611">
      <w:pPr>
        <w:pStyle w:val="ListParagraph"/>
        <w:spacing w:after="20"/>
      </w:pPr>
    </w:p>
    <w:p w:rsidR="00B92CC7" w:rsidP="00356650" w:rsidRDefault="00356650" w14:paraId="50579889" w14:textId="75741A59">
      <w:pPr>
        <w:spacing w:after="20"/>
      </w:pPr>
      <w:r w:rsidRPr="00356650">
        <w:rPr>
          <w:b/>
          <w:bCs/>
        </w:rPr>
        <w:t xml:space="preserve">Audience Feedback </w:t>
      </w:r>
      <w:r w:rsidR="00205BEC">
        <w:rPr>
          <w:b/>
          <w:bCs/>
        </w:rPr>
        <w:t>Teams</w:t>
      </w:r>
      <w:r w:rsidR="006630D5">
        <w:rPr>
          <w:b/>
          <w:bCs/>
        </w:rPr>
        <w:t xml:space="preserve"> </w:t>
      </w:r>
      <w:r w:rsidR="00205BEC">
        <w:rPr>
          <w:b/>
          <w:bCs/>
        </w:rPr>
        <w:t>Sessions</w:t>
      </w:r>
      <w:r>
        <w:t xml:space="preserve">: The </w:t>
      </w:r>
      <w:r w:rsidR="003E71D4">
        <w:t xml:space="preserve">FCR </w:t>
      </w:r>
      <w:r>
        <w:t xml:space="preserve">team will </w:t>
      </w:r>
      <w:r w:rsidR="00943768">
        <w:t xml:space="preserve">use a </w:t>
      </w:r>
      <w:r w:rsidR="00B92CC7">
        <w:t xml:space="preserve">professional </w:t>
      </w:r>
      <w:r w:rsidR="00D91523">
        <w:t xml:space="preserve">market research firm and their participant opt-in database to recruit </w:t>
      </w:r>
      <w:r w:rsidR="00B92CC7">
        <w:t xml:space="preserve">using an OMB-approved recruitment script and screener </w:t>
      </w:r>
      <w:r w:rsidRPr="00A844A2" w:rsidR="00B92CC7">
        <w:rPr>
          <w:b/>
          <w:bCs/>
        </w:rPr>
        <w:t>(</w:t>
      </w:r>
      <w:r w:rsidR="009C5CE7">
        <w:rPr>
          <w:b/>
          <w:bCs/>
        </w:rPr>
        <w:t>s</w:t>
      </w:r>
      <w:r w:rsidRPr="00A844A2" w:rsidR="00B92CC7">
        <w:rPr>
          <w:b/>
          <w:bCs/>
        </w:rPr>
        <w:t xml:space="preserve">ee Attachments </w:t>
      </w:r>
      <w:r w:rsidR="009C5CE7">
        <w:rPr>
          <w:b/>
          <w:bCs/>
        </w:rPr>
        <w:t>1</w:t>
      </w:r>
      <w:r w:rsidRPr="00A844A2" w:rsidR="00B92CC7">
        <w:rPr>
          <w:b/>
          <w:bCs/>
        </w:rPr>
        <w:t xml:space="preserve"> and </w:t>
      </w:r>
      <w:r w:rsidR="009C5CE7">
        <w:rPr>
          <w:b/>
          <w:bCs/>
        </w:rPr>
        <w:t>2</w:t>
      </w:r>
      <w:r w:rsidRPr="00A844A2" w:rsidR="00B92CC7">
        <w:rPr>
          <w:b/>
          <w:bCs/>
        </w:rPr>
        <w:t xml:space="preserve">) </w:t>
      </w:r>
      <w:r w:rsidR="00D91523">
        <w:t>for</w:t>
      </w:r>
      <w:r w:rsidR="00205BEC">
        <w:t xml:space="preserve"> </w:t>
      </w:r>
      <w:r>
        <w:t xml:space="preserve">four Combat COVID </w:t>
      </w:r>
      <w:r w:rsidR="003E71D4">
        <w:t xml:space="preserve">audience </w:t>
      </w:r>
      <w:r>
        <w:t>feedback teams</w:t>
      </w:r>
      <w:r w:rsidR="003E71D4">
        <w:t xml:space="preserve">. These feedback teams will </w:t>
      </w:r>
      <w:r>
        <w:t>participate in routine qualitative sessions (i.e., online bulletin boards, focus groups, and in-depth interview</w:t>
      </w:r>
      <w:r w:rsidR="00B92CC7">
        <w:t>s [</w:t>
      </w:r>
      <w:r w:rsidRPr="00A844A2" w:rsidR="00B92CC7">
        <w:rPr>
          <w:b/>
          <w:bCs/>
        </w:rPr>
        <w:t xml:space="preserve">See Attachments </w:t>
      </w:r>
      <w:r w:rsidR="00484721">
        <w:rPr>
          <w:b/>
          <w:bCs/>
        </w:rPr>
        <w:t>3-5</w:t>
      </w:r>
      <w:r w:rsidRPr="00A844A2" w:rsidR="00B92CC7">
        <w:t>]</w:t>
      </w:r>
      <w:r w:rsidRPr="00DA6E65">
        <w:t>)</w:t>
      </w:r>
      <w:r w:rsidRPr="009A35A4" w:rsidR="006630D5">
        <w:t>.</w:t>
      </w:r>
      <w:r w:rsidR="006630D5">
        <w:t xml:space="preserve"> </w:t>
      </w:r>
      <w:r w:rsidR="00A01AB7">
        <w:t xml:space="preserve">Three audience feedback teams will include representation from the general public and include a mix of age, ethnicity/race, gender, geography, </w:t>
      </w:r>
      <w:r w:rsidR="008D068D">
        <w:t xml:space="preserve">and education (n=60 total participants). The fourth feedback team will include health care providers who represent a mix of years in practice, geography, gender, and specialty type (n=20 participants). </w:t>
      </w:r>
    </w:p>
    <w:p w:rsidR="00B92CC7" w:rsidP="00356650" w:rsidRDefault="00B92CC7" w14:paraId="12D6DC48" w14:textId="77777777">
      <w:pPr>
        <w:spacing w:after="20"/>
      </w:pPr>
    </w:p>
    <w:p w:rsidR="00356650" w:rsidP="00356650" w:rsidRDefault="00C53D9D" w14:paraId="0D81CB2A" w14:textId="4B839ACF">
      <w:pPr>
        <w:spacing w:after="20"/>
      </w:pPr>
      <w:r>
        <w:t xml:space="preserve">By recruiting a cohort of participants at </w:t>
      </w:r>
      <w:r w:rsidR="00A97E4C">
        <w:t>the outset</w:t>
      </w:r>
      <w:r>
        <w:t xml:space="preserve">, in lieu of </w:t>
      </w:r>
      <w:r w:rsidR="00A97E4C">
        <w:t xml:space="preserve">a new cohort of participants </w:t>
      </w:r>
      <w:r w:rsidR="00791668">
        <w:t>for each session</w:t>
      </w:r>
      <w:r w:rsidR="00A97E4C">
        <w:t xml:space="preserve">, </w:t>
      </w:r>
      <w:r w:rsidR="009718A5">
        <w:t>recruitment-related costs and participant</w:t>
      </w:r>
      <w:r w:rsidR="00EE5A9A">
        <w:t xml:space="preserve"> recruitment screening burdens</w:t>
      </w:r>
      <w:r w:rsidR="009718A5">
        <w:t xml:space="preserve"> are minimized.</w:t>
      </w:r>
      <w:r w:rsidR="00FC5A87">
        <w:t xml:space="preserve"> </w:t>
      </w:r>
      <w:r w:rsidR="00EE5A9A">
        <w:t>Participants will be expected to participate in up to 12 qualitative sessions</w:t>
      </w:r>
      <w:r w:rsidR="003F2553">
        <w:t xml:space="preserve">, each no longer that 60 minutes in length. </w:t>
      </w:r>
    </w:p>
    <w:p w:rsidR="00131622" w:rsidP="00356650" w:rsidRDefault="00131622" w14:paraId="354AFBB2" w14:textId="18A6AED6">
      <w:pPr>
        <w:spacing w:after="20"/>
      </w:pPr>
    </w:p>
    <w:p w:rsidR="00131622" w:rsidP="00356650" w:rsidRDefault="00131622" w14:paraId="4D8E130B" w14:textId="4F071E8D">
      <w:pPr>
        <w:spacing w:after="20"/>
      </w:pPr>
      <w:r>
        <w:t xml:space="preserve">The professional market research firm will handle all aspects of participant recruitment. The FCR team and its contractor will never have access to participants’ personally identifiable information, such as last name, phone number, mailing address. </w:t>
      </w:r>
    </w:p>
    <w:p w:rsidR="005D5A8F" w:rsidP="00356650" w:rsidRDefault="005D5A8F" w14:paraId="1FCB65F8" w14:textId="77777777">
      <w:pPr>
        <w:spacing w:after="20"/>
      </w:pPr>
    </w:p>
    <w:p w:rsidR="00356650" w:rsidP="00356650" w:rsidRDefault="00356650" w14:paraId="33AE0A80" w14:textId="40CA1AB3">
      <w:pPr>
        <w:spacing w:after="20"/>
      </w:pPr>
      <w:r w:rsidRPr="00356650">
        <w:rPr>
          <w:b/>
          <w:bCs/>
        </w:rPr>
        <w:t>Custom Web Survey</w:t>
      </w:r>
      <w:r>
        <w:t xml:space="preserve">: </w:t>
      </w:r>
      <w:r w:rsidR="004B4C8B">
        <w:t xml:space="preserve">The team will use a </w:t>
      </w:r>
      <w:r w:rsidR="00B92CC7">
        <w:t xml:space="preserve">professional </w:t>
      </w:r>
      <w:r w:rsidR="004B4C8B">
        <w:t>market research</w:t>
      </w:r>
      <w:r w:rsidR="004A23C3">
        <w:t>/</w:t>
      </w:r>
      <w:r w:rsidR="00000B45">
        <w:t xml:space="preserve">survey </w:t>
      </w:r>
      <w:r w:rsidR="00BA4434">
        <w:t>panel firm</w:t>
      </w:r>
      <w:r w:rsidR="004A23C3">
        <w:t xml:space="preserve"> </w:t>
      </w:r>
      <w:r w:rsidR="00A61A6C">
        <w:t>to field two</w:t>
      </w:r>
      <w:r>
        <w:t xml:space="preserve"> custom online surveys (one for consumers, one for HCPs)</w:t>
      </w:r>
      <w:r w:rsidR="00131622">
        <w:t xml:space="preserve"> to their opt-in survey panels</w:t>
      </w:r>
      <w:r w:rsidR="00466834">
        <w:t xml:space="preserve">. Surveys will be </w:t>
      </w:r>
      <w:r>
        <w:t>approximately 15 minutes in length each</w:t>
      </w:r>
      <w:r w:rsidR="00466834">
        <w:t>,</w:t>
      </w:r>
      <w:r>
        <w:t xml:space="preserve"> fielded at baseline and at </w:t>
      </w:r>
      <w:r w:rsidR="006009C5">
        <w:t>four</w:t>
      </w:r>
      <w:r w:rsidR="00FC5A87">
        <w:t xml:space="preserve"> </w:t>
      </w:r>
      <w:r>
        <w:t xml:space="preserve">“checkpoints” based on the creation and dissemination of new Combat COVID resources:   </w:t>
      </w:r>
    </w:p>
    <w:p w:rsidR="00356650" w:rsidP="00356650" w:rsidRDefault="00356650" w14:paraId="0A010637" w14:textId="32FB4A92">
      <w:pPr>
        <w:spacing w:after="20"/>
      </w:pPr>
      <w:r>
        <w:t xml:space="preserve"> </w:t>
      </w:r>
    </w:p>
    <w:p w:rsidR="00356650" w:rsidP="00356650" w:rsidRDefault="00356650" w14:paraId="645810FE" w14:textId="1DCAF47C">
      <w:pPr>
        <w:pStyle w:val="ListParagraph"/>
        <w:numPr>
          <w:ilvl w:val="0"/>
          <w:numId w:val="8"/>
        </w:numPr>
        <w:spacing w:after="20"/>
      </w:pPr>
      <w:r>
        <w:t>One survey with a nationally representative sample of the general public</w:t>
      </w:r>
      <w:r w:rsidR="00D45F78">
        <w:t xml:space="preserve"> panel members </w:t>
      </w:r>
      <w:r>
        <w:t>(n = 2</w:t>
      </w:r>
      <w:r w:rsidR="002169F8">
        <w:t>,</w:t>
      </w:r>
      <w:r>
        <w:t xml:space="preserve">000).  </w:t>
      </w:r>
    </w:p>
    <w:p w:rsidR="00356650" w:rsidP="00356650" w:rsidRDefault="00356650" w14:paraId="22CBB201" w14:textId="5F177AA6">
      <w:pPr>
        <w:pStyle w:val="ListParagraph"/>
        <w:numPr>
          <w:ilvl w:val="0"/>
          <w:numId w:val="8"/>
        </w:numPr>
        <w:spacing w:after="20"/>
      </w:pPr>
      <w:r>
        <w:t xml:space="preserve">One survey with healthcare providers </w:t>
      </w:r>
      <w:r w:rsidR="00D45F78">
        <w:t xml:space="preserve">panel members </w:t>
      </w:r>
      <w:r>
        <w:t xml:space="preserve">who directly treat COVID-19 positive patients (n = 300).   </w:t>
      </w:r>
    </w:p>
    <w:p w:rsidR="00356650" w:rsidP="005B3D20" w:rsidRDefault="00356650" w14:paraId="574FDBB8" w14:textId="77777777">
      <w:pPr>
        <w:spacing w:after="20"/>
      </w:pPr>
    </w:p>
    <w:p w:rsidR="00131622" w:rsidP="00131622" w:rsidRDefault="00131622" w14:paraId="47B360F8" w14:textId="4A490A25">
      <w:pPr>
        <w:spacing w:after="20"/>
      </w:pPr>
      <w:r>
        <w:lastRenderedPageBreak/>
        <w:t xml:space="preserve">The professional market research/survey panel firm will handle all aspects of survey fielding. The FCR team and its contractor will never have access to respondents’ personally identifiable information, such as last name, phone number, mailing address. </w:t>
      </w:r>
    </w:p>
    <w:p w:rsidR="00131622" w:rsidP="005B5526" w:rsidRDefault="00131622" w14:paraId="46911A86" w14:textId="77777777">
      <w:pPr>
        <w:spacing w:after="20"/>
      </w:pPr>
    </w:p>
    <w:p w:rsidR="005B5526" w:rsidP="005B5526" w:rsidRDefault="005B5526" w14:paraId="46E0AFBD" w14:textId="57BB54A1">
      <w:pPr>
        <w:spacing w:after="20"/>
      </w:pPr>
      <w:r>
        <w:t>Following the conclusion of each data collection activity, the contractor will submit topline summary presentations to the FCR Team, along with actionable recommendations for the development and/or enhancement of ongoing Combat COVID resources.</w:t>
      </w:r>
    </w:p>
    <w:p w:rsidRPr="00113647" w:rsidR="005B3D20" w:rsidP="005B3D20" w:rsidRDefault="005B3D20" w14:paraId="593BC416" w14:textId="77777777">
      <w:pPr>
        <w:spacing w:after="20"/>
      </w:pPr>
    </w:p>
    <w:p w:rsidR="008716F6" w:rsidP="008716F6" w:rsidRDefault="008716F6" w14:paraId="1F9019D4" w14:textId="77777777">
      <w:pPr>
        <w:spacing w:after="20"/>
        <w:rPr>
          <w:b/>
        </w:rPr>
      </w:pPr>
      <w:r w:rsidRPr="00113647">
        <w:rPr>
          <w:b/>
        </w:rPr>
        <w:t>A.3 Use of Information Technology to Reduce Burden</w:t>
      </w:r>
    </w:p>
    <w:p w:rsidR="00807487" w:rsidP="004B3C21" w:rsidRDefault="00807487" w14:paraId="53C1C892" w14:textId="7C6910CB">
      <w:pPr>
        <w:spacing w:after="20"/>
      </w:pPr>
      <w:r>
        <w:t>Each of those modes will be deployed using</w:t>
      </w:r>
      <w:r w:rsidR="005F693E">
        <w:t xml:space="preserve"> online collaboration tools:</w:t>
      </w:r>
    </w:p>
    <w:p w:rsidR="00356650" w:rsidP="004B3C21" w:rsidRDefault="00356650" w14:paraId="65B63008" w14:textId="77777777">
      <w:pPr>
        <w:spacing w:after="20"/>
      </w:pPr>
    </w:p>
    <w:p w:rsidR="005F693E" w:rsidP="00236425" w:rsidRDefault="00564CA5" w14:paraId="2B5E0D68" w14:textId="48AA8119">
      <w:pPr>
        <w:spacing w:after="20"/>
      </w:pPr>
      <w:r>
        <w:t>DATA COLLECTION STRATEGY 1</w:t>
      </w:r>
      <w:r w:rsidR="005F693E">
        <w:t xml:space="preserve"> will consist of</w:t>
      </w:r>
      <w:r w:rsidR="00951505">
        <w:t xml:space="preserve"> live discussions held</w:t>
      </w:r>
      <w:r w:rsidR="005F693E">
        <w:t xml:space="preserve"> </w:t>
      </w:r>
      <w:r w:rsidR="00D85A7B">
        <w:t xml:space="preserve">via </w:t>
      </w:r>
      <w:r w:rsidR="005F693E">
        <w:t>online video- or audio-conferencing</w:t>
      </w:r>
      <w:r w:rsidR="00951505">
        <w:t xml:space="preserve"> (e.g., Zoom) or online bulletin boards for asynchronous</w:t>
      </w:r>
      <w:r w:rsidR="00155A1F">
        <w:t xml:space="preserve"> discussions.</w:t>
      </w:r>
      <w:r w:rsidR="00677A59">
        <w:t xml:space="preserve"> </w:t>
      </w:r>
      <w:r w:rsidR="0062427E">
        <w:t xml:space="preserve">Participants in virtual </w:t>
      </w:r>
      <w:r w:rsidR="002871F0">
        <w:t xml:space="preserve">qualitative data collection efforts have been found to be </w:t>
      </w:r>
      <w:r w:rsidR="00B133F6">
        <w:t>no less and often more</w:t>
      </w:r>
      <w:r w:rsidR="002871F0">
        <w:t xml:space="preserve"> </w:t>
      </w:r>
      <w:r w:rsidR="00B630C5">
        <w:t>diverse i</w:t>
      </w:r>
      <w:r w:rsidR="00B7457F">
        <w:t>n</w:t>
      </w:r>
      <w:r w:rsidR="00B630C5">
        <w:t xml:space="preserve"> terms of geography, education level</w:t>
      </w:r>
      <w:r w:rsidR="00EF7B3B">
        <w:t>, and</w:t>
      </w:r>
      <w:r w:rsidR="00B630C5">
        <w:t xml:space="preserve"> racial and ethnic identity</w:t>
      </w:r>
      <w:r w:rsidR="00B7457F">
        <w:t xml:space="preserve"> than in-person data collection efforts</w:t>
      </w:r>
      <w:r w:rsidR="00B12FBF">
        <w:t>.</w:t>
      </w:r>
      <w:r w:rsidR="00B7457F">
        <w:rPr>
          <w:rStyle w:val="FootnoteReference"/>
        </w:rPr>
        <w:footnoteReference w:id="2"/>
      </w:r>
      <w:r w:rsidRPr="00236425" w:rsidR="00B133F6">
        <w:rPr>
          <w:vertAlign w:val="superscript"/>
        </w:rPr>
        <w:t>,</w:t>
      </w:r>
      <w:r w:rsidR="00B133F6">
        <w:rPr>
          <w:rStyle w:val="FootnoteReference"/>
        </w:rPr>
        <w:footnoteReference w:id="3"/>
      </w:r>
      <w:r w:rsidR="00564857">
        <w:t xml:space="preserve"> Although </w:t>
      </w:r>
      <w:r w:rsidR="003B73AC">
        <w:t>participants in virtual data collection tended to have higher overall internet use</w:t>
      </w:r>
      <w:r w:rsidR="00CA54C3">
        <w:t>, virtual modes still successfully recruited</w:t>
      </w:r>
      <w:r w:rsidR="009E2E47">
        <w:t xml:space="preserve"> participants reporting lower rates of internet use.</w:t>
      </w:r>
      <w:r w:rsidR="009E2E47">
        <w:rPr>
          <w:rStyle w:val="FootnoteReference"/>
        </w:rPr>
        <w:footnoteReference w:id="4"/>
      </w:r>
      <w:r w:rsidR="008C0FFA">
        <w:t xml:space="preserve"> </w:t>
      </w:r>
      <w:r w:rsidR="00866117">
        <w:t xml:space="preserve">Holding sessions remotely across target audiences helps to minimize participant burden overall (i.e., time it would take for a participant to drive to a research facility). </w:t>
      </w:r>
      <w:r w:rsidR="008C0FFA">
        <w:t xml:space="preserve">For HCPs especially, the use of virtual data collection </w:t>
      </w:r>
      <w:r w:rsidR="00E346FA">
        <w:t>and asynchronous collection methods reduces the</w:t>
      </w:r>
      <w:r w:rsidR="00506985">
        <w:t xml:space="preserve"> impact of</w:t>
      </w:r>
      <w:r w:rsidR="00CE27C1">
        <w:t xml:space="preserve"> participation on busy professional schedules.</w:t>
      </w:r>
      <w:r w:rsidR="00CE27C1">
        <w:rPr>
          <w:rStyle w:val="FootnoteReference"/>
        </w:rPr>
        <w:footnoteReference w:id="5"/>
      </w:r>
      <w:r w:rsidR="00CC04F1">
        <w:t xml:space="preserve"> </w:t>
      </w:r>
    </w:p>
    <w:p w:rsidR="00807487" w:rsidP="004B3C21" w:rsidRDefault="00807487" w14:paraId="290E10BB" w14:textId="77777777">
      <w:pPr>
        <w:spacing w:after="20"/>
      </w:pPr>
    </w:p>
    <w:p w:rsidR="00807487" w:rsidP="00236425" w:rsidRDefault="00564CA5" w14:paraId="088F693D" w14:textId="363F2DFC">
      <w:pPr>
        <w:spacing w:after="20"/>
      </w:pPr>
      <w:r>
        <w:t>DATA COLLECTION STRATEGY 2</w:t>
      </w:r>
      <w:r w:rsidR="00807487">
        <w:t xml:space="preserve"> will recruit from an opt-in web survey research panel maintained by a market research</w:t>
      </w:r>
      <w:r w:rsidR="002233AA">
        <w:t>/survey panel</w:t>
      </w:r>
      <w:r w:rsidR="00807487">
        <w:t xml:space="preserve"> firm.</w:t>
      </w:r>
      <w:r w:rsidR="005B4741">
        <w:t xml:space="preserve"> This will allow users to participate on their own time</w:t>
      </w:r>
      <w:r w:rsidR="004D211A">
        <w:t xml:space="preserve"> using any device with a web browser.</w:t>
      </w:r>
      <w:r w:rsidR="00E43B7C">
        <w:t xml:space="preserve"> </w:t>
      </w:r>
      <w:r w:rsidR="00353E99">
        <w:t xml:space="preserve">Pages are succinct and </w:t>
      </w:r>
      <w:r w:rsidR="00FB56ED">
        <w:t>easy to navigate. Respondents only see questions that apply to them (i.e., a healthcare provider would not see the questions intended for a consumer)</w:t>
      </w:r>
      <w:r w:rsidR="00CC04F1">
        <w:t xml:space="preserve">. </w:t>
      </w:r>
    </w:p>
    <w:p w:rsidRPr="00113647" w:rsidR="00003BE1" w:rsidP="008716F6" w:rsidRDefault="00003BE1" w14:paraId="08E95EDA" w14:textId="77777777">
      <w:pPr>
        <w:spacing w:after="20"/>
      </w:pPr>
    </w:p>
    <w:p w:rsidR="008716F6" w:rsidP="008716F6" w:rsidRDefault="008716F6" w14:paraId="16F7BD87" w14:textId="77777777">
      <w:pPr>
        <w:spacing w:after="20"/>
        <w:rPr>
          <w:b/>
        </w:rPr>
      </w:pPr>
      <w:r w:rsidRPr="00113647">
        <w:rPr>
          <w:b/>
        </w:rPr>
        <w:t>A.4 Efforts to Identify Duplication</w:t>
      </w:r>
    </w:p>
    <w:p w:rsidR="00003BE1" w:rsidP="008716F6" w:rsidRDefault="00CF165A" w14:paraId="50116A33" w14:textId="28F1ABC4">
      <w:pPr>
        <w:spacing w:after="20"/>
      </w:pPr>
      <w:r w:rsidRPr="00CF165A">
        <w:t>No similar data are gathered or maintained by the agency or available from other sources known to the agency.</w:t>
      </w:r>
    </w:p>
    <w:p w:rsidRPr="00113647" w:rsidR="002F66F4" w:rsidP="008716F6" w:rsidRDefault="002F66F4" w14:paraId="62BAF955" w14:textId="77777777">
      <w:pPr>
        <w:spacing w:after="20"/>
        <w:rPr>
          <w:b/>
        </w:rPr>
      </w:pPr>
    </w:p>
    <w:p w:rsidRPr="00113647" w:rsidR="008716F6" w:rsidP="008716F6" w:rsidRDefault="008716F6" w14:paraId="2CEE54B9" w14:textId="77777777">
      <w:pPr>
        <w:spacing w:after="20"/>
        <w:rPr>
          <w:b/>
        </w:rPr>
      </w:pPr>
      <w:r w:rsidRPr="00113647">
        <w:rPr>
          <w:b/>
        </w:rPr>
        <w:t>A.5 Impact on Small Businesses or Other Small Entities</w:t>
      </w:r>
    </w:p>
    <w:p w:rsidRPr="00113647" w:rsidR="008716F6" w:rsidP="008716F6" w:rsidRDefault="00A73BEB" w14:paraId="4E350690" w14:textId="34D44778">
      <w:pPr>
        <w:spacing w:after="20"/>
      </w:pPr>
      <w:r>
        <w:t xml:space="preserve">All data collection efforts will be conducted with </w:t>
      </w:r>
      <w:proofErr w:type="gramStart"/>
      <w:r>
        <w:t>individuals,</w:t>
      </w:r>
      <w:proofErr w:type="gramEnd"/>
      <w:r>
        <w:t xml:space="preserve"> thus </w:t>
      </w:r>
      <w:r w:rsidR="00236425">
        <w:t xml:space="preserve">this </w:t>
      </w:r>
      <w:r>
        <w:t xml:space="preserve">will not impact small businesses. </w:t>
      </w:r>
    </w:p>
    <w:p w:rsidR="008716F6" w:rsidP="008716F6" w:rsidRDefault="008716F6" w14:paraId="6349957B" w14:textId="77777777">
      <w:pPr>
        <w:spacing w:after="20"/>
      </w:pPr>
    </w:p>
    <w:p w:rsidR="008716F6" w:rsidP="008716F6" w:rsidRDefault="008716F6" w14:paraId="18F8815A" w14:textId="77777777">
      <w:pPr>
        <w:spacing w:after="20"/>
        <w:rPr>
          <w:b/>
        </w:rPr>
      </w:pPr>
      <w:r w:rsidRPr="00113647">
        <w:rPr>
          <w:b/>
        </w:rPr>
        <w:t>A.6 Consequences of Collecting the Information Less Frequently</w:t>
      </w:r>
    </w:p>
    <w:p w:rsidR="00DA1F1B" w:rsidP="008716F6" w:rsidRDefault="00033EF3" w14:paraId="3E33AF64" w14:textId="2F589DF8">
      <w:pPr>
        <w:spacing w:after="20"/>
      </w:pPr>
      <w:r>
        <w:t xml:space="preserve">Collecting </w:t>
      </w:r>
      <w:r w:rsidR="007500B8">
        <w:t xml:space="preserve">routine information from the general public and healthcare providers will ensure the federal government stays abreast of changing target audience needs </w:t>
      </w:r>
      <w:r w:rsidR="00742EC8">
        <w:t xml:space="preserve">as they relate to COVID-19 treatments and ACTIV </w:t>
      </w:r>
      <w:r w:rsidR="00742EC8">
        <w:lastRenderedPageBreak/>
        <w:t>clinical trials</w:t>
      </w:r>
      <w:r w:rsidR="007A393E">
        <w:t>. This</w:t>
      </w:r>
      <w:r w:rsidR="00742EC8">
        <w:t xml:space="preserve"> ensure</w:t>
      </w:r>
      <w:r w:rsidR="007A393E">
        <w:t>s</w:t>
      </w:r>
      <w:r w:rsidR="00742EC8">
        <w:t xml:space="preserve"> </w:t>
      </w:r>
      <w:r w:rsidR="00260214">
        <w:t xml:space="preserve">needed resources are developed and broadly disseminated, </w:t>
      </w:r>
      <w:r w:rsidR="007A393E">
        <w:t>th</w:t>
      </w:r>
      <w:r w:rsidR="00260214">
        <w:t>us maximiz</w:t>
      </w:r>
      <w:r w:rsidR="007A393E">
        <w:t>ing</w:t>
      </w:r>
      <w:r w:rsidR="00260214">
        <w:t xml:space="preserve"> the return on taxpayer dollars. </w:t>
      </w:r>
      <w:r w:rsidR="00DA1F1B">
        <w:t xml:space="preserve"> (</w:t>
      </w:r>
      <w:r w:rsidR="00260214">
        <w:t>All data collection</w:t>
      </w:r>
      <w:r w:rsidR="005F39D0">
        <w:t xml:space="preserve"> efforts</w:t>
      </w:r>
      <w:r w:rsidR="00205FD5">
        <w:t>,</w:t>
      </w:r>
      <w:r w:rsidR="00260214">
        <w:t xml:space="preserve"> however, are voluntary</w:t>
      </w:r>
      <w:r w:rsidR="00005FC2">
        <w:t xml:space="preserve">, and all participants are </w:t>
      </w:r>
      <w:r w:rsidR="007856BC">
        <w:t xml:space="preserve">free to respond, or not respond, </w:t>
      </w:r>
      <w:r w:rsidR="00A80553">
        <w:t xml:space="preserve">to </w:t>
      </w:r>
      <w:r w:rsidR="00D54C90">
        <w:t xml:space="preserve">questions posed </w:t>
      </w:r>
      <w:r w:rsidR="005F39D0">
        <w:t>at any point during this endeavor.</w:t>
      </w:r>
      <w:r w:rsidR="00DA1F1B">
        <w:t>)</w:t>
      </w:r>
    </w:p>
    <w:p w:rsidR="00DA1F1B" w:rsidP="008716F6" w:rsidRDefault="00DA1F1B" w14:paraId="670BD270" w14:textId="77777777">
      <w:pPr>
        <w:spacing w:after="20"/>
      </w:pPr>
    </w:p>
    <w:p w:rsidR="006C2794" w:rsidP="008716F6" w:rsidRDefault="00344683" w14:paraId="1F8E14EB" w14:textId="77777777">
      <w:pPr>
        <w:spacing w:after="20"/>
      </w:pPr>
      <w:r>
        <w:t>Combat COVID and</w:t>
      </w:r>
      <w:r w:rsidR="009537F2">
        <w:t xml:space="preserve"> the ACTIV trials</w:t>
      </w:r>
      <w:proofErr w:type="gramStart"/>
      <w:r>
        <w:t>, in particular,</w:t>
      </w:r>
      <w:r w:rsidR="009537F2">
        <w:t xml:space="preserve"> are</w:t>
      </w:r>
      <w:proofErr w:type="gramEnd"/>
      <w:r w:rsidR="009537F2">
        <w:t xml:space="preserve"> designed to respond to the evolving nature of the COVID-19 pandemic. </w:t>
      </w:r>
      <w:r w:rsidR="00C87F56">
        <w:t xml:space="preserve">The ACTIV trials are designed </w:t>
      </w:r>
      <w:r w:rsidR="00816C0A">
        <w:t xml:space="preserve">to rapidly assess the effectiveness of new, promising COVID treatments, </w:t>
      </w:r>
      <w:r w:rsidR="009150D6">
        <w:t>and the related Combat COVID messaging will need</w:t>
      </w:r>
      <w:r w:rsidR="0077208D">
        <w:t xml:space="preserve"> ongoing updat</w:t>
      </w:r>
      <w:r w:rsidR="00BB69A4">
        <w:t>es</w:t>
      </w:r>
      <w:r w:rsidR="0077208D">
        <w:t xml:space="preserve"> as new studies come online and</w:t>
      </w:r>
      <w:r w:rsidR="00BB5667">
        <w:t xml:space="preserve"> studies that don’t show effectiveness are closed. As vaccination rates continue to increase, and the location and demographics of outbreaks change, the needs of the target audiences (and who </w:t>
      </w:r>
      <w:r w:rsidR="00CD4E87">
        <w:t xml:space="preserve">or where </w:t>
      </w:r>
      <w:r w:rsidR="00BB5667">
        <w:t xml:space="preserve">those target audiences are) will also change. </w:t>
      </w:r>
    </w:p>
    <w:p w:rsidR="006C2794" w:rsidP="008716F6" w:rsidRDefault="006C2794" w14:paraId="3152391B" w14:textId="77777777">
      <w:pPr>
        <w:spacing w:after="20"/>
      </w:pPr>
    </w:p>
    <w:p w:rsidR="00B43FD2" w:rsidP="008716F6" w:rsidRDefault="006C2794" w14:paraId="59B44261" w14:textId="33C05300">
      <w:pPr>
        <w:spacing w:after="20"/>
      </w:pPr>
      <w:r>
        <w:t xml:space="preserve">In order </w:t>
      </w:r>
      <w:r w:rsidR="00D76BF0">
        <w:t xml:space="preserve">to respond to these changes </w:t>
      </w:r>
      <w:r>
        <w:t xml:space="preserve">and to avoid </w:t>
      </w:r>
      <w:r w:rsidR="00B43FD2">
        <w:t>over-</w:t>
      </w:r>
      <w:r>
        <w:t xml:space="preserve">burdening the public, the FCR will </w:t>
      </w:r>
      <w:r w:rsidR="007558EB">
        <w:t xml:space="preserve">solicit audience feedback </w:t>
      </w:r>
      <w:r w:rsidR="00B43FD2">
        <w:t>through qualitative sessions</w:t>
      </w:r>
      <w:r w:rsidR="007558EB">
        <w:t xml:space="preserve"> </w:t>
      </w:r>
      <w:r w:rsidR="00B43FD2">
        <w:t>monthly, as any less frequently may negatively impact Combat COVID outreach strategies and message development</w:t>
      </w:r>
      <w:r w:rsidR="00A86C2F">
        <w:t>.</w:t>
      </w:r>
      <w:r w:rsidR="005C63D3">
        <w:t xml:space="preserve"> </w:t>
      </w:r>
    </w:p>
    <w:p w:rsidR="00B43FD2" w:rsidP="008716F6" w:rsidRDefault="00B43FD2" w14:paraId="48D678D4" w14:textId="77777777">
      <w:pPr>
        <w:spacing w:after="20"/>
      </w:pPr>
    </w:p>
    <w:p w:rsidR="00A61F11" w:rsidP="008716F6" w:rsidRDefault="005C63D3" w14:paraId="2B38DE51" w14:textId="756A8F13">
      <w:pPr>
        <w:spacing w:after="20"/>
      </w:pPr>
      <w:r>
        <w:t xml:space="preserve">Data collection used to measure changes over time – using the custom web survey – will be carried out every 3 months, to allow </w:t>
      </w:r>
      <w:r w:rsidR="00B43FD2">
        <w:t xml:space="preserve">sufficient time </w:t>
      </w:r>
      <w:r>
        <w:t>for the messages to</w:t>
      </w:r>
      <w:r w:rsidR="005038BD">
        <w:t xml:space="preserve"> </w:t>
      </w:r>
      <w:r w:rsidR="006E5647">
        <w:t>make an impact</w:t>
      </w:r>
      <w:r w:rsidR="00B43FD2">
        <w:t>, prior to yielding</w:t>
      </w:r>
      <w:r w:rsidR="001C1468">
        <w:t xml:space="preserve"> results</w:t>
      </w:r>
      <w:r w:rsidR="006E5647">
        <w:t>.</w:t>
      </w:r>
      <w:r w:rsidR="00A86C2F">
        <w:t xml:space="preserve"> </w:t>
      </w:r>
      <w:r w:rsidR="006E5647">
        <w:t xml:space="preserve"> </w:t>
      </w:r>
      <w:r w:rsidR="001C1468">
        <w:t>I</w:t>
      </w:r>
      <w:r w:rsidR="00996B84">
        <w:t>f</w:t>
      </w:r>
      <w:r w:rsidR="00E9410C">
        <w:t xml:space="preserve"> </w:t>
      </w:r>
      <w:r w:rsidR="001C1468">
        <w:t>survey</w:t>
      </w:r>
      <w:r w:rsidR="00E9410C">
        <w:t xml:space="preserve"> data are collected less frequently, </w:t>
      </w:r>
      <w:r w:rsidR="00F17959">
        <w:t>Combat COVID message</w:t>
      </w:r>
      <w:r w:rsidR="00007986">
        <w:t xml:space="preserve"> development</w:t>
      </w:r>
      <w:r w:rsidR="00996B84">
        <w:t xml:space="preserve"> will not be able to respond t</w:t>
      </w:r>
      <w:r w:rsidR="00A0654C">
        <w:t xml:space="preserve">o new breakthroughs and </w:t>
      </w:r>
      <w:r w:rsidR="00996B84">
        <w:t xml:space="preserve">information needs from </w:t>
      </w:r>
      <w:r w:rsidR="00A0654C">
        <w:t>different</w:t>
      </w:r>
      <w:r w:rsidR="00996B84">
        <w:t xml:space="preserve"> target audiences</w:t>
      </w:r>
      <w:r w:rsidR="006B18F4">
        <w:t xml:space="preserve"> on a topic</w:t>
      </w:r>
      <w:r w:rsidR="006E5647">
        <w:t>, and the messages will</w:t>
      </w:r>
      <w:r w:rsidR="00D76BF0">
        <w:t xml:space="preserve"> be less effective</w:t>
      </w:r>
      <w:r w:rsidR="00A0654C">
        <w:t>.</w:t>
      </w:r>
    </w:p>
    <w:p w:rsidRPr="00113647" w:rsidR="004B3C21" w:rsidP="008716F6" w:rsidRDefault="004B3C21" w14:paraId="4BF9546C" w14:textId="77777777">
      <w:pPr>
        <w:spacing w:after="20"/>
      </w:pPr>
    </w:p>
    <w:p w:rsidRPr="00113647" w:rsidR="008716F6" w:rsidP="008716F6" w:rsidRDefault="008716F6" w14:paraId="3FB59BB3" w14:textId="77777777">
      <w:pPr>
        <w:spacing w:after="20"/>
        <w:rPr>
          <w:b/>
        </w:rPr>
      </w:pPr>
      <w:r w:rsidRPr="00113647">
        <w:rPr>
          <w:b/>
        </w:rPr>
        <w:t>A.7 Special Circumstances Relating to the Guidelines of 5 CFR 1320.5</w:t>
      </w:r>
    </w:p>
    <w:p w:rsidR="008716F6" w:rsidP="008716F6" w:rsidRDefault="001C1468" w14:paraId="3522E670" w14:textId="2543E5F7">
      <w:pPr>
        <w:spacing w:after="20"/>
      </w:pPr>
      <w:r>
        <w:t>In response to the national public health emergency, and b</w:t>
      </w:r>
      <w:r w:rsidR="00DF1F19">
        <w:t>ecause th</w:t>
      </w:r>
      <w:r w:rsidR="00070864">
        <w:t>e Federal COVID Response requires timely feedback on</w:t>
      </w:r>
      <w:r w:rsidR="004808BF">
        <w:t xml:space="preserve"> the Combat COVID initiative</w:t>
      </w:r>
      <w:r w:rsidR="00C44FF0">
        <w:t xml:space="preserve"> to adapt to the changing circumstances of the ongoing COVID-19 </w:t>
      </w:r>
      <w:r w:rsidR="002B5A84">
        <w:t xml:space="preserve">epidemic, </w:t>
      </w:r>
      <w:r>
        <w:t>we are requesting emergency clearance for this data collection</w:t>
      </w:r>
      <w:r w:rsidR="00975F51">
        <w:t xml:space="preserve">.  Thus, </w:t>
      </w:r>
      <w:r>
        <w:t>i</w:t>
      </w:r>
      <w:r w:rsidRPr="00940337" w:rsidR="00940337">
        <w:t>t will not go through a 60-day public comment period and will only undergo a 30-day public comment period after clearance has been granted.</w:t>
      </w:r>
      <w:r w:rsidR="00B41687">
        <w:t xml:space="preserve"> The team is also submitting an information collection request for full review in order to continue collecting data after the six-month Emergency Clearance approval period.</w:t>
      </w:r>
    </w:p>
    <w:p w:rsidR="007C338C" w:rsidP="008716F6" w:rsidRDefault="007C338C" w14:paraId="58F19D58" w14:textId="482E15BB">
      <w:pPr>
        <w:spacing w:after="20"/>
      </w:pPr>
    </w:p>
    <w:p w:rsidRPr="00113647" w:rsidR="007C338C" w:rsidP="008716F6" w:rsidRDefault="00BA2279" w14:paraId="2B047BD4" w14:textId="18685F6A">
      <w:pPr>
        <w:spacing w:after="20"/>
      </w:pPr>
      <w:r>
        <w:t xml:space="preserve">Emergency </w:t>
      </w:r>
      <w:r w:rsidR="00B41687">
        <w:t>C</w:t>
      </w:r>
      <w:r>
        <w:t xml:space="preserve">learance for this </w:t>
      </w:r>
      <w:r w:rsidR="00EF7833">
        <w:t>data request will allow the FCR</w:t>
      </w:r>
      <w:r w:rsidR="00E91DD6">
        <w:t xml:space="preserve"> team </w:t>
      </w:r>
      <w:r w:rsidR="00D318F6">
        <w:t>to begin rapid testing</w:t>
      </w:r>
      <w:r w:rsidR="000A5D4D">
        <w:t xml:space="preserve"> of messages</w:t>
      </w:r>
      <w:r w:rsidR="00461A5C">
        <w:t xml:space="preserve"> their impact over the next six months. </w:t>
      </w:r>
      <w:r w:rsidR="009D4F5C">
        <w:t xml:space="preserve">As this landscape changes, a full review and clearance will allow </w:t>
      </w:r>
      <w:r w:rsidR="007F5A02">
        <w:t xml:space="preserve">the team </w:t>
      </w:r>
      <w:r w:rsidR="009D4F5C">
        <w:t>to keep testing new messages developed for new circumstances, and to show</w:t>
      </w:r>
      <w:r w:rsidR="007F5A02">
        <w:t xml:space="preserve"> how knowledge of and attitudes toward clinical trials for COVID-19 therapies has changed over time. </w:t>
      </w:r>
      <w:r w:rsidR="007C338C">
        <w:t>The full</w:t>
      </w:r>
      <w:r w:rsidR="000B501B">
        <w:t xml:space="preserve"> review and clearance will comply with the guidelines</w:t>
      </w:r>
      <w:r w:rsidR="006825BB">
        <w:t xml:space="preserve"> as laid out in 5 CFTR 1320.5.</w:t>
      </w:r>
    </w:p>
    <w:p w:rsidRPr="00113647" w:rsidR="008716F6" w:rsidP="008716F6" w:rsidRDefault="008716F6" w14:paraId="16EF2A4F" w14:textId="77777777">
      <w:pPr>
        <w:spacing w:after="20"/>
      </w:pPr>
    </w:p>
    <w:p w:rsidRPr="00113647" w:rsidR="008716F6" w:rsidP="008716F6" w:rsidRDefault="008716F6" w14:paraId="7036E772" w14:textId="77777777">
      <w:pPr>
        <w:spacing w:after="20"/>
        <w:rPr>
          <w:b/>
        </w:rPr>
      </w:pPr>
      <w:r w:rsidRPr="00113647">
        <w:rPr>
          <w:b/>
        </w:rPr>
        <w:t>A.8 Comments in Response to the Federal Register Notice and Efforts to Consult Outside Agency</w:t>
      </w:r>
    </w:p>
    <w:p w:rsidR="008716F6" w:rsidP="008716F6" w:rsidRDefault="00C75517" w14:paraId="0559FCF3" w14:textId="6E111451">
      <w:pPr>
        <w:spacing w:after="20"/>
      </w:pPr>
      <w:r w:rsidRPr="003C776B">
        <w:t>This is an emergency request</w:t>
      </w:r>
      <w:r>
        <w:t>;</w:t>
      </w:r>
      <w:r w:rsidRPr="003C776B">
        <w:t xml:space="preserve"> </w:t>
      </w:r>
      <w:r w:rsidR="00F3715C">
        <w:t xml:space="preserve">an </w:t>
      </w:r>
      <w:r w:rsidR="00A004B4">
        <w:t xml:space="preserve">emergency </w:t>
      </w:r>
      <w:r w:rsidR="00F3715C">
        <w:t xml:space="preserve">FRN was published on 5/27/20201 </w:t>
      </w:r>
      <w:r w:rsidR="00A004B4">
        <w:t>No.</w:t>
      </w:r>
      <w:r w:rsidRPr="00A004B4" w:rsidR="00A004B4">
        <w:t xml:space="preserve"> 86 FR 28633</w:t>
      </w:r>
      <w:r w:rsidR="00A004B4">
        <w:t>, pages 28633</w:t>
      </w:r>
      <w:r w:rsidRPr="00A004B4" w:rsidR="00A004B4">
        <w:t>-28634</w:t>
      </w:r>
      <w:r w:rsidR="00A004B4">
        <w:t>.</w:t>
      </w:r>
    </w:p>
    <w:p w:rsidR="00C75517" w:rsidP="008716F6" w:rsidRDefault="00C75517" w14:paraId="4DF52205" w14:textId="5027032B">
      <w:pPr>
        <w:spacing w:after="20"/>
      </w:pPr>
    </w:p>
    <w:p w:rsidR="009D1939" w:rsidP="008716F6" w:rsidRDefault="00F4725B" w14:paraId="153BAE52" w14:textId="1793D45F">
      <w:pPr>
        <w:spacing w:after="20"/>
        <w:rPr>
          <w:rFonts w:eastAsia="Calibri"/>
        </w:rPr>
      </w:pPr>
      <w:proofErr w:type="gramStart"/>
      <w:r w:rsidRPr="00F04888">
        <w:rPr>
          <w:rFonts w:eastAsia="Calibri"/>
        </w:rPr>
        <w:t>With regard to</w:t>
      </w:r>
      <w:proofErr w:type="gramEnd"/>
      <w:r w:rsidRPr="00F04888">
        <w:rPr>
          <w:rFonts w:eastAsia="Calibri"/>
        </w:rPr>
        <w:t xml:space="preserve"> consult with outside agencies</w:t>
      </w:r>
      <w:r>
        <w:rPr>
          <w:rFonts w:eastAsia="Calibri"/>
        </w:rPr>
        <w:t xml:space="preserve">, </w:t>
      </w:r>
      <w:r w:rsidR="004D0A9B">
        <w:rPr>
          <w:rFonts w:eastAsia="Calibri"/>
        </w:rPr>
        <w:t xml:space="preserve">the FCR team </w:t>
      </w:r>
      <w:r w:rsidR="002D31EE">
        <w:rPr>
          <w:rFonts w:eastAsia="Calibri"/>
        </w:rPr>
        <w:t xml:space="preserve">is designed to coordinate the work between several agencies. </w:t>
      </w:r>
      <w:r w:rsidR="00911789">
        <w:rPr>
          <w:rFonts w:eastAsia="Calibri"/>
        </w:rPr>
        <w:t xml:space="preserve">Members of the team </w:t>
      </w:r>
      <w:r w:rsidR="006974BB">
        <w:rPr>
          <w:rFonts w:eastAsia="Calibri"/>
        </w:rPr>
        <w:t>described the need for timely data collection to inform the communications</w:t>
      </w:r>
      <w:r w:rsidR="009D1939">
        <w:rPr>
          <w:rFonts w:eastAsia="Calibri"/>
        </w:rPr>
        <w:t xml:space="preserve"> strategy</w:t>
      </w:r>
      <w:r w:rsidR="006974BB">
        <w:rPr>
          <w:rFonts w:eastAsia="Calibri"/>
        </w:rPr>
        <w:t xml:space="preserve"> for</w:t>
      </w:r>
      <w:r w:rsidR="009D1939">
        <w:rPr>
          <w:rFonts w:eastAsia="Calibri"/>
        </w:rPr>
        <w:t xml:space="preserve"> </w:t>
      </w:r>
      <w:r w:rsidR="006974BB">
        <w:rPr>
          <w:rFonts w:eastAsia="Calibri"/>
        </w:rPr>
        <w:t>Combat COVID</w:t>
      </w:r>
      <w:r w:rsidR="009D1939">
        <w:rPr>
          <w:rFonts w:eastAsia="Calibri"/>
        </w:rPr>
        <w:t xml:space="preserve">, </w:t>
      </w:r>
      <w:r w:rsidR="00C334F3">
        <w:rPr>
          <w:rFonts w:eastAsia="Calibri"/>
        </w:rPr>
        <w:t>gave input on</w:t>
      </w:r>
      <w:r w:rsidR="00291F91">
        <w:rPr>
          <w:rFonts w:eastAsia="Calibri"/>
        </w:rPr>
        <w:t xml:space="preserve"> the</w:t>
      </w:r>
      <w:r w:rsidR="009D1939">
        <w:rPr>
          <w:rFonts w:eastAsia="Calibri"/>
        </w:rPr>
        <w:t xml:space="preserve"> research</w:t>
      </w:r>
      <w:r w:rsidR="00291F91">
        <w:rPr>
          <w:rFonts w:eastAsia="Calibri"/>
        </w:rPr>
        <w:t xml:space="preserve"> questions</w:t>
      </w:r>
      <w:r w:rsidR="009D1939">
        <w:rPr>
          <w:rFonts w:eastAsia="Calibri"/>
        </w:rPr>
        <w:t>/</w:t>
      </w:r>
      <w:r w:rsidR="00291F91">
        <w:rPr>
          <w:rFonts w:eastAsia="Calibri"/>
        </w:rPr>
        <w:t xml:space="preserve">topics, </w:t>
      </w:r>
      <w:r w:rsidR="006974BB">
        <w:rPr>
          <w:rFonts w:eastAsia="Calibri"/>
        </w:rPr>
        <w:t>and reviewed the</w:t>
      </w:r>
      <w:r w:rsidR="005B7168">
        <w:rPr>
          <w:rFonts w:eastAsia="Calibri"/>
        </w:rPr>
        <w:t xml:space="preserve"> proposed data collection</w:t>
      </w:r>
      <w:r w:rsidR="00C51BB3">
        <w:rPr>
          <w:rFonts w:eastAsia="Calibri"/>
        </w:rPr>
        <w:t xml:space="preserve"> strategy</w:t>
      </w:r>
      <w:r w:rsidR="005B7168">
        <w:rPr>
          <w:rFonts w:eastAsia="Calibri"/>
        </w:rPr>
        <w:t xml:space="preserve"> to provide </w:t>
      </w:r>
      <w:r w:rsidR="006D44FA">
        <w:rPr>
          <w:rFonts w:eastAsia="Calibri"/>
        </w:rPr>
        <w:t xml:space="preserve">broad </w:t>
      </w:r>
      <w:r w:rsidR="005B7168">
        <w:rPr>
          <w:rFonts w:eastAsia="Calibri"/>
        </w:rPr>
        <w:t xml:space="preserve">survey and in-depth data </w:t>
      </w:r>
      <w:r w:rsidR="00C51BB3">
        <w:rPr>
          <w:rFonts w:eastAsia="Calibri"/>
        </w:rPr>
        <w:t>from</w:t>
      </w:r>
      <w:r w:rsidR="005B7168">
        <w:rPr>
          <w:rFonts w:eastAsia="Calibri"/>
        </w:rPr>
        <w:t xml:space="preserve"> target audiences of the initiative.</w:t>
      </w:r>
      <w:r w:rsidR="00291F91">
        <w:rPr>
          <w:rFonts w:eastAsia="Calibri"/>
        </w:rPr>
        <w:t xml:space="preserve"> </w:t>
      </w:r>
    </w:p>
    <w:p w:rsidR="009D1939" w:rsidP="008716F6" w:rsidRDefault="009D1939" w14:paraId="394F03BE" w14:textId="77777777">
      <w:pPr>
        <w:spacing w:after="20"/>
        <w:rPr>
          <w:rFonts w:eastAsia="Calibri"/>
        </w:rPr>
      </w:pPr>
    </w:p>
    <w:p w:rsidR="00F4725B" w:rsidP="008716F6" w:rsidRDefault="006C17E3" w14:paraId="46FBB855" w14:textId="7AC0C370">
      <w:pPr>
        <w:spacing w:after="20"/>
        <w:rPr>
          <w:rFonts w:eastAsia="Calibri"/>
        </w:rPr>
      </w:pPr>
      <w:r>
        <w:rPr>
          <w:rFonts w:eastAsia="Calibri"/>
        </w:rPr>
        <w:t>T</w:t>
      </w:r>
      <w:r w:rsidR="00F4725B">
        <w:rPr>
          <w:rFonts w:eastAsia="Calibri"/>
        </w:rPr>
        <w:t>h</w:t>
      </w:r>
      <w:r w:rsidR="006974BB">
        <w:rPr>
          <w:rFonts w:eastAsia="Calibri"/>
        </w:rPr>
        <w:t>ese</w:t>
      </w:r>
      <w:r w:rsidR="009D1939">
        <w:rPr>
          <w:rFonts w:eastAsia="Calibri"/>
        </w:rPr>
        <w:t xml:space="preserve"> team</w:t>
      </w:r>
      <w:r w:rsidR="006974BB">
        <w:rPr>
          <w:rFonts w:eastAsia="Calibri"/>
        </w:rPr>
        <w:t xml:space="preserve"> </w:t>
      </w:r>
      <w:r w:rsidR="00E87572">
        <w:rPr>
          <w:rFonts w:eastAsia="Calibri"/>
        </w:rPr>
        <w:t xml:space="preserve">members </w:t>
      </w:r>
      <w:r w:rsidR="006974BB">
        <w:rPr>
          <w:rFonts w:eastAsia="Calibri"/>
        </w:rPr>
        <w:t>i</w:t>
      </w:r>
      <w:r w:rsidR="00E87572">
        <w:rPr>
          <w:rFonts w:eastAsia="Calibri"/>
        </w:rPr>
        <w:t>ncluded:</w:t>
      </w:r>
    </w:p>
    <w:p w:rsidR="008716F6" w:rsidP="00975F51" w:rsidRDefault="00E87572" w14:paraId="6849A58E" w14:textId="0E885B4A">
      <w:pPr>
        <w:pStyle w:val="ListParagraph"/>
        <w:numPr>
          <w:ilvl w:val="0"/>
          <w:numId w:val="15"/>
        </w:numPr>
        <w:spacing w:after="20"/>
      </w:pPr>
      <w:r>
        <w:t>L</w:t>
      </w:r>
      <w:r w:rsidR="00ED459F">
        <w:t xml:space="preserve">ieutenant Colonel Avon </w:t>
      </w:r>
      <w:r w:rsidR="006C17E3">
        <w:t>Cornelius</w:t>
      </w:r>
      <w:r w:rsidR="00357D4A">
        <w:t xml:space="preserve"> (</w:t>
      </w:r>
      <w:r w:rsidR="003F0A28">
        <w:t>HHS/</w:t>
      </w:r>
      <w:r w:rsidR="007D0D1A">
        <w:t>Office of the Secretary/Immediate Office of the Secretary)</w:t>
      </w:r>
    </w:p>
    <w:p w:rsidR="00DA604A" w:rsidP="00975F51" w:rsidRDefault="00EF163F" w14:paraId="113D3CDC" w14:textId="4D1D7C15">
      <w:pPr>
        <w:pStyle w:val="ListParagraph"/>
        <w:spacing w:after="20"/>
      </w:pPr>
      <w:hyperlink w:history="1" r:id="rId12">
        <w:r w:rsidRPr="001A719D" w:rsidR="006974BB">
          <w:rPr>
            <w:rStyle w:val="Hyperlink"/>
          </w:rPr>
          <w:t>Avon.Cornelius@hhs.gov</w:t>
        </w:r>
      </w:hyperlink>
    </w:p>
    <w:p w:rsidR="004D0A9B" w:rsidP="00975F51" w:rsidRDefault="004D0A9B" w14:paraId="6AFCF4DD" w14:textId="567227DA">
      <w:pPr>
        <w:pStyle w:val="ListParagraph"/>
        <w:numPr>
          <w:ilvl w:val="0"/>
          <w:numId w:val="15"/>
        </w:numPr>
        <w:spacing w:after="20"/>
      </w:pPr>
      <w:r>
        <w:t>Colonel Brian Burk</w:t>
      </w:r>
      <w:r w:rsidR="007D0D1A">
        <w:t xml:space="preserve"> (HHS/Office of the Secretary/Immediate Office of the Secretary)</w:t>
      </w:r>
    </w:p>
    <w:p w:rsidR="00824953" w:rsidP="006974BB" w:rsidRDefault="00EF163F" w14:paraId="0DA31454" w14:textId="081E6C38">
      <w:pPr>
        <w:pStyle w:val="ListParagraph"/>
        <w:spacing w:after="20"/>
      </w:pPr>
      <w:hyperlink w:history="1" r:id="rId13">
        <w:r w:rsidRPr="001A719D" w:rsidR="006974BB">
          <w:rPr>
            <w:rStyle w:val="Hyperlink"/>
          </w:rPr>
          <w:t>Brian.Burk@hhs.gov</w:t>
        </w:r>
      </w:hyperlink>
    </w:p>
    <w:p w:rsidR="000A7221" w:rsidP="000A7221" w:rsidRDefault="000A7221" w14:paraId="5D03D958" w14:textId="17650F79">
      <w:pPr>
        <w:pStyle w:val="ListParagraph"/>
        <w:numPr>
          <w:ilvl w:val="0"/>
          <w:numId w:val="15"/>
        </w:numPr>
        <w:spacing w:after="20"/>
      </w:pPr>
      <w:r>
        <w:t xml:space="preserve">Christine </w:t>
      </w:r>
      <w:proofErr w:type="spellStart"/>
      <w:r>
        <w:t>Keuthe</w:t>
      </w:r>
      <w:proofErr w:type="spellEnd"/>
      <w:r>
        <w:t xml:space="preserve"> (</w:t>
      </w:r>
      <w:r w:rsidR="00663F75">
        <w:t xml:space="preserve">HHS/Office of the </w:t>
      </w:r>
      <w:r w:rsidR="003A1C76">
        <w:t>Assistant Secretary for</w:t>
      </w:r>
      <w:r w:rsidRPr="003A1C76" w:rsidR="003A1C76">
        <w:t xml:space="preserve"> Preparedness and Response</w:t>
      </w:r>
      <w:r w:rsidR="003A1C76">
        <w:t>/</w:t>
      </w:r>
      <w:r w:rsidRPr="003A1C76" w:rsidR="003A1C76">
        <w:t>Biomedical Advance Research and Development Authority</w:t>
      </w:r>
      <w:r w:rsidR="003A1C76">
        <w:t>)</w:t>
      </w:r>
    </w:p>
    <w:p w:rsidR="00ED459F" w:rsidP="00975F51" w:rsidRDefault="00EF163F" w14:paraId="5836906A" w14:textId="6A6D3CE0">
      <w:pPr>
        <w:pStyle w:val="ListParagraph"/>
        <w:spacing w:after="20"/>
      </w:pPr>
      <w:hyperlink w:history="1" r:id="rId14">
        <w:r w:rsidRPr="001A719D" w:rsidR="002759A5">
          <w:rPr>
            <w:rStyle w:val="Hyperlink"/>
          </w:rPr>
          <w:t>Christine.Kuethe@hhs.gov</w:t>
        </w:r>
      </w:hyperlink>
    </w:p>
    <w:p w:rsidRPr="00113647" w:rsidR="00E87572" w:rsidP="008716F6" w:rsidRDefault="00E87572" w14:paraId="17CBAD4E" w14:textId="77777777">
      <w:pPr>
        <w:spacing w:after="20"/>
      </w:pPr>
    </w:p>
    <w:p w:rsidR="008716F6" w:rsidP="008716F6" w:rsidRDefault="008716F6" w14:paraId="6C612A06" w14:textId="79364BF8">
      <w:pPr>
        <w:spacing w:after="20"/>
        <w:rPr>
          <w:b/>
        </w:rPr>
      </w:pPr>
      <w:r w:rsidRPr="00113647">
        <w:rPr>
          <w:b/>
        </w:rPr>
        <w:t xml:space="preserve">A.9 </w:t>
      </w:r>
      <w:r w:rsidRPr="00113647" w:rsidR="00477A8E">
        <w:rPr>
          <w:b/>
        </w:rPr>
        <w:t>Explanation of Any Payment of Gift to Respondents</w:t>
      </w:r>
    </w:p>
    <w:p w:rsidR="00503A19" w:rsidP="576A39C8" w:rsidRDefault="12AF841F" w14:paraId="65BB6304" w14:textId="5A2B76CB">
      <w:pPr>
        <w:spacing w:after="20"/>
        <w:rPr>
          <w:rStyle w:val="eop"/>
          <w:color w:val="000000"/>
          <w:shd w:val="clear" w:color="auto" w:fill="FFFFFF"/>
        </w:rPr>
      </w:pPr>
      <w:r w:rsidRPr="0F584192">
        <w:rPr>
          <w:rStyle w:val="normaltextrun"/>
          <w:color w:val="000000" w:themeColor="text1"/>
        </w:rPr>
        <w:t>Research has shown improved participation in qualitative interviews with adults in the general United States population when given a monetary incentive in comparison to a nonmonetary incentive or no incentive</w:t>
      </w:r>
      <w:r w:rsidRPr="32E20528">
        <w:rPr>
          <w:rStyle w:val="normaltextrun"/>
          <w:color w:val="000000" w:themeColor="text1"/>
        </w:rPr>
        <w:t>.</w:t>
      </w:r>
      <w:r w:rsidRPr="32E20528" w:rsidR="00B315EB">
        <w:rPr>
          <w:rStyle w:val="FootnoteReference"/>
        </w:rPr>
        <w:footnoteReference w:id="6"/>
      </w:r>
      <w:r w:rsidR="00503A19">
        <w:rPr>
          <w:rStyle w:val="normaltextrun"/>
          <w:color w:val="000000" w:themeColor="text1"/>
        </w:rPr>
        <w:t xml:space="preserve"> </w:t>
      </w:r>
    </w:p>
    <w:p w:rsidR="00503A19" w:rsidP="576A39C8" w:rsidRDefault="00503A19" w14:paraId="063E4EA7" w14:textId="77777777">
      <w:pPr>
        <w:spacing w:after="20"/>
        <w:rPr>
          <w:rStyle w:val="eop"/>
          <w:color w:val="000000"/>
          <w:shd w:val="clear" w:color="auto" w:fill="FFFFFF"/>
        </w:rPr>
      </w:pPr>
    </w:p>
    <w:p w:rsidR="004059A3" w:rsidP="576A39C8" w:rsidRDefault="00503A19" w14:paraId="1CC53744" w14:textId="62216EDD">
      <w:pPr>
        <w:spacing w:after="20"/>
      </w:pPr>
      <w:r>
        <w:rPr>
          <w:rStyle w:val="normaltextrun"/>
          <w:color w:val="000000"/>
          <w:shd w:val="clear" w:color="auto" w:fill="FFFFFF"/>
        </w:rPr>
        <w:t>Feedback team participants will receive a token of appreciate of $75 for each feedback team activity in which they participate (individual discussion, group discussion, or online bulletin board post prompt).</w:t>
      </w:r>
      <w:r>
        <w:rPr>
          <w:rStyle w:val="eop"/>
          <w:color w:val="000000"/>
          <w:shd w:val="clear" w:color="auto" w:fill="FFFFFF"/>
        </w:rPr>
        <w:t> </w:t>
      </w:r>
      <w:r>
        <w:t xml:space="preserve">The proposed incentive amount has been shown to be effective by Federal agencies for focus group activities, offsetting the challenges for these audiences to participate in a focus group. </w:t>
      </w:r>
      <w:r w:rsidR="00950D46">
        <w:rPr>
          <w:rStyle w:val="eop"/>
          <w:color w:val="000000"/>
          <w:shd w:val="clear" w:color="auto" w:fill="FFFFFF"/>
        </w:rPr>
        <w:t xml:space="preserve">This incentive amount was chosen based on </w:t>
      </w:r>
      <w:r w:rsidR="00F3746B">
        <w:rPr>
          <w:rStyle w:val="eop"/>
          <w:color w:val="000000"/>
          <w:shd w:val="clear" w:color="auto" w:fill="FFFFFF"/>
        </w:rPr>
        <w:t xml:space="preserve">potential </w:t>
      </w:r>
      <w:r w:rsidR="00950D46">
        <w:rPr>
          <w:rStyle w:val="eop"/>
          <w:color w:val="000000"/>
          <w:shd w:val="clear" w:color="auto" w:fill="FFFFFF"/>
        </w:rPr>
        <w:t xml:space="preserve">expenses occurred </w:t>
      </w:r>
      <w:r w:rsidR="00F3746B">
        <w:rPr>
          <w:rStyle w:val="eop"/>
          <w:color w:val="000000"/>
          <w:shd w:val="clear" w:color="auto" w:fill="FFFFFF"/>
        </w:rPr>
        <w:t>for the average participant</w:t>
      </w:r>
      <w:r w:rsidR="004059A3">
        <w:rPr>
          <w:rStyle w:val="eop"/>
          <w:color w:val="000000"/>
          <w:shd w:val="clear" w:color="auto" w:fill="FFFFFF"/>
        </w:rPr>
        <w:t>, such as</w:t>
      </w:r>
      <w:r w:rsidR="004059A3">
        <w:t>:</w:t>
      </w:r>
    </w:p>
    <w:p w:rsidR="004059A3" w:rsidP="004059A3" w:rsidRDefault="00503A19" w14:paraId="7C5BF503" w14:textId="1E461E4A">
      <w:pPr>
        <w:pStyle w:val="ListParagraph"/>
        <w:numPr>
          <w:ilvl w:val="0"/>
          <w:numId w:val="11"/>
        </w:numPr>
        <w:spacing w:after="20"/>
      </w:pPr>
      <w:r>
        <w:t>childcare for both participating in the pre-discussion homework (</w:t>
      </w:r>
      <w:r w:rsidR="000E6226">
        <w:t xml:space="preserve">such as </w:t>
      </w:r>
      <w:r w:rsidR="00950D46">
        <w:t xml:space="preserve">reviewing the </w:t>
      </w:r>
      <w:r w:rsidR="00F3746B">
        <w:t xml:space="preserve">online bulletin board </w:t>
      </w:r>
      <w:r w:rsidR="00950D46">
        <w:t xml:space="preserve">prompt </w:t>
      </w:r>
      <w:r w:rsidR="00F3746B">
        <w:t>or</w:t>
      </w:r>
      <w:r w:rsidR="00950D46">
        <w:t xml:space="preserve"> </w:t>
      </w:r>
      <w:r w:rsidR="00F3746B">
        <w:t>setting up the video-conferencing technology</w:t>
      </w:r>
      <w:r>
        <w:t xml:space="preserve">) and the focus group </w:t>
      </w:r>
      <w:r w:rsidR="004059A3">
        <w:t>or response writing</w:t>
      </w:r>
      <w:r>
        <w:t xml:space="preserve"> (60 minutes)</w:t>
      </w:r>
      <w:r w:rsidR="004059A3">
        <w:t xml:space="preserve">, estimated at </w:t>
      </w:r>
      <w:r w:rsidRPr="00E45EE8" w:rsidR="00E45EE8">
        <w:t>$16.20</w:t>
      </w:r>
      <w:r w:rsidR="00E45EE8">
        <w:t xml:space="preserve"> per hour;</w:t>
      </w:r>
      <w:r w:rsidR="00E45EE8">
        <w:rPr>
          <w:rStyle w:val="FootnoteReference"/>
        </w:rPr>
        <w:footnoteReference w:id="7"/>
      </w:r>
    </w:p>
    <w:p w:rsidR="00E45EE8" w:rsidP="004059A3" w:rsidRDefault="006C4B13" w14:paraId="71CF15C9" w14:textId="4133D90C">
      <w:pPr>
        <w:pStyle w:val="ListParagraph"/>
        <w:numPr>
          <w:ilvl w:val="0"/>
          <w:numId w:val="11"/>
        </w:numPr>
        <w:spacing w:after="20"/>
      </w:pPr>
      <w:r w:rsidRPr="006C4B13">
        <w:t xml:space="preserve">any loss of income to participants (e.g., if a participant </w:t>
      </w:r>
      <w:proofErr w:type="gramStart"/>
      <w:r w:rsidRPr="006C4B13">
        <w:t>has to</w:t>
      </w:r>
      <w:proofErr w:type="gramEnd"/>
      <w:r w:rsidRPr="006C4B13">
        <w:t xml:space="preserve"> take time off work to participate)</w:t>
      </w:r>
      <w:r>
        <w:t>.</w:t>
      </w:r>
    </w:p>
    <w:p w:rsidR="004059A3" w:rsidP="004059A3" w:rsidRDefault="004059A3" w14:paraId="0421ACDA" w14:textId="77777777">
      <w:pPr>
        <w:spacing w:after="20"/>
      </w:pPr>
    </w:p>
    <w:p w:rsidRPr="00C74DEE" w:rsidR="004B3C21" w:rsidP="00044971" w:rsidRDefault="004059A3" w14:paraId="78F28C87" w14:textId="34D35C5E">
      <w:pPr>
        <w:spacing w:after="20"/>
        <w:rPr>
          <w:rStyle w:val="eop"/>
        </w:rPr>
      </w:pPr>
      <w:r>
        <w:t>This amount</w:t>
      </w:r>
      <w:r w:rsidR="203AD68A">
        <w:t xml:space="preserve"> is</w:t>
      </w:r>
      <w:r w:rsidRPr="00044971" w:rsidR="203AD68A">
        <w:rPr>
          <w:rStyle w:val="eop"/>
          <w:color w:val="000000"/>
          <w:shd w:val="clear" w:color="auto" w:fill="FFFFFF"/>
        </w:rPr>
        <w:t xml:space="preserve"> consistent with a</w:t>
      </w:r>
      <w:r w:rsidRPr="00A01AB7" w:rsidR="203AD68A">
        <w:rPr>
          <w:rStyle w:val="eop"/>
          <w:color w:val="000000"/>
          <w:shd w:val="clear" w:color="auto" w:fill="FFFFFF"/>
        </w:rPr>
        <w:t xml:space="preserve">mounts offered </w:t>
      </w:r>
      <w:r w:rsidRPr="008D068D" w:rsidR="203AD68A">
        <w:rPr>
          <w:rStyle w:val="eop"/>
          <w:color w:val="000000"/>
          <w:shd w:val="clear" w:color="auto" w:fill="FFFFFF"/>
        </w:rPr>
        <w:t>for similar research efforts</w:t>
      </w:r>
      <w:r w:rsidRPr="00ED0A3D" w:rsidR="203AD68A">
        <w:rPr>
          <w:rStyle w:val="eop"/>
          <w:color w:val="000000"/>
          <w:shd w:val="clear" w:color="auto" w:fill="FFFFFF"/>
        </w:rPr>
        <w:t xml:space="preserve"> (virtual qualitative resear</w:t>
      </w:r>
      <w:r w:rsidRPr="00CF7981" w:rsidR="203AD68A">
        <w:rPr>
          <w:rStyle w:val="eop"/>
          <w:color w:val="000000"/>
          <w:shd w:val="clear" w:color="auto" w:fill="FFFFFF"/>
        </w:rPr>
        <w:t xml:space="preserve">ch </w:t>
      </w:r>
      <w:r w:rsidRPr="004D5D6C" w:rsidR="203AD68A">
        <w:rPr>
          <w:rStyle w:val="eop"/>
          <w:color w:val="000000"/>
          <w:shd w:val="clear" w:color="auto" w:fill="FFFFFF"/>
        </w:rPr>
        <w:t>participation).</w:t>
      </w:r>
      <w:r w:rsidRPr="68AEFEDF" w:rsidR="00B315EB">
        <w:rPr>
          <w:rStyle w:val="FootnoteReference"/>
          <w:color w:val="000000" w:themeColor="text1"/>
        </w:rPr>
        <w:footnoteReference w:id="8"/>
      </w:r>
      <w:r w:rsidRPr="00C74DEE" w:rsidR="00951419">
        <w:rPr>
          <w:rStyle w:val="eop"/>
          <w:color w:val="000000"/>
          <w:shd w:val="clear" w:color="auto" w:fill="FFFFFF"/>
          <w:vertAlign w:val="superscript"/>
        </w:rPr>
        <w:t>,</w:t>
      </w:r>
      <w:r w:rsidR="00951419">
        <w:rPr>
          <w:rStyle w:val="FootnoteReference"/>
          <w:color w:val="000000"/>
          <w:shd w:val="clear" w:color="auto" w:fill="FFFFFF"/>
        </w:rPr>
        <w:footnoteReference w:id="9"/>
      </w:r>
      <w:r w:rsidR="00601583">
        <w:rPr>
          <w:rStyle w:val="eop"/>
          <w:color w:val="000000"/>
          <w:shd w:val="clear" w:color="auto" w:fill="FFFFFF"/>
          <w:vertAlign w:val="superscript"/>
        </w:rPr>
        <w:t>,</w:t>
      </w:r>
      <w:r w:rsidR="00601583">
        <w:rPr>
          <w:rStyle w:val="FootnoteReference"/>
          <w:color w:val="000000"/>
          <w:shd w:val="clear" w:color="auto" w:fill="FFFFFF"/>
        </w:rPr>
        <w:footnoteReference w:id="10"/>
      </w:r>
    </w:p>
    <w:p w:rsidRPr="00113647" w:rsidR="004B3C21" w:rsidP="0551A2CC" w:rsidRDefault="004B3C21" w14:paraId="57951C66" w14:textId="163C76E9">
      <w:pPr>
        <w:spacing w:after="20"/>
        <w:rPr>
          <w:rStyle w:val="eop"/>
          <w:color w:val="000000" w:themeColor="text1"/>
        </w:rPr>
      </w:pPr>
    </w:p>
    <w:p w:rsidRPr="00113647" w:rsidR="004B3C21" w:rsidP="008716F6" w:rsidRDefault="00D36481" w14:paraId="682EA02B" w14:textId="7B9759DE">
      <w:pPr>
        <w:spacing w:after="20"/>
        <w:rPr>
          <w:b/>
        </w:rPr>
      </w:pPr>
      <w:r>
        <w:rPr>
          <w:rStyle w:val="normaltextrun"/>
          <w:color w:val="000000"/>
          <w:bdr w:val="none" w:color="auto" w:sz="0" w:space="0" w:frame="1"/>
        </w:rPr>
        <w:t>Consumer respondents and HCP respondents will receive $3 and $20, respectively, for a complete web survey.</w:t>
      </w:r>
      <w:r w:rsidR="00097D64">
        <w:rPr>
          <w:rStyle w:val="normaltextrun"/>
          <w:color w:val="000000"/>
          <w:bdr w:val="none" w:color="auto" w:sz="0" w:space="0" w:frame="1"/>
        </w:rPr>
        <w:t xml:space="preserve"> </w:t>
      </w:r>
      <w:r w:rsidR="00D72142">
        <w:rPr>
          <w:rStyle w:val="normaltextrun"/>
          <w:color w:val="000000"/>
          <w:bdr w:val="none" w:color="auto" w:sz="0" w:space="0" w:frame="1"/>
        </w:rPr>
        <w:t xml:space="preserve"> The consumer incentive amount is consistent incentives found to increase response rates.</w:t>
      </w:r>
      <w:r w:rsidR="00D72142">
        <w:rPr>
          <w:rStyle w:val="FootnoteReference"/>
          <w:color w:val="000000"/>
          <w:bdr w:val="none" w:color="auto" w:sz="0" w:space="0" w:frame="1"/>
        </w:rPr>
        <w:footnoteReference w:id="11"/>
      </w:r>
      <w:r w:rsidR="00D72142">
        <w:rPr>
          <w:rStyle w:val="normaltextrun"/>
          <w:color w:val="000000"/>
          <w:bdr w:val="none" w:color="auto" w:sz="0" w:space="0" w:frame="1"/>
        </w:rPr>
        <w:t xml:space="preserve"> The difference in incentives for HCPs</w:t>
      </w:r>
      <w:r w:rsidR="00C41903">
        <w:rPr>
          <w:rStyle w:val="normaltextrun"/>
          <w:color w:val="000000"/>
          <w:bdr w:val="none" w:color="auto" w:sz="0" w:space="0" w:frame="1"/>
        </w:rPr>
        <w:t xml:space="preserve"> consistent with</w:t>
      </w:r>
      <w:r w:rsidR="005634C6">
        <w:rPr>
          <w:rStyle w:val="normaltextrun"/>
          <w:color w:val="000000"/>
          <w:bdr w:val="none" w:color="auto" w:sz="0" w:space="0" w:frame="1"/>
        </w:rPr>
        <w:t xml:space="preserve"> studies showing higher response rates </w:t>
      </w:r>
      <w:r w:rsidR="00DC5D0A">
        <w:rPr>
          <w:rStyle w:val="normaltextrun"/>
          <w:color w:val="000000"/>
          <w:bdr w:val="none" w:color="auto" w:sz="0" w:space="0" w:frame="1"/>
        </w:rPr>
        <w:t xml:space="preserve">from </w:t>
      </w:r>
      <w:r w:rsidR="00FA22E5">
        <w:rPr>
          <w:rStyle w:val="normaltextrun"/>
          <w:color w:val="000000"/>
          <w:bdr w:val="none" w:color="auto" w:sz="0" w:space="0" w:frame="1"/>
        </w:rPr>
        <w:t>HCP</w:t>
      </w:r>
      <w:r w:rsidR="00DC5D0A">
        <w:rPr>
          <w:rStyle w:val="normaltextrun"/>
          <w:color w:val="000000"/>
          <w:bdr w:val="none" w:color="auto" w:sz="0" w:space="0" w:frame="1"/>
        </w:rPr>
        <w:t xml:space="preserve"> respondents </w:t>
      </w:r>
      <w:r w:rsidR="00FA22E5">
        <w:rPr>
          <w:rStyle w:val="normaltextrun"/>
          <w:color w:val="000000"/>
          <w:bdr w:val="none" w:color="auto" w:sz="0" w:space="0" w:frame="1"/>
        </w:rPr>
        <w:t>with increased incentives, especially looking for a subset of HCPs who have treated patients with COVID-19.</w:t>
      </w:r>
      <w:r w:rsidR="00FA22E5">
        <w:rPr>
          <w:rStyle w:val="FootnoteReference"/>
          <w:color w:val="000000"/>
          <w:bdr w:val="none" w:color="auto" w:sz="0" w:space="0" w:frame="1"/>
        </w:rPr>
        <w:footnoteReference w:id="12"/>
      </w:r>
      <w:r w:rsidR="00FA22E5">
        <w:rPr>
          <w:rStyle w:val="normaltextrun"/>
          <w:color w:val="000000"/>
          <w:bdr w:val="none" w:color="auto" w:sz="0" w:space="0" w:frame="1"/>
        </w:rPr>
        <w:t xml:space="preserve"> </w:t>
      </w:r>
    </w:p>
    <w:p w:rsidRPr="00113647" w:rsidR="004B3C21" w:rsidP="008716F6" w:rsidRDefault="004B3C21" w14:paraId="4873BA4C" w14:textId="77777777">
      <w:pPr>
        <w:spacing w:after="20"/>
      </w:pPr>
    </w:p>
    <w:p w:rsidRPr="00113647" w:rsidR="00477A8E" w:rsidP="008716F6" w:rsidRDefault="00477A8E" w14:paraId="25384F79" w14:textId="77777777">
      <w:pPr>
        <w:spacing w:after="20"/>
        <w:rPr>
          <w:b/>
        </w:rPr>
      </w:pPr>
      <w:r w:rsidRPr="00113647">
        <w:rPr>
          <w:b/>
        </w:rPr>
        <w:t>A.10 Assurance of Confidentiality Provided to Respondents</w:t>
      </w:r>
    </w:p>
    <w:p w:rsidR="00973686" w:rsidP="004B3C21" w:rsidRDefault="00D427D7" w14:paraId="04FF731D" w14:textId="79D4980A">
      <w:pPr>
        <w:spacing w:after="20"/>
      </w:pPr>
      <w:r>
        <w:t xml:space="preserve">No personally identifiable information will be collected. All respondent information will be kept private to the extent permitted by law. </w:t>
      </w:r>
      <w:r w:rsidR="006F4D1C">
        <w:t xml:space="preserve">Recruitment for the audience feedback teams and custom web survey will be done by a professional research firm who maintains an opt-in panel </w:t>
      </w:r>
      <w:r w:rsidR="00036EFD">
        <w:t xml:space="preserve">of respondents. </w:t>
      </w:r>
      <w:r w:rsidR="00973686">
        <w:t xml:space="preserve">For audience feedback teams, panel members will be contacted and screening </w:t>
      </w:r>
      <w:r w:rsidR="00036EFD">
        <w:t xml:space="preserve">using the scripts </w:t>
      </w:r>
      <w:r w:rsidR="00A476D0">
        <w:t xml:space="preserve">and screeners </w:t>
      </w:r>
      <w:r w:rsidR="00036EFD">
        <w:t xml:space="preserve">in </w:t>
      </w:r>
      <w:r w:rsidR="00036EFD">
        <w:rPr>
          <w:b/>
          <w:bCs/>
        </w:rPr>
        <w:t xml:space="preserve">Attachment 1 </w:t>
      </w:r>
      <w:r w:rsidR="00036EFD">
        <w:t xml:space="preserve">(for general public) and </w:t>
      </w:r>
      <w:r w:rsidR="00036EFD">
        <w:rPr>
          <w:b/>
          <w:bCs/>
        </w:rPr>
        <w:t xml:space="preserve">Attachment </w:t>
      </w:r>
      <w:r w:rsidRPr="00036EFD" w:rsidR="00036EFD">
        <w:rPr>
          <w:b/>
          <w:bCs/>
        </w:rPr>
        <w:t>2</w:t>
      </w:r>
      <w:r w:rsidR="00036EFD">
        <w:t xml:space="preserve"> (for healthcare providers).</w:t>
      </w:r>
      <w:r w:rsidR="00973686">
        <w:t xml:space="preserve"> For the custom web survey, panel members will complete the screening as part of the survey questions in </w:t>
      </w:r>
      <w:r w:rsidR="00973686">
        <w:rPr>
          <w:b/>
          <w:bCs/>
        </w:rPr>
        <w:t>Attachment 6.</w:t>
      </w:r>
      <w:r w:rsidR="00036EFD">
        <w:t xml:space="preserve"> </w:t>
      </w:r>
    </w:p>
    <w:p w:rsidR="00973686" w:rsidP="004B3C21" w:rsidRDefault="00973686" w14:paraId="48009CF6" w14:textId="77777777">
      <w:pPr>
        <w:spacing w:after="20"/>
      </w:pPr>
    </w:p>
    <w:p w:rsidR="004B3C21" w:rsidP="004B3C21" w:rsidRDefault="00E90D00" w14:paraId="79BA36CE" w14:textId="4A0CD011">
      <w:pPr>
        <w:spacing w:after="20"/>
      </w:pPr>
      <w:r w:rsidRPr="00036EFD">
        <w:t>The</w:t>
      </w:r>
      <w:r>
        <w:t xml:space="preserve"> FCR Team (including NIH, BARDA, CDC, FDA</w:t>
      </w:r>
      <w:r w:rsidR="00043AE2">
        <w:t xml:space="preserve">, and DoD) will </w:t>
      </w:r>
      <w:r w:rsidR="00587A3B">
        <w:t>not have access to any personally identifiable participant/respondent data</w:t>
      </w:r>
      <w:r w:rsidR="000C29F7">
        <w:t xml:space="preserve"> for neither the audience feedback teams, nor the surveys</w:t>
      </w:r>
      <w:r w:rsidR="004B0078">
        <w:t>, at any time</w:t>
      </w:r>
      <w:r w:rsidR="00A145EB">
        <w:t xml:space="preserve"> during or after this data collection endeavor.</w:t>
      </w:r>
    </w:p>
    <w:p w:rsidR="00DD4262" w:rsidP="004B3C21" w:rsidRDefault="00DD4262" w14:paraId="6896E9B9" w14:textId="00915E57">
      <w:pPr>
        <w:spacing w:after="20"/>
      </w:pPr>
    </w:p>
    <w:p w:rsidR="00DD4262" w:rsidP="004B3C21" w:rsidRDefault="00DD4262" w14:paraId="63DCD3F2" w14:textId="27DED07F">
      <w:pPr>
        <w:spacing w:after="20"/>
      </w:pPr>
      <w:r w:rsidRPr="00DD4262">
        <w:t>The NIH Office of the Director’s Privacy Policy Branch Chief &amp; Senior Official for Privacy also reviewed the approach for protecting participants’ privacy/avoiding collecting any personal contact information and confirmed in writing that a Systems of Records Notice nor Privacy Act Memo will be needed for the endeavor.</w:t>
      </w:r>
    </w:p>
    <w:p w:rsidR="004B3C21" w:rsidP="008716F6" w:rsidRDefault="004B3C21" w14:paraId="760329D5" w14:textId="77777777">
      <w:pPr>
        <w:spacing w:after="20"/>
        <w:rPr>
          <w:b/>
        </w:rPr>
      </w:pPr>
    </w:p>
    <w:p w:rsidRPr="00113647" w:rsidR="001D2741" w:rsidP="008716F6" w:rsidRDefault="001D2741" w14:paraId="0810AD11" w14:textId="77777777">
      <w:pPr>
        <w:spacing w:after="20"/>
        <w:rPr>
          <w:b/>
        </w:rPr>
      </w:pPr>
      <w:r w:rsidRPr="00113647">
        <w:rPr>
          <w:b/>
        </w:rPr>
        <w:t>A.11 Justification for Sensitive Questions</w:t>
      </w:r>
    </w:p>
    <w:p w:rsidR="00063927" w:rsidP="008716F6" w:rsidRDefault="00692583" w14:paraId="389E8650" w14:textId="17E0D2A8">
      <w:pPr>
        <w:spacing w:after="20"/>
      </w:pPr>
      <w:r>
        <w:t xml:space="preserve">To identify which messages </w:t>
      </w:r>
      <w:r w:rsidR="000968DD">
        <w:t>are clear, relevant, and actionable for different audiences, this data collection will ask questions</w:t>
      </w:r>
      <w:r w:rsidR="004F0833">
        <w:t xml:space="preserve"> about experience with COVID-19 </w:t>
      </w:r>
      <w:r w:rsidR="00512428">
        <w:t>prevention and treatment.</w:t>
      </w:r>
      <w:r w:rsidR="000968DD">
        <w:t xml:space="preserve"> </w:t>
      </w:r>
      <w:r w:rsidR="00331B96">
        <w:t xml:space="preserve">Audience feedback team respondents and </w:t>
      </w:r>
      <w:r w:rsidR="0069619F">
        <w:t xml:space="preserve">survey respondents are alerted of this prior to each data collection </w:t>
      </w:r>
      <w:r w:rsidR="00B6780B">
        <w:t>effort and</w:t>
      </w:r>
      <w:r w:rsidR="001C29FF">
        <w:t xml:space="preserve"> are assured that their responses are entirely voluntary. If a question makes a participant/respondent uncomfortable, they are free to “</w:t>
      </w:r>
      <w:r w:rsidR="00911EF1">
        <w:t>sk</w:t>
      </w:r>
      <w:r w:rsidR="004B0078">
        <w:t>ip” it</w:t>
      </w:r>
      <w:r w:rsidR="001C29FF">
        <w:t xml:space="preserve">. </w:t>
      </w:r>
      <w:r w:rsidR="004B0078">
        <w:t>Participants/respondents</w:t>
      </w:r>
      <w:r w:rsidR="001C29FF">
        <w:t xml:space="preserve"> may also choose to stop participation at any time. </w:t>
      </w:r>
      <w:r w:rsidRPr="00F97FFA" w:rsidR="00F97FFA">
        <w:t xml:space="preserve"> </w:t>
      </w:r>
      <w:r w:rsidR="00F97FFA">
        <w:t xml:space="preserve">For demographic reporting purposes, the team also collects information on </w:t>
      </w:r>
      <w:r w:rsidR="00485C94">
        <w:t xml:space="preserve">age, gender, </w:t>
      </w:r>
      <w:r w:rsidR="00F97FFA">
        <w:t>ethnicity and race</w:t>
      </w:r>
      <w:r w:rsidR="00516707">
        <w:t xml:space="preserve">, </w:t>
      </w:r>
      <w:r w:rsidR="00D158EF">
        <w:t xml:space="preserve">employment status, </w:t>
      </w:r>
      <w:r w:rsidR="00683265">
        <w:t xml:space="preserve">income range, </w:t>
      </w:r>
      <w:r w:rsidR="00A17DDD">
        <w:t>state of residence</w:t>
      </w:r>
      <w:r w:rsidR="00516707">
        <w:t>, education</w:t>
      </w:r>
      <w:r w:rsidR="002C698E">
        <w:t xml:space="preserve"> and political </w:t>
      </w:r>
      <w:r w:rsidR="0058227B">
        <w:t>affiliation</w:t>
      </w:r>
      <w:r w:rsidR="00F97FFA">
        <w:t xml:space="preserve">. </w:t>
      </w:r>
      <w:r w:rsidR="0041503B">
        <w:t xml:space="preserve">These questions are </w:t>
      </w:r>
      <w:r w:rsidR="00B6780B">
        <w:t>voluntary,</w:t>
      </w:r>
      <w:r w:rsidR="0041503B">
        <w:t xml:space="preserve"> and participants are free to decline</w:t>
      </w:r>
      <w:r w:rsidR="00F97FFA">
        <w:t xml:space="preserve"> </w:t>
      </w:r>
      <w:r w:rsidR="0041503B">
        <w:t>a response</w:t>
      </w:r>
      <w:r w:rsidR="00F97FFA">
        <w:t xml:space="preserve">. A person’s first name will never be connected to their demographic information, including race and ethnicity. The information will only ever be reported in summary form. </w:t>
      </w:r>
    </w:p>
    <w:p w:rsidR="00592A4F" w:rsidP="008716F6" w:rsidRDefault="00592A4F" w14:paraId="5C3DBC2C" w14:textId="77777777">
      <w:pPr>
        <w:spacing w:after="20"/>
      </w:pPr>
    </w:p>
    <w:p w:rsidR="00907E64" w:rsidP="00907E64" w:rsidRDefault="00907E64" w14:paraId="4F307C57" w14:textId="5A79C1E5">
      <w:pPr>
        <w:spacing w:after="20"/>
        <w:rPr>
          <w:b/>
        </w:rPr>
      </w:pPr>
      <w:r w:rsidRPr="00907E64">
        <w:rPr>
          <w:b/>
        </w:rPr>
        <w:t>A.12.1</w:t>
      </w:r>
      <w:r w:rsidRPr="00907E64">
        <w:rPr>
          <w:b/>
        </w:rPr>
        <w:tab/>
        <w:t>Estimated Burden Hours</w:t>
      </w:r>
    </w:p>
    <w:p w:rsidR="00AB092A" w:rsidP="008716F6" w:rsidRDefault="00965F63" w14:paraId="4EB71BC8" w14:textId="577909AD">
      <w:pPr>
        <w:spacing w:after="20"/>
      </w:pPr>
      <w:r>
        <w:t xml:space="preserve">In order to </w:t>
      </w:r>
      <w:r w:rsidR="009A09A4">
        <w:t xml:space="preserve">successfully recruit for audience feedback teams, it may be necessary to contact up to 120 members of the general public and 40 HCPs. Screening takes 5 minutes, for a total of 13.33 hours. </w:t>
      </w:r>
      <w:r w:rsidR="00AA2C88">
        <w:t>Each</w:t>
      </w:r>
      <w:r w:rsidR="00172C52">
        <w:t xml:space="preserve"> audience feedback team activity (</w:t>
      </w:r>
      <w:r w:rsidR="002234F1">
        <w:t>focus group, individual interview, or online bulletin board post) will take</w:t>
      </w:r>
      <w:r w:rsidR="001308E6">
        <w:t xml:space="preserve"> 60 minutes.</w:t>
      </w:r>
      <w:r w:rsidR="00CF11D8">
        <w:t xml:space="preserve"> The </w:t>
      </w:r>
      <w:r w:rsidR="006C2A99">
        <w:t>80 audience feedback team members (60 general public,</w:t>
      </w:r>
      <w:r w:rsidR="00BB182F">
        <w:t xml:space="preserve"> 20 HCP) will participate in 12 activities</w:t>
      </w:r>
      <w:r w:rsidR="00AB092A">
        <w:t xml:space="preserve"> over the project time period (May 2021 through December 2022)</w:t>
      </w:r>
      <w:r w:rsidR="00BB182F">
        <w:t xml:space="preserve"> for a total of </w:t>
      </w:r>
      <w:r w:rsidR="00635BF2">
        <w:t>960 hours.</w:t>
      </w:r>
      <w:r w:rsidR="009547DF">
        <w:t xml:space="preserve"> </w:t>
      </w:r>
      <w:r w:rsidR="00367CB0">
        <w:t xml:space="preserve">2,000 general public survey respondents </w:t>
      </w:r>
      <w:r w:rsidR="00F97E8D">
        <w:t>and 300 HCP respondents will</w:t>
      </w:r>
      <w:r w:rsidR="007E3E57">
        <w:t xml:space="preserve"> complete</w:t>
      </w:r>
      <w:r w:rsidR="0010086A">
        <w:t xml:space="preserve"> each 15-minute su</w:t>
      </w:r>
      <w:r w:rsidR="003629AC">
        <w:t>rvey. Surveys will be fielded at five times over the project period (one benchmark and</w:t>
      </w:r>
      <w:r w:rsidR="002B28C1">
        <w:t xml:space="preserve"> four follow-up), for a total of</w:t>
      </w:r>
      <w:r>
        <w:t xml:space="preserve"> 1,725 hours.</w:t>
      </w:r>
    </w:p>
    <w:p w:rsidR="00E36D6A" w:rsidP="008716F6" w:rsidRDefault="00E36D6A" w14:paraId="59751547" w14:textId="7BBE200D">
      <w:pPr>
        <w:spacing w:after="20"/>
      </w:pPr>
    </w:p>
    <w:p w:rsidRPr="00E36D6A" w:rsidR="00E36D6A" w:rsidP="008716F6" w:rsidRDefault="00E36D6A" w14:paraId="47E09C11" w14:textId="531151B9">
      <w:pPr>
        <w:spacing w:after="20"/>
      </w:pPr>
      <w:r>
        <w:t xml:space="preserve">Table 12-1 below summarizes the estimate of </w:t>
      </w:r>
      <w:r>
        <w:rPr>
          <w:b/>
          <w:bCs/>
        </w:rPr>
        <w:t>total</w:t>
      </w:r>
      <w:r>
        <w:t xml:space="preserve"> burden hours over the length </w:t>
      </w:r>
      <w:r w:rsidR="00BB00C9">
        <w:t>data collection for</w:t>
      </w:r>
      <w:r>
        <w:t xml:space="preserve"> the Combat COVID project</w:t>
      </w:r>
      <w:r w:rsidR="00BB00C9">
        <w:t xml:space="preserve">, </w:t>
      </w:r>
      <w:r w:rsidR="00B25537">
        <w:t>June</w:t>
      </w:r>
      <w:r w:rsidR="00D61C93">
        <w:t xml:space="preserve"> 2021 through December </w:t>
      </w:r>
      <w:r w:rsidR="006233B6">
        <w:t>20</w:t>
      </w:r>
      <w:r w:rsidR="00D61C93">
        <w:t xml:space="preserve">22. Table 16-1, below, </w:t>
      </w:r>
      <w:r w:rsidR="006233B6">
        <w:t>shows when those activities will take place</w:t>
      </w:r>
      <w:r w:rsidR="00BB00C9">
        <w:t xml:space="preserve"> over this 17-month period.</w:t>
      </w:r>
    </w:p>
    <w:p w:rsidR="00AA2C88" w:rsidP="008716F6" w:rsidRDefault="00AA2C88" w14:paraId="00271FA9" w14:textId="77777777">
      <w:pPr>
        <w:spacing w:after="20"/>
      </w:pPr>
    </w:p>
    <w:p w:rsidRPr="003E5E88" w:rsidR="00CB2332" w:rsidP="00CB2332" w:rsidRDefault="00CB2332" w14:paraId="4768A963" w14:textId="7994818F">
      <w:pPr>
        <w:jc w:val="center"/>
        <w:rPr>
          <w:rFonts w:ascii="Times New Roman" w:hAnsi="Times New Roman" w:cs="Times New Roman"/>
          <w:sz w:val="24"/>
          <w:szCs w:val="24"/>
        </w:rPr>
      </w:pPr>
      <w:r w:rsidRPr="003E5E88">
        <w:rPr>
          <w:rFonts w:ascii="Times New Roman" w:hAnsi="Times New Roman" w:cs="Times New Roman"/>
          <w:sz w:val="24"/>
          <w:szCs w:val="24"/>
        </w:rPr>
        <w:t xml:space="preserve">Table 12-1 Estimated </w:t>
      </w:r>
      <w:r w:rsidR="00FC5794">
        <w:rPr>
          <w:rFonts w:ascii="Times New Roman" w:hAnsi="Times New Roman" w:cs="Times New Roman"/>
          <w:sz w:val="24"/>
          <w:szCs w:val="24"/>
        </w:rPr>
        <w:t>Total</w:t>
      </w:r>
      <w:r w:rsidRPr="003E5E88" w:rsidR="00FC5794">
        <w:rPr>
          <w:rFonts w:ascii="Times New Roman" w:hAnsi="Times New Roman" w:cs="Times New Roman"/>
          <w:sz w:val="24"/>
          <w:szCs w:val="24"/>
        </w:rPr>
        <w:t xml:space="preserve"> </w:t>
      </w:r>
      <w:r w:rsidRPr="003E5E88">
        <w:rPr>
          <w:rFonts w:ascii="Times New Roman" w:hAnsi="Times New Roman" w:cs="Times New Roman"/>
          <w:sz w:val="24"/>
          <w:szCs w:val="24"/>
        </w:rPr>
        <w:t>Burden Hours</w:t>
      </w:r>
    </w:p>
    <w:tbl>
      <w:tblPr>
        <w:tblW w:w="10170" w:type="dxa"/>
        <w:tblInd w:w="-369" w:type="dxa"/>
        <w:tblLayout w:type="fixed"/>
        <w:tblCellMar>
          <w:left w:w="102" w:type="dxa"/>
          <w:right w:w="102" w:type="dxa"/>
        </w:tblCellMar>
        <w:tblLook w:val="0000" w:firstRow="0" w:lastRow="0" w:firstColumn="0" w:lastColumn="0" w:noHBand="0" w:noVBand="0"/>
      </w:tblPr>
      <w:tblGrid>
        <w:gridCol w:w="2790"/>
        <w:gridCol w:w="2169"/>
        <w:gridCol w:w="1710"/>
        <w:gridCol w:w="1431"/>
        <w:gridCol w:w="2070"/>
      </w:tblGrid>
      <w:tr w:rsidRPr="003E5E88" w:rsidR="009845B8" w:rsidTr="00F826C6" w14:paraId="78281B44" w14:textId="77777777">
        <w:trPr>
          <w:trHeight w:val="973"/>
        </w:trPr>
        <w:tc>
          <w:tcPr>
            <w:tcW w:w="2790" w:type="dxa"/>
            <w:tcBorders>
              <w:top w:val="single" w:color="000000" w:sz="7" w:space="0"/>
              <w:left w:val="single" w:color="000000" w:sz="7" w:space="0"/>
              <w:bottom w:val="single" w:color="FFFFFF" w:sz="6" w:space="0"/>
              <w:right w:val="single" w:color="FFFFFF" w:sz="6" w:space="0"/>
            </w:tcBorders>
          </w:tcPr>
          <w:p w:rsidRPr="003E5E88" w:rsidR="00CB2332" w:rsidP="0038712D" w:rsidRDefault="00CB2332" w14:paraId="15371568" w14:textId="77777777">
            <w:pPr>
              <w:rPr>
                <w:rFonts w:ascii="Times New Roman" w:hAnsi="Times New Roman" w:cs="Times New Roman"/>
                <w:sz w:val="24"/>
                <w:szCs w:val="24"/>
              </w:rPr>
            </w:pPr>
          </w:p>
          <w:p w:rsidRPr="003E5E88" w:rsidR="00CB2332" w:rsidP="0038712D" w:rsidRDefault="00CB2332" w14:paraId="7D3CF37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Type of Collection</w:t>
            </w:r>
          </w:p>
        </w:tc>
        <w:tc>
          <w:tcPr>
            <w:tcW w:w="2169" w:type="dxa"/>
            <w:tcBorders>
              <w:top w:val="single" w:color="000000" w:sz="7" w:space="0"/>
              <w:left w:val="single" w:color="000000" w:sz="7" w:space="0"/>
              <w:bottom w:val="single" w:color="FFFFFF" w:sz="6" w:space="0"/>
              <w:right w:val="single" w:color="FFFFFF" w:sz="6" w:space="0"/>
            </w:tcBorders>
          </w:tcPr>
          <w:p w:rsidRPr="003E5E88" w:rsidR="00CB2332" w:rsidP="0038712D" w:rsidRDefault="00CB2332" w14:paraId="265547BE"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Pr="003E5E88" w:rsidR="00CB2332" w:rsidP="0038712D" w:rsidRDefault="00CB2332" w14:paraId="30AE1552"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3E5E88" w:rsidR="00CB2332" w:rsidP="0038712D" w:rsidRDefault="00CB2332" w14:paraId="2174C7B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Responses per Respondent</w:t>
            </w:r>
          </w:p>
        </w:tc>
        <w:tc>
          <w:tcPr>
            <w:tcW w:w="1431" w:type="dxa"/>
            <w:tcBorders>
              <w:top w:val="single" w:color="000000" w:sz="7" w:space="0"/>
              <w:left w:val="single" w:color="000000" w:sz="7" w:space="0"/>
              <w:bottom w:val="single" w:color="FFFFFF" w:sz="6" w:space="0"/>
              <w:right w:val="single" w:color="FFFFFF" w:sz="6" w:space="0"/>
            </w:tcBorders>
          </w:tcPr>
          <w:p w:rsidRPr="003E5E88" w:rsidR="00CB2332" w:rsidP="0038712D" w:rsidRDefault="00CB2332" w14:paraId="181E00DC"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Time per Response (in hours)</w:t>
            </w:r>
          </w:p>
        </w:tc>
        <w:tc>
          <w:tcPr>
            <w:tcW w:w="2070" w:type="dxa"/>
            <w:tcBorders>
              <w:top w:val="single" w:color="000000" w:sz="7" w:space="0"/>
              <w:left w:val="single" w:color="000000" w:sz="7" w:space="0"/>
              <w:bottom w:val="single" w:color="FFFFFF" w:sz="6" w:space="0"/>
              <w:right w:val="single" w:color="000000" w:sz="7" w:space="0"/>
            </w:tcBorders>
          </w:tcPr>
          <w:p w:rsidRPr="003E5E88" w:rsidR="00CB2332" w:rsidP="0038712D" w:rsidRDefault="00CB2332" w14:paraId="5213C1CD" w14:textId="77777777">
            <w:pPr>
              <w:rPr>
                <w:rFonts w:ascii="Times New Roman" w:hAnsi="Times New Roman" w:cs="Times New Roman"/>
                <w:sz w:val="24"/>
                <w:szCs w:val="24"/>
              </w:rPr>
            </w:pPr>
          </w:p>
          <w:p w:rsidRPr="003E5E88" w:rsidR="00CB2332" w:rsidP="0038712D" w:rsidRDefault="00CB2332" w14:paraId="5AFEB30F"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 xml:space="preserve">    Total Hours</w:t>
            </w:r>
          </w:p>
        </w:tc>
      </w:tr>
      <w:tr w:rsidRPr="003E5E88" w:rsidR="00ED42C3" w:rsidTr="00C55693" w14:paraId="40164AF1"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CB2332" w:rsidP="0038712D" w:rsidRDefault="00D93A60" w14:paraId="35AAF138" w14:textId="6BB94CBC">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 xml:space="preserve">Consumer </w:t>
            </w:r>
            <w:r w:rsidR="00237829">
              <w:rPr>
                <w:rFonts w:ascii="Times New Roman" w:hAnsi="Times New Roman" w:cs="Times New Roman"/>
                <w:sz w:val="24"/>
                <w:szCs w:val="24"/>
              </w:rPr>
              <w:t>Audience Feedback Team Screener (Attachment 1)</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CB2332" w:rsidP="0038712D" w:rsidRDefault="00D93A60" w14:paraId="79F4D25F" w14:textId="4A18C14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120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CB2332" w:rsidP="0038712D" w:rsidRDefault="00D93A60" w14:paraId="40378F55" w14:textId="010C58CC">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CB2332" w:rsidP="0038712D" w:rsidRDefault="00B2271F" w14:paraId="5F12BEB9" w14:textId="440A2C6C">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r w:rsidR="004D6327">
              <w:rPr>
                <w:rFonts w:ascii="Times New Roman" w:hAnsi="Times New Roman" w:cs="Times New Roman"/>
                <w:sz w:val="24"/>
                <w:szCs w:val="24"/>
              </w:rPr>
              <w:t>/60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CB2332" w:rsidP="0038712D" w:rsidRDefault="00B2271F" w14:paraId="6D2BB045" w14:textId="5557012D">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10</w:t>
            </w:r>
          </w:p>
        </w:tc>
      </w:tr>
      <w:tr w:rsidRPr="003E5E88" w:rsidR="00ED42C3" w:rsidTr="00C55693" w14:paraId="21A22E59"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D93A60" w:rsidP="0038712D" w:rsidRDefault="00D93A60" w14:paraId="37F40B7F" w14:textId="75BF3EAA">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 xml:space="preserve">HCP Audience Feedback Team Screener (Attachment </w:t>
            </w:r>
            <w:r w:rsidR="00D4601D">
              <w:rPr>
                <w:rFonts w:ascii="Times New Roman" w:hAnsi="Times New Roman" w:cs="Times New Roman"/>
                <w:sz w:val="24"/>
                <w:szCs w:val="24"/>
              </w:rPr>
              <w:t>2</w:t>
            </w:r>
            <w:r>
              <w:rPr>
                <w:rFonts w:ascii="Times New Roman" w:hAnsi="Times New Roman" w:cs="Times New Roman"/>
                <w:sz w:val="24"/>
                <w:szCs w:val="24"/>
              </w:rPr>
              <w:t>)</w:t>
            </w:r>
          </w:p>
        </w:tc>
        <w:tc>
          <w:tcPr>
            <w:tcW w:w="2169" w:type="dxa"/>
            <w:tcBorders>
              <w:top w:val="single" w:color="000000" w:sz="7" w:space="0"/>
              <w:left w:val="single" w:color="000000" w:sz="7" w:space="0"/>
              <w:bottom w:val="single" w:color="000000" w:sz="7" w:space="0"/>
              <w:right w:val="single" w:color="FFFFFF" w:sz="6" w:space="0"/>
            </w:tcBorders>
            <w:vAlign w:val="center"/>
          </w:tcPr>
          <w:p w:rsidR="00D93A60" w:rsidP="0038712D" w:rsidRDefault="00D93A60" w14:paraId="2869CF38" w14:textId="2EDACC86">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40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D93A60" w:rsidP="0038712D" w:rsidRDefault="00D93A60" w14:paraId="7E3F6724" w14:textId="51B72AC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D93A60" w:rsidP="0038712D" w:rsidRDefault="00B2271F" w14:paraId="6164BB13" w14:textId="05D5024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r w:rsidR="004D6327">
              <w:rPr>
                <w:rFonts w:ascii="Times New Roman" w:hAnsi="Times New Roman" w:cs="Times New Roman"/>
                <w:sz w:val="24"/>
                <w:szCs w:val="24"/>
              </w:rPr>
              <w:t>/60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D93A60" w:rsidP="0038712D" w:rsidRDefault="00B2271F" w14:paraId="7069B06D" w14:textId="3647F87D">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w:t>
            </w:r>
          </w:p>
        </w:tc>
      </w:tr>
      <w:tr w:rsidRPr="003E5E88" w:rsidR="00ED42C3" w:rsidTr="00C55693" w14:paraId="1B020709"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D4601D" w:rsidP="0038712D" w:rsidRDefault="00D4601D" w14:paraId="38323DC0" w14:textId="485AD38F">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Consumer Audience Feedback Activity (</w:t>
            </w:r>
            <w:r w:rsidRPr="00D4601D">
              <w:rPr>
                <w:rFonts w:ascii="Times New Roman" w:hAnsi="Times New Roman" w:cs="Times New Roman"/>
                <w:sz w:val="24"/>
                <w:szCs w:val="24"/>
              </w:rPr>
              <w:t>Attachments 3 &amp; 5)</w:t>
            </w:r>
          </w:p>
        </w:tc>
        <w:tc>
          <w:tcPr>
            <w:tcW w:w="2169" w:type="dxa"/>
            <w:tcBorders>
              <w:top w:val="single" w:color="000000" w:sz="7" w:space="0"/>
              <w:left w:val="single" w:color="000000" w:sz="7" w:space="0"/>
              <w:bottom w:val="single" w:color="000000" w:sz="7" w:space="0"/>
              <w:right w:val="single" w:color="FFFFFF" w:sz="6" w:space="0"/>
            </w:tcBorders>
            <w:vAlign w:val="center"/>
          </w:tcPr>
          <w:p w:rsidR="00D4601D" w:rsidP="0038712D" w:rsidRDefault="00141F59" w14:paraId="7A77B554" w14:textId="5005FF4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60</w:t>
            </w:r>
          </w:p>
        </w:tc>
        <w:tc>
          <w:tcPr>
            <w:tcW w:w="1710" w:type="dxa"/>
            <w:tcBorders>
              <w:top w:val="single" w:color="000000" w:sz="7" w:space="0"/>
              <w:left w:val="single" w:color="000000" w:sz="7" w:space="0"/>
              <w:bottom w:val="single" w:color="000000" w:sz="7" w:space="0"/>
              <w:right w:val="single" w:color="FFFFFF" w:sz="6" w:space="0"/>
            </w:tcBorders>
            <w:vAlign w:val="center"/>
          </w:tcPr>
          <w:p w:rsidR="00D4601D" w:rsidP="0038712D" w:rsidRDefault="00141F59" w14:paraId="5D745BC3" w14:textId="716A8193">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12</w:t>
            </w:r>
          </w:p>
        </w:tc>
        <w:tc>
          <w:tcPr>
            <w:tcW w:w="1431" w:type="dxa"/>
            <w:tcBorders>
              <w:top w:val="single" w:color="000000" w:sz="7" w:space="0"/>
              <w:left w:val="single" w:color="000000" w:sz="7" w:space="0"/>
              <w:bottom w:val="single" w:color="000000" w:sz="7" w:space="0"/>
              <w:right w:val="single" w:color="FFFFFF" w:sz="6" w:space="0"/>
            </w:tcBorders>
            <w:vAlign w:val="center"/>
          </w:tcPr>
          <w:p w:rsidR="00D4601D" w:rsidP="0038712D" w:rsidRDefault="00C911D0" w14:paraId="53F1389B" w14:textId="1A9D7416">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2070" w:type="dxa"/>
            <w:tcBorders>
              <w:top w:val="single" w:color="000000" w:sz="7" w:space="0"/>
              <w:left w:val="single" w:color="000000" w:sz="7" w:space="0"/>
              <w:bottom w:val="single" w:color="000000" w:sz="7" w:space="0"/>
              <w:right w:val="single" w:color="000000" w:sz="7" w:space="0"/>
            </w:tcBorders>
            <w:vAlign w:val="center"/>
          </w:tcPr>
          <w:p w:rsidR="00D4601D" w:rsidP="0038712D" w:rsidRDefault="006E7E81" w14:paraId="68157A4F" w14:textId="65CB5862">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720</w:t>
            </w:r>
          </w:p>
        </w:tc>
      </w:tr>
      <w:tr w:rsidRPr="003E5E88" w:rsidR="00ED42C3" w:rsidTr="00C55693" w14:paraId="16885CF0"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6E7E81" w:rsidP="0038712D" w:rsidRDefault="003042E6" w14:paraId="05A03462" w14:textId="1D4F35D4">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HCP Audience Feedback Activity (</w:t>
            </w:r>
            <w:r w:rsidRPr="00D4601D">
              <w:rPr>
                <w:rFonts w:ascii="Times New Roman" w:hAnsi="Times New Roman" w:cs="Times New Roman"/>
                <w:sz w:val="24"/>
                <w:szCs w:val="24"/>
              </w:rPr>
              <w:t xml:space="preserve">Attachments </w:t>
            </w:r>
            <w:r>
              <w:rPr>
                <w:rFonts w:ascii="Times New Roman" w:hAnsi="Times New Roman" w:cs="Times New Roman"/>
                <w:sz w:val="24"/>
                <w:szCs w:val="24"/>
              </w:rPr>
              <w:t>4</w:t>
            </w:r>
            <w:r w:rsidRPr="00D4601D">
              <w:rPr>
                <w:rFonts w:ascii="Times New Roman" w:hAnsi="Times New Roman" w:cs="Times New Roman"/>
                <w:sz w:val="24"/>
                <w:szCs w:val="24"/>
              </w:rPr>
              <w:t xml:space="preserve"> &amp; 5)</w:t>
            </w:r>
          </w:p>
        </w:tc>
        <w:tc>
          <w:tcPr>
            <w:tcW w:w="2169" w:type="dxa"/>
            <w:tcBorders>
              <w:top w:val="single" w:color="000000" w:sz="7" w:space="0"/>
              <w:left w:val="single" w:color="000000" w:sz="7" w:space="0"/>
              <w:bottom w:val="single" w:color="000000" w:sz="7" w:space="0"/>
              <w:right w:val="single" w:color="FFFFFF" w:sz="6" w:space="0"/>
            </w:tcBorders>
            <w:vAlign w:val="center"/>
          </w:tcPr>
          <w:p w:rsidR="006E7E81" w:rsidP="0038712D" w:rsidRDefault="003042E6" w14:paraId="6E064C52" w14:textId="1DB37993">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20</w:t>
            </w:r>
          </w:p>
        </w:tc>
        <w:tc>
          <w:tcPr>
            <w:tcW w:w="1710" w:type="dxa"/>
            <w:tcBorders>
              <w:top w:val="single" w:color="000000" w:sz="7" w:space="0"/>
              <w:left w:val="single" w:color="000000" w:sz="7" w:space="0"/>
              <w:bottom w:val="single" w:color="000000" w:sz="7" w:space="0"/>
              <w:right w:val="single" w:color="FFFFFF" w:sz="6" w:space="0"/>
            </w:tcBorders>
            <w:vAlign w:val="center"/>
          </w:tcPr>
          <w:p w:rsidR="006E7E81" w:rsidP="0038712D" w:rsidRDefault="003042E6" w14:paraId="02AAD2E4" w14:textId="3B4D6962">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12</w:t>
            </w:r>
          </w:p>
        </w:tc>
        <w:tc>
          <w:tcPr>
            <w:tcW w:w="1431" w:type="dxa"/>
            <w:tcBorders>
              <w:top w:val="single" w:color="000000" w:sz="7" w:space="0"/>
              <w:left w:val="single" w:color="000000" w:sz="7" w:space="0"/>
              <w:bottom w:val="single" w:color="000000" w:sz="7" w:space="0"/>
              <w:right w:val="single" w:color="FFFFFF" w:sz="6" w:space="0"/>
            </w:tcBorders>
            <w:vAlign w:val="center"/>
          </w:tcPr>
          <w:p w:rsidR="006E7E81" w:rsidP="0038712D" w:rsidRDefault="00C911D0" w14:paraId="6E6913EC" w14:textId="38DE8B3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2070" w:type="dxa"/>
            <w:tcBorders>
              <w:top w:val="single" w:color="000000" w:sz="7" w:space="0"/>
              <w:left w:val="single" w:color="000000" w:sz="7" w:space="0"/>
              <w:bottom w:val="single" w:color="000000" w:sz="7" w:space="0"/>
              <w:right w:val="single" w:color="000000" w:sz="7" w:space="0"/>
            </w:tcBorders>
            <w:vAlign w:val="center"/>
          </w:tcPr>
          <w:p w:rsidR="006E7E81" w:rsidP="0038712D" w:rsidRDefault="00D14B35" w14:paraId="502E2D30" w14:textId="26CA432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240</w:t>
            </w:r>
          </w:p>
        </w:tc>
      </w:tr>
      <w:tr w:rsidRPr="003E5E88" w:rsidR="00ED42C3" w:rsidTr="00C55693" w14:paraId="007BD4F0"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D7E08" w14:paraId="20796889" w14:textId="6DD09AC6">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 xml:space="preserve">Benchmark &amp; Follow-Up </w:t>
            </w:r>
            <w:r w:rsidR="00E17ECB">
              <w:rPr>
                <w:rFonts w:ascii="Times New Roman" w:hAnsi="Times New Roman" w:cs="Times New Roman"/>
                <w:sz w:val="24"/>
                <w:szCs w:val="24"/>
              </w:rPr>
              <w:t>Web Survey</w:t>
            </w:r>
            <w:r>
              <w:rPr>
                <w:rFonts w:ascii="Times New Roman" w:hAnsi="Times New Roman" w:cs="Times New Roman"/>
                <w:sz w:val="24"/>
                <w:szCs w:val="24"/>
              </w:rPr>
              <w:t>s</w:t>
            </w:r>
            <w:r w:rsidR="00E17ECB">
              <w:rPr>
                <w:rFonts w:ascii="Times New Roman" w:hAnsi="Times New Roman" w:cs="Times New Roman"/>
                <w:sz w:val="24"/>
                <w:szCs w:val="24"/>
              </w:rPr>
              <w:t xml:space="preserve"> – Consumer Audience (Attachment 6)</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6CAC0C29" w14:textId="0617722A">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1F5B6A2C" w14:textId="45DDFB70">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1104D568" w14:textId="1312C74C">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15</w:t>
            </w:r>
            <w:r w:rsidR="00FB73AF">
              <w:rPr>
                <w:rFonts w:ascii="Times New Roman" w:hAnsi="Times New Roman" w:cs="Times New Roman"/>
                <w:sz w:val="24"/>
                <w:szCs w:val="24"/>
              </w:rPr>
              <w:t>/60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FB73AF" w:rsidP="0038712D" w:rsidRDefault="00FD7E08" w14:paraId="017BABD6" w14:textId="5A09946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2,500</w:t>
            </w:r>
          </w:p>
        </w:tc>
      </w:tr>
      <w:tr w:rsidRPr="003E5E88" w:rsidR="00ED42C3" w:rsidTr="00C55693" w14:paraId="02D4372A"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FB73AF" w:rsidP="0038712D" w:rsidRDefault="00FD7E08" w14:paraId="29A4A467" w14:textId="28B507CF">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 xml:space="preserve">Benchmark &amp; Follow-Up </w:t>
            </w:r>
            <w:r w:rsidR="00E17ECB">
              <w:rPr>
                <w:rFonts w:ascii="Times New Roman" w:hAnsi="Times New Roman" w:cs="Times New Roman"/>
                <w:sz w:val="24"/>
                <w:szCs w:val="24"/>
              </w:rPr>
              <w:t>Web Survey – HCP Audience (Attachment 6)</w:t>
            </w:r>
          </w:p>
        </w:tc>
        <w:tc>
          <w:tcPr>
            <w:tcW w:w="2169" w:type="dxa"/>
            <w:tcBorders>
              <w:top w:val="single" w:color="000000" w:sz="7" w:space="0"/>
              <w:left w:val="single" w:color="000000" w:sz="7" w:space="0"/>
              <w:bottom w:val="single" w:color="000000" w:sz="7" w:space="0"/>
              <w:right w:val="single" w:color="FFFFFF" w:sz="6" w:space="0"/>
            </w:tcBorders>
            <w:vAlign w:val="center"/>
          </w:tcPr>
          <w:p w:rsidR="00FB73AF" w:rsidP="0038712D" w:rsidRDefault="00FE46F8" w14:paraId="2C43BEA6" w14:textId="771A13F4">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3DF5AC7A" w14:textId="5CDAA19A">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14E68F10" w14:textId="0013151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15</w:t>
            </w:r>
            <w:r w:rsidR="00FB73AF">
              <w:rPr>
                <w:rFonts w:ascii="Times New Roman" w:hAnsi="Times New Roman" w:cs="Times New Roman"/>
                <w:sz w:val="24"/>
                <w:szCs w:val="24"/>
              </w:rPr>
              <w:t>/60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FB73AF" w:rsidP="0038712D" w:rsidRDefault="00FD7E08" w14:paraId="6C0B2696" w14:textId="78517408">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375</w:t>
            </w:r>
          </w:p>
        </w:tc>
      </w:tr>
      <w:tr w:rsidRPr="003E5E88" w:rsidR="00ED42C3" w:rsidTr="00C55693" w14:paraId="357A7138" w14:textId="77777777">
        <w:trPr>
          <w:trHeight w:val="415"/>
        </w:trPr>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F826C6" w:rsidP="0038712D" w:rsidRDefault="00F826C6" w14:paraId="65A66C28" w14:textId="77777777">
            <w:pPr>
              <w:rPr>
                <w:rFonts w:ascii="Times New Roman" w:hAnsi="Times New Roman" w:cs="Times New Roman"/>
                <w:sz w:val="24"/>
                <w:szCs w:val="24"/>
              </w:rPr>
            </w:pPr>
            <w:r w:rsidRPr="003E5E88">
              <w:rPr>
                <w:rFonts w:ascii="Times New Roman" w:hAnsi="Times New Roman" w:cs="Times New Roman"/>
                <w:sz w:val="24"/>
                <w:szCs w:val="24"/>
              </w:rPr>
              <w:t>Total</w:t>
            </w:r>
          </w:p>
        </w:tc>
        <w:tc>
          <w:tcPr>
            <w:tcW w:w="2169" w:type="dxa"/>
            <w:tcBorders>
              <w:top w:val="single" w:color="000000" w:sz="7" w:space="0"/>
              <w:left w:val="single" w:color="000000" w:sz="7" w:space="0"/>
              <w:bottom w:val="single" w:color="000000" w:sz="7" w:space="0"/>
              <w:right w:val="single" w:color="FFFFFF" w:sz="6" w:space="0"/>
            </w:tcBorders>
            <w:vAlign w:val="center"/>
          </w:tcPr>
          <w:p w:rsidRPr="00716532" w:rsidR="00F826C6" w:rsidP="0038712D" w:rsidRDefault="0039393F" w14:paraId="3C90217C" w14:textId="6E4AF5A2">
            <w:pPr>
              <w:jc w:val="center"/>
              <w:rPr>
                <w:rFonts w:ascii="Times New Roman" w:hAnsi="Times New Roman" w:cs="Times New Roman"/>
                <w:b/>
                <w:bCs/>
                <w:sz w:val="24"/>
                <w:szCs w:val="24"/>
              </w:rPr>
            </w:pPr>
            <w:r w:rsidRPr="00716532">
              <w:rPr>
                <w:rFonts w:ascii="Times New Roman" w:hAnsi="Times New Roman" w:cs="Times New Roman"/>
                <w:b/>
                <w:bCs/>
                <w:sz w:val="24"/>
                <w:szCs w:val="24"/>
              </w:rPr>
              <w:t>2,540</w:t>
            </w:r>
          </w:p>
        </w:tc>
        <w:tc>
          <w:tcPr>
            <w:tcW w:w="1710" w:type="dxa"/>
            <w:tcBorders>
              <w:top w:val="single" w:color="000000" w:sz="7" w:space="0"/>
              <w:left w:val="single" w:color="000000" w:sz="7" w:space="0"/>
              <w:bottom w:val="single" w:color="000000" w:sz="7" w:space="0"/>
              <w:right w:val="single" w:color="FFFFFF" w:sz="6" w:space="0"/>
            </w:tcBorders>
            <w:vAlign w:val="center"/>
          </w:tcPr>
          <w:p w:rsidRPr="00716532" w:rsidR="00F826C6" w:rsidP="0038712D" w:rsidRDefault="00716532" w14:paraId="00615B8E" w14:textId="44D03F94">
            <w:pPr>
              <w:jc w:val="center"/>
              <w:rPr>
                <w:rFonts w:ascii="Times New Roman" w:hAnsi="Times New Roman" w:cs="Times New Roman"/>
                <w:b/>
                <w:bCs/>
                <w:sz w:val="24"/>
                <w:szCs w:val="24"/>
              </w:rPr>
            </w:pPr>
            <w:r w:rsidRPr="00716532">
              <w:rPr>
                <w:rFonts w:ascii="Times New Roman" w:hAnsi="Times New Roman" w:cs="Times New Roman"/>
                <w:b/>
                <w:bCs/>
                <w:sz w:val="24"/>
                <w:szCs w:val="24"/>
              </w:rPr>
              <w:t>12,620</w:t>
            </w:r>
          </w:p>
        </w:tc>
        <w:tc>
          <w:tcPr>
            <w:tcW w:w="1431" w:type="dxa"/>
            <w:tcBorders>
              <w:top w:val="single" w:color="000000" w:sz="7" w:space="0"/>
              <w:left w:val="single" w:color="000000" w:sz="7" w:space="0"/>
              <w:bottom w:val="single" w:color="000000" w:sz="7" w:space="0"/>
              <w:right w:val="single" w:color="FFFFFF" w:sz="6" w:space="0"/>
            </w:tcBorders>
            <w:vAlign w:val="center"/>
          </w:tcPr>
          <w:p w:rsidRPr="00716532" w:rsidR="00F826C6" w:rsidP="0038712D" w:rsidRDefault="00716532" w14:paraId="32021155" w14:textId="4EAD6EA9">
            <w:pPr>
              <w:jc w:val="center"/>
              <w:rPr>
                <w:rFonts w:ascii="Times New Roman" w:hAnsi="Times New Roman" w:cs="Times New Roman"/>
                <w:b/>
                <w:bCs/>
                <w:sz w:val="24"/>
                <w:szCs w:val="24"/>
              </w:rPr>
            </w:pPr>
            <w:r w:rsidRPr="00716532">
              <w:rPr>
                <w:rFonts w:ascii="Times New Roman" w:hAnsi="Times New Roman" w:cs="Times New Roman"/>
                <w:b/>
                <w:bCs/>
                <w:sz w:val="24"/>
                <w:szCs w:val="24"/>
              </w:rPr>
              <w:t>….</w:t>
            </w:r>
          </w:p>
        </w:tc>
        <w:tc>
          <w:tcPr>
            <w:tcW w:w="2070" w:type="dxa"/>
            <w:tcBorders>
              <w:top w:val="single" w:color="000000" w:sz="7" w:space="0"/>
              <w:left w:val="single" w:color="000000" w:sz="7" w:space="0"/>
              <w:bottom w:val="single" w:color="000000" w:sz="7" w:space="0"/>
              <w:right w:val="single" w:color="000000" w:sz="7" w:space="0"/>
            </w:tcBorders>
            <w:vAlign w:val="center"/>
          </w:tcPr>
          <w:p w:rsidRPr="00F534DB" w:rsidR="00F826C6" w:rsidP="0038712D" w:rsidRDefault="004C4B7A" w14:paraId="145FACF2" w14:textId="49CCD810">
            <w:pPr>
              <w:tabs>
                <w:tab w:val="left" w:pos="-1080"/>
                <w:tab w:val="left" w:pos="-720"/>
                <w:tab w:val="left" w:pos="0"/>
                <w:tab w:val="left" w:pos="450"/>
                <w:tab w:val="left" w:pos="720"/>
                <w:tab w:val="left" w:pos="2160"/>
              </w:tabs>
              <w:jc w:val="center"/>
              <w:rPr>
                <w:rFonts w:ascii="Times New Roman" w:hAnsi="Times New Roman" w:cs="Times New Roman"/>
                <w:b/>
                <w:bCs/>
                <w:sz w:val="24"/>
                <w:szCs w:val="24"/>
              </w:rPr>
            </w:pPr>
            <w:r w:rsidRPr="00F534DB">
              <w:rPr>
                <w:rFonts w:ascii="Times New Roman" w:hAnsi="Times New Roman" w:cs="Times New Roman"/>
                <w:b/>
                <w:bCs/>
                <w:sz w:val="24"/>
                <w:szCs w:val="24"/>
              </w:rPr>
              <w:t>3848</w:t>
            </w:r>
          </w:p>
        </w:tc>
      </w:tr>
    </w:tbl>
    <w:p w:rsidR="00F826C6" w:rsidP="008716F6" w:rsidRDefault="00F826C6" w14:paraId="65128323" w14:textId="77777777">
      <w:pPr>
        <w:spacing w:after="20"/>
        <w:rPr>
          <w:b/>
        </w:rPr>
      </w:pPr>
    </w:p>
    <w:p w:rsidRPr="00907E64" w:rsidR="00907E64" w:rsidP="00907E64" w:rsidRDefault="00907E64" w14:paraId="51E868DE" w14:textId="513B4D79">
      <w:pPr>
        <w:spacing w:after="20"/>
        <w:rPr>
          <w:b/>
        </w:rPr>
      </w:pPr>
      <w:r w:rsidRPr="00907E64">
        <w:rPr>
          <w:b/>
        </w:rPr>
        <w:t>A.12-2</w:t>
      </w:r>
      <w:r w:rsidRPr="00907E64">
        <w:rPr>
          <w:b/>
        </w:rPr>
        <w:tab/>
      </w:r>
      <w:r w:rsidR="00BB00C9">
        <w:rPr>
          <w:b/>
        </w:rPr>
        <w:t xml:space="preserve">TOTAL </w:t>
      </w:r>
      <w:r w:rsidRPr="00907E64">
        <w:rPr>
          <w:b/>
        </w:rPr>
        <w:t>COST TO RESPONDENTS</w:t>
      </w:r>
    </w:p>
    <w:p w:rsidR="002F3354" w:rsidP="008716F6" w:rsidRDefault="002F3354" w14:paraId="693EA7B4" w14:textId="6B1804FA">
      <w:pPr>
        <w:spacing w:after="20"/>
      </w:pPr>
      <w:r>
        <w:t xml:space="preserve">                                                </w:t>
      </w:r>
      <w:r w:rsidRPr="00EB77CC" w:rsidR="00AF01AD">
        <w:t>A.12-2</w:t>
      </w:r>
      <w:r w:rsidRPr="00EB77CC">
        <w:t xml:space="preserve"> </w:t>
      </w:r>
      <w:r w:rsidR="00BB00C9">
        <w:t xml:space="preserve">Total </w:t>
      </w:r>
      <w:r>
        <w:t>Cost to the Respondents</w:t>
      </w: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1995"/>
        <w:gridCol w:w="2342"/>
        <w:gridCol w:w="2121"/>
      </w:tblGrid>
      <w:tr w:rsidRPr="003E5E88" w:rsidR="00CB2332" w:rsidTr="00CB2332" w14:paraId="0A150753"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3E5E88" w:rsidR="00CB2332" w:rsidP="0038712D" w:rsidRDefault="00CB2332" w14:paraId="0A5C47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Type of Respondents</w:t>
            </w:r>
          </w:p>
        </w:tc>
        <w:tc>
          <w:tcPr>
            <w:tcW w:w="1995" w:type="dxa"/>
            <w:tcBorders>
              <w:top w:val="single" w:color="auto" w:sz="4" w:space="0"/>
              <w:left w:val="single" w:color="auto" w:sz="4" w:space="0"/>
              <w:bottom w:val="single" w:color="auto" w:sz="4" w:space="0"/>
              <w:right w:val="single" w:color="auto" w:sz="4" w:space="0"/>
            </w:tcBorders>
            <w:hideMark/>
          </w:tcPr>
          <w:p w:rsidRPr="003E5E88" w:rsidR="00CB2332" w:rsidP="0038712D" w:rsidRDefault="00CB2332" w14:paraId="1141FB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Total Annual Burden Hours</w:t>
            </w:r>
          </w:p>
        </w:tc>
        <w:tc>
          <w:tcPr>
            <w:tcW w:w="2342" w:type="dxa"/>
            <w:tcBorders>
              <w:top w:val="single" w:color="auto" w:sz="4" w:space="0"/>
              <w:left w:val="single" w:color="auto" w:sz="4" w:space="0"/>
              <w:bottom w:val="single" w:color="auto" w:sz="4" w:space="0"/>
              <w:right w:val="single" w:color="auto" w:sz="4" w:space="0"/>
            </w:tcBorders>
            <w:hideMark/>
          </w:tcPr>
          <w:p w:rsidRPr="003E5E88" w:rsidR="00CB2332" w:rsidP="0038712D" w:rsidRDefault="00CB2332" w14:paraId="2B608B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3E5E88" w:rsidR="00CB2332" w:rsidP="0038712D" w:rsidRDefault="00CB2332" w14:paraId="31CC6A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Respondent Cost</w:t>
            </w:r>
          </w:p>
        </w:tc>
      </w:tr>
      <w:tr w:rsidRPr="003E5E88" w:rsidR="00CB2332" w:rsidTr="00CB2332" w14:paraId="704C824E"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3E5E88" w:rsidR="00CB2332" w:rsidP="0038712D" w:rsidRDefault="00CB2332" w14:paraId="63C6A8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CB2332" w:rsidP="0038712D" w:rsidRDefault="00CB2332" w14:paraId="572C13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General Public</w:t>
            </w:r>
          </w:p>
        </w:tc>
        <w:tc>
          <w:tcPr>
            <w:tcW w:w="1995" w:type="dxa"/>
            <w:tcBorders>
              <w:top w:val="single" w:color="auto" w:sz="4" w:space="0"/>
              <w:left w:val="single" w:color="auto" w:sz="4" w:space="0"/>
              <w:bottom w:val="single" w:color="auto" w:sz="4" w:space="0"/>
              <w:right w:val="single" w:color="auto" w:sz="4" w:space="0"/>
            </w:tcBorders>
            <w:vAlign w:val="center"/>
            <w:hideMark/>
          </w:tcPr>
          <w:p w:rsidRPr="003E5E88" w:rsidR="002B4B4F" w:rsidP="00986EB8" w:rsidRDefault="004F1F39" w14:paraId="50F189CC" w14:textId="23C94F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4F1F39">
              <w:rPr>
                <w:rFonts w:ascii="Times New Roman" w:hAnsi="Times New Roman" w:eastAsia="Times New Roman" w:cs="Times New Roman"/>
                <w:sz w:val="24"/>
                <w:szCs w:val="24"/>
              </w:rPr>
              <w:t>4,897</w:t>
            </w:r>
          </w:p>
        </w:tc>
        <w:tc>
          <w:tcPr>
            <w:tcW w:w="2342" w:type="dxa"/>
            <w:tcBorders>
              <w:top w:val="single" w:color="auto" w:sz="4" w:space="0"/>
              <w:left w:val="single" w:color="auto" w:sz="4" w:space="0"/>
              <w:bottom w:val="single" w:color="auto" w:sz="4" w:space="0"/>
              <w:right w:val="single" w:color="auto" w:sz="4" w:space="0"/>
            </w:tcBorders>
            <w:vAlign w:val="center"/>
            <w:hideMark/>
          </w:tcPr>
          <w:p w:rsidRPr="003E5E88" w:rsidR="00CB2332" w:rsidP="0038712D" w:rsidRDefault="00EF6D4B" w14:paraId="5D402B1A" w14:textId="74C09F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EF6D4B">
              <w:rPr>
                <w:rFonts w:ascii="Times New Roman" w:hAnsi="Times New Roman" w:eastAsia="Times New Roman" w:cs="Times New Roman"/>
                <w:sz w:val="24"/>
                <w:szCs w:val="24"/>
              </w:rPr>
              <w:t>$25.72</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3E5E88" w:rsidR="00CB2332" w:rsidP="003F0620" w:rsidRDefault="00785EB6" w14:paraId="09B49889" w14:textId="6CFB09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785EB6">
              <w:rPr>
                <w:rFonts w:ascii="Times New Roman" w:hAnsi="Times New Roman" w:eastAsia="Times New Roman" w:cs="Times New Roman"/>
                <w:sz w:val="24"/>
                <w:szCs w:val="24"/>
              </w:rPr>
              <w:t>$125,942.27</w:t>
            </w:r>
          </w:p>
        </w:tc>
      </w:tr>
      <w:tr w:rsidRPr="003E5E88" w:rsidR="00CB2332" w:rsidTr="00CB2332" w14:paraId="15FB1B07" w14:textId="77777777">
        <w:trPr>
          <w:trHeight w:val="658"/>
        </w:trPr>
        <w:tc>
          <w:tcPr>
            <w:tcW w:w="2140" w:type="dxa"/>
            <w:tcBorders>
              <w:top w:val="single" w:color="auto" w:sz="4" w:space="0"/>
              <w:left w:val="single" w:color="auto" w:sz="4" w:space="0"/>
              <w:bottom w:val="single" w:color="auto" w:sz="4" w:space="0"/>
              <w:right w:val="single" w:color="auto" w:sz="4" w:space="0"/>
            </w:tcBorders>
          </w:tcPr>
          <w:p w:rsidRPr="003E5E88" w:rsidR="00CB2332" w:rsidP="0038712D" w:rsidRDefault="00CB2332" w14:paraId="422FCF9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p>
          <w:p w:rsidRPr="003E5E88" w:rsidR="00CB2332" w:rsidP="0038712D" w:rsidRDefault="00CB2332" w14:paraId="3F3AB070" w14:textId="3878C0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 xml:space="preserve">Health </w:t>
            </w:r>
            <w:r w:rsidR="00EE5E34">
              <w:rPr>
                <w:rFonts w:ascii="Times New Roman" w:hAnsi="Times New Roman" w:eastAsia="Times New Roman" w:cs="Times New Roman"/>
                <w:sz w:val="24"/>
                <w:szCs w:val="24"/>
              </w:rPr>
              <w:t>Care Providers</w:t>
            </w:r>
            <w:r w:rsidRPr="003E5E88">
              <w:rPr>
                <w:rFonts w:ascii="Times New Roman" w:hAnsi="Times New Roman" w:eastAsia="Times New Roman" w:cs="Times New Roman"/>
                <w:sz w:val="24"/>
                <w:szCs w:val="24"/>
              </w:rPr>
              <w:t xml:space="preserve"> </w:t>
            </w:r>
          </w:p>
          <w:p w:rsidRPr="003E5E88" w:rsidR="00CB2332" w:rsidP="0038712D" w:rsidRDefault="00CB2332" w14:paraId="498F8C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hideMark/>
          </w:tcPr>
          <w:p w:rsidRPr="003E5E88" w:rsidR="00EE5E34" w:rsidP="0038712D" w:rsidRDefault="006621B9" w14:paraId="230C4131" w14:textId="75AF3D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6621B9">
              <w:rPr>
                <w:rFonts w:ascii="Times New Roman" w:hAnsi="Times New Roman" w:eastAsia="Times New Roman" w:cs="Times New Roman"/>
                <w:sz w:val="24"/>
                <w:szCs w:val="24"/>
              </w:rPr>
              <w:t>618.33</w:t>
            </w:r>
          </w:p>
        </w:tc>
        <w:tc>
          <w:tcPr>
            <w:tcW w:w="2342" w:type="dxa"/>
            <w:tcBorders>
              <w:top w:val="single" w:color="auto" w:sz="4" w:space="0"/>
              <w:left w:val="single" w:color="auto" w:sz="4" w:space="0"/>
              <w:bottom w:val="single" w:color="auto" w:sz="4" w:space="0"/>
              <w:right w:val="single" w:color="auto" w:sz="4" w:space="0"/>
            </w:tcBorders>
            <w:vAlign w:val="center"/>
            <w:hideMark/>
          </w:tcPr>
          <w:p w:rsidRPr="003E5E88" w:rsidR="00CB2332" w:rsidP="0038712D" w:rsidRDefault="00CB2332" w14:paraId="282DC2BA" w14:textId="6ED173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F0620" w:rsidR="003F0620">
              <w:rPr>
                <w:rFonts w:ascii="Times New Roman" w:hAnsi="Times New Roman" w:eastAsia="Times New Roman" w:cs="Times New Roman"/>
                <w:sz w:val="24"/>
                <w:szCs w:val="24"/>
              </w:rPr>
              <w:t>40.21</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3E5E88" w:rsidR="00CB2332" w:rsidP="0038712D" w:rsidRDefault="00785EB6" w14:paraId="7E942FCF" w14:textId="782EA3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785EB6">
              <w:rPr>
                <w:rFonts w:ascii="Times New Roman" w:hAnsi="Times New Roman" w:eastAsia="Times New Roman" w:cs="Times New Roman"/>
                <w:sz w:val="24"/>
                <w:szCs w:val="24"/>
              </w:rPr>
              <w:t>$24,863.18</w:t>
            </w:r>
          </w:p>
        </w:tc>
      </w:tr>
      <w:tr w:rsidRPr="003E5E88" w:rsidR="00CB2332" w:rsidTr="00CB2332" w14:paraId="3AC8F4DC"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3E5E88" w:rsidR="00CB2332" w:rsidP="0038712D" w:rsidRDefault="00CB2332" w14:paraId="6B7434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b/>
                <w:sz w:val="24"/>
                <w:szCs w:val="24"/>
              </w:rPr>
              <w:t>TOTAL</w:t>
            </w:r>
          </w:p>
        </w:tc>
        <w:tc>
          <w:tcPr>
            <w:tcW w:w="1995" w:type="dxa"/>
            <w:tcBorders>
              <w:top w:val="single" w:color="auto" w:sz="4" w:space="0"/>
              <w:left w:val="single" w:color="auto" w:sz="4" w:space="0"/>
              <w:bottom w:val="single" w:color="auto" w:sz="4" w:space="0"/>
              <w:right w:val="single" w:color="auto" w:sz="4" w:space="0"/>
            </w:tcBorders>
            <w:vAlign w:val="center"/>
          </w:tcPr>
          <w:p w:rsidRPr="003E5E88" w:rsidR="00CB2332" w:rsidP="0038712D" w:rsidRDefault="006621B9" w14:paraId="63FC3725" w14:textId="30366C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5,515</w:t>
            </w:r>
          </w:p>
        </w:tc>
        <w:tc>
          <w:tcPr>
            <w:tcW w:w="2342" w:type="dxa"/>
            <w:tcBorders>
              <w:top w:val="single" w:color="auto" w:sz="4" w:space="0"/>
              <w:left w:val="single" w:color="auto" w:sz="4" w:space="0"/>
              <w:bottom w:val="single" w:color="auto" w:sz="4" w:space="0"/>
              <w:right w:val="single" w:color="auto" w:sz="4" w:space="0"/>
            </w:tcBorders>
            <w:shd w:val="pct25" w:color="auto" w:fill="auto"/>
            <w:vAlign w:val="center"/>
          </w:tcPr>
          <w:p w:rsidRPr="003E5E88" w:rsidR="00CB2332" w:rsidP="0038712D" w:rsidRDefault="00CB2332" w14:paraId="5DDC81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color w:val="FF0000"/>
                <w:sz w:val="24"/>
                <w:szCs w:val="24"/>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3E5E88" w:rsidR="00CB2332" w:rsidP="0038712D" w:rsidRDefault="00785EB6" w14:paraId="6F62C268" w14:textId="75946C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785EB6">
              <w:rPr>
                <w:rFonts w:ascii="Times New Roman" w:hAnsi="Times New Roman" w:eastAsia="Times New Roman" w:cs="Times New Roman"/>
                <w:sz w:val="24"/>
                <w:szCs w:val="24"/>
              </w:rPr>
              <w:t>$150,805.45</w:t>
            </w:r>
          </w:p>
        </w:tc>
      </w:tr>
    </w:tbl>
    <w:p w:rsidR="00CB2332" w:rsidP="00CB2332" w:rsidRDefault="00CB2332" w14:paraId="63440601" w14:textId="3FB9D60A">
      <w:r w:rsidRPr="00BC088C">
        <w:t xml:space="preserve">      </w:t>
      </w:r>
      <w:r w:rsidRPr="00336D39">
        <w:t xml:space="preserve"> </w:t>
      </w:r>
      <w:r>
        <w:t>*</w:t>
      </w:r>
      <w:r w:rsidR="00C451E2">
        <w:rPr>
          <w:rStyle w:val="normaltextrun"/>
          <w:color w:val="000000"/>
          <w:sz w:val="20"/>
          <w:szCs w:val="20"/>
          <w:shd w:val="clear" w:color="auto" w:fill="FFFFFF"/>
        </w:rPr>
        <w:t>The General Public and HCP hourly rates were obtained from</w:t>
      </w:r>
      <w:r w:rsidR="00C451E2">
        <w:rPr>
          <w:rStyle w:val="normaltextrun"/>
          <w:rFonts w:ascii="Calibri" w:hAnsi="Calibri" w:cs="Calibri"/>
          <w:color w:val="000000"/>
          <w:shd w:val="clear" w:color="auto" w:fill="FFFFFF"/>
        </w:rPr>
        <w:t> </w:t>
      </w:r>
      <w:hyperlink w:tgtFrame="_blank" w:history="1" r:id="rId15">
        <w:r w:rsidR="00C451E2">
          <w:rPr>
            <w:rStyle w:val="normaltextrun"/>
            <w:color w:val="000000"/>
            <w:sz w:val="20"/>
            <w:szCs w:val="20"/>
            <w:u w:val="single"/>
            <w:shd w:val="clear" w:color="auto" w:fill="FFFFFF"/>
          </w:rPr>
          <w:t>https://www.bls.gov/oes/current/oes_nat.htm</w:t>
        </w:r>
      </w:hyperlink>
      <w:r w:rsidR="00C451E2">
        <w:rPr>
          <w:rStyle w:val="normaltextrun"/>
          <w:color w:val="000000"/>
          <w:sz w:val="20"/>
          <w:szCs w:val="20"/>
          <w:u w:val="single"/>
          <w:shd w:val="clear" w:color="auto" w:fill="FFFFFF"/>
        </w:rPr>
        <w:t>.</w:t>
      </w:r>
      <w:r w:rsidR="00C451E2">
        <w:rPr>
          <w:rStyle w:val="normaltextrun"/>
          <w:rFonts w:ascii="Calibri" w:hAnsi="Calibri" w:cs="Calibri"/>
          <w:color w:val="000000"/>
          <w:shd w:val="clear" w:color="auto" w:fill="FFFFFF"/>
        </w:rPr>
        <w:t> </w:t>
      </w:r>
    </w:p>
    <w:p w:rsidRPr="00113647" w:rsidR="008716F6" w:rsidP="008716F6" w:rsidRDefault="00713CF8" w14:paraId="4BE9B609" w14:textId="77777777">
      <w:pPr>
        <w:spacing w:after="20"/>
        <w:rPr>
          <w:b/>
        </w:rPr>
      </w:pPr>
      <w:r w:rsidRPr="00113647">
        <w:rPr>
          <w:b/>
        </w:rPr>
        <w:t>A.13 Estimate of Other Total Annual Cost Burden to Respondents or Record Keepers</w:t>
      </w:r>
      <w:r w:rsidRPr="00113647">
        <w:rPr>
          <w:b/>
        </w:rPr>
        <w:tab/>
      </w:r>
    </w:p>
    <w:p w:rsidRPr="00113647" w:rsidR="00713CF8" w:rsidP="008716F6" w:rsidRDefault="00AB6C7B" w14:paraId="5FF9596D" w14:textId="66162C10">
      <w:pPr>
        <w:spacing w:after="20"/>
      </w:pPr>
      <w:r>
        <w:lastRenderedPageBreak/>
        <w:t xml:space="preserve">No </w:t>
      </w:r>
      <w:r w:rsidR="00C8155D">
        <w:t>other cost burden is expected</w:t>
      </w:r>
      <w:r w:rsidRPr="002C4725" w:rsidR="002C4725">
        <w:t>.</w:t>
      </w:r>
    </w:p>
    <w:p w:rsidRPr="00113647" w:rsidR="00713CF8" w:rsidP="008716F6" w:rsidRDefault="00713CF8" w14:paraId="7BE8827C" w14:textId="77777777">
      <w:pPr>
        <w:spacing w:after="20"/>
      </w:pPr>
    </w:p>
    <w:p w:rsidR="00713CF8" w:rsidP="00AD5C49" w:rsidRDefault="00713CF8" w14:paraId="21E2D1B9" w14:textId="35C8B93A">
      <w:pPr>
        <w:tabs>
          <w:tab w:val="left" w:pos="8670"/>
        </w:tabs>
        <w:spacing w:after="20"/>
        <w:rPr>
          <w:b/>
        </w:rPr>
      </w:pPr>
      <w:r w:rsidRPr="00113647">
        <w:rPr>
          <w:b/>
        </w:rPr>
        <w:t>A.14 Cost to the Federal Government</w:t>
      </w:r>
      <w:r w:rsidR="00AD5C49">
        <w:rPr>
          <w:b/>
        </w:rPr>
        <w:tab/>
      </w:r>
    </w:p>
    <w:p w:rsidRPr="00975F51" w:rsidR="00975F51" w:rsidP="008716F6" w:rsidRDefault="00975F51" w14:paraId="3D033E6C" w14:textId="3EC8EA32">
      <w:pPr>
        <w:spacing w:after="20"/>
        <w:rPr>
          <w:bCs/>
        </w:rPr>
      </w:pPr>
      <w:r>
        <w:rPr>
          <w:bCs/>
        </w:rPr>
        <w:t>The</w:t>
      </w:r>
      <w:r w:rsidR="00E601AE">
        <w:rPr>
          <w:bCs/>
        </w:rPr>
        <w:t xml:space="preserve"> costs in table 14-1 </w:t>
      </w:r>
      <w:r w:rsidR="00486E64">
        <w:rPr>
          <w:bCs/>
        </w:rPr>
        <w:t>below represent the total cost over the 17-month time period</w:t>
      </w:r>
      <w:r w:rsidR="00504891">
        <w:rPr>
          <w:bCs/>
        </w:rPr>
        <w:t>.</w:t>
      </w:r>
      <w:r w:rsidR="00C14BBD">
        <w:rPr>
          <w:bCs/>
        </w:rPr>
        <w:t xml:space="preserve"> (</w:t>
      </w:r>
      <w:r w:rsidR="00971877">
        <w:rPr>
          <w:bCs/>
        </w:rPr>
        <w:t xml:space="preserve">Total </w:t>
      </w:r>
      <w:r w:rsidR="00AD5C49">
        <w:rPr>
          <w:bCs/>
        </w:rPr>
        <w:t xml:space="preserve">percent </w:t>
      </w:r>
      <w:r w:rsidR="00971877">
        <w:rPr>
          <w:bCs/>
        </w:rPr>
        <w:t>effort</w:t>
      </w:r>
      <w:r w:rsidR="00AD5C49">
        <w:rPr>
          <w:bCs/>
        </w:rPr>
        <w:t xml:space="preserve"> for Federal Oversight</w:t>
      </w:r>
      <w:r w:rsidR="00971877">
        <w:rPr>
          <w:bCs/>
        </w:rPr>
        <w:t xml:space="preserve"> is estimated not to exceed </w:t>
      </w:r>
      <w:r w:rsidR="00AD5C49">
        <w:rPr>
          <w:bCs/>
        </w:rPr>
        <w:t>the equivalent of 5% of a 12-month salary period.)</w:t>
      </w:r>
    </w:p>
    <w:p w:rsidR="00E44958" w:rsidP="00BB7115" w:rsidRDefault="00E44958" w14:paraId="350F40FC" w14:textId="77777777">
      <w:pPr>
        <w:widowControl w:val="0"/>
        <w:adjustRightInd w:val="0"/>
        <w:snapToGrid w:val="0"/>
        <w:spacing w:after="0" w:line="240" w:lineRule="auto"/>
        <w:jc w:val="both"/>
        <w:rPr>
          <w:rFonts w:ascii="Times New Roman" w:hAnsi="Times New Roman" w:eastAsia="Times New Roman" w:cs="Times New Roman"/>
          <w:color w:val="0000FF"/>
          <w:sz w:val="24"/>
          <w:szCs w:val="24"/>
        </w:rPr>
      </w:pPr>
    </w:p>
    <w:p w:rsidR="00383E96" w:rsidP="00BB7115" w:rsidRDefault="00383E96" w14:paraId="11292B6E" w14:textId="77777777">
      <w:pPr>
        <w:widowControl w:val="0"/>
        <w:adjustRightInd w:val="0"/>
        <w:snapToGrid w:val="0"/>
        <w:spacing w:after="0" w:line="240" w:lineRule="auto"/>
        <w:jc w:val="both"/>
        <w:rPr>
          <w:rFonts w:ascii="Times New Roman" w:hAnsi="Times New Roman" w:eastAsia="Times New Roman" w:cs="Times New Roman"/>
          <w:color w:val="0000FF"/>
          <w:sz w:val="24"/>
          <w:szCs w:val="24"/>
        </w:rPr>
      </w:pPr>
    </w:p>
    <w:p w:rsidR="00383E96" w:rsidP="00BB7115" w:rsidRDefault="00383E96" w14:paraId="3E250074" w14:textId="0CB52C9A">
      <w:pPr>
        <w:widowControl w:val="0"/>
        <w:adjustRightInd w:val="0"/>
        <w:snapToGrid w:val="0"/>
        <w:spacing w:after="0" w:line="240" w:lineRule="auto"/>
        <w:jc w:val="both"/>
        <w:rPr>
          <w:rFonts w:ascii="Times New Roman" w:hAnsi="Times New Roman" w:eastAsia="Times New Roman" w:cs="Times New Roman"/>
          <w:color w:val="0000FF"/>
          <w:sz w:val="24"/>
          <w:szCs w:val="24"/>
        </w:rPr>
      </w:pPr>
    </w:p>
    <w:p w:rsidRPr="00BB7115" w:rsidR="00383E96" w:rsidP="00BB7115" w:rsidRDefault="00383E96" w14:paraId="57BAC863" w14:textId="4D9230A5">
      <w:pPr>
        <w:widowControl w:val="0"/>
        <w:adjustRightInd w:val="0"/>
        <w:snapToGrid w:val="0"/>
        <w:spacing w:after="0" w:line="240" w:lineRule="auto"/>
        <w:jc w:val="both"/>
        <w:rPr>
          <w:rFonts w:ascii="Times New Roman" w:hAnsi="Times New Roman" w:eastAsia="Times New Roman" w:cs="Times New Roman"/>
          <w:color w:val="0000FF"/>
          <w:sz w:val="24"/>
          <w:szCs w:val="24"/>
        </w:rPr>
      </w:pPr>
      <w:r w:rsidRPr="00383E96">
        <w:rPr>
          <w:rFonts w:ascii="Times New Roman" w:hAnsi="Times New Roman" w:eastAsia="Times New Roman" w:cs="Times New Roman"/>
          <w:sz w:val="24"/>
          <w:szCs w:val="24"/>
        </w:rPr>
        <w:t>Table 14-1</w:t>
      </w:r>
      <w:r>
        <w:rPr>
          <w:rFonts w:ascii="Times New Roman" w:hAnsi="Times New Roman" w:eastAsia="Times New Roman" w:cs="Times New Roman"/>
          <w:sz w:val="24"/>
          <w:szCs w:val="24"/>
        </w:rPr>
        <w:t xml:space="preserve"> Costs to Federal Government</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BB7115" w:rsidR="00BB7115" w:rsidTr="002B193F" w14:paraId="096717E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BB7115" w:rsidR="00BB7115" w:rsidP="00BB7115" w:rsidRDefault="00BB7115" w14:paraId="56B34391"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i/>
                <w:sz w:val="24"/>
                <w:szCs w:val="24"/>
              </w:rPr>
              <w:t xml:space="preserve"> </w:t>
            </w:r>
            <w:r w:rsidRPr="00BB7115">
              <w:rPr>
                <w:rFonts w:ascii="Times New Roman" w:hAnsi="Times New Roman" w:eastAsia="Times New Roman" w:cs="Times New Roman"/>
                <w:b/>
                <w:bCs/>
                <w:color w:val="000000"/>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BB7115" w:rsidR="00BB7115" w:rsidP="00BB7115" w:rsidRDefault="00BB7115" w14:paraId="3633F4E2" w14:textId="77777777">
            <w:pPr>
              <w:spacing w:after="0" w:line="240" w:lineRule="auto"/>
              <w:jc w:val="center"/>
              <w:rPr>
                <w:rFonts w:ascii="Times New Roman" w:hAnsi="Times New Roman" w:eastAsia="Calibri" w:cs="Times New Roman"/>
                <w:b/>
                <w:bCs/>
                <w:color w:val="1F497D"/>
              </w:rPr>
            </w:pPr>
          </w:p>
          <w:p w:rsidRPr="00BB7115" w:rsidR="00BB7115" w:rsidP="00BB7115" w:rsidRDefault="00BB7115" w14:paraId="02464877"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BB7115" w:rsidP="00BB7115" w:rsidRDefault="00BB7115" w14:paraId="5D569FD9" w14:textId="6A67F4B1">
            <w:pPr>
              <w:spacing w:after="0" w:line="240" w:lineRule="auto"/>
              <w:jc w:val="center"/>
              <w:rPr>
                <w:rFonts w:ascii="Times New Roman" w:hAnsi="Times New Roman" w:eastAsia="Calibri" w:cs="Times New Roman"/>
                <w:b/>
                <w:bCs/>
              </w:rPr>
            </w:pPr>
            <w:r w:rsidRPr="00BB7115">
              <w:rPr>
                <w:rFonts w:ascii="Times New Roman" w:hAnsi="Times New Roman" w:eastAsia="Times New Roman" w:cs="Times New Roman"/>
                <w:b/>
                <w:bCs/>
              </w:rPr>
              <w:t>Salary</w:t>
            </w:r>
            <w:r w:rsidR="00350296">
              <w:rPr>
                <w:rFonts w:ascii="Times New Roman" w:hAnsi="Times New Roman" w:eastAsia="Times New Roman" w:cs="Times New Roman"/>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BB7115" w:rsidP="00BB7115" w:rsidRDefault="00BB7115" w14:paraId="5F3F1E86" w14:textId="77777777">
            <w:pPr>
              <w:spacing w:after="0" w:line="240" w:lineRule="auto"/>
              <w:jc w:val="center"/>
              <w:rPr>
                <w:rFonts w:ascii="Times New Roman" w:hAnsi="Times New Roman" w:eastAsia="Calibri" w:cs="Times New Roman"/>
                <w:b/>
                <w:bCs/>
              </w:rPr>
            </w:pPr>
            <w:r w:rsidRPr="00BB7115">
              <w:rPr>
                <w:rFonts w:ascii="Times New Roman" w:hAnsi="Times New Roman" w:eastAsia="Times New Roman" w:cs="Times New Roman"/>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BB7115" w:rsidR="00BB7115" w:rsidP="00BB7115" w:rsidRDefault="00BB7115" w14:paraId="1382F198" w14:textId="77777777">
            <w:pPr>
              <w:spacing w:after="0" w:line="240" w:lineRule="auto"/>
              <w:jc w:val="center"/>
              <w:rPr>
                <w:rFonts w:ascii="Times New Roman" w:hAnsi="Times New Roman" w:eastAsia="Times New Roman" w:cs="Times New Roman"/>
                <w:b/>
                <w:bCs/>
              </w:rPr>
            </w:pPr>
            <w:r w:rsidRPr="00BB7115">
              <w:rPr>
                <w:rFonts w:ascii="Times New Roman" w:hAnsi="Times New Roman" w:eastAsia="Times New Roman" w:cs="Times New Roman"/>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BB7115" w:rsidR="00BB7115" w:rsidP="00BB7115" w:rsidRDefault="00AF01AD" w14:paraId="217B11D0" w14:textId="70EE6895">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Total </w:t>
            </w:r>
            <w:r w:rsidR="005E2D23">
              <w:rPr>
                <w:rFonts w:ascii="Times New Roman" w:hAnsi="Times New Roman" w:eastAsia="Times New Roman" w:cs="Times New Roman"/>
                <w:b/>
                <w:bCs/>
              </w:rPr>
              <w:t>C</w:t>
            </w:r>
            <w:r w:rsidRPr="00BB7115" w:rsidR="00BB7115">
              <w:rPr>
                <w:rFonts w:ascii="Times New Roman" w:hAnsi="Times New Roman" w:eastAsia="Times New Roman" w:cs="Times New Roman"/>
                <w:b/>
                <w:bCs/>
              </w:rPr>
              <w:t>ost to Gov’t</w:t>
            </w:r>
          </w:p>
        </w:tc>
      </w:tr>
      <w:tr w:rsidRPr="00BB7115" w:rsidR="005C1E59" w:rsidTr="005C1E59" w14:paraId="4D0E63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5C1E59" w:rsidP="005C1E59" w:rsidRDefault="005C1E59" w14:paraId="530BD8DF" w14:textId="77777777">
            <w:pPr>
              <w:spacing w:after="0" w:line="240" w:lineRule="auto"/>
              <w:rPr>
                <w:rFonts w:ascii="Times New Roman" w:hAnsi="Times New Roman" w:eastAsia="Calibri" w:cs="Times New Roman"/>
                <w:b/>
                <w:color w:val="000000"/>
                <w:highlight w:val="yellow"/>
              </w:rPr>
            </w:pPr>
            <w:r w:rsidRPr="00BB7115">
              <w:rPr>
                <w:rFonts w:ascii="Times New Roman" w:hAnsi="Times New Roman" w:eastAsia="Calibri" w:cs="Times New Roman"/>
                <w:b/>
                <w:color w:val="000000"/>
              </w:rPr>
              <w:t>Federal Oversight</w:t>
            </w:r>
          </w:p>
        </w:tc>
        <w:tc>
          <w:tcPr>
            <w:tcW w:w="1440" w:type="dxa"/>
            <w:tcBorders>
              <w:top w:val="nil"/>
              <w:left w:val="nil"/>
              <w:bottom w:val="single" w:color="auto" w:sz="8" w:space="0"/>
              <w:right w:val="single" w:color="auto" w:sz="8" w:space="0"/>
            </w:tcBorders>
          </w:tcPr>
          <w:p w:rsidRPr="005C1E59" w:rsidR="005C1E59" w:rsidP="005C1E59" w:rsidRDefault="005C1E59" w14:paraId="088BBD74" w14:textId="232CAE85">
            <w:pPr>
              <w:spacing w:after="0" w:line="240" w:lineRule="auto"/>
              <w:rPr>
                <w:rFonts w:ascii="Times New Roman" w:hAnsi="Times New Roman" w:eastAsia="Calibri" w:cs="Times New Roman"/>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5C1E59" w:rsidR="005C1E59" w:rsidP="005C1E59" w:rsidRDefault="005C1E59" w14:paraId="73EFC7D4" w14:textId="07127970">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5C1E59" w:rsidR="005C1E59" w:rsidP="005C1E59" w:rsidRDefault="005C1E59" w14:paraId="50D2152A" w14:textId="79D42378">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5C1E59" w:rsidP="005C1E59" w:rsidRDefault="005C1E59" w14:paraId="2682BD8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5C1E59" w:rsidP="005C1E59" w:rsidRDefault="005C1E59" w14:paraId="00AECD80" w14:textId="1E74C80C">
            <w:pPr>
              <w:spacing w:after="0" w:line="240" w:lineRule="auto"/>
              <w:rPr>
                <w:rFonts w:ascii="Times New Roman" w:hAnsi="Times New Roman" w:eastAsia="Times New Roman" w:cs="Times New Roman"/>
              </w:rPr>
            </w:pPr>
          </w:p>
        </w:tc>
      </w:tr>
      <w:tr w:rsidRPr="00BB7115" w:rsidR="00C25A6E" w:rsidTr="002B193F" w14:paraId="15A7D5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C25A6E" w:rsidP="00C25A6E" w:rsidRDefault="00C25A6E" w14:paraId="3C1DEAFA" w14:textId="5A653AC0">
            <w:pPr>
              <w:spacing w:after="0" w:line="240" w:lineRule="auto"/>
              <w:rPr>
                <w:rFonts w:ascii="Times New Roman" w:hAnsi="Times New Roman" w:eastAsia="Calibri" w:cs="Times New Roman"/>
              </w:rPr>
            </w:pPr>
            <w:r w:rsidRPr="003278FA">
              <w:rPr>
                <w:rFonts w:ascii="Times New Roman" w:hAnsi="Times New Roman" w:eastAsia="Calibri" w:cs="Times New Roman"/>
              </w:rPr>
              <w:t>Lieutenant Colonel</w:t>
            </w:r>
          </w:p>
        </w:tc>
        <w:tc>
          <w:tcPr>
            <w:tcW w:w="1440" w:type="dxa"/>
            <w:tcBorders>
              <w:top w:val="nil"/>
              <w:left w:val="nil"/>
              <w:bottom w:val="single" w:color="auto" w:sz="8" w:space="0"/>
              <w:right w:val="single" w:color="auto" w:sz="8" w:space="0"/>
            </w:tcBorders>
          </w:tcPr>
          <w:p w:rsidR="00C25A6E" w:rsidP="00C25A6E" w:rsidRDefault="00C25A6E" w14:paraId="6CFED3DB" w14:textId="77777777">
            <w:pPr>
              <w:spacing w:after="0" w:line="240" w:lineRule="auto"/>
              <w:rPr>
                <w:rFonts w:ascii="Times New Roman" w:hAnsi="Times New Roman" w:eastAsia="Calibri" w:cs="Times New Roman"/>
              </w:rPr>
            </w:pPr>
          </w:p>
          <w:p w:rsidRPr="00BB7115" w:rsidR="00C25A6E" w:rsidP="00C25A6E" w:rsidRDefault="00C25A6E" w14:paraId="62CC3B81" w14:textId="6424A5F0">
            <w:pPr>
              <w:spacing w:after="0" w:line="240" w:lineRule="auto"/>
              <w:rPr>
                <w:rFonts w:ascii="Times New Roman" w:hAnsi="Times New Roman" w:eastAsia="Calibri" w:cs="Times New Roman"/>
              </w:rPr>
            </w:pPr>
            <w:r>
              <w:rPr>
                <w:rFonts w:ascii="Times New Roman" w:hAnsi="Times New Roman" w:eastAsia="Calibri" w:cs="Times New Roman"/>
              </w:rPr>
              <w:t>GS-14 Step 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C25A6E" w:rsidP="00C25A6E" w:rsidRDefault="00C25A6E" w14:paraId="5013B707" w14:textId="2388AF43">
            <w:pPr>
              <w:spacing w:after="0" w:line="240" w:lineRule="auto"/>
              <w:rPr>
                <w:rFonts w:ascii="Times New Roman" w:hAnsi="Times New Roman" w:eastAsia="Calibri" w:cs="Times New Roman"/>
              </w:rPr>
            </w:pPr>
            <w:r>
              <w:rPr>
                <w:rFonts w:ascii="Times New Roman" w:hAnsi="Times New Roman" w:eastAsia="Calibri" w:cs="Times New Roman"/>
              </w:rPr>
              <w:t>$</w:t>
            </w:r>
            <w:r w:rsidRPr="00B902A1">
              <w:rPr>
                <w:rFonts w:ascii="Times New Roman" w:hAnsi="Times New Roman" w:eastAsia="Calibri" w:cs="Times New Roman"/>
              </w:rPr>
              <w:t>147,034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C25A6E" w:rsidP="00C25A6E" w:rsidRDefault="00C25A6E" w14:paraId="1F61685A" w14:textId="333AC804">
            <w:pPr>
              <w:spacing w:after="0" w:line="240" w:lineRule="auto"/>
              <w:rPr>
                <w:rFonts w:ascii="Times New Roman" w:hAnsi="Times New Roman" w:eastAsia="Calibri" w:cs="Times New Roman"/>
              </w:rPr>
            </w:pPr>
            <w:r>
              <w:rPr>
                <w:rFonts w:ascii="Times New Roman" w:hAnsi="Times New Roman" w:eastAsia="Calibri" w:cs="Times New Roman"/>
              </w:rPr>
              <w:t>5%</w:t>
            </w: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C25A6E" w:rsidP="00C25A6E" w:rsidRDefault="00C25A6E" w14:paraId="76ED123E"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D15421" w:rsidR="00C25A6E" w:rsidP="00C25A6E" w:rsidRDefault="00C25A6E" w14:paraId="4294582C" w14:textId="77777777">
            <w:pPr>
              <w:spacing w:after="0" w:line="240" w:lineRule="auto"/>
              <w:rPr>
                <w:rFonts w:ascii="Times New Roman" w:hAnsi="Times New Roman" w:eastAsia="Times New Roman" w:cs="Times New Roman"/>
              </w:rPr>
            </w:pPr>
          </w:p>
          <w:p w:rsidRPr="00BB7115" w:rsidR="00C25A6E" w:rsidP="00C25A6E" w:rsidRDefault="00C25A6E" w14:paraId="7FE1D4A6" w14:textId="391AF31E">
            <w:pPr>
              <w:spacing w:after="0" w:line="240" w:lineRule="auto"/>
              <w:rPr>
                <w:rFonts w:ascii="Times New Roman" w:hAnsi="Times New Roman" w:eastAsia="Times New Roman" w:cs="Times New Roman"/>
              </w:rPr>
            </w:pPr>
            <w:r w:rsidRPr="00D15421">
              <w:rPr>
                <w:rFonts w:ascii="Times New Roman" w:hAnsi="Times New Roman" w:eastAsia="Times New Roman" w:cs="Times New Roman"/>
              </w:rPr>
              <w:t>$7,</w:t>
            </w:r>
            <w:r w:rsidR="00E40B04">
              <w:rPr>
                <w:rFonts w:ascii="Times New Roman" w:hAnsi="Times New Roman" w:eastAsia="Times New Roman" w:cs="Times New Roman"/>
              </w:rPr>
              <w:t>352</w:t>
            </w:r>
          </w:p>
        </w:tc>
      </w:tr>
      <w:tr w:rsidRPr="00BB7115" w:rsidR="00BB7115" w:rsidTr="002B193F" w14:paraId="5A0FB1C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B73AD6"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2A5916AF"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6C8037A" w14:textId="77777777">
            <w:pPr>
              <w:spacing w:after="0" w:line="240" w:lineRule="auto"/>
              <w:jc w:val="both"/>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23A393C"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7EB28B6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229C1CF5" w14:textId="77777777">
            <w:pPr>
              <w:spacing w:after="0" w:line="240" w:lineRule="auto"/>
              <w:rPr>
                <w:rFonts w:ascii="Times New Roman" w:hAnsi="Times New Roman" w:eastAsia="Times New Roman" w:cs="Times New Roman"/>
              </w:rPr>
            </w:pPr>
          </w:p>
        </w:tc>
      </w:tr>
      <w:tr w:rsidRPr="00BB7115" w:rsidR="00BB7115" w:rsidTr="002B193F" w14:paraId="37771A3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27230F48"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070E12A7"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41EE4DCF"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E2BE0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44DBAD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504E2A1" w14:textId="77777777">
            <w:pPr>
              <w:spacing w:after="0" w:line="240" w:lineRule="auto"/>
              <w:rPr>
                <w:rFonts w:ascii="Times New Roman" w:hAnsi="Times New Roman" w:eastAsia="Times New Roman" w:cs="Times New Roman"/>
              </w:rPr>
            </w:pPr>
          </w:p>
        </w:tc>
      </w:tr>
      <w:tr w:rsidRPr="00BB7115" w:rsidR="00BB7115" w:rsidTr="002B193F" w14:paraId="6DD4011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5E2D23" w14:paraId="6F36C1F8" w14:textId="4552206F">
            <w:pPr>
              <w:spacing w:after="0" w:line="240" w:lineRule="auto"/>
              <w:rPr>
                <w:rFonts w:ascii="Times New Roman" w:hAnsi="Times New Roman" w:eastAsia="Calibri" w:cs="Times New Roman"/>
                <w:b/>
              </w:rPr>
            </w:pPr>
            <w:r>
              <w:rPr>
                <w:rFonts w:ascii="Times New Roman" w:hAnsi="Times New Roman" w:eastAsia="Calibri" w:cs="Times New Roman"/>
                <w:b/>
              </w:rPr>
              <w:t>Contractor C</w:t>
            </w:r>
            <w:r w:rsidRPr="00BB7115" w:rsidR="00BB7115">
              <w:rPr>
                <w:rFonts w:ascii="Times New Roman" w:hAnsi="Times New Roman" w:eastAsia="Calibri" w:cs="Times New Roman"/>
                <w:b/>
              </w:rPr>
              <w:t>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2BC343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292B0143"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1DC29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262E1C6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647BFC" w14:paraId="520390BA" w14:textId="7B0BCA1C">
            <w:pPr>
              <w:spacing w:after="0" w:line="240" w:lineRule="auto"/>
              <w:rPr>
                <w:rFonts w:ascii="Times New Roman" w:hAnsi="Times New Roman" w:eastAsia="Times New Roman" w:cs="Times New Roman"/>
              </w:rPr>
            </w:pPr>
            <w:r w:rsidRPr="00647BFC">
              <w:rPr>
                <w:rFonts w:ascii="Times New Roman" w:hAnsi="Times New Roman" w:eastAsia="Times New Roman" w:cs="Times New Roman"/>
              </w:rPr>
              <w:t>$360,600.00</w:t>
            </w:r>
          </w:p>
        </w:tc>
      </w:tr>
      <w:tr w:rsidRPr="00BB7115" w:rsidR="00BB7115" w:rsidTr="002B193F" w14:paraId="13F779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93AC12B"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5E118B86"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228C16"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65243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D2B7EB0"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68A819ED" w14:textId="77777777">
            <w:pPr>
              <w:spacing w:after="0" w:line="240" w:lineRule="auto"/>
              <w:rPr>
                <w:rFonts w:ascii="Times New Roman" w:hAnsi="Times New Roman" w:eastAsia="Times New Roman" w:cs="Times New Roman"/>
              </w:rPr>
            </w:pPr>
          </w:p>
        </w:tc>
      </w:tr>
      <w:tr w:rsidRPr="00BB7115" w:rsidR="00BB7115" w:rsidTr="002B193F" w14:paraId="3B56D00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BB7115" w:rsidP="00BB7115" w:rsidRDefault="005E2D23" w14:paraId="1809A6F7" w14:textId="41D09FBC">
            <w:pPr>
              <w:spacing w:after="0" w:line="240" w:lineRule="auto"/>
              <w:rPr>
                <w:rFonts w:ascii="Times New Roman" w:hAnsi="Times New Roman" w:eastAsia="Calibri" w:cs="Times New Roman"/>
                <w:b/>
                <w:color w:val="000000" w:themeColor="text1"/>
              </w:rPr>
            </w:pPr>
            <w:r w:rsidRPr="002B193F">
              <w:rPr>
                <w:rFonts w:ascii="Times New Roman" w:hAnsi="Times New Roman" w:eastAsia="Calibri" w:cs="Times New Roman"/>
                <w:b/>
                <w:color w:val="000000" w:themeColor="text1"/>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4557094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70ACCF1"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4651A95"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5B9A896"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647BFC" w14:paraId="5E854FE4" w14:textId="02892B74">
            <w:pPr>
              <w:spacing w:after="0" w:line="240" w:lineRule="auto"/>
              <w:rPr>
                <w:rFonts w:ascii="Times New Roman" w:hAnsi="Times New Roman" w:eastAsia="Times New Roman" w:cs="Times New Roman"/>
              </w:rPr>
            </w:pPr>
            <w:r>
              <w:rPr>
                <w:rFonts w:ascii="Times New Roman" w:hAnsi="Times New Roman" w:eastAsia="Times New Roman" w:cs="Times New Roman"/>
              </w:rPr>
              <w:t>$0</w:t>
            </w:r>
          </w:p>
        </w:tc>
      </w:tr>
      <w:tr w:rsidRPr="00BB7115" w:rsidR="00BB7115" w:rsidTr="002B193F" w14:paraId="7E218B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BB7115" w:rsidP="00BB7115" w:rsidRDefault="005E2D23" w14:paraId="0C7722C4" w14:textId="36DF236F">
            <w:pPr>
              <w:spacing w:after="0" w:line="240" w:lineRule="auto"/>
              <w:rPr>
                <w:rFonts w:ascii="Times New Roman" w:hAnsi="Times New Roman" w:eastAsia="Calibri" w:cs="Times New Roman"/>
                <w:b/>
                <w:color w:val="000000" w:themeColor="text1"/>
                <w:highlight w:val="yellow"/>
              </w:rPr>
            </w:pPr>
            <w:r w:rsidRPr="002B193F">
              <w:rPr>
                <w:rFonts w:ascii="Times New Roman" w:hAnsi="Times New Roman" w:eastAsia="Calibri" w:cs="Times New Roman"/>
                <w:b/>
                <w:color w:val="000000" w:themeColor="text1"/>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517D6F9A" w14:textId="77777777">
            <w:pPr>
              <w:spacing w:after="0" w:line="240" w:lineRule="auto"/>
              <w:rPr>
                <w:rFonts w:ascii="Times New Roman" w:hAnsi="Times New Roman" w:eastAsia="Calibri" w:cs="Times New Roman"/>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542F3BD7"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317793A"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69282E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647BFC" w14:paraId="5DB4DA24" w14:textId="433787DC">
            <w:pPr>
              <w:spacing w:after="0" w:line="240" w:lineRule="auto"/>
              <w:rPr>
                <w:rFonts w:ascii="Times New Roman" w:hAnsi="Times New Roman" w:eastAsia="Calibri" w:cs="Times New Roman"/>
              </w:rPr>
            </w:pPr>
            <w:r>
              <w:rPr>
                <w:rFonts w:ascii="Times New Roman" w:hAnsi="Times New Roman" w:eastAsia="Calibri" w:cs="Times New Roman"/>
              </w:rPr>
              <w:t>$0</w:t>
            </w:r>
          </w:p>
        </w:tc>
      </w:tr>
      <w:tr w:rsidRPr="00BB7115" w:rsidR="00BB7115" w:rsidTr="002B193F" w14:paraId="68B4147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BB7115" w14:paraId="67EF4B42" w14:textId="77777777">
            <w:pPr>
              <w:spacing w:after="0" w:line="240" w:lineRule="auto"/>
              <w:rPr>
                <w:rFonts w:ascii="Times New Roman" w:hAnsi="Times New Roman" w:eastAsia="Calibri" w:cs="Times New Roman"/>
                <w:bCs/>
                <w:color w:val="000000"/>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622721AE"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BB7115" w:rsidR="00BB7115" w:rsidP="00BB7115" w:rsidRDefault="00BB7115" w14:paraId="1243EFF9"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5359DC2D" w14:textId="77777777">
            <w:pPr>
              <w:spacing w:after="0" w:line="240" w:lineRule="auto"/>
              <w:rPr>
                <w:rFonts w:ascii="Times New Roman" w:hAnsi="Times New Roman" w:eastAsia="Calibri" w:cs="Times New Roman"/>
                <w:b/>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39609772" w14:textId="77777777">
            <w:pPr>
              <w:spacing w:after="0" w:line="240" w:lineRule="auto"/>
              <w:rPr>
                <w:rFonts w:ascii="Times New Roman" w:hAnsi="Times New Roman" w:eastAsia="Times New Roman" w:cs="Times New Roman"/>
                <w:b/>
              </w:rPr>
            </w:pPr>
          </w:p>
        </w:tc>
        <w:tc>
          <w:tcPr>
            <w:tcW w:w="1363" w:type="dxa"/>
            <w:tcBorders>
              <w:top w:val="nil"/>
              <w:left w:val="nil"/>
              <w:bottom w:val="single" w:color="auto" w:sz="8" w:space="0"/>
              <w:right w:val="single" w:color="auto" w:sz="8" w:space="0"/>
            </w:tcBorders>
          </w:tcPr>
          <w:p w:rsidRPr="00BB7115" w:rsidR="00BB7115" w:rsidP="00BB7115" w:rsidRDefault="00BB7115" w14:paraId="499EB5DF" w14:textId="77777777">
            <w:pPr>
              <w:spacing w:after="0" w:line="240" w:lineRule="auto"/>
              <w:rPr>
                <w:rFonts w:ascii="Times New Roman" w:hAnsi="Times New Roman" w:eastAsia="Times New Roman" w:cs="Times New Roman"/>
                <w:b/>
              </w:rPr>
            </w:pPr>
          </w:p>
        </w:tc>
      </w:tr>
      <w:tr w:rsidRPr="00BB7115" w:rsidR="00C25A6E" w:rsidTr="002B193F" w14:paraId="0273A6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47BFC" w:rsidR="00C25A6E" w:rsidP="00C25A6E" w:rsidRDefault="00C25A6E" w14:paraId="5F81D4A6" w14:textId="36AB4950">
            <w:pPr>
              <w:spacing w:after="0" w:line="240" w:lineRule="auto"/>
              <w:rPr>
                <w:rFonts w:ascii="Times New Roman" w:hAnsi="Times New Roman" w:eastAsia="Times New Roman" w:cs="Times New Roman"/>
                <w:b/>
                <w:bCs/>
                <w:sz w:val="20"/>
                <w:szCs w:val="20"/>
              </w:rPr>
            </w:pPr>
            <w:r w:rsidRPr="00647BFC">
              <w:rPr>
                <w:rFonts w:ascii="Times New Roman" w:hAnsi="Times New Roman" w:eastAsia="Times New Roman" w:cs="Times New Roman"/>
                <w:b/>
                <w:bCs/>
                <w:sz w:val="20"/>
                <w:szCs w:val="20"/>
              </w:rPr>
              <w:t>Total</w:t>
            </w:r>
          </w:p>
        </w:tc>
        <w:tc>
          <w:tcPr>
            <w:tcW w:w="1440" w:type="dxa"/>
            <w:tcBorders>
              <w:top w:val="nil"/>
              <w:left w:val="nil"/>
              <w:bottom w:val="single" w:color="auto" w:sz="8" w:space="0"/>
              <w:right w:val="single" w:color="auto" w:sz="8" w:space="0"/>
            </w:tcBorders>
          </w:tcPr>
          <w:p w:rsidRPr="00BB7115" w:rsidR="00C25A6E" w:rsidP="00C25A6E" w:rsidRDefault="00C25A6E" w14:paraId="12C7BFB8" w14:textId="77777777">
            <w:pPr>
              <w:spacing w:after="0" w:line="240" w:lineRule="auto"/>
              <w:rPr>
                <w:rFonts w:ascii="Times New Roman" w:hAnsi="Times New Roman" w:eastAsia="Calibri"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C25A6E" w:rsidP="00C25A6E" w:rsidRDefault="00C25A6E" w14:paraId="1412C067"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C25A6E" w:rsidP="00C25A6E" w:rsidRDefault="00C25A6E" w14:paraId="2E6BD8A1"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BB7115" w:rsidR="00C25A6E" w:rsidP="00C25A6E" w:rsidRDefault="00C25A6E" w14:paraId="7A626E94"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411E17" w:rsidR="00C25A6E" w:rsidP="00C25A6E" w:rsidRDefault="00C25A6E" w14:paraId="2D3918A8" w14:textId="0BF5360A">
            <w:pPr>
              <w:spacing w:after="0" w:line="240" w:lineRule="auto"/>
              <w:rPr>
                <w:rFonts w:ascii="Times New Roman" w:hAnsi="Times New Roman" w:eastAsia="Times New Roman" w:cs="Times New Roman"/>
                <w:b/>
                <w:bCs/>
                <w:sz w:val="20"/>
                <w:szCs w:val="20"/>
              </w:rPr>
            </w:pPr>
            <w:r w:rsidRPr="00411E17">
              <w:rPr>
                <w:rFonts w:ascii="Times New Roman" w:hAnsi="Times New Roman" w:eastAsia="Times New Roman" w:cs="Times New Roman"/>
                <w:b/>
                <w:bCs/>
                <w:sz w:val="20"/>
                <w:szCs w:val="20"/>
              </w:rPr>
              <w:t>$36</w:t>
            </w:r>
            <w:r>
              <w:rPr>
                <w:rFonts w:ascii="Times New Roman" w:hAnsi="Times New Roman" w:eastAsia="Times New Roman" w:cs="Times New Roman"/>
                <w:b/>
                <w:bCs/>
                <w:sz w:val="20"/>
                <w:szCs w:val="20"/>
              </w:rPr>
              <w:t>7</w:t>
            </w:r>
            <w:r w:rsidRPr="00411E17">
              <w:rPr>
                <w:rFonts w:ascii="Times New Roman" w:hAnsi="Times New Roman" w:eastAsia="Times New Roman" w:cs="Times New Roman"/>
                <w:b/>
                <w:bCs/>
                <w:sz w:val="20"/>
                <w:szCs w:val="20"/>
              </w:rPr>
              <w:t>,</w:t>
            </w:r>
            <w:r w:rsidR="00504E28">
              <w:rPr>
                <w:rFonts w:ascii="Times New Roman" w:hAnsi="Times New Roman" w:eastAsia="Times New Roman" w:cs="Times New Roman"/>
                <w:b/>
                <w:bCs/>
                <w:sz w:val="20"/>
                <w:szCs w:val="20"/>
              </w:rPr>
              <w:t>952</w:t>
            </w:r>
          </w:p>
        </w:tc>
      </w:tr>
    </w:tbl>
    <w:p w:rsidR="002B5226" w:rsidP="002B5226" w:rsidRDefault="002B5226" w14:paraId="012C064A" w14:textId="77777777">
      <w:pPr>
        <w:spacing w:after="0" w:line="240" w:lineRule="auto"/>
        <w:rPr>
          <w:sz w:val="18"/>
          <w:szCs w:val="18"/>
        </w:rPr>
      </w:pPr>
      <w:r>
        <w:t>*T</w:t>
      </w:r>
      <w:r w:rsidRPr="009747F4">
        <w:rPr>
          <w:sz w:val="18"/>
          <w:szCs w:val="18"/>
        </w:rPr>
        <w:t>he</w:t>
      </w:r>
      <w:r>
        <w:t xml:space="preserve"> </w:t>
      </w:r>
      <w:r>
        <w:rPr>
          <w:sz w:val="18"/>
          <w:szCs w:val="18"/>
        </w:rPr>
        <w:t>s</w:t>
      </w:r>
      <w:r w:rsidRPr="009747F4">
        <w:rPr>
          <w:sz w:val="18"/>
          <w:szCs w:val="18"/>
        </w:rPr>
        <w:t>alary in table above is cited from</w:t>
      </w:r>
      <w:r>
        <w:t xml:space="preserve"> </w:t>
      </w:r>
      <w:r>
        <w:rPr>
          <w:sz w:val="18"/>
          <w:szCs w:val="18"/>
        </w:rPr>
        <w:t xml:space="preserve"> </w:t>
      </w:r>
      <w:hyperlink w:history="1" r:id="rId16">
        <w:r w:rsidRPr="007D359A">
          <w:rPr>
            <w:rStyle w:val="Hyperlink"/>
            <w:sz w:val="18"/>
            <w:szCs w:val="18"/>
          </w:rPr>
          <w:t>https://www.opm.gov/policy-data-oversight/pay-leave/salaries-wages/salary-tables/pdf/2021/DCB.pdf</w:t>
        </w:r>
      </w:hyperlink>
      <w:r>
        <w:rPr>
          <w:sz w:val="18"/>
          <w:szCs w:val="18"/>
        </w:rPr>
        <w:t>.</w:t>
      </w:r>
    </w:p>
    <w:p w:rsidRPr="00113647" w:rsidR="00BB7115" w:rsidP="00BB7115" w:rsidRDefault="00BB7115" w14:paraId="5B948273" w14:textId="77777777">
      <w:pPr>
        <w:spacing w:after="20"/>
      </w:pPr>
    </w:p>
    <w:p w:rsidRPr="00113647" w:rsidR="00713CF8" w:rsidP="008716F6" w:rsidRDefault="00713CF8" w14:paraId="701B9E8A" w14:textId="77777777">
      <w:pPr>
        <w:spacing w:after="20"/>
        <w:rPr>
          <w:b/>
        </w:rPr>
      </w:pPr>
      <w:r w:rsidRPr="00113647">
        <w:rPr>
          <w:b/>
        </w:rPr>
        <w:t>A.15 Explanation for Program Changes or Adjustments</w:t>
      </w:r>
    </w:p>
    <w:p w:rsidRPr="00113647" w:rsidR="00713CF8" w:rsidP="008716F6" w:rsidRDefault="00713CF8" w14:paraId="6E9E0532" w14:textId="552ED6B3">
      <w:pPr>
        <w:spacing w:after="20"/>
      </w:pPr>
      <w:r w:rsidRPr="00113647">
        <w:t>N</w:t>
      </w:r>
      <w:r w:rsidR="00C13895">
        <w:t>ot applicable.</w:t>
      </w:r>
    </w:p>
    <w:p w:rsidRPr="00113647" w:rsidR="00713CF8" w:rsidP="008716F6" w:rsidRDefault="00713CF8" w14:paraId="3F3A531D" w14:textId="77777777">
      <w:pPr>
        <w:spacing w:after="20"/>
      </w:pPr>
    </w:p>
    <w:p w:rsidRPr="00113647" w:rsidR="00713CF8" w:rsidP="008716F6" w:rsidRDefault="00713CF8" w14:paraId="3B93546E" w14:textId="77777777">
      <w:pPr>
        <w:spacing w:after="20"/>
        <w:rPr>
          <w:b/>
        </w:rPr>
      </w:pPr>
      <w:r w:rsidRPr="00113647">
        <w:rPr>
          <w:b/>
        </w:rPr>
        <w:t>A.16 Plans for Tabulation and Publication and Project Time Schedule</w:t>
      </w:r>
    </w:p>
    <w:p w:rsidR="002C4725" w:rsidP="008716F6" w:rsidRDefault="00902EFE" w14:paraId="6889740F" w14:textId="46FBB594">
      <w:pPr>
        <w:spacing w:after="20"/>
      </w:pPr>
      <w:r>
        <w:t xml:space="preserve">Results from this data collection will </w:t>
      </w:r>
      <w:r w:rsidR="00724882">
        <w:t xml:space="preserve">not </w:t>
      </w:r>
      <w:r>
        <w:t>be published.</w:t>
      </w:r>
      <w:r w:rsidR="00750A40">
        <w:t xml:space="preserve"> Data will be use</w:t>
      </w:r>
      <w:r w:rsidR="00724882">
        <w:t>d</w:t>
      </w:r>
      <w:r w:rsidR="00750A40">
        <w:t xml:space="preserve"> internally </w:t>
      </w:r>
      <w:r w:rsidR="00362F49">
        <w:t>for the development and/or enhancement of ongoing Combat COVID resources.</w:t>
      </w:r>
    </w:p>
    <w:p w:rsidR="008E5FAD" w:rsidP="008716F6" w:rsidRDefault="008E5FAD" w14:paraId="0D2F2561" w14:textId="17690423">
      <w:pPr>
        <w:spacing w:after="20"/>
      </w:pPr>
    </w:p>
    <w:p w:rsidR="00A72836" w:rsidP="008716F6" w:rsidRDefault="00A72836" w14:paraId="32D067FD" w14:textId="2AA633BA">
      <w:pPr>
        <w:spacing w:after="20"/>
      </w:pPr>
      <w:r>
        <w:t xml:space="preserve">Table 16-1 below </w:t>
      </w:r>
      <w:r w:rsidR="000260DA">
        <w:t xml:space="preserve">shows how the data collection activities will take place over the course of the FCR Combat COVID </w:t>
      </w:r>
      <w:r w:rsidR="0013622F">
        <w:t>initiative</w:t>
      </w:r>
      <w:r w:rsidR="00D84708">
        <w:t>; however, only the data collection from June 2021 through December 2021 (6 months) will occur under this emergency clearance</w:t>
      </w:r>
      <w:r w:rsidR="0013622F">
        <w:t xml:space="preserve">. </w:t>
      </w:r>
      <w:r w:rsidR="00D84708">
        <w:t>January 2022 through December 2022 data collection will occur under a separate full clearance package, upon OMB approval.</w:t>
      </w:r>
      <w:r w:rsidR="0013622F">
        <w:t xml:space="preserve"> </w:t>
      </w:r>
      <w:r w:rsidR="00565250">
        <w:t>These dates are given as a</w:t>
      </w:r>
      <w:r w:rsidR="00341BD3">
        <w:t>pproximations,</w:t>
      </w:r>
      <w:r w:rsidR="00177466">
        <w:t xml:space="preserve"> expecting that </w:t>
      </w:r>
      <w:r w:rsidR="00BB07D1">
        <w:t>communication strategies</w:t>
      </w:r>
      <w:r w:rsidR="00555107">
        <w:t xml:space="preserve"> or new </w:t>
      </w:r>
      <w:r w:rsidR="00BB07D1">
        <w:t>media/m</w:t>
      </w:r>
      <w:r w:rsidR="00555107">
        <w:t>essages will need to be tested during that time period.</w:t>
      </w:r>
    </w:p>
    <w:p w:rsidR="00A72836" w:rsidP="008716F6" w:rsidRDefault="00A72836" w14:paraId="210FE3BA" w14:textId="31311D73">
      <w:pPr>
        <w:spacing w:after="20"/>
      </w:pPr>
    </w:p>
    <w:p w:rsidRPr="00383E96" w:rsidR="00383E96" w:rsidP="008716F6" w:rsidRDefault="00383E96" w14:paraId="6FCFF496" w14:textId="25C937BF">
      <w:pPr>
        <w:spacing w:after="20"/>
        <w:rPr>
          <w:rFonts w:ascii="Times New Roman" w:hAnsi="Times New Roman" w:cs="Times New Roman"/>
          <w:sz w:val="24"/>
          <w:szCs w:val="24"/>
        </w:rPr>
      </w:pPr>
      <w:r w:rsidRPr="00383E96">
        <w:rPr>
          <w:rFonts w:ascii="Times New Roman" w:hAnsi="Times New Roman" w:cs="Times New Roman"/>
          <w:sz w:val="24"/>
          <w:szCs w:val="24"/>
        </w:rPr>
        <w:t>Table 16-1 FCR Data Collection Timeline</w:t>
      </w:r>
    </w:p>
    <w:tbl>
      <w:tblPr>
        <w:tblStyle w:val="TableGrid"/>
        <w:tblW w:w="5137" w:type="pct"/>
        <w:tblLayout w:type="fixed"/>
        <w:tblLook w:val="04A0" w:firstRow="1" w:lastRow="0" w:firstColumn="1" w:lastColumn="0" w:noHBand="0" w:noVBand="1"/>
      </w:tblPr>
      <w:tblGrid>
        <w:gridCol w:w="3688"/>
        <w:gridCol w:w="1072"/>
        <w:gridCol w:w="1146"/>
        <w:gridCol w:w="1109"/>
        <w:gridCol w:w="1059"/>
        <w:gridCol w:w="1194"/>
        <w:gridCol w:w="1078"/>
      </w:tblGrid>
      <w:tr w:rsidR="00610A1B" w:rsidTr="00975F51" w14:paraId="2C3FB712" w14:textId="212E9F84">
        <w:tc>
          <w:tcPr>
            <w:tcW w:w="1782" w:type="pct"/>
          </w:tcPr>
          <w:p w:rsidR="00610A1B" w:rsidP="008716F6" w:rsidRDefault="00610A1B" w14:paraId="4BAE5DAD" w14:textId="77777777">
            <w:pPr>
              <w:spacing w:after="20"/>
            </w:pPr>
          </w:p>
        </w:tc>
        <w:tc>
          <w:tcPr>
            <w:tcW w:w="518" w:type="pct"/>
          </w:tcPr>
          <w:p w:rsidR="00610A1B" w:rsidP="008716F6" w:rsidRDefault="00610A1B" w14:paraId="7B4C90E2" w14:textId="775726D4">
            <w:pPr>
              <w:spacing w:after="20"/>
            </w:pPr>
            <w:r>
              <w:t>Jun – Aug 2021</w:t>
            </w:r>
          </w:p>
        </w:tc>
        <w:tc>
          <w:tcPr>
            <w:tcW w:w="554" w:type="pct"/>
          </w:tcPr>
          <w:p w:rsidR="00610A1B" w:rsidP="008716F6" w:rsidRDefault="00610A1B" w14:paraId="435F228A" w14:textId="3C409566">
            <w:pPr>
              <w:spacing w:after="20"/>
            </w:pPr>
            <w:r>
              <w:t>Sept – Dec 2021</w:t>
            </w:r>
          </w:p>
        </w:tc>
        <w:tc>
          <w:tcPr>
            <w:tcW w:w="536" w:type="pct"/>
          </w:tcPr>
          <w:p w:rsidR="00610A1B" w:rsidP="008716F6" w:rsidRDefault="00610A1B" w14:paraId="33BCEC76" w14:textId="0B36F64B">
            <w:pPr>
              <w:spacing w:after="20"/>
            </w:pPr>
            <w:r>
              <w:t>Jan – Mar 2022</w:t>
            </w:r>
          </w:p>
        </w:tc>
        <w:tc>
          <w:tcPr>
            <w:tcW w:w="512" w:type="pct"/>
          </w:tcPr>
          <w:p w:rsidR="00610A1B" w:rsidP="008716F6" w:rsidRDefault="00610A1B" w14:paraId="71C84D05" w14:textId="78DA2071">
            <w:pPr>
              <w:spacing w:after="20"/>
            </w:pPr>
            <w:r>
              <w:t>Apr – Jun 2022</w:t>
            </w:r>
          </w:p>
        </w:tc>
        <w:tc>
          <w:tcPr>
            <w:tcW w:w="577" w:type="pct"/>
          </w:tcPr>
          <w:p w:rsidR="00610A1B" w:rsidP="008716F6" w:rsidRDefault="00610A1B" w14:paraId="190A6638" w14:textId="5D21226A">
            <w:pPr>
              <w:spacing w:after="20"/>
            </w:pPr>
            <w:r>
              <w:t>Jul – Sept 2022</w:t>
            </w:r>
          </w:p>
        </w:tc>
        <w:tc>
          <w:tcPr>
            <w:tcW w:w="521" w:type="pct"/>
          </w:tcPr>
          <w:p w:rsidRPr="00152AF5" w:rsidR="00610A1B" w:rsidP="008716F6" w:rsidRDefault="00610A1B" w14:paraId="76832BDF" w14:textId="02964C68">
            <w:pPr>
              <w:spacing w:after="20"/>
            </w:pPr>
            <w:r>
              <w:t>Oct</w:t>
            </w:r>
            <w:r w:rsidRPr="00152AF5">
              <w:t xml:space="preserve"> – </w:t>
            </w:r>
            <w:r>
              <w:t>Dec 2022</w:t>
            </w:r>
          </w:p>
        </w:tc>
      </w:tr>
      <w:tr w:rsidR="00610A1B" w:rsidTr="00975F51" w14:paraId="2843E8A0" w14:textId="629E3B4E">
        <w:tc>
          <w:tcPr>
            <w:tcW w:w="1782" w:type="pct"/>
          </w:tcPr>
          <w:p w:rsidR="00610A1B" w:rsidP="008716F6" w:rsidRDefault="00610A1B" w14:paraId="235F09ED" w14:textId="35FF472C">
            <w:pPr>
              <w:spacing w:after="20"/>
            </w:pPr>
            <w:r>
              <w:t>Benchmark Survey</w:t>
            </w:r>
          </w:p>
        </w:tc>
        <w:tc>
          <w:tcPr>
            <w:tcW w:w="518" w:type="pct"/>
          </w:tcPr>
          <w:p w:rsidR="00610A1B" w:rsidP="00975F51" w:rsidRDefault="00610A1B" w14:paraId="100CA184" w14:textId="6F90696D">
            <w:pPr>
              <w:spacing w:after="20"/>
              <w:jc w:val="center"/>
            </w:pPr>
            <w:r>
              <w:t>X</w:t>
            </w:r>
          </w:p>
        </w:tc>
        <w:tc>
          <w:tcPr>
            <w:tcW w:w="554" w:type="pct"/>
          </w:tcPr>
          <w:p w:rsidR="00610A1B" w:rsidP="00975F51" w:rsidRDefault="00610A1B" w14:paraId="4F9D0551" w14:textId="77777777">
            <w:pPr>
              <w:spacing w:after="20"/>
              <w:jc w:val="center"/>
            </w:pPr>
          </w:p>
        </w:tc>
        <w:tc>
          <w:tcPr>
            <w:tcW w:w="536" w:type="pct"/>
          </w:tcPr>
          <w:p w:rsidR="00610A1B" w:rsidP="00975F51" w:rsidRDefault="00610A1B" w14:paraId="55E1CF63" w14:textId="40EB4E66">
            <w:pPr>
              <w:spacing w:after="20"/>
              <w:jc w:val="center"/>
            </w:pPr>
          </w:p>
        </w:tc>
        <w:tc>
          <w:tcPr>
            <w:tcW w:w="512" w:type="pct"/>
          </w:tcPr>
          <w:p w:rsidR="00610A1B" w:rsidP="00975F51" w:rsidRDefault="00610A1B" w14:paraId="52DDF66F" w14:textId="77777777">
            <w:pPr>
              <w:spacing w:after="20"/>
              <w:jc w:val="center"/>
            </w:pPr>
          </w:p>
        </w:tc>
        <w:tc>
          <w:tcPr>
            <w:tcW w:w="577" w:type="pct"/>
          </w:tcPr>
          <w:p w:rsidR="00610A1B" w:rsidP="00975F51" w:rsidRDefault="00610A1B" w14:paraId="36915826" w14:textId="77777777">
            <w:pPr>
              <w:spacing w:after="20"/>
              <w:jc w:val="center"/>
            </w:pPr>
          </w:p>
        </w:tc>
        <w:tc>
          <w:tcPr>
            <w:tcW w:w="521" w:type="pct"/>
          </w:tcPr>
          <w:p w:rsidR="00610A1B" w:rsidP="008716F6" w:rsidRDefault="00610A1B" w14:paraId="6DEE9156" w14:textId="77777777">
            <w:pPr>
              <w:spacing w:after="20"/>
            </w:pPr>
          </w:p>
        </w:tc>
      </w:tr>
      <w:tr w:rsidR="00610A1B" w:rsidTr="00975F51" w14:paraId="562C5428" w14:textId="290A7C81">
        <w:tc>
          <w:tcPr>
            <w:tcW w:w="1782" w:type="pct"/>
          </w:tcPr>
          <w:p w:rsidR="00610A1B" w:rsidP="008716F6" w:rsidRDefault="00610A1B" w14:paraId="504015F8" w14:textId="346814C2">
            <w:pPr>
              <w:spacing w:after="20"/>
            </w:pPr>
            <w:r>
              <w:t>Follow-up Survey 1</w:t>
            </w:r>
          </w:p>
        </w:tc>
        <w:tc>
          <w:tcPr>
            <w:tcW w:w="518" w:type="pct"/>
          </w:tcPr>
          <w:p w:rsidR="00610A1B" w:rsidP="00975F51" w:rsidRDefault="00610A1B" w14:paraId="4597AEC0" w14:textId="3D1B9994">
            <w:pPr>
              <w:spacing w:after="20"/>
              <w:jc w:val="center"/>
            </w:pPr>
          </w:p>
        </w:tc>
        <w:tc>
          <w:tcPr>
            <w:tcW w:w="554" w:type="pct"/>
            <w:vAlign w:val="center"/>
          </w:tcPr>
          <w:p w:rsidR="00610A1B" w:rsidP="00975F51" w:rsidRDefault="00610A1B" w14:paraId="6717C58D" w14:textId="1D95FA3B">
            <w:pPr>
              <w:spacing w:after="20"/>
              <w:jc w:val="center"/>
            </w:pPr>
            <w:r>
              <w:t>X</w:t>
            </w:r>
          </w:p>
        </w:tc>
        <w:tc>
          <w:tcPr>
            <w:tcW w:w="536" w:type="pct"/>
          </w:tcPr>
          <w:p w:rsidR="00610A1B" w:rsidP="00975F51" w:rsidRDefault="00610A1B" w14:paraId="1602AF35" w14:textId="5A515957">
            <w:pPr>
              <w:spacing w:after="20"/>
              <w:jc w:val="center"/>
            </w:pPr>
          </w:p>
        </w:tc>
        <w:tc>
          <w:tcPr>
            <w:tcW w:w="512" w:type="pct"/>
          </w:tcPr>
          <w:p w:rsidR="00610A1B" w:rsidP="00975F51" w:rsidRDefault="00610A1B" w14:paraId="000836D6" w14:textId="77777777">
            <w:pPr>
              <w:spacing w:after="20"/>
              <w:jc w:val="center"/>
            </w:pPr>
          </w:p>
        </w:tc>
        <w:tc>
          <w:tcPr>
            <w:tcW w:w="577" w:type="pct"/>
          </w:tcPr>
          <w:p w:rsidR="00610A1B" w:rsidP="00975F51" w:rsidRDefault="00610A1B" w14:paraId="37F33123" w14:textId="77777777">
            <w:pPr>
              <w:spacing w:after="20"/>
              <w:jc w:val="center"/>
            </w:pPr>
          </w:p>
        </w:tc>
        <w:tc>
          <w:tcPr>
            <w:tcW w:w="521" w:type="pct"/>
          </w:tcPr>
          <w:p w:rsidR="00610A1B" w:rsidP="008716F6" w:rsidRDefault="00610A1B" w14:paraId="2A516A91" w14:textId="77777777">
            <w:pPr>
              <w:spacing w:after="20"/>
            </w:pPr>
          </w:p>
        </w:tc>
      </w:tr>
      <w:tr w:rsidR="00610A1B" w:rsidTr="00975F51" w14:paraId="318CC741" w14:textId="743FC6B7">
        <w:tc>
          <w:tcPr>
            <w:tcW w:w="1782" w:type="pct"/>
          </w:tcPr>
          <w:p w:rsidR="00610A1B" w:rsidP="008716F6" w:rsidRDefault="00610A1B" w14:paraId="69BE557F" w14:textId="46EDA689">
            <w:pPr>
              <w:spacing w:after="20"/>
            </w:pPr>
            <w:r>
              <w:lastRenderedPageBreak/>
              <w:t>Follow-up Survey 2</w:t>
            </w:r>
          </w:p>
        </w:tc>
        <w:tc>
          <w:tcPr>
            <w:tcW w:w="518" w:type="pct"/>
          </w:tcPr>
          <w:p w:rsidR="00610A1B" w:rsidP="00975F51" w:rsidRDefault="00610A1B" w14:paraId="45E2E2BF" w14:textId="26A78712">
            <w:pPr>
              <w:spacing w:after="20"/>
              <w:jc w:val="center"/>
            </w:pPr>
          </w:p>
        </w:tc>
        <w:tc>
          <w:tcPr>
            <w:tcW w:w="554" w:type="pct"/>
          </w:tcPr>
          <w:p w:rsidR="00610A1B" w:rsidP="00975F51" w:rsidRDefault="00610A1B" w14:paraId="2C218BA9" w14:textId="77777777">
            <w:pPr>
              <w:spacing w:after="20"/>
              <w:jc w:val="center"/>
            </w:pPr>
          </w:p>
        </w:tc>
        <w:tc>
          <w:tcPr>
            <w:tcW w:w="536" w:type="pct"/>
            <w:vAlign w:val="center"/>
          </w:tcPr>
          <w:p w:rsidR="00610A1B" w:rsidP="00975F51" w:rsidRDefault="00A20BB3" w14:paraId="1DF796CE" w14:textId="7DDD3A64">
            <w:pPr>
              <w:spacing w:after="20"/>
              <w:jc w:val="center"/>
            </w:pPr>
            <w:r>
              <w:t>X</w:t>
            </w:r>
          </w:p>
        </w:tc>
        <w:tc>
          <w:tcPr>
            <w:tcW w:w="512" w:type="pct"/>
          </w:tcPr>
          <w:p w:rsidR="00610A1B" w:rsidP="00975F51" w:rsidRDefault="00610A1B" w14:paraId="3E613075" w14:textId="2B15FBBA">
            <w:pPr>
              <w:spacing w:after="20"/>
              <w:jc w:val="center"/>
            </w:pPr>
          </w:p>
        </w:tc>
        <w:tc>
          <w:tcPr>
            <w:tcW w:w="577" w:type="pct"/>
          </w:tcPr>
          <w:p w:rsidR="00610A1B" w:rsidP="00975F51" w:rsidRDefault="00610A1B" w14:paraId="3F5C0224" w14:textId="77777777">
            <w:pPr>
              <w:spacing w:after="20"/>
              <w:jc w:val="center"/>
            </w:pPr>
          </w:p>
        </w:tc>
        <w:tc>
          <w:tcPr>
            <w:tcW w:w="521" w:type="pct"/>
          </w:tcPr>
          <w:p w:rsidR="00610A1B" w:rsidP="008716F6" w:rsidRDefault="00610A1B" w14:paraId="3CB6A019" w14:textId="77777777">
            <w:pPr>
              <w:spacing w:after="20"/>
            </w:pPr>
          </w:p>
        </w:tc>
      </w:tr>
      <w:tr w:rsidR="00610A1B" w:rsidTr="00975F51" w14:paraId="6FD4CEE2" w14:textId="70D96A35">
        <w:tc>
          <w:tcPr>
            <w:tcW w:w="1782" w:type="pct"/>
          </w:tcPr>
          <w:p w:rsidR="00610A1B" w:rsidP="008716F6" w:rsidRDefault="00610A1B" w14:paraId="4C6DEA22" w14:textId="6A51E92C">
            <w:pPr>
              <w:spacing w:after="20"/>
            </w:pPr>
            <w:r>
              <w:t>Follow-up Survey 3</w:t>
            </w:r>
          </w:p>
        </w:tc>
        <w:tc>
          <w:tcPr>
            <w:tcW w:w="518" w:type="pct"/>
          </w:tcPr>
          <w:p w:rsidR="00610A1B" w:rsidP="00975F51" w:rsidRDefault="00610A1B" w14:paraId="2FBBEA14" w14:textId="740F5702">
            <w:pPr>
              <w:spacing w:after="20"/>
              <w:jc w:val="center"/>
            </w:pPr>
          </w:p>
        </w:tc>
        <w:tc>
          <w:tcPr>
            <w:tcW w:w="554" w:type="pct"/>
          </w:tcPr>
          <w:p w:rsidR="00610A1B" w:rsidP="00975F51" w:rsidRDefault="00610A1B" w14:paraId="570FBEEE" w14:textId="77777777">
            <w:pPr>
              <w:spacing w:after="20"/>
              <w:jc w:val="center"/>
            </w:pPr>
          </w:p>
        </w:tc>
        <w:tc>
          <w:tcPr>
            <w:tcW w:w="536" w:type="pct"/>
          </w:tcPr>
          <w:p w:rsidR="00610A1B" w:rsidP="00975F51" w:rsidRDefault="00610A1B" w14:paraId="121C9D1C" w14:textId="48228875">
            <w:pPr>
              <w:spacing w:after="20"/>
              <w:jc w:val="center"/>
            </w:pPr>
          </w:p>
        </w:tc>
        <w:tc>
          <w:tcPr>
            <w:tcW w:w="512" w:type="pct"/>
            <w:vAlign w:val="center"/>
          </w:tcPr>
          <w:p w:rsidR="00610A1B" w:rsidP="00975F51" w:rsidRDefault="00A20BB3" w14:paraId="6EC3FD2E" w14:textId="0566C98B">
            <w:pPr>
              <w:spacing w:after="20"/>
              <w:jc w:val="center"/>
            </w:pPr>
            <w:r>
              <w:t>X</w:t>
            </w:r>
          </w:p>
        </w:tc>
        <w:tc>
          <w:tcPr>
            <w:tcW w:w="577" w:type="pct"/>
          </w:tcPr>
          <w:p w:rsidR="00610A1B" w:rsidP="00975F51" w:rsidRDefault="00610A1B" w14:paraId="4B5EFDE7" w14:textId="073B215E">
            <w:pPr>
              <w:spacing w:after="20"/>
              <w:jc w:val="center"/>
            </w:pPr>
          </w:p>
        </w:tc>
        <w:tc>
          <w:tcPr>
            <w:tcW w:w="521" w:type="pct"/>
          </w:tcPr>
          <w:p w:rsidR="00610A1B" w:rsidP="008716F6" w:rsidRDefault="00610A1B" w14:paraId="178ED2E2" w14:textId="77777777">
            <w:pPr>
              <w:spacing w:after="20"/>
            </w:pPr>
          </w:p>
        </w:tc>
      </w:tr>
      <w:tr w:rsidR="00610A1B" w:rsidTr="00975F51" w14:paraId="6B7681C5" w14:textId="36BFB026">
        <w:tc>
          <w:tcPr>
            <w:tcW w:w="1782" w:type="pct"/>
          </w:tcPr>
          <w:p w:rsidR="00610A1B" w:rsidP="008716F6" w:rsidRDefault="00610A1B" w14:paraId="3829DD7A" w14:textId="5B1AD78F">
            <w:pPr>
              <w:spacing w:after="20"/>
            </w:pPr>
            <w:r>
              <w:t>Follow-up Survey 4</w:t>
            </w:r>
          </w:p>
        </w:tc>
        <w:tc>
          <w:tcPr>
            <w:tcW w:w="518" w:type="pct"/>
          </w:tcPr>
          <w:p w:rsidR="00610A1B" w:rsidP="00975F51" w:rsidRDefault="00610A1B" w14:paraId="39225282" w14:textId="7223063C">
            <w:pPr>
              <w:spacing w:after="20"/>
              <w:jc w:val="center"/>
            </w:pPr>
          </w:p>
        </w:tc>
        <w:tc>
          <w:tcPr>
            <w:tcW w:w="554" w:type="pct"/>
          </w:tcPr>
          <w:p w:rsidR="00610A1B" w:rsidP="00975F51" w:rsidRDefault="00610A1B" w14:paraId="74C4201D" w14:textId="77777777">
            <w:pPr>
              <w:spacing w:after="20"/>
              <w:jc w:val="center"/>
            </w:pPr>
          </w:p>
        </w:tc>
        <w:tc>
          <w:tcPr>
            <w:tcW w:w="536" w:type="pct"/>
          </w:tcPr>
          <w:p w:rsidR="00610A1B" w:rsidP="00975F51" w:rsidRDefault="00610A1B" w14:paraId="2310DF0A" w14:textId="6CFDCC42">
            <w:pPr>
              <w:spacing w:after="20"/>
              <w:jc w:val="center"/>
            </w:pPr>
          </w:p>
        </w:tc>
        <w:tc>
          <w:tcPr>
            <w:tcW w:w="512" w:type="pct"/>
          </w:tcPr>
          <w:p w:rsidR="00610A1B" w:rsidP="00975F51" w:rsidRDefault="00610A1B" w14:paraId="594948B1" w14:textId="77777777">
            <w:pPr>
              <w:spacing w:after="20"/>
              <w:jc w:val="center"/>
            </w:pPr>
          </w:p>
        </w:tc>
        <w:tc>
          <w:tcPr>
            <w:tcW w:w="577" w:type="pct"/>
            <w:vAlign w:val="center"/>
          </w:tcPr>
          <w:p w:rsidR="00610A1B" w:rsidP="00975F51" w:rsidRDefault="00A20BB3" w14:paraId="41B798C1" w14:textId="534E8B19">
            <w:pPr>
              <w:spacing w:after="20"/>
              <w:jc w:val="center"/>
            </w:pPr>
            <w:r>
              <w:t>X</w:t>
            </w:r>
          </w:p>
        </w:tc>
        <w:tc>
          <w:tcPr>
            <w:tcW w:w="521" w:type="pct"/>
          </w:tcPr>
          <w:p w:rsidR="00610A1B" w:rsidP="00975F51" w:rsidRDefault="00610A1B" w14:paraId="3F89D631" w14:textId="027BBA1E">
            <w:pPr>
              <w:spacing w:after="20"/>
              <w:jc w:val="center"/>
            </w:pPr>
          </w:p>
        </w:tc>
      </w:tr>
      <w:tr w:rsidR="00610A1B" w:rsidTr="00975F51" w14:paraId="6ED9336B" w14:textId="77777777">
        <w:tc>
          <w:tcPr>
            <w:tcW w:w="1782" w:type="pct"/>
          </w:tcPr>
          <w:p w:rsidR="00610A1B" w:rsidP="008716F6" w:rsidRDefault="00610A1B" w14:paraId="4880B309" w14:textId="602FE91F">
            <w:pPr>
              <w:spacing w:after="20"/>
            </w:pPr>
            <w:r>
              <w:t>Audience Feedback Team Recruitment</w:t>
            </w:r>
          </w:p>
        </w:tc>
        <w:tc>
          <w:tcPr>
            <w:tcW w:w="518" w:type="pct"/>
          </w:tcPr>
          <w:p w:rsidR="00610A1B" w:rsidP="00975F51" w:rsidRDefault="00610A1B" w14:paraId="0C613B2A" w14:textId="6393CF78">
            <w:pPr>
              <w:spacing w:after="20"/>
              <w:jc w:val="center"/>
            </w:pPr>
            <w:r>
              <w:t>X</w:t>
            </w:r>
          </w:p>
        </w:tc>
        <w:tc>
          <w:tcPr>
            <w:tcW w:w="554" w:type="pct"/>
          </w:tcPr>
          <w:p w:rsidR="00610A1B" w:rsidP="008716F6" w:rsidRDefault="00610A1B" w14:paraId="09276B0A" w14:textId="77777777">
            <w:pPr>
              <w:spacing w:after="20"/>
            </w:pPr>
          </w:p>
        </w:tc>
        <w:tc>
          <w:tcPr>
            <w:tcW w:w="536" w:type="pct"/>
          </w:tcPr>
          <w:p w:rsidR="00610A1B" w:rsidP="008716F6" w:rsidRDefault="00610A1B" w14:paraId="48421BA0" w14:textId="38232341">
            <w:pPr>
              <w:spacing w:after="20"/>
            </w:pPr>
          </w:p>
        </w:tc>
        <w:tc>
          <w:tcPr>
            <w:tcW w:w="512" w:type="pct"/>
          </w:tcPr>
          <w:p w:rsidR="00610A1B" w:rsidP="008716F6" w:rsidRDefault="00610A1B" w14:paraId="2B2A9D6C" w14:textId="77777777">
            <w:pPr>
              <w:spacing w:after="20"/>
            </w:pPr>
          </w:p>
        </w:tc>
        <w:tc>
          <w:tcPr>
            <w:tcW w:w="577" w:type="pct"/>
            <w:vAlign w:val="center"/>
          </w:tcPr>
          <w:p w:rsidR="00610A1B" w:rsidP="00152AF5" w:rsidRDefault="00610A1B" w14:paraId="1CE5F8FA" w14:textId="77777777">
            <w:pPr>
              <w:spacing w:after="20"/>
              <w:jc w:val="right"/>
            </w:pPr>
          </w:p>
        </w:tc>
        <w:tc>
          <w:tcPr>
            <w:tcW w:w="521" w:type="pct"/>
          </w:tcPr>
          <w:p w:rsidR="00610A1B" w:rsidP="008716F6" w:rsidRDefault="00610A1B" w14:paraId="3D8D3FE6" w14:textId="77777777">
            <w:pPr>
              <w:spacing w:after="20"/>
            </w:pPr>
          </w:p>
        </w:tc>
      </w:tr>
      <w:tr w:rsidR="00610A1B" w:rsidTr="00975F51" w14:paraId="50F73905" w14:textId="77777777">
        <w:tc>
          <w:tcPr>
            <w:tcW w:w="1782" w:type="pct"/>
          </w:tcPr>
          <w:p w:rsidR="00610A1B" w:rsidP="008716F6" w:rsidRDefault="00610A1B" w14:paraId="5ECA3C20" w14:textId="03821080">
            <w:pPr>
              <w:spacing w:after="20"/>
            </w:pPr>
            <w:r>
              <w:t>Audience Feedback Team Activities</w:t>
            </w:r>
          </w:p>
        </w:tc>
        <w:tc>
          <w:tcPr>
            <w:tcW w:w="518" w:type="pct"/>
          </w:tcPr>
          <w:p w:rsidR="00610A1B" w:rsidP="00975F51" w:rsidRDefault="00610A1B" w14:paraId="0F71919D" w14:textId="62ED678E">
            <w:pPr>
              <w:spacing w:after="20"/>
              <w:jc w:val="center"/>
            </w:pPr>
            <w:r>
              <w:t>1, 2</w:t>
            </w:r>
          </w:p>
        </w:tc>
        <w:tc>
          <w:tcPr>
            <w:tcW w:w="554" w:type="pct"/>
          </w:tcPr>
          <w:p w:rsidR="00610A1B" w:rsidP="00975F51" w:rsidRDefault="00610A1B" w14:paraId="12EBDC6D" w14:textId="132C76D3">
            <w:pPr>
              <w:spacing w:after="20"/>
              <w:jc w:val="center"/>
            </w:pPr>
            <w:r>
              <w:t>3, 4</w:t>
            </w:r>
          </w:p>
        </w:tc>
        <w:tc>
          <w:tcPr>
            <w:tcW w:w="536" w:type="pct"/>
          </w:tcPr>
          <w:p w:rsidR="00610A1B" w:rsidP="00975F51" w:rsidRDefault="00610A1B" w14:paraId="7D73F166" w14:textId="77F230DC">
            <w:pPr>
              <w:spacing w:after="20"/>
              <w:jc w:val="center"/>
            </w:pPr>
            <w:r>
              <w:t>5, 6</w:t>
            </w:r>
          </w:p>
        </w:tc>
        <w:tc>
          <w:tcPr>
            <w:tcW w:w="512" w:type="pct"/>
          </w:tcPr>
          <w:p w:rsidR="00610A1B" w:rsidP="00975F51" w:rsidRDefault="00610A1B" w14:paraId="6400D1E9" w14:textId="0E9D5913">
            <w:pPr>
              <w:spacing w:after="20"/>
              <w:jc w:val="center"/>
            </w:pPr>
            <w:r>
              <w:t>7, 8</w:t>
            </w:r>
          </w:p>
        </w:tc>
        <w:tc>
          <w:tcPr>
            <w:tcW w:w="577" w:type="pct"/>
          </w:tcPr>
          <w:p w:rsidR="00610A1B" w:rsidP="00975F51" w:rsidRDefault="00610A1B" w14:paraId="0E81BB3A" w14:textId="5504AB94">
            <w:pPr>
              <w:spacing w:after="20"/>
              <w:jc w:val="center"/>
            </w:pPr>
            <w:r>
              <w:t>9, 10</w:t>
            </w:r>
          </w:p>
        </w:tc>
        <w:tc>
          <w:tcPr>
            <w:tcW w:w="521" w:type="pct"/>
          </w:tcPr>
          <w:p w:rsidR="00610A1B" w:rsidP="00975F51" w:rsidRDefault="00610A1B" w14:paraId="21F862E9" w14:textId="2CDDD36C">
            <w:pPr>
              <w:spacing w:after="20"/>
              <w:jc w:val="center"/>
            </w:pPr>
            <w:r>
              <w:t>11, 12</w:t>
            </w:r>
          </w:p>
        </w:tc>
      </w:tr>
    </w:tbl>
    <w:p w:rsidRPr="00113647" w:rsidR="002C4725" w:rsidP="008716F6" w:rsidRDefault="002C4725" w14:paraId="7C364AFF" w14:textId="77777777">
      <w:pPr>
        <w:spacing w:after="20"/>
      </w:pPr>
    </w:p>
    <w:p w:rsidR="00383E96" w:rsidP="008716F6" w:rsidRDefault="00383E96" w14:paraId="1D00DF44" w14:textId="77777777">
      <w:pPr>
        <w:spacing w:after="20"/>
        <w:rPr>
          <w:b/>
        </w:rPr>
      </w:pPr>
    </w:p>
    <w:p w:rsidRPr="00113647" w:rsidR="00713CF8" w:rsidP="008716F6" w:rsidRDefault="00713CF8" w14:paraId="6E544D17" w14:textId="36E8D359">
      <w:pPr>
        <w:spacing w:after="20"/>
        <w:rPr>
          <w:b/>
        </w:rPr>
      </w:pPr>
      <w:r w:rsidRPr="00113647">
        <w:rPr>
          <w:b/>
        </w:rPr>
        <w:t>A.17 Reason(s) Display of OMB Expiration Date is Inappropriate</w:t>
      </w:r>
    </w:p>
    <w:p w:rsidRPr="00113647" w:rsidR="00713CF8" w:rsidP="008716F6" w:rsidRDefault="00713CF8" w14:paraId="331E5FB8" w14:textId="3AF2E998">
      <w:pPr>
        <w:spacing w:after="20"/>
      </w:pPr>
      <w:r w:rsidRPr="00113647">
        <w:t>We are not requesting an exemption to the display of the OMB Expiration date.</w:t>
      </w:r>
      <w:r w:rsidR="00D269CB">
        <w:t xml:space="preserve"> </w:t>
      </w:r>
      <w:r w:rsidR="00C95E31">
        <w:t>All data collection instruments</w:t>
      </w:r>
      <w:r w:rsidR="00D269CB">
        <w:t xml:space="preserve"> will display </w:t>
      </w:r>
      <w:r w:rsidR="00A33412">
        <w:t>the OMB number and expiration date</w:t>
      </w:r>
      <w:r w:rsidR="00785C7D">
        <w:t xml:space="preserve">. </w:t>
      </w:r>
    </w:p>
    <w:p w:rsidRPr="00113647" w:rsidR="00713CF8" w:rsidP="008716F6" w:rsidRDefault="00713CF8" w14:paraId="2F4AF321" w14:textId="77777777">
      <w:pPr>
        <w:spacing w:after="20"/>
      </w:pPr>
    </w:p>
    <w:p w:rsidRPr="00113647" w:rsidR="00713CF8" w:rsidP="00713CF8" w:rsidRDefault="00713CF8" w14:paraId="695E184B" w14:textId="77777777">
      <w:pPr>
        <w:spacing w:after="20"/>
        <w:rPr>
          <w:b/>
        </w:rPr>
      </w:pPr>
      <w:r w:rsidRPr="00113647">
        <w:rPr>
          <w:b/>
        </w:rPr>
        <w:t>A.18 Exceptions to Certification for Paperwork Reduction Act Submissions</w:t>
      </w:r>
    </w:p>
    <w:p w:rsidRPr="00ED1560" w:rsidR="00990709" w:rsidP="6E762579" w:rsidRDefault="0087173D" w14:paraId="41EA8B08" w14:textId="55B43834">
      <w:pPr>
        <w:spacing w:after="20"/>
        <w:rPr>
          <w:sz w:val="24"/>
          <w:szCs w:val="24"/>
        </w:rPr>
      </w:pPr>
      <w:r>
        <w:t>This</w:t>
      </w:r>
      <w:r w:rsidR="00A20BB3">
        <w:t xml:space="preserve"> Emergency Clearance</w:t>
      </w:r>
      <w:r>
        <w:t xml:space="preserve"> </w:t>
      </w:r>
      <w:r w:rsidR="00A20BB3">
        <w:t xml:space="preserve">data collection request </w:t>
      </w:r>
      <w:r>
        <w:t>will comply with the requirements in 5 CFR 1320.9.</w:t>
      </w:r>
    </w:p>
    <w:sectPr w:rsidRPr="00ED1560" w:rsidR="00990709"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2A7C" w14:textId="77777777" w:rsidR="003E0DF8" w:rsidRDefault="003E0DF8" w:rsidP="005676C6">
      <w:pPr>
        <w:spacing w:after="0" w:line="240" w:lineRule="auto"/>
      </w:pPr>
      <w:r>
        <w:separator/>
      </w:r>
    </w:p>
  </w:endnote>
  <w:endnote w:type="continuationSeparator" w:id="0">
    <w:p w14:paraId="2AF5D3A5" w14:textId="77777777" w:rsidR="003E0DF8" w:rsidRDefault="003E0DF8" w:rsidP="005676C6">
      <w:pPr>
        <w:spacing w:after="0" w:line="240" w:lineRule="auto"/>
      </w:pPr>
      <w:r>
        <w:continuationSeparator/>
      </w:r>
    </w:p>
  </w:endnote>
  <w:endnote w:type="continuationNotice" w:id="1">
    <w:p w14:paraId="2E4AB4E7" w14:textId="77777777" w:rsidR="003E0DF8" w:rsidRDefault="003E0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0DE5B" w14:textId="77777777" w:rsidR="003E0DF8" w:rsidRDefault="003E0DF8" w:rsidP="005676C6">
      <w:pPr>
        <w:spacing w:after="0" w:line="240" w:lineRule="auto"/>
      </w:pPr>
      <w:r>
        <w:separator/>
      </w:r>
    </w:p>
  </w:footnote>
  <w:footnote w:type="continuationSeparator" w:id="0">
    <w:p w14:paraId="494ACA7C" w14:textId="77777777" w:rsidR="003E0DF8" w:rsidRDefault="003E0DF8" w:rsidP="005676C6">
      <w:pPr>
        <w:spacing w:after="0" w:line="240" w:lineRule="auto"/>
      </w:pPr>
      <w:r>
        <w:continuationSeparator/>
      </w:r>
    </w:p>
  </w:footnote>
  <w:footnote w:type="continuationNotice" w:id="1">
    <w:p w14:paraId="19CDFA5F" w14:textId="77777777" w:rsidR="003E0DF8" w:rsidRDefault="003E0DF8">
      <w:pPr>
        <w:spacing w:after="0" w:line="240" w:lineRule="auto"/>
      </w:pPr>
    </w:p>
  </w:footnote>
  <w:footnote w:id="2">
    <w:p w14:paraId="6A9464EB" w14:textId="04F7BAC8" w:rsidR="00B7457F" w:rsidRDefault="00B7457F">
      <w:pPr>
        <w:pStyle w:val="FootnoteText"/>
      </w:pPr>
      <w:r>
        <w:rPr>
          <w:rStyle w:val="FootnoteReference"/>
        </w:rPr>
        <w:footnoteRef/>
      </w:r>
      <w:r>
        <w:t xml:space="preserve"> </w:t>
      </w:r>
      <w:r w:rsidRPr="006E03BC">
        <w:t>Rupert D, Poehlman J, Hayes J, Ray S, Moultrie R. Virtual Versus In-Person Focus Groups: Comparison of Costs, Recruitment, and Participant Logistics. J Med Internet Res 2017;19(3):e80. DOI: 10.2196/jmir.6980</w:t>
      </w:r>
    </w:p>
  </w:footnote>
  <w:footnote w:id="3">
    <w:p w14:paraId="795A5F66" w14:textId="365FDCDC" w:rsidR="00B133F6" w:rsidRDefault="00B133F6">
      <w:pPr>
        <w:pStyle w:val="FootnoteText"/>
      </w:pPr>
      <w:r>
        <w:rPr>
          <w:rStyle w:val="FootnoteReference"/>
        </w:rPr>
        <w:footnoteRef/>
      </w:r>
      <w:r>
        <w:t xml:space="preserve"> </w:t>
      </w:r>
      <w:r w:rsidR="003F5832">
        <w:t xml:space="preserve"> Namey E, Guest G, O’Regan A, Godwin CL, Taylor J, Martinez A. How Does Mode of Qualitative Data Collection Affect Data and Cost? Findings from a Quasi-experimental Study. Field Methods. 2020;32(1):58-74. doi:10.1177/1525822X19886839.</w:t>
      </w:r>
    </w:p>
  </w:footnote>
  <w:footnote w:id="4">
    <w:p w14:paraId="77D2002C" w14:textId="12AFF7AF" w:rsidR="009E2E47" w:rsidRDefault="009E2E47">
      <w:pPr>
        <w:pStyle w:val="FootnoteText"/>
      </w:pPr>
      <w:r>
        <w:rPr>
          <w:rStyle w:val="FootnoteReference"/>
        </w:rPr>
        <w:footnoteRef/>
      </w:r>
      <w:r>
        <w:t xml:space="preserve"> Rupert et al., 2017.</w:t>
      </w:r>
    </w:p>
  </w:footnote>
  <w:footnote w:id="5">
    <w:p w14:paraId="28BE0F12" w14:textId="4DA6B634" w:rsidR="00CE27C1" w:rsidRDefault="00CE27C1">
      <w:pPr>
        <w:pStyle w:val="FootnoteText"/>
      </w:pPr>
      <w:r>
        <w:rPr>
          <w:rStyle w:val="FootnoteReference"/>
        </w:rPr>
        <w:footnoteRef/>
      </w:r>
      <w:r>
        <w:t xml:space="preserve"> </w:t>
      </w:r>
      <w:r w:rsidRPr="00CE27C1">
        <w:t>Daniels N, Gillen P, Casson K, Wilson I. STEER: Factors to Consider When Designing Online Focus Groups Using Audiovisual Technology in Health Research. International Journal of Qualitative Methods. January 2019.</w:t>
      </w:r>
      <w:r>
        <w:t xml:space="preserve"> </w:t>
      </w:r>
      <w:r w:rsidRPr="00CE27C1">
        <w:t>doi:10.1177/1609406919885786</w:t>
      </w:r>
    </w:p>
  </w:footnote>
  <w:footnote w:id="6">
    <w:p w14:paraId="4DF3168B" w14:textId="2B0359A7" w:rsidR="32E20528" w:rsidRPr="00555C19" w:rsidRDefault="32E20528" w:rsidP="00555C19">
      <w:pPr>
        <w:pStyle w:val="NoSpacing"/>
        <w:rPr>
          <w:rStyle w:val="normaltextrun"/>
          <w:color w:val="000000" w:themeColor="text1"/>
          <w:sz w:val="20"/>
          <w:szCs w:val="20"/>
        </w:rPr>
      </w:pPr>
      <w:r w:rsidRPr="00555C19">
        <w:rPr>
          <w:rStyle w:val="FootnoteReference"/>
          <w:sz w:val="20"/>
          <w:szCs w:val="20"/>
        </w:rPr>
        <w:footnoteRef/>
      </w:r>
      <w:r w:rsidRPr="00555C19">
        <w:rPr>
          <w:sz w:val="20"/>
          <w:szCs w:val="20"/>
        </w:rPr>
        <w:t xml:space="preserve"> Kelly, B., Margolis, M., McCormack, L., LeBaron, P. A., &amp; Chowdhury, D. (2017).  What Affects People’s Willingness to Participate in Qualitative Research? An Experimental Comparison of Five Incentives.  Field Methods, 29(4), 333–350. https://doi.org/10.1177/1525822X17698958</w:t>
      </w:r>
    </w:p>
  </w:footnote>
  <w:footnote w:id="7">
    <w:p w14:paraId="3C151966" w14:textId="7EDF0E67" w:rsidR="007F205F" w:rsidRDefault="00E45EE8">
      <w:pPr>
        <w:pStyle w:val="FootnoteText"/>
      </w:pPr>
      <w:r>
        <w:rPr>
          <w:rStyle w:val="FootnoteReference"/>
        </w:rPr>
        <w:footnoteRef/>
      </w:r>
      <w:r>
        <w:t xml:space="preserve"> </w:t>
      </w:r>
      <w:r w:rsidR="00936324">
        <w:t xml:space="preserve">Care.com 2020 Cost of Care Survey, </w:t>
      </w:r>
      <w:r w:rsidR="00531462">
        <w:t xml:space="preserve">retrieved </w:t>
      </w:r>
      <w:r w:rsidR="007F205F">
        <w:t xml:space="preserve">4/29/21 from </w:t>
      </w:r>
      <w:hyperlink r:id="rId1" w:history="1">
        <w:r w:rsidR="007F205F" w:rsidRPr="0026770A">
          <w:rPr>
            <w:rStyle w:val="Hyperlink"/>
          </w:rPr>
          <w:t>https://www.care.com/c/stories/10278/what-to-charge-for-child-care-jobs-child-care-job-guide/</w:t>
        </w:r>
      </w:hyperlink>
      <w:r w:rsidR="007F205F">
        <w:t>.</w:t>
      </w:r>
    </w:p>
  </w:footnote>
  <w:footnote w:id="8">
    <w:p w14:paraId="420CB2A5" w14:textId="77777777" w:rsidR="68AEFEDF" w:rsidRDefault="68AEFEDF" w:rsidP="00503A19">
      <w:pPr>
        <w:pStyle w:val="NoSpacing"/>
      </w:pPr>
      <w:r w:rsidRPr="006E03BC">
        <w:rPr>
          <w:rStyle w:val="FootnoteReference"/>
          <w:sz w:val="20"/>
          <w:szCs w:val="20"/>
        </w:rPr>
        <w:footnoteRef/>
      </w:r>
      <w:r w:rsidR="576A39C8" w:rsidRPr="006E03BC">
        <w:rPr>
          <w:sz w:val="20"/>
          <w:szCs w:val="20"/>
        </w:rPr>
        <w:t xml:space="preserve"> Rupert D</w:t>
      </w:r>
      <w:r w:rsidR="00B7457F">
        <w:rPr>
          <w:sz w:val="20"/>
          <w:szCs w:val="20"/>
        </w:rPr>
        <w:t xml:space="preserve"> et al., 2017.</w:t>
      </w:r>
    </w:p>
  </w:footnote>
  <w:footnote w:id="9">
    <w:p w14:paraId="0B3C6AC8" w14:textId="73996BD4" w:rsidR="00951419" w:rsidRDefault="00951419">
      <w:pPr>
        <w:pStyle w:val="FootnoteText"/>
      </w:pPr>
      <w:r>
        <w:rPr>
          <w:rStyle w:val="FootnoteReference"/>
        </w:rPr>
        <w:footnoteRef/>
      </w:r>
      <w:r>
        <w:t xml:space="preserve"> </w:t>
      </w:r>
      <w:r w:rsidR="005113A2">
        <w:t>Kelley et al., 2017.</w:t>
      </w:r>
    </w:p>
  </w:footnote>
  <w:footnote w:id="10">
    <w:p w14:paraId="2B8B553F" w14:textId="32F0DB68" w:rsidR="00601583" w:rsidRDefault="00601583">
      <w:pPr>
        <w:pStyle w:val="FootnoteText"/>
      </w:pPr>
      <w:r>
        <w:rPr>
          <w:rStyle w:val="FootnoteReference"/>
        </w:rPr>
        <w:footnoteRef/>
      </w:r>
      <w:r>
        <w:t xml:space="preserve"> See also:</w:t>
      </w:r>
      <w:r w:rsidR="006A6D1A">
        <w:t xml:space="preserve"> OMB Control No. 0925</w:t>
      </w:r>
      <w:r w:rsidR="004573E9">
        <w:t xml:space="preserve">-0648, </w:t>
      </w:r>
      <w:r w:rsidR="00FE39ED" w:rsidRPr="00FE39ED">
        <w:t>ICR Reference No: 202104-0925-001</w:t>
      </w:r>
      <w:r w:rsidR="004F0320">
        <w:t xml:space="preserve">, Information Collection ID: </w:t>
      </w:r>
      <w:r w:rsidR="00E85ED2">
        <w:t>241908, entitled “</w:t>
      </w:r>
      <w:r w:rsidR="00A51BEE">
        <w:t>Focus Groups with the General Public to Test Understanding and Resonance of Temporomandibular Disorders Brochure</w:t>
      </w:r>
      <w:r w:rsidR="00F17872">
        <w:t xml:space="preserve"> (NIDCR)</w:t>
      </w:r>
      <w:r w:rsidR="00A51BEE">
        <w:t>.”</w:t>
      </w:r>
    </w:p>
  </w:footnote>
  <w:footnote w:id="11">
    <w:p w14:paraId="785F90A2" w14:textId="7D4B26D9" w:rsidR="00D72142" w:rsidRDefault="00D72142">
      <w:pPr>
        <w:pStyle w:val="FootnoteText"/>
      </w:pPr>
      <w:r>
        <w:rPr>
          <w:rStyle w:val="FootnoteReference"/>
        </w:rPr>
        <w:footnoteRef/>
      </w:r>
      <w:r>
        <w:t xml:space="preserve"> </w:t>
      </w:r>
      <w:r w:rsidRPr="00D72142">
        <w:t>Smith, M.G., Witte, M., Rocha, S. et al. Effectiveness of incentives and follow-up on increasing survey response rates and participation in field studies. BMC Med Res Methodol 19, 230 (2019). https://doi.org/10.1186/s12874-019-0868-8</w:t>
      </w:r>
    </w:p>
  </w:footnote>
  <w:footnote w:id="12">
    <w:p w14:paraId="02CECB97" w14:textId="6BEA06FF" w:rsidR="00FA22E5" w:rsidRDefault="00FA22E5">
      <w:pPr>
        <w:pStyle w:val="FootnoteText"/>
      </w:pPr>
      <w:r>
        <w:rPr>
          <w:rStyle w:val="FootnoteReference"/>
        </w:rPr>
        <w:footnoteRef/>
      </w:r>
      <w:r>
        <w:t xml:space="preserve"> </w:t>
      </w:r>
      <w:r w:rsidRPr="00FA22E5">
        <w:t>Noel H, Huang AR. The Effect of Varying Incentive Amounts on Physician Survey Response. Evaluation &amp; the Health Professions. 2019;42(1):71-81. doi:10.1177/0163278718809844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C67"/>
    <w:multiLevelType w:val="hybridMultilevel"/>
    <w:tmpl w:val="20282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D35C7"/>
    <w:multiLevelType w:val="hybridMultilevel"/>
    <w:tmpl w:val="7F7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814A4"/>
    <w:multiLevelType w:val="hybridMultilevel"/>
    <w:tmpl w:val="0C50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33725CF3"/>
    <w:multiLevelType w:val="hybridMultilevel"/>
    <w:tmpl w:val="4034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819FD"/>
    <w:multiLevelType w:val="hybridMultilevel"/>
    <w:tmpl w:val="414A275C"/>
    <w:lvl w:ilvl="0" w:tplc="468A9FEA">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159CC"/>
    <w:multiLevelType w:val="hybridMultilevel"/>
    <w:tmpl w:val="768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06052"/>
    <w:multiLevelType w:val="hybridMultilevel"/>
    <w:tmpl w:val="B9685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322F3"/>
    <w:multiLevelType w:val="hybridMultilevel"/>
    <w:tmpl w:val="01FA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140C0"/>
    <w:multiLevelType w:val="hybridMultilevel"/>
    <w:tmpl w:val="EF6A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F4F40"/>
    <w:multiLevelType w:val="multilevel"/>
    <w:tmpl w:val="FB86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2"/>
  </w:num>
  <w:num w:numId="4">
    <w:abstractNumId w:val="12"/>
  </w:num>
  <w:num w:numId="5">
    <w:abstractNumId w:val="4"/>
  </w:num>
  <w:num w:numId="6">
    <w:abstractNumId w:val="0"/>
  </w:num>
  <w:num w:numId="7">
    <w:abstractNumId w:val="3"/>
  </w:num>
  <w:num w:numId="8">
    <w:abstractNumId w:val="7"/>
  </w:num>
  <w:num w:numId="9">
    <w:abstractNumId w:val="1"/>
  </w:num>
  <w:num w:numId="10">
    <w:abstractNumId w:val="6"/>
  </w:num>
  <w:num w:numId="11">
    <w:abstractNumId w:val="8"/>
  </w:num>
  <w:num w:numId="12">
    <w:abstractNumId w:val="10"/>
  </w:num>
  <w:num w:numId="13">
    <w:abstractNumId w:val="1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0B45"/>
    <w:rsid w:val="00002266"/>
    <w:rsid w:val="00003BE1"/>
    <w:rsid w:val="00005857"/>
    <w:rsid w:val="00005FC2"/>
    <w:rsid w:val="00006A56"/>
    <w:rsid w:val="00007986"/>
    <w:rsid w:val="00017E87"/>
    <w:rsid w:val="00020605"/>
    <w:rsid w:val="000210EA"/>
    <w:rsid w:val="000213ED"/>
    <w:rsid w:val="000260DA"/>
    <w:rsid w:val="00031EE6"/>
    <w:rsid w:val="00033EF3"/>
    <w:rsid w:val="000357A3"/>
    <w:rsid w:val="00036EFD"/>
    <w:rsid w:val="00042E7E"/>
    <w:rsid w:val="00043AE2"/>
    <w:rsid w:val="00044971"/>
    <w:rsid w:val="000508E5"/>
    <w:rsid w:val="00051753"/>
    <w:rsid w:val="00057A71"/>
    <w:rsid w:val="00057C98"/>
    <w:rsid w:val="000609FF"/>
    <w:rsid w:val="00063133"/>
    <w:rsid w:val="00063927"/>
    <w:rsid w:val="00063DC1"/>
    <w:rsid w:val="00066FA6"/>
    <w:rsid w:val="00070864"/>
    <w:rsid w:val="00070FED"/>
    <w:rsid w:val="00074C7A"/>
    <w:rsid w:val="00075825"/>
    <w:rsid w:val="00077AF5"/>
    <w:rsid w:val="00077D58"/>
    <w:rsid w:val="000928E2"/>
    <w:rsid w:val="00092FE3"/>
    <w:rsid w:val="000952AA"/>
    <w:rsid w:val="00096667"/>
    <w:rsid w:val="000968DD"/>
    <w:rsid w:val="00097D64"/>
    <w:rsid w:val="000A083A"/>
    <w:rsid w:val="000A2F17"/>
    <w:rsid w:val="000A5366"/>
    <w:rsid w:val="000A5D4D"/>
    <w:rsid w:val="000A7221"/>
    <w:rsid w:val="000A7755"/>
    <w:rsid w:val="000A796F"/>
    <w:rsid w:val="000B1F9C"/>
    <w:rsid w:val="000B47A2"/>
    <w:rsid w:val="000B4C09"/>
    <w:rsid w:val="000B501B"/>
    <w:rsid w:val="000B6255"/>
    <w:rsid w:val="000C0683"/>
    <w:rsid w:val="000C099E"/>
    <w:rsid w:val="000C29F7"/>
    <w:rsid w:val="000C64F5"/>
    <w:rsid w:val="000D0489"/>
    <w:rsid w:val="000D0A7B"/>
    <w:rsid w:val="000D263A"/>
    <w:rsid w:val="000D35DA"/>
    <w:rsid w:val="000E4688"/>
    <w:rsid w:val="000E6226"/>
    <w:rsid w:val="000E6B61"/>
    <w:rsid w:val="000F08BD"/>
    <w:rsid w:val="000F1370"/>
    <w:rsid w:val="000F17F6"/>
    <w:rsid w:val="000F3E62"/>
    <w:rsid w:val="000F4429"/>
    <w:rsid w:val="000F48CB"/>
    <w:rsid w:val="000F528B"/>
    <w:rsid w:val="000F6064"/>
    <w:rsid w:val="000F7916"/>
    <w:rsid w:val="0010086A"/>
    <w:rsid w:val="00103791"/>
    <w:rsid w:val="0010711E"/>
    <w:rsid w:val="00113647"/>
    <w:rsid w:val="00113D5F"/>
    <w:rsid w:val="00120F4E"/>
    <w:rsid w:val="0012177F"/>
    <w:rsid w:val="00121D7C"/>
    <w:rsid w:val="0012546F"/>
    <w:rsid w:val="00126C80"/>
    <w:rsid w:val="001308E6"/>
    <w:rsid w:val="00131622"/>
    <w:rsid w:val="00134FFC"/>
    <w:rsid w:val="0013622F"/>
    <w:rsid w:val="00140292"/>
    <w:rsid w:val="00141F59"/>
    <w:rsid w:val="001429C9"/>
    <w:rsid w:val="001435DE"/>
    <w:rsid w:val="00144CAE"/>
    <w:rsid w:val="0014560F"/>
    <w:rsid w:val="00152AF5"/>
    <w:rsid w:val="001539A6"/>
    <w:rsid w:val="00154200"/>
    <w:rsid w:val="001558BF"/>
    <w:rsid w:val="00155A1F"/>
    <w:rsid w:val="00155D3A"/>
    <w:rsid w:val="0016069E"/>
    <w:rsid w:val="00161482"/>
    <w:rsid w:val="001677AA"/>
    <w:rsid w:val="00167BC3"/>
    <w:rsid w:val="00171FD9"/>
    <w:rsid w:val="00172BB3"/>
    <w:rsid w:val="00172C52"/>
    <w:rsid w:val="00173DB7"/>
    <w:rsid w:val="00175A9B"/>
    <w:rsid w:val="00175FFD"/>
    <w:rsid w:val="00176514"/>
    <w:rsid w:val="00177466"/>
    <w:rsid w:val="00180D75"/>
    <w:rsid w:val="0018103B"/>
    <w:rsid w:val="001816DC"/>
    <w:rsid w:val="00182F0F"/>
    <w:rsid w:val="0018338B"/>
    <w:rsid w:val="00185105"/>
    <w:rsid w:val="00186D8A"/>
    <w:rsid w:val="00186E2E"/>
    <w:rsid w:val="00187422"/>
    <w:rsid w:val="001912CB"/>
    <w:rsid w:val="001916BE"/>
    <w:rsid w:val="001A0BFE"/>
    <w:rsid w:val="001B1324"/>
    <w:rsid w:val="001B3C5E"/>
    <w:rsid w:val="001C0D25"/>
    <w:rsid w:val="001C1468"/>
    <w:rsid w:val="001C1DC2"/>
    <w:rsid w:val="001C20ED"/>
    <w:rsid w:val="001C29FF"/>
    <w:rsid w:val="001C2D62"/>
    <w:rsid w:val="001C52EE"/>
    <w:rsid w:val="001C6EF7"/>
    <w:rsid w:val="001D10D2"/>
    <w:rsid w:val="001D2362"/>
    <w:rsid w:val="001D2741"/>
    <w:rsid w:val="001D36FC"/>
    <w:rsid w:val="001E1BED"/>
    <w:rsid w:val="001E3759"/>
    <w:rsid w:val="001F05F6"/>
    <w:rsid w:val="001F1E2F"/>
    <w:rsid w:val="001F2541"/>
    <w:rsid w:val="001F2A16"/>
    <w:rsid w:val="001F6002"/>
    <w:rsid w:val="001F6A91"/>
    <w:rsid w:val="00201661"/>
    <w:rsid w:val="00203525"/>
    <w:rsid w:val="00205BEC"/>
    <w:rsid w:val="00205FD5"/>
    <w:rsid w:val="002065DB"/>
    <w:rsid w:val="0021543C"/>
    <w:rsid w:val="002169F8"/>
    <w:rsid w:val="0022119A"/>
    <w:rsid w:val="002218CB"/>
    <w:rsid w:val="002233AA"/>
    <w:rsid w:val="002234F1"/>
    <w:rsid w:val="0022545E"/>
    <w:rsid w:val="002256E6"/>
    <w:rsid w:val="00227168"/>
    <w:rsid w:val="00227F9B"/>
    <w:rsid w:val="00230131"/>
    <w:rsid w:val="002315AC"/>
    <w:rsid w:val="0023236A"/>
    <w:rsid w:val="00235A19"/>
    <w:rsid w:val="00235BF6"/>
    <w:rsid w:val="00236425"/>
    <w:rsid w:val="00236DA8"/>
    <w:rsid w:val="00237829"/>
    <w:rsid w:val="00237AD4"/>
    <w:rsid w:val="00242D6C"/>
    <w:rsid w:val="00242F5D"/>
    <w:rsid w:val="00260214"/>
    <w:rsid w:val="002662B4"/>
    <w:rsid w:val="00270884"/>
    <w:rsid w:val="002711E0"/>
    <w:rsid w:val="00271776"/>
    <w:rsid w:val="00271B60"/>
    <w:rsid w:val="00271F8D"/>
    <w:rsid w:val="002727A9"/>
    <w:rsid w:val="00273125"/>
    <w:rsid w:val="00273E4C"/>
    <w:rsid w:val="00274954"/>
    <w:rsid w:val="002759A5"/>
    <w:rsid w:val="002871F0"/>
    <w:rsid w:val="002904A3"/>
    <w:rsid w:val="0029112F"/>
    <w:rsid w:val="00291F91"/>
    <w:rsid w:val="00292B2B"/>
    <w:rsid w:val="002957F2"/>
    <w:rsid w:val="00295F8A"/>
    <w:rsid w:val="00296A1C"/>
    <w:rsid w:val="002A3A66"/>
    <w:rsid w:val="002B193F"/>
    <w:rsid w:val="002B28C1"/>
    <w:rsid w:val="002B4B4F"/>
    <w:rsid w:val="002B5226"/>
    <w:rsid w:val="002B5A84"/>
    <w:rsid w:val="002B66A2"/>
    <w:rsid w:val="002C0542"/>
    <w:rsid w:val="002C1C86"/>
    <w:rsid w:val="002C1D97"/>
    <w:rsid w:val="002C4725"/>
    <w:rsid w:val="002C698E"/>
    <w:rsid w:val="002D1210"/>
    <w:rsid w:val="002D29C6"/>
    <w:rsid w:val="002D31EE"/>
    <w:rsid w:val="002D6289"/>
    <w:rsid w:val="002D7854"/>
    <w:rsid w:val="002E50BC"/>
    <w:rsid w:val="002E5B05"/>
    <w:rsid w:val="002F1808"/>
    <w:rsid w:val="002F3354"/>
    <w:rsid w:val="002F66F4"/>
    <w:rsid w:val="00300380"/>
    <w:rsid w:val="00300F2C"/>
    <w:rsid w:val="00300F31"/>
    <w:rsid w:val="003042E6"/>
    <w:rsid w:val="00314E2A"/>
    <w:rsid w:val="003226C1"/>
    <w:rsid w:val="00322ABF"/>
    <w:rsid w:val="00325196"/>
    <w:rsid w:val="003278FA"/>
    <w:rsid w:val="003304B6"/>
    <w:rsid w:val="00330E82"/>
    <w:rsid w:val="00331B96"/>
    <w:rsid w:val="0033216F"/>
    <w:rsid w:val="00334C40"/>
    <w:rsid w:val="00335215"/>
    <w:rsid w:val="003354DC"/>
    <w:rsid w:val="00335AFE"/>
    <w:rsid w:val="00336D39"/>
    <w:rsid w:val="00337657"/>
    <w:rsid w:val="003409D5"/>
    <w:rsid w:val="00340B81"/>
    <w:rsid w:val="00341BD3"/>
    <w:rsid w:val="003432D2"/>
    <w:rsid w:val="00344683"/>
    <w:rsid w:val="0034525E"/>
    <w:rsid w:val="00350296"/>
    <w:rsid w:val="00352CD7"/>
    <w:rsid w:val="00353E99"/>
    <w:rsid w:val="0035439F"/>
    <w:rsid w:val="00354E80"/>
    <w:rsid w:val="00356650"/>
    <w:rsid w:val="003571E0"/>
    <w:rsid w:val="00357C78"/>
    <w:rsid w:val="00357D4A"/>
    <w:rsid w:val="00360C01"/>
    <w:rsid w:val="003629AC"/>
    <w:rsid w:val="00362F49"/>
    <w:rsid w:val="003632CB"/>
    <w:rsid w:val="00363BEB"/>
    <w:rsid w:val="00364258"/>
    <w:rsid w:val="003658D4"/>
    <w:rsid w:val="00366414"/>
    <w:rsid w:val="00367CB0"/>
    <w:rsid w:val="003738D1"/>
    <w:rsid w:val="00374A7D"/>
    <w:rsid w:val="003826DD"/>
    <w:rsid w:val="00382B75"/>
    <w:rsid w:val="00383BDC"/>
    <w:rsid w:val="00383E96"/>
    <w:rsid w:val="0038712D"/>
    <w:rsid w:val="00390CF7"/>
    <w:rsid w:val="0039393F"/>
    <w:rsid w:val="00395820"/>
    <w:rsid w:val="00395EA3"/>
    <w:rsid w:val="003A14DC"/>
    <w:rsid w:val="003A1B1F"/>
    <w:rsid w:val="003A1C76"/>
    <w:rsid w:val="003A3F86"/>
    <w:rsid w:val="003A58B1"/>
    <w:rsid w:val="003A7F7F"/>
    <w:rsid w:val="003B4B70"/>
    <w:rsid w:val="003B73AC"/>
    <w:rsid w:val="003C116E"/>
    <w:rsid w:val="003C3260"/>
    <w:rsid w:val="003C4756"/>
    <w:rsid w:val="003C687E"/>
    <w:rsid w:val="003D32E2"/>
    <w:rsid w:val="003D40E9"/>
    <w:rsid w:val="003D43B1"/>
    <w:rsid w:val="003E0DF8"/>
    <w:rsid w:val="003E18A3"/>
    <w:rsid w:val="003E2950"/>
    <w:rsid w:val="003E71D4"/>
    <w:rsid w:val="003E73C0"/>
    <w:rsid w:val="003F03E4"/>
    <w:rsid w:val="003F0620"/>
    <w:rsid w:val="003F09A0"/>
    <w:rsid w:val="003F0A28"/>
    <w:rsid w:val="003F2553"/>
    <w:rsid w:val="003F5832"/>
    <w:rsid w:val="003F7395"/>
    <w:rsid w:val="0040282E"/>
    <w:rsid w:val="004059A3"/>
    <w:rsid w:val="00411E17"/>
    <w:rsid w:val="004132F3"/>
    <w:rsid w:val="00413459"/>
    <w:rsid w:val="00413822"/>
    <w:rsid w:val="0041503B"/>
    <w:rsid w:val="004157CE"/>
    <w:rsid w:val="00422DC7"/>
    <w:rsid w:val="004247B5"/>
    <w:rsid w:val="00425C12"/>
    <w:rsid w:val="00430E04"/>
    <w:rsid w:val="004409C0"/>
    <w:rsid w:val="00441F6A"/>
    <w:rsid w:val="00444199"/>
    <w:rsid w:val="00446BA0"/>
    <w:rsid w:val="00446FAD"/>
    <w:rsid w:val="00447431"/>
    <w:rsid w:val="004573E9"/>
    <w:rsid w:val="00461A5C"/>
    <w:rsid w:val="00464A96"/>
    <w:rsid w:val="0046633D"/>
    <w:rsid w:val="00466834"/>
    <w:rsid w:val="00475242"/>
    <w:rsid w:val="00477A48"/>
    <w:rsid w:val="00477A8E"/>
    <w:rsid w:val="00480469"/>
    <w:rsid w:val="004808BF"/>
    <w:rsid w:val="00484721"/>
    <w:rsid w:val="00485C94"/>
    <w:rsid w:val="00486E64"/>
    <w:rsid w:val="00493A55"/>
    <w:rsid w:val="00493F35"/>
    <w:rsid w:val="00497BCC"/>
    <w:rsid w:val="004A23C3"/>
    <w:rsid w:val="004A3B08"/>
    <w:rsid w:val="004A6197"/>
    <w:rsid w:val="004B0078"/>
    <w:rsid w:val="004B3C21"/>
    <w:rsid w:val="004B4C8B"/>
    <w:rsid w:val="004B7665"/>
    <w:rsid w:val="004B7F33"/>
    <w:rsid w:val="004C41AB"/>
    <w:rsid w:val="004C4675"/>
    <w:rsid w:val="004C4B7A"/>
    <w:rsid w:val="004C52CF"/>
    <w:rsid w:val="004D0A9B"/>
    <w:rsid w:val="004D211A"/>
    <w:rsid w:val="004D2AD6"/>
    <w:rsid w:val="004D3719"/>
    <w:rsid w:val="004D5131"/>
    <w:rsid w:val="004D5D6C"/>
    <w:rsid w:val="004D6327"/>
    <w:rsid w:val="004D9CBF"/>
    <w:rsid w:val="004E176F"/>
    <w:rsid w:val="004E73FA"/>
    <w:rsid w:val="004F0320"/>
    <w:rsid w:val="004F0833"/>
    <w:rsid w:val="004F1EC2"/>
    <w:rsid w:val="004F1F39"/>
    <w:rsid w:val="004F324B"/>
    <w:rsid w:val="004F3D82"/>
    <w:rsid w:val="004F41DF"/>
    <w:rsid w:val="004F51AA"/>
    <w:rsid w:val="004F668A"/>
    <w:rsid w:val="005038BD"/>
    <w:rsid w:val="00503A19"/>
    <w:rsid w:val="00504891"/>
    <w:rsid w:val="00504E28"/>
    <w:rsid w:val="005058B5"/>
    <w:rsid w:val="00506985"/>
    <w:rsid w:val="00506DA7"/>
    <w:rsid w:val="0050712E"/>
    <w:rsid w:val="005073F1"/>
    <w:rsid w:val="005113A2"/>
    <w:rsid w:val="00512428"/>
    <w:rsid w:val="005161E1"/>
    <w:rsid w:val="00516707"/>
    <w:rsid w:val="005169EC"/>
    <w:rsid w:val="00526022"/>
    <w:rsid w:val="0052659F"/>
    <w:rsid w:val="00531462"/>
    <w:rsid w:val="0053207B"/>
    <w:rsid w:val="00533162"/>
    <w:rsid w:val="00534B5A"/>
    <w:rsid w:val="00542D18"/>
    <w:rsid w:val="00546286"/>
    <w:rsid w:val="00547CA8"/>
    <w:rsid w:val="005517E7"/>
    <w:rsid w:val="00551B2D"/>
    <w:rsid w:val="00554F59"/>
    <w:rsid w:val="00555107"/>
    <w:rsid w:val="00555C19"/>
    <w:rsid w:val="005562EB"/>
    <w:rsid w:val="00557097"/>
    <w:rsid w:val="005634C6"/>
    <w:rsid w:val="00564857"/>
    <w:rsid w:val="00564ADF"/>
    <w:rsid w:val="00564CA5"/>
    <w:rsid w:val="00564E63"/>
    <w:rsid w:val="00565250"/>
    <w:rsid w:val="00565A33"/>
    <w:rsid w:val="005665EB"/>
    <w:rsid w:val="00566B59"/>
    <w:rsid w:val="005676C6"/>
    <w:rsid w:val="00570600"/>
    <w:rsid w:val="00573BAB"/>
    <w:rsid w:val="00574AA3"/>
    <w:rsid w:val="00575206"/>
    <w:rsid w:val="00575282"/>
    <w:rsid w:val="00575F5B"/>
    <w:rsid w:val="005818D9"/>
    <w:rsid w:val="0058227B"/>
    <w:rsid w:val="00583ED9"/>
    <w:rsid w:val="0058584F"/>
    <w:rsid w:val="005868BD"/>
    <w:rsid w:val="00586D7F"/>
    <w:rsid w:val="00587A3B"/>
    <w:rsid w:val="00591F34"/>
    <w:rsid w:val="00592A4F"/>
    <w:rsid w:val="00592EE8"/>
    <w:rsid w:val="00593583"/>
    <w:rsid w:val="00595D1E"/>
    <w:rsid w:val="00596191"/>
    <w:rsid w:val="005975D9"/>
    <w:rsid w:val="00597AF9"/>
    <w:rsid w:val="005A1ADE"/>
    <w:rsid w:val="005A214A"/>
    <w:rsid w:val="005A3050"/>
    <w:rsid w:val="005A5A0C"/>
    <w:rsid w:val="005A63B5"/>
    <w:rsid w:val="005B3D20"/>
    <w:rsid w:val="005B45F2"/>
    <w:rsid w:val="005B4741"/>
    <w:rsid w:val="005B5526"/>
    <w:rsid w:val="005B5E5B"/>
    <w:rsid w:val="005B7168"/>
    <w:rsid w:val="005C1E59"/>
    <w:rsid w:val="005C3C64"/>
    <w:rsid w:val="005C5F7F"/>
    <w:rsid w:val="005C63D3"/>
    <w:rsid w:val="005D36D3"/>
    <w:rsid w:val="005D5A8F"/>
    <w:rsid w:val="005D6FD4"/>
    <w:rsid w:val="005E025D"/>
    <w:rsid w:val="005E1C2F"/>
    <w:rsid w:val="005E2D23"/>
    <w:rsid w:val="005E7712"/>
    <w:rsid w:val="005E79C5"/>
    <w:rsid w:val="005E7F74"/>
    <w:rsid w:val="005F3994"/>
    <w:rsid w:val="005F39D0"/>
    <w:rsid w:val="005F5A3F"/>
    <w:rsid w:val="005F693E"/>
    <w:rsid w:val="006009C5"/>
    <w:rsid w:val="00601583"/>
    <w:rsid w:val="00601B85"/>
    <w:rsid w:val="00605401"/>
    <w:rsid w:val="00610779"/>
    <w:rsid w:val="00610A1B"/>
    <w:rsid w:val="00612EB6"/>
    <w:rsid w:val="006145C1"/>
    <w:rsid w:val="00620840"/>
    <w:rsid w:val="006214FB"/>
    <w:rsid w:val="006233B6"/>
    <w:rsid w:val="0062427E"/>
    <w:rsid w:val="00624B32"/>
    <w:rsid w:val="00626A3E"/>
    <w:rsid w:val="00627060"/>
    <w:rsid w:val="006305DB"/>
    <w:rsid w:val="006351CB"/>
    <w:rsid w:val="00635BF2"/>
    <w:rsid w:val="00641FD8"/>
    <w:rsid w:val="00644292"/>
    <w:rsid w:val="00647BFC"/>
    <w:rsid w:val="00650837"/>
    <w:rsid w:val="00654602"/>
    <w:rsid w:val="00655C23"/>
    <w:rsid w:val="006621B9"/>
    <w:rsid w:val="006630D5"/>
    <w:rsid w:val="00663BA0"/>
    <w:rsid w:val="00663F75"/>
    <w:rsid w:val="0066443F"/>
    <w:rsid w:val="0066471F"/>
    <w:rsid w:val="00666FB6"/>
    <w:rsid w:val="0067009F"/>
    <w:rsid w:val="00671BE9"/>
    <w:rsid w:val="006725AB"/>
    <w:rsid w:val="006755FD"/>
    <w:rsid w:val="00675FA9"/>
    <w:rsid w:val="00677A59"/>
    <w:rsid w:val="006825BB"/>
    <w:rsid w:val="00683265"/>
    <w:rsid w:val="006854FC"/>
    <w:rsid w:val="00685791"/>
    <w:rsid w:val="00687733"/>
    <w:rsid w:val="0069025C"/>
    <w:rsid w:val="00692583"/>
    <w:rsid w:val="00693A83"/>
    <w:rsid w:val="00693E70"/>
    <w:rsid w:val="00695204"/>
    <w:rsid w:val="0069619F"/>
    <w:rsid w:val="006974BB"/>
    <w:rsid w:val="006A271E"/>
    <w:rsid w:val="006A4877"/>
    <w:rsid w:val="006A538E"/>
    <w:rsid w:val="006A6D1A"/>
    <w:rsid w:val="006B13B4"/>
    <w:rsid w:val="006B18F4"/>
    <w:rsid w:val="006B2ACE"/>
    <w:rsid w:val="006B4007"/>
    <w:rsid w:val="006B6C7E"/>
    <w:rsid w:val="006C17E3"/>
    <w:rsid w:val="006C2794"/>
    <w:rsid w:val="006C2A99"/>
    <w:rsid w:val="006C3FA4"/>
    <w:rsid w:val="006C4B13"/>
    <w:rsid w:val="006C538F"/>
    <w:rsid w:val="006D07C5"/>
    <w:rsid w:val="006D44FA"/>
    <w:rsid w:val="006D4924"/>
    <w:rsid w:val="006D6BE0"/>
    <w:rsid w:val="006E4077"/>
    <w:rsid w:val="006E4D73"/>
    <w:rsid w:val="006E5503"/>
    <w:rsid w:val="006E5647"/>
    <w:rsid w:val="006E622F"/>
    <w:rsid w:val="006E7628"/>
    <w:rsid w:val="006E7974"/>
    <w:rsid w:val="006E7E81"/>
    <w:rsid w:val="006F3226"/>
    <w:rsid w:val="006F44F1"/>
    <w:rsid w:val="006F4D1C"/>
    <w:rsid w:val="006F7AFA"/>
    <w:rsid w:val="006F7BA4"/>
    <w:rsid w:val="00703033"/>
    <w:rsid w:val="00703977"/>
    <w:rsid w:val="00710679"/>
    <w:rsid w:val="00713CF8"/>
    <w:rsid w:val="00716532"/>
    <w:rsid w:val="00721703"/>
    <w:rsid w:val="00724882"/>
    <w:rsid w:val="00725E97"/>
    <w:rsid w:val="00726BA6"/>
    <w:rsid w:val="00727BFA"/>
    <w:rsid w:val="0073057E"/>
    <w:rsid w:val="0074014A"/>
    <w:rsid w:val="00740F9D"/>
    <w:rsid w:val="00741F60"/>
    <w:rsid w:val="00742EC8"/>
    <w:rsid w:val="007467DD"/>
    <w:rsid w:val="007500B8"/>
    <w:rsid w:val="00750A40"/>
    <w:rsid w:val="00750E60"/>
    <w:rsid w:val="00751773"/>
    <w:rsid w:val="007523E6"/>
    <w:rsid w:val="00753249"/>
    <w:rsid w:val="007546F6"/>
    <w:rsid w:val="007558EB"/>
    <w:rsid w:val="00761C06"/>
    <w:rsid w:val="00762CFB"/>
    <w:rsid w:val="00763DEE"/>
    <w:rsid w:val="00765D62"/>
    <w:rsid w:val="0077208D"/>
    <w:rsid w:val="00774FEB"/>
    <w:rsid w:val="007840CE"/>
    <w:rsid w:val="0078543F"/>
    <w:rsid w:val="007856BC"/>
    <w:rsid w:val="00785C7D"/>
    <w:rsid w:val="00785EB6"/>
    <w:rsid w:val="00786ED8"/>
    <w:rsid w:val="00791007"/>
    <w:rsid w:val="00791668"/>
    <w:rsid w:val="0079784E"/>
    <w:rsid w:val="007A2DA7"/>
    <w:rsid w:val="007A393E"/>
    <w:rsid w:val="007B2C59"/>
    <w:rsid w:val="007B6FBB"/>
    <w:rsid w:val="007C0046"/>
    <w:rsid w:val="007C3087"/>
    <w:rsid w:val="007C338C"/>
    <w:rsid w:val="007D0D1A"/>
    <w:rsid w:val="007D19AD"/>
    <w:rsid w:val="007D3181"/>
    <w:rsid w:val="007D3666"/>
    <w:rsid w:val="007D66AD"/>
    <w:rsid w:val="007E31F6"/>
    <w:rsid w:val="007E3E57"/>
    <w:rsid w:val="007F0201"/>
    <w:rsid w:val="007F1E88"/>
    <w:rsid w:val="007F205F"/>
    <w:rsid w:val="007F257F"/>
    <w:rsid w:val="007F4689"/>
    <w:rsid w:val="007F5A02"/>
    <w:rsid w:val="007F5A32"/>
    <w:rsid w:val="00801DB0"/>
    <w:rsid w:val="00804145"/>
    <w:rsid w:val="00807487"/>
    <w:rsid w:val="00816C0A"/>
    <w:rsid w:val="00816C32"/>
    <w:rsid w:val="00824327"/>
    <w:rsid w:val="00824953"/>
    <w:rsid w:val="00827D70"/>
    <w:rsid w:val="0083047B"/>
    <w:rsid w:val="008324C3"/>
    <w:rsid w:val="008366E6"/>
    <w:rsid w:val="008371DE"/>
    <w:rsid w:val="00837CBF"/>
    <w:rsid w:val="00843293"/>
    <w:rsid w:val="00847542"/>
    <w:rsid w:val="008529CC"/>
    <w:rsid w:val="00857A6E"/>
    <w:rsid w:val="0086112F"/>
    <w:rsid w:val="008623DC"/>
    <w:rsid w:val="00863EC0"/>
    <w:rsid w:val="00864ADE"/>
    <w:rsid w:val="00866117"/>
    <w:rsid w:val="00866AB8"/>
    <w:rsid w:val="00866DF9"/>
    <w:rsid w:val="008716F6"/>
    <w:rsid w:val="0087173D"/>
    <w:rsid w:val="0087517E"/>
    <w:rsid w:val="00882E84"/>
    <w:rsid w:val="00883AC1"/>
    <w:rsid w:val="00891095"/>
    <w:rsid w:val="008923FC"/>
    <w:rsid w:val="0089448E"/>
    <w:rsid w:val="00894F23"/>
    <w:rsid w:val="00894F5B"/>
    <w:rsid w:val="00896422"/>
    <w:rsid w:val="00896BD3"/>
    <w:rsid w:val="0089756F"/>
    <w:rsid w:val="00897D34"/>
    <w:rsid w:val="008B682E"/>
    <w:rsid w:val="008B6BF3"/>
    <w:rsid w:val="008C0FFA"/>
    <w:rsid w:val="008C4DB8"/>
    <w:rsid w:val="008D068D"/>
    <w:rsid w:val="008D12B2"/>
    <w:rsid w:val="008D2195"/>
    <w:rsid w:val="008D6113"/>
    <w:rsid w:val="008D6D7E"/>
    <w:rsid w:val="008D74AC"/>
    <w:rsid w:val="008D7E5A"/>
    <w:rsid w:val="008E5FAD"/>
    <w:rsid w:val="008F06B1"/>
    <w:rsid w:val="008F0E54"/>
    <w:rsid w:val="008F156B"/>
    <w:rsid w:val="008F3759"/>
    <w:rsid w:val="008F700C"/>
    <w:rsid w:val="008F71DD"/>
    <w:rsid w:val="00901544"/>
    <w:rsid w:val="00902EFE"/>
    <w:rsid w:val="00903330"/>
    <w:rsid w:val="00906777"/>
    <w:rsid w:val="00907E64"/>
    <w:rsid w:val="00911789"/>
    <w:rsid w:val="00911EF1"/>
    <w:rsid w:val="009150D6"/>
    <w:rsid w:val="00916AA5"/>
    <w:rsid w:val="009178A4"/>
    <w:rsid w:val="00924521"/>
    <w:rsid w:val="00927024"/>
    <w:rsid w:val="00935BEF"/>
    <w:rsid w:val="00935D29"/>
    <w:rsid w:val="00936324"/>
    <w:rsid w:val="00940337"/>
    <w:rsid w:val="00941E01"/>
    <w:rsid w:val="00942DB8"/>
    <w:rsid w:val="0094317A"/>
    <w:rsid w:val="009434AF"/>
    <w:rsid w:val="00943768"/>
    <w:rsid w:val="00944ABD"/>
    <w:rsid w:val="00950D46"/>
    <w:rsid w:val="00951419"/>
    <w:rsid w:val="009514E9"/>
    <w:rsid w:val="00951505"/>
    <w:rsid w:val="00952436"/>
    <w:rsid w:val="009537F2"/>
    <w:rsid w:val="00953B2E"/>
    <w:rsid w:val="009541B6"/>
    <w:rsid w:val="009547DF"/>
    <w:rsid w:val="00954B71"/>
    <w:rsid w:val="00965F63"/>
    <w:rsid w:val="00967DFE"/>
    <w:rsid w:val="009709F3"/>
    <w:rsid w:val="00971877"/>
    <w:rsid w:val="009718A5"/>
    <w:rsid w:val="00971937"/>
    <w:rsid w:val="00971E99"/>
    <w:rsid w:val="00973686"/>
    <w:rsid w:val="00973B96"/>
    <w:rsid w:val="00974140"/>
    <w:rsid w:val="009742A6"/>
    <w:rsid w:val="009744B6"/>
    <w:rsid w:val="009746BF"/>
    <w:rsid w:val="00975F51"/>
    <w:rsid w:val="00977638"/>
    <w:rsid w:val="00980E66"/>
    <w:rsid w:val="009845B8"/>
    <w:rsid w:val="00986EB8"/>
    <w:rsid w:val="0099001D"/>
    <w:rsid w:val="00990709"/>
    <w:rsid w:val="00996A91"/>
    <w:rsid w:val="00996B84"/>
    <w:rsid w:val="009A09A4"/>
    <w:rsid w:val="009A2C68"/>
    <w:rsid w:val="009A35A4"/>
    <w:rsid w:val="009B00D2"/>
    <w:rsid w:val="009B071F"/>
    <w:rsid w:val="009B21E2"/>
    <w:rsid w:val="009C5CE7"/>
    <w:rsid w:val="009D147C"/>
    <w:rsid w:val="009D1939"/>
    <w:rsid w:val="009D3666"/>
    <w:rsid w:val="009D4F5C"/>
    <w:rsid w:val="009D5A55"/>
    <w:rsid w:val="009D66D7"/>
    <w:rsid w:val="009E2E47"/>
    <w:rsid w:val="009E3BBE"/>
    <w:rsid w:val="009E4BE5"/>
    <w:rsid w:val="009E70EF"/>
    <w:rsid w:val="009F4546"/>
    <w:rsid w:val="00A004B4"/>
    <w:rsid w:val="00A01AB7"/>
    <w:rsid w:val="00A05B33"/>
    <w:rsid w:val="00A0654C"/>
    <w:rsid w:val="00A066A6"/>
    <w:rsid w:val="00A10716"/>
    <w:rsid w:val="00A145EB"/>
    <w:rsid w:val="00A17DDD"/>
    <w:rsid w:val="00A20133"/>
    <w:rsid w:val="00A20BB3"/>
    <w:rsid w:val="00A21273"/>
    <w:rsid w:val="00A22078"/>
    <w:rsid w:val="00A220B9"/>
    <w:rsid w:val="00A249EE"/>
    <w:rsid w:val="00A24DA1"/>
    <w:rsid w:val="00A2740D"/>
    <w:rsid w:val="00A33412"/>
    <w:rsid w:val="00A34ACB"/>
    <w:rsid w:val="00A41F9B"/>
    <w:rsid w:val="00A430E5"/>
    <w:rsid w:val="00A453DD"/>
    <w:rsid w:val="00A46801"/>
    <w:rsid w:val="00A46ABE"/>
    <w:rsid w:val="00A476D0"/>
    <w:rsid w:val="00A51BEE"/>
    <w:rsid w:val="00A5530F"/>
    <w:rsid w:val="00A56484"/>
    <w:rsid w:val="00A5706E"/>
    <w:rsid w:val="00A61A6C"/>
    <w:rsid w:val="00A61F11"/>
    <w:rsid w:val="00A622DA"/>
    <w:rsid w:val="00A7007A"/>
    <w:rsid w:val="00A72836"/>
    <w:rsid w:val="00A72D9D"/>
    <w:rsid w:val="00A7313D"/>
    <w:rsid w:val="00A73BEB"/>
    <w:rsid w:val="00A74631"/>
    <w:rsid w:val="00A75A5C"/>
    <w:rsid w:val="00A75AF9"/>
    <w:rsid w:val="00A77830"/>
    <w:rsid w:val="00A80553"/>
    <w:rsid w:val="00A844A2"/>
    <w:rsid w:val="00A84969"/>
    <w:rsid w:val="00A85EFB"/>
    <w:rsid w:val="00A86222"/>
    <w:rsid w:val="00A86C2F"/>
    <w:rsid w:val="00A87BEA"/>
    <w:rsid w:val="00A9297F"/>
    <w:rsid w:val="00A97E4C"/>
    <w:rsid w:val="00AA2C88"/>
    <w:rsid w:val="00AA355D"/>
    <w:rsid w:val="00AA7CB3"/>
    <w:rsid w:val="00AB092A"/>
    <w:rsid w:val="00AB3529"/>
    <w:rsid w:val="00AB60E0"/>
    <w:rsid w:val="00AB68E7"/>
    <w:rsid w:val="00AB6C7B"/>
    <w:rsid w:val="00AC0C3E"/>
    <w:rsid w:val="00AC113B"/>
    <w:rsid w:val="00AC394F"/>
    <w:rsid w:val="00AC6A60"/>
    <w:rsid w:val="00AD20F7"/>
    <w:rsid w:val="00AD2B1B"/>
    <w:rsid w:val="00AD5C49"/>
    <w:rsid w:val="00AD7197"/>
    <w:rsid w:val="00AD7BAB"/>
    <w:rsid w:val="00AE1B45"/>
    <w:rsid w:val="00AE6B05"/>
    <w:rsid w:val="00AF01AD"/>
    <w:rsid w:val="00AF03FE"/>
    <w:rsid w:val="00B014A0"/>
    <w:rsid w:val="00B0345C"/>
    <w:rsid w:val="00B12173"/>
    <w:rsid w:val="00B121B1"/>
    <w:rsid w:val="00B12FBF"/>
    <w:rsid w:val="00B133F6"/>
    <w:rsid w:val="00B13CB2"/>
    <w:rsid w:val="00B14D1B"/>
    <w:rsid w:val="00B20D87"/>
    <w:rsid w:val="00B2271F"/>
    <w:rsid w:val="00B25537"/>
    <w:rsid w:val="00B26AB4"/>
    <w:rsid w:val="00B3003F"/>
    <w:rsid w:val="00B315EB"/>
    <w:rsid w:val="00B3298A"/>
    <w:rsid w:val="00B35EEE"/>
    <w:rsid w:val="00B41687"/>
    <w:rsid w:val="00B42D37"/>
    <w:rsid w:val="00B43FD2"/>
    <w:rsid w:val="00B463C8"/>
    <w:rsid w:val="00B5159A"/>
    <w:rsid w:val="00B51B84"/>
    <w:rsid w:val="00B52F6D"/>
    <w:rsid w:val="00B538BB"/>
    <w:rsid w:val="00B54215"/>
    <w:rsid w:val="00B55277"/>
    <w:rsid w:val="00B557B6"/>
    <w:rsid w:val="00B575BB"/>
    <w:rsid w:val="00B60FAF"/>
    <w:rsid w:val="00B61266"/>
    <w:rsid w:val="00B630C5"/>
    <w:rsid w:val="00B668E3"/>
    <w:rsid w:val="00B6780B"/>
    <w:rsid w:val="00B70410"/>
    <w:rsid w:val="00B732AC"/>
    <w:rsid w:val="00B7457F"/>
    <w:rsid w:val="00B764B8"/>
    <w:rsid w:val="00B84F2F"/>
    <w:rsid w:val="00B85E54"/>
    <w:rsid w:val="00B918C9"/>
    <w:rsid w:val="00B92B9C"/>
    <w:rsid w:val="00B92CC7"/>
    <w:rsid w:val="00B93477"/>
    <w:rsid w:val="00B945AD"/>
    <w:rsid w:val="00B97CC8"/>
    <w:rsid w:val="00BA2279"/>
    <w:rsid w:val="00BA4434"/>
    <w:rsid w:val="00BA4F9C"/>
    <w:rsid w:val="00BA74DD"/>
    <w:rsid w:val="00BB00C9"/>
    <w:rsid w:val="00BB07D1"/>
    <w:rsid w:val="00BB0DA8"/>
    <w:rsid w:val="00BB14C2"/>
    <w:rsid w:val="00BB182F"/>
    <w:rsid w:val="00BB41D9"/>
    <w:rsid w:val="00BB5667"/>
    <w:rsid w:val="00BB69A4"/>
    <w:rsid w:val="00BB7115"/>
    <w:rsid w:val="00BC088C"/>
    <w:rsid w:val="00BC6361"/>
    <w:rsid w:val="00BC7509"/>
    <w:rsid w:val="00BD4DEB"/>
    <w:rsid w:val="00BD6BAD"/>
    <w:rsid w:val="00BD6E39"/>
    <w:rsid w:val="00BE135A"/>
    <w:rsid w:val="00BE197D"/>
    <w:rsid w:val="00BE303D"/>
    <w:rsid w:val="00BE7AEB"/>
    <w:rsid w:val="00BF388F"/>
    <w:rsid w:val="00BF6D00"/>
    <w:rsid w:val="00C0501F"/>
    <w:rsid w:val="00C066F3"/>
    <w:rsid w:val="00C10839"/>
    <w:rsid w:val="00C13895"/>
    <w:rsid w:val="00C13CF7"/>
    <w:rsid w:val="00C14BBD"/>
    <w:rsid w:val="00C22041"/>
    <w:rsid w:val="00C25A6E"/>
    <w:rsid w:val="00C27FD9"/>
    <w:rsid w:val="00C326D0"/>
    <w:rsid w:val="00C334F3"/>
    <w:rsid w:val="00C347B1"/>
    <w:rsid w:val="00C3661B"/>
    <w:rsid w:val="00C37287"/>
    <w:rsid w:val="00C41903"/>
    <w:rsid w:val="00C448D8"/>
    <w:rsid w:val="00C44FF0"/>
    <w:rsid w:val="00C451E2"/>
    <w:rsid w:val="00C465FF"/>
    <w:rsid w:val="00C46E22"/>
    <w:rsid w:val="00C51BB3"/>
    <w:rsid w:val="00C52916"/>
    <w:rsid w:val="00C53D9D"/>
    <w:rsid w:val="00C55693"/>
    <w:rsid w:val="00C67510"/>
    <w:rsid w:val="00C7391A"/>
    <w:rsid w:val="00C74DEE"/>
    <w:rsid w:val="00C75517"/>
    <w:rsid w:val="00C76A23"/>
    <w:rsid w:val="00C8019E"/>
    <w:rsid w:val="00C8155D"/>
    <w:rsid w:val="00C84846"/>
    <w:rsid w:val="00C87F56"/>
    <w:rsid w:val="00C911D0"/>
    <w:rsid w:val="00C92033"/>
    <w:rsid w:val="00C95821"/>
    <w:rsid w:val="00C95E31"/>
    <w:rsid w:val="00CA54C3"/>
    <w:rsid w:val="00CA5623"/>
    <w:rsid w:val="00CA71D9"/>
    <w:rsid w:val="00CB0B64"/>
    <w:rsid w:val="00CB2332"/>
    <w:rsid w:val="00CB4C39"/>
    <w:rsid w:val="00CB63F0"/>
    <w:rsid w:val="00CC04F1"/>
    <w:rsid w:val="00CC2AB7"/>
    <w:rsid w:val="00CC3230"/>
    <w:rsid w:val="00CC32B1"/>
    <w:rsid w:val="00CC38FB"/>
    <w:rsid w:val="00CC6831"/>
    <w:rsid w:val="00CD1AFF"/>
    <w:rsid w:val="00CD4E87"/>
    <w:rsid w:val="00CD5E92"/>
    <w:rsid w:val="00CE27C1"/>
    <w:rsid w:val="00CE2807"/>
    <w:rsid w:val="00CE5448"/>
    <w:rsid w:val="00CE70E7"/>
    <w:rsid w:val="00CE7474"/>
    <w:rsid w:val="00CE7787"/>
    <w:rsid w:val="00CF11D8"/>
    <w:rsid w:val="00CF165A"/>
    <w:rsid w:val="00CF1726"/>
    <w:rsid w:val="00CF6930"/>
    <w:rsid w:val="00CF7981"/>
    <w:rsid w:val="00D01EDF"/>
    <w:rsid w:val="00D05FA9"/>
    <w:rsid w:val="00D11CE9"/>
    <w:rsid w:val="00D1495D"/>
    <w:rsid w:val="00D14B35"/>
    <w:rsid w:val="00D158EF"/>
    <w:rsid w:val="00D20E58"/>
    <w:rsid w:val="00D2158D"/>
    <w:rsid w:val="00D227F3"/>
    <w:rsid w:val="00D25803"/>
    <w:rsid w:val="00D269CB"/>
    <w:rsid w:val="00D31195"/>
    <w:rsid w:val="00D318F6"/>
    <w:rsid w:val="00D31D73"/>
    <w:rsid w:val="00D35882"/>
    <w:rsid w:val="00D36481"/>
    <w:rsid w:val="00D427D7"/>
    <w:rsid w:val="00D45A58"/>
    <w:rsid w:val="00D45F78"/>
    <w:rsid w:val="00D4601D"/>
    <w:rsid w:val="00D52984"/>
    <w:rsid w:val="00D5439D"/>
    <w:rsid w:val="00D549C4"/>
    <w:rsid w:val="00D54C90"/>
    <w:rsid w:val="00D605CF"/>
    <w:rsid w:val="00D6099F"/>
    <w:rsid w:val="00D61C93"/>
    <w:rsid w:val="00D64BD6"/>
    <w:rsid w:val="00D66400"/>
    <w:rsid w:val="00D6672B"/>
    <w:rsid w:val="00D667F8"/>
    <w:rsid w:val="00D67FBB"/>
    <w:rsid w:val="00D72137"/>
    <w:rsid w:val="00D72142"/>
    <w:rsid w:val="00D729DB"/>
    <w:rsid w:val="00D76BF0"/>
    <w:rsid w:val="00D7759A"/>
    <w:rsid w:val="00D8081E"/>
    <w:rsid w:val="00D84693"/>
    <w:rsid w:val="00D84708"/>
    <w:rsid w:val="00D85A7B"/>
    <w:rsid w:val="00D85BAA"/>
    <w:rsid w:val="00D9130A"/>
    <w:rsid w:val="00D91523"/>
    <w:rsid w:val="00D92059"/>
    <w:rsid w:val="00D920B8"/>
    <w:rsid w:val="00D93A60"/>
    <w:rsid w:val="00D9770A"/>
    <w:rsid w:val="00DA1F1B"/>
    <w:rsid w:val="00DA604A"/>
    <w:rsid w:val="00DA6E65"/>
    <w:rsid w:val="00DB27F3"/>
    <w:rsid w:val="00DB33E2"/>
    <w:rsid w:val="00DB58EE"/>
    <w:rsid w:val="00DB7070"/>
    <w:rsid w:val="00DB78AE"/>
    <w:rsid w:val="00DC5D0A"/>
    <w:rsid w:val="00DC771A"/>
    <w:rsid w:val="00DD1F52"/>
    <w:rsid w:val="00DD4262"/>
    <w:rsid w:val="00DE12DC"/>
    <w:rsid w:val="00DE1B7C"/>
    <w:rsid w:val="00DE1EB6"/>
    <w:rsid w:val="00DE3A7C"/>
    <w:rsid w:val="00DE3E5B"/>
    <w:rsid w:val="00DF1F19"/>
    <w:rsid w:val="00DF6124"/>
    <w:rsid w:val="00DF61AC"/>
    <w:rsid w:val="00DF660F"/>
    <w:rsid w:val="00DF7647"/>
    <w:rsid w:val="00E01A45"/>
    <w:rsid w:val="00E05BC5"/>
    <w:rsid w:val="00E11EB8"/>
    <w:rsid w:val="00E13104"/>
    <w:rsid w:val="00E14C90"/>
    <w:rsid w:val="00E15E71"/>
    <w:rsid w:val="00E17ECB"/>
    <w:rsid w:val="00E24809"/>
    <w:rsid w:val="00E254D3"/>
    <w:rsid w:val="00E27F6B"/>
    <w:rsid w:val="00E32A76"/>
    <w:rsid w:val="00E33992"/>
    <w:rsid w:val="00E346FA"/>
    <w:rsid w:val="00E36D6A"/>
    <w:rsid w:val="00E40B04"/>
    <w:rsid w:val="00E43B7C"/>
    <w:rsid w:val="00E44958"/>
    <w:rsid w:val="00E45C76"/>
    <w:rsid w:val="00E45EE8"/>
    <w:rsid w:val="00E46078"/>
    <w:rsid w:val="00E4672F"/>
    <w:rsid w:val="00E50AF2"/>
    <w:rsid w:val="00E56AB5"/>
    <w:rsid w:val="00E56D36"/>
    <w:rsid w:val="00E57ADC"/>
    <w:rsid w:val="00E601AE"/>
    <w:rsid w:val="00E62645"/>
    <w:rsid w:val="00E62949"/>
    <w:rsid w:val="00E64D6E"/>
    <w:rsid w:val="00E712FF"/>
    <w:rsid w:val="00E736CC"/>
    <w:rsid w:val="00E7526E"/>
    <w:rsid w:val="00E800C8"/>
    <w:rsid w:val="00E81992"/>
    <w:rsid w:val="00E82871"/>
    <w:rsid w:val="00E85AAE"/>
    <w:rsid w:val="00E85ED2"/>
    <w:rsid w:val="00E8605B"/>
    <w:rsid w:val="00E87572"/>
    <w:rsid w:val="00E906D3"/>
    <w:rsid w:val="00E90D00"/>
    <w:rsid w:val="00E9139F"/>
    <w:rsid w:val="00E91DD6"/>
    <w:rsid w:val="00E9410C"/>
    <w:rsid w:val="00EA2B21"/>
    <w:rsid w:val="00EA3758"/>
    <w:rsid w:val="00EA738B"/>
    <w:rsid w:val="00EA78E6"/>
    <w:rsid w:val="00EB0B56"/>
    <w:rsid w:val="00EB14B0"/>
    <w:rsid w:val="00EB437A"/>
    <w:rsid w:val="00EB5BF1"/>
    <w:rsid w:val="00EB5F18"/>
    <w:rsid w:val="00EB77CC"/>
    <w:rsid w:val="00EB7E83"/>
    <w:rsid w:val="00EC1392"/>
    <w:rsid w:val="00EC499E"/>
    <w:rsid w:val="00EC69CA"/>
    <w:rsid w:val="00EC742C"/>
    <w:rsid w:val="00ED0A3D"/>
    <w:rsid w:val="00ED0F44"/>
    <w:rsid w:val="00ED1560"/>
    <w:rsid w:val="00ED42C3"/>
    <w:rsid w:val="00ED459F"/>
    <w:rsid w:val="00ED4628"/>
    <w:rsid w:val="00EE266B"/>
    <w:rsid w:val="00EE3FED"/>
    <w:rsid w:val="00EE5A9A"/>
    <w:rsid w:val="00EE5E34"/>
    <w:rsid w:val="00EE62FD"/>
    <w:rsid w:val="00EF163F"/>
    <w:rsid w:val="00EF63F9"/>
    <w:rsid w:val="00EF6D4B"/>
    <w:rsid w:val="00EF7833"/>
    <w:rsid w:val="00EF7B3B"/>
    <w:rsid w:val="00F00CEE"/>
    <w:rsid w:val="00F0448C"/>
    <w:rsid w:val="00F0723C"/>
    <w:rsid w:val="00F0725F"/>
    <w:rsid w:val="00F07A55"/>
    <w:rsid w:val="00F121F3"/>
    <w:rsid w:val="00F15B56"/>
    <w:rsid w:val="00F17872"/>
    <w:rsid w:val="00F17959"/>
    <w:rsid w:val="00F234B8"/>
    <w:rsid w:val="00F2715C"/>
    <w:rsid w:val="00F271EC"/>
    <w:rsid w:val="00F317F5"/>
    <w:rsid w:val="00F35C86"/>
    <w:rsid w:val="00F35FF8"/>
    <w:rsid w:val="00F3715C"/>
    <w:rsid w:val="00F3746B"/>
    <w:rsid w:val="00F4290D"/>
    <w:rsid w:val="00F45BD9"/>
    <w:rsid w:val="00F46BED"/>
    <w:rsid w:val="00F4725B"/>
    <w:rsid w:val="00F4795A"/>
    <w:rsid w:val="00F534DB"/>
    <w:rsid w:val="00F53EC6"/>
    <w:rsid w:val="00F56ED7"/>
    <w:rsid w:val="00F66BE8"/>
    <w:rsid w:val="00F71252"/>
    <w:rsid w:val="00F737D7"/>
    <w:rsid w:val="00F73EEF"/>
    <w:rsid w:val="00F7615D"/>
    <w:rsid w:val="00F7757B"/>
    <w:rsid w:val="00F80224"/>
    <w:rsid w:val="00F81F17"/>
    <w:rsid w:val="00F82672"/>
    <w:rsid w:val="00F826C6"/>
    <w:rsid w:val="00F913DE"/>
    <w:rsid w:val="00F918A8"/>
    <w:rsid w:val="00F96A21"/>
    <w:rsid w:val="00F97C2E"/>
    <w:rsid w:val="00F97E8D"/>
    <w:rsid w:val="00F97FFA"/>
    <w:rsid w:val="00FA169A"/>
    <w:rsid w:val="00FA22E5"/>
    <w:rsid w:val="00FA6FAE"/>
    <w:rsid w:val="00FB481F"/>
    <w:rsid w:val="00FB56ED"/>
    <w:rsid w:val="00FB73AF"/>
    <w:rsid w:val="00FC18E5"/>
    <w:rsid w:val="00FC3BAD"/>
    <w:rsid w:val="00FC44B3"/>
    <w:rsid w:val="00FC5794"/>
    <w:rsid w:val="00FC5A87"/>
    <w:rsid w:val="00FD1E93"/>
    <w:rsid w:val="00FD7E08"/>
    <w:rsid w:val="00FE2529"/>
    <w:rsid w:val="00FE39ED"/>
    <w:rsid w:val="00FE46F8"/>
    <w:rsid w:val="00FE7C00"/>
    <w:rsid w:val="00FF0792"/>
    <w:rsid w:val="00FF1455"/>
    <w:rsid w:val="00FF1D87"/>
    <w:rsid w:val="00FF1E18"/>
    <w:rsid w:val="00FF2657"/>
    <w:rsid w:val="00FF2F4E"/>
    <w:rsid w:val="00FF67EB"/>
    <w:rsid w:val="03AE3502"/>
    <w:rsid w:val="0551A2CC"/>
    <w:rsid w:val="064FA1B3"/>
    <w:rsid w:val="0746A3E8"/>
    <w:rsid w:val="0F584192"/>
    <w:rsid w:val="11DE4931"/>
    <w:rsid w:val="12AF841F"/>
    <w:rsid w:val="18DBB69C"/>
    <w:rsid w:val="1A87680B"/>
    <w:rsid w:val="1E995A6C"/>
    <w:rsid w:val="203AD68A"/>
    <w:rsid w:val="2A7CA632"/>
    <w:rsid w:val="32BD095B"/>
    <w:rsid w:val="32E20528"/>
    <w:rsid w:val="39C99411"/>
    <w:rsid w:val="3B67B6BE"/>
    <w:rsid w:val="4632BE11"/>
    <w:rsid w:val="48480AC7"/>
    <w:rsid w:val="4B88952E"/>
    <w:rsid w:val="51EFF046"/>
    <w:rsid w:val="576A39C8"/>
    <w:rsid w:val="582F9D78"/>
    <w:rsid w:val="68AEFEDF"/>
    <w:rsid w:val="6E762579"/>
    <w:rsid w:val="700303AB"/>
    <w:rsid w:val="7081F112"/>
    <w:rsid w:val="77A41F11"/>
    <w:rsid w:val="78420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45DBAE6"/>
  <w15:docId w15:val="{3C4ECB16-0629-4B67-9F0E-B5BBE86E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 w:type="character" w:customStyle="1" w:styleId="normaltextrun">
    <w:name w:val="normaltextrun"/>
    <w:basedOn w:val="DefaultParagraphFont"/>
    <w:rsid w:val="00BB0DA8"/>
  </w:style>
  <w:style w:type="character" w:styleId="UnresolvedMention">
    <w:name w:val="Unresolved Mention"/>
    <w:basedOn w:val="DefaultParagraphFont"/>
    <w:uiPriority w:val="99"/>
    <w:unhideWhenUsed/>
    <w:rsid w:val="00954B71"/>
    <w:rPr>
      <w:color w:val="605E5C"/>
      <w:shd w:val="clear" w:color="auto" w:fill="E1DFDD"/>
    </w:rPr>
  </w:style>
  <w:style w:type="character" w:styleId="Mention">
    <w:name w:val="Mention"/>
    <w:basedOn w:val="DefaultParagraphFont"/>
    <w:uiPriority w:val="99"/>
    <w:unhideWhenUsed/>
    <w:rsid w:val="00954B71"/>
    <w:rPr>
      <w:color w:val="2B579A"/>
      <w:shd w:val="clear" w:color="auto" w:fill="E1DFDD"/>
    </w:rPr>
  </w:style>
  <w:style w:type="character" w:customStyle="1" w:styleId="eop">
    <w:name w:val="eop"/>
    <w:basedOn w:val="DefaultParagraphFont"/>
    <w:rsid w:val="00B315EB"/>
  </w:style>
  <w:style w:type="character" w:styleId="FootnoteReference">
    <w:name w:val="footnote reference"/>
    <w:basedOn w:val="DefaultParagraphFont"/>
    <w:uiPriority w:val="99"/>
    <w:semiHidden/>
    <w:unhideWhenUsed/>
    <w:rsid w:val="001B1324"/>
    <w:rPr>
      <w:vertAlign w:val="superscript"/>
    </w:rPr>
  </w:style>
  <w:style w:type="character" w:customStyle="1" w:styleId="FootnoteTextChar">
    <w:name w:val="Footnote Text Char"/>
    <w:basedOn w:val="DefaultParagraphFont"/>
    <w:link w:val="FootnoteText"/>
    <w:uiPriority w:val="99"/>
    <w:semiHidden/>
    <w:rsid w:val="00C52916"/>
    <w:rPr>
      <w:sz w:val="20"/>
      <w:szCs w:val="20"/>
    </w:rPr>
  </w:style>
  <w:style w:type="paragraph" w:styleId="FootnoteText">
    <w:name w:val="footnote text"/>
    <w:basedOn w:val="Normal"/>
    <w:link w:val="FootnoteTextChar"/>
    <w:uiPriority w:val="99"/>
    <w:semiHidden/>
    <w:unhideWhenUsed/>
    <w:rsid w:val="00C52916"/>
    <w:pPr>
      <w:spacing w:after="0" w:line="240" w:lineRule="auto"/>
    </w:pPr>
    <w:rPr>
      <w:sz w:val="20"/>
      <w:szCs w:val="20"/>
    </w:rPr>
  </w:style>
  <w:style w:type="character" w:customStyle="1" w:styleId="FootnoteTextChar1">
    <w:name w:val="Footnote Text Char1"/>
    <w:basedOn w:val="DefaultParagraphFont"/>
    <w:uiPriority w:val="99"/>
    <w:semiHidden/>
    <w:rsid w:val="00DB58EE"/>
    <w:rPr>
      <w:sz w:val="20"/>
      <w:szCs w:val="20"/>
    </w:rPr>
  </w:style>
  <w:style w:type="paragraph" w:styleId="NoSpacing">
    <w:name w:val="No Spacing"/>
    <w:uiPriority w:val="1"/>
    <w:qFormat/>
    <w:rsid w:val="00A21273"/>
    <w:pPr>
      <w:spacing w:after="0" w:line="240" w:lineRule="auto"/>
    </w:pPr>
  </w:style>
  <w:style w:type="paragraph" w:customStyle="1" w:styleId="paragraph">
    <w:name w:val="paragraph"/>
    <w:basedOn w:val="Normal"/>
    <w:rsid w:val="00E449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240">
      <w:bodyDiv w:val="1"/>
      <w:marLeft w:val="0"/>
      <w:marRight w:val="0"/>
      <w:marTop w:val="0"/>
      <w:marBottom w:val="0"/>
      <w:divBdr>
        <w:top w:val="none" w:sz="0" w:space="0" w:color="auto"/>
        <w:left w:val="none" w:sz="0" w:space="0" w:color="auto"/>
        <w:bottom w:val="none" w:sz="0" w:space="0" w:color="auto"/>
        <w:right w:val="none" w:sz="0" w:space="0" w:color="auto"/>
      </w:divBdr>
      <w:divsChild>
        <w:div w:id="953708928">
          <w:marLeft w:val="0"/>
          <w:marRight w:val="0"/>
          <w:marTop w:val="0"/>
          <w:marBottom w:val="0"/>
          <w:divBdr>
            <w:top w:val="none" w:sz="0" w:space="0" w:color="auto"/>
            <w:left w:val="none" w:sz="0" w:space="0" w:color="auto"/>
            <w:bottom w:val="none" w:sz="0" w:space="0" w:color="auto"/>
            <w:right w:val="none" w:sz="0" w:space="0" w:color="auto"/>
          </w:divBdr>
        </w:div>
        <w:div w:id="1050691782">
          <w:marLeft w:val="0"/>
          <w:marRight w:val="0"/>
          <w:marTop w:val="0"/>
          <w:marBottom w:val="0"/>
          <w:divBdr>
            <w:top w:val="none" w:sz="0" w:space="0" w:color="auto"/>
            <w:left w:val="none" w:sz="0" w:space="0" w:color="auto"/>
            <w:bottom w:val="none" w:sz="0" w:space="0" w:color="auto"/>
            <w:right w:val="none" w:sz="0" w:space="0" w:color="auto"/>
          </w:divBdr>
          <w:divsChild>
            <w:div w:id="1566642447">
              <w:marLeft w:val="0"/>
              <w:marRight w:val="0"/>
              <w:marTop w:val="0"/>
              <w:marBottom w:val="0"/>
              <w:divBdr>
                <w:top w:val="none" w:sz="0" w:space="0" w:color="auto"/>
                <w:left w:val="none" w:sz="0" w:space="0" w:color="auto"/>
                <w:bottom w:val="none" w:sz="0" w:space="0" w:color="auto"/>
                <w:right w:val="none" w:sz="0" w:space="0" w:color="auto"/>
              </w:divBdr>
            </w:div>
            <w:div w:id="20992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147">
      <w:bodyDiv w:val="1"/>
      <w:marLeft w:val="0"/>
      <w:marRight w:val="0"/>
      <w:marTop w:val="0"/>
      <w:marBottom w:val="0"/>
      <w:divBdr>
        <w:top w:val="none" w:sz="0" w:space="0" w:color="auto"/>
        <w:left w:val="none" w:sz="0" w:space="0" w:color="auto"/>
        <w:bottom w:val="none" w:sz="0" w:space="0" w:color="auto"/>
        <w:right w:val="none" w:sz="0" w:space="0" w:color="auto"/>
      </w:divBdr>
      <w:divsChild>
        <w:div w:id="423573442">
          <w:marLeft w:val="0"/>
          <w:marRight w:val="0"/>
          <w:marTop w:val="0"/>
          <w:marBottom w:val="0"/>
          <w:divBdr>
            <w:top w:val="none" w:sz="0" w:space="0" w:color="auto"/>
            <w:left w:val="none" w:sz="0" w:space="0" w:color="auto"/>
            <w:bottom w:val="none" w:sz="0" w:space="0" w:color="auto"/>
            <w:right w:val="none" w:sz="0" w:space="0" w:color="auto"/>
          </w:divBdr>
        </w:div>
        <w:div w:id="496071033">
          <w:marLeft w:val="0"/>
          <w:marRight w:val="0"/>
          <w:marTop w:val="0"/>
          <w:marBottom w:val="0"/>
          <w:divBdr>
            <w:top w:val="none" w:sz="0" w:space="0" w:color="auto"/>
            <w:left w:val="none" w:sz="0" w:space="0" w:color="auto"/>
            <w:bottom w:val="none" w:sz="0" w:space="0" w:color="auto"/>
            <w:right w:val="none" w:sz="0" w:space="0" w:color="auto"/>
          </w:divBdr>
          <w:divsChild>
            <w:div w:id="677997415">
              <w:marLeft w:val="0"/>
              <w:marRight w:val="0"/>
              <w:marTop w:val="0"/>
              <w:marBottom w:val="0"/>
              <w:divBdr>
                <w:top w:val="none" w:sz="0" w:space="0" w:color="auto"/>
                <w:left w:val="none" w:sz="0" w:space="0" w:color="auto"/>
                <w:bottom w:val="none" w:sz="0" w:space="0" w:color="auto"/>
                <w:right w:val="none" w:sz="0" w:space="0" w:color="auto"/>
              </w:divBdr>
            </w:div>
            <w:div w:id="711883797">
              <w:marLeft w:val="0"/>
              <w:marRight w:val="0"/>
              <w:marTop w:val="0"/>
              <w:marBottom w:val="0"/>
              <w:divBdr>
                <w:top w:val="none" w:sz="0" w:space="0" w:color="auto"/>
                <w:left w:val="none" w:sz="0" w:space="0" w:color="auto"/>
                <w:bottom w:val="none" w:sz="0" w:space="0" w:color="auto"/>
                <w:right w:val="none" w:sz="0" w:space="0" w:color="auto"/>
              </w:divBdr>
            </w:div>
            <w:div w:id="1070419445">
              <w:marLeft w:val="0"/>
              <w:marRight w:val="0"/>
              <w:marTop w:val="0"/>
              <w:marBottom w:val="0"/>
              <w:divBdr>
                <w:top w:val="none" w:sz="0" w:space="0" w:color="auto"/>
                <w:left w:val="none" w:sz="0" w:space="0" w:color="auto"/>
                <w:bottom w:val="none" w:sz="0" w:space="0" w:color="auto"/>
                <w:right w:val="none" w:sz="0" w:space="0" w:color="auto"/>
              </w:divBdr>
            </w:div>
            <w:div w:id="1307855085">
              <w:marLeft w:val="0"/>
              <w:marRight w:val="0"/>
              <w:marTop w:val="0"/>
              <w:marBottom w:val="0"/>
              <w:divBdr>
                <w:top w:val="none" w:sz="0" w:space="0" w:color="auto"/>
                <w:left w:val="none" w:sz="0" w:space="0" w:color="auto"/>
                <w:bottom w:val="none" w:sz="0" w:space="0" w:color="auto"/>
                <w:right w:val="none" w:sz="0" w:space="0" w:color="auto"/>
              </w:divBdr>
            </w:div>
            <w:div w:id="2127265381">
              <w:marLeft w:val="0"/>
              <w:marRight w:val="0"/>
              <w:marTop w:val="0"/>
              <w:marBottom w:val="0"/>
              <w:divBdr>
                <w:top w:val="none" w:sz="0" w:space="0" w:color="auto"/>
                <w:left w:val="none" w:sz="0" w:space="0" w:color="auto"/>
                <w:bottom w:val="none" w:sz="0" w:space="0" w:color="auto"/>
                <w:right w:val="none" w:sz="0" w:space="0" w:color="auto"/>
              </w:divBdr>
            </w:div>
          </w:divsChild>
        </w:div>
        <w:div w:id="775639591">
          <w:marLeft w:val="0"/>
          <w:marRight w:val="0"/>
          <w:marTop w:val="0"/>
          <w:marBottom w:val="0"/>
          <w:divBdr>
            <w:top w:val="none" w:sz="0" w:space="0" w:color="auto"/>
            <w:left w:val="none" w:sz="0" w:space="0" w:color="auto"/>
            <w:bottom w:val="none" w:sz="0" w:space="0" w:color="auto"/>
            <w:right w:val="none" w:sz="0" w:space="0" w:color="auto"/>
          </w:divBdr>
        </w:div>
        <w:div w:id="887492904">
          <w:marLeft w:val="0"/>
          <w:marRight w:val="0"/>
          <w:marTop w:val="0"/>
          <w:marBottom w:val="0"/>
          <w:divBdr>
            <w:top w:val="none" w:sz="0" w:space="0" w:color="auto"/>
            <w:left w:val="none" w:sz="0" w:space="0" w:color="auto"/>
            <w:bottom w:val="none" w:sz="0" w:space="0" w:color="auto"/>
            <w:right w:val="none" w:sz="0" w:space="0" w:color="auto"/>
          </w:divBdr>
          <w:divsChild>
            <w:div w:id="136067853">
              <w:marLeft w:val="0"/>
              <w:marRight w:val="0"/>
              <w:marTop w:val="0"/>
              <w:marBottom w:val="0"/>
              <w:divBdr>
                <w:top w:val="none" w:sz="0" w:space="0" w:color="auto"/>
                <w:left w:val="none" w:sz="0" w:space="0" w:color="auto"/>
                <w:bottom w:val="none" w:sz="0" w:space="0" w:color="auto"/>
                <w:right w:val="none" w:sz="0" w:space="0" w:color="auto"/>
              </w:divBdr>
            </w:div>
            <w:div w:id="985816611">
              <w:marLeft w:val="0"/>
              <w:marRight w:val="0"/>
              <w:marTop w:val="0"/>
              <w:marBottom w:val="0"/>
              <w:divBdr>
                <w:top w:val="none" w:sz="0" w:space="0" w:color="auto"/>
                <w:left w:val="none" w:sz="0" w:space="0" w:color="auto"/>
                <w:bottom w:val="none" w:sz="0" w:space="0" w:color="auto"/>
                <w:right w:val="none" w:sz="0" w:space="0" w:color="auto"/>
              </w:divBdr>
            </w:div>
            <w:div w:id="1981495998">
              <w:marLeft w:val="0"/>
              <w:marRight w:val="0"/>
              <w:marTop w:val="0"/>
              <w:marBottom w:val="0"/>
              <w:divBdr>
                <w:top w:val="none" w:sz="0" w:space="0" w:color="auto"/>
                <w:left w:val="none" w:sz="0" w:space="0" w:color="auto"/>
                <w:bottom w:val="none" w:sz="0" w:space="0" w:color="auto"/>
                <w:right w:val="none" w:sz="0" w:space="0" w:color="auto"/>
              </w:divBdr>
            </w:div>
            <w:div w:id="2062362192">
              <w:marLeft w:val="0"/>
              <w:marRight w:val="0"/>
              <w:marTop w:val="0"/>
              <w:marBottom w:val="0"/>
              <w:divBdr>
                <w:top w:val="none" w:sz="0" w:space="0" w:color="auto"/>
                <w:left w:val="none" w:sz="0" w:space="0" w:color="auto"/>
                <w:bottom w:val="none" w:sz="0" w:space="0" w:color="auto"/>
                <w:right w:val="none" w:sz="0" w:space="0" w:color="auto"/>
              </w:divBdr>
            </w:div>
            <w:div w:id="2094739706">
              <w:marLeft w:val="0"/>
              <w:marRight w:val="0"/>
              <w:marTop w:val="0"/>
              <w:marBottom w:val="0"/>
              <w:divBdr>
                <w:top w:val="none" w:sz="0" w:space="0" w:color="auto"/>
                <w:left w:val="none" w:sz="0" w:space="0" w:color="auto"/>
                <w:bottom w:val="none" w:sz="0" w:space="0" w:color="auto"/>
                <w:right w:val="none" w:sz="0" w:space="0" w:color="auto"/>
              </w:divBdr>
            </w:div>
          </w:divsChild>
        </w:div>
        <w:div w:id="1046107187">
          <w:marLeft w:val="0"/>
          <w:marRight w:val="0"/>
          <w:marTop w:val="0"/>
          <w:marBottom w:val="0"/>
          <w:divBdr>
            <w:top w:val="none" w:sz="0" w:space="0" w:color="auto"/>
            <w:left w:val="none" w:sz="0" w:space="0" w:color="auto"/>
            <w:bottom w:val="none" w:sz="0" w:space="0" w:color="auto"/>
            <w:right w:val="none" w:sz="0" w:space="0" w:color="auto"/>
          </w:divBdr>
        </w:div>
        <w:div w:id="1273172123">
          <w:marLeft w:val="0"/>
          <w:marRight w:val="0"/>
          <w:marTop w:val="0"/>
          <w:marBottom w:val="0"/>
          <w:divBdr>
            <w:top w:val="none" w:sz="0" w:space="0" w:color="auto"/>
            <w:left w:val="none" w:sz="0" w:space="0" w:color="auto"/>
            <w:bottom w:val="none" w:sz="0" w:space="0" w:color="auto"/>
            <w:right w:val="none" w:sz="0" w:space="0" w:color="auto"/>
          </w:divBdr>
        </w:div>
        <w:div w:id="1464880531">
          <w:marLeft w:val="0"/>
          <w:marRight w:val="0"/>
          <w:marTop w:val="0"/>
          <w:marBottom w:val="0"/>
          <w:divBdr>
            <w:top w:val="none" w:sz="0" w:space="0" w:color="auto"/>
            <w:left w:val="none" w:sz="0" w:space="0" w:color="auto"/>
            <w:bottom w:val="none" w:sz="0" w:space="0" w:color="auto"/>
            <w:right w:val="none" w:sz="0" w:space="0" w:color="auto"/>
          </w:divBdr>
          <w:divsChild>
            <w:div w:id="425737548">
              <w:marLeft w:val="0"/>
              <w:marRight w:val="0"/>
              <w:marTop w:val="0"/>
              <w:marBottom w:val="0"/>
              <w:divBdr>
                <w:top w:val="none" w:sz="0" w:space="0" w:color="auto"/>
                <w:left w:val="none" w:sz="0" w:space="0" w:color="auto"/>
                <w:bottom w:val="none" w:sz="0" w:space="0" w:color="auto"/>
                <w:right w:val="none" w:sz="0" w:space="0" w:color="auto"/>
              </w:divBdr>
            </w:div>
            <w:div w:id="573052683">
              <w:marLeft w:val="0"/>
              <w:marRight w:val="0"/>
              <w:marTop w:val="0"/>
              <w:marBottom w:val="0"/>
              <w:divBdr>
                <w:top w:val="none" w:sz="0" w:space="0" w:color="auto"/>
                <w:left w:val="none" w:sz="0" w:space="0" w:color="auto"/>
                <w:bottom w:val="none" w:sz="0" w:space="0" w:color="auto"/>
                <w:right w:val="none" w:sz="0" w:space="0" w:color="auto"/>
              </w:divBdr>
            </w:div>
            <w:div w:id="614025407">
              <w:marLeft w:val="0"/>
              <w:marRight w:val="0"/>
              <w:marTop w:val="0"/>
              <w:marBottom w:val="0"/>
              <w:divBdr>
                <w:top w:val="none" w:sz="0" w:space="0" w:color="auto"/>
                <w:left w:val="none" w:sz="0" w:space="0" w:color="auto"/>
                <w:bottom w:val="none" w:sz="0" w:space="0" w:color="auto"/>
                <w:right w:val="none" w:sz="0" w:space="0" w:color="auto"/>
              </w:divBdr>
            </w:div>
            <w:div w:id="2110613550">
              <w:marLeft w:val="0"/>
              <w:marRight w:val="0"/>
              <w:marTop w:val="0"/>
              <w:marBottom w:val="0"/>
              <w:divBdr>
                <w:top w:val="none" w:sz="0" w:space="0" w:color="auto"/>
                <w:left w:val="none" w:sz="0" w:space="0" w:color="auto"/>
                <w:bottom w:val="none" w:sz="0" w:space="0" w:color="auto"/>
                <w:right w:val="none" w:sz="0" w:space="0" w:color="auto"/>
              </w:divBdr>
            </w:div>
            <w:div w:id="2135053068">
              <w:marLeft w:val="0"/>
              <w:marRight w:val="0"/>
              <w:marTop w:val="0"/>
              <w:marBottom w:val="0"/>
              <w:divBdr>
                <w:top w:val="none" w:sz="0" w:space="0" w:color="auto"/>
                <w:left w:val="none" w:sz="0" w:space="0" w:color="auto"/>
                <w:bottom w:val="none" w:sz="0" w:space="0" w:color="auto"/>
                <w:right w:val="none" w:sz="0" w:space="0" w:color="auto"/>
              </w:divBdr>
            </w:div>
          </w:divsChild>
        </w:div>
        <w:div w:id="1522860146">
          <w:marLeft w:val="0"/>
          <w:marRight w:val="0"/>
          <w:marTop w:val="0"/>
          <w:marBottom w:val="0"/>
          <w:divBdr>
            <w:top w:val="none" w:sz="0" w:space="0" w:color="auto"/>
            <w:left w:val="none" w:sz="0" w:space="0" w:color="auto"/>
            <w:bottom w:val="none" w:sz="0" w:space="0" w:color="auto"/>
            <w:right w:val="none" w:sz="0" w:space="0" w:color="auto"/>
          </w:divBdr>
        </w:div>
        <w:div w:id="1641568506">
          <w:marLeft w:val="0"/>
          <w:marRight w:val="0"/>
          <w:marTop w:val="0"/>
          <w:marBottom w:val="0"/>
          <w:divBdr>
            <w:top w:val="none" w:sz="0" w:space="0" w:color="auto"/>
            <w:left w:val="none" w:sz="0" w:space="0" w:color="auto"/>
            <w:bottom w:val="none" w:sz="0" w:space="0" w:color="auto"/>
            <w:right w:val="none" w:sz="0" w:space="0" w:color="auto"/>
          </w:divBdr>
          <w:divsChild>
            <w:div w:id="32850314">
              <w:marLeft w:val="0"/>
              <w:marRight w:val="0"/>
              <w:marTop w:val="0"/>
              <w:marBottom w:val="0"/>
              <w:divBdr>
                <w:top w:val="none" w:sz="0" w:space="0" w:color="auto"/>
                <w:left w:val="none" w:sz="0" w:space="0" w:color="auto"/>
                <w:bottom w:val="none" w:sz="0" w:space="0" w:color="auto"/>
                <w:right w:val="none" w:sz="0" w:space="0" w:color="auto"/>
              </w:divBdr>
            </w:div>
            <w:div w:id="925959859">
              <w:marLeft w:val="0"/>
              <w:marRight w:val="0"/>
              <w:marTop w:val="0"/>
              <w:marBottom w:val="0"/>
              <w:divBdr>
                <w:top w:val="none" w:sz="0" w:space="0" w:color="auto"/>
                <w:left w:val="none" w:sz="0" w:space="0" w:color="auto"/>
                <w:bottom w:val="none" w:sz="0" w:space="0" w:color="auto"/>
                <w:right w:val="none" w:sz="0" w:space="0" w:color="auto"/>
              </w:divBdr>
            </w:div>
            <w:div w:id="13067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8513">
      <w:bodyDiv w:val="1"/>
      <w:marLeft w:val="0"/>
      <w:marRight w:val="0"/>
      <w:marTop w:val="0"/>
      <w:marBottom w:val="0"/>
      <w:divBdr>
        <w:top w:val="none" w:sz="0" w:space="0" w:color="auto"/>
        <w:left w:val="none" w:sz="0" w:space="0" w:color="auto"/>
        <w:bottom w:val="none" w:sz="0" w:space="0" w:color="auto"/>
        <w:right w:val="none" w:sz="0" w:space="0" w:color="auto"/>
      </w:divBdr>
    </w:div>
    <w:div w:id="180434768">
      <w:bodyDiv w:val="1"/>
      <w:marLeft w:val="0"/>
      <w:marRight w:val="0"/>
      <w:marTop w:val="0"/>
      <w:marBottom w:val="0"/>
      <w:divBdr>
        <w:top w:val="none" w:sz="0" w:space="0" w:color="auto"/>
        <w:left w:val="none" w:sz="0" w:space="0" w:color="auto"/>
        <w:bottom w:val="none" w:sz="0" w:space="0" w:color="auto"/>
        <w:right w:val="none" w:sz="0" w:space="0" w:color="auto"/>
      </w:divBdr>
    </w:div>
    <w:div w:id="270281632">
      <w:bodyDiv w:val="1"/>
      <w:marLeft w:val="0"/>
      <w:marRight w:val="0"/>
      <w:marTop w:val="0"/>
      <w:marBottom w:val="0"/>
      <w:divBdr>
        <w:top w:val="none" w:sz="0" w:space="0" w:color="auto"/>
        <w:left w:val="none" w:sz="0" w:space="0" w:color="auto"/>
        <w:bottom w:val="none" w:sz="0" w:space="0" w:color="auto"/>
        <w:right w:val="none" w:sz="0" w:space="0" w:color="auto"/>
      </w:divBdr>
      <w:divsChild>
        <w:div w:id="737674966">
          <w:marLeft w:val="0"/>
          <w:marRight w:val="0"/>
          <w:marTop w:val="0"/>
          <w:marBottom w:val="0"/>
          <w:divBdr>
            <w:top w:val="none" w:sz="0" w:space="0" w:color="auto"/>
            <w:left w:val="none" w:sz="0" w:space="0" w:color="auto"/>
            <w:bottom w:val="none" w:sz="0" w:space="0" w:color="auto"/>
            <w:right w:val="none" w:sz="0" w:space="0" w:color="auto"/>
          </w:divBdr>
        </w:div>
        <w:div w:id="771245165">
          <w:marLeft w:val="0"/>
          <w:marRight w:val="0"/>
          <w:marTop w:val="0"/>
          <w:marBottom w:val="0"/>
          <w:divBdr>
            <w:top w:val="none" w:sz="0" w:space="0" w:color="auto"/>
            <w:left w:val="none" w:sz="0" w:space="0" w:color="auto"/>
            <w:bottom w:val="none" w:sz="0" w:space="0" w:color="auto"/>
            <w:right w:val="none" w:sz="0" w:space="0" w:color="auto"/>
          </w:divBdr>
        </w:div>
        <w:div w:id="1546943620">
          <w:marLeft w:val="0"/>
          <w:marRight w:val="0"/>
          <w:marTop w:val="0"/>
          <w:marBottom w:val="0"/>
          <w:divBdr>
            <w:top w:val="none" w:sz="0" w:space="0" w:color="auto"/>
            <w:left w:val="none" w:sz="0" w:space="0" w:color="auto"/>
            <w:bottom w:val="none" w:sz="0" w:space="0" w:color="auto"/>
            <w:right w:val="none" w:sz="0" w:space="0" w:color="auto"/>
          </w:divBdr>
        </w:div>
      </w:divsChild>
    </w:div>
    <w:div w:id="370613855">
      <w:bodyDiv w:val="1"/>
      <w:marLeft w:val="0"/>
      <w:marRight w:val="0"/>
      <w:marTop w:val="0"/>
      <w:marBottom w:val="0"/>
      <w:divBdr>
        <w:top w:val="none" w:sz="0" w:space="0" w:color="auto"/>
        <w:left w:val="none" w:sz="0" w:space="0" w:color="auto"/>
        <w:bottom w:val="none" w:sz="0" w:space="0" w:color="auto"/>
        <w:right w:val="none" w:sz="0" w:space="0" w:color="auto"/>
      </w:divBdr>
    </w:div>
    <w:div w:id="444424509">
      <w:bodyDiv w:val="1"/>
      <w:marLeft w:val="0"/>
      <w:marRight w:val="0"/>
      <w:marTop w:val="0"/>
      <w:marBottom w:val="0"/>
      <w:divBdr>
        <w:top w:val="none" w:sz="0" w:space="0" w:color="auto"/>
        <w:left w:val="none" w:sz="0" w:space="0" w:color="auto"/>
        <w:bottom w:val="none" w:sz="0" w:space="0" w:color="auto"/>
        <w:right w:val="none" w:sz="0" w:space="0" w:color="auto"/>
      </w:divBdr>
    </w:div>
    <w:div w:id="518003984">
      <w:bodyDiv w:val="1"/>
      <w:marLeft w:val="0"/>
      <w:marRight w:val="0"/>
      <w:marTop w:val="0"/>
      <w:marBottom w:val="0"/>
      <w:divBdr>
        <w:top w:val="none" w:sz="0" w:space="0" w:color="auto"/>
        <w:left w:val="none" w:sz="0" w:space="0" w:color="auto"/>
        <w:bottom w:val="none" w:sz="0" w:space="0" w:color="auto"/>
        <w:right w:val="none" w:sz="0" w:space="0" w:color="auto"/>
      </w:divBdr>
      <w:divsChild>
        <w:div w:id="326709545">
          <w:marLeft w:val="0"/>
          <w:marRight w:val="0"/>
          <w:marTop w:val="0"/>
          <w:marBottom w:val="0"/>
          <w:divBdr>
            <w:top w:val="none" w:sz="0" w:space="0" w:color="auto"/>
            <w:left w:val="none" w:sz="0" w:space="0" w:color="auto"/>
            <w:bottom w:val="none" w:sz="0" w:space="0" w:color="auto"/>
            <w:right w:val="none" w:sz="0" w:space="0" w:color="auto"/>
          </w:divBdr>
        </w:div>
        <w:div w:id="1411468287">
          <w:marLeft w:val="0"/>
          <w:marRight w:val="0"/>
          <w:marTop w:val="0"/>
          <w:marBottom w:val="0"/>
          <w:divBdr>
            <w:top w:val="none" w:sz="0" w:space="0" w:color="auto"/>
            <w:left w:val="none" w:sz="0" w:space="0" w:color="auto"/>
            <w:bottom w:val="none" w:sz="0" w:space="0" w:color="auto"/>
            <w:right w:val="none" w:sz="0" w:space="0" w:color="auto"/>
          </w:divBdr>
        </w:div>
        <w:div w:id="2032560941">
          <w:marLeft w:val="0"/>
          <w:marRight w:val="0"/>
          <w:marTop w:val="0"/>
          <w:marBottom w:val="0"/>
          <w:divBdr>
            <w:top w:val="none" w:sz="0" w:space="0" w:color="auto"/>
            <w:left w:val="none" w:sz="0" w:space="0" w:color="auto"/>
            <w:bottom w:val="none" w:sz="0" w:space="0" w:color="auto"/>
            <w:right w:val="none" w:sz="0" w:space="0" w:color="auto"/>
          </w:divBdr>
        </w:div>
      </w:divsChild>
    </w:div>
    <w:div w:id="555122465">
      <w:bodyDiv w:val="1"/>
      <w:marLeft w:val="0"/>
      <w:marRight w:val="0"/>
      <w:marTop w:val="0"/>
      <w:marBottom w:val="0"/>
      <w:divBdr>
        <w:top w:val="none" w:sz="0" w:space="0" w:color="auto"/>
        <w:left w:val="none" w:sz="0" w:space="0" w:color="auto"/>
        <w:bottom w:val="none" w:sz="0" w:space="0" w:color="auto"/>
        <w:right w:val="none" w:sz="0" w:space="0" w:color="auto"/>
      </w:divBdr>
      <w:divsChild>
        <w:div w:id="1276451029">
          <w:marLeft w:val="0"/>
          <w:marRight w:val="0"/>
          <w:marTop w:val="0"/>
          <w:marBottom w:val="0"/>
          <w:divBdr>
            <w:top w:val="none" w:sz="0" w:space="0" w:color="auto"/>
            <w:left w:val="none" w:sz="0" w:space="0" w:color="auto"/>
            <w:bottom w:val="none" w:sz="0" w:space="0" w:color="auto"/>
            <w:right w:val="none" w:sz="0" w:space="0" w:color="auto"/>
          </w:divBdr>
          <w:divsChild>
            <w:div w:id="378011984">
              <w:marLeft w:val="0"/>
              <w:marRight w:val="0"/>
              <w:marTop w:val="0"/>
              <w:marBottom w:val="0"/>
              <w:divBdr>
                <w:top w:val="none" w:sz="0" w:space="0" w:color="auto"/>
                <w:left w:val="none" w:sz="0" w:space="0" w:color="auto"/>
                <w:bottom w:val="none" w:sz="0" w:space="0" w:color="auto"/>
                <w:right w:val="none" w:sz="0" w:space="0" w:color="auto"/>
              </w:divBdr>
            </w:div>
            <w:div w:id="1521893476">
              <w:marLeft w:val="0"/>
              <w:marRight w:val="0"/>
              <w:marTop w:val="0"/>
              <w:marBottom w:val="0"/>
              <w:divBdr>
                <w:top w:val="none" w:sz="0" w:space="0" w:color="auto"/>
                <w:left w:val="none" w:sz="0" w:space="0" w:color="auto"/>
                <w:bottom w:val="none" w:sz="0" w:space="0" w:color="auto"/>
                <w:right w:val="none" w:sz="0" w:space="0" w:color="auto"/>
              </w:divBdr>
            </w:div>
          </w:divsChild>
        </w:div>
        <w:div w:id="2076468094">
          <w:marLeft w:val="0"/>
          <w:marRight w:val="0"/>
          <w:marTop w:val="0"/>
          <w:marBottom w:val="0"/>
          <w:divBdr>
            <w:top w:val="none" w:sz="0" w:space="0" w:color="auto"/>
            <w:left w:val="none" w:sz="0" w:space="0" w:color="auto"/>
            <w:bottom w:val="none" w:sz="0" w:space="0" w:color="auto"/>
            <w:right w:val="none" w:sz="0" w:space="0" w:color="auto"/>
          </w:divBdr>
        </w:div>
      </w:divsChild>
    </w:div>
    <w:div w:id="615792901">
      <w:bodyDiv w:val="1"/>
      <w:marLeft w:val="0"/>
      <w:marRight w:val="0"/>
      <w:marTop w:val="0"/>
      <w:marBottom w:val="0"/>
      <w:divBdr>
        <w:top w:val="none" w:sz="0" w:space="0" w:color="auto"/>
        <w:left w:val="none" w:sz="0" w:space="0" w:color="auto"/>
        <w:bottom w:val="none" w:sz="0" w:space="0" w:color="auto"/>
        <w:right w:val="none" w:sz="0" w:space="0" w:color="auto"/>
      </w:divBdr>
    </w:div>
    <w:div w:id="795412272">
      <w:bodyDiv w:val="1"/>
      <w:marLeft w:val="0"/>
      <w:marRight w:val="0"/>
      <w:marTop w:val="0"/>
      <w:marBottom w:val="0"/>
      <w:divBdr>
        <w:top w:val="none" w:sz="0" w:space="0" w:color="auto"/>
        <w:left w:val="none" w:sz="0" w:space="0" w:color="auto"/>
        <w:bottom w:val="none" w:sz="0" w:space="0" w:color="auto"/>
        <w:right w:val="none" w:sz="0" w:space="0" w:color="auto"/>
      </w:divBdr>
    </w:div>
    <w:div w:id="882399889">
      <w:bodyDiv w:val="1"/>
      <w:marLeft w:val="0"/>
      <w:marRight w:val="0"/>
      <w:marTop w:val="0"/>
      <w:marBottom w:val="0"/>
      <w:divBdr>
        <w:top w:val="none" w:sz="0" w:space="0" w:color="auto"/>
        <w:left w:val="none" w:sz="0" w:space="0" w:color="auto"/>
        <w:bottom w:val="none" w:sz="0" w:space="0" w:color="auto"/>
        <w:right w:val="none" w:sz="0" w:space="0" w:color="auto"/>
      </w:divBdr>
    </w:div>
    <w:div w:id="1145852892">
      <w:bodyDiv w:val="1"/>
      <w:marLeft w:val="0"/>
      <w:marRight w:val="0"/>
      <w:marTop w:val="0"/>
      <w:marBottom w:val="0"/>
      <w:divBdr>
        <w:top w:val="none" w:sz="0" w:space="0" w:color="auto"/>
        <w:left w:val="none" w:sz="0" w:space="0" w:color="auto"/>
        <w:bottom w:val="none" w:sz="0" w:space="0" w:color="auto"/>
        <w:right w:val="none" w:sz="0" w:space="0" w:color="auto"/>
      </w:divBdr>
    </w:div>
    <w:div w:id="1225725651">
      <w:bodyDiv w:val="1"/>
      <w:marLeft w:val="0"/>
      <w:marRight w:val="0"/>
      <w:marTop w:val="0"/>
      <w:marBottom w:val="0"/>
      <w:divBdr>
        <w:top w:val="none" w:sz="0" w:space="0" w:color="auto"/>
        <w:left w:val="none" w:sz="0" w:space="0" w:color="auto"/>
        <w:bottom w:val="none" w:sz="0" w:space="0" w:color="auto"/>
        <w:right w:val="none" w:sz="0" w:space="0" w:color="auto"/>
      </w:divBdr>
    </w:div>
    <w:div w:id="1284382249">
      <w:bodyDiv w:val="1"/>
      <w:marLeft w:val="0"/>
      <w:marRight w:val="0"/>
      <w:marTop w:val="0"/>
      <w:marBottom w:val="0"/>
      <w:divBdr>
        <w:top w:val="none" w:sz="0" w:space="0" w:color="auto"/>
        <w:left w:val="none" w:sz="0" w:space="0" w:color="auto"/>
        <w:bottom w:val="none" w:sz="0" w:space="0" w:color="auto"/>
        <w:right w:val="none" w:sz="0" w:space="0" w:color="auto"/>
      </w:divBdr>
    </w:div>
    <w:div w:id="1336497791">
      <w:bodyDiv w:val="1"/>
      <w:marLeft w:val="0"/>
      <w:marRight w:val="0"/>
      <w:marTop w:val="0"/>
      <w:marBottom w:val="0"/>
      <w:divBdr>
        <w:top w:val="none" w:sz="0" w:space="0" w:color="auto"/>
        <w:left w:val="none" w:sz="0" w:space="0" w:color="auto"/>
        <w:bottom w:val="none" w:sz="0" w:space="0" w:color="auto"/>
        <w:right w:val="none" w:sz="0" w:space="0" w:color="auto"/>
      </w:divBdr>
      <w:divsChild>
        <w:div w:id="130247489">
          <w:marLeft w:val="0"/>
          <w:marRight w:val="0"/>
          <w:marTop w:val="0"/>
          <w:marBottom w:val="0"/>
          <w:divBdr>
            <w:top w:val="none" w:sz="0" w:space="0" w:color="auto"/>
            <w:left w:val="none" w:sz="0" w:space="0" w:color="auto"/>
            <w:bottom w:val="none" w:sz="0" w:space="0" w:color="auto"/>
            <w:right w:val="none" w:sz="0" w:space="0" w:color="auto"/>
          </w:divBdr>
        </w:div>
        <w:div w:id="1173454210">
          <w:marLeft w:val="0"/>
          <w:marRight w:val="0"/>
          <w:marTop w:val="0"/>
          <w:marBottom w:val="0"/>
          <w:divBdr>
            <w:top w:val="none" w:sz="0" w:space="0" w:color="auto"/>
            <w:left w:val="none" w:sz="0" w:space="0" w:color="auto"/>
            <w:bottom w:val="none" w:sz="0" w:space="0" w:color="auto"/>
            <w:right w:val="none" w:sz="0" w:space="0" w:color="auto"/>
          </w:divBdr>
        </w:div>
        <w:div w:id="2141533244">
          <w:marLeft w:val="0"/>
          <w:marRight w:val="0"/>
          <w:marTop w:val="0"/>
          <w:marBottom w:val="0"/>
          <w:divBdr>
            <w:top w:val="none" w:sz="0" w:space="0" w:color="auto"/>
            <w:left w:val="none" w:sz="0" w:space="0" w:color="auto"/>
            <w:bottom w:val="none" w:sz="0" w:space="0" w:color="auto"/>
            <w:right w:val="none" w:sz="0" w:space="0" w:color="auto"/>
          </w:divBdr>
        </w:div>
      </w:divsChild>
    </w:div>
    <w:div w:id="1412891599">
      <w:bodyDiv w:val="1"/>
      <w:marLeft w:val="0"/>
      <w:marRight w:val="0"/>
      <w:marTop w:val="0"/>
      <w:marBottom w:val="0"/>
      <w:divBdr>
        <w:top w:val="none" w:sz="0" w:space="0" w:color="auto"/>
        <w:left w:val="none" w:sz="0" w:space="0" w:color="auto"/>
        <w:bottom w:val="none" w:sz="0" w:space="0" w:color="auto"/>
        <w:right w:val="none" w:sz="0" w:space="0" w:color="auto"/>
      </w:divBdr>
    </w:div>
    <w:div w:id="1455364714">
      <w:bodyDiv w:val="1"/>
      <w:marLeft w:val="0"/>
      <w:marRight w:val="0"/>
      <w:marTop w:val="0"/>
      <w:marBottom w:val="0"/>
      <w:divBdr>
        <w:top w:val="none" w:sz="0" w:space="0" w:color="auto"/>
        <w:left w:val="none" w:sz="0" w:space="0" w:color="auto"/>
        <w:bottom w:val="none" w:sz="0" w:space="0" w:color="auto"/>
        <w:right w:val="none" w:sz="0" w:space="0" w:color="auto"/>
      </w:divBdr>
    </w:div>
    <w:div w:id="1535654828">
      <w:bodyDiv w:val="1"/>
      <w:marLeft w:val="0"/>
      <w:marRight w:val="0"/>
      <w:marTop w:val="0"/>
      <w:marBottom w:val="0"/>
      <w:divBdr>
        <w:top w:val="none" w:sz="0" w:space="0" w:color="auto"/>
        <w:left w:val="none" w:sz="0" w:space="0" w:color="auto"/>
        <w:bottom w:val="none" w:sz="0" w:space="0" w:color="auto"/>
        <w:right w:val="none" w:sz="0" w:space="0" w:color="auto"/>
      </w:divBdr>
    </w:div>
    <w:div w:id="1556768934">
      <w:bodyDiv w:val="1"/>
      <w:marLeft w:val="0"/>
      <w:marRight w:val="0"/>
      <w:marTop w:val="0"/>
      <w:marBottom w:val="0"/>
      <w:divBdr>
        <w:top w:val="none" w:sz="0" w:space="0" w:color="auto"/>
        <w:left w:val="none" w:sz="0" w:space="0" w:color="auto"/>
        <w:bottom w:val="none" w:sz="0" w:space="0" w:color="auto"/>
        <w:right w:val="none" w:sz="0" w:space="0" w:color="auto"/>
      </w:divBdr>
    </w:div>
    <w:div w:id="1749573170">
      <w:bodyDiv w:val="1"/>
      <w:marLeft w:val="0"/>
      <w:marRight w:val="0"/>
      <w:marTop w:val="0"/>
      <w:marBottom w:val="0"/>
      <w:divBdr>
        <w:top w:val="none" w:sz="0" w:space="0" w:color="auto"/>
        <w:left w:val="none" w:sz="0" w:space="0" w:color="auto"/>
        <w:bottom w:val="none" w:sz="0" w:space="0" w:color="auto"/>
        <w:right w:val="none" w:sz="0" w:space="0" w:color="auto"/>
      </w:divBdr>
    </w:div>
    <w:div w:id="1763992740">
      <w:bodyDiv w:val="1"/>
      <w:marLeft w:val="0"/>
      <w:marRight w:val="0"/>
      <w:marTop w:val="0"/>
      <w:marBottom w:val="0"/>
      <w:divBdr>
        <w:top w:val="none" w:sz="0" w:space="0" w:color="auto"/>
        <w:left w:val="none" w:sz="0" w:space="0" w:color="auto"/>
        <w:bottom w:val="none" w:sz="0" w:space="0" w:color="auto"/>
        <w:right w:val="none" w:sz="0" w:space="0" w:color="auto"/>
      </w:divBdr>
    </w:div>
    <w:div w:id="1820610378">
      <w:bodyDiv w:val="1"/>
      <w:marLeft w:val="0"/>
      <w:marRight w:val="0"/>
      <w:marTop w:val="0"/>
      <w:marBottom w:val="0"/>
      <w:divBdr>
        <w:top w:val="none" w:sz="0" w:space="0" w:color="auto"/>
        <w:left w:val="none" w:sz="0" w:space="0" w:color="auto"/>
        <w:bottom w:val="none" w:sz="0" w:space="0" w:color="auto"/>
        <w:right w:val="none" w:sz="0" w:space="0" w:color="auto"/>
      </w:divBdr>
    </w:div>
    <w:div w:id="1934047689">
      <w:bodyDiv w:val="1"/>
      <w:marLeft w:val="0"/>
      <w:marRight w:val="0"/>
      <w:marTop w:val="0"/>
      <w:marBottom w:val="0"/>
      <w:divBdr>
        <w:top w:val="none" w:sz="0" w:space="0" w:color="auto"/>
        <w:left w:val="none" w:sz="0" w:space="0" w:color="auto"/>
        <w:bottom w:val="none" w:sz="0" w:space="0" w:color="auto"/>
        <w:right w:val="none" w:sz="0" w:space="0" w:color="auto"/>
      </w:divBdr>
    </w:div>
    <w:div w:id="1942957360">
      <w:bodyDiv w:val="1"/>
      <w:marLeft w:val="0"/>
      <w:marRight w:val="0"/>
      <w:marTop w:val="0"/>
      <w:marBottom w:val="0"/>
      <w:divBdr>
        <w:top w:val="none" w:sz="0" w:space="0" w:color="auto"/>
        <w:left w:val="none" w:sz="0" w:space="0" w:color="auto"/>
        <w:bottom w:val="none" w:sz="0" w:space="0" w:color="auto"/>
        <w:right w:val="none" w:sz="0" w:space="0" w:color="auto"/>
      </w:divBdr>
    </w:div>
    <w:div w:id="1952055811">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an.Burk@h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von.Cornelius@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1/DC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Bayha@nih.hhs.gov" TargetMode="Externa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Kuethe@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re.com/c/stories/10278/what-to-charge-for-child-care-jobs-child-care-job-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4669E-0D77-473C-879E-1231DF2A3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5CECD-6C97-487D-B5BE-55AC8D33DD46}">
  <ds:schemaRefs>
    <ds:schemaRef ds:uri="http://purl.org/dc/elements/1.1/"/>
    <ds:schemaRef ds:uri="http://schemas.microsoft.com/office/2006/documentManagement/types"/>
    <ds:schemaRef ds:uri="579d9f9d-1af6-44d4-bab5-6fcb7eb5d28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6A2BA6C-2183-4D81-A3DD-54175D3395D8}">
  <ds:schemaRefs>
    <ds:schemaRef ds:uri="http://schemas.microsoft.com/sharepoint/v3/contenttype/forms"/>
  </ds:schemaRefs>
</ds:datastoreItem>
</file>

<file path=customXml/itemProps4.xml><?xml version="1.0" encoding="utf-8"?>
<ds:datastoreItem xmlns:ds="http://schemas.openxmlformats.org/officeDocument/2006/customXml" ds:itemID="{B3C6F277-6BAD-4C71-A942-3D4EA26E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3273</Words>
  <Characters>18660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21890</CharactersWithSpaces>
  <SharedDoc>false</SharedDoc>
  <HLinks>
    <vt:vector size="42" baseType="variant">
      <vt:variant>
        <vt:i4>7798909</vt:i4>
      </vt:variant>
      <vt:variant>
        <vt:i4>15</vt:i4>
      </vt:variant>
      <vt:variant>
        <vt:i4>0</vt:i4>
      </vt:variant>
      <vt:variant>
        <vt:i4>5</vt:i4>
      </vt:variant>
      <vt:variant>
        <vt:lpwstr>https://www.opm.gov/policy-data-oversight/pay-leave/salaries-wages/salary-</vt:lpwstr>
      </vt:variant>
      <vt:variant>
        <vt:lpwstr/>
      </vt:variant>
      <vt:variant>
        <vt:i4>4653106</vt:i4>
      </vt:variant>
      <vt:variant>
        <vt:i4>12</vt:i4>
      </vt:variant>
      <vt:variant>
        <vt:i4>0</vt:i4>
      </vt:variant>
      <vt:variant>
        <vt:i4>5</vt:i4>
      </vt:variant>
      <vt:variant>
        <vt:lpwstr>https://www.bls.gov/oes/current/oes_nat.htm</vt:lpwstr>
      </vt:variant>
      <vt:variant>
        <vt:lpwstr/>
      </vt:variant>
      <vt:variant>
        <vt:i4>196711</vt:i4>
      </vt:variant>
      <vt:variant>
        <vt:i4>9</vt:i4>
      </vt:variant>
      <vt:variant>
        <vt:i4>0</vt:i4>
      </vt:variant>
      <vt:variant>
        <vt:i4>5</vt:i4>
      </vt:variant>
      <vt:variant>
        <vt:lpwstr>mailto:Christine.Kuethe@hhs.gov</vt:lpwstr>
      </vt:variant>
      <vt:variant>
        <vt:lpwstr/>
      </vt:variant>
      <vt:variant>
        <vt:i4>8257557</vt:i4>
      </vt:variant>
      <vt:variant>
        <vt:i4>6</vt:i4>
      </vt:variant>
      <vt:variant>
        <vt:i4>0</vt:i4>
      </vt:variant>
      <vt:variant>
        <vt:i4>5</vt:i4>
      </vt:variant>
      <vt:variant>
        <vt:lpwstr>mailto:Brian.Burk@hhs.gov</vt:lpwstr>
      </vt:variant>
      <vt:variant>
        <vt:lpwstr/>
      </vt:variant>
      <vt:variant>
        <vt:i4>3342400</vt:i4>
      </vt:variant>
      <vt:variant>
        <vt:i4>3</vt:i4>
      </vt:variant>
      <vt:variant>
        <vt:i4>0</vt:i4>
      </vt:variant>
      <vt:variant>
        <vt:i4>5</vt:i4>
      </vt:variant>
      <vt:variant>
        <vt:lpwstr>mailto:Avon.Cornelius@hhs.gov</vt:lpwstr>
      </vt:variant>
      <vt:variant>
        <vt:lpwstr/>
      </vt:variant>
      <vt:variant>
        <vt:i4>7864413</vt:i4>
      </vt:variant>
      <vt:variant>
        <vt:i4>0</vt:i4>
      </vt:variant>
      <vt:variant>
        <vt:i4>0</vt:i4>
      </vt:variant>
      <vt:variant>
        <vt:i4>5</vt:i4>
      </vt:variant>
      <vt:variant>
        <vt:lpwstr>mailto:Ryan.Bayha@nih.hhs.gov</vt:lpwstr>
      </vt:variant>
      <vt:variant>
        <vt:lpwstr/>
      </vt:variant>
      <vt:variant>
        <vt:i4>262165</vt:i4>
      </vt:variant>
      <vt:variant>
        <vt:i4>0</vt:i4>
      </vt:variant>
      <vt:variant>
        <vt:i4>0</vt:i4>
      </vt:variant>
      <vt:variant>
        <vt:i4>5</vt:i4>
      </vt:variant>
      <vt:variant>
        <vt:lpwstr>https://www.care.com/c/stories/10278/what-to-charge-for-child-care-jobs-child-care-job-guide/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dc:creator>
  <cp:keywords/>
  <cp:lastModifiedBy>Abdelmouti, Tawanda (NIH/OD) [E]</cp:lastModifiedBy>
  <cp:revision>9</cp:revision>
  <cp:lastPrinted>2010-02-17T21:08:00Z</cp:lastPrinted>
  <dcterms:created xsi:type="dcterms:W3CDTF">2021-06-02T17:35:00Z</dcterms:created>
  <dcterms:modified xsi:type="dcterms:W3CDTF">2021-06-02T19:29:00Z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