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C483E" w:rsidR="00AE0334" w:rsidP="001C483E" w:rsidRDefault="001C483E" w14:paraId="138288C9" w14:textId="77777777">
      <w:pPr>
        <w:jc w:val="center"/>
        <w:rPr>
          <w:b/>
          <w:bCs/>
        </w:rPr>
      </w:pPr>
      <w:r w:rsidRPr="001C483E">
        <w:rPr>
          <w:b/>
          <w:bCs/>
        </w:rPr>
        <w:t xml:space="preserve">Notification of Intent to Use Schedule III, IV, or V Opioid Drugs for the Maintenance and Detoxification Treatment of Opiate Addiction </w:t>
      </w:r>
    </w:p>
    <w:p w:rsidR="001C483E" w:rsidRDefault="001C483E" w14:paraId="11C63EEB" w14:textId="77777777">
      <w:pPr>
        <w:jc w:val="center"/>
        <w:rPr>
          <w:b/>
        </w:rPr>
      </w:pPr>
    </w:p>
    <w:p w:rsidR="00E502F8" w:rsidRDefault="006576E1" w14:paraId="7D68842D" w14:textId="77777777">
      <w:pPr>
        <w:jc w:val="center"/>
        <w:rPr>
          <w:b/>
        </w:rPr>
      </w:pPr>
      <w:r>
        <w:rPr>
          <w:b/>
        </w:rPr>
        <w:t>No Material or Nonsubstantive Change Justification</w:t>
      </w:r>
    </w:p>
    <w:p w:rsidR="006B1374" w:rsidRDefault="006B1374" w14:paraId="2DA3A524" w14:textId="77777777">
      <w:pPr>
        <w:jc w:val="center"/>
      </w:pPr>
    </w:p>
    <w:p w:rsidR="00E502F8" w:rsidRDefault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1735E5" w:rsidP="00192ACA" w:rsidRDefault="001105FE" w14:paraId="6324CC26" w14:textId="77777777">
      <w:pPr>
        <w:jc w:val="both"/>
      </w:pPr>
      <w:r>
        <w:t xml:space="preserve">The Substance Abuse and Mental Health Services Administration (SAMHSA) is requesting </w:t>
      </w:r>
      <w:r w:rsidR="006576E1">
        <w:t>a no material or nonsubstantive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0930-0234) </w:t>
      </w:r>
      <w:r>
        <w:rPr>
          <w:bCs/>
        </w:rPr>
        <w:t>Notification of Intent</w:t>
      </w:r>
      <w:r w:rsidR="00F7074C">
        <w:rPr>
          <w:bCs/>
        </w:rPr>
        <w:t xml:space="preserve"> (NOI)</w:t>
      </w:r>
      <w:r>
        <w:rPr>
          <w:bCs/>
        </w:rPr>
        <w:t xml:space="preserve"> to Use Schedule III, IV, or V Opioid Drugs for the Maintenance and Detoxification Treatment of Opiate Addiction</w:t>
      </w:r>
      <w:r w:rsidR="006576E1">
        <w:rPr>
          <w:bCs/>
        </w:rPr>
        <w:t>.</w:t>
      </w:r>
      <w:r>
        <w:rPr>
          <w:bCs/>
        </w:rPr>
        <w:t xml:space="preserve"> </w:t>
      </w:r>
      <w:r w:rsidR="00B659A9">
        <w:t xml:space="preserve">This data collection </w:t>
      </w:r>
      <w:r w:rsidR="00C565D8">
        <w:t>expires on January 31, 202</w:t>
      </w:r>
      <w:r w:rsidR="006576E1">
        <w:t>3</w:t>
      </w:r>
      <w:r w:rsidR="00C565D8">
        <w:t>.</w:t>
      </w:r>
      <w:r w:rsidR="00F008F6">
        <w:t xml:space="preserve"> There are currently four </w:t>
      </w:r>
      <w:r w:rsidR="00875854">
        <w:t xml:space="preserve">forms </w:t>
      </w:r>
      <w:r w:rsidR="00F008F6">
        <w:t xml:space="preserve">approved under </w:t>
      </w:r>
      <w:r w:rsidR="00155933">
        <w:t>OMB No. 0930-0234</w:t>
      </w:r>
      <w:r w:rsidRPr="00605021" w:rsidR="00155933">
        <w:t xml:space="preserve">: </w:t>
      </w:r>
      <w:r w:rsidRPr="00605021" w:rsidR="00F7074C">
        <w:t>(</w:t>
      </w:r>
      <w:r w:rsidRPr="00605021" w:rsidR="001C483E">
        <w:t>1</w:t>
      </w:r>
      <w:r w:rsidRPr="00605021" w:rsidR="00F7074C">
        <w:t xml:space="preserve">) </w:t>
      </w:r>
      <w:r w:rsidR="008C2DA0">
        <w:t xml:space="preserve">Notice of Intent (NOI) </w:t>
      </w:r>
      <w:r w:rsidRPr="00605021" w:rsidR="00155933">
        <w:t>Physicians</w:t>
      </w:r>
      <w:r w:rsidR="00887301">
        <w:t xml:space="preserve"> for 30 and 100 Patient L</w:t>
      </w:r>
      <w:r w:rsidRPr="00605021" w:rsidR="00F7074C">
        <w:t>imit; and (</w:t>
      </w:r>
      <w:r w:rsidRPr="00605021" w:rsidR="001C483E">
        <w:t>2</w:t>
      </w:r>
      <w:r w:rsidRPr="00605021" w:rsidR="00F7074C">
        <w:t xml:space="preserve">) </w:t>
      </w:r>
      <w:r w:rsidR="008C2DA0">
        <w:t xml:space="preserve">NOI </w:t>
      </w:r>
      <w:r w:rsidRPr="00605021" w:rsidR="00303E21">
        <w:t>Qualifying Othe</w:t>
      </w:r>
      <w:r w:rsidR="00887301">
        <w:t>r Practitioners for 30 and 100 Patient L</w:t>
      </w:r>
      <w:r w:rsidRPr="00605021" w:rsidR="00303E21">
        <w:t>imit</w:t>
      </w:r>
      <w:r w:rsidRPr="00605021" w:rsidR="00155933">
        <w:t>; and (3)</w:t>
      </w:r>
      <w:r w:rsidR="00887301">
        <w:t xml:space="preserve"> NOI 275 Patient L</w:t>
      </w:r>
      <w:r w:rsidRPr="00605021" w:rsidR="00303E21">
        <w:t>imit for all Qualifying Practitioners</w:t>
      </w:r>
      <w:r w:rsidRPr="00605021" w:rsidR="0093181B">
        <w:t>; and (4) Practi</w:t>
      </w:r>
      <w:r w:rsidRPr="00605021" w:rsidR="00605021">
        <w:t>ti</w:t>
      </w:r>
      <w:r w:rsidRPr="00605021" w:rsidR="0093181B">
        <w:t>oner Reporting Form.</w:t>
      </w:r>
    </w:p>
    <w:p w:rsidR="001735E5" w:rsidP="00192ACA" w:rsidRDefault="001735E5" w14:paraId="15B8CC36" w14:textId="77777777">
      <w:pPr>
        <w:jc w:val="both"/>
      </w:pPr>
    </w:p>
    <w:p w:rsidR="00F008F6" w:rsidP="00192ACA" w:rsidRDefault="00F008F6" w14:paraId="6D7EF78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SAMHSA is requesting changes to two of the four approved documents. It is requesting to make no material or nonsubstantive changes to the </w:t>
      </w:r>
      <w:r w:rsidRPr="00605021">
        <w:t>Physicians for 30 and 100 patient limit</w:t>
      </w:r>
      <w:r>
        <w:t xml:space="preserve"> and </w:t>
      </w:r>
      <w:r w:rsidRPr="00605021">
        <w:t>Qualifying Other Practitioners for 30 and 100 patient limit</w:t>
      </w:r>
      <w:r>
        <w:t xml:space="preserve"> forms. On </w:t>
      </w:r>
      <w:r w:rsidR="009F293B">
        <w:t xml:space="preserve">April 28, 2021 </w:t>
      </w:r>
      <w:r w:rsidR="008C2DA0">
        <w:t>the Department of Health and Human Services (</w:t>
      </w:r>
      <w:r w:rsidRPr="00F008F6">
        <w:t>HHS</w:t>
      </w:r>
      <w:r w:rsidR="008C2DA0">
        <w:t>)</w:t>
      </w:r>
      <w:r w:rsidRPr="00F008F6">
        <w:t xml:space="preserve"> issued the new </w:t>
      </w:r>
      <w:r w:rsidRPr="009F293B" w:rsidR="009F293B">
        <w:rPr>
          <w:i/>
          <w:iCs/>
        </w:rPr>
        <w:t>Practice Guidelines for the Administration of Buprenorphine for Treating Opioid Use Disorder</w:t>
      </w:r>
      <w:r w:rsidRPr="00F008F6">
        <w:t xml:space="preserve"> </w:t>
      </w:r>
      <w:r w:rsidR="006B31AB">
        <w:t>(</w:t>
      </w:r>
      <w:r w:rsidRPr="006B31AB" w:rsidR="006B31AB">
        <w:t>86 FR 22439</w:t>
      </w:r>
      <w:r w:rsidR="006B31AB">
        <w:t>)</w:t>
      </w:r>
      <w:r w:rsidRPr="006B31AB" w:rsidR="006B31AB">
        <w:t xml:space="preserve"> </w:t>
      </w:r>
      <w:r w:rsidRPr="00F008F6">
        <w:t>in an expedited manner</w:t>
      </w:r>
      <w:r w:rsidR="00633F64">
        <w:t>,</w:t>
      </w:r>
      <w:r w:rsidRPr="00F008F6">
        <w:t xml:space="preserve"> </w:t>
      </w:r>
      <w:r w:rsidR="003E341E">
        <w:t>which prevented</w:t>
      </w:r>
      <w:r w:rsidRPr="00F008F6">
        <w:t xml:space="preserve"> SAMHSA </w:t>
      </w:r>
      <w:r w:rsidR="003E341E">
        <w:t>from</w:t>
      </w:r>
      <w:r w:rsidR="00A202A2">
        <w:t xml:space="preserve"> purs</w:t>
      </w:r>
      <w:r w:rsidR="008C2DA0">
        <w:t>u</w:t>
      </w:r>
      <w:r w:rsidR="00A202A2">
        <w:t>ing the normal</w:t>
      </w:r>
      <w:r w:rsidR="008C2DA0">
        <w:t xml:space="preserve"> Paperwork Reduction Act (PRA)</w:t>
      </w:r>
      <w:r w:rsidR="00A202A2">
        <w:t xml:space="preserve"> process.</w:t>
      </w:r>
      <w:r w:rsidR="009F293B">
        <w:t xml:space="preserve"> </w:t>
      </w:r>
      <w:r w:rsidR="00A202A2">
        <w:t>This</w:t>
      </w:r>
      <w:r w:rsidR="009F293B">
        <w:t xml:space="preserve"> data</w:t>
      </w:r>
      <w:r w:rsidRPr="00F008F6">
        <w:t xml:space="preserve"> collection is essential to</w:t>
      </w:r>
      <w:r w:rsidR="00A202A2">
        <w:t xml:space="preserve"> the implementation of</w:t>
      </w:r>
      <w:r w:rsidRPr="00F008F6">
        <w:t xml:space="preserve"> SAMHSA’s mission</w:t>
      </w:r>
      <w:r w:rsidR="00A202A2">
        <w:t xml:space="preserve"> to re</w:t>
      </w:r>
      <w:r w:rsidRPr="00A202A2" w:rsidR="00A202A2">
        <w:t xml:space="preserve">duce the impact of substance </w:t>
      </w:r>
      <w:r w:rsidR="00A202A2">
        <w:t xml:space="preserve">use disorders </w:t>
      </w:r>
      <w:r w:rsidRPr="00A202A2" w:rsidR="00A202A2">
        <w:t>on America's communities.</w:t>
      </w:r>
    </w:p>
    <w:p w:rsidR="009F293B" w:rsidP="00192ACA" w:rsidRDefault="009F293B" w14:paraId="3AE9D91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605021" w:rsidP="00192ACA" w:rsidRDefault="009F293B" w14:paraId="38394CD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>S</w:t>
      </w:r>
      <w:r w:rsidR="003E341E">
        <w:t>AMHSA is requesting approval for the additional text to section 8 “</w:t>
      </w:r>
      <w:r w:rsidRPr="00EF6F8D" w:rsidR="003E341E">
        <w:rPr>
          <w:rStyle w:val="consent1"/>
          <w:rFonts w:ascii="Gill Sans MT" w:hAnsi="Gill Sans MT"/>
          <w:kern w:val="36"/>
          <w:sz w:val="18"/>
          <w:szCs w:val="18"/>
        </w:rPr>
        <w:t>CERTIFICATION OF QUALIFYING CRITERIA</w:t>
      </w:r>
      <w:r w:rsidR="003E341E">
        <w:rPr>
          <w:rStyle w:val="consent1"/>
          <w:rFonts w:ascii="Gill Sans MT" w:hAnsi="Gill Sans MT"/>
          <w:kern w:val="36"/>
          <w:sz w:val="18"/>
          <w:szCs w:val="18"/>
        </w:rPr>
        <w:t xml:space="preserve">” </w:t>
      </w:r>
      <w:r w:rsidR="003E341E">
        <w:t xml:space="preserve">to both the </w:t>
      </w:r>
      <w:r w:rsidR="008C2DA0">
        <w:t xml:space="preserve">NOI </w:t>
      </w:r>
      <w:r w:rsidR="00887301">
        <w:t>Physicians for 30 and 100 Patient L</w:t>
      </w:r>
      <w:r w:rsidRPr="00605021">
        <w:t>imit</w:t>
      </w:r>
      <w:r>
        <w:t xml:space="preserve"> </w:t>
      </w:r>
      <w:r w:rsidR="003E341E">
        <w:t xml:space="preserve">and </w:t>
      </w:r>
      <w:r w:rsidR="00887301">
        <w:t xml:space="preserve">the </w:t>
      </w:r>
      <w:r w:rsidR="008C2DA0">
        <w:t xml:space="preserve">NOI </w:t>
      </w:r>
      <w:r w:rsidRPr="00605021">
        <w:t>Qualifying Othe</w:t>
      </w:r>
      <w:r w:rsidR="00887301">
        <w:t>r Practitioners for 30 and 100 Patient L</w:t>
      </w:r>
      <w:r w:rsidRPr="00605021">
        <w:t>imit</w:t>
      </w:r>
      <w:r w:rsidR="003E341E">
        <w:t xml:space="preserve"> form</w:t>
      </w:r>
      <w:r w:rsidR="00887301">
        <w:t>s</w:t>
      </w:r>
      <w:r w:rsidR="003E341E">
        <w:t>:</w:t>
      </w:r>
    </w:p>
    <w:p w:rsidR="003E341E" w:rsidP="00192ACA" w:rsidRDefault="003E341E" w14:paraId="0945FB5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Pr="0043528E" w:rsidR="003E341E" w:rsidP="003E341E" w:rsidRDefault="003E341E" w14:paraId="5CC848FE" w14:textId="77777777">
      <w:pPr>
        <w:rPr>
          <w:color w:val="FF0000"/>
        </w:rPr>
      </w:pP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  <w:instrText xml:space="preserve"> FORMCHECKBOX </w:instrText>
      </w: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</w: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  <w:fldChar w:fldCharType="separate"/>
      </w: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  <w:fldChar w:fldCharType="end"/>
      </w:r>
      <w:r w:rsidRPr="0043528E">
        <w:rPr>
          <w:rFonts w:ascii="Gill Sans MT" w:hAnsi="Gill Sans MT"/>
          <w:b/>
          <w:color w:val="FF0000"/>
          <w:kern w:val="36"/>
          <w:sz w:val="16"/>
          <w:szCs w:val="16"/>
        </w:rPr>
        <w:t xml:space="preserve">  </w:t>
      </w:r>
      <w:r w:rsidRPr="0043528E">
        <w:rPr>
          <w:color w:val="FF0000"/>
        </w:rPr>
        <w:t xml:space="preserve">SAMHSA/HHS Buprenorphine practice guideline exemption </w:t>
      </w:r>
      <w:hyperlink w:history="1" r:id="rId8">
        <w:r w:rsidRPr="004D5ACA">
          <w:rPr>
            <w:rStyle w:val="Hyperlink"/>
            <w:color w:val="2E74B5"/>
          </w:rPr>
          <w:t>(April 2021).</w:t>
        </w:r>
      </w:hyperlink>
      <w:r w:rsidRPr="0043528E">
        <w:rPr>
          <w:color w:val="FF0000"/>
        </w:rPr>
        <w:t xml:space="preserve"> These practice guidelines exempt covered practitioners licensed under state law, and who possess a valid DEA registration, from certification requirements related to training, counseling, and other ancillary services (i.e., direct provision of or referral to psychosocial services). </w:t>
      </w:r>
    </w:p>
    <w:p w:rsidRPr="0043528E" w:rsidR="003E341E" w:rsidP="003E341E" w:rsidRDefault="003E341E" w14:paraId="0AA512F1" w14:textId="77777777">
      <w:pPr>
        <w:rPr>
          <w:color w:val="FF0000"/>
        </w:rPr>
      </w:pPr>
    </w:p>
    <w:p w:rsidR="003E341E" w:rsidP="003E341E" w:rsidRDefault="003E341E" w14:paraId="79D452C8" w14:textId="77777777">
      <w:pPr>
        <w:rPr>
          <w:rFonts w:ascii="Georgia" w:hAnsi="Georgia"/>
          <w:color w:val="FF0000"/>
          <w:shd w:val="clear" w:color="auto" w:fill="F1F1F1"/>
        </w:rPr>
      </w:pPr>
      <w:r w:rsidRPr="0043528E">
        <w:rPr>
          <w:color w:val="FF0000"/>
        </w:rPr>
        <w:t xml:space="preserve">This exemption only applies to those treating up to 30 patients. </w:t>
      </w:r>
      <w:r w:rsidRPr="00ED4DBB">
        <w:rPr>
          <w:rFonts w:ascii="Georgia" w:hAnsi="Georgia"/>
          <w:color w:val="FF0000"/>
        </w:rPr>
        <w:t xml:space="preserve">Time spent practicing under this exemption will not qualify the practitioner for a higher patient limit. </w:t>
      </w:r>
    </w:p>
    <w:p w:rsidR="003E341E" w:rsidP="00192ACA" w:rsidRDefault="003E341E" w14:paraId="6178BB7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3E341E" w:rsidP="00192ACA" w:rsidRDefault="00555833" w14:paraId="6FBBB06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The above text will be red </w:t>
      </w:r>
      <w:r w:rsidR="002A0955">
        <w:t>in the online form.</w:t>
      </w:r>
      <w:r>
        <w:t xml:space="preserve"> </w:t>
      </w:r>
      <w:r w:rsidR="00A202A2">
        <w:t>If practitioners select this option,</w:t>
      </w:r>
      <w:r w:rsidR="003E341E">
        <w:t xml:space="preserve"> skip logic </w:t>
      </w:r>
      <w:r w:rsidR="00A202A2">
        <w:t>programmed in the</w:t>
      </w:r>
      <w:r w:rsidR="003E341E">
        <w:t xml:space="preserve"> online form </w:t>
      </w:r>
      <w:r w:rsidR="00A202A2">
        <w:t xml:space="preserve">will remove the options for </w:t>
      </w:r>
      <w:r w:rsidRPr="00A202A2" w:rsidR="00A202A2">
        <w:t>practitioner</w:t>
      </w:r>
      <w:r w:rsidR="00A202A2">
        <w:t xml:space="preserve">s to </w:t>
      </w:r>
      <w:r w:rsidR="00633F64">
        <w:t xml:space="preserve">provide </w:t>
      </w:r>
      <w:r w:rsidR="00A202A2">
        <w:t>information</w:t>
      </w:r>
      <w:r w:rsidRPr="00A202A2" w:rsidR="00A202A2">
        <w:t xml:space="preserve"> related to training, counseling, and other ancillary services (i.e., direct provision of or referral to psychosocial services).</w:t>
      </w:r>
      <w:r>
        <w:t xml:space="preserve"> </w:t>
      </w:r>
    </w:p>
    <w:p w:rsidR="00E502F8" w:rsidP="00192ACA" w:rsidRDefault="00E502F8" w14:paraId="0E6B047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B472A1" w:rsidP="00192ACA" w:rsidRDefault="00B472A1" w14:paraId="3A95E5F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605021" w:rsidP="00192ACA" w:rsidRDefault="00605021" w14:paraId="23A45E8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  <w:szCs w:val="24"/>
          <w:lang w:val="en"/>
        </w:rPr>
      </w:pPr>
    </w:p>
    <w:sectPr w:rsidR="00605021" w:rsidSect="00C442AE"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58758" w14:textId="77777777" w:rsidR="00217424" w:rsidRDefault="00217424">
      <w:r>
        <w:separator/>
      </w:r>
    </w:p>
  </w:endnote>
  <w:endnote w:type="continuationSeparator" w:id="0">
    <w:p w14:paraId="6C3A2A55" w14:textId="77777777" w:rsidR="00217424" w:rsidRDefault="002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36162" w14:textId="77777777" w:rsidR="000144A1" w:rsidRDefault="000144A1" w:rsidP="00DB0596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14:paraId="1C7B9404" w14:textId="77777777" w:rsidR="000144A1" w:rsidRDefault="000144A1" w:rsidP="00C442AE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ADEB8" w14:textId="77777777" w:rsidR="00217424" w:rsidRDefault="00217424">
      <w:r>
        <w:separator/>
      </w:r>
    </w:p>
  </w:footnote>
  <w:footnote w:type="continuationSeparator" w:id="0">
    <w:p w14:paraId="4D2BDCCE" w14:textId="77777777" w:rsidR="00217424" w:rsidRDefault="0021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 w15:restartNumberingAfterBreak="0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 w15:restartNumberingAfterBreak="0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 w15:restartNumberingAfterBreak="0">
    <w:nsid w:val="05A23EB5"/>
    <w:multiLevelType w:val="hybridMultilevel"/>
    <w:tmpl w:val="449C9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82048"/>
    <w:multiLevelType w:val="hybridMultilevel"/>
    <w:tmpl w:val="3D60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BC8"/>
    <w:multiLevelType w:val="hybridMultilevel"/>
    <w:tmpl w:val="CBC4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0A50"/>
    <w:multiLevelType w:val="hybridMultilevel"/>
    <w:tmpl w:val="72E4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9D"/>
    <w:rsid w:val="000005EC"/>
    <w:rsid w:val="00006F47"/>
    <w:rsid w:val="00007B4C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5938"/>
    <w:rsid w:val="001050B7"/>
    <w:rsid w:val="0010661D"/>
    <w:rsid w:val="001105FE"/>
    <w:rsid w:val="00110778"/>
    <w:rsid w:val="00110901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14CFD"/>
    <w:rsid w:val="00717E27"/>
    <w:rsid w:val="00724EE7"/>
    <w:rsid w:val="00730805"/>
    <w:rsid w:val="00733B29"/>
    <w:rsid w:val="0073606B"/>
    <w:rsid w:val="00736EB6"/>
    <w:rsid w:val="00737F9D"/>
    <w:rsid w:val="00740E28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7929"/>
    <w:rsid w:val="007D375E"/>
    <w:rsid w:val="007E3C43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5B48"/>
    <w:rsid w:val="00887301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E65"/>
    <w:rsid w:val="00B1484D"/>
    <w:rsid w:val="00B15D81"/>
    <w:rsid w:val="00B23D98"/>
    <w:rsid w:val="00B243A3"/>
    <w:rsid w:val="00B350B1"/>
    <w:rsid w:val="00B374B1"/>
    <w:rsid w:val="00B37D6E"/>
    <w:rsid w:val="00B44DE9"/>
    <w:rsid w:val="00B45565"/>
    <w:rsid w:val="00B472A1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6A14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739534"/>
  <w15:chartTrackingRefBased/>
  <w15:docId w15:val="{3CEB9D4C-7216-4ABE-9E2E-F6FBECCF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968">
          <w:marLeft w:val="0"/>
          <w:marRight w:val="0"/>
          <w:marTop w:val="2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8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EEEEE"/>
                                <w:left w:val="single" w:sz="6" w:space="8" w:color="EEEEEE"/>
                                <w:bottom w:val="single" w:sz="6" w:space="8" w:color="EEEEEE"/>
                                <w:right w:val="single" w:sz="6" w:space="8" w:color="EEEEEE"/>
                              </w:divBdr>
                              <w:divsChild>
                                <w:div w:id="21328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2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1/04/28/2021-08961/practice-guidelines-for-the-administration-of-buprenorphine-for-treating-opioid-use-disor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 to Use Schedule III, IV, or V Opioid Drugs</vt:lpstr>
    </vt:vector>
  </TitlesOfParts>
  <Company>SAMHSA</Company>
  <LinksUpToDate>false</LinksUpToDate>
  <CharactersWithSpaces>2873</CharactersWithSpaces>
  <SharedDoc>false</SharedDoc>
  <HLinks>
    <vt:vector size="6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https://www.federalregister.gov/documents/2021/04/28/2021-08961/practice-guidelines-for-the-administration-of-buprenorphine-for-treating-opioid-use-disorder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 to Use Schedule III, IV, or V Opioid Drugs</dc:title>
  <dc:subject/>
  <dc:creator>Doug Slothouber</dc:creator>
  <cp:keywords/>
  <cp:lastModifiedBy>Graham, Carlos (SAMHSA/OA)</cp:lastModifiedBy>
  <cp:revision>2</cp:revision>
  <cp:lastPrinted>2016-08-04T21:23:00Z</cp:lastPrinted>
  <dcterms:created xsi:type="dcterms:W3CDTF">2021-05-26T15:33:00Z</dcterms:created>
  <dcterms:modified xsi:type="dcterms:W3CDTF">2021-05-26T15:33:00Z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