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596B" w:rsidR="009B633D" w:rsidP="009B633D" w:rsidRDefault="009B633D" w14:paraId="5DFD9DD0" w14:textId="77777777">
      <w:pPr>
        <w:jc w:val="center"/>
        <w:rPr>
          <w:i/>
          <w:sz w:val="28"/>
          <w:szCs w:val="28"/>
        </w:rPr>
      </w:pPr>
    </w:p>
    <w:p w:rsidR="009B633D" w:rsidP="009B633D" w:rsidRDefault="009B633D" w14:paraId="659C17D7" w14:textId="77777777">
      <w:pPr>
        <w:jc w:val="center"/>
        <w:rPr>
          <w:sz w:val="28"/>
          <w:szCs w:val="28"/>
        </w:rPr>
      </w:pPr>
    </w:p>
    <w:p w:rsidR="009B633D" w:rsidP="009B633D" w:rsidRDefault="009B633D" w14:paraId="304B86CC" w14:textId="77777777">
      <w:pPr>
        <w:jc w:val="center"/>
        <w:rPr>
          <w:sz w:val="28"/>
          <w:szCs w:val="28"/>
        </w:rPr>
      </w:pPr>
    </w:p>
    <w:p w:rsidR="009B633D" w:rsidP="009B633D" w:rsidRDefault="009B633D" w14:paraId="5C7F04F8" w14:textId="77777777">
      <w:pPr>
        <w:jc w:val="center"/>
        <w:rPr>
          <w:sz w:val="28"/>
          <w:szCs w:val="28"/>
        </w:rPr>
      </w:pPr>
    </w:p>
    <w:p w:rsidR="009B633D" w:rsidP="009B633D" w:rsidRDefault="00456179" w14:paraId="0FEE752A" w14:textId="77777777">
      <w:pPr>
        <w:jc w:val="center"/>
        <w:rPr>
          <w:b/>
          <w:sz w:val="28"/>
          <w:szCs w:val="28"/>
        </w:rPr>
      </w:pPr>
      <w:r w:rsidRPr="00456179">
        <w:rPr>
          <w:b/>
          <w:sz w:val="28"/>
          <w:szCs w:val="28"/>
        </w:rPr>
        <w:t>SUPPORTING STATEMENT</w:t>
      </w:r>
    </w:p>
    <w:p w:rsidR="00635119" w:rsidP="009B633D" w:rsidRDefault="00635119" w14:paraId="4A118248" w14:textId="77777777">
      <w:pPr>
        <w:jc w:val="center"/>
        <w:rPr>
          <w:b/>
          <w:sz w:val="28"/>
          <w:szCs w:val="28"/>
        </w:rPr>
      </w:pPr>
    </w:p>
    <w:p w:rsidR="009B633D" w:rsidP="009B633D" w:rsidRDefault="009B633D" w14:paraId="1CBFDC93" w14:textId="77777777">
      <w:pPr>
        <w:jc w:val="center"/>
        <w:rPr>
          <w:sz w:val="28"/>
          <w:szCs w:val="28"/>
        </w:rPr>
      </w:pPr>
    </w:p>
    <w:p w:rsidR="009B633D" w:rsidP="009B633D" w:rsidRDefault="009B633D" w14:paraId="077DB3C5" w14:textId="77777777">
      <w:pPr>
        <w:jc w:val="center"/>
        <w:rPr>
          <w:sz w:val="28"/>
          <w:szCs w:val="28"/>
        </w:rPr>
      </w:pPr>
    </w:p>
    <w:p w:rsidR="009B633D" w:rsidP="009B633D" w:rsidRDefault="009B633D" w14:paraId="7C66412A" w14:textId="77777777">
      <w:pPr>
        <w:jc w:val="center"/>
        <w:rPr>
          <w:sz w:val="28"/>
          <w:szCs w:val="28"/>
        </w:rPr>
      </w:pPr>
    </w:p>
    <w:p w:rsidR="009B633D" w:rsidP="009B633D" w:rsidRDefault="009B633D" w14:paraId="79DED5BA" w14:textId="77777777">
      <w:pPr>
        <w:jc w:val="center"/>
        <w:rPr>
          <w:sz w:val="28"/>
          <w:szCs w:val="28"/>
        </w:rPr>
      </w:pPr>
    </w:p>
    <w:p w:rsidR="009B633D" w:rsidP="009B633D" w:rsidRDefault="009B633D" w14:paraId="74BA28F1" w14:textId="77777777">
      <w:pPr>
        <w:jc w:val="center"/>
        <w:rPr>
          <w:sz w:val="28"/>
          <w:szCs w:val="28"/>
        </w:rPr>
      </w:pPr>
    </w:p>
    <w:p w:rsidR="009B633D" w:rsidP="009B633D" w:rsidRDefault="009B633D" w14:paraId="24C1A6CE" w14:textId="77777777">
      <w:pPr>
        <w:jc w:val="center"/>
        <w:rPr>
          <w:sz w:val="28"/>
          <w:szCs w:val="28"/>
        </w:rPr>
      </w:pPr>
    </w:p>
    <w:p w:rsidR="009B633D" w:rsidP="009B633D" w:rsidRDefault="009B633D" w14:paraId="3428ED0D" w14:textId="77777777">
      <w:pPr>
        <w:jc w:val="center"/>
        <w:rPr>
          <w:sz w:val="28"/>
          <w:szCs w:val="28"/>
        </w:rPr>
      </w:pPr>
    </w:p>
    <w:p w:rsidRPr="00F96478" w:rsidR="007D2508" w:rsidP="00F96478" w:rsidRDefault="007D2508" w14:paraId="211AD8C0" w14:textId="77777777">
      <w:pPr>
        <w:spacing w:after="120" w:line="276" w:lineRule="auto"/>
        <w:ind w:left="-270" w:right="-180"/>
        <w:jc w:val="center"/>
        <w:rPr>
          <w:rFonts w:eastAsia="Calibri"/>
          <w:bCs/>
          <w:i/>
          <w:iCs/>
          <w:sz w:val="28"/>
          <w:szCs w:val="28"/>
        </w:rPr>
      </w:pPr>
      <w:r w:rsidRPr="007D2508">
        <w:rPr>
          <w:rFonts w:eastAsia="Calibri"/>
          <w:bCs/>
          <w:sz w:val="28"/>
          <w:szCs w:val="28"/>
        </w:rPr>
        <w:t>Safety Program in Perinatal Care (SPPC)-II Demonstration Project</w:t>
      </w:r>
    </w:p>
    <w:p w:rsidRPr="00082047" w:rsidR="009B633D" w:rsidP="009B633D" w:rsidRDefault="009B633D" w14:paraId="1DFA0D1A" w14:textId="77777777">
      <w:pPr>
        <w:jc w:val="center"/>
        <w:rPr>
          <w:i/>
          <w:sz w:val="28"/>
          <w:szCs w:val="28"/>
        </w:rPr>
      </w:pPr>
    </w:p>
    <w:p w:rsidR="009B633D" w:rsidP="009B633D" w:rsidRDefault="009B633D" w14:paraId="1CD55FA3" w14:textId="77777777">
      <w:pPr>
        <w:jc w:val="center"/>
        <w:rPr>
          <w:sz w:val="28"/>
          <w:szCs w:val="28"/>
        </w:rPr>
      </w:pPr>
    </w:p>
    <w:p w:rsidR="009B633D" w:rsidP="009B633D" w:rsidRDefault="009B633D" w14:paraId="40C2A4BD" w14:textId="77777777">
      <w:pPr>
        <w:jc w:val="center"/>
        <w:rPr>
          <w:sz w:val="28"/>
          <w:szCs w:val="28"/>
        </w:rPr>
      </w:pPr>
    </w:p>
    <w:p w:rsidR="009B633D" w:rsidP="009B633D" w:rsidRDefault="009B633D" w14:paraId="0636CD2A" w14:textId="77777777">
      <w:pPr>
        <w:jc w:val="center"/>
        <w:rPr>
          <w:sz w:val="28"/>
          <w:szCs w:val="28"/>
        </w:rPr>
      </w:pPr>
    </w:p>
    <w:p w:rsidRPr="007D2508" w:rsidR="009B633D" w:rsidP="009B633D" w:rsidRDefault="00BB1C2F" w14:paraId="7F698A50" w14:textId="7324CBFD">
      <w:pPr>
        <w:jc w:val="center"/>
        <w:rPr>
          <w:b/>
          <w:sz w:val="28"/>
          <w:szCs w:val="28"/>
        </w:rPr>
      </w:pPr>
      <w:r w:rsidRPr="00A22790">
        <w:rPr>
          <w:b/>
          <w:sz w:val="28"/>
          <w:szCs w:val="28"/>
        </w:rPr>
        <w:t>Version</w:t>
      </w:r>
      <w:r w:rsidRPr="00A22790" w:rsidR="00FF42BD">
        <w:rPr>
          <w:b/>
          <w:sz w:val="28"/>
          <w:szCs w:val="28"/>
        </w:rPr>
        <w:t>:</w:t>
      </w:r>
      <w:r w:rsidRPr="00A22790">
        <w:rPr>
          <w:b/>
          <w:sz w:val="28"/>
          <w:szCs w:val="28"/>
        </w:rPr>
        <w:t xml:space="preserve"> </w:t>
      </w:r>
      <w:r w:rsidR="00986BAE">
        <w:rPr>
          <w:sz w:val="28"/>
          <w:szCs w:val="28"/>
        </w:rPr>
        <w:t>December 16</w:t>
      </w:r>
      <w:r w:rsidR="00D31E4E">
        <w:rPr>
          <w:sz w:val="28"/>
          <w:szCs w:val="28"/>
        </w:rPr>
        <w:t>, 2020</w:t>
      </w:r>
    </w:p>
    <w:p w:rsidR="009B633D" w:rsidP="009B633D" w:rsidRDefault="009B633D" w14:paraId="0EEC18E6" w14:textId="77777777">
      <w:pPr>
        <w:jc w:val="center"/>
        <w:rPr>
          <w:i/>
          <w:sz w:val="28"/>
          <w:szCs w:val="28"/>
        </w:rPr>
      </w:pPr>
    </w:p>
    <w:p w:rsidR="009B633D" w:rsidP="009B633D" w:rsidRDefault="009B633D" w14:paraId="1283F085" w14:textId="77777777">
      <w:pPr>
        <w:jc w:val="center"/>
        <w:rPr>
          <w:sz w:val="28"/>
          <w:szCs w:val="28"/>
        </w:rPr>
      </w:pPr>
    </w:p>
    <w:p w:rsidR="009B633D" w:rsidP="009B633D" w:rsidRDefault="009B633D" w14:paraId="6AAEE44C" w14:textId="77777777">
      <w:pPr>
        <w:jc w:val="center"/>
        <w:rPr>
          <w:sz w:val="28"/>
          <w:szCs w:val="28"/>
        </w:rPr>
      </w:pPr>
    </w:p>
    <w:p w:rsidR="009B633D" w:rsidP="009B633D" w:rsidRDefault="009B633D" w14:paraId="52792A79" w14:textId="77777777">
      <w:pPr>
        <w:jc w:val="center"/>
        <w:rPr>
          <w:sz w:val="28"/>
          <w:szCs w:val="28"/>
        </w:rPr>
      </w:pPr>
    </w:p>
    <w:p w:rsidR="009B633D" w:rsidP="009B633D" w:rsidRDefault="009B633D" w14:paraId="0D5F4F42" w14:textId="77777777">
      <w:pPr>
        <w:jc w:val="center"/>
        <w:rPr>
          <w:sz w:val="28"/>
          <w:szCs w:val="28"/>
        </w:rPr>
      </w:pPr>
    </w:p>
    <w:p w:rsidR="009B633D" w:rsidP="009B633D" w:rsidRDefault="009B633D" w14:paraId="1C704EA7" w14:textId="77777777">
      <w:pPr>
        <w:jc w:val="center"/>
        <w:rPr>
          <w:sz w:val="28"/>
          <w:szCs w:val="28"/>
        </w:rPr>
      </w:pPr>
    </w:p>
    <w:p w:rsidR="009B633D" w:rsidP="009B633D" w:rsidRDefault="009B633D" w14:paraId="1B860E93" w14:textId="68598221">
      <w:pPr>
        <w:jc w:val="center"/>
        <w:rPr>
          <w:sz w:val="28"/>
          <w:szCs w:val="28"/>
        </w:rPr>
      </w:pPr>
      <w:r w:rsidRPr="00677A0B">
        <w:rPr>
          <w:sz w:val="28"/>
          <w:szCs w:val="28"/>
        </w:rPr>
        <w:t xml:space="preserve">Agency </w:t>
      </w:r>
      <w:r w:rsidR="00A12EC4">
        <w:rPr>
          <w:sz w:val="28"/>
          <w:szCs w:val="28"/>
        </w:rPr>
        <w:t>for</w:t>
      </w:r>
      <w:r w:rsidRPr="00677A0B">
        <w:rPr>
          <w:sz w:val="28"/>
          <w:szCs w:val="28"/>
        </w:rPr>
        <w:t xml:space="preserve"> Healthcare Research and Quality (AHRQ)</w:t>
      </w:r>
    </w:p>
    <w:p w:rsidR="009B633D" w:rsidRDefault="009B633D" w14:paraId="00E9CFD5" w14:textId="77777777">
      <w:pPr>
        <w:rPr>
          <w:sz w:val="28"/>
          <w:szCs w:val="28"/>
        </w:rPr>
      </w:pPr>
    </w:p>
    <w:p w:rsidR="009B633D" w:rsidRDefault="009B633D" w14:paraId="24D6DB39" w14:textId="77777777">
      <w:pPr>
        <w:rPr>
          <w:sz w:val="28"/>
          <w:szCs w:val="28"/>
        </w:rPr>
      </w:pPr>
    </w:p>
    <w:p w:rsidR="009B633D" w:rsidP="008C580E" w:rsidRDefault="009B633D" w14:paraId="61A4E010" w14:textId="77777777">
      <w:pPr>
        <w:rPr>
          <w:b/>
        </w:rPr>
      </w:pPr>
      <w:r>
        <w:br w:type="page"/>
      </w:r>
      <w:r w:rsidRPr="001D0454">
        <w:rPr>
          <w:b/>
        </w:rPr>
        <w:lastRenderedPageBreak/>
        <w:t>Table of contents</w:t>
      </w:r>
    </w:p>
    <w:p w:rsidR="00EB58F3" w:rsidP="009B633D" w:rsidRDefault="00EB58F3" w14:paraId="0D34C0A9" w14:textId="77777777">
      <w:pPr>
        <w:jc w:val="center"/>
        <w:rPr>
          <w:b/>
        </w:rPr>
      </w:pPr>
    </w:p>
    <w:p w:rsidR="00EB58F3" w:rsidP="007B3A8E" w:rsidRDefault="008C580E" w14:paraId="3BCFD256" w14:textId="77777777">
      <w:pPr>
        <w:tabs>
          <w:tab w:val="left" w:leader="dot" w:pos="8280"/>
        </w:tabs>
      </w:pPr>
      <w:r w:rsidRPr="008C580E">
        <w:t>A. Justification</w:t>
      </w:r>
      <w:r w:rsidR="007B3A8E">
        <w:tab/>
        <w:t>3</w:t>
      </w:r>
    </w:p>
    <w:p w:rsidR="007B3A8E" w:rsidP="007B3A8E" w:rsidRDefault="007B3A8E" w14:paraId="2EC4F6E6"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rsidRDefault="007B3A8E" w14:paraId="55409E3C" w14:textId="77777777">
      <w:pPr>
        <w:tabs>
          <w:tab w:val="left" w:pos="360"/>
          <w:tab w:val="left" w:leader="dot" w:pos="8280"/>
        </w:tabs>
      </w:pPr>
      <w:r>
        <w:tab/>
        <w:t xml:space="preserve">2. </w:t>
      </w:r>
      <w:r w:rsidR="006014DB">
        <w:t>Purpose and use of i</w:t>
      </w:r>
      <w:r w:rsidRPr="007B3A8E">
        <w:t>nformation</w:t>
      </w:r>
      <w:r>
        <w:tab/>
      </w:r>
      <w:r w:rsidR="004163B2">
        <w:t>6</w:t>
      </w:r>
    </w:p>
    <w:p w:rsidR="007B3A8E" w:rsidP="007B3A8E" w:rsidRDefault="007B3A8E" w14:paraId="2B0344FB" w14:textId="77777777">
      <w:pPr>
        <w:tabs>
          <w:tab w:val="left" w:pos="360"/>
          <w:tab w:val="left" w:leader="dot" w:pos="8280"/>
        </w:tabs>
      </w:pPr>
      <w:r>
        <w:tab/>
        <w:t xml:space="preserve">3. </w:t>
      </w:r>
      <w:r w:rsidRPr="007B3A8E">
        <w:t>Use of Improved Information Technology</w:t>
      </w:r>
      <w:r>
        <w:tab/>
      </w:r>
      <w:r w:rsidR="004163B2">
        <w:t>7</w:t>
      </w:r>
    </w:p>
    <w:p w:rsidR="007B3A8E" w:rsidP="007B3A8E" w:rsidRDefault="007B3A8E" w14:paraId="377A1B37" w14:textId="77777777">
      <w:pPr>
        <w:tabs>
          <w:tab w:val="left" w:pos="360"/>
          <w:tab w:val="left" w:leader="dot" w:pos="8280"/>
        </w:tabs>
      </w:pPr>
      <w:r>
        <w:tab/>
        <w:t xml:space="preserve">4. </w:t>
      </w:r>
      <w:r w:rsidRPr="007B3A8E">
        <w:t>Efforts to Identify Duplication</w:t>
      </w:r>
      <w:r>
        <w:tab/>
      </w:r>
      <w:r w:rsidR="004163B2">
        <w:t>7</w:t>
      </w:r>
    </w:p>
    <w:p w:rsidR="007B3A8E" w:rsidP="007B3A8E" w:rsidRDefault="007B3A8E" w14:paraId="6272D223" w14:textId="77777777">
      <w:pPr>
        <w:tabs>
          <w:tab w:val="left" w:pos="360"/>
          <w:tab w:val="left" w:leader="dot" w:pos="8280"/>
        </w:tabs>
      </w:pPr>
      <w:r>
        <w:tab/>
        <w:t xml:space="preserve">5. </w:t>
      </w:r>
      <w:r w:rsidRPr="00556066" w:rsidR="00556066">
        <w:t>Involvement of Small Entities</w:t>
      </w:r>
      <w:r w:rsidR="00556066">
        <w:tab/>
      </w:r>
      <w:r w:rsidR="004163B2">
        <w:t>7</w:t>
      </w:r>
    </w:p>
    <w:p w:rsidR="00556066" w:rsidP="007B3A8E" w:rsidRDefault="00556066" w14:paraId="69F47BA7" w14:textId="77777777">
      <w:pPr>
        <w:tabs>
          <w:tab w:val="left" w:pos="360"/>
          <w:tab w:val="left" w:leader="dot" w:pos="8280"/>
        </w:tabs>
      </w:pPr>
      <w:r>
        <w:tab/>
        <w:t xml:space="preserve">6. </w:t>
      </w:r>
      <w:r w:rsidRPr="00556066">
        <w:t>Consequences if Information Collected Less Frequently</w:t>
      </w:r>
      <w:r>
        <w:tab/>
      </w:r>
      <w:r w:rsidR="004163B2">
        <w:t>7</w:t>
      </w:r>
    </w:p>
    <w:p w:rsidR="00556066" w:rsidP="007B3A8E" w:rsidRDefault="00556066" w14:paraId="6338A7EF" w14:textId="77777777">
      <w:pPr>
        <w:tabs>
          <w:tab w:val="left" w:pos="360"/>
          <w:tab w:val="left" w:leader="dot" w:pos="8280"/>
        </w:tabs>
      </w:pPr>
      <w:r>
        <w:tab/>
        <w:t xml:space="preserve">7. </w:t>
      </w:r>
      <w:r w:rsidRPr="00556066">
        <w:t>Special Circumstances</w:t>
      </w:r>
      <w:r>
        <w:tab/>
      </w:r>
      <w:r w:rsidR="004163B2">
        <w:t>8</w:t>
      </w:r>
    </w:p>
    <w:p w:rsidR="00556066" w:rsidP="007B3A8E" w:rsidRDefault="00556066" w14:paraId="0F8F55BE" w14:textId="77777777">
      <w:pPr>
        <w:tabs>
          <w:tab w:val="left" w:pos="360"/>
          <w:tab w:val="left" w:leader="dot" w:pos="8280"/>
        </w:tabs>
      </w:pPr>
      <w:r>
        <w:tab/>
        <w:t xml:space="preserve">8. </w:t>
      </w:r>
      <w:r w:rsidRPr="00556066">
        <w:t>Consultation outside the Agency</w:t>
      </w:r>
      <w:r>
        <w:tab/>
      </w:r>
      <w:r w:rsidR="004163B2">
        <w:t>8</w:t>
      </w:r>
    </w:p>
    <w:p w:rsidR="00556066" w:rsidP="007B3A8E" w:rsidRDefault="00556066" w14:paraId="08D90C4E" w14:textId="77777777">
      <w:pPr>
        <w:tabs>
          <w:tab w:val="left" w:pos="360"/>
          <w:tab w:val="left" w:leader="dot" w:pos="8280"/>
        </w:tabs>
      </w:pPr>
      <w:r>
        <w:tab/>
        <w:t xml:space="preserve">9. </w:t>
      </w:r>
      <w:r w:rsidRPr="00556066">
        <w:t>Payments/Gifts to Respondents</w:t>
      </w:r>
      <w:r>
        <w:tab/>
      </w:r>
      <w:r w:rsidR="004163B2">
        <w:t>9</w:t>
      </w:r>
    </w:p>
    <w:p w:rsidR="00556066" w:rsidP="007B3A8E" w:rsidRDefault="00556066" w14:paraId="09B9BB3F" w14:textId="77777777">
      <w:pPr>
        <w:tabs>
          <w:tab w:val="left" w:pos="360"/>
          <w:tab w:val="left" w:leader="dot" w:pos="8280"/>
        </w:tabs>
      </w:pPr>
      <w:r>
        <w:tab/>
        <w:t xml:space="preserve">10. </w:t>
      </w:r>
      <w:r w:rsidRPr="00556066">
        <w:t>Assurance of Confidentiality</w:t>
      </w:r>
      <w:r>
        <w:tab/>
      </w:r>
      <w:r w:rsidR="004163B2">
        <w:t>9</w:t>
      </w:r>
    </w:p>
    <w:p w:rsidR="00556066" w:rsidP="007B3A8E" w:rsidRDefault="00556066" w14:paraId="35510820" w14:textId="77777777">
      <w:pPr>
        <w:tabs>
          <w:tab w:val="left" w:pos="360"/>
          <w:tab w:val="left" w:leader="dot" w:pos="8280"/>
        </w:tabs>
      </w:pPr>
      <w:r>
        <w:tab/>
        <w:t xml:space="preserve">11. </w:t>
      </w:r>
      <w:r w:rsidRPr="00556066">
        <w:t>Questions of a Sensitive Nature</w:t>
      </w:r>
      <w:r>
        <w:tab/>
      </w:r>
      <w:r w:rsidR="004163B2">
        <w:t>10</w:t>
      </w:r>
    </w:p>
    <w:p w:rsidR="00556066" w:rsidP="007B3A8E" w:rsidRDefault="00556066" w14:paraId="00B17BDC" w14:textId="77777777">
      <w:pPr>
        <w:tabs>
          <w:tab w:val="left" w:pos="360"/>
          <w:tab w:val="left" w:leader="dot" w:pos="8280"/>
        </w:tabs>
      </w:pPr>
      <w:r>
        <w:tab/>
        <w:t xml:space="preserve">12. </w:t>
      </w:r>
      <w:r w:rsidRPr="00556066">
        <w:t>Estimates of Annualized Burden Hours and Costs</w:t>
      </w:r>
      <w:r>
        <w:tab/>
      </w:r>
      <w:r w:rsidR="004163B2">
        <w:t>10</w:t>
      </w:r>
    </w:p>
    <w:p w:rsidR="00556066" w:rsidP="007B3A8E" w:rsidRDefault="00556066" w14:paraId="33E95E4C" w14:textId="77777777">
      <w:pPr>
        <w:tabs>
          <w:tab w:val="left" w:pos="360"/>
          <w:tab w:val="left" w:leader="dot" w:pos="8280"/>
        </w:tabs>
      </w:pPr>
      <w:r>
        <w:tab/>
        <w:t xml:space="preserve">13. </w:t>
      </w:r>
      <w:r w:rsidRPr="00556066">
        <w:t>Estimates of Annualized Respondent Capital and Maintenance Costs</w:t>
      </w:r>
      <w:r>
        <w:tab/>
      </w:r>
      <w:r w:rsidR="004163B2">
        <w:t>12</w:t>
      </w:r>
    </w:p>
    <w:p w:rsidR="00556066" w:rsidP="007B3A8E" w:rsidRDefault="00556066" w14:paraId="1AD34601" w14:textId="77777777">
      <w:pPr>
        <w:tabs>
          <w:tab w:val="left" w:pos="360"/>
          <w:tab w:val="left" w:leader="dot" w:pos="8280"/>
        </w:tabs>
      </w:pPr>
      <w:r>
        <w:tab/>
        <w:t xml:space="preserve">14. </w:t>
      </w:r>
      <w:r w:rsidRPr="00556066">
        <w:t>Estimates of Annualized Cost to the Government</w:t>
      </w:r>
      <w:r>
        <w:tab/>
      </w:r>
      <w:r w:rsidR="004163B2">
        <w:t>12</w:t>
      </w:r>
    </w:p>
    <w:p w:rsidR="00556066" w:rsidP="007B3A8E" w:rsidRDefault="00556066" w14:paraId="363162C7" w14:textId="77777777">
      <w:pPr>
        <w:tabs>
          <w:tab w:val="left" w:pos="360"/>
          <w:tab w:val="left" w:leader="dot" w:pos="8280"/>
        </w:tabs>
      </w:pPr>
      <w:r>
        <w:tab/>
        <w:t xml:space="preserve">15. </w:t>
      </w:r>
      <w:r w:rsidRPr="00556066">
        <w:t>Changes in Hour Burden</w:t>
      </w:r>
      <w:r>
        <w:tab/>
      </w:r>
      <w:r w:rsidR="004163B2">
        <w:t>12</w:t>
      </w:r>
    </w:p>
    <w:p w:rsidR="006014DB" w:rsidP="007B3A8E" w:rsidRDefault="006014DB" w14:paraId="1FA73649" w14:textId="77777777">
      <w:pPr>
        <w:tabs>
          <w:tab w:val="left" w:pos="360"/>
          <w:tab w:val="left" w:leader="dot" w:pos="8280"/>
        </w:tabs>
      </w:pPr>
      <w:r>
        <w:tab/>
        <w:t xml:space="preserve">16. </w:t>
      </w:r>
      <w:r w:rsidRPr="006014DB">
        <w:t>Time Schedule, Publication and Analysis Plans</w:t>
      </w:r>
      <w:r>
        <w:tab/>
      </w:r>
      <w:r w:rsidR="004163B2">
        <w:t>13</w:t>
      </w:r>
    </w:p>
    <w:p w:rsidR="006014DB" w:rsidP="007B3A8E" w:rsidRDefault="006014DB" w14:paraId="6CDA6356" w14:textId="77777777">
      <w:pPr>
        <w:tabs>
          <w:tab w:val="left" w:pos="360"/>
          <w:tab w:val="left" w:leader="dot" w:pos="8280"/>
        </w:tabs>
      </w:pPr>
      <w:r>
        <w:tab/>
        <w:t xml:space="preserve">17. </w:t>
      </w:r>
      <w:r w:rsidRPr="006014DB">
        <w:t>Exemption for Display of Expiration Date</w:t>
      </w:r>
      <w:r>
        <w:tab/>
      </w:r>
      <w:r w:rsidR="004163B2">
        <w:t>13</w:t>
      </w:r>
    </w:p>
    <w:p w:rsidRPr="00556066" w:rsidR="00556066" w:rsidP="007B3A8E" w:rsidRDefault="006014DB" w14:paraId="1121CBC3" w14:textId="77777777">
      <w:pPr>
        <w:tabs>
          <w:tab w:val="left" w:pos="360"/>
          <w:tab w:val="left" w:leader="dot" w:pos="8280"/>
        </w:tabs>
      </w:pPr>
      <w:r>
        <w:tab/>
      </w:r>
      <w:r w:rsidR="00904CC3">
        <w:t>List of Attachments</w:t>
      </w:r>
      <w:r w:rsidR="00904CC3">
        <w:tab/>
      </w:r>
      <w:r w:rsidR="004163B2">
        <w:t>14</w:t>
      </w:r>
    </w:p>
    <w:p w:rsidRPr="00556066" w:rsidR="00556066" w:rsidP="007B3A8E" w:rsidRDefault="00556066" w14:paraId="5892B282" w14:textId="77777777">
      <w:pPr>
        <w:tabs>
          <w:tab w:val="left" w:pos="360"/>
          <w:tab w:val="left" w:leader="dot" w:pos="8280"/>
        </w:tabs>
      </w:pPr>
      <w:r>
        <w:tab/>
      </w:r>
    </w:p>
    <w:p w:rsidR="009B633D" w:rsidP="009B633D" w:rsidRDefault="009B633D" w14:paraId="0ED707B0" w14:textId="77777777">
      <w:pPr>
        <w:jc w:val="center"/>
        <w:rPr>
          <w:b/>
        </w:rPr>
      </w:pPr>
    </w:p>
    <w:p w:rsidR="009B633D" w:rsidRDefault="009B633D" w14:paraId="6A4E91F9"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14:paraId="6342EFA5" w14:textId="77777777">
      <w:pPr>
        <w:jc w:val="center"/>
        <w:rPr>
          <w:b/>
        </w:rPr>
      </w:pPr>
      <w:r>
        <w:rPr>
          <w:b/>
        </w:rPr>
        <w:fldChar w:fldCharType="end"/>
      </w:r>
    </w:p>
    <w:p w:rsidRPr="005C1895" w:rsidR="009B633D" w:rsidP="009B633D" w:rsidRDefault="009B633D" w14:paraId="19F08641" w14:textId="77777777">
      <w:pPr>
        <w:pStyle w:val="Heading1"/>
        <w:rPr>
          <w:rFonts w:ascii="Times New Roman" w:hAnsi="Times New Roman" w:cs="Times New Roman"/>
          <w:sz w:val="24"/>
          <w:szCs w:val="24"/>
        </w:rPr>
      </w:pPr>
      <w:r>
        <w:br w:type="page"/>
      </w:r>
      <w:bookmarkStart w:name="_Toc151782175" w:id="0"/>
      <w:bookmarkStart w:name="_Toc158526215" w:id="1"/>
      <w:r w:rsidRPr="005C1895">
        <w:rPr>
          <w:rFonts w:ascii="Times New Roman" w:hAnsi="Times New Roman" w:cs="Times New Roman"/>
          <w:sz w:val="24"/>
          <w:szCs w:val="24"/>
        </w:rPr>
        <w:lastRenderedPageBreak/>
        <w:t>A. Justification</w:t>
      </w:r>
      <w:bookmarkEnd w:id="0"/>
      <w:bookmarkEnd w:id="1"/>
    </w:p>
    <w:p w:rsidR="009B633D" w:rsidP="009B633D" w:rsidRDefault="009B633D" w14:paraId="3B5B2203" w14:textId="77777777"/>
    <w:p w:rsidR="003E0D8A" w:rsidP="003E0D8A" w:rsidRDefault="00A94929" w14:paraId="3234A1FC" w14:textId="4454751B">
      <w:pPr>
        <w:rPr>
          <w:sz w:val="22"/>
          <w:szCs w:val="22"/>
        </w:rPr>
      </w:pPr>
      <w:r>
        <w:t xml:space="preserve">This request is for an update to previously submitted OMB supporting statements for revisions to the OMB clearance for the data collection of the Safety Program in Perinatal Care Demonstration Project (SPPC-II), which was approved in </w:t>
      </w:r>
      <w:r w:rsidR="00624F61">
        <w:t>December</w:t>
      </w:r>
      <w:r>
        <w:t xml:space="preserve"> 20</w:t>
      </w:r>
      <w:r w:rsidR="00624F61">
        <w:t>20</w:t>
      </w:r>
      <w:r>
        <w:t xml:space="preserve"> and has an expiration date of </w:t>
      </w:r>
      <w:r w:rsidR="00624F61">
        <w:t>December 31, 2023</w:t>
      </w:r>
      <w:r>
        <w:t xml:space="preserve">. </w:t>
      </w:r>
      <w:r w:rsidR="003E0D8A">
        <w:t xml:space="preserve">Revisions are requested at this time due to the impact of the pandemic on our study population (i.e., hospital staff) in Oklahoma and Texas. </w:t>
      </w:r>
    </w:p>
    <w:p w:rsidR="003E0D8A" w:rsidP="009B633D" w:rsidRDefault="003E0D8A" w14:paraId="283712AC" w14:textId="77777777"/>
    <w:p w:rsidR="00A94929" w:rsidP="009B633D" w:rsidRDefault="00290023" w14:paraId="63D406F5" w14:textId="3D541F96">
      <w:r w:rsidRPr="007141A0">
        <w:rPr>
          <w:highlight w:val="yellow"/>
        </w:rPr>
        <w:t>Given the reduced scope of the SPPC-II program, w</w:t>
      </w:r>
      <w:r w:rsidRPr="007141A0" w:rsidR="00A94929">
        <w:rPr>
          <w:highlight w:val="yellow"/>
        </w:rPr>
        <w:t>e propose updating the SPPC-II data collection by</w:t>
      </w:r>
      <w:r w:rsidRPr="007141A0">
        <w:rPr>
          <w:highlight w:val="yellow"/>
        </w:rPr>
        <w:t>: 1)</w:t>
      </w:r>
      <w:r w:rsidRPr="007141A0" w:rsidR="00A94929">
        <w:rPr>
          <w:highlight w:val="yellow"/>
        </w:rPr>
        <w:t xml:space="preserve"> </w:t>
      </w:r>
      <w:r w:rsidRPr="007141A0" w:rsidR="00CC480B">
        <w:rPr>
          <w:highlight w:val="yellow"/>
        </w:rPr>
        <w:t>restructuring</w:t>
      </w:r>
      <w:r w:rsidRPr="007141A0" w:rsidR="00A94929">
        <w:rPr>
          <w:highlight w:val="yellow"/>
        </w:rPr>
        <w:t xml:space="preserve"> </w:t>
      </w:r>
      <w:r w:rsidRPr="007141A0" w:rsidR="00CC480B">
        <w:rPr>
          <w:highlight w:val="yellow"/>
        </w:rPr>
        <w:t xml:space="preserve">and adding </w:t>
      </w:r>
      <w:r w:rsidRPr="007141A0" w:rsidR="00A94929">
        <w:rPr>
          <w:highlight w:val="yellow"/>
        </w:rPr>
        <w:t>questions to the approved qualitative interview guide</w:t>
      </w:r>
      <w:r w:rsidRPr="007141A0" w:rsidR="005028D5">
        <w:rPr>
          <w:highlight w:val="yellow"/>
        </w:rPr>
        <w:t>s</w:t>
      </w:r>
      <w:r w:rsidRPr="007141A0" w:rsidR="00A94929">
        <w:rPr>
          <w:highlight w:val="yellow"/>
        </w:rPr>
        <w:t xml:space="preserve"> </w:t>
      </w:r>
      <w:r w:rsidRPr="007141A0" w:rsidR="005028D5">
        <w:rPr>
          <w:highlight w:val="yellow"/>
        </w:rPr>
        <w:t xml:space="preserve">to be used with </w:t>
      </w:r>
      <w:r w:rsidRPr="007141A0">
        <w:rPr>
          <w:highlight w:val="yellow"/>
        </w:rPr>
        <w:t xml:space="preserve">AIM Team Leads and </w:t>
      </w:r>
      <w:r w:rsidRPr="007141A0" w:rsidR="00CC480B">
        <w:rPr>
          <w:highlight w:val="yellow"/>
        </w:rPr>
        <w:t xml:space="preserve">now </w:t>
      </w:r>
      <w:r w:rsidRPr="007141A0" w:rsidR="005028D5">
        <w:rPr>
          <w:highlight w:val="yellow"/>
        </w:rPr>
        <w:t xml:space="preserve">frontline health providers in the </w:t>
      </w:r>
      <w:r w:rsidRPr="007141A0" w:rsidR="00AB4F9C">
        <w:rPr>
          <w:highlight w:val="yellow"/>
        </w:rPr>
        <w:t>summer</w:t>
      </w:r>
      <w:r w:rsidRPr="007141A0" w:rsidR="00E54F34">
        <w:rPr>
          <w:highlight w:val="yellow"/>
        </w:rPr>
        <w:t>/fall</w:t>
      </w:r>
      <w:r w:rsidRPr="007141A0" w:rsidR="005028D5">
        <w:rPr>
          <w:highlight w:val="yellow"/>
        </w:rPr>
        <w:t xml:space="preserve"> of 2021 </w:t>
      </w:r>
      <w:r w:rsidRPr="007141A0" w:rsidR="00A94929">
        <w:rPr>
          <w:highlight w:val="yellow"/>
        </w:rPr>
        <w:t>(Appendix J</w:t>
      </w:r>
      <w:r w:rsidRPr="007141A0" w:rsidR="000373EA">
        <w:rPr>
          <w:highlight w:val="yellow"/>
        </w:rPr>
        <w:t>1</w:t>
      </w:r>
      <w:r w:rsidRPr="007141A0" w:rsidR="00A94929">
        <w:rPr>
          <w:highlight w:val="yellow"/>
        </w:rPr>
        <w:t xml:space="preserve"> now Appendix </w:t>
      </w:r>
      <w:r w:rsidRPr="007141A0" w:rsidR="005028D5">
        <w:rPr>
          <w:highlight w:val="yellow"/>
        </w:rPr>
        <w:t>J</w:t>
      </w:r>
      <w:r w:rsidRPr="007141A0">
        <w:rPr>
          <w:highlight w:val="yellow"/>
        </w:rPr>
        <w:t>3</w:t>
      </w:r>
      <w:r w:rsidRPr="007141A0" w:rsidR="00A94929">
        <w:rPr>
          <w:highlight w:val="yellow"/>
        </w:rPr>
        <w:t xml:space="preserve">) to include questions </w:t>
      </w:r>
      <w:r w:rsidRPr="007141A0" w:rsidR="003E0D8A">
        <w:rPr>
          <w:highlight w:val="yellow"/>
        </w:rPr>
        <w:t xml:space="preserve">to better understand the </w:t>
      </w:r>
      <w:r w:rsidRPr="007141A0" w:rsidR="005028D5">
        <w:rPr>
          <w:highlight w:val="yellow"/>
        </w:rPr>
        <w:t xml:space="preserve">perceived </w:t>
      </w:r>
      <w:r w:rsidRPr="007141A0" w:rsidR="003E0D8A">
        <w:rPr>
          <w:highlight w:val="yellow"/>
        </w:rPr>
        <w:t>implementation context</w:t>
      </w:r>
      <w:r w:rsidRPr="007141A0">
        <w:rPr>
          <w:highlight w:val="yellow"/>
        </w:rPr>
        <w:t>; 2) adding focus group discussions in the s</w:t>
      </w:r>
      <w:r w:rsidRPr="007141A0" w:rsidR="00AD7B73">
        <w:rPr>
          <w:highlight w:val="yellow"/>
        </w:rPr>
        <w:t>ummer/fall</w:t>
      </w:r>
      <w:r w:rsidRPr="007141A0">
        <w:rPr>
          <w:highlight w:val="yellow"/>
        </w:rPr>
        <w:t xml:space="preserve"> of 202</w:t>
      </w:r>
      <w:r w:rsidRPr="007141A0" w:rsidR="00AD7B73">
        <w:rPr>
          <w:highlight w:val="yellow"/>
        </w:rPr>
        <w:t>2</w:t>
      </w:r>
      <w:r w:rsidRPr="007141A0">
        <w:rPr>
          <w:highlight w:val="yellow"/>
        </w:rPr>
        <w:t xml:space="preserve"> to assess perceptions of implementation and sustainability of the SPPC-II Toolkit at the hospital level</w:t>
      </w:r>
      <w:r w:rsidRPr="007141A0" w:rsidR="000373EA">
        <w:rPr>
          <w:highlight w:val="yellow"/>
        </w:rPr>
        <w:t xml:space="preserve"> (Appendix J</w:t>
      </w:r>
      <w:r w:rsidRPr="007141A0" w:rsidR="00BB4DDD">
        <w:rPr>
          <w:highlight w:val="yellow"/>
        </w:rPr>
        <w:t>6</w:t>
      </w:r>
      <w:r w:rsidRPr="007141A0" w:rsidR="000373EA">
        <w:rPr>
          <w:highlight w:val="yellow"/>
        </w:rPr>
        <w:t>)</w:t>
      </w:r>
      <w:r w:rsidRPr="007141A0" w:rsidR="00EE5196">
        <w:rPr>
          <w:highlight w:val="yellow"/>
        </w:rPr>
        <w:t>; 3) adding a participant incentive for the qualitative interviews with AIM</w:t>
      </w:r>
      <w:r w:rsidRPr="007141A0" w:rsidR="00E7490E">
        <w:rPr>
          <w:highlight w:val="yellow"/>
        </w:rPr>
        <w:t xml:space="preserve"> Team Leads </w:t>
      </w:r>
      <w:r w:rsidRPr="007141A0" w:rsidR="004F0472">
        <w:rPr>
          <w:highlight w:val="yellow"/>
        </w:rPr>
        <w:t>(</w:t>
      </w:r>
      <w:r w:rsidRPr="007141A0" w:rsidR="00E7490E">
        <w:rPr>
          <w:highlight w:val="yellow"/>
        </w:rPr>
        <w:t>$50</w:t>
      </w:r>
      <w:r w:rsidRPr="007141A0" w:rsidR="004F0472">
        <w:rPr>
          <w:highlight w:val="yellow"/>
        </w:rPr>
        <w:t xml:space="preserve"> Amazon gift card)</w:t>
      </w:r>
      <w:r w:rsidRPr="007141A0" w:rsidR="00EE5196">
        <w:rPr>
          <w:highlight w:val="yellow"/>
        </w:rPr>
        <w:t xml:space="preserve"> and</w:t>
      </w:r>
      <w:r w:rsidRPr="007141A0" w:rsidR="004F0472">
        <w:rPr>
          <w:highlight w:val="yellow"/>
        </w:rPr>
        <w:t xml:space="preserve"> frontline health providers ($25 Amazon gift card); and, 4) adding a participant incentive of a $50 Amazon gift card for the focus group discussion</w:t>
      </w:r>
      <w:r w:rsidRPr="007141A0" w:rsidR="00CC480B">
        <w:rPr>
          <w:highlight w:val="yellow"/>
        </w:rPr>
        <w:t xml:space="preserve"> participant</w:t>
      </w:r>
      <w:r w:rsidRPr="007141A0" w:rsidR="004F0472">
        <w:rPr>
          <w:highlight w:val="yellow"/>
        </w:rPr>
        <w:t>s</w:t>
      </w:r>
      <w:r w:rsidRPr="007141A0" w:rsidR="003E0D8A">
        <w:rPr>
          <w:highlight w:val="yellow"/>
        </w:rPr>
        <w:t xml:space="preserve">. The total estimated annual burden hours for SPPC-II will </w:t>
      </w:r>
      <w:r w:rsidRPr="007141A0" w:rsidR="006E72D1">
        <w:rPr>
          <w:highlight w:val="yellow"/>
        </w:rPr>
        <w:t>increase</w:t>
      </w:r>
      <w:r w:rsidRPr="007141A0" w:rsidR="003E0D8A">
        <w:rPr>
          <w:highlight w:val="yellow"/>
        </w:rPr>
        <w:t xml:space="preserve"> from </w:t>
      </w:r>
      <w:r w:rsidRPr="007141A0" w:rsidR="00C20D6B">
        <w:rPr>
          <w:highlight w:val="yellow"/>
        </w:rPr>
        <w:t>54,659</w:t>
      </w:r>
      <w:r w:rsidRPr="007141A0" w:rsidR="00EB0D73">
        <w:rPr>
          <w:highlight w:val="yellow"/>
        </w:rPr>
        <w:t xml:space="preserve"> hours</w:t>
      </w:r>
      <w:r w:rsidRPr="007141A0" w:rsidR="006E72D1">
        <w:rPr>
          <w:highlight w:val="yellow"/>
        </w:rPr>
        <w:t xml:space="preserve"> to 54,6</w:t>
      </w:r>
      <w:r w:rsidRPr="007141A0" w:rsidR="00986BAE">
        <w:rPr>
          <w:highlight w:val="yellow"/>
        </w:rPr>
        <w:t>93</w:t>
      </w:r>
      <w:r w:rsidRPr="007141A0" w:rsidR="003E0D8A">
        <w:rPr>
          <w:highlight w:val="yellow"/>
        </w:rPr>
        <w:t xml:space="preserve"> in this clearance request, an increase of </w:t>
      </w:r>
      <w:r w:rsidRPr="007141A0" w:rsidR="00DD1BA3">
        <w:rPr>
          <w:highlight w:val="yellow"/>
        </w:rPr>
        <w:t>3</w:t>
      </w:r>
      <w:r w:rsidRPr="007141A0" w:rsidR="00986BAE">
        <w:rPr>
          <w:highlight w:val="yellow"/>
        </w:rPr>
        <w:t>4</w:t>
      </w:r>
      <w:r w:rsidRPr="007141A0" w:rsidR="006E72D1">
        <w:rPr>
          <w:highlight w:val="yellow"/>
        </w:rPr>
        <w:t xml:space="preserve"> </w:t>
      </w:r>
      <w:r w:rsidRPr="007141A0" w:rsidR="00C20D6B">
        <w:rPr>
          <w:highlight w:val="yellow"/>
        </w:rPr>
        <w:t>hours</w:t>
      </w:r>
      <w:r w:rsidRPr="006E72D1" w:rsidR="00C20D6B">
        <w:t>.</w:t>
      </w:r>
    </w:p>
    <w:p w:rsidR="00A94929" w:rsidP="003B4353" w:rsidRDefault="00A94929" w14:paraId="581BC0DD" w14:textId="77777777">
      <w:pPr>
        <w:pStyle w:val="ListParagraph"/>
        <w:ind w:left="0"/>
      </w:pPr>
    </w:p>
    <w:p w:rsidRPr="005C1895" w:rsidR="00A94929" w:rsidP="009B633D" w:rsidRDefault="00A94929" w14:paraId="3BC2D2A6" w14:textId="77777777"/>
    <w:p w:rsidRPr="005C1895" w:rsidR="009B633D" w:rsidP="006014DB" w:rsidRDefault="009B633D" w14:paraId="3C180784" w14:textId="77777777">
      <w:pPr>
        <w:pStyle w:val="Heading2"/>
        <w:spacing w:before="0" w:after="0"/>
        <w:rPr>
          <w:rFonts w:ascii="Times New Roman" w:hAnsi="Times New Roman" w:cs="Times New Roman"/>
          <w:sz w:val="24"/>
          <w:szCs w:val="24"/>
        </w:rPr>
      </w:pPr>
      <w:bookmarkStart w:name="_Toc151782176" w:id="2"/>
      <w:bookmarkStart w:name="_Toc158526216" w:id="3"/>
      <w:r w:rsidRPr="005C1895">
        <w:rPr>
          <w:rFonts w:ascii="Times New Roman" w:hAnsi="Times New Roman" w:cs="Times New Roman"/>
          <w:sz w:val="24"/>
          <w:szCs w:val="24"/>
        </w:rPr>
        <w:t xml:space="preserve">1. </w:t>
      </w:r>
      <w:bookmarkEnd w:id="2"/>
      <w:bookmarkEnd w:id="3"/>
      <w:r w:rsidRPr="005C1895" w:rsidR="006014DB">
        <w:rPr>
          <w:rFonts w:ascii="Times New Roman" w:hAnsi="Times New Roman" w:cs="Times New Roman"/>
          <w:sz w:val="24"/>
          <w:szCs w:val="24"/>
        </w:rPr>
        <w:t>Circumstances that make the collection of information necessary</w:t>
      </w:r>
    </w:p>
    <w:p w:rsidRPr="005C1895" w:rsidR="006014DB" w:rsidP="006014DB" w:rsidRDefault="006014DB" w14:paraId="00E52B4C" w14:textId="77777777"/>
    <w:p w:rsidRPr="005C1895" w:rsidR="000A140E" w:rsidP="000A140E" w:rsidRDefault="000A140E" w14:paraId="72BABC00" w14:textId="77777777">
      <w:r w:rsidRPr="005C1895">
        <w:t xml:space="preserve">The mission of the Agency for Healthcare Research and Quality (AHRQ) set out in its authorizing legislation, The Healthcare Research and Quality Act of 1999 (see </w:t>
      </w:r>
      <w:r w:rsidRPr="005C1895" w:rsidR="008573ED">
        <w:t>http://www.ahrq.gov/hrqa99.pdf</w:t>
      </w:r>
      <w:r w:rsidRPr="005C1895">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5C1895" w:rsidR="00606400" w:rsidP="00606400" w:rsidRDefault="00606400" w14:paraId="00CB5174" w14:textId="77777777">
      <w:pPr>
        <w:tabs>
          <w:tab w:val="left" w:pos="360"/>
        </w:tabs>
      </w:pPr>
    </w:p>
    <w:p w:rsidRPr="005C1895" w:rsidR="00606400" w:rsidP="00606400" w:rsidRDefault="00606400" w14:paraId="13007B20" w14:textId="77777777">
      <w:pPr>
        <w:tabs>
          <w:tab w:val="left" w:pos="360"/>
        </w:tabs>
        <w:ind w:left="360"/>
      </w:pPr>
      <w:r w:rsidRPr="005C1895">
        <w:t>1.</w:t>
      </w:r>
      <w:r w:rsidRPr="005C1895">
        <w:tab/>
      </w:r>
      <w:proofErr w:type="gramStart"/>
      <w:r w:rsidRPr="005C1895">
        <w:t>research</w:t>
      </w:r>
      <w:proofErr w:type="gramEnd"/>
      <w:r w:rsidRPr="005C1895">
        <w:t xml:space="preserve"> that develops and presents scientific evidence regardi</w:t>
      </w:r>
      <w:r w:rsidRPr="005C1895" w:rsidR="00AA1DDC">
        <w:t xml:space="preserve">ng all aspects of </w:t>
      </w:r>
      <w:r w:rsidRPr="005C1895" w:rsidR="00AA1DDC">
        <w:tab/>
      </w:r>
      <w:r w:rsidRPr="005C1895" w:rsidR="00AA1DDC">
        <w:tab/>
        <w:t>health care</w:t>
      </w:r>
      <w:r w:rsidRPr="005C1895" w:rsidR="00325B9C">
        <w:t>;</w:t>
      </w:r>
      <w:r w:rsidRPr="005C1895" w:rsidR="00B645ED">
        <w:t xml:space="preserve"> and</w:t>
      </w:r>
    </w:p>
    <w:p w:rsidRPr="005C1895" w:rsidR="00325B9C" w:rsidP="00606400" w:rsidRDefault="00325B9C" w14:paraId="14804602" w14:textId="77777777">
      <w:pPr>
        <w:tabs>
          <w:tab w:val="left" w:pos="360"/>
        </w:tabs>
        <w:ind w:left="360"/>
      </w:pPr>
    </w:p>
    <w:p w:rsidRPr="005C1895" w:rsidR="00325B9C" w:rsidP="00606400" w:rsidRDefault="00325B9C" w14:paraId="180A6F5E" w14:textId="77777777">
      <w:pPr>
        <w:tabs>
          <w:tab w:val="left" w:pos="360"/>
        </w:tabs>
        <w:ind w:left="360"/>
      </w:pPr>
      <w:r w:rsidRPr="005C1895">
        <w:t>2.</w:t>
      </w:r>
      <w:r w:rsidRPr="005C1895">
        <w:tab/>
      </w:r>
      <w:proofErr w:type="gramStart"/>
      <w:r w:rsidRPr="005C1895" w:rsidR="00B645ED">
        <w:t>the</w:t>
      </w:r>
      <w:proofErr w:type="gramEnd"/>
      <w:r w:rsidRPr="005C1895" w:rsidR="00B645ED">
        <w:t xml:space="preserve"> synthesis and dissemination of available scientific evidence for use by </w:t>
      </w:r>
      <w:r w:rsidRPr="005C1895" w:rsidR="00B645ED">
        <w:tab/>
        <w:t xml:space="preserve">patients, consumers, practitioners, providers, purchasers, policy makers, and </w:t>
      </w:r>
      <w:r w:rsidRPr="005C1895" w:rsidR="00B645ED">
        <w:tab/>
        <w:t>educators; and</w:t>
      </w:r>
    </w:p>
    <w:p w:rsidRPr="005C1895" w:rsidR="00B645ED" w:rsidP="00606400" w:rsidRDefault="00B645ED" w14:paraId="635F208E" w14:textId="77777777">
      <w:pPr>
        <w:tabs>
          <w:tab w:val="left" w:pos="360"/>
        </w:tabs>
        <w:ind w:left="360"/>
      </w:pPr>
    </w:p>
    <w:p w:rsidRPr="005C1895" w:rsidR="00B645ED" w:rsidP="00606400" w:rsidRDefault="00B645ED" w14:paraId="5370E102" w14:textId="77777777">
      <w:pPr>
        <w:tabs>
          <w:tab w:val="left" w:pos="360"/>
        </w:tabs>
        <w:ind w:left="360"/>
      </w:pPr>
      <w:r w:rsidRPr="005C1895">
        <w:t>3.</w:t>
      </w:r>
      <w:r w:rsidRPr="005C1895">
        <w:tab/>
      </w:r>
      <w:proofErr w:type="gramStart"/>
      <w:r w:rsidRPr="005C1895">
        <w:t>initiatives</w:t>
      </w:r>
      <w:proofErr w:type="gramEnd"/>
      <w:r w:rsidRPr="005C1895">
        <w:t xml:space="preserve"> to advance private and public efforts to improve health care quality.</w:t>
      </w:r>
    </w:p>
    <w:p w:rsidRPr="005C1895" w:rsidR="00B645ED" w:rsidP="00B645ED" w:rsidRDefault="00B645ED" w14:paraId="2C74DDCC" w14:textId="77777777">
      <w:pPr>
        <w:tabs>
          <w:tab w:val="left" w:pos="360"/>
        </w:tabs>
      </w:pPr>
    </w:p>
    <w:p w:rsidRPr="005C1895" w:rsidR="008450C0" w:rsidP="00B645ED" w:rsidRDefault="008450C0" w14:paraId="1A6DAD4F" w14:textId="77777777">
      <w:pPr>
        <w:tabs>
          <w:tab w:val="left" w:pos="360"/>
        </w:tabs>
      </w:pPr>
      <w:r w:rsidRPr="005C1895">
        <w:t xml:space="preserve">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w:t>
      </w:r>
      <w:r w:rsidRPr="005C1895">
        <w:lastRenderedPageBreak/>
        <w:t>(5) the elderly, and (6) individuals with special health care needs, including individuals with disabilities and individuals who need chronic care or end-of-life health care.</w:t>
      </w:r>
    </w:p>
    <w:p w:rsidRPr="005C1895" w:rsidR="008450C0" w:rsidP="00B645ED" w:rsidRDefault="008450C0" w14:paraId="7C9E6D23" w14:textId="77777777">
      <w:pPr>
        <w:tabs>
          <w:tab w:val="left" w:pos="360"/>
        </w:tabs>
      </w:pPr>
    </w:p>
    <w:p w:rsidRPr="005C1895" w:rsidR="00443A7E" w:rsidP="004E6FDD" w:rsidRDefault="004E6FDD" w14:paraId="64CDD5D1" w14:textId="77777777">
      <w:pPr>
        <w:rPr>
          <w:rFonts w:eastAsia="Calibri"/>
          <w:vertAlign w:val="superscript"/>
        </w:rPr>
      </w:pPr>
      <w:r w:rsidRPr="005C1895">
        <w:rPr>
          <w:rFonts w:eastAsia="Calibri"/>
        </w:rPr>
        <w:t>M</w:t>
      </w:r>
      <w:r w:rsidRPr="005C1895" w:rsidR="00D54E8A">
        <w:rPr>
          <w:rFonts w:eastAsia="Calibri"/>
        </w:rPr>
        <w:t xml:space="preserve">aternal mortality </w:t>
      </w:r>
      <w:r w:rsidRPr="005C1895">
        <w:rPr>
          <w:rFonts w:eastAsia="Calibri"/>
        </w:rPr>
        <w:t>and severe maternal morbidity (SMM)</w:t>
      </w:r>
      <w:r w:rsidRPr="005C1895" w:rsidR="009F6489">
        <w:rPr>
          <w:rFonts w:eastAsia="Calibri"/>
        </w:rPr>
        <w:t xml:space="preserve"> </w:t>
      </w:r>
      <w:r w:rsidRPr="005C1895">
        <w:rPr>
          <w:rFonts w:eastAsia="Calibri"/>
        </w:rPr>
        <w:t xml:space="preserve">increased significantly </w:t>
      </w:r>
      <w:r w:rsidRPr="005C1895" w:rsidR="000A3C97">
        <w:rPr>
          <w:rFonts w:eastAsia="Calibri"/>
        </w:rPr>
        <w:t xml:space="preserve">and continuously </w:t>
      </w:r>
      <w:r w:rsidRPr="005C1895">
        <w:rPr>
          <w:rFonts w:eastAsia="Calibri"/>
        </w:rPr>
        <w:t>in the Unite</w:t>
      </w:r>
      <w:r w:rsidRPr="005C1895" w:rsidR="000A3C97">
        <w:rPr>
          <w:rFonts w:eastAsia="Calibri"/>
        </w:rPr>
        <w:t>d</w:t>
      </w:r>
      <w:r w:rsidRPr="005C1895">
        <w:rPr>
          <w:rFonts w:eastAsia="Calibri"/>
        </w:rPr>
        <w:t xml:space="preserve"> States</w:t>
      </w:r>
      <w:r w:rsidRPr="005C1895" w:rsidR="000A3C97">
        <w:rPr>
          <w:rFonts w:eastAsia="Calibri"/>
        </w:rPr>
        <w:t xml:space="preserve"> (US)</w:t>
      </w:r>
      <w:r w:rsidRPr="005C1895">
        <w:rPr>
          <w:rFonts w:eastAsia="Calibri"/>
        </w:rPr>
        <w:t xml:space="preserve"> over the past 30 years.</w:t>
      </w:r>
      <w:hyperlink w:tooltip=",  #29" w:history="1" w:anchor="_ENREF_3">
        <w:r w:rsidRPr="005C1895">
          <w:rPr>
            <w:rFonts w:eastAsia="Calibri"/>
            <w:vertAlign w:val="superscript"/>
          </w:rPr>
          <w:t>1</w:t>
        </w:r>
      </w:hyperlink>
      <w:r w:rsidRPr="005C1895">
        <w:rPr>
          <w:rFonts w:eastAsia="Calibri"/>
        </w:rPr>
        <w:t xml:space="preserve"> </w:t>
      </w:r>
      <w:r w:rsidRPr="005C1895" w:rsidR="00D54E8A">
        <w:rPr>
          <w:rFonts w:eastAsia="Calibri"/>
        </w:rPr>
        <w:t>A c</w:t>
      </w:r>
      <w:r w:rsidRPr="005C1895">
        <w:rPr>
          <w:rFonts w:eastAsia="Calibri"/>
        </w:rPr>
        <w:t xml:space="preserve">onsiderable proportion of </w:t>
      </w:r>
      <w:r w:rsidRPr="005C1895" w:rsidR="00D54E8A">
        <w:rPr>
          <w:rFonts w:eastAsia="Calibri"/>
        </w:rPr>
        <w:t>these adverse events</w:t>
      </w:r>
      <w:r w:rsidRPr="005C1895">
        <w:rPr>
          <w:rFonts w:eastAsia="Calibri"/>
        </w:rPr>
        <w:t xml:space="preserve"> </w:t>
      </w:r>
      <w:r w:rsidRPr="005C1895" w:rsidR="007729EE">
        <w:rPr>
          <w:rFonts w:eastAsia="Calibri"/>
        </w:rPr>
        <w:t xml:space="preserve">are </w:t>
      </w:r>
      <w:r w:rsidRPr="005C1895">
        <w:rPr>
          <w:rFonts w:eastAsia="Calibri"/>
        </w:rPr>
        <w:t>attributable to preventable harm and unintended consequences arising from clinical practice and the system of delivering perinatal care.</w:t>
      </w:r>
      <w:r w:rsidRPr="005C1895" w:rsidR="00E25C36">
        <w:rPr>
          <w:rFonts w:eastAsia="Calibri"/>
          <w:vertAlign w:val="superscript"/>
        </w:rPr>
        <w:t xml:space="preserve">2 </w:t>
      </w:r>
      <w:r w:rsidRPr="005C1895" w:rsidR="00E25C36">
        <w:rPr>
          <w:rFonts w:eastAsia="Calibri"/>
        </w:rPr>
        <w:t xml:space="preserve">To address these alarming trends, </w:t>
      </w:r>
      <w:r w:rsidRPr="005C1895">
        <w:rPr>
          <w:rFonts w:eastAsia="Calibri"/>
        </w:rPr>
        <w:t>AHRQ has developed the Safety Program in Perinatal Care (SPPC)</w:t>
      </w:r>
      <w:r w:rsidRPr="005C1895" w:rsidR="00E25C36">
        <w:rPr>
          <w:rFonts w:eastAsia="Calibri"/>
        </w:rPr>
        <w:t>.</w:t>
      </w:r>
      <w:r w:rsidRPr="005C1895" w:rsidR="00117B24">
        <w:rPr>
          <w:rFonts w:eastAsia="Calibri"/>
          <w:vertAlign w:val="superscript"/>
        </w:rPr>
        <w:t>3</w:t>
      </w:r>
      <w:r w:rsidRPr="005C1895" w:rsidR="00E25C36">
        <w:rPr>
          <w:rFonts w:eastAsia="Calibri"/>
        </w:rPr>
        <w:t xml:space="preserve"> </w:t>
      </w:r>
      <w:r w:rsidRPr="005C1895" w:rsidR="007729EE">
        <w:rPr>
          <w:rFonts w:eastAsia="Calibri"/>
        </w:rPr>
        <w:t xml:space="preserve">During </w:t>
      </w:r>
      <w:r w:rsidRPr="005C1895" w:rsidR="00D54E8A">
        <w:rPr>
          <w:rFonts w:eastAsia="Calibri"/>
        </w:rPr>
        <w:t>its</w:t>
      </w:r>
      <w:r w:rsidRPr="005C1895" w:rsidR="007729EE">
        <w:rPr>
          <w:rFonts w:eastAsia="Calibri"/>
        </w:rPr>
        <w:t xml:space="preserve"> initial phase (SPPC-I)</w:t>
      </w:r>
      <w:r w:rsidRPr="005C1895" w:rsidR="00E25C36">
        <w:rPr>
          <w:rFonts w:eastAsia="Calibri"/>
        </w:rPr>
        <w:t>, the program</w:t>
      </w:r>
      <w:r w:rsidRPr="005C1895">
        <w:rPr>
          <w:rFonts w:eastAsia="Calibri"/>
        </w:rPr>
        <w:t xml:space="preserve"> </w:t>
      </w:r>
      <w:r w:rsidRPr="005C1895" w:rsidR="00E25C36">
        <w:rPr>
          <w:rFonts w:eastAsia="Calibri"/>
        </w:rPr>
        <w:t xml:space="preserve">was </w:t>
      </w:r>
      <w:r w:rsidRPr="005C1895">
        <w:rPr>
          <w:rFonts w:eastAsia="Calibri"/>
        </w:rPr>
        <w:t xml:space="preserve">comprised of </w:t>
      </w:r>
      <w:r w:rsidRPr="005C1895" w:rsidR="00D54E8A">
        <w:rPr>
          <w:rFonts w:eastAsia="Calibri"/>
        </w:rPr>
        <w:t>three</w:t>
      </w:r>
      <w:r w:rsidRPr="005C1895">
        <w:rPr>
          <w:rFonts w:eastAsia="Calibri"/>
        </w:rPr>
        <w:t xml:space="preserve"> pillars: </w:t>
      </w:r>
      <w:r w:rsidRPr="005C1895" w:rsidR="007729EE">
        <w:rPr>
          <w:rFonts w:eastAsia="Calibri"/>
        </w:rPr>
        <w:t>t</w:t>
      </w:r>
      <w:r w:rsidRPr="005C1895">
        <w:rPr>
          <w:rFonts w:eastAsia="Calibri"/>
        </w:rPr>
        <w:t xml:space="preserve">eamwork and </w:t>
      </w:r>
      <w:r w:rsidRPr="005C1895" w:rsidR="007729EE">
        <w:rPr>
          <w:rFonts w:eastAsia="Calibri"/>
        </w:rPr>
        <w:t>c</w:t>
      </w:r>
      <w:r w:rsidRPr="005C1895" w:rsidR="00D54E8A">
        <w:rPr>
          <w:rFonts w:eastAsia="Calibri"/>
        </w:rPr>
        <w:t>ommunication,</w:t>
      </w:r>
      <w:r w:rsidRPr="005C1895">
        <w:rPr>
          <w:rFonts w:eastAsia="Calibri"/>
        </w:rPr>
        <w:t xml:space="preserve"> </w:t>
      </w:r>
      <w:r w:rsidRPr="005C1895" w:rsidR="007729EE">
        <w:rPr>
          <w:rFonts w:eastAsia="Calibri"/>
        </w:rPr>
        <w:t>p</w:t>
      </w:r>
      <w:r w:rsidRPr="005C1895">
        <w:rPr>
          <w:rFonts w:eastAsia="Calibri"/>
        </w:rPr>
        <w:t xml:space="preserve">atient </w:t>
      </w:r>
      <w:r w:rsidRPr="005C1895" w:rsidR="007729EE">
        <w:rPr>
          <w:rFonts w:eastAsia="Calibri"/>
        </w:rPr>
        <w:t>s</w:t>
      </w:r>
      <w:r w:rsidRPr="005C1895">
        <w:rPr>
          <w:rFonts w:eastAsia="Calibri"/>
        </w:rPr>
        <w:t xml:space="preserve">afety </w:t>
      </w:r>
      <w:r w:rsidRPr="005C1895" w:rsidR="007729EE">
        <w:rPr>
          <w:rFonts w:eastAsia="Calibri"/>
        </w:rPr>
        <w:t>b</w:t>
      </w:r>
      <w:r w:rsidRPr="005C1895" w:rsidR="00D54E8A">
        <w:rPr>
          <w:rFonts w:eastAsia="Calibri"/>
        </w:rPr>
        <w:t>undles,</w:t>
      </w:r>
      <w:r w:rsidRPr="005C1895">
        <w:rPr>
          <w:rFonts w:eastAsia="Calibri"/>
        </w:rPr>
        <w:t xml:space="preserve"> and </w:t>
      </w:r>
      <w:r w:rsidRPr="005C1895" w:rsidR="007729EE">
        <w:rPr>
          <w:rFonts w:eastAsia="Calibri"/>
        </w:rPr>
        <w:t>i</w:t>
      </w:r>
      <w:r w:rsidRPr="005C1895">
        <w:rPr>
          <w:rFonts w:eastAsia="Calibri"/>
        </w:rPr>
        <w:t xml:space="preserve">n </w:t>
      </w:r>
      <w:r w:rsidRPr="005C1895" w:rsidR="007729EE">
        <w:rPr>
          <w:rFonts w:eastAsia="Calibri"/>
        </w:rPr>
        <w:t>s</w:t>
      </w:r>
      <w:r w:rsidRPr="005C1895">
        <w:rPr>
          <w:rFonts w:eastAsia="Calibri"/>
        </w:rPr>
        <w:t xml:space="preserve">itu </w:t>
      </w:r>
      <w:r w:rsidRPr="005C1895" w:rsidR="007729EE">
        <w:rPr>
          <w:rFonts w:eastAsia="Calibri"/>
        </w:rPr>
        <w:t>s</w:t>
      </w:r>
      <w:r w:rsidRPr="005C1895">
        <w:rPr>
          <w:rFonts w:eastAsia="Calibri"/>
        </w:rPr>
        <w:t>imulation</w:t>
      </w:r>
      <w:r w:rsidRPr="005C1895" w:rsidR="00E25C36">
        <w:rPr>
          <w:rFonts w:eastAsia="Calibri"/>
        </w:rPr>
        <w:t>s</w:t>
      </w:r>
      <w:r w:rsidRPr="005C1895">
        <w:rPr>
          <w:rFonts w:eastAsia="Calibri"/>
        </w:rPr>
        <w:t>.</w:t>
      </w:r>
      <w:r w:rsidRPr="005C1895" w:rsidR="00117B24">
        <w:rPr>
          <w:rFonts w:eastAsia="Calibri"/>
          <w:vertAlign w:val="superscript"/>
        </w:rPr>
        <w:t>3</w:t>
      </w:r>
      <w:r w:rsidRPr="005C1895">
        <w:rPr>
          <w:rFonts w:eastAsia="Calibri"/>
        </w:rPr>
        <w:t xml:space="preserve"> </w:t>
      </w:r>
      <w:r w:rsidRPr="005C1895" w:rsidR="004B7DCE">
        <w:rPr>
          <w:rFonts w:eastAsia="Calibri"/>
        </w:rPr>
        <w:t xml:space="preserve">Despite </w:t>
      </w:r>
      <w:r w:rsidRPr="005C1895" w:rsidR="00D54E8A">
        <w:rPr>
          <w:rFonts w:eastAsia="Calibri"/>
        </w:rPr>
        <w:t xml:space="preserve">several </w:t>
      </w:r>
      <w:r w:rsidRPr="005C1895" w:rsidR="004B7DCE">
        <w:rPr>
          <w:rFonts w:eastAsia="Calibri"/>
        </w:rPr>
        <w:t>promising results, t</w:t>
      </w:r>
      <w:r w:rsidRPr="005C1895" w:rsidR="00217061">
        <w:rPr>
          <w:rFonts w:eastAsia="Calibri"/>
        </w:rPr>
        <w:t xml:space="preserve">he evaluation of </w:t>
      </w:r>
      <w:r w:rsidRPr="005C1895">
        <w:rPr>
          <w:rFonts w:eastAsia="Calibri"/>
        </w:rPr>
        <w:t xml:space="preserve">SPPC-I </w:t>
      </w:r>
      <w:r w:rsidRPr="005C1895" w:rsidR="00217061">
        <w:rPr>
          <w:rFonts w:eastAsia="Calibri"/>
        </w:rPr>
        <w:t xml:space="preserve">revealed considerable hospital </w:t>
      </w:r>
      <w:r w:rsidRPr="005C1895">
        <w:rPr>
          <w:rFonts w:eastAsia="Calibri"/>
        </w:rPr>
        <w:t>attrition due to heavy data burden and competing safety initiatives.</w:t>
      </w:r>
      <w:r w:rsidRPr="005C1895" w:rsidR="00117B24">
        <w:rPr>
          <w:rFonts w:eastAsia="Calibri"/>
          <w:vertAlign w:val="superscript"/>
        </w:rPr>
        <w:t>4,5</w:t>
      </w:r>
      <w:r w:rsidRPr="005C1895">
        <w:rPr>
          <w:rFonts w:eastAsia="Calibri"/>
        </w:rPr>
        <w:t xml:space="preserve"> </w:t>
      </w:r>
      <w:r w:rsidRPr="005C1895" w:rsidR="00B433FD">
        <w:rPr>
          <w:rFonts w:eastAsia="Calibri"/>
        </w:rPr>
        <w:t>Also</w:t>
      </w:r>
      <w:r w:rsidRPr="005C1895" w:rsidR="00220E9F">
        <w:rPr>
          <w:rFonts w:eastAsia="Calibri"/>
        </w:rPr>
        <w:t xml:space="preserve">, </w:t>
      </w:r>
      <w:r w:rsidRPr="005C1895" w:rsidR="00D54E8A">
        <w:rPr>
          <w:rFonts w:eastAsia="Calibri"/>
        </w:rPr>
        <w:t xml:space="preserve">differences in the </w:t>
      </w:r>
      <w:r w:rsidRPr="005C1895" w:rsidR="00220E9F">
        <w:rPr>
          <w:rFonts w:eastAsia="Calibri"/>
        </w:rPr>
        <w:t>l</w:t>
      </w:r>
      <w:r w:rsidRPr="005C1895">
        <w:rPr>
          <w:rFonts w:eastAsia="Calibri"/>
        </w:rPr>
        <w:t xml:space="preserve">ocal adaptation </w:t>
      </w:r>
      <w:r w:rsidRPr="005C1895" w:rsidR="00D54E8A">
        <w:rPr>
          <w:rFonts w:eastAsia="Calibri"/>
        </w:rPr>
        <w:t xml:space="preserve">of the SPPC-I </w:t>
      </w:r>
      <w:r w:rsidRPr="005C1895">
        <w:rPr>
          <w:rFonts w:eastAsia="Calibri"/>
        </w:rPr>
        <w:t>patient safety bundles selected by implementation sites thwarted a</w:t>
      </w:r>
      <w:r w:rsidRPr="005C1895" w:rsidR="00220E9F">
        <w:rPr>
          <w:rFonts w:eastAsia="Calibri"/>
        </w:rPr>
        <w:t xml:space="preserve"> </w:t>
      </w:r>
      <w:r w:rsidRPr="005C1895" w:rsidR="00D54E8A">
        <w:rPr>
          <w:rFonts w:eastAsia="Calibri"/>
        </w:rPr>
        <w:t xml:space="preserve">meaningful </w:t>
      </w:r>
      <w:r w:rsidRPr="005C1895">
        <w:rPr>
          <w:rFonts w:eastAsia="Calibri"/>
        </w:rPr>
        <w:t>cross-site com</w:t>
      </w:r>
      <w:r w:rsidRPr="005C1895" w:rsidR="00117B24">
        <w:rPr>
          <w:rFonts w:eastAsia="Calibri"/>
        </w:rPr>
        <w:t>parison of programmatic impact.</w:t>
      </w:r>
      <w:r w:rsidRPr="005C1895" w:rsidR="00117B24">
        <w:rPr>
          <w:rFonts w:eastAsia="Calibri"/>
          <w:vertAlign w:val="superscript"/>
        </w:rPr>
        <w:t>4,5</w:t>
      </w:r>
    </w:p>
    <w:p w:rsidRPr="005C1895" w:rsidR="00596D0F" w:rsidP="004E6FDD" w:rsidRDefault="00596D0F" w14:paraId="4790A7BD" w14:textId="77777777">
      <w:pPr>
        <w:rPr>
          <w:rFonts w:eastAsia="Calibri"/>
        </w:rPr>
      </w:pPr>
    </w:p>
    <w:p w:rsidR="00A95F1D" w:rsidP="004E6FDD" w:rsidRDefault="00395CF6" w14:paraId="137FDE52" w14:textId="77777777">
      <w:pPr>
        <w:rPr>
          <w:rFonts w:eastAsia="Calibri"/>
        </w:rPr>
      </w:pPr>
      <w:r w:rsidRPr="005C1895">
        <w:rPr>
          <w:rFonts w:eastAsia="Calibri"/>
        </w:rPr>
        <w:t>T</w:t>
      </w:r>
      <w:r w:rsidRPr="005C1895" w:rsidR="004E6FDD">
        <w:rPr>
          <w:rFonts w:eastAsia="Calibri"/>
        </w:rPr>
        <w:t xml:space="preserve">he </w:t>
      </w:r>
      <w:r w:rsidRPr="005C1895" w:rsidR="00B433FD">
        <w:rPr>
          <w:rFonts w:eastAsia="Calibri"/>
        </w:rPr>
        <w:t xml:space="preserve">current, </w:t>
      </w:r>
      <w:r w:rsidRPr="005C1895" w:rsidR="00220E9F">
        <w:rPr>
          <w:rFonts w:eastAsia="Calibri"/>
        </w:rPr>
        <w:t>second phase of the program (</w:t>
      </w:r>
      <w:r w:rsidRPr="005C1895" w:rsidR="004E6FDD">
        <w:rPr>
          <w:rFonts w:eastAsia="Calibri"/>
        </w:rPr>
        <w:t>SPPC-II</w:t>
      </w:r>
      <w:r w:rsidRPr="005C1895" w:rsidR="00220E9F">
        <w:rPr>
          <w:rFonts w:eastAsia="Calibri"/>
        </w:rPr>
        <w:t>)</w:t>
      </w:r>
      <w:r w:rsidRPr="005C1895">
        <w:rPr>
          <w:rFonts w:eastAsia="Calibri"/>
        </w:rPr>
        <w:t xml:space="preserve">, focuses </w:t>
      </w:r>
      <w:r w:rsidRPr="005C1895" w:rsidR="004E6FDD">
        <w:rPr>
          <w:rFonts w:eastAsia="Calibri"/>
        </w:rPr>
        <w:t xml:space="preserve">on integrating the </w:t>
      </w:r>
      <w:r w:rsidRPr="005C1895" w:rsidR="00281248">
        <w:rPr>
          <w:rFonts w:eastAsia="Calibri"/>
        </w:rPr>
        <w:t>teamwork and communication</w:t>
      </w:r>
      <w:r w:rsidRPr="005C1895" w:rsidR="004E6FDD">
        <w:rPr>
          <w:rFonts w:eastAsia="Calibri"/>
        </w:rPr>
        <w:t xml:space="preserve"> pillar into </w:t>
      </w:r>
      <w:r w:rsidRPr="005C1895" w:rsidR="00281248">
        <w:rPr>
          <w:rFonts w:eastAsia="Calibri"/>
        </w:rPr>
        <w:t xml:space="preserve">patient safety </w:t>
      </w:r>
      <w:r w:rsidRPr="005C1895" w:rsidR="004E6FDD">
        <w:rPr>
          <w:rFonts w:eastAsia="Calibri"/>
        </w:rPr>
        <w:t xml:space="preserve">bundles </w:t>
      </w:r>
      <w:r w:rsidRPr="005C1895" w:rsidR="00281248">
        <w:rPr>
          <w:rFonts w:eastAsia="Calibri"/>
        </w:rPr>
        <w:t xml:space="preserve">developed by key professional organizations </w:t>
      </w:r>
      <w:r w:rsidRPr="005C1895" w:rsidR="00134F80">
        <w:rPr>
          <w:rFonts w:eastAsia="Calibri"/>
        </w:rPr>
        <w:t xml:space="preserve">and </w:t>
      </w:r>
      <w:r w:rsidRPr="005C1895" w:rsidR="00281248">
        <w:rPr>
          <w:rFonts w:eastAsia="Calibri"/>
        </w:rPr>
        <w:t xml:space="preserve">implemented </w:t>
      </w:r>
      <w:r w:rsidRPr="005C1895" w:rsidR="00134F80">
        <w:rPr>
          <w:rFonts w:eastAsia="Calibri"/>
        </w:rPr>
        <w:t xml:space="preserve">in 20+ US states with technical assistance </w:t>
      </w:r>
      <w:r w:rsidR="00A827BF">
        <w:rPr>
          <w:rFonts w:eastAsia="Calibri"/>
        </w:rPr>
        <w:t>by</w:t>
      </w:r>
      <w:r w:rsidRPr="005C1895" w:rsidR="00A827BF">
        <w:rPr>
          <w:rFonts w:eastAsia="Calibri"/>
        </w:rPr>
        <w:t xml:space="preserve"> </w:t>
      </w:r>
      <w:r w:rsidRPr="005C1895" w:rsidR="00281248">
        <w:rPr>
          <w:rFonts w:eastAsia="Calibri"/>
        </w:rPr>
        <w:t>the Alliance for Innovation on Maternal Health (AIM)</w:t>
      </w:r>
      <w:r w:rsidRPr="005C1895" w:rsidR="00BF7D87">
        <w:rPr>
          <w:rFonts w:eastAsia="Calibri"/>
          <w:vertAlign w:val="superscript"/>
        </w:rPr>
        <w:t>6</w:t>
      </w:r>
      <w:r w:rsidRPr="005C1895" w:rsidR="00B433FD">
        <w:rPr>
          <w:rFonts w:eastAsia="Calibri"/>
        </w:rPr>
        <w:t xml:space="preserve"> </w:t>
      </w:r>
      <w:r w:rsidRPr="005C1895" w:rsidR="00134F80">
        <w:rPr>
          <w:rFonts w:eastAsia="Calibri"/>
        </w:rPr>
        <w:t>program and</w:t>
      </w:r>
      <w:r w:rsidRPr="005C1895" w:rsidR="00B433FD">
        <w:rPr>
          <w:rFonts w:eastAsia="Calibri"/>
        </w:rPr>
        <w:t xml:space="preserve"> funding from </w:t>
      </w:r>
      <w:r w:rsidRPr="005C1895" w:rsidR="00673ABF">
        <w:rPr>
          <w:rFonts w:eastAsia="Calibri"/>
        </w:rPr>
        <w:t>the Health Resources and Services Administration (</w:t>
      </w:r>
      <w:r w:rsidRPr="005C1895" w:rsidR="00B433FD">
        <w:rPr>
          <w:rFonts w:eastAsia="Calibri"/>
        </w:rPr>
        <w:t>HRSA</w:t>
      </w:r>
      <w:r w:rsidRPr="005C1895" w:rsidR="00673ABF">
        <w:rPr>
          <w:rFonts w:eastAsia="Calibri"/>
        </w:rPr>
        <w:t>)</w:t>
      </w:r>
      <w:r w:rsidRPr="005C1895" w:rsidR="004E6FDD">
        <w:rPr>
          <w:rFonts w:eastAsia="Calibri"/>
        </w:rPr>
        <w:t>.</w:t>
      </w:r>
      <w:r w:rsidRPr="005C1895" w:rsidR="005B1029">
        <w:rPr>
          <w:rFonts w:eastAsia="Calibri"/>
        </w:rPr>
        <w:t xml:space="preserve"> </w:t>
      </w:r>
      <w:r w:rsidRPr="005C1895" w:rsidR="00A95F1D">
        <w:rPr>
          <w:rFonts w:eastAsia="Calibri"/>
        </w:rPr>
        <w:t xml:space="preserve">Of note, the model used by AIM to implement these bundles is through statewide perinatal quality </w:t>
      </w:r>
      <w:proofErr w:type="spellStart"/>
      <w:r w:rsidRPr="005C1895" w:rsidR="00A95F1D">
        <w:rPr>
          <w:rFonts w:eastAsia="Calibri"/>
        </w:rPr>
        <w:t>collaboratives</w:t>
      </w:r>
      <w:proofErr w:type="spellEnd"/>
      <w:r w:rsidRPr="005C1895" w:rsidR="00A95F1D">
        <w:rPr>
          <w:rFonts w:eastAsia="Calibri"/>
        </w:rPr>
        <w:t xml:space="preserve"> (PQC) aiming to enroll all birthing hospitals in the state in the PQC. </w:t>
      </w:r>
    </w:p>
    <w:p w:rsidRPr="005C1895" w:rsidR="00344BF9" w:rsidP="004E6FDD" w:rsidRDefault="00344BF9" w14:paraId="2B80AF68" w14:textId="77777777">
      <w:pPr>
        <w:rPr>
          <w:rFonts w:eastAsia="Calibri"/>
        </w:rPr>
      </w:pPr>
    </w:p>
    <w:p w:rsidRPr="005C1895" w:rsidR="00A95F1D" w:rsidP="004E6FDD" w:rsidRDefault="0050038F" w14:paraId="02D5E46E" w14:textId="77777777">
      <w:pPr>
        <w:rPr>
          <w:rFonts w:eastAsia="Calibri"/>
        </w:rPr>
      </w:pPr>
      <w:r w:rsidRPr="005C1895">
        <w:rPr>
          <w:rFonts w:eastAsia="Calibri"/>
        </w:rPr>
        <w:t xml:space="preserve">During the </w:t>
      </w:r>
      <w:r w:rsidRPr="005C1895">
        <w:rPr>
          <w:rFonts w:eastAsia="Calibri"/>
          <w:i/>
        </w:rPr>
        <w:t>Planning Phase</w:t>
      </w:r>
      <w:r w:rsidRPr="005C1895">
        <w:rPr>
          <w:rFonts w:eastAsia="Calibri"/>
        </w:rPr>
        <w:t xml:space="preserve"> of SPPC-II, the contractor, Johns Hopkins University</w:t>
      </w:r>
      <w:r w:rsidRPr="005C1895" w:rsidR="00FC400B">
        <w:rPr>
          <w:rFonts w:eastAsia="Calibri"/>
        </w:rPr>
        <w:t xml:space="preserve"> (JHU)</w:t>
      </w:r>
      <w:r w:rsidRPr="005C1895">
        <w:rPr>
          <w:rFonts w:eastAsia="Calibri"/>
        </w:rPr>
        <w:t>, developed SPPC-II Training Toolkit</w:t>
      </w:r>
      <w:r w:rsidRPr="005C1895" w:rsidR="00A95F1D">
        <w:rPr>
          <w:rFonts w:eastAsia="Calibri"/>
        </w:rPr>
        <w:t>s</w:t>
      </w:r>
      <w:r w:rsidRPr="005C1895" w:rsidR="00AB072E">
        <w:rPr>
          <w:rFonts w:eastAsia="Calibri"/>
        </w:rPr>
        <w:t xml:space="preserve"> for </w:t>
      </w:r>
      <w:r w:rsidRPr="005C1895" w:rsidR="009F3140">
        <w:rPr>
          <w:rFonts w:eastAsia="Calibri"/>
        </w:rPr>
        <w:t>two</w:t>
      </w:r>
      <w:r w:rsidRPr="005C1895" w:rsidR="00AB072E">
        <w:rPr>
          <w:rFonts w:eastAsia="Calibri"/>
        </w:rPr>
        <w:t xml:space="preserve"> </w:t>
      </w:r>
      <w:r w:rsidRPr="005C1895" w:rsidR="00CE79F9">
        <w:rPr>
          <w:rFonts w:eastAsia="Calibri"/>
        </w:rPr>
        <w:t xml:space="preserve">AIM </w:t>
      </w:r>
      <w:r w:rsidRPr="005C1895" w:rsidR="00AB072E">
        <w:rPr>
          <w:rFonts w:eastAsia="Calibri"/>
        </w:rPr>
        <w:t>patient safety bundles</w:t>
      </w:r>
      <w:r w:rsidRPr="005C1895" w:rsidR="00CE79F9">
        <w:rPr>
          <w:rFonts w:eastAsia="Calibri"/>
        </w:rPr>
        <w:t>:</w:t>
      </w:r>
      <w:r w:rsidRPr="005C1895" w:rsidR="009F3140">
        <w:rPr>
          <w:rFonts w:eastAsia="Calibri"/>
        </w:rPr>
        <w:t xml:space="preserve"> obstetric hemorrhage and severe hypertension</w:t>
      </w:r>
      <w:r w:rsidRPr="005C1895" w:rsidR="00CE79F9">
        <w:rPr>
          <w:rFonts w:eastAsia="Calibri"/>
        </w:rPr>
        <w:t xml:space="preserve"> in pregnancy</w:t>
      </w:r>
      <w:r w:rsidRPr="005C1895" w:rsidR="00A95F1D">
        <w:rPr>
          <w:rFonts w:eastAsia="Calibri"/>
        </w:rPr>
        <w:t xml:space="preserve">. The </w:t>
      </w:r>
      <w:r w:rsidR="00A827BF">
        <w:rPr>
          <w:rFonts w:eastAsia="Calibri"/>
        </w:rPr>
        <w:t xml:space="preserve">aim of the </w:t>
      </w:r>
      <w:r w:rsidRPr="005C1895" w:rsidR="00A95F1D">
        <w:rPr>
          <w:rFonts w:eastAsia="Calibri"/>
        </w:rPr>
        <w:t xml:space="preserve">SPPC-II </w:t>
      </w:r>
      <w:r w:rsidRPr="005C1895" w:rsidR="00A95F1D">
        <w:rPr>
          <w:rFonts w:eastAsia="Calibri"/>
          <w:i/>
        </w:rPr>
        <w:t>Demonstration Project</w:t>
      </w:r>
      <w:r w:rsidRPr="005C1895" w:rsidR="00443A7E">
        <w:rPr>
          <w:rFonts w:eastAsia="Calibri"/>
        </w:rPr>
        <w:t xml:space="preserve"> </w:t>
      </w:r>
      <w:r w:rsidRPr="005C1895" w:rsidR="00A95F1D">
        <w:rPr>
          <w:rFonts w:eastAsia="Calibri"/>
        </w:rPr>
        <w:t xml:space="preserve">is to implement and evaluate an integrated AIM-SPPC II program </w:t>
      </w:r>
      <w:r w:rsidRPr="005C1895" w:rsidR="007F0934">
        <w:rPr>
          <w:rFonts w:eastAsia="Calibri"/>
        </w:rPr>
        <w:t>that overlays the</w:t>
      </w:r>
      <w:r w:rsidRPr="005C1895" w:rsidR="00CE79F9">
        <w:rPr>
          <w:rFonts w:eastAsia="Calibri"/>
        </w:rPr>
        <w:t xml:space="preserve"> SPPC-II Training Toolkits and the AIM </w:t>
      </w:r>
      <w:r w:rsidRPr="005C1895" w:rsidR="007F0934">
        <w:rPr>
          <w:rFonts w:eastAsia="Calibri"/>
        </w:rPr>
        <w:t xml:space="preserve">patient safety bundles and </w:t>
      </w:r>
      <w:r w:rsidRPr="005C1895" w:rsidR="00CE79F9">
        <w:rPr>
          <w:rFonts w:eastAsia="Calibri"/>
        </w:rPr>
        <w:t xml:space="preserve">program infrastructure </w:t>
      </w:r>
      <w:r w:rsidRPr="005C1895" w:rsidR="00443A7E">
        <w:rPr>
          <w:rFonts w:eastAsia="Calibri"/>
        </w:rPr>
        <w:t>in two states</w:t>
      </w:r>
      <w:r w:rsidRPr="005C1895" w:rsidR="00A95F1D">
        <w:rPr>
          <w:rFonts w:eastAsia="Calibri"/>
        </w:rPr>
        <w:t xml:space="preserve"> -- </w:t>
      </w:r>
      <w:r w:rsidRPr="005C1895" w:rsidR="00443A7E">
        <w:rPr>
          <w:rFonts w:eastAsia="Calibri"/>
        </w:rPr>
        <w:t xml:space="preserve">Oklahoma (OK), </w:t>
      </w:r>
      <w:r w:rsidRPr="005C1895" w:rsidR="00A95F1D">
        <w:rPr>
          <w:rFonts w:eastAsia="Calibri"/>
        </w:rPr>
        <w:t xml:space="preserve">currently implementing </w:t>
      </w:r>
      <w:r w:rsidRPr="005C1895" w:rsidR="00646C1F">
        <w:rPr>
          <w:rFonts w:eastAsia="Calibri"/>
        </w:rPr>
        <w:t>the</w:t>
      </w:r>
      <w:r w:rsidRPr="005C1895" w:rsidR="00A95F1D">
        <w:rPr>
          <w:rFonts w:eastAsia="Calibri"/>
        </w:rPr>
        <w:t xml:space="preserve"> </w:t>
      </w:r>
      <w:r w:rsidRPr="005C1895" w:rsidR="00443A7E">
        <w:rPr>
          <w:rFonts w:eastAsia="Calibri"/>
        </w:rPr>
        <w:t xml:space="preserve">severe hypertension bundle; and Texas (TX), currently implementing </w:t>
      </w:r>
      <w:r w:rsidRPr="005C1895" w:rsidR="00646C1F">
        <w:rPr>
          <w:rFonts w:eastAsia="Calibri"/>
        </w:rPr>
        <w:t>the</w:t>
      </w:r>
      <w:r w:rsidRPr="005C1895" w:rsidR="00443A7E">
        <w:rPr>
          <w:rFonts w:eastAsia="Calibri"/>
        </w:rPr>
        <w:t xml:space="preserve"> hemorrhage bundle. </w:t>
      </w:r>
    </w:p>
    <w:p w:rsidRPr="005C1895" w:rsidR="007F0934" w:rsidP="004E6FDD" w:rsidRDefault="007F0934" w14:paraId="62A8F38D" w14:textId="77777777">
      <w:pPr>
        <w:rPr>
          <w:rFonts w:eastAsia="Calibri"/>
        </w:rPr>
      </w:pPr>
    </w:p>
    <w:p w:rsidRPr="005C1895" w:rsidR="009900FD" w:rsidP="004E6FDD" w:rsidRDefault="007F0934" w14:paraId="06944CC8" w14:textId="77777777">
      <w:pPr>
        <w:rPr>
          <w:rFonts w:eastAsia="Calibri"/>
        </w:rPr>
      </w:pPr>
      <w:r w:rsidRPr="005C1895">
        <w:rPr>
          <w:rFonts w:eastAsia="Calibri"/>
        </w:rPr>
        <w:t>Over the next five years, wi</w:t>
      </w:r>
      <w:r w:rsidRPr="005C1895" w:rsidR="00C301BB">
        <w:rPr>
          <w:rFonts w:eastAsia="Calibri"/>
        </w:rPr>
        <w:t xml:space="preserve">th additional funding from HRSA, the AIM program is expected to cover about two thirds of US states. </w:t>
      </w:r>
      <w:r w:rsidRPr="005C1895" w:rsidR="005B1029">
        <w:rPr>
          <w:rFonts w:eastAsia="Calibri"/>
        </w:rPr>
        <w:t>There</w:t>
      </w:r>
      <w:r w:rsidRPr="005C1895" w:rsidR="00341834">
        <w:rPr>
          <w:rFonts w:eastAsia="Calibri"/>
        </w:rPr>
        <w:t>fore, there</w:t>
      </w:r>
      <w:r w:rsidRPr="005C1895" w:rsidR="005B1029">
        <w:rPr>
          <w:rFonts w:eastAsia="Calibri"/>
        </w:rPr>
        <w:t xml:space="preserve"> is need to </w:t>
      </w:r>
      <w:r w:rsidRPr="005C1895" w:rsidR="00261A1B">
        <w:rPr>
          <w:rFonts w:eastAsia="Calibri"/>
        </w:rPr>
        <w:t>determine</w:t>
      </w:r>
      <w:r w:rsidRPr="005C1895" w:rsidR="0050038F">
        <w:rPr>
          <w:rFonts w:eastAsia="Calibri"/>
        </w:rPr>
        <w:t xml:space="preserve"> </w:t>
      </w:r>
      <w:r w:rsidRPr="005C1895">
        <w:rPr>
          <w:rFonts w:eastAsia="Calibri"/>
        </w:rPr>
        <w:t>the</w:t>
      </w:r>
      <w:r w:rsidRPr="005C1895" w:rsidR="009900FD">
        <w:rPr>
          <w:rFonts w:eastAsia="Calibri"/>
        </w:rPr>
        <w:t xml:space="preserve"> feasibility and impact of the</w:t>
      </w:r>
      <w:r w:rsidRPr="005C1895" w:rsidR="000D47CC">
        <w:rPr>
          <w:rFonts w:eastAsia="Calibri"/>
        </w:rPr>
        <w:t xml:space="preserve"> </w:t>
      </w:r>
      <w:r w:rsidRPr="005C1895" w:rsidR="0050038F">
        <w:rPr>
          <w:rFonts w:eastAsia="Calibri"/>
        </w:rPr>
        <w:t xml:space="preserve">proposed </w:t>
      </w:r>
      <w:r w:rsidRPr="005C1895">
        <w:rPr>
          <w:rFonts w:eastAsia="Calibri"/>
        </w:rPr>
        <w:t xml:space="preserve">integrated AIM-SPPC II </w:t>
      </w:r>
      <w:r w:rsidRPr="005C1895" w:rsidR="009900FD">
        <w:rPr>
          <w:rFonts w:eastAsia="Calibri"/>
        </w:rPr>
        <w:t>program,</w:t>
      </w:r>
      <w:r w:rsidRPr="005C1895" w:rsidR="00C04C20">
        <w:rPr>
          <w:rFonts w:eastAsia="Calibri"/>
        </w:rPr>
        <w:t xml:space="preserve"> </w:t>
      </w:r>
      <w:r w:rsidRPr="005C1895" w:rsidR="009900FD">
        <w:rPr>
          <w:rFonts w:eastAsia="Calibri"/>
        </w:rPr>
        <w:t xml:space="preserve">and inform future government funding decisions regarding these two programs.  </w:t>
      </w:r>
    </w:p>
    <w:p w:rsidRPr="005C1895" w:rsidR="00443A7E" w:rsidP="004E6FDD" w:rsidRDefault="009900FD" w14:paraId="025255FF" w14:textId="77777777">
      <w:pPr>
        <w:rPr>
          <w:rFonts w:eastAsia="Calibri"/>
        </w:rPr>
      </w:pPr>
      <w:r w:rsidRPr="005C1895">
        <w:rPr>
          <w:rFonts w:eastAsia="Calibri"/>
        </w:rPr>
        <w:t xml:space="preserve"> </w:t>
      </w:r>
    </w:p>
    <w:p w:rsidRPr="005C1895" w:rsidR="00527BBD" w:rsidP="006014DB" w:rsidRDefault="009900FD" w14:paraId="2BB9DA1A" w14:textId="77777777">
      <w:r w:rsidRPr="005C1895">
        <w:t>To this end</w:t>
      </w:r>
      <w:r w:rsidRPr="005C1895" w:rsidR="004A6F74">
        <w:t xml:space="preserve">, </w:t>
      </w:r>
      <w:r w:rsidRPr="005C1895" w:rsidR="007F0934">
        <w:t xml:space="preserve">the SPPC-II </w:t>
      </w:r>
      <w:r w:rsidRPr="005C1895" w:rsidR="007F0934">
        <w:rPr>
          <w:i/>
        </w:rPr>
        <w:t>Demonstration Project</w:t>
      </w:r>
      <w:r w:rsidRPr="005C1895" w:rsidR="00527BBD">
        <w:t xml:space="preserve"> has the following goals:</w:t>
      </w:r>
    </w:p>
    <w:p w:rsidRPr="005C1895" w:rsidR="00527BBD" w:rsidP="00527BBD" w:rsidRDefault="00527BBD" w14:paraId="13F0CF59" w14:textId="77777777">
      <w:pPr>
        <w:tabs>
          <w:tab w:val="left" w:pos="360"/>
        </w:tabs>
        <w:ind w:left="360" w:hanging="360"/>
      </w:pPr>
      <w:r w:rsidRPr="005C1895">
        <w:t>1)</w:t>
      </w:r>
      <w:r w:rsidRPr="005C1895">
        <w:tab/>
      </w:r>
      <w:r w:rsidRPr="005C1895" w:rsidR="00900BD7">
        <w:t>To implement</w:t>
      </w:r>
      <w:r w:rsidRPr="005C1895" w:rsidR="004A6F74">
        <w:t xml:space="preserve"> the integrated AIM-SPPC II program </w:t>
      </w:r>
      <w:r w:rsidRPr="005C1895" w:rsidR="00900BD7">
        <w:t xml:space="preserve">in </w:t>
      </w:r>
      <w:r w:rsidRPr="005C1895" w:rsidR="009900FD">
        <w:t>birthing hospitals in OK and TX in coordination with AIM and the respective state PQC</w:t>
      </w:r>
      <w:r w:rsidRPr="005C1895" w:rsidR="004A6F74">
        <w:t>;</w:t>
      </w:r>
    </w:p>
    <w:p w:rsidRPr="005C1895" w:rsidR="00527BBD" w:rsidP="00527BBD" w:rsidRDefault="00527BBD" w14:paraId="184F40C8" w14:textId="77777777">
      <w:pPr>
        <w:tabs>
          <w:tab w:val="left" w:pos="360"/>
        </w:tabs>
        <w:ind w:left="360" w:hanging="360"/>
      </w:pPr>
      <w:r w:rsidRPr="005C1895">
        <w:t>2)</w:t>
      </w:r>
      <w:r w:rsidRPr="005C1895">
        <w:tab/>
      </w:r>
      <w:r w:rsidRPr="005C1895" w:rsidR="00900BD7">
        <w:t xml:space="preserve">To </w:t>
      </w:r>
      <w:r w:rsidRPr="005C1895" w:rsidR="009900FD">
        <w:t>assess</w:t>
      </w:r>
      <w:r w:rsidRPr="005C1895" w:rsidR="00900BD7">
        <w:t xml:space="preserve"> the </w:t>
      </w:r>
      <w:r w:rsidRPr="005C1895" w:rsidR="0068128F">
        <w:t>implementation</w:t>
      </w:r>
      <w:r w:rsidRPr="005C1895" w:rsidR="004A6F74">
        <w:t xml:space="preserve"> of the integrated AIM-SPPC II program </w:t>
      </w:r>
      <w:r w:rsidRPr="005C1895" w:rsidR="0068128F">
        <w:t xml:space="preserve">in </w:t>
      </w:r>
      <w:r w:rsidRPr="005C1895" w:rsidR="009900FD">
        <w:t>these hospitals</w:t>
      </w:r>
      <w:r w:rsidRPr="005C1895" w:rsidR="004A6F74">
        <w:t>;</w:t>
      </w:r>
      <w:r w:rsidRPr="005C1895" w:rsidR="009900FD">
        <w:t xml:space="preserve"> and</w:t>
      </w:r>
    </w:p>
    <w:p w:rsidRPr="005C1895" w:rsidR="00527BBD" w:rsidP="00527BBD" w:rsidRDefault="00527BBD" w14:paraId="3374FC05" w14:textId="77777777">
      <w:pPr>
        <w:tabs>
          <w:tab w:val="left" w:pos="360"/>
        </w:tabs>
        <w:ind w:left="360" w:hanging="360"/>
      </w:pPr>
      <w:r w:rsidRPr="005C1895">
        <w:t>3)</w:t>
      </w:r>
      <w:r w:rsidRPr="005C1895">
        <w:tab/>
      </w:r>
      <w:r w:rsidRPr="005C1895" w:rsidR="00900BD7">
        <w:t>To a</w:t>
      </w:r>
      <w:r w:rsidRPr="005C1895" w:rsidR="004A6F74">
        <w:t>scertain the</w:t>
      </w:r>
      <w:r w:rsidRPr="005C1895" w:rsidR="004F5912">
        <w:t xml:space="preserve"> short- and medium-term</w:t>
      </w:r>
      <w:r w:rsidRPr="005C1895" w:rsidR="004A6F74">
        <w:t xml:space="preserve"> impact of the integrated AIM-SPPC II program on </w:t>
      </w:r>
      <w:r w:rsidRPr="005C1895" w:rsidR="009900FD">
        <w:t xml:space="preserve">hospital (i.e. perinatal unit) </w:t>
      </w:r>
      <w:r w:rsidRPr="005C1895" w:rsidR="00547839">
        <w:t xml:space="preserve">teamwork and communication, patient safety, and </w:t>
      </w:r>
      <w:r w:rsidRPr="005C1895" w:rsidR="009900FD">
        <w:t xml:space="preserve">key </w:t>
      </w:r>
      <w:r w:rsidRPr="005C1895" w:rsidR="004A6F74">
        <w:t>maternal health outcomes.</w:t>
      </w:r>
    </w:p>
    <w:p w:rsidRPr="005C1895" w:rsidR="00527BBD" w:rsidP="006014DB" w:rsidRDefault="00527BBD" w14:paraId="29F50A9C" w14:textId="77777777"/>
    <w:p w:rsidRPr="005C1895" w:rsidR="00527BBD" w:rsidP="006014DB" w:rsidRDefault="00527BBD" w14:paraId="38A4BE64" w14:textId="77777777">
      <w:r w:rsidRPr="005C1895">
        <w:t>To achieve the goals of this project the following data collections will be implemented:</w:t>
      </w:r>
    </w:p>
    <w:p w:rsidRPr="005C1895" w:rsidR="00EA349E" w:rsidP="008959EB" w:rsidRDefault="004410F5" w14:paraId="2328D341" w14:textId="77777777">
      <w:pPr>
        <w:pStyle w:val="p1"/>
        <w:numPr>
          <w:ilvl w:val="0"/>
          <w:numId w:val="5"/>
        </w:numPr>
        <w:tabs>
          <w:tab w:val="left" w:pos="360"/>
        </w:tabs>
        <w:ind w:left="360"/>
        <w:rPr>
          <w:rFonts w:ascii="Times New Roman" w:hAnsi="Times New Roman"/>
          <w:sz w:val="24"/>
          <w:szCs w:val="24"/>
        </w:rPr>
      </w:pPr>
      <w:r w:rsidRPr="005C1895">
        <w:rPr>
          <w:rFonts w:ascii="Times New Roman" w:hAnsi="Times New Roman"/>
          <w:b/>
          <w:sz w:val="24"/>
          <w:szCs w:val="24"/>
        </w:rPr>
        <w:lastRenderedPageBreak/>
        <w:t>Training of AIM Team Leads</w:t>
      </w:r>
      <w:r w:rsidRPr="005C1895" w:rsidR="00FC400B">
        <w:rPr>
          <w:rFonts w:ascii="Times New Roman" w:hAnsi="Times New Roman"/>
          <w:b/>
          <w:sz w:val="24"/>
          <w:szCs w:val="24"/>
        </w:rPr>
        <w:t xml:space="preserve"> </w:t>
      </w:r>
      <w:r w:rsidRPr="005C1895" w:rsidR="00BF7DD8">
        <w:rPr>
          <w:rFonts w:ascii="Times New Roman" w:hAnsi="Times New Roman"/>
          <w:sz w:val="24"/>
          <w:szCs w:val="24"/>
        </w:rPr>
        <w:t>from</w:t>
      </w:r>
      <w:r w:rsidRPr="005C1895" w:rsidR="00FC400B">
        <w:rPr>
          <w:rFonts w:ascii="Times New Roman" w:hAnsi="Times New Roman"/>
          <w:sz w:val="24"/>
          <w:szCs w:val="24"/>
        </w:rPr>
        <w:t xml:space="preserve"> </w:t>
      </w:r>
      <w:r w:rsidRPr="005C1895" w:rsidR="00B155D4">
        <w:rPr>
          <w:rFonts w:ascii="Times New Roman" w:hAnsi="Times New Roman"/>
          <w:sz w:val="24"/>
          <w:szCs w:val="24"/>
        </w:rPr>
        <w:t xml:space="preserve">48 </w:t>
      </w:r>
      <w:r w:rsidRPr="005C1895" w:rsidR="00FC400B">
        <w:rPr>
          <w:rFonts w:ascii="Times New Roman" w:hAnsi="Times New Roman"/>
          <w:sz w:val="24"/>
          <w:szCs w:val="24"/>
        </w:rPr>
        <w:t>birthing hospitals in OK and 210 birthing hospitals in TX</w:t>
      </w:r>
      <w:r w:rsidRPr="005C1895" w:rsidR="00FC400B">
        <w:rPr>
          <w:rFonts w:ascii="Times New Roman" w:hAnsi="Times New Roman"/>
          <w:b/>
          <w:sz w:val="24"/>
          <w:szCs w:val="24"/>
        </w:rPr>
        <w:t xml:space="preserve"> </w:t>
      </w:r>
      <w:r w:rsidRPr="005C1895" w:rsidR="00112E28">
        <w:rPr>
          <w:rFonts w:ascii="Times New Roman" w:hAnsi="Times New Roman"/>
          <w:sz w:val="24"/>
          <w:szCs w:val="24"/>
        </w:rPr>
        <w:t>(i.e., all birthing hospitals enrolled in the respective state PQC)</w:t>
      </w:r>
      <w:r w:rsidRPr="005C1895" w:rsidR="00112E28">
        <w:rPr>
          <w:rFonts w:ascii="Times New Roman" w:hAnsi="Times New Roman"/>
          <w:b/>
          <w:sz w:val="24"/>
          <w:szCs w:val="24"/>
        </w:rPr>
        <w:t xml:space="preserve"> </w:t>
      </w:r>
      <w:r w:rsidRPr="005C1895" w:rsidR="006D29BB">
        <w:rPr>
          <w:rFonts w:ascii="Times New Roman" w:hAnsi="Times New Roman"/>
          <w:sz w:val="24"/>
          <w:szCs w:val="24"/>
        </w:rPr>
        <w:t>on using t</w:t>
      </w:r>
      <w:r w:rsidRPr="005C1895" w:rsidR="00FC400B">
        <w:rPr>
          <w:rFonts w:ascii="Times New Roman" w:hAnsi="Times New Roman"/>
          <w:sz w:val="24"/>
          <w:szCs w:val="24"/>
        </w:rPr>
        <w:t>eamwork and communication tools and strategies</w:t>
      </w:r>
      <w:r w:rsidRPr="005C1895" w:rsidR="006D29BB">
        <w:rPr>
          <w:rFonts w:ascii="Times New Roman" w:hAnsi="Times New Roman"/>
          <w:sz w:val="24"/>
          <w:szCs w:val="24"/>
        </w:rPr>
        <w:t xml:space="preserve"> in clinical obstetric practice</w:t>
      </w:r>
      <w:r w:rsidRPr="005C1895" w:rsidR="00BF7DD8">
        <w:rPr>
          <w:rFonts w:ascii="Times New Roman" w:hAnsi="Times New Roman"/>
          <w:sz w:val="24"/>
          <w:szCs w:val="24"/>
        </w:rPr>
        <w:t>. The training</w:t>
      </w:r>
      <w:r w:rsidRPr="005C1895" w:rsidR="00FC400B">
        <w:rPr>
          <w:rFonts w:ascii="Times New Roman" w:hAnsi="Times New Roman"/>
          <w:b/>
          <w:sz w:val="24"/>
          <w:szCs w:val="24"/>
        </w:rPr>
        <w:t xml:space="preserve"> </w:t>
      </w:r>
      <w:r w:rsidRPr="005C1895" w:rsidR="00FC400B">
        <w:rPr>
          <w:rFonts w:ascii="Times New Roman" w:hAnsi="Times New Roman"/>
          <w:sz w:val="24"/>
          <w:szCs w:val="24"/>
        </w:rPr>
        <w:t xml:space="preserve">will be conducted in-person, through a full-day workshop </w:t>
      </w:r>
      <w:r w:rsidRPr="005C1895" w:rsidR="00BF7DD8">
        <w:rPr>
          <w:rFonts w:ascii="Times New Roman" w:hAnsi="Times New Roman"/>
          <w:sz w:val="24"/>
          <w:szCs w:val="24"/>
        </w:rPr>
        <w:t xml:space="preserve">organized in collaboration </w:t>
      </w:r>
      <w:r w:rsidRPr="005C1895" w:rsidR="006D29BB">
        <w:rPr>
          <w:rFonts w:ascii="Times New Roman" w:hAnsi="Times New Roman"/>
          <w:sz w:val="24"/>
          <w:szCs w:val="24"/>
        </w:rPr>
        <w:t xml:space="preserve">and coordination </w:t>
      </w:r>
      <w:r w:rsidRPr="005C1895" w:rsidR="00BF7DD8">
        <w:rPr>
          <w:rFonts w:ascii="Times New Roman" w:hAnsi="Times New Roman"/>
          <w:sz w:val="24"/>
          <w:szCs w:val="24"/>
        </w:rPr>
        <w:t xml:space="preserve">with </w:t>
      </w:r>
      <w:r w:rsidR="00B01071">
        <w:rPr>
          <w:rFonts w:ascii="Times New Roman" w:hAnsi="Times New Roman"/>
          <w:sz w:val="24"/>
          <w:szCs w:val="24"/>
        </w:rPr>
        <w:t xml:space="preserve">the AIM program and state PQCs, </w:t>
      </w:r>
      <w:r w:rsidRPr="005C1895" w:rsidR="00BF7DD8">
        <w:rPr>
          <w:rFonts w:ascii="Times New Roman" w:hAnsi="Times New Roman"/>
          <w:sz w:val="24"/>
          <w:szCs w:val="24"/>
        </w:rPr>
        <w:t xml:space="preserve">and led </w:t>
      </w:r>
      <w:r w:rsidRPr="005C1895" w:rsidR="006D29BB">
        <w:rPr>
          <w:rFonts w:ascii="Times New Roman" w:hAnsi="Times New Roman"/>
          <w:sz w:val="24"/>
          <w:szCs w:val="24"/>
        </w:rPr>
        <w:t>by JHU</w:t>
      </w:r>
      <w:r w:rsidRPr="005C1895" w:rsidR="00FC400B">
        <w:rPr>
          <w:rFonts w:ascii="Times New Roman" w:hAnsi="Times New Roman"/>
          <w:sz w:val="24"/>
          <w:szCs w:val="24"/>
        </w:rPr>
        <w:t xml:space="preserve">. </w:t>
      </w:r>
      <w:r w:rsidRPr="005C1895" w:rsidR="00C01934">
        <w:rPr>
          <w:rFonts w:ascii="Times New Roman" w:hAnsi="Times New Roman"/>
          <w:sz w:val="24"/>
          <w:szCs w:val="24"/>
        </w:rPr>
        <w:t xml:space="preserve">Only one such training workshop will be conducted </w:t>
      </w:r>
      <w:r w:rsidRPr="005C1895" w:rsidR="00C477D6">
        <w:rPr>
          <w:rFonts w:ascii="Times New Roman" w:hAnsi="Times New Roman"/>
          <w:sz w:val="24"/>
          <w:szCs w:val="24"/>
        </w:rPr>
        <w:t xml:space="preserve">in OK </w:t>
      </w:r>
      <w:r w:rsidRPr="005C1895" w:rsidR="00C01934">
        <w:rPr>
          <w:rFonts w:ascii="Times New Roman" w:hAnsi="Times New Roman"/>
          <w:sz w:val="24"/>
          <w:szCs w:val="24"/>
        </w:rPr>
        <w:t xml:space="preserve">using the SPPC-II Toolkit for severe hypertension in pregnancy. Given the size of the state, </w:t>
      </w:r>
      <w:r w:rsidRPr="005C1895" w:rsidR="00C477D6">
        <w:rPr>
          <w:rFonts w:ascii="Times New Roman" w:hAnsi="Times New Roman"/>
          <w:sz w:val="24"/>
          <w:szCs w:val="24"/>
        </w:rPr>
        <w:t xml:space="preserve">potential </w:t>
      </w:r>
      <w:r w:rsidRPr="005C1895" w:rsidR="00C01934">
        <w:rPr>
          <w:rFonts w:ascii="Times New Roman" w:hAnsi="Times New Roman"/>
          <w:sz w:val="24"/>
          <w:szCs w:val="24"/>
        </w:rPr>
        <w:t xml:space="preserve">long distances to be traveled by trainees, and the </w:t>
      </w:r>
      <w:r w:rsidRPr="005C1895" w:rsidR="006025DB">
        <w:rPr>
          <w:rFonts w:ascii="Times New Roman" w:hAnsi="Times New Roman"/>
          <w:sz w:val="24"/>
          <w:szCs w:val="24"/>
        </w:rPr>
        <w:t xml:space="preserve">cost-efficiency of coordinating with back-to-back regional </w:t>
      </w:r>
      <w:r w:rsidRPr="005C1895" w:rsidR="005E403E">
        <w:rPr>
          <w:rFonts w:ascii="Times New Roman" w:hAnsi="Times New Roman"/>
          <w:sz w:val="24"/>
          <w:szCs w:val="24"/>
        </w:rPr>
        <w:t>PQC</w:t>
      </w:r>
      <w:r w:rsidRPr="005C1895" w:rsidR="00C01934">
        <w:rPr>
          <w:rFonts w:ascii="Times New Roman" w:hAnsi="Times New Roman"/>
          <w:sz w:val="24"/>
          <w:szCs w:val="24"/>
        </w:rPr>
        <w:t xml:space="preserve"> </w:t>
      </w:r>
      <w:r w:rsidRPr="005C1895" w:rsidR="006025DB">
        <w:rPr>
          <w:rFonts w:ascii="Times New Roman" w:hAnsi="Times New Roman"/>
          <w:sz w:val="24"/>
          <w:szCs w:val="24"/>
        </w:rPr>
        <w:t>meetings planned</w:t>
      </w:r>
      <w:r w:rsidRPr="005C1895" w:rsidR="00C01934">
        <w:rPr>
          <w:rFonts w:ascii="Times New Roman" w:hAnsi="Times New Roman"/>
          <w:sz w:val="24"/>
          <w:szCs w:val="24"/>
        </w:rPr>
        <w:t xml:space="preserve"> in TX</w:t>
      </w:r>
      <w:r w:rsidRPr="005C1895" w:rsidR="006025DB">
        <w:rPr>
          <w:rFonts w:ascii="Times New Roman" w:hAnsi="Times New Roman"/>
          <w:sz w:val="24"/>
          <w:szCs w:val="24"/>
        </w:rPr>
        <w:t xml:space="preserve"> this fall</w:t>
      </w:r>
      <w:r w:rsidRPr="005C1895" w:rsidR="00C01934">
        <w:rPr>
          <w:rFonts w:ascii="Times New Roman" w:hAnsi="Times New Roman"/>
          <w:sz w:val="24"/>
          <w:szCs w:val="24"/>
        </w:rPr>
        <w:t xml:space="preserve">, five training workshops will be conducted in this state using </w:t>
      </w:r>
      <w:r w:rsidRPr="005C1895" w:rsidR="00C477D6">
        <w:rPr>
          <w:rFonts w:ascii="Times New Roman" w:hAnsi="Times New Roman"/>
          <w:sz w:val="24"/>
          <w:szCs w:val="24"/>
        </w:rPr>
        <w:t>the SPPC-II Toolkit for obstetric hemorrhage.</w:t>
      </w:r>
      <w:r w:rsidRPr="005C1895" w:rsidR="00C01934">
        <w:rPr>
          <w:rFonts w:ascii="Times New Roman" w:hAnsi="Times New Roman"/>
          <w:sz w:val="24"/>
          <w:szCs w:val="24"/>
        </w:rPr>
        <w:t xml:space="preserve"> </w:t>
      </w:r>
      <w:r w:rsidR="00B01071">
        <w:rPr>
          <w:rFonts w:ascii="Times New Roman" w:hAnsi="Times New Roman"/>
          <w:sz w:val="24"/>
          <w:szCs w:val="24"/>
        </w:rPr>
        <w:t xml:space="preserve">We expect about half of the birthing hospitals in both states to send 2 hospital champions, of which one to be designated as AIM Team Lead, for training. </w:t>
      </w:r>
      <w:r w:rsidRPr="005C1895" w:rsidR="00FC400B">
        <w:rPr>
          <w:rFonts w:ascii="Times New Roman" w:hAnsi="Times New Roman"/>
          <w:sz w:val="24"/>
          <w:szCs w:val="24"/>
        </w:rPr>
        <w:t xml:space="preserve">JHU will keep </w:t>
      </w:r>
      <w:r w:rsidRPr="005C1895" w:rsidR="00737832">
        <w:rPr>
          <w:rFonts w:ascii="Times New Roman" w:hAnsi="Times New Roman"/>
          <w:sz w:val="24"/>
          <w:szCs w:val="24"/>
        </w:rPr>
        <w:t xml:space="preserve">and bi-annually </w:t>
      </w:r>
      <w:r w:rsidRPr="005C1895" w:rsidR="002329C4">
        <w:rPr>
          <w:rFonts w:ascii="Times New Roman" w:hAnsi="Times New Roman"/>
          <w:sz w:val="24"/>
          <w:szCs w:val="24"/>
        </w:rPr>
        <w:t xml:space="preserve">update </w:t>
      </w:r>
      <w:r w:rsidRPr="005C1895" w:rsidR="00FC400B">
        <w:rPr>
          <w:rFonts w:ascii="Times New Roman" w:hAnsi="Times New Roman"/>
          <w:sz w:val="24"/>
          <w:szCs w:val="24"/>
        </w:rPr>
        <w:t>a roster of AIM Team Leads in each hospital</w:t>
      </w:r>
      <w:r w:rsidRPr="005C1895" w:rsidR="00AB3CF0">
        <w:rPr>
          <w:rFonts w:ascii="Times New Roman" w:hAnsi="Times New Roman"/>
          <w:sz w:val="24"/>
          <w:szCs w:val="24"/>
        </w:rPr>
        <w:t xml:space="preserve"> </w:t>
      </w:r>
      <w:r w:rsidRPr="005C1895" w:rsidR="00737832">
        <w:rPr>
          <w:rFonts w:ascii="Times New Roman" w:hAnsi="Times New Roman"/>
          <w:sz w:val="24"/>
          <w:szCs w:val="24"/>
        </w:rPr>
        <w:t xml:space="preserve">to assess the need for training of </w:t>
      </w:r>
      <w:r w:rsidRPr="005C1895" w:rsidR="002329C4">
        <w:rPr>
          <w:rFonts w:ascii="Times New Roman" w:hAnsi="Times New Roman"/>
          <w:sz w:val="24"/>
          <w:szCs w:val="24"/>
        </w:rPr>
        <w:t xml:space="preserve">new </w:t>
      </w:r>
      <w:r w:rsidRPr="005C1895" w:rsidR="00737832">
        <w:rPr>
          <w:rFonts w:ascii="Times New Roman" w:hAnsi="Times New Roman"/>
          <w:sz w:val="24"/>
          <w:szCs w:val="24"/>
        </w:rPr>
        <w:t xml:space="preserve">AIM Team Leads if turnover occurs </w:t>
      </w:r>
      <w:r w:rsidRPr="005C1895" w:rsidR="00AB3CF0">
        <w:rPr>
          <w:rFonts w:ascii="Times New Roman" w:hAnsi="Times New Roman"/>
          <w:sz w:val="24"/>
          <w:szCs w:val="24"/>
        </w:rPr>
        <w:t xml:space="preserve">(Appendix </w:t>
      </w:r>
      <w:r w:rsidRPr="005C1895" w:rsidR="006D3946">
        <w:rPr>
          <w:rFonts w:ascii="Times New Roman" w:hAnsi="Times New Roman"/>
          <w:sz w:val="24"/>
          <w:szCs w:val="24"/>
        </w:rPr>
        <w:t>A</w:t>
      </w:r>
      <w:r w:rsidRPr="005C1895" w:rsidR="00AB3CF0">
        <w:rPr>
          <w:rFonts w:ascii="Times New Roman" w:hAnsi="Times New Roman"/>
          <w:sz w:val="24"/>
          <w:szCs w:val="24"/>
        </w:rPr>
        <w:t>)</w:t>
      </w:r>
      <w:r w:rsidRPr="005C1895" w:rsidR="00FC400B">
        <w:rPr>
          <w:rFonts w:ascii="Times New Roman" w:hAnsi="Times New Roman"/>
          <w:sz w:val="24"/>
          <w:szCs w:val="24"/>
        </w:rPr>
        <w:t xml:space="preserve">. Training workshop evaluation forms </w:t>
      </w:r>
      <w:r w:rsidRPr="005C1895" w:rsidR="00AB3CF0">
        <w:rPr>
          <w:rFonts w:ascii="Times New Roman" w:hAnsi="Times New Roman"/>
          <w:sz w:val="24"/>
          <w:szCs w:val="24"/>
        </w:rPr>
        <w:t xml:space="preserve">(Appendix </w:t>
      </w:r>
      <w:r w:rsidRPr="005C1895" w:rsidR="00737832">
        <w:rPr>
          <w:rFonts w:ascii="Times New Roman" w:hAnsi="Times New Roman"/>
          <w:sz w:val="24"/>
          <w:szCs w:val="24"/>
        </w:rPr>
        <w:t>B</w:t>
      </w:r>
      <w:r w:rsidRPr="005C1895" w:rsidR="00AB3CF0">
        <w:rPr>
          <w:rFonts w:ascii="Times New Roman" w:hAnsi="Times New Roman"/>
          <w:sz w:val="24"/>
          <w:szCs w:val="24"/>
        </w:rPr>
        <w:t xml:space="preserve">) </w:t>
      </w:r>
      <w:r w:rsidRPr="005C1895" w:rsidR="00FC400B">
        <w:rPr>
          <w:rFonts w:ascii="Times New Roman" w:hAnsi="Times New Roman"/>
          <w:sz w:val="24"/>
          <w:szCs w:val="24"/>
        </w:rPr>
        <w:t xml:space="preserve">will be </w:t>
      </w:r>
      <w:r w:rsidRPr="005C1895" w:rsidR="00737832">
        <w:rPr>
          <w:rFonts w:ascii="Times New Roman" w:hAnsi="Times New Roman"/>
          <w:sz w:val="24"/>
          <w:szCs w:val="24"/>
        </w:rPr>
        <w:t>distributed for completion by trainees</w:t>
      </w:r>
      <w:r w:rsidRPr="005C1895" w:rsidR="004E399C">
        <w:rPr>
          <w:rFonts w:ascii="Times New Roman" w:hAnsi="Times New Roman"/>
          <w:sz w:val="24"/>
          <w:szCs w:val="24"/>
        </w:rPr>
        <w:t xml:space="preserve"> on a</w:t>
      </w:r>
      <w:r w:rsidRPr="005C1895" w:rsidR="00737832">
        <w:rPr>
          <w:rFonts w:ascii="Times New Roman" w:hAnsi="Times New Roman"/>
          <w:sz w:val="24"/>
          <w:szCs w:val="24"/>
        </w:rPr>
        <w:t xml:space="preserve"> voluntary basis to assess the </w:t>
      </w:r>
      <w:r w:rsidRPr="005C1895" w:rsidR="004E399C">
        <w:rPr>
          <w:rFonts w:ascii="Times New Roman" w:hAnsi="Times New Roman"/>
          <w:sz w:val="24"/>
          <w:szCs w:val="24"/>
        </w:rPr>
        <w:t>perceived utility of training workshops.</w:t>
      </w:r>
    </w:p>
    <w:p w:rsidRPr="005C1895" w:rsidR="004410F5" w:rsidP="008959EB" w:rsidRDefault="004410F5" w14:paraId="703D1EAE" w14:textId="77777777">
      <w:pPr>
        <w:pStyle w:val="p1"/>
        <w:numPr>
          <w:ilvl w:val="0"/>
          <w:numId w:val="5"/>
        </w:numPr>
        <w:tabs>
          <w:tab w:val="left" w:pos="360"/>
        </w:tabs>
        <w:ind w:left="360"/>
        <w:rPr>
          <w:rFonts w:ascii="Times New Roman" w:hAnsi="Times New Roman"/>
          <w:b/>
          <w:color w:val="000000"/>
          <w:sz w:val="24"/>
          <w:szCs w:val="24"/>
        </w:rPr>
      </w:pPr>
      <w:r w:rsidRPr="005C1895">
        <w:rPr>
          <w:rFonts w:ascii="Times New Roman" w:hAnsi="Times New Roman"/>
          <w:b/>
          <w:sz w:val="24"/>
          <w:szCs w:val="24"/>
        </w:rPr>
        <w:t xml:space="preserve">Training of </w:t>
      </w:r>
      <w:r w:rsidRPr="005C1895" w:rsidR="002329C4">
        <w:rPr>
          <w:rFonts w:ascii="Times New Roman" w:hAnsi="Times New Roman"/>
          <w:b/>
          <w:sz w:val="24"/>
          <w:szCs w:val="24"/>
        </w:rPr>
        <w:t xml:space="preserve">all </w:t>
      </w:r>
      <w:r w:rsidRPr="005C1895">
        <w:rPr>
          <w:rFonts w:ascii="Times New Roman" w:hAnsi="Times New Roman"/>
          <w:b/>
          <w:sz w:val="24"/>
          <w:szCs w:val="24"/>
        </w:rPr>
        <w:t>frontline clinical staff</w:t>
      </w:r>
      <w:r w:rsidRPr="005C1895" w:rsidR="00FC400B">
        <w:rPr>
          <w:rFonts w:ascii="Times New Roman" w:hAnsi="Times New Roman"/>
          <w:sz w:val="24"/>
          <w:szCs w:val="24"/>
        </w:rPr>
        <w:t xml:space="preserve"> in </w:t>
      </w:r>
      <w:r w:rsidRPr="0084640A" w:rsidR="00B155D4">
        <w:rPr>
          <w:rFonts w:ascii="Times New Roman" w:hAnsi="Times New Roman"/>
          <w:sz w:val="24"/>
          <w:szCs w:val="24"/>
        </w:rPr>
        <w:t xml:space="preserve">48 </w:t>
      </w:r>
      <w:r w:rsidRPr="003A727F" w:rsidR="00FC400B">
        <w:rPr>
          <w:rFonts w:ascii="Times New Roman" w:hAnsi="Times New Roman"/>
          <w:sz w:val="24"/>
          <w:szCs w:val="24"/>
        </w:rPr>
        <w:t>birthing</w:t>
      </w:r>
      <w:r w:rsidRPr="005C1895" w:rsidR="00FC400B">
        <w:rPr>
          <w:rFonts w:ascii="Times New Roman" w:hAnsi="Times New Roman"/>
          <w:sz w:val="24"/>
          <w:szCs w:val="24"/>
        </w:rPr>
        <w:t xml:space="preserve"> hospitals in OK and 210 birthing hospitals in TX</w:t>
      </w:r>
      <w:r w:rsidRPr="005C1895" w:rsidR="00FC400B">
        <w:rPr>
          <w:rFonts w:ascii="Times New Roman" w:hAnsi="Times New Roman"/>
          <w:b/>
          <w:sz w:val="24"/>
          <w:szCs w:val="24"/>
        </w:rPr>
        <w:t xml:space="preserve"> </w:t>
      </w:r>
      <w:r w:rsidRPr="005C1895" w:rsidR="00FC400B">
        <w:rPr>
          <w:rFonts w:ascii="Times New Roman" w:hAnsi="Times New Roman"/>
          <w:sz w:val="24"/>
          <w:szCs w:val="24"/>
        </w:rPr>
        <w:t>on teamwork and communication tools and strategies</w:t>
      </w:r>
      <w:r w:rsidRPr="005C1895" w:rsidR="00FC400B">
        <w:rPr>
          <w:rFonts w:ascii="Times New Roman" w:hAnsi="Times New Roman"/>
          <w:b/>
          <w:sz w:val="24"/>
          <w:szCs w:val="24"/>
        </w:rPr>
        <w:t xml:space="preserve"> </w:t>
      </w:r>
      <w:r w:rsidRPr="005C1895" w:rsidR="00FC400B">
        <w:rPr>
          <w:rFonts w:ascii="Times New Roman" w:hAnsi="Times New Roman"/>
          <w:sz w:val="24"/>
          <w:szCs w:val="24"/>
        </w:rPr>
        <w:t>will be coordinated by AIM Team Leads</w:t>
      </w:r>
      <w:r w:rsidRPr="005C1895" w:rsidR="002329C4">
        <w:rPr>
          <w:rFonts w:ascii="Times New Roman" w:hAnsi="Times New Roman"/>
          <w:sz w:val="24"/>
          <w:szCs w:val="24"/>
        </w:rPr>
        <w:t xml:space="preserve"> in each hospital</w:t>
      </w:r>
      <w:r w:rsidRPr="005C1895" w:rsidR="00FC400B">
        <w:rPr>
          <w:rFonts w:ascii="Times New Roman" w:hAnsi="Times New Roman"/>
          <w:sz w:val="24"/>
          <w:szCs w:val="24"/>
        </w:rPr>
        <w:t xml:space="preserve"> by: a) providing unique trainee IDs </w:t>
      </w:r>
      <w:r w:rsidRPr="005C1895" w:rsidR="002329C4">
        <w:rPr>
          <w:rFonts w:ascii="Times New Roman" w:hAnsi="Times New Roman"/>
          <w:sz w:val="24"/>
          <w:szCs w:val="24"/>
        </w:rPr>
        <w:t>and information</w:t>
      </w:r>
      <w:r w:rsidRPr="005C1895" w:rsidR="007246F1">
        <w:rPr>
          <w:rFonts w:ascii="Times New Roman" w:hAnsi="Times New Roman"/>
          <w:sz w:val="24"/>
          <w:szCs w:val="24"/>
        </w:rPr>
        <w:t xml:space="preserve"> for them</w:t>
      </w:r>
      <w:r w:rsidRPr="005C1895" w:rsidR="002329C4">
        <w:rPr>
          <w:rFonts w:ascii="Times New Roman" w:hAnsi="Times New Roman"/>
          <w:sz w:val="24"/>
          <w:szCs w:val="24"/>
        </w:rPr>
        <w:t xml:space="preserve"> </w:t>
      </w:r>
      <w:r w:rsidRPr="005C1895" w:rsidR="00FC400B">
        <w:rPr>
          <w:rFonts w:ascii="Times New Roman" w:hAnsi="Times New Roman"/>
          <w:sz w:val="24"/>
          <w:szCs w:val="24"/>
        </w:rPr>
        <w:t>to access 8 training</w:t>
      </w:r>
      <w:r w:rsidRPr="005C1895" w:rsidR="002329C4">
        <w:rPr>
          <w:rFonts w:ascii="Times New Roman" w:hAnsi="Times New Roman"/>
          <w:sz w:val="24"/>
          <w:szCs w:val="24"/>
        </w:rPr>
        <w:t xml:space="preserve"> e</w:t>
      </w:r>
      <w:r w:rsidRPr="005C1895" w:rsidR="00FC400B">
        <w:rPr>
          <w:rFonts w:ascii="Times New Roman" w:hAnsi="Times New Roman"/>
          <w:sz w:val="24"/>
          <w:szCs w:val="24"/>
        </w:rPr>
        <w:t>-modules online</w:t>
      </w:r>
      <w:r w:rsidR="00233053">
        <w:rPr>
          <w:rFonts w:ascii="Times New Roman" w:hAnsi="Times New Roman"/>
          <w:sz w:val="24"/>
          <w:szCs w:val="24"/>
        </w:rPr>
        <w:t xml:space="preserve"> </w:t>
      </w:r>
      <w:r w:rsidRPr="00233053" w:rsidR="00233053">
        <w:rPr>
          <w:rFonts w:ascii="Times New Roman" w:hAnsi="Times New Roman"/>
          <w:sz w:val="24"/>
          <w:szCs w:val="24"/>
        </w:rPr>
        <w:t>(</w:t>
      </w:r>
      <w:r w:rsidRPr="00B312D8" w:rsidR="00233053">
        <w:rPr>
          <w:rFonts w:ascii="Times New Roman" w:hAnsi="Times New Roman"/>
          <w:sz w:val="24"/>
          <w:szCs w:val="24"/>
        </w:rPr>
        <w:t>with option to leave voluntary comments/suggestions)</w:t>
      </w:r>
      <w:r w:rsidRPr="005C1895" w:rsidR="00FC400B">
        <w:rPr>
          <w:rFonts w:ascii="Times New Roman" w:hAnsi="Times New Roman"/>
          <w:sz w:val="24"/>
          <w:szCs w:val="24"/>
        </w:rPr>
        <w:t xml:space="preserve">, </w:t>
      </w:r>
      <w:r w:rsidRPr="005C1895" w:rsidR="00891719">
        <w:rPr>
          <w:rFonts w:ascii="Times New Roman" w:hAnsi="Times New Roman"/>
          <w:sz w:val="24"/>
          <w:szCs w:val="24"/>
        </w:rPr>
        <w:t xml:space="preserve">and </w:t>
      </w:r>
      <w:r w:rsidRPr="005C1895" w:rsidR="00FC400B">
        <w:rPr>
          <w:rFonts w:ascii="Times New Roman" w:hAnsi="Times New Roman"/>
          <w:sz w:val="24"/>
          <w:szCs w:val="24"/>
        </w:rPr>
        <w:t xml:space="preserve">b) </w:t>
      </w:r>
      <w:r w:rsidRPr="005C1895" w:rsidR="002329C4">
        <w:rPr>
          <w:rFonts w:ascii="Times New Roman" w:hAnsi="Times New Roman"/>
          <w:sz w:val="24"/>
          <w:szCs w:val="24"/>
        </w:rPr>
        <w:t xml:space="preserve">using the JHU-developed facilitator guide  included in the SPPC-II Toolkits </w:t>
      </w:r>
      <w:r w:rsidRPr="005C1895" w:rsidR="007246F1">
        <w:rPr>
          <w:rFonts w:ascii="Times New Roman" w:hAnsi="Times New Roman"/>
          <w:sz w:val="24"/>
          <w:szCs w:val="24"/>
        </w:rPr>
        <w:t>to</w:t>
      </w:r>
      <w:r w:rsidRPr="005C1895" w:rsidR="002329C4">
        <w:rPr>
          <w:rFonts w:ascii="Times New Roman" w:hAnsi="Times New Roman"/>
          <w:sz w:val="24"/>
          <w:szCs w:val="24"/>
        </w:rPr>
        <w:t xml:space="preserve"> </w:t>
      </w:r>
      <w:r w:rsidRPr="005C1895" w:rsidR="007246F1">
        <w:rPr>
          <w:rFonts w:ascii="Times New Roman" w:hAnsi="Times New Roman"/>
          <w:sz w:val="24"/>
          <w:szCs w:val="24"/>
        </w:rPr>
        <w:t>facilitate brief, in-person</w:t>
      </w:r>
      <w:r w:rsidRPr="005C1895" w:rsidR="00FC400B">
        <w:rPr>
          <w:rFonts w:ascii="Times New Roman" w:hAnsi="Times New Roman"/>
          <w:sz w:val="24"/>
          <w:szCs w:val="24"/>
        </w:rPr>
        <w:t xml:space="preserve"> demonstration </w:t>
      </w:r>
      <w:r w:rsidRPr="005C1895" w:rsidR="007246F1">
        <w:rPr>
          <w:rFonts w:ascii="Times New Roman" w:hAnsi="Times New Roman"/>
          <w:sz w:val="24"/>
          <w:szCs w:val="24"/>
        </w:rPr>
        <w:t xml:space="preserve">sessions on how to use </w:t>
      </w:r>
      <w:r w:rsidRPr="005C1895" w:rsidR="002329C4">
        <w:rPr>
          <w:rFonts w:ascii="Times New Roman" w:hAnsi="Times New Roman"/>
          <w:sz w:val="24"/>
          <w:szCs w:val="24"/>
        </w:rPr>
        <w:t xml:space="preserve"> the information </w:t>
      </w:r>
      <w:r w:rsidRPr="005C1895" w:rsidR="007246F1">
        <w:rPr>
          <w:rFonts w:ascii="Times New Roman" w:hAnsi="Times New Roman"/>
          <w:sz w:val="24"/>
          <w:szCs w:val="24"/>
        </w:rPr>
        <w:t>from the training e-modules in clinical practice.</w:t>
      </w:r>
      <w:r w:rsidRPr="005C1895" w:rsidR="00891719">
        <w:rPr>
          <w:rFonts w:ascii="Times New Roman" w:hAnsi="Times New Roman"/>
          <w:sz w:val="24"/>
          <w:szCs w:val="24"/>
        </w:rPr>
        <w:t xml:space="preserve"> Each of the </w:t>
      </w:r>
      <w:r w:rsidRPr="005C1895" w:rsidR="007246F1">
        <w:rPr>
          <w:rFonts w:ascii="Times New Roman" w:hAnsi="Times New Roman"/>
          <w:sz w:val="24"/>
          <w:szCs w:val="24"/>
        </w:rPr>
        <w:t>eight</w:t>
      </w:r>
      <w:r w:rsidR="00B475AC">
        <w:rPr>
          <w:rFonts w:ascii="Times New Roman" w:hAnsi="Times New Roman"/>
          <w:sz w:val="24"/>
          <w:szCs w:val="24"/>
        </w:rPr>
        <w:t xml:space="preserve"> </w:t>
      </w:r>
      <w:r w:rsidRPr="005C1895" w:rsidR="00891719">
        <w:rPr>
          <w:rFonts w:ascii="Times New Roman" w:hAnsi="Times New Roman"/>
          <w:sz w:val="24"/>
          <w:szCs w:val="24"/>
        </w:rPr>
        <w:t xml:space="preserve">training </w:t>
      </w:r>
      <w:r w:rsidRPr="005C1895" w:rsidR="007246F1">
        <w:rPr>
          <w:rFonts w:ascii="Times New Roman" w:hAnsi="Times New Roman"/>
          <w:sz w:val="24"/>
          <w:szCs w:val="24"/>
        </w:rPr>
        <w:t>e-</w:t>
      </w:r>
      <w:r w:rsidRPr="005C1895" w:rsidR="00891719">
        <w:rPr>
          <w:rFonts w:ascii="Times New Roman" w:hAnsi="Times New Roman"/>
          <w:sz w:val="24"/>
          <w:szCs w:val="24"/>
        </w:rPr>
        <w:t xml:space="preserve">modules will take </w:t>
      </w:r>
      <w:r w:rsidRPr="005C1895" w:rsidR="007246F1">
        <w:rPr>
          <w:rFonts w:ascii="Times New Roman" w:hAnsi="Times New Roman"/>
          <w:sz w:val="24"/>
          <w:szCs w:val="24"/>
        </w:rPr>
        <w:t>about</w:t>
      </w:r>
      <w:r w:rsidRPr="005C1895" w:rsidR="00891719">
        <w:rPr>
          <w:rFonts w:ascii="Times New Roman" w:hAnsi="Times New Roman"/>
          <w:sz w:val="24"/>
          <w:szCs w:val="24"/>
        </w:rPr>
        <w:t xml:space="preserve"> 15 minutes to complete online</w:t>
      </w:r>
      <w:r w:rsidRPr="005C1895" w:rsidR="00AB3CF0">
        <w:rPr>
          <w:rFonts w:ascii="Times New Roman" w:hAnsi="Times New Roman"/>
          <w:sz w:val="24"/>
          <w:szCs w:val="24"/>
        </w:rPr>
        <w:t>,</w:t>
      </w:r>
      <w:r w:rsidRPr="005C1895" w:rsidR="00891719">
        <w:rPr>
          <w:rFonts w:ascii="Times New Roman" w:hAnsi="Times New Roman"/>
          <w:sz w:val="24"/>
          <w:szCs w:val="24"/>
        </w:rPr>
        <w:t xml:space="preserve"> for a total of about 120 minutes. </w:t>
      </w:r>
      <w:r w:rsidRPr="005C1895" w:rsidR="007246F1">
        <w:rPr>
          <w:rFonts w:ascii="Times New Roman" w:hAnsi="Times New Roman"/>
          <w:sz w:val="24"/>
          <w:szCs w:val="24"/>
        </w:rPr>
        <w:t>Because</w:t>
      </w:r>
      <w:r w:rsidRPr="005C1895" w:rsidR="00891719">
        <w:rPr>
          <w:rFonts w:ascii="Times New Roman" w:hAnsi="Times New Roman"/>
          <w:sz w:val="24"/>
          <w:szCs w:val="24"/>
        </w:rPr>
        <w:t xml:space="preserve"> t</w:t>
      </w:r>
      <w:r w:rsidRPr="005C1895" w:rsidR="007246F1">
        <w:rPr>
          <w:rFonts w:ascii="Times New Roman" w:hAnsi="Times New Roman"/>
          <w:sz w:val="24"/>
          <w:szCs w:val="24"/>
        </w:rPr>
        <w:t xml:space="preserve">hese </w:t>
      </w:r>
      <w:r w:rsidRPr="005C1895" w:rsidR="00891719">
        <w:rPr>
          <w:rFonts w:ascii="Times New Roman" w:hAnsi="Times New Roman"/>
          <w:sz w:val="24"/>
          <w:szCs w:val="24"/>
        </w:rPr>
        <w:t xml:space="preserve">training </w:t>
      </w:r>
      <w:r w:rsidRPr="005C1895" w:rsidR="007246F1">
        <w:rPr>
          <w:rFonts w:ascii="Times New Roman" w:hAnsi="Times New Roman"/>
          <w:sz w:val="24"/>
          <w:szCs w:val="24"/>
        </w:rPr>
        <w:t>e-</w:t>
      </w:r>
      <w:r w:rsidRPr="005C1895" w:rsidR="00891719">
        <w:rPr>
          <w:rFonts w:ascii="Times New Roman" w:hAnsi="Times New Roman"/>
          <w:sz w:val="24"/>
          <w:szCs w:val="24"/>
        </w:rPr>
        <w:t>modules will be accessed and completed online,</w:t>
      </w:r>
      <w:r w:rsidRPr="005C1895" w:rsidR="00FC400B">
        <w:rPr>
          <w:rFonts w:ascii="Times New Roman" w:hAnsi="Times New Roman"/>
          <w:sz w:val="24"/>
          <w:szCs w:val="24"/>
        </w:rPr>
        <w:t xml:space="preserve"> tracking</w:t>
      </w:r>
      <w:r w:rsidRPr="005C1895" w:rsidR="00891719">
        <w:rPr>
          <w:rFonts w:ascii="Times New Roman" w:hAnsi="Times New Roman"/>
          <w:sz w:val="24"/>
          <w:szCs w:val="24"/>
        </w:rPr>
        <w:t xml:space="preserve"> of e-module completion and re-take</w:t>
      </w:r>
      <w:r w:rsidRPr="005C1895" w:rsidR="00471DB2">
        <w:rPr>
          <w:rFonts w:ascii="Times New Roman" w:hAnsi="Times New Roman"/>
          <w:sz w:val="24"/>
          <w:szCs w:val="24"/>
        </w:rPr>
        <w:t xml:space="preserve">, </w:t>
      </w:r>
      <w:r w:rsidRPr="005C1895" w:rsidR="007246F1">
        <w:rPr>
          <w:rFonts w:ascii="Times New Roman" w:hAnsi="Times New Roman"/>
          <w:sz w:val="24"/>
          <w:szCs w:val="24"/>
        </w:rPr>
        <w:t xml:space="preserve">needed </w:t>
      </w:r>
      <w:r w:rsidRPr="005C1895" w:rsidR="00471DB2">
        <w:rPr>
          <w:rFonts w:ascii="Times New Roman" w:hAnsi="Times New Roman"/>
          <w:sz w:val="24"/>
          <w:szCs w:val="24"/>
        </w:rPr>
        <w:t xml:space="preserve">to assess overall </w:t>
      </w:r>
      <w:r w:rsidRPr="005C1895" w:rsidR="007246F1">
        <w:rPr>
          <w:rFonts w:ascii="Times New Roman" w:hAnsi="Times New Roman"/>
          <w:sz w:val="24"/>
          <w:szCs w:val="24"/>
        </w:rPr>
        <w:t xml:space="preserve">staff </w:t>
      </w:r>
      <w:r w:rsidRPr="005C1895" w:rsidR="00471DB2">
        <w:rPr>
          <w:rFonts w:ascii="Times New Roman" w:hAnsi="Times New Roman"/>
          <w:sz w:val="24"/>
          <w:szCs w:val="24"/>
        </w:rPr>
        <w:t>exposure to training,</w:t>
      </w:r>
      <w:r w:rsidRPr="005C1895" w:rsidR="00891719">
        <w:rPr>
          <w:rFonts w:ascii="Times New Roman" w:hAnsi="Times New Roman"/>
          <w:sz w:val="24"/>
          <w:szCs w:val="24"/>
        </w:rPr>
        <w:t xml:space="preserve"> is possible through the online training platform</w:t>
      </w:r>
      <w:r w:rsidRPr="005C1895" w:rsidR="00675F61">
        <w:rPr>
          <w:rFonts w:ascii="Times New Roman" w:hAnsi="Times New Roman"/>
          <w:sz w:val="24"/>
          <w:szCs w:val="24"/>
        </w:rPr>
        <w:t xml:space="preserve">. The specific </w:t>
      </w:r>
      <w:r w:rsidRPr="005C1895" w:rsidR="00AB3CF0">
        <w:rPr>
          <w:rFonts w:ascii="Times New Roman" w:hAnsi="Times New Roman"/>
          <w:sz w:val="24"/>
          <w:szCs w:val="24"/>
        </w:rPr>
        <w:t xml:space="preserve">tracking measures are included in a list in the Appendix (Appendix </w:t>
      </w:r>
      <w:r w:rsidRPr="005C1895" w:rsidR="007246F1">
        <w:rPr>
          <w:rFonts w:ascii="Times New Roman" w:hAnsi="Times New Roman"/>
          <w:sz w:val="24"/>
          <w:szCs w:val="24"/>
        </w:rPr>
        <w:t>C</w:t>
      </w:r>
      <w:r w:rsidRPr="005C1895" w:rsidR="00AB3CF0">
        <w:rPr>
          <w:rFonts w:ascii="Times New Roman" w:hAnsi="Times New Roman"/>
          <w:sz w:val="24"/>
          <w:szCs w:val="24"/>
        </w:rPr>
        <w:t>).</w:t>
      </w:r>
    </w:p>
    <w:p w:rsidRPr="005C1895" w:rsidR="003B4CA9" w:rsidP="008959EB" w:rsidRDefault="00E73688" w14:paraId="73CEF0A5" w14:textId="77777777">
      <w:pPr>
        <w:pStyle w:val="p1"/>
        <w:numPr>
          <w:ilvl w:val="0"/>
          <w:numId w:val="5"/>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Coaching calls</w:t>
      </w:r>
      <w:r w:rsidRPr="005C1895" w:rsidR="003B4CA9">
        <w:rPr>
          <w:rFonts w:ascii="Times New Roman" w:hAnsi="Times New Roman"/>
          <w:b/>
          <w:color w:val="000000"/>
          <w:sz w:val="24"/>
          <w:szCs w:val="24"/>
        </w:rPr>
        <w:t xml:space="preserve"> </w:t>
      </w:r>
      <w:r w:rsidRPr="005C1895" w:rsidR="003B4CA9">
        <w:rPr>
          <w:rFonts w:ascii="Times New Roman" w:hAnsi="Times New Roman"/>
          <w:color w:val="000000"/>
          <w:sz w:val="24"/>
          <w:szCs w:val="24"/>
        </w:rPr>
        <w:t xml:space="preserve">will be organized monthly and led by </w:t>
      </w:r>
      <w:r w:rsidRPr="005C1895" w:rsidR="00B508AC">
        <w:rPr>
          <w:rFonts w:ascii="Times New Roman" w:hAnsi="Times New Roman"/>
          <w:color w:val="000000"/>
          <w:sz w:val="24"/>
          <w:szCs w:val="24"/>
        </w:rPr>
        <w:t xml:space="preserve">JHU </w:t>
      </w:r>
      <w:r w:rsidRPr="005C1895" w:rsidR="00471DB2">
        <w:rPr>
          <w:rFonts w:ascii="Times New Roman" w:hAnsi="Times New Roman"/>
          <w:color w:val="000000"/>
          <w:sz w:val="24"/>
          <w:szCs w:val="24"/>
        </w:rPr>
        <w:t xml:space="preserve">to address program implementation questions and </w:t>
      </w:r>
      <w:r w:rsidRPr="005C1895" w:rsidR="00B508AC">
        <w:rPr>
          <w:rFonts w:ascii="Times New Roman" w:hAnsi="Times New Roman"/>
          <w:color w:val="000000"/>
          <w:sz w:val="24"/>
          <w:szCs w:val="24"/>
        </w:rPr>
        <w:t>assist with</w:t>
      </w:r>
      <w:r w:rsidRPr="005C1895" w:rsidR="00471DB2">
        <w:rPr>
          <w:rFonts w:ascii="Times New Roman" w:hAnsi="Times New Roman"/>
          <w:color w:val="000000"/>
          <w:sz w:val="24"/>
          <w:szCs w:val="24"/>
        </w:rPr>
        <w:t xml:space="preserve"> potential challenges</w:t>
      </w:r>
      <w:r w:rsidRPr="005C1895" w:rsidR="003B4CA9">
        <w:rPr>
          <w:rFonts w:ascii="Times New Roman" w:hAnsi="Times New Roman"/>
          <w:color w:val="000000"/>
          <w:sz w:val="24"/>
          <w:szCs w:val="24"/>
        </w:rPr>
        <w:t xml:space="preserve">. AIM Team Leads in all </w:t>
      </w:r>
      <w:r w:rsidRPr="005C1895" w:rsidR="00B508AC">
        <w:rPr>
          <w:rFonts w:ascii="Times New Roman" w:hAnsi="Times New Roman"/>
          <w:i/>
          <w:color w:val="000000"/>
          <w:sz w:val="24"/>
          <w:szCs w:val="24"/>
        </w:rPr>
        <w:t>Demonstration P</w:t>
      </w:r>
      <w:r w:rsidRPr="005C1895" w:rsidR="003B4CA9">
        <w:rPr>
          <w:rFonts w:ascii="Times New Roman" w:hAnsi="Times New Roman"/>
          <w:i/>
          <w:color w:val="000000"/>
          <w:sz w:val="24"/>
          <w:szCs w:val="24"/>
        </w:rPr>
        <w:t>roject</w:t>
      </w:r>
      <w:r w:rsidRPr="005C1895" w:rsidR="003B4CA9">
        <w:rPr>
          <w:rFonts w:ascii="Times New Roman" w:hAnsi="Times New Roman"/>
          <w:color w:val="000000"/>
          <w:sz w:val="24"/>
          <w:szCs w:val="24"/>
        </w:rPr>
        <w:t xml:space="preserve"> hospitals </w:t>
      </w:r>
      <w:r w:rsidRPr="005C1895" w:rsidR="009E2378">
        <w:rPr>
          <w:rFonts w:ascii="Times New Roman" w:hAnsi="Times New Roman"/>
          <w:color w:val="000000"/>
          <w:sz w:val="24"/>
          <w:szCs w:val="24"/>
        </w:rPr>
        <w:t>will</w:t>
      </w:r>
      <w:r w:rsidRPr="005C1895" w:rsidR="003B4CA9">
        <w:rPr>
          <w:rFonts w:ascii="Times New Roman" w:hAnsi="Times New Roman"/>
          <w:color w:val="000000"/>
          <w:sz w:val="24"/>
          <w:szCs w:val="24"/>
        </w:rPr>
        <w:t xml:space="preserve"> be </w:t>
      </w:r>
      <w:r w:rsidRPr="005C1895" w:rsidR="009E2378">
        <w:rPr>
          <w:rFonts w:ascii="Times New Roman" w:hAnsi="Times New Roman"/>
          <w:color w:val="000000"/>
          <w:sz w:val="24"/>
          <w:szCs w:val="24"/>
        </w:rPr>
        <w:t>invited</w:t>
      </w:r>
      <w:r w:rsidRPr="005C1895" w:rsidR="003B4CA9">
        <w:rPr>
          <w:rFonts w:ascii="Times New Roman" w:hAnsi="Times New Roman"/>
          <w:color w:val="000000"/>
          <w:sz w:val="24"/>
          <w:szCs w:val="24"/>
        </w:rPr>
        <w:t xml:space="preserve"> to join </w:t>
      </w:r>
      <w:r w:rsidRPr="005C1895" w:rsidR="00881132">
        <w:rPr>
          <w:rFonts w:ascii="Times New Roman" w:hAnsi="Times New Roman"/>
          <w:color w:val="000000"/>
          <w:sz w:val="24"/>
          <w:szCs w:val="24"/>
        </w:rPr>
        <w:t xml:space="preserve">these </w:t>
      </w:r>
      <w:r w:rsidRPr="005C1895" w:rsidR="009E2378">
        <w:rPr>
          <w:rFonts w:ascii="Times New Roman" w:hAnsi="Times New Roman"/>
          <w:color w:val="000000"/>
          <w:sz w:val="24"/>
          <w:szCs w:val="24"/>
        </w:rPr>
        <w:t>call</w:t>
      </w:r>
      <w:r w:rsidRPr="005C1895" w:rsidR="00881132">
        <w:rPr>
          <w:rFonts w:ascii="Times New Roman" w:hAnsi="Times New Roman"/>
          <w:color w:val="000000"/>
          <w:sz w:val="24"/>
          <w:szCs w:val="24"/>
        </w:rPr>
        <w:t>s</w:t>
      </w:r>
      <w:r w:rsidRPr="005C1895" w:rsidR="009E2378">
        <w:rPr>
          <w:rFonts w:ascii="Times New Roman" w:hAnsi="Times New Roman"/>
          <w:color w:val="000000"/>
          <w:sz w:val="24"/>
          <w:szCs w:val="24"/>
        </w:rPr>
        <w:t xml:space="preserve"> </w:t>
      </w:r>
      <w:r w:rsidRPr="005C1895" w:rsidR="003B4CA9">
        <w:rPr>
          <w:rFonts w:ascii="Times New Roman" w:hAnsi="Times New Roman"/>
          <w:color w:val="000000"/>
          <w:sz w:val="24"/>
          <w:szCs w:val="24"/>
        </w:rPr>
        <w:t xml:space="preserve">and ask questions. A list of coaching call participants and </w:t>
      </w:r>
      <w:r w:rsidRPr="005C1895" w:rsidR="007D1079">
        <w:rPr>
          <w:rFonts w:ascii="Times New Roman" w:hAnsi="Times New Roman"/>
          <w:color w:val="000000"/>
          <w:sz w:val="24"/>
          <w:szCs w:val="24"/>
        </w:rPr>
        <w:t xml:space="preserve">topics </w:t>
      </w:r>
      <w:r w:rsidRPr="005C1895" w:rsidR="009E2378">
        <w:rPr>
          <w:rFonts w:ascii="Times New Roman" w:hAnsi="Times New Roman"/>
          <w:color w:val="000000"/>
          <w:sz w:val="24"/>
          <w:szCs w:val="24"/>
        </w:rPr>
        <w:t>addressed</w:t>
      </w:r>
      <w:r w:rsidRPr="005C1895" w:rsidR="003B4CA9">
        <w:rPr>
          <w:rFonts w:ascii="Times New Roman" w:hAnsi="Times New Roman"/>
          <w:color w:val="000000"/>
          <w:sz w:val="24"/>
          <w:szCs w:val="24"/>
        </w:rPr>
        <w:t xml:space="preserve"> will be </w:t>
      </w:r>
      <w:r w:rsidRPr="005C1895" w:rsidR="009E2378">
        <w:rPr>
          <w:rFonts w:ascii="Times New Roman" w:hAnsi="Times New Roman"/>
          <w:color w:val="000000"/>
          <w:sz w:val="24"/>
          <w:szCs w:val="24"/>
        </w:rPr>
        <w:t>maintained</w:t>
      </w:r>
      <w:r w:rsidRPr="005C1895" w:rsidR="003B4CA9">
        <w:rPr>
          <w:rFonts w:ascii="Times New Roman" w:hAnsi="Times New Roman"/>
          <w:color w:val="000000"/>
          <w:sz w:val="24"/>
          <w:szCs w:val="24"/>
        </w:rPr>
        <w:t xml:space="preserve"> by </w:t>
      </w:r>
      <w:r w:rsidRPr="005C1895" w:rsidR="009E2378">
        <w:rPr>
          <w:rFonts w:ascii="Times New Roman" w:hAnsi="Times New Roman"/>
          <w:color w:val="000000"/>
          <w:sz w:val="24"/>
          <w:szCs w:val="24"/>
        </w:rPr>
        <w:t>JHU</w:t>
      </w:r>
      <w:r w:rsidRPr="005C1895" w:rsidR="003B4CA9">
        <w:rPr>
          <w:rFonts w:ascii="Times New Roman" w:hAnsi="Times New Roman"/>
          <w:color w:val="000000"/>
          <w:sz w:val="24"/>
          <w:szCs w:val="24"/>
        </w:rPr>
        <w:t xml:space="preserve"> (Appendix </w:t>
      </w:r>
      <w:r w:rsidRPr="005C1895" w:rsidR="009E2378">
        <w:rPr>
          <w:rFonts w:ascii="Times New Roman" w:hAnsi="Times New Roman"/>
          <w:color w:val="000000"/>
          <w:sz w:val="24"/>
          <w:szCs w:val="24"/>
        </w:rPr>
        <w:t>D</w:t>
      </w:r>
      <w:r w:rsidRPr="005C1895" w:rsidR="003B4CA9">
        <w:rPr>
          <w:rFonts w:ascii="Times New Roman" w:hAnsi="Times New Roman"/>
          <w:color w:val="000000"/>
          <w:sz w:val="24"/>
          <w:szCs w:val="24"/>
        </w:rPr>
        <w:t>).</w:t>
      </w:r>
    </w:p>
    <w:p w:rsidRPr="005C1895" w:rsidR="004410F5" w:rsidP="008959EB" w:rsidRDefault="00340204" w14:paraId="64F2D875" w14:textId="77777777">
      <w:pPr>
        <w:pStyle w:val="p1"/>
        <w:numPr>
          <w:ilvl w:val="0"/>
          <w:numId w:val="5"/>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AIM Tea</w:t>
      </w:r>
      <w:r w:rsidRPr="005C1895" w:rsidR="00237000">
        <w:rPr>
          <w:rFonts w:ascii="Times New Roman" w:hAnsi="Times New Roman"/>
          <w:b/>
          <w:color w:val="000000"/>
          <w:sz w:val="24"/>
          <w:szCs w:val="24"/>
        </w:rPr>
        <w:t>m Lead</w:t>
      </w:r>
      <w:r w:rsidRPr="005C1895">
        <w:rPr>
          <w:rFonts w:ascii="Times New Roman" w:hAnsi="Times New Roman"/>
          <w:b/>
          <w:color w:val="000000"/>
          <w:sz w:val="24"/>
          <w:szCs w:val="24"/>
        </w:rPr>
        <w:t xml:space="preserve"> s</w:t>
      </w:r>
      <w:r w:rsidRPr="005C1895" w:rsidR="004F5912">
        <w:rPr>
          <w:rFonts w:ascii="Times New Roman" w:hAnsi="Times New Roman"/>
          <w:b/>
          <w:color w:val="000000"/>
          <w:sz w:val="24"/>
          <w:szCs w:val="24"/>
        </w:rPr>
        <w:t>elf-administered b</w:t>
      </w:r>
      <w:r w:rsidRPr="005C1895" w:rsidR="004410F5">
        <w:rPr>
          <w:rFonts w:ascii="Times New Roman" w:hAnsi="Times New Roman"/>
          <w:b/>
          <w:color w:val="000000"/>
          <w:sz w:val="24"/>
          <w:szCs w:val="24"/>
        </w:rPr>
        <w:t>aseline survey</w:t>
      </w:r>
      <w:r w:rsidRPr="005C1895" w:rsidR="00483B6F">
        <w:rPr>
          <w:rFonts w:ascii="Times New Roman" w:hAnsi="Times New Roman"/>
          <w:b/>
          <w:color w:val="000000"/>
          <w:sz w:val="24"/>
          <w:szCs w:val="24"/>
        </w:rPr>
        <w:t>s</w:t>
      </w:r>
      <w:r w:rsidRPr="005C1895" w:rsidR="004410F5">
        <w:rPr>
          <w:rFonts w:ascii="Times New Roman" w:hAnsi="Times New Roman"/>
          <w:b/>
          <w:color w:val="000000"/>
          <w:sz w:val="24"/>
          <w:szCs w:val="24"/>
        </w:rPr>
        <w:t xml:space="preserve"> </w:t>
      </w:r>
      <w:r w:rsidRPr="005C1895" w:rsidR="008C6AFA">
        <w:rPr>
          <w:rFonts w:ascii="Times New Roman" w:hAnsi="Times New Roman"/>
          <w:color w:val="000000"/>
          <w:sz w:val="24"/>
          <w:szCs w:val="24"/>
        </w:rPr>
        <w:t xml:space="preserve">will be </w:t>
      </w:r>
      <w:r w:rsidRPr="005C1895" w:rsidR="00483B6F">
        <w:rPr>
          <w:rFonts w:ascii="Times New Roman" w:hAnsi="Times New Roman"/>
          <w:color w:val="000000"/>
          <w:sz w:val="24"/>
          <w:szCs w:val="24"/>
        </w:rPr>
        <w:t>made available</w:t>
      </w:r>
      <w:r w:rsidRPr="005C1895" w:rsidR="00A33A13">
        <w:rPr>
          <w:rFonts w:ascii="Times New Roman" w:hAnsi="Times New Roman"/>
          <w:color w:val="000000"/>
          <w:sz w:val="24"/>
          <w:szCs w:val="24"/>
        </w:rPr>
        <w:t xml:space="preserve"> </w:t>
      </w:r>
      <w:r w:rsidRPr="005C1895" w:rsidR="00DE67BD">
        <w:rPr>
          <w:rFonts w:ascii="Times New Roman" w:hAnsi="Times New Roman"/>
          <w:color w:val="000000"/>
          <w:sz w:val="24"/>
          <w:szCs w:val="24"/>
        </w:rPr>
        <w:t xml:space="preserve">2-3 weeks </w:t>
      </w:r>
      <w:r w:rsidRPr="005C1895" w:rsidR="00471DB2">
        <w:rPr>
          <w:rFonts w:ascii="Times New Roman" w:hAnsi="Times New Roman"/>
          <w:color w:val="000000"/>
          <w:sz w:val="24"/>
          <w:szCs w:val="24"/>
        </w:rPr>
        <w:t xml:space="preserve">before the </w:t>
      </w:r>
      <w:r w:rsidRPr="005C1895" w:rsidR="00DE67BD">
        <w:rPr>
          <w:rFonts w:ascii="Times New Roman" w:hAnsi="Times New Roman"/>
          <w:color w:val="000000"/>
          <w:sz w:val="24"/>
          <w:szCs w:val="24"/>
        </w:rPr>
        <w:t xml:space="preserve">AIM Team Leads </w:t>
      </w:r>
      <w:r w:rsidRPr="005C1895" w:rsidR="00471DB2">
        <w:rPr>
          <w:rFonts w:ascii="Times New Roman" w:hAnsi="Times New Roman"/>
          <w:color w:val="000000"/>
          <w:sz w:val="24"/>
          <w:szCs w:val="24"/>
        </w:rPr>
        <w:t>training workshop</w:t>
      </w:r>
      <w:r w:rsidRPr="005C1895" w:rsidR="00C75E6F">
        <w:rPr>
          <w:rFonts w:ascii="Times New Roman" w:hAnsi="Times New Roman"/>
          <w:color w:val="000000"/>
          <w:sz w:val="24"/>
          <w:szCs w:val="24"/>
        </w:rPr>
        <w:t xml:space="preserve"> </w:t>
      </w:r>
      <w:r w:rsidRPr="005C1895" w:rsidR="00FA397A">
        <w:rPr>
          <w:rFonts w:ascii="Times New Roman" w:hAnsi="Times New Roman"/>
          <w:color w:val="000000"/>
          <w:sz w:val="24"/>
          <w:szCs w:val="24"/>
        </w:rPr>
        <w:t>(Appendi</w:t>
      </w:r>
      <w:r w:rsidR="00A21894">
        <w:rPr>
          <w:rFonts w:ascii="Times New Roman" w:hAnsi="Times New Roman"/>
          <w:color w:val="000000"/>
          <w:sz w:val="24"/>
          <w:szCs w:val="24"/>
        </w:rPr>
        <w:t>x</w:t>
      </w:r>
      <w:r w:rsidRPr="005C1895" w:rsidR="00FA397A">
        <w:rPr>
          <w:rFonts w:ascii="Times New Roman" w:hAnsi="Times New Roman"/>
          <w:color w:val="000000"/>
          <w:sz w:val="24"/>
          <w:szCs w:val="24"/>
        </w:rPr>
        <w:t xml:space="preserve"> </w:t>
      </w:r>
      <w:r w:rsidRPr="005C1895">
        <w:rPr>
          <w:rFonts w:ascii="Times New Roman" w:hAnsi="Times New Roman"/>
          <w:color w:val="000000"/>
          <w:sz w:val="24"/>
          <w:szCs w:val="24"/>
        </w:rPr>
        <w:t>E</w:t>
      </w:r>
      <w:r w:rsidRPr="005C1895" w:rsidR="00FA397A">
        <w:rPr>
          <w:rFonts w:ascii="Times New Roman" w:hAnsi="Times New Roman"/>
          <w:color w:val="000000"/>
          <w:sz w:val="24"/>
          <w:szCs w:val="24"/>
        </w:rPr>
        <w:t>)</w:t>
      </w:r>
      <w:r w:rsidR="00A21894">
        <w:rPr>
          <w:rFonts w:ascii="Times New Roman" w:hAnsi="Times New Roman"/>
          <w:color w:val="000000"/>
          <w:sz w:val="24"/>
          <w:szCs w:val="24"/>
        </w:rPr>
        <w:t>, together with a corresponding consent form (Appendix F)</w:t>
      </w:r>
      <w:r w:rsidRPr="005C1895" w:rsidR="00C75E6F">
        <w:rPr>
          <w:rFonts w:ascii="Times New Roman" w:hAnsi="Times New Roman"/>
          <w:color w:val="000000"/>
          <w:sz w:val="24"/>
          <w:szCs w:val="24"/>
        </w:rPr>
        <w:t>. The purpose of t</w:t>
      </w:r>
      <w:r w:rsidRPr="005C1895" w:rsidR="00B1263A">
        <w:rPr>
          <w:rFonts w:ascii="Times New Roman" w:hAnsi="Times New Roman"/>
          <w:color w:val="000000"/>
          <w:sz w:val="24"/>
          <w:szCs w:val="24"/>
        </w:rPr>
        <w:t>his</w:t>
      </w:r>
      <w:r w:rsidRPr="005C1895" w:rsidR="00C75E6F">
        <w:rPr>
          <w:rFonts w:ascii="Times New Roman" w:hAnsi="Times New Roman"/>
          <w:color w:val="000000"/>
          <w:sz w:val="24"/>
          <w:szCs w:val="24"/>
        </w:rPr>
        <w:t xml:space="preserve"> survey is to </w:t>
      </w:r>
      <w:r w:rsidRPr="005C1895" w:rsidR="00B1263A">
        <w:rPr>
          <w:rFonts w:ascii="Times New Roman" w:hAnsi="Times New Roman"/>
          <w:color w:val="000000"/>
          <w:sz w:val="24"/>
          <w:szCs w:val="24"/>
        </w:rPr>
        <w:t>assess key characteristics of project hospitals, including human resources, processes in place for AIM bundle implementation, and use of teamwork and communication</w:t>
      </w:r>
      <w:r w:rsidRPr="005C1895" w:rsidR="00C75E6F">
        <w:rPr>
          <w:rFonts w:ascii="Times New Roman" w:hAnsi="Times New Roman"/>
          <w:color w:val="000000"/>
          <w:sz w:val="24"/>
          <w:szCs w:val="24"/>
        </w:rPr>
        <w:t xml:space="preserve"> </w:t>
      </w:r>
      <w:r w:rsidRPr="005C1895" w:rsidR="00B1263A">
        <w:rPr>
          <w:rFonts w:ascii="Times New Roman" w:hAnsi="Times New Roman"/>
          <w:color w:val="000000"/>
          <w:sz w:val="24"/>
          <w:szCs w:val="24"/>
        </w:rPr>
        <w:t xml:space="preserve">tools in clinical practice. </w:t>
      </w:r>
      <w:r w:rsidRPr="005C1895" w:rsidR="00D80B5A">
        <w:rPr>
          <w:rFonts w:ascii="Times New Roman" w:hAnsi="Times New Roman"/>
          <w:color w:val="000000"/>
          <w:sz w:val="24"/>
          <w:szCs w:val="24"/>
        </w:rPr>
        <w:t>R</w:t>
      </w:r>
      <w:r w:rsidRPr="005C1895" w:rsidR="00B1263A">
        <w:rPr>
          <w:rFonts w:ascii="Times New Roman" w:hAnsi="Times New Roman"/>
          <w:color w:val="000000"/>
          <w:sz w:val="24"/>
          <w:szCs w:val="24"/>
        </w:rPr>
        <w:t>espondents</w:t>
      </w:r>
      <w:r w:rsidRPr="005C1895" w:rsidR="00DE67BD">
        <w:rPr>
          <w:rFonts w:ascii="Times New Roman" w:hAnsi="Times New Roman"/>
          <w:color w:val="000000"/>
          <w:sz w:val="24"/>
          <w:szCs w:val="24"/>
        </w:rPr>
        <w:t xml:space="preserve"> </w:t>
      </w:r>
      <w:r w:rsidRPr="005C1895" w:rsidR="00D80B5A">
        <w:rPr>
          <w:rFonts w:ascii="Times New Roman" w:hAnsi="Times New Roman"/>
          <w:color w:val="000000"/>
          <w:sz w:val="24"/>
          <w:szCs w:val="24"/>
        </w:rPr>
        <w:t xml:space="preserve">will have </w:t>
      </w:r>
      <w:r w:rsidRPr="005C1895" w:rsidR="000926A1">
        <w:rPr>
          <w:rFonts w:ascii="Times New Roman" w:hAnsi="Times New Roman"/>
          <w:color w:val="000000"/>
          <w:sz w:val="24"/>
          <w:szCs w:val="24"/>
        </w:rPr>
        <w:t xml:space="preserve">the option to </w:t>
      </w:r>
      <w:r w:rsidRPr="005C1895" w:rsidR="00B1263A">
        <w:rPr>
          <w:rFonts w:ascii="Times New Roman" w:hAnsi="Times New Roman"/>
          <w:color w:val="000000"/>
          <w:sz w:val="24"/>
          <w:szCs w:val="24"/>
        </w:rPr>
        <w:t>complete the</w:t>
      </w:r>
      <w:r w:rsidRPr="005C1895" w:rsidR="00D80B5A">
        <w:rPr>
          <w:rFonts w:ascii="Times New Roman" w:hAnsi="Times New Roman"/>
          <w:color w:val="000000"/>
          <w:sz w:val="24"/>
          <w:szCs w:val="24"/>
        </w:rPr>
        <w:t xml:space="preserve"> survey</w:t>
      </w:r>
      <w:r w:rsidRPr="005C1895" w:rsidR="00B1263A">
        <w:rPr>
          <w:rFonts w:ascii="Times New Roman" w:hAnsi="Times New Roman"/>
          <w:color w:val="000000"/>
          <w:sz w:val="24"/>
          <w:szCs w:val="24"/>
        </w:rPr>
        <w:t xml:space="preserve"> online or on paper, in line with the </w:t>
      </w:r>
      <w:r w:rsidRPr="005C1895" w:rsidR="00DE67BD">
        <w:rPr>
          <w:rFonts w:ascii="Times New Roman" w:hAnsi="Times New Roman"/>
          <w:color w:val="000000"/>
          <w:sz w:val="24"/>
          <w:szCs w:val="24"/>
        </w:rPr>
        <w:t xml:space="preserve">current </w:t>
      </w:r>
      <w:r w:rsidRPr="005C1895" w:rsidR="00B1263A">
        <w:rPr>
          <w:rFonts w:ascii="Times New Roman" w:hAnsi="Times New Roman"/>
          <w:color w:val="000000"/>
          <w:sz w:val="24"/>
          <w:szCs w:val="24"/>
        </w:rPr>
        <w:t>administration of the Hospital Survey on Patient Safety Culture.</w:t>
      </w:r>
      <w:r w:rsidRPr="005C1895" w:rsidR="00CB7488">
        <w:rPr>
          <w:rFonts w:ascii="Times New Roman" w:hAnsi="Times New Roman"/>
          <w:color w:val="000000"/>
          <w:sz w:val="24"/>
          <w:szCs w:val="24"/>
          <w:vertAlign w:val="superscript"/>
        </w:rPr>
        <w:t>7</w:t>
      </w:r>
      <w:r w:rsidRPr="005C1895" w:rsidR="00B1263A">
        <w:rPr>
          <w:rFonts w:ascii="Times New Roman" w:hAnsi="Times New Roman"/>
          <w:color w:val="000000"/>
          <w:sz w:val="24"/>
          <w:szCs w:val="24"/>
        </w:rPr>
        <w:t xml:space="preserve"> </w:t>
      </w:r>
      <w:proofErr w:type="gramStart"/>
      <w:r w:rsidRPr="005C1895" w:rsidR="00B1263A">
        <w:rPr>
          <w:rFonts w:ascii="Times New Roman" w:hAnsi="Times New Roman"/>
          <w:color w:val="000000"/>
          <w:sz w:val="24"/>
          <w:szCs w:val="24"/>
        </w:rPr>
        <w:t>The</w:t>
      </w:r>
      <w:proofErr w:type="gramEnd"/>
      <w:r w:rsidRPr="005C1895" w:rsidR="00B1263A">
        <w:rPr>
          <w:rFonts w:ascii="Times New Roman" w:hAnsi="Times New Roman"/>
          <w:color w:val="000000"/>
          <w:sz w:val="24"/>
          <w:szCs w:val="24"/>
        </w:rPr>
        <w:t xml:space="preserve"> expected </w:t>
      </w:r>
      <w:r w:rsidRPr="005C1895" w:rsidR="003C6C29">
        <w:rPr>
          <w:rFonts w:ascii="Times New Roman" w:hAnsi="Times New Roman"/>
          <w:color w:val="000000"/>
          <w:sz w:val="24"/>
          <w:szCs w:val="24"/>
        </w:rPr>
        <w:t>response</w:t>
      </w:r>
      <w:r w:rsidRPr="005C1895" w:rsidR="00B1263A">
        <w:rPr>
          <w:rFonts w:ascii="Times New Roman" w:hAnsi="Times New Roman"/>
          <w:color w:val="000000"/>
          <w:sz w:val="24"/>
          <w:szCs w:val="24"/>
        </w:rPr>
        <w:t xml:space="preserve"> rate for this survey is 9</w:t>
      </w:r>
      <w:r w:rsidRPr="005C1895" w:rsidR="006B4FA4">
        <w:rPr>
          <w:rFonts w:ascii="Times New Roman" w:hAnsi="Times New Roman"/>
          <w:color w:val="000000"/>
          <w:sz w:val="24"/>
          <w:szCs w:val="24"/>
        </w:rPr>
        <w:t>5</w:t>
      </w:r>
      <w:r w:rsidRPr="005C1895" w:rsidR="00B1263A">
        <w:rPr>
          <w:rFonts w:ascii="Times New Roman" w:hAnsi="Times New Roman"/>
          <w:color w:val="000000"/>
          <w:sz w:val="24"/>
          <w:szCs w:val="24"/>
        </w:rPr>
        <w:t>% in both states.</w:t>
      </w:r>
    </w:p>
    <w:p w:rsidRPr="005C1895" w:rsidR="002A4DA4" w:rsidP="008959EB" w:rsidRDefault="00B9692A" w14:paraId="5366FDB5" w14:textId="77777777">
      <w:pPr>
        <w:pStyle w:val="p1"/>
        <w:numPr>
          <w:ilvl w:val="0"/>
          <w:numId w:val="5"/>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Clinical staff s</w:t>
      </w:r>
      <w:r w:rsidRPr="005C1895" w:rsidR="004F5912">
        <w:rPr>
          <w:rFonts w:ascii="Times New Roman" w:hAnsi="Times New Roman"/>
          <w:b/>
          <w:color w:val="000000"/>
          <w:sz w:val="24"/>
          <w:szCs w:val="24"/>
        </w:rPr>
        <w:t xml:space="preserve">elf-administered baseline surveys </w:t>
      </w:r>
      <w:r w:rsidRPr="005C1895" w:rsidR="00B1263A">
        <w:rPr>
          <w:rFonts w:ascii="Times New Roman" w:hAnsi="Times New Roman"/>
          <w:color w:val="000000"/>
          <w:sz w:val="24"/>
          <w:szCs w:val="24"/>
        </w:rPr>
        <w:t xml:space="preserve">will be </w:t>
      </w:r>
      <w:r w:rsidRPr="005C1895" w:rsidR="00483B6F">
        <w:rPr>
          <w:rFonts w:ascii="Times New Roman" w:hAnsi="Times New Roman"/>
          <w:color w:val="000000"/>
          <w:sz w:val="24"/>
          <w:szCs w:val="24"/>
        </w:rPr>
        <w:t>made available</w:t>
      </w:r>
      <w:r w:rsidRPr="005C1895" w:rsidR="00B1263A">
        <w:rPr>
          <w:rFonts w:ascii="Times New Roman" w:hAnsi="Times New Roman"/>
          <w:color w:val="000000"/>
          <w:sz w:val="24"/>
          <w:szCs w:val="24"/>
        </w:rPr>
        <w:t xml:space="preserve"> </w:t>
      </w:r>
      <w:r w:rsidR="00344BF9">
        <w:rPr>
          <w:rFonts w:ascii="Times New Roman" w:hAnsi="Times New Roman"/>
          <w:color w:val="000000"/>
          <w:sz w:val="24"/>
          <w:szCs w:val="24"/>
        </w:rPr>
        <w:t xml:space="preserve">about a month </w:t>
      </w:r>
      <w:r w:rsidRPr="005C1895" w:rsidR="00B1263A">
        <w:rPr>
          <w:rFonts w:ascii="Times New Roman" w:hAnsi="Times New Roman"/>
          <w:color w:val="000000"/>
          <w:sz w:val="24"/>
          <w:szCs w:val="24"/>
        </w:rPr>
        <w:t xml:space="preserve">before the </w:t>
      </w:r>
      <w:r w:rsidR="00344BF9">
        <w:rPr>
          <w:rFonts w:ascii="Times New Roman" w:hAnsi="Times New Roman"/>
          <w:color w:val="000000"/>
          <w:sz w:val="24"/>
          <w:szCs w:val="24"/>
        </w:rPr>
        <w:t xml:space="preserve">SPPC-II implementation start date </w:t>
      </w:r>
      <w:r w:rsidRPr="005C1895" w:rsidR="00FA397A">
        <w:rPr>
          <w:rFonts w:ascii="Times New Roman" w:hAnsi="Times New Roman"/>
          <w:color w:val="000000"/>
          <w:sz w:val="24"/>
          <w:szCs w:val="24"/>
        </w:rPr>
        <w:t xml:space="preserve">(Appendix </w:t>
      </w:r>
      <w:r w:rsidR="00A21894">
        <w:rPr>
          <w:rFonts w:ascii="Times New Roman" w:hAnsi="Times New Roman"/>
          <w:color w:val="000000"/>
          <w:sz w:val="24"/>
          <w:szCs w:val="24"/>
        </w:rPr>
        <w:t>G), together with a corresponding consent form (Appendix H</w:t>
      </w:r>
      <w:r w:rsidRPr="005C1895" w:rsidR="00FA397A">
        <w:rPr>
          <w:rFonts w:ascii="Times New Roman" w:hAnsi="Times New Roman"/>
          <w:color w:val="000000"/>
          <w:sz w:val="24"/>
          <w:szCs w:val="24"/>
        </w:rPr>
        <w:t>)</w:t>
      </w:r>
      <w:r w:rsidRPr="005C1895" w:rsidR="00B1263A">
        <w:rPr>
          <w:rFonts w:ascii="Times New Roman" w:hAnsi="Times New Roman"/>
          <w:color w:val="000000"/>
          <w:sz w:val="24"/>
          <w:szCs w:val="24"/>
        </w:rPr>
        <w:t xml:space="preserve">. The purpose of this survey is to assess </w:t>
      </w:r>
      <w:r w:rsidRPr="005C1895" w:rsidR="00F71F9F">
        <w:rPr>
          <w:rFonts w:ascii="Times New Roman" w:hAnsi="Times New Roman"/>
          <w:color w:val="000000"/>
          <w:sz w:val="24"/>
          <w:szCs w:val="24"/>
        </w:rPr>
        <w:t xml:space="preserve">baseline levels of previous teamwork and communication training, overall use of teamwork and communication tools and strategies, </w:t>
      </w:r>
      <w:r w:rsidRPr="005C1895" w:rsidR="00202E1B">
        <w:rPr>
          <w:rFonts w:ascii="Times New Roman" w:hAnsi="Times New Roman"/>
          <w:color w:val="000000"/>
          <w:sz w:val="24"/>
          <w:szCs w:val="24"/>
        </w:rPr>
        <w:t>teamwork and communication perception</w:t>
      </w:r>
      <w:r w:rsidRPr="005C1895" w:rsidR="004F00BD">
        <w:rPr>
          <w:rFonts w:ascii="Times New Roman" w:hAnsi="Times New Roman"/>
          <w:color w:val="000000"/>
          <w:sz w:val="24"/>
          <w:szCs w:val="24"/>
        </w:rPr>
        <w:t>s</w:t>
      </w:r>
      <w:r w:rsidRPr="005C1895" w:rsidR="00202E1B">
        <w:rPr>
          <w:rFonts w:ascii="Times New Roman" w:hAnsi="Times New Roman"/>
          <w:color w:val="000000"/>
          <w:sz w:val="24"/>
          <w:szCs w:val="24"/>
        </w:rPr>
        <w:t xml:space="preserve">, experience with AIM bundle implementation. </w:t>
      </w:r>
      <w:r w:rsidRPr="00D31E4E" w:rsidR="004F00BD">
        <w:rPr>
          <w:rFonts w:ascii="Times New Roman" w:hAnsi="Times New Roman"/>
          <w:color w:val="000000"/>
          <w:sz w:val="24"/>
          <w:szCs w:val="24"/>
        </w:rPr>
        <w:t>Three</w:t>
      </w:r>
      <w:r w:rsidRPr="00D31E4E" w:rsidR="00202E1B">
        <w:rPr>
          <w:rFonts w:ascii="Times New Roman" w:hAnsi="Times New Roman"/>
          <w:color w:val="000000"/>
          <w:sz w:val="24"/>
          <w:szCs w:val="24"/>
        </w:rPr>
        <w:t xml:space="preserve"> respondents will be </w:t>
      </w:r>
      <w:r w:rsidRPr="00D31E4E" w:rsidR="00202E1B">
        <w:rPr>
          <w:rFonts w:ascii="Times New Roman" w:hAnsi="Times New Roman"/>
          <w:color w:val="000000"/>
          <w:sz w:val="24"/>
          <w:szCs w:val="24"/>
        </w:rPr>
        <w:lastRenderedPageBreak/>
        <w:t xml:space="preserve">randomly selected in each hospital using comprehensive lists of clinical staff developed by the AIM Team Leads (Appendix </w:t>
      </w:r>
      <w:r w:rsidRPr="00D31E4E" w:rsidR="00A21894">
        <w:rPr>
          <w:rFonts w:ascii="Times New Roman" w:hAnsi="Times New Roman"/>
          <w:color w:val="000000"/>
          <w:sz w:val="24"/>
          <w:szCs w:val="24"/>
        </w:rPr>
        <w:t>I</w:t>
      </w:r>
      <w:r w:rsidRPr="00D31E4E" w:rsidR="00202E1B">
        <w:rPr>
          <w:rFonts w:ascii="Times New Roman" w:hAnsi="Times New Roman"/>
          <w:color w:val="000000"/>
          <w:sz w:val="24"/>
          <w:szCs w:val="24"/>
        </w:rPr>
        <w:t xml:space="preserve">). </w:t>
      </w:r>
      <w:r w:rsidRPr="00D31E4E" w:rsidR="00D80B5A">
        <w:rPr>
          <w:rFonts w:ascii="Times New Roman" w:hAnsi="Times New Roman"/>
          <w:color w:val="000000"/>
          <w:sz w:val="24"/>
          <w:szCs w:val="24"/>
        </w:rPr>
        <w:t>These lists will be updated by AIM Team Leads on a quarterly basis to capture new hires and staff turnover</w:t>
      </w:r>
      <w:r w:rsidRPr="005C1895" w:rsidR="00D80B5A">
        <w:rPr>
          <w:rFonts w:ascii="Times New Roman" w:hAnsi="Times New Roman"/>
          <w:color w:val="000000"/>
          <w:sz w:val="24"/>
          <w:szCs w:val="24"/>
        </w:rPr>
        <w:t>. R</w:t>
      </w:r>
      <w:r w:rsidRPr="005C1895" w:rsidR="00C82591">
        <w:rPr>
          <w:rFonts w:ascii="Times New Roman" w:hAnsi="Times New Roman"/>
          <w:color w:val="000000"/>
          <w:sz w:val="24"/>
          <w:szCs w:val="24"/>
        </w:rPr>
        <w:t xml:space="preserve">espondents </w:t>
      </w:r>
      <w:r w:rsidRPr="005C1895" w:rsidR="00D80B5A">
        <w:rPr>
          <w:rFonts w:ascii="Times New Roman" w:hAnsi="Times New Roman"/>
          <w:color w:val="000000"/>
          <w:sz w:val="24"/>
          <w:szCs w:val="24"/>
        </w:rPr>
        <w:t xml:space="preserve">will be given </w:t>
      </w:r>
      <w:r w:rsidRPr="005C1895" w:rsidR="00C82591">
        <w:rPr>
          <w:rFonts w:ascii="Times New Roman" w:hAnsi="Times New Roman"/>
          <w:color w:val="000000"/>
          <w:sz w:val="24"/>
          <w:szCs w:val="24"/>
        </w:rPr>
        <w:t xml:space="preserve">the option to </w:t>
      </w:r>
      <w:r w:rsidRPr="005C1895" w:rsidR="00D80B5A">
        <w:rPr>
          <w:rFonts w:ascii="Times New Roman" w:hAnsi="Times New Roman"/>
          <w:color w:val="000000"/>
          <w:sz w:val="24"/>
          <w:szCs w:val="24"/>
        </w:rPr>
        <w:t>complete the survey</w:t>
      </w:r>
      <w:r w:rsidRPr="005C1895" w:rsidR="00B1263A">
        <w:rPr>
          <w:rFonts w:ascii="Times New Roman" w:hAnsi="Times New Roman"/>
          <w:color w:val="000000"/>
          <w:sz w:val="24"/>
          <w:szCs w:val="24"/>
        </w:rPr>
        <w:t xml:space="preserve"> online or on paper, in line with the administration of the national Hospital Survey on Patient Safety Culture.</w:t>
      </w:r>
      <w:r w:rsidRPr="005C1895" w:rsidR="00D80B5A">
        <w:rPr>
          <w:rFonts w:ascii="Times New Roman" w:hAnsi="Times New Roman"/>
          <w:color w:val="000000"/>
          <w:sz w:val="24"/>
          <w:szCs w:val="24"/>
          <w:vertAlign w:val="superscript"/>
        </w:rPr>
        <w:t xml:space="preserve">7 </w:t>
      </w:r>
      <w:proofErr w:type="gramStart"/>
      <w:r w:rsidRPr="005C1895" w:rsidR="00B1263A">
        <w:rPr>
          <w:rFonts w:ascii="Times New Roman" w:hAnsi="Times New Roman"/>
          <w:color w:val="000000"/>
          <w:sz w:val="24"/>
          <w:szCs w:val="24"/>
        </w:rPr>
        <w:t>The</w:t>
      </w:r>
      <w:proofErr w:type="gramEnd"/>
      <w:r w:rsidRPr="005C1895" w:rsidR="00B1263A">
        <w:rPr>
          <w:rFonts w:ascii="Times New Roman" w:hAnsi="Times New Roman"/>
          <w:color w:val="000000"/>
          <w:sz w:val="24"/>
          <w:szCs w:val="24"/>
        </w:rPr>
        <w:t xml:space="preserve"> expected </w:t>
      </w:r>
      <w:r w:rsidRPr="005C1895" w:rsidR="00B729A9">
        <w:rPr>
          <w:rFonts w:ascii="Times New Roman" w:hAnsi="Times New Roman"/>
          <w:color w:val="000000"/>
          <w:sz w:val="24"/>
          <w:szCs w:val="24"/>
        </w:rPr>
        <w:t>response</w:t>
      </w:r>
      <w:r w:rsidRPr="005C1895" w:rsidR="00B1263A">
        <w:rPr>
          <w:rFonts w:ascii="Times New Roman" w:hAnsi="Times New Roman"/>
          <w:color w:val="000000"/>
          <w:sz w:val="24"/>
          <w:szCs w:val="24"/>
        </w:rPr>
        <w:t xml:space="preserve"> rate for this survey is </w:t>
      </w:r>
      <w:r w:rsidRPr="005C1895" w:rsidR="00736BA6">
        <w:rPr>
          <w:rFonts w:ascii="Times New Roman" w:hAnsi="Times New Roman"/>
          <w:color w:val="000000"/>
          <w:sz w:val="24"/>
          <w:szCs w:val="24"/>
        </w:rPr>
        <w:t>85</w:t>
      </w:r>
      <w:r w:rsidRPr="005C1895" w:rsidR="00B1263A">
        <w:rPr>
          <w:rFonts w:ascii="Times New Roman" w:hAnsi="Times New Roman"/>
          <w:color w:val="000000"/>
          <w:sz w:val="24"/>
          <w:szCs w:val="24"/>
        </w:rPr>
        <w:t>% in both states.</w:t>
      </w:r>
    </w:p>
    <w:p w:rsidRPr="00D81161" w:rsidR="002A4DA4" w:rsidP="008959EB" w:rsidRDefault="002A4DA4" w14:paraId="311FF69A" w14:textId="70E9F8D9">
      <w:pPr>
        <w:pStyle w:val="p1"/>
        <w:numPr>
          <w:ilvl w:val="0"/>
          <w:numId w:val="5"/>
        </w:numPr>
        <w:tabs>
          <w:tab w:val="left" w:pos="360"/>
        </w:tabs>
        <w:ind w:left="360"/>
        <w:rPr>
          <w:rFonts w:ascii="Times New Roman" w:hAnsi="Times New Roman"/>
          <w:b/>
          <w:color w:val="000000"/>
          <w:sz w:val="24"/>
          <w:szCs w:val="24"/>
        </w:rPr>
      </w:pPr>
      <w:r w:rsidRPr="007141A0">
        <w:rPr>
          <w:rFonts w:ascii="Times New Roman" w:hAnsi="Times New Roman"/>
          <w:b/>
          <w:color w:val="000000"/>
          <w:sz w:val="24"/>
          <w:szCs w:val="24"/>
          <w:highlight w:val="yellow"/>
        </w:rPr>
        <w:t>Qualitative</w:t>
      </w:r>
      <w:r w:rsidRPr="007141A0" w:rsidR="001C7BAB">
        <w:rPr>
          <w:rFonts w:ascii="Times New Roman" w:hAnsi="Times New Roman"/>
          <w:b/>
          <w:color w:val="000000"/>
          <w:sz w:val="24"/>
          <w:szCs w:val="24"/>
          <w:highlight w:val="yellow"/>
        </w:rPr>
        <w:t>,</w:t>
      </w:r>
      <w:r w:rsidRPr="007141A0">
        <w:rPr>
          <w:rFonts w:ascii="Times New Roman" w:hAnsi="Times New Roman"/>
          <w:b/>
          <w:color w:val="000000"/>
          <w:sz w:val="24"/>
          <w:szCs w:val="24"/>
          <w:highlight w:val="yellow"/>
        </w:rPr>
        <w:t xml:space="preserve"> semi-structured interviews with AIM Team Leads </w:t>
      </w:r>
      <w:r w:rsidRPr="007141A0" w:rsidR="00290023">
        <w:rPr>
          <w:rFonts w:ascii="Times New Roman" w:hAnsi="Times New Roman"/>
          <w:b/>
          <w:color w:val="000000"/>
          <w:sz w:val="24"/>
          <w:szCs w:val="24"/>
          <w:highlight w:val="yellow"/>
        </w:rPr>
        <w:t xml:space="preserve">and frontline staff </w:t>
      </w:r>
      <w:r w:rsidRPr="007141A0">
        <w:rPr>
          <w:rFonts w:ascii="Times New Roman" w:hAnsi="Times New Roman"/>
          <w:color w:val="000000"/>
          <w:sz w:val="24"/>
          <w:szCs w:val="24"/>
          <w:highlight w:val="yellow"/>
        </w:rPr>
        <w:t>will be conducted by phone</w:t>
      </w:r>
      <w:r w:rsidRPr="007141A0" w:rsidR="002A6F0F">
        <w:rPr>
          <w:rFonts w:ascii="Times New Roman" w:hAnsi="Times New Roman"/>
          <w:color w:val="000000"/>
          <w:sz w:val="24"/>
          <w:szCs w:val="24"/>
          <w:highlight w:val="yellow"/>
        </w:rPr>
        <w:t xml:space="preserve"> or via zoom</w:t>
      </w:r>
      <w:r w:rsidRPr="007141A0">
        <w:rPr>
          <w:rFonts w:ascii="Times New Roman" w:hAnsi="Times New Roman"/>
          <w:color w:val="000000"/>
          <w:sz w:val="24"/>
          <w:szCs w:val="24"/>
          <w:highlight w:val="yellow"/>
        </w:rPr>
        <w:t xml:space="preserve"> </w:t>
      </w:r>
      <w:r w:rsidRPr="007141A0" w:rsidR="002A6F0F">
        <w:rPr>
          <w:rFonts w:ascii="Times New Roman" w:hAnsi="Times New Roman"/>
          <w:color w:val="000000"/>
          <w:sz w:val="24"/>
          <w:szCs w:val="24"/>
          <w:highlight w:val="yellow"/>
        </w:rPr>
        <w:t>in the s</w:t>
      </w:r>
      <w:r w:rsidRPr="007141A0" w:rsidR="00652942">
        <w:rPr>
          <w:rFonts w:ascii="Times New Roman" w:hAnsi="Times New Roman"/>
          <w:color w:val="000000"/>
          <w:sz w:val="24"/>
          <w:szCs w:val="24"/>
          <w:highlight w:val="yellow"/>
        </w:rPr>
        <w:t>ummer</w:t>
      </w:r>
      <w:r w:rsidRPr="007141A0" w:rsidR="002A6F0F">
        <w:rPr>
          <w:rFonts w:ascii="Times New Roman" w:hAnsi="Times New Roman"/>
          <w:color w:val="000000"/>
          <w:sz w:val="24"/>
          <w:szCs w:val="24"/>
          <w:highlight w:val="yellow"/>
        </w:rPr>
        <w:t xml:space="preserve"> </w:t>
      </w:r>
      <w:r w:rsidRPr="007141A0" w:rsidR="00A23FDA">
        <w:rPr>
          <w:rFonts w:ascii="Times New Roman" w:hAnsi="Times New Roman"/>
          <w:color w:val="000000"/>
          <w:sz w:val="24"/>
          <w:szCs w:val="24"/>
          <w:highlight w:val="yellow"/>
        </w:rPr>
        <w:t xml:space="preserve">/ fall </w:t>
      </w:r>
      <w:r w:rsidRPr="007141A0" w:rsidR="002A6F0F">
        <w:rPr>
          <w:rFonts w:ascii="Times New Roman" w:hAnsi="Times New Roman"/>
          <w:color w:val="000000"/>
          <w:sz w:val="24"/>
          <w:szCs w:val="24"/>
          <w:highlight w:val="yellow"/>
        </w:rPr>
        <w:t xml:space="preserve">of 2021 </w:t>
      </w:r>
      <w:r w:rsidRPr="007141A0">
        <w:rPr>
          <w:rFonts w:ascii="Times New Roman" w:hAnsi="Times New Roman"/>
          <w:color w:val="000000"/>
          <w:sz w:val="24"/>
          <w:szCs w:val="24"/>
          <w:highlight w:val="yellow"/>
        </w:rPr>
        <w:t xml:space="preserve">to assess the perceived utility of the training and </w:t>
      </w:r>
      <w:r w:rsidRPr="007141A0" w:rsidR="00701D38">
        <w:rPr>
          <w:rFonts w:ascii="Times New Roman" w:hAnsi="Times New Roman"/>
          <w:color w:val="000000"/>
          <w:sz w:val="24"/>
          <w:szCs w:val="24"/>
          <w:highlight w:val="yellow"/>
        </w:rPr>
        <w:t xml:space="preserve">the </w:t>
      </w:r>
      <w:r w:rsidRPr="007141A0" w:rsidR="00290023">
        <w:rPr>
          <w:rFonts w:ascii="Times New Roman" w:hAnsi="Times New Roman"/>
          <w:color w:val="000000"/>
          <w:sz w:val="24"/>
          <w:szCs w:val="24"/>
          <w:highlight w:val="yellow"/>
        </w:rPr>
        <w:t xml:space="preserve">perceived </w:t>
      </w:r>
      <w:r w:rsidRPr="007141A0" w:rsidR="00701D38">
        <w:rPr>
          <w:rFonts w:ascii="Times New Roman" w:hAnsi="Times New Roman"/>
          <w:color w:val="000000"/>
          <w:sz w:val="24"/>
          <w:szCs w:val="24"/>
          <w:highlight w:val="yellow"/>
        </w:rPr>
        <w:t>implementation context (including barriers, facilitators, and strategies)</w:t>
      </w:r>
      <w:r w:rsidRPr="007141A0" w:rsidR="002A6F0F">
        <w:rPr>
          <w:rFonts w:ascii="Times New Roman" w:hAnsi="Times New Roman"/>
          <w:color w:val="000000"/>
          <w:sz w:val="24"/>
          <w:szCs w:val="24"/>
          <w:highlight w:val="yellow"/>
        </w:rPr>
        <w:t xml:space="preserve"> in the context of a reduced scope for SPCC-II</w:t>
      </w:r>
      <w:r w:rsidRPr="007141A0" w:rsidR="00E35601">
        <w:rPr>
          <w:rFonts w:ascii="Times New Roman" w:hAnsi="Times New Roman"/>
          <w:color w:val="000000"/>
          <w:sz w:val="24"/>
          <w:szCs w:val="24"/>
          <w:highlight w:val="yellow"/>
        </w:rPr>
        <w:t>.</w:t>
      </w:r>
      <w:r w:rsidRPr="007141A0" w:rsidR="00290023">
        <w:rPr>
          <w:rFonts w:ascii="Times New Roman" w:hAnsi="Times New Roman"/>
          <w:color w:val="000000"/>
          <w:sz w:val="24"/>
          <w:szCs w:val="24"/>
          <w:highlight w:val="yellow"/>
        </w:rPr>
        <w:t xml:space="preserve"> In ~8 hospitals, one-hour interviews with AIM Team Leads (1 per hospital) and 30-minute interv</w:t>
      </w:r>
      <w:r w:rsidRPr="007141A0" w:rsidR="00FB61AE">
        <w:rPr>
          <w:rFonts w:ascii="Times New Roman" w:hAnsi="Times New Roman"/>
          <w:color w:val="000000"/>
          <w:sz w:val="24"/>
          <w:szCs w:val="24"/>
          <w:highlight w:val="yellow"/>
        </w:rPr>
        <w:t>iews</w:t>
      </w:r>
      <w:r w:rsidRPr="007141A0" w:rsidR="00290023">
        <w:rPr>
          <w:rFonts w:ascii="Times New Roman" w:hAnsi="Times New Roman"/>
          <w:color w:val="000000"/>
          <w:sz w:val="24"/>
          <w:szCs w:val="24"/>
          <w:highlight w:val="yellow"/>
        </w:rPr>
        <w:t xml:space="preserve"> with frontline staff (</w:t>
      </w:r>
      <w:r w:rsidRPr="007141A0" w:rsidR="00CC1D2C">
        <w:rPr>
          <w:rFonts w:ascii="Times New Roman" w:hAnsi="Times New Roman"/>
          <w:color w:val="000000"/>
          <w:sz w:val="24"/>
          <w:szCs w:val="24"/>
          <w:highlight w:val="yellow"/>
        </w:rPr>
        <w:t>~</w:t>
      </w:r>
      <w:r w:rsidRPr="007141A0" w:rsidR="00FB61AE">
        <w:rPr>
          <w:rFonts w:ascii="Times New Roman" w:hAnsi="Times New Roman"/>
          <w:color w:val="000000"/>
          <w:sz w:val="24"/>
          <w:szCs w:val="24"/>
          <w:highlight w:val="yellow"/>
        </w:rPr>
        <w:t>4</w:t>
      </w:r>
      <w:r w:rsidRPr="007141A0" w:rsidR="00290023">
        <w:rPr>
          <w:rFonts w:ascii="Times New Roman" w:hAnsi="Times New Roman"/>
          <w:color w:val="000000"/>
          <w:sz w:val="24"/>
          <w:szCs w:val="24"/>
          <w:highlight w:val="yellow"/>
        </w:rPr>
        <w:t xml:space="preserve"> per hospital) will be conducted.</w:t>
      </w:r>
      <w:r w:rsidRPr="007141A0" w:rsidR="00290023">
        <w:rPr>
          <w:rFonts w:ascii="Times New Roman" w:hAnsi="Times New Roman"/>
          <w:b/>
          <w:color w:val="000000"/>
          <w:sz w:val="24"/>
          <w:szCs w:val="24"/>
          <w:highlight w:val="yellow"/>
        </w:rPr>
        <w:t xml:space="preserve"> </w:t>
      </w:r>
      <w:r w:rsidRPr="007141A0" w:rsidR="008766F9">
        <w:rPr>
          <w:rFonts w:ascii="Times New Roman" w:hAnsi="Times New Roman"/>
          <w:color w:val="000000"/>
          <w:sz w:val="24"/>
          <w:szCs w:val="24"/>
          <w:highlight w:val="yellow"/>
        </w:rPr>
        <w:t>An i</w:t>
      </w:r>
      <w:r w:rsidRPr="007141A0">
        <w:rPr>
          <w:rFonts w:ascii="Times New Roman" w:hAnsi="Times New Roman"/>
          <w:color w:val="000000"/>
          <w:sz w:val="24"/>
          <w:szCs w:val="24"/>
          <w:highlight w:val="yellow"/>
        </w:rPr>
        <w:t>ntervie</w:t>
      </w:r>
      <w:r w:rsidRPr="007141A0" w:rsidR="008766F9">
        <w:rPr>
          <w:rFonts w:ascii="Times New Roman" w:hAnsi="Times New Roman"/>
          <w:color w:val="000000"/>
          <w:sz w:val="24"/>
          <w:szCs w:val="24"/>
          <w:highlight w:val="yellow"/>
        </w:rPr>
        <w:t>w guide</w:t>
      </w:r>
      <w:r w:rsidRPr="007141A0">
        <w:rPr>
          <w:rFonts w:ascii="Times New Roman" w:hAnsi="Times New Roman"/>
          <w:color w:val="000000"/>
          <w:sz w:val="24"/>
          <w:szCs w:val="24"/>
          <w:highlight w:val="yellow"/>
        </w:rPr>
        <w:t xml:space="preserve"> </w:t>
      </w:r>
      <w:r w:rsidRPr="007141A0" w:rsidR="00E35601">
        <w:rPr>
          <w:rFonts w:ascii="Times New Roman" w:hAnsi="Times New Roman"/>
          <w:color w:val="000000"/>
          <w:sz w:val="24"/>
          <w:szCs w:val="24"/>
          <w:highlight w:val="yellow"/>
        </w:rPr>
        <w:t xml:space="preserve">developed </w:t>
      </w:r>
      <w:r w:rsidRPr="007141A0">
        <w:rPr>
          <w:rFonts w:ascii="Times New Roman" w:hAnsi="Times New Roman"/>
          <w:color w:val="000000"/>
          <w:sz w:val="24"/>
          <w:szCs w:val="24"/>
          <w:highlight w:val="yellow"/>
        </w:rPr>
        <w:t xml:space="preserve">based on the Consolidated Framework for Implementation Research </w:t>
      </w:r>
      <w:r w:rsidRPr="007141A0" w:rsidR="00E35601">
        <w:rPr>
          <w:rFonts w:ascii="Times New Roman" w:hAnsi="Times New Roman"/>
          <w:color w:val="000000"/>
          <w:sz w:val="24"/>
          <w:szCs w:val="24"/>
          <w:highlight w:val="yellow"/>
        </w:rPr>
        <w:t>framework will be used</w:t>
      </w:r>
      <w:r w:rsidRPr="007141A0" w:rsidR="00E74517">
        <w:rPr>
          <w:rFonts w:ascii="Times New Roman" w:hAnsi="Times New Roman"/>
          <w:color w:val="000000"/>
          <w:sz w:val="24"/>
          <w:szCs w:val="24"/>
          <w:highlight w:val="yellow"/>
        </w:rPr>
        <w:t xml:space="preserve"> to conduct the interviews</w:t>
      </w:r>
      <w:r w:rsidRPr="007141A0" w:rsidR="00E011B0">
        <w:rPr>
          <w:rFonts w:ascii="Times New Roman" w:hAnsi="Times New Roman"/>
          <w:color w:val="000000"/>
          <w:sz w:val="24"/>
          <w:szCs w:val="24"/>
          <w:highlight w:val="yellow"/>
        </w:rPr>
        <w:t xml:space="preserve"> (Appendi</w:t>
      </w:r>
      <w:r w:rsidRPr="007141A0" w:rsidR="00B612E1">
        <w:rPr>
          <w:rFonts w:ascii="Times New Roman" w:hAnsi="Times New Roman"/>
          <w:color w:val="000000"/>
          <w:sz w:val="24"/>
          <w:szCs w:val="24"/>
          <w:highlight w:val="yellow"/>
        </w:rPr>
        <w:t>x</w:t>
      </w:r>
      <w:r w:rsidRPr="007141A0" w:rsidR="00E011B0">
        <w:rPr>
          <w:rFonts w:ascii="Times New Roman" w:hAnsi="Times New Roman"/>
          <w:color w:val="000000"/>
          <w:sz w:val="24"/>
          <w:szCs w:val="24"/>
          <w:highlight w:val="yellow"/>
        </w:rPr>
        <w:t xml:space="preserve"> </w:t>
      </w:r>
      <w:r w:rsidRPr="007141A0" w:rsidR="00500573">
        <w:rPr>
          <w:rFonts w:ascii="Times New Roman" w:hAnsi="Times New Roman"/>
          <w:color w:val="000000"/>
          <w:sz w:val="24"/>
          <w:szCs w:val="24"/>
          <w:highlight w:val="yellow"/>
        </w:rPr>
        <w:t>J</w:t>
      </w:r>
      <w:r w:rsidRPr="007141A0" w:rsidR="00290023">
        <w:rPr>
          <w:rFonts w:ascii="Times New Roman" w:hAnsi="Times New Roman"/>
          <w:color w:val="000000"/>
          <w:sz w:val="24"/>
          <w:szCs w:val="24"/>
          <w:highlight w:val="yellow"/>
        </w:rPr>
        <w:t>3</w:t>
      </w:r>
      <w:r w:rsidRPr="007141A0" w:rsidR="00EE5196">
        <w:rPr>
          <w:rFonts w:ascii="Times New Roman" w:hAnsi="Times New Roman"/>
          <w:color w:val="000000"/>
          <w:sz w:val="24"/>
          <w:szCs w:val="24"/>
          <w:highlight w:val="yellow"/>
        </w:rPr>
        <w:t>,</w:t>
      </w:r>
      <w:r w:rsidRPr="007141A0" w:rsidR="00755C80">
        <w:rPr>
          <w:rFonts w:ascii="Times New Roman" w:hAnsi="Times New Roman"/>
          <w:color w:val="000000"/>
          <w:sz w:val="24"/>
          <w:szCs w:val="24"/>
          <w:highlight w:val="yellow"/>
        </w:rPr>
        <w:t xml:space="preserve"> new</w:t>
      </w:r>
      <w:r w:rsidRPr="007141A0" w:rsidR="00E011B0">
        <w:rPr>
          <w:rFonts w:ascii="Times New Roman" w:hAnsi="Times New Roman"/>
          <w:color w:val="000000"/>
          <w:sz w:val="24"/>
          <w:szCs w:val="24"/>
          <w:highlight w:val="yellow"/>
        </w:rPr>
        <w:t>)</w:t>
      </w:r>
      <w:r w:rsidRPr="007141A0" w:rsidR="00A21894">
        <w:rPr>
          <w:rFonts w:ascii="Times New Roman" w:hAnsi="Times New Roman"/>
          <w:color w:val="000000"/>
          <w:sz w:val="24"/>
          <w:szCs w:val="24"/>
          <w:highlight w:val="yellow"/>
        </w:rPr>
        <w:t>, together with a corresponding consent form (Appendix K).</w:t>
      </w:r>
      <w:r w:rsidRPr="007141A0" w:rsidR="004C7110">
        <w:rPr>
          <w:rFonts w:ascii="Times New Roman" w:hAnsi="Times New Roman"/>
          <w:color w:val="000000"/>
          <w:sz w:val="24"/>
          <w:szCs w:val="24"/>
          <w:highlight w:val="yellow"/>
        </w:rPr>
        <w:t xml:space="preserve"> The interview guide will be supported by the SPPC-II tier level training specific handouts (Handout 1 </w:t>
      </w:r>
      <w:r w:rsidRPr="007141A0" w:rsidR="00C7753D">
        <w:rPr>
          <w:rFonts w:ascii="Times New Roman" w:hAnsi="Times New Roman"/>
          <w:color w:val="000000"/>
          <w:sz w:val="24"/>
          <w:szCs w:val="24"/>
          <w:highlight w:val="yellow"/>
        </w:rPr>
        <w:t>listing Tier 2 T</w:t>
      </w:r>
      <w:r w:rsidRPr="007141A0" w:rsidR="004C7110">
        <w:rPr>
          <w:rFonts w:ascii="Times New Roman" w:hAnsi="Times New Roman"/>
          <w:color w:val="000000"/>
          <w:sz w:val="24"/>
          <w:szCs w:val="24"/>
          <w:highlight w:val="yellow"/>
        </w:rPr>
        <w:t xml:space="preserve">oolkit components and Handout </w:t>
      </w:r>
      <w:r w:rsidRPr="007141A0" w:rsidR="00C7753D">
        <w:rPr>
          <w:rFonts w:ascii="Times New Roman" w:hAnsi="Times New Roman"/>
          <w:color w:val="000000"/>
          <w:sz w:val="24"/>
          <w:szCs w:val="24"/>
          <w:highlight w:val="yellow"/>
        </w:rPr>
        <w:t>2</w:t>
      </w:r>
      <w:r w:rsidRPr="007141A0" w:rsidR="004C7110">
        <w:rPr>
          <w:rFonts w:ascii="Times New Roman" w:hAnsi="Times New Roman"/>
          <w:color w:val="000000"/>
          <w:sz w:val="24"/>
          <w:szCs w:val="24"/>
          <w:highlight w:val="yellow"/>
        </w:rPr>
        <w:t xml:space="preserve"> listing Tier 1 online modules)</w:t>
      </w:r>
      <w:r w:rsidRPr="007141A0" w:rsidR="00F877A8">
        <w:rPr>
          <w:rFonts w:ascii="Times New Roman" w:hAnsi="Times New Roman"/>
          <w:color w:val="000000"/>
          <w:sz w:val="24"/>
          <w:szCs w:val="24"/>
          <w:highlight w:val="yellow"/>
        </w:rPr>
        <w:t xml:space="preserve"> (Appendix J4 </w:t>
      </w:r>
      <w:r w:rsidRPr="007141A0" w:rsidR="00E955D9">
        <w:rPr>
          <w:rFonts w:ascii="Times New Roman" w:hAnsi="Times New Roman"/>
          <w:color w:val="000000"/>
          <w:sz w:val="24"/>
          <w:szCs w:val="24"/>
          <w:highlight w:val="yellow"/>
        </w:rPr>
        <w:t>and J5</w:t>
      </w:r>
      <w:r w:rsidRPr="007141A0" w:rsidR="00EE5196">
        <w:rPr>
          <w:rFonts w:ascii="Times New Roman" w:hAnsi="Times New Roman"/>
          <w:color w:val="000000"/>
          <w:sz w:val="24"/>
          <w:szCs w:val="24"/>
          <w:highlight w:val="yellow"/>
        </w:rPr>
        <w:t>,</w:t>
      </w:r>
      <w:r w:rsidRPr="007141A0" w:rsidR="00E955D9">
        <w:rPr>
          <w:rFonts w:ascii="Times New Roman" w:hAnsi="Times New Roman"/>
          <w:color w:val="000000"/>
          <w:sz w:val="24"/>
          <w:szCs w:val="24"/>
          <w:highlight w:val="yellow"/>
        </w:rPr>
        <w:t xml:space="preserve"> </w:t>
      </w:r>
      <w:r w:rsidRPr="007141A0" w:rsidR="00F877A8">
        <w:rPr>
          <w:rFonts w:ascii="Times New Roman" w:hAnsi="Times New Roman"/>
          <w:color w:val="000000"/>
          <w:sz w:val="24"/>
          <w:szCs w:val="24"/>
          <w:highlight w:val="yellow"/>
        </w:rPr>
        <w:t>new).</w:t>
      </w:r>
    </w:p>
    <w:p w:rsidRPr="007141A0" w:rsidR="00290023" w:rsidP="008959EB" w:rsidRDefault="00290023" w14:paraId="3244305D" w14:textId="581423A6">
      <w:pPr>
        <w:pStyle w:val="p1"/>
        <w:numPr>
          <w:ilvl w:val="0"/>
          <w:numId w:val="5"/>
        </w:numPr>
        <w:tabs>
          <w:tab w:val="left" w:pos="360"/>
        </w:tabs>
        <w:ind w:left="360"/>
        <w:rPr>
          <w:rFonts w:ascii="Times New Roman" w:hAnsi="Times New Roman"/>
          <w:b/>
          <w:color w:val="000000"/>
          <w:sz w:val="24"/>
          <w:szCs w:val="24"/>
          <w:highlight w:val="yellow"/>
        </w:rPr>
      </w:pPr>
      <w:r w:rsidRPr="007141A0">
        <w:rPr>
          <w:rFonts w:ascii="Times New Roman" w:hAnsi="Times New Roman"/>
          <w:b/>
          <w:color w:val="000000"/>
          <w:sz w:val="24"/>
          <w:szCs w:val="24"/>
          <w:highlight w:val="yellow"/>
        </w:rPr>
        <w:t>Focus group discussions</w:t>
      </w:r>
      <w:r w:rsidRPr="007141A0" w:rsidR="00D81161">
        <w:rPr>
          <w:rFonts w:ascii="Times New Roman" w:hAnsi="Times New Roman"/>
          <w:b/>
          <w:color w:val="000000"/>
          <w:sz w:val="24"/>
          <w:szCs w:val="24"/>
          <w:highlight w:val="yellow"/>
        </w:rPr>
        <w:t xml:space="preserve"> with AIM Team Leads and frontline staff </w:t>
      </w:r>
      <w:r w:rsidRPr="007141A0" w:rsidR="00D81161">
        <w:rPr>
          <w:rFonts w:ascii="Times New Roman" w:hAnsi="Times New Roman"/>
          <w:color w:val="000000"/>
          <w:sz w:val="24"/>
          <w:szCs w:val="24"/>
          <w:highlight w:val="yellow"/>
        </w:rPr>
        <w:t>will be conducted by phone or via zoom in the s</w:t>
      </w:r>
      <w:r w:rsidRPr="007141A0" w:rsidR="00652942">
        <w:rPr>
          <w:rFonts w:ascii="Times New Roman" w:hAnsi="Times New Roman"/>
          <w:color w:val="000000"/>
          <w:sz w:val="24"/>
          <w:szCs w:val="24"/>
          <w:highlight w:val="yellow"/>
        </w:rPr>
        <w:t>ummer</w:t>
      </w:r>
      <w:r w:rsidRPr="007141A0" w:rsidR="00D81161">
        <w:rPr>
          <w:rFonts w:ascii="Times New Roman" w:hAnsi="Times New Roman"/>
          <w:color w:val="000000"/>
          <w:sz w:val="24"/>
          <w:szCs w:val="24"/>
          <w:highlight w:val="yellow"/>
        </w:rPr>
        <w:t xml:space="preserve"> </w:t>
      </w:r>
      <w:r w:rsidRPr="007141A0" w:rsidR="00A23FDA">
        <w:rPr>
          <w:rFonts w:ascii="Times New Roman" w:hAnsi="Times New Roman"/>
          <w:color w:val="000000"/>
          <w:sz w:val="24"/>
          <w:szCs w:val="24"/>
          <w:highlight w:val="yellow"/>
        </w:rPr>
        <w:t xml:space="preserve">/ fall </w:t>
      </w:r>
      <w:r w:rsidRPr="007141A0" w:rsidR="00D81161">
        <w:rPr>
          <w:rFonts w:ascii="Times New Roman" w:hAnsi="Times New Roman"/>
          <w:color w:val="000000"/>
          <w:sz w:val="24"/>
          <w:szCs w:val="24"/>
          <w:highlight w:val="yellow"/>
        </w:rPr>
        <w:t>of 2022 to assess perceptions of implementation and sustainability of the SPPC-II Toolkit at the hospital level. We will conduct one 1-hour focus group in each of the ~8 hospitals. An interview guide developed based on the Consolidated Framework for Implementation Research framework will be used to conduct the interviews (Appendi</w:t>
      </w:r>
      <w:r w:rsidRPr="007141A0" w:rsidR="00B612E1">
        <w:rPr>
          <w:rFonts w:ascii="Times New Roman" w:hAnsi="Times New Roman"/>
          <w:color w:val="000000"/>
          <w:sz w:val="24"/>
          <w:szCs w:val="24"/>
          <w:highlight w:val="yellow"/>
        </w:rPr>
        <w:t xml:space="preserve">x </w:t>
      </w:r>
      <w:r w:rsidRPr="007141A0" w:rsidR="00D81161">
        <w:rPr>
          <w:rFonts w:ascii="Times New Roman" w:hAnsi="Times New Roman"/>
          <w:color w:val="000000"/>
          <w:sz w:val="24"/>
          <w:szCs w:val="24"/>
          <w:highlight w:val="yellow"/>
        </w:rPr>
        <w:t>J</w:t>
      </w:r>
      <w:r w:rsidRPr="007141A0" w:rsidR="00E955D9">
        <w:rPr>
          <w:rFonts w:ascii="Times New Roman" w:hAnsi="Times New Roman"/>
          <w:color w:val="000000"/>
          <w:sz w:val="24"/>
          <w:szCs w:val="24"/>
          <w:highlight w:val="yellow"/>
        </w:rPr>
        <w:t>6</w:t>
      </w:r>
      <w:r w:rsidRPr="007141A0" w:rsidR="00BB4DDD">
        <w:rPr>
          <w:rFonts w:ascii="Times New Roman" w:hAnsi="Times New Roman"/>
          <w:color w:val="000000"/>
          <w:sz w:val="24"/>
          <w:szCs w:val="24"/>
          <w:highlight w:val="yellow"/>
        </w:rPr>
        <w:t>,</w:t>
      </w:r>
      <w:r w:rsidRPr="007141A0" w:rsidR="00D81161">
        <w:rPr>
          <w:rFonts w:ascii="Times New Roman" w:hAnsi="Times New Roman"/>
          <w:color w:val="000000"/>
          <w:sz w:val="24"/>
          <w:szCs w:val="24"/>
          <w:highlight w:val="yellow"/>
        </w:rPr>
        <w:t xml:space="preserve"> new), together with a corresponding consent form (Appendix K).</w:t>
      </w:r>
    </w:p>
    <w:p w:rsidRPr="00330C14" w:rsidR="00C4322E" w:rsidP="008959EB" w:rsidRDefault="00E011B0" w14:paraId="7D001F05" w14:textId="77777777">
      <w:pPr>
        <w:pStyle w:val="p1"/>
        <w:numPr>
          <w:ilvl w:val="0"/>
          <w:numId w:val="5"/>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Clinical staff s</w:t>
      </w:r>
      <w:r w:rsidRPr="005C1895" w:rsidR="00824FC8">
        <w:rPr>
          <w:rFonts w:ascii="Times New Roman" w:hAnsi="Times New Roman"/>
          <w:b/>
          <w:color w:val="000000"/>
          <w:sz w:val="24"/>
          <w:szCs w:val="24"/>
        </w:rPr>
        <w:t xml:space="preserve">elf-administered implementation surveys </w:t>
      </w:r>
      <w:r w:rsidRPr="005C1895" w:rsidR="00153417">
        <w:rPr>
          <w:rFonts w:ascii="Times New Roman" w:hAnsi="Times New Roman"/>
          <w:color w:val="000000"/>
          <w:sz w:val="24"/>
          <w:szCs w:val="24"/>
        </w:rPr>
        <w:t xml:space="preserve">will be </w:t>
      </w:r>
      <w:r w:rsidRPr="005C1895" w:rsidR="00483B6F">
        <w:rPr>
          <w:rFonts w:ascii="Times New Roman" w:hAnsi="Times New Roman"/>
          <w:color w:val="000000"/>
          <w:sz w:val="24"/>
          <w:szCs w:val="24"/>
        </w:rPr>
        <w:t>made available</w:t>
      </w:r>
      <w:r w:rsidRPr="005C1895" w:rsidR="00153417">
        <w:rPr>
          <w:rFonts w:ascii="Times New Roman" w:hAnsi="Times New Roman"/>
          <w:color w:val="000000"/>
          <w:sz w:val="24"/>
          <w:szCs w:val="24"/>
        </w:rPr>
        <w:t xml:space="preserve"> at </w:t>
      </w:r>
      <w:r w:rsidRPr="00AC407F" w:rsidR="00153417">
        <w:rPr>
          <w:rFonts w:ascii="Times New Roman" w:hAnsi="Times New Roman"/>
          <w:color w:val="000000"/>
          <w:sz w:val="24"/>
          <w:szCs w:val="24"/>
        </w:rPr>
        <w:t xml:space="preserve">about </w:t>
      </w:r>
      <w:r w:rsidRPr="00EA7DDB" w:rsidR="00824FC8">
        <w:rPr>
          <w:rFonts w:ascii="Times New Roman" w:hAnsi="Times New Roman"/>
          <w:color w:val="000000"/>
          <w:sz w:val="24"/>
          <w:szCs w:val="24"/>
        </w:rPr>
        <w:t>6</w:t>
      </w:r>
      <w:r w:rsidRPr="00EA7DDB" w:rsidR="002F5D57">
        <w:rPr>
          <w:rFonts w:ascii="Times New Roman" w:hAnsi="Times New Roman"/>
          <w:color w:val="000000"/>
          <w:sz w:val="24"/>
          <w:szCs w:val="24"/>
        </w:rPr>
        <w:t xml:space="preserve">, </w:t>
      </w:r>
      <w:r w:rsidRPr="00EA7DDB" w:rsidR="00940D89">
        <w:rPr>
          <w:rFonts w:ascii="Times New Roman" w:hAnsi="Times New Roman"/>
          <w:color w:val="000000"/>
          <w:sz w:val="24"/>
          <w:szCs w:val="24"/>
        </w:rPr>
        <w:t>12</w:t>
      </w:r>
      <w:r w:rsidRPr="00EA7DDB" w:rsidR="002F5D57">
        <w:rPr>
          <w:rFonts w:ascii="Times New Roman" w:hAnsi="Times New Roman"/>
          <w:color w:val="000000"/>
          <w:sz w:val="24"/>
          <w:szCs w:val="24"/>
        </w:rPr>
        <w:t xml:space="preserve">, and </w:t>
      </w:r>
      <w:r w:rsidRPr="00EA7DDB" w:rsidR="00940D89">
        <w:rPr>
          <w:rFonts w:ascii="Times New Roman" w:hAnsi="Times New Roman"/>
          <w:color w:val="000000"/>
          <w:sz w:val="24"/>
          <w:szCs w:val="24"/>
        </w:rPr>
        <w:t xml:space="preserve">18 </w:t>
      </w:r>
      <w:r w:rsidRPr="00EA7DDB" w:rsidR="00824FC8">
        <w:rPr>
          <w:rFonts w:ascii="Times New Roman" w:hAnsi="Times New Roman"/>
          <w:color w:val="000000"/>
          <w:sz w:val="24"/>
          <w:szCs w:val="24"/>
        </w:rPr>
        <w:t xml:space="preserve">months after </w:t>
      </w:r>
      <w:r w:rsidRPr="00EA7DDB" w:rsidR="00483B6F">
        <w:rPr>
          <w:rFonts w:ascii="Times New Roman" w:hAnsi="Times New Roman"/>
          <w:color w:val="000000"/>
          <w:sz w:val="24"/>
          <w:szCs w:val="24"/>
        </w:rPr>
        <w:t xml:space="preserve">the </w:t>
      </w:r>
      <w:r w:rsidRPr="00EA7DDB" w:rsidR="00940D89">
        <w:rPr>
          <w:rFonts w:ascii="Times New Roman" w:hAnsi="Times New Roman"/>
          <w:color w:val="000000"/>
          <w:sz w:val="24"/>
          <w:szCs w:val="24"/>
        </w:rPr>
        <w:t xml:space="preserve">SPPC-II implementation start date </w:t>
      </w:r>
      <w:r w:rsidRPr="00AC407F" w:rsidR="00FA397A">
        <w:rPr>
          <w:rFonts w:ascii="Times New Roman" w:hAnsi="Times New Roman"/>
          <w:color w:val="000000"/>
          <w:sz w:val="24"/>
          <w:szCs w:val="24"/>
        </w:rPr>
        <w:t>(</w:t>
      </w:r>
      <w:r w:rsidRPr="00330C14" w:rsidR="00D10820">
        <w:rPr>
          <w:rFonts w:ascii="Times New Roman" w:hAnsi="Times New Roman"/>
          <w:color w:val="000000"/>
          <w:sz w:val="24"/>
          <w:szCs w:val="24"/>
        </w:rPr>
        <w:t xml:space="preserve">Appendices </w:t>
      </w:r>
      <w:r w:rsidRPr="00AC407F" w:rsidR="003B3463">
        <w:rPr>
          <w:rFonts w:ascii="Times New Roman" w:hAnsi="Times New Roman"/>
          <w:color w:val="000000"/>
          <w:sz w:val="24"/>
          <w:szCs w:val="24"/>
        </w:rPr>
        <w:t>L-N</w:t>
      </w:r>
      <w:r w:rsidRPr="00AC407F" w:rsidR="00FA397A">
        <w:rPr>
          <w:rFonts w:ascii="Times New Roman" w:hAnsi="Times New Roman"/>
          <w:color w:val="000000"/>
          <w:sz w:val="24"/>
          <w:szCs w:val="24"/>
        </w:rPr>
        <w:t>)</w:t>
      </w:r>
      <w:r w:rsidRPr="00AC407F" w:rsidR="003B3463">
        <w:rPr>
          <w:rFonts w:ascii="Times New Roman" w:hAnsi="Times New Roman"/>
          <w:color w:val="000000"/>
          <w:sz w:val="24"/>
          <w:szCs w:val="24"/>
        </w:rPr>
        <w:t>, together with a corresponding consent forms (Appendices O-Q),</w:t>
      </w:r>
      <w:r w:rsidRPr="00AC407F" w:rsidR="007704CF">
        <w:rPr>
          <w:rFonts w:ascii="Times New Roman" w:hAnsi="Times New Roman"/>
          <w:color w:val="000000"/>
          <w:sz w:val="24"/>
          <w:szCs w:val="24"/>
        </w:rPr>
        <w:t xml:space="preserve"> to assess</w:t>
      </w:r>
      <w:r w:rsidRPr="00AC407F" w:rsidR="00D10820">
        <w:rPr>
          <w:rFonts w:ascii="Times New Roman" w:hAnsi="Times New Roman"/>
          <w:color w:val="000000"/>
          <w:sz w:val="24"/>
          <w:szCs w:val="24"/>
        </w:rPr>
        <w:t xml:space="preserve"> training knowledge, </w:t>
      </w:r>
      <w:r w:rsidRPr="00AC407F" w:rsidR="00665FAE">
        <w:rPr>
          <w:rFonts w:ascii="Times New Roman" w:hAnsi="Times New Roman"/>
          <w:color w:val="000000"/>
          <w:sz w:val="24"/>
          <w:szCs w:val="24"/>
        </w:rPr>
        <w:t>transfer,</w:t>
      </w:r>
      <w:r w:rsidRPr="00AC407F" w:rsidR="00D10820">
        <w:rPr>
          <w:rFonts w:ascii="Times New Roman" w:hAnsi="Times New Roman"/>
          <w:color w:val="000000"/>
          <w:sz w:val="24"/>
          <w:szCs w:val="24"/>
        </w:rPr>
        <w:t xml:space="preserve"> and results such as</w:t>
      </w:r>
      <w:r w:rsidRPr="00AC407F" w:rsidR="00665FAE">
        <w:rPr>
          <w:rFonts w:ascii="Times New Roman" w:hAnsi="Times New Roman"/>
          <w:color w:val="000000"/>
          <w:sz w:val="24"/>
          <w:szCs w:val="24"/>
        </w:rPr>
        <w:t xml:space="preserve"> use of teamwork and communication tools and strategies, teamwork and communication perception</w:t>
      </w:r>
      <w:r w:rsidRPr="00AC407F" w:rsidR="00D10820">
        <w:rPr>
          <w:rFonts w:ascii="Times New Roman" w:hAnsi="Times New Roman"/>
          <w:color w:val="000000"/>
          <w:sz w:val="24"/>
          <w:szCs w:val="24"/>
        </w:rPr>
        <w:t>s</w:t>
      </w:r>
      <w:r w:rsidRPr="00AC407F" w:rsidR="0082431B">
        <w:rPr>
          <w:rFonts w:ascii="Times New Roman" w:hAnsi="Times New Roman"/>
          <w:color w:val="000000"/>
          <w:sz w:val="24"/>
          <w:szCs w:val="24"/>
        </w:rPr>
        <w:t xml:space="preserve">, </w:t>
      </w:r>
      <w:r w:rsidRPr="00AC407F" w:rsidR="00665FAE">
        <w:rPr>
          <w:rFonts w:ascii="Times New Roman" w:hAnsi="Times New Roman"/>
          <w:color w:val="000000"/>
          <w:sz w:val="24"/>
          <w:szCs w:val="24"/>
        </w:rPr>
        <w:t>experience with AIM bundle implementation overlaid with the teamwork and communication tools.</w:t>
      </w:r>
      <w:r w:rsidRPr="00AC407F" w:rsidR="003A0813">
        <w:rPr>
          <w:rFonts w:ascii="Times New Roman" w:hAnsi="Times New Roman"/>
          <w:color w:val="000000"/>
          <w:sz w:val="24"/>
          <w:szCs w:val="24"/>
        </w:rPr>
        <w:t xml:space="preserve"> Th</w:t>
      </w:r>
      <w:r w:rsidRPr="00AC407F" w:rsidR="009853B8">
        <w:rPr>
          <w:rFonts w:ascii="Times New Roman" w:hAnsi="Times New Roman"/>
          <w:color w:val="000000"/>
          <w:sz w:val="24"/>
          <w:szCs w:val="24"/>
        </w:rPr>
        <w:t>e</w:t>
      </w:r>
      <w:r w:rsidRPr="00AC407F" w:rsidR="003A0813">
        <w:rPr>
          <w:rFonts w:ascii="Times New Roman" w:hAnsi="Times New Roman"/>
          <w:color w:val="000000"/>
          <w:sz w:val="24"/>
          <w:szCs w:val="24"/>
        </w:rPr>
        <w:t xml:space="preserve"> time</w:t>
      </w:r>
      <w:r w:rsidRPr="00AC407F" w:rsidR="009853B8">
        <w:rPr>
          <w:rFonts w:ascii="Times New Roman" w:hAnsi="Times New Roman"/>
          <w:color w:val="000000"/>
          <w:sz w:val="24"/>
          <w:szCs w:val="24"/>
        </w:rPr>
        <w:t xml:space="preserve"> </w:t>
      </w:r>
      <w:r w:rsidRPr="00AC407F" w:rsidR="003A0813">
        <w:rPr>
          <w:rFonts w:ascii="Times New Roman" w:hAnsi="Times New Roman"/>
          <w:color w:val="000000"/>
          <w:sz w:val="24"/>
          <w:szCs w:val="24"/>
        </w:rPr>
        <w:t>point</w:t>
      </w:r>
      <w:r w:rsidRPr="00AC407F" w:rsidR="009853B8">
        <w:rPr>
          <w:rFonts w:ascii="Times New Roman" w:hAnsi="Times New Roman"/>
          <w:color w:val="000000"/>
          <w:sz w:val="24"/>
          <w:szCs w:val="24"/>
        </w:rPr>
        <w:t>s</w:t>
      </w:r>
      <w:r w:rsidRPr="00AC407F" w:rsidR="003A0813">
        <w:rPr>
          <w:rFonts w:ascii="Times New Roman" w:hAnsi="Times New Roman"/>
          <w:color w:val="000000"/>
          <w:sz w:val="24"/>
          <w:szCs w:val="24"/>
        </w:rPr>
        <w:t xml:space="preserve"> w</w:t>
      </w:r>
      <w:r w:rsidRPr="00AC407F" w:rsidR="009853B8">
        <w:rPr>
          <w:rFonts w:ascii="Times New Roman" w:hAnsi="Times New Roman"/>
          <w:color w:val="000000"/>
          <w:sz w:val="24"/>
          <w:szCs w:val="24"/>
        </w:rPr>
        <w:t>ere</w:t>
      </w:r>
      <w:r w:rsidRPr="00AC407F" w:rsidR="003A0813">
        <w:rPr>
          <w:rFonts w:ascii="Times New Roman" w:hAnsi="Times New Roman"/>
          <w:color w:val="000000"/>
          <w:sz w:val="24"/>
          <w:szCs w:val="24"/>
        </w:rPr>
        <w:t xml:space="preserve"> chosen </w:t>
      </w:r>
      <w:r w:rsidRPr="00AC407F" w:rsidR="009853B8">
        <w:rPr>
          <w:rFonts w:ascii="Times New Roman" w:hAnsi="Times New Roman"/>
          <w:color w:val="000000"/>
          <w:sz w:val="24"/>
          <w:szCs w:val="24"/>
        </w:rPr>
        <w:t>to assess</w:t>
      </w:r>
      <w:r w:rsidRPr="00AC407F" w:rsidR="0082431B">
        <w:rPr>
          <w:rFonts w:ascii="Times New Roman" w:hAnsi="Times New Roman"/>
          <w:color w:val="000000"/>
          <w:sz w:val="24"/>
          <w:szCs w:val="24"/>
        </w:rPr>
        <w:t>:</w:t>
      </w:r>
      <w:r w:rsidRPr="00AC407F" w:rsidR="009853B8">
        <w:rPr>
          <w:rFonts w:ascii="Times New Roman" w:hAnsi="Times New Roman"/>
          <w:color w:val="000000"/>
          <w:sz w:val="24"/>
          <w:szCs w:val="24"/>
        </w:rPr>
        <w:t xml:space="preserve"> </w:t>
      </w:r>
      <w:r w:rsidRPr="00AC407F" w:rsidR="009853B8">
        <w:rPr>
          <w:rFonts w:ascii="Times New Roman" w:hAnsi="Times New Roman"/>
          <w:color w:val="000000"/>
          <w:sz w:val="24"/>
          <w:szCs w:val="24"/>
          <w:u w:val="single"/>
        </w:rPr>
        <w:t>early</w:t>
      </w:r>
      <w:r w:rsidRPr="00AC407F" w:rsidR="009853B8">
        <w:rPr>
          <w:rFonts w:ascii="Times New Roman" w:hAnsi="Times New Roman"/>
          <w:color w:val="000000"/>
          <w:sz w:val="24"/>
          <w:szCs w:val="24"/>
        </w:rPr>
        <w:t xml:space="preserve"> </w:t>
      </w:r>
      <w:r w:rsidRPr="00AC407F" w:rsidR="0082431B">
        <w:rPr>
          <w:rFonts w:ascii="Times New Roman" w:hAnsi="Times New Roman"/>
          <w:color w:val="000000"/>
          <w:sz w:val="24"/>
          <w:szCs w:val="24"/>
        </w:rPr>
        <w:t>adoption</w:t>
      </w:r>
      <w:r w:rsidRPr="00AC407F" w:rsidR="009853B8">
        <w:rPr>
          <w:rFonts w:ascii="Times New Roman" w:hAnsi="Times New Roman"/>
          <w:color w:val="000000"/>
          <w:sz w:val="24"/>
          <w:szCs w:val="24"/>
        </w:rPr>
        <w:t xml:space="preserve"> and </w:t>
      </w:r>
      <w:r w:rsidRPr="00AC407F" w:rsidR="0082431B">
        <w:rPr>
          <w:rFonts w:ascii="Times New Roman" w:hAnsi="Times New Roman"/>
          <w:color w:val="000000"/>
          <w:sz w:val="24"/>
          <w:szCs w:val="24"/>
        </w:rPr>
        <w:t>results</w:t>
      </w:r>
      <w:r w:rsidRPr="00AC407F" w:rsidR="009853B8">
        <w:rPr>
          <w:rFonts w:ascii="Times New Roman" w:hAnsi="Times New Roman"/>
          <w:color w:val="000000"/>
          <w:sz w:val="24"/>
          <w:szCs w:val="24"/>
        </w:rPr>
        <w:t xml:space="preserve"> of the training (6-month survey); </w:t>
      </w:r>
      <w:r w:rsidRPr="00AC407F" w:rsidR="0082431B">
        <w:rPr>
          <w:rFonts w:ascii="Times New Roman" w:hAnsi="Times New Roman"/>
          <w:color w:val="000000"/>
          <w:sz w:val="24"/>
          <w:szCs w:val="24"/>
        </w:rPr>
        <w:t xml:space="preserve">adoption and results of the training </w:t>
      </w:r>
      <w:r w:rsidRPr="00AC407F" w:rsidR="009853B8">
        <w:rPr>
          <w:rFonts w:ascii="Times New Roman" w:hAnsi="Times New Roman"/>
          <w:color w:val="000000"/>
          <w:sz w:val="24"/>
          <w:szCs w:val="24"/>
        </w:rPr>
        <w:t xml:space="preserve">at the </w:t>
      </w:r>
      <w:r w:rsidRPr="00AC407F" w:rsidR="009853B8">
        <w:rPr>
          <w:rFonts w:ascii="Times New Roman" w:hAnsi="Times New Roman"/>
          <w:color w:val="000000"/>
          <w:sz w:val="24"/>
          <w:szCs w:val="24"/>
          <w:u w:val="single"/>
        </w:rPr>
        <w:t>time when unit culture changes are expected</w:t>
      </w:r>
      <w:r w:rsidRPr="00AC407F" w:rsidR="009853B8">
        <w:rPr>
          <w:rFonts w:ascii="Times New Roman" w:hAnsi="Times New Roman"/>
          <w:color w:val="000000"/>
          <w:sz w:val="24"/>
          <w:szCs w:val="24"/>
        </w:rPr>
        <w:t xml:space="preserve"> </w:t>
      </w:r>
      <w:r w:rsidRPr="00AC407F" w:rsidR="0082431B">
        <w:rPr>
          <w:rFonts w:ascii="Times New Roman" w:hAnsi="Times New Roman"/>
          <w:color w:val="000000"/>
          <w:sz w:val="24"/>
          <w:szCs w:val="24"/>
        </w:rPr>
        <w:t>per available implementation research</w:t>
      </w:r>
      <w:r w:rsidRPr="00AC407F" w:rsidR="0082431B">
        <w:rPr>
          <w:rFonts w:ascii="Times New Roman" w:hAnsi="Times New Roman"/>
          <w:color w:val="000000"/>
          <w:sz w:val="24"/>
          <w:szCs w:val="24"/>
          <w:vertAlign w:val="superscript"/>
        </w:rPr>
        <w:t>8</w:t>
      </w:r>
      <w:r w:rsidRPr="00AC407F" w:rsidR="00BF17FC">
        <w:rPr>
          <w:rFonts w:ascii="Times New Roman" w:hAnsi="Times New Roman"/>
          <w:color w:val="000000"/>
          <w:sz w:val="24"/>
          <w:szCs w:val="24"/>
          <w:vertAlign w:val="superscript"/>
        </w:rPr>
        <w:t>-12</w:t>
      </w:r>
      <w:r w:rsidRPr="00AC407F" w:rsidR="0082431B">
        <w:rPr>
          <w:rFonts w:ascii="Times New Roman" w:hAnsi="Times New Roman"/>
          <w:color w:val="000000"/>
          <w:sz w:val="24"/>
          <w:szCs w:val="24"/>
        </w:rPr>
        <w:t xml:space="preserve"> </w:t>
      </w:r>
      <w:r w:rsidRPr="00AC407F" w:rsidR="009853B8">
        <w:rPr>
          <w:rFonts w:ascii="Times New Roman" w:hAnsi="Times New Roman"/>
          <w:color w:val="000000"/>
          <w:sz w:val="24"/>
          <w:szCs w:val="24"/>
        </w:rPr>
        <w:t>(</w:t>
      </w:r>
      <w:r w:rsidRPr="00AC407F" w:rsidR="00940D89">
        <w:rPr>
          <w:rFonts w:ascii="Times New Roman" w:hAnsi="Times New Roman"/>
          <w:color w:val="000000"/>
          <w:sz w:val="24"/>
          <w:szCs w:val="24"/>
        </w:rPr>
        <w:t>12</w:t>
      </w:r>
      <w:r w:rsidRPr="00AC407F" w:rsidR="009853B8">
        <w:rPr>
          <w:rFonts w:ascii="Times New Roman" w:hAnsi="Times New Roman"/>
          <w:color w:val="000000"/>
          <w:sz w:val="24"/>
          <w:szCs w:val="24"/>
        </w:rPr>
        <w:t xml:space="preserve">-month survey); </w:t>
      </w:r>
      <w:r w:rsidRPr="00AC407F" w:rsidR="00483B6F">
        <w:rPr>
          <w:rFonts w:ascii="Times New Roman" w:hAnsi="Times New Roman"/>
          <w:color w:val="000000"/>
          <w:sz w:val="24"/>
          <w:szCs w:val="24"/>
        </w:rPr>
        <w:t>and</w:t>
      </w:r>
      <w:r w:rsidRPr="00AC407F" w:rsidR="0082431B">
        <w:rPr>
          <w:rFonts w:ascii="Times New Roman" w:hAnsi="Times New Roman"/>
          <w:color w:val="000000"/>
          <w:sz w:val="24"/>
          <w:szCs w:val="24"/>
        </w:rPr>
        <w:t xml:space="preserve"> medium-term</w:t>
      </w:r>
      <w:r w:rsidRPr="00AC407F" w:rsidR="00483B6F">
        <w:rPr>
          <w:rFonts w:ascii="Times New Roman" w:hAnsi="Times New Roman"/>
          <w:color w:val="000000"/>
          <w:sz w:val="24"/>
          <w:szCs w:val="24"/>
        </w:rPr>
        <w:t xml:space="preserve"> program sustainability (</w:t>
      </w:r>
      <w:r w:rsidRPr="00AC407F" w:rsidR="00940D89">
        <w:rPr>
          <w:rFonts w:ascii="Times New Roman" w:hAnsi="Times New Roman"/>
          <w:color w:val="000000"/>
          <w:sz w:val="24"/>
          <w:szCs w:val="24"/>
        </w:rPr>
        <w:t>18</w:t>
      </w:r>
      <w:r w:rsidRPr="00AC407F" w:rsidR="00483B6F">
        <w:rPr>
          <w:rFonts w:ascii="Times New Roman" w:hAnsi="Times New Roman"/>
          <w:color w:val="000000"/>
          <w:sz w:val="24"/>
          <w:szCs w:val="24"/>
        </w:rPr>
        <w:t>-month survey).</w:t>
      </w:r>
      <w:r w:rsidRPr="00AC407F" w:rsidR="003A0813">
        <w:rPr>
          <w:rFonts w:ascii="Times New Roman" w:hAnsi="Times New Roman"/>
          <w:color w:val="000000"/>
          <w:sz w:val="24"/>
          <w:szCs w:val="24"/>
        </w:rPr>
        <w:t xml:space="preserve"> Fo</w:t>
      </w:r>
      <w:r w:rsidRPr="00AC407F" w:rsidR="00794842">
        <w:rPr>
          <w:rFonts w:ascii="Times New Roman" w:hAnsi="Times New Roman"/>
          <w:color w:val="000000"/>
          <w:sz w:val="24"/>
          <w:szCs w:val="24"/>
        </w:rPr>
        <w:t xml:space="preserve">r each survey, three </w:t>
      </w:r>
      <w:r w:rsidRPr="00AC407F" w:rsidR="003A0813">
        <w:rPr>
          <w:rFonts w:ascii="Times New Roman" w:hAnsi="Times New Roman"/>
          <w:color w:val="000000"/>
          <w:sz w:val="24"/>
          <w:szCs w:val="24"/>
        </w:rPr>
        <w:t xml:space="preserve">respondents will be randomly selected in each hospital using </w:t>
      </w:r>
      <w:r w:rsidRPr="00AC407F" w:rsidR="00794842">
        <w:rPr>
          <w:rFonts w:ascii="Times New Roman" w:hAnsi="Times New Roman"/>
          <w:color w:val="000000"/>
          <w:sz w:val="24"/>
          <w:szCs w:val="24"/>
        </w:rPr>
        <w:t xml:space="preserve">the most up to date </w:t>
      </w:r>
      <w:r w:rsidRPr="00AC407F" w:rsidR="003A0813">
        <w:rPr>
          <w:rFonts w:ascii="Times New Roman" w:hAnsi="Times New Roman"/>
          <w:color w:val="000000"/>
          <w:sz w:val="24"/>
          <w:szCs w:val="24"/>
        </w:rPr>
        <w:t xml:space="preserve">comprehensive lists of clinical staff. </w:t>
      </w:r>
      <w:r w:rsidRPr="00AC407F" w:rsidR="00D879A0">
        <w:rPr>
          <w:rFonts w:ascii="Times New Roman" w:hAnsi="Times New Roman"/>
          <w:color w:val="000000"/>
          <w:sz w:val="24"/>
          <w:szCs w:val="24"/>
        </w:rPr>
        <w:t>R</w:t>
      </w:r>
      <w:r w:rsidRPr="00AC407F" w:rsidR="003A0813">
        <w:rPr>
          <w:rFonts w:ascii="Times New Roman" w:hAnsi="Times New Roman"/>
          <w:color w:val="000000"/>
          <w:sz w:val="24"/>
          <w:szCs w:val="24"/>
        </w:rPr>
        <w:t>espondents</w:t>
      </w:r>
      <w:r w:rsidRPr="00AC407F" w:rsidR="00D879A0">
        <w:rPr>
          <w:rFonts w:ascii="Times New Roman" w:hAnsi="Times New Roman"/>
          <w:color w:val="000000"/>
          <w:sz w:val="24"/>
          <w:szCs w:val="24"/>
        </w:rPr>
        <w:t xml:space="preserve"> will have the option to </w:t>
      </w:r>
      <w:r w:rsidRPr="00AC407F" w:rsidR="003A0813">
        <w:rPr>
          <w:rFonts w:ascii="Times New Roman" w:hAnsi="Times New Roman"/>
          <w:color w:val="000000"/>
          <w:sz w:val="24"/>
          <w:szCs w:val="24"/>
        </w:rPr>
        <w:t>complete these surveys online or on paper, in line with the administration of the national Hospital Survey on Patient Safety Culture.</w:t>
      </w:r>
      <w:r w:rsidRPr="00AC407F" w:rsidR="00D879A0">
        <w:rPr>
          <w:rFonts w:ascii="Times New Roman" w:hAnsi="Times New Roman"/>
          <w:color w:val="000000"/>
          <w:sz w:val="24"/>
          <w:szCs w:val="24"/>
          <w:vertAlign w:val="superscript"/>
        </w:rPr>
        <w:t>7</w:t>
      </w:r>
      <w:r w:rsidRPr="00AC407F" w:rsidR="003A0813">
        <w:rPr>
          <w:rFonts w:ascii="Times New Roman" w:hAnsi="Times New Roman"/>
          <w:color w:val="000000"/>
          <w:sz w:val="24"/>
          <w:szCs w:val="24"/>
        </w:rPr>
        <w:t xml:space="preserve"> The expected </w:t>
      </w:r>
      <w:r w:rsidRPr="00AC407F" w:rsidR="00D879A0">
        <w:rPr>
          <w:rFonts w:ascii="Times New Roman" w:hAnsi="Times New Roman"/>
          <w:color w:val="000000"/>
          <w:sz w:val="24"/>
          <w:szCs w:val="24"/>
        </w:rPr>
        <w:t>response</w:t>
      </w:r>
      <w:r w:rsidRPr="00AC407F" w:rsidR="003A0813">
        <w:rPr>
          <w:rFonts w:ascii="Times New Roman" w:hAnsi="Times New Roman"/>
          <w:color w:val="000000"/>
          <w:sz w:val="24"/>
          <w:szCs w:val="24"/>
        </w:rPr>
        <w:t xml:space="preserve"> rate</w:t>
      </w:r>
      <w:r w:rsidRPr="00AC407F" w:rsidR="008F4515">
        <w:rPr>
          <w:rFonts w:ascii="Times New Roman" w:hAnsi="Times New Roman"/>
          <w:color w:val="000000"/>
          <w:sz w:val="24"/>
          <w:szCs w:val="24"/>
        </w:rPr>
        <w:t>s</w:t>
      </w:r>
      <w:r w:rsidRPr="00AC407F" w:rsidR="003A0813">
        <w:rPr>
          <w:rFonts w:ascii="Times New Roman" w:hAnsi="Times New Roman"/>
          <w:color w:val="000000"/>
          <w:sz w:val="24"/>
          <w:szCs w:val="24"/>
        </w:rPr>
        <w:t xml:space="preserve"> </w:t>
      </w:r>
      <w:r w:rsidRPr="00AC407F" w:rsidR="008F4515">
        <w:rPr>
          <w:rFonts w:ascii="Times New Roman" w:hAnsi="Times New Roman"/>
          <w:color w:val="000000"/>
          <w:sz w:val="24"/>
          <w:szCs w:val="24"/>
        </w:rPr>
        <w:t>are</w:t>
      </w:r>
      <w:r w:rsidRPr="00AC407F" w:rsidR="003A0813">
        <w:rPr>
          <w:rFonts w:ascii="Times New Roman" w:hAnsi="Times New Roman"/>
          <w:color w:val="000000"/>
          <w:sz w:val="24"/>
          <w:szCs w:val="24"/>
        </w:rPr>
        <w:t xml:space="preserve"> </w:t>
      </w:r>
      <w:r w:rsidRPr="00AC407F" w:rsidR="006B4FA4">
        <w:rPr>
          <w:rFonts w:ascii="Times New Roman" w:hAnsi="Times New Roman"/>
          <w:color w:val="000000"/>
          <w:sz w:val="24"/>
          <w:szCs w:val="24"/>
        </w:rPr>
        <w:t>8</w:t>
      </w:r>
      <w:r w:rsidRPr="00AC407F" w:rsidR="00736BA6">
        <w:rPr>
          <w:rFonts w:ascii="Times New Roman" w:hAnsi="Times New Roman"/>
          <w:color w:val="000000"/>
          <w:sz w:val="24"/>
          <w:szCs w:val="24"/>
        </w:rPr>
        <w:t>0</w:t>
      </w:r>
      <w:r w:rsidRPr="00AC407F" w:rsidR="003A0813">
        <w:rPr>
          <w:rFonts w:ascii="Times New Roman" w:hAnsi="Times New Roman"/>
          <w:color w:val="000000"/>
          <w:sz w:val="24"/>
          <w:szCs w:val="24"/>
        </w:rPr>
        <w:t>%</w:t>
      </w:r>
      <w:r w:rsidRPr="00AC407F" w:rsidR="008F4515">
        <w:rPr>
          <w:rFonts w:ascii="Times New Roman" w:hAnsi="Times New Roman"/>
          <w:color w:val="000000"/>
          <w:sz w:val="24"/>
          <w:szCs w:val="24"/>
        </w:rPr>
        <w:t xml:space="preserve">, </w:t>
      </w:r>
      <w:r w:rsidRPr="00AC407F" w:rsidR="00736BA6">
        <w:rPr>
          <w:rFonts w:ascii="Times New Roman" w:hAnsi="Times New Roman"/>
          <w:color w:val="000000"/>
          <w:sz w:val="24"/>
          <w:szCs w:val="24"/>
        </w:rPr>
        <w:t>77.5</w:t>
      </w:r>
      <w:r w:rsidRPr="00AC407F" w:rsidR="008F4515">
        <w:rPr>
          <w:rFonts w:ascii="Times New Roman" w:hAnsi="Times New Roman"/>
          <w:color w:val="000000"/>
          <w:sz w:val="24"/>
          <w:szCs w:val="24"/>
        </w:rPr>
        <w:t xml:space="preserve">% and 75% for surveys completed at </w:t>
      </w:r>
      <w:r w:rsidRPr="008959EB" w:rsidR="008F4515">
        <w:rPr>
          <w:rFonts w:ascii="Times New Roman" w:hAnsi="Times New Roman"/>
          <w:color w:val="000000"/>
          <w:sz w:val="24"/>
          <w:szCs w:val="24"/>
        </w:rPr>
        <w:t>6, 1</w:t>
      </w:r>
      <w:r w:rsidRPr="008959EB" w:rsidR="00E526A1">
        <w:rPr>
          <w:rFonts w:ascii="Times New Roman" w:hAnsi="Times New Roman"/>
          <w:color w:val="000000"/>
          <w:sz w:val="24"/>
          <w:szCs w:val="24"/>
        </w:rPr>
        <w:t>2</w:t>
      </w:r>
      <w:r w:rsidRPr="008959EB" w:rsidR="008F4515">
        <w:rPr>
          <w:rFonts w:ascii="Times New Roman" w:hAnsi="Times New Roman"/>
          <w:color w:val="000000"/>
          <w:sz w:val="24"/>
          <w:szCs w:val="24"/>
        </w:rPr>
        <w:t xml:space="preserve"> and </w:t>
      </w:r>
      <w:r w:rsidRPr="008959EB" w:rsidR="00E526A1">
        <w:rPr>
          <w:rFonts w:ascii="Times New Roman" w:hAnsi="Times New Roman"/>
          <w:color w:val="000000"/>
          <w:sz w:val="24"/>
          <w:szCs w:val="24"/>
        </w:rPr>
        <w:t>18</w:t>
      </w:r>
      <w:r w:rsidRPr="008959EB" w:rsidR="008F4515">
        <w:rPr>
          <w:rFonts w:ascii="Times New Roman" w:hAnsi="Times New Roman"/>
          <w:color w:val="000000"/>
          <w:sz w:val="24"/>
          <w:szCs w:val="24"/>
        </w:rPr>
        <w:t xml:space="preserve"> months after </w:t>
      </w:r>
      <w:r w:rsidRPr="008959EB" w:rsidR="00E526A1">
        <w:rPr>
          <w:rFonts w:ascii="Times New Roman" w:hAnsi="Times New Roman"/>
          <w:color w:val="000000"/>
          <w:sz w:val="24"/>
          <w:szCs w:val="24"/>
        </w:rPr>
        <w:t>the SPPC-II implementation start date</w:t>
      </w:r>
      <w:r w:rsidRPr="00AC407F" w:rsidR="00D879A0">
        <w:rPr>
          <w:rFonts w:ascii="Times New Roman" w:hAnsi="Times New Roman"/>
          <w:color w:val="000000"/>
          <w:sz w:val="24"/>
          <w:szCs w:val="24"/>
        </w:rPr>
        <w:t xml:space="preserve">, respectively.  </w:t>
      </w:r>
    </w:p>
    <w:p w:rsidRPr="005C1895" w:rsidR="00213031" w:rsidP="008959EB" w:rsidRDefault="00A33A13" w14:paraId="08B30EB6" w14:textId="77777777">
      <w:pPr>
        <w:pStyle w:val="p1"/>
        <w:numPr>
          <w:ilvl w:val="0"/>
          <w:numId w:val="5"/>
        </w:numPr>
        <w:tabs>
          <w:tab w:val="left" w:pos="360"/>
        </w:tabs>
        <w:ind w:left="360"/>
        <w:rPr>
          <w:rFonts w:ascii="Times New Roman" w:hAnsi="Times New Roman"/>
          <w:color w:val="000000"/>
          <w:sz w:val="24"/>
          <w:szCs w:val="24"/>
        </w:rPr>
      </w:pPr>
      <w:r w:rsidRPr="005C1895">
        <w:rPr>
          <w:rFonts w:ascii="Times New Roman" w:hAnsi="Times New Roman"/>
          <w:b/>
          <w:color w:val="000000"/>
          <w:sz w:val="24"/>
          <w:szCs w:val="24"/>
        </w:rPr>
        <w:t>AIM program data</w:t>
      </w:r>
      <w:r w:rsidRPr="005C1895">
        <w:rPr>
          <w:rFonts w:ascii="Times New Roman" w:hAnsi="Times New Roman"/>
          <w:color w:val="000000"/>
          <w:sz w:val="24"/>
          <w:szCs w:val="24"/>
        </w:rPr>
        <w:t xml:space="preserve"> will be obtained </w:t>
      </w:r>
      <w:r w:rsidRPr="005C1895" w:rsidR="00B93725">
        <w:rPr>
          <w:rFonts w:ascii="Times New Roman" w:hAnsi="Times New Roman"/>
          <w:color w:val="000000"/>
          <w:sz w:val="24"/>
          <w:szCs w:val="24"/>
        </w:rPr>
        <w:t xml:space="preserve">under data </w:t>
      </w:r>
      <w:r w:rsidRPr="005C1895" w:rsidR="006E0C1A">
        <w:rPr>
          <w:rFonts w:ascii="Times New Roman" w:hAnsi="Times New Roman"/>
          <w:color w:val="000000"/>
          <w:sz w:val="24"/>
          <w:szCs w:val="24"/>
        </w:rPr>
        <w:t>use</w:t>
      </w:r>
      <w:r w:rsidRPr="005C1895" w:rsidR="00B93725">
        <w:rPr>
          <w:rFonts w:ascii="Times New Roman" w:hAnsi="Times New Roman"/>
          <w:color w:val="000000"/>
          <w:sz w:val="24"/>
          <w:szCs w:val="24"/>
        </w:rPr>
        <w:t xml:space="preserve"> agreement</w:t>
      </w:r>
      <w:r w:rsidR="00A5089E">
        <w:rPr>
          <w:rFonts w:ascii="Times New Roman" w:hAnsi="Times New Roman"/>
          <w:color w:val="000000"/>
          <w:sz w:val="24"/>
          <w:szCs w:val="24"/>
        </w:rPr>
        <w:t>s (DUA)</w:t>
      </w:r>
      <w:r w:rsidRPr="005C1895" w:rsidR="00B93725">
        <w:rPr>
          <w:rFonts w:ascii="Times New Roman" w:hAnsi="Times New Roman"/>
          <w:color w:val="000000"/>
          <w:sz w:val="24"/>
          <w:szCs w:val="24"/>
        </w:rPr>
        <w:t xml:space="preserve"> </w:t>
      </w:r>
      <w:r w:rsidR="00A5089E">
        <w:rPr>
          <w:rFonts w:ascii="Times New Roman" w:hAnsi="Times New Roman"/>
          <w:color w:val="000000"/>
          <w:sz w:val="24"/>
          <w:szCs w:val="24"/>
        </w:rPr>
        <w:t>with coordinating bodies of</w:t>
      </w:r>
      <w:r w:rsidR="007B75CD">
        <w:rPr>
          <w:rFonts w:ascii="Times New Roman" w:hAnsi="Times New Roman"/>
          <w:color w:val="000000"/>
          <w:sz w:val="24"/>
          <w:szCs w:val="24"/>
        </w:rPr>
        <w:t xml:space="preserve"> </w:t>
      </w:r>
      <w:r w:rsidRPr="005C1895" w:rsidR="006E0C1A">
        <w:rPr>
          <w:rFonts w:ascii="Times New Roman" w:hAnsi="Times New Roman"/>
          <w:color w:val="000000"/>
          <w:sz w:val="24"/>
          <w:szCs w:val="24"/>
        </w:rPr>
        <w:t>state PQCs</w:t>
      </w:r>
      <w:r w:rsidR="00BC2FD3">
        <w:rPr>
          <w:rFonts w:ascii="Times New Roman" w:hAnsi="Times New Roman"/>
          <w:color w:val="000000"/>
          <w:sz w:val="24"/>
          <w:szCs w:val="24"/>
        </w:rPr>
        <w:t xml:space="preserve"> or individual hospitals, as needed</w:t>
      </w:r>
      <w:r w:rsidRPr="005C1895" w:rsidR="00B17C9B">
        <w:rPr>
          <w:rFonts w:ascii="Times New Roman" w:hAnsi="Times New Roman"/>
          <w:color w:val="000000"/>
          <w:sz w:val="24"/>
          <w:szCs w:val="24"/>
        </w:rPr>
        <w:t xml:space="preserve"> </w:t>
      </w:r>
      <w:r w:rsidRPr="005C1895" w:rsidR="006E0C1A">
        <w:rPr>
          <w:rFonts w:ascii="Times New Roman" w:hAnsi="Times New Roman"/>
          <w:color w:val="000000"/>
          <w:sz w:val="24"/>
          <w:szCs w:val="24"/>
        </w:rPr>
        <w:t xml:space="preserve">(Appendix </w:t>
      </w:r>
      <w:r w:rsidR="003B3463">
        <w:rPr>
          <w:rFonts w:ascii="Times New Roman" w:hAnsi="Times New Roman"/>
          <w:color w:val="000000"/>
          <w:sz w:val="24"/>
          <w:szCs w:val="24"/>
        </w:rPr>
        <w:t>R</w:t>
      </w:r>
      <w:r w:rsidR="00A5089E">
        <w:rPr>
          <w:rFonts w:ascii="Times New Roman" w:hAnsi="Times New Roman"/>
          <w:color w:val="000000"/>
          <w:sz w:val="24"/>
          <w:szCs w:val="24"/>
        </w:rPr>
        <w:t xml:space="preserve"> includes key provisions for these DUAs; additional provisions may be added at the time of signature</w:t>
      </w:r>
      <w:r w:rsidRPr="005C1895" w:rsidR="006E0C1A">
        <w:rPr>
          <w:rFonts w:ascii="Times New Roman" w:hAnsi="Times New Roman"/>
          <w:color w:val="000000"/>
          <w:sz w:val="24"/>
          <w:szCs w:val="24"/>
        </w:rPr>
        <w:t>)</w:t>
      </w:r>
      <w:r w:rsidRPr="005C1895" w:rsidR="00B93725">
        <w:rPr>
          <w:rFonts w:ascii="Times New Roman" w:hAnsi="Times New Roman"/>
          <w:color w:val="000000"/>
          <w:sz w:val="24"/>
          <w:szCs w:val="24"/>
        </w:rPr>
        <w:t>. The</w:t>
      </w:r>
      <w:r w:rsidRPr="005C1895" w:rsidR="00213031">
        <w:rPr>
          <w:rFonts w:ascii="Times New Roman" w:hAnsi="Times New Roman"/>
          <w:color w:val="000000"/>
          <w:sz w:val="24"/>
          <w:szCs w:val="24"/>
        </w:rPr>
        <w:t xml:space="preserve"> </w:t>
      </w:r>
      <w:r w:rsidRPr="005C1895" w:rsidR="00B93725">
        <w:rPr>
          <w:rFonts w:ascii="Times New Roman" w:hAnsi="Times New Roman"/>
          <w:color w:val="000000"/>
          <w:sz w:val="24"/>
          <w:szCs w:val="24"/>
        </w:rPr>
        <w:t>l</w:t>
      </w:r>
      <w:r w:rsidRPr="005C1895">
        <w:rPr>
          <w:rFonts w:ascii="Times New Roman" w:hAnsi="Times New Roman"/>
          <w:color w:val="000000"/>
          <w:sz w:val="24"/>
          <w:szCs w:val="24"/>
        </w:rPr>
        <w:t xml:space="preserve">ist of </w:t>
      </w:r>
      <w:r w:rsidRPr="005C1895" w:rsidR="00213031">
        <w:rPr>
          <w:rFonts w:ascii="Times New Roman" w:hAnsi="Times New Roman"/>
          <w:color w:val="000000"/>
          <w:sz w:val="24"/>
          <w:szCs w:val="24"/>
        </w:rPr>
        <w:t xml:space="preserve">mandatory </w:t>
      </w:r>
      <w:r w:rsidRPr="005C1895">
        <w:rPr>
          <w:rFonts w:ascii="Times New Roman" w:hAnsi="Times New Roman"/>
          <w:color w:val="000000"/>
          <w:sz w:val="24"/>
          <w:szCs w:val="24"/>
        </w:rPr>
        <w:t xml:space="preserve">measures </w:t>
      </w:r>
      <w:r w:rsidRPr="005C1895" w:rsidR="00213031">
        <w:rPr>
          <w:rFonts w:ascii="Times New Roman" w:hAnsi="Times New Roman"/>
          <w:color w:val="000000"/>
          <w:sz w:val="24"/>
          <w:szCs w:val="24"/>
        </w:rPr>
        <w:t>already reported</w:t>
      </w:r>
      <w:r w:rsidRPr="005C1895">
        <w:rPr>
          <w:rFonts w:ascii="Times New Roman" w:hAnsi="Times New Roman"/>
          <w:color w:val="000000"/>
          <w:sz w:val="24"/>
          <w:szCs w:val="24"/>
        </w:rPr>
        <w:t xml:space="preserve"> </w:t>
      </w:r>
      <w:r w:rsidRPr="005C1895" w:rsidR="00213031">
        <w:rPr>
          <w:rFonts w:ascii="Times New Roman" w:hAnsi="Times New Roman"/>
          <w:color w:val="000000"/>
          <w:sz w:val="24"/>
          <w:szCs w:val="24"/>
        </w:rPr>
        <w:t xml:space="preserve">to the </w:t>
      </w:r>
      <w:r w:rsidRPr="005C1895">
        <w:rPr>
          <w:rFonts w:ascii="Times New Roman" w:hAnsi="Times New Roman"/>
          <w:color w:val="000000"/>
          <w:sz w:val="24"/>
          <w:szCs w:val="24"/>
        </w:rPr>
        <w:t>AIM</w:t>
      </w:r>
      <w:r w:rsidRPr="005C1895" w:rsidR="00213031">
        <w:rPr>
          <w:rFonts w:ascii="Times New Roman" w:hAnsi="Times New Roman"/>
          <w:color w:val="000000"/>
          <w:sz w:val="24"/>
          <w:szCs w:val="24"/>
        </w:rPr>
        <w:t xml:space="preserve"> program on a quarterly basis by all hospitals is included in </w:t>
      </w:r>
      <w:r w:rsidRPr="005C1895" w:rsidR="006E0C1A">
        <w:rPr>
          <w:rFonts w:ascii="Times New Roman" w:hAnsi="Times New Roman"/>
          <w:color w:val="000000"/>
          <w:sz w:val="24"/>
          <w:szCs w:val="24"/>
        </w:rPr>
        <w:t xml:space="preserve">Appendix </w:t>
      </w:r>
      <w:r w:rsidR="008C2CC9">
        <w:rPr>
          <w:rFonts w:ascii="Times New Roman" w:hAnsi="Times New Roman"/>
          <w:color w:val="000000"/>
          <w:sz w:val="24"/>
          <w:szCs w:val="24"/>
        </w:rPr>
        <w:t>S</w:t>
      </w:r>
      <w:r w:rsidR="00B178CD">
        <w:rPr>
          <w:rFonts w:ascii="Times New Roman" w:hAnsi="Times New Roman"/>
          <w:color w:val="000000"/>
          <w:sz w:val="24"/>
          <w:szCs w:val="24"/>
        </w:rPr>
        <w:t>; additional measures may be added and required for reporting by the AIM program</w:t>
      </w:r>
      <w:r w:rsidR="00B17C9B">
        <w:rPr>
          <w:rFonts w:ascii="Times New Roman" w:hAnsi="Times New Roman"/>
          <w:color w:val="000000"/>
          <w:sz w:val="24"/>
          <w:szCs w:val="24"/>
        </w:rPr>
        <w:t xml:space="preserve"> or the state</w:t>
      </w:r>
      <w:r w:rsidR="003F1806">
        <w:rPr>
          <w:rFonts w:ascii="Times New Roman" w:hAnsi="Times New Roman"/>
          <w:color w:val="000000"/>
          <w:sz w:val="24"/>
          <w:szCs w:val="24"/>
        </w:rPr>
        <w:t xml:space="preserve"> </w:t>
      </w:r>
      <w:r w:rsidR="00B17C9B">
        <w:rPr>
          <w:rFonts w:ascii="Times New Roman" w:hAnsi="Times New Roman"/>
          <w:color w:val="000000"/>
          <w:sz w:val="24"/>
          <w:szCs w:val="24"/>
        </w:rPr>
        <w:lastRenderedPageBreak/>
        <w:t>P</w:t>
      </w:r>
      <w:r w:rsidR="003F1806">
        <w:rPr>
          <w:rFonts w:ascii="Times New Roman" w:hAnsi="Times New Roman"/>
          <w:color w:val="000000"/>
          <w:sz w:val="24"/>
          <w:szCs w:val="24"/>
        </w:rPr>
        <w:t>Q</w:t>
      </w:r>
      <w:r w:rsidR="00B17C9B">
        <w:rPr>
          <w:rFonts w:ascii="Times New Roman" w:hAnsi="Times New Roman"/>
          <w:color w:val="000000"/>
          <w:sz w:val="24"/>
          <w:szCs w:val="24"/>
        </w:rPr>
        <w:t>Cs</w:t>
      </w:r>
      <w:r w:rsidR="00B178CD">
        <w:rPr>
          <w:rFonts w:ascii="Times New Roman" w:hAnsi="Times New Roman"/>
          <w:color w:val="000000"/>
          <w:sz w:val="24"/>
          <w:szCs w:val="24"/>
        </w:rPr>
        <w:t xml:space="preserve"> over the course of our project</w:t>
      </w:r>
      <w:r w:rsidRPr="005C1895" w:rsidR="00213031">
        <w:rPr>
          <w:rFonts w:ascii="Times New Roman" w:hAnsi="Times New Roman"/>
          <w:color w:val="000000"/>
          <w:sz w:val="24"/>
          <w:szCs w:val="24"/>
        </w:rPr>
        <w:t xml:space="preserve">. These data are needed </w:t>
      </w:r>
      <w:r w:rsidRPr="005C1895" w:rsidR="006E0C1A">
        <w:rPr>
          <w:rFonts w:ascii="Times New Roman" w:hAnsi="Times New Roman"/>
          <w:color w:val="000000"/>
          <w:sz w:val="24"/>
          <w:szCs w:val="24"/>
        </w:rPr>
        <w:t xml:space="preserve">for the evaluation of the SPPC-II </w:t>
      </w:r>
      <w:r w:rsidRPr="005C1895" w:rsidR="006E0C1A">
        <w:rPr>
          <w:rFonts w:ascii="Times New Roman" w:hAnsi="Times New Roman"/>
          <w:i/>
          <w:color w:val="000000"/>
          <w:sz w:val="24"/>
          <w:szCs w:val="24"/>
        </w:rPr>
        <w:t>Demonstration Project</w:t>
      </w:r>
      <w:r w:rsidRPr="005C1895" w:rsidR="006E0C1A">
        <w:rPr>
          <w:rFonts w:ascii="Times New Roman" w:hAnsi="Times New Roman"/>
          <w:color w:val="000000"/>
          <w:sz w:val="24"/>
          <w:szCs w:val="24"/>
        </w:rPr>
        <w:t xml:space="preserve"> </w:t>
      </w:r>
      <w:r w:rsidRPr="005C1895" w:rsidR="00B93725">
        <w:rPr>
          <w:rFonts w:ascii="Times New Roman" w:hAnsi="Times New Roman"/>
          <w:color w:val="000000"/>
          <w:sz w:val="24"/>
          <w:szCs w:val="24"/>
        </w:rPr>
        <w:t xml:space="preserve">to assess changes in key </w:t>
      </w:r>
      <w:r w:rsidR="00B17C9B">
        <w:rPr>
          <w:rFonts w:ascii="Times New Roman" w:hAnsi="Times New Roman"/>
          <w:color w:val="000000"/>
          <w:sz w:val="24"/>
          <w:szCs w:val="24"/>
        </w:rPr>
        <w:t xml:space="preserve">SPPC-II </w:t>
      </w:r>
      <w:r w:rsidRPr="005C1895" w:rsidR="00B93725">
        <w:rPr>
          <w:rFonts w:ascii="Times New Roman" w:hAnsi="Times New Roman"/>
          <w:color w:val="000000"/>
          <w:sz w:val="24"/>
          <w:szCs w:val="24"/>
        </w:rPr>
        <w:t>program processes and maternal health outcomes, such as severe maternal morbidity, throughout the project.</w:t>
      </w:r>
      <w:r w:rsidRPr="005C1895" w:rsidR="006E0C1A">
        <w:rPr>
          <w:rFonts w:ascii="Times New Roman" w:hAnsi="Times New Roman"/>
          <w:color w:val="000000"/>
          <w:sz w:val="24"/>
          <w:szCs w:val="24"/>
        </w:rPr>
        <w:t xml:space="preserve"> </w:t>
      </w:r>
    </w:p>
    <w:p w:rsidRPr="005C1895" w:rsidR="006E0C1A" w:rsidP="00B744C5" w:rsidRDefault="006E0C1A" w14:paraId="58481463" w14:textId="77777777">
      <w:pPr>
        <w:pStyle w:val="p1"/>
        <w:tabs>
          <w:tab w:val="left" w:pos="450"/>
        </w:tabs>
        <w:ind w:left="820"/>
        <w:rPr>
          <w:rFonts w:ascii="Times New Roman" w:hAnsi="Times New Roman"/>
          <w:color w:val="000000"/>
          <w:sz w:val="24"/>
          <w:szCs w:val="24"/>
        </w:rPr>
      </w:pPr>
    </w:p>
    <w:p w:rsidRPr="005C1895" w:rsidR="00527BBD" w:rsidP="006014DB" w:rsidRDefault="00527BBD" w14:paraId="6043039D" w14:textId="77777777">
      <w:r w:rsidRPr="005C1895">
        <w:t xml:space="preserve">This study is being conducted by AHRQ through its contractor, </w:t>
      </w:r>
      <w:r w:rsidRPr="005C1895" w:rsidR="000973AE">
        <w:t>Johns Hopkins University</w:t>
      </w:r>
      <w:r w:rsidR="005925EA">
        <w:t xml:space="preserve"> (JHU) and the AIM program, JHU’s subcontractor</w:t>
      </w:r>
      <w:r w:rsidRPr="005C1895">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C1895">
        <w:t>299a(</w:t>
      </w:r>
      <w:proofErr w:type="gramEnd"/>
      <w:r w:rsidRPr="005C1895">
        <w:t>a)(1) and (2).</w:t>
      </w:r>
    </w:p>
    <w:p w:rsidRPr="005C1895" w:rsidR="009B633D" w:rsidP="009B633D" w:rsidRDefault="009B633D" w14:paraId="05EE7C39" w14:textId="77777777">
      <w:pPr>
        <w:pStyle w:val="Heading2"/>
        <w:rPr>
          <w:rFonts w:ascii="Times New Roman" w:hAnsi="Times New Roman" w:cs="Times New Roman"/>
          <w:sz w:val="24"/>
          <w:szCs w:val="24"/>
        </w:rPr>
      </w:pPr>
      <w:bookmarkStart w:name="_Toc151782177" w:id="4"/>
      <w:bookmarkStart w:name="_Toc158526217" w:id="5"/>
      <w:r w:rsidRPr="005C1895">
        <w:rPr>
          <w:rFonts w:ascii="Times New Roman" w:hAnsi="Times New Roman" w:cs="Times New Roman"/>
          <w:sz w:val="24"/>
          <w:szCs w:val="24"/>
        </w:rPr>
        <w:t>2. Purpose and Use of Information</w:t>
      </w:r>
      <w:bookmarkEnd w:id="4"/>
      <w:bookmarkEnd w:id="5"/>
    </w:p>
    <w:p w:rsidRPr="005C1895" w:rsidR="00CE5CAE" w:rsidP="00CE5CAE" w:rsidRDefault="00CE5CAE" w14:paraId="2920568C" w14:textId="77777777"/>
    <w:p w:rsidRPr="005C1895" w:rsidR="00D50121" w:rsidP="00781779" w:rsidRDefault="00781779" w14:paraId="58A50968" w14:textId="77777777">
      <w:r w:rsidRPr="005C1895">
        <w:t xml:space="preserve">The information collected for this </w:t>
      </w:r>
      <w:r w:rsidRPr="005C1895" w:rsidR="002707A1">
        <w:rPr>
          <w:rFonts w:eastAsia="Calibri"/>
          <w:i/>
        </w:rPr>
        <w:t>Demonstration Project</w:t>
      </w:r>
      <w:r w:rsidRPr="005C1895">
        <w:t xml:space="preserve"> will be used to evaluate the implem</w:t>
      </w:r>
      <w:r w:rsidRPr="005C1895" w:rsidR="008A34C4">
        <w:t>entation and impact of the SPPC-</w:t>
      </w:r>
      <w:r w:rsidRPr="005C1895">
        <w:t>II program</w:t>
      </w:r>
      <w:r w:rsidRPr="005C1895" w:rsidR="0050090F">
        <w:t xml:space="preserve"> overlaid with AIM safety patient bundles</w:t>
      </w:r>
      <w:r w:rsidRPr="005C1895">
        <w:t xml:space="preserve"> in </w:t>
      </w:r>
      <w:r w:rsidRPr="005C1895" w:rsidR="008A34C4">
        <w:t xml:space="preserve">birthing </w:t>
      </w:r>
      <w:r w:rsidRPr="005C1895" w:rsidR="0026439D">
        <w:t xml:space="preserve">hospitals in </w:t>
      </w:r>
      <w:r w:rsidRPr="005C1895" w:rsidR="008A34C4">
        <w:t>OK and TX</w:t>
      </w:r>
      <w:r w:rsidRPr="005C1895">
        <w:t xml:space="preserve">. More specifically, </w:t>
      </w:r>
      <w:r w:rsidRPr="005C1895" w:rsidR="008A34C4">
        <w:t>the project</w:t>
      </w:r>
      <w:r w:rsidRPr="005C1895">
        <w:t xml:space="preserve"> will</w:t>
      </w:r>
      <w:r w:rsidRPr="005C1895" w:rsidR="008139C3">
        <w:t xml:space="preserve">: </w:t>
      </w:r>
    </w:p>
    <w:p w:rsidRPr="005C1895" w:rsidR="00D50121" w:rsidP="008959EB" w:rsidRDefault="00781779" w14:paraId="4E66BEBC" w14:textId="77777777">
      <w:pPr>
        <w:numPr>
          <w:ilvl w:val="0"/>
          <w:numId w:val="3"/>
        </w:numPr>
      </w:pPr>
      <w:r w:rsidRPr="005C1895">
        <w:t xml:space="preserve">provide information on whether the proposed integration of </w:t>
      </w:r>
      <w:r w:rsidRPr="005C1895" w:rsidR="008A34C4">
        <w:t xml:space="preserve">AIM and SPPC-II </w:t>
      </w:r>
      <w:r w:rsidRPr="005C1895">
        <w:t>programs can be implemented as intended,</w:t>
      </w:r>
      <w:r w:rsidRPr="005C1895" w:rsidR="008139C3">
        <w:t xml:space="preserve"> i.e. </w:t>
      </w:r>
      <w:r w:rsidRPr="005C1895" w:rsidR="008A34C4">
        <w:t>through the use of a two</w:t>
      </w:r>
      <w:r w:rsidRPr="005C1895">
        <w:t>-tier approach for training</w:t>
      </w:r>
      <w:r w:rsidRPr="005C1895" w:rsidR="008139C3">
        <w:t xml:space="preserve"> all clinical </w:t>
      </w:r>
      <w:r w:rsidRPr="005C1895" w:rsidR="008A34C4">
        <w:t>staff in all</w:t>
      </w:r>
      <w:r w:rsidRPr="005C1895" w:rsidR="008139C3">
        <w:t xml:space="preserve"> hospital</w:t>
      </w:r>
      <w:r w:rsidRPr="005C1895" w:rsidR="008A34C4">
        <w:t>s,</w:t>
      </w:r>
      <w:r w:rsidRPr="005C1895">
        <w:t xml:space="preserve"> coordination </w:t>
      </w:r>
      <w:r w:rsidRPr="005C1895" w:rsidR="008139C3">
        <w:t xml:space="preserve">by the AIM Team Lead </w:t>
      </w:r>
      <w:r w:rsidRPr="005C1895">
        <w:t xml:space="preserve">of the rollout of training </w:t>
      </w:r>
      <w:r w:rsidRPr="005C1895" w:rsidR="008139C3">
        <w:t xml:space="preserve">clinical staff using </w:t>
      </w:r>
      <w:r w:rsidRPr="005C1895">
        <w:t>e-modules on teamwork and communication</w:t>
      </w:r>
      <w:r w:rsidRPr="005C1895" w:rsidR="008A34C4">
        <w:t>,</w:t>
      </w:r>
      <w:r w:rsidRPr="005C1895" w:rsidR="008139C3">
        <w:t xml:space="preserve"> facilitation by AIM Team Leads of in-person sessions to practice teamwork and communication tools and strategies; or, what changes are needed to better facilitate program implementation</w:t>
      </w:r>
      <w:r w:rsidRPr="005C1895" w:rsidR="00D50121">
        <w:t>;</w:t>
      </w:r>
    </w:p>
    <w:p w:rsidRPr="005C1895" w:rsidR="00781779" w:rsidP="008959EB" w:rsidRDefault="00D50121" w14:paraId="56B017F9" w14:textId="77777777">
      <w:pPr>
        <w:numPr>
          <w:ilvl w:val="0"/>
          <w:numId w:val="3"/>
        </w:numPr>
      </w:pPr>
      <w:r w:rsidRPr="005C1895">
        <w:t>provide information regarding the impact of the integrated AIM-SPPC II program on use of teamwork and communication tools and strategies, teamwork and communication</w:t>
      </w:r>
      <w:r w:rsidRPr="005C1895" w:rsidR="00123D87">
        <w:t xml:space="preserve"> metrics</w:t>
      </w:r>
      <w:r w:rsidRPr="005C1895">
        <w:t xml:space="preserve">, patient safety culture changes, </w:t>
      </w:r>
      <w:r w:rsidRPr="005C1895" w:rsidR="00123D87">
        <w:t xml:space="preserve">AIM bundle implementation, </w:t>
      </w:r>
      <w:r w:rsidRPr="005C1895">
        <w:t>and key maternal health outcome</w:t>
      </w:r>
      <w:r w:rsidRPr="005C1895" w:rsidR="008A34C4">
        <w:t>s</w:t>
      </w:r>
      <w:r w:rsidRPr="005C1895">
        <w:t>;</w:t>
      </w:r>
      <w:r w:rsidRPr="005C1895" w:rsidR="008A34C4">
        <w:t xml:space="preserve"> and</w:t>
      </w:r>
    </w:p>
    <w:p w:rsidRPr="005C1895" w:rsidR="00D50121" w:rsidP="008959EB" w:rsidRDefault="008A34C4" w14:paraId="3C9497F4" w14:textId="77777777">
      <w:pPr>
        <w:numPr>
          <w:ilvl w:val="0"/>
          <w:numId w:val="3"/>
        </w:numPr>
      </w:pPr>
      <w:proofErr w:type="gramStart"/>
      <w:r w:rsidRPr="005C1895">
        <w:t>p</w:t>
      </w:r>
      <w:r w:rsidRPr="005C1895" w:rsidR="00D50121">
        <w:t>rovide</w:t>
      </w:r>
      <w:proofErr w:type="gramEnd"/>
      <w:r w:rsidRPr="005C1895" w:rsidR="00D50121">
        <w:t xml:space="preserve"> information regarding the sustainability of </w:t>
      </w:r>
      <w:r w:rsidRPr="005C1895">
        <w:t>the</w:t>
      </w:r>
      <w:r w:rsidRPr="005C1895" w:rsidR="00D50121">
        <w:t xml:space="preserve"> integrated AIM-SPPC II program </w:t>
      </w:r>
      <w:r w:rsidR="00DA040D">
        <w:t>18</w:t>
      </w:r>
      <w:r w:rsidRPr="005C1895" w:rsidR="00DA040D">
        <w:t xml:space="preserve"> </w:t>
      </w:r>
      <w:r w:rsidRPr="005C1895" w:rsidR="00D50121">
        <w:t>months after implementation.</w:t>
      </w:r>
    </w:p>
    <w:p w:rsidRPr="005C1895" w:rsidR="00781779" w:rsidP="00781779" w:rsidRDefault="00781779" w14:paraId="2B964615" w14:textId="77777777"/>
    <w:p w:rsidR="00781779" w:rsidP="00F311F8" w:rsidRDefault="00123D87" w14:paraId="3F0B5052" w14:textId="77777777">
      <w:r w:rsidRPr="005C1895">
        <w:t xml:space="preserve">Results from the evaluation of </w:t>
      </w:r>
      <w:r w:rsidRPr="005C1895" w:rsidR="008A34C4">
        <w:t xml:space="preserve">the </w:t>
      </w:r>
      <w:r w:rsidRPr="005C1895">
        <w:t xml:space="preserve">SPPC-II </w:t>
      </w:r>
      <w:r w:rsidRPr="005C1895" w:rsidR="008A34C4">
        <w:rPr>
          <w:rFonts w:eastAsia="Calibri"/>
          <w:i/>
        </w:rPr>
        <w:t>Demonstration Project</w:t>
      </w:r>
      <w:r w:rsidRPr="005C1895" w:rsidR="008A34C4">
        <w:t xml:space="preserve"> </w:t>
      </w:r>
      <w:r w:rsidRPr="005C1895">
        <w:t>will be disseminated widely through conference presentations at professional organization</w:t>
      </w:r>
      <w:r w:rsidRPr="005C1895" w:rsidR="008A34C4">
        <w:t xml:space="preserve"> and state PQC</w:t>
      </w:r>
      <w:r w:rsidRPr="005C1895">
        <w:t xml:space="preserve"> meetings, publication in peer-reviewed journals, and reports published on the AHRQ website.</w:t>
      </w:r>
      <w:r w:rsidRPr="005C1895" w:rsidR="0056507F">
        <w:t xml:space="preserve"> This will facilitate the wide dissemination of lessons learned and potential challenges with implementation of quality improvement initiatives in obstetrics in the US. There is limited knowledge regarding the impact of implementing AIM patient safety bundles, yet </w:t>
      </w:r>
      <w:r w:rsidR="00FE7010">
        <w:t xml:space="preserve">there are </w:t>
      </w:r>
      <w:r w:rsidRPr="005C1895" w:rsidR="0056507F">
        <w:t>promising preliminary results from both SPPC-I and AIM program implementation in California, Illinois and Florida.</w:t>
      </w:r>
      <w:r w:rsidRPr="005C1895" w:rsidR="00BF17FC">
        <w:rPr>
          <w:vertAlign w:val="superscript"/>
        </w:rPr>
        <w:t>13</w:t>
      </w:r>
      <w:r w:rsidRPr="005C1895" w:rsidR="0056507F">
        <w:t xml:space="preserve"> Therefore, </w:t>
      </w:r>
      <w:r w:rsidRPr="005C1895" w:rsidR="00D50121">
        <w:t xml:space="preserve">the information from </w:t>
      </w:r>
      <w:r w:rsidRPr="005C1895" w:rsidR="0056507F">
        <w:t xml:space="preserve">SPPC-II </w:t>
      </w:r>
      <w:r w:rsidRPr="005C1895" w:rsidR="0056507F">
        <w:rPr>
          <w:rFonts w:eastAsia="Calibri"/>
          <w:i/>
        </w:rPr>
        <w:t>Demonstration Project</w:t>
      </w:r>
      <w:r w:rsidRPr="005C1895" w:rsidR="0056507F">
        <w:t xml:space="preserve"> </w:t>
      </w:r>
      <w:r w:rsidRPr="005C1895" w:rsidR="00D50121">
        <w:t xml:space="preserve">will be used by </w:t>
      </w:r>
      <w:r w:rsidRPr="005C1895">
        <w:t xml:space="preserve">two federal agencies, </w:t>
      </w:r>
      <w:r w:rsidRPr="005C1895" w:rsidR="00D50121">
        <w:t>AHRQ and HRSA</w:t>
      </w:r>
      <w:r w:rsidRPr="005C1895">
        <w:t>,</w:t>
      </w:r>
      <w:r w:rsidRPr="005C1895" w:rsidR="00D50121">
        <w:t xml:space="preserve"> as they consider the next steps with</w:t>
      </w:r>
      <w:r w:rsidRPr="005C1895">
        <w:t xml:space="preserve"> and funding for</w:t>
      </w:r>
      <w:r w:rsidRPr="005C1895" w:rsidR="00D50121">
        <w:t xml:space="preserve"> </w:t>
      </w:r>
      <w:r w:rsidRPr="005C1895">
        <w:t xml:space="preserve">the </w:t>
      </w:r>
      <w:r w:rsidRPr="005C1895" w:rsidR="00D50121">
        <w:t>SPPC and AIM programs, respectively.</w:t>
      </w:r>
      <w:r w:rsidRPr="005C1895">
        <w:t xml:space="preserve"> </w:t>
      </w:r>
    </w:p>
    <w:p w:rsidRPr="005C1895" w:rsidR="004C53AE" w:rsidP="00F311F8" w:rsidRDefault="004C53AE" w14:paraId="30153893" w14:textId="77777777"/>
    <w:p w:rsidRPr="005C1895" w:rsidR="00F311F8" w:rsidP="004B3AF4" w:rsidRDefault="009B633D" w14:paraId="392830A0" w14:textId="77777777">
      <w:pPr>
        <w:pStyle w:val="Heading2"/>
        <w:rPr>
          <w:rFonts w:ascii="Times New Roman" w:hAnsi="Times New Roman" w:cs="Times New Roman"/>
          <w:sz w:val="24"/>
          <w:szCs w:val="24"/>
        </w:rPr>
      </w:pPr>
      <w:bookmarkStart w:name="_Toc151782178" w:id="6"/>
      <w:bookmarkStart w:name="_Toc158526218" w:id="7"/>
      <w:r w:rsidRPr="005C1895">
        <w:rPr>
          <w:rFonts w:ascii="Times New Roman" w:hAnsi="Times New Roman" w:cs="Times New Roman"/>
          <w:sz w:val="24"/>
          <w:szCs w:val="24"/>
        </w:rPr>
        <w:t>3. Use of Improved Information Technology</w:t>
      </w:r>
      <w:bookmarkEnd w:id="6"/>
      <w:bookmarkEnd w:id="7"/>
    </w:p>
    <w:p w:rsidRPr="005C1895" w:rsidR="001740C1" w:rsidP="009B633D" w:rsidRDefault="001740C1" w14:paraId="55DE4011" w14:textId="77777777">
      <w:pPr>
        <w:jc w:val="both"/>
        <w:rPr>
          <w:i/>
        </w:rPr>
      </w:pPr>
    </w:p>
    <w:p w:rsidRPr="005C1895" w:rsidR="0015582D" w:rsidP="0015582D" w:rsidRDefault="0015582D" w14:paraId="4A4CB320" w14:textId="77777777">
      <w:r w:rsidRPr="005C1895">
        <w:lastRenderedPageBreak/>
        <w:t>Because training of frontline clinical staff will be online using the training e-modules developed by JHU, tracking of unique staff IDs to assess e-module completion or re-take is automated, reducing on the burden of collecting this information on paper.</w:t>
      </w:r>
    </w:p>
    <w:p w:rsidRPr="005C1895" w:rsidR="0015582D" w:rsidP="0015582D" w:rsidRDefault="0015582D" w14:paraId="7B80C27D" w14:textId="77777777"/>
    <w:p w:rsidRPr="005C1895" w:rsidR="001740C1" w:rsidP="005B67EF" w:rsidRDefault="004A2240" w14:paraId="15B23CE2" w14:textId="77777777">
      <w:pPr>
        <w:rPr>
          <w:vertAlign w:val="superscript"/>
        </w:rPr>
      </w:pPr>
      <w:r w:rsidRPr="005C1895">
        <w:t>All survey</w:t>
      </w:r>
      <w:r w:rsidRPr="005C1895" w:rsidR="001740C1">
        <w:t xml:space="preserve"> respondents will b</w:t>
      </w:r>
      <w:r w:rsidRPr="005C1895">
        <w:t>e given the option to complete the</w:t>
      </w:r>
      <w:r w:rsidRPr="005C1895" w:rsidR="001740C1">
        <w:t xml:space="preserve"> surveys online</w:t>
      </w:r>
      <w:r w:rsidRPr="005C1895" w:rsidR="005B67EF">
        <w:t>, thus permitting the electronic submission of responses</w:t>
      </w:r>
      <w:r w:rsidRPr="005C1895" w:rsidR="00404B79">
        <w:t xml:space="preserve"> and</w:t>
      </w:r>
      <w:r w:rsidRPr="005C1895" w:rsidR="005B67EF">
        <w:t xml:space="preserve"> reducing the burden of data entry</w:t>
      </w:r>
      <w:r w:rsidRPr="005C1895" w:rsidR="008159E5">
        <w:t xml:space="preserve"> and minimizing potential related errors</w:t>
      </w:r>
      <w:r w:rsidRPr="005C1895" w:rsidR="005B67EF">
        <w:t>.</w:t>
      </w:r>
      <w:r w:rsidRPr="005C1895" w:rsidR="00FF46C3">
        <w:t xml:space="preserve"> </w:t>
      </w:r>
      <w:r w:rsidRPr="005C1895" w:rsidR="0015582D">
        <w:t>R</w:t>
      </w:r>
      <w:r w:rsidRPr="005C1895" w:rsidR="00FF46C3">
        <w:t>espondents</w:t>
      </w:r>
      <w:r w:rsidRPr="005C1895" w:rsidR="005B67EF">
        <w:t xml:space="preserve"> </w:t>
      </w:r>
      <w:r w:rsidRPr="005C1895" w:rsidR="0015582D">
        <w:t>are given the option</w:t>
      </w:r>
      <w:r w:rsidRPr="005C1895" w:rsidR="005B67EF">
        <w:t xml:space="preserve"> to complete the surveys on paper</w:t>
      </w:r>
      <w:r w:rsidRPr="005C1895" w:rsidR="0015582D">
        <w:t xml:space="preserve"> as such administration approach</w:t>
      </w:r>
      <w:r w:rsidR="00186D17">
        <w:t>es</w:t>
      </w:r>
      <w:r w:rsidRPr="005C1895" w:rsidR="0015582D">
        <w:t xml:space="preserve"> </w:t>
      </w:r>
      <w:r w:rsidRPr="005C1895" w:rsidR="00FF46C3">
        <w:t>ha</w:t>
      </w:r>
      <w:r w:rsidR="00186D17">
        <w:t>ve</w:t>
      </w:r>
      <w:r w:rsidRPr="005C1895" w:rsidR="00FF46C3">
        <w:t xml:space="preserve"> been shown to yield higher response rates </w:t>
      </w:r>
      <w:r w:rsidRPr="005C1895" w:rsidR="0015582D">
        <w:t>than online completion</w:t>
      </w:r>
      <w:r w:rsidRPr="005C1895" w:rsidR="001666ED">
        <w:t>.</w:t>
      </w:r>
      <w:r w:rsidRPr="005C1895" w:rsidR="0015582D">
        <w:rPr>
          <w:vertAlign w:val="superscript"/>
        </w:rPr>
        <w:t>7</w:t>
      </w:r>
    </w:p>
    <w:p w:rsidRPr="005C1895" w:rsidR="00C92813" w:rsidP="005B67EF" w:rsidRDefault="00C92813" w14:paraId="71D66D29" w14:textId="77777777"/>
    <w:p w:rsidRPr="005C1895" w:rsidR="005B67EF" w:rsidP="00C92813" w:rsidRDefault="0015582D" w14:paraId="4A26AD8A" w14:textId="77777777">
      <w:r w:rsidRPr="005C1895">
        <w:t>Also, d</w:t>
      </w:r>
      <w:r w:rsidRPr="005C1895" w:rsidR="00C92813">
        <w:t xml:space="preserve">ata to be obtained from the </w:t>
      </w:r>
      <w:r w:rsidR="00C12646">
        <w:t xml:space="preserve">SPPC-II </w:t>
      </w:r>
      <w:r w:rsidR="00BC2FD3">
        <w:t>hospitals or state PQCs</w:t>
      </w:r>
      <w:r w:rsidRPr="005C1895" w:rsidR="00BC2FD3">
        <w:t xml:space="preserve"> </w:t>
      </w:r>
      <w:r w:rsidRPr="005C1895" w:rsidR="00C92813">
        <w:t>will be shared electronically</w:t>
      </w:r>
      <w:r w:rsidRPr="005C1895">
        <w:t>, which minimizes burden and avoids data entry errors</w:t>
      </w:r>
      <w:r w:rsidRPr="005C1895" w:rsidR="00C92813">
        <w:t>.</w:t>
      </w:r>
      <w:r w:rsidRPr="005C1895" w:rsidR="00404B79">
        <w:t xml:space="preserve"> </w:t>
      </w:r>
    </w:p>
    <w:p w:rsidRPr="005C1895" w:rsidR="009B633D" w:rsidP="009B633D" w:rsidRDefault="009B633D" w14:paraId="48DC537C" w14:textId="77777777">
      <w:pPr>
        <w:pStyle w:val="Heading2"/>
        <w:rPr>
          <w:rFonts w:ascii="Times New Roman" w:hAnsi="Times New Roman" w:cs="Times New Roman"/>
          <w:sz w:val="24"/>
          <w:szCs w:val="24"/>
        </w:rPr>
      </w:pPr>
      <w:bookmarkStart w:name="_Toc151782179" w:id="8"/>
      <w:bookmarkStart w:name="_Toc158526219" w:id="9"/>
      <w:r w:rsidRPr="005C1895">
        <w:rPr>
          <w:rFonts w:ascii="Times New Roman" w:hAnsi="Times New Roman" w:cs="Times New Roman"/>
          <w:sz w:val="24"/>
          <w:szCs w:val="24"/>
        </w:rPr>
        <w:t>4. Efforts to Identify Duplication</w:t>
      </w:r>
      <w:bookmarkEnd w:id="8"/>
      <w:bookmarkEnd w:id="9"/>
    </w:p>
    <w:p w:rsidRPr="005C1895" w:rsidR="00506DC0" w:rsidP="00506DC0" w:rsidRDefault="00506DC0" w14:paraId="477B9968" w14:textId="77777777"/>
    <w:p w:rsidRPr="005C1895" w:rsidR="007170C4" w:rsidP="007E4359" w:rsidRDefault="000973AE" w14:paraId="6BB9110E" w14:textId="77777777">
      <w:r w:rsidRPr="005C1895">
        <w:t xml:space="preserve">There is no other study that has been conducted to assess the </w:t>
      </w:r>
      <w:r w:rsidRPr="005C1895" w:rsidR="007170C4">
        <w:t>implementation and impact of</w:t>
      </w:r>
      <w:r w:rsidRPr="005C1895">
        <w:t xml:space="preserve"> integrating teamwork and communication trainings with</w:t>
      </w:r>
      <w:r w:rsidRPr="005C1895" w:rsidR="008F7216">
        <w:t>in</w:t>
      </w:r>
      <w:r w:rsidRPr="005C1895">
        <w:t xml:space="preserve"> AIM patient safety bundles. This is known from </w:t>
      </w:r>
      <w:r w:rsidRPr="005C1895" w:rsidR="007170C4">
        <w:t>direct communication</w:t>
      </w:r>
      <w:r w:rsidRPr="005C1895">
        <w:t xml:space="preserve"> with AIM program leadership, which would need to be involved in </w:t>
      </w:r>
      <w:r w:rsidRPr="005C1895" w:rsidR="008F7216">
        <w:t xml:space="preserve">any </w:t>
      </w:r>
      <w:r w:rsidRPr="005C1895">
        <w:t xml:space="preserve">such research efforts. </w:t>
      </w:r>
      <w:r w:rsidRPr="005C1895" w:rsidR="008F7216">
        <w:t xml:space="preserve">However, some </w:t>
      </w:r>
      <w:r w:rsidRPr="005C1895" w:rsidR="007170C4">
        <w:t>of the data</w:t>
      </w:r>
      <w:r w:rsidRPr="005C1895" w:rsidR="008F7216">
        <w:t xml:space="preserve"> of key interest for the evaluation of the SPPC-II </w:t>
      </w:r>
      <w:r w:rsidRPr="005C1895" w:rsidR="008F7216">
        <w:rPr>
          <w:i/>
        </w:rPr>
        <w:t>Demonstration Project</w:t>
      </w:r>
      <w:r w:rsidRPr="005C1895" w:rsidR="007170C4">
        <w:t xml:space="preserve"> (i.e. </w:t>
      </w:r>
      <w:r w:rsidRPr="005C1895" w:rsidR="008F7216">
        <w:t>both process and outcome measures;</w:t>
      </w:r>
      <w:r w:rsidRPr="005C1895" w:rsidR="007170C4">
        <w:t xml:space="preserve"> see Appendix </w:t>
      </w:r>
      <w:r w:rsidR="008C2CC9">
        <w:t>S</w:t>
      </w:r>
      <w:r w:rsidRPr="005C1895" w:rsidR="007170C4">
        <w:t xml:space="preserve">) </w:t>
      </w:r>
      <w:r w:rsidRPr="005C1895" w:rsidR="008F7216">
        <w:t xml:space="preserve">are </w:t>
      </w:r>
      <w:r w:rsidRPr="005C1895" w:rsidR="007170C4">
        <w:t>collected by the AIM program</w:t>
      </w:r>
      <w:r w:rsidRPr="005C1895" w:rsidR="008F7216">
        <w:t>. To avoid duplication in data collection, these data will</w:t>
      </w:r>
      <w:r w:rsidRPr="005C1895" w:rsidR="007170C4">
        <w:t xml:space="preserve"> </w:t>
      </w:r>
      <w:r w:rsidRPr="005C1895" w:rsidR="008F7216">
        <w:t xml:space="preserve">be obtained from the </w:t>
      </w:r>
      <w:r w:rsidR="00C12646">
        <w:t>state PQCs or SPPC-II hospitals</w:t>
      </w:r>
      <w:r w:rsidRPr="005C1895" w:rsidR="008F7216">
        <w:t xml:space="preserve"> under </w:t>
      </w:r>
      <w:r w:rsidRPr="005C1895" w:rsidR="007170C4">
        <w:t>data use agreements</w:t>
      </w:r>
      <w:r w:rsidRPr="005C1895" w:rsidR="008F7216">
        <w:t xml:space="preserve">. </w:t>
      </w:r>
    </w:p>
    <w:p w:rsidRPr="005C1895" w:rsidR="008F7216" w:rsidP="008F7216" w:rsidRDefault="009B633D" w14:paraId="35D043F7" w14:textId="77777777">
      <w:pPr>
        <w:pStyle w:val="Heading2"/>
        <w:rPr>
          <w:rFonts w:ascii="Times New Roman" w:hAnsi="Times New Roman" w:cs="Times New Roman"/>
          <w:sz w:val="24"/>
          <w:szCs w:val="24"/>
        </w:rPr>
      </w:pPr>
      <w:bookmarkStart w:name="_Toc151782180" w:id="10"/>
      <w:bookmarkStart w:name="_Toc158526220" w:id="11"/>
      <w:r w:rsidRPr="005C1895">
        <w:rPr>
          <w:rFonts w:ascii="Times New Roman" w:hAnsi="Times New Roman" w:cs="Times New Roman"/>
          <w:sz w:val="24"/>
          <w:szCs w:val="24"/>
        </w:rPr>
        <w:t>5. Involvement of Small Entities</w:t>
      </w:r>
      <w:bookmarkEnd w:id="10"/>
      <w:bookmarkEnd w:id="11"/>
    </w:p>
    <w:p w:rsidRPr="005C1895" w:rsidR="008F7216" w:rsidP="00BB4F45" w:rsidRDefault="008F7216" w14:paraId="11CC3A91" w14:textId="77777777"/>
    <w:p w:rsidRPr="005C1895" w:rsidR="00BB4F45" w:rsidP="00BB4F45" w:rsidRDefault="00BB4F45" w14:paraId="62EF8C5D" w14:textId="77777777">
      <w:r w:rsidRPr="005C1895">
        <w:t xml:space="preserve">The </w:t>
      </w:r>
      <w:r w:rsidRPr="005C1895" w:rsidR="008F7216">
        <w:t xml:space="preserve">SPPC-II </w:t>
      </w:r>
      <w:r w:rsidRPr="005C1895" w:rsidR="008F7216">
        <w:rPr>
          <w:i/>
        </w:rPr>
        <w:t>Demonstration Project</w:t>
      </w:r>
      <w:r w:rsidRPr="005C1895">
        <w:t xml:space="preserve"> does not involve collection of information from small entities.</w:t>
      </w:r>
    </w:p>
    <w:p w:rsidRPr="005C1895" w:rsidR="009B633D" w:rsidP="009B633D" w:rsidRDefault="009B633D" w14:paraId="1AE8B4C3" w14:textId="77777777">
      <w:pPr>
        <w:pStyle w:val="Heading2"/>
        <w:rPr>
          <w:rFonts w:ascii="Times New Roman" w:hAnsi="Times New Roman" w:cs="Times New Roman"/>
          <w:sz w:val="24"/>
          <w:szCs w:val="24"/>
        </w:rPr>
      </w:pPr>
      <w:bookmarkStart w:name="_Toc151782181" w:id="12"/>
      <w:bookmarkStart w:name="_Toc158526221" w:id="13"/>
      <w:r w:rsidRPr="005C1895">
        <w:rPr>
          <w:rFonts w:ascii="Times New Roman" w:hAnsi="Times New Roman" w:cs="Times New Roman"/>
          <w:sz w:val="24"/>
          <w:szCs w:val="24"/>
        </w:rPr>
        <w:t>6. Consequences if Information Collected Less Frequently</w:t>
      </w:r>
      <w:bookmarkEnd w:id="12"/>
      <w:bookmarkEnd w:id="13"/>
    </w:p>
    <w:p w:rsidRPr="005C1895" w:rsidR="006B7156" w:rsidP="00223CCE" w:rsidRDefault="006B7156" w14:paraId="6C6B62AC" w14:textId="77777777">
      <w:bookmarkStart w:name="_Toc151782182" w:id="14"/>
      <w:bookmarkStart w:name="_Toc158526222" w:id="15"/>
    </w:p>
    <w:p w:rsidRPr="005C1895" w:rsidR="006B7156" w:rsidP="00223CCE" w:rsidRDefault="00715026" w14:paraId="6EB54569" w14:textId="77777777">
      <w:r w:rsidRPr="005C1895">
        <w:rPr>
          <w:color w:val="000000"/>
        </w:rPr>
        <w:t>AIM Team Lead s</w:t>
      </w:r>
      <w:r w:rsidRPr="005C1895" w:rsidR="006B7156">
        <w:rPr>
          <w:color w:val="000000"/>
        </w:rPr>
        <w:t>elf-administered baseline survey</w:t>
      </w:r>
      <w:r w:rsidRPr="005C1895" w:rsidR="004B6C3E">
        <w:rPr>
          <w:color w:val="000000"/>
        </w:rPr>
        <w:t>s</w:t>
      </w:r>
      <w:r w:rsidRPr="005C1895">
        <w:rPr>
          <w:color w:val="000000"/>
        </w:rPr>
        <w:t xml:space="preserve"> </w:t>
      </w:r>
      <w:r w:rsidRPr="005C1895" w:rsidR="004B6C3E">
        <w:rPr>
          <w:color w:val="000000"/>
        </w:rPr>
        <w:t>are</w:t>
      </w:r>
      <w:r w:rsidRPr="005C1895" w:rsidR="006B7156">
        <w:rPr>
          <w:color w:val="000000"/>
        </w:rPr>
        <w:t xml:space="preserve"> a one-time data collection.</w:t>
      </w:r>
    </w:p>
    <w:p w:rsidRPr="005C1895" w:rsidR="006B7156" w:rsidP="00223CCE" w:rsidRDefault="006B7156" w14:paraId="3B34C0C2" w14:textId="77777777"/>
    <w:p w:rsidRPr="005C1895" w:rsidR="006B7156" w:rsidP="00223CCE" w:rsidRDefault="00715026" w14:paraId="71D3B6CE" w14:textId="77777777">
      <w:r w:rsidRPr="005C1895">
        <w:rPr>
          <w:color w:val="000000"/>
        </w:rPr>
        <w:t>Clinical staff s</w:t>
      </w:r>
      <w:r w:rsidRPr="005C1895" w:rsidR="006B7156">
        <w:rPr>
          <w:color w:val="000000"/>
        </w:rPr>
        <w:t>e</w:t>
      </w:r>
      <w:r w:rsidRPr="005C1895">
        <w:rPr>
          <w:color w:val="000000"/>
        </w:rPr>
        <w:t>lf-administered baseline survey</w:t>
      </w:r>
      <w:r w:rsidRPr="005C1895" w:rsidR="004B6C3E">
        <w:rPr>
          <w:color w:val="000000"/>
        </w:rPr>
        <w:t>s</w:t>
      </w:r>
      <w:r w:rsidRPr="005C1895" w:rsidR="006B7156">
        <w:rPr>
          <w:color w:val="000000"/>
        </w:rPr>
        <w:t xml:space="preserve"> </w:t>
      </w:r>
      <w:r w:rsidRPr="005C1895" w:rsidR="004B6C3E">
        <w:rPr>
          <w:color w:val="000000"/>
        </w:rPr>
        <w:t>are</w:t>
      </w:r>
      <w:r w:rsidRPr="005C1895" w:rsidR="006B7156">
        <w:rPr>
          <w:color w:val="000000"/>
        </w:rPr>
        <w:t xml:space="preserve"> a one-time data collection.</w:t>
      </w:r>
    </w:p>
    <w:p w:rsidRPr="005C1895" w:rsidR="006B7156" w:rsidP="00223CCE" w:rsidRDefault="006B7156" w14:paraId="6218DEFE" w14:textId="77777777"/>
    <w:p w:rsidRPr="005C1895" w:rsidR="006B7156" w:rsidP="00223CCE" w:rsidRDefault="006B7156" w14:paraId="6F2F8E50" w14:textId="1CEE5D15">
      <w:pPr>
        <w:rPr>
          <w:color w:val="000000"/>
        </w:rPr>
      </w:pPr>
      <w:r w:rsidRPr="007141A0">
        <w:rPr>
          <w:color w:val="000000"/>
          <w:highlight w:val="yellow"/>
        </w:rPr>
        <w:t>Qualitative</w:t>
      </w:r>
      <w:r w:rsidRPr="007141A0" w:rsidR="00715026">
        <w:rPr>
          <w:color w:val="000000"/>
          <w:highlight w:val="yellow"/>
        </w:rPr>
        <w:t>,</w:t>
      </w:r>
      <w:r w:rsidRPr="007141A0">
        <w:rPr>
          <w:color w:val="000000"/>
          <w:highlight w:val="yellow"/>
        </w:rPr>
        <w:t xml:space="preserve"> semi-structured interviews with AIM Team Leads </w:t>
      </w:r>
      <w:r w:rsidRPr="007141A0" w:rsidR="00AC407F">
        <w:rPr>
          <w:color w:val="000000"/>
          <w:highlight w:val="yellow"/>
        </w:rPr>
        <w:t xml:space="preserve">and frontline staff will be conducted in the </w:t>
      </w:r>
      <w:r w:rsidRPr="007141A0" w:rsidR="00291EE9">
        <w:rPr>
          <w:color w:val="000000"/>
          <w:highlight w:val="yellow"/>
        </w:rPr>
        <w:t>summer/fall</w:t>
      </w:r>
      <w:r w:rsidRPr="007141A0" w:rsidR="00AC407F">
        <w:rPr>
          <w:color w:val="000000"/>
          <w:highlight w:val="yellow"/>
        </w:rPr>
        <w:t xml:space="preserve"> of 2021</w:t>
      </w:r>
      <w:r w:rsidRPr="007141A0">
        <w:rPr>
          <w:color w:val="000000"/>
          <w:highlight w:val="yellow"/>
        </w:rPr>
        <w:t>.</w:t>
      </w:r>
      <w:r w:rsidRPr="007141A0" w:rsidR="00AC407F">
        <w:rPr>
          <w:color w:val="000000"/>
          <w:highlight w:val="yellow"/>
        </w:rPr>
        <w:t xml:space="preserve"> Focus group discussions will be conducted about 12 months later in the </w:t>
      </w:r>
      <w:r w:rsidRPr="007141A0" w:rsidR="00291EE9">
        <w:rPr>
          <w:color w:val="000000"/>
          <w:highlight w:val="yellow"/>
        </w:rPr>
        <w:t>summer/fall</w:t>
      </w:r>
      <w:r w:rsidRPr="007141A0" w:rsidR="00B968E4">
        <w:rPr>
          <w:color w:val="000000"/>
          <w:highlight w:val="yellow"/>
        </w:rPr>
        <w:t xml:space="preserve"> </w:t>
      </w:r>
      <w:r w:rsidRPr="007141A0" w:rsidR="00AC407F">
        <w:rPr>
          <w:color w:val="000000"/>
          <w:highlight w:val="yellow"/>
        </w:rPr>
        <w:t>of 2022 in the same hospitals</w:t>
      </w:r>
      <w:r w:rsidRPr="007141A0" w:rsidR="002133EA">
        <w:rPr>
          <w:color w:val="000000"/>
          <w:highlight w:val="yellow"/>
        </w:rPr>
        <w:t xml:space="preserve"> to be able to assess program sustainability aspects</w:t>
      </w:r>
      <w:r w:rsidRPr="007141A0" w:rsidR="00AC407F">
        <w:rPr>
          <w:color w:val="000000"/>
          <w:highlight w:val="yellow"/>
        </w:rPr>
        <w:t>.</w:t>
      </w:r>
    </w:p>
    <w:p w:rsidRPr="005C1895" w:rsidR="001C5BAC" w:rsidP="00223CCE" w:rsidRDefault="001C5BAC" w14:paraId="0E737D50" w14:textId="77777777">
      <w:pPr>
        <w:rPr>
          <w:color w:val="000000"/>
        </w:rPr>
      </w:pPr>
    </w:p>
    <w:p w:rsidRPr="005C1895" w:rsidR="001C5BAC" w:rsidP="001C5BAC" w:rsidRDefault="004B6C3E" w14:paraId="7F9B2F6A" w14:textId="77777777">
      <w:pPr>
        <w:rPr>
          <w:color w:val="000000"/>
        </w:rPr>
      </w:pPr>
      <w:r w:rsidRPr="005C1895">
        <w:rPr>
          <w:color w:val="000000"/>
        </w:rPr>
        <w:t>Clinical staff s</w:t>
      </w:r>
      <w:r w:rsidRPr="005C1895" w:rsidR="006B7156">
        <w:rPr>
          <w:color w:val="000000"/>
        </w:rPr>
        <w:t>elf-administered implementation survey</w:t>
      </w:r>
      <w:r w:rsidRPr="005C1895">
        <w:rPr>
          <w:color w:val="000000"/>
        </w:rPr>
        <w:t>s will be conducted three times</w:t>
      </w:r>
      <w:r w:rsidRPr="005C1895" w:rsidR="006B7156">
        <w:rPr>
          <w:color w:val="000000"/>
        </w:rPr>
        <w:t>.</w:t>
      </w:r>
      <w:r w:rsidRPr="005C1895" w:rsidR="001C5BAC">
        <w:rPr>
          <w:color w:val="000000"/>
        </w:rPr>
        <w:t xml:space="preserve"> Given that most of these surveys are expected to be completed online, the burden involved by this data collection frequency is reduced considerably. </w:t>
      </w:r>
      <w:r w:rsidRPr="00EA7DDB" w:rsidR="006B7156">
        <w:rPr>
          <w:color w:val="000000"/>
        </w:rPr>
        <w:t>T</w:t>
      </w:r>
      <w:r w:rsidRPr="00EA7DDB" w:rsidR="001C5BAC">
        <w:rPr>
          <w:color w:val="000000"/>
        </w:rPr>
        <w:t>he t</w:t>
      </w:r>
      <w:r w:rsidRPr="00EA7DDB" w:rsidR="006B7156">
        <w:rPr>
          <w:color w:val="000000"/>
        </w:rPr>
        <w:t>iming</w:t>
      </w:r>
      <w:r w:rsidRPr="00EA7DDB">
        <w:rPr>
          <w:color w:val="000000"/>
        </w:rPr>
        <w:t xml:space="preserve"> proposed</w:t>
      </w:r>
      <w:r w:rsidRPr="00EA7DDB" w:rsidR="001C5BAC">
        <w:rPr>
          <w:color w:val="000000"/>
        </w:rPr>
        <w:t xml:space="preserve"> for these surveys</w:t>
      </w:r>
      <w:r w:rsidRPr="00EA7DDB" w:rsidR="006B7156">
        <w:rPr>
          <w:color w:val="000000"/>
        </w:rPr>
        <w:t xml:space="preserve"> is considered </w:t>
      </w:r>
      <w:r w:rsidRPr="00EA7DDB" w:rsidR="00223CCE">
        <w:t xml:space="preserve">minimum, yet sufficient, </w:t>
      </w:r>
      <w:r w:rsidRPr="00EA7DDB" w:rsidR="006B7156">
        <w:rPr>
          <w:color w:val="000000"/>
        </w:rPr>
        <w:t xml:space="preserve">to assess all: </w:t>
      </w:r>
      <w:r w:rsidRPr="00EA7DDB">
        <w:rPr>
          <w:color w:val="000000"/>
        </w:rPr>
        <w:t xml:space="preserve">a) </w:t>
      </w:r>
      <w:r w:rsidRPr="00EA7DDB">
        <w:rPr>
          <w:color w:val="000000"/>
          <w:u w:val="single"/>
        </w:rPr>
        <w:t>early</w:t>
      </w:r>
      <w:r w:rsidRPr="00EA7DDB">
        <w:rPr>
          <w:color w:val="000000"/>
        </w:rPr>
        <w:t xml:space="preserve"> adoption and results of the training (6-month survey); b) adoption and results of the training at the </w:t>
      </w:r>
      <w:r w:rsidRPr="00EA7DDB">
        <w:rPr>
          <w:color w:val="000000"/>
          <w:u w:val="single"/>
        </w:rPr>
        <w:t>time when unit culture changes are expected</w:t>
      </w:r>
      <w:r w:rsidRPr="00EA7DDB">
        <w:rPr>
          <w:color w:val="000000"/>
        </w:rPr>
        <w:t xml:space="preserve"> per available implementation research</w:t>
      </w:r>
      <w:r w:rsidRPr="00EA7DDB">
        <w:rPr>
          <w:color w:val="000000"/>
          <w:vertAlign w:val="superscript"/>
        </w:rPr>
        <w:t>8</w:t>
      </w:r>
      <w:r w:rsidRPr="00EA7DDB" w:rsidR="001C5BAC">
        <w:rPr>
          <w:color w:val="000000"/>
          <w:vertAlign w:val="superscript"/>
        </w:rPr>
        <w:t>-12</w:t>
      </w:r>
      <w:r w:rsidRPr="00EA7DDB">
        <w:rPr>
          <w:color w:val="000000"/>
        </w:rPr>
        <w:t xml:space="preserve"> (1</w:t>
      </w:r>
      <w:r w:rsidRPr="00EA7DDB" w:rsidR="00C12646">
        <w:rPr>
          <w:color w:val="000000"/>
        </w:rPr>
        <w:t>2</w:t>
      </w:r>
      <w:r w:rsidRPr="00EA7DDB">
        <w:rPr>
          <w:color w:val="000000"/>
        </w:rPr>
        <w:t>-month survey); and, c) medium-term program sustainability (</w:t>
      </w:r>
      <w:r w:rsidRPr="00EA7DDB" w:rsidR="00C12646">
        <w:rPr>
          <w:color w:val="000000"/>
        </w:rPr>
        <w:t>18</w:t>
      </w:r>
      <w:r w:rsidRPr="00EA7DDB">
        <w:rPr>
          <w:color w:val="000000"/>
        </w:rPr>
        <w:t>-month survey).</w:t>
      </w:r>
      <w:r w:rsidRPr="00EA7DDB" w:rsidR="002D6A66">
        <w:rPr>
          <w:color w:val="000000"/>
        </w:rPr>
        <w:t xml:space="preserve"> </w:t>
      </w:r>
      <w:r w:rsidRPr="00EA7DDB" w:rsidR="00C92813">
        <w:rPr>
          <w:color w:val="000000"/>
        </w:rPr>
        <w:t xml:space="preserve">If </w:t>
      </w:r>
      <w:r w:rsidRPr="00EA7DDB" w:rsidR="00C92813">
        <w:rPr>
          <w:color w:val="000000"/>
        </w:rPr>
        <w:lastRenderedPageBreak/>
        <w:t xml:space="preserve">conducted less frequently, </w:t>
      </w:r>
      <w:r w:rsidRPr="00EA7DDB" w:rsidR="00C12646">
        <w:rPr>
          <w:color w:val="000000"/>
        </w:rPr>
        <w:t xml:space="preserve">in light of the covid-19 pandemic, </w:t>
      </w:r>
      <w:r w:rsidRPr="00EA7DDB" w:rsidR="001C5BAC">
        <w:rPr>
          <w:color w:val="000000"/>
        </w:rPr>
        <w:t>some of this information will be missing, leading to a gap in our knowledge and learning from this project</w:t>
      </w:r>
      <w:r w:rsidRPr="00EA7DDB" w:rsidR="00C92813">
        <w:rPr>
          <w:color w:val="000000"/>
        </w:rPr>
        <w:t>.</w:t>
      </w:r>
      <w:r w:rsidRPr="005C1895" w:rsidR="00C92813">
        <w:rPr>
          <w:color w:val="000000"/>
        </w:rPr>
        <w:t xml:space="preserve"> </w:t>
      </w:r>
    </w:p>
    <w:p w:rsidRPr="005C1895" w:rsidR="006B7156" w:rsidP="006B7156" w:rsidRDefault="006B7156" w14:paraId="7F76EF0A" w14:textId="77777777">
      <w:pPr>
        <w:rPr>
          <w:color w:val="000000"/>
        </w:rPr>
      </w:pPr>
    </w:p>
    <w:p w:rsidRPr="005C1895" w:rsidR="006B7156" w:rsidP="00C92813" w:rsidRDefault="006B7156" w14:paraId="10BD4474" w14:textId="77777777">
      <w:pPr>
        <w:rPr>
          <w:color w:val="000000"/>
        </w:rPr>
      </w:pPr>
      <w:r w:rsidRPr="005C1895">
        <w:rPr>
          <w:color w:val="000000"/>
        </w:rPr>
        <w:t xml:space="preserve">AIM program data will be obtained on the same schedule </w:t>
      </w:r>
      <w:r w:rsidRPr="005C1895" w:rsidR="002D6A66">
        <w:rPr>
          <w:color w:val="000000"/>
        </w:rPr>
        <w:t>by which they are</w:t>
      </w:r>
      <w:r w:rsidRPr="005C1895">
        <w:rPr>
          <w:color w:val="000000"/>
        </w:rPr>
        <w:t xml:space="preserve"> reported by hospitals, i.e. quarterly basis. The burden associated with </w:t>
      </w:r>
      <w:r w:rsidRPr="005C1895" w:rsidR="00C92813">
        <w:rPr>
          <w:color w:val="000000"/>
        </w:rPr>
        <w:t>the electronic sharing of</w:t>
      </w:r>
      <w:r w:rsidRPr="005C1895">
        <w:rPr>
          <w:color w:val="000000"/>
        </w:rPr>
        <w:t xml:space="preserve"> these data is minimal</w:t>
      </w:r>
      <w:r w:rsidRPr="005C1895" w:rsidR="00C92813">
        <w:rPr>
          <w:color w:val="000000"/>
        </w:rPr>
        <w:t>.</w:t>
      </w:r>
    </w:p>
    <w:p w:rsidRPr="005C1895" w:rsidR="009B633D" w:rsidP="009B633D" w:rsidRDefault="009B633D" w14:paraId="47F7C652" w14:textId="77777777">
      <w:pPr>
        <w:pStyle w:val="Heading2"/>
        <w:rPr>
          <w:rFonts w:ascii="Times New Roman" w:hAnsi="Times New Roman" w:cs="Times New Roman"/>
          <w:sz w:val="24"/>
          <w:szCs w:val="24"/>
        </w:rPr>
      </w:pPr>
      <w:r w:rsidRPr="005C1895">
        <w:rPr>
          <w:rFonts w:ascii="Times New Roman" w:hAnsi="Times New Roman" w:cs="Times New Roman"/>
          <w:sz w:val="24"/>
          <w:szCs w:val="24"/>
        </w:rPr>
        <w:t>7. Special Circumstances</w:t>
      </w:r>
      <w:bookmarkEnd w:id="14"/>
      <w:bookmarkEnd w:id="15"/>
    </w:p>
    <w:p w:rsidRPr="005C1895" w:rsidR="009B633D" w:rsidP="009B633D" w:rsidRDefault="009B633D" w14:paraId="078009C4" w14:textId="77777777">
      <w:pPr>
        <w:spacing w:before="120"/>
      </w:pPr>
      <w:r w:rsidRPr="005C1895">
        <w:t>This request is consistent with the general information collection guidelines of 5 CFR 1320.5(d</w:t>
      </w:r>
      <w:proofErr w:type="gramStart"/>
      <w:r w:rsidRPr="005C1895">
        <w:t>)(</w:t>
      </w:r>
      <w:proofErr w:type="gramEnd"/>
      <w:r w:rsidRPr="005C1895">
        <w:t>2).  No special circumstances apply.</w:t>
      </w:r>
    </w:p>
    <w:p w:rsidRPr="005C1895" w:rsidR="004E3A1B" w:rsidP="004E3A1B" w:rsidRDefault="009B633D" w14:paraId="56034CBD" w14:textId="77777777">
      <w:pPr>
        <w:pStyle w:val="Heading2"/>
        <w:rPr>
          <w:rFonts w:ascii="Times New Roman" w:hAnsi="Times New Roman" w:cs="Times New Roman"/>
          <w:sz w:val="24"/>
          <w:szCs w:val="24"/>
        </w:rPr>
      </w:pPr>
      <w:bookmarkStart w:name="_Toc151782183" w:id="16"/>
      <w:bookmarkStart w:name="_Toc158526223" w:id="17"/>
      <w:r w:rsidRPr="005C1895">
        <w:rPr>
          <w:rFonts w:ascii="Times New Roman" w:hAnsi="Times New Roman" w:cs="Times New Roman"/>
          <w:sz w:val="24"/>
          <w:szCs w:val="24"/>
        </w:rPr>
        <w:t xml:space="preserve">8. </w:t>
      </w:r>
      <w:bookmarkEnd w:id="16"/>
      <w:bookmarkEnd w:id="17"/>
      <w:r w:rsidRPr="005C1895" w:rsidR="004E3A1B">
        <w:rPr>
          <w:rFonts w:ascii="Times New Roman" w:hAnsi="Times New Roman" w:cs="Times New Roman"/>
          <w:sz w:val="24"/>
          <w:szCs w:val="24"/>
        </w:rPr>
        <w:t>Federal Register Notice and Outside Consultations</w:t>
      </w:r>
    </w:p>
    <w:p w:rsidRPr="005C1895" w:rsidR="004E3A1B" w:rsidP="004E3A1B" w:rsidRDefault="004E3A1B" w14:paraId="57A3D2C3" w14:textId="77777777"/>
    <w:p w:rsidRPr="0031491E" w:rsidR="00131443" w:rsidP="004E3A1B" w:rsidRDefault="004E3A1B" w14:paraId="42D97674" w14:textId="77777777">
      <w:pPr>
        <w:rPr>
          <w:b/>
          <w:bCs/>
          <w:i/>
          <w:iCs/>
        </w:rPr>
      </w:pPr>
      <w:proofErr w:type="gramStart"/>
      <w:r w:rsidRPr="0031491E">
        <w:rPr>
          <w:b/>
          <w:i/>
        </w:rPr>
        <w:t>8.a</w:t>
      </w:r>
      <w:proofErr w:type="gramEnd"/>
      <w:r w:rsidRPr="0031491E">
        <w:rPr>
          <w:b/>
          <w:i/>
        </w:rPr>
        <w:t>.</w:t>
      </w:r>
      <w:r w:rsidRPr="0031491E">
        <w:t xml:space="preserve"> </w:t>
      </w:r>
      <w:r w:rsidRPr="0031491E">
        <w:rPr>
          <w:b/>
          <w:bCs/>
          <w:i/>
          <w:iCs/>
        </w:rPr>
        <w:t>Federal Register Notice</w:t>
      </w:r>
    </w:p>
    <w:p w:rsidRPr="00EA42F0" w:rsidR="0031491E" w:rsidP="0031491E" w:rsidRDefault="0031491E" w14:paraId="2BA22465" w14:textId="24FF8D68">
      <w:r w:rsidRPr="001C320E">
        <w:t xml:space="preserve">As required by 5 CFR 1320.8(d), </w:t>
      </w:r>
      <w:r>
        <w:t xml:space="preserve">a </w:t>
      </w:r>
      <w:r w:rsidRPr="001C320E">
        <w:t xml:space="preserve">notice was published in the Federal Register </w:t>
      </w:r>
      <w:r>
        <w:t xml:space="preserve">        </w:t>
      </w:r>
      <w:r w:rsidRPr="001C320E">
        <w:t xml:space="preserve"> </w:t>
      </w:r>
      <w:r>
        <w:t xml:space="preserve"> </w:t>
      </w:r>
      <w:r w:rsidR="002D7BD4">
        <w:t>March 5</w:t>
      </w:r>
      <w:r w:rsidRPr="002D7BD4" w:rsidR="002D7BD4">
        <w:rPr>
          <w:vertAlign w:val="superscript"/>
        </w:rPr>
        <w:t>th</w:t>
      </w:r>
      <w:r w:rsidR="002D7BD4">
        <w:t xml:space="preserve">, </w:t>
      </w:r>
      <w:r w:rsidR="00490403">
        <w:t xml:space="preserve">2021 </w:t>
      </w:r>
      <w:r w:rsidR="00871086">
        <w:t>on</w:t>
      </w:r>
      <w:r>
        <w:t xml:space="preserve"> page </w:t>
      </w:r>
      <w:r w:rsidR="00490403">
        <w:t>12944</w:t>
      </w:r>
      <w:r>
        <w:t xml:space="preserve"> </w:t>
      </w:r>
      <w:r w:rsidRPr="001C320E">
        <w:t xml:space="preserve">for 60 days (see Attachment </w:t>
      </w:r>
      <w:r w:rsidRPr="001C320E">
        <w:rPr>
          <w:i/>
        </w:rPr>
        <w:t>X</w:t>
      </w:r>
      <w:r w:rsidR="00366160">
        <w:rPr>
          <w:i/>
        </w:rPr>
        <w:t>1</w:t>
      </w:r>
      <w:r w:rsidRPr="001C320E">
        <w:t xml:space="preserve">).  </w:t>
      </w:r>
      <w:r>
        <w:t xml:space="preserve">AHRQ did not receive comments on this notice.  </w:t>
      </w:r>
    </w:p>
    <w:p w:rsidRPr="005C1895" w:rsidR="00B42F77" w:rsidP="003F3B10" w:rsidRDefault="004E3A1B" w14:paraId="065B11E2" w14:textId="77777777">
      <w:pPr>
        <w:pStyle w:val="Heading2"/>
        <w:rPr>
          <w:rFonts w:ascii="Times New Roman" w:hAnsi="Times New Roman" w:cs="Times New Roman"/>
          <w:sz w:val="24"/>
          <w:szCs w:val="24"/>
        </w:rPr>
      </w:pPr>
      <w:proofErr w:type="gramStart"/>
      <w:r w:rsidRPr="005C1895">
        <w:rPr>
          <w:rFonts w:ascii="Times New Roman" w:hAnsi="Times New Roman" w:cs="Times New Roman"/>
          <w:sz w:val="24"/>
          <w:szCs w:val="24"/>
        </w:rPr>
        <w:t>8.b</w:t>
      </w:r>
      <w:proofErr w:type="gramEnd"/>
      <w:r w:rsidRPr="005C1895">
        <w:rPr>
          <w:rFonts w:ascii="Times New Roman" w:hAnsi="Times New Roman" w:cs="Times New Roman"/>
          <w:sz w:val="24"/>
          <w:szCs w:val="24"/>
        </w:rPr>
        <w:t>.  Outside Consultations</w:t>
      </w:r>
      <w:bookmarkStart w:name="_Toc457285506" w:id="18"/>
      <w:bookmarkStart w:name="_Toc58725294" w:id="19"/>
      <w:bookmarkStart w:name="_Toc151782184" w:id="20"/>
      <w:bookmarkStart w:name="_Toc158526224" w:id="21"/>
      <w:bookmarkStart w:name="_GoBack" w:id="22"/>
      <w:bookmarkEnd w:id="22"/>
    </w:p>
    <w:p w:rsidRPr="005C1895" w:rsidR="0058455F" w:rsidP="00B42F77" w:rsidRDefault="00D3533B" w14:paraId="6EC9C0BF" w14:textId="77777777">
      <w:pPr>
        <w:spacing w:before="100" w:beforeAutospacing="1" w:after="100" w:afterAutospacing="1"/>
      </w:pPr>
      <w:r w:rsidRPr="005C1895">
        <w:t xml:space="preserve">During the </w:t>
      </w:r>
      <w:r w:rsidRPr="005C1895">
        <w:rPr>
          <w:i/>
        </w:rPr>
        <w:t>Planning Phase</w:t>
      </w:r>
      <w:r w:rsidRPr="005C1895">
        <w:t xml:space="preserve"> of SPPC-II, AHRQ and </w:t>
      </w:r>
      <w:r w:rsidRPr="005C1895" w:rsidR="009656F6">
        <w:t xml:space="preserve">JHU </w:t>
      </w:r>
      <w:r w:rsidRPr="005C1895">
        <w:t xml:space="preserve">consulted </w:t>
      </w:r>
      <w:r w:rsidRPr="005C1895" w:rsidR="006963EC">
        <w:t xml:space="preserve">regularly </w:t>
      </w:r>
      <w:r w:rsidRPr="005C1895">
        <w:t xml:space="preserve">with AIM program leadership and HRSA to obtain </w:t>
      </w:r>
      <w:r w:rsidRPr="005C1895" w:rsidR="009656F6">
        <w:t>information about</w:t>
      </w:r>
      <w:r w:rsidRPr="005C1895">
        <w:t xml:space="preserve"> the avail</w:t>
      </w:r>
      <w:r w:rsidRPr="005C1895" w:rsidR="009656F6">
        <w:t>ability of data relevant to this</w:t>
      </w:r>
      <w:r w:rsidRPr="005C1895">
        <w:t xml:space="preserve"> </w:t>
      </w:r>
      <w:r w:rsidRPr="005C1895">
        <w:rPr>
          <w:i/>
        </w:rPr>
        <w:t>Demonstration Project</w:t>
      </w:r>
      <w:r w:rsidRPr="005C1895">
        <w:t>, the proposed data collection strategies</w:t>
      </w:r>
      <w:r w:rsidRPr="005C1895" w:rsidR="009656F6">
        <w:t xml:space="preserve">, </w:t>
      </w:r>
      <w:r w:rsidRPr="005C1895">
        <w:t xml:space="preserve">the frequency of data collection, specific data elements to be obtained </w:t>
      </w:r>
      <w:r w:rsidRPr="005C1895" w:rsidR="00B42F77">
        <w:t>through the proposed data collection</w:t>
      </w:r>
      <w:r w:rsidRPr="005C1895">
        <w:t>. Of note, the AIM program is a subcontractor of JHU for th</w:t>
      </w:r>
      <w:r w:rsidRPr="005C1895" w:rsidR="009656F6">
        <w:t>e</w:t>
      </w:r>
      <w:r w:rsidRPr="005C1895">
        <w:t xml:space="preserve"> </w:t>
      </w:r>
      <w:r w:rsidRPr="005C1895">
        <w:rPr>
          <w:i/>
        </w:rPr>
        <w:t>Demonstration Project</w:t>
      </w:r>
      <w:r w:rsidR="00186D17">
        <w:rPr>
          <w:i/>
        </w:rPr>
        <w:t xml:space="preserve"> of </w:t>
      </w:r>
      <w:r w:rsidR="00186D17">
        <w:t>SPPC-II</w:t>
      </w:r>
      <w:r w:rsidRPr="005C1895">
        <w:t>,</w:t>
      </w:r>
      <w:r w:rsidR="00186D17">
        <w:t xml:space="preserve"> a</w:t>
      </w:r>
      <w:r w:rsidRPr="005C1895">
        <w:t xml:space="preserve"> </w:t>
      </w:r>
      <w:r w:rsidRPr="005C1895" w:rsidR="00B42F77">
        <w:t xml:space="preserve">relationship that </w:t>
      </w:r>
      <w:r w:rsidRPr="005C1895">
        <w:t>involv</w:t>
      </w:r>
      <w:r w:rsidRPr="005C1895" w:rsidR="00B42F77">
        <w:t>es</w:t>
      </w:r>
      <w:r w:rsidRPr="005C1895">
        <w:t xml:space="preserve"> weekly meeting</w:t>
      </w:r>
      <w:r w:rsidRPr="005C1895" w:rsidR="00B42F77">
        <w:t>s</w:t>
      </w:r>
      <w:r w:rsidRPr="005C1895">
        <w:t xml:space="preserve"> between AIM and JHU, and monthly meetings with </w:t>
      </w:r>
      <w:r w:rsidRPr="005C1895" w:rsidR="00B42F77">
        <w:t>all AIM, JHU, AHRQ and</w:t>
      </w:r>
      <w:r w:rsidRPr="003B3463" w:rsidR="00B42F77">
        <w:t xml:space="preserve">, </w:t>
      </w:r>
      <w:r w:rsidRPr="003B3463">
        <w:t>HRSA</w:t>
      </w:r>
      <w:r w:rsidRPr="003B3463" w:rsidR="009656F6">
        <w:t xml:space="preserve"> representatives</w:t>
      </w:r>
      <w:r w:rsidRPr="003B3463" w:rsidR="00B42F77">
        <w:t xml:space="preserve">. Moreover, throughout the </w:t>
      </w:r>
      <w:r w:rsidRPr="003B3463" w:rsidR="00B42F77">
        <w:rPr>
          <w:i/>
        </w:rPr>
        <w:t>Demonstration Project</w:t>
      </w:r>
      <w:r w:rsidRPr="003B3463" w:rsidR="00B42F77">
        <w:t xml:space="preserve">, </w:t>
      </w:r>
      <w:r w:rsidRPr="003B3463">
        <w:t xml:space="preserve">JHU </w:t>
      </w:r>
      <w:r w:rsidRPr="003B3463" w:rsidR="00D46F25">
        <w:t>has a contractual obligation to</w:t>
      </w:r>
      <w:r w:rsidRPr="003B3463">
        <w:t xml:space="preserve"> convene </w:t>
      </w:r>
      <w:r w:rsidRPr="003B3463" w:rsidR="00D46F25">
        <w:t>four</w:t>
      </w:r>
      <w:r w:rsidRPr="003B3463">
        <w:t xml:space="preserve"> meetings of a Stakeholder Panel comprised of AHRQ, HRSA, JHU, AIM, OK-PQC, TX-PQC representatives as well as six external panelis</w:t>
      </w:r>
      <w:r w:rsidRPr="003B3463" w:rsidR="00D46F25">
        <w:t>ts with expertise in obstetrics,</w:t>
      </w:r>
      <w:r w:rsidRPr="003B3463">
        <w:t xml:space="preserve"> quality improvement</w:t>
      </w:r>
      <w:r w:rsidRPr="003B3463" w:rsidR="00D46F25">
        <w:t>,</w:t>
      </w:r>
      <w:r w:rsidRPr="003B3463">
        <w:t xml:space="preserve"> data</w:t>
      </w:r>
      <w:r w:rsidRPr="003B3463" w:rsidR="006963EC">
        <w:t xml:space="preserve"> and evaluation methods (Appendix </w:t>
      </w:r>
      <w:r w:rsidR="008C2CC9">
        <w:t>T</w:t>
      </w:r>
      <w:r w:rsidRPr="003B3463" w:rsidR="006963EC">
        <w:t xml:space="preserve">). </w:t>
      </w:r>
      <w:r w:rsidRPr="003B3463" w:rsidR="00DC2B91">
        <w:t xml:space="preserve">These panelists will provide guidance on all </w:t>
      </w:r>
      <w:r w:rsidRPr="003B3463" w:rsidR="00DC2B91">
        <w:rPr>
          <w:i/>
        </w:rPr>
        <w:t>Demonstration Project</w:t>
      </w:r>
      <w:r w:rsidRPr="003B3463" w:rsidR="00DC2B91">
        <w:t xml:space="preserve"> implementation and</w:t>
      </w:r>
      <w:r w:rsidRPr="005C1895" w:rsidR="00DC2B91">
        <w:t xml:space="preserve"> evaluation activities.</w:t>
      </w:r>
    </w:p>
    <w:p w:rsidRPr="005C1895" w:rsidR="0038217D" w:rsidP="0038217D" w:rsidRDefault="009B633D" w14:paraId="4CF461B0" w14:textId="77777777">
      <w:pPr>
        <w:pStyle w:val="Heading2"/>
        <w:rPr>
          <w:rFonts w:ascii="Times New Roman" w:hAnsi="Times New Roman" w:cs="Times New Roman"/>
          <w:sz w:val="24"/>
          <w:szCs w:val="24"/>
        </w:rPr>
      </w:pPr>
      <w:r w:rsidRPr="005C1895">
        <w:rPr>
          <w:rFonts w:ascii="Times New Roman" w:hAnsi="Times New Roman" w:cs="Times New Roman"/>
          <w:sz w:val="24"/>
          <w:szCs w:val="24"/>
        </w:rPr>
        <w:t>9. Payments/Gifts to Respondents</w:t>
      </w:r>
      <w:bookmarkEnd w:id="18"/>
      <w:bookmarkEnd w:id="19"/>
      <w:bookmarkEnd w:id="20"/>
      <w:bookmarkEnd w:id="21"/>
    </w:p>
    <w:p w:rsidRPr="005C1895" w:rsidR="009B633D" w:rsidP="009B633D" w:rsidRDefault="009B633D" w14:paraId="565471FB" w14:textId="77777777">
      <w:pPr>
        <w:jc w:val="both"/>
        <w:rPr>
          <w:i/>
        </w:rPr>
      </w:pPr>
    </w:p>
    <w:p w:rsidRPr="005C1895" w:rsidR="000801FF" w:rsidP="004E51AD" w:rsidRDefault="00823534" w14:paraId="00A58A3F" w14:textId="77777777">
      <w:r w:rsidRPr="00797D78">
        <w:t xml:space="preserve">All study participants will be offered a </w:t>
      </w:r>
      <w:r w:rsidRPr="00797D78" w:rsidR="00B42F77">
        <w:t>$</w:t>
      </w:r>
      <w:r w:rsidRPr="00797D78" w:rsidR="009B4483">
        <w:t>1</w:t>
      </w:r>
      <w:r w:rsidRPr="00797D78" w:rsidR="00B42F77">
        <w:t>0 Amazon</w:t>
      </w:r>
      <w:r w:rsidRPr="00797D78">
        <w:t xml:space="preserve"> gift</w:t>
      </w:r>
      <w:r w:rsidRPr="00797D78" w:rsidR="00B42F77">
        <w:t xml:space="preserve"> card</w:t>
      </w:r>
      <w:r w:rsidRPr="00797D78">
        <w:t xml:space="preserve"> as a token of appreciation for their </w:t>
      </w:r>
      <w:r w:rsidRPr="001B6BD4" w:rsidR="00B42F77">
        <w:t xml:space="preserve">time and </w:t>
      </w:r>
      <w:r w:rsidRPr="00596BBA">
        <w:t>participation in the study</w:t>
      </w:r>
      <w:r w:rsidRPr="005C1895">
        <w:t xml:space="preserve">. </w:t>
      </w:r>
      <w:r w:rsidRPr="005C1895" w:rsidR="00A427FB">
        <w:t xml:space="preserve">This decision is based on experience with other AHRQ data collection; findings from the published literature; and the need to equally compensate respondents irrespective of the manner in which they complete the surveys (online or on paper). </w:t>
      </w:r>
    </w:p>
    <w:p w:rsidRPr="005C1895" w:rsidR="000801FF" w:rsidP="004E51AD" w:rsidRDefault="000801FF" w14:paraId="69B5411E" w14:textId="77777777"/>
    <w:p w:rsidRPr="005C1895" w:rsidR="000801FF" w:rsidP="004E51AD" w:rsidRDefault="00A427FB" w14:paraId="698FF882" w14:textId="77777777">
      <w:r w:rsidRPr="005C1895">
        <w:t>For AHRQ’s Medical Expenditure Panel Survey</w:t>
      </w:r>
      <w:r w:rsidRPr="005C1895" w:rsidR="007740FD">
        <w:t xml:space="preserve"> (MEPS)</w:t>
      </w:r>
      <w:r w:rsidRPr="005C1895">
        <w:t xml:space="preserve">, </w:t>
      </w:r>
      <w:r w:rsidRPr="005C1895" w:rsidR="007740FD">
        <w:t>a monetary gift has been offered to respondents since 1996; the current amount is $50 for the five times when contacted for the surveys – this corresponds to $10 per time spent on the MEPS at each time.</w:t>
      </w:r>
      <w:r w:rsidRPr="005C1895" w:rsidR="00E569AB">
        <w:t xml:space="preserve"> </w:t>
      </w:r>
    </w:p>
    <w:p w:rsidRPr="005C1895" w:rsidR="000801FF" w:rsidP="004E51AD" w:rsidRDefault="000801FF" w14:paraId="533D8C03" w14:textId="77777777"/>
    <w:p w:rsidRPr="005C1895" w:rsidR="007740FD" w:rsidP="004E51AD" w:rsidRDefault="00E569AB" w14:paraId="7B31216F" w14:textId="77777777">
      <w:r w:rsidRPr="005C1895">
        <w:lastRenderedPageBreak/>
        <w:t>Findings from recent</w:t>
      </w:r>
      <w:r w:rsidRPr="005C1895" w:rsidR="006563FF">
        <w:t xml:space="preserve"> (2016-</w:t>
      </w:r>
      <w:r w:rsidRPr="005C1895">
        <w:t>2018</w:t>
      </w:r>
      <w:r w:rsidRPr="005C1895" w:rsidR="006563FF">
        <w:t>)</w:t>
      </w:r>
      <w:r w:rsidRPr="005C1895">
        <w:t xml:space="preserve"> high-quality </w:t>
      </w:r>
      <w:r w:rsidRPr="005C1895" w:rsidR="006563FF">
        <w:t xml:space="preserve">studies </w:t>
      </w:r>
      <w:r w:rsidRPr="005C1895">
        <w:t>show:</w:t>
      </w:r>
    </w:p>
    <w:p w:rsidRPr="005C1895" w:rsidR="00E569AB" w:rsidP="008124EC" w:rsidRDefault="00E569AB" w14:paraId="26DC9111" w14:textId="77777777">
      <w:pPr>
        <w:numPr>
          <w:ilvl w:val="0"/>
          <w:numId w:val="9"/>
        </w:numPr>
        <w:tabs>
          <w:tab w:val="num" w:pos="360"/>
        </w:tabs>
      </w:pPr>
      <w:r w:rsidRPr="005C1895">
        <w:rPr>
          <w:color w:val="000000"/>
          <w:shd w:val="clear" w:color="auto" w:fill="FFFFFF"/>
        </w:rPr>
        <w:t xml:space="preserve">provision of compensation to Research Participant Perception Survey respondents increased survey completion rate from 54% to 71% (p&lt;0.001); </w:t>
      </w:r>
      <w:r w:rsidRPr="005C1895">
        <w:rPr>
          <w:color w:val="000000"/>
          <w:shd w:val="clear" w:color="auto" w:fill="FFFFFF"/>
          <w:vertAlign w:val="superscript"/>
        </w:rPr>
        <w:t>1</w:t>
      </w:r>
      <w:r w:rsidRPr="005C1895" w:rsidR="00BF17FC">
        <w:rPr>
          <w:color w:val="000000"/>
          <w:shd w:val="clear" w:color="auto" w:fill="FFFFFF"/>
          <w:vertAlign w:val="superscript"/>
        </w:rPr>
        <w:t>4</w:t>
      </w:r>
    </w:p>
    <w:p w:rsidRPr="005C1895" w:rsidR="006563FF" w:rsidP="008124EC" w:rsidRDefault="00E569AB" w14:paraId="76B608D2" w14:textId="77777777">
      <w:pPr>
        <w:numPr>
          <w:ilvl w:val="0"/>
          <w:numId w:val="9"/>
        </w:numPr>
        <w:tabs>
          <w:tab w:val="num" w:pos="360"/>
        </w:tabs>
      </w:pPr>
      <w:r w:rsidRPr="005C1895">
        <w:rPr>
          <w:color w:val="000000"/>
        </w:rPr>
        <w:t xml:space="preserve">a $10 monetary incentive </w:t>
      </w:r>
      <w:r w:rsidRPr="005C1895" w:rsidR="006563FF">
        <w:rPr>
          <w:color w:val="000000"/>
        </w:rPr>
        <w:t xml:space="preserve">encouraged initially reluctant participants to participate in the longitudinal </w:t>
      </w:r>
      <w:r w:rsidRPr="005C1895" w:rsidR="006563FF">
        <w:rPr>
          <w:color w:val="000000"/>
          <w:shd w:val="clear" w:color="auto" w:fill="FFFFFF"/>
        </w:rPr>
        <w:t>World Trade Center Health Registry,</w:t>
      </w:r>
      <w:r w:rsidRPr="005C1895" w:rsidR="006563FF">
        <w:rPr>
          <w:color w:val="000000"/>
        </w:rPr>
        <w:t xml:space="preserve"> </w:t>
      </w:r>
      <w:r w:rsidRPr="005C1895">
        <w:rPr>
          <w:color w:val="000000"/>
        </w:rPr>
        <w:t xml:space="preserve">increased </w:t>
      </w:r>
      <w:r w:rsidRPr="005C1895" w:rsidR="006563FF">
        <w:rPr>
          <w:color w:val="000000"/>
        </w:rPr>
        <w:t xml:space="preserve">the </w:t>
      </w:r>
      <w:r w:rsidRPr="005C1895" w:rsidR="006563FF">
        <w:rPr>
          <w:color w:val="000000"/>
          <w:shd w:val="clear" w:color="auto" w:fill="FFFFFF"/>
        </w:rPr>
        <w:t>likelihood of returning a</w:t>
      </w:r>
      <w:r w:rsidRPr="005C1895" w:rsidR="006563FF">
        <w:rPr>
          <w:rStyle w:val="apple-converted-space"/>
          <w:color w:val="000000"/>
          <w:shd w:val="clear" w:color="auto" w:fill="FFFFFF"/>
        </w:rPr>
        <w:t> </w:t>
      </w:r>
      <w:r w:rsidRPr="005C1895" w:rsidR="006563FF">
        <w:rPr>
          <w:rStyle w:val="highlight"/>
          <w:color w:val="000000"/>
        </w:rPr>
        <w:t xml:space="preserve">survey </w:t>
      </w:r>
      <w:r w:rsidRPr="005C1895" w:rsidR="006563FF">
        <w:rPr>
          <w:color w:val="000000"/>
          <w:shd w:val="clear" w:color="auto" w:fill="FFFFFF"/>
        </w:rPr>
        <w:t>by 30% for those who received an</w:t>
      </w:r>
      <w:r w:rsidRPr="005C1895" w:rsidR="006563FF">
        <w:rPr>
          <w:rStyle w:val="apple-converted-space"/>
          <w:color w:val="000000"/>
          <w:shd w:val="clear" w:color="auto" w:fill="FFFFFF"/>
        </w:rPr>
        <w:t> </w:t>
      </w:r>
      <w:r w:rsidRPr="005C1895" w:rsidR="006563FF">
        <w:rPr>
          <w:rStyle w:val="highlight"/>
          <w:color w:val="000000"/>
        </w:rPr>
        <w:t>incentive than not</w:t>
      </w:r>
      <w:r w:rsidRPr="005C1895" w:rsidR="006563FF">
        <w:rPr>
          <w:rStyle w:val="apple-converted-space"/>
          <w:color w:val="000000"/>
          <w:shd w:val="clear" w:color="auto" w:fill="FFFFFF"/>
        </w:rPr>
        <w:t> </w:t>
      </w:r>
      <w:r w:rsidRPr="005C1895" w:rsidR="006563FF">
        <w:rPr>
          <w:color w:val="000000"/>
          <w:shd w:val="clear" w:color="auto" w:fill="FFFFFF"/>
        </w:rPr>
        <w:t>(AOR=1.3, 95% CI: 1.1-1.4), and increased the number of returned surveys by 18%;</w:t>
      </w:r>
      <w:r w:rsidRPr="005C1895" w:rsidR="006563FF">
        <w:rPr>
          <w:color w:val="000000"/>
          <w:shd w:val="clear" w:color="auto" w:fill="FFFFFF"/>
          <w:vertAlign w:val="superscript"/>
        </w:rPr>
        <w:t>1</w:t>
      </w:r>
      <w:r w:rsidRPr="005C1895" w:rsidR="00BF17FC">
        <w:rPr>
          <w:color w:val="000000"/>
          <w:shd w:val="clear" w:color="auto" w:fill="FFFFFF"/>
          <w:vertAlign w:val="superscript"/>
        </w:rPr>
        <w:t>5</w:t>
      </w:r>
    </w:p>
    <w:p w:rsidRPr="005C1895" w:rsidR="006563FF" w:rsidP="008124EC" w:rsidRDefault="006563FF" w14:paraId="407D63B7" w14:textId="77777777">
      <w:pPr>
        <w:numPr>
          <w:ilvl w:val="0"/>
          <w:numId w:val="9"/>
        </w:numPr>
        <w:tabs>
          <w:tab w:val="num" w:pos="360"/>
        </w:tabs>
      </w:pPr>
      <w:proofErr w:type="gramStart"/>
      <w:r w:rsidRPr="005C1895">
        <w:t>conversely</w:t>
      </w:r>
      <w:proofErr w:type="gramEnd"/>
      <w:r w:rsidRPr="005C1895">
        <w:t>, m</w:t>
      </w:r>
      <w:r w:rsidRPr="005C1895" w:rsidR="00E2388A">
        <w:rPr>
          <w:color w:val="000000"/>
        </w:rPr>
        <w:t xml:space="preserve">odest non-monetary incentives </w:t>
      </w:r>
      <w:r w:rsidRPr="005C1895">
        <w:rPr>
          <w:color w:val="000000"/>
        </w:rPr>
        <w:t xml:space="preserve">were not found to increase response rates certain categories of healthcare providers. For example, </w:t>
      </w:r>
      <w:r w:rsidRPr="005C1895">
        <w:rPr>
          <w:color w:val="000000"/>
          <w:shd w:val="clear" w:color="auto" w:fill="FFFFFF"/>
        </w:rPr>
        <w:t>of providers who were offered a book, 11.6% responded compared with 10.7% who were not (OR=1.10, 95% CI 0.87-1.38, P=0.42).</w:t>
      </w:r>
      <w:r w:rsidRPr="005C1895">
        <w:rPr>
          <w:color w:val="000000"/>
          <w:shd w:val="clear" w:color="auto" w:fill="FFFFFF"/>
          <w:vertAlign w:val="superscript"/>
        </w:rPr>
        <w:t>1</w:t>
      </w:r>
      <w:r w:rsidRPr="005C1895" w:rsidR="00BF17FC">
        <w:rPr>
          <w:color w:val="000000"/>
          <w:shd w:val="clear" w:color="auto" w:fill="FFFFFF"/>
          <w:vertAlign w:val="superscript"/>
        </w:rPr>
        <w:t>6</w:t>
      </w:r>
      <w:r w:rsidRPr="005C1895">
        <w:rPr>
          <w:rStyle w:val="apple-converted-space"/>
          <w:color w:val="000000"/>
          <w:shd w:val="clear" w:color="auto" w:fill="FFFFFF"/>
        </w:rPr>
        <w:t> </w:t>
      </w:r>
    </w:p>
    <w:p w:rsidRPr="005C1895" w:rsidR="00E2388A" w:rsidP="004E51AD" w:rsidRDefault="00E2388A" w14:paraId="25672E09" w14:textId="77777777"/>
    <w:p w:rsidRPr="005C1895" w:rsidR="000801FF" w:rsidP="004E51AD" w:rsidRDefault="000801FF" w14:paraId="025DDED9" w14:textId="77777777">
      <w:r w:rsidRPr="005C1895">
        <w:t xml:space="preserve">The choice of offering a $10 gift card to </w:t>
      </w:r>
      <w:r w:rsidRPr="005C1895" w:rsidR="00A53516">
        <w:t xml:space="preserve">the most </w:t>
      </w:r>
      <w:r w:rsidRPr="005C1895">
        <w:t xml:space="preserve">widely used online store has the benefit of being available to the respondents </w:t>
      </w:r>
      <w:r w:rsidRPr="005C1895" w:rsidR="004E51AD">
        <w:t>for</w:t>
      </w:r>
      <w:r w:rsidRPr="005C1895">
        <w:t xml:space="preserve"> use immediately </w:t>
      </w:r>
      <w:r w:rsidRPr="005C1895" w:rsidR="004E51AD">
        <w:t>after</w:t>
      </w:r>
      <w:r w:rsidRPr="005C1895">
        <w:t xml:space="preserve"> completin</w:t>
      </w:r>
      <w:r w:rsidRPr="005C1895" w:rsidR="006650EF">
        <w:t>g</w:t>
      </w:r>
      <w:r w:rsidRPr="005C1895">
        <w:t xml:space="preserve"> </w:t>
      </w:r>
      <w:r w:rsidRPr="005C1895" w:rsidR="006650EF">
        <w:t xml:space="preserve">the </w:t>
      </w:r>
      <w:r w:rsidRPr="005C1895">
        <w:t>interviews</w:t>
      </w:r>
      <w:r w:rsidRPr="005C1895" w:rsidR="004E51AD">
        <w:t xml:space="preserve">, and to reduce logistical </w:t>
      </w:r>
      <w:r w:rsidRPr="005C1895" w:rsidR="008551C0">
        <w:t xml:space="preserve">complications and time burden associated </w:t>
      </w:r>
      <w:r w:rsidRPr="005C1895" w:rsidR="004E51AD">
        <w:t>with d</w:t>
      </w:r>
      <w:r w:rsidRPr="005C1895" w:rsidR="008551C0">
        <w:t>istributing</w:t>
      </w:r>
      <w:r w:rsidRPr="005C1895" w:rsidR="004E51AD">
        <w:t xml:space="preserve"> cash</w:t>
      </w:r>
      <w:r w:rsidRPr="005C1895" w:rsidR="008551C0">
        <w:t xml:space="preserve"> </w:t>
      </w:r>
      <w:r w:rsidRPr="005C1895" w:rsidR="0079249A">
        <w:t>(</w:t>
      </w:r>
      <w:r w:rsidRPr="005C1895" w:rsidR="008551C0">
        <w:t xml:space="preserve">or </w:t>
      </w:r>
      <w:r w:rsidRPr="005C1895" w:rsidR="006650EF">
        <w:t xml:space="preserve">any </w:t>
      </w:r>
      <w:r w:rsidRPr="005C1895" w:rsidR="008551C0">
        <w:t>other type of incentives</w:t>
      </w:r>
      <w:r w:rsidRPr="005C1895" w:rsidR="0079249A">
        <w:t>)</w:t>
      </w:r>
      <w:r w:rsidRPr="005C1895" w:rsidR="004E51AD">
        <w:t xml:space="preserve"> to</w:t>
      </w:r>
      <w:r w:rsidRPr="005C1895" w:rsidR="008551C0">
        <w:t xml:space="preserve"> staff in 250+ hospitals in 2 states</w:t>
      </w:r>
      <w:r w:rsidRPr="005C1895">
        <w:t>.</w:t>
      </w:r>
    </w:p>
    <w:p w:rsidR="009F2F20" w:rsidP="009F2F20" w:rsidRDefault="009F2F20" w14:paraId="15BEB3D6" w14:textId="77777777">
      <w:bookmarkStart w:name="_Toc151782185" w:id="23"/>
      <w:bookmarkStart w:name="_Toc158526225" w:id="24"/>
    </w:p>
    <w:p w:rsidR="009F2F20" w:rsidP="009F2F20" w:rsidRDefault="000123AB" w14:paraId="1DE6307F" w14:textId="74BCF683">
      <w:r w:rsidRPr="007141A0">
        <w:rPr>
          <w:highlight w:val="yellow"/>
        </w:rPr>
        <w:t xml:space="preserve">With this </w:t>
      </w:r>
      <w:r w:rsidRPr="007141A0" w:rsidR="006B176B">
        <w:rPr>
          <w:highlight w:val="yellow"/>
        </w:rPr>
        <w:t xml:space="preserve">December 2020 </w:t>
      </w:r>
      <w:r w:rsidRPr="007141A0">
        <w:rPr>
          <w:highlight w:val="yellow"/>
        </w:rPr>
        <w:t>clearance request</w:t>
      </w:r>
      <w:r w:rsidRPr="007141A0" w:rsidR="006B176B">
        <w:rPr>
          <w:highlight w:val="yellow"/>
        </w:rPr>
        <w:t xml:space="preserve">, participant incentives will be added for the qualitative semi-structured interview and focus group </w:t>
      </w:r>
      <w:r w:rsidRPr="007141A0" w:rsidR="00553F5B">
        <w:rPr>
          <w:highlight w:val="yellow"/>
        </w:rPr>
        <w:t>discussion</w:t>
      </w:r>
      <w:r w:rsidRPr="007141A0" w:rsidR="00B968E4">
        <w:rPr>
          <w:highlight w:val="yellow"/>
        </w:rPr>
        <w:t>s</w:t>
      </w:r>
      <w:r w:rsidRPr="007141A0" w:rsidR="00553F5B">
        <w:rPr>
          <w:highlight w:val="yellow"/>
        </w:rPr>
        <w:t>. For</w:t>
      </w:r>
      <w:r w:rsidRPr="007141A0" w:rsidR="006B176B">
        <w:rPr>
          <w:highlight w:val="yellow"/>
        </w:rPr>
        <w:t xml:space="preserve"> qualitative interviews, e</w:t>
      </w:r>
      <w:r w:rsidRPr="007141A0" w:rsidR="009F2F20">
        <w:rPr>
          <w:highlight w:val="yellow"/>
        </w:rPr>
        <w:t xml:space="preserve">ach AIM Team Lead will be offered a $50 Amazon gift card for the 1 hour interview and the frontline staff will be offered </w:t>
      </w:r>
      <w:r w:rsidRPr="007141A0">
        <w:rPr>
          <w:highlight w:val="yellow"/>
        </w:rPr>
        <w:t xml:space="preserve">a </w:t>
      </w:r>
      <w:r w:rsidRPr="007141A0" w:rsidR="009F2F20">
        <w:rPr>
          <w:highlight w:val="yellow"/>
        </w:rPr>
        <w:t xml:space="preserve">$25 Amazon </w:t>
      </w:r>
      <w:r w:rsidRPr="007141A0">
        <w:rPr>
          <w:highlight w:val="yellow"/>
        </w:rPr>
        <w:t xml:space="preserve">gift card </w:t>
      </w:r>
      <w:r w:rsidRPr="007141A0" w:rsidR="009F2F20">
        <w:rPr>
          <w:highlight w:val="yellow"/>
        </w:rPr>
        <w:t xml:space="preserve">for the 30 minute interview. </w:t>
      </w:r>
      <w:r w:rsidRPr="007141A0" w:rsidR="00B968E4">
        <w:rPr>
          <w:highlight w:val="yellow"/>
        </w:rPr>
        <w:t>E</w:t>
      </w:r>
      <w:r w:rsidRPr="007141A0" w:rsidR="009F2F20">
        <w:rPr>
          <w:highlight w:val="yellow"/>
        </w:rPr>
        <w:t xml:space="preserve">ach </w:t>
      </w:r>
      <w:r w:rsidRPr="007141A0" w:rsidR="00B968E4">
        <w:rPr>
          <w:highlight w:val="yellow"/>
        </w:rPr>
        <w:t xml:space="preserve">focus group </w:t>
      </w:r>
      <w:r w:rsidRPr="007141A0" w:rsidR="009F2F20">
        <w:rPr>
          <w:highlight w:val="yellow"/>
        </w:rPr>
        <w:t xml:space="preserve">participant will be offered a $50 Amazon gift card for their participation in the </w:t>
      </w:r>
      <w:r w:rsidRPr="007141A0" w:rsidR="00B968E4">
        <w:rPr>
          <w:highlight w:val="yellow"/>
        </w:rPr>
        <w:t>f</w:t>
      </w:r>
      <w:r w:rsidRPr="007141A0" w:rsidR="009F2F20">
        <w:rPr>
          <w:highlight w:val="yellow"/>
        </w:rPr>
        <w:t xml:space="preserve">ocus </w:t>
      </w:r>
      <w:r w:rsidRPr="007141A0" w:rsidR="00B968E4">
        <w:rPr>
          <w:highlight w:val="yellow"/>
        </w:rPr>
        <w:t>g</w:t>
      </w:r>
      <w:r w:rsidRPr="007141A0" w:rsidR="009F2F20">
        <w:rPr>
          <w:highlight w:val="yellow"/>
        </w:rPr>
        <w:t xml:space="preserve">roup </w:t>
      </w:r>
      <w:r w:rsidRPr="007141A0" w:rsidR="00B968E4">
        <w:rPr>
          <w:highlight w:val="yellow"/>
        </w:rPr>
        <w:t>d</w:t>
      </w:r>
      <w:r w:rsidRPr="007141A0" w:rsidR="009F2F20">
        <w:rPr>
          <w:highlight w:val="yellow"/>
        </w:rPr>
        <w:t xml:space="preserve">iscussion. This </w:t>
      </w:r>
      <w:r w:rsidRPr="007141A0">
        <w:rPr>
          <w:highlight w:val="yellow"/>
        </w:rPr>
        <w:t xml:space="preserve">incentive </w:t>
      </w:r>
      <w:r w:rsidRPr="007141A0" w:rsidR="009F2F20">
        <w:rPr>
          <w:highlight w:val="yellow"/>
        </w:rPr>
        <w:t>reflects the standard / regular rate for such interviews used in ongoing research studies.</w:t>
      </w:r>
    </w:p>
    <w:p w:rsidR="009F2F20" w:rsidP="009F2F20" w:rsidRDefault="009F2F20" w14:paraId="22DF3CFF" w14:textId="22EDE72A"/>
    <w:p w:rsidR="009F2F20" w:rsidP="009F2F20" w:rsidRDefault="009F2F20" w14:paraId="7EF79770" w14:textId="242CEE9A"/>
    <w:p w:rsidR="004404A2" w:rsidP="004404A2" w:rsidRDefault="004404A2" w14:paraId="663ADA8F" w14:textId="77777777">
      <w:pPr>
        <w:pStyle w:val="Heading2"/>
        <w:spacing w:before="0" w:after="0"/>
        <w:rPr>
          <w:rFonts w:ascii="Times New Roman" w:hAnsi="Times New Roman" w:cs="Times New Roman"/>
          <w:sz w:val="24"/>
          <w:szCs w:val="24"/>
        </w:rPr>
      </w:pPr>
    </w:p>
    <w:p w:rsidRPr="005C1895" w:rsidR="009B633D" w:rsidP="004404A2" w:rsidRDefault="009B633D" w14:paraId="7ADF94D6" w14:textId="77777777">
      <w:pPr>
        <w:pStyle w:val="Heading2"/>
        <w:spacing w:before="0" w:after="0"/>
        <w:rPr>
          <w:rFonts w:ascii="Times New Roman" w:hAnsi="Times New Roman" w:cs="Times New Roman"/>
          <w:sz w:val="24"/>
          <w:szCs w:val="24"/>
        </w:rPr>
      </w:pPr>
      <w:r w:rsidRPr="005C1895">
        <w:rPr>
          <w:rFonts w:ascii="Times New Roman" w:hAnsi="Times New Roman" w:cs="Times New Roman"/>
          <w:sz w:val="24"/>
          <w:szCs w:val="24"/>
        </w:rPr>
        <w:t>10. Assurance of Confidentiality</w:t>
      </w:r>
      <w:bookmarkEnd w:id="23"/>
      <w:bookmarkEnd w:id="24"/>
    </w:p>
    <w:p w:rsidR="004404A2" w:rsidP="004404A2" w:rsidRDefault="004404A2" w14:paraId="6E5DD45E" w14:textId="77777777">
      <w:pPr>
        <w:autoSpaceDE w:val="0"/>
        <w:autoSpaceDN w:val="0"/>
        <w:adjustRightInd w:val="0"/>
      </w:pPr>
    </w:p>
    <w:p w:rsidRPr="005C1895" w:rsidR="008F0B8B" w:rsidP="004404A2" w:rsidRDefault="00012921" w14:paraId="20A91974" w14:textId="77777777">
      <w:pPr>
        <w:autoSpaceDE w:val="0"/>
        <w:autoSpaceDN w:val="0"/>
        <w:adjustRightInd w:val="0"/>
      </w:pPr>
      <w:r w:rsidRPr="005C1895">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rsidRPr="005C1895" w:rsidR="008F0B8B">
        <w:t xml:space="preserve"> </w:t>
      </w:r>
    </w:p>
    <w:p w:rsidRPr="005C1895" w:rsidR="00776010" w:rsidP="00776010" w:rsidRDefault="00776010" w14:paraId="124241FF" w14:textId="77777777">
      <w:pPr>
        <w:tabs>
          <w:tab w:val="left" w:pos="450"/>
        </w:tabs>
        <w:rPr>
          <w:color w:val="000000"/>
        </w:rPr>
      </w:pPr>
    </w:p>
    <w:p w:rsidRPr="005C1895" w:rsidR="006A4E95" w:rsidP="00E91AB5" w:rsidRDefault="00776010" w14:paraId="12EA98B9" w14:textId="77777777">
      <w:pPr>
        <w:tabs>
          <w:tab w:val="left" w:pos="450"/>
        </w:tabs>
        <w:rPr>
          <w:color w:val="000000"/>
        </w:rPr>
      </w:pPr>
      <w:r w:rsidRPr="005C1895">
        <w:rPr>
          <w:color w:val="000000"/>
        </w:rPr>
        <w:t xml:space="preserve">Except for </w:t>
      </w:r>
      <w:r w:rsidRPr="005C1895" w:rsidR="00877F98">
        <w:rPr>
          <w:color w:val="000000"/>
        </w:rPr>
        <w:t xml:space="preserve">hospital names and clinical </w:t>
      </w:r>
      <w:r w:rsidRPr="005C1895">
        <w:rPr>
          <w:color w:val="000000"/>
        </w:rPr>
        <w:t>staff names</w:t>
      </w:r>
      <w:r w:rsidRPr="005C1895" w:rsidR="00877F98">
        <w:rPr>
          <w:color w:val="000000"/>
        </w:rPr>
        <w:t xml:space="preserve"> and email addresses, </w:t>
      </w:r>
      <w:r w:rsidRPr="005C1895">
        <w:rPr>
          <w:color w:val="000000"/>
        </w:rPr>
        <w:t>no</w:t>
      </w:r>
      <w:r w:rsidRPr="005C1895" w:rsidR="00877F98">
        <w:rPr>
          <w:color w:val="000000"/>
        </w:rPr>
        <w:t xml:space="preserve"> other</w:t>
      </w:r>
      <w:r w:rsidRPr="005C1895">
        <w:rPr>
          <w:color w:val="000000"/>
        </w:rPr>
        <w:t xml:space="preserve"> personally identifiable information (PII) </w:t>
      </w:r>
      <w:r w:rsidRPr="005C1895" w:rsidR="006A4E95">
        <w:rPr>
          <w:color w:val="000000"/>
        </w:rPr>
        <w:t>will be</w:t>
      </w:r>
      <w:r w:rsidRPr="005C1895">
        <w:rPr>
          <w:color w:val="000000"/>
        </w:rPr>
        <w:t xml:space="preserve"> collected during the</w:t>
      </w:r>
      <w:r w:rsidRPr="005C1895" w:rsidR="006A4E95">
        <w:rPr>
          <w:color w:val="000000"/>
        </w:rPr>
        <w:t xml:space="preserve"> SPPC-II</w:t>
      </w:r>
      <w:r w:rsidRPr="005C1895">
        <w:rPr>
          <w:color w:val="000000"/>
        </w:rPr>
        <w:t xml:space="preserve"> </w:t>
      </w:r>
      <w:r w:rsidRPr="005C1895">
        <w:rPr>
          <w:i/>
          <w:color w:val="000000"/>
        </w:rPr>
        <w:t>Demonstration Project</w:t>
      </w:r>
      <w:r w:rsidRPr="005C1895">
        <w:rPr>
          <w:color w:val="000000"/>
        </w:rPr>
        <w:t xml:space="preserve">. </w:t>
      </w:r>
      <w:r w:rsidRPr="005C1895" w:rsidR="00877F98">
        <w:rPr>
          <w:color w:val="000000"/>
        </w:rPr>
        <w:t>Names of hospitals and clinical staff will be recorded, but replaced with anonymized hospital IDs and staff IDs; email address</w:t>
      </w:r>
      <w:r w:rsidRPr="005C1895" w:rsidR="006E6FBF">
        <w:rPr>
          <w:color w:val="000000"/>
        </w:rPr>
        <w:t>es</w:t>
      </w:r>
      <w:r w:rsidRPr="005C1895" w:rsidR="00877F98">
        <w:rPr>
          <w:color w:val="000000"/>
        </w:rPr>
        <w:t xml:space="preserve"> for staff are needed to share information about access to training e-modules and survey questionnaires if </w:t>
      </w:r>
      <w:r w:rsidRPr="005C1895" w:rsidR="006A4E95">
        <w:rPr>
          <w:color w:val="000000"/>
        </w:rPr>
        <w:t>these are to be</w:t>
      </w:r>
      <w:r w:rsidRPr="005C1895" w:rsidR="00877F98">
        <w:rPr>
          <w:color w:val="000000"/>
        </w:rPr>
        <w:t xml:space="preserve"> complete</w:t>
      </w:r>
      <w:r w:rsidRPr="005C1895" w:rsidR="006A4E95">
        <w:rPr>
          <w:color w:val="000000"/>
        </w:rPr>
        <w:t xml:space="preserve">d online. Data obtained from </w:t>
      </w:r>
      <w:r w:rsidR="009768AE">
        <w:rPr>
          <w:color w:val="000000"/>
        </w:rPr>
        <w:t>hospitals or state PQCs</w:t>
      </w:r>
      <w:r w:rsidRPr="005C1895" w:rsidR="009768AE">
        <w:rPr>
          <w:color w:val="000000"/>
        </w:rPr>
        <w:t xml:space="preserve"> </w:t>
      </w:r>
      <w:r w:rsidRPr="005C1895" w:rsidR="006A4E95">
        <w:rPr>
          <w:color w:val="000000"/>
        </w:rPr>
        <w:t>will be de-identified (hospital names will be replaced with our hospital study IDs), and a data use agreement for receiving and using these data will be signed by representatives at all hospitals before data are shared. No hospital or staff names or email addresses will be included in any reports, presentations, or other publications emerging from this project. Only aggregated, de-identified results will be displayed in any reports.</w:t>
      </w:r>
    </w:p>
    <w:p w:rsidR="009768AE" w:rsidP="004844B4" w:rsidRDefault="009768AE" w14:paraId="4CF1B6D1" w14:textId="77777777">
      <w:pPr>
        <w:tabs>
          <w:tab w:val="left" w:pos="450"/>
        </w:tabs>
        <w:rPr>
          <w:color w:val="000000"/>
        </w:rPr>
      </w:pPr>
    </w:p>
    <w:p w:rsidRPr="005C1895" w:rsidR="008F0B8B" w:rsidP="004844B4" w:rsidRDefault="00776010" w14:paraId="6FFF3FF2" w14:textId="77777777">
      <w:pPr>
        <w:tabs>
          <w:tab w:val="left" w:pos="450"/>
        </w:tabs>
        <w:rPr>
          <w:color w:val="000000"/>
        </w:rPr>
      </w:pPr>
      <w:r w:rsidRPr="005C1895">
        <w:rPr>
          <w:color w:val="000000"/>
        </w:rPr>
        <w:lastRenderedPageBreak/>
        <w:t>All project data</w:t>
      </w:r>
      <w:r w:rsidRPr="005C1895" w:rsidR="00877F98">
        <w:rPr>
          <w:color w:val="000000"/>
        </w:rPr>
        <w:t xml:space="preserve">, including the files linking </w:t>
      </w:r>
      <w:r w:rsidRPr="005C1895" w:rsidR="006A4E95">
        <w:rPr>
          <w:color w:val="000000"/>
        </w:rPr>
        <w:t>hospital and staff</w:t>
      </w:r>
      <w:r w:rsidRPr="005C1895" w:rsidR="00877F98">
        <w:rPr>
          <w:color w:val="000000"/>
        </w:rPr>
        <w:t xml:space="preserve"> names and study IDs, will be </w:t>
      </w:r>
      <w:r w:rsidRPr="005C1895">
        <w:rPr>
          <w:color w:val="000000"/>
        </w:rPr>
        <w:t xml:space="preserve">stored in a secure, </w:t>
      </w:r>
      <w:r w:rsidRPr="005C1895">
        <w:rPr>
          <w:rFonts w:eastAsia="Arial"/>
          <w:color w:val="000000"/>
        </w:rPr>
        <w:t>password-protected electronic shared folder (</w:t>
      </w:r>
      <w:proofErr w:type="spellStart"/>
      <w:r w:rsidRPr="005C1895">
        <w:rPr>
          <w:rFonts w:eastAsia="Arial"/>
          <w:color w:val="000000"/>
        </w:rPr>
        <w:t>JHUBox</w:t>
      </w:r>
      <w:proofErr w:type="spellEnd"/>
      <w:r w:rsidRPr="005C1895">
        <w:rPr>
          <w:rFonts w:eastAsia="Arial"/>
          <w:color w:val="000000"/>
        </w:rPr>
        <w:t>), which is</w:t>
      </w:r>
      <w:r w:rsidRPr="005C1895">
        <w:rPr>
          <w:color w:val="000000"/>
        </w:rPr>
        <w:t xml:space="preserve"> widely and routinely used by JHU faculty and staff for government-funded projects given the secure access it provides. A specific folder for the SPCC-II </w:t>
      </w:r>
      <w:r w:rsidRPr="005C1895">
        <w:rPr>
          <w:i/>
          <w:color w:val="000000"/>
        </w:rPr>
        <w:t>Demonstration Project</w:t>
      </w:r>
      <w:r w:rsidRPr="005C1895">
        <w:rPr>
          <w:color w:val="000000"/>
        </w:rPr>
        <w:t xml:space="preserve"> will be developed to which only project staff who need to use the data or have managerial roles will have access. </w:t>
      </w:r>
      <w:r w:rsidRPr="005C1895" w:rsidR="00877F98">
        <w:rPr>
          <w:color w:val="000000"/>
        </w:rPr>
        <w:t xml:space="preserve"> </w:t>
      </w:r>
      <w:r w:rsidRPr="005C1895">
        <w:rPr>
          <w:color w:val="000000"/>
        </w:rPr>
        <w:t xml:space="preserve">Only JHU team investigators will have access to project data on the secure </w:t>
      </w:r>
      <w:proofErr w:type="spellStart"/>
      <w:r w:rsidRPr="005C1895">
        <w:rPr>
          <w:color w:val="000000"/>
        </w:rPr>
        <w:t>JHUBox</w:t>
      </w:r>
      <w:proofErr w:type="spellEnd"/>
      <w:r w:rsidRPr="005C1895">
        <w:rPr>
          <w:color w:val="000000"/>
        </w:rPr>
        <w:t xml:space="preserve"> folder. </w:t>
      </w:r>
      <w:r w:rsidRPr="005C1895" w:rsidR="00877F98">
        <w:rPr>
          <w:color w:val="000000"/>
        </w:rPr>
        <w:t>Moreover, a</w:t>
      </w:r>
      <w:r w:rsidRPr="005C1895">
        <w:rPr>
          <w:color w:val="000000"/>
        </w:rPr>
        <w:t xml:space="preserve">ccess to the </w:t>
      </w:r>
      <w:proofErr w:type="spellStart"/>
      <w:r w:rsidRPr="005C1895">
        <w:rPr>
          <w:color w:val="000000"/>
        </w:rPr>
        <w:t>JHUBox</w:t>
      </w:r>
      <w:proofErr w:type="spellEnd"/>
      <w:r w:rsidRPr="005C1895">
        <w:rPr>
          <w:color w:val="000000"/>
        </w:rPr>
        <w:t xml:space="preserve"> SPCC-II folder with project data will only be granted to project staff who need to use the data or have managerial roles. All project staff must have an official </w:t>
      </w:r>
      <w:r w:rsidRPr="005C1895" w:rsidR="00877F98">
        <w:rPr>
          <w:color w:val="000000"/>
        </w:rPr>
        <w:t>JHU</w:t>
      </w:r>
      <w:r w:rsidRPr="005C1895">
        <w:rPr>
          <w:color w:val="000000"/>
        </w:rPr>
        <w:t xml:space="preserve"> email address to be granted access to the secure </w:t>
      </w:r>
      <w:proofErr w:type="spellStart"/>
      <w:r w:rsidRPr="005C1895">
        <w:rPr>
          <w:color w:val="000000"/>
        </w:rPr>
        <w:t>JHUBox</w:t>
      </w:r>
      <w:proofErr w:type="spellEnd"/>
      <w:r w:rsidRPr="005C1895">
        <w:rPr>
          <w:color w:val="000000"/>
        </w:rPr>
        <w:t xml:space="preserve"> folder. Protocols for data collection, storage, and analyses will be approved by the JHU Institutional Review Board</w:t>
      </w:r>
      <w:r w:rsidRPr="005C1895" w:rsidR="004844B4">
        <w:rPr>
          <w:color w:val="000000"/>
        </w:rPr>
        <w:t xml:space="preserve"> and followed accordingly</w:t>
      </w:r>
      <w:r w:rsidRPr="005C1895">
        <w:rPr>
          <w:color w:val="000000"/>
        </w:rPr>
        <w:t xml:space="preserve">. All </w:t>
      </w:r>
      <w:r w:rsidRPr="005C1895">
        <w:rPr>
          <w:i/>
          <w:color w:val="000000"/>
        </w:rPr>
        <w:t>Demonstration Project</w:t>
      </w:r>
      <w:r w:rsidRPr="005C1895">
        <w:rPr>
          <w:color w:val="000000"/>
        </w:rPr>
        <w:t xml:space="preserve"> data will be destroyed 3 years following completion of the project. </w:t>
      </w:r>
    </w:p>
    <w:p w:rsidRPr="003B3463" w:rsidR="007208E0" w:rsidP="007208E0" w:rsidRDefault="003B3463" w14:paraId="2E4526D1" w14:textId="77777777">
      <w:pPr>
        <w:spacing w:before="100" w:beforeAutospacing="1" w:after="100" w:afterAutospacing="1"/>
      </w:pPr>
      <w:r w:rsidRPr="003B3463">
        <w:t>C</w:t>
      </w:r>
      <w:r w:rsidRPr="003B3463" w:rsidR="007208E0">
        <w:t>onfidentiality statements</w:t>
      </w:r>
      <w:r w:rsidRPr="003B3463">
        <w:t xml:space="preserve"> will be</w:t>
      </w:r>
      <w:r w:rsidRPr="003B3463" w:rsidR="007208E0">
        <w:t xml:space="preserve"> printed on respondent materials (</w:t>
      </w:r>
      <w:r w:rsidRPr="003B3463">
        <w:t xml:space="preserve">e.g. </w:t>
      </w:r>
      <w:r w:rsidRPr="003B3463" w:rsidR="007208E0">
        <w:t xml:space="preserve">questionnaires) </w:t>
      </w:r>
      <w:r w:rsidRPr="003B3463">
        <w:t>using</w:t>
      </w:r>
      <w:r w:rsidRPr="003B3463" w:rsidR="007208E0">
        <w:t xml:space="preserve"> the following </w:t>
      </w:r>
      <w:r w:rsidRPr="003B3463">
        <w:t>text</w:t>
      </w:r>
      <w:r w:rsidRPr="003B3463" w:rsidR="007208E0">
        <w:t>:</w:t>
      </w:r>
      <w:r w:rsidRPr="003B3463">
        <w:t xml:space="preserve"> </w:t>
      </w:r>
      <w:r w:rsidRPr="003B3463" w:rsidR="007208E0">
        <w:t>“</w:t>
      </w:r>
      <w:r w:rsidRPr="007208E0" w:rsidR="00245044">
        <w:t>Your responses will be kept confidential to the extent permitted by law, including AHRQ’s confidentiality statute, 42 USC 299c-3(c).</w:t>
      </w:r>
      <w:r w:rsidR="00245044">
        <w:t>”</w:t>
      </w:r>
    </w:p>
    <w:p w:rsidRPr="005C1895" w:rsidR="007208E0" w:rsidP="007208E0" w:rsidRDefault="003B3463" w14:paraId="2DEEFC2A" w14:textId="77777777">
      <w:pPr>
        <w:spacing w:before="100" w:beforeAutospacing="1" w:after="100" w:afterAutospacing="1"/>
        <w:rPr>
          <w:i/>
        </w:rPr>
      </w:pPr>
      <w:r w:rsidRPr="003B3463">
        <w:t xml:space="preserve">Also, </w:t>
      </w:r>
      <w:r w:rsidRPr="003B3463" w:rsidR="007208E0">
        <w:t xml:space="preserve">to describe the AHRQ statute, </w:t>
      </w:r>
      <w:r w:rsidRPr="003B3463">
        <w:t>we</w:t>
      </w:r>
      <w:r w:rsidRPr="003B3463" w:rsidR="007208E0">
        <w:t xml:space="preserve"> </w:t>
      </w:r>
      <w:r w:rsidRPr="003B3463">
        <w:t xml:space="preserve">also </w:t>
      </w:r>
      <w:r w:rsidRPr="003B3463" w:rsidR="007208E0">
        <w:t>add</w:t>
      </w:r>
      <w:r w:rsidRPr="003B3463">
        <w:t>ed</w:t>
      </w:r>
      <w:r w:rsidRPr="003B3463" w:rsidR="007208E0">
        <w:t xml:space="preserve"> the following sentence:</w:t>
      </w:r>
      <w:r w:rsidRPr="003B3463">
        <w:t xml:space="preserve"> </w:t>
      </w:r>
      <w:r w:rsidRPr="003B3463" w:rsidR="007208E0">
        <w:t xml:space="preserve">“That law requires that information collected for research conducted or supported by AHRQ that identifies individuals or establishments be used only for the purpose for which it was supplied unless you consent to the use of the information for another purpose.” </w:t>
      </w:r>
    </w:p>
    <w:p w:rsidRPr="005C1895" w:rsidR="00882259" w:rsidP="004844B4" w:rsidRDefault="009B633D" w14:paraId="444CA1BD" w14:textId="77777777">
      <w:pPr>
        <w:pStyle w:val="Heading2"/>
        <w:rPr>
          <w:rFonts w:ascii="Times New Roman" w:hAnsi="Times New Roman" w:cs="Times New Roman"/>
          <w:sz w:val="24"/>
          <w:szCs w:val="24"/>
        </w:rPr>
      </w:pPr>
      <w:bookmarkStart w:name="_Toc151782186" w:id="25"/>
      <w:bookmarkStart w:name="_Toc158526226" w:id="26"/>
      <w:r w:rsidRPr="005C1895">
        <w:rPr>
          <w:rFonts w:ascii="Times New Roman" w:hAnsi="Times New Roman" w:cs="Times New Roman"/>
          <w:sz w:val="24"/>
          <w:szCs w:val="24"/>
        </w:rPr>
        <w:t>11. Questions of a Sensitive Nature</w:t>
      </w:r>
      <w:bookmarkEnd w:id="25"/>
      <w:bookmarkEnd w:id="26"/>
    </w:p>
    <w:p w:rsidRPr="005C1895" w:rsidR="00882259" w:rsidP="009B633D" w:rsidRDefault="00882259" w14:paraId="4AE59844" w14:textId="77777777">
      <w:pPr>
        <w:pStyle w:val="Heading2"/>
        <w:rPr>
          <w:rFonts w:ascii="Times New Roman" w:hAnsi="Times New Roman" w:cs="Times New Roman"/>
          <w:b w:val="0"/>
          <w:i w:val="0"/>
          <w:sz w:val="24"/>
          <w:szCs w:val="24"/>
        </w:rPr>
      </w:pPr>
      <w:bookmarkStart w:name="_Toc151782187" w:id="27"/>
      <w:bookmarkStart w:name="_Toc158526227" w:id="28"/>
      <w:r w:rsidRPr="005C1895">
        <w:rPr>
          <w:rFonts w:ascii="Times New Roman" w:hAnsi="Times New Roman" w:cs="Times New Roman"/>
          <w:b w:val="0"/>
          <w:i w:val="0"/>
          <w:sz w:val="24"/>
          <w:szCs w:val="24"/>
        </w:rPr>
        <w:t>There are no questions of a sensitive nature.</w:t>
      </w:r>
    </w:p>
    <w:p w:rsidRPr="004404A2" w:rsidR="00AA788A" w:rsidP="004404A2" w:rsidRDefault="009B633D" w14:paraId="650F42EA" w14:textId="77777777">
      <w:pPr>
        <w:pStyle w:val="Heading2"/>
        <w:rPr>
          <w:rStyle w:val="Strong"/>
          <w:rFonts w:ascii="Times New Roman" w:hAnsi="Times New Roman" w:cs="Times New Roman"/>
          <w:b/>
          <w:i w:val="0"/>
          <w:sz w:val="24"/>
          <w:szCs w:val="24"/>
        </w:rPr>
      </w:pPr>
      <w:r w:rsidRPr="004404A2">
        <w:rPr>
          <w:rFonts w:ascii="Times New Roman" w:hAnsi="Times New Roman" w:cs="Times New Roman"/>
          <w:sz w:val="24"/>
          <w:szCs w:val="24"/>
        </w:rPr>
        <w:t>12. Estimates of Annualized Burden Hours and Costs</w:t>
      </w:r>
      <w:bookmarkEnd w:id="27"/>
      <w:bookmarkEnd w:id="28"/>
    </w:p>
    <w:p w:rsidR="000A5937" w:rsidP="000A5937" w:rsidRDefault="000A5937" w14:paraId="1586FF86" w14:textId="77777777">
      <w:pPr>
        <w:rPr>
          <w:rStyle w:val="Strong"/>
          <w:b w:val="0"/>
          <w:i/>
        </w:rPr>
      </w:pPr>
      <w:bookmarkStart w:name="_Toc151782188" w:id="29"/>
      <w:bookmarkStart w:name="_Toc158526228" w:id="30"/>
    </w:p>
    <w:p w:rsidR="00C15925" w:rsidP="000A5937" w:rsidRDefault="00F2261B" w14:paraId="77057C76" w14:textId="77777777">
      <w:pPr>
        <w:rPr>
          <w:bCs/>
          <w:color w:val="000000"/>
        </w:rPr>
      </w:pPr>
      <w:bookmarkStart w:name="OLE_LINK1" w:id="31"/>
      <w:bookmarkStart w:name="OLE_LINK2" w:id="32"/>
      <w:r w:rsidRPr="00EC5625">
        <w:rPr>
          <w:bCs/>
          <w:color w:val="000000"/>
        </w:rPr>
        <w:t>Exhibit 1 shows the estimated annualized burden ours for the respondents’ time to participate in the SPPC-II Demonstration Project.</w:t>
      </w:r>
    </w:p>
    <w:p w:rsidR="007C2C19" w:rsidP="000A5937" w:rsidRDefault="007C2C19" w14:paraId="2884B155" w14:textId="77777777">
      <w:pPr>
        <w:rPr>
          <w:bCs/>
          <w:color w:val="000000"/>
        </w:rPr>
      </w:pPr>
    </w:p>
    <w:p w:rsidR="007C2C19" w:rsidP="000A5937" w:rsidRDefault="007C2C19" w14:paraId="0593C41A" w14:textId="77777777">
      <w:pPr>
        <w:rPr>
          <w:bCs/>
          <w:color w:val="000000"/>
        </w:rPr>
      </w:pPr>
      <w:r>
        <w:rPr>
          <w:bCs/>
          <w:color w:val="000000"/>
        </w:rPr>
        <w:t>An estimated 387 AIM Team Leads</w:t>
      </w:r>
      <w:r w:rsidR="00A0527F">
        <w:rPr>
          <w:bCs/>
          <w:color w:val="000000"/>
        </w:rPr>
        <w:t xml:space="preserve"> from the 258 Demonstration Project sites</w:t>
      </w:r>
      <w:r>
        <w:rPr>
          <w:bCs/>
          <w:color w:val="000000"/>
        </w:rPr>
        <w:t xml:space="preserve"> will be trained during 8-hour workshops using the SPPC-II Toolkit. An evaluation form, which will take approximately 5 minutes to complete, will be distributed to them</w:t>
      </w:r>
      <w:r w:rsidR="00A0527F">
        <w:rPr>
          <w:bCs/>
          <w:color w:val="000000"/>
        </w:rPr>
        <w:t xml:space="preserve"> at the end of the workshop</w:t>
      </w:r>
      <w:r>
        <w:rPr>
          <w:bCs/>
          <w:color w:val="000000"/>
        </w:rPr>
        <w:t xml:space="preserve">, and </w:t>
      </w:r>
      <w:r w:rsidR="00A0527F">
        <w:rPr>
          <w:bCs/>
          <w:color w:val="000000"/>
        </w:rPr>
        <w:t xml:space="preserve">about 75% of them (290 AIM Team Leads) are expected to complete the evaluation. They will also be asked to extract from an available human resources computerized database and update bi-annually rosters of frontline clinical staff in their units – first extraction and each update is expected to take about 5 minutes. </w:t>
      </w:r>
    </w:p>
    <w:p w:rsidR="00A0527F" w:rsidP="000A5937" w:rsidRDefault="00A0527F" w14:paraId="10D6D218" w14:textId="77777777">
      <w:pPr>
        <w:rPr>
          <w:bCs/>
          <w:color w:val="000000"/>
        </w:rPr>
      </w:pPr>
    </w:p>
    <w:p w:rsidR="00A0527F" w:rsidP="000A5937" w:rsidRDefault="00A0527F" w14:paraId="1C46A27C" w14:textId="77777777">
      <w:pPr>
        <w:rPr>
          <w:bCs/>
          <w:color w:val="000000"/>
        </w:rPr>
      </w:pPr>
      <w:r>
        <w:rPr>
          <w:bCs/>
          <w:color w:val="000000"/>
        </w:rPr>
        <w:t xml:space="preserve">An estimated </w:t>
      </w:r>
      <w:r w:rsidRPr="00E263C3">
        <w:rPr>
          <w:bCs/>
          <w:color w:val="000000"/>
        </w:rPr>
        <w:t>15,480</w:t>
      </w:r>
      <w:r>
        <w:rPr>
          <w:bCs/>
          <w:color w:val="000000"/>
        </w:rPr>
        <w:t xml:space="preserve"> frontline clinical staff </w:t>
      </w:r>
      <w:r w:rsidR="00E06479">
        <w:rPr>
          <w:bCs/>
          <w:color w:val="000000"/>
        </w:rPr>
        <w:t>are</w:t>
      </w:r>
      <w:r>
        <w:rPr>
          <w:bCs/>
          <w:color w:val="000000"/>
        </w:rPr>
        <w:t xml:space="preserve"> expected to be trained using the training e-modules in the SPPC-II Toolkit. Completion of the 8 e-modules will take about 2 hours. These trainings will be complemented by four 15-min facilitation sessions led by AIM Team Leads in their respective units. The AIM Team Leads </w:t>
      </w:r>
      <w:r w:rsidR="000605AC">
        <w:rPr>
          <w:bCs/>
          <w:color w:val="000000"/>
        </w:rPr>
        <w:t xml:space="preserve">will track attendance of the facilitation session, work estimated to take about 15 minutes after each session. </w:t>
      </w:r>
    </w:p>
    <w:p w:rsidR="000605AC" w:rsidP="000A5937" w:rsidRDefault="000605AC" w14:paraId="5CD438A0" w14:textId="77777777">
      <w:pPr>
        <w:rPr>
          <w:bCs/>
          <w:color w:val="000000"/>
        </w:rPr>
      </w:pPr>
    </w:p>
    <w:p w:rsidRPr="00EC5625" w:rsidR="000605AC" w:rsidP="000A5937" w:rsidRDefault="000605AC" w14:paraId="548D3A33" w14:textId="77777777">
      <w:pPr>
        <w:rPr>
          <w:bCs/>
          <w:color w:val="000000"/>
        </w:rPr>
      </w:pPr>
      <w:r>
        <w:rPr>
          <w:bCs/>
          <w:color w:val="000000"/>
        </w:rPr>
        <w:lastRenderedPageBreak/>
        <w:t xml:space="preserve">Monthly 1-hour coaching calls will be organized during the first 18 months of the project and at least one representative from about half of the sites is expected to participate at each coaching call. </w:t>
      </w:r>
    </w:p>
    <w:p w:rsidR="00F2261B" w:rsidP="000A5937" w:rsidRDefault="00F2261B" w14:paraId="48FE9BD5" w14:textId="77777777">
      <w:pPr>
        <w:rPr>
          <w:bCs/>
          <w:color w:val="000000"/>
        </w:rPr>
      </w:pPr>
    </w:p>
    <w:p w:rsidR="00190BE0" w:rsidP="000A5937" w:rsidRDefault="000605AC" w14:paraId="6AAD0408" w14:textId="4FF33DFA">
      <w:pPr>
        <w:rPr>
          <w:bCs/>
          <w:color w:val="000000"/>
        </w:rPr>
      </w:pPr>
      <w:r>
        <w:rPr>
          <w:bCs/>
          <w:color w:val="000000"/>
        </w:rPr>
        <w:t>Several surveys will be administered throughout the Demo</w:t>
      </w:r>
      <w:r w:rsidR="00190BE0">
        <w:rPr>
          <w:bCs/>
          <w:color w:val="000000"/>
        </w:rPr>
        <w:t>nstration Project, specifically:</w:t>
      </w:r>
      <w:r>
        <w:rPr>
          <w:bCs/>
          <w:color w:val="000000"/>
        </w:rPr>
        <w:t xml:space="preserve"> </w:t>
      </w:r>
      <w:r w:rsidR="00190BE0">
        <w:rPr>
          <w:bCs/>
          <w:color w:val="000000"/>
        </w:rPr>
        <w:t xml:space="preserve">baseline, 20-minute surveys with AIM Team Leads at each of 258 sites; baseline, 25-minute surveys </w:t>
      </w:r>
      <w:r w:rsidR="00976DA9">
        <w:rPr>
          <w:bCs/>
          <w:color w:val="000000"/>
        </w:rPr>
        <w:t>with</w:t>
      </w:r>
      <w:r w:rsidR="00190BE0">
        <w:rPr>
          <w:bCs/>
          <w:color w:val="000000"/>
        </w:rPr>
        <w:t xml:space="preserve"> frontline clinical </w:t>
      </w:r>
      <w:r w:rsidRPr="00AC407F" w:rsidR="00190BE0">
        <w:rPr>
          <w:bCs/>
          <w:color w:val="000000"/>
        </w:rPr>
        <w:t xml:space="preserve">staff at </w:t>
      </w:r>
      <w:r w:rsidRPr="00FB61AE" w:rsidR="00190BE0">
        <w:rPr>
          <w:bCs/>
          <w:color w:val="000000"/>
        </w:rPr>
        <w:t xml:space="preserve">each </w:t>
      </w:r>
      <w:r w:rsidRPr="00FB61AE" w:rsidR="00976DA9">
        <w:rPr>
          <w:bCs/>
          <w:color w:val="000000"/>
        </w:rPr>
        <w:t>SPPC-II hospital</w:t>
      </w:r>
      <w:r w:rsidRPr="00FB61AE" w:rsidR="00190BE0">
        <w:rPr>
          <w:bCs/>
          <w:color w:val="000000"/>
        </w:rPr>
        <w:t xml:space="preserve">; 30-minute implementation surveys with frontline clinical staff at each </w:t>
      </w:r>
      <w:r w:rsidRPr="00FB61AE" w:rsidR="00976DA9">
        <w:rPr>
          <w:bCs/>
          <w:color w:val="000000"/>
        </w:rPr>
        <w:t>SPPC-II hospital</w:t>
      </w:r>
      <w:r w:rsidRPr="00FB61AE" w:rsidR="00190BE0">
        <w:rPr>
          <w:bCs/>
          <w:color w:val="000000"/>
        </w:rPr>
        <w:t xml:space="preserve"> will be conducted at 6, 1</w:t>
      </w:r>
      <w:r w:rsidRPr="00FB61AE" w:rsidR="00976DA9">
        <w:rPr>
          <w:bCs/>
          <w:color w:val="000000"/>
        </w:rPr>
        <w:t>2</w:t>
      </w:r>
      <w:r w:rsidRPr="00FB61AE" w:rsidR="00190BE0">
        <w:rPr>
          <w:bCs/>
          <w:color w:val="000000"/>
        </w:rPr>
        <w:t xml:space="preserve">, and </w:t>
      </w:r>
      <w:r w:rsidRPr="00FB61AE" w:rsidR="00976DA9">
        <w:rPr>
          <w:bCs/>
          <w:color w:val="000000"/>
        </w:rPr>
        <w:t>18</w:t>
      </w:r>
      <w:r w:rsidRPr="00AC407F" w:rsidR="00976DA9">
        <w:rPr>
          <w:bCs/>
          <w:color w:val="000000"/>
        </w:rPr>
        <w:t xml:space="preserve"> </w:t>
      </w:r>
      <w:r w:rsidRPr="00AC407F" w:rsidR="00190BE0">
        <w:rPr>
          <w:bCs/>
          <w:color w:val="000000"/>
        </w:rPr>
        <w:t>months after the initial training works</w:t>
      </w:r>
      <w:r w:rsidRPr="00CC1D2C" w:rsidR="00190BE0">
        <w:rPr>
          <w:bCs/>
          <w:color w:val="000000"/>
        </w:rPr>
        <w:t>hops in both states</w:t>
      </w:r>
      <w:r w:rsidRPr="00AC407F" w:rsidR="00190BE0">
        <w:rPr>
          <w:bCs/>
          <w:color w:val="000000"/>
        </w:rPr>
        <w:t xml:space="preserve">.  </w:t>
      </w:r>
      <w:r w:rsidRPr="007141A0" w:rsidR="00190BE0">
        <w:rPr>
          <w:bCs/>
          <w:color w:val="000000"/>
          <w:highlight w:val="yellow"/>
        </w:rPr>
        <w:t xml:space="preserve">In addition, one-hour qualitative interviews will be conducted with </w:t>
      </w:r>
      <w:r w:rsidRPr="007141A0" w:rsidR="00976DA9">
        <w:rPr>
          <w:bCs/>
          <w:color w:val="000000"/>
          <w:highlight w:val="yellow"/>
        </w:rPr>
        <w:t xml:space="preserve">a total of </w:t>
      </w:r>
      <w:r w:rsidRPr="007141A0" w:rsidR="00AC407F">
        <w:rPr>
          <w:bCs/>
          <w:color w:val="000000"/>
          <w:highlight w:val="yellow"/>
        </w:rPr>
        <w:t xml:space="preserve">~8 </w:t>
      </w:r>
      <w:r w:rsidRPr="007141A0" w:rsidR="00190BE0">
        <w:rPr>
          <w:bCs/>
          <w:color w:val="000000"/>
          <w:highlight w:val="yellow"/>
        </w:rPr>
        <w:t xml:space="preserve">AIM Team Leads </w:t>
      </w:r>
      <w:r w:rsidRPr="007141A0" w:rsidR="00AC407F">
        <w:rPr>
          <w:bCs/>
          <w:color w:val="000000"/>
          <w:highlight w:val="yellow"/>
        </w:rPr>
        <w:t>and 30-minute qualitative interviews with ~</w:t>
      </w:r>
      <w:r w:rsidRPr="007141A0" w:rsidR="00FB61AE">
        <w:rPr>
          <w:bCs/>
          <w:color w:val="000000"/>
          <w:highlight w:val="yellow"/>
        </w:rPr>
        <w:t>32</w:t>
      </w:r>
      <w:r w:rsidRPr="007141A0" w:rsidR="00AC407F">
        <w:rPr>
          <w:bCs/>
          <w:color w:val="000000"/>
          <w:highlight w:val="yellow"/>
        </w:rPr>
        <w:t xml:space="preserve"> frontline staff </w:t>
      </w:r>
      <w:r w:rsidRPr="007141A0" w:rsidR="00190BE0">
        <w:rPr>
          <w:bCs/>
          <w:color w:val="000000"/>
          <w:highlight w:val="yellow"/>
        </w:rPr>
        <w:t xml:space="preserve">in </w:t>
      </w:r>
      <w:r w:rsidRPr="007141A0" w:rsidR="00AC407F">
        <w:rPr>
          <w:bCs/>
          <w:color w:val="000000"/>
          <w:highlight w:val="yellow"/>
        </w:rPr>
        <w:t>~8 hospitals</w:t>
      </w:r>
      <w:r w:rsidRPr="007141A0" w:rsidR="00190BE0">
        <w:rPr>
          <w:bCs/>
          <w:color w:val="000000"/>
          <w:highlight w:val="yellow"/>
        </w:rPr>
        <w:t>.</w:t>
      </w:r>
      <w:r w:rsidRPr="007141A0" w:rsidR="00AC407F">
        <w:rPr>
          <w:bCs/>
          <w:color w:val="000000"/>
          <w:highlight w:val="yellow"/>
        </w:rPr>
        <w:t xml:space="preserve"> And, ~8 one-hour focus group discussions with a total of ~40 AIM Team Leads and frontline staff in the same hospitals.</w:t>
      </w:r>
    </w:p>
    <w:p w:rsidR="00190BE0" w:rsidP="000A5937" w:rsidRDefault="00190BE0" w14:paraId="0A8095F4" w14:textId="77777777">
      <w:pPr>
        <w:rPr>
          <w:bCs/>
          <w:color w:val="000000"/>
        </w:rPr>
      </w:pPr>
    </w:p>
    <w:p w:rsidR="00190BE0" w:rsidP="000A5937" w:rsidRDefault="007937AE" w14:paraId="02056C77" w14:textId="77777777">
      <w:pPr>
        <w:rPr>
          <w:bCs/>
          <w:color w:val="000000"/>
        </w:rPr>
      </w:pPr>
      <w:r>
        <w:rPr>
          <w:bCs/>
          <w:color w:val="000000"/>
        </w:rPr>
        <w:t xml:space="preserve">We will inform AIM Team Leads of the </w:t>
      </w:r>
      <w:r w:rsidR="00190BE0">
        <w:rPr>
          <w:bCs/>
          <w:color w:val="000000"/>
        </w:rPr>
        <w:t xml:space="preserve">DUAs </w:t>
      </w:r>
      <w:r>
        <w:rPr>
          <w:bCs/>
          <w:color w:val="000000"/>
        </w:rPr>
        <w:t xml:space="preserve">put in place </w:t>
      </w:r>
      <w:r w:rsidR="00190BE0">
        <w:rPr>
          <w:bCs/>
          <w:color w:val="000000"/>
        </w:rPr>
        <w:t xml:space="preserve">to access </w:t>
      </w:r>
      <w:r w:rsidR="009768AE">
        <w:rPr>
          <w:bCs/>
          <w:color w:val="000000"/>
        </w:rPr>
        <w:t xml:space="preserve">their hospital's </w:t>
      </w:r>
      <w:r w:rsidR="00A11AAD">
        <w:rPr>
          <w:bCs/>
          <w:color w:val="000000"/>
        </w:rPr>
        <w:t xml:space="preserve">AIM </w:t>
      </w:r>
      <w:r w:rsidR="009768AE">
        <w:rPr>
          <w:bCs/>
          <w:color w:val="000000"/>
        </w:rPr>
        <w:t xml:space="preserve">program </w:t>
      </w:r>
      <w:r w:rsidR="00A11AAD">
        <w:rPr>
          <w:bCs/>
          <w:color w:val="000000"/>
        </w:rPr>
        <w:t>data</w:t>
      </w:r>
      <w:r>
        <w:rPr>
          <w:bCs/>
          <w:color w:val="000000"/>
        </w:rPr>
        <w:t xml:space="preserve"> – this </w:t>
      </w:r>
      <w:r w:rsidR="00A11AAD">
        <w:rPr>
          <w:bCs/>
          <w:color w:val="000000"/>
        </w:rPr>
        <w:t>will take about 5 minutes.</w:t>
      </w:r>
    </w:p>
    <w:p w:rsidRPr="00EC5625" w:rsidR="00190BE0" w:rsidP="000A5937" w:rsidRDefault="00190BE0" w14:paraId="251EB4E6" w14:textId="77777777">
      <w:pPr>
        <w:rPr>
          <w:bCs/>
          <w:color w:val="000000"/>
        </w:rPr>
      </w:pPr>
    </w:p>
    <w:p w:rsidRPr="00EC5625" w:rsidR="00F2261B" w:rsidP="000A5937" w:rsidRDefault="00F2261B" w14:paraId="260EA0B8" w14:textId="64314292">
      <w:pPr>
        <w:rPr>
          <w:bCs/>
          <w:color w:val="000000"/>
        </w:rPr>
      </w:pPr>
      <w:r w:rsidRPr="00F122B4">
        <w:rPr>
          <w:bCs/>
          <w:color w:val="000000"/>
        </w:rPr>
        <w:t xml:space="preserve">The total annual burden hours are estimated to be </w:t>
      </w:r>
      <w:r w:rsidRPr="007141A0">
        <w:rPr>
          <w:bCs/>
          <w:color w:val="000000"/>
          <w:highlight w:val="yellow"/>
        </w:rPr>
        <w:t>54,</w:t>
      </w:r>
      <w:r w:rsidRPr="007141A0" w:rsidR="00DD1BA3">
        <w:rPr>
          <w:bCs/>
          <w:color w:val="000000"/>
          <w:highlight w:val="yellow"/>
        </w:rPr>
        <w:t>693</w:t>
      </w:r>
      <w:r w:rsidRPr="00F122B4" w:rsidR="00DD1BA3">
        <w:rPr>
          <w:bCs/>
          <w:color w:val="000000"/>
        </w:rPr>
        <w:t xml:space="preserve"> </w:t>
      </w:r>
      <w:r w:rsidRPr="00F122B4">
        <w:rPr>
          <w:bCs/>
          <w:color w:val="000000"/>
        </w:rPr>
        <w:t>hours.</w:t>
      </w:r>
    </w:p>
    <w:p w:rsidR="00C15925" w:rsidP="000A5937" w:rsidRDefault="00C15925" w14:paraId="1A387010" w14:textId="77777777">
      <w:pPr>
        <w:rPr>
          <w:b/>
          <w:bCs/>
          <w:color w:val="000000"/>
        </w:rPr>
      </w:pPr>
    </w:p>
    <w:p w:rsidR="000A5937" w:rsidP="000A5937" w:rsidRDefault="000A5937" w14:paraId="022FD8A7" w14:textId="77777777">
      <w:pPr>
        <w:rPr>
          <w:b/>
          <w:bCs/>
          <w:color w:val="000000"/>
        </w:rPr>
      </w:pPr>
      <w:r>
        <w:rPr>
          <w:b/>
          <w:bCs/>
          <w:color w:val="000000"/>
        </w:rPr>
        <w:t>Exhibit 1.  Estimated annualized burden hours</w:t>
      </w:r>
    </w:p>
    <w:p w:rsidR="000A34D9" w:rsidP="000A5937" w:rsidRDefault="000A34D9" w14:paraId="0097330C" w14:textId="77777777"/>
    <w:tbl>
      <w:tblPr>
        <w:tblW w:w="0" w:type="auto"/>
        <w:jc w:val="center"/>
        <w:tblCellMar>
          <w:left w:w="0" w:type="dxa"/>
          <w:right w:w="0" w:type="dxa"/>
        </w:tblCellMar>
        <w:tblLook w:val="0000" w:firstRow="0" w:lastRow="0" w:firstColumn="0" w:lastColumn="0" w:noHBand="0" w:noVBand="0"/>
      </w:tblPr>
      <w:tblGrid>
        <w:gridCol w:w="3353"/>
        <w:gridCol w:w="1728"/>
        <w:gridCol w:w="1408"/>
        <w:gridCol w:w="1044"/>
        <w:gridCol w:w="1087"/>
      </w:tblGrid>
      <w:tr w:rsidRPr="00236877" w:rsidR="000A5937" w:rsidTr="002133EA" w14:paraId="72C4FA78" w14:textId="77777777">
        <w:trPr>
          <w:jc w:val="center"/>
        </w:trPr>
        <w:tc>
          <w:tcPr>
            <w:tcW w:w="335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14:paraId="438E0590" w14:textId="77777777">
            <w:pPr>
              <w:jc w:val="center"/>
              <w:rPr>
                <w:sz w:val="22"/>
                <w:szCs w:val="22"/>
              </w:rPr>
            </w:pPr>
            <w:r w:rsidRPr="009116B1">
              <w:rPr>
                <w:color w:val="000000"/>
                <w:sz w:val="22"/>
                <w:szCs w:val="22"/>
              </w:rPr>
              <w:t>Form Name</w:t>
            </w:r>
          </w:p>
        </w:tc>
        <w:tc>
          <w:tcPr>
            <w:tcW w:w="17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14:paraId="3A784A9C" w14:textId="77777777">
            <w:pPr>
              <w:jc w:val="center"/>
              <w:rPr>
                <w:sz w:val="22"/>
                <w:szCs w:val="22"/>
              </w:rPr>
            </w:pPr>
            <w:r w:rsidRPr="009116B1">
              <w:rPr>
                <w:color w:val="000000"/>
                <w:sz w:val="22"/>
                <w:szCs w:val="22"/>
              </w:rPr>
              <w:t>Number of respondents</w:t>
            </w:r>
          </w:p>
        </w:tc>
        <w:tc>
          <w:tcPr>
            <w:tcW w:w="14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14:paraId="33D31F96" w14:textId="77777777">
            <w:pPr>
              <w:jc w:val="center"/>
              <w:rPr>
                <w:sz w:val="22"/>
                <w:szCs w:val="22"/>
              </w:rPr>
            </w:pPr>
            <w:r w:rsidRPr="009116B1">
              <w:rPr>
                <w:sz w:val="22"/>
                <w:szCs w:val="22"/>
              </w:rPr>
              <w:t>Number of responses per respondent</w:t>
            </w:r>
          </w:p>
        </w:tc>
        <w:tc>
          <w:tcPr>
            <w:tcW w:w="1044" w:type="dxa"/>
            <w:tcBorders>
              <w:top w:val="single" w:color="auto" w:sz="8" w:space="0"/>
              <w:left w:val="nil"/>
              <w:bottom w:val="single" w:color="auto" w:sz="8" w:space="0"/>
              <w:right w:val="single" w:color="auto" w:sz="8" w:space="0"/>
            </w:tcBorders>
            <w:vAlign w:val="center"/>
          </w:tcPr>
          <w:p w:rsidRPr="009116B1" w:rsidR="000A5937" w:rsidP="00EF740D" w:rsidRDefault="000A5937" w14:paraId="456F79F6" w14:textId="77777777">
            <w:pPr>
              <w:jc w:val="center"/>
              <w:rPr>
                <w:sz w:val="22"/>
                <w:szCs w:val="22"/>
              </w:rPr>
            </w:pPr>
            <w:r w:rsidRPr="009116B1">
              <w:rPr>
                <w:color w:val="000000"/>
                <w:sz w:val="22"/>
                <w:szCs w:val="22"/>
              </w:rPr>
              <w:t>Hours per response</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14:paraId="60A69C3F" w14:textId="77777777">
            <w:pPr>
              <w:jc w:val="center"/>
              <w:rPr>
                <w:sz w:val="22"/>
                <w:szCs w:val="22"/>
              </w:rPr>
            </w:pPr>
            <w:r w:rsidRPr="009116B1">
              <w:rPr>
                <w:color w:val="000000"/>
                <w:sz w:val="22"/>
                <w:szCs w:val="22"/>
              </w:rPr>
              <w:t>Total burden hours</w:t>
            </w:r>
          </w:p>
        </w:tc>
      </w:tr>
      <w:tr w:rsidRPr="00236877" w:rsidR="00572165" w:rsidTr="002133EA" w14:paraId="5A35C822"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09C9C8C8" w14:textId="77777777">
            <w:pPr>
              <w:rPr>
                <w:sz w:val="22"/>
                <w:szCs w:val="22"/>
              </w:rPr>
            </w:pPr>
            <w:r w:rsidRPr="009116B1">
              <w:rPr>
                <w:sz w:val="22"/>
                <w:szCs w:val="22"/>
              </w:rPr>
              <w:t>Training of AIM Team Leads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1D284573" w14:textId="77777777">
            <w:pPr>
              <w:jc w:val="center"/>
              <w:rPr>
                <w:color w:val="000000"/>
              </w:rPr>
            </w:pPr>
            <w:r>
              <w:rPr>
                <w:color w:val="000000"/>
              </w:rPr>
              <w:t>387</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2CFD075F"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84665D" w14:paraId="0210A301" w14:textId="77777777">
            <w:pPr>
              <w:jc w:val="center"/>
              <w:rPr>
                <w:color w:val="000000"/>
              </w:rPr>
            </w:pPr>
            <w:r>
              <w:rPr>
                <w:color w:val="000000"/>
              </w:rPr>
              <w:t>8</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84665D" w14:paraId="534A0885" w14:textId="77777777">
            <w:pPr>
              <w:jc w:val="center"/>
              <w:rPr>
                <w:color w:val="000000"/>
              </w:rPr>
            </w:pPr>
            <w:r>
              <w:rPr>
                <w:color w:val="000000"/>
              </w:rPr>
              <w:t>3,096</w:t>
            </w:r>
          </w:p>
        </w:tc>
      </w:tr>
      <w:tr w:rsidRPr="00236877" w:rsidR="00572165" w:rsidTr="002133EA" w14:paraId="2B91E9AC"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A0527F" w14:paraId="5C4BADD2" w14:textId="77777777">
            <w:pPr>
              <w:rPr>
                <w:sz w:val="22"/>
                <w:szCs w:val="22"/>
              </w:rPr>
            </w:pPr>
            <w:r>
              <w:rPr>
                <w:sz w:val="22"/>
                <w:szCs w:val="22"/>
              </w:rPr>
              <w:t xml:space="preserve">Frontline staff rosters developed by </w:t>
            </w:r>
            <w:r w:rsidRPr="009116B1" w:rsidR="00572165">
              <w:rPr>
                <w:sz w:val="22"/>
                <w:szCs w:val="22"/>
              </w:rPr>
              <w:t>AIM Team Leads</w:t>
            </w:r>
            <w:r>
              <w:rPr>
                <w:sz w:val="22"/>
                <w:szCs w:val="22"/>
              </w:rPr>
              <w:t xml:space="preserve"> </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A0527F" w14:paraId="5E583996" w14:textId="77777777">
            <w:pPr>
              <w:jc w:val="center"/>
              <w:rPr>
                <w:color w:val="000000"/>
              </w:rPr>
            </w:pPr>
            <w:r>
              <w:rPr>
                <w:color w:val="000000"/>
              </w:rPr>
              <w:t>258</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79A629B2" w14:textId="77777777">
            <w:pPr>
              <w:jc w:val="center"/>
              <w:rPr>
                <w:color w:val="000000"/>
              </w:rPr>
            </w:pPr>
            <w:r>
              <w:rPr>
                <w:color w:val="000000"/>
              </w:rPr>
              <w:t>6</w:t>
            </w:r>
          </w:p>
        </w:tc>
        <w:tc>
          <w:tcPr>
            <w:tcW w:w="1044" w:type="dxa"/>
            <w:tcBorders>
              <w:top w:val="nil"/>
              <w:left w:val="nil"/>
              <w:bottom w:val="single" w:color="auto" w:sz="8" w:space="0"/>
              <w:right w:val="single" w:color="auto" w:sz="8" w:space="0"/>
            </w:tcBorders>
            <w:vAlign w:val="center"/>
          </w:tcPr>
          <w:p w:rsidR="00572165" w:rsidP="00572165" w:rsidRDefault="00572165" w14:paraId="769A9BAE" w14:textId="77777777">
            <w:pPr>
              <w:jc w:val="center"/>
              <w:rPr>
                <w:color w:val="000000"/>
              </w:rPr>
            </w:pPr>
            <w:r>
              <w:rPr>
                <w:color w:val="000000"/>
              </w:rPr>
              <w:t>0.08</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A0527F" w14:paraId="24535288" w14:textId="77777777">
            <w:pPr>
              <w:jc w:val="center"/>
              <w:rPr>
                <w:color w:val="000000"/>
              </w:rPr>
            </w:pPr>
            <w:r>
              <w:rPr>
                <w:color w:val="000000"/>
              </w:rPr>
              <w:t>124</w:t>
            </w:r>
          </w:p>
        </w:tc>
      </w:tr>
      <w:tr w:rsidRPr="00236877" w:rsidR="00572165" w:rsidTr="002133EA" w14:paraId="113F8290"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17BE4327" w14:textId="77777777">
            <w:pPr>
              <w:rPr>
                <w:sz w:val="22"/>
                <w:szCs w:val="22"/>
              </w:rPr>
            </w:pPr>
            <w:r w:rsidRPr="009116B1">
              <w:rPr>
                <w:sz w:val="22"/>
                <w:szCs w:val="22"/>
              </w:rPr>
              <w:t>Evaluation form for training of AIM Team Leads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7922F692" w14:textId="77777777">
            <w:pPr>
              <w:jc w:val="center"/>
              <w:rPr>
                <w:color w:val="000000"/>
              </w:rPr>
            </w:pPr>
            <w:r>
              <w:rPr>
                <w:color w:val="000000"/>
              </w:rPr>
              <w:t>290</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4D5A4336"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1AD15858" w14:textId="77777777">
            <w:pPr>
              <w:jc w:val="center"/>
              <w:rPr>
                <w:color w:val="000000"/>
              </w:rPr>
            </w:pPr>
            <w:r>
              <w:rPr>
                <w:color w:val="000000"/>
              </w:rPr>
              <w:t>0.08</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14:paraId="6C36E6C2" w14:textId="77777777">
            <w:pPr>
              <w:jc w:val="center"/>
              <w:rPr>
                <w:color w:val="000000"/>
              </w:rPr>
            </w:pPr>
            <w:r>
              <w:rPr>
                <w:color w:val="000000"/>
              </w:rPr>
              <w:t>23</w:t>
            </w:r>
          </w:p>
        </w:tc>
      </w:tr>
      <w:tr w:rsidRPr="00236877" w:rsidR="00572165" w:rsidTr="002133EA" w14:paraId="201407F2"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4C8078F2" w14:textId="77777777">
            <w:pPr>
              <w:rPr>
                <w:sz w:val="22"/>
                <w:szCs w:val="22"/>
              </w:rPr>
            </w:pPr>
            <w:r w:rsidRPr="009116B1">
              <w:rPr>
                <w:sz w:val="22"/>
                <w:szCs w:val="22"/>
              </w:rPr>
              <w:t>Training of frontline clinical staff</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77ACC350" w14:textId="77777777">
            <w:pPr>
              <w:jc w:val="center"/>
              <w:rPr>
                <w:color w:val="000000"/>
              </w:rPr>
            </w:pPr>
            <w:r>
              <w:rPr>
                <w:color w:val="000000"/>
              </w:rPr>
              <w:t>15,480</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39CDC761"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26669CB2" w14:textId="77777777">
            <w:pPr>
              <w:jc w:val="center"/>
              <w:rPr>
                <w:color w:val="000000"/>
              </w:rPr>
            </w:pPr>
            <w:r>
              <w:rPr>
                <w:color w:val="000000"/>
              </w:rPr>
              <w:t>2.00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14:paraId="499624F1" w14:textId="77777777">
            <w:pPr>
              <w:jc w:val="center"/>
              <w:rPr>
                <w:color w:val="000000"/>
              </w:rPr>
            </w:pPr>
            <w:r>
              <w:rPr>
                <w:color w:val="000000"/>
              </w:rPr>
              <w:t>30,960</w:t>
            </w:r>
          </w:p>
        </w:tc>
      </w:tr>
      <w:tr w:rsidRPr="00236877" w:rsidR="00572165" w:rsidTr="002133EA" w14:paraId="70CFB1AF"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3B8192F3" w14:textId="77777777">
            <w:pPr>
              <w:rPr>
                <w:sz w:val="22"/>
                <w:szCs w:val="22"/>
              </w:rPr>
            </w:pPr>
            <w:r w:rsidRPr="009116B1">
              <w:rPr>
                <w:sz w:val="22"/>
                <w:szCs w:val="22"/>
              </w:rPr>
              <w:t>Facilitation sessions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74EF4B6B" w14:textId="77777777">
            <w:pPr>
              <w:jc w:val="center"/>
              <w:rPr>
                <w:color w:val="000000"/>
              </w:rPr>
            </w:pPr>
            <w:r>
              <w:rPr>
                <w:color w:val="000000"/>
              </w:rPr>
              <w:t>15,480</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1B2D2B3B" w14:textId="77777777">
            <w:pPr>
              <w:jc w:val="center"/>
              <w:rPr>
                <w:color w:val="000000"/>
              </w:rPr>
            </w:pPr>
            <w:r>
              <w:rPr>
                <w:color w:val="000000"/>
              </w:rPr>
              <w:t>4</w:t>
            </w:r>
          </w:p>
        </w:tc>
        <w:tc>
          <w:tcPr>
            <w:tcW w:w="1044" w:type="dxa"/>
            <w:tcBorders>
              <w:top w:val="nil"/>
              <w:left w:val="nil"/>
              <w:bottom w:val="single" w:color="auto" w:sz="8" w:space="0"/>
              <w:right w:val="single" w:color="auto" w:sz="8" w:space="0"/>
            </w:tcBorders>
            <w:vAlign w:val="center"/>
          </w:tcPr>
          <w:p w:rsidR="00572165" w:rsidP="00572165" w:rsidRDefault="00572165" w14:paraId="2EE02484" w14:textId="77777777">
            <w:pPr>
              <w:jc w:val="center"/>
              <w:rPr>
                <w:color w:val="000000"/>
              </w:rPr>
            </w:pPr>
            <w:r>
              <w:rPr>
                <w:color w:val="000000"/>
              </w:rPr>
              <w:t>0.25</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14:paraId="67E5AAA0" w14:textId="77777777">
            <w:pPr>
              <w:jc w:val="center"/>
              <w:rPr>
                <w:color w:val="000000"/>
              </w:rPr>
            </w:pPr>
            <w:r>
              <w:rPr>
                <w:color w:val="000000"/>
              </w:rPr>
              <w:t>15,480</w:t>
            </w:r>
          </w:p>
        </w:tc>
      </w:tr>
      <w:tr w:rsidRPr="00236877" w:rsidR="00572165" w:rsidTr="002133EA" w14:paraId="7E8E66B7"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6AE0868D" w14:textId="77777777">
            <w:pPr>
              <w:rPr>
                <w:sz w:val="22"/>
                <w:szCs w:val="22"/>
              </w:rPr>
            </w:pPr>
            <w:r w:rsidRPr="009116B1">
              <w:rPr>
                <w:sz w:val="22"/>
                <w:szCs w:val="22"/>
              </w:rPr>
              <w:t>Tracking attendance of facilitation sessions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4296B25A" w14:textId="77777777">
            <w:pPr>
              <w:jc w:val="center"/>
              <w:rPr>
                <w:color w:val="000000"/>
              </w:rPr>
            </w:pPr>
            <w:r>
              <w:rPr>
                <w:color w:val="000000"/>
              </w:rPr>
              <w:t>258</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2A450C86" w14:textId="77777777">
            <w:pPr>
              <w:jc w:val="center"/>
              <w:rPr>
                <w:color w:val="000000"/>
              </w:rPr>
            </w:pPr>
            <w:r>
              <w:rPr>
                <w:color w:val="000000"/>
              </w:rPr>
              <w:t>4</w:t>
            </w:r>
          </w:p>
        </w:tc>
        <w:tc>
          <w:tcPr>
            <w:tcW w:w="1044" w:type="dxa"/>
            <w:tcBorders>
              <w:top w:val="nil"/>
              <w:left w:val="nil"/>
              <w:bottom w:val="single" w:color="auto" w:sz="8" w:space="0"/>
              <w:right w:val="single" w:color="auto" w:sz="8" w:space="0"/>
            </w:tcBorders>
            <w:vAlign w:val="center"/>
          </w:tcPr>
          <w:p w:rsidR="00572165" w:rsidP="00572165" w:rsidRDefault="00572165" w14:paraId="35FE44C0" w14:textId="77777777">
            <w:pPr>
              <w:jc w:val="center"/>
              <w:rPr>
                <w:color w:val="000000"/>
              </w:rPr>
            </w:pPr>
            <w:r>
              <w:rPr>
                <w:color w:val="000000"/>
              </w:rPr>
              <w:t>1.00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14:paraId="76A04BF1" w14:textId="77777777">
            <w:pPr>
              <w:jc w:val="center"/>
              <w:rPr>
                <w:color w:val="000000"/>
              </w:rPr>
            </w:pPr>
            <w:r>
              <w:rPr>
                <w:color w:val="000000"/>
              </w:rPr>
              <w:t>1,032</w:t>
            </w:r>
          </w:p>
        </w:tc>
      </w:tr>
      <w:tr w:rsidRPr="00236877" w:rsidR="00572165" w:rsidTr="002133EA" w14:paraId="27C49302"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38077896" w14:textId="77777777">
            <w:pPr>
              <w:rPr>
                <w:sz w:val="22"/>
                <w:szCs w:val="22"/>
              </w:rPr>
            </w:pPr>
            <w:r w:rsidRPr="009116B1">
              <w:rPr>
                <w:sz w:val="22"/>
                <w:szCs w:val="22"/>
              </w:rPr>
              <w:t>Coaching calls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11A9E0F2" w14:textId="77777777">
            <w:pPr>
              <w:jc w:val="center"/>
              <w:rPr>
                <w:color w:val="000000"/>
              </w:rPr>
            </w:pPr>
            <w:r>
              <w:rPr>
                <w:color w:val="000000"/>
              </w:rPr>
              <w:t>129</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3D275E35" w14:textId="77777777">
            <w:pPr>
              <w:jc w:val="center"/>
              <w:rPr>
                <w:color w:val="000000"/>
              </w:rPr>
            </w:pPr>
            <w:r>
              <w:rPr>
                <w:color w:val="000000"/>
              </w:rPr>
              <w:t>18</w:t>
            </w:r>
          </w:p>
        </w:tc>
        <w:tc>
          <w:tcPr>
            <w:tcW w:w="1044" w:type="dxa"/>
            <w:tcBorders>
              <w:top w:val="nil"/>
              <w:left w:val="nil"/>
              <w:bottom w:val="single" w:color="auto" w:sz="8" w:space="0"/>
              <w:right w:val="single" w:color="auto" w:sz="8" w:space="0"/>
            </w:tcBorders>
            <w:vAlign w:val="center"/>
          </w:tcPr>
          <w:p w:rsidR="00572165" w:rsidP="00572165" w:rsidRDefault="00572165" w14:paraId="2A55FD3C" w14:textId="77777777">
            <w:pPr>
              <w:jc w:val="center"/>
              <w:rPr>
                <w:color w:val="000000"/>
              </w:rPr>
            </w:pPr>
            <w:r>
              <w:rPr>
                <w:color w:val="000000"/>
              </w:rPr>
              <w:t>1.00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14:paraId="3FE0A271" w14:textId="77777777">
            <w:pPr>
              <w:jc w:val="center"/>
              <w:rPr>
                <w:color w:val="000000"/>
              </w:rPr>
            </w:pPr>
            <w:r>
              <w:rPr>
                <w:color w:val="000000"/>
              </w:rPr>
              <w:t>2,322</w:t>
            </w:r>
          </w:p>
        </w:tc>
      </w:tr>
      <w:tr w:rsidRPr="00236877" w:rsidR="00572165" w:rsidTr="002133EA" w14:paraId="35A7EFA3"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3B4871EB" w14:textId="77777777">
            <w:pPr>
              <w:rPr>
                <w:sz w:val="22"/>
                <w:szCs w:val="22"/>
              </w:rPr>
            </w:pPr>
            <w:r w:rsidRPr="009116B1">
              <w:rPr>
                <w:color w:val="000000"/>
                <w:sz w:val="22"/>
                <w:szCs w:val="22"/>
              </w:rPr>
              <w:t>Self-administered baseline surveys with AIM Team Leads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65471511" w14:textId="77777777">
            <w:pPr>
              <w:jc w:val="center"/>
              <w:rPr>
                <w:color w:val="000000"/>
              </w:rPr>
            </w:pPr>
            <w:r>
              <w:rPr>
                <w:color w:val="000000"/>
              </w:rPr>
              <w:t>258</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73001F10"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66B4AC9C" w14:textId="77777777">
            <w:pPr>
              <w:jc w:val="center"/>
              <w:rPr>
                <w:color w:val="000000"/>
              </w:rPr>
            </w:pPr>
            <w:r>
              <w:rPr>
                <w:color w:val="000000"/>
              </w:rPr>
              <w:t>0.33</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14:paraId="3C4EC9FE" w14:textId="77777777">
            <w:pPr>
              <w:jc w:val="center"/>
              <w:rPr>
                <w:color w:val="000000"/>
              </w:rPr>
            </w:pPr>
            <w:r>
              <w:rPr>
                <w:color w:val="000000"/>
              </w:rPr>
              <w:t>85</w:t>
            </w:r>
          </w:p>
        </w:tc>
      </w:tr>
      <w:tr w:rsidRPr="00236877" w:rsidR="00572165" w:rsidTr="002133EA" w14:paraId="7D699D0C"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06A11C4E" w14:textId="77777777">
            <w:pPr>
              <w:rPr>
                <w:sz w:val="22"/>
                <w:szCs w:val="22"/>
              </w:rPr>
            </w:pPr>
            <w:r w:rsidRPr="009116B1">
              <w:rPr>
                <w:color w:val="000000"/>
                <w:sz w:val="22"/>
                <w:szCs w:val="22"/>
              </w:rPr>
              <w:t>Self-administered baseline surveys with clinical staff</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6DC798E0" w14:textId="77777777">
            <w:pPr>
              <w:jc w:val="center"/>
              <w:rPr>
                <w:color w:val="000000"/>
              </w:rPr>
            </w:pPr>
            <w:r>
              <w:rPr>
                <w:color w:val="000000"/>
              </w:rPr>
              <w:t>774</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1D40C097"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58291408" w14:textId="77777777">
            <w:pPr>
              <w:jc w:val="center"/>
              <w:rPr>
                <w:color w:val="000000"/>
              </w:rPr>
            </w:pPr>
            <w:r>
              <w:rPr>
                <w:color w:val="000000"/>
              </w:rPr>
              <w:t>0.42</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14:paraId="3AF25312" w14:textId="77777777">
            <w:pPr>
              <w:jc w:val="center"/>
              <w:rPr>
                <w:color w:val="000000"/>
              </w:rPr>
            </w:pPr>
            <w:r>
              <w:rPr>
                <w:color w:val="000000"/>
              </w:rPr>
              <w:t>325</w:t>
            </w:r>
          </w:p>
        </w:tc>
      </w:tr>
      <w:tr w:rsidRPr="007141A0" w:rsidR="00572165" w:rsidTr="002133EA" w14:paraId="04248E91"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572165" w:rsidP="00572165" w:rsidRDefault="00572165" w14:paraId="57BAC873" w14:textId="77777777">
            <w:pPr>
              <w:rPr>
                <w:sz w:val="22"/>
                <w:szCs w:val="22"/>
                <w:highlight w:val="yellow"/>
              </w:rPr>
            </w:pPr>
            <w:r w:rsidRPr="007141A0">
              <w:rPr>
                <w:color w:val="000000"/>
                <w:sz w:val="22"/>
                <w:szCs w:val="22"/>
                <w:highlight w:val="yellow"/>
              </w:rPr>
              <w:t>Qualitative semi-structured interviews with AIM Team Leads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572165" w:rsidP="00572165" w:rsidRDefault="003F2858" w14:paraId="33A8BD9E" w14:textId="50D3CAD5">
            <w:pPr>
              <w:jc w:val="center"/>
              <w:rPr>
                <w:color w:val="000000"/>
                <w:highlight w:val="yellow"/>
              </w:rPr>
            </w:pPr>
            <w:r w:rsidRPr="007141A0">
              <w:rPr>
                <w:color w:val="000000"/>
                <w:highlight w:val="yellow"/>
              </w:rPr>
              <w:t>8</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572165" w:rsidP="00572165" w:rsidRDefault="00572165" w14:paraId="6B7F2811" w14:textId="77777777">
            <w:pPr>
              <w:jc w:val="center"/>
              <w:rPr>
                <w:color w:val="000000"/>
                <w:highlight w:val="yellow"/>
              </w:rPr>
            </w:pPr>
            <w:r w:rsidRPr="007141A0">
              <w:rPr>
                <w:color w:val="000000"/>
                <w:highlight w:val="yellow"/>
              </w:rPr>
              <w:t>1</w:t>
            </w:r>
          </w:p>
        </w:tc>
        <w:tc>
          <w:tcPr>
            <w:tcW w:w="1044" w:type="dxa"/>
            <w:tcBorders>
              <w:top w:val="nil"/>
              <w:left w:val="nil"/>
              <w:bottom w:val="single" w:color="auto" w:sz="8" w:space="0"/>
              <w:right w:val="single" w:color="auto" w:sz="8" w:space="0"/>
            </w:tcBorders>
            <w:vAlign w:val="center"/>
          </w:tcPr>
          <w:p w:rsidRPr="007141A0" w:rsidR="00572165" w:rsidP="00572165" w:rsidRDefault="00572165" w14:paraId="083113EF" w14:textId="77777777">
            <w:pPr>
              <w:jc w:val="center"/>
              <w:rPr>
                <w:color w:val="000000"/>
                <w:highlight w:val="yellow"/>
              </w:rPr>
            </w:pPr>
            <w:r w:rsidRPr="007141A0">
              <w:rPr>
                <w:color w:val="000000"/>
                <w:highlight w:val="yellow"/>
              </w:rPr>
              <w:t>1.00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572165" w:rsidP="00780E2E" w:rsidRDefault="003F2858" w14:paraId="5DD65FC2" w14:textId="68192784">
            <w:pPr>
              <w:jc w:val="center"/>
              <w:rPr>
                <w:color w:val="000000"/>
                <w:highlight w:val="yellow"/>
              </w:rPr>
            </w:pPr>
            <w:r w:rsidRPr="007141A0">
              <w:rPr>
                <w:color w:val="000000"/>
                <w:highlight w:val="yellow"/>
              </w:rPr>
              <w:t>8</w:t>
            </w:r>
          </w:p>
        </w:tc>
      </w:tr>
      <w:tr w:rsidRPr="007141A0" w:rsidR="002133EA" w:rsidTr="002133EA" w14:paraId="37F5FC75"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2133EA" w:rsidP="002133EA" w:rsidRDefault="002133EA" w14:paraId="6D019AD4" w14:textId="34AC8BFF">
            <w:pPr>
              <w:rPr>
                <w:color w:val="000000"/>
                <w:sz w:val="22"/>
                <w:szCs w:val="22"/>
                <w:highlight w:val="yellow"/>
              </w:rPr>
            </w:pPr>
            <w:r w:rsidRPr="007141A0">
              <w:rPr>
                <w:color w:val="000000"/>
                <w:sz w:val="22"/>
                <w:szCs w:val="22"/>
                <w:highlight w:val="yellow"/>
              </w:rPr>
              <w:t>Qualitative semi-structured interviews with frontline staff</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2133EA" w:rsidDel="003F2858" w:rsidP="00FB61AE" w:rsidRDefault="00FB61AE" w14:paraId="719D9AD1" w14:textId="280DE080">
            <w:pPr>
              <w:jc w:val="center"/>
              <w:rPr>
                <w:color w:val="000000"/>
                <w:highlight w:val="yellow"/>
              </w:rPr>
            </w:pPr>
            <w:r w:rsidRPr="007141A0">
              <w:rPr>
                <w:color w:val="000000"/>
                <w:highlight w:val="yellow"/>
              </w:rPr>
              <w:t>32</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2133EA" w:rsidP="002133EA" w:rsidRDefault="002133EA" w14:paraId="46494208" w14:textId="01978A5A">
            <w:pPr>
              <w:jc w:val="center"/>
              <w:rPr>
                <w:color w:val="000000"/>
                <w:highlight w:val="yellow"/>
              </w:rPr>
            </w:pPr>
            <w:r w:rsidRPr="007141A0">
              <w:rPr>
                <w:color w:val="000000"/>
                <w:highlight w:val="yellow"/>
              </w:rPr>
              <w:t>1</w:t>
            </w:r>
          </w:p>
        </w:tc>
        <w:tc>
          <w:tcPr>
            <w:tcW w:w="1044" w:type="dxa"/>
            <w:tcBorders>
              <w:top w:val="nil"/>
              <w:left w:val="nil"/>
              <w:bottom w:val="single" w:color="auto" w:sz="8" w:space="0"/>
              <w:right w:val="single" w:color="auto" w:sz="8" w:space="0"/>
            </w:tcBorders>
            <w:vAlign w:val="center"/>
          </w:tcPr>
          <w:p w:rsidRPr="007141A0" w:rsidR="002133EA" w:rsidP="002133EA" w:rsidRDefault="002133EA" w14:paraId="0376FB5C" w14:textId="2DA3607C">
            <w:pPr>
              <w:jc w:val="center"/>
              <w:rPr>
                <w:color w:val="000000"/>
                <w:highlight w:val="yellow"/>
              </w:rPr>
            </w:pPr>
            <w:r w:rsidRPr="007141A0">
              <w:rPr>
                <w:color w:val="000000"/>
                <w:highlight w:val="yellow"/>
              </w:rPr>
              <w:t>0.50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2133EA" w:rsidDel="003F2858" w:rsidP="00FB61AE" w:rsidRDefault="002133EA" w14:paraId="0695B2B8" w14:textId="376A5768">
            <w:pPr>
              <w:jc w:val="center"/>
              <w:rPr>
                <w:color w:val="000000"/>
                <w:highlight w:val="yellow"/>
              </w:rPr>
            </w:pPr>
            <w:r w:rsidRPr="007141A0">
              <w:rPr>
                <w:color w:val="000000"/>
                <w:highlight w:val="yellow"/>
              </w:rPr>
              <w:t>1</w:t>
            </w:r>
            <w:r w:rsidRPr="007141A0" w:rsidR="00FB61AE">
              <w:rPr>
                <w:color w:val="000000"/>
                <w:highlight w:val="yellow"/>
              </w:rPr>
              <w:t>6</w:t>
            </w:r>
          </w:p>
        </w:tc>
      </w:tr>
      <w:tr w:rsidRPr="00236877" w:rsidR="003F2858" w:rsidTr="002133EA" w14:paraId="0FD61B05"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3F2858" w:rsidP="00572165" w:rsidRDefault="002133EA" w14:paraId="3575A1AF" w14:textId="6CE36B56">
            <w:pPr>
              <w:rPr>
                <w:color w:val="000000"/>
                <w:sz w:val="22"/>
                <w:szCs w:val="22"/>
                <w:highlight w:val="yellow"/>
              </w:rPr>
            </w:pPr>
            <w:r w:rsidRPr="007141A0">
              <w:rPr>
                <w:color w:val="000000"/>
                <w:sz w:val="22"/>
                <w:szCs w:val="22"/>
                <w:highlight w:val="yellow"/>
              </w:rPr>
              <w:t>Focus group discussions with AIM Team Leads and</w:t>
            </w:r>
            <w:r w:rsidRPr="007141A0" w:rsidR="003F2858">
              <w:rPr>
                <w:color w:val="000000"/>
                <w:sz w:val="22"/>
                <w:szCs w:val="22"/>
                <w:highlight w:val="yellow"/>
              </w:rPr>
              <w:t xml:space="preserve"> frontline staff</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3F2858" w:rsidP="00572165" w:rsidRDefault="002133EA" w14:paraId="7CC87429" w14:textId="4AEAAB1A">
            <w:pPr>
              <w:jc w:val="center"/>
              <w:rPr>
                <w:color w:val="000000"/>
                <w:highlight w:val="yellow"/>
              </w:rPr>
            </w:pPr>
            <w:r w:rsidRPr="007141A0">
              <w:rPr>
                <w:color w:val="000000"/>
                <w:highlight w:val="yellow"/>
              </w:rPr>
              <w:t>40</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3F2858" w:rsidP="00572165" w:rsidRDefault="003F2858" w14:paraId="311D54F0" w14:textId="7F01E42D">
            <w:pPr>
              <w:jc w:val="center"/>
              <w:rPr>
                <w:color w:val="000000"/>
                <w:highlight w:val="yellow"/>
              </w:rPr>
            </w:pPr>
            <w:r w:rsidRPr="007141A0">
              <w:rPr>
                <w:color w:val="000000"/>
                <w:highlight w:val="yellow"/>
              </w:rPr>
              <w:t>1</w:t>
            </w:r>
          </w:p>
        </w:tc>
        <w:tc>
          <w:tcPr>
            <w:tcW w:w="1044" w:type="dxa"/>
            <w:tcBorders>
              <w:top w:val="nil"/>
              <w:left w:val="nil"/>
              <w:bottom w:val="single" w:color="auto" w:sz="8" w:space="0"/>
              <w:right w:val="single" w:color="auto" w:sz="8" w:space="0"/>
            </w:tcBorders>
            <w:vAlign w:val="center"/>
          </w:tcPr>
          <w:p w:rsidRPr="007141A0" w:rsidR="003F2858" w:rsidP="00572165" w:rsidRDefault="002133EA" w14:paraId="4D504165" w14:textId="138AE4C2">
            <w:pPr>
              <w:jc w:val="center"/>
              <w:rPr>
                <w:color w:val="000000"/>
                <w:highlight w:val="yellow"/>
              </w:rPr>
            </w:pPr>
            <w:r w:rsidRPr="007141A0">
              <w:rPr>
                <w:color w:val="000000"/>
                <w:highlight w:val="yellow"/>
              </w:rPr>
              <w:t>1</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8959EB" w:rsidR="003F2858" w:rsidP="00780E2E" w:rsidRDefault="002133EA" w14:paraId="1AE9A11A" w14:textId="618463E4">
            <w:pPr>
              <w:jc w:val="center"/>
              <w:rPr>
                <w:color w:val="000000"/>
              </w:rPr>
            </w:pPr>
            <w:r w:rsidRPr="007141A0">
              <w:rPr>
                <w:color w:val="000000"/>
                <w:highlight w:val="yellow"/>
              </w:rPr>
              <w:t>40</w:t>
            </w:r>
          </w:p>
        </w:tc>
      </w:tr>
      <w:tr w:rsidRPr="00236877" w:rsidR="00572165" w:rsidTr="002133EA" w14:paraId="0BB5B791"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097DF22C" w14:textId="77777777">
            <w:pPr>
              <w:rPr>
                <w:sz w:val="22"/>
                <w:szCs w:val="22"/>
              </w:rPr>
            </w:pPr>
            <w:r w:rsidRPr="009116B1">
              <w:rPr>
                <w:color w:val="000000"/>
                <w:sz w:val="22"/>
                <w:szCs w:val="22"/>
              </w:rPr>
              <w:t>Self-administered implementation surveys with clinical staff at 6 months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3FC03CE1" w14:textId="77777777">
            <w:pPr>
              <w:jc w:val="center"/>
              <w:rPr>
                <w:color w:val="000000"/>
              </w:rPr>
            </w:pPr>
            <w:r>
              <w:rPr>
                <w:color w:val="000000"/>
              </w:rPr>
              <w:t>774</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4CEC54BC"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217B97B3" w14:textId="77777777">
            <w:pPr>
              <w:jc w:val="center"/>
              <w:rPr>
                <w:color w:val="000000"/>
              </w:rPr>
            </w:pPr>
            <w:r>
              <w:rPr>
                <w:color w:val="000000"/>
              </w:rPr>
              <w:t>0.50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14:paraId="1D777AFB" w14:textId="77777777">
            <w:pPr>
              <w:jc w:val="center"/>
              <w:rPr>
                <w:color w:val="000000"/>
              </w:rPr>
            </w:pPr>
            <w:r>
              <w:rPr>
                <w:color w:val="000000"/>
              </w:rPr>
              <w:t>387</w:t>
            </w:r>
          </w:p>
        </w:tc>
      </w:tr>
      <w:tr w:rsidRPr="00236877" w:rsidR="00572165" w:rsidTr="002133EA" w14:paraId="246A0FE3"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554FFAFC" w14:textId="77777777">
            <w:pPr>
              <w:rPr>
                <w:sz w:val="22"/>
                <w:szCs w:val="22"/>
              </w:rPr>
            </w:pPr>
            <w:r w:rsidRPr="009116B1">
              <w:rPr>
                <w:color w:val="000000"/>
                <w:sz w:val="22"/>
                <w:szCs w:val="22"/>
              </w:rPr>
              <w:lastRenderedPageBreak/>
              <w:t>Self-administered implementation surveys with clinical staff at 18 months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785C700F" w14:textId="77777777">
            <w:pPr>
              <w:jc w:val="center"/>
              <w:rPr>
                <w:color w:val="000000"/>
              </w:rPr>
            </w:pPr>
            <w:r>
              <w:rPr>
                <w:color w:val="000000"/>
              </w:rPr>
              <w:t>774</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0D43D97A"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7EFAD1B1" w14:textId="77777777">
            <w:pPr>
              <w:jc w:val="center"/>
              <w:rPr>
                <w:color w:val="000000"/>
              </w:rPr>
            </w:pPr>
            <w:r>
              <w:rPr>
                <w:color w:val="000000"/>
              </w:rPr>
              <w:t>0.50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14:paraId="774B723A" w14:textId="77777777">
            <w:pPr>
              <w:jc w:val="center"/>
              <w:rPr>
                <w:color w:val="000000"/>
              </w:rPr>
            </w:pPr>
            <w:r>
              <w:rPr>
                <w:color w:val="000000"/>
              </w:rPr>
              <w:t>387</w:t>
            </w:r>
          </w:p>
        </w:tc>
      </w:tr>
      <w:tr w:rsidRPr="00236877" w:rsidR="00572165" w:rsidTr="002133EA" w14:paraId="1983F9B3"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13F031D6" w14:textId="77777777">
            <w:pPr>
              <w:rPr>
                <w:sz w:val="22"/>
                <w:szCs w:val="22"/>
              </w:rPr>
            </w:pPr>
            <w:r w:rsidRPr="009116B1">
              <w:rPr>
                <w:color w:val="000000"/>
                <w:sz w:val="22"/>
                <w:szCs w:val="22"/>
              </w:rPr>
              <w:t>Self-administered implementation surveys with clinical staff at 30 months</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00B4A554" w14:textId="77777777">
            <w:pPr>
              <w:jc w:val="center"/>
              <w:rPr>
                <w:color w:val="000000"/>
              </w:rPr>
            </w:pPr>
            <w:r>
              <w:rPr>
                <w:color w:val="000000"/>
              </w:rPr>
              <w:t>774</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2D373F0A"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3B7A2CF7" w14:textId="77777777">
            <w:pPr>
              <w:jc w:val="center"/>
              <w:rPr>
                <w:color w:val="000000"/>
              </w:rPr>
            </w:pPr>
            <w:r>
              <w:rPr>
                <w:color w:val="000000"/>
              </w:rPr>
              <w:t>0.50</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14:paraId="591BC5E6" w14:textId="77777777">
            <w:pPr>
              <w:jc w:val="center"/>
              <w:rPr>
                <w:color w:val="000000"/>
              </w:rPr>
            </w:pPr>
            <w:r>
              <w:rPr>
                <w:color w:val="000000"/>
              </w:rPr>
              <w:t>387</w:t>
            </w:r>
          </w:p>
        </w:tc>
      </w:tr>
      <w:tr w:rsidRPr="00236877" w:rsidR="00572165" w:rsidTr="002133EA" w14:paraId="7254A424"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770F0624" w14:textId="77777777">
            <w:pPr>
              <w:rPr>
                <w:color w:val="000000"/>
                <w:sz w:val="22"/>
                <w:szCs w:val="22"/>
              </w:rPr>
            </w:pPr>
            <w:r w:rsidRPr="009116B1">
              <w:rPr>
                <w:color w:val="000000"/>
                <w:sz w:val="22"/>
                <w:szCs w:val="22"/>
              </w:rPr>
              <w:t xml:space="preserve">DUA for AIM data </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166B832C" w14:textId="77777777">
            <w:pPr>
              <w:jc w:val="center"/>
              <w:rPr>
                <w:color w:val="000000"/>
              </w:rPr>
            </w:pPr>
            <w:r>
              <w:rPr>
                <w:color w:val="000000"/>
              </w:rPr>
              <w:t>258</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14:paraId="3593FEA2" w14:textId="77777777">
            <w:pPr>
              <w:jc w:val="center"/>
              <w:rPr>
                <w:color w:val="000000"/>
              </w:rPr>
            </w:pPr>
            <w:r>
              <w:rPr>
                <w:color w:val="000000"/>
              </w:rPr>
              <w:t>1</w:t>
            </w:r>
          </w:p>
        </w:tc>
        <w:tc>
          <w:tcPr>
            <w:tcW w:w="1044" w:type="dxa"/>
            <w:tcBorders>
              <w:top w:val="nil"/>
              <w:left w:val="nil"/>
              <w:bottom w:val="single" w:color="auto" w:sz="8" w:space="0"/>
              <w:right w:val="single" w:color="auto" w:sz="8" w:space="0"/>
            </w:tcBorders>
            <w:vAlign w:val="center"/>
          </w:tcPr>
          <w:p w:rsidR="00572165" w:rsidP="00572165" w:rsidRDefault="00572165" w14:paraId="099C69EB" w14:textId="77777777">
            <w:pPr>
              <w:jc w:val="center"/>
              <w:rPr>
                <w:color w:val="000000"/>
              </w:rPr>
            </w:pPr>
            <w:r>
              <w:rPr>
                <w:color w:val="000000"/>
              </w:rPr>
              <w:t>0.08</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14:paraId="50980069" w14:textId="77777777">
            <w:pPr>
              <w:jc w:val="center"/>
              <w:rPr>
                <w:color w:val="000000"/>
              </w:rPr>
            </w:pPr>
            <w:r>
              <w:rPr>
                <w:color w:val="000000"/>
              </w:rPr>
              <w:t>21</w:t>
            </w:r>
          </w:p>
        </w:tc>
      </w:tr>
      <w:tr w:rsidRPr="00236877" w:rsidR="00572165" w:rsidTr="002133EA" w14:paraId="30D1226B" w14:textId="77777777">
        <w:trPr>
          <w:jc w:val="center"/>
        </w:trPr>
        <w:tc>
          <w:tcPr>
            <w:tcW w:w="33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14:paraId="3429FDC7" w14:textId="77777777">
            <w:pPr>
              <w:rPr>
                <w:sz w:val="22"/>
                <w:szCs w:val="22"/>
              </w:rPr>
            </w:pPr>
            <w:r w:rsidRPr="009116B1">
              <w:rPr>
                <w:bCs/>
                <w:color w:val="000000"/>
                <w:sz w:val="22"/>
                <w:szCs w:val="22"/>
              </w:rPr>
              <w:t>Total</w:t>
            </w:r>
          </w:p>
        </w:tc>
        <w:tc>
          <w:tcPr>
            <w:tcW w:w="17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122B4" w:rsidR="00572165" w:rsidP="004976D6" w:rsidRDefault="00885A2C" w14:paraId="49F98925" w14:textId="05A80082">
            <w:pPr>
              <w:jc w:val="center"/>
              <w:rPr>
                <w:color w:val="000000"/>
              </w:rPr>
            </w:pPr>
            <w:r w:rsidRPr="007141A0">
              <w:rPr>
                <w:color w:val="000000"/>
                <w:highlight w:val="yellow"/>
              </w:rPr>
              <w:t>35,9</w:t>
            </w:r>
            <w:r w:rsidRPr="007141A0" w:rsidR="00553F5B">
              <w:rPr>
                <w:color w:val="000000"/>
                <w:highlight w:val="yellow"/>
              </w:rPr>
              <w:t>7</w:t>
            </w:r>
            <w:r w:rsidRPr="007141A0" w:rsidR="004976D6">
              <w:rPr>
                <w:color w:val="000000"/>
                <w:highlight w:val="yellow"/>
              </w:rPr>
              <w:t>4</w:t>
            </w:r>
          </w:p>
        </w:tc>
        <w:tc>
          <w:tcPr>
            <w:tcW w:w="14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122B4" w:rsidR="00572165" w:rsidP="00572165" w:rsidRDefault="00B412C2" w14:paraId="050F1FB8" w14:textId="77777777">
            <w:pPr>
              <w:jc w:val="center"/>
              <w:rPr>
                <w:color w:val="000000"/>
              </w:rPr>
            </w:pPr>
            <w:r w:rsidRPr="00F122B4">
              <w:rPr>
                <w:color w:val="000000"/>
              </w:rPr>
              <w:t>NA</w:t>
            </w:r>
          </w:p>
        </w:tc>
        <w:tc>
          <w:tcPr>
            <w:tcW w:w="1044" w:type="dxa"/>
            <w:tcBorders>
              <w:top w:val="nil"/>
              <w:left w:val="nil"/>
              <w:bottom w:val="single" w:color="auto" w:sz="8" w:space="0"/>
              <w:right w:val="single" w:color="auto" w:sz="8" w:space="0"/>
            </w:tcBorders>
            <w:vAlign w:val="center"/>
          </w:tcPr>
          <w:p w:rsidRPr="00F122B4" w:rsidR="00572165" w:rsidP="00572165" w:rsidRDefault="00B412C2" w14:paraId="30409010" w14:textId="77777777">
            <w:pPr>
              <w:jc w:val="center"/>
              <w:rPr>
                <w:color w:val="000000"/>
              </w:rPr>
            </w:pPr>
            <w:r w:rsidRPr="00F122B4">
              <w:rPr>
                <w:color w:val="000000"/>
              </w:rPr>
              <w:t>NA</w:t>
            </w:r>
          </w:p>
        </w:tc>
        <w:tc>
          <w:tcPr>
            <w:tcW w:w="108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141A0" w:rsidR="00572165" w:rsidP="004976D6" w:rsidRDefault="00B811B4" w14:paraId="37E394D3" w14:textId="675960B1">
            <w:pPr>
              <w:jc w:val="center"/>
              <w:rPr>
                <w:color w:val="000000"/>
                <w:highlight w:val="yellow"/>
              </w:rPr>
            </w:pPr>
            <w:r w:rsidRPr="007141A0">
              <w:rPr>
                <w:color w:val="000000"/>
                <w:highlight w:val="yellow"/>
              </w:rPr>
              <w:t>54</w:t>
            </w:r>
            <w:r w:rsidRPr="007141A0" w:rsidR="00255C7D">
              <w:rPr>
                <w:color w:val="000000"/>
                <w:highlight w:val="yellow"/>
              </w:rPr>
              <w:t>,</w:t>
            </w:r>
            <w:r w:rsidRPr="007141A0" w:rsidDel="00731487" w:rsidR="00731487">
              <w:rPr>
                <w:color w:val="000000"/>
                <w:highlight w:val="yellow"/>
              </w:rPr>
              <w:t xml:space="preserve"> </w:t>
            </w:r>
            <w:r w:rsidRPr="007141A0" w:rsidR="00C52A5E">
              <w:rPr>
                <w:color w:val="000000"/>
                <w:highlight w:val="yellow"/>
              </w:rPr>
              <w:t>6</w:t>
            </w:r>
            <w:r w:rsidRPr="007141A0" w:rsidR="00553F5B">
              <w:rPr>
                <w:color w:val="000000"/>
                <w:highlight w:val="yellow"/>
              </w:rPr>
              <w:t>93</w:t>
            </w:r>
          </w:p>
        </w:tc>
      </w:tr>
    </w:tbl>
    <w:bookmarkEnd w:id="31"/>
    <w:bookmarkEnd w:id="32"/>
    <w:p w:rsidR="000A5937" w:rsidP="000A5937" w:rsidRDefault="000A5937" w14:paraId="62222C73" w14:textId="77777777">
      <w:r>
        <w:t> </w:t>
      </w:r>
    </w:p>
    <w:p w:rsidR="0040282A" w:rsidP="000A5937" w:rsidRDefault="0040282A" w14:paraId="54101FDA" w14:textId="77777777"/>
    <w:p w:rsidRPr="008017E4" w:rsidR="007F444D" w:rsidP="007F444D" w:rsidRDefault="007F444D" w14:paraId="09A2D381" w14:textId="19DC463E">
      <w:pPr>
        <w:rPr>
          <w:bCs/>
          <w:color w:val="000000"/>
        </w:rPr>
      </w:pPr>
      <w:r w:rsidRPr="008017E4">
        <w:rPr>
          <w:bCs/>
          <w:color w:val="000000"/>
        </w:rPr>
        <w:t xml:space="preserve">Exhibit 2 shows the estimated annualized cost burden based on the respondents’ time to submit their data. The cost burden is estimated to </w:t>
      </w:r>
      <w:r w:rsidRPr="00F122B4">
        <w:rPr>
          <w:bCs/>
          <w:color w:val="000000"/>
        </w:rPr>
        <w:t>be $</w:t>
      </w:r>
      <w:r w:rsidRPr="007141A0" w:rsidR="000B68A1">
        <w:rPr>
          <w:color w:val="000000"/>
          <w:sz w:val="22"/>
          <w:szCs w:val="22"/>
          <w:highlight w:val="yellow"/>
        </w:rPr>
        <w:t>1,421,576.68</w:t>
      </w:r>
      <w:r w:rsidR="000B68A1">
        <w:rPr>
          <w:rFonts w:ascii="Calibri" w:hAnsi="Calibri" w:cs="Calibri"/>
          <w:color w:val="000000"/>
          <w:sz w:val="22"/>
          <w:szCs w:val="22"/>
        </w:rPr>
        <w:t xml:space="preserve"> </w:t>
      </w:r>
      <w:r w:rsidRPr="00F122B4" w:rsidR="006A39E2">
        <w:rPr>
          <w:bCs/>
          <w:color w:val="000000"/>
        </w:rPr>
        <w:t>a</w:t>
      </w:r>
      <w:r w:rsidRPr="00F122B4">
        <w:rPr>
          <w:bCs/>
          <w:color w:val="000000"/>
        </w:rPr>
        <w:t>nnually.</w:t>
      </w:r>
    </w:p>
    <w:p w:rsidR="000A5937" w:rsidP="000A5937" w:rsidRDefault="000A5937" w14:paraId="46989F28" w14:textId="0ED42077"/>
    <w:p w:rsidR="00071A4C" w:rsidP="000A5937" w:rsidRDefault="00071A4C" w14:paraId="7AEE2841" w14:textId="1D8B3A34"/>
    <w:p w:rsidR="00071A4C" w:rsidP="000A5937" w:rsidRDefault="00071A4C" w14:paraId="0144A8A6" w14:textId="77777777"/>
    <w:p w:rsidR="000A5937" w:rsidP="000A5937" w:rsidRDefault="000A5937" w14:paraId="681E8A36" w14:textId="77777777">
      <w:pPr>
        <w:rPr>
          <w:b/>
        </w:rPr>
      </w:pPr>
      <w:r w:rsidRPr="00037998">
        <w:rPr>
          <w:b/>
        </w:rPr>
        <w:t>Exhibit 2.  Estimated annualized cost burden</w:t>
      </w:r>
    </w:p>
    <w:p w:rsidR="000A34D9" w:rsidP="000A5937" w:rsidRDefault="000A34D9" w14:paraId="76A91ACC" w14:textId="77777777">
      <w:pPr>
        <w:rPr>
          <w:b/>
        </w:rPr>
      </w:pPr>
    </w:p>
    <w:tbl>
      <w:tblPr>
        <w:tblW w:w="10170" w:type="dxa"/>
        <w:tblInd w:w="108" w:type="dxa"/>
        <w:tblCellMar>
          <w:left w:w="0" w:type="dxa"/>
          <w:right w:w="0" w:type="dxa"/>
        </w:tblCellMar>
        <w:tblLook w:val="0000" w:firstRow="0" w:lastRow="0" w:firstColumn="0" w:lastColumn="0" w:noHBand="0" w:noVBand="0"/>
      </w:tblPr>
      <w:tblGrid>
        <w:gridCol w:w="3451"/>
        <w:gridCol w:w="1425"/>
        <w:gridCol w:w="1378"/>
        <w:gridCol w:w="1486"/>
        <w:gridCol w:w="2430"/>
      </w:tblGrid>
      <w:tr w:rsidR="000A5937" w:rsidTr="00EF740D" w14:paraId="76501377" w14:textId="77777777">
        <w:tc>
          <w:tcPr>
            <w:tcW w:w="34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14:paraId="5075F480" w14:textId="77777777">
            <w:pPr>
              <w:jc w:val="center"/>
              <w:rPr>
                <w:sz w:val="22"/>
                <w:szCs w:val="22"/>
              </w:rPr>
            </w:pPr>
            <w:r w:rsidRPr="005E4478">
              <w:rPr>
                <w:color w:val="000000"/>
                <w:sz w:val="22"/>
                <w:szCs w:val="22"/>
              </w:rPr>
              <w:t>Form Name</w:t>
            </w:r>
          </w:p>
        </w:tc>
        <w:tc>
          <w:tcPr>
            <w:tcW w:w="14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14:paraId="5831BE05" w14:textId="77777777">
            <w:pPr>
              <w:jc w:val="center"/>
              <w:rPr>
                <w:color w:val="000000"/>
                <w:sz w:val="22"/>
                <w:szCs w:val="22"/>
              </w:rPr>
            </w:pPr>
            <w:r w:rsidRPr="005E4478">
              <w:rPr>
                <w:color w:val="000000"/>
                <w:sz w:val="22"/>
                <w:szCs w:val="22"/>
              </w:rPr>
              <w:t>Number of respondents</w:t>
            </w:r>
          </w:p>
          <w:p w:rsidRPr="005E4478" w:rsidR="000A5937" w:rsidP="00EF740D" w:rsidRDefault="000A5937" w14:paraId="0753B8C3" w14:textId="77777777">
            <w:pPr>
              <w:jc w:val="center"/>
              <w:rPr>
                <w:sz w:val="22"/>
                <w:szCs w:val="22"/>
              </w:rPr>
            </w:pPr>
          </w:p>
        </w:tc>
        <w:tc>
          <w:tcPr>
            <w:tcW w:w="13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14:paraId="31E3B661" w14:textId="77777777">
            <w:pPr>
              <w:jc w:val="center"/>
              <w:rPr>
                <w:color w:val="000000"/>
                <w:sz w:val="22"/>
                <w:szCs w:val="22"/>
              </w:rPr>
            </w:pPr>
            <w:r w:rsidRPr="005E4478">
              <w:rPr>
                <w:color w:val="000000"/>
                <w:sz w:val="22"/>
                <w:szCs w:val="22"/>
              </w:rPr>
              <w:t>Total burden hours</w:t>
            </w:r>
          </w:p>
        </w:tc>
        <w:tc>
          <w:tcPr>
            <w:tcW w:w="14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14:paraId="07D88128" w14:textId="77777777">
            <w:pPr>
              <w:jc w:val="center"/>
              <w:rPr>
                <w:color w:val="000000"/>
                <w:sz w:val="22"/>
                <w:szCs w:val="22"/>
              </w:rPr>
            </w:pPr>
            <w:r w:rsidRPr="005E4478">
              <w:rPr>
                <w:color w:val="000000"/>
                <w:sz w:val="22"/>
                <w:szCs w:val="22"/>
              </w:rPr>
              <w:t>Average hourly wage rate*</w:t>
            </w:r>
          </w:p>
        </w:tc>
        <w:tc>
          <w:tcPr>
            <w:tcW w:w="2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5E4478" w14:paraId="17DF8DD0" w14:textId="77777777">
            <w:pPr>
              <w:jc w:val="center"/>
              <w:rPr>
                <w:color w:val="000000"/>
                <w:sz w:val="22"/>
                <w:szCs w:val="22"/>
              </w:rPr>
            </w:pPr>
            <w:r>
              <w:rPr>
                <w:color w:val="000000"/>
                <w:sz w:val="22"/>
                <w:szCs w:val="22"/>
              </w:rPr>
              <w:t xml:space="preserve">Total </w:t>
            </w:r>
            <w:r w:rsidRPr="005E4478" w:rsidR="000A5937">
              <w:rPr>
                <w:color w:val="000000"/>
                <w:sz w:val="22"/>
                <w:szCs w:val="22"/>
              </w:rPr>
              <w:t>cost burden</w:t>
            </w:r>
          </w:p>
        </w:tc>
      </w:tr>
      <w:tr w:rsidR="005E4478" w:rsidTr="00EF740D" w14:paraId="785ADF5E"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7907B131" w14:textId="77777777">
            <w:pPr>
              <w:rPr>
                <w:sz w:val="22"/>
                <w:szCs w:val="22"/>
              </w:rPr>
            </w:pPr>
            <w:r w:rsidRPr="005E4478">
              <w:rPr>
                <w:sz w:val="22"/>
                <w:szCs w:val="22"/>
              </w:rPr>
              <w:t>Training of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37259379" w14:textId="77777777">
            <w:pPr>
              <w:jc w:val="center"/>
              <w:rPr>
                <w:color w:val="000000"/>
                <w:sz w:val="22"/>
                <w:szCs w:val="22"/>
              </w:rPr>
            </w:pPr>
            <w:r w:rsidRPr="005E4478">
              <w:rPr>
                <w:color w:val="000000"/>
                <w:sz w:val="22"/>
                <w:szCs w:val="22"/>
              </w:rPr>
              <w:t>387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84665D" w14:paraId="37974760" w14:textId="77777777">
            <w:pPr>
              <w:jc w:val="center"/>
              <w:rPr>
                <w:color w:val="000000"/>
                <w:sz w:val="22"/>
                <w:szCs w:val="22"/>
              </w:rPr>
            </w:pPr>
            <w:r>
              <w:rPr>
                <w:color w:val="000000"/>
                <w:sz w:val="22"/>
                <w:szCs w:val="22"/>
              </w:rPr>
              <w:t>3,096</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4199ED1D" w14:textId="77777777">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14:paraId="492A5710" w14:textId="77777777">
            <w:pPr>
              <w:rPr>
                <w:color w:val="000000"/>
                <w:sz w:val="22"/>
                <w:szCs w:val="22"/>
              </w:rPr>
            </w:pPr>
            <w:r w:rsidRPr="005E4478">
              <w:rPr>
                <w:color w:val="000000"/>
                <w:sz w:val="22"/>
                <w:szCs w:val="22"/>
              </w:rPr>
              <w:t xml:space="preserve"> $                  </w:t>
            </w:r>
            <w:r w:rsidR="0084665D">
              <w:rPr>
                <w:color w:val="000000"/>
                <w:sz w:val="22"/>
                <w:szCs w:val="22"/>
              </w:rPr>
              <w:t>154,273.68</w:t>
            </w:r>
            <w:r w:rsidRPr="005E4478">
              <w:rPr>
                <w:color w:val="000000"/>
                <w:sz w:val="22"/>
                <w:szCs w:val="22"/>
              </w:rPr>
              <w:t xml:space="preserve"> </w:t>
            </w:r>
          </w:p>
        </w:tc>
      </w:tr>
      <w:tr w:rsidR="005E4478" w:rsidTr="00EF740D" w14:paraId="3BD933A8"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BF2D37" w14:paraId="51382231" w14:textId="77777777">
            <w:pPr>
              <w:rPr>
                <w:sz w:val="22"/>
                <w:szCs w:val="22"/>
              </w:rPr>
            </w:pPr>
            <w:r>
              <w:rPr>
                <w:sz w:val="22"/>
                <w:szCs w:val="22"/>
              </w:rPr>
              <w:t xml:space="preserve">Frontline staff rosters developed by </w:t>
            </w:r>
            <w:r w:rsidRPr="009116B1">
              <w:rPr>
                <w:sz w:val="22"/>
                <w:szCs w:val="22"/>
              </w:rPr>
              <w:t>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BF2D37" w14:paraId="7184942E" w14:textId="77777777">
            <w:pPr>
              <w:jc w:val="center"/>
              <w:rPr>
                <w:color w:val="000000"/>
                <w:sz w:val="22"/>
                <w:szCs w:val="22"/>
              </w:rPr>
            </w:pPr>
            <w:r>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BF2D37" w14:paraId="06359583" w14:textId="77777777">
            <w:pPr>
              <w:jc w:val="center"/>
              <w:rPr>
                <w:color w:val="000000"/>
                <w:sz w:val="22"/>
                <w:szCs w:val="22"/>
              </w:rPr>
            </w:pPr>
            <w:r>
              <w:rPr>
                <w:color w:val="000000"/>
                <w:sz w:val="22"/>
                <w:szCs w:val="22"/>
              </w:rPr>
              <w:t>124</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0B56C2D" w14:textId="77777777">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14:paraId="5B03CCEB" w14:textId="77777777">
            <w:pPr>
              <w:rPr>
                <w:color w:val="000000"/>
                <w:sz w:val="22"/>
                <w:szCs w:val="22"/>
              </w:rPr>
            </w:pPr>
            <w:r w:rsidRPr="005E4478">
              <w:rPr>
                <w:color w:val="000000"/>
                <w:sz w:val="22"/>
                <w:szCs w:val="22"/>
              </w:rPr>
              <w:t xml:space="preserve"> $                      </w:t>
            </w:r>
            <w:r w:rsidR="00BF2D37">
              <w:rPr>
                <w:color w:val="000000"/>
                <w:sz w:val="22"/>
                <w:szCs w:val="22"/>
              </w:rPr>
              <w:t>6,178.92</w:t>
            </w:r>
            <w:r w:rsidRPr="005E4478">
              <w:rPr>
                <w:color w:val="000000"/>
                <w:sz w:val="22"/>
                <w:szCs w:val="22"/>
              </w:rPr>
              <w:t xml:space="preserve"> </w:t>
            </w:r>
          </w:p>
        </w:tc>
      </w:tr>
      <w:tr w:rsidR="005E4478" w:rsidTr="00EF740D" w14:paraId="3357B396"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169F772B" w14:textId="77777777">
            <w:pPr>
              <w:rPr>
                <w:sz w:val="22"/>
                <w:szCs w:val="22"/>
              </w:rPr>
            </w:pPr>
            <w:r w:rsidRPr="005E4478">
              <w:rPr>
                <w:sz w:val="22"/>
                <w:szCs w:val="22"/>
              </w:rPr>
              <w:t>Evaluation form for training of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7EAB7CDE" w14:textId="77777777">
            <w:pPr>
              <w:jc w:val="center"/>
              <w:rPr>
                <w:color w:val="000000"/>
                <w:sz w:val="22"/>
                <w:szCs w:val="22"/>
              </w:rPr>
            </w:pPr>
            <w:r w:rsidRPr="005E4478">
              <w:rPr>
                <w:color w:val="000000"/>
                <w:sz w:val="22"/>
                <w:szCs w:val="22"/>
              </w:rPr>
              <w:t>290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6473D1" w14:paraId="13E23F19" w14:textId="77777777">
            <w:pPr>
              <w:jc w:val="center"/>
              <w:rPr>
                <w:color w:val="000000"/>
                <w:sz w:val="22"/>
                <w:szCs w:val="22"/>
              </w:rPr>
            </w:pPr>
            <w:r>
              <w:rPr>
                <w:color w:val="000000"/>
                <w:sz w:val="22"/>
                <w:szCs w:val="22"/>
              </w:rPr>
              <w:t>23</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699B4BAA" w14:textId="77777777">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14:paraId="05B2B1B2" w14:textId="77777777">
            <w:pPr>
              <w:rPr>
                <w:color w:val="000000"/>
                <w:sz w:val="22"/>
                <w:szCs w:val="22"/>
              </w:rPr>
            </w:pPr>
            <w:r w:rsidRPr="005E4478">
              <w:rPr>
                <w:color w:val="000000"/>
                <w:sz w:val="22"/>
                <w:szCs w:val="22"/>
              </w:rPr>
              <w:t xml:space="preserve"> $                      </w:t>
            </w:r>
            <w:r w:rsidR="006473D1">
              <w:rPr>
                <w:color w:val="000000"/>
                <w:sz w:val="22"/>
                <w:szCs w:val="22"/>
              </w:rPr>
              <w:t>1,146.09</w:t>
            </w:r>
            <w:r w:rsidRPr="005E4478">
              <w:rPr>
                <w:color w:val="000000"/>
                <w:sz w:val="22"/>
                <w:szCs w:val="22"/>
              </w:rPr>
              <w:t xml:space="preserve"> </w:t>
            </w:r>
          </w:p>
        </w:tc>
      </w:tr>
      <w:tr w:rsidR="005E4478" w:rsidTr="00EF740D" w14:paraId="68BCBE0B"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469144A1" w14:textId="77777777">
            <w:pPr>
              <w:rPr>
                <w:sz w:val="22"/>
                <w:szCs w:val="22"/>
              </w:rPr>
            </w:pPr>
            <w:r w:rsidRPr="005E4478">
              <w:rPr>
                <w:sz w:val="22"/>
                <w:szCs w:val="22"/>
              </w:rPr>
              <w:t>Training of frontline clinical staff</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4E02A4BC" w14:textId="77777777">
            <w:pPr>
              <w:jc w:val="center"/>
              <w:rPr>
                <w:color w:val="000000"/>
                <w:sz w:val="22"/>
                <w:szCs w:val="22"/>
              </w:rPr>
            </w:pPr>
            <w:r w:rsidRPr="005E4478">
              <w:rPr>
                <w:color w:val="000000"/>
                <w:sz w:val="22"/>
                <w:szCs w:val="22"/>
              </w:rPr>
              <w:t>15480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676AEBD" w14:textId="77777777">
            <w:pPr>
              <w:jc w:val="center"/>
              <w:rPr>
                <w:color w:val="000000"/>
                <w:sz w:val="22"/>
                <w:szCs w:val="22"/>
              </w:rPr>
            </w:pPr>
            <w:r w:rsidRPr="005E4478">
              <w:rPr>
                <w:color w:val="000000"/>
                <w:sz w:val="22"/>
                <w:szCs w:val="22"/>
              </w:rPr>
              <w:t>30960</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221A7ED3" w14:textId="77777777">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14:paraId="6D802949" w14:textId="77777777">
            <w:pPr>
              <w:rPr>
                <w:color w:val="000000"/>
                <w:sz w:val="22"/>
                <w:szCs w:val="22"/>
              </w:rPr>
            </w:pPr>
            <w:r w:rsidRPr="005E4478">
              <w:rPr>
                <w:color w:val="000000"/>
                <w:sz w:val="22"/>
                <w:szCs w:val="22"/>
              </w:rPr>
              <w:t xml:space="preserve"> $               2,053,</w:t>
            </w:r>
            <w:r w:rsidR="006473D1">
              <w:rPr>
                <w:color w:val="000000"/>
                <w:sz w:val="22"/>
                <w:szCs w:val="22"/>
              </w:rPr>
              <w:t>267.20</w:t>
            </w:r>
            <w:r w:rsidRPr="005E4478">
              <w:rPr>
                <w:color w:val="000000"/>
                <w:sz w:val="22"/>
                <w:szCs w:val="22"/>
              </w:rPr>
              <w:t xml:space="preserve"> </w:t>
            </w:r>
          </w:p>
        </w:tc>
      </w:tr>
      <w:tr w:rsidR="005E4478" w:rsidTr="00EF740D" w14:paraId="1216B34E"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2BD394D3" w14:textId="77777777">
            <w:pPr>
              <w:rPr>
                <w:sz w:val="22"/>
                <w:szCs w:val="22"/>
              </w:rPr>
            </w:pPr>
            <w:r w:rsidRPr="005E4478">
              <w:rPr>
                <w:sz w:val="22"/>
                <w:szCs w:val="22"/>
              </w:rPr>
              <w:t>Facilitation sessions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6F011A8C" w14:textId="77777777">
            <w:pPr>
              <w:jc w:val="center"/>
              <w:rPr>
                <w:color w:val="000000"/>
                <w:sz w:val="22"/>
                <w:szCs w:val="22"/>
              </w:rPr>
            </w:pPr>
            <w:r w:rsidRPr="005E4478">
              <w:rPr>
                <w:color w:val="000000"/>
                <w:sz w:val="22"/>
                <w:szCs w:val="22"/>
              </w:rPr>
              <w:t>15480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18645A08" w14:textId="77777777">
            <w:pPr>
              <w:jc w:val="center"/>
              <w:rPr>
                <w:color w:val="000000"/>
                <w:sz w:val="22"/>
                <w:szCs w:val="22"/>
              </w:rPr>
            </w:pPr>
            <w:r w:rsidRPr="005E4478">
              <w:rPr>
                <w:color w:val="000000"/>
                <w:sz w:val="22"/>
                <w:szCs w:val="22"/>
              </w:rPr>
              <w:t>15480</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CDEB168" w14:textId="77777777">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14:paraId="6648CE14" w14:textId="77777777">
            <w:pPr>
              <w:rPr>
                <w:color w:val="000000"/>
                <w:sz w:val="22"/>
                <w:szCs w:val="22"/>
              </w:rPr>
            </w:pPr>
            <w:r w:rsidRPr="005E4478">
              <w:rPr>
                <w:color w:val="000000"/>
                <w:sz w:val="22"/>
                <w:szCs w:val="22"/>
              </w:rPr>
              <w:t xml:space="preserve"> $               1,026,6</w:t>
            </w:r>
            <w:r w:rsidR="006473D1">
              <w:rPr>
                <w:color w:val="000000"/>
                <w:sz w:val="22"/>
                <w:szCs w:val="22"/>
              </w:rPr>
              <w:t>33.60</w:t>
            </w:r>
          </w:p>
        </w:tc>
      </w:tr>
      <w:tr w:rsidR="005E4478" w:rsidTr="00EF740D" w14:paraId="47E11AAE"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0BE9693E" w14:textId="77777777">
            <w:pPr>
              <w:rPr>
                <w:sz w:val="22"/>
                <w:szCs w:val="22"/>
              </w:rPr>
            </w:pPr>
            <w:r w:rsidRPr="005E4478">
              <w:rPr>
                <w:sz w:val="22"/>
                <w:szCs w:val="22"/>
              </w:rPr>
              <w:t>Tracking attendance of facilitation sessions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147721F4" w14:textId="77777777">
            <w:pPr>
              <w:jc w:val="center"/>
              <w:rPr>
                <w:color w:val="000000"/>
                <w:sz w:val="22"/>
                <w:szCs w:val="22"/>
              </w:rPr>
            </w:pPr>
            <w:r w:rsidRPr="005E4478">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395E4A7C" w14:textId="77777777">
            <w:pPr>
              <w:jc w:val="center"/>
              <w:rPr>
                <w:color w:val="000000"/>
                <w:sz w:val="22"/>
                <w:szCs w:val="22"/>
              </w:rPr>
            </w:pPr>
            <w:r w:rsidRPr="005E4478">
              <w:rPr>
                <w:color w:val="000000"/>
                <w:sz w:val="22"/>
                <w:szCs w:val="22"/>
              </w:rPr>
              <w:t>1032</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715C3D67" w14:textId="77777777">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7AAC87C2" w14:textId="77777777">
            <w:pPr>
              <w:rPr>
                <w:color w:val="000000"/>
                <w:sz w:val="22"/>
                <w:szCs w:val="22"/>
              </w:rPr>
            </w:pPr>
            <w:r w:rsidRPr="005E4478">
              <w:rPr>
                <w:color w:val="000000"/>
                <w:sz w:val="22"/>
                <w:szCs w:val="22"/>
              </w:rPr>
              <w:t xml:space="preserve"> $                    51,424.56 </w:t>
            </w:r>
          </w:p>
        </w:tc>
      </w:tr>
      <w:tr w:rsidR="005E4478" w:rsidTr="00EF740D" w14:paraId="397A8AF7"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21C97322" w14:textId="77777777">
            <w:pPr>
              <w:rPr>
                <w:sz w:val="22"/>
                <w:szCs w:val="22"/>
              </w:rPr>
            </w:pPr>
            <w:r w:rsidRPr="005E4478">
              <w:rPr>
                <w:sz w:val="22"/>
                <w:szCs w:val="22"/>
              </w:rPr>
              <w:t>Coaching calls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4852A4BC" w14:textId="77777777">
            <w:pPr>
              <w:jc w:val="center"/>
              <w:rPr>
                <w:color w:val="000000"/>
                <w:sz w:val="22"/>
                <w:szCs w:val="22"/>
              </w:rPr>
            </w:pPr>
            <w:r w:rsidRPr="005E4478">
              <w:rPr>
                <w:color w:val="000000"/>
                <w:sz w:val="22"/>
                <w:szCs w:val="22"/>
              </w:rPr>
              <w:t>129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2586A1C8" w14:textId="77777777">
            <w:pPr>
              <w:jc w:val="center"/>
              <w:rPr>
                <w:color w:val="000000"/>
                <w:sz w:val="22"/>
                <w:szCs w:val="22"/>
              </w:rPr>
            </w:pPr>
            <w:r w:rsidRPr="005E4478">
              <w:rPr>
                <w:color w:val="000000"/>
                <w:sz w:val="22"/>
                <w:szCs w:val="22"/>
              </w:rPr>
              <w:t>2322</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38F93532" w14:textId="77777777">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14:paraId="4B7A9A34" w14:textId="77777777">
            <w:pPr>
              <w:rPr>
                <w:color w:val="000000"/>
                <w:sz w:val="22"/>
                <w:szCs w:val="22"/>
              </w:rPr>
            </w:pPr>
            <w:r w:rsidRPr="005E4478">
              <w:rPr>
                <w:color w:val="000000"/>
                <w:sz w:val="22"/>
                <w:szCs w:val="22"/>
              </w:rPr>
              <w:t xml:space="preserve"> $                  153,99</w:t>
            </w:r>
            <w:r w:rsidR="006473D1">
              <w:rPr>
                <w:color w:val="000000"/>
                <w:sz w:val="22"/>
                <w:szCs w:val="22"/>
              </w:rPr>
              <w:t>5.04</w:t>
            </w:r>
          </w:p>
        </w:tc>
      </w:tr>
      <w:tr w:rsidR="005E4478" w:rsidTr="00EF740D" w14:paraId="28F74226"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2D3209E9" w14:textId="77777777">
            <w:pPr>
              <w:rPr>
                <w:sz w:val="22"/>
                <w:szCs w:val="22"/>
              </w:rPr>
            </w:pPr>
            <w:r w:rsidRPr="005E4478">
              <w:rPr>
                <w:color w:val="000000"/>
                <w:sz w:val="22"/>
                <w:szCs w:val="22"/>
              </w:rPr>
              <w:t>Self-administered baseline surveys with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73B303DC" w14:textId="77777777">
            <w:pPr>
              <w:jc w:val="center"/>
              <w:rPr>
                <w:color w:val="000000"/>
                <w:sz w:val="22"/>
                <w:szCs w:val="22"/>
              </w:rPr>
            </w:pPr>
            <w:r w:rsidRPr="005E4478">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6473D1" w14:paraId="35A8156B" w14:textId="77777777">
            <w:pPr>
              <w:jc w:val="center"/>
              <w:rPr>
                <w:color w:val="000000"/>
                <w:sz w:val="22"/>
                <w:szCs w:val="22"/>
              </w:rPr>
            </w:pPr>
            <w:r>
              <w:rPr>
                <w:color w:val="000000"/>
                <w:sz w:val="22"/>
                <w:szCs w:val="22"/>
              </w:rPr>
              <w:t>85</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0C4A8583" w14:textId="77777777">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14:paraId="21F0ABB0" w14:textId="77777777">
            <w:pPr>
              <w:rPr>
                <w:color w:val="000000"/>
                <w:sz w:val="22"/>
                <w:szCs w:val="22"/>
              </w:rPr>
            </w:pPr>
            <w:r w:rsidRPr="005E4478">
              <w:rPr>
                <w:color w:val="000000"/>
                <w:sz w:val="22"/>
                <w:szCs w:val="22"/>
              </w:rPr>
              <w:t xml:space="preserve"> $                      </w:t>
            </w:r>
            <w:r w:rsidR="006473D1">
              <w:rPr>
                <w:color w:val="000000"/>
                <w:sz w:val="22"/>
                <w:szCs w:val="22"/>
              </w:rPr>
              <w:t>4,235.55</w:t>
            </w:r>
            <w:r w:rsidRPr="005E4478">
              <w:rPr>
                <w:color w:val="000000"/>
                <w:sz w:val="22"/>
                <w:szCs w:val="22"/>
              </w:rPr>
              <w:t xml:space="preserve"> </w:t>
            </w:r>
          </w:p>
        </w:tc>
      </w:tr>
      <w:tr w:rsidR="005E4478" w:rsidTr="00EF740D" w14:paraId="250794E8"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30B18306" w14:textId="77777777">
            <w:pPr>
              <w:rPr>
                <w:sz w:val="22"/>
                <w:szCs w:val="22"/>
              </w:rPr>
            </w:pPr>
            <w:r w:rsidRPr="005E4478">
              <w:rPr>
                <w:color w:val="000000"/>
                <w:sz w:val="22"/>
                <w:szCs w:val="22"/>
              </w:rPr>
              <w:t>Self-administered baseline surveys with clinical staff</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24FC4124" w14:textId="77777777">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6473D1" w14:paraId="7C5BD23F" w14:textId="77777777">
            <w:pPr>
              <w:jc w:val="center"/>
              <w:rPr>
                <w:color w:val="000000"/>
                <w:sz w:val="22"/>
                <w:szCs w:val="22"/>
              </w:rPr>
            </w:pPr>
            <w:r>
              <w:rPr>
                <w:color w:val="000000"/>
                <w:sz w:val="22"/>
                <w:szCs w:val="22"/>
              </w:rPr>
              <w:t>325</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699DC8B9" w14:textId="77777777">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14:paraId="652A5B90" w14:textId="77777777">
            <w:pPr>
              <w:rPr>
                <w:color w:val="000000"/>
                <w:sz w:val="22"/>
                <w:szCs w:val="22"/>
              </w:rPr>
            </w:pPr>
            <w:r w:rsidRPr="005E4478">
              <w:rPr>
                <w:color w:val="000000"/>
                <w:sz w:val="22"/>
                <w:szCs w:val="22"/>
              </w:rPr>
              <w:t xml:space="preserve"> $                    </w:t>
            </w:r>
            <w:r w:rsidR="0084665D">
              <w:rPr>
                <w:color w:val="000000"/>
                <w:sz w:val="22"/>
                <w:szCs w:val="22"/>
              </w:rPr>
              <w:t>21,554</w:t>
            </w:r>
            <w:r w:rsidRPr="005E4478">
              <w:rPr>
                <w:color w:val="000000"/>
                <w:sz w:val="22"/>
                <w:szCs w:val="22"/>
              </w:rPr>
              <w:t xml:space="preserve"> </w:t>
            </w:r>
          </w:p>
        </w:tc>
      </w:tr>
      <w:tr w:rsidR="005E4478" w:rsidTr="00EF740D" w14:paraId="6132E217"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5E4478" w:rsidP="005E4478" w:rsidRDefault="005E4478" w14:paraId="2EE849D8" w14:textId="77777777">
            <w:pPr>
              <w:rPr>
                <w:sz w:val="22"/>
                <w:szCs w:val="22"/>
                <w:highlight w:val="yellow"/>
              </w:rPr>
            </w:pPr>
            <w:r w:rsidRPr="00741063">
              <w:rPr>
                <w:color w:val="000000"/>
                <w:sz w:val="22"/>
                <w:szCs w:val="22"/>
                <w:highlight w:val="yellow"/>
              </w:rPr>
              <w:t>Qualitative semi-structured interviews with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5E4478" w:rsidP="005E4478" w:rsidRDefault="00D503AA" w14:paraId="2065BAD6" w14:textId="327F6855">
            <w:pPr>
              <w:jc w:val="center"/>
              <w:rPr>
                <w:color w:val="000000"/>
                <w:sz w:val="22"/>
                <w:szCs w:val="22"/>
                <w:highlight w:val="yellow"/>
              </w:rPr>
            </w:pPr>
            <w:r w:rsidRPr="00741063">
              <w:rPr>
                <w:color w:val="000000"/>
                <w:sz w:val="22"/>
                <w:szCs w:val="22"/>
                <w:highlight w:val="yellow"/>
              </w:rPr>
              <w:t>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5E4478" w:rsidP="005E4478" w:rsidRDefault="00D503AA" w14:paraId="79BD75A3" w14:textId="5CD24B03">
            <w:pPr>
              <w:jc w:val="center"/>
              <w:rPr>
                <w:color w:val="000000"/>
                <w:sz w:val="22"/>
                <w:szCs w:val="22"/>
                <w:highlight w:val="yellow"/>
              </w:rPr>
            </w:pPr>
            <w:r w:rsidRPr="00741063">
              <w:rPr>
                <w:color w:val="000000"/>
                <w:sz w:val="22"/>
                <w:szCs w:val="22"/>
                <w:highlight w:val="yellow"/>
              </w:rPr>
              <w:t>8</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5E4478" w:rsidP="005E4478" w:rsidRDefault="005E4478" w14:paraId="7456DC82" w14:textId="77777777">
            <w:pPr>
              <w:jc w:val="center"/>
              <w:rPr>
                <w:color w:val="000000"/>
                <w:sz w:val="22"/>
                <w:szCs w:val="22"/>
                <w:highlight w:val="yellow"/>
              </w:rPr>
            </w:pPr>
            <w:r w:rsidRPr="00741063">
              <w:rPr>
                <w:color w:val="000000"/>
                <w:sz w:val="22"/>
                <w:szCs w:val="22"/>
                <w:highlight w:val="yellow"/>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D736F" w:rsidR="005E4478" w:rsidP="00A4060B" w:rsidRDefault="005E4478" w14:paraId="43564F74" w14:textId="7FDFFA18">
            <w:pPr>
              <w:rPr>
                <w:color w:val="000000"/>
                <w:sz w:val="22"/>
                <w:szCs w:val="22"/>
              </w:rPr>
            </w:pPr>
            <w:r w:rsidRPr="00741063">
              <w:rPr>
                <w:color w:val="000000"/>
                <w:sz w:val="22"/>
                <w:szCs w:val="22"/>
                <w:highlight w:val="yellow"/>
              </w:rPr>
              <w:t xml:space="preserve"> $                      </w:t>
            </w:r>
            <w:r w:rsidRPr="00741063" w:rsidR="00F34303">
              <w:rPr>
                <w:color w:val="000000"/>
                <w:sz w:val="22"/>
                <w:szCs w:val="22"/>
                <w:highlight w:val="yellow"/>
              </w:rPr>
              <w:t>398</w:t>
            </w:r>
            <w:r w:rsidRPr="00741063" w:rsidR="00E90ED5">
              <w:rPr>
                <w:color w:val="000000"/>
                <w:sz w:val="22"/>
                <w:szCs w:val="22"/>
                <w:highlight w:val="yellow"/>
              </w:rPr>
              <w:t>.</w:t>
            </w:r>
            <w:r w:rsidRPr="00741063" w:rsidR="00F34303">
              <w:rPr>
                <w:color w:val="000000"/>
                <w:sz w:val="22"/>
                <w:szCs w:val="22"/>
                <w:highlight w:val="yellow"/>
              </w:rPr>
              <w:t>64</w:t>
            </w:r>
            <w:r w:rsidRPr="00ED736F">
              <w:rPr>
                <w:color w:val="000000"/>
                <w:sz w:val="22"/>
                <w:szCs w:val="22"/>
              </w:rPr>
              <w:t xml:space="preserve"> </w:t>
            </w:r>
          </w:p>
        </w:tc>
      </w:tr>
      <w:tr w:rsidRPr="00741063" w:rsidR="00F34303" w:rsidTr="00ED736F" w14:paraId="76A3BB89"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F34303" w:rsidP="00F34303" w:rsidRDefault="00F34303" w14:paraId="2886A27F" w14:textId="7F748C63">
            <w:pPr>
              <w:rPr>
                <w:color w:val="000000"/>
                <w:sz w:val="22"/>
                <w:szCs w:val="22"/>
                <w:highlight w:val="yellow"/>
              </w:rPr>
            </w:pPr>
            <w:r w:rsidRPr="00741063">
              <w:rPr>
                <w:color w:val="000000"/>
                <w:sz w:val="22"/>
                <w:szCs w:val="22"/>
                <w:highlight w:val="yellow"/>
              </w:rPr>
              <w:t>Qualitative semi-structured interviews with frontline staff</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F34303" w:rsidP="00ED736F" w:rsidRDefault="00ED736F" w14:paraId="501499CF" w14:textId="4E8A6FDE">
            <w:pPr>
              <w:jc w:val="center"/>
              <w:rPr>
                <w:color w:val="000000"/>
                <w:sz w:val="22"/>
                <w:szCs w:val="22"/>
                <w:highlight w:val="yellow"/>
              </w:rPr>
            </w:pPr>
            <w:r w:rsidRPr="00741063">
              <w:rPr>
                <w:color w:val="000000"/>
                <w:sz w:val="22"/>
                <w:szCs w:val="22"/>
                <w:highlight w:val="yellow"/>
              </w:rPr>
              <w:t>32</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F34303" w:rsidP="00ED736F" w:rsidRDefault="00F34303" w14:paraId="415D7277" w14:textId="2FF268F2">
            <w:pPr>
              <w:jc w:val="center"/>
              <w:rPr>
                <w:color w:val="000000"/>
                <w:sz w:val="22"/>
                <w:szCs w:val="22"/>
                <w:highlight w:val="yellow"/>
              </w:rPr>
            </w:pPr>
            <w:r w:rsidRPr="00741063">
              <w:rPr>
                <w:color w:val="000000"/>
                <w:sz w:val="22"/>
                <w:szCs w:val="22"/>
                <w:highlight w:val="yellow"/>
              </w:rPr>
              <w:t>1</w:t>
            </w:r>
            <w:r w:rsidRPr="00741063" w:rsidR="00ED736F">
              <w:rPr>
                <w:color w:val="000000"/>
                <w:sz w:val="22"/>
                <w:szCs w:val="22"/>
                <w:highlight w:val="yellow"/>
              </w:rPr>
              <w:t>6</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41063" w:rsidR="00F34303" w:rsidP="00F34303" w:rsidRDefault="00F34303" w14:paraId="38FD1805" w14:textId="2861551B">
            <w:pPr>
              <w:jc w:val="center"/>
              <w:rPr>
                <w:color w:val="000000"/>
                <w:sz w:val="22"/>
                <w:szCs w:val="22"/>
                <w:highlight w:val="yellow"/>
              </w:rPr>
            </w:pPr>
            <w:r w:rsidRPr="00741063">
              <w:rPr>
                <w:color w:val="000000"/>
                <w:sz w:val="22"/>
                <w:szCs w:val="22"/>
                <w:highlight w:val="yellow"/>
              </w:rPr>
              <w:t xml:space="preserve">$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F34303" w:rsidP="00ED736F" w:rsidRDefault="00F34303" w14:paraId="608F5B05" w14:textId="7AE0C97B">
            <w:pPr>
              <w:rPr>
                <w:color w:val="000000"/>
                <w:sz w:val="22"/>
                <w:szCs w:val="22"/>
                <w:highlight w:val="yellow"/>
              </w:rPr>
            </w:pPr>
            <w:r w:rsidRPr="00741063">
              <w:rPr>
                <w:color w:val="000000"/>
                <w:sz w:val="22"/>
                <w:szCs w:val="22"/>
                <w:highlight w:val="yellow"/>
              </w:rPr>
              <w:t xml:space="preserve">$ </w:t>
            </w:r>
            <w:r w:rsidRPr="00741063" w:rsidR="00ED736F">
              <w:rPr>
                <w:color w:val="000000"/>
                <w:sz w:val="22"/>
                <w:szCs w:val="22"/>
                <w:highlight w:val="yellow"/>
              </w:rPr>
              <w:t>7</w:t>
            </w:r>
            <w:r w:rsidRPr="00741063">
              <w:rPr>
                <w:color w:val="000000"/>
                <w:sz w:val="22"/>
                <w:szCs w:val="22"/>
                <w:highlight w:val="yellow"/>
              </w:rPr>
              <w:t>97.</w:t>
            </w:r>
            <w:r w:rsidRPr="00741063" w:rsidR="00ED736F">
              <w:rPr>
                <w:color w:val="000000"/>
                <w:sz w:val="22"/>
                <w:szCs w:val="22"/>
                <w:highlight w:val="yellow"/>
              </w:rPr>
              <w:t>28</w:t>
            </w:r>
          </w:p>
        </w:tc>
      </w:tr>
      <w:tr w:rsidR="00F34303" w:rsidTr="00ED736F" w14:paraId="4C3BB438"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F34303" w:rsidP="00F34303" w:rsidRDefault="00F34303" w14:paraId="1C853CA4" w14:textId="353AA056">
            <w:pPr>
              <w:rPr>
                <w:color w:val="000000"/>
                <w:sz w:val="22"/>
                <w:szCs w:val="22"/>
                <w:highlight w:val="yellow"/>
              </w:rPr>
            </w:pPr>
            <w:r w:rsidRPr="00741063">
              <w:rPr>
                <w:color w:val="000000"/>
                <w:sz w:val="22"/>
                <w:szCs w:val="22"/>
                <w:highlight w:val="yellow"/>
              </w:rPr>
              <w:t>Focus group discussions with AIM Team Leads and frontline staff</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F34303" w:rsidP="00F34303" w:rsidRDefault="00F34303" w14:paraId="3E741826" w14:textId="591AE603">
            <w:pPr>
              <w:jc w:val="center"/>
              <w:rPr>
                <w:color w:val="000000"/>
                <w:sz w:val="22"/>
                <w:szCs w:val="22"/>
                <w:highlight w:val="yellow"/>
              </w:rPr>
            </w:pPr>
            <w:r w:rsidRPr="00741063">
              <w:rPr>
                <w:color w:val="000000"/>
                <w:sz w:val="22"/>
                <w:szCs w:val="22"/>
                <w:highlight w:val="yellow"/>
              </w:rPr>
              <w:t>40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F34303" w:rsidP="00F34303" w:rsidRDefault="00F34303" w14:paraId="06CF48F8" w14:textId="4F4EFD2E">
            <w:pPr>
              <w:jc w:val="center"/>
              <w:rPr>
                <w:color w:val="000000"/>
                <w:sz w:val="22"/>
                <w:szCs w:val="22"/>
                <w:highlight w:val="yellow"/>
              </w:rPr>
            </w:pPr>
            <w:r w:rsidRPr="00741063">
              <w:rPr>
                <w:color w:val="000000"/>
                <w:sz w:val="22"/>
                <w:szCs w:val="22"/>
                <w:highlight w:val="yellow"/>
              </w:rPr>
              <w:t>40</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41063" w:rsidR="00F34303" w:rsidP="00F34303" w:rsidRDefault="00F34303" w14:paraId="592EF96E" w14:textId="390AADFF">
            <w:pPr>
              <w:jc w:val="center"/>
              <w:rPr>
                <w:color w:val="000000"/>
                <w:sz w:val="22"/>
                <w:szCs w:val="22"/>
                <w:highlight w:val="yellow"/>
              </w:rPr>
            </w:pPr>
            <w:r w:rsidRPr="00741063">
              <w:rPr>
                <w:color w:val="000000"/>
                <w:sz w:val="22"/>
                <w:szCs w:val="22"/>
                <w:highlight w:val="yellow"/>
              </w:rPr>
              <w:t xml:space="preserve">$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D736F" w:rsidR="00F34303" w:rsidP="00F34303" w:rsidRDefault="00F34303" w14:paraId="7A23D8A9" w14:textId="17040D5B">
            <w:pPr>
              <w:rPr>
                <w:color w:val="000000"/>
                <w:sz w:val="22"/>
                <w:szCs w:val="22"/>
              </w:rPr>
            </w:pPr>
            <w:r w:rsidRPr="00741063">
              <w:rPr>
                <w:color w:val="000000"/>
                <w:sz w:val="22"/>
                <w:szCs w:val="22"/>
                <w:highlight w:val="yellow"/>
              </w:rPr>
              <w:t>$1993.2</w:t>
            </w:r>
            <w:r w:rsidRPr="00741063" w:rsidR="00553F5B">
              <w:rPr>
                <w:color w:val="000000"/>
                <w:sz w:val="22"/>
                <w:szCs w:val="22"/>
                <w:highlight w:val="yellow"/>
              </w:rPr>
              <w:t>0</w:t>
            </w:r>
          </w:p>
        </w:tc>
      </w:tr>
      <w:tr w:rsidR="005E4478" w:rsidTr="00EF740D" w14:paraId="09BA8466"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78187B19" w14:textId="77777777">
            <w:pPr>
              <w:rPr>
                <w:sz w:val="22"/>
                <w:szCs w:val="22"/>
              </w:rPr>
            </w:pPr>
            <w:r w:rsidRPr="005E4478">
              <w:rPr>
                <w:color w:val="000000"/>
                <w:sz w:val="22"/>
                <w:szCs w:val="22"/>
              </w:rPr>
              <w:t>Self-administered implementation surveys with clinical staff at 6 months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E3759C1" w14:textId="77777777">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0C7B1BB4" w14:textId="77777777">
            <w:pPr>
              <w:jc w:val="center"/>
              <w:rPr>
                <w:color w:val="000000"/>
                <w:sz w:val="22"/>
                <w:szCs w:val="22"/>
              </w:rPr>
            </w:pPr>
            <w:r w:rsidRPr="005E4478">
              <w:rPr>
                <w:color w:val="000000"/>
                <w:sz w:val="22"/>
                <w:szCs w:val="22"/>
              </w:rPr>
              <w:t>387</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69E29304" w14:textId="77777777">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14:paraId="342EFD5C" w14:textId="77777777">
            <w:pPr>
              <w:rPr>
                <w:color w:val="000000"/>
                <w:sz w:val="22"/>
                <w:szCs w:val="22"/>
              </w:rPr>
            </w:pPr>
            <w:r w:rsidRPr="005E4478">
              <w:rPr>
                <w:color w:val="000000"/>
                <w:sz w:val="22"/>
                <w:szCs w:val="22"/>
              </w:rPr>
              <w:t xml:space="preserve"> $                    </w:t>
            </w:r>
            <w:r w:rsidR="0084665D">
              <w:rPr>
                <w:color w:val="000000"/>
                <w:sz w:val="22"/>
                <w:szCs w:val="22"/>
              </w:rPr>
              <w:t>25,665.84</w:t>
            </w:r>
            <w:r w:rsidRPr="005E4478">
              <w:rPr>
                <w:color w:val="000000"/>
                <w:sz w:val="22"/>
                <w:szCs w:val="22"/>
              </w:rPr>
              <w:t xml:space="preserve"> </w:t>
            </w:r>
          </w:p>
        </w:tc>
      </w:tr>
      <w:tr w:rsidR="005E4478" w:rsidTr="00EF740D" w14:paraId="6693C476"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375E597" w14:textId="77777777">
            <w:pPr>
              <w:rPr>
                <w:sz w:val="22"/>
                <w:szCs w:val="22"/>
              </w:rPr>
            </w:pPr>
            <w:r w:rsidRPr="005E4478">
              <w:rPr>
                <w:color w:val="000000"/>
                <w:sz w:val="22"/>
                <w:szCs w:val="22"/>
              </w:rPr>
              <w:t>Self-administered implementation surveys with clinical staff at 18 months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6CF5B5F5" w14:textId="77777777">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29526B9F" w14:textId="77777777">
            <w:pPr>
              <w:jc w:val="center"/>
              <w:rPr>
                <w:color w:val="000000"/>
                <w:sz w:val="22"/>
                <w:szCs w:val="22"/>
              </w:rPr>
            </w:pPr>
            <w:r w:rsidRPr="005E4478">
              <w:rPr>
                <w:color w:val="000000"/>
                <w:sz w:val="22"/>
                <w:szCs w:val="22"/>
              </w:rPr>
              <w:t>387</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9F770BA" w14:textId="77777777">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04AC71BB" w14:textId="77777777">
            <w:pPr>
              <w:rPr>
                <w:color w:val="000000"/>
                <w:sz w:val="22"/>
                <w:szCs w:val="22"/>
              </w:rPr>
            </w:pPr>
            <w:r w:rsidRPr="005E4478">
              <w:rPr>
                <w:color w:val="000000"/>
                <w:sz w:val="22"/>
                <w:szCs w:val="22"/>
              </w:rPr>
              <w:t xml:space="preserve"> $                    </w:t>
            </w:r>
            <w:r w:rsidR="0084665D">
              <w:rPr>
                <w:color w:val="000000"/>
                <w:sz w:val="22"/>
                <w:szCs w:val="22"/>
              </w:rPr>
              <w:t>25,665.84</w:t>
            </w:r>
          </w:p>
        </w:tc>
      </w:tr>
      <w:tr w:rsidR="005E4478" w:rsidTr="00EF740D" w14:paraId="01E8347D"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4DE4BF2E" w14:textId="77777777">
            <w:pPr>
              <w:rPr>
                <w:sz w:val="22"/>
                <w:szCs w:val="22"/>
              </w:rPr>
            </w:pPr>
            <w:r w:rsidRPr="005E4478">
              <w:rPr>
                <w:color w:val="000000"/>
                <w:sz w:val="22"/>
                <w:szCs w:val="22"/>
              </w:rPr>
              <w:t>Self-administered implementation surveys with clinical staff at 30 months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B871928" w14:textId="77777777">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68DCFE60" w14:textId="77777777">
            <w:pPr>
              <w:jc w:val="center"/>
              <w:rPr>
                <w:color w:val="000000"/>
                <w:sz w:val="22"/>
                <w:szCs w:val="22"/>
              </w:rPr>
            </w:pPr>
            <w:r w:rsidRPr="005E4478">
              <w:rPr>
                <w:color w:val="000000"/>
                <w:sz w:val="22"/>
                <w:szCs w:val="22"/>
              </w:rPr>
              <w:t>387</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0117A9D5" w14:textId="77777777">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03DAF4A6" w14:textId="77777777">
            <w:pPr>
              <w:rPr>
                <w:color w:val="000000"/>
                <w:sz w:val="22"/>
                <w:szCs w:val="22"/>
              </w:rPr>
            </w:pPr>
            <w:r w:rsidRPr="005E4478">
              <w:rPr>
                <w:color w:val="000000"/>
                <w:sz w:val="22"/>
                <w:szCs w:val="22"/>
              </w:rPr>
              <w:t xml:space="preserve"> $                    </w:t>
            </w:r>
            <w:r w:rsidR="0084665D">
              <w:rPr>
                <w:color w:val="000000"/>
                <w:sz w:val="22"/>
                <w:szCs w:val="22"/>
              </w:rPr>
              <w:t>25,665.84</w:t>
            </w:r>
          </w:p>
        </w:tc>
      </w:tr>
      <w:tr w:rsidR="005E4478" w:rsidTr="00EF740D" w14:paraId="2DADA15A"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44325684" w14:textId="77777777">
            <w:pPr>
              <w:rPr>
                <w:sz w:val="22"/>
                <w:szCs w:val="22"/>
              </w:rPr>
            </w:pPr>
            <w:r w:rsidRPr="005E4478">
              <w:rPr>
                <w:color w:val="000000"/>
                <w:sz w:val="22"/>
                <w:szCs w:val="22"/>
              </w:rPr>
              <w:lastRenderedPageBreak/>
              <w:t xml:space="preserve">DUA for AIM data </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5A2DDBE0" w14:textId="77777777">
            <w:pPr>
              <w:jc w:val="center"/>
              <w:rPr>
                <w:color w:val="000000"/>
                <w:sz w:val="22"/>
                <w:szCs w:val="22"/>
              </w:rPr>
            </w:pPr>
            <w:r w:rsidRPr="005E4478">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84665D" w14:paraId="2C58F831" w14:textId="77777777">
            <w:pPr>
              <w:jc w:val="center"/>
              <w:rPr>
                <w:color w:val="000000"/>
                <w:sz w:val="22"/>
                <w:szCs w:val="22"/>
              </w:rPr>
            </w:pPr>
            <w:r w:rsidRPr="005E4478">
              <w:rPr>
                <w:color w:val="000000"/>
                <w:sz w:val="22"/>
                <w:szCs w:val="22"/>
              </w:rPr>
              <w:t>2</w:t>
            </w:r>
            <w:r>
              <w:rPr>
                <w:color w:val="000000"/>
                <w:sz w:val="22"/>
                <w:szCs w:val="22"/>
              </w:rPr>
              <w:t>1</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6C364524" w14:textId="77777777">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14:paraId="79077202" w14:textId="77777777">
            <w:pPr>
              <w:rPr>
                <w:color w:val="000000"/>
                <w:sz w:val="22"/>
                <w:szCs w:val="22"/>
              </w:rPr>
            </w:pPr>
            <w:r w:rsidRPr="005E4478">
              <w:rPr>
                <w:color w:val="000000"/>
                <w:sz w:val="22"/>
                <w:szCs w:val="22"/>
              </w:rPr>
              <w:t xml:space="preserve"> $                      </w:t>
            </w:r>
            <w:r w:rsidR="0084665D">
              <w:rPr>
                <w:color w:val="000000"/>
                <w:sz w:val="22"/>
                <w:szCs w:val="22"/>
              </w:rPr>
              <w:t>1,046.43</w:t>
            </w:r>
            <w:r w:rsidRPr="005E4478">
              <w:rPr>
                <w:color w:val="000000"/>
                <w:sz w:val="22"/>
                <w:szCs w:val="22"/>
              </w:rPr>
              <w:t xml:space="preserve"> </w:t>
            </w:r>
          </w:p>
        </w:tc>
      </w:tr>
      <w:tr w:rsidR="005E4478" w:rsidTr="00EF740D" w14:paraId="4FB7FC51" w14:textId="77777777">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7913BF73" w14:textId="77777777">
            <w:pPr>
              <w:rPr>
                <w:sz w:val="22"/>
                <w:szCs w:val="22"/>
              </w:rPr>
            </w:pPr>
            <w:r w:rsidRPr="005E4478">
              <w:rPr>
                <w:b/>
                <w:bCs/>
                <w:color w:val="000000"/>
                <w:sz w:val="22"/>
                <w:szCs w:val="22"/>
              </w:rPr>
              <w:t>Total</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41063" w:rsidR="005E4478" w:rsidP="00553F5B" w:rsidRDefault="00885A2C" w14:paraId="05A4A31B" w14:textId="036C6FC4">
            <w:pPr>
              <w:jc w:val="center"/>
              <w:rPr>
                <w:color w:val="000000"/>
                <w:sz w:val="22"/>
                <w:szCs w:val="22"/>
                <w:highlight w:val="yellow"/>
              </w:rPr>
            </w:pPr>
            <w:r w:rsidRPr="00741063">
              <w:rPr>
                <w:color w:val="000000"/>
                <w:sz w:val="22"/>
                <w:szCs w:val="22"/>
                <w:highlight w:val="yellow"/>
              </w:rPr>
              <w:t>35,</w:t>
            </w:r>
            <w:r w:rsidRPr="00741063" w:rsidR="00C52A5E">
              <w:rPr>
                <w:color w:val="000000"/>
                <w:sz w:val="22"/>
                <w:szCs w:val="22"/>
                <w:highlight w:val="yellow"/>
              </w:rPr>
              <w:t>9</w:t>
            </w:r>
            <w:r w:rsidRPr="00741063" w:rsidR="00553F5B">
              <w:rPr>
                <w:color w:val="000000"/>
                <w:sz w:val="22"/>
                <w:szCs w:val="22"/>
                <w:highlight w:val="yellow"/>
              </w:rPr>
              <w:t>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C52A5E" w14:paraId="1811EDE5" w14:textId="72085E8F">
            <w:pPr>
              <w:jc w:val="center"/>
              <w:rPr>
                <w:color w:val="000000"/>
                <w:sz w:val="22"/>
                <w:szCs w:val="22"/>
              </w:rPr>
            </w:pPr>
            <w:r>
              <w:rPr>
                <w:color w:val="000000"/>
                <w:sz w:val="22"/>
                <w:szCs w:val="22"/>
              </w:rPr>
              <w:t>54746</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14:paraId="02E02EAE" w14:textId="77777777">
            <w:pPr>
              <w:jc w:val="center"/>
              <w:rPr>
                <w:color w:val="000000"/>
                <w:sz w:val="22"/>
                <w:szCs w:val="22"/>
              </w:rPr>
            </w:pPr>
            <w:r w:rsidRPr="005E4478">
              <w:rPr>
                <w:color w:val="000000"/>
                <w:sz w:val="22"/>
                <w:szCs w:val="22"/>
              </w:rPr>
              <w:t>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959EB" w:rsidR="000B68A1" w:rsidP="00CC480B" w:rsidRDefault="005E4478" w14:paraId="4468B12B" w14:textId="4620822B">
            <w:pPr>
              <w:rPr>
                <w:color w:val="000000"/>
                <w:sz w:val="22"/>
                <w:szCs w:val="22"/>
              </w:rPr>
            </w:pPr>
            <w:r w:rsidRPr="00741063">
              <w:rPr>
                <w:color w:val="000000"/>
                <w:sz w:val="22"/>
                <w:szCs w:val="22"/>
                <w:highlight w:val="yellow"/>
              </w:rPr>
              <w:t xml:space="preserve">$                  </w:t>
            </w:r>
            <w:r w:rsidRPr="00741063" w:rsidR="000B68A1">
              <w:rPr>
                <w:color w:val="000000"/>
                <w:sz w:val="22"/>
                <w:highlight w:val="yellow"/>
              </w:rPr>
              <w:t>1,421,576.68</w:t>
            </w:r>
            <w:r w:rsidRPr="008959EB" w:rsidR="000B68A1">
              <w:rPr>
                <w:color w:val="000000"/>
                <w:sz w:val="22"/>
              </w:rPr>
              <w:t xml:space="preserve"> </w:t>
            </w:r>
          </w:p>
          <w:p w:rsidRPr="005E4478" w:rsidR="005E4478" w:rsidP="000123AB" w:rsidRDefault="005E4478" w14:paraId="6D6B7D6F" w14:textId="44C7BB12">
            <w:pPr>
              <w:rPr>
                <w:color w:val="000000"/>
                <w:sz w:val="22"/>
                <w:szCs w:val="22"/>
              </w:rPr>
            </w:pPr>
            <w:r w:rsidRPr="005E4478">
              <w:rPr>
                <w:color w:val="000000"/>
                <w:sz w:val="22"/>
                <w:szCs w:val="22"/>
              </w:rPr>
              <w:t xml:space="preserve"> </w:t>
            </w:r>
          </w:p>
        </w:tc>
      </w:tr>
    </w:tbl>
    <w:p w:rsidRPr="004C53AE" w:rsidR="000A5937" w:rsidP="004C53AE" w:rsidRDefault="004C53AE" w14:paraId="60579D0B" w14:textId="77777777">
      <w:pPr>
        <w:tabs>
          <w:tab w:val="left" w:pos="90"/>
        </w:tabs>
        <w:ind w:hanging="180"/>
        <w:rPr>
          <w:sz w:val="20"/>
          <w:szCs w:val="20"/>
        </w:rPr>
      </w:pPr>
      <w:r>
        <w:rPr>
          <w:color w:val="000000"/>
          <w:sz w:val="20"/>
          <w:szCs w:val="20"/>
        </w:rPr>
        <w:t xml:space="preserve">   </w:t>
      </w:r>
      <w:r w:rsidR="000A5937">
        <w:rPr>
          <w:color w:val="000000"/>
          <w:sz w:val="20"/>
          <w:szCs w:val="20"/>
        </w:rPr>
        <w:t>*</w:t>
      </w:r>
      <w:r w:rsidR="000A5937">
        <w:rPr>
          <w:color w:val="000000"/>
          <w:sz w:val="20"/>
          <w:szCs w:val="20"/>
        </w:rPr>
        <w:tab/>
      </w:r>
      <w:r w:rsidRPr="004C53AE" w:rsidR="000A5937">
        <w:rPr>
          <w:color w:val="000000"/>
          <w:sz w:val="20"/>
          <w:szCs w:val="20"/>
        </w:rPr>
        <w:t>National Compensation Survey: Occupational wages in the United States May 2017 “U.S. Department of Labor, Bureau of Labor Statistics.”</w:t>
      </w:r>
    </w:p>
    <w:p w:rsidRPr="004C53AE" w:rsidR="000A5937" w:rsidP="004C53AE" w:rsidRDefault="000A5937" w14:paraId="1C30A53C" w14:textId="77777777">
      <w:pPr>
        <w:rPr>
          <w:sz w:val="20"/>
          <w:szCs w:val="20"/>
        </w:rPr>
      </w:pPr>
      <w:proofErr w:type="spellStart"/>
      <w:proofErr w:type="gramStart"/>
      <w:r w:rsidRPr="004C53AE">
        <w:rPr>
          <w:sz w:val="20"/>
          <w:szCs w:val="20"/>
          <w:vertAlign w:val="superscript"/>
        </w:rPr>
        <w:t>a</w:t>
      </w:r>
      <w:proofErr w:type="spellEnd"/>
      <w:proofErr w:type="gramEnd"/>
      <w:r w:rsidRPr="004C53AE">
        <w:rPr>
          <w:b/>
          <w:sz w:val="20"/>
          <w:szCs w:val="20"/>
        </w:rPr>
        <w:t xml:space="preserve"> </w:t>
      </w:r>
      <w:r w:rsidRPr="004C53AE">
        <w:rPr>
          <w:color w:val="000000"/>
          <w:sz w:val="20"/>
          <w:szCs w:val="20"/>
        </w:rPr>
        <w:t>Hourly wage for nurse-midwives ($48.36; occupation code 29-1161)</w:t>
      </w:r>
      <w:r w:rsidRPr="004C53AE">
        <w:rPr>
          <w:color w:val="000000"/>
          <w:sz w:val="20"/>
          <w:szCs w:val="20"/>
          <w:shd w:val="clear" w:color="auto" w:fill="F6F6EF"/>
        </w:rPr>
        <w:t>.</w:t>
      </w:r>
    </w:p>
    <w:p w:rsidRPr="004C53AE" w:rsidR="000A5937" w:rsidP="004C53AE" w:rsidRDefault="000A5937" w14:paraId="113FBA67" w14:textId="77777777">
      <w:pPr>
        <w:rPr>
          <w:b/>
          <w:sz w:val="20"/>
          <w:szCs w:val="20"/>
        </w:rPr>
      </w:pPr>
      <w:proofErr w:type="gramStart"/>
      <w:r w:rsidRPr="004C53AE">
        <w:rPr>
          <w:color w:val="000000"/>
          <w:sz w:val="20"/>
          <w:szCs w:val="20"/>
          <w:vertAlign w:val="superscript"/>
        </w:rPr>
        <w:t>b</w:t>
      </w:r>
      <w:proofErr w:type="gramEnd"/>
      <w:r w:rsidR="00170AAD">
        <w:rPr>
          <w:color w:val="000000"/>
          <w:sz w:val="20"/>
          <w:szCs w:val="20"/>
        </w:rPr>
        <w:t xml:space="preserve"> </w:t>
      </w:r>
      <w:r w:rsidRPr="004C53AE">
        <w:rPr>
          <w:color w:val="000000"/>
          <w:sz w:val="20"/>
          <w:szCs w:val="20"/>
        </w:rPr>
        <w:t>Weighted mean hourly wage for obstetrician-gynecologists ($113.10; occupation code 29-1064; 30%); nurse-midwives ($49.83; occupation code 29-1161; 30%); registered nurses ($35.36; occupation code 29-1161; 20%); and nurse practitioners ($51.86; occupation code 29-1171; 20%)</w:t>
      </w:r>
      <w:r w:rsidRPr="004C53AE">
        <w:rPr>
          <w:color w:val="000000"/>
          <w:sz w:val="20"/>
          <w:szCs w:val="20"/>
          <w:shd w:val="clear" w:color="auto" w:fill="F6F6EF"/>
        </w:rPr>
        <w:t>.</w:t>
      </w:r>
    </w:p>
    <w:p w:rsidRPr="00FE5CBE" w:rsidR="000A5937" w:rsidP="000A5937" w:rsidRDefault="000A5937" w14:paraId="54DEBF75" w14:textId="77777777">
      <w:pPr>
        <w:pStyle w:val="Heading2"/>
        <w:rPr>
          <w:rFonts w:ascii="Times New Roman" w:hAnsi="Times New Roman" w:cs="Times New Roman"/>
          <w:sz w:val="24"/>
          <w:szCs w:val="24"/>
        </w:rPr>
      </w:pPr>
      <w:r w:rsidRPr="00FE5CBE">
        <w:rPr>
          <w:rFonts w:ascii="Times New Roman" w:hAnsi="Times New Roman" w:cs="Times New Roman"/>
          <w:sz w:val="24"/>
          <w:szCs w:val="24"/>
        </w:rPr>
        <w:t>13. Estimates of Annualized Respondent Capital and Maintenance Costs</w:t>
      </w:r>
    </w:p>
    <w:p w:rsidRPr="00FE5CBE" w:rsidR="000A5937" w:rsidP="000A5937" w:rsidRDefault="000A5937" w14:paraId="0063D4A2" w14:textId="77777777">
      <w:pPr>
        <w:spacing w:before="120"/>
      </w:pPr>
      <w:r w:rsidRPr="00FE5CBE">
        <w:t>Capital and maintenance costs include the purchase of equipment, computers or computer software or services, or storage facilities for records, as a result of complying with this data collection.</w:t>
      </w:r>
      <w:r w:rsidRPr="00FE5CBE">
        <w:rPr>
          <w:i/>
        </w:rPr>
        <w:t xml:space="preserve">  </w:t>
      </w:r>
      <w:r w:rsidRPr="00FE5CBE">
        <w:t>There are no direct costs to respondents other than their time to participate in the study.</w:t>
      </w:r>
    </w:p>
    <w:p w:rsidRPr="00FE5CBE" w:rsidR="000A5937" w:rsidP="000A5937" w:rsidRDefault="000A5937" w14:paraId="10E0F843" w14:textId="77777777">
      <w:pPr>
        <w:pStyle w:val="Heading2"/>
        <w:rPr>
          <w:rFonts w:ascii="Times New Roman" w:hAnsi="Times New Roman" w:cs="Times New Roman"/>
          <w:sz w:val="24"/>
          <w:szCs w:val="24"/>
        </w:rPr>
      </w:pPr>
      <w:r w:rsidRPr="00FE5CBE">
        <w:rPr>
          <w:rFonts w:ascii="Times New Roman" w:hAnsi="Times New Roman" w:cs="Times New Roman"/>
          <w:sz w:val="24"/>
          <w:szCs w:val="24"/>
        </w:rPr>
        <w:t>14. Estimates of Total and Annualized Cost to the Government</w:t>
      </w:r>
    </w:p>
    <w:p w:rsidRPr="00FE5CBE" w:rsidR="00113ED2" w:rsidP="00113ED2" w:rsidRDefault="00113ED2" w14:paraId="21A0D8AB" w14:textId="77777777">
      <w:pPr>
        <w:spacing w:before="120"/>
      </w:pPr>
      <w:r w:rsidRPr="00FE5CBE">
        <w:t>The total contractor cost to the government to implement and evaluation the Demonstration Project is estimated to be $</w:t>
      </w:r>
      <w:r w:rsidRPr="00FE5CBE" w:rsidR="00353AD3">
        <w:rPr>
          <w:color w:val="000000"/>
        </w:rPr>
        <w:t>1,890,056.98</w:t>
      </w:r>
      <w:r w:rsidRPr="00FE5CBE">
        <w:t xml:space="preserve">. As shown in Exhibit 3a, this amount includes costs for </w:t>
      </w:r>
      <w:r w:rsidRPr="00FE5CBE" w:rsidR="00D162C6">
        <w:t xml:space="preserve">project </w:t>
      </w:r>
      <w:r w:rsidRPr="00FE5CBE">
        <w:t>develop</w:t>
      </w:r>
      <w:r w:rsidRPr="00FE5CBE" w:rsidR="00D162C6">
        <w:t>ment ($</w:t>
      </w:r>
      <w:r w:rsidRPr="00FE5CBE" w:rsidR="00353AD3">
        <w:rPr>
          <w:color w:val="000000"/>
        </w:rPr>
        <w:t>461,586.66</w:t>
      </w:r>
      <w:r w:rsidRPr="00FE5CBE">
        <w:t>)</w:t>
      </w:r>
      <w:r w:rsidRPr="00FE5CBE" w:rsidR="00D162C6">
        <w:t>,</w:t>
      </w:r>
      <w:r w:rsidRPr="00FE5CBE">
        <w:t xml:space="preserve"> collecting the data ($</w:t>
      </w:r>
      <w:r w:rsidRPr="00FE5CBE" w:rsidR="00353AD3">
        <w:rPr>
          <w:color w:val="000000"/>
        </w:rPr>
        <w:t>58,790.00</w:t>
      </w:r>
      <w:r w:rsidRPr="00FE5CBE">
        <w:t>); analyzing the data ($</w:t>
      </w:r>
      <w:r w:rsidRPr="00FE5CBE" w:rsidR="00353AD3">
        <w:rPr>
          <w:color w:val="000000"/>
        </w:rPr>
        <w:t>520,376.66</w:t>
      </w:r>
      <w:r w:rsidRPr="00FE5CBE">
        <w:t xml:space="preserve">); and reporting the findings ($5,000). </w:t>
      </w:r>
    </w:p>
    <w:p w:rsidRPr="00FE5CBE" w:rsidR="00113ED2" w:rsidP="00113ED2" w:rsidRDefault="00113ED2" w14:paraId="32A4CE0D" w14:textId="77777777">
      <w:pPr>
        <w:spacing w:before="120"/>
      </w:pPr>
    </w:p>
    <w:p w:rsidRPr="00FE5CBE" w:rsidR="00113ED2" w:rsidP="000A5937" w:rsidRDefault="000A5937" w14:paraId="7781A209" w14:textId="77777777">
      <w:pPr>
        <w:rPr>
          <w:b/>
          <w:bCs/>
          <w:color w:val="000000"/>
        </w:rPr>
      </w:pPr>
      <w:r w:rsidRPr="00FE5CBE">
        <w:rPr>
          <w:b/>
          <w:bCs/>
          <w:color w:val="000000"/>
        </w:rPr>
        <w:t>Exhibit 3a.  Estimated Total and Annualized Cost</w:t>
      </w:r>
    </w:p>
    <w:p w:rsidR="000A5937" w:rsidP="000A5937" w:rsidRDefault="000A5937" w14:paraId="433220E4" w14:textId="77777777"/>
    <w:tbl>
      <w:tblPr>
        <w:tblW w:w="0" w:type="auto"/>
        <w:tblInd w:w="108" w:type="dxa"/>
        <w:tblCellMar>
          <w:left w:w="0" w:type="dxa"/>
          <w:right w:w="0" w:type="dxa"/>
        </w:tblCellMar>
        <w:tblLook w:val="0000" w:firstRow="0" w:lastRow="0" w:firstColumn="0" w:lastColumn="0" w:noHBand="0" w:noVBand="0"/>
      </w:tblPr>
      <w:tblGrid>
        <w:gridCol w:w="3600"/>
        <w:gridCol w:w="2707"/>
        <w:gridCol w:w="1980"/>
      </w:tblGrid>
      <w:tr w:rsidRPr="00FE5CBE" w:rsidR="000A5937" w:rsidTr="009839AE" w14:paraId="4A276FEA" w14:textId="77777777">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E5CBE" w:rsidR="000A5937" w:rsidP="00EF740D" w:rsidRDefault="000A5937" w14:paraId="75249AC6" w14:textId="77777777">
            <w:pPr>
              <w:rPr>
                <w:b/>
                <w:sz w:val="22"/>
                <w:szCs w:val="22"/>
              </w:rPr>
            </w:pPr>
            <w:r w:rsidRPr="00FE5CBE">
              <w:rPr>
                <w:b/>
                <w:color w:val="000000"/>
                <w:sz w:val="22"/>
                <w:szCs w:val="22"/>
              </w:rPr>
              <w:t xml:space="preserve">Cost Component </w:t>
            </w:r>
          </w:p>
        </w:tc>
        <w:tc>
          <w:tcPr>
            <w:tcW w:w="27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0A5937" w:rsidP="00EF740D" w:rsidRDefault="000A5937" w14:paraId="185296DE" w14:textId="77777777">
            <w:pPr>
              <w:jc w:val="center"/>
              <w:rPr>
                <w:b/>
                <w:sz w:val="22"/>
                <w:szCs w:val="22"/>
              </w:rPr>
            </w:pPr>
            <w:r w:rsidRPr="00FE5CBE">
              <w:rPr>
                <w:b/>
                <w:sz w:val="22"/>
                <w:szCs w:val="22"/>
              </w:rPr>
              <w:t>Total Cost</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0A5937" w:rsidP="00EF740D" w:rsidRDefault="000A5937" w14:paraId="33727CB8" w14:textId="77777777">
            <w:pPr>
              <w:jc w:val="center"/>
              <w:rPr>
                <w:b/>
                <w:sz w:val="22"/>
                <w:szCs w:val="22"/>
              </w:rPr>
            </w:pPr>
            <w:r w:rsidRPr="00FE5CBE">
              <w:rPr>
                <w:b/>
                <w:sz w:val="22"/>
                <w:szCs w:val="22"/>
              </w:rPr>
              <w:t>Annualized Cost</w:t>
            </w:r>
          </w:p>
        </w:tc>
      </w:tr>
      <w:tr w:rsidRPr="00FE5CBE" w:rsidR="009839AE" w:rsidTr="009839AE" w14:paraId="59F9D065"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14:paraId="65FD5260" w14:textId="77777777">
            <w:pPr>
              <w:rPr>
                <w:sz w:val="22"/>
                <w:szCs w:val="22"/>
              </w:rPr>
            </w:pPr>
            <w:r w:rsidRPr="00FE5CBE">
              <w:rPr>
                <w:sz w:val="22"/>
                <w:szCs w:val="22"/>
              </w:rPr>
              <w:t>Project Development</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424E1C12" w14:textId="77777777">
            <w:pPr>
              <w:jc w:val="right"/>
              <w:rPr>
                <w:color w:val="000000"/>
                <w:sz w:val="22"/>
                <w:szCs w:val="22"/>
              </w:rPr>
            </w:pPr>
            <w:r w:rsidRPr="00FE5CBE">
              <w:rPr>
                <w:color w:val="000000"/>
                <w:sz w:val="22"/>
                <w:szCs w:val="22"/>
              </w:rPr>
              <w:t xml:space="preserve">$461,586.66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4997A74B" w14:textId="77777777">
            <w:pPr>
              <w:jc w:val="right"/>
              <w:rPr>
                <w:color w:val="000000"/>
                <w:sz w:val="22"/>
                <w:szCs w:val="22"/>
              </w:rPr>
            </w:pPr>
            <w:r w:rsidRPr="00FE5CBE">
              <w:rPr>
                <w:color w:val="000000"/>
                <w:sz w:val="22"/>
                <w:szCs w:val="22"/>
              </w:rPr>
              <w:t xml:space="preserve">$115,396.67 </w:t>
            </w:r>
          </w:p>
        </w:tc>
      </w:tr>
      <w:tr w:rsidRPr="00FE5CBE" w:rsidR="009839AE" w:rsidTr="009839AE" w14:paraId="62134C23"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14:paraId="5FBC9EF6" w14:textId="77777777">
            <w:pPr>
              <w:rPr>
                <w:sz w:val="22"/>
                <w:szCs w:val="22"/>
              </w:rPr>
            </w:pPr>
            <w:r w:rsidRPr="00FE5CBE">
              <w:rPr>
                <w:sz w:val="22"/>
                <w:szCs w:val="22"/>
              </w:rPr>
              <w:t>Data Collection Activities</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622B2F43" w14:textId="77777777">
            <w:pPr>
              <w:jc w:val="right"/>
              <w:rPr>
                <w:color w:val="000000"/>
                <w:sz w:val="22"/>
                <w:szCs w:val="22"/>
              </w:rPr>
            </w:pPr>
            <w:r w:rsidRPr="00FE5CBE">
              <w:rPr>
                <w:color w:val="000000"/>
                <w:sz w:val="22"/>
                <w:szCs w:val="22"/>
              </w:rPr>
              <w:t xml:space="preserve">$58,790.00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2DC10CC2" w14:textId="77777777">
            <w:pPr>
              <w:jc w:val="right"/>
              <w:rPr>
                <w:color w:val="000000"/>
                <w:sz w:val="22"/>
                <w:szCs w:val="22"/>
              </w:rPr>
            </w:pPr>
            <w:r w:rsidRPr="00FE5CBE">
              <w:rPr>
                <w:color w:val="000000"/>
                <w:sz w:val="22"/>
                <w:szCs w:val="22"/>
              </w:rPr>
              <w:t xml:space="preserve">$14,697.50 </w:t>
            </w:r>
          </w:p>
        </w:tc>
      </w:tr>
      <w:tr w:rsidRPr="00FE5CBE" w:rsidR="009839AE" w:rsidTr="009839AE" w14:paraId="10D5D7A6"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14:paraId="195CB681" w14:textId="77777777">
            <w:pPr>
              <w:rPr>
                <w:sz w:val="22"/>
                <w:szCs w:val="22"/>
              </w:rPr>
            </w:pPr>
            <w:r w:rsidRPr="00FE5CBE">
              <w:rPr>
                <w:sz w:val="22"/>
                <w:szCs w:val="22"/>
              </w:rPr>
              <w:t>Data Processing and Analysis</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14D239E6" w14:textId="77777777">
            <w:pPr>
              <w:jc w:val="right"/>
              <w:rPr>
                <w:color w:val="000000"/>
                <w:sz w:val="22"/>
                <w:szCs w:val="22"/>
              </w:rPr>
            </w:pPr>
            <w:r w:rsidRPr="00FE5CBE">
              <w:rPr>
                <w:color w:val="000000"/>
                <w:sz w:val="22"/>
                <w:szCs w:val="22"/>
              </w:rPr>
              <w:t xml:space="preserve">$520,376.66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6003E786" w14:textId="77777777">
            <w:pPr>
              <w:jc w:val="right"/>
              <w:rPr>
                <w:color w:val="000000"/>
                <w:sz w:val="22"/>
                <w:szCs w:val="22"/>
              </w:rPr>
            </w:pPr>
            <w:r w:rsidRPr="00FE5CBE">
              <w:rPr>
                <w:color w:val="000000"/>
                <w:sz w:val="22"/>
                <w:szCs w:val="22"/>
              </w:rPr>
              <w:t xml:space="preserve">$130,094.17 </w:t>
            </w:r>
          </w:p>
        </w:tc>
      </w:tr>
      <w:tr w:rsidRPr="00FE5CBE" w:rsidR="009839AE" w:rsidTr="009839AE" w14:paraId="2EDA5F0E"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14:paraId="76BEB838" w14:textId="77777777">
            <w:pPr>
              <w:rPr>
                <w:sz w:val="22"/>
                <w:szCs w:val="22"/>
              </w:rPr>
            </w:pPr>
            <w:r w:rsidRPr="00FE5CBE">
              <w:rPr>
                <w:sz w:val="22"/>
                <w:szCs w:val="22"/>
              </w:rPr>
              <w:t>Publication of Results</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0DAE3009" w14:textId="77777777">
            <w:pPr>
              <w:jc w:val="right"/>
              <w:rPr>
                <w:color w:val="000000"/>
                <w:sz w:val="22"/>
                <w:szCs w:val="22"/>
              </w:rPr>
            </w:pPr>
            <w:r w:rsidRPr="00FE5CBE">
              <w:rPr>
                <w:color w:val="000000"/>
                <w:sz w:val="22"/>
                <w:szCs w:val="22"/>
              </w:rPr>
              <w:t>$5,000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6E758E20" w14:textId="77777777">
            <w:pPr>
              <w:jc w:val="right"/>
              <w:rPr>
                <w:color w:val="000000"/>
                <w:sz w:val="22"/>
                <w:szCs w:val="22"/>
              </w:rPr>
            </w:pPr>
            <w:r w:rsidRPr="00FE5CBE">
              <w:rPr>
                <w:color w:val="000000"/>
                <w:sz w:val="22"/>
                <w:szCs w:val="22"/>
              </w:rPr>
              <w:t xml:space="preserve">$1,250.00 </w:t>
            </w:r>
          </w:p>
        </w:tc>
      </w:tr>
      <w:tr w:rsidRPr="00FE5CBE" w:rsidR="009839AE" w:rsidTr="009839AE" w14:paraId="53D3F887"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14:paraId="0A7D78A0" w14:textId="77777777">
            <w:pPr>
              <w:rPr>
                <w:sz w:val="22"/>
                <w:szCs w:val="22"/>
              </w:rPr>
            </w:pPr>
            <w:r w:rsidRPr="00FE5CBE">
              <w:rPr>
                <w:sz w:val="22"/>
                <w:szCs w:val="22"/>
              </w:rPr>
              <w:t>Project Management</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0A89521E" w14:textId="77777777">
            <w:pPr>
              <w:jc w:val="right"/>
              <w:rPr>
                <w:color w:val="000000"/>
                <w:sz w:val="22"/>
                <w:szCs w:val="22"/>
              </w:rPr>
            </w:pPr>
            <w:r w:rsidRPr="00FE5CBE">
              <w:rPr>
                <w:color w:val="000000"/>
                <w:sz w:val="22"/>
                <w:szCs w:val="22"/>
              </w:rPr>
              <w:t xml:space="preserve">$520,376.66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51200105" w14:textId="77777777">
            <w:pPr>
              <w:jc w:val="right"/>
              <w:rPr>
                <w:color w:val="000000"/>
                <w:sz w:val="22"/>
                <w:szCs w:val="22"/>
              </w:rPr>
            </w:pPr>
            <w:r w:rsidRPr="00FE5CBE">
              <w:rPr>
                <w:color w:val="000000"/>
                <w:sz w:val="22"/>
                <w:szCs w:val="22"/>
              </w:rPr>
              <w:t xml:space="preserve">$130,094.17 </w:t>
            </w:r>
          </w:p>
        </w:tc>
      </w:tr>
      <w:tr w:rsidRPr="00FE5CBE" w:rsidR="009839AE" w:rsidTr="009839AE" w14:paraId="67534E14"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14:paraId="05F23979" w14:textId="77777777">
            <w:pPr>
              <w:rPr>
                <w:sz w:val="22"/>
                <w:szCs w:val="22"/>
              </w:rPr>
            </w:pPr>
            <w:r w:rsidRPr="00FE5CBE">
              <w:rPr>
                <w:sz w:val="22"/>
                <w:szCs w:val="22"/>
              </w:rPr>
              <w:t>Overhead</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3893960C" w14:textId="77777777">
            <w:pPr>
              <w:jc w:val="right"/>
              <w:rPr>
                <w:color w:val="000000"/>
                <w:sz w:val="22"/>
                <w:szCs w:val="22"/>
              </w:rPr>
            </w:pPr>
            <w:r w:rsidRPr="00FE5CBE">
              <w:rPr>
                <w:color w:val="000000"/>
                <w:sz w:val="22"/>
                <w:szCs w:val="22"/>
              </w:rPr>
              <w:t xml:space="preserve">$328,927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10F021F4" w14:textId="77777777">
            <w:pPr>
              <w:jc w:val="right"/>
              <w:rPr>
                <w:color w:val="000000"/>
                <w:sz w:val="22"/>
                <w:szCs w:val="22"/>
              </w:rPr>
            </w:pPr>
            <w:r w:rsidRPr="00FE5CBE">
              <w:rPr>
                <w:color w:val="000000"/>
                <w:sz w:val="22"/>
                <w:szCs w:val="22"/>
              </w:rPr>
              <w:t xml:space="preserve">$82,231.75 </w:t>
            </w:r>
          </w:p>
        </w:tc>
      </w:tr>
      <w:tr w:rsidRPr="00FE5CBE" w:rsidR="009839AE" w:rsidTr="009839AE" w14:paraId="77F12C07"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14:paraId="01E73733" w14:textId="77777777">
            <w:pPr>
              <w:rPr>
                <w:sz w:val="22"/>
                <w:szCs w:val="22"/>
              </w:rPr>
            </w:pPr>
            <w:r w:rsidRPr="00FE5CBE">
              <w:rPr>
                <w:b/>
                <w:bCs/>
                <w:color w:val="000000"/>
                <w:sz w:val="22"/>
                <w:szCs w:val="22"/>
              </w:rPr>
              <w:t>Total</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1E3D6284" w14:textId="77777777">
            <w:pPr>
              <w:jc w:val="right"/>
              <w:rPr>
                <w:color w:val="000000"/>
                <w:sz w:val="22"/>
                <w:szCs w:val="22"/>
              </w:rPr>
            </w:pPr>
            <w:r w:rsidRPr="00FE5CBE">
              <w:rPr>
                <w:color w:val="000000"/>
                <w:sz w:val="22"/>
                <w:szCs w:val="22"/>
              </w:rPr>
              <w:t xml:space="preserve">$1,890,056.98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14:paraId="33F92445" w14:textId="77777777">
            <w:pPr>
              <w:jc w:val="right"/>
              <w:rPr>
                <w:color w:val="000000"/>
                <w:sz w:val="22"/>
                <w:szCs w:val="22"/>
              </w:rPr>
            </w:pPr>
            <w:r w:rsidRPr="00FE5CBE">
              <w:rPr>
                <w:color w:val="000000"/>
                <w:sz w:val="22"/>
                <w:szCs w:val="22"/>
              </w:rPr>
              <w:t xml:space="preserve">$473,764.25 </w:t>
            </w:r>
          </w:p>
        </w:tc>
      </w:tr>
    </w:tbl>
    <w:p w:rsidR="000A5937" w:rsidP="000A5937" w:rsidRDefault="000A5937" w14:paraId="7A32F4E3" w14:textId="77777777">
      <w:pPr>
        <w:ind w:firstLine="90"/>
        <w:rPr>
          <w:b/>
        </w:rPr>
      </w:pPr>
    </w:p>
    <w:p w:rsidRPr="00DA79B5" w:rsidR="009E1941" w:rsidP="009E1941" w:rsidRDefault="00CF73F5" w14:paraId="0FE99B7C" w14:textId="77777777">
      <w:bookmarkStart w:name="_Toc151782190" w:id="33"/>
      <w:bookmarkStart w:name="_Toc158526230" w:id="34"/>
      <w:bookmarkEnd w:id="29"/>
      <w:bookmarkEnd w:id="30"/>
      <w:r>
        <w:t xml:space="preserve">Three Health Scientist Administrators </w:t>
      </w:r>
      <w:r w:rsidRPr="00DA79B5" w:rsidR="009E1941">
        <w:t>(</w:t>
      </w:r>
      <w:r>
        <w:t>a Project Lead</w:t>
      </w:r>
      <w:r w:rsidR="00FD473F">
        <w:t xml:space="preserve"> (GS-15) at 5% FTE</w:t>
      </w:r>
      <w:r>
        <w:t>,</w:t>
      </w:r>
      <w:r w:rsidR="00FD473F">
        <w:t xml:space="preserve"> a</w:t>
      </w:r>
      <w:r>
        <w:t xml:space="preserve"> Contracting Officer </w:t>
      </w:r>
      <w:r w:rsidR="00FD473F">
        <w:t xml:space="preserve">(GS-14) </w:t>
      </w:r>
      <w:r>
        <w:t>Representative</w:t>
      </w:r>
      <w:r w:rsidR="00FD473F">
        <w:t xml:space="preserve"> at 20% FTE</w:t>
      </w:r>
      <w:r>
        <w:t>, and Project Co-Lead</w:t>
      </w:r>
      <w:r w:rsidR="00FD473F">
        <w:t xml:space="preserve"> at 20% FTE (GS-14)</w:t>
      </w:r>
      <w:r w:rsidRPr="00DA79B5" w:rsidR="009E1941">
        <w:t xml:space="preserve">) will be responsible for project management and oversight. This will include oversight of the data collection </w:t>
      </w:r>
      <w:r w:rsidR="00FD473F">
        <w:t>activities</w:t>
      </w:r>
      <w:r w:rsidRPr="00DA79B5" w:rsidR="00FD473F">
        <w:t xml:space="preserve"> </w:t>
      </w:r>
      <w:r>
        <w:t>during the</w:t>
      </w:r>
      <w:r w:rsidR="00255C7D">
        <w:t xml:space="preserve"> </w:t>
      </w:r>
      <w:r>
        <w:t xml:space="preserve">implementation and evaluation phase </w:t>
      </w:r>
      <w:r w:rsidRPr="00DA79B5" w:rsidR="009E1941">
        <w:t xml:space="preserve">and review of the report of summarized results. The estimated cost to the Federal Government for these activities is provided in Exhibit 3b. The average hourly salary for the position of </w:t>
      </w:r>
      <w:r>
        <w:t>the Health Scientist Administrator</w:t>
      </w:r>
      <w:r w:rsidRPr="00DA79B5" w:rsidR="009E1941">
        <w:t xml:space="preserve"> at the GS-15 grade level, Step </w:t>
      </w:r>
      <w:r>
        <w:t>3</w:t>
      </w:r>
      <w:r w:rsidRPr="00DA79B5" w:rsidR="009E1941">
        <w:t xml:space="preserve"> is $</w:t>
      </w:r>
      <w:r>
        <w:t>70.45</w:t>
      </w:r>
      <w:r w:rsidRPr="00DA79B5" w:rsidR="009E1941">
        <w:t xml:space="preserve"> per hour</w:t>
      </w:r>
      <w:r>
        <w:t xml:space="preserve"> and the average hourly salary for the position of the Health Scientist Administrator at the GS-14 grade level, Step 3 is $59.90</w:t>
      </w:r>
      <w:r w:rsidRPr="00DA79B5" w:rsidR="009E1941">
        <w:t xml:space="preserve">. The Federal hourly salary information is available on the OPM website at </w:t>
      </w:r>
      <w:hyperlink w:history="1" r:id="rId8">
        <w:r w:rsidRPr="006D068E">
          <w:rPr>
            <w:rStyle w:val="Hyperlink"/>
          </w:rPr>
          <w:t>https://www.opm.gov/policy-data-oversight/pay-leave/salaries-wages/salary-tables/19Tables/html/DCB_h.aspx</w:t>
        </w:r>
      </w:hyperlink>
      <w:r>
        <w:t xml:space="preserve">.  </w:t>
      </w:r>
    </w:p>
    <w:p w:rsidR="009E1941" w:rsidP="00D20C47" w:rsidRDefault="009E1941" w14:paraId="0FFE90A2" w14:textId="77777777">
      <w:pPr>
        <w:ind w:firstLine="90"/>
        <w:rPr>
          <w:b/>
        </w:rPr>
      </w:pPr>
    </w:p>
    <w:p w:rsidR="00D20C47" w:rsidP="00D20C47" w:rsidRDefault="00D20C47" w14:paraId="33FF4D40" w14:textId="77777777">
      <w:pPr>
        <w:ind w:firstLine="90"/>
        <w:rPr>
          <w:b/>
        </w:rPr>
      </w:pPr>
      <w:r w:rsidRPr="00DA79B5">
        <w:rPr>
          <w:b/>
        </w:rPr>
        <w:t>Exhibit 3b. Federal Government Personnel Cost</w:t>
      </w:r>
    </w:p>
    <w:p w:rsidRPr="00DA79B5" w:rsidR="00AA6BA9" w:rsidP="00D20C47" w:rsidRDefault="00AA6BA9" w14:paraId="64436524" w14:textId="77777777">
      <w:pPr>
        <w:ind w:firstLine="90"/>
        <w:rPr>
          <w:b/>
        </w:rPr>
      </w:pPr>
    </w:p>
    <w:tbl>
      <w:tblPr>
        <w:tblW w:w="8726" w:type="dxa"/>
        <w:jc w:val="center"/>
        <w:tblLayout w:type="fixed"/>
        <w:tblCellMar>
          <w:left w:w="100" w:type="dxa"/>
          <w:right w:w="100" w:type="dxa"/>
        </w:tblCellMar>
        <w:tblLook w:val="04A0" w:firstRow="1" w:lastRow="0" w:firstColumn="1" w:lastColumn="0" w:noHBand="0" w:noVBand="1"/>
      </w:tblPr>
      <w:tblGrid>
        <w:gridCol w:w="1663"/>
        <w:gridCol w:w="1260"/>
        <w:gridCol w:w="1980"/>
        <w:gridCol w:w="1800"/>
        <w:gridCol w:w="2023"/>
      </w:tblGrid>
      <w:tr w:rsidRPr="00DA79B5" w:rsidR="00D20C47" w:rsidTr="00057BD2" w14:paraId="753FB2C2" w14:textId="77777777">
        <w:trPr>
          <w:cantSplit/>
          <w:trHeight w:val="403"/>
          <w:jc w:val="center"/>
        </w:trPr>
        <w:tc>
          <w:tcPr>
            <w:tcW w:w="1663" w:type="dxa"/>
            <w:tcBorders>
              <w:top w:val="single" w:color="auto" w:sz="6" w:space="0"/>
              <w:left w:val="single" w:color="auto" w:sz="6" w:space="0"/>
              <w:bottom w:val="nil"/>
              <w:right w:val="nil"/>
            </w:tcBorders>
            <w:vAlign w:val="bottom"/>
          </w:tcPr>
          <w:p w:rsidRPr="00FE5CBE" w:rsidR="00D20C47" w:rsidP="00A74E0A" w:rsidRDefault="00FD473F" w14:paraId="088C0E91" w14:textId="77777777">
            <w:pPr>
              <w:jc w:val="center"/>
              <w:rPr>
                <w:b/>
                <w:bCs/>
                <w:sz w:val="22"/>
                <w:szCs w:val="22"/>
              </w:rPr>
            </w:pPr>
            <w:r w:rsidRPr="00FE5CBE">
              <w:rPr>
                <w:b/>
                <w:bCs/>
                <w:sz w:val="22"/>
                <w:szCs w:val="22"/>
              </w:rPr>
              <w:t>Federal Personnel</w:t>
            </w:r>
          </w:p>
        </w:tc>
        <w:tc>
          <w:tcPr>
            <w:tcW w:w="1260" w:type="dxa"/>
            <w:tcBorders>
              <w:top w:val="single" w:color="auto" w:sz="6" w:space="0"/>
              <w:left w:val="single" w:color="auto" w:sz="6" w:space="0"/>
              <w:bottom w:val="single" w:color="auto" w:sz="6" w:space="0"/>
              <w:right w:val="nil"/>
            </w:tcBorders>
            <w:vAlign w:val="bottom"/>
          </w:tcPr>
          <w:p w:rsidRPr="00FE5CBE" w:rsidR="00D20C47" w:rsidP="00A74E0A" w:rsidRDefault="00FD473F" w14:paraId="00178727" w14:textId="77777777">
            <w:pPr>
              <w:jc w:val="center"/>
              <w:rPr>
                <w:b/>
                <w:bCs/>
                <w:sz w:val="22"/>
                <w:szCs w:val="22"/>
              </w:rPr>
            </w:pPr>
            <w:r>
              <w:rPr>
                <w:b/>
                <w:bCs/>
                <w:sz w:val="22"/>
                <w:szCs w:val="22"/>
              </w:rPr>
              <w:t>Staff Count</w:t>
            </w:r>
          </w:p>
        </w:tc>
        <w:tc>
          <w:tcPr>
            <w:tcW w:w="1980"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D20C47" w14:paraId="21A898AB" w14:textId="77777777">
            <w:pPr>
              <w:jc w:val="center"/>
              <w:rPr>
                <w:b/>
                <w:bCs/>
                <w:sz w:val="22"/>
                <w:szCs w:val="22"/>
              </w:rPr>
            </w:pPr>
            <w:r w:rsidRPr="00FE5CBE">
              <w:rPr>
                <w:b/>
                <w:bCs/>
                <w:sz w:val="22"/>
                <w:szCs w:val="22"/>
              </w:rPr>
              <w:t>Hourly Rate</w:t>
            </w:r>
          </w:p>
        </w:tc>
        <w:tc>
          <w:tcPr>
            <w:tcW w:w="1800" w:type="dxa"/>
            <w:tcBorders>
              <w:top w:val="single" w:color="auto" w:sz="6" w:space="0"/>
              <w:left w:val="single" w:color="auto" w:sz="6" w:space="0"/>
              <w:bottom w:val="single" w:color="auto" w:sz="6" w:space="0"/>
              <w:right w:val="nil"/>
            </w:tcBorders>
            <w:vAlign w:val="bottom"/>
          </w:tcPr>
          <w:p w:rsidRPr="00FE5CBE" w:rsidR="00D20C47" w:rsidP="00A74E0A" w:rsidRDefault="00D20C47" w14:paraId="5BF5A61F" w14:textId="77777777">
            <w:pPr>
              <w:jc w:val="center"/>
              <w:rPr>
                <w:b/>
                <w:bCs/>
                <w:sz w:val="22"/>
                <w:szCs w:val="22"/>
              </w:rPr>
            </w:pPr>
            <w:r w:rsidRPr="00FE5CBE">
              <w:rPr>
                <w:b/>
                <w:bCs/>
                <w:sz w:val="22"/>
                <w:szCs w:val="22"/>
              </w:rPr>
              <w:t>Estimated Hours</w:t>
            </w:r>
            <w:r w:rsidR="00255C7D">
              <w:rPr>
                <w:b/>
                <w:bCs/>
                <w:sz w:val="22"/>
                <w:szCs w:val="22"/>
              </w:rPr>
              <w:t>/year</w:t>
            </w:r>
          </w:p>
        </w:tc>
        <w:tc>
          <w:tcPr>
            <w:tcW w:w="2023" w:type="dxa"/>
            <w:tcBorders>
              <w:top w:val="single" w:color="auto" w:sz="6" w:space="0"/>
              <w:left w:val="single" w:color="auto" w:sz="6" w:space="0"/>
              <w:bottom w:val="single" w:color="auto" w:sz="6" w:space="0"/>
              <w:right w:val="single" w:color="auto" w:sz="6" w:space="0"/>
            </w:tcBorders>
            <w:vAlign w:val="bottom"/>
          </w:tcPr>
          <w:p w:rsidRPr="00FE5CBE" w:rsidR="00D20C47" w:rsidP="00BE102A" w:rsidRDefault="00D20C47" w14:paraId="79F2DE1B" w14:textId="77777777">
            <w:pPr>
              <w:jc w:val="center"/>
              <w:rPr>
                <w:b/>
                <w:bCs/>
                <w:sz w:val="22"/>
                <w:szCs w:val="22"/>
              </w:rPr>
            </w:pPr>
            <w:r w:rsidRPr="00FE5CBE">
              <w:rPr>
                <w:b/>
                <w:bCs/>
                <w:sz w:val="22"/>
                <w:szCs w:val="22"/>
              </w:rPr>
              <w:t>Cost</w:t>
            </w:r>
            <w:r w:rsidR="00255C7D">
              <w:rPr>
                <w:b/>
                <w:bCs/>
                <w:sz w:val="22"/>
                <w:szCs w:val="22"/>
              </w:rPr>
              <w:t>/</w:t>
            </w:r>
            <w:r w:rsidR="00FD473F">
              <w:rPr>
                <w:b/>
                <w:bCs/>
                <w:sz w:val="22"/>
                <w:szCs w:val="22"/>
              </w:rPr>
              <w:t>year</w:t>
            </w:r>
          </w:p>
        </w:tc>
      </w:tr>
      <w:tr w:rsidRPr="00DA79B5" w:rsidR="00D20C47" w:rsidTr="00057BD2" w14:paraId="5D13765B" w14:textId="77777777">
        <w:trPr>
          <w:cantSplit/>
          <w:trHeight w:val="403"/>
          <w:jc w:val="center"/>
        </w:trPr>
        <w:tc>
          <w:tcPr>
            <w:tcW w:w="1663" w:type="dxa"/>
            <w:tcBorders>
              <w:top w:val="single" w:color="auto" w:sz="6" w:space="0"/>
              <w:left w:val="single" w:color="auto" w:sz="6" w:space="0"/>
              <w:bottom w:val="nil"/>
              <w:right w:val="nil"/>
            </w:tcBorders>
            <w:vAlign w:val="bottom"/>
          </w:tcPr>
          <w:p w:rsidRPr="00FE5CBE" w:rsidR="00D20C47" w:rsidP="00A74E0A" w:rsidRDefault="00FD473F" w14:paraId="27B9AD8C" w14:textId="77777777">
            <w:pPr>
              <w:rPr>
                <w:sz w:val="22"/>
                <w:szCs w:val="22"/>
              </w:rPr>
            </w:pPr>
            <w:r>
              <w:rPr>
                <w:sz w:val="22"/>
                <w:szCs w:val="22"/>
              </w:rPr>
              <w:t>Grade 14</w:t>
            </w:r>
          </w:p>
        </w:tc>
        <w:tc>
          <w:tcPr>
            <w:tcW w:w="1260" w:type="dxa"/>
            <w:tcBorders>
              <w:top w:val="single" w:color="auto" w:sz="6" w:space="0"/>
              <w:left w:val="single" w:color="auto" w:sz="6" w:space="0"/>
              <w:bottom w:val="single" w:color="auto" w:sz="6" w:space="0"/>
              <w:right w:val="nil"/>
            </w:tcBorders>
          </w:tcPr>
          <w:p w:rsidRPr="00FE5CBE" w:rsidR="00D20C47" w:rsidP="00A74E0A" w:rsidRDefault="00FD473F" w14:paraId="19438B16" w14:textId="77777777">
            <w:pPr>
              <w:jc w:val="center"/>
              <w:rPr>
                <w:sz w:val="22"/>
                <w:szCs w:val="22"/>
              </w:rPr>
            </w:pPr>
            <w:r>
              <w:rPr>
                <w:sz w:val="22"/>
                <w:szCs w:val="22"/>
              </w:rPr>
              <w:t>2</w:t>
            </w:r>
          </w:p>
        </w:tc>
        <w:tc>
          <w:tcPr>
            <w:tcW w:w="1980"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FD473F" w14:paraId="4F3B7972" w14:textId="77777777">
            <w:pPr>
              <w:jc w:val="center"/>
              <w:rPr>
                <w:sz w:val="22"/>
                <w:szCs w:val="22"/>
              </w:rPr>
            </w:pPr>
            <w:r>
              <w:rPr>
                <w:sz w:val="22"/>
                <w:szCs w:val="22"/>
              </w:rPr>
              <w:t>$59.90</w:t>
            </w:r>
          </w:p>
        </w:tc>
        <w:tc>
          <w:tcPr>
            <w:tcW w:w="1800" w:type="dxa"/>
            <w:tcBorders>
              <w:top w:val="single" w:color="auto" w:sz="6" w:space="0"/>
              <w:left w:val="single" w:color="auto" w:sz="6" w:space="0"/>
              <w:bottom w:val="single" w:color="auto" w:sz="6" w:space="0"/>
              <w:right w:val="nil"/>
            </w:tcBorders>
            <w:vAlign w:val="bottom"/>
          </w:tcPr>
          <w:p w:rsidRPr="00FE5CBE" w:rsidR="00D20C47" w:rsidP="00A74E0A" w:rsidRDefault="00D20C47" w14:paraId="37AEFBEE" w14:textId="77777777">
            <w:pPr>
              <w:jc w:val="center"/>
              <w:rPr>
                <w:sz w:val="22"/>
                <w:szCs w:val="22"/>
              </w:rPr>
            </w:pPr>
            <w:r w:rsidRPr="00FE5CBE">
              <w:rPr>
                <w:sz w:val="22"/>
                <w:szCs w:val="22"/>
              </w:rPr>
              <w:t xml:space="preserve"> </w:t>
            </w:r>
            <w:r w:rsidR="00255C7D">
              <w:rPr>
                <w:sz w:val="22"/>
                <w:szCs w:val="22"/>
              </w:rPr>
              <w:t>832</w:t>
            </w:r>
          </w:p>
        </w:tc>
        <w:tc>
          <w:tcPr>
            <w:tcW w:w="2023" w:type="dxa"/>
            <w:tcBorders>
              <w:top w:val="single" w:color="auto" w:sz="6" w:space="0"/>
              <w:left w:val="single" w:color="auto" w:sz="6" w:space="0"/>
              <w:bottom w:val="single" w:color="auto" w:sz="6" w:space="0"/>
              <w:right w:val="single" w:color="auto" w:sz="6" w:space="0"/>
            </w:tcBorders>
            <w:vAlign w:val="bottom"/>
          </w:tcPr>
          <w:p w:rsidRPr="00FE5CBE" w:rsidR="00D20C47" w:rsidP="00BE102A" w:rsidRDefault="00255C7D" w14:paraId="4F03BA6B" w14:textId="77777777">
            <w:pPr>
              <w:jc w:val="center"/>
              <w:rPr>
                <w:sz w:val="22"/>
                <w:szCs w:val="22"/>
              </w:rPr>
            </w:pPr>
            <w:r>
              <w:rPr>
                <w:sz w:val="22"/>
                <w:szCs w:val="22"/>
              </w:rPr>
              <w:t>$49.836.80</w:t>
            </w:r>
          </w:p>
        </w:tc>
      </w:tr>
      <w:tr w:rsidRPr="00DA79B5" w:rsidR="00D20C47" w:rsidTr="00057BD2" w14:paraId="4FE3D16B" w14:textId="77777777">
        <w:trPr>
          <w:cantSplit/>
          <w:trHeight w:val="403"/>
          <w:jc w:val="center"/>
        </w:trPr>
        <w:tc>
          <w:tcPr>
            <w:tcW w:w="1663" w:type="dxa"/>
            <w:tcBorders>
              <w:top w:val="single" w:color="auto" w:sz="6" w:space="0"/>
              <w:left w:val="single" w:color="auto" w:sz="6" w:space="0"/>
              <w:bottom w:val="nil"/>
              <w:right w:val="nil"/>
            </w:tcBorders>
            <w:vAlign w:val="bottom"/>
          </w:tcPr>
          <w:p w:rsidRPr="00FE5CBE" w:rsidR="00D20C47" w:rsidP="00A74E0A" w:rsidRDefault="00FD473F" w14:paraId="4EB078F1" w14:textId="77777777">
            <w:pPr>
              <w:rPr>
                <w:sz w:val="22"/>
                <w:szCs w:val="22"/>
              </w:rPr>
            </w:pPr>
            <w:r>
              <w:rPr>
                <w:sz w:val="22"/>
                <w:szCs w:val="22"/>
              </w:rPr>
              <w:t>Grade 15</w:t>
            </w:r>
          </w:p>
        </w:tc>
        <w:tc>
          <w:tcPr>
            <w:tcW w:w="1260" w:type="dxa"/>
            <w:tcBorders>
              <w:top w:val="single" w:color="auto" w:sz="6" w:space="0"/>
              <w:left w:val="single" w:color="auto" w:sz="6" w:space="0"/>
              <w:bottom w:val="single" w:color="auto" w:sz="6" w:space="0"/>
              <w:right w:val="nil"/>
            </w:tcBorders>
          </w:tcPr>
          <w:p w:rsidRPr="00FE5CBE" w:rsidR="00D20C47" w:rsidP="00A74E0A" w:rsidRDefault="00FD473F" w14:paraId="631CA75D" w14:textId="77777777">
            <w:pPr>
              <w:jc w:val="center"/>
              <w:rPr>
                <w:sz w:val="22"/>
                <w:szCs w:val="22"/>
              </w:rPr>
            </w:pPr>
            <w:r>
              <w:rPr>
                <w:sz w:val="22"/>
                <w:szCs w:val="22"/>
              </w:rPr>
              <w:t>1</w:t>
            </w:r>
          </w:p>
        </w:tc>
        <w:tc>
          <w:tcPr>
            <w:tcW w:w="1980"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FD473F" w14:paraId="5D4D979D" w14:textId="77777777">
            <w:pPr>
              <w:jc w:val="center"/>
              <w:rPr>
                <w:sz w:val="22"/>
                <w:szCs w:val="22"/>
              </w:rPr>
            </w:pPr>
            <w:r>
              <w:rPr>
                <w:sz w:val="22"/>
                <w:szCs w:val="22"/>
              </w:rPr>
              <w:t>$70.45</w:t>
            </w:r>
          </w:p>
        </w:tc>
        <w:tc>
          <w:tcPr>
            <w:tcW w:w="1800" w:type="dxa"/>
            <w:tcBorders>
              <w:top w:val="single" w:color="auto" w:sz="6" w:space="0"/>
              <w:left w:val="single" w:color="auto" w:sz="6" w:space="0"/>
              <w:bottom w:val="single" w:color="auto" w:sz="6" w:space="0"/>
              <w:right w:val="nil"/>
            </w:tcBorders>
            <w:vAlign w:val="bottom"/>
          </w:tcPr>
          <w:p w:rsidRPr="00FE5CBE" w:rsidR="00D20C47" w:rsidP="00A74E0A" w:rsidRDefault="00D20C47" w14:paraId="04BE5368" w14:textId="77777777">
            <w:pPr>
              <w:jc w:val="center"/>
              <w:rPr>
                <w:sz w:val="22"/>
                <w:szCs w:val="22"/>
              </w:rPr>
            </w:pPr>
            <w:r w:rsidRPr="00FE5CBE">
              <w:rPr>
                <w:sz w:val="22"/>
                <w:szCs w:val="22"/>
              </w:rPr>
              <w:t xml:space="preserve"> </w:t>
            </w:r>
            <w:r w:rsidR="00255C7D">
              <w:rPr>
                <w:sz w:val="22"/>
                <w:szCs w:val="22"/>
              </w:rPr>
              <w:t>104</w:t>
            </w:r>
          </w:p>
        </w:tc>
        <w:tc>
          <w:tcPr>
            <w:tcW w:w="2023"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255C7D" w14:paraId="14926971" w14:textId="77777777">
            <w:pPr>
              <w:jc w:val="center"/>
              <w:rPr>
                <w:sz w:val="22"/>
                <w:szCs w:val="22"/>
              </w:rPr>
            </w:pPr>
            <w:r>
              <w:rPr>
                <w:sz w:val="22"/>
                <w:szCs w:val="22"/>
              </w:rPr>
              <w:t>$7,326.80</w:t>
            </w:r>
          </w:p>
        </w:tc>
      </w:tr>
      <w:tr w:rsidRPr="00DA79B5" w:rsidR="00D20C47" w:rsidTr="00057BD2" w14:paraId="551FF413" w14:textId="77777777">
        <w:trPr>
          <w:cantSplit/>
          <w:trHeight w:val="403"/>
          <w:jc w:val="center"/>
        </w:trPr>
        <w:tc>
          <w:tcPr>
            <w:tcW w:w="6703" w:type="dxa"/>
            <w:gridSpan w:val="4"/>
            <w:tcBorders>
              <w:top w:val="single" w:color="auto" w:sz="6" w:space="0"/>
              <w:left w:val="single" w:color="auto" w:sz="6" w:space="0"/>
              <w:bottom w:val="single" w:color="auto" w:sz="6" w:space="0"/>
              <w:right w:val="nil"/>
            </w:tcBorders>
            <w:vAlign w:val="bottom"/>
            <w:hideMark/>
          </w:tcPr>
          <w:p w:rsidRPr="00FE5CBE" w:rsidR="00D20C47" w:rsidP="00A74E0A" w:rsidRDefault="00D20C47" w14:paraId="71E5C6A4" w14:textId="77777777">
            <w:pPr>
              <w:rPr>
                <w:b/>
                <w:bCs/>
                <w:sz w:val="22"/>
                <w:szCs w:val="22"/>
              </w:rPr>
            </w:pPr>
            <w:r w:rsidRPr="00FE5CBE">
              <w:rPr>
                <w:b/>
                <w:bCs/>
                <w:sz w:val="22"/>
                <w:szCs w:val="22"/>
              </w:rPr>
              <w:t>Total</w:t>
            </w:r>
          </w:p>
        </w:tc>
        <w:tc>
          <w:tcPr>
            <w:tcW w:w="2023" w:type="dxa"/>
            <w:tcBorders>
              <w:top w:val="single" w:color="auto" w:sz="6" w:space="0"/>
              <w:left w:val="single" w:color="auto" w:sz="6" w:space="0"/>
              <w:bottom w:val="single" w:color="auto" w:sz="6" w:space="0"/>
              <w:right w:val="single" w:color="auto" w:sz="6" w:space="0"/>
            </w:tcBorders>
            <w:vAlign w:val="bottom"/>
            <w:hideMark/>
          </w:tcPr>
          <w:p w:rsidRPr="00FE5CBE" w:rsidR="00D20C47" w:rsidP="00A74E0A" w:rsidRDefault="00255C7D" w14:paraId="17027A71" w14:textId="77777777">
            <w:pPr>
              <w:jc w:val="center"/>
              <w:rPr>
                <w:b/>
                <w:bCs/>
                <w:sz w:val="22"/>
                <w:szCs w:val="22"/>
              </w:rPr>
            </w:pPr>
            <w:r>
              <w:rPr>
                <w:b/>
                <w:bCs/>
                <w:sz w:val="22"/>
                <w:szCs w:val="22"/>
              </w:rPr>
              <w:t>$57,163.60</w:t>
            </w:r>
            <w:r w:rsidRPr="00FE5CBE" w:rsidR="00D20C47">
              <w:rPr>
                <w:b/>
                <w:bCs/>
                <w:sz w:val="22"/>
                <w:szCs w:val="22"/>
              </w:rPr>
              <w:t xml:space="preserve"> </w:t>
            </w:r>
          </w:p>
        </w:tc>
      </w:tr>
    </w:tbl>
    <w:p w:rsidRPr="000C6156" w:rsidR="004830D9" w:rsidP="004131BC" w:rsidRDefault="004830D9" w14:paraId="45E3717E" w14:textId="77777777">
      <w:pPr>
        <w:rPr>
          <w:rFonts w:ascii="Calibri" w:hAnsi="Calibri"/>
          <w:sz w:val="22"/>
          <w:szCs w:val="22"/>
        </w:rPr>
      </w:pPr>
    </w:p>
    <w:p w:rsidRPr="00057BD2" w:rsidR="00012FB9" w:rsidP="00057BD2" w:rsidRDefault="004830D9" w14:paraId="4185BA87" w14:textId="77777777">
      <w:pPr>
        <w:rPr>
          <w:color w:val="000000"/>
          <w:sz w:val="22"/>
          <w:szCs w:val="22"/>
        </w:rPr>
      </w:pPr>
      <w:r w:rsidRPr="00F122B4">
        <w:t xml:space="preserve">The estimated total </w:t>
      </w:r>
      <w:r w:rsidRPr="00F122B4">
        <w:rPr>
          <w:b/>
        </w:rPr>
        <w:t>annualized cost</w:t>
      </w:r>
      <w:r w:rsidRPr="00F122B4">
        <w:t xml:space="preserve"> for this activity is </w:t>
      </w:r>
      <w:r w:rsidRPr="00F122B4">
        <w:rPr>
          <w:b/>
        </w:rPr>
        <w:t>$</w:t>
      </w:r>
      <w:r w:rsidRPr="00F122B4" w:rsidR="00255C7D">
        <w:rPr>
          <w:b/>
        </w:rPr>
        <w:t>530,927.85</w:t>
      </w:r>
      <w:r w:rsidRPr="00F122B4">
        <w:t>. This cost includes contractor costs ($</w:t>
      </w:r>
      <w:r w:rsidRPr="00F122B4" w:rsidR="00255C7D">
        <w:rPr>
          <w:color w:val="000000"/>
          <w:sz w:val="22"/>
          <w:szCs w:val="22"/>
        </w:rPr>
        <w:t>473,764.25</w:t>
      </w:r>
      <w:r w:rsidRPr="00F122B4">
        <w:t>) and Federal personnel costs ($</w:t>
      </w:r>
      <w:r w:rsidRPr="00F122B4" w:rsidR="00255C7D">
        <w:rPr>
          <w:bCs/>
          <w:sz w:val="22"/>
          <w:szCs w:val="22"/>
        </w:rPr>
        <w:t>57,163.60</w:t>
      </w:r>
      <w:r w:rsidRPr="00F122B4">
        <w:t>).</w:t>
      </w:r>
      <w:r w:rsidRPr="00FE5CBE">
        <w:t xml:space="preserve"> </w:t>
      </w:r>
    </w:p>
    <w:p w:rsidR="00FE5CBE" w:rsidP="00FE5CBE" w:rsidRDefault="00FE5CBE" w14:paraId="42519905" w14:textId="77777777">
      <w:pPr>
        <w:pStyle w:val="Heading2"/>
        <w:spacing w:before="0" w:after="0"/>
        <w:rPr>
          <w:rFonts w:ascii="Times New Roman" w:hAnsi="Times New Roman" w:cs="Times New Roman"/>
          <w:sz w:val="24"/>
          <w:szCs w:val="24"/>
        </w:rPr>
      </w:pPr>
    </w:p>
    <w:p w:rsidRPr="00FE5CBE" w:rsidR="009B633D" w:rsidP="00FE5CBE" w:rsidRDefault="009B633D" w14:paraId="4F6835B3" w14:textId="77777777">
      <w:pPr>
        <w:pStyle w:val="Heading2"/>
        <w:spacing w:before="0" w:after="0"/>
        <w:rPr>
          <w:rFonts w:ascii="Times New Roman" w:hAnsi="Times New Roman" w:cs="Times New Roman"/>
          <w:sz w:val="24"/>
          <w:szCs w:val="24"/>
        </w:rPr>
      </w:pPr>
      <w:r w:rsidRPr="00FE5CBE">
        <w:rPr>
          <w:rFonts w:ascii="Times New Roman" w:hAnsi="Times New Roman" w:cs="Times New Roman"/>
          <w:sz w:val="24"/>
          <w:szCs w:val="24"/>
        </w:rPr>
        <w:t>15. Changes in Hour Burden</w:t>
      </w:r>
      <w:bookmarkEnd w:id="33"/>
      <w:bookmarkEnd w:id="34"/>
    </w:p>
    <w:p w:rsidR="00FE5CBE" w:rsidP="00FE5CBE" w:rsidRDefault="00FE5CBE" w14:paraId="6BE0E88B" w14:textId="77777777">
      <w:bookmarkStart w:name="_Toc151782191" w:id="35"/>
      <w:bookmarkStart w:name="_Toc158526231" w:id="36"/>
    </w:p>
    <w:p w:rsidR="00B05252" w:rsidP="00B05252" w:rsidRDefault="00B05252" w14:paraId="2E461881" w14:textId="1EE68A71">
      <w:r w:rsidRPr="00741063">
        <w:rPr>
          <w:highlight w:val="yellow"/>
        </w:rPr>
        <w:t xml:space="preserve">The increase </w:t>
      </w:r>
      <w:r w:rsidRPr="00741063" w:rsidR="004B18E7">
        <w:rPr>
          <w:highlight w:val="yellow"/>
        </w:rPr>
        <w:t xml:space="preserve">of </w:t>
      </w:r>
      <w:r w:rsidRPr="00741063" w:rsidR="00DD1BA3">
        <w:rPr>
          <w:highlight w:val="yellow"/>
        </w:rPr>
        <w:t>3</w:t>
      </w:r>
      <w:r w:rsidRPr="00741063" w:rsidR="00CC480B">
        <w:rPr>
          <w:highlight w:val="yellow"/>
        </w:rPr>
        <w:t>4</w:t>
      </w:r>
      <w:r w:rsidRPr="00741063" w:rsidR="004B18E7">
        <w:rPr>
          <w:highlight w:val="yellow"/>
        </w:rPr>
        <w:t xml:space="preserve"> hour burden </w:t>
      </w:r>
      <w:r w:rsidRPr="00741063">
        <w:rPr>
          <w:highlight w:val="yellow"/>
        </w:rPr>
        <w:t xml:space="preserve">is due to the additional </w:t>
      </w:r>
      <w:r w:rsidRPr="00741063" w:rsidR="00CC480B">
        <w:rPr>
          <w:highlight w:val="yellow"/>
        </w:rPr>
        <w:t>focus group discussions</w:t>
      </w:r>
      <w:r w:rsidRPr="00741063">
        <w:rPr>
          <w:highlight w:val="yellow"/>
        </w:rPr>
        <w:t xml:space="preserve"> that will be conducted with AIM Team Leads</w:t>
      </w:r>
      <w:r w:rsidRPr="00741063" w:rsidR="004B18E7">
        <w:rPr>
          <w:highlight w:val="yellow"/>
        </w:rPr>
        <w:t xml:space="preserve"> and frontline staff.</w:t>
      </w:r>
      <w:r w:rsidRPr="004B18E7" w:rsidR="004B18E7">
        <w:t xml:space="preserve"> </w:t>
      </w:r>
    </w:p>
    <w:p w:rsidR="00255C7D" w:rsidP="00245044" w:rsidRDefault="00255C7D" w14:paraId="5226D804" w14:textId="77777777"/>
    <w:p w:rsidRPr="00FE5CBE" w:rsidR="009B633D" w:rsidP="00FE5CBE" w:rsidRDefault="009B633D" w14:paraId="3739F269" w14:textId="77777777">
      <w:pPr>
        <w:pStyle w:val="Heading2"/>
        <w:spacing w:before="0" w:after="0"/>
        <w:rPr>
          <w:rFonts w:ascii="Times New Roman" w:hAnsi="Times New Roman" w:cs="Times New Roman"/>
          <w:sz w:val="24"/>
          <w:szCs w:val="24"/>
        </w:rPr>
      </w:pPr>
      <w:r w:rsidRPr="00FE5CBE">
        <w:rPr>
          <w:rFonts w:ascii="Times New Roman" w:hAnsi="Times New Roman" w:cs="Times New Roman"/>
          <w:sz w:val="24"/>
          <w:szCs w:val="24"/>
        </w:rPr>
        <w:t>16. Time Schedule, Publication and Analysis Plans</w:t>
      </w:r>
      <w:bookmarkEnd w:id="35"/>
      <w:bookmarkEnd w:id="36"/>
    </w:p>
    <w:p w:rsidRPr="00FE5CBE" w:rsidR="00CE3F54" w:rsidP="00FE5CBE" w:rsidRDefault="00CE3F54" w14:paraId="451581A2" w14:textId="77777777">
      <w:bookmarkStart w:name="_Toc151782192" w:id="37"/>
    </w:p>
    <w:p w:rsidRPr="00FE5CBE" w:rsidR="00D64D7B" w:rsidP="00FE5CBE" w:rsidRDefault="00D64D7B" w14:paraId="651AF55F" w14:textId="5FC7265F">
      <w:r w:rsidRPr="00EA7DDB">
        <w:t xml:space="preserve">Baseline surveys with AIM Team Leads and frontline clinical staff </w:t>
      </w:r>
      <w:r w:rsidRPr="00EA7DDB" w:rsidR="00752D88">
        <w:t>occurred January-March, 2020</w:t>
      </w:r>
      <w:r w:rsidRPr="00EA7DDB">
        <w:t xml:space="preserve">. Training workshops for AIM Team Leads </w:t>
      </w:r>
      <w:r w:rsidRPr="00EA7DDB" w:rsidR="00752D88">
        <w:t>took</w:t>
      </w:r>
      <w:r w:rsidRPr="00EA7DDB" w:rsidR="00125F4B">
        <w:t xml:space="preserve"> place</w:t>
      </w:r>
      <w:r w:rsidRPr="00EA7DDB">
        <w:t xml:space="preserve"> in </w:t>
      </w:r>
      <w:r w:rsidRPr="00EA7DDB" w:rsidR="00752D88">
        <w:t>February 2020</w:t>
      </w:r>
      <w:r w:rsidRPr="00EA7DDB" w:rsidR="00125F4B">
        <w:t xml:space="preserve"> in both states</w:t>
      </w:r>
      <w:r w:rsidRPr="00EA7DDB">
        <w:t xml:space="preserve">. </w:t>
      </w:r>
      <w:r w:rsidRPr="00741063">
        <w:rPr>
          <w:highlight w:val="yellow"/>
        </w:rPr>
        <w:t>Qualitative interviews with AI</w:t>
      </w:r>
      <w:r w:rsidRPr="00741063" w:rsidR="007E4AB2">
        <w:rPr>
          <w:highlight w:val="yellow"/>
        </w:rPr>
        <w:t xml:space="preserve">M Team Leads will be conducted </w:t>
      </w:r>
      <w:r w:rsidRPr="00741063" w:rsidR="00F76743">
        <w:rPr>
          <w:highlight w:val="yellow"/>
        </w:rPr>
        <w:t>in the s</w:t>
      </w:r>
      <w:r w:rsidRPr="00741063" w:rsidR="00AD7B73">
        <w:rPr>
          <w:highlight w:val="yellow"/>
        </w:rPr>
        <w:t>ummer/fall</w:t>
      </w:r>
      <w:r w:rsidRPr="00741063" w:rsidR="00F76743">
        <w:rPr>
          <w:highlight w:val="yellow"/>
        </w:rPr>
        <w:t xml:space="preserve"> </w:t>
      </w:r>
      <w:r w:rsidRPr="00741063" w:rsidR="000A1FE3">
        <w:rPr>
          <w:highlight w:val="yellow"/>
        </w:rPr>
        <w:t>of</w:t>
      </w:r>
      <w:r w:rsidRPr="00741063" w:rsidR="00F76743">
        <w:rPr>
          <w:highlight w:val="yellow"/>
        </w:rPr>
        <w:t xml:space="preserve"> 2021</w:t>
      </w:r>
      <w:r w:rsidRPr="00741063" w:rsidR="00752D88">
        <w:rPr>
          <w:highlight w:val="yellow"/>
        </w:rPr>
        <w:t xml:space="preserve"> due to delays from the covid-19 pandemic</w:t>
      </w:r>
      <w:r w:rsidRPr="00741063" w:rsidR="007E4AB2">
        <w:rPr>
          <w:highlight w:val="yellow"/>
        </w:rPr>
        <w:t>.</w:t>
      </w:r>
      <w:r w:rsidRPr="00741063" w:rsidR="00F76743">
        <w:rPr>
          <w:highlight w:val="yellow"/>
        </w:rPr>
        <w:t xml:space="preserve"> Focus group discussions will be conducted in the s</w:t>
      </w:r>
      <w:r w:rsidRPr="00741063" w:rsidR="00AD7B73">
        <w:rPr>
          <w:highlight w:val="yellow"/>
        </w:rPr>
        <w:t>ummer/fall</w:t>
      </w:r>
      <w:r w:rsidRPr="00741063" w:rsidR="00F76743">
        <w:rPr>
          <w:highlight w:val="yellow"/>
        </w:rPr>
        <w:t xml:space="preserve"> of 2022.</w:t>
      </w:r>
      <w:r w:rsidRPr="00EA7DDB" w:rsidR="007E4AB2">
        <w:t xml:space="preserve"> Implementation surveys will be conducted 6, 1</w:t>
      </w:r>
      <w:r w:rsidRPr="00EA7DDB" w:rsidR="00752D88">
        <w:t>2</w:t>
      </w:r>
      <w:r w:rsidRPr="00EA7DDB" w:rsidR="007E4AB2">
        <w:t xml:space="preserve">, and </w:t>
      </w:r>
      <w:r w:rsidRPr="00EA7DDB" w:rsidR="00752D88">
        <w:t>18</w:t>
      </w:r>
      <w:r w:rsidRPr="00EA7DDB" w:rsidR="007E4AB2">
        <w:t xml:space="preserve"> months after </w:t>
      </w:r>
      <w:r w:rsidRPr="00EA7DDB" w:rsidR="00752D88">
        <w:t>SPPC-II implementation start date</w:t>
      </w:r>
      <w:r w:rsidRPr="00EA7DDB" w:rsidR="00C9542E">
        <w:t>, thus</w:t>
      </w:r>
      <w:r w:rsidRPr="00EA7DDB" w:rsidR="00265FCB">
        <w:t xml:space="preserve"> </w:t>
      </w:r>
      <w:r w:rsidRPr="00EA7DDB" w:rsidR="007E4AB2">
        <w:t>mid-March 202</w:t>
      </w:r>
      <w:r w:rsidRPr="00EA7DDB" w:rsidR="00752D88">
        <w:t>1</w:t>
      </w:r>
      <w:r w:rsidRPr="00EA7DDB" w:rsidR="007E4AB2">
        <w:t>, mid-</w:t>
      </w:r>
      <w:r w:rsidRPr="00EA7DDB" w:rsidR="00752D88">
        <w:t xml:space="preserve">September </w:t>
      </w:r>
      <w:r w:rsidRPr="00EA7DDB" w:rsidR="007E4AB2">
        <w:t>2021, and mid-March 202</w:t>
      </w:r>
      <w:r w:rsidRPr="00EA7DDB" w:rsidR="00265FCB">
        <w:t>2, respectively</w:t>
      </w:r>
      <w:r w:rsidRPr="00EA7DDB" w:rsidR="007E4AB2">
        <w:t>. Coaching call</w:t>
      </w:r>
      <w:r w:rsidRPr="00EA7DDB" w:rsidR="00C9542E">
        <w:t>s</w:t>
      </w:r>
      <w:r w:rsidRPr="00EA7DDB" w:rsidR="007E4AB2">
        <w:t xml:space="preserve"> will be conducted for the 18 months of program implementation, between </w:t>
      </w:r>
      <w:r w:rsidRPr="00EA7DDB" w:rsidR="00752D88">
        <w:t>September 2020</w:t>
      </w:r>
      <w:r w:rsidRPr="00EA7DDB" w:rsidR="007E4AB2">
        <w:t xml:space="preserve"> and March 202</w:t>
      </w:r>
      <w:r w:rsidRPr="00EA7DDB" w:rsidR="00752D88">
        <w:t>2</w:t>
      </w:r>
      <w:r w:rsidRPr="00EA7DDB" w:rsidR="007E4AB2">
        <w:t>.</w:t>
      </w:r>
      <w:r w:rsidRPr="00F76743" w:rsidR="007E4AB2">
        <w:t xml:space="preserve"> </w:t>
      </w:r>
      <w:r w:rsidRPr="006E72D1" w:rsidR="00752D88">
        <w:t>AIM</w:t>
      </w:r>
      <w:r w:rsidR="00752D88">
        <w:t xml:space="preserve"> Program d</w:t>
      </w:r>
      <w:r w:rsidRPr="00FE5CBE" w:rsidR="007E4AB2">
        <w:t>ata will be obtained quarterly.</w:t>
      </w:r>
      <w:r w:rsidRPr="00FE5CBE" w:rsidR="002954DE">
        <w:t xml:space="preserve"> </w:t>
      </w:r>
    </w:p>
    <w:p w:rsidRPr="00FE5CBE" w:rsidR="002954DE" w:rsidP="00FE5CBE" w:rsidRDefault="002954DE" w14:paraId="56442F54" w14:textId="77777777"/>
    <w:p w:rsidRPr="00FE5CBE" w:rsidR="001E0CBE" w:rsidP="00FE5CBE" w:rsidRDefault="001E0CBE" w14:paraId="10D87FFC" w14:textId="77777777">
      <w:r w:rsidRPr="00FE5CBE">
        <w:rPr>
          <w:rFonts w:eastAsia="Calibri"/>
        </w:rPr>
        <w:t xml:space="preserve">Qualitative data from AIM Team Leads will be coded using NVivo10 (QSR) and thematically analyzed to study organizational elements of successful implementation. This analysis will be conducted within </w:t>
      </w:r>
      <w:r w:rsidRPr="00FE5CBE" w:rsidR="00CE3F54">
        <w:rPr>
          <w:rFonts w:eastAsia="Calibri"/>
        </w:rPr>
        <w:t>three</w:t>
      </w:r>
      <w:r w:rsidRPr="00FE5CBE">
        <w:rPr>
          <w:rFonts w:eastAsia="Calibri"/>
        </w:rPr>
        <w:t xml:space="preserve"> months of interviews’ completion.</w:t>
      </w:r>
      <w:r w:rsidRPr="00FE5CBE">
        <w:t xml:space="preserve"> Survey d</w:t>
      </w:r>
      <w:r w:rsidRPr="00FE5CBE" w:rsidR="00FD2169">
        <w:t>ata collected will be used in a variety of descriptive</w:t>
      </w:r>
      <w:r w:rsidRPr="00FE5CBE" w:rsidR="00811C16">
        <w:t xml:space="preserve"> analyses, </w:t>
      </w:r>
      <w:r w:rsidRPr="00FE5CBE" w:rsidR="00FD2169">
        <w:t>stratified by key characteristics of the hospitals and by state</w:t>
      </w:r>
      <w:r w:rsidRPr="00FE5CBE" w:rsidR="00C85BAD">
        <w:t>. For these and all other analyses, we will</w:t>
      </w:r>
      <w:r w:rsidRPr="00FE5CBE" w:rsidR="007E0A9F">
        <w:t xml:space="preserve"> </w:t>
      </w:r>
      <w:r w:rsidRPr="00FE5CBE" w:rsidR="00C85BAD">
        <w:t xml:space="preserve">employ </w:t>
      </w:r>
      <w:r w:rsidRPr="00FE5CBE" w:rsidR="007E0A9F">
        <w:t>hospital weights derived using key hospital characteristics such as level of maternity care offered, teaching status, number of annul deliveries</w:t>
      </w:r>
      <w:r w:rsidRPr="00FE5CBE" w:rsidR="00FD2169">
        <w:t>.</w:t>
      </w:r>
      <w:r w:rsidRPr="00FE5CBE" w:rsidR="002954DE">
        <w:t xml:space="preserve"> </w:t>
      </w:r>
      <w:r w:rsidRPr="00FE5CBE" w:rsidR="00C85BAD">
        <w:t>Descriptive</w:t>
      </w:r>
      <w:r w:rsidRPr="00FE5CBE" w:rsidR="002954DE">
        <w:t xml:space="preserve"> analyses will be </w:t>
      </w:r>
      <w:r w:rsidRPr="00FE5CBE" w:rsidR="00265FCB">
        <w:t xml:space="preserve">conducted separately for each data collection activity within </w:t>
      </w:r>
      <w:r w:rsidRPr="00FE5CBE" w:rsidR="0044590C">
        <w:t>one</w:t>
      </w:r>
      <w:r w:rsidRPr="00FE5CBE" w:rsidR="00265FCB">
        <w:t xml:space="preserve"> month of </w:t>
      </w:r>
      <w:r w:rsidRPr="00FE5CBE" w:rsidR="00CE3F54">
        <w:t xml:space="preserve">the </w:t>
      </w:r>
      <w:r w:rsidRPr="00FE5CBE" w:rsidR="00265FCB">
        <w:t xml:space="preserve">activity’s completion. </w:t>
      </w:r>
      <w:r w:rsidRPr="00FE5CBE" w:rsidR="00F23BE3">
        <w:rPr>
          <w:rFonts w:eastAsia="Calibri"/>
          <w:color w:val="000000"/>
        </w:rPr>
        <w:t>To evaluate</w:t>
      </w:r>
      <w:r w:rsidRPr="00FE5CBE" w:rsidR="00CB1F39">
        <w:rPr>
          <w:rFonts w:eastAsia="Calibri"/>
          <w:color w:val="000000"/>
        </w:rPr>
        <w:t xml:space="preserve"> program implementation and</w:t>
      </w:r>
      <w:r w:rsidRPr="00FE5CBE" w:rsidR="00F23BE3">
        <w:rPr>
          <w:rFonts w:eastAsia="Calibri"/>
          <w:color w:val="000000"/>
        </w:rPr>
        <w:t xml:space="preserve"> trainings, d</w:t>
      </w:r>
      <w:r w:rsidRPr="00FE5CBE" w:rsidR="00F23BE3">
        <w:rPr>
          <w:color w:val="000000"/>
        </w:rPr>
        <w:t>escriptive statistics will summarize</w:t>
      </w:r>
      <w:r w:rsidRPr="00FE5CBE" w:rsidR="00CB1F39">
        <w:rPr>
          <w:color w:val="000000"/>
        </w:rPr>
        <w:t xml:space="preserve"> hospitals’ and</w:t>
      </w:r>
      <w:r w:rsidRPr="00FE5CBE" w:rsidR="00F23BE3">
        <w:rPr>
          <w:color w:val="000000"/>
        </w:rPr>
        <w:t xml:space="preserve"> trainees’ characteristics that could potentially be associated with </w:t>
      </w:r>
      <w:r w:rsidRPr="00FE5CBE" w:rsidR="00CB1F39">
        <w:rPr>
          <w:color w:val="000000"/>
        </w:rPr>
        <w:t>key process</w:t>
      </w:r>
      <w:r w:rsidRPr="00FE5CBE" w:rsidR="00F23BE3">
        <w:rPr>
          <w:color w:val="000000"/>
        </w:rPr>
        <w:t xml:space="preserve"> outcomes. Associations between participants’ characteristics and training outcomes (in line with Kirkpatrick’s training evaluation framework</w:t>
      </w:r>
      <w:r w:rsidRPr="00FE5CBE" w:rsidR="009C79EB">
        <w:rPr>
          <w:color w:val="000000"/>
          <w:vertAlign w:val="superscript"/>
        </w:rPr>
        <w:t>1</w:t>
      </w:r>
      <w:r w:rsidRPr="00FE5CBE" w:rsidR="00BF17FC">
        <w:rPr>
          <w:color w:val="000000"/>
          <w:vertAlign w:val="superscript"/>
        </w:rPr>
        <w:t>7</w:t>
      </w:r>
      <w:r w:rsidRPr="00FE5CBE" w:rsidR="00F23BE3">
        <w:rPr>
          <w:color w:val="000000"/>
        </w:rPr>
        <w:t xml:space="preserve"> for learning, knowledge transfer</w:t>
      </w:r>
      <w:r w:rsidRPr="00FE5CBE" w:rsidR="00CE3F54">
        <w:rPr>
          <w:color w:val="000000"/>
        </w:rPr>
        <w:t>,</w:t>
      </w:r>
      <w:r w:rsidRPr="00FE5CBE" w:rsidR="00F23BE3">
        <w:rPr>
          <w:color w:val="000000"/>
        </w:rPr>
        <w:t xml:space="preserve"> and results) will be assessed at 6, 1</w:t>
      </w:r>
      <w:r w:rsidR="00752D88">
        <w:rPr>
          <w:color w:val="000000"/>
        </w:rPr>
        <w:t>2</w:t>
      </w:r>
      <w:r w:rsidRPr="00FE5CBE" w:rsidR="00F23BE3">
        <w:rPr>
          <w:color w:val="000000"/>
        </w:rPr>
        <w:t xml:space="preserve"> and </w:t>
      </w:r>
      <w:r w:rsidR="00752D88">
        <w:rPr>
          <w:color w:val="000000"/>
        </w:rPr>
        <w:t>18</w:t>
      </w:r>
      <w:r w:rsidRPr="00FE5CBE" w:rsidR="00752D88">
        <w:rPr>
          <w:color w:val="000000"/>
        </w:rPr>
        <w:t xml:space="preserve"> </w:t>
      </w:r>
      <w:r w:rsidRPr="00FE5CBE" w:rsidR="00F23BE3">
        <w:rPr>
          <w:color w:val="000000"/>
        </w:rPr>
        <w:t>months after program implementation.</w:t>
      </w:r>
      <w:r w:rsidRPr="00FE5CBE" w:rsidR="00CB1F39">
        <w:rPr>
          <w:color w:val="000000"/>
        </w:rPr>
        <w:t xml:space="preserve"> Absolute and relative changes in training outcomes, including results</w:t>
      </w:r>
      <w:r w:rsidRPr="00FE5CBE" w:rsidR="00CE3F54">
        <w:rPr>
          <w:color w:val="000000"/>
        </w:rPr>
        <w:t>,</w:t>
      </w:r>
      <w:r w:rsidRPr="00FE5CBE" w:rsidR="00CB1F39">
        <w:rPr>
          <w:color w:val="000000"/>
        </w:rPr>
        <w:t xml:space="preserve"> will be estimated between the various time points of data collection.  </w:t>
      </w:r>
    </w:p>
    <w:p w:rsidRPr="00FE5CBE" w:rsidR="001E0CBE" w:rsidP="00FE5CBE" w:rsidRDefault="001E0CBE" w14:paraId="5CB2B18C" w14:textId="77777777"/>
    <w:p w:rsidRPr="00FE5CBE" w:rsidR="00B063B7" w:rsidP="00FE5CBE" w:rsidRDefault="002954DE" w14:paraId="4E52413E" w14:textId="77777777">
      <w:pPr>
        <w:rPr>
          <w:rFonts w:eastAsia="Calibri"/>
          <w:color w:val="000000"/>
        </w:rPr>
      </w:pPr>
      <w:r w:rsidRPr="00FE5CBE">
        <w:t xml:space="preserve">Between </w:t>
      </w:r>
      <w:r w:rsidR="00752D88">
        <w:t>January</w:t>
      </w:r>
      <w:r w:rsidRPr="00FE5CBE" w:rsidR="00752D88">
        <w:t xml:space="preserve"> </w:t>
      </w:r>
      <w:r w:rsidRPr="00FE5CBE">
        <w:t xml:space="preserve">and September 2022, JHU will conduct </w:t>
      </w:r>
      <w:r w:rsidRPr="00FE5CBE" w:rsidR="00265FCB">
        <w:t>longitudinal data analyses</w:t>
      </w:r>
      <w:r w:rsidRPr="00FE5CBE" w:rsidR="0044590C">
        <w:t>.</w:t>
      </w:r>
      <w:r w:rsidRPr="00FE5CBE" w:rsidR="001E0CBE">
        <w:rPr>
          <w:i/>
          <w:iCs/>
          <w:color w:val="000000"/>
        </w:rPr>
        <w:t xml:space="preserve"> </w:t>
      </w:r>
      <w:r w:rsidRPr="00FE5CBE" w:rsidR="001E0CBE">
        <w:rPr>
          <w:rFonts w:eastAsia="Calibri"/>
          <w:color w:val="000000"/>
        </w:rPr>
        <w:t xml:space="preserve">Of note, </w:t>
      </w:r>
      <w:r w:rsidRPr="00FE5CBE" w:rsidR="00BE42D7">
        <w:rPr>
          <w:rFonts w:eastAsia="Calibri"/>
          <w:color w:val="000000"/>
        </w:rPr>
        <w:t xml:space="preserve">due to the relatively short period of program implementation, </w:t>
      </w:r>
      <w:r w:rsidRPr="00FE5CBE" w:rsidR="001E0CBE">
        <w:rPr>
          <w:rFonts w:eastAsia="Calibri"/>
          <w:color w:val="000000"/>
        </w:rPr>
        <w:t>a</w:t>
      </w:r>
      <w:r w:rsidRPr="00FE5CBE">
        <w:rPr>
          <w:rFonts w:eastAsia="Calibri"/>
          <w:color w:val="000000"/>
        </w:rPr>
        <w:t>ssessment of program</w:t>
      </w:r>
      <w:r w:rsidRPr="00FE5CBE" w:rsidR="001E0CBE">
        <w:rPr>
          <w:rFonts w:eastAsia="Calibri"/>
          <w:color w:val="000000"/>
        </w:rPr>
        <w:t>’s</w:t>
      </w:r>
      <w:r w:rsidRPr="00FE5CBE">
        <w:rPr>
          <w:rFonts w:eastAsia="Calibri"/>
          <w:color w:val="000000"/>
        </w:rPr>
        <w:t xml:space="preserve"> impa</w:t>
      </w:r>
      <w:r w:rsidRPr="00FE5CBE" w:rsidR="00BE42D7">
        <w:rPr>
          <w:rFonts w:eastAsia="Calibri"/>
          <w:color w:val="000000"/>
        </w:rPr>
        <w:t>ct on maternal health outcomes will</w:t>
      </w:r>
      <w:r w:rsidRPr="00FE5CBE">
        <w:rPr>
          <w:rFonts w:eastAsia="Calibri"/>
          <w:color w:val="000000"/>
        </w:rPr>
        <w:t xml:space="preserve"> only be conducted</w:t>
      </w:r>
      <w:r w:rsidRPr="00FE5CBE" w:rsidR="001E0CBE">
        <w:rPr>
          <w:rFonts w:eastAsia="Calibri"/>
          <w:color w:val="000000"/>
        </w:rPr>
        <w:t xml:space="preserve"> </w:t>
      </w:r>
      <w:r w:rsidRPr="00FE5CBE" w:rsidR="00BE42D7">
        <w:rPr>
          <w:rFonts w:eastAsia="Calibri"/>
          <w:color w:val="000000"/>
        </w:rPr>
        <w:t xml:space="preserve">at the end of the </w:t>
      </w:r>
      <w:r w:rsidRPr="00FE5CBE" w:rsidR="00BE42D7">
        <w:rPr>
          <w:rFonts w:eastAsia="Calibri"/>
          <w:color w:val="000000"/>
        </w:rPr>
        <w:lastRenderedPageBreak/>
        <w:t xml:space="preserve">project, </w:t>
      </w:r>
      <w:r w:rsidRPr="00FE5CBE">
        <w:rPr>
          <w:rFonts w:eastAsia="Calibri"/>
          <w:color w:val="000000"/>
        </w:rPr>
        <w:t xml:space="preserve">after </w:t>
      </w:r>
      <w:r w:rsidRPr="00FE5CBE" w:rsidR="001353B8">
        <w:rPr>
          <w:rFonts w:eastAsia="Calibri"/>
          <w:color w:val="000000"/>
        </w:rPr>
        <w:t>completion</w:t>
      </w:r>
      <w:r w:rsidRPr="00FE5CBE">
        <w:rPr>
          <w:rFonts w:eastAsia="Calibri"/>
          <w:color w:val="000000"/>
        </w:rPr>
        <w:t xml:space="preserve"> of all data collection </w:t>
      </w:r>
      <w:r w:rsidRPr="00FE5CBE" w:rsidR="00923D64">
        <w:rPr>
          <w:rFonts w:eastAsia="Calibri"/>
          <w:color w:val="000000"/>
        </w:rPr>
        <w:t>activities</w:t>
      </w:r>
      <w:r w:rsidRPr="00FE5CBE" w:rsidR="001E0CBE">
        <w:rPr>
          <w:rFonts w:eastAsia="Calibri"/>
          <w:color w:val="000000"/>
        </w:rPr>
        <w:t>. JHU</w:t>
      </w:r>
      <w:r w:rsidRPr="00FE5CBE" w:rsidR="00B063B7">
        <w:rPr>
          <w:rFonts w:eastAsia="Calibri"/>
          <w:color w:val="000000"/>
        </w:rPr>
        <w:t xml:space="preserve"> will use interrupted time-series </w:t>
      </w:r>
      <w:r w:rsidRPr="00FE5CBE" w:rsidR="001E0CBE">
        <w:rPr>
          <w:rFonts w:eastAsia="Calibri"/>
          <w:color w:val="000000"/>
        </w:rPr>
        <w:t xml:space="preserve">and </w:t>
      </w:r>
      <w:r w:rsidRPr="00FE5CBE" w:rsidR="001E0CBE">
        <w:rPr>
          <w:color w:val="000000"/>
        </w:rPr>
        <w:t>s</w:t>
      </w:r>
      <w:r w:rsidRPr="00FE5CBE" w:rsidR="00B063B7">
        <w:rPr>
          <w:color w:val="000000"/>
        </w:rPr>
        <w:t xml:space="preserve">egmented regression analysis methods with autoregressive error models </w:t>
      </w:r>
      <w:r w:rsidRPr="00FE5CBE" w:rsidR="001E0CBE">
        <w:rPr>
          <w:color w:val="000000"/>
        </w:rPr>
        <w:t>to</w:t>
      </w:r>
      <w:r w:rsidRPr="00FE5CBE" w:rsidR="00B063B7">
        <w:rPr>
          <w:color w:val="000000"/>
        </w:rPr>
        <w:t xml:space="preserve"> account for correlations of the data across time points and adjust for </w:t>
      </w:r>
      <w:r w:rsidRPr="00FE5CBE" w:rsidR="001E0CBE">
        <w:rPr>
          <w:rFonts w:eastAsia="Calibri"/>
          <w:color w:val="000000"/>
        </w:rPr>
        <w:t>hospital</w:t>
      </w:r>
      <w:r w:rsidRPr="00FE5CBE" w:rsidR="00B063B7">
        <w:rPr>
          <w:rFonts w:eastAsia="Calibri"/>
          <w:color w:val="000000"/>
        </w:rPr>
        <w:t xml:space="preserve"> characteristics. </w:t>
      </w:r>
      <w:r w:rsidRPr="00FE5CBE" w:rsidR="00C017C5">
        <w:rPr>
          <w:color w:val="000000"/>
        </w:rPr>
        <w:t>R</w:t>
      </w:r>
      <w:r w:rsidRPr="00FE5CBE" w:rsidR="00B063B7">
        <w:rPr>
          <w:color w:val="000000"/>
        </w:rPr>
        <w:t>egression analyses</w:t>
      </w:r>
      <w:r w:rsidRPr="00FE5CBE" w:rsidR="00F23BE3">
        <w:rPr>
          <w:color w:val="000000"/>
        </w:rPr>
        <w:t xml:space="preserve"> with linear and </w:t>
      </w:r>
      <w:r w:rsidRPr="00FE5CBE" w:rsidR="00C017C5">
        <w:rPr>
          <w:color w:val="000000"/>
        </w:rPr>
        <w:t xml:space="preserve">logistic models </w:t>
      </w:r>
      <w:r w:rsidRPr="00FE5CBE" w:rsidR="00CB1F39">
        <w:rPr>
          <w:color w:val="000000"/>
        </w:rPr>
        <w:t xml:space="preserve">fitted </w:t>
      </w:r>
      <w:r w:rsidRPr="00FE5CBE" w:rsidR="00C017C5">
        <w:rPr>
          <w:color w:val="000000"/>
        </w:rPr>
        <w:t>for binary</w:t>
      </w:r>
      <w:r w:rsidRPr="00FE5CBE" w:rsidR="00F23BE3">
        <w:rPr>
          <w:color w:val="000000"/>
        </w:rPr>
        <w:t xml:space="preserve"> and continuous</w:t>
      </w:r>
      <w:r w:rsidRPr="00FE5CBE" w:rsidR="00CB1F39">
        <w:rPr>
          <w:color w:val="000000"/>
        </w:rPr>
        <w:t>, respectively,</w:t>
      </w:r>
      <w:r w:rsidRPr="00FE5CBE" w:rsidR="00C017C5">
        <w:rPr>
          <w:color w:val="000000"/>
        </w:rPr>
        <w:t xml:space="preserve"> </w:t>
      </w:r>
      <w:r w:rsidRPr="00FE5CBE" w:rsidR="00CB1F39">
        <w:rPr>
          <w:color w:val="000000"/>
        </w:rPr>
        <w:t xml:space="preserve">process and </w:t>
      </w:r>
      <w:r w:rsidRPr="00FE5CBE" w:rsidR="00C017C5">
        <w:rPr>
          <w:color w:val="000000"/>
        </w:rPr>
        <w:t>outco</w:t>
      </w:r>
      <w:r w:rsidRPr="00FE5CBE" w:rsidR="00CB1F39">
        <w:rPr>
          <w:color w:val="000000"/>
        </w:rPr>
        <w:t>me measures</w:t>
      </w:r>
      <w:r w:rsidRPr="00FE5CBE" w:rsidR="00B063B7">
        <w:rPr>
          <w:color w:val="000000"/>
        </w:rPr>
        <w:t xml:space="preserve"> will </w:t>
      </w:r>
      <w:r w:rsidRPr="00FE5CBE" w:rsidR="00CB1F39">
        <w:rPr>
          <w:color w:val="000000"/>
        </w:rPr>
        <w:t>identify key hospital and clinical staff characteristics associated with the program impact</w:t>
      </w:r>
      <w:r w:rsidRPr="00FE5CBE" w:rsidR="00B063B7">
        <w:t xml:space="preserve">. </w:t>
      </w:r>
    </w:p>
    <w:p w:rsidRPr="00FE5CBE" w:rsidR="00FB6FC0" w:rsidP="00FE5CBE" w:rsidRDefault="00FB6FC0" w14:paraId="449DCB41" w14:textId="77777777"/>
    <w:p w:rsidRPr="00FE5CBE" w:rsidR="00FB6FC0" w:rsidP="00FE5CBE" w:rsidRDefault="0024460A" w14:paraId="748B4D62" w14:textId="77777777">
      <w:pPr>
        <w:rPr>
          <w:b/>
          <w:vertAlign w:val="superscript"/>
        </w:rPr>
      </w:pPr>
      <w:r w:rsidRPr="00FE5CBE">
        <w:t xml:space="preserve">Information about the implementation of the SPPC-II </w:t>
      </w:r>
      <w:r w:rsidRPr="00FE5CBE">
        <w:rPr>
          <w:i/>
        </w:rPr>
        <w:t>Demonstration Project</w:t>
      </w:r>
      <w:r w:rsidRPr="00FE5CBE">
        <w:t xml:space="preserve"> and data collected for its evaluation will</w:t>
      </w:r>
      <w:r w:rsidRPr="00FE5CBE" w:rsidR="009D75A8">
        <w:t xml:space="preserve"> be disseminated through reports on the AHRQ website</w:t>
      </w:r>
      <w:r w:rsidRPr="00FE5CBE" w:rsidR="00AD31AB">
        <w:t>;</w:t>
      </w:r>
      <w:r w:rsidRPr="00FE5CBE" w:rsidR="009D75A8">
        <w:t xml:space="preserve"> conferenc</w:t>
      </w:r>
      <w:r w:rsidRPr="00FE5CBE" w:rsidR="00AD31AB">
        <w:t>e and PQC meeting presentations;</w:t>
      </w:r>
      <w:r w:rsidRPr="00FE5CBE" w:rsidR="009D75A8">
        <w:t xml:space="preserve"> and in the peer-reviewed</w:t>
      </w:r>
      <w:r w:rsidRPr="00FE5CBE">
        <w:t>, obstetric and patient safety</w:t>
      </w:r>
      <w:r w:rsidRPr="00FE5CBE" w:rsidR="009D75A8">
        <w:t xml:space="preserve"> literature. </w:t>
      </w:r>
      <w:r w:rsidRPr="00FE5CBE">
        <w:t>J</w:t>
      </w:r>
      <w:r w:rsidRPr="00FE5CBE" w:rsidR="00EC673F">
        <w:t xml:space="preserve">ournal articles to be developed using the </w:t>
      </w:r>
      <w:r w:rsidRPr="00FE5CBE" w:rsidR="00EC673F">
        <w:rPr>
          <w:i/>
        </w:rPr>
        <w:t>Demonstration Project</w:t>
      </w:r>
      <w:r w:rsidRPr="00FE5CBE" w:rsidR="00EC673F">
        <w:t xml:space="preserve"> data will be similar to the recently published analysis of </w:t>
      </w:r>
      <w:r w:rsidRPr="00FE5CBE" w:rsidR="009D75A8">
        <w:t>SPPC-I data.</w:t>
      </w:r>
      <w:bookmarkStart w:name="_Toc151782196" w:id="38"/>
      <w:bookmarkStart w:name="_Toc158526232" w:id="39"/>
      <w:bookmarkEnd w:id="37"/>
      <w:r w:rsidRPr="00FE5CBE" w:rsidR="00587116">
        <w:rPr>
          <w:vertAlign w:val="superscript"/>
        </w:rPr>
        <w:t>5</w:t>
      </w:r>
    </w:p>
    <w:p w:rsidRPr="00FE5CBE" w:rsidR="00AD31AB" w:rsidP="00FE5CBE" w:rsidRDefault="00AD31AB" w14:paraId="1F24A177" w14:textId="77777777">
      <w:pPr>
        <w:pStyle w:val="Heading2"/>
        <w:spacing w:before="0" w:after="0"/>
        <w:rPr>
          <w:rFonts w:ascii="Times New Roman" w:hAnsi="Times New Roman" w:cs="Times New Roman"/>
          <w:sz w:val="24"/>
          <w:szCs w:val="24"/>
        </w:rPr>
      </w:pPr>
    </w:p>
    <w:p w:rsidRPr="00FE5CBE" w:rsidR="009B633D" w:rsidP="00FE5CBE" w:rsidRDefault="009B633D" w14:paraId="5B530541" w14:textId="77777777">
      <w:pPr>
        <w:pStyle w:val="Heading2"/>
        <w:spacing w:before="0" w:after="0"/>
        <w:rPr>
          <w:rFonts w:ascii="Times New Roman" w:hAnsi="Times New Roman" w:cs="Times New Roman"/>
          <w:sz w:val="24"/>
          <w:szCs w:val="24"/>
        </w:rPr>
      </w:pPr>
      <w:r w:rsidRPr="00FE5CBE">
        <w:rPr>
          <w:rFonts w:ascii="Times New Roman" w:hAnsi="Times New Roman" w:cs="Times New Roman"/>
          <w:sz w:val="24"/>
          <w:szCs w:val="24"/>
        </w:rPr>
        <w:t>17. Exemption for Display of Expiration Date</w:t>
      </w:r>
      <w:bookmarkEnd w:id="38"/>
      <w:bookmarkEnd w:id="39"/>
    </w:p>
    <w:p w:rsidRPr="00FE5CBE" w:rsidR="00212F66" w:rsidP="00FE5CBE" w:rsidRDefault="00212F66" w14:paraId="1AFD8334" w14:textId="77777777"/>
    <w:p w:rsidR="009B633D" w:rsidP="00FE5CBE" w:rsidRDefault="009B633D" w14:paraId="0A9F2DA6" w14:textId="77777777">
      <w:r w:rsidRPr="00FE5CBE">
        <w:t>AHRQ does not seek this exemption.</w:t>
      </w:r>
    </w:p>
    <w:p w:rsidRPr="00FE5CBE" w:rsidR="00245044" w:rsidP="00FE5CBE" w:rsidRDefault="00245044" w14:paraId="17A6DEEC" w14:textId="77777777"/>
    <w:p w:rsidRPr="00AA61B4" w:rsidR="00016560" w:rsidP="00FE5CBE" w:rsidRDefault="00904CC3" w14:paraId="77C2BE40" w14:textId="77777777">
      <w:pPr>
        <w:pStyle w:val="NormalWeb"/>
        <w:spacing w:before="0" w:beforeAutospacing="0" w:after="0" w:afterAutospacing="0"/>
        <w:rPr>
          <w:b/>
        </w:rPr>
      </w:pPr>
      <w:r w:rsidRPr="00AA61B4">
        <w:rPr>
          <w:b/>
        </w:rPr>
        <w:t xml:space="preserve">List of </w:t>
      </w:r>
      <w:r w:rsidRPr="00AA61B4" w:rsidR="00016560">
        <w:rPr>
          <w:b/>
        </w:rPr>
        <w:t>Attachments:</w:t>
      </w:r>
    </w:p>
    <w:p w:rsidRPr="00AA61B4" w:rsidR="005B4A29" w:rsidP="008C2CC9" w:rsidRDefault="005B4A29" w14:paraId="05099823" w14:textId="77777777">
      <w:pPr>
        <w:tabs>
          <w:tab w:val="left" w:pos="1620"/>
        </w:tabs>
      </w:pPr>
    </w:p>
    <w:p w:rsidRPr="00AA61B4" w:rsidR="00922642" w:rsidP="008C2CC9" w:rsidRDefault="008573ED" w14:paraId="5C1E25FE" w14:textId="77777777">
      <w:pPr>
        <w:tabs>
          <w:tab w:val="left" w:pos="1620"/>
        </w:tabs>
      </w:pPr>
      <w:r w:rsidRPr="00AA61B4">
        <w:t xml:space="preserve">Attachment </w:t>
      </w:r>
      <w:r w:rsidRPr="00AA61B4" w:rsidR="00922642">
        <w:t>A</w:t>
      </w:r>
      <w:r w:rsidR="00AA61B4">
        <w:tab/>
      </w:r>
      <w:r w:rsidRPr="00AA61B4" w:rsidR="006D3946">
        <w:t>Roster of AIM Team Leads trained in each hospital</w:t>
      </w:r>
    </w:p>
    <w:p w:rsidRPr="00AA61B4" w:rsidR="00922642" w:rsidP="00FE5CBE" w:rsidRDefault="00922642" w14:paraId="0BA472B8" w14:textId="77777777">
      <w:r w:rsidRPr="00AA61B4">
        <w:t>Attachment B</w:t>
      </w:r>
      <w:r w:rsidR="00AA61B4">
        <w:tab/>
        <w:t xml:space="preserve">   </w:t>
      </w:r>
      <w:r w:rsidRPr="00AA61B4" w:rsidR="00737832">
        <w:t xml:space="preserve">AIM Team Leads training workshop evaluation </w:t>
      </w:r>
      <w:r w:rsidRPr="00AA61B4" w:rsidR="00E4189A">
        <w:t>form</w:t>
      </w:r>
    </w:p>
    <w:p w:rsidRPr="00AA61B4" w:rsidR="00922642" w:rsidP="00FE5CBE" w:rsidRDefault="00922642" w14:paraId="3ED1B078" w14:textId="77777777">
      <w:r w:rsidRPr="00AA61B4">
        <w:t>Attachment C</w:t>
      </w:r>
      <w:r w:rsidR="00AA61B4">
        <w:tab/>
        <w:t xml:space="preserve">   </w:t>
      </w:r>
      <w:r w:rsidRPr="00AA61B4" w:rsidR="00A90B57">
        <w:t>List of tracking measures for online trainings of clinical staff</w:t>
      </w:r>
    </w:p>
    <w:p w:rsidRPr="00AA61B4" w:rsidR="00922642" w:rsidP="00FE5CBE" w:rsidRDefault="00922642" w14:paraId="0D6BCB35" w14:textId="77777777">
      <w:r w:rsidRPr="00AA61B4">
        <w:t>Attachment D</w:t>
      </w:r>
      <w:r w:rsidR="00AA61B4">
        <w:tab/>
        <w:t xml:space="preserve">   </w:t>
      </w:r>
      <w:r w:rsidRPr="00AA61B4" w:rsidR="00603868">
        <w:rPr>
          <w:color w:val="000000"/>
        </w:rPr>
        <w:t>List of coaching call participants and topics addressed</w:t>
      </w:r>
    </w:p>
    <w:p w:rsidRPr="00AA61B4" w:rsidR="00922642" w:rsidP="00FE5CBE" w:rsidRDefault="00922642" w14:paraId="7B5F5B09" w14:textId="77777777">
      <w:r w:rsidRPr="00AA61B4">
        <w:t>Attachment E</w:t>
      </w:r>
      <w:r w:rsidR="00AA61B4">
        <w:tab/>
        <w:t xml:space="preserve">   </w:t>
      </w:r>
      <w:r w:rsidRPr="00AA61B4" w:rsidR="00237000">
        <w:rPr>
          <w:color w:val="000000"/>
        </w:rPr>
        <w:t>AIM Team Lead self-administered baseline survey</w:t>
      </w:r>
    </w:p>
    <w:p w:rsidRPr="00AA61B4" w:rsidR="00741E42" w:rsidP="00FE5CBE" w:rsidRDefault="00922642" w14:paraId="14345D9C" w14:textId="77777777">
      <w:r w:rsidRPr="00AA61B4">
        <w:t>Attachment F</w:t>
      </w:r>
      <w:r w:rsidR="00AA61B4">
        <w:tab/>
        <w:t xml:space="preserve">   </w:t>
      </w:r>
      <w:r w:rsidRPr="00AA61B4" w:rsidR="00741E42">
        <w:rPr>
          <w:color w:val="000000"/>
        </w:rPr>
        <w:t>AIM Team Lead self-administered baseline consent form</w:t>
      </w:r>
    </w:p>
    <w:p w:rsidRPr="00AA61B4" w:rsidR="00741E42" w:rsidP="00FE5CBE" w:rsidRDefault="00741E42" w14:paraId="37F7EE88" w14:textId="77777777">
      <w:r w:rsidRPr="00AA61B4">
        <w:t>Attachment G</w:t>
      </w:r>
      <w:r w:rsidR="00AA61B4">
        <w:tab/>
        <w:t xml:space="preserve">   </w:t>
      </w:r>
      <w:r w:rsidRPr="00AA61B4">
        <w:rPr>
          <w:color w:val="000000"/>
        </w:rPr>
        <w:t>Clinical staff self-administered baseline survey</w:t>
      </w:r>
    </w:p>
    <w:p w:rsidRPr="00AA61B4" w:rsidR="00741E42" w:rsidP="00741E42" w:rsidRDefault="00741E42" w14:paraId="3D86AE79" w14:textId="77777777">
      <w:r w:rsidRPr="00AA61B4">
        <w:t>Attachment H</w:t>
      </w:r>
      <w:r w:rsidR="00AA61B4">
        <w:tab/>
        <w:t xml:space="preserve">   </w:t>
      </w:r>
      <w:r w:rsidRPr="00AA61B4">
        <w:rPr>
          <w:color w:val="000000"/>
        </w:rPr>
        <w:t>Clinical staff self-administered baseline consent form</w:t>
      </w:r>
    </w:p>
    <w:p w:rsidRPr="00AA61B4" w:rsidR="00922642" w:rsidP="00FE5CBE" w:rsidRDefault="00922642" w14:paraId="72E03457" w14:textId="77777777">
      <w:r w:rsidRPr="00AA61B4">
        <w:t xml:space="preserve">Attachment </w:t>
      </w:r>
      <w:r w:rsidRPr="00AA61B4" w:rsidR="00741E42">
        <w:t>I</w:t>
      </w:r>
      <w:r w:rsidR="00AA61B4">
        <w:tab/>
        <w:t xml:space="preserve">   </w:t>
      </w:r>
      <w:r w:rsidRPr="00AA61B4" w:rsidR="00523434">
        <w:rPr>
          <w:color w:val="000000"/>
        </w:rPr>
        <w:t xml:space="preserve">Comprehensive list of clinical staff </w:t>
      </w:r>
    </w:p>
    <w:p w:rsidRPr="007713DF" w:rsidR="00922642" w:rsidP="00EA7DDB" w:rsidRDefault="00922642" w14:paraId="552D5254" w14:textId="585B260D">
      <w:pPr>
        <w:ind w:left="1620" w:hanging="1620"/>
        <w:rPr>
          <w:highlight w:val="yellow"/>
        </w:rPr>
      </w:pPr>
      <w:r w:rsidRPr="007713DF">
        <w:rPr>
          <w:highlight w:val="yellow"/>
        </w:rPr>
        <w:t xml:space="preserve">Attachment </w:t>
      </w:r>
      <w:r w:rsidRPr="007713DF" w:rsidR="00741E42">
        <w:rPr>
          <w:highlight w:val="yellow"/>
        </w:rPr>
        <w:t>J</w:t>
      </w:r>
      <w:r w:rsidRPr="007713DF" w:rsidR="00F76743">
        <w:rPr>
          <w:highlight w:val="yellow"/>
        </w:rPr>
        <w:t>3</w:t>
      </w:r>
      <w:r w:rsidRPr="007713DF" w:rsidR="00AA61B4">
        <w:rPr>
          <w:highlight w:val="yellow"/>
        </w:rPr>
        <w:tab/>
      </w:r>
      <w:r w:rsidRPr="007713DF" w:rsidR="00E011B0">
        <w:rPr>
          <w:highlight w:val="yellow"/>
        </w:rPr>
        <w:t>Interview guide for qualitative interviews with AIM Team Leads</w:t>
      </w:r>
      <w:r w:rsidRPr="007713DF" w:rsidR="00F76743">
        <w:rPr>
          <w:highlight w:val="yellow"/>
        </w:rPr>
        <w:t xml:space="preserve"> &amp; frontline staff (s</w:t>
      </w:r>
      <w:r w:rsidRPr="007713DF" w:rsidR="00E54F34">
        <w:rPr>
          <w:highlight w:val="yellow"/>
        </w:rPr>
        <w:t>ummer/fall</w:t>
      </w:r>
      <w:r w:rsidRPr="007713DF" w:rsidR="00F76743">
        <w:rPr>
          <w:highlight w:val="yellow"/>
        </w:rPr>
        <w:t xml:space="preserve"> 2021)</w:t>
      </w:r>
      <w:r w:rsidRPr="007713DF" w:rsidR="000B78D4">
        <w:rPr>
          <w:highlight w:val="yellow"/>
        </w:rPr>
        <w:t xml:space="preserve"> (</w:t>
      </w:r>
      <w:r w:rsidRPr="007713DF" w:rsidR="00CC480B">
        <w:rPr>
          <w:highlight w:val="yellow"/>
        </w:rPr>
        <w:t>new</w:t>
      </w:r>
      <w:r w:rsidRPr="007713DF" w:rsidR="000B78D4">
        <w:rPr>
          <w:highlight w:val="yellow"/>
        </w:rPr>
        <w:t>)</w:t>
      </w:r>
    </w:p>
    <w:p w:rsidRPr="007713DF" w:rsidR="00E955D9" w:rsidP="00EA7DDB" w:rsidRDefault="00E955D9" w14:paraId="496281E5" w14:textId="6B46C6B1">
      <w:pPr>
        <w:ind w:left="1620" w:hanging="1620"/>
        <w:rPr>
          <w:color w:val="000000"/>
          <w:highlight w:val="yellow"/>
        </w:rPr>
      </w:pPr>
      <w:r w:rsidRPr="007713DF">
        <w:rPr>
          <w:highlight w:val="yellow"/>
        </w:rPr>
        <w:t>Attachment J4</w:t>
      </w:r>
      <w:r w:rsidRPr="007713DF">
        <w:rPr>
          <w:color w:val="000000"/>
          <w:highlight w:val="yellow"/>
        </w:rPr>
        <w:t xml:space="preserve"> </w:t>
      </w:r>
      <w:r w:rsidRPr="007713DF">
        <w:rPr>
          <w:color w:val="000000"/>
          <w:highlight w:val="yellow"/>
        </w:rPr>
        <w:tab/>
        <w:t>Handout 1</w:t>
      </w:r>
      <w:r w:rsidRPr="007713DF" w:rsidR="0050658B">
        <w:rPr>
          <w:color w:val="000000"/>
          <w:highlight w:val="yellow"/>
        </w:rPr>
        <w:t xml:space="preserve"> </w:t>
      </w:r>
      <w:r w:rsidRPr="007713DF">
        <w:rPr>
          <w:color w:val="000000"/>
          <w:highlight w:val="yellow"/>
        </w:rPr>
        <w:t xml:space="preserve">listing Tier 2 toolkit components </w:t>
      </w:r>
      <w:r w:rsidRPr="007713DF" w:rsidR="00BB4DDD">
        <w:rPr>
          <w:color w:val="000000"/>
          <w:highlight w:val="yellow"/>
        </w:rPr>
        <w:t>(new)</w:t>
      </w:r>
    </w:p>
    <w:p w:rsidRPr="007713DF" w:rsidR="00E955D9" w:rsidP="00EA7DDB" w:rsidRDefault="00E955D9" w14:paraId="6D3ECAD2" w14:textId="0B88C83F">
      <w:pPr>
        <w:ind w:left="1620" w:hanging="1620"/>
        <w:rPr>
          <w:color w:val="000000"/>
          <w:highlight w:val="yellow"/>
        </w:rPr>
      </w:pPr>
      <w:r w:rsidRPr="007713DF">
        <w:rPr>
          <w:color w:val="000000"/>
          <w:highlight w:val="yellow"/>
        </w:rPr>
        <w:t>Attachment J5</w:t>
      </w:r>
      <w:r w:rsidRPr="007713DF">
        <w:rPr>
          <w:color w:val="000000"/>
          <w:highlight w:val="yellow"/>
        </w:rPr>
        <w:tab/>
        <w:t xml:space="preserve">Handout </w:t>
      </w:r>
      <w:r w:rsidRPr="007713DF" w:rsidR="00CC6AAE">
        <w:rPr>
          <w:color w:val="000000"/>
          <w:highlight w:val="yellow"/>
        </w:rPr>
        <w:t>2</w:t>
      </w:r>
      <w:r w:rsidRPr="007713DF" w:rsidR="0050658B">
        <w:rPr>
          <w:color w:val="000000"/>
          <w:highlight w:val="yellow"/>
        </w:rPr>
        <w:t xml:space="preserve"> </w:t>
      </w:r>
      <w:r w:rsidRPr="007713DF">
        <w:rPr>
          <w:color w:val="000000"/>
          <w:highlight w:val="yellow"/>
        </w:rPr>
        <w:t>listing Tier 1 online modules</w:t>
      </w:r>
      <w:r w:rsidRPr="007713DF" w:rsidR="00BB4DDD">
        <w:rPr>
          <w:color w:val="000000"/>
          <w:highlight w:val="yellow"/>
        </w:rPr>
        <w:t xml:space="preserve"> (new)</w:t>
      </w:r>
    </w:p>
    <w:p w:rsidRPr="007713DF" w:rsidR="00E955D9" w:rsidP="00EA7DDB" w:rsidRDefault="00E955D9" w14:paraId="562C468F" w14:textId="77777777">
      <w:pPr>
        <w:ind w:left="1620" w:hanging="1620"/>
        <w:rPr>
          <w:highlight w:val="yellow"/>
        </w:rPr>
      </w:pPr>
    </w:p>
    <w:p w:rsidR="007A00BA" w:rsidP="003B4353" w:rsidRDefault="007A00BA" w14:paraId="46BC3B7A" w14:textId="47735A71">
      <w:pPr>
        <w:ind w:left="1620" w:hanging="1620"/>
      </w:pPr>
      <w:r w:rsidRPr="007713DF">
        <w:rPr>
          <w:highlight w:val="yellow"/>
        </w:rPr>
        <w:t>Attachment J</w:t>
      </w:r>
      <w:r w:rsidRPr="007713DF" w:rsidR="00E955D9">
        <w:rPr>
          <w:highlight w:val="yellow"/>
        </w:rPr>
        <w:t>6</w:t>
      </w:r>
      <w:r w:rsidRPr="007713DF">
        <w:rPr>
          <w:highlight w:val="yellow"/>
        </w:rPr>
        <w:tab/>
        <w:t xml:space="preserve">Interview guide for </w:t>
      </w:r>
      <w:r w:rsidRPr="007713DF" w:rsidR="00F76743">
        <w:rPr>
          <w:highlight w:val="yellow"/>
        </w:rPr>
        <w:t>FGDs</w:t>
      </w:r>
      <w:r w:rsidRPr="007713DF">
        <w:rPr>
          <w:highlight w:val="yellow"/>
        </w:rPr>
        <w:t xml:space="preserve"> with AIM Team Leads</w:t>
      </w:r>
      <w:r w:rsidRPr="007713DF" w:rsidR="00F76743">
        <w:rPr>
          <w:highlight w:val="yellow"/>
        </w:rPr>
        <w:t xml:space="preserve"> &amp; frontline staff (s</w:t>
      </w:r>
      <w:r w:rsidRPr="007713DF" w:rsidR="00E54F34">
        <w:rPr>
          <w:highlight w:val="yellow"/>
        </w:rPr>
        <w:t>ummer/fall</w:t>
      </w:r>
      <w:r w:rsidRPr="007713DF" w:rsidR="00F76743">
        <w:rPr>
          <w:highlight w:val="yellow"/>
        </w:rPr>
        <w:t xml:space="preserve"> 2022, </w:t>
      </w:r>
      <w:r w:rsidRPr="007713DF" w:rsidR="00596BBA">
        <w:rPr>
          <w:highlight w:val="yellow"/>
        </w:rPr>
        <w:t>new)</w:t>
      </w:r>
    </w:p>
    <w:p w:rsidRPr="00AA61B4" w:rsidR="00F877A8" w:rsidP="003B4353" w:rsidRDefault="00F877A8" w14:paraId="6FCE3A4D" w14:textId="77777777">
      <w:pPr>
        <w:ind w:left="1620" w:hanging="1620"/>
      </w:pPr>
    </w:p>
    <w:p w:rsidRPr="00AA61B4" w:rsidR="00E059D0" w:rsidP="000A1FE3" w:rsidRDefault="00922642" w14:paraId="2BE8EC7E" w14:textId="4966B1FE">
      <w:r w:rsidRPr="00AA61B4">
        <w:t xml:space="preserve">Attachment </w:t>
      </w:r>
      <w:r w:rsidRPr="00AA61B4" w:rsidR="00741E42">
        <w:t>K</w:t>
      </w:r>
      <w:r w:rsidR="00AA61B4">
        <w:tab/>
      </w:r>
      <w:r w:rsidR="000A1FE3">
        <w:t xml:space="preserve">   </w:t>
      </w:r>
      <w:r w:rsidRPr="00AA61B4" w:rsidR="00741E42">
        <w:t xml:space="preserve">Consent form for qualitative interviews </w:t>
      </w:r>
    </w:p>
    <w:p w:rsidRPr="00AA61B4" w:rsidR="00741E42" w:rsidP="003B4353" w:rsidRDefault="00741E42" w14:paraId="1DB8C1AF" w14:textId="77777777">
      <w:pPr>
        <w:ind w:left="1620" w:hanging="1620"/>
      </w:pPr>
      <w:r w:rsidRPr="00AA61B4">
        <w:t>Attachment L</w:t>
      </w:r>
      <w:r w:rsidR="00AA61B4">
        <w:tab/>
      </w:r>
      <w:r w:rsidRPr="00AA61B4">
        <w:rPr>
          <w:color w:val="000000"/>
        </w:rPr>
        <w:t>Clinical staff self-administered implementation survey at 6 months</w:t>
      </w:r>
    </w:p>
    <w:p w:rsidRPr="00AA61B4" w:rsidR="00741E42" w:rsidP="008C2CC9" w:rsidRDefault="00741E42" w14:paraId="53EB2A6B" w14:textId="77777777">
      <w:pPr>
        <w:tabs>
          <w:tab w:val="left" w:pos="2160"/>
        </w:tabs>
        <w:ind w:left="2070" w:hanging="2070"/>
      </w:pPr>
      <w:r w:rsidRPr="00AA61B4">
        <w:t>Attachment M</w:t>
      </w:r>
      <w:r w:rsidR="00AA61B4">
        <w:t xml:space="preserve">    </w:t>
      </w:r>
      <w:r w:rsidRPr="00AA61B4">
        <w:rPr>
          <w:color w:val="000000"/>
        </w:rPr>
        <w:t>Clinical staff self-administered implementation survey at 1</w:t>
      </w:r>
      <w:r w:rsidR="00752D88">
        <w:rPr>
          <w:color w:val="000000"/>
        </w:rPr>
        <w:t>2</w:t>
      </w:r>
      <w:r w:rsidRPr="00AA61B4">
        <w:rPr>
          <w:color w:val="000000"/>
        </w:rPr>
        <w:t xml:space="preserve"> months</w:t>
      </w:r>
    </w:p>
    <w:p w:rsidRPr="00AA61B4" w:rsidR="00741E42" w:rsidP="008C2CC9" w:rsidRDefault="00741E42" w14:paraId="7FC72E86" w14:textId="77777777">
      <w:pPr>
        <w:ind w:left="2070" w:hanging="2070"/>
      </w:pPr>
      <w:r w:rsidRPr="00AA61B4">
        <w:t>Attachment N</w:t>
      </w:r>
      <w:r w:rsidR="00AA61B4">
        <w:t xml:space="preserve">     </w:t>
      </w:r>
      <w:r w:rsidRPr="00AA61B4">
        <w:rPr>
          <w:color w:val="000000"/>
        </w:rPr>
        <w:t xml:space="preserve">Clinical staff self-administered implementation survey at </w:t>
      </w:r>
      <w:r w:rsidR="00752D88">
        <w:rPr>
          <w:color w:val="000000"/>
        </w:rPr>
        <w:t>18</w:t>
      </w:r>
      <w:r w:rsidRPr="00AA61B4">
        <w:rPr>
          <w:color w:val="000000"/>
        </w:rPr>
        <w:t xml:space="preserve"> months</w:t>
      </w:r>
    </w:p>
    <w:p w:rsidRPr="00AA61B4" w:rsidR="00741E42" w:rsidP="00236C3C" w:rsidRDefault="00741E42" w14:paraId="1750BADA" w14:textId="77777777">
      <w:pPr>
        <w:ind w:left="1710" w:hanging="1710"/>
      </w:pPr>
      <w:r w:rsidRPr="00AA61B4">
        <w:t>Attachment O</w:t>
      </w:r>
      <w:r w:rsidR="00AA61B4">
        <w:t xml:space="preserve">     </w:t>
      </w:r>
      <w:r w:rsidRPr="00AA61B4">
        <w:rPr>
          <w:color w:val="000000"/>
        </w:rPr>
        <w:t>C</w:t>
      </w:r>
      <w:r w:rsidRPr="00AA61B4" w:rsidR="008C2CC9">
        <w:rPr>
          <w:color w:val="000000"/>
        </w:rPr>
        <w:t>onsent form for c</w:t>
      </w:r>
      <w:r w:rsidRPr="00AA61B4">
        <w:rPr>
          <w:color w:val="000000"/>
        </w:rPr>
        <w:t>linical staff self-administered implementation survey at 6 months</w:t>
      </w:r>
    </w:p>
    <w:p w:rsidRPr="00AA61B4" w:rsidR="00741E42" w:rsidP="00236C3C" w:rsidRDefault="00741E42" w14:paraId="0F1CED87" w14:textId="77777777">
      <w:pPr>
        <w:ind w:left="1710" w:hanging="1710"/>
      </w:pPr>
      <w:r w:rsidRPr="00AA61B4">
        <w:t>Attachment P</w:t>
      </w:r>
      <w:r w:rsidR="00AA61B4">
        <w:t xml:space="preserve">     </w:t>
      </w:r>
      <w:r w:rsidRPr="00AA61B4">
        <w:rPr>
          <w:color w:val="000000"/>
        </w:rPr>
        <w:t>C</w:t>
      </w:r>
      <w:r w:rsidRPr="00AA61B4" w:rsidR="008C2CC9">
        <w:rPr>
          <w:color w:val="000000"/>
        </w:rPr>
        <w:t>onsent form for c</w:t>
      </w:r>
      <w:r w:rsidRPr="00AA61B4">
        <w:rPr>
          <w:color w:val="000000"/>
        </w:rPr>
        <w:t>linical staff self-administered implementation survey at 1</w:t>
      </w:r>
      <w:r w:rsidR="00752D88">
        <w:rPr>
          <w:color w:val="000000"/>
        </w:rPr>
        <w:t>2</w:t>
      </w:r>
      <w:r w:rsidRPr="00AA61B4">
        <w:rPr>
          <w:color w:val="000000"/>
        </w:rPr>
        <w:t xml:space="preserve"> months</w:t>
      </w:r>
      <w:r w:rsidR="000B78D4">
        <w:rPr>
          <w:color w:val="000000"/>
        </w:rPr>
        <w:t xml:space="preserve"> </w:t>
      </w:r>
      <w:r w:rsidRPr="00AA61B4">
        <w:t>Attachment Q</w:t>
      </w:r>
      <w:r w:rsidR="00AA61B4">
        <w:t xml:space="preserve">     </w:t>
      </w:r>
      <w:r w:rsidRPr="00AA61B4">
        <w:rPr>
          <w:color w:val="000000"/>
        </w:rPr>
        <w:t>C</w:t>
      </w:r>
      <w:r w:rsidRPr="00AA61B4" w:rsidR="008C2CC9">
        <w:rPr>
          <w:color w:val="000000"/>
        </w:rPr>
        <w:t>onsent form for c</w:t>
      </w:r>
      <w:r w:rsidRPr="00AA61B4">
        <w:rPr>
          <w:color w:val="000000"/>
        </w:rPr>
        <w:t xml:space="preserve">linical staff self-administered implementation survey at </w:t>
      </w:r>
      <w:r w:rsidR="00752D88">
        <w:rPr>
          <w:color w:val="000000"/>
        </w:rPr>
        <w:t>18</w:t>
      </w:r>
      <w:r w:rsidRPr="00AA61B4">
        <w:rPr>
          <w:color w:val="000000"/>
        </w:rPr>
        <w:t xml:space="preserve"> months</w:t>
      </w:r>
      <w:r w:rsidR="000B78D4">
        <w:rPr>
          <w:color w:val="000000"/>
        </w:rPr>
        <w:t xml:space="preserve"> </w:t>
      </w:r>
    </w:p>
    <w:p w:rsidRPr="00AA61B4" w:rsidR="008573ED" w:rsidP="00FE5CBE" w:rsidRDefault="00922642" w14:paraId="63D10D96" w14:textId="77777777">
      <w:r w:rsidRPr="00AA61B4">
        <w:t xml:space="preserve">Attachment </w:t>
      </w:r>
      <w:r w:rsidRPr="00AA61B4" w:rsidR="008C2CC9">
        <w:t>R</w:t>
      </w:r>
      <w:r w:rsidR="00AA61B4">
        <w:tab/>
        <w:t xml:space="preserve">   </w:t>
      </w:r>
      <w:r w:rsidRPr="00AA61B4" w:rsidR="00D831DA">
        <w:t>Data use agreement for AIM program data</w:t>
      </w:r>
    </w:p>
    <w:p w:rsidRPr="00AA61B4" w:rsidR="00922642" w:rsidP="008C2CC9" w:rsidRDefault="00922642" w14:paraId="66032083" w14:textId="77777777">
      <w:pPr>
        <w:ind w:left="2070" w:hanging="2070"/>
      </w:pPr>
      <w:r w:rsidRPr="00AA61B4">
        <w:t xml:space="preserve">Attachment </w:t>
      </w:r>
      <w:r w:rsidRPr="00AA61B4" w:rsidR="008C2CC9">
        <w:t>S</w:t>
      </w:r>
      <w:r w:rsidR="00AA61B4">
        <w:t xml:space="preserve">     </w:t>
      </w:r>
      <w:r w:rsidRPr="00AA61B4" w:rsidR="00D831DA">
        <w:t xml:space="preserve">List </w:t>
      </w:r>
      <w:r w:rsidRPr="00AA61B4" w:rsidR="00D831DA">
        <w:rPr>
          <w:color w:val="000000"/>
        </w:rPr>
        <w:t xml:space="preserve">of measures reported by hospitals </w:t>
      </w:r>
      <w:r w:rsidRPr="00AA61B4" w:rsidR="00F77A3A">
        <w:rPr>
          <w:color w:val="000000"/>
        </w:rPr>
        <w:t xml:space="preserve">for the </w:t>
      </w:r>
      <w:r w:rsidR="00AA61B4">
        <w:rPr>
          <w:color w:val="000000"/>
        </w:rPr>
        <w:t xml:space="preserve">AIM </w:t>
      </w:r>
      <w:r w:rsidRPr="00AA61B4" w:rsidR="00D831DA">
        <w:rPr>
          <w:color w:val="000000"/>
        </w:rPr>
        <w:t>program</w:t>
      </w:r>
    </w:p>
    <w:p w:rsidRPr="00AA61B4" w:rsidR="00016560" w:rsidP="00FE5CBE" w:rsidRDefault="008C2CC9" w14:paraId="21032672" w14:textId="77777777">
      <w:r w:rsidRPr="00AA61B4">
        <w:lastRenderedPageBreak/>
        <w:t>Attachment T</w:t>
      </w:r>
      <w:r w:rsidR="00AA61B4">
        <w:tab/>
        <w:t xml:space="preserve">   </w:t>
      </w:r>
      <w:r w:rsidRPr="00AA61B4">
        <w:t>List of Stakeholder Panel Members</w:t>
      </w:r>
    </w:p>
    <w:p w:rsidRPr="00AA61B4" w:rsidR="00A15D49" w:rsidP="00FE5CBE" w:rsidRDefault="00A15D49" w14:paraId="10E6A9A0" w14:textId="77777777">
      <w:r w:rsidRPr="00AA61B4">
        <w:t xml:space="preserve">Attachment </w:t>
      </w:r>
      <w:r w:rsidRPr="00AA61B4">
        <w:rPr>
          <w:i/>
        </w:rPr>
        <w:t>X</w:t>
      </w:r>
      <w:r w:rsidR="00AA61B4">
        <w:tab/>
        <w:t xml:space="preserve">   </w:t>
      </w:r>
      <w:r w:rsidRPr="00AA61B4">
        <w:t>Federal Register Notice</w:t>
      </w:r>
    </w:p>
    <w:p w:rsidRPr="00AA61B4" w:rsidR="00EF5D39" w:rsidP="00EF5D39" w:rsidRDefault="00EF5D39" w14:paraId="3C432B66" w14:textId="448026CD">
      <w:r w:rsidRPr="00AA61B4">
        <w:t xml:space="preserve">Attachment </w:t>
      </w:r>
      <w:r w:rsidRPr="00AA61B4">
        <w:rPr>
          <w:i/>
        </w:rPr>
        <w:t>X</w:t>
      </w:r>
      <w:r>
        <w:rPr>
          <w:i/>
        </w:rPr>
        <w:t>1</w:t>
      </w:r>
      <w:r>
        <w:t xml:space="preserve">   </w:t>
      </w:r>
      <w:r w:rsidRPr="00AA61B4">
        <w:t>Federal Register Notice</w:t>
      </w:r>
    </w:p>
    <w:p w:rsidRPr="00AA61B4" w:rsidR="00C27E00" w:rsidP="00FE5CBE" w:rsidRDefault="00C27E00" w14:paraId="7C061A2A" w14:textId="77777777"/>
    <w:p w:rsidR="00113ED2" w:rsidP="007208E0" w:rsidRDefault="00113ED2" w14:paraId="1126C28F" w14:textId="77777777"/>
    <w:p w:rsidR="00113ED2" w:rsidP="007208E0" w:rsidRDefault="00113ED2" w14:paraId="1702A0D3" w14:textId="77777777"/>
    <w:p w:rsidR="00113ED2" w:rsidP="007208E0" w:rsidRDefault="00113ED2" w14:paraId="5AE06CF5" w14:textId="77777777"/>
    <w:p w:rsidR="00113ED2" w:rsidP="007208E0" w:rsidRDefault="00113ED2" w14:paraId="6EC0D695" w14:textId="77777777"/>
    <w:p w:rsidRPr="00535B56" w:rsidR="00DA79B5" w:rsidP="00DA79B5" w:rsidRDefault="00DA79B5" w14:paraId="76F4FB53" w14:textId="77777777">
      <w:pPr>
        <w:pStyle w:val="EndnoteText"/>
        <w:tabs>
          <w:tab w:val="left" w:pos="360"/>
          <w:tab w:val="left" w:pos="720"/>
          <w:tab w:val="left" w:pos="1080"/>
          <w:tab w:val="left" w:pos="4680"/>
          <w:tab w:val="left" w:pos="5940"/>
        </w:tabs>
        <w:rPr>
          <w:sz w:val="24"/>
          <w:szCs w:val="24"/>
        </w:rPr>
      </w:pPr>
    </w:p>
    <w:sectPr w:rsidRPr="00535B56" w:rsidR="00DA79B5"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D258" w16cex:dateUtc="2020-12-07T21:10:00Z"/>
  <w16cex:commentExtensible w16cex:durableId="2378D2C9" w16cex:dateUtc="2020-12-07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94B50A" w16cid:durableId="2378D258"/>
  <w16cid:commentId w16cid:paraId="71F24122" w16cid:durableId="2378D2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42CF9" w14:textId="77777777" w:rsidR="007B50E5" w:rsidRDefault="007B50E5">
      <w:r>
        <w:separator/>
      </w:r>
    </w:p>
  </w:endnote>
  <w:endnote w:type="continuationSeparator" w:id="0">
    <w:p w14:paraId="150ABBAC" w14:textId="77777777" w:rsidR="007B50E5" w:rsidRDefault="007B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812E" w14:textId="77777777" w:rsidR="007141A0" w:rsidRDefault="007141A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ED8F1D" w14:textId="77777777" w:rsidR="007141A0" w:rsidRDefault="00714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1DBB" w14:textId="0ECFEEC5" w:rsidR="007141A0" w:rsidRDefault="007141A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6160">
      <w:rPr>
        <w:rStyle w:val="PageNumber"/>
        <w:noProof/>
      </w:rPr>
      <w:t>- 9 -</w:t>
    </w:r>
    <w:r>
      <w:rPr>
        <w:rStyle w:val="PageNumber"/>
      </w:rPr>
      <w:fldChar w:fldCharType="end"/>
    </w:r>
  </w:p>
  <w:p w14:paraId="29126BB2" w14:textId="77777777" w:rsidR="007141A0" w:rsidRDefault="00714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09119" w14:textId="77777777" w:rsidR="007B50E5" w:rsidRDefault="007B50E5">
      <w:r>
        <w:separator/>
      </w:r>
    </w:p>
  </w:footnote>
  <w:footnote w:type="continuationSeparator" w:id="0">
    <w:p w14:paraId="11FD7109" w14:textId="77777777" w:rsidR="007B50E5" w:rsidRDefault="007B5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1AF4"/>
    <w:multiLevelType w:val="multilevel"/>
    <w:tmpl w:val="842607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9E1D9E"/>
    <w:multiLevelType w:val="hybridMultilevel"/>
    <w:tmpl w:val="BE0A32BC"/>
    <w:lvl w:ilvl="0" w:tplc="645C905C">
      <w:start w:val="1"/>
      <w:numFmt w:val="lowerLetter"/>
      <w:lvlText w:val="%1)"/>
      <w:lvlJc w:val="left"/>
      <w:pPr>
        <w:ind w:left="720" w:hanging="360"/>
      </w:pPr>
      <w:rPr>
        <w:rFonts w:ascii="Arial" w:hAnsi="Arial" w:cs="Arial"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E792C"/>
    <w:multiLevelType w:val="hybridMultilevel"/>
    <w:tmpl w:val="C6B6A78E"/>
    <w:lvl w:ilvl="0" w:tplc="0409000F">
      <w:start w:val="1"/>
      <w:numFmt w:val="decimal"/>
      <w:lvlText w:val="%1."/>
      <w:lvlJc w:val="left"/>
      <w:pPr>
        <w:ind w:left="720" w:hanging="360"/>
      </w:pPr>
    </w:lvl>
    <w:lvl w:ilvl="1" w:tplc="772690E0">
      <w:start w:val="1"/>
      <w:numFmt w:val="lowerLetter"/>
      <w:lvlText w:val="%2."/>
      <w:lvlJc w:val="left"/>
      <w:pPr>
        <w:ind w:left="1440" w:hanging="360"/>
      </w:pPr>
      <w:rPr>
        <w:rFonts w:ascii="Calibri" w:eastAsia="Calibri"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F244AE"/>
    <w:multiLevelType w:val="hybridMultilevel"/>
    <w:tmpl w:val="F664E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5" w15:restartNumberingAfterBreak="0">
    <w:nsid w:val="72A871ED"/>
    <w:multiLevelType w:val="hybridMultilevel"/>
    <w:tmpl w:val="A19C4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6"/>
  </w:num>
  <w:num w:numId="2">
    <w:abstractNumId w:val="4"/>
  </w:num>
  <w:num w:numId="3">
    <w:abstractNumId w:val="5"/>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3AB"/>
    <w:rsid w:val="00012921"/>
    <w:rsid w:val="00012FB9"/>
    <w:rsid w:val="00014AC2"/>
    <w:rsid w:val="00015AAF"/>
    <w:rsid w:val="00016560"/>
    <w:rsid w:val="00017D6A"/>
    <w:rsid w:val="00024FEE"/>
    <w:rsid w:val="000265C7"/>
    <w:rsid w:val="0003103A"/>
    <w:rsid w:val="00033301"/>
    <w:rsid w:val="00035E6A"/>
    <w:rsid w:val="000373EA"/>
    <w:rsid w:val="00037998"/>
    <w:rsid w:val="00043473"/>
    <w:rsid w:val="00045959"/>
    <w:rsid w:val="00046359"/>
    <w:rsid w:val="00053EA7"/>
    <w:rsid w:val="00057BD2"/>
    <w:rsid w:val="000605AC"/>
    <w:rsid w:val="0006207D"/>
    <w:rsid w:val="00062AC7"/>
    <w:rsid w:val="00065B53"/>
    <w:rsid w:val="00071A4C"/>
    <w:rsid w:val="000728E9"/>
    <w:rsid w:val="00074B31"/>
    <w:rsid w:val="000769F7"/>
    <w:rsid w:val="000779A9"/>
    <w:rsid w:val="000801FF"/>
    <w:rsid w:val="00081B02"/>
    <w:rsid w:val="00082047"/>
    <w:rsid w:val="0008559F"/>
    <w:rsid w:val="000926A1"/>
    <w:rsid w:val="00094648"/>
    <w:rsid w:val="00095706"/>
    <w:rsid w:val="000973AE"/>
    <w:rsid w:val="000A016A"/>
    <w:rsid w:val="000A026C"/>
    <w:rsid w:val="000A140E"/>
    <w:rsid w:val="000A1FE3"/>
    <w:rsid w:val="000A28F0"/>
    <w:rsid w:val="000A3475"/>
    <w:rsid w:val="000A34D9"/>
    <w:rsid w:val="000A3C97"/>
    <w:rsid w:val="000A447D"/>
    <w:rsid w:val="000A5937"/>
    <w:rsid w:val="000B0392"/>
    <w:rsid w:val="000B25AE"/>
    <w:rsid w:val="000B5BEA"/>
    <w:rsid w:val="000B68A1"/>
    <w:rsid w:val="000B78CB"/>
    <w:rsid w:val="000B78D4"/>
    <w:rsid w:val="000C7D55"/>
    <w:rsid w:val="000D429E"/>
    <w:rsid w:val="000D47CC"/>
    <w:rsid w:val="000D5199"/>
    <w:rsid w:val="000E01D1"/>
    <w:rsid w:val="000E4300"/>
    <w:rsid w:val="000F1328"/>
    <w:rsid w:val="000F2102"/>
    <w:rsid w:val="000F2B59"/>
    <w:rsid w:val="00107644"/>
    <w:rsid w:val="00112DF2"/>
    <w:rsid w:val="00112E28"/>
    <w:rsid w:val="00113ED2"/>
    <w:rsid w:val="001167BA"/>
    <w:rsid w:val="00117B24"/>
    <w:rsid w:val="00120A0C"/>
    <w:rsid w:val="00123D87"/>
    <w:rsid w:val="00124917"/>
    <w:rsid w:val="00125F4B"/>
    <w:rsid w:val="001301AA"/>
    <w:rsid w:val="00131443"/>
    <w:rsid w:val="00134F80"/>
    <w:rsid w:val="0013519D"/>
    <w:rsid w:val="001353B8"/>
    <w:rsid w:val="00145B41"/>
    <w:rsid w:val="00153417"/>
    <w:rsid w:val="0015582D"/>
    <w:rsid w:val="00162B34"/>
    <w:rsid w:val="001666ED"/>
    <w:rsid w:val="00166A69"/>
    <w:rsid w:val="00170AAD"/>
    <w:rsid w:val="001740C1"/>
    <w:rsid w:val="00174441"/>
    <w:rsid w:val="00181EEC"/>
    <w:rsid w:val="001868E0"/>
    <w:rsid w:val="00186D17"/>
    <w:rsid w:val="00187A50"/>
    <w:rsid w:val="001908BF"/>
    <w:rsid w:val="00190BE0"/>
    <w:rsid w:val="0019346E"/>
    <w:rsid w:val="001A1B52"/>
    <w:rsid w:val="001A28C0"/>
    <w:rsid w:val="001B1C61"/>
    <w:rsid w:val="001B2BF0"/>
    <w:rsid w:val="001B6BD4"/>
    <w:rsid w:val="001C2ECA"/>
    <w:rsid w:val="001C59E4"/>
    <w:rsid w:val="001C5BAC"/>
    <w:rsid w:val="001C7121"/>
    <w:rsid w:val="001C7623"/>
    <w:rsid w:val="001C7BAB"/>
    <w:rsid w:val="001D3831"/>
    <w:rsid w:val="001E0108"/>
    <w:rsid w:val="001E0CBE"/>
    <w:rsid w:val="001E4B08"/>
    <w:rsid w:val="001E63C6"/>
    <w:rsid w:val="001F2696"/>
    <w:rsid w:val="001F44D0"/>
    <w:rsid w:val="00202E1B"/>
    <w:rsid w:val="00204B25"/>
    <w:rsid w:val="002103D2"/>
    <w:rsid w:val="00211E70"/>
    <w:rsid w:val="00212F66"/>
    <w:rsid w:val="00213031"/>
    <w:rsid w:val="002133EA"/>
    <w:rsid w:val="00217061"/>
    <w:rsid w:val="002200DA"/>
    <w:rsid w:val="00220E9F"/>
    <w:rsid w:val="0022366A"/>
    <w:rsid w:val="00223CCE"/>
    <w:rsid w:val="0022783F"/>
    <w:rsid w:val="002314C5"/>
    <w:rsid w:val="002329C4"/>
    <w:rsid w:val="00233053"/>
    <w:rsid w:val="00236877"/>
    <w:rsid w:val="00236C3C"/>
    <w:rsid w:val="00237000"/>
    <w:rsid w:val="0024460A"/>
    <w:rsid w:val="00245044"/>
    <w:rsid w:val="00247FB1"/>
    <w:rsid w:val="00253E36"/>
    <w:rsid w:val="00255C7D"/>
    <w:rsid w:val="00261A1B"/>
    <w:rsid w:val="0026424E"/>
    <w:rsid w:val="00264374"/>
    <w:rsid w:val="0026439D"/>
    <w:rsid w:val="00265FCB"/>
    <w:rsid w:val="002707A1"/>
    <w:rsid w:val="00272E29"/>
    <w:rsid w:val="00274E03"/>
    <w:rsid w:val="00281248"/>
    <w:rsid w:val="002815DF"/>
    <w:rsid w:val="00290023"/>
    <w:rsid w:val="00291B73"/>
    <w:rsid w:val="00291EE9"/>
    <w:rsid w:val="002954DE"/>
    <w:rsid w:val="0029734C"/>
    <w:rsid w:val="002A4DA4"/>
    <w:rsid w:val="002A685D"/>
    <w:rsid w:val="002A6F0F"/>
    <w:rsid w:val="002B382B"/>
    <w:rsid w:val="002B5959"/>
    <w:rsid w:val="002B5ADB"/>
    <w:rsid w:val="002B7635"/>
    <w:rsid w:val="002D6A66"/>
    <w:rsid w:val="002D7BD4"/>
    <w:rsid w:val="002E108C"/>
    <w:rsid w:val="002E2FFE"/>
    <w:rsid w:val="002E54EF"/>
    <w:rsid w:val="002F4DE8"/>
    <w:rsid w:val="002F5D57"/>
    <w:rsid w:val="002F6EB9"/>
    <w:rsid w:val="00302A0B"/>
    <w:rsid w:val="003103E7"/>
    <w:rsid w:val="0031329B"/>
    <w:rsid w:val="0031491E"/>
    <w:rsid w:val="00325B9C"/>
    <w:rsid w:val="003270FA"/>
    <w:rsid w:val="00330C14"/>
    <w:rsid w:val="00335EC8"/>
    <w:rsid w:val="00340204"/>
    <w:rsid w:val="00340D97"/>
    <w:rsid w:val="00341834"/>
    <w:rsid w:val="0034325D"/>
    <w:rsid w:val="00344BF9"/>
    <w:rsid w:val="00350E4E"/>
    <w:rsid w:val="00353AD3"/>
    <w:rsid w:val="00361F52"/>
    <w:rsid w:val="00365B7B"/>
    <w:rsid w:val="00366160"/>
    <w:rsid w:val="00366F06"/>
    <w:rsid w:val="003709F3"/>
    <w:rsid w:val="0037254D"/>
    <w:rsid w:val="0037427A"/>
    <w:rsid w:val="00374A18"/>
    <w:rsid w:val="00375198"/>
    <w:rsid w:val="00376D3E"/>
    <w:rsid w:val="00377301"/>
    <w:rsid w:val="0037771B"/>
    <w:rsid w:val="00377D80"/>
    <w:rsid w:val="0038217D"/>
    <w:rsid w:val="00383654"/>
    <w:rsid w:val="0038628A"/>
    <w:rsid w:val="00395CF6"/>
    <w:rsid w:val="003A0672"/>
    <w:rsid w:val="003A0813"/>
    <w:rsid w:val="003A138D"/>
    <w:rsid w:val="003A319A"/>
    <w:rsid w:val="003A727F"/>
    <w:rsid w:val="003A7335"/>
    <w:rsid w:val="003B2951"/>
    <w:rsid w:val="003B3463"/>
    <w:rsid w:val="003B4353"/>
    <w:rsid w:val="003B4CA9"/>
    <w:rsid w:val="003B5859"/>
    <w:rsid w:val="003B6B41"/>
    <w:rsid w:val="003C4370"/>
    <w:rsid w:val="003C58C8"/>
    <w:rsid w:val="003C60BD"/>
    <w:rsid w:val="003C6C29"/>
    <w:rsid w:val="003D191A"/>
    <w:rsid w:val="003D21A7"/>
    <w:rsid w:val="003D3937"/>
    <w:rsid w:val="003D73D8"/>
    <w:rsid w:val="003E0D8A"/>
    <w:rsid w:val="003E2801"/>
    <w:rsid w:val="003E2C9D"/>
    <w:rsid w:val="003E6495"/>
    <w:rsid w:val="003E73EB"/>
    <w:rsid w:val="003F053A"/>
    <w:rsid w:val="003F1806"/>
    <w:rsid w:val="003F2858"/>
    <w:rsid w:val="003F3B10"/>
    <w:rsid w:val="003F5921"/>
    <w:rsid w:val="0040250E"/>
    <w:rsid w:val="0040282A"/>
    <w:rsid w:val="00404B79"/>
    <w:rsid w:val="004131BC"/>
    <w:rsid w:val="00414267"/>
    <w:rsid w:val="00414C80"/>
    <w:rsid w:val="004155E1"/>
    <w:rsid w:val="004163B2"/>
    <w:rsid w:val="004178EB"/>
    <w:rsid w:val="00423E8F"/>
    <w:rsid w:val="00425974"/>
    <w:rsid w:val="0043596B"/>
    <w:rsid w:val="004360D7"/>
    <w:rsid w:val="004404A2"/>
    <w:rsid w:val="004410F5"/>
    <w:rsid w:val="00443A7E"/>
    <w:rsid w:val="0044590C"/>
    <w:rsid w:val="004475DC"/>
    <w:rsid w:val="0044769A"/>
    <w:rsid w:val="00450538"/>
    <w:rsid w:val="00452268"/>
    <w:rsid w:val="00455E77"/>
    <w:rsid w:val="00456179"/>
    <w:rsid w:val="00456600"/>
    <w:rsid w:val="004607CD"/>
    <w:rsid w:val="004670C2"/>
    <w:rsid w:val="00467163"/>
    <w:rsid w:val="00471DB2"/>
    <w:rsid w:val="0047504D"/>
    <w:rsid w:val="00480523"/>
    <w:rsid w:val="004811AD"/>
    <w:rsid w:val="004830D9"/>
    <w:rsid w:val="004832F9"/>
    <w:rsid w:val="00483B6F"/>
    <w:rsid w:val="00484494"/>
    <w:rsid w:val="004844B4"/>
    <w:rsid w:val="0048680F"/>
    <w:rsid w:val="00490403"/>
    <w:rsid w:val="00492F5F"/>
    <w:rsid w:val="004976D6"/>
    <w:rsid w:val="004A0D50"/>
    <w:rsid w:val="004A2240"/>
    <w:rsid w:val="004A4AA5"/>
    <w:rsid w:val="004A624D"/>
    <w:rsid w:val="004A6F74"/>
    <w:rsid w:val="004B18E7"/>
    <w:rsid w:val="004B3AF4"/>
    <w:rsid w:val="004B6C3E"/>
    <w:rsid w:val="004B7DCE"/>
    <w:rsid w:val="004C3BA7"/>
    <w:rsid w:val="004C43D6"/>
    <w:rsid w:val="004C476D"/>
    <w:rsid w:val="004C4A74"/>
    <w:rsid w:val="004C53AE"/>
    <w:rsid w:val="004C5B9F"/>
    <w:rsid w:val="004C7110"/>
    <w:rsid w:val="004D361F"/>
    <w:rsid w:val="004E16F6"/>
    <w:rsid w:val="004E399C"/>
    <w:rsid w:val="004E3A1B"/>
    <w:rsid w:val="004E4075"/>
    <w:rsid w:val="004E51AD"/>
    <w:rsid w:val="004E6FDD"/>
    <w:rsid w:val="004F00BD"/>
    <w:rsid w:val="004F0472"/>
    <w:rsid w:val="004F06EB"/>
    <w:rsid w:val="004F3D00"/>
    <w:rsid w:val="004F5912"/>
    <w:rsid w:val="0050038F"/>
    <w:rsid w:val="00500573"/>
    <w:rsid w:val="0050090F"/>
    <w:rsid w:val="00501308"/>
    <w:rsid w:val="005028D5"/>
    <w:rsid w:val="005039D4"/>
    <w:rsid w:val="0050658B"/>
    <w:rsid w:val="00506DC0"/>
    <w:rsid w:val="00510909"/>
    <w:rsid w:val="00511261"/>
    <w:rsid w:val="00520CE0"/>
    <w:rsid w:val="00523434"/>
    <w:rsid w:val="00526314"/>
    <w:rsid w:val="005279B9"/>
    <w:rsid w:val="00527BBD"/>
    <w:rsid w:val="00531857"/>
    <w:rsid w:val="00532A28"/>
    <w:rsid w:val="00535B56"/>
    <w:rsid w:val="00540027"/>
    <w:rsid w:val="0054014C"/>
    <w:rsid w:val="00540280"/>
    <w:rsid w:val="00547839"/>
    <w:rsid w:val="005518FE"/>
    <w:rsid w:val="00553F5B"/>
    <w:rsid w:val="00556066"/>
    <w:rsid w:val="0056032E"/>
    <w:rsid w:val="0056238F"/>
    <w:rsid w:val="0056507F"/>
    <w:rsid w:val="00572165"/>
    <w:rsid w:val="00581FD2"/>
    <w:rsid w:val="00582F94"/>
    <w:rsid w:val="0058455F"/>
    <w:rsid w:val="00586C32"/>
    <w:rsid w:val="00587116"/>
    <w:rsid w:val="0059189B"/>
    <w:rsid w:val="005925EA"/>
    <w:rsid w:val="00593E67"/>
    <w:rsid w:val="00596BBA"/>
    <w:rsid w:val="00596D0F"/>
    <w:rsid w:val="005A001A"/>
    <w:rsid w:val="005B1029"/>
    <w:rsid w:val="005B2955"/>
    <w:rsid w:val="005B3C01"/>
    <w:rsid w:val="005B4A29"/>
    <w:rsid w:val="005B4E14"/>
    <w:rsid w:val="005B62CF"/>
    <w:rsid w:val="005B67EF"/>
    <w:rsid w:val="005B6FAA"/>
    <w:rsid w:val="005B715B"/>
    <w:rsid w:val="005C1459"/>
    <w:rsid w:val="005C1895"/>
    <w:rsid w:val="005C7885"/>
    <w:rsid w:val="005D1DFA"/>
    <w:rsid w:val="005D332D"/>
    <w:rsid w:val="005D7C4A"/>
    <w:rsid w:val="005E403E"/>
    <w:rsid w:val="005E4478"/>
    <w:rsid w:val="005E49B8"/>
    <w:rsid w:val="005E74BC"/>
    <w:rsid w:val="005F0E85"/>
    <w:rsid w:val="005F4B12"/>
    <w:rsid w:val="0060047D"/>
    <w:rsid w:val="006014DB"/>
    <w:rsid w:val="006025DB"/>
    <w:rsid w:val="00603868"/>
    <w:rsid w:val="0060411E"/>
    <w:rsid w:val="00604437"/>
    <w:rsid w:val="00606400"/>
    <w:rsid w:val="00612037"/>
    <w:rsid w:val="00613C05"/>
    <w:rsid w:val="0061617F"/>
    <w:rsid w:val="00620B93"/>
    <w:rsid w:val="00624F61"/>
    <w:rsid w:val="00625C1B"/>
    <w:rsid w:val="00626D1D"/>
    <w:rsid w:val="00631C81"/>
    <w:rsid w:val="00635034"/>
    <w:rsid w:val="00635119"/>
    <w:rsid w:val="00636A0C"/>
    <w:rsid w:val="00641ACA"/>
    <w:rsid w:val="006451A7"/>
    <w:rsid w:val="00646C1F"/>
    <w:rsid w:val="006473D1"/>
    <w:rsid w:val="00652942"/>
    <w:rsid w:val="00652D07"/>
    <w:rsid w:val="006542B2"/>
    <w:rsid w:val="00655A17"/>
    <w:rsid w:val="006563FF"/>
    <w:rsid w:val="006650EF"/>
    <w:rsid w:val="00665FAE"/>
    <w:rsid w:val="00667631"/>
    <w:rsid w:val="006710D4"/>
    <w:rsid w:val="00673146"/>
    <w:rsid w:val="00673643"/>
    <w:rsid w:val="00673ABF"/>
    <w:rsid w:val="0067433A"/>
    <w:rsid w:val="00675F61"/>
    <w:rsid w:val="00680AFF"/>
    <w:rsid w:val="0068128F"/>
    <w:rsid w:val="006963EC"/>
    <w:rsid w:val="006A28E1"/>
    <w:rsid w:val="006A2A57"/>
    <w:rsid w:val="006A39E2"/>
    <w:rsid w:val="006A4D4E"/>
    <w:rsid w:val="006A4E95"/>
    <w:rsid w:val="006B176B"/>
    <w:rsid w:val="006B4FA4"/>
    <w:rsid w:val="006B7156"/>
    <w:rsid w:val="006C45D0"/>
    <w:rsid w:val="006C5198"/>
    <w:rsid w:val="006D1C5E"/>
    <w:rsid w:val="006D29BB"/>
    <w:rsid w:val="006D3946"/>
    <w:rsid w:val="006D4AAE"/>
    <w:rsid w:val="006D6F17"/>
    <w:rsid w:val="006E0C1A"/>
    <w:rsid w:val="006E6FBF"/>
    <w:rsid w:val="006E72D1"/>
    <w:rsid w:val="0070072D"/>
    <w:rsid w:val="00701D38"/>
    <w:rsid w:val="00703573"/>
    <w:rsid w:val="007109B1"/>
    <w:rsid w:val="00710C91"/>
    <w:rsid w:val="007141A0"/>
    <w:rsid w:val="00715026"/>
    <w:rsid w:val="007170C4"/>
    <w:rsid w:val="007208E0"/>
    <w:rsid w:val="00723075"/>
    <w:rsid w:val="007246F1"/>
    <w:rsid w:val="007274A6"/>
    <w:rsid w:val="00731487"/>
    <w:rsid w:val="00733323"/>
    <w:rsid w:val="00736BA6"/>
    <w:rsid w:val="00737832"/>
    <w:rsid w:val="00741063"/>
    <w:rsid w:val="00741E42"/>
    <w:rsid w:val="007421B8"/>
    <w:rsid w:val="00744D19"/>
    <w:rsid w:val="00746246"/>
    <w:rsid w:val="00747A7E"/>
    <w:rsid w:val="00747D2F"/>
    <w:rsid w:val="00750597"/>
    <w:rsid w:val="00752D88"/>
    <w:rsid w:val="00752EA8"/>
    <w:rsid w:val="00755C80"/>
    <w:rsid w:val="007561F0"/>
    <w:rsid w:val="00761401"/>
    <w:rsid w:val="007616EC"/>
    <w:rsid w:val="00765D1A"/>
    <w:rsid w:val="007700A7"/>
    <w:rsid w:val="007704CF"/>
    <w:rsid w:val="007713DF"/>
    <w:rsid w:val="007721F3"/>
    <w:rsid w:val="007729EE"/>
    <w:rsid w:val="007734D0"/>
    <w:rsid w:val="00773E03"/>
    <w:rsid w:val="007740FD"/>
    <w:rsid w:val="00776010"/>
    <w:rsid w:val="00776654"/>
    <w:rsid w:val="00780E2E"/>
    <w:rsid w:val="0078165A"/>
    <w:rsid w:val="00781779"/>
    <w:rsid w:val="00784C90"/>
    <w:rsid w:val="00785715"/>
    <w:rsid w:val="0079249A"/>
    <w:rsid w:val="007937AE"/>
    <w:rsid w:val="00794842"/>
    <w:rsid w:val="00797D78"/>
    <w:rsid w:val="007A00BA"/>
    <w:rsid w:val="007A0865"/>
    <w:rsid w:val="007A265C"/>
    <w:rsid w:val="007A56C1"/>
    <w:rsid w:val="007A7954"/>
    <w:rsid w:val="007B0CF3"/>
    <w:rsid w:val="007B2666"/>
    <w:rsid w:val="007B3A8E"/>
    <w:rsid w:val="007B50E5"/>
    <w:rsid w:val="007B75CD"/>
    <w:rsid w:val="007C1DC3"/>
    <w:rsid w:val="007C1ECB"/>
    <w:rsid w:val="007C2C19"/>
    <w:rsid w:val="007D1079"/>
    <w:rsid w:val="007D2508"/>
    <w:rsid w:val="007D4F9F"/>
    <w:rsid w:val="007D4FD0"/>
    <w:rsid w:val="007E0A9F"/>
    <w:rsid w:val="007E200A"/>
    <w:rsid w:val="007E4359"/>
    <w:rsid w:val="007E4AB2"/>
    <w:rsid w:val="007E6A7B"/>
    <w:rsid w:val="007F0934"/>
    <w:rsid w:val="007F0FC1"/>
    <w:rsid w:val="007F444D"/>
    <w:rsid w:val="007F4886"/>
    <w:rsid w:val="007F5588"/>
    <w:rsid w:val="0080612B"/>
    <w:rsid w:val="00811735"/>
    <w:rsid w:val="00811C16"/>
    <w:rsid w:val="008124EC"/>
    <w:rsid w:val="008139C3"/>
    <w:rsid w:val="008159E5"/>
    <w:rsid w:val="00815B53"/>
    <w:rsid w:val="008176AF"/>
    <w:rsid w:val="00817DA0"/>
    <w:rsid w:val="008217B6"/>
    <w:rsid w:val="00821DDA"/>
    <w:rsid w:val="00823534"/>
    <w:rsid w:val="0082431B"/>
    <w:rsid w:val="00824FC8"/>
    <w:rsid w:val="00825DA9"/>
    <w:rsid w:val="0083145C"/>
    <w:rsid w:val="00841047"/>
    <w:rsid w:val="008450C0"/>
    <w:rsid w:val="0084640A"/>
    <w:rsid w:val="0084665D"/>
    <w:rsid w:val="008551C0"/>
    <w:rsid w:val="008573ED"/>
    <w:rsid w:val="00860D8D"/>
    <w:rsid w:val="00861E61"/>
    <w:rsid w:val="00862BD0"/>
    <w:rsid w:val="00863F80"/>
    <w:rsid w:val="00871086"/>
    <w:rsid w:val="00873F74"/>
    <w:rsid w:val="008766F9"/>
    <w:rsid w:val="00877F98"/>
    <w:rsid w:val="00880DFE"/>
    <w:rsid w:val="00881132"/>
    <w:rsid w:val="00881438"/>
    <w:rsid w:val="00882259"/>
    <w:rsid w:val="008857CF"/>
    <w:rsid w:val="00885A2C"/>
    <w:rsid w:val="00887F65"/>
    <w:rsid w:val="00891719"/>
    <w:rsid w:val="00892655"/>
    <w:rsid w:val="008959EB"/>
    <w:rsid w:val="008A096D"/>
    <w:rsid w:val="008A30B9"/>
    <w:rsid w:val="008A34C4"/>
    <w:rsid w:val="008B593F"/>
    <w:rsid w:val="008C2CC9"/>
    <w:rsid w:val="008C580E"/>
    <w:rsid w:val="008C6AFA"/>
    <w:rsid w:val="008D028E"/>
    <w:rsid w:val="008E1F6F"/>
    <w:rsid w:val="008E2466"/>
    <w:rsid w:val="008E4FC9"/>
    <w:rsid w:val="008E567E"/>
    <w:rsid w:val="008E64E5"/>
    <w:rsid w:val="008F0B8B"/>
    <w:rsid w:val="008F4515"/>
    <w:rsid w:val="008F5262"/>
    <w:rsid w:val="008F7216"/>
    <w:rsid w:val="00900BD7"/>
    <w:rsid w:val="00904CC3"/>
    <w:rsid w:val="00913659"/>
    <w:rsid w:val="0092054B"/>
    <w:rsid w:val="00922642"/>
    <w:rsid w:val="00923D64"/>
    <w:rsid w:val="009263A1"/>
    <w:rsid w:val="00932A2B"/>
    <w:rsid w:val="009374DF"/>
    <w:rsid w:val="00940D89"/>
    <w:rsid w:val="0094689A"/>
    <w:rsid w:val="00953A38"/>
    <w:rsid w:val="00955553"/>
    <w:rsid w:val="009573F5"/>
    <w:rsid w:val="009656F6"/>
    <w:rsid w:val="009719A5"/>
    <w:rsid w:val="00971FBF"/>
    <w:rsid w:val="009731FD"/>
    <w:rsid w:val="009746A1"/>
    <w:rsid w:val="009768AE"/>
    <w:rsid w:val="00976DA9"/>
    <w:rsid w:val="009839AE"/>
    <w:rsid w:val="00984C5B"/>
    <w:rsid w:val="009853B8"/>
    <w:rsid w:val="00986BAE"/>
    <w:rsid w:val="009900FD"/>
    <w:rsid w:val="009914CF"/>
    <w:rsid w:val="009943E2"/>
    <w:rsid w:val="009943E4"/>
    <w:rsid w:val="00994C16"/>
    <w:rsid w:val="0099646C"/>
    <w:rsid w:val="009A237A"/>
    <w:rsid w:val="009A342A"/>
    <w:rsid w:val="009A49A7"/>
    <w:rsid w:val="009A525C"/>
    <w:rsid w:val="009B3622"/>
    <w:rsid w:val="009B4483"/>
    <w:rsid w:val="009B5C1D"/>
    <w:rsid w:val="009B633D"/>
    <w:rsid w:val="009C4881"/>
    <w:rsid w:val="009C6A17"/>
    <w:rsid w:val="009C6CAF"/>
    <w:rsid w:val="009C79EB"/>
    <w:rsid w:val="009D3DBB"/>
    <w:rsid w:val="009D67A7"/>
    <w:rsid w:val="009D75A8"/>
    <w:rsid w:val="009E1941"/>
    <w:rsid w:val="009E2378"/>
    <w:rsid w:val="009E3FF4"/>
    <w:rsid w:val="009F299E"/>
    <w:rsid w:val="009F2F20"/>
    <w:rsid w:val="009F3140"/>
    <w:rsid w:val="009F43EA"/>
    <w:rsid w:val="009F597D"/>
    <w:rsid w:val="009F6489"/>
    <w:rsid w:val="00A02E7A"/>
    <w:rsid w:val="00A0527F"/>
    <w:rsid w:val="00A11AAD"/>
    <w:rsid w:val="00A12EC4"/>
    <w:rsid w:val="00A13D8D"/>
    <w:rsid w:val="00A15543"/>
    <w:rsid w:val="00A15D49"/>
    <w:rsid w:val="00A17AD5"/>
    <w:rsid w:val="00A21894"/>
    <w:rsid w:val="00A22790"/>
    <w:rsid w:val="00A23FDA"/>
    <w:rsid w:val="00A2689E"/>
    <w:rsid w:val="00A30D9A"/>
    <w:rsid w:val="00A33A13"/>
    <w:rsid w:val="00A3520C"/>
    <w:rsid w:val="00A35860"/>
    <w:rsid w:val="00A4060B"/>
    <w:rsid w:val="00A427FB"/>
    <w:rsid w:val="00A44855"/>
    <w:rsid w:val="00A4694A"/>
    <w:rsid w:val="00A5089E"/>
    <w:rsid w:val="00A53516"/>
    <w:rsid w:val="00A64E80"/>
    <w:rsid w:val="00A65884"/>
    <w:rsid w:val="00A737B4"/>
    <w:rsid w:val="00A73C5B"/>
    <w:rsid w:val="00A7479A"/>
    <w:rsid w:val="00A74E0A"/>
    <w:rsid w:val="00A777E1"/>
    <w:rsid w:val="00A80619"/>
    <w:rsid w:val="00A81085"/>
    <w:rsid w:val="00A8200D"/>
    <w:rsid w:val="00A82776"/>
    <w:rsid w:val="00A827BF"/>
    <w:rsid w:val="00A835E4"/>
    <w:rsid w:val="00A905D8"/>
    <w:rsid w:val="00A90B57"/>
    <w:rsid w:val="00A931B1"/>
    <w:rsid w:val="00A93A61"/>
    <w:rsid w:val="00A94219"/>
    <w:rsid w:val="00A94929"/>
    <w:rsid w:val="00A95F1D"/>
    <w:rsid w:val="00AA0B6B"/>
    <w:rsid w:val="00AA1DDC"/>
    <w:rsid w:val="00AA3F0B"/>
    <w:rsid w:val="00AA61B4"/>
    <w:rsid w:val="00AA6BA9"/>
    <w:rsid w:val="00AA788A"/>
    <w:rsid w:val="00AB072E"/>
    <w:rsid w:val="00AB1EB8"/>
    <w:rsid w:val="00AB3CF0"/>
    <w:rsid w:val="00AB4F9C"/>
    <w:rsid w:val="00AB640D"/>
    <w:rsid w:val="00AC3BCB"/>
    <w:rsid w:val="00AC407F"/>
    <w:rsid w:val="00AC5C78"/>
    <w:rsid w:val="00AD31AB"/>
    <w:rsid w:val="00AD3938"/>
    <w:rsid w:val="00AD4FA6"/>
    <w:rsid w:val="00AD6516"/>
    <w:rsid w:val="00AD7B73"/>
    <w:rsid w:val="00AE3FE7"/>
    <w:rsid w:val="00AE4702"/>
    <w:rsid w:val="00B00863"/>
    <w:rsid w:val="00B00C3F"/>
    <w:rsid w:val="00B01071"/>
    <w:rsid w:val="00B05252"/>
    <w:rsid w:val="00B063B7"/>
    <w:rsid w:val="00B1263A"/>
    <w:rsid w:val="00B148E9"/>
    <w:rsid w:val="00B155D4"/>
    <w:rsid w:val="00B178CD"/>
    <w:rsid w:val="00B17C9B"/>
    <w:rsid w:val="00B238AD"/>
    <w:rsid w:val="00B257FE"/>
    <w:rsid w:val="00B25D04"/>
    <w:rsid w:val="00B3063E"/>
    <w:rsid w:val="00B312D8"/>
    <w:rsid w:val="00B354D3"/>
    <w:rsid w:val="00B40CBA"/>
    <w:rsid w:val="00B412C2"/>
    <w:rsid w:val="00B42F77"/>
    <w:rsid w:val="00B433FD"/>
    <w:rsid w:val="00B463B1"/>
    <w:rsid w:val="00B475AC"/>
    <w:rsid w:val="00B508AC"/>
    <w:rsid w:val="00B52533"/>
    <w:rsid w:val="00B552AF"/>
    <w:rsid w:val="00B600E6"/>
    <w:rsid w:val="00B60A7C"/>
    <w:rsid w:val="00B612E1"/>
    <w:rsid w:val="00B61FEB"/>
    <w:rsid w:val="00B645ED"/>
    <w:rsid w:val="00B64D77"/>
    <w:rsid w:val="00B65D81"/>
    <w:rsid w:val="00B67A73"/>
    <w:rsid w:val="00B707A5"/>
    <w:rsid w:val="00B718D3"/>
    <w:rsid w:val="00B720EC"/>
    <w:rsid w:val="00B729A9"/>
    <w:rsid w:val="00B744C5"/>
    <w:rsid w:val="00B75D74"/>
    <w:rsid w:val="00B762E0"/>
    <w:rsid w:val="00B811B4"/>
    <w:rsid w:val="00B817AD"/>
    <w:rsid w:val="00B825D0"/>
    <w:rsid w:val="00B83929"/>
    <w:rsid w:val="00B915F1"/>
    <w:rsid w:val="00B93725"/>
    <w:rsid w:val="00B968E4"/>
    <w:rsid w:val="00B9692A"/>
    <w:rsid w:val="00BA5AA9"/>
    <w:rsid w:val="00BA7867"/>
    <w:rsid w:val="00BA7DEC"/>
    <w:rsid w:val="00BB1C2F"/>
    <w:rsid w:val="00BB2479"/>
    <w:rsid w:val="00BB4DDD"/>
    <w:rsid w:val="00BB4F45"/>
    <w:rsid w:val="00BB7053"/>
    <w:rsid w:val="00BB7136"/>
    <w:rsid w:val="00BC2E2E"/>
    <w:rsid w:val="00BC2FD3"/>
    <w:rsid w:val="00BD357C"/>
    <w:rsid w:val="00BE0430"/>
    <w:rsid w:val="00BE102A"/>
    <w:rsid w:val="00BE42D7"/>
    <w:rsid w:val="00BE6C53"/>
    <w:rsid w:val="00BF17FC"/>
    <w:rsid w:val="00BF2D37"/>
    <w:rsid w:val="00BF735E"/>
    <w:rsid w:val="00BF7D87"/>
    <w:rsid w:val="00BF7DD8"/>
    <w:rsid w:val="00C017C5"/>
    <w:rsid w:val="00C01934"/>
    <w:rsid w:val="00C02381"/>
    <w:rsid w:val="00C04C20"/>
    <w:rsid w:val="00C0644C"/>
    <w:rsid w:val="00C11E2B"/>
    <w:rsid w:val="00C12646"/>
    <w:rsid w:val="00C15925"/>
    <w:rsid w:val="00C163C6"/>
    <w:rsid w:val="00C205C8"/>
    <w:rsid w:val="00C20D6B"/>
    <w:rsid w:val="00C27E00"/>
    <w:rsid w:val="00C301BB"/>
    <w:rsid w:val="00C30910"/>
    <w:rsid w:val="00C37AAE"/>
    <w:rsid w:val="00C4006D"/>
    <w:rsid w:val="00C426F9"/>
    <w:rsid w:val="00C427C2"/>
    <w:rsid w:val="00C4322E"/>
    <w:rsid w:val="00C46919"/>
    <w:rsid w:val="00C477D6"/>
    <w:rsid w:val="00C52A5E"/>
    <w:rsid w:val="00C56416"/>
    <w:rsid w:val="00C6119D"/>
    <w:rsid w:val="00C6191F"/>
    <w:rsid w:val="00C640D5"/>
    <w:rsid w:val="00C6424B"/>
    <w:rsid w:val="00C65B05"/>
    <w:rsid w:val="00C67FEB"/>
    <w:rsid w:val="00C707D3"/>
    <w:rsid w:val="00C7167D"/>
    <w:rsid w:val="00C73F08"/>
    <w:rsid w:val="00C75E6F"/>
    <w:rsid w:val="00C77433"/>
    <w:rsid w:val="00C7753D"/>
    <w:rsid w:val="00C82591"/>
    <w:rsid w:val="00C84911"/>
    <w:rsid w:val="00C85BAD"/>
    <w:rsid w:val="00C92813"/>
    <w:rsid w:val="00C929D4"/>
    <w:rsid w:val="00C933ED"/>
    <w:rsid w:val="00C95220"/>
    <w:rsid w:val="00C9542E"/>
    <w:rsid w:val="00CA01D7"/>
    <w:rsid w:val="00CA136B"/>
    <w:rsid w:val="00CA5F53"/>
    <w:rsid w:val="00CA7470"/>
    <w:rsid w:val="00CB1F39"/>
    <w:rsid w:val="00CB341F"/>
    <w:rsid w:val="00CB6590"/>
    <w:rsid w:val="00CB7488"/>
    <w:rsid w:val="00CC1D2C"/>
    <w:rsid w:val="00CC2FEA"/>
    <w:rsid w:val="00CC3FE0"/>
    <w:rsid w:val="00CC480B"/>
    <w:rsid w:val="00CC6AAE"/>
    <w:rsid w:val="00CD1F0C"/>
    <w:rsid w:val="00CD655B"/>
    <w:rsid w:val="00CE0766"/>
    <w:rsid w:val="00CE211E"/>
    <w:rsid w:val="00CE3F54"/>
    <w:rsid w:val="00CE4758"/>
    <w:rsid w:val="00CE5CAE"/>
    <w:rsid w:val="00CE79F9"/>
    <w:rsid w:val="00CF2CAB"/>
    <w:rsid w:val="00CF3861"/>
    <w:rsid w:val="00CF73F5"/>
    <w:rsid w:val="00D04A6F"/>
    <w:rsid w:val="00D0660C"/>
    <w:rsid w:val="00D10820"/>
    <w:rsid w:val="00D11271"/>
    <w:rsid w:val="00D150A9"/>
    <w:rsid w:val="00D162C6"/>
    <w:rsid w:val="00D209AD"/>
    <w:rsid w:val="00D20C47"/>
    <w:rsid w:val="00D20FE4"/>
    <w:rsid w:val="00D24BCA"/>
    <w:rsid w:val="00D2521F"/>
    <w:rsid w:val="00D27D52"/>
    <w:rsid w:val="00D31421"/>
    <w:rsid w:val="00D31E4E"/>
    <w:rsid w:val="00D3533B"/>
    <w:rsid w:val="00D44D4E"/>
    <w:rsid w:val="00D46F25"/>
    <w:rsid w:val="00D474B5"/>
    <w:rsid w:val="00D50121"/>
    <w:rsid w:val="00D503AA"/>
    <w:rsid w:val="00D50832"/>
    <w:rsid w:val="00D543D5"/>
    <w:rsid w:val="00D54E8A"/>
    <w:rsid w:val="00D64275"/>
    <w:rsid w:val="00D64A68"/>
    <w:rsid w:val="00D64D7B"/>
    <w:rsid w:val="00D66E74"/>
    <w:rsid w:val="00D71264"/>
    <w:rsid w:val="00D7157D"/>
    <w:rsid w:val="00D80B5A"/>
    <w:rsid w:val="00D81161"/>
    <w:rsid w:val="00D831DA"/>
    <w:rsid w:val="00D83E31"/>
    <w:rsid w:val="00D84C9B"/>
    <w:rsid w:val="00D879A0"/>
    <w:rsid w:val="00DA040D"/>
    <w:rsid w:val="00DA097F"/>
    <w:rsid w:val="00DA0B49"/>
    <w:rsid w:val="00DA1873"/>
    <w:rsid w:val="00DA3E7C"/>
    <w:rsid w:val="00DA4BF2"/>
    <w:rsid w:val="00DA73A3"/>
    <w:rsid w:val="00DA79B5"/>
    <w:rsid w:val="00DB349F"/>
    <w:rsid w:val="00DB3948"/>
    <w:rsid w:val="00DB42DF"/>
    <w:rsid w:val="00DB49A0"/>
    <w:rsid w:val="00DC0138"/>
    <w:rsid w:val="00DC2B91"/>
    <w:rsid w:val="00DC4385"/>
    <w:rsid w:val="00DD0A49"/>
    <w:rsid w:val="00DD1BA3"/>
    <w:rsid w:val="00DE009B"/>
    <w:rsid w:val="00DE2E04"/>
    <w:rsid w:val="00DE67BD"/>
    <w:rsid w:val="00DF4F3C"/>
    <w:rsid w:val="00DF4F6F"/>
    <w:rsid w:val="00DF683E"/>
    <w:rsid w:val="00E011B0"/>
    <w:rsid w:val="00E01DDD"/>
    <w:rsid w:val="00E02842"/>
    <w:rsid w:val="00E059D0"/>
    <w:rsid w:val="00E06479"/>
    <w:rsid w:val="00E06AC0"/>
    <w:rsid w:val="00E076A3"/>
    <w:rsid w:val="00E14FC3"/>
    <w:rsid w:val="00E16104"/>
    <w:rsid w:val="00E166BB"/>
    <w:rsid w:val="00E17CA1"/>
    <w:rsid w:val="00E21FC4"/>
    <w:rsid w:val="00E2388A"/>
    <w:rsid w:val="00E25372"/>
    <w:rsid w:val="00E2592B"/>
    <w:rsid w:val="00E25C36"/>
    <w:rsid w:val="00E25E09"/>
    <w:rsid w:val="00E263C3"/>
    <w:rsid w:val="00E31B06"/>
    <w:rsid w:val="00E329EE"/>
    <w:rsid w:val="00E33731"/>
    <w:rsid w:val="00E35601"/>
    <w:rsid w:val="00E4189A"/>
    <w:rsid w:val="00E43EBB"/>
    <w:rsid w:val="00E47697"/>
    <w:rsid w:val="00E47851"/>
    <w:rsid w:val="00E52235"/>
    <w:rsid w:val="00E526A1"/>
    <w:rsid w:val="00E54F34"/>
    <w:rsid w:val="00E55E2E"/>
    <w:rsid w:val="00E56716"/>
    <w:rsid w:val="00E569AB"/>
    <w:rsid w:val="00E648C8"/>
    <w:rsid w:val="00E66EAA"/>
    <w:rsid w:val="00E706B3"/>
    <w:rsid w:val="00E73688"/>
    <w:rsid w:val="00E7422B"/>
    <w:rsid w:val="00E74517"/>
    <w:rsid w:val="00E7490E"/>
    <w:rsid w:val="00E74DCA"/>
    <w:rsid w:val="00E771C3"/>
    <w:rsid w:val="00E77C44"/>
    <w:rsid w:val="00E80C5B"/>
    <w:rsid w:val="00E850FD"/>
    <w:rsid w:val="00E90ED5"/>
    <w:rsid w:val="00E91AB5"/>
    <w:rsid w:val="00E955D9"/>
    <w:rsid w:val="00E97584"/>
    <w:rsid w:val="00EA349E"/>
    <w:rsid w:val="00EA5345"/>
    <w:rsid w:val="00EA608F"/>
    <w:rsid w:val="00EA648F"/>
    <w:rsid w:val="00EA786E"/>
    <w:rsid w:val="00EA7DDB"/>
    <w:rsid w:val="00EB01C4"/>
    <w:rsid w:val="00EB0D73"/>
    <w:rsid w:val="00EB10FA"/>
    <w:rsid w:val="00EB2D4B"/>
    <w:rsid w:val="00EB58F3"/>
    <w:rsid w:val="00EB6D44"/>
    <w:rsid w:val="00EC25C5"/>
    <w:rsid w:val="00EC5625"/>
    <w:rsid w:val="00EC673F"/>
    <w:rsid w:val="00ED0EBB"/>
    <w:rsid w:val="00ED736F"/>
    <w:rsid w:val="00EE18B7"/>
    <w:rsid w:val="00EE4455"/>
    <w:rsid w:val="00EE5196"/>
    <w:rsid w:val="00EF0B8E"/>
    <w:rsid w:val="00EF1F35"/>
    <w:rsid w:val="00EF5D39"/>
    <w:rsid w:val="00EF740D"/>
    <w:rsid w:val="00F00EF3"/>
    <w:rsid w:val="00F04055"/>
    <w:rsid w:val="00F055E4"/>
    <w:rsid w:val="00F101AC"/>
    <w:rsid w:val="00F122B4"/>
    <w:rsid w:val="00F122B9"/>
    <w:rsid w:val="00F21469"/>
    <w:rsid w:val="00F21CD9"/>
    <w:rsid w:val="00F2261B"/>
    <w:rsid w:val="00F22750"/>
    <w:rsid w:val="00F23BE3"/>
    <w:rsid w:val="00F30951"/>
    <w:rsid w:val="00F311F8"/>
    <w:rsid w:val="00F3207F"/>
    <w:rsid w:val="00F330B2"/>
    <w:rsid w:val="00F34303"/>
    <w:rsid w:val="00F3541A"/>
    <w:rsid w:val="00F37B42"/>
    <w:rsid w:val="00F44D44"/>
    <w:rsid w:val="00F46275"/>
    <w:rsid w:val="00F51599"/>
    <w:rsid w:val="00F52920"/>
    <w:rsid w:val="00F53E40"/>
    <w:rsid w:val="00F5665F"/>
    <w:rsid w:val="00F60488"/>
    <w:rsid w:val="00F631B6"/>
    <w:rsid w:val="00F63BC0"/>
    <w:rsid w:val="00F640FB"/>
    <w:rsid w:val="00F6578E"/>
    <w:rsid w:val="00F70715"/>
    <w:rsid w:val="00F707C0"/>
    <w:rsid w:val="00F719B8"/>
    <w:rsid w:val="00F71F9F"/>
    <w:rsid w:val="00F73114"/>
    <w:rsid w:val="00F76743"/>
    <w:rsid w:val="00F77A3A"/>
    <w:rsid w:val="00F85F24"/>
    <w:rsid w:val="00F877A8"/>
    <w:rsid w:val="00F92354"/>
    <w:rsid w:val="00F94B00"/>
    <w:rsid w:val="00F95404"/>
    <w:rsid w:val="00F96478"/>
    <w:rsid w:val="00F96BFF"/>
    <w:rsid w:val="00FA03AD"/>
    <w:rsid w:val="00FA15BA"/>
    <w:rsid w:val="00FA2E89"/>
    <w:rsid w:val="00FA397A"/>
    <w:rsid w:val="00FA58DD"/>
    <w:rsid w:val="00FA72B6"/>
    <w:rsid w:val="00FB0826"/>
    <w:rsid w:val="00FB2CC5"/>
    <w:rsid w:val="00FB4BFF"/>
    <w:rsid w:val="00FB585C"/>
    <w:rsid w:val="00FB61AE"/>
    <w:rsid w:val="00FB6500"/>
    <w:rsid w:val="00FB6FC0"/>
    <w:rsid w:val="00FC042A"/>
    <w:rsid w:val="00FC400B"/>
    <w:rsid w:val="00FC430C"/>
    <w:rsid w:val="00FC6521"/>
    <w:rsid w:val="00FC7332"/>
    <w:rsid w:val="00FC7DB1"/>
    <w:rsid w:val="00FD1D9C"/>
    <w:rsid w:val="00FD2169"/>
    <w:rsid w:val="00FD473F"/>
    <w:rsid w:val="00FE09FE"/>
    <w:rsid w:val="00FE0D9B"/>
    <w:rsid w:val="00FE1329"/>
    <w:rsid w:val="00FE287B"/>
    <w:rsid w:val="00FE2C1D"/>
    <w:rsid w:val="00FE5CBE"/>
    <w:rsid w:val="00FE7010"/>
    <w:rsid w:val="00FF0AE2"/>
    <w:rsid w:val="00FF42BD"/>
    <w:rsid w:val="00FF46C3"/>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9E1E8"/>
  <w15:chartTrackingRefBased/>
  <w15:docId w15:val="{637CD5C6-C57B-4860-B9B2-10074748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BCB"/>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p1">
    <w:name w:val="p1"/>
    <w:basedOn w:val="Normal"/>
    <w:rsid w:val="00EA349E"/>
    <w:rPr>
      <w:rFonts w:ascii="Helvetica" w:eastAsia="Calibri" w:hAnsi="Helvetica"/>
      <w:sz w:val="18"/>
      <w:szCs w:val="18"/>
    </w:rPr>
  </w:style>
  <w:style w:type="paragraph" w:styleId="Revision">
    <w:name w:val="Revision"/>
    <w:hidden/>
    <w:uiPriority w:val="99"/>
    <w:semiHidden/>
    <w:rsid w:val="005B67EF"/>
    <w:rPr>
      <w:sz w:val="24"/>
      <w:szCs w:val="24"/>
    </w:rPr>
  </w:style>
  <w:style w:type="character" w:customStyle="1" w:styleId="UnresolvedMention1">
    <w:name w:val="Unresolved Mention1"/>
    <w:uiPriority w:val="99"/>
    <w:semiHidden/>
    <w:unhideWhenUsed/>
    <w:rsid w:val="0024460A"/>
    <w:rPr>
      <w:color w:val="605E5C"/>
      <w:shd w:val="clear" w:color="auto" w:fill="E1DFDD"/>
    </w:rPr>
  </w:style>
  <w:style w:type="character" w:customStyle="1" w:styleId="apple-converted-space">
    <w:name w:val="apple-converted-space"/>
    <w:rsid w:val="00E569AB"/>
  </w:style>
  <w:style w:type="character" w:customStyle="1" w:styleId="highlight">
    <w:name w:val="highlight"/>
    <w:rsid w:val="00AC3BCB"/>
  </w:style>
  <w:style w:type="paragraph" w:styleId="ListParagraph">
    <w:name w:val="List Paragraph"/>
    <w:basedOn w:val="Normal"/>
    <w:uiPriority w:val="34"/>
    <w:qFormat/>
    <w:rsid w:val="00A94929"/>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7536">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88375867">
      <w:bodyDiv w:val="1"/>
      <w:marLeft w:val="0"/>
      <w:marRight w:val="0"/>
      <w:marTop w:val="0"/>
      <w:marBottom w:val="0"/>
      <w:divBdr>
        <w:top w:val="none" w:sz="0" w:space="0" w:color="auto"/>
        <w:left w:val="none" w:sz="0" w:space="0" w:color="auto"/>
        <w:bottom w:val="none" w:sz="0" w:space="0" w:color="auto"/>
        <w:right w:val="none" w:sz="0" w:space="0" w:color="auto"/>
      </w:divBdr>
    </w:div>
    <w:div w:id="282662450">
      <w:bodyDiv w:val="1"/>
      <w:marLeft w:val="0"/>
      <w:marRight w:val="0"/>
      <w:marTop w:val="0"/>
      <w:marBottom w:val="0"/>
      <w:divBdr>
        <w:top w:val="none" w:sz="0" w:space="0" w:color="auto"/>
        <w:left w:val="none" w:sz="0" w:space="0" w:color="auto"/>
        <w:bottom w:val="none" w:sz="0" w:space="0" w:color="auto"/>
        <w:right w:val="none" w:sz="0" w:space="0" w:color="auto"/>
      </w:divBdr>
    </w:div>
    <w:div w:id="28727649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22666241">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37176888">
      <w:bodyDiv w:val="1"/>
      <w:marLeft w:val="0"/>
      <w:marRight w:val="0"/>
      <w:marTop w:val="0"/>
      <w:marBottom w:val="0"/>
      <w:divBdr>
        <w:top w:val="none" w:sz="0" w:space="0" w:color="auto"/>
        <w:left w:val="none" w:sz="0" w:space="0" w:color="auto"/>
        <w:bottom w:val="none" w:sz="0" w:space="0" w:color="auto"/>
        <w:right w:val="none" w:sz="0" w:space="0" w:color="auto"/>
      </w:divBdr>
      <w:divsChild>
        <w:div w:id="1502116694">
          <w:marLeft w:val="0"/>
          <w:marRight w:val="0"/>
          <w:marTop w:val="0"/>
          <w:marBottom w:val="0"/>
          <w:divBdr>
            <w:top w:val="none" w:sz="0" w:space="0" w:color="auto"/>
            <w:left w:val="none" w:sz="0" w:space="0" w:color="auto"/>
            <w:bottom w:val="none" w:sz="0" w:space="0" w:color="auto"/>
            <w:right w:val="none" w:sz="0" w:space="0" w:color="auto"/>
          </w:divBdr>
        </w:div>
      </w:divsChild>
    </w:div>
    <w:div w:id="1001083647">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151822514">
      <w:bodyDiv w:val="1"/>
      <w:marLeft w:val="0"/>
      <w:marRight w:val="0"/>
      <w:marTop w:val="0"/>
      <w:marBottom w:val="0"/>
      <w:divBdr>
        <w:top w:val="none" w:sz="0" w:space="0" w:color="auto"/>
        <w:left w:val="none" w:sz="0" w:space="0" w:color="auto"/>
        <w:bottom w:val="none" w:sz="0" w:space="0" w:color="auto"/>
        <w:right w:val="none" w:sz="0" w:space="0" w:color="auto"/>
      </w:divBdr>
    </w:div>
    <w:div w:id="1199707787">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44336017">
      <w:bodyDiv w:val="1"/>
      <w:marLeft w:val="0"/>
      <w:marRight w:val="0"/>
      <w:marTop w:val="0"/>
      <w:marBottom w:val="0"/>
      <w:divBdr>
        <w:top w:val="none" w:sz="0" w:space="0" w:color="auto"/>
        <w:left w:val="none" w:sz="0" w:space="0" w:color="auto"/>
        <w:bottom w:val="none" w:sz="0" w:space="0" w:color="auto"/>
        <w:right w:val="none" w:sz="0" w:space="0" w:color="auto"/>
      </w:divBdr>
    </w:div>
    <w:div w:id="1249344773">
      <w:bodyDiv w:val="1"/>
      <w:marLeft w:val="0"/>
      <w:marRight w:val="0"/>
      <w:marTop w:val="0"/>
      <w:marBottom w:val="0"/>
      <w:divBdr>
        <w:top w:val="none" w:sz="0" w:space="0" w:color="auto"/>
        <w:left w:val="none" w:sz="0" w:space="0" w:color="auto"/>
        <w:bottom w:val="none" w:sz="0" w:space="0" w:color="auto"/>
        <w:right w:val="none" w:sz="0" w:space="0" w:color="auto"/>
      </w:divBdr>
    </w:div>
    <w:div w:id="1346975837">
      <w:bodyDiv w:val="1"/>
      <w:marLeft w:val="0"/>
      <w:marRight w:val="0"/>
      <w:marTop w:val="0"/>
      <w:marBottom w:val="0"/>
      <w:divBdr>
        <w:top w:val="none" w:sz="0" w:space="0" w:color="auto"/>
        <w:left w:val="none" w:sz="0" w:space="0" w:color="auto"/>
        <w:bottom w:val="none" w:sz="0" w:space="0" w:color="auto"/>
        <w:right w:val="none" w:sz="0" w:space="0" w:color="auto"/>
      </w:divBdr>
    </w:div>
    <w:div w:id="143755583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14804141">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48251422">
      <w:bodyDiv w:val="1"/>
      <w:marLeft w:val="0"/>
      <w:marRight w:val="0"/>
      <w:marTop w:val="0"/>
      <w:marBottom w:val="0"/>
      <w:divBdr>
        <w:top w:val="none" w:sz="0" w:space="0" w:color="auto"/>
        <w:left w:val="none" w:sz="0" w:space="0" w:color="auto"/>
        <w:bottom w:val="none" w:sz="0" w:space="0" w:color="auto"/>
        <w:right w:val="none" w:sz="0" w:space="0" w:color="auto"/>
      </w:divBdr>
    </w:div>
    <w:div w:id="2038969664">
      <w:bodyDiv w:val="1"/>
      <w:marLeft w:val="0"/>
      <w:marRight w:val="0"/>
      <w:marTop w:val="0"/>
      <w:marBottom w:val="0"/>
      <w:divBdr>
        <w:top w:val="none" w:sz="0" w:space="0" w:color="auto"/>
        <w:left w:val="none" w:sz="0" w:space="0" w:color="auto"/>
        <w:bottom w:val="none" w:sz="0" w:space="0" w:color="auto"/>
        <w:right w:val="none" w:sz="0" w:space="0" w:color="auto"/>
      </w:divBdr>
    </w:div>
    <w:div w:id="204695260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0574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9Tables/html/DCB_h.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C39A-ABA9-4841-9190-7D83AC95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6090</Words>
  <Characters>35387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41395</CharactersWithSpaces>
  <SharedDoc>false</SharedDoc>
  <HLinks>
    <vt:vector size="12" baseType="variant">
      <vt:variant>
        <vt:i4>196653</vt:i4>
      </vt:variant>
      <vt:variant>
        <vt:i4>6</vt:i4>
      </vt:variant>
      <vt:variant>
        <vt:i4>0</vt:i4>
      </vt:variant>
      <vt:variant>
        <vt:i4>5</vt:i4>
      </vt:variant>
      <vt:variant>
        <vt:lpwstr>https://www.opm.gov/policy-data-oversight/pay-leave/salaries-wages/salary-tables/19Tables/html/DCB_h.aspx</vt:lpwstr>
      </vt:variant>
      <vt:variant>
        <vt:lpwstr/>
      </vt:variant>
      <vt:variant>
        <vt:i4>4325387</vt:i4>
      </vt:variant>
      <vt:variant>
        <vt:i4>3</vt:i4>
      </vt:variant>
      <vt:variant>
        <vt:i4>0</vt:i4>
      </vt:variant>
      <vt:variant>
        <vt:i4>5</vt:i4>
      </vt:variant>
      <vt:variant>
        <vt:lpwstr/>
      </vt:variant>
      <vt:variant>
        <vt:lpwstr>_ENREF_3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7</cp:revision>
  <cp:lastPrinted>2011-07-06T18:06:00Z</cp:lastPrinted>
  <dcterms:created xsi:type="dcterms:W3CDTF">2020-12-21T22:32:00Z</dcterms:created>
  <dcterms:modified xsi:type="dcterms:W3CDTF">2021-06-01T19:47:00Z</dcterms:modified>
</cp:coreProperties>
</file>