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DEA" w:rsidRDefault="004D5EB4">
      <w:pPr>
        <w:spacing w:after="1" w:line="258" w:lineRule="auto"/>
        <w:ind w:left="-5" w:right="761"/>
      </w:pPr>
      <w:r>
        <w:rPr>
          <w:rFonts w:ascii="Cambria" w:hAnsi="Cambria" w:eastAsia="Cambria" w:cs="Cambria"/>
        </w:rPr>
        <w:t xml:space="preserve">Supporting Statement for Paperwork Reduction Act Submission </w:t>
      </w:r>
      <w:r>
        <w:t xml:space="preserve"> </w:t>
      </w:r>
    </w:p>
    <w:p w:rsidR="006530F7" w:rsidRDefault="004D5EB4">
      <w:pPr>
        <w:spacing w:after="1" w:line="258" w:lineRule="auto"/>
        <w:ind w:left="-5" w:right="761"/>
      </w:pPr>
      <w:r>
        <w:rPr>
          <w:rFonts w:ascii="Cambria" w:hAnsi="Cambria" w:eastAsia="Cambria" w:cs="Cambria"/>
        </w:rPr>
        <w:t xml:space="preserve">Appointment of Representative and Supporting Regulations in 42 CFR 405.910 </w:t>
      </w:r>
      <w:r>
        <w:t xml:space="preserve"> </w:t>
      </w:r>
    </w:p>
    <w:p w:rsidR="004E4DEA" w:rsidRDefault="004D5EB4">
      <w:pPr>
        <w:spacing w:after="1" w:line="258" w:lineRule="auto"/>
        <w:ind w:left="-5" w:right="761"/>
      </w:pPr>
      <w:r>
        <w:rPr>
          <w:rFonts w:ascii="Cambria" w:hAnsi="Cambria" w:eastAsia="Cambria" w:cs="Cambria"/>
        </w:rPr>
        <w:t xml:space="preserve">(CMS-1696, OMB 0938-0950) </w:t>
      </w:r>
      <w:r>
        <w:t xml:space="preserve"> </w:t>
      </w:r>
    </w:p>
    <w:p w:rsidR="004E4DEA" w:rsidRDefault="004D5EB4">
      <w:pPr>
        <w:spacing w:after="299" w:line="259" w:lineRule="auto"/>
        <w:ind w:left="14" w:right="0" w:firstLine="0"/>
      </w:pPr>
      <w:r>
        <w:rPr>
          <w:b/>
        </w:rPr>
        <w:t xml:space="preserve"> </w:t>
      </w:r>
      <w:r>
        <w:t xml:space="preserve"> </w:t>
      </w:r>
    </w:p>
    <w:p w:rsidR="004E4DEA" w:rsidRDefault="004D5EB4">
      <w:pPr>
        <w:spacing w:after="0" w:line="259" w:lineRule="auto"/>
        <w:ind w:left="14" w:right="0" w:firstLine="0"/>
      </w:pPr>
      <w:r>
        <w:rPr>
          <w:rFonts w:ascii="Cambria" w:hAnsi="Cambria" w:eastAsia="Cambria" w:cs="Cambria"/>
          <w:sz w:val="28"/>
        </w:rPr>
        <w:t xml:space="preserve">Background </w:t>
      </w:r>
      <w:r>
        <w:t xml:space="preserve"> </w:t>
      </w:r>
    </w:p>
    <w:p w:rsidR="004E4DEA" w:rsidRDefault="004D5EB4">
      <w:pPr>
        <w:spacing w:after="0" w:line="259" w:lineRule="auto"/>
        <w:ind w:left="374" w:right="0" w:firstLine="0"/>
      </w:pPr>
      <w:r>
        <w:rPr>
          <w:rFonts w:ascii="Calibri" w:hAnsi="Calibri" w:eastAsia="Calibri" w:cs="Calibri"/>
        </w:rPr>
        <w:t xml:space="preserve"> </w:t>
      </w:r>
      <w:r>
        <w:t xml:space="preserve"> </w:t>
      </w:r>
    </w:p>
    <w:p w:rsidR="004E4DEA" w:rsidRDefault="004D5EB4">
      <w:pPr>
        <w:ind w:left="715"/>
      </w:pPr>
      <w:r>
        <w:t xml:space="preserve">This iteration requests a revision of an information collection package associated with regulations that permit individuals or entities to appoint representatives to exercise their rights to appeal an initial determination.  We are proposing several minor changes that have no impact on our burden estimates. However, we are adjusting our total burden estimate based on more recent annual response data. Our currently approved per response estimates are unchanged.  </w:t>
      </w:r>
    </w:p>
    <w:p w:rsidR="004E4DEA" w:rsidRDefault="004D5EB4">
      <w:pPr>
        <w:spacing w:after="185" w:line="259" w:lineRule="auto"/>
        <w:ind w:left="14" w:right="0" w:firstLine="0"/>
      </w:pPr>
      <w:r>
        <w:rPr>
          <w:rFonts w:ascii="Calibri" w:hAnsi="Calibri" w:eastAsia="Calibri" w:cs="Calibri"/>
          <w:sz w:val="20"/>
        </w:rPr>
        <w:t xml:space="preserve"> </w:t>
      </w:r>
      <w:r>
        <w:t xml:space="preserve"> </w:t>
      </w:r>
    </w:p>
    <w:p w:rsidR="004E4DEA" w:rsidRDefault="004D5EB4">
      <w:pPr>
        <w:pStyle w:val="Heading1"/>
        <w:ind w:left="-5"/>
      </w:pPr>
      <w:r>
        <w:rPr>
          <w:rFonts w:ascii="Calibri" w:hAnsi="Calibri" w:eastAsia="Calibri" w:cs="Calibri"/>
        </w:rPr>
        <w:t>A.</w:t>
      </w:r>
      <w:r>
        <w:rPr>
          <w:rFonts w:ascii="Arial" w:hAnsi="Arial" w:eastAsia="Arial" w:cs="Arial"/>
        </w:rPr>
        <w:t xml:space="preserve"> </w:t>
      </w:r>
      <w:r>
        <w:rPr>
          <w:b w:val="0"/>
        </w:rPr>
        <w:t xml:space="preserve"> </w:t>
      </w:r>
      <w:r>
        <w:t xml:space="preserve">Justification </w:t>
      </w:r>
      <w:r>
        <w:rPr>
          <w:rFonts w:ascii="Calibri" w:hAnsi="Calibri" w:eastAsia="Calibri" w:cs="Calibri"/>
          <w:b w:val="0"/>
          <w:sz w:val="20"/>
        </w:rPr>
        <w:t xml:space="preserve"> </w:t>
      </w:r>
      <w:r>
        <w:rPr>
          <w:rFonts w:ascii="Arial" w:hAnsi="Arial" w:eastAsia="Arial" w:cs="Arial"/>
          <w:b w:val="0"/>
          <w:sz w:val="49"/>
        </w:rPr>
        <w:t xml:space="preserve"> </w:t>
      </w:r>
    </w:p>
    <w:p w:rsidR="004E4DEA" w:rsidRDefault="004D5EB4">
      <w:pPr>
        <w:spacing w:after="0" w:line="259" w:lineRule="auto"/>
        <w:ind w:left="14" w:right="0" w:firstLine="0"/>
      </w:pPr>
      <w:r>
        <w:rPr>
          <w:rFonts w:ascii="Calibri" w:hAnsi="Calibri" w:eastAsia="Calibri" w:cs="Calibri"/>
          <w:sz w:val="28"/>
        </w:rPr>
        <w:t xml:space="preserve"> </w:t>
      </w:r>
      <w:r>
        <w:t xml:space="preserve"> </w:t>
      </w:r>
    </w:p>
    <w:p w:rsidR="004E4DEA" w:rsidRDefault="004D5EB4">
      <w:pPr>
        <w:pStyle w:val="Heading2"/>
        <w:ind w:left="355"/>
      </w:pPr>
      <w:r>
        <w:rPr>
          <w:u w:val="none"/>
        </w:rPr>
        <w:t xml:space="preserve">1. </w:t>
      </w:r>
      <w:r>
        <w:t>Need and Legal Basis</w:t>
      </w:r>
      <w:r>
        <w:rPr>
          <w:u w:val="none"/>
        </w:rPr>
        <w:t xml:space="preserve">  </w:t>
      </w:r>
    </w:p>
    <w:p w:rsidR="004E4DEA" w:rsidRDefault="004D5EB4">
      <w:pPr>
        <w:spacing w:after="0" w:line="259" w:lineRule="auto"/>
        <w:ind w:left="374" w:right="0" w:firstLine="0"/>
      </w:pPr>
      <w:r>
        <w:t xml:space="preserve">  </w:t>
      </w:r>
    </w:p>
    <w:p w:rsidR="004E4DEA" w:rsidRDefault="004D5EB4">
      <w:pPr>
        <w:ind w:left="384" w:right="1276"/>
      </w:pPr>
      <w:r>
        <w:t xml:space="preserve">The authority for collecting this information is under 42 CFR 405.910(a) of the Medicare claims appeal procedures.  </w:t>
      </w:r>
    </w:p>
    <w:p w:rsidR="004E4DEA" w:rsidRDefault="004D5EB4">
      <w:pPr>
        <w:spacing w:after="0" w:line="259" w:lineRule="auto"/>
        <w:ind w:left="14" w:right="0" w:firstLine="0"/>
      </w:pPr>
      <w:r>
        <w:rPr>
          <w:rFonts w:ascii="Calibri" w:hAnsi="Calibri" w:eastAsia="Calibri" w:cs="Calibri"/>
          <w:sz w:val="26"/>
        </w:rPr>
        <w:t xml:space="preserve"> </w:t>
      </w:r>
      <w:r>
        <w:t xml:space="preserve"> </w:t>
      </w:r>
    </w:p>
    <w:p w:rsidR="004E4DEA" w:rsidRDefault="004D5EB4">
      <w:pPr>
        <w:spacing w:after="26"/>
        <w:ind w:left="1157" w:right="1276"/>
      </w:pPr>
      <w:r>
        <w:t xml:space="preserve">An appointment of representative must:  </w:t>
      </w:r>
    </w:p>
    <w:p w:rsidR="004E4DEA" w:rsidRDefault="004D5EB4">
      <w:pPr>
        <w:numPr>
          <w:ilvl w:val="0"/>
          <w:numId w:val="1"/>
        </w:numPr>
        <w:spacing w:after="38"/>
        <w:ind w:right="1867" w:hanging="360"/>
      </w:pPr>
      <w:r>
        <w:t xml:space="preserve">be in writing;  </w:t>
      </w:r>
    </w:p>
    <w:p w:rsidR="004E4DEA" w:rsidRDefault="004D5EB4">
      <w:pPr>
        <w:numPr>
          <w:ilvl w:val="0"/>
          <w:numId w:val="1"/>
        </w:numPr>
        <w:spacing w:after="28"/>
        <w:ind w:right="1867" w:hanging="360"/>
      </w:pPr>
      <w:r>
        <w:t xml:space="preserve">be signed and dated by both the party and individual agreeing to be the representative;  </w:t>
      </w:r>
    </w:p>
    <w:p w:rsidR="004E4DEA" w:rsidRDefault="004D5EB4">
      <w:pPr>
        <w:numPr>
          <w:ilvl w:val="0"/>
          <w:numId w:val="1"/>
        </w:numPr>
        <w:spacing w:after="30"/>
        <w:ind w:right="1867" w:hanging="360"/>
      </w:pPr>
      <w:r>
        <w:t xml:space="preserve">provide a statement appointing the representative to act on behalf of the party, and in the case of a beneficiary, authorize the adjudicator to release personally identifiable health information;  </w:t>
      </w:r>
    </w:p>
    <w:p w:rsidR="004E4DEA" w:rsidRDefault="004D5EB4">
      <w:pPr>
        <w:numPr>
          <w:ilvl w:val="0"/>
          <w:numId w:val="1"/>
        </w:numPr>
        <w:spacing w:after="30"/>
        <w:ind w:right="1867" w:hanging="360"/>
      </w:pPr>
      <w:r>
        <w:t xml:space="preserve">include a written explanation of the purpose and scope of the representation;  </w:t>
      </w:r>
    </w:p>
    <w:p w:rsidR="004E4DEA" w:rsidRDefault="004D5EB4">
      <w:pPr>
        <w:numPr>
          <w:ilvl w:val="0"/>
          <w:numId w:val="1"/>
        </w:numPr>
        <w:spacing w:after="30"/>
        <w:ind w:right="1867" w:hanging="360"/>
      </w:pPr>
      <w:r>
        <w:t xml:space="preserve">contain the party’s and appointed representative's name, phone number, and address;  </w:t>
      </w:r>
    </w:p>
    <w:p w:rsidR="004E4DEA" w:rsidRDefault="004D5EB4">
      <w:pPr>
        <w:numPr>
          <w:ilvl w:val="0"/>
          <w:numId w:val="1"/>
        </w:numPr>
        <w:spacing w:after="31"/>
        <w:ind w:right="1867" w:hanging="360"/>
      </w:pPr>
      <w:r>
        <w:t xml:space="preserve">provide the beneficiary's Medicare number (either the health insurance claim number, or the Medicare beneficiary identifier), if applicable. When the represented party is not a beneficiary, a unique identifier (such as the National Provider Identifier or plan number) is requested;  </w:t>
      </w:r>
    </w:p>
    <w:p w:rsidR="004E4DEA" w:rsidRDefault="004D5EB4">
      <w:pPr>
        <w:numPr>
          <w:ilvl w:val="0"/>
          <w:numId w:val="1"/>
        </w:numPr>
        <w:spacing w:after="30"/>
        <w:ind w:right="1867" w:hanging="360"/>
      </w:pPr>
      <w:r>
        <w:t xml:space="preserve">include the appointed representative's professional status or relationship to the party; and  </w:t>
      </w:r>
    </w:p>
    <w:p w:rsidR="004E4DEA" w:rsidRDefault="004D5EB4">
      <w:pPr>
        <w:numPr>
          <w:ilvl w:val="0"/>
          <w:numId w:val="1"/>
        </w:numPr>
        <w:ind w:right="1867" w:hanging="360"/>
      </w:pPr>
      <w:r>
        <w:t xml:space="preserve">be filed with the entity processing the party's initial determination or appeal.  </w:t>
      </w:r>
    </w:p>
    <w:p w:rsidR="004E4DEA" w:rsidRDefault="004D5EB4">
      <w:pPr>
        <w:spacing w:after="0" w:line="259" w:lineRule="auto"/>
        <w:ind w:left="14" w:right="0" w:firstLine="0"/>
      </w:pPr>
      <w:r>
        <w:rPr>
          <w:rFonts w:ascii="Calibri" w:hAnsi="Calibri" w:eastAsia="Calibri" w:cs="Calibri"/>
          <w:sz w:val="26"/>
        </w:rPr>
        <w:t xml:space="preserve"> </w:t>
      </w:r>
      <w:r>
        <w:t xml:space="preserve"> </w:t>
      </w:r>
    </w:p>
    <w:p w:rsidR="004E4DEA" w:rsidRDefault="004D5EB4">
      <w:pPr>
        <w:pStyle w:val="Heading2"/>
        <w:ind w:left="355"/>
      </w:pPr>
      <w:r>
        <w:rPr>
          <w:u w:val="none"/>
        </w:rPr>
        <w:lastRenderedPageBreak/>
        <w:t xml:space="preserve">2. </w:t>
      </w:r>
      <w:r>
        <w:t>Information Users</w:t>
      </w:r>
      <w:r>
        <w:rPr>
          <w:u w:val="none"/>
        </w:rPr>
        <w:t xml:space="preserve">  </w:t>
      </w:r>
    </w:p>
    <w:p w:rsidR="004E4DEA" w:rsidRDefault="004D5EB4">
      <w:pPr>
        <w:spacing w:after="0" w:line="259" w:lineRule="auto"/>
        <w:ind w:left="14" w:right="0" w:firstLine="0"/>
      </w:pPr>
      <w:r>
        <w:rPr>
          <w:rFonts w:ascii="Calibri" w:hAnsi="Calibri" w:eastAsia="Calibri" w:cs="Calibri"/>
        </w:rPr>
        <w:t xml:space="preserve"> </w:t>
      </w:r>
      <w:r>
        <w:t xml:space="preserve"> </w:t>
      </w:r>
    </w:p>
    <w:p w:rsidR="004E4DEA" w:rsidRDefault="004D5EB4">
      <w:pPr>
        <w:ind w:left="715" w:right="1466"/>
      </w:pPr>
      <w:r>
        <w:t>This form would be completed by beneficiaries, providers and suppliers (</w:t>
      </w:r>
      <w:r w:rsidR="00426604">
        <w:t>typically their</w:t>
      </w:r>
      <w:r>
        <w:t xml:space="preserve"> billing clerk, or billing company), and any party who wish to appoint a representative to assist them with their initial Medicare claims determinations, and filing appeals on Medicare claims.  </w:t>
      </w:r>
    </w:p>
    <w:p w:rsidR="004E4DEA" w:rsidRDefault="004D5EB4">
      <w:pPr>
        <w:spacing w:after="0" w:line="259" w:lineRule="auto"/>
        <w:ind w:left="734" w:right="0" w:firstLine="0"/>
      </w:pPr>
      <w:r>
        <w:t xml:space="preserve">  </w:t>
      </w:r>
    </w:p>
    <w:p w:rsidR="004E4DEA" w:rsidRDefault="004D5EB4">
      <w:pPr>
        <w:ind w:left="715" w:right="1518"/>
      </w:pPr>
      <w:r>
        <w:t xml:space="preserve">The information supplied on the form is reviewed by Medicare claims and appeals adjudicators. The adjudicators make determinations whether the form was completed accurately, and if the form is correct and accepted, the form is appended to the claim or appeal that it pertains to.    </w:t>
      </w:r>
    </w:p>
    <w:p w:rsidR="004E4DEA" w:rsidRDefault="004D5EB4">
      <w:pPr>
        <w:spacing w:after="0" w:line="259" w:lineRule="auto"/>
        <w:ind w:left="14" w:right="0" w:firstLine="0"/>
      </w:pPr>
      <w:r>
        <w:rPr>
          <w:rFonts w:ascii="Calibri" w:hAnsi="Calibri" w:eastAsia="Calibri" w:cs="Calibri"/>
          <w:sz w:val="26"/>
        </w:rPr>
        <w:t xml:space="preserve"> </w:t>
      </w:r>
      <w:r>
        <w:t xml:space="preserve"> </w:t>
      </w:r>
    </w:p>
    <w:p w:rsidR="004E4DEA" w:rsidRDefault="004D5EB4">
      <w:pPr>
        <w:pStyle w:val="Heading2"/>
        <w:ind w:left="355"/>
      </w:pPr>
      <w:r>
        <w:rPr>
          <w:u w:val="none"/>
        </w:rPr>
        <w:t xml:space="preserve">3. </w:t>
      </w:r>
      <w:r>
        <w:t>Use of Information Technology</w:t>
      </w:r>
      <w:r>
        <w:rPr>
          <w:u w:val="none"/>
        </w:rPr>
        <w:t xml:space="preserve">  </w:t>
      </w:r>
    </w:p>
    <w:p w:rsidR="004E4DEA" w:rsidRDefault="004D5EB4">
      <w:pPr>
        <w:spacing w:after="0" w:line="259" w:lineRule="auto"/>
        <w:ind w:left="14" w:right="0" w:firstLine="0"/>
      </w:pPr>
      <w:r>
        <w:rPr>
          <w:rFonts w:ascii="Calibri" w:hAnsi="Calibri" w:eastAsia="Calibri" w:cs="Calibri"/>
        </w:rPr>
        <w:t xml:space="preserve"> </w:t>
      </w:r>
      <w:r>
        <w:t xml:space="preserve"> </w:t>
      </w:r>
    </w:p>
    <w:p w:rsidR="004E4DEA" w:rsidRDefault="004D5EB4">
      <w:pPr>
        <w:ind w:left="715" w:right="1276"/>
      </w:pPr>
      <w:r>
        <w:t xml:space="preserve"> This instrument can be completed manually (print the form and complete it using pen and ink), or electronically (type the information into the form and digitally sign). After completion, this instrument may be submitted (along with other corresponding appeal or claim request) in hard copy through the postal mail, or electronically through a contractor or appeal adjudicator portal. Due to containing Personally Identifiable Information and Protected Health Information (PHI), any electronic submission must be through a secure connection. </w:t>
      </w:r>
      <w:r>
        <w:rPr>
          <w:rFonts w:ascii="Calibri" w:hAnsi="Calibri" w:eastAsia="Calibri" w:cs="Calibri"/>
          <w:sz w:val="26"/>
        </w:rPr>
        <w:t xml:space="preserve"> </w:t>
      </w:r>
      <w:r>
        <w:t xml:space="preserve"> </w:t>
      </w:r>
    </w:p>
    <w:p w:rsidR="004E4DEA" w:rsidRDefault="004D5EB4">
      <w:pPr>
        <w:spacing w:after="0" w:line="259" w:lineRule="auto"/>
        <w:ind w:left="14" w:right="0" w:firstLine="0"/>
      </w:pPr>
      <w:r>
        <w:rPr>
          <w:rFonts w:ascii="Calibri" w:hAnsi="Calibri" w:eastAsia="Calibri" w:cs="Calibri"/>
          <w:sz w:val="26"/>
        </w:rPr>
        <w:t xml:space="preserve"> </w:t>
      </w:r>
      <w:r>
        <w:t xml:space="preserve"> </w:t>
      </w:r>
    </w:p>
    <w:p w:rsidR="004E4DEA" w:rsidRDefault="004D5EB4">
      <w:pPr>
        <w:spacing w:after="3" w:line="259" w:lineRule="auto"/>
        <w:ind w:left="355" w:right="0"/>
      </w:pPr>
      <w:r>
        <w:t xml:space="preserve">4. </w:t>
      </w:r>
      <w:r>
        <w:rPr>
          <w:u w:val="single" w:color="000000"/>
        </w:rPr>
        <w:t>Duplication of Efforts</w:t>
      </w:r>
      <w:r>
        <w:t xml:space="preserve">  </w:t>
      </w:r>
    </w:p>
    <w:p w:rsidR="004E4DEA" w:rsidRDefault="004D5EB4">
      <w:pPr>
        <w:spacing w:after="0" w:line="259" w:lineRule="auto"/>
        <w:ind w:left="14" w:right="0" w:firstLine="0"/>
      </w:pPr>
      <w:r>
        <w:rPr>
          <w:rFonts w:ascii="Calibri" w:hAnsi="Calibri" w:eastAsia="Calibri" w:cs="Calibri"/>
        </w:rPr>
        <w:t xml:space="preserve"> </w:t>
      </w:r>
      <w:r>
        <w:t xml:space="preserve"> </w:t>
      </w:r>
    </w:p>
    <w:p w:rsidR="004E4DEA" w:rsidRDefault="004D5EB4">
      <w:pPr>
        <w:ind w:left="715" w:right="1276"/>
      </w:pPr>
      <w:r>
        <w:t xml:space="preserve">The CMS-1696 does not duplicate any existing information collection.  </w:t>
      </w:r>
    </w:p>
    <w:p w:rsidR="004E4DEA" w:rsidRDefault="004D5EB4">
      <w:pPr>
        <w:spacing w:after="0" w:line="259" w:lineRule="auto"/>
        <w:ind w:left="14" w:right="0" w:firstLine="0"/>
      </w:pPr>
      <w:r>
        <w:rPr>
          <w:rFonts w:ascii="Calibri" w:hAnsi="Calibri" w:eastAsia="Calibri" w:cs="Calibri"/>
          <w:sz w:val="26"/>
        </w:rPr>
        <w:t xml:space="preserve"> </w:t>
      </w:r>
      <w:r>
        <w:t xml:space="preserve"> </w:t>
      </w:r>
    </w:p>
    <w:p w:rsidR="004E4DEA" w:rsidRDefault="004D5EB4">
      <w:pPr>
        <w:pStyle w:val="Heading2"/>
        <w:ind w:left="355"/>
      </w:pPr>
      <w:r>
        <w:rPr>
          <w:u w:val="none"/>
        </w:rPr>
        <w:t xml:space="preserve">5. </w:t>
      </w:r>
      <w:r>
        <w:t>Small Businesses</w:t>
      </w:r>
      <w:r>
        <w:rPr>
          <w:u w:val="none"/>
        </w:rPr>
        <w:t xml:space="preserve">  </w:t>
      </w:r>
    </w:p>
    <w:p w:rsidR="004E4DEA" w:rsidRDefault="004D5EB4">
      <w:pPr>
        <w:spacing w:after="0" w:line="259" w:lineRule="auto"/>
        <w:ind w:left="14" w:right="0" w:firstLine="0"/>
      </w:pPr>
      <w:r>
        <w:rPr>
          <w:rFonts w:ascii="Calibri" w:hAnsi="Calibri" w:eastAsia="Calibri" w:cs="Calibri"/>
        </w:rPr>
        <w:t xml:space="preserve"> </w:t>
      </w:r>
      <w:r>
        <w:t xml:space="preserve"> </w:t>
      </w:r>
    </w:p>
    <w:p w:rsidR="004E4DEA" w:rsidRDefault="004D5EB4">
      <w:pPr>
        <w:ind w:left="715" w:right="1806"/>
      </w:pPr>
      <w:r>
        <w:t xml:space="preserve">This collection does not have a significant economic impact on a substantial number of small entities.  </w:t>
      </w:r>
    </w:p>
    <w:p w:rsidR="004E4DEA" w:rsidRDefault="004D5EB4">
      <w:pPr>
        <w:spacing w:after="0" w:line="259" w:lineRule="auto"/>
        <w:ind w:left="14" w:right="0" w:firstLine="0"/>
      </w:pPr>
      <w:r>
        <w:rPr>
          <w:rFonts w:ascii="Calibri" w:hAnsi="Calibri" w:eastAsia="Calibri" w:cs="Calibri"/>
          <w:sz w:val="26"/>
        </w:rPr>
        <w:t xml:space="preserve"> </w:t>
      </w:r>
      <w:r>
        <w:t xml:space="preserve"> </w:t>
      </w:r>
    </w:p>
    <w:p w:rsidR="004E4DEA" w:rsidRDefault="004D5EB4">
      <w:pPr>
        <w:pStyle w:val="Heading2"/>
        <w:ind w:left="355"/>
      </w:pPr>
      <w:r>
        <w:rPr>
          <w:u w:val="none"/>
        </w:rPr>
        <w:t xml:space="preserve">6. </w:t>
      </w:r>
      <w:r>
        <w:t>Less Frequent Collection</w:t>
      </w:r>
      <w:r>
        <w:rPr>
          <w:u w:val="none"/>
        </w:rPr>
        <w:t xml:space="preserve">  </w:t>
      </w:r>
    </w:p>
    <w:p w:rsidR="004E4DEA" w:rsidRDefault="004D5EB4">
      <w:pPr>
        <w:spacing w:after="0" w:line="259" w:lineRule="auto"/>
        <w:ind w:left="14" w:right="0" w:firstLine="0"/>
      </w:pPr>
      <w:r>
        <w:rPr>
          <w:rFonts w:ascii="Calibri" w:hAnsi="Calibri" w:eastAsia="Calibri" w:cs="Calibri"/>
        </w:rPr>
        <w:t xml:space="preserve"> </w:t>
      </w:r>
      <w:r>
        <w:t xml:space="preserve"> </w:t>
      </w:r>
    </w:p>
    <w:p w:rsidR="004E4DEA" w:rsidRDefault="004D5EB4">
      <w:pPr>
        <w:ind w:left="715" w:right="1276"/>
      </w:pPr>
      <w:r>
        <w:t xml:space="preserve">This form is submitted on an as needed </w:t>
      </w:r>
      <w:r w:rsidR="00426604">
        <w:t>basis;</w:t>
      </w:r>
      <w:r>
        <w:t xml:space="preserve"> </w:t>
      </w:r>
      <w:r w:rsidR="00426604">
        <w:t>therefore,</w:t>
      </w:r>
      <w:r>
        <w:t xml:space="preserve"> we cannot conduct this collection less frequently.  If this this data is not collected, under current regulations, individuals or entities would not be able to appoint representatives to assist them in exercising their right to file a claim or an appeal of a claim determination.  </w:t>
      </w:r>
    </w:p>
    <w:p w:rsidR="004E4DEA" w:rsidRDefault="004D5EB4">
      <w:pPr>
        <w:spacing w:after="0" w:line="259" w:lineRule="auto"/>
        <w:ind w:left="14" w:right="0" w:firstLine="0"/>
      </w:pPr>
      <w:r>
        <w:rPr>
          <w:rFonts w:ascii="Calibri" w:hAnsi="Calibri" w:eastAsia="Calibri" w:cs="Calibri"/>
          <w:sz w:val="26"/>
        </w:rPr>
        <w:t xml:space="preserve"> </w:t>
      </w:r>
      <w:r>
        <w:t xml:space="preserve"> </w:t>
      </w:r>
    </w:p>
    <w:p w:rsidR="004E4DEA" w:rsidRDefault="004D5EB4">
      <w:pPr>
        <w:spacing w:after="3" w:line="259" w:lineRule="auto"/>
        <w:ind w:left="355" w:right="0"/>
      </w:pPr>
      <w:r>
        <w:t>7.</w:t>
      </w:r>
      <w:r>
        <w:rPr>
          <w:rFonts w:ascii="Arial" w:hAnsi="Arial" w:eastAsia="Arial" w:cs="Arial"/>
        </w:rPr>
        <w:t xml:space="preserve"> </w:t>
      </w:r>
      <w:r>
        <w:rPr>
          <w:u w:val="single" w:color="000000"/>
        </w:rPr>
        <w:t>Special Circumstances</w:t>
      </w:r>
      <w:r>
        <w:t xml:space="preserve">  </w:t>
      </w:r>
    </w:p>
    <w:p w:rsidR="004E4DEA" w:rsidRDefault="004D5EB4">
      <w:pPr>
        <w:spacing w:after="0" w:line="259" w:lineRule="auto"/>
        <w:ind w:left="14" w:right="0" w:firstLine="0"/>
      </w:pPr>
      <w:r>
        <w:rPr>
          <w:rFonts w:ascii="Calibri" w:hAnsi="Calibri" w:eastAsia="Calibri" w:cs="Calibri"/>
        </w:rPr>
        <w:t xml:space="preserve"> </w:t>
      </w:r>
      <w:r>
        <w:t xml:space="preserve"> </w:t>
      </w:r>
    </w:p>
    <w:p w:rsidR="004E4DEA" w:rsidRDefault="004D5EB4">
      <w:pPr>
        <w:ind w:left="715" w:right="1276"/>
      </w:pPr>
      <w:r>
        <w:t xml:space="preserve">This information collection is in accordance with the guidelines in 5 CFR 1320.6.  </w:t>
      </w:r>
    </w:p>
    <w:p w:rsidR="004E4DEA" w:rsidRDefault="004D5EB4">
      <w:pPr>
        <w:spacing w:after="0" w:line="259" w:lineRule="auto"/>
        <w:ind w:left="14" w:right="0" w:firstLine="0"/>
      </w:pPr>
      <w:r>
        <w:rPr>
          <w:rFonts w:ascii="Calibri" w:hAnsi="Calibri" w:eastAsia="Calibri" w:cs="Calibri"/>
          <w:sz w:val="26"/>
        </w:rPr>
        <w:t xml:space="preserve"> </w:t>
      </w:r>
      <w:r>
        <w:t xml:space="preserve"> </w:t>
      </w:r>
    </w:p>
    <w:p w:rsidR="004E4DEA" w:rsidRDefault="004D5EB4">
      <w:pPr>
        <w:pStyle w:val="Heading2"/>
        <w:ind w:left="355"/>
      </w:pPr>
      <w:r>
        <w:rPr>
          <w:u w:val="none"/>
        </w:rPr>
        <w:lastRenderedPageBreak/>
        <w:t>8.</w:t>
      </w:r>
      <w:r>
        <w:rPr>
          <w:rFonts w:ascii="Arial" w:hAnsi="Arial" w:eastAsia="Arial" w:cs="Arial"/>
          <w:u w:val="none"/>
        </w:rPr>
        <w:t xml:space="preserve"> </w:t>
      </w:r>
      <w:r>
        <w:t>Federal Register/Outside Consultation</w:t>
      </w:r>
      <w:r>
        <w:rPr>
          <w:u w:val="none"/>
        </w:rPr>
        <w:t xml:space="preserve">  </w:t>
      </w:r>
    </w:p>
    <w:p w:rsidR="004E4DEA" w:rsidRDefault="004D5EB4">
      <w:pPr>
        <w:spacing w:after="0" w:line="259" w:lineRule="auto"/>
        <w:ind w:left="14" w:right="0" w:firstLine="0"/>
      </w:pPr>
      <w:r>
        <w:rPr>
          <w:rFonts w:ascii="Calibri" w:hAnsi="Calibri" w:eastAsia="Calibri" w:cs="Calibri"/>
        </w:rPr>
        <w:t xml:space="preserve"> </w:t>
      </w:r>
      <w:r>
        <w:t xml:space="preserve"> </w:t>
      </w:r>
    </w:p>
    <w:p w:rsidR="004E4DEA" w:rsidRDefault="004D5EB4">
      <w:pPr>
        <w:ind w:left="715" w:right="1276"/>
      </w:pPr>
      <w:r>
        <w:t xml:space="preserve">The 60-day Federal Register Notice published in the Federal Register on 02/05/2021 (86 FR 8362).    </w:t>
      </w:r>
    </w:p>
    <w:p w:rsidR="004E4DEA" w:rsidRDefault="004D5EB4">
      <w:pPr>
        <w:ind w:left="715" w:right="1276"/>
      </w:pPr>
      <w:r>
        <w:t xml:space="preserve">We received two comments from healthcare organizations. The comments and our responses can be found in the document titled CMS Response to Public Comments Received for Appointment of Representative (AOR) Form CMS-1696, attached. </w:t>
      </w:r>
    </w:p>
    <w:p w:rsidR="004E4DEA" w:rsidRDefault="004D5EB4">
      <w:pPr>
        <w:spacing w:line="259" w:lineRule="auto"/>
        <w:ind w:left="720" w:right="0" w:firstLine="0"/>
      </w:pPr>
      <w:r>
        <w:t xml:space="preserve"> </w:t>
      </w:r>
    </w:p>
    <w:p w:rsidR="006530F7" w:rsidP="006530F7" w:rsidRDefault="006530F7">
      <w:pPr>
        <w:ind w:left="715" w:right="1276"/>
      </w:pPr>
      <w:r>
        <w:t>The 30-day Federal Register Notice published in the Federal Register on 05//2021 (</w:t>
      </w:r>
      <w:r w:rsidRPr="00007FF3" w:rsidR="00007FF3">
        <w:t>86 FR 27851</w:t>
      </w:r>
      <w:r>
        <w:t xml:space="preserve">).    </w:t>
      </w:r>
    </w:p>
    <w:p w:rsidR="006530F7" w:rsidRDefault="006530F7">
      <w:pPr>
        <w:spacing w:line="259" w:lineRule="auto"/>
        <w:ind w:left="720" w:right="0" w:firstLine="0"/>
      </w:pPr>
    </w:p>
    <w:p w:rsidR="004E4DEA" w:rsidRDefault="004D5EB4">
      <w:pPr>
        <w:spacing w:after="0" w:line="259" w:lineRule="auto"/>
        <w:ind w:left="14" w:right="0" w:firstLine="0"/>
      </w:pPr>
      <w:r>
        <w:rPr>
          <w:rFonts w:ascii="Calibri" w:hAnsi="Calibri" w:eastAsia="Calibri" w:cs="Calibri"/>
          <w:sz w:val="26"/>
        </w:rPr>
        <w:t xml:space="preserve"> </w:t>
      </w:r>
      <w:r>
        <w:t xml:space="preserve"> </w:t>
      </w:r>
    </w:p>
    <w:p w:rsidR="004E4DEA" w:rsidRDefault="004D5EB4">
      <w:pPr>
        <w:spacing w:after="3" w:line="259" w:lineRule="auto"/>
        <w:ind w:left="355" w:right="0"/>
      </w:pPr>
      <w:r>
        <w:t>9.</w:t>
      </w:r>
      <w:r>
        <w:rPr>
          <w:rFonts w:ascii="Arial" w:hAnsi="Arial" w:eastAsia="Arial" w:cs="Arial"/>
        </w:rPr>
        <w:t xml:space="preserve"> </w:t>
      </w:r>
      <w:r>
        <w:rPr>
          <w:u w:val="single" w:color="000000"/>
        </w:rPr>
        <w:t>Payments/Gifts to Respondents</w:t>
      </w:r>
      <w:r>
        <w:t xml:space="preserve">  </w:t>
      </w:r>
    </w:p>
    <w:p w:rsidR="004E4DEA" w:rsidRDefault="004D5EB4">
      <w:pPr>
        <w:spacing w:after="0" w:line="259" w:lineRule="auto"/>
        <w:ind w:left="14" w:right="0" w:firstLine="0"/>
      </w:pPr>
      <w:r>
        <w:rPr>
          <w:rFonts w:ascii="Calibri" w:hAnsi="Calibri" w:eastAsia="Calibri" w:cs="Calibri"/>
        </w:rPr>
        <w:t xml:space="preserve"> </w:t>
      </w:r>
      <w:r>
        <w:t xml:space="preserve"> </w:t>
      </w:r>
    </w:p>
    <w:p w:rsidR="004E4DEA" w:rsidRDefault="004D5EB4">
      <w:pPr>
        <w:ind w:left="715" w:right="1276"/>
      </w:pPr>
      <w:r>
        <w:t xml:space="preserve">We do not plan to provide any payment or gifts to respondents.  </w:t>
      </w:r>
    </w:p>
    <w:p w:rsidR="004E4DEA" w:rsidRDefault="004D5EB4">
      <w:pPr>
        <w:spacing w:after="0" w:line="259" w:lineRule="auto"/>
        <w:ind w:left="14" w:right="0" w:firstLine="0"/>
      </w:pPr>
      <w:r>
        <w:rPr>
          <w:rFonts w:ascii="Calibri" w:hAnsi="Calibri" w:eastAsia="Calibri" w:cs="Calibri"/>
          <w:sz w:val="20"/>
        </w:rPr>
        <w:t xml:space="preserve"> </w:t>
      </w:r>
      <w:r>
        <w:t xml:space="preserve"> </w:t>
      </w:r>
    </w:p>
    <w:p w:rsidR="004E4DEA" w:rsidRDefault="004D5EB4">
      <w:pPr>
        <w:pStyle w:val="Heading2"/>
        <w:ind w:left="355"/>
      </w:pPr>
      <w:r>
        <w:rPr>
          <w:u w:val="none"/>
        </w:rPr>
        <w:t xml:space="preserve">10. </w:t>
      </w:r>
      <w:r>
        <w:t>Confidentiality</w:t>
      </w:r>
      <w:r>
        <w:rPr>
          <w:u w:val="none"/>
        </w:rPr>
        <w:t xml:space="preserve">  </w:t>
      </w:r>
    </w:p>
    <w:p w:rsidR="004E4DEA" w:rsidRDefault="004D5EB4">
      <w:pPr>
        <w:spacing w:after="0" w:line="259" w:lineRule="auto"/>
        <w:ind w:left="14" w:right="0" w:firstLine="0"/>
      </w:pPr>
      <w:r>
        <w:rPr>
          <w:rFonts w:ascii="Calibri" w:hAnsi="Calibri" w:eastAsia="Calibri" w:cs="Calibri"/>
        </w:rPr>
        <w:t xml:space="preserve"> </w:t>
      </w:r>
      <w:r>
        <w:t xml:space="preserve"> </w:t>
      </w:r>
    </w:p>
    <w:p w:rsidR="004E4DEA" w:rsidRDefault="004D5EB4">
      <w:pPr>
        <w:ind w:left="715" w:right="1276"/>
      </w:pPr>
      <w:r>
        <w:t xml:space="preserve">Beneficiaries who choose to appoint a representative are required by regulation (42 CFR 405.910(c)(5)) to provide their Medicare Number on the AOR form. The form, when submitted, is made a part of the existing claim or appeal record that the party is seeking assistance with. Contractors collect and maintain this information for CMS under the provisions of the Privacy Act.  </w:t>
      </w:r>
    </w:p>
    <w:p w:rsidR="004E4DEA" w:rsidRDefault="004D5EB4">
      <w:pPr>
        <w:spacing w:after="0" w:line="259" w:lineRule="auto"/>
        <w:ind w:left="734" w:right="0" w:firstLine="0"/>
      </w:pPr>
      <w:r>
        <w:rPr>
          <w:rFonts w:ascii="Calibri" w:hAnsi="Calibri" w:eastAsia="Calibri" w:cs="Calibri"/>
          <w:sz w:val="26"/>
        </w:rPr>
        <w:t xml:space="preserve"> </w:t>
      </w:r>
      <w:r>
        <w:t xml:space="preserve"> </w:t>
      </w:r>
    </w:p>
    <w:p w:rsidR="004E4DEA" w:rsidRDefault="004D5EB4">
      <w:pPr>
        <w:pStyle w:val="Heading2"/>
        <w:ind w:left="355"/>
      </w:pPr>
      <w:r>
        <w:rPr>
          <w:u w:val="none"/>
        </w:rPr>
        <w:t xml:space="preserve">11. </w:t>
      </w:r>
      <w:r>
        <w:t>Sensitive Questions</w:t>
      </w:r>
      <w:r>
        <w:rPr>
          <w:u w:val="none"/>
        </w:rPr>
        <w:t xml:space="preserve">  </w:t>
      </w:r>
    </w:p>
    <w:p w:rsidR="004E4DEA" w:rsidRDefault="004D5EB4">
      <w:pPr>
        <w:spacing w:after="0" w:line="259" w:lineRule="auto"/>
        <w:ind w:left="734" w:right="0" w:firstLine="0"/>
      </w:pPr>
      <w:r>
        <w:t xml:space="preserve">  </w:t>
      </w:r>
    </w:p>
    <w:p w:rsidR="004E4DEA" w:rsidRDefault="004D5EB4">
      <w:pPr>
        <w:spacing w:after="31"/>
        <w:ind w:left="715" w:right="2530"/>
      </w:pPr>
      <w:r>
        <w:t xml:space="preserve">Users of this form must supply certain information as required by regulation, in order to identify the parties involved and to supply adjudicators with contact information to furnish responses. In particular, users must:  </w:t>
      </w:r>
    </w:p>
    <w:p w:rsidR="004E4DEA" w:rsidRDefault="004D5EB4">
      <w:pPr>
        <w:numPr>
          <w:ilvl w:val="0"/>
          <w:numId w:val="2"/>
        </w:numPr>
        <w:spacing w:after="30"/>
        <w:ind w:right="1872" w:hanging="360"/>
      </w:pPr>
      <w:r>
        <w:t xml:space="preserve">provide the party’s and appointed representative's name, phone number, and address;  </w:t>
      </w:r>
    </w:p>
    <w:p w:rsidR="004E4DEA" w:rsidRDefault="004D5EB4">
      <w:pPr>
        <w:numPr>
          <w:ilvl w:val="0"/>
          <w:numId w:val="2"/>
        </w:numPr>
        <w:spacing w:after="2" w:line="254" w:lineRule="auto"/>
        <w:ind w:right="1872" w:hanging="360"/>
      </w:pPr>
      <w:r>
        <w:t xml:space="preserve">provide the beneficiary's Medicare Number (either the health insurance claim number, or the Medicare beneficiary identifier), if applicable. When the represented party is not a beneficiary, a unique identifier </w:t>
      </w:r>
    </w:p>
    <w:p w:rsidR="004E4DEA" w:rsidRDefault="004D5EB4">
      <w:pPr>
        <w:spacing w:after="29"/>
        <w:ind w:left="1865" w:right="1276"/>
      </w:pPr>
      <w:r>
        <w:t xml:space="preserve">(such as the National Provider Identifier or plan number) is required;  </w:t>
      </w:r>
    </w:p>
    <w:p w:rsidR="004E4DEA" w:rsidRDefault="004D5EB4">
      <w:pPr>
        <w:numPr>
          <w:ilvl w:val="0"/>
          <w:numId w:val="2"/>
        </w:numPr>
        <w:ind w:right="1872" w:hanging="360"/>
      </w:pPr>
      <w:r>
        <w:t xml:space="preserve">include the appointed representative's professional status or relationship to the party.  </w:t>
      </w:r>
    </w:p>
    <w:p w:rsidR="004E4DEA" w:rsidRDefault="004D5EB4">
      <w:pPr>
        <w:spacing w:after="114" w:line="259" w:lineRule="auto"/>
        <w:ind w:left="14" w:right="0" w:firstLine="0"/>
      </w:pPr>
      <w:r>
        <w:rPr>
          <w:rFonts w:ascii="Calibri" w:hAnsi="Calibri" w:eastAsia="Calibri" w:cs="Calibri"/>
          <w:sz w:val="22"/>
        </w:rPr>
        <w:t xml:space="preserve"> </w:t>
      </w:r>
      <w:r>
        <w:t xml:space="preserve"> </w:t>
      </w:r>
    </w:p>
    <w:p w:rsidR="004E4DEA" w:rsidRDefault="004D5EB4">
      <w:pPr>
        <w:pStyle w:val="Heading2"/>
        <w:ind w:left="355"/>
      </w:pPr>
      <w:r>
        <w:rPr>
          <w:u w:val="none"/>
        </w:rPr>
        <w:t xml:space="preserve">12. </w:t>
      </w:r>
      <w:r>
        <w:t>Burden Estimates (Hours &amp; Wages)</w:t>
      </w:r>
      <w:r>
        <w:rPr>
          <w:u w:val="none"/>
        </w:rPr>
        <w:t xml:space="preserve">  </w:t>
      </w:r>
    </w:p>
    <w:p w:rsidR="004E4DEA" w:rsidRDefault="004D5EB4">
      <w:pPr>
        <w:spacing w:after="0" w:line="259" w:lineRule="auto"/>
        <w:ind w:left="14" w:right="0" w:firstLine="0"/>
      </w:pPr>
      <w:r>
        <w:rPr>
          <w:rFonts w:ascii="Calibri" w:hAnsi="Calibri" w:eastAsia="Calibri" w:cs="Calibri"/>
        </w:rPr>
        <w:t xml:space="preserve"> </w:t>
      </w:r>
      <w:r>
        <w:t xml:space="preserve"> </w:t>
      </w:r>
    </w:p>
    <w:p w:rsidR="004E4DEA" w:rsidRDefault="004D5EB4">
      <w:pPr>
        <w:ind w:left="715" w:right="1276"/>
      </w:pPr>
      <w:r>
        <w:t xml:space="preserve">We must estimate the burden for the Appointment of Representative (AOR) form because CMS does not collect data on the use of appointed representatives. The cost to alter </w:t>
      </w:r>
      <w:r>
        <w:lastRenderedPageBreak/>
        <w:t xml:space="preserve">systems to collect the data would be prohibitive, and there is no use for the data other than for this collection. Therefore, our estimates are derived from anecdotal information. </w:t>
      </w:r>
      <w:r>
        <w:rPr>
          <w:rFonts w:ascii="Calibri" w:hAnsi="Calibri" w:eastAsia="Calibri" w:cs="Calibri"/>
          <w:sz w:val="26"/>
        </w:rPr>
        <w:t xml:space="preserve"> </w:t>
      </w:r>
      <w:r>
        <w:t xml:space="preserve"> </w:t>
      </w:r>
    </w:p>
    <w:p w:rsidR="004E4DEA" w:rsidRDefault="004D5EB4">
      <w:pPr>
        <w:spacing w:after="0" w:line="259" w:lineRule="auto"/>
        <w:ind w:left="14" w:right="0" w:firstLine="0"/>
      </w:pPr>
      <w:r>
        <w:rPr>
          <w:rFonts w:ascii="Calibri" w:hAnsi="Calibri" w:eastAsia="Calibri" w:cs="Calibri"/>
          <w:sz w:val="26"/>
        </w:rPr>
        <w:t xml:space="preserve"> </w:t>
      </w:r>
      <w:r>
        <w:t xml:space="preserve"> </w:t>
      </w:r>
    </w:p>
    <w:p w:rsidR="004E4DEA" w:rsidRDefault="004D5EB4">
      <w:pPr>
        <w:ind w:left="715" w:right="1276"/>
      </w:pPr>
      <w:r>
        <w:t xml:space="preserve">We believe that when parties appoint representatives, they generally do so at the start of the appeals process. For FY 2019, 2,705,442 requests for first level appeals were received (this figure is obtained from the CROWD [Contractor Reporting of Operational &amp; Workload Data] system used by contractors to report workload statistics to CMS).   </w:t>
      </w:r>
    </w:p>
    <w:p w:rsidR="004E4DEA" w:rsidRDefault="004D5EB4">
      <w:pPr>
        <w:ind w:left="715" w:right="1276"/>
      </w:pPr>
      <w:r>
        <w:t xml:space="preserve">We estimate that in 10% of all appeals (270,544) appellants will appoint a representative.  </w:t>
      </w:r>
    </w:p>
    <w:p w:rsidR="004E4DEA" w:rsidRDefault="004D5EB4">
      <w:pPr>
        <w:spacing w:after="0" w:line="259" w:lineRule="auto"/>
        <w:ind w:left="14" w:right="0" w:firstLine="0"/>
      </w:pPr>
      <w:r>
        <w:rPr>
          <w:rFonts w:ascii="Calibri" w:hAnsi="Calibri" w:eastAsia="Calibri" w:cs="Calibri"/>
          <w:sz w:val="26"/>
        </w:rPr>
        <w:t xml:space="preserve"> </w:t>
      </w:r>
      <w:r>
        <w:t xml:space="preserve"> </w:t>
      </w:r>
    </w:p>
    <w:p w:rsidR="004E4DEA" w:rsidRDefault="004D5EB4">
      <w:pPr>
        <w:ind w:left="715" w:right="1276"/>
      </w:pPr>
      <w:r>
        <w:t xml:space="preserve">Since we have developed the optional standardized form, we estimate that it should take approximately 15 minutes to supply the information needed to comply with the requirements for a valid Appointment of Representative. </w:t>
      </w:r>
      <w:r>
        <w:rPr>
          <w:rFonts w:ascii="Calibri" w:hAnsi="Calibri" w:eastAsia="Calibri" w:cs="Calibri"/>
        </w:rPr>
        <w:t xml:space="preserve"> </w:t>
      </w:r>
      <w:r>
        <w:t xml:space="preserve"> </w:t>
      </w:r>
    </w:p>
    <w:p w:rsidR="004E4DEA" w:rsidRDefault="004D5EB4">
      <w:pPr>
        <w:spacing w:after="0" w:line="259" w:lineRule="auto"/>
        <w:ind w:left="14" w:right="0" w:firstLine="0"/>
      </w:pPr>
      <w:r>
        <w:rPr>
          <w:rFonts w:ascii="Calibri" w:hAnsi="Calibri" w:eastAsia="Calibri" w:cs="Calibri"/>
        </w:rPr>
        <w:t xml:space="preserve"> </w:t>
      </w:r>
      <w:r>
        <w:t xml:space="preserve"> </w:t>
      </w:r>
    </w:p>
    <w:p w:rsidR="004E4DEA" w:rsidRDefault="004D5EB4">
      <w:pPr>
        <w:pStyle w:val="Heading2"/>
        <w:spacing w:after="2"/>
        <w:ind w:left="729"/>
      </w:pPr>
      <w:r>
        <w:rPr>
          <w:i/>
          <w:u w:val="none"/>
        </w:rPr>
        <w:t xml:space="preserve">Wage Estimates </w:t>
      </w:r>
      <w:r>
        <w:rPr>
          <w:u w:val="none"/>
        </w:rPr>
        <w:t xml:space="preserve"> </w:t>
      </w:r>
    </w:p>
    <w:p w:rsidR="004E4DEA" w:rsidRDefault="004D5EB4">
      <w:pPr>
        <w:spacing w:after="0" w:line="259" w:lineRule="auto"/>
        <w:ind w:left="734" w:right="0" w:firstLine="0"/>
      </w:pPr>
      <w:r>
        <w:t xml:space="preserve">  </w:t>
      </w:r>
    </w:p>
    <w:p w:rsidR="004E4DEA" w:rsidRDefault="004D5EB4">
      <w:pPr>
        <w:ind w:left="715" w:right="1276"/>
      </w:pPr>
      <w:r>
        <w:t>To derive average costs, we used data from the U.S. Bureau of Labor Statistics’ May  2019 National Occupational Employment and Wage Estimates for all salary estimates in  the table below</w:t>
      </w:r>
      <w:hyperlink r:id="rId7">
        <w:r>
          <w:t xml:space="preserve"> </w:t>
        </w:r>
      </w:hyperlink>
      <w:hyperlink r:id="rId8">
        <w:r>
          <w:t>(</w:t>
        </w:r>
      </w:hyperlink>
      <w:hyperlink r:id="rId9">
        <w:r>
          <w:rPr>
            <w:u w:val="single" w:color="000000"/>
          </w:rPr>
          <w:t>www.bls.gov/oes/current/oes_nat.htm</w:t>
        </w:r>
      </w:hyperlink>
      <w:hyperlink r:id="rId10">
        <w:r>
          <w:t>)</w:t>
        </w:r>
      </w:hyperlink>
      <w:hyperlink r:id="rId11">
        <w:r>
          <w:t>.</w:t>
        </w:r>
      </w:hyperlink>
      <w:r>
        <w:t xml:space="preserve">  </w:t>
      </w:r>
    </w:p>
    <w:p w:rsidR="004E4DEA" w:rsidRDefault="004D5EB4">
      <w:pPr>
        <w:spacing w:after="0" w:line="259" w:lineRule="auto"/>
        <w:ind w:left="14" w:right="0" w:firstLine="0"/>
      </w:pPr>
      <w:r>
        <w:t xml:space="preserve">  </w:t>
      </w:r>
    </w:p>
    <w:p w:rsidR="004E4DEA" w:rsidRDefault="004D5EB4">
      <w:pPr>
        <w:ind w:left="715" w:right="1276"/>
      </w:pPr>
      <w:r>
        <w:t xml:space="preserve">The following table presents the mean hourly wage, the cost of fringe benefits and overhead, and the adjusted hourly wage.  </w:t>
      </w:r>
    </w:p>
    <w:p w:rsidR="004E4DEA" w:rsidRDefault="004D5EB4">
      <w:pPr>
        <w:spacing w:after="170" w:line="259" w:lineRule="auto"/>
        <w:ind w:left="14" w:right="0" w:firstLine="0"/>
      </w:pPr>
      <w:r>
        <w:t xml:space="preserve">  </w:t>
      </w:r>
    </w:p>
    <w:p w:rsidR="004E4DEA" w:rsidRDefault="004D5EB4">
      <w:pPr>
        <w:spacing w:after="2" w:line="254" w:lineRule="auto"/>
        <w:ind w:left="1491" w:right="2755"/>
        <w:jc w:val="center"/>
      </w:pPr>
      <w:r>
        <w:t xml:space="preserve">Estimated Hourly Wages  </w:t>
      </w:r>
    </w:p>
    <w:tbl>
      <w:tblPr>
        <w:tblStyle w:val="TableGrid"/>
        <w:tblW w:w="8858" w:type="dxa"/>
        <w:tblInd w:w="240" w:type="dxa"/>
        <w:tblCellMar>
          <w:right w:w="8" w:type="dxa"/>
        </w:tblCellMar>
        <w:tblLook w:val="04A0" w:firstRow="1" w:lastRow="0" w:firstColumn="1" w:lastColumn="0" w:noHBand="0" w:noVBand="1"/>
      </w:tblPr>
      <w:tblGrid>
        <w:gridCol w:w="1809"/>
        <w:gridCol w:w="1810"/>
        <w:gridCol w:w="1735"/>
        <w:gridCol w:w="1738"/>
        <w:gridCol w:w="1766"/>
      </w:tblGrid>
      <w:tr w:rsidR="004E4DEA">
        <w:trPr>
          <w:trHeight w:val="732"/>
        </w:trPr>
        <w:tc>
          <w:tcPr>
            <w:tcW w:w="1810" w:type="dxa"/>
            <w:tcBorders>
              <w:top w:val="single" w:color="000000" w:sz="4" w:space="0"/>
              <w:left w:val="single" w:color="000000" w:sz="4" w:space="0"/>
              <w:bottom w:val="single" w:color="000000" w:sz="4" w:space="0"/>
              <w:right w:val="single" w:color="000000" w:sz="4" w:space="0"/>
            </w:tcBorders>
            <w:vAlign w:val="center"/>
          </w:tcPr>
          <w:p w:rsidR="004E4DEA" w:rsidRDefault="004D5EB4">
            <w:pPr>
              <w:spacing w:after="0" w:line="259" w:lineRule="auto"/>
              <w:ind w:left="7" w:right="0" w:firstLine="0"/>
              <w:jc w:val="center"/>
            </w:pPr>
            <w:r>
              <w:rPr>
                <w:sz w:val="20"/>
              </w:rPr>
              <w:t xml:space="preserve">Occupation Title </w:t>
            </w:r>
            <w:r>
              <w:t xml:space="preserve"> </w:t>
            </w:r>
          </w:p>
        </w:tc>
        <w:tc>
          <w:tcPr>
            <w:tcW w:w="1810" w:type="dxa"/>
            <w:tcBorders>
              <w:top w:val="single" w:color="000000" w:sz="4" w:space="0"/>
              <w:left w:val="single" w:color="000000" w:sz="4" w:space="0"/>
              <w:bottom w:val="single" w:color="000000" w:sz="4" w:space="0"/>
              <w:right w:val="single" w:color="000000" w:sz="4" w:space="0"/>
            </w:tcBorders>
            <w:vAlign w:val="center"/>
          </w:tcPr>
          <w:p w:rsidR="004E4DEA" w:rsidRDefault="004D5EB4">
            <w:pPr>
              <w:spacing w:after="0" w:line="259" w:lineRule="auto"/>
              <w:ind w:left="10" w:right="0" w:firstLine="0"/>
              <w:jc w:val="center"/>
            </w:pPr>
            <w:r>
              <w:rPr>
                <w:sz w:val="20"/>
              </w:rPr>
              <w:t xml:space="preserve">Occupation Code </w:t>
            </w:r>
            <w:r>
              <w:t xml:space="preserve"> </w:t>
            </w:r>
          </w:p>
        </w:tc>
        <w:tc>
          <w:tcPr>
            <w:tcW w:w="1735" w:type="dxa"/>
            <w:tcBorders>
              <w:top w:val="single" w:color="000000" w:sz="4" w:space="0"/>
              <w:left w:val="single" w:color="000000" w:sz="4" w:space="0"/>
              <w:bottom w:val="single" w:color="000000" w:sz="4" w:space="0"/>
              <w:right w:val="single" w:color="000000" w:sz="4" w:space="0"/>
            </w:tcBorders>
            <w:vAlign w:val="center"/>
          </w:tcPr>
          <w:p w:rsidR="004E4DEA" w:rsidRDefault="004D5EB4">
            <w:pPr>
              <w:spacing w:after="26" w:line="259" w:lineRule="auto"/>
              <w:ind w:left="74" w:right="0" w:firstLine="0"/>
              <w:jc w:val="both"/>
            </w:pPr>
            <w:r>
              <w:rPr>
                <w:sz w:val="20"/>
              </w:rPr>
              <w:t xml:space="preserve">Mean Hourly Wage </w:t>
            </w:r>
          </w:p>
          <w:p w:rsidR="004E4DEA" w:rsidRDefault="004D5EB4">
            <w:pPr>
              <w:spacing w:after="0" w:line="259" w:lineRule="auto"/>
              <w:ind w:left="9" w:right="0" w:firstLine="0"/>
              <w:jc w:val="center"/>
            </w:pPr>
            <w:r>
              <w:rPr>
                <w:sz w:val="20"/>
              </w:rPr>
              <w:t xml:space="preserve">($/hr) </w:t>
            </w:r>
            <w:r>
              <w:t xml:space="preserve"> </w:t>
            </w:r>
          </w:p>
        </w:tc>
        <w:tc>
          <w:tcPr>
            <w:tcW w:w="1738" w:type="dxa"/>
            <w:tcBorders>
              <w:top w:val="single" w:color="000000" w:sz="4" w:space="0"/>
              <w:left w:val="single" w:color="000000" w:sz="4" w:space="0"/>
              <w:bottom w:val="single" w:color="000000" w:sz="4" w:space="0"/>
              <w:right w:val="single" w:color="000000" w:sz="4" w:space="0"/>
            </w:tcBorders>
            <w:vAlign w:val="center"/>
          </w:tcPr>
          <w:p w:rsidR="004E4DEA" w:rsidRDefault="004D5EB4">
            <w:pPr>
              <w:spacing w:after="0" w:line="259" w:lineRule="auto"/>
              <w:ind w:left="-22" w:right="0" w:firstLine="0"/>
              <w:jc w:val="center"/>
            </w:pPr>
            <w:r>
              <w:t xml:space="preserve"> </w:t>
            </w:r>
            <w:r>
              <w:rPr>
                <w:sz w:val="20"/>
              </w:rPr>
              <w:t xml:space="preserve">Fringe Benefits and Overhead ($/hr) </w:t>
            </w:r>
            <w:r>
              <w:t xml:space="preserve"> </w:t>
            </w:r>
          </w:p>
        </w:tc>
        <w:tc>
          <w:tcPr>
            <w:tcW w:w="1766" w:type="dxa"/>
            <w:tcBorders>
              <w:top w:val="single" w:color="000000" w:sz="4" w:space="0"/>
              <w:left w:val="single" w:color="000000" w:sz="4" w:space="0"/>
              <w:bottom w:val="single" w:color="000000" w:sz="4" w:space="0"/>
              <w:right w:val="single" w:color="000000" w:sz="4" w:space="0"/>
            </w:tcBorders>
            <w:vAlign w:val="center"/>
          </w:tcPr>
          <w:p w:rsidR="004E4DEA" w:rsidRDefault="004D5EB4">
            <w:pPr>
              <w:spacing w:after="0" w:line="259" w:lineRule="auto"/>
              <w:ind w:left="5" w:right="0" w:firstLine="0"/>
              <w:jc w:val="center"/>
            </w:pPr>
            <w:r>
              <w:rPr>
                <w:sz w:val="20"/>
              </w:rPr>
              <w:t xml:space="preserve">Adjusted Hourly Wage ($/hr) </w:t>
            </w:r>
            <w:r>
              <w:t xml:space="preserve"> </w:t>
            </w:r>
          </w:p>
        </w:tc>
      </w:tr>
      <w:tr w:rsidR="004E4DEA">
        <w:trPr>
          <w:trHeight w:val="778"/>
        </w:trPr>
        <w:tc>
          <w:tcPr>
            <w:tcW w:w="1810" w:type="dxa"/>
            <w:tcBorders>
              <w:top w:val="single" w:color="000000" w:sz="4" w:space="0"/>
              <w:left w:val="single" w:color="000000" w:sz="4" w:space="0"/>
              <w:bottom w:val="single" w:color="000000" w:sz="4" w:space="0"/>
              <w:right w:val="single" w:color="000000" w:sz="4" w:space="0"/>
            </w:tcBorders>
            <w:vAlign w:val="center"/>
          </w:tcPr>
          <w:p w:rsidR="004E4DEA" w:rsidRDefault="004D5EB4">
            <w:pPr>
              <w:spacing w:after="0" w:line="259" w:lineRule="auto"/>
              <w:ind w:left="0" w:right="0" w:firstLine="0"/>
              <w:jc w:val="center"/>
            </w:pPr>
            <w:r>
              <w:rPr>
                <w:sz w:val="20"/>
              </w:rPr>
              <w:t xml:space="preserve">Billing and Posting Clerks </w:t>
            </w:r>
            <w:r>
              <w:t xml:space="preserve"> </w:t>
            </w:r>
          </w:p>
        </w:tc>
        <w:tc>
          <w:tcPr>
            <w:tcW w:w="1810" w:type="dxa"/>
            <w:tcBorders>
              <w:top w:val="single" w:color="000000" w:sz="4" w:space="0"/>
              <w:left w:val="single" w:color="000000" w:sz="4" w:space="0"/>
              <w:bottom w:val="single" w:color="000000" w:sz="4" w:space="0"/>
              <w:right w:val="single" w:color="000000" w:sz="4" w:space="0"/>
            </w:tcBorders>
            <w:vAlign w:val="center"/>
          </w:tcPr>
          <w:p w:rsidR="004E4DEA" w:rsidRDefault="004D5EB4">
            <w:pPr>
              <w:spacing w:after="0" w:line="259" w:lineRule="auto"/>
              <w:ind w:left="9" w:right="0" w:firstLine="0"/>
              <w:jc w:val="center"/>
            </w:pPr>
            <w:r>
              <w:rPr>
                <w:sz w:val="20"/>
              </w:rPr>
              <w:t xml:space="preserve">43-3021 </w:t>
            </w:r>
            <w:r>
              <w:t xml:space="preserve"> </w:t>
            </w:r>
          </w:p>
        </w:tc>
        <w:tc>
          <w:tcPr>
            <w:tcW w:w="1735" w:type="dxa"/>
            <w:tcBorders>
              <w:top w:val="single" w:color="000000" w:sz="4" w:space="0"/>
              <w:left w:val="single" w:color="000000" w:sz="4" w:space="0"/>
              <w:bottom w:val="single" w:color="000000" w:sz="4" w:space="0"/>
              <w:right w:val="single" w:color="000000" w:sz="4" w:space="0"/>
            </w:tcBorders>
            <w:vAlign w:val="center"/>
          </w:tcPr>
          <w:p w:rsidR="004E4DEA" w:rsidRDefault="004D5EB4">
            <w:pPr>
              <w:spacing w:after="0" w:line="259" w:lineRule="auto"/>
              <w:ind w:left="11" w:right="0" w:firstLine="0"/>
              <w:jc w:val="center"/>
            </w:pPr>
            <w:r>
              <w:rPr>
                <w:sz w:val="20"/>
              </w:rPr>
              <w:t xml:space="preserve">19.53 </w:t>
            </w:r>
            <w:r>
              <w:t xml:space="preserve"> </w:t>
            </w:r>
          </w:p>
        </w:tc>
        <w:tc>
          <w:tcPr>
            <w:tcW w:w="1738" w:type="dxa"/>
            <w:tcBorders>
              <w:top w:val="single" w:color="000000" w:sz="4" w:space="0"/>
              <w:left w:val="single" w:color="000000" w:sz="4" w:space="0"/>
              <w:bottom w:val="single" w:color="000000" w:sz="4" w:space="0"/>
              <w:right w:val="single" w:color="000000" w:sz="4" w:space="0"/>
            </w:tcBorders>
            <w:vAlign w:val="center"/>
          </w:tcPr>
          <w:p w:rsidR="004E4DEA" w:rsidRDefault="004D5EB4">
            <w:pPr>
              <w:spacing w:after="0" w:line="259" w:lineRule="auto"/>
              <w:ind w:left="9" w:right="0" w:firstLine="0"/>
              <w:jc w:val="center"/>
            </w:pPr>
            <w:r>
              <w:rPr>
                <w:sz w:val="20"/>
              </w:rPr>
              <w:t xml:space="preserve">19.53 </w:t>
            </w:r>
            <w:r>
              <w:t xml:space="preserve"> </w:t>
            </w:r>
          </w:p>
        </w:tc>
        <w:tc>
          <w:tcPr>
            <w:tcW w:w="1766" w:type="dxa"/>
            <w:tcBorders>
              <w:top w:val="single" w:color="000000" w:sz="4" w:space="0"/>
              <w:left w:val="single" w:color="000000" w:sz="4" w:space="0"/>
              <w:bottom w:val="single" w:color="000000" w:sz="4" w:space="0"/>
              <w:right w:val="single" w:color="000000" w:sz="4" w:space="0"/>
            </w:tcBorders>
            <w:vAlign w:val="center"/>
          </w:tcPr>
          <w:p w:rsidR="004E4DEA" w:rsidRDefault="004D5EB4">
            <w:pPr>
              <w:spacing w:after="0" w:line="259" w:lineRule="auto"/>
              <w:ind w:left="9" w:right="0" w:firstLine="0"/>
              <w:jc w:val="center"/>
            </w:pPr>
            <w:r>
              <w:rPr>
                <w:sz w:val="20"/>
              </w:rPr>
              <w:t xml:space="preserve">39.06 </w:t>
            </w:r>
            <w:r>
              <w:t xml:space="preserve"> </w:t>
            </w:r>
          </w:p>
        </w:tc>
      </w:tr>
    </w:tbl>
    <w:p w:rsidR="004E4DEA" w:rsidRDefault="004D5EB4">
      <w:pPr>
        <w:spacing w:after="0" w:line="259" w:lineRule="auto"/>
        <w:ind w:left="14" w:right="0" w:firstLine="0"/>
      </w:pPr>
      <w:r>
        <w:t xml:space="preserve">  </w:t>
      </w:r>
    </w:p>
    <w:p w:rsidR="004E4DEA" w:rsidRDefault="004D5EB4">
      <w:pPr>
        <w:ind w:left="715" w:right="1276"/>
      </w:pPr>
      <w:r>
        <w:t xml:space="preserve">Except where noted,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4E4DEA" w:rsidRDefault="004D5EB4">
      <w:pPr>
        <w:spacing w:after="0" w:line="259" w:lineRule="auto"/>
        <w:ind w:left="734" w:right="0" w:firstLine="0"/>
      </w:pPr>
      <w:r>
        <w:t xml:space="preserve">  </w:t>
      </w:r>
    </w:p>
    <w:p w:rsidR="004E4DEA" w:rsidRDefault="004D5EB4">
      <w:pPr>
        <w:ind w:left="715" w:right="1276"/>
      </w:pPr>
      <w:r>
        <w:rPr>
          <w:u w:val="single" w:color="000000"/>
        </w:rPr>
        <w:t>Individuals:</w:t>
      </w:r>
      <w:r>
        <w:t xml:space="preserve"> We believe that the burden will be addressed under All Occupations (occupation code 00-0000) at $25.72/hr since the group of individual respondents varies widely from working and nonworking individuals and by respondent age, location, years of employment, and educational attainment, etc.  </w:t>
      </w:r>
    </w:p>
    <w:p w:rsidR="004E4DEA" w:rsidRDefault="004D5EB4">
      <w:pPr>
        <w:spacing w:after="0" w:line="259" w:lineRule="auto"/>
        <w:ind w:left="734" w:right="0" w:firstLine="0"/>
      </w:pPr>
      <w:r>
        <w:t xml:space="preserve">  </w:t>
      </w:r>
    </w:p>
    <w:p w:rsidR="004E4DEA" w:rsidRDefault="004D5EB4">
      <w:pPr>
        <w:ind w:left="715" w:right="1276"/>
      </w:pPr>
      <w:r>
        <w:lastRenderedPageBreak/>
        <w:t xml:space="preserve">Unlike our private sector adjustment to the respondent hourly wage (see above), we are not adjusting this figure for fringe benefits and overhead since the individuals’ activities would occur outside the scope of their employment.  </w:t>
      </w:r>
    </w:p>
    <w:p w:rsidR="004E4DEA" w:rsidRDefault="004D5EB4">
      <w:pPr>
        <w:spacing w:after="0" w:line="259" w:lineRule="auto"/>
        <w:ind w:left="734" w:right="0" w:firstLine="0"/>
      </w:pPr>
      <w:r>
        <w:rPr>
          <w:i/>
        </w:rPr>
        <w:t xml:space="preserve"> </w:t>
      </w:r>
      <w:r>
        <w:t xml:space="preserve"> </w:t>
      </w:r>
    </w:p>
    <w:p w:rsidR="004E4DEA" w:rsidRDefault="004D5EB4">
      <w:pPr>
        <w:pStyle w:val="Heading2"/>
        <w:spacing w:after="2"/>
        <w:ind w:left="729"/>
      </w:pPr>
      <w:r>
        <w:rPr>
          <w:i/>
          <w:u w:val="none"/>
        </w:rPr>
        <w:t xml:space="preserve">Requirements/Burden Estimates </w:t>
      </w:r>
      <w:r>
        <w:rPr>
          <w:u w:val="none"/>
        </w:rPr>
        <w:t xml:space="preserve"> </w:t>
      </w:r>
    </w:p>
    <w:p w:rsidR="004E4DEA" w:rsidRDefault="004D5EB4">
      <w:pPr>
        <w:spacing w:after="0" w:line="259" w:lineRule="auto"/>
        <w:ind w:left="734" w:right="0" w:firstLine="0"/>
      </w:pPr>
      <w:r>
        <w:rPr>
          <w:rFonts w:ascii="Calibri" w:hAnsi="Calibri" w:eastAsia="Calibri" w:cs="Calibri"/>
        </w:rPr>
        <w:t xml:space="preserve"> </w:t>
      </w:r>
      <w:r>
        <w:t xml:space="preserve"> </w:t>
      </w:r>
    </w:p>
    <w:p w:rsidR="004E4DEA" w:rsidRDefault="004D5EB4">
      <w:pPr>
        <w:spacing w:after="0" w:line="259" w:lineRule="auto"/>
        <w:ind w:left="715" w:right="0"/>
      </w:pPr>
      <w:r>
        <w:rPr>
          <w:i/>
          <w:u w:val="single" w:color="000000"/>
        </w:rPr>
        <w:t>Providers/Suppliers</w:t>
      </w:r>
      <w:r>
        <w:rPr>
          <w:i/>
        </w:rPr>
        <w:t xml:space="preserve"> </w:t>
      </w:r>
      <w:r>
        <w:t xml:space="preserve"> </w:t>
      </w:r>
    </w:p>
    <w:p w:rsidR="004E4DEA" w:rsidRDefault="004D5EB4">
      <w:pPr>
        <w:spacing w:after="0" w:line="259" w:lineRule="auto"/>
        <w:ind w:left="734" w:right="0" w:firstLine="0"/>
      </w:pPr>
      <w:r>
        <w:rPr>
          <w:rFonts w:ascii="Calibri" w:hAnsi="Calibri" w:eastAsia="Calibri" w:cs="Calibri"/>
          <w:sz w:val="26"/>
        </w:rPr>
        <w:t xml:space="preserve"> </w:t>
      </w:r>
      <w:r>
        <w:t xml:space="preserve"> </w:t>
      </w:r>
    </w:p>
    <w:p w:rsidR="004E4DEA" w:rsidRDefault="004D5EB4">
      <w:pPr>
        <w:ind w:left="715" w:right="1276"/>
      </w:pPr>
      <w:r>
        <w:t xml:space="preserve">We estimate that 90% of all AOR forms will be completed by providers or suppliers.  As noted previously, providers and suppliers are likely to use a billing service to file claims and appeals. We estimate 243,490 AORs (270,544 x 0.90) completed by providers or suppliers annually.   </w:t>
      </w:r>
    </w:p>
    <w:p w:rsidR="004E4DEA" w:rsidRDefault="004D5EB4">
      <w:pPr>
        <w:spacing w:after="0" w:line="259" w:lineRule="auto"/>
        <w:ind w:left="734" w:right="0" w:firstLine="0"/>
      </w:pPr>
      <w:r>
        <w:t xml:space="preserve">  </w:t>
      </w:r>
    </w:p>
    <w:p w:rsidR="004E4DEA" w:rsidRDefault="004D5EB4">
      <w:pPr>
        <w:ind w:left="715" w:right="1276"/>
      </w:pPr>
      <w:r>
        <w:t xml:space="preserve">In aggregate we estimate a burden of 60,873 hours (243,490 providers or supplier appointments x 0.25 hr) at a cost of $2,377,699.38 (60,873 hr x $39.06/hr).  </w:t>
      </w:r>
    </w:p>
    <w:p w:rsidR="004E4DEA" w:rsidRDefault="004D5EB4">
      <w:pPr>
        <w:spacing w:after="0" w:line="259" w:lineRule="auto"/>
        <w:ind w:left="734" w:right="0" w:firstLine="0"/>
      </w:pPr>
      <w:r>
        <w:t xml:space="preserve">  </w:t>
      </w:r>
    </w:p>
    <w:p w:rsidR="004E4DEA" w:rsidRDefault="004D5EB4">
      <w:pPr>
        <w:spacing w:after="0" w:line="259" w:lineRule="auto"/>
        <w:ind w:left="715" w:right="0"/>
      </w:pPr>
      <w:r>
        <w:rPr>
          <w:i/>
          <w:u w:val="single" w:color="000000"/>
        </w:rPr>
        <w:t>Beneficiaries</w:t>
      </w:r>
      <w:r>
        <w:rPr>
          <w:i/>
        </w:rPr>
        <w:t xml:space="preserve"> </w:t>
      </w:r>
      <w:r>
        <w:t xml:space="preserve"> </w:t>
      </w:r>
    </w:p>
    <w:p w:rsidR="004E4DEA" w:rsidRDefault="004D5EB4">
      <w:pPr>
        <w:spacing w:after="0" w:line="259" w:lineRule="auto"/>
        <w:ind w:left="734" w:right="0" w:firstLine="0"/>
      </w:pPr>
      <w:r>
        <w:t xml:space="preserve">  </w:t>
      </w:r>
    </w:p>
    <w:p w:rsidR="004E4DEA" w:rsidRDefault="004D5EB4">
      <w:pPr>
        <w:ind w:left="715" w:right="1276"/>
      </w:pPr>
      <w:r>
        <w:t xml:space="preserve">The remaining 10% of the AOR forms filled out would be completed by beneficiaries.  We estimate that 27,054 AORs (270,544 x 0.10) will be completed by beneficiaries annually.  </w:t>
      </w:r>
    </w:p>
    <w:p w:rsidR="004E4DEA" w:rsidRDefault="004D5EB4">
      <w:pPr>
        <w:spacing w:after="0" w:line="259" w:lineRule="auto"/>
        <w:ind w:left="734" w:right="0" w:firstLine="0"/>
      </w:pPr>
      <w:r>
        <w:t xml:space="preserve">  </w:t>
      </w:r>
    </w:p>
    <w:p w:rsidR="004E4DEA" w:rsidRDefault="004D5EB4">
      <w:pPr>
        <w:ind w:left="715" w:right="1276"/>
      </w:pPr>
      <w:r>
        <w:t xml:space="preserve">In </w:t>
      </w:r>
      <w:r w:rsidR="00426604">
        <w:t>aggregate,</w:t>
      </w:r>
      <w:r>
        <w:t xml:space="preserve"> we estimate a burden of 6,764 hours (27,054 beneficiaries x 0.25 hr) at a cost of $173,970.08 (6,764 hours x $25.72/hr). </w:t>
      </w:r>
    </w:p>
    <w:p w:rsidR="004E4DEA" w:rsidRDefault="004D5EB4">
      <w:pPr>
        <w:spacing w:after="0" w:line="259" w:lineRule="auto"/>
        <w:ind w:left="720" w:right="0" w:firstLine="0"/>
      </w:pPr>
      <w:r>
        <w:t xml:space="preserve"> </w:t>
      </w:r>
    </w:p>
    <w:p w:rsidR="004E4DEA" w:rsidRDefault="004D5EB4">
      <w:pPr>
        <w:spacing w:after="2" w:line="254" w:lineRule="auto"/>
        <w:ind w:left="1491" w:right="2059"/>
        <w:jc w:val="center"/>
      </w:pPr>
      <w:r>
        <w:t xml:space="preserve">Burden Survey </w:t>
      </w:r>
    </w:p>
    <w:tbl>
      <w:tblPr>
        <w:tblStyle w:val="TableGrid"/>
        <w:tblW w:w="10436" w:type="dxa"/>
        <w:tblInd w:w="137" w:type="dxa"/>
        <w:tblCellMar>
          <w:top w:w="37" w:type="dxa"/>
        </w:tblCellMar>
        <w:tblLook w:val="04A0" w:firstRow="1" w:lastRow="0" w:firstColumn="1" w:lastColumn="0" w:noHBand="0" w:noVBand="1"/>
      </w:tblPr>
      <w:tblGrid>
        <w:gridCol w:w="2004"/>
        <w:gridCol w:w="1406"/>
        <w:gridCol w:w="1404"/>
        <w:gridCol w:w="1099"/>
        <w:gridCol w:w="1529"/>
        <w:gridCol w:w="1171"/>
        <w:gridCol w:w="1823"/>
      </w:tblGrid>
      <w:tr w:rsidR="004E4DEA">
        <w:trPr>
          <w:trHeight w:val="458"/>
        </w:trPr>
        <w:tc>
          <w:tcPr>
            <w:tcW w:w="2004" w:type="dxa"/>
            <w:tcBorders>
              <w:top w:val="single" w:color="000000" w:sz="4" w:space="0"/>
              <w:left w:val="single" w:color="000000" w:sz="4" w:space="0"/>
              <w:bottom w:val="single" w:color="000000" w:sz="4" w:space="0"/>
              <w:right w:val="single" w:color="000000" w:sz="4" w:space="0"/>
            </w:tcBorders>
          </w:tcPr>
          <w:p w:rsidR="004E4DEA" w:rsidRDefault="004D5EB4">
            <w:pPr>
              <w:spacing w:after="0" w:line="259" w:lineRule="auto"/>
              <w:ind w:left="0" w:right="2" w:firstLine="0"/>
              <w:jc w:val="center"/>
            </w:pPr>
            <w:r>
              <w:rPr>
                <w:b/>
                <w:sz w:val="18"/>
              </w:rPr>
              <w:t xml:space="preserve">Respondent Type </w:t>
            </w:r>
            <w:r>
              <w:t xml:space="preserve"> </w:t>
            </w:r>
          </w:p>
        </w:tc>
        <w:tc>
          <w:tcPr>
            <w:tcW w:w="1406" w:type="dxa"/>
            <w:tcBorders>
              <w:top w:val="single" w:color="000000" w:sz="4" w:space="0"/>
              <w:left w:val="single" w:color="000000" w:sz="4" w:space="0"/>
              <w:bottom w:val="single" w:color="000000" w:sz="4" w:space="0"/>
              <w:right w:val="single" w:color="000000" w:sz="4" w:space="0"/>
            </w:tcBorders>
          </w:tcPr>
          <w:p w:rsidR="004E4DEA" w:rsidRDefault="004D5EB4">
            <w:pPr>
              <w:spacing w:after="0" w:line="259" w:lineRule="auto"/>
              <w:ind w:left="0" w:right="7" w:firstLine="0"/>
              <w:jc w:val="center"/>
            </w:pPr>
            <w:r>
              <w:rPr>
                <w:b/>
                <w:sz w:val="18"/>
              </w:rPr>
              <w:t xml:space="preserve">Respondents </w:t>
            </w:r>
            <w:r>
              <w:t xml:space="preserve"> </w:t>
            </w:r>
          </w:p>
        </w:tc>
        <w:tc>
          <w:tcPr>
            <w:tcW w:w="1404" w:type="dxa"/>
            <w:tcBorders>
              <w:top w:val="single" w:color="000000" w:sz="4" w:space="0"/>
              <w:left w:val="single" w:color="000000" w:sz="4" w:space="0"/>
              <w:bottom w:val="single" w:color="000000" w:sz="4" w:space="0"/>
              <w:right w:val="single" w:color="000000" w:sz="4" w:space="0"/>
            </w:tcBorders>
          </w:tcPr>
          <w:p w:rsidR="004E4DEA" w:rsidRDefault="004D5EB4">
            <w:pPr>
              <w:spacing w:after="0" w:line="259" w:lineRule="auto"/>
              <w:ind w:left="0" w:right="2" w:firstLine="0"/>
              <w:jc w:val="center"/>
            </w:pPr>
            <w:r>
              <w:rPr>
                <w:b/>
                <w:sz w:val="18"/>
              </w:rPr>
              <w:t xml:space="preserve">Responses </w:t>
            </w:r>
            <w:r>
              <w:t xml:space="preserve"> </w:t>
            </w:r>
          </w:p>
        </w:tc>
        <w:tc>
          <w:tcPr>
            <w:tcW w:w="1099" w:type="dxa"/>
            <w:tcBorders>
              <w:top w:val="single" w:color="000000" w:sz="4" w:space="0"/>
              <w:left w:val="single" w:color="000000" w:sz="4" w:space="0"/>
              <w:bottom w:val="single" w:color="000000" w:sz="4" w:space="0"/>
              <w:right w:val="single" w:color="000000" w:sz="4" w:space="0"/>
            </w:tcBorders>
          </w:tcPr>
          <w:p w:rsidR="004E4DEA" w:rsidRDefault="004D5EB4">
            <w:pPr>
              <w:spacing w:after="0" w:line="259" w:lineRule="auto"/>
              <w:ind w:left="0" w:right="0" w:firstLine="0"/>
              <w:jc w:val="center"/>
            </w:pPr>
            <w:r>
              <w:rPr>
                <w:b/>
                <w:sz w:val="18"/>
              </w:rPr>
              <w:t>Time per Response (hr)</w:t>
            </w:r>
          </w:p>
        </w:tc>
        <w:tc>
          <w:tcPr>
            <w:tcW w:w="1529" w:type="dxa"/>
            <w:tcBorders>
              <w:top w:val="single" w:color="000000" w:sz="4" w:space="0"/>
              <w:left w:val="single" w:color="000000" w:sz="4" w:space="0"/>
              <w:bottom w:val="single" w:color="000000" w:sz="4" w:space="0"/>
              <w:right w:val="single" w:color="000000" w:sz="4" w:space="0"/>
            </w:tcBorders>
          </w:tcPr>
          <w:p w:rsidR="004E4DEA" w:rsidRDefault="004D5EB4">
            <w:pPr>
              <w:tabs>
                <w:tab w:val="right" w:pos="1529"/>
              </w:tabs>
              <w:spacing w:after="0" w:line="259" w:lineRule="auto"/>
              <w:ind w:left="0" w:right="0" w:firstLine="0"/>
            </w:pPr>
            <w:r>
              <w:t xml:space="preserve"> </w:t>
            </w:r>
            <w:r>
              <w:tab/>
            </w:r>
            <w:r>
              <w:rPr>
                <w:b/>
                <w:sz w:val="18"/>
              </w:rPr>
              <w:t xml:space="preserve">Total Time </w:t>
            </w:r>
          </w:p>
          <w:p w:rsidR="004E4DEA" w:rsidRDefault="004D5EB4">
            <w:pPr>
              <w:tabs>
                <w:tab w:val="center" w:pos="763"/>
              </w:tabs>
              <w:spacing w:after="0" w:line="259" w:lineRule="auto"/>
              <w:ind w:left="-19" w:right="0" w:firstLine="0"/>
            </w:pPr>
            <w:r>
              <w:rPr>
                <w:b/>
                <w:sz w:val="18"/>
              </w:rPr>
              <w:t xml:space="preserve"> </w:t>
            </w:r>
            <w:r>
              <w:rPr>
                <w:b/>
                <w:sz w:val="18"/>
              </w:rPr>
              <w:tab/>
              <w:t xml:space="preserve">(hr) </w:t>
            </w:r>
            <w:r>
              <w:t xml:space="preserve"> </w:t>
            </w:r>
          </w:p>
        </w:tc>
        <w:tc>
          <w:tcPr>
            <w:tcW w:w="1171" w:type="dxa"/>
            <w:tcBorders>
              <w:top w:val="single" w:color="000000" w:sz="4" w:space="0"/>
              <w:left w:val="single" w:color="000000" w:sz="4" w:space="0"/>
              <w:bottom w:val="single" w:color="000000" w:sz="4" w:space="0"/>
              <w:right w:val="single" w:color="000000" w:sz="4" w:space="0"/>
            </w:tcBorders>
          </w:tcPr>
          <w:p w:rsidR="004E4DEA" w:rsidRDefault="004D5EB4">
            <w:pPr>
              <w:spacing w:after="38" w:line="259" w:lineRule="auto"/>
              <w:ind w:left="142" w:right="0" w:firstLine="0"/>
            </w:pPr>
            <w:r>
              <w:rPr>
                <w:b/>
                <w:sz w:val="18"/>
              </w:rPr>
              <w:t xml:space="preserve">Labor Rate </w:t>
            </w:r>
          </w:p>
          <w:p w:rsidR="004E4DEA" w:rsidRDefault="004D5EB4">
            <w:pPr>
              <w:spacing w:after="0" w:line="259" w:lineRule="auto"/>
              <w:ind w:left="0" w:right="3" w:firstLine="0"/>
              <w:jc w:val="center"/>
            </w:pPr>
            <w:r>
              <w:rPr>
                <w:b/>
                <w:sz w:val="18"/>
              </w:rPr>
              <w:t xml:space="preserve">($/hr) </w:t>
            </w:r>
            <w:r>
              <w:t xml:space="preserve"> </w:t>
            </w:r>
          </w:p>
        </w:tc>
        <w:tc>
          <w:tcPr>
            <w:tcW w:w="1823" w:type="dxa"/>
            <w:tcBorders>
              <w:top w:val="single" w:color="000000" w:sz="4" w:space="0"/>
              <w:left w:val="single" w:color="000000" w:sz="4" w:space="0"/>
              <w:bottom w:val="single" w:color="000000" w:sz="4" w:space="0"/>
              <w:right w:val="single" w:color="000000" w:sz="4" w:space="0"/>
            </w:tcBorders>
          </w:tcPr>
          <w:p w:rsidR="004E4DEA" w:rsidRDefault="004D5EB4">
            <w:pPr>
              <w:spacing w:after="34" w:line="259" w:lineRule="auto"/>
              <w:ind w:left="44" w:right="0" w:firstLine="0"/>
              <w:jc w:val="center"/>
            </w:pPr>
            <w:r>
              <w:rPr>
                <w:b/>
                <w:sz w:val="18"/>
              </w:rPr>
              <w:t xml:space="preserve">Total Cost </w:t>
            </w:r>
          </w:p>
          <w:p w:rsidR="004E4DEA" w:rsidRDefault="004D5EB4">
            <w:pPr>
              <w:spacing w:after="0" w:line="259" w:lineRule="auto"/>
              <w:ind w:left="44" w:right="0" w:firstLine="0"/>
              <w:jc w:val="center"/>
            </w:pPr>
            <w:r>
              <w:rPr>
                <w:b/>
                <w:sz w:val="18"/>
              </w:rPr>
              <w:t xml:space="preserve">($) </w:t>
            </w:r>
            <w:r>
              <w:t xml:space="preserve"> </w:t>
            </w:r>
          </w:p>
        </w:tc>
      </w:tr>
      <w:tr w:rsidR="004E4DEA">
        <w:trPr>
          <w:trHeight w:val="307"/>
        </w:trPr>
        <w:tc>
          <w:tcPr>
            <w:tcW w:w="2004" w:type="dxa"/>
            <w:tcBorders>
              <w:top w:val="single" w:color="000000" w:sz="4" w:space="0"/>
              <w:left w:val="single" w:color="000000" w:sz="4" w:space="0"/>
              <w:bottom w:val="single" w:color="000000" w:sz="4" w:space="0"/>
              <w:right w:val="single" w:color="000000" w:sz="4" w:space="0"/>
            </w:tcBorders>
          </w:tcPr>
          <w:p w:rsidR="004E4DEA" w:rsidRDefault="004D5EB4">
            <w:pPr>
              <w:spacing w:after="0" w:line="259" w:lineRule="auto"/>
              <w:ind w:left="10" w:right="0" w:firstLine="0"/>
            </w:pPr>
            <w:r>
              <w:rPr>
                <w:sz w:val="18"/>
              </w:rPr>
              <w:t xml:space="preserve">Providers/Suppliers </w:t>
            </w:r>
            <w:r>
              <w:t xml:space="preserve"> </w:t>
            </w:r>
          </w:p>
        </w:tc>
        <w:tc>
          <w:tcPr>
            <w:tcW w:w="1406" w:type="dxa"/>
            <w:tcBorders>
              <w:top w:val="single" w:color="000000" w:sz="4" w:space="0"/>
              <w:left w:val="single" w:color="000000" w:sz="4" w:space="0"/>
              <w:bottom w:val="single" w:color="000000" w:sz="4" w:space="0"/>
              <w:right w:val="single" w:color="000000" w:sz="4" w:space="0"/>
            </w:tcBorders>
          </w:tcPr>
          <w:p w:rsidR="004E4DEA" w:rsidRDefault="004D5EB4">
            <w:pPr>
              <w:spacing w:after="0" w:line="259" w:lineRule="auto"/>
              <w:ind w:left="0" w:right="11" w:firstLine="0"/>
              <w:jc w:val="right"/>
            </w:pPr>
            <w:r>
              <w:rPr>
                <w:sz w:val="18"/>
              </w:rPr>
              <w:t>243,490</w:t>
            </w:r>
          </w:p>
        </w:tc>
        <w:tc>
          <w:tcPr>
            <w:tcW w:w="1404" w:type="dxa"/>
            <w:tcBorders>
              <w:top w:val="single" w:color="000000" w:sz="4" w:space="0"/>
              <w:left w:val="single" w:color="000000" w:sz="4" w:space="0"/>
              <w:bottom w:val="single" w:color="000000" w:sz="4" w:space="0"/>
              <w:right w:val="single" w:color="000000" w:sz="4" w:space="0"/>
            </w:tcBorders>
          </w:tcPr>
          <w:p w:rsidR="004E4DEA" w:rsidRDefault="004D5EB4">
            <w:pPr>
              <w:tabs>
                <w:tab w:val="right" w:pos="1404"/>
              </w:tabs>
              <w:spacing w:after="0" w:line="259" w:lineRule="auto"/>
              <w:ind w:left="-12" w:right="0" w:firstLine="0"/>
            </w:pPr>
            <w:r>
              <w:t xml:space="preserve"> </w:t>
            </w:r>
            <w:r>
              <w:rPr>
                <w:sz w:val="18"/>
              </w:rPr>
              <w:t xml:space="preserve">  </w:t>
            </w:r>
            <w:r>
              <w:rPr>
                <w:sz w:val="18"/>
              </w:rPr>
              <w:tab/>
              <w:t>243,490</w:t>
            </w:r>
          </w:p>
        </w:tc>
        <w:tc>
          <w:tcPr>
            <w:tcW w:w="1099" w:type="dxa"/>
            <w:tcBorders>
              <w:top w:val="single" w:color="000000" w:sz="4" w:space="0"/>
              <w:left w:val="single" w:color="000000" w:sz="4" w:space="0"/>
              <w:bottom w:val="single" w:color="000000" w:sz="4" w:space="0"/>
              <w:right w:val="single" w:color="000000" w:sz="4" w:space="0"/>
            </w:tcBorders>
          </w:tcPr>
          <w:p w:rsidR="004E4DEA" w:rsidRDefault="004D5EB4">
            <w:pPr>
              <w:tabs>
                <w:tab w:val="right" w:pos="1099"/>
              </w:tabs>
              <w:spacing w:after="0" w:line="259" w:lineRule="auto"/>
              <w:ind w:left="-5" w:right="0" w:firstLine="0"/>
            </w:pPr>
            <w:r>
              <w:t xml:space="preserve"> </w:t>
            </w:r>
            <w:r>
              <w:tab/>
            </w:r>
            <w:r>
              <w:rPr>
                <w:sz w:val="18"/>
              </w:rPr>
              <w:t>0.25</w:t>
            </w:r>
          </w:p>
        </w:tc>
        <w:tc>
          <w:tcPr>
            <w:tcW w:w="1529" w:type="dxa"/>
            <w:tcBorders>
              <w:top w:val="single" w:color="000000" w:sz="4" w:space="0"/>
              <w:left w:val="single" w:color="000000" w:sz="4" w:space="0"/>
              <w:bottom w:val="single" w:color="000000" w:sz="4" w:space="0"/>
              <w:right w:val="single" w:color="000000" w:sz="4" w:space="0"/>
            </w:tcBorders>
          </w:tcPr>
          <w:p w:rsidR="004E4DEA" w:rsidRDefault="004D5EB4">
            <w:pPr>
              <w:tabs>
                <w:tab w:val="right" w:pos="1529"/>
              </w:tabs>
              <w:spacing w:after="0" w:line="259" w:lineRule="auto"/>
              <w:ind w:left="-12" w:right="0" w:firstLine="0"/>
            </w:pPr>
            <w:r>
              <w:t xml:space="preserve"> </w:t>
            </w:r>
            <w:r>
              <w:rPr>
                <w:vertAlign w:val="subscript"/>
              </w:rPr>
              <w:t xml:space="preserve"> </w:t>
            </w:r>
            <w:r>
              <w:t xml:space="preserve"> </w:t>
            </w:r>
            <w:r>
              <w:tab/>
            </w:r>
            <w:r>
              <w:rPr>
                <w:sz w:val="18"/>
              </w:rPr>
              <w:t>60,873</w:t>
            </w:r>
          </w:p>
        </w:tc>
        <w:tc>
          <w:tcPr>
            <w:tcW w:w="1171" w:type="dxa"/>
            <w:tcBorders>
              <w:top w:val="single" w:color="000000" w:sz="4" w:space="0"/>
              <w:left w:val="single" w:color="000000" w:sz="4" w:space="0"/>
              <w:bottom w:val="single" w:color="000000" w:sz="4" w:space="0"/>
              <w:right w:val="single" w:color="000000" w:sz="4" w:space="0"/>
            </w:tcBorders>
          </w:tcPr>
          <w:p w:rsidR="004E4DEA" w:rsidRDefault="004D5EB4">
            <w:pPr>
              <w:tabs>
                <w:tab w:val="right" w:pos="1171"/>
              </w:tabs>
              <w:spacing w:after="0" w:line="259" w:lineRule="auto"/>
              <w:ind w:left="-7" w:right="0" w:firstLine="0"/>
            </w:pPr>
            <w:r>
              <w:t xml:space="preserve"> </w:t>
            </w:r>
            <w:r>
              <w:tab/>
            </w:r>
            <w:r>
              <w:rPr>
                <w:sz w:val="18"/>
              </w:rPr>
              <w:t>39.06</w:t>
            </w:r>
          </w:p>
        </w:tc>
        <w:tc>
          <w:tcPr>
            <w:tcW w:w="1823" w:type="dxa"/>
            <w:tcBorders>
              <w:top w:val="single" w:color="000000" w:sz="4" w:space="0"/>
              <w:left w:val="single" w:color="000000" w:sz="4" w:space="0"/>
              <w:bottom w:val="single" w:color="000000" w:sz="4" w:space="0"/>
              <w:right w:val="single" w:color="000000" w:sz="4" w:space="0"/>
            </w:tcBorders>
          </w:tcPr>
          <w:p w:rsidR="004E4DEA" w:rsidRDefault="004D5EB4">
            <w:pPr>
              <w:tabs>
                <w:tab w:val="right" w:pos="1823"/>
              </w:tabs>
              <w:spacing w:after="0" w:line="259" w:lineRule="auto"/>
              <w:ind w:left="-12" w:right="0" w:firstLine="0"/>
            </w:pPr>
            <w:r>
              <w:t xml:space="preserve"> </w:t>
            </w:r>
            <w:r>
              <w:tab/>
            </w:r>
            <w:r>
              <w:rPr>
                <w:sz w:val="18"/>
              </w:rPr>
              <w:t>2,377,699.38</w:t>
            </w:r>
          </w:p>
        </w:tc>
      </w:tr>
      <w:tr w:rsidR="004E4DEA">
        <w:trPr>
          <w:trHeight w:val="308"/>
        </w:trPr>
        <w:tc>
          <w:tcPr>
            <w:tcW w:w="2004" w:type="dxa"/>
            <w:tcBorders>
              <w:top w:val="single" w:color="000000" w:sz="4" w:space="0"/>
              <w:left w:val="single" w:color="000000" w:sz="4" w:space="0"/>
              <w:bottom w:val="single" w:color="000000" w:sz="4" w:space="0"/>
              <w:right w:val="single" w:color="000000" w:sz="4" w:space="0"/>
            </w:tcBorders>
          </w:tcPr>
          <w:p w:rsidR="004E4DEA" w:rsidRDefault="004D5EB4">
            <w:pPr>
              <w:spacing w:after="0" w:line="259" w:lineRule="auto"/>
              <w:ind w:left="10" w:right="0" w:firstLine="0"/>
            </w:pPr>
            <w:r>
              <w:rPr>
                <w:sz w:val="18"/>
              </w:rPr>
              <w:t xml:space="preserve">Beneficiaries </w:t>
            </w:r>
            <w:r>
              <w:t xml:space="preserve"> </w:t>
            </w:r>
          </w:p>
        </w:tc>
        <w:tc>
          <w:tcPr>
            <w:tcW w:w="1406" w:type="dxa"/>
            <w:tcBorders>
              <w:top w:val="single" w:color="000000" w:sz="4" w:space="0"/>
              <w:left w:val="single" w:color="000000" w:sz="4" w:space="0"/>
              <w:bottom w:val="single" w:color="000000" w:sz="4" w:space="0"/>
              <w:right w:val="single" w:color="000000" w:sz="4" w:space="0"/>
            </w:tcBorders>
          </w:tcPr>
          <w:p w:rsidR="004E4DEA" w:rsidRDefault="004D5EB4">
            <w:pPr>
              <w:spacing w:after="0" w:line="259" w:lineRule="auto"/>
              <w:ind w:left="0" w:right="8" w:firstLine="0"/>
              <w:jc w:val="right"/>
            </w:pPr>
            <w:r>
              <w:rPr>
                <w:sz w:val="18"/>
              </w:rPr>
              <w:t>27,054</w:t>
            </w:r>
          </w:p>
        </w:tc>
        <w:tc>
          <w:tcPr>
            <w:tcW w:w="1404" w:type="dxa"/>
            <w:tcBorders>
              <w:top w:val="single" w:color="000000" w:sz="4" w:space="0"/>
              <w:left w:val="single" w:color="000000" w:sz="4" w:space="0"/>
              <w:bottom w:val="single" w:color="000000" w:sz="4" w:space="0"/>
              <w:right w:val="single" w:color="000000" w:sz="4" w:space="0"/>
            </w:tcBorders>
          </w:tcPr>
          <w:p w:rsidR="004E4DEA" w:rsidRDefault="004D5EB4">
            <w:pPr>
              <w:tabs>
                <w:tab w:val="right" w:pos="1404"/>
              </w:tabs>
              <w:spacing w:after="0" w:line="259" w:lineRule="auto"/>
              <w:ind w:left="-10" w:right="0" w:firstLine="0"/>
            </w:pPr>
            <w:r>
              <w:t xml:space="preserve"> </w:t>
            </w:r>
            <w:r>
              <w:tab/>
            </w:r>
            <w:r>
              <w:rPr>
                <w:sz w:val="18"/>
              </w:rPr>
              <w:t>27,054</w:t>
            </w:r>
          </w:p>
        </w:tc>
        <w:tc>
          <w:tcPr>
            <w:tcW w:w="1099" w:type="dxa"/>
            <w:tcBorders>
              <w:top w:val="single" w:color="000000" w:sz="4" w:space="0"/>
              <w:left w:val="single" w:color="000000" w:sz="4" w:space="0"/>
              <w:bottom w:val="single" w:color="000000" w:sz="4" w:space="0"/>
              <w:right w:val="single" w:color="000000" w:sz="4" w:space="0"/>
            </w:tcBorders>
          </w:tcPr>
          <w:p w:rsidR="004E4DEA" w:rsidRDefault="004D5EB4">
            <w:pPr>
              <w:tabs>
                <w:tab w:val="right" w:pos="1099"/>
              </w:tabs>
              <w:spacing w:after="0" w:line="259" w:lineRule="auto"/>
              <w:ind w:left="-7" w:right="0" w:firstLine="0"/>
            </w:pPr>
            <w:r>
              <w:t xml:space="preserve"> </w:t>
            </w:r>
            <w:r>
              <w:tab/>
            </w:r>
            <w:r>
              <w:rPr>
                <w:sz w:val="18"/>
              </w:rPr>
              <w:t>0.25</w:t>
            </w:r>
          </w:p>
        </w:tc>
        <w:tc>
          <w:tcPr>
            <w:tcW w:w="1529" w:type="dxa"/>
            <w:tcBorders>
              <w:top w:val="single" w:color="000000" w:sz="4" w:space="0"/>
              <w:left w:val="single" w:color="000000" w:sz="4" w:space="0"/>
              <w:bottom w:val="single" w:color="000000" w:sz="4" w:space="0"/>
              <w:right w:val="single" w:color="000000" w:sz="4" w:space="0"/>
            </w:tcBorders>
          </w:tcPr>
          <w:p w:rsidR="004E4DEA" w:rsidRDefault="004D5EB4">
            <w:pPr>
              <w:tabs>
                <w:tab w:val="right" w:pos="1529"/>
              </w:tabs>
              <w:spacing w:after="0" w:line="259" w:lineRule="auto"/>
              <w:ind w:left="-12" w:right="0" w:firstLine="0"/>
            </w:pPr>
            <w:r>
              <w:t xml:space="preserve"> </w:t>
            </w:r>
            <w:r>
              <w:rPr>
                <w:vertAlign w:val="subscript"/>
              </w:rPr>
              <w:t xml:space="preserve"> </w:t>
            </w:r>
            <w:r>
              <w:t xml:space="preserve"> </w:t>
            </w:r>
            <w:r>
              <w:tab/>
            </w:r>
            <w:r>
              <w:rPr>
                <w:sz w:val="18"/>
              </w:rPr>
              <w:t>6,764</w:t>
            </w:r>
          </w:p>
        </w:tc>
        <w:tc>
          <w:tcPr>
            <w:tcW w:w="1171" w:type="dxa"/>
            <w:tcBorders>
              <w:top w:val="single" w:color="000000" w:sz="4" w:space="0"/>
              <w:left w:val="single" w:color="000000" w:sz="4" w:space="0"/>
              <w:bottom w:val="single" w:color="000000" w:sz="4" w:space="0"/>
              <w:right w:val="single" w:color="000000" w:sz="4" w:space="0"/>
            </w:tcBorders>
          </w:tcPr>
          <w:p w:rsidR="004E4DEA" w:rsidRDefault="004D5EB4">
            <w:pPr>
              <w:tabs>
                <w:tab w:val="right" w:pos="1171"/>
              </w:tabs>
              <w:spacing w:after="0" w:line="259" w:lineRule="auto"/>
              <w:ind w:left="-12" w:right="0" w:firstLine="0"/>
            </w:pPr>
            <w:r>
              <w:t xml:space="preserve"> </w:t>
            </w:r>
            <w:r>
              <w:tab/>
            </w:r>
            <w:r>
              <w:rPr>
                <w:sz w:val="18"/>
              </w:rPr>
              <w:t>25.72</w:t>
            </w:r>
          </w:p>
        </w:tc>
        <w:tc>
          <w:tcPr>
            <w:tcW w:w="1823" w:type="dxa"/>
            <w:tcBorders>
              <w:top w:val="single" w:color="000000" w:sz="4" w:space="0"/>
              <w:left w:val="single" w:color="000000" w:sz="4" w:space="0"/>
              <w:bottom w:val="single" w:color="000000" w:sz="4" w:space="0"/>
              <w:right w:val="single" w:color="000000" w:sz="4" w:space="0"/>
            </w:tcBorders>
          </w:tcPr>
          <w:p w:rsidR="004E4DEA" w:rsidRDefault="004D5EB4">
            <w:pPr>
              <w:tabs>
                <w:tab w:val="right" w:pos="1823"/>
              </w:tabs>
              <w:spacing w:after="0" w:line="259" w:lineRule="auto"/>
              <w:ind w:left="-12" w:right="0" w:firstLine="0"/>
            </w:pPr>
            <w:r>
              <w:t xml:space="preserve"> </w:t>
            </w:r>
            <w:r>
              <w:tab/>
            </w:r>
            <w:r>
              <w:rPr>
                <w:sz w:val="18"/>
              </w:rPr>
              <w:t>173,970.08</w:t>
            </w:r>
          </w:p>
        </w:tc>
      </w:tr>
      <w:tr w:rsidR="004E4DEA">
        <w:trPr>
          <w:trHeight w:val="319"/>
        </w:trPr>
        <w:tc>
          <w:tcPr>
            <w:tcW w:w="2004" w:type="dxa"/>
            <w:tcBorders>
              <w:top w:val="single" w:color="000000" w:sz="4" w:space="0"/>
              <w:left w:val="single" w:color="000000" w:sz="4" w:space="0"/>
              <w:bottom w:val="single" w:color="000000" w:sz="4" w:space="0"/>
              <w:right w:val="single" w:color="000000" w:sz="4" w:space="0"/>
            </w:tcBorders>
            <w:shd w:val="clear" w:color="auto" w:fill="F2F2F2"/>
          </w:tcPr>
          <w:p w:rsidR="004E4DEA" w:rsidRDefault="004D5EB4">
            <w:pPr>
              <w:spacing w:after="0" w:line="259" w:lineRule="auto"/>
              <w:ind w:left="10" w:right="0" w:firstLine="0"/>
            </w:pPr>
            <w:r>
              <w:rPr>
                <w:b/>
                <w:sz w:val="18"/>
              </w:rPr>
              <w:t xml:space="preserve">TOTAL </w:t>
            </w:r>
            <w:r>
              <w:t xml:space="preserve"> </w:t>
            </w:r>
          </w:p>
        </w:tc>
        <w:tc>
          <w:tcPr>
            <w:tcW w:w="1406" w:type="dxa"/>
            <w:tcBorders>
              <w:top w:val="single" w:color="000000" w:sz="4" w:space="0"/>
              <w:left w:val="single" w:color="000000" w:sz="4" w:space="0"/>
              <w:bottom w:val="single" w:color="000000" w:sz="4" w:space="0"/>
              <w:right w:val="single" w:color="000000" w:sz="4" w:space="0"/>
            </w:tcBorders>
            <w:shd w:val="clear" w:color="auto" w:fill="F2F2F2"/>
          </w:tcPr>
          <w:p w:rsidR="004E4DEA" w:rsidRDefault="004D5EB4">
            <w:pPr>
              <w:spacing w:after="0" w:line="259" w:lineRule="auto"/>
              <w:ind w:left="0" w:right="8" w:firstLine="0"/>
              <w:jc w:val="right"/>
            </w:pPr>
            <w:r>
              <w:rPr>
                <w:b/>
                <w:sz w:val="18"/>
              </w:rPr>
              <w:t>270,544</w:t>
            </w:r>
          </w:p>
        </w:tc>
        <w:tc>
          <w:tcPr>
            <w:tcW w:w="1404" w:type="dxa"/>
            <w:tcBorders>
              <w:top w:val="single" w:color="000000" w:sz="4" w:space="0"/>
              <w:left w:val="single" w:color="000000" w:sz="4" w:space="0"/>
              <w:bottom w:val="single" w:color="000000" w:sz="4" w:space="0"/>
              <w:right w:val="single" w:color="000000" w:sz="4" w:space="0"/>
            </w:tcBorders>
            <w:shd w:val="clear" w:color="auto" w:fill="F2F2F2"/>
          </w:tcPr>
          <w:p w:rsidR="004E4DEA" w:rsidRDefault="004D5EB4">
            <w:pPr>
              <w:tabs>
                <w:tab w:val="right" w:pos="1404"/>
              </w:tabs>
              <w:spacing w:after="0" w:line="259" w:lineRule="auto"/>
              <w:ind w:left="-10" w:right="0" w:firstLine="0"/>
            </w:pPr>
            <w:r>
              <w:t xml:space="preserve"> </w:t>
            </w:r>
            <w:r>
              <w:tab/>
            </w:r>
            <w:r>
              <w:rPr>
                <w:b/>
                <w:sz w:val="18"/>
              </w:rPr>
              <w:t>270,544</w:t>
            </w:r>
          </w:p>
        </w:tc>
        <w:tc>
          <w:tcPr>
            <w:tcW w:w="1099" w:type="dxa"/>
            <w:tcBorders>
              <w:top w:val="single" w:color="000000" w:sz="4" w:space="0"/>
              <w:left w:val="single" w:color="000000" w:sz="4" w:space="0"/>
              <w:bottom w:val="single" w:color="000000" w:sz="4" w:space="0"/>
              <w:right w:val="single" w:color="000000" w:sz="4" w:space="0"/>
            </w:tcBorders>
            <w:shd w:val="clear" w:color="auto" w:fill="F2F2F2"/>
          </w:tcPr>
          <w:p w:rsidR="004E4DEA" w:rsidRDefault="004D5EB4">
            <w:pPr>
              <w:tabs>
                <w:tab w:val="right" w:pos="1099"/>
              </w:tabs>
              <w:spacing w:after="0" w:line="259" w:lineRule="auto"/>
              <w:ind w:left="-10" w:right="0" w:firstLine="0"/>
            </w:pPr>
            <w:r>
              <w:t xml:space="preserve"> </w:t>
            </w:r>
            <w:r>
              <w:rPr>
                <w:b/>
                <w:sz w:val="18"/>
              </w:rPr>
              <w:t xml:space="preserve">  </w:t>
            </w:r>
            <w:r>
              <w:rPr>
                <w:b/>
                <w:sz w:val="18"/>
              </w:rPr>
              <w:tab/>
              <w:t>0.25</w:t>
            </w:r>
          </w:p>
        </w:tc>
        <w:tc>
          <w:tcPr>
            <w:tcW w:w="1529" w:type="dxa"/>
            <w:tcBorders>
              <w:top w:val="single" w:color="000000" w:sz="4" w:space="0"/>
              <w:left w:val="single" w:color="000000" w:sz="4" w:space="0"/>
              <w:bottom w:val="single" w:color="000000" w:sz="4" w:space="0"/>
              <w:right w:val="single" w:color="000000" w:sz="4" w:space="0"/>
            </w:tcBorders>
            <w:shd w:val="clear" w:color="auto" w:fill="F2F2F2"/>
          </w:tcPr>
          <w:p w:rsidR="004E4DEA" w:rsidRDefault="004D5EB4">
            <w:pPr>
              <w:tabs>
                <w:tab w:val="right" w:pos="1529"/>
              </w:tabs>
              <w:spacing w:after="0" w:line="259" w:lineRule="auto"/>
              <w:ind w:left="-7" w:right="0" w:firstLine="0"/>
            </w:pPr>
            <w:r>
              <w:t xml:space="preserve"> </w:t>
            </w:r>
            <w:r>
              <w:rPr>
                <w:b/>
                <w:vertAlign w:val="subscript"/>
              </w:rPr>
              <w:t xml:space="preserve"> </w:t>
            </w:r>
            <w:r>
              <w:t xml:space="preserve"> </w:t>
            </w:r>
            <w:r>
              <w:tab/>
            </w:r>
            <w:r>
              <w:rPr>
                <w:b/>
                <w:sz w:val="18"/>
              </w:rPr>
              <w:t>67,637</w:t>
            </w:r>
          </w:p>
        </w:tc>
        <w:tc>
          <w:tcPr>
            <w:tcW w:w="1171" w:type="dxa"/>
            <w:tcBorders>
              <w:top w:val="single" w:color="000000" w:sz="4" w:space="0"/>
              <w:left w:val="single" w:color="000000" w:sz="4" w:space="0"/>
              <w:bottom w:val="single" w:color="000000" w:sz="4" w:space="0"/>
              <w:right w:val="single" w:color="000000" w:sz="4" w:space="0"/>
            </w:tcBorders>
            <w:shd w:val="clear" w:color="auto" w:fill="F2F2F2"/>
          </w:tcPr>
          <w:p w:rsidR="004E4DEA" w:rsidRDefault="004D5EB4">
            <w:pPr>
              <w:tabs>
                <w:tab w:val="right" w:pos="1171"/>
              </w:tabs>
              <w:spacing w:after="0" w:line="259" w:lineRule="auto"/>
              <w:ind w:left="-12" w:right="0" w:firstLine="0"/>
            </w:pPr>
            <w:r>
              <w:t xml:space="preserve"> </w:t>
            </w:r>
            <w:r>
              <w:tab/>
            </w:r>
            <w:r>
              <w:rPr>
                <w:b/>
                <w:sz w:val="18"/>
              </w:rPr>
              <w:t>varies</w:t>
            </w:r>
          </w:p>
        </w:tc>
        <w:tc>
          <w:tcPr>
            <w:tcW w:w="1823" w:type="dxa"/>
            <w:tcBorders>
              <w:top w:val="single" w:color="000000" w:sz="4" w:space="0"/>
              <w:left w:val="single" w:color="000000" w:sz="4" w:space="0"/>
              <w:bottom w:val="single" w:color="000000" w:sz="4" w:space="0"/>
              <w:right w:val="single" w:color="000000" w:sz="4" w:space="0"/>
            </w:tcBorders>
            <w:shd w:val="clear" w:color="auto" w:fill="F2F2F2"/>
          </w:tcPr>
          <w:p w:rsidR="004E4DEA" w:rsidRDefault="004D5EB4">
            <w:pPr>
              <w:tabs>
                <w:tab w:val="right" w:pos="1823"/>
              </w:tabs>
              <w:spacing w:after="0" w:line="259" w:lineRule="auto"/>
              <w:ind w:left="-14" w:right="0" w:firstLine="0"/>
            </w:pPr>
            <w:r>
              <w:t xml:space="preserve"> </w:t>
            </w:r>
            <w:r>
              <w:rPr>
                <w:b/>
                <w:sz w:val="18"/>
              </w:rPr>
              <w:t xml:space="preserve">  </w:t>
            </w:r>
            <w:r>
              <w:rPr>
                <w:b/>
                <w:sz w:val="18"/>
              </w:rPr>
              <w:tab/>
              <w:t>2,551,669.46</w:t>
            </w:r>
          </w:p>
        </w:tc>
      </w:tr>
    </w:tbl>
    <w:p w:rsidR="004E4DEA" w:rsidRDefault="004D5EB4">
      <w:pPr>
        <w:spacing w:after="170" w:line="259" w:lineRule="auto"/>
        <w:ind w:left="14" w:right="0" w:firstLine="0"/>
      </w:pPr>
      <w:r>
        <w:t xml:space="preserve"> </w:t>
      </w:r>
    </w:p>
    <w:p w:rsidR="004E4DEA" w:rsidRDefault="004D5EB4">
      <w:pPr>
        <w:spacing w:after="0" w:line="259" w:lineRule="auto"/>
        <w:ind w:left="0" w:right="1210" w:firstLine="0"/>
        <w:jc w:val="center"/>
      </w:pPr>
      <w:r>
        <w:t xml:space="preserve"> </w:t>
      </w:r>
    </w:p>
    <w:p w:rsidR="004E4DEA" w:rsidRDefault="004D5EB4">
      <w:pPr>
        <w:spacing w:after="0" w:line="259" w:lineRule="auto"/>
        <w:ind w:left="0" w:right="1210" w:firstLine="0"/>
        <w:jc w:val="center"/>
      </w:pPr>
      <w:r>
        <w:t xml:space="preserve"> </w:t>
      </w:r>
    </w:p>
    <w:p w:rsidR="004E4DEA" w:rsidRDefault="004D5EB4">
      <w:pPr>
        <w:pStyle w:val="Heading2"/>
        <w:spacing w:after="2"/>
        <w:ind w:left="729"/>
      </w:pPr>
      <w:r>
        <w:rPr>
          <w:i/>
          <w:u w:val="none"/>
        </w:rPr>
        <w:t xml:space="preserve">Collection of Information Instruments and Instruction/Guidance Documents  </w:t>
      </w:r>
    </w:p>
    <w:p w:rsidR="004E4DEA" w:rsidRDefault="004D5EB4">
      <w:pPr>
        <w:spacing w:after="26" w:line="259" w:lineRule="auto"/>
        <w:ind w:left="734" w:right="0" w:firstLine="0"/>
      </w:pPr>
      <w:r>
        <w:t xml:space="preserve">  </w:t>
      </w:r>
    </w:p>
    <w:p w:rsidR="004E4DEA" w:rsidRDefault="004D5EB4">
      <w:pPr>
        <w:numPr>
          <w:ilvl w:val="0"/>
          <w:numId w:val="3"/>
        </w:numPr>
        <w:ind w:right="1276" w:hanging="360"/>
      </w:pPr>
      <w:r>
        <w:t xml:space="preserve">Appointment of Representative (English)  </w:t>
      </w:r>
    </w:p>
    <w:p w:rsidR="004E4DEA" w:rsidRDefault="004D5EB4">
      <w:pPr>
        <w:spacing w:after="0" w:line="259" w:lineRule="auto"/>
        <w:ind w:left="734" w:right="0" w:firstLine="0"/>
      </w:pPr>
      <w:r>
        <w:t xml:space="preserve">  </w:t>
      </w:r>
    </w:p>
    <w:p w:rsidR="004E4DEA" w:rsidRDefault="004D5EB4">
      <w:pPr>
        <w:ind w:left="1464" w:right="1276"/>
      </w:pPr>
      <w:r>
        <w:t xml:space="preserve">Revised with changes.  </w:t>
      </w:r>
    </w:p>
    <w:p w:rsidR="004E4DEA" w:rsidRDefault="004D5EB4">
      <w:pPr>
        <w:spacing w:after="26" w:line="259" w:lineRule="auto"/>
        <w:ind w:left="734" w:right="0" w:firstLine="0"/>
      </w:pPr>
      <w:r>
        <w:t xml:space="preserve">  </w:t>
      </w:r>
    </w:p>
    <w:p w:rsidR="004E4DEA" w:rsidRDefault="004D5EB4">
      <w:pPr>
        <w:numPr>
          <w:ilvl w:val="0"/>
          <w:numId w:val="3"/>
        </w:numPr>
        <w:ind w:right="1276" w:hanging="360"/>
      </w:pPr>
      <w:r>
        <w:t xml:space="preserve">Appointment of Representative (Spanish)  </w:t>
      </w:r>
    </w:p>
    <w:p w:rsidR="004E4DEA" w:rsidRDefault="004D5EB4">
      <w:pPr>
        <w:spacing w:after="0" w:line="259" w:lineRule="auto"/>
        <w:ind w:left="734" w:right="0" w:firstLine="0"/>
      </w:pPr>
      <w:r>
        <w:t xml:space="preserve">  </w:t>
      </w:r>
    </w:p>
    <w:p w:rsidR="004E4DEA" w:rsidRDefault="004D5EB4">
      <w:pPr>
        <w:ind w:left="1464" w:right="1276"/>
      </w:pPr>
      <w:r>
        <w:lastRenderedPageBreak/>
        <w:t>In an effort to make the best use of limited translation resources, the revised Spanish version is not included in this package but will be added as a non</w:t>
      </w:r>
      <w:r w:rsidR="00426604">
        <w:t>-</w:t>
      </w:r>
      <w:r>
        <w:t xml:space="preserve">substantive change after OMB approval.  </w:t>
      </w:r>
    </w:p>
    <w:p w:rsidR="004E4DEA" w:rsidRDefault="004D5EB4">
      <w:pPr>
        <w:spacing w:after="0" w:line="259" w:lineRule="auto"/>
        <w:ind w:left="14" w:right="0" w:firstLine="0"/>
      </w:pPr>
      <w:r>
        <w:rPr>
          <w:sz w:val="26"/>
        </w:rPr>
        <w:t xml:space="preserve"> </w:t>
      </w:r>
      <w:r>
        <w:t xml:space="preserve"> </w:t>
      </w:r>
    </w:p>
    <w:p w:rsidR="004E4DEA" w:rsidRDefault="004D5EB4">
      <w:pPr>
        <w:numPr>
          <w:ilvl w:val="0"/>
          <w:numId w:val="4"/>
        </w:numPr>
        <w:spacing w:after="3" w:line="259" w:lineRule="auto"/>
        <w:ind w:right="0" w:hanging="360"/>
      </w:pPr>
      <w:r>
        <w:rPr>
          <w:u w:val="single" w:color="000000"/>
        </w:rPr>
        <w:t>Capital Costs</w:t>
      </w:r>
      <w:r>
        <w:t xml:space="preserve">  </w:t>
      </w:r>
      <w:bookmarkStart w:name="_GoBack" w:id="0"/>
      <w:bookmarkEnd w:id="0"/>
    </w:p>
    <w:p w:rsidR="004E4DEA" w:rsidRDefault="004D5EB4">
      <w:pPr>
        <w:spacing w:after="0" w:line="259" w:lineRule="auto"/>
        <w:ind w:left="14" w:right="0" w:firstLine="0"/>
      </w:pPr>
      <w:r>
        <w:rPr>
          <w:rFonts w:ascii="Calibri" w:hAnsi="Calibri" w:eastAsia="Calibri" w:cs="Calibri"/>
        </w:rPr>
        <w:t xml:space="preserve"> </w:t>
      </w:r>
      <w:r>
        <w:t xml:space="preserve"> </w:t>
      </w:r>
    </w:p>
    <w:p w:rsidR="004E4DEA" w:rsidRDefault="004D5EB4">
      <w:pPr>
        <w:ind w:left="715" w:right="1276"/>
      </w:pPr>
      <w:r>
        <w:t xml:space="preserve">There are no capital costs associated with this collection.  </w:t>
      </w:r>
    </w:p>
    <w:p w:rsidR="004E4DEA" w:rsidRDefault="004D5EB4">
      <w:pPr>
        <w:spacing w:after="0" w:line="259" w:lineRule="auto"/>
        <w:ind w:left="14" w:right="0" w:firstLine="0"/>
      </w:pPr>
      <w:r>
        <w:rPr>
          <w:rFonts w:ascii="Calibri" w:hAnsi="Calibri" w:eastAsia="Calibri" w:cs="Calibri"/>
          <w:sz w:val="26"/>
        </w:rPr>
        <w:t xml:space="preserve"> </w:t>
      </w:r>
      <w:r>
        <w:t xml:space="preserve"> </w:t>
      </w:r>
    </w:p>
    <w:p w:rsidR="004E4DEA" w:rsidRDefault="004D5EB4">
      <w:pPr>
        <w:numPr>
          <w:ilvl w:val="0"/>
          <w:numId w:val="4"/>
        </w:numPr>
        <w:spacing w:after="3" w:line="259" w:lineRule="auto"/>
        <w:ind w:right="0" w:hanging="360"/>
      </w:pPr>
      <w:r>
        <w:rPr>
          <w:u w:val="single" w:color="000000"/>
        </w:rPr>
        <w:t>Cost to Federal Government</w:t>
      </w:r>
      <w:r>
        <w:t xml:space="preserve">  </w:t>
      </w:r>
    </w:p>
    <w:p w:rsidR="004E4DEA" w:rsidRDefault="004D5EB4">
      <w:pPr>
        <w:spacing w:after="0" w:line="259" w:lineRule="auto"/>
        <w:ind w:left="14" w:right="0" w:firstLine="0"/>
      </w:pPr>
      <w:r>
        <w:rPr>
          <w:rFonts w:ascii="Calibri" w:hAnsi="Calibri" w:eastAsia="Calibri" w:cs="Calibri"/>
        </w:rPr>
        <w:t xml:space="preserve"> </w:t>
      </w:r>
      <w:r>
        <w:t xml:space="preserve"> </w:t>
      </w:r>
    </w:p>
    <w:p w:rsidR="004E4DEA" w:rsidRDefault="004D5EB4">
      <w:pPr>
        <w:ind w:left="864" w:right="1276"/>
      </w:pPr>
      <w:r>
        <w:t xml:space="preserve">There is no cost to the Federal Government for this collection.  </w:t>
      </w:r>
    </w:p>
    <w:p w:rsidR="004E4DEA" w:rsidRDefault="004D5EB4">
      <w:pPr>
        <w:spacing w:after="0" w:line="259" w:lineRule="auto"/>
        <w:ind w:left="14" w:right="0" w:firstLine="0"/>
      </w:pPr>
      <w:r>
        <w:rPr>
          <w:rFonts w:ascii="Calibri" w:hAnsi="Calibri" w:eastAsia="Calibri" w:cs="Calibri"/>
          <w:sz w:val="26"/>
        </w:rPr>
        <w:t xml:space="preserve"> </w:t>
      </w:r>
      <w:r>
        <w:t xml:space="preserve"> </w:t>
      </w:r>
    </w:p>
    <w:p w:rsidR="004E4DEA" w:rsidRDefault="004D5EB4">
      <w:pPr>
        <w:pStyle w:val="Heading3"/>
        <w:ind w:left="355"/>
      </w:pPr>
      <w:r>
        <w:rPr>
          <w:u w:val="none"/>
        </w:rPr>
        <w:t xml:space="preserve">15. </w:t>
      </w:r>
      <w:r>
        <w:t>Changes to Burden</w:t>
      </w:r>
      <w:r>
        <w:rPr>
          <w:u w:val="none"/>
        </w:rPr>
        <w:t xml:space="preserve">  </w:t>
      </w:r>
    </w:p>
    <w:p w:rsidR="004E4DEA" w:rsidRDefault="004D5EB4">
      <w:pPr>
        <w:spacing w:after="0" w:line="259" w:lineRule="auto"/>
        <w:ind w:left="14" w:right="0" w:firstLine="0"/>
      </w:pPr>
      <w:r>
        <w:t xml:space="preserve">  </w:t>
      </w:r>
    </w:p>
    <w:p w:rsidR="004E4DEA" w:rsidRDefault="004D5EB4">
      <w:pPr>
        <w:ind w:left="715" w:right="1276"/>
      </w:pPr>
      <w:r>
        <w:t xml:space="preserve">The AOR form proposes several changes, which we have implemented for clarity and ease of use. We have re-ordered sections 1 and 2 and added an optional fill box for a fax number. We have also added some instructions on page 2 for clarity on required fields. The changes have no impact on our burden estimates.  </w:t>
      </w:r>
    </w:p>
    <w:p w:rsidR="004E4DEA" w:rsidRDefault="004D5EB4">
      <w:pPr>
        <w:spacing w:after="0" w:line="259" w:lineRule="auto"/>
        <w:ind w:left="14" w:right="0" w:firstLine="0"/>
      </w:pPr>
      <w:r>
        <w:t xml:space="preserve">  </w:t>
      </w:r>
    </w:p>
    <w:p w:rsidR="004E4DEA" w:rsidRDefault="004D5EB4">
      <w:pPr>
        <w:ind w:left="715" w:right="1276"/>
      </w:pPr>
      <w:r>
        <w:t xml:space="preserve">The burden is computed based on relevant available data for Medicare appeals, and those figures are updated annually.  Current appeals data indicates that the number of first level appeals has decreased since 2017.  While the total time to complete the form has not changed, the hourly burden estimates have decreased and is being adjusted in this iteration for all respondents due to a fewer number of appeals being filed. Overall, the number of appeals using this collection has decreased by 76,740 (prior amount 347,284 minus current amount 270,544) which translates to a decrease of 19,184 burden hours (prior amount 86,821 minus current amount 67,637).  </w:t>
      </w:r>
    </w:p>
    <w:p w:rsidR="004E4DEA" w:rsidRDefault="004D5EB4">
      <w:pPr>
        <w:spacing w:after="0" w:line="259" w:lineRule="auto"/>
        <w:ind w:left="734" w:right="0" w:firstLine="0"/>
      </w:pPr>
      <w:r>
        <w:t xml:space="preserve">  </w:t>
      </w:r>
    </w:p>
    <w:p w:rsidR="004E4DEA" w:rsidRDefault="004D5EB4">
      <w:pPr>
        <w:pStyle w:val="Heading3"/>
        <w:ind w:left="355"/>
      </w:pPr>
      <w:r>
        <w:rPr>
          <w:u w:val="none"/>
        </w:rPr>
        <w:t xml:space="preserve">16. </w:t>
      </w:r>
      <w:r>
        <w:t>Publication/Tabulation Dates</w:t>
      </w:r>
      <w:r>
        <w:rPr>
          <w:u w:val="none"/>
        </w:rPr>
        <w:t xml:space="preserve">  </w:t>
      </w:r>
    </w:p>
    <w:p w:rsidR="004E4DEA" w:rsidRDefault="004D5EB4">
      <w:pPr>
        <w:spacing w:after="0" w:line="259" w:lineRule="auto"/>
        <w:ind w:left="14" w:right="0" w:firstLine="0"/>
      </w:pPr>
      <w:r>
        <w:rPr>
          <w:rFonts w:ascii="Calibri" w:hAnsi="Calibri" w:eastAsia="Calibri" w:cs="Calibri"/>
        </w:rPr>
        <w:t xml:space="preserve"> </w:t>
      </w:r>
      <w:r>
        <w:t xml:space="preserve"> </w:t>
      </w:r>
    </w:p>
    <w:p w:rsidR="004E4DEA" w:rsidRDefault="004D5EB4">
      <w:pPr>
        <w:ind w:left="715" w:right="2309"/>
      </w:pPr>
      <w:r>
        <w:t xml:space="preserve">The standardized form will be published on the Internet on the CMS.gov forms page, however, no aggregate or individual data will be tabulated from them.  </w:t>
      </w:r>
    </w:p>
    <w:p w:rsidR="004E4DEA" w:rsidRDefault="004D5EB4">
      <w:pPr>
        <w:spacing w:after="0" w:line="259" w:lineRule="auto"/>
        <w:ind w:left="14" w:right="0" w:firstLine="0"/>
      </w:pPr>
      <w:r>
        <w:rPr>
          <w:rFonts w:ascii="Calibri" w:hAnsi="Calibri" w:eastAsia="Calibri" w:cs="Calibri"/>
        </w:rPr>
        <w:t xml:space="preserve"> </w:t>
      </w:r>
      <w:r>
        <w:t xml:space="preserve"> </w:t>
      </w:r>
    </w:p>
    <w:p w:rsidR="004E4DEA" w:rsidRDefault="004D5EB4">
      <w:pPr>
        <w:numPr>
          <w:ilvl w:val="0"/>
          <w:numId w:val="5"/>
        </w:numPr>
        <w:spacing w:after="3" w:line="259" w:lineRule="auto"/>
        <w:ind w:right="0" w:hanging="360"/>
      </w:pPr>
      <w:r>
        <w:rPr>
          <w:u w:val="single" w:color="000000"/>
        </w:rPr>
        <w:t>Expiration Date</w:t>
      </w:r>
      <w:r>
        <w:t xml:space="preserve">  </w:t>
      </w:r>
    </w:p>
    <w:p w:rsidR="004E4DEA" w:rsidRDefault="004D5EB4">
      <w:pPr>
        <w:spacing w:after="0" w:line="259" w:lineRule="auto"/>
        <w:ind w:left="14" w:right="0" w:firstLine="0"/>
      </w:pPr>
      <w:r>
        <w:t xml:space="preserve">  </w:t>
      </w:r>
    </w:p>
    <w:p w:rsidR="004E4DEA" w:rsidRDefault="004D5EB4">
      <w:pPr>
        <w:ind w:left="715" w:right="1276"/>
      </w:pPr>
      <w:r>
        <w:t xml:space="preserve">The expiration date appears at the bottom of the form.  </w:t>
      </w:r>
    </w:p>
    <w:p w:rsidR="004E4DEA" w:rsidRDefault="004D5EB4">
      <w:pPr>
        <w:spacing w:after="5" w:line="259" w:lineRule="auto"/>
        <w:ind w:left="734" w:right="0" w:firstLine="0"/>
      </w:pPr>
      <w:r>
        <w:t xml:space="preserve">  </w:t>
      </w:r>
    </w:p>
    <w:p w:rsidR="004E4DEA" w:rsidRDefault="004D5EB4">
      <w:pPr>
        <w:numPr>
          <w:ilvl w:val="0"/>
          <w:numId w:val="5"/>
        </w:numPr>
        <w:spacing w:after="3" w:line="259" w:lineRule="auto"/>
        <w:ind w:right="0" w:hanging="360"/>
      </w:pPr>
      <w:r>
        <w:rPr>
          <w:u w:val="single" w:color="000000"/>
        </w:rPr>
        <w:t>Certification Statement</w:t>
      </w:r>
      <w:r>
        <w:t xml:space="preserve">  </w:t>
      </w:r>
    </w:p>
    <w:p w:rsidR="004E4DEA" w:rsidRDefault="004D5EB4">
      <w:pPr>
        <w:spacing w:after="0" w:line="259" w:lineRule="auto"/>
        <w:ind w:left="734" w:right="0" w:firstLine="0"/>
      </w:pPr>
      <w:r>
        <w:t xml:space="preserve">  </w:t>
      </w:r>
    </w:p>
    <w:p w:rsidR="004E4DEA" w:rsidRDefault="004D5EB4">
      <w:pPr>
        <w:ind w:left="715" w:right="1276"/>
      </w:pPr>
      <w:r>
        <w:t xml:space="preserve">There are no exceptions to the certification statement.  </w:t>
      </w:r>
    </w:p>
    <w:p w:rsidR="004E4DEA" w:rsidRDefault="004D5EB4">
      <w:pPr>
        <w:spacing w:after="6" w:line="259" w:lineRule="auto"/>
        <w:ind w:left="14" w:right="0" w:firstLine="0"/>
      </w:pPr>
      <w:r>
        <w:t xml:space="preserve">  </w:t>
      </w:r>
    </w:p>
    <w:p w:rsidR="004E4DEA" w:rsidRDefault="004D5EB4">
      <w:pPr>
        <w:pStyle w:val="Heading1"/>
        <w:spacing w:after="201"/>
        <w:ind w:left="-5"/>
      </w:pPr>
      <w:r>
        <w:lastRenderedPageBreak/>
        <w:t xml:space="preserve">B. Collection of Information Employing Statistical Methods </w:t>
      </w:r>
      <w:r>
        <w:rPr>
          <w:b w:val="0"/>
        </w:rPr>
        <w:t xml:space="preserve"> </w:t>
      </w:r>
    </w:p>
    <w:p w:rsidR="004E4DEA" w:rsidRDefault="004D5EB4">
      <w:pPr>
        <w:spacing w:after="0" w:line="259" w:lineRule="auto"/>
        <w:ind w:left="14" w:right="0" w:firstLine="0"/>
      </w:pPr>
      <w:r>
        <w:t xml:space="preserve">  </w:t>
      </w:r>
    </w:p>
    <w:p w:rsidR="004E4DEA" w:rsidRDefault="004D5EB4">
      <w:pPr>
        <w:ind w:left="715" w:right="1276"/>
      </w:pPr>
      <w:r>
        <w:t xml:space="preserve">The use of statistical methods does not apply for purposes of this form.  </w:t>
      </w:r>
    </w:p>
    <w:p w:rsidR="004E4DEA" w:rsidRDefault="004D5EB4">
      <w:pPr>
        <w:spacing w:after="0" w:line="259" w:lineRule="auto"/>
        <w:ind w:left="14" w:right="0" w:firstLine="0"/>
      </w:pPr>
      <w:r>
        <w:t xml:space="preserve">  </w:t>
      </w:r>
    </w:p>
    <w:sectPr w:rsidR="004E4DEA">
      <w:footerReference w:type="even" r:id="rId12"/>
      <w:footerReference w:type="default" r:id="rId13"/>
      <w:footerReference w:type="first" r:id="rId14"/>
      <w:pgSz w:w="12240" w:h="15840"/>
      <w:pgMar w:top="1453" w:right="185" w:bottom="1523" w:left="1426" w:header="72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29D" w:rsidRDefault="004D5EB4">
      <w:pPr>
        <w:spacing w:after="0" w:line="240" w:lineRule="auto"/>
      </w:pPr>
      <w:r>
        <w:separator/>
      </w:r>
    </w:p>
  </w:endnote>
  <w:endnote w:type="continuationSeparator" w:id="0">
    <w:p w:rsidR="00DD729D" w:rsidRDefault="004D5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EA" w:rsidRDefault="004D5EB4">
    <w:pPr>
      <w:spacing w:after="0" w:line="259" w:lineRule="auto"/>
      <w:ind w:left="0" w:right="123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rsidR="004E4DEA" w:rsidRDefault="004D5EB4">
    <w:pPr>
      <w:spacing w:after="0" w:line="259" w:lineRule="auto"/>
      <w:ind w:left="14" w:right="0" w:firstLine="0"/>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EA" w:rsidRDefault="004D5EB4">
    <w:pPr>
      <w:spacing w:after="0" w:line="259" w:lineRule="auto"/>
      <w:ind w:left="0" w:right="1239" w:firstLine="0"/>
      <w:jc w:val="center"/>
    </w:pPr>
    <w:r>
      <w:fldChar w:fldCharType="begin"/>
    </w:r>
    <w:r>
      <w:instrText xml:space="preserve"> PAGE   \* MERGEFORMAT </w:instrText>
    </w:r>
    <w:r>
      <w:fldChar w:fldCharType="separate"/>
    </w:r>
    <w:r w:rsidR="00426604" w:rsidRPr="00426604">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rsidR="004E4DEA" w:rsidRDefault="004D5EB4">
    <w:pPr>
      <w:spacing w:after="0" w:line="259" w:lineRule="auto"/>
      <w:ind w:left="14" w:right="0" w:firstLine="0"/>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EA" w:rsidRDefault="004D5EB4">
    <w:pPr>
      <w:spacing w:after="0" w:line="259" w:lineRule="auto"/>
      <w:ind w:left="0" w:right="123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rsidR="004E4DEA" w:rsidRDefault="004D5EB4">
    <w:pPr>
      <w:spacing w:after="0" w:line="259" w:lineRule="auto"/>
      <w:ind w:left="14" w:right="0" w:firstLine="0"/>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29D" w:rsidRDefault="004D5EB4">
      <w:pPr>
        <w:spacing w:after="0" w:line="240" w:lineRule="auto"/>
      </w:pPr>
      <w:r>
        <w:separator/>
      </w:r>
    </w:p>
  </w:footnote>
  <w:footnote w:type="continuationSeparator" w:id="0">
    <w:p w:rsidR="00DD729D" w:rsidRDefault="004D5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C39"/>
    <w:multiLevelType w:val="hybridMultilevel"/>
    <w:tmpl w:val="8AC04BC8"/>
    <w:lvl w:ilvl="0" w:tplc="CFC2C124">
      <w:start w:val="17"/>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3252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E2AC5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A85E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EA0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2E8D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1409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089C4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34C4C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CD0A6D"/>
    <w:multiLevelType w:val="hybridMultilevel"/>
    <w:tmpl w:val="5AE8FA24"/>
    <w:lvl w:ilvl="0" w:tplc="E6ACE498">
      <w:start w:val="1"/>
      <w:numFmt w:val="bullet"/>
      <w:lvlText w:val="•"/>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F0B0B2">
      <w:start w:val="1"/>
      <w:numFmt w:val="bullet"/>
      <w:lvlText w:val="o"/>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A260DA">
      <w:start w:val="1"/>
      <w:numFmt w:val="bullet"/>
      <w:lvlText w:val="▪"/>
      <w:lvlJc w:val="left"/>
      <w:pPr>
        <w:ind w:left="3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B42CDA">
      <w:start w:val="1"/>
      <w:numFmt w:val="bullet"/>
      <w:lvlText w:val="•"/>
      <w:lvlJc w:val="left"/>
      <w:pPr>
        <w:ind w:left="4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D60D18">
      <w:start w:val="1"/>
      <w:numFmt w:val="bullet"/>
      <w:lvlText w:val="o"/>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D64622">
      <w:start w:val="1"/>
      <w:numFmt w:val="bullet"/>
      <w:lvlText w:val="▪"/>
      <w:lvlJc w:val="left"/>
      <w:pPr>
        <w:ind w:left="5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1A2A14">
      <w:start w:val="1"/>
      <w:numFmt w:val="bullet"/>
      <w:lvlText w:val="•"/>
      <w:lvlJc w:val="left"/>
      <w:pPr>
        <w:ind w:left="6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30436E">
      <w:start w:val="1"/>
      <w:numFmt w:val="bullet"/>
      <w:lvlText w:val="o"/>
      <w:lvlJc w:val="left"/>
      <w:pPr>
        <w:ind w:left="6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7C80C6">
      <w:start w:val="1"/>
      <w:numFmt w:val="bullet"/>
      <w:lvlText w:val="▪"/>
      <w:lvlJc w:val="left"/>
      <w:pPr>
        <w:ind w:left="7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1946AC"/>
    <w:multiLevelType w:val="hybridMultilevel"/>
    <w:tmpl w:val="D346C748"/>
    <w:lvl w:ilvl="0" w:tplc="C35E7DD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9A8AAE">
      <w:start w:val="1"/>
      <w:numFmt w:val="bullet"/>
      <w:lvlText w:val="o"/>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4A0E60">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AC4468">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CE71EE">
      <w:start w:val="1"/>
      <w:numFmt w:val="bullet"/>
      <w:lvlText w:val="o"/>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702AC8">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860342">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F4BCFA">
      <w:start w:val="1"/>
      <w:numFmt w:val="bullet"/>
      <w:lvlText w:val="o"/>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3A1FB6">
      <w:start w:val="1"/>
      <w:numFmt w:val="bullet"/>
      <w:lvlText w:val="▪"/>
      <w:lvlJc w:val="left"/>
      <w:pPr>
        <w:ind w:left="6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84E1BD8"/>
    <w:multiLevelType w:val="hybridMultilevel"/>
    <w:tmpl w:val="D6BC6FEA"/>
    <w:lvl w:ilvl="0" w:tplc="BE2660BA">
      <w:start w:val="1"/>
      <w:numFmt w:val="bullet"/>
      <w:lvlText w:val="•"/>
      <w:lvlJc w:val="left"/>
      <w:pPr>
        <w:ind w:left="1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6CE56C">
      <w:start w:val="1"/>
      <w:numFmt w:val="bullet"/>
      <w:lvlText w:val="o"/>
      <w:lvlJc w:val="left"/>
      <w:pPr>
        <w:ind w:left="2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9A56C4">
      <w:start w:val="1"/>
      <w:numFmt w:val="bullet"/>
      <w:lvlText w:val="▪"/>
      <w:lvlJc w:val="left"/>
      <w:pPr>
        <w:ind w:left="3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54C184">
      <w:start w:val="1"/>
      <w:numFmt w:val="bullet"/>
      <w:lvlText w:val="•"/>
      <w:lvlJc w:val="left"/>
      <w:pPr>
        <w:ind w:left="4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820818">
      <w:start w:val="1"/>
      <w:numFmt w:val="bullet"/>
      <w:lvlText w:val="o"/>
      <w:lvlJc w:val="left"/>
      <w:pPr>
        <w:ind w:left="4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102CC0">
      <w:start w:val="1"/>
      <w:numFmt w:val="bullet"/>
      <w:lvlText w:val="▪"/>
      <w:lvlJc w:val="left"/>
      <w:pPr>
        <w:ind w:left="5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D4B286">
      <w:start w:val="1"/>
      <w:numFmt w:val="bullet"/>
      <w:lvlText w:val="•"/>
      <w:lvlJc w:val="left"/>
      <w:pPr>
        <w:ind w:left="6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A096A0">
      <w:start w:val="1"/>
      <w:numFmt w:val="bullet"/>
      <w:lvlText w:val="o"/>
      <w:lvlJc w:val="left"/>
      <w:pPr>
        <w:ind w:left="6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EAA7C4">
      <w:start w:val="1"/>
      <w:numFmt w:val="bullet"/>
      <w:lvlText w:val="▪"/>
      <w:lvlJc w:val="left"/>
      <w:pPr>
        <w:ind w:left="7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C8D7234"/>
    <w:multiLevelType w:val="hybridMultilevel"/>
    <w:tmpl w:val="05B0962E"/>
    <w:lvl w:ilvl="0" w:tplc="EDC8BE54">
      <w:start w:val="13"/>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62F9AA">
      <w:start w:val="1"/>
      <w:numFmt w:val="lowerLetter"/>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2EAFA">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C0CC96">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DA0D9E">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2E1FC2">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4B630">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E1BD6">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DC51B6">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DEA"/>
    <w:rsid w:val="00007FF3"/>
    <w:rsid w:val="00426604"/>
    <w:rsid w:val="004D5EB4"/>
    <w:rsid w:val="004E4DEA"/>
    <w:rsid w:val="006530F7"/>
    <w:rsid w:val="00DD729D"/>
    <w:rsid w:val="00F5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84F1"/>
  <w15:docId w15:val="{5B6BD18D-B086-4DCE-8687-91E7B078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2" w:lineRule="auto"/>
      <w:ind w:left="730" w:right="153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
      <w:ind w:left="37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3"/>
      <w:ind w:left="37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oes/current/oes_nat.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ls.gov/oes/current/oes_nat.htm" TargetMode="External"/><Relationship Id="rId4" Type="http://schemas.openxmlformats.org/officeDocument/2006/relationships/webSettings" Target="webSettings.xml"/><Relationship Id="rId9" Type="http://schemas.openxmlformats.org/officeDocument/2006/relationships/hyperlink" Target="http://www.bls.gov/oes/current/oes_nat.ht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CMS1696 Supporting Statement</vt:lpstr>
    </vt:vector>
  </TitlesOfParts>
  <Company>CMS</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CMS1696 Supporting Statement</dc:title>
  <dc:subject/>
  <dc:creator>CMS</dc:creator>
  <cp:keywords>CMS1696 Supporting Statement Appointment of Representative</cp:keywords>
  <cp:lastModifiedBy>Stephan McKenzie</cp:lastModifiedBy>
  <cp:revision>2</cp:revision>
  <dcterms:created xsi:type="dcterms:W3CDTF">2021-05-24T21:07:00Z</dcterms:created>
  <dcterms:modified xsi:type="dcterms:W3CDTF">2021-05-24T21:07:00Z</dcterms:modified>
</cp:coreProperties>
</file>