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4A6" w:rsidP="002974A6" w:rsidRDefault="002974A6">
      <w:pPr>
        <w:pStyle w:val="Heading1"/>
        <w:spacing w:before="0"/>
        <w:rPr>
          <w:rFonts w:eastAsia="Times New Roman"/>
          <w:color w:val="auto"/>
        </w:rPr>
      </w:pPr>
      <w:bookmarkStart w:name="_Toc52177858" w:id="0"/>
      <w:r>
        <w:rPr>
          <w:rFonts w:eastAsia="Times New Roman"/>
          <w:color w:val="auto"/>
        </w:rPr>
        <w:t>Supporting Statement – Part B</w:t>
      </w:r>
      <w:bookmarkStart w:name="_GoBack" w:id="1"/>
      <w:bookmarkEnd w:id="1"/>
    </w:p>
    <w:p w:rsidR="002974A6" w:rsidP="002974A6" w:rsidRDefault="002974A6">
      <w:pPr>
        <w:pStyle w:val="Heading1"/>
        <w:spacing w:before="0"/>
        <w:rPr>
          <w:rFonts w:eastAsia="Times New Roman"/>
          <w:color w:val="auto"/>
        </w:rPr>
      </w:pPr>
    </w:p>
    <w:p w:rsidRPr="00AC4D6B" w:rsidR="002974A6" w:rsidP="002974A6" w:rsidRDefault="002974A6">
      <w:pPr>
        <w:pStyle w:val="Heading1"/>
        <w:spacing w:before="0"/>
        <w:rPr>
          <w:rFonts w:eastAsia="Times New Roman"/>
          <w:color w:val="auto"/>
        </w:rPr>
      </w:pPr>
      <w:r w:rsidRPr="00AC4D6B">
        <w:rPr>
          <w:rFonts w:eastAsia="Times New Roman"/>
          <w:color w:val="auto"/>
        </w:rPr>
        <w:t>B. COLLECTION OF INFORMATION EMPLOYING STATISTICAL METHODS</w:t>
      </w:r>
      <w:bookmarkEnd w:id="0"/>
    </w:p>
    <w:p w:rsidRPr="0054695E" w:rsidR="002974A6" w:rsidP="002974A6" w:rsidRDefault="002974A6">
      <w:pPr>
        <w:pStyle w:val="Heading2"/>
        <w:rPr>
          <w:color w:val="auto"/>
        </w:rPr>
      </w:pPr>
      <w:bookmarkStart w:name="_Toc52177859" w:id="2"/>
      <w:r w:rsidRPr="0054695E">
        <w:rPr>
          <w:color w:val="auto"/>
        </w:rPr>
        <w:t>B</w:t>
      </w:r>
      <w:r>
        <w:rPr>
          <w:color w:val="auto"/>
        </w:rPr>
        <w:t>.</w:t>
      </w:r>
      <w:r w:rsidRPr="0054695E">
        <w:rPr>
          <w:color w:val="auto"/>
        </w:rPr>
        <w:t>1. Respondent Universe, Sample Selection and Expected Response Rates</w:t>
      </w:r>
      <w:bookmarkEnd w:id="2"/>
      <w:r w:rsidRPr="0054695E">
        <w:rPr>
          <w:color w:val="auto"/>
        </w:rPr>
        <w:t xml:space="preserve"> </w:t>
      </w:r>
    </w:p>
    <w:p w:rsidR="002974A6" w:rsidP="002974A6" w:rsidRDefault="002974A6">
      <w:pPr>
        <w:pStyle w:val="Heading3"/>
        <w:spacing w:before="0"/>
        <w:rPr>
          <w:color w:val="auto"/>
        </w:rPr>
      </w:pPr>
    </w:p>
    <w:p w:rsidRPr="0054695E" w:rsidR="002974A6" w:rsidP="002974A6" w:rsidRDefault="002974A6">
      <w:pPr>
        <w:pStyle w:val="Heading3"/>
        <w:spacing w:before="0"/>
        <w:rPr>
          <w:color w:val="auto"/>
        </w:rPr>
      </w:pPr>
      <w:bookmarkStart w:name="_Toc52177860" w:id="3"/>
      <w:r w:rsidRPr="0054695E">
        <w:rPr>
          <w:color w:val="auto"/>
        </w:rPr>
        <w:t>B</w:t>
      </w:r>
      <w:r>
        <w:rPr>
          <w:color w:val="auto"/>
        </w:rPr>
        <w:t>.</w:t>
      </w:r>
      <w:r w:rsidRPr="0054695E">
        <w:rPr>
          <w:color w:val="auto"/>
        </w:rPr>
        <w:t>1.1 Respondent Universe</w:t>
      </w:r>
      <w:bookmarkEnd w:id="3"/>
      <w:r w:rsidRPr="0054695E">
        <w:rPr>
          <w:color w:val="auto"/>
        </w:rPr>
        <w:t xml:space="preserve"> </w:t>
      </w:r>
    </w:p>
    <w:p w:rsidRPr="00BE13B3" w:rsidR="002974A6" w:rsidP="002974A6" w:rsidRDefault="002974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73BA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 data collection is a census survey and therefore does not</w:t>
      </w:r>
      <w:r w:rsidRPr="005F73BA">
        <w:rPr>
          <w:rFonts w:ascii="Times New Roman" w:hAnsi="Times New Roman" w:cs="Times New Roman"/>
          <w:sz w:val="24"/>
          <w:szCs w:val="24"/>
        </w:rPr>
        <w:t xml:space="preserve"> employ statistical methods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74A6" w:rsidP="002974A6" w:rsidRDefault="002974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Pr="00B508C9" w:rsidR="002974A6" w:rsidP="002974A6" w:rsidRDefault="002974A6">
      <w:pPr>
        <w:pStyle w:val="Heading3"/>
        <w:spacing w:before="0"/>
        <w:rPr>
          <w:color w:val="auto"/>
        </w:rPr>
      </w:pPr>
      <w:bookmarkStart w:name="_Toc52177861" w:id="4"/>
      <w:r w:rsidRPr="00B508C9">
        <w:rPr>
          <w:color w:val="auto"/>
        </w:rPr>
        <w:t>B</w:t>
      </w:r>
      <w:r>
        <w:rPr>
          <w:color w:val="auto"/>
        </w:rPr>
        <w:t>.</w:t>
      </w:r>
      <w:r w:rsidRPr="00B508C9">
        <w:rPr>
          <w:color w:val="auto"/>
        </w:rPr>
        <w:t>1.2. Sample Selection</w:t>
      </w:r>
      <w:bookmarkEnd w:id="4"/>
    </w:p>
    <w:p w:rsidR="002974A6" w:rsidP="002974A6" w:rsidRDefault="002974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73BA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 data collection is a census survey and therefore does not</w:t>
      </w:r>
      <w:r w:rsidRPr="005F73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include sampling methods.</w:t>
      </w:r>
    </w:p>
    <w:p w:rsidR="002974A6" w:rsidP="002974A6" w:rsidRDefault="002974A6">
      <w:pPr>
        <w:pStyle w:val="Heading3"/>
        <w:spacing w:before="0"/>
        <w:rPr>
          <w:color w:val="auto"/>
        </w:rPr>
      </w:pPr>
      <w:bookmarkStart w:name="_Toc52177862" w:id="5"/>
    </w:p>
    <w:p w:rsidRPr="00B508C9" w:rsidR="002974A6" w:rsidP="002974A6" w:rsidRDefault="002974A6">
      <w:pPr>
        <w:pStyle w:val="Heading3"/>
        <w:spacing w:before="0"/>
        <w:rPr>
          <w:color w:val="auto"/>
        </w:rPr>
      </w:pPr>
      <w:r w:rsidRPr="00B508C9">
        <w:rPr>
          <w:color w:val="auto"/>
        </w:rPr>
        <w:t>B</w:t>
      </w:r>
      <w:r>
        <w:rPr>
          <w:color w:val="auto"/>
        </w:rPr>
        <w:t>.</w:t>
      </w:r>
      <w:r w:rsidRPr="00B508C9">
        <w:rPr>
          <w:color w:val="auto"/>
        </w:rPr>
        <w:t>1.3. Expected Response Rates</w:t>
      </w:r>
      <w:bookmarkEnd w:id="5"/>
      <w:r w:rsidRPr="00B508C9">
        <w:rPr>
          <w:color w:val="auto"/>
        </w:rPr>
        <w:t xml:space="preserve"> </w:t>
      </w:r>
    </w:p>
    <w:p w:rsidR="002974A6" w:rsidP="002974A6" w:rsidRDefault="002974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response rate of approximately 70 percent is </w:t>
      </w:r>
      <w:r w:rsidRPr="00B508C9">
        <w:rPr>
          <w:rFonts w:ascii="Times New Roman" w:hAnsi="Times New Roman" w:cs="Times New Roman"/>
          <w:sz w:val="24"/>
          <w:szCs w:val="24"/>
        </w:rPr>
        <w:t>expected for th</w:t>
      </w:r>
      <w:r>
        <w:rPr>
          <w:rFonts w:ascii="Times New Roman" w:hAnsi="Times New Roman" w:cs="Times New Roman"/>
          <w:sz w:val="24"/>
          <w:szCs w:val="24"/>
        </w:rPr>
        <w:t>is data</w:t>
      </w:r>
      <w:r w:rsidRPr="00B508C9">
        <w:rPr>
          <w:rFonts w:ascii="Times New Roman" w:hAnsi="Times New Roman" w:cs="Times New Roman"/>
          <w:sz w:val="24"/>
          <w:szCs w:val="24"/>
        </w:rPr>
        <w:t xml:space="preserve"> collection effort.</w:t>
      </w:r>
      <w:r>
        <w:rPr>
          <w:rFonts w:ascii="Times New Roman" w:hAnsi="Times New Roman" w:cs="Times New Roman"/>
          <w:sz w:val="24"/>
          <w:szCs w:val="24"/>
        </w:rPr>
        <w:t xml:space="preserve"> In addition to strategic data collection methods and online technology, the expected response rate</w:t>
      </w:r>
      <w:r w:rsidRPr="00B508C9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based on the fact that</w:t>
      </w:r>
      <w:r w:rsidRPr="00B508C9">
        <w:rPr>
          <w:rFonts w:ascii="Times New Roman" w:hAnsi="Times New Roman" w:cs="Times New Roman"/>
          <w:sz w:val="24"/>
          <w:szCs w:val="24"/>
        </w:rPr>
        <w:t xml:space="preserve"> prospective respondents have a</w:t>
      </w:r>
      <w:r>
        <w:rPr>
          <w:rFonts w:ascii="Times New Roman" w:hAnsi="Times New Roman" w:cs="Times New Roman"/>
          <w:sz w:val="24"/>
          <w:szCs w:val="24"/>
        </w:rPr>
        <w:t xml:space="preserve"> vested</w:t>
      </w:r>
      <w:r w:rsidRPr="00B508C9">
        <w:rPr>
          <w:rFonts w:ascii="Times New Roman" w:hAnsi="Times New Roman" w:cs="Times New Roman"/>
          <w:sz w:val="24"/>
          <w:szCs w:val="24"/>
        </w:rPr>
        <w:t xml:space="preserve"> interest in the </w:t>
      </w:r>
      <w:r>
        <w:rPr>
          <w:rFonts w:ascii="Times New Roman" w:hAnsi="Times New Roman" w:cs="Times New Roman"/>
          <w:sz w:val="24"/>
          <w:szCs w:val="24"/>
        </w:rPr>
        <w:t>training events and related outreach efforts.</w:t>
      </w:r>
    </w:p>
    <w:p w:rsidR="002974A6" w:rsidP="002974A6" w:rsidRDefault="002974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A52495" w:rsidR="002974A6" w:rsidP="002974A6" w:rsidRDefault="002974A6">
      <w:pPr>
        <w:pStyle w:val="Heading1"/>
        <w:spacing w:before="0"/>
        <w:rPr>
          <w:color w:val="auto"/>
          <w:sz w:val="26"/>
          <w:szCs w:val="26"/>
        </w:rPr>
      </w:pPr>
      <w:bookmarkStart w:name="_Toc52177863" w:id="6"/>
      <w:r w:rsidRPr="00A52495">
        <w:rPr>
          <w:color w:val="auto"/>
          <w:sz w:val="26"/>
          <w:szCs w:val="26"/>
        </w:rPr>
        <w:t>B.2. Procedures for the Collection of Information</w:t>
      </w:r>
      <w:bookmarkEnd w:id="6"/>
      <w:r w:rsidRPr="00A52495">
        <w:rPr>
          <w:color w:val="auto"/>
          <w:sz w:val="26"/>
          <w:szCs w:val="26"/>
        </w:rPr>
        <w:t xml:space="preserve"> </w:t>
      </w:r>
    </w:p>
    <w:p w:rsidRPr="00E31A67" w:rsidR="002974A6" w:rsidP="002974A6" w:rsidRDefault="00297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</w:rPr>
      </w:pPr>
      <w:r w:rsidRPr="00E31A67"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The questionnaire includes primarily closed-ended questions (e.g., Likert scale, rating scale, rank order, or multiple response items), with a minimal number of “other (specify)” items, and open-ended questions. The survey will take approximately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15</w:t>
      </w:r>
      <w:r w:rsidRPr="00E31A67"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minutes to complete. </w:t>
      </w:r>
    </w:p>
    <w:p w:rsidRPr="00E31A67" w:rsidR="002974A6" w:rsidP="002974A6" w:rsidRDefault="00297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</w:rPr>
      </w:pPr>
    </w:p>
    <w:p w:rsidRPr="00E31A67" w:rsidR="002974A6" w:rsidP="002974A6" w:rsidRDefault="00297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</w:rPr>
      </w:pPr>
      <w:r w:rsidRPr="00E31A67"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ARDX will program and test the web-based survey instrument using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online survey</w:t>
      </w:r>
      <w:r w:rsidRPr="00E31A67"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software. Following OMB Clearance, the survey will be published (with the OMB clearance number and burden statement) and administered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following each training event.</w:t>
      </w:r>
      <w:r w:rsidRPr="00E31A67"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</w:t>
      </w:r>
    </w:p>
    <w:p w:rsidRPr="00E31A67" w:rsidR="002974A6" w:rsidP="002974A6" w:rsidRDefault="00297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</w:rPr>
      </w:pPr>
    </w:p>
    <w:p w:rsidRPr="00A52495" w:rsidR="002974A6" w:rsidP="002974A6" w:rsidRDefault="002974A6">
      <w:pPr>
        <w:pStyle w:val="Heading1"/>
        <w:spacing w:before="0"/>
        <w:rPr>
          <w:color w:val="auto"/>
          <w:sz w:val="26"/>
          <w:szCs w:val="26"/>
        </w:rPr>
      </w:pPr>
      <w:bookmarkStart w:name="_Toc52177864" w:id="7"/>
      <w:r w:rsidRPr="00A52495">
        <w:rPr>
          <w:color w:val="auto"/>
          <w:sz w:val="26"/>
          <w:szCs w:val="26"/>
        </w:rPr>
        <w:t>B.3. Methods to Maximize Response Rates</w:t>
      </w:r>
      <w:bookmarkEnd w:id="7"/>
      <w:r w:rsidRPr="00A52495">
        <w:rPr>
          <w:color w:val="auto"/>
          <w:sz w:val="26"/>
          <w:szCs w:val="26"/>
        </w:rPr>
        <w:t xml:space="preserve"> </w:t>
      </w:r>
    </w:p>
    <w:p w:rsidR="002974A6" w:rsidP="002974A6" w:rsidRDefault="002974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F0A">
        <w:rPr>
          <w:rFonts w:ascii="Times New Roman" w:hAnsi="Times New Roman" w:cs="Times New Roman"/>
          <w:sz w:val="24"/>
          <w:szCs w:val="24"/>
        </w:rPr>
        <w:t xml:space="preserve">Respondents will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E80F0A">
        <w:rPr>
          <w:rFonts w:ascii="Times New Roman" w:hAnsi="Times New Roman" w:cs="Times New Roman"/>
          <w:sz w:val="24"/>
          <w:szCs w:val="24"/>
        </w:rPr>
        <w:t>eceive</w:t>
      </w:r>
      <w:r>
        <w:rPr>
          <w:rFonts w:ascii="Times New Roman" w:hAnsi="Times New Roman" w:cs="Times New Roman"/>
          <w:sz w:val="24"/>
          <w:szCs w:val="24"/>
        </w:rPr>
        <w:t xml:space="preserve"> the evaluation instrument immediately following each event with a follow-up reminder the following day, which should result in an increased response rate</w:t>
      </w:r>
      <w:r w:rsidRPr="00E80F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F0A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online </w:t>
      </w:r>
      <w:r w:rsidRPr="00E80F0A">
        <w:rPr>
          <w:rFonts w:ascii="Times New Roman" w:hAnsi="Times New Roman" w:cs="Times New Roman"/>
          <w:sz w:val="24"/>
          <w:szCs w:val="24"/>
        </w:rPr>
        <w:t xml:space="preserve">survey </w:t>
      </w:r>
      <w:r>
        <w:rPr>
          <w:rFonts w:ascii="Times New Roman" w:hAnsi="Times New Roman" w:cs="Times New Roman"/>
          <w:sz w:val="24"/>
          <w:szCs w:val="24"/>
        </w:rPr>
        <w:t xml:space="preserve">will remain </w:t>
      </w:r>
      <w:r w:rsidRPr="00E80F0A">
        <w:rPr>
          <w:rFonts w:ascii="Times New Roman" w:hAnsi="Times New Roman" w:cs="Times New Roman"/>
          <w:sz w:val="24"/>
          <w:szCs w:val="24"/>
        </w:rPr>
        <w:t>available</w:t>
      </w:r>
      <w:r>
        <w:rPr>
          <w:rFonts w:ascii="Times New Roman" w:hAnsi="Times New Roman" w:cs="Times New Roman"/>
          <w:sz w:val="24"/>
          <w:szCs w:val="24"/>
        </w:rPr>
        <w:t xml:space="preserve"> for three business days following each event, allowing flexibility while minimizing survey recall effect. Further, the survey invites respondent to contact CMS with any questions</w:t>
      </w:r>
      <w:r w:rsidRPr="00E80F0A">
        <w:rPr>
          <w:rFonts w:ascii="Times New Roman" w:hAnsi="Times New Roman" w:cs="Times New Roman"/>
          <w:sz w:val="24"/>
          <w:szCs w:val="24"/>
        </w:rPr>
        <w:t xml:space="preserve"> about the research study.</w:t>
      </w:r>
    </w:p>
    <w:p w:rsidR="002974A6" w:rsidP="002974A6" w:rsidRDefault="002974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A52495" w:rsidR="002974A6" w:rsidP="002974A6" w:rsidRDefault="002974A6">
      <w:pPr>
        <w:pStyle w:val="Heading1"/>
        <w:spacing w:before="0"/>
        <w:rPr>
          <w:color w:val="auto"/>
          <w:sz w:val="26"/>
          <w:szCs w:val="26"/>
        </w:rPr>
      </w:pPr>
      <w:bookmarkStart w:name="_Toc52177865" w:id="8"/>
      <w:r w:rsidRPr="00A52495">
        <w:rPr>
          <w:color w:val="auto"/>
          <w:sz w:val="26"/>
          <w:szCs w:val="26"/>
        </w:rPr>
        <w:t>B.4. Pre-testing of Procedures and Methods</w:t>
      </w:r>
      <w:bookmarkEnd w:id="8"/>
    </w:p>
    <w:p w:rsidR="002974A6" w:rsidP="002974A6" w:rsidRDefault="002974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DA2AB5">
        <w:rPr>
          <w:rFonts w:ascii="Times New Roman" w:hAnsi="Times New Roman" w:cs="Times New Roman"/>
          <w:sz w:val="24"/>
          <w:szCs w:val="24"/>
        </w:rPr>
        <w:t>he evaluation team conduct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DA2AB5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n internal</w:t>
      </w:r>
      <w:r w:rsidRPr="00DA2AB5">
        <w:rPr>
          <w:rFonts w:ascii="Times New Roman" w:hAnsi="Times New Roman" w:cs="Times New Roman"/>
          <w:sz w:val="24"/>
          <w:szCs w:val="24"/>
        </w:rPr>
        <w:t xml:space="preserve"> pre-test of the survey instrument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2AB5">
        <w:rPr>
          <w:rFonts w:ascii="Times New Roman" w:hAnsi="Times New Roman" w:cs="Times New Roman"/>
          <w:sz w:val="24"/>
          <w:szCs w:val="24"/>
        </w:rPr>
        <w:t xml:space="preserve">to ensure that all research questions </w:t>
      </w:r>
      <w:r>
        <w:rPr>
          <w:rFonts w:ascii="Times New Roman" w:hAnsi="Times New Roman" w:cs="Times New Roman"/>
          <w:sz w:val="24"/>
          <w:szCs w:val="24"/>
        </w:rPr>
        <w:t>were</w:t>
      </w:r>
      <w:r w:rsidRPr="00DA2AB5">
        <w:rPr>
          <w:rFonts w:ascii="Times New Roman" w:hAnsi="Times New Roman" w:cs="Times New Roman"/>
          <w:sz w:val="24"/>
          <w:szCs w:val="24"/>
        </w:rPr>
        <w:t xml:space="preserve"> addressed,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2AB5">
        <w:rPr>
          <w:rFonts w:ascii="Times New Roman" w:hAnsi="Times New Roman" w:cs="Times New Roman"/>
          <w:sz w:val="24"/>
          <w:szCs w:val="24"/>
        </w:rPr>
        <w:t xml:space="preserve">questions </w:t>
      </w:r>
      <w:r>
        <w:rPr>
          <w:rFonts w:ascii="Times New Roman" w:hAnsi="Times New Roman" w:cs="Times New Roman"/>
          <w:sz w:val="24"/>
          <w:szCs w:val="24"/>
        </w:rPr>
        <w:t>were</w:t>
      </w:r>
      <w:r w:rsidRPr="00DA2AB5">
        <w:rPr>
          <w:rFonts w:ascii="Times New Roman" w:hAnsi="Times New Roman" w:cs="Times New Roman"/>
          <w:sz w:val="24"/>
          <w:szCs w:val="24"/>
        </w:rPr>
        <w:t xml:space="preserve"> not ambiguous, and response choices </w:t>
      </w:r>
      <w:r>
        <w:rPr>
          <w:rFonts w:ascii="Times New Roman" w:hAnsi="Times New Roman" w:cs="Times New Roman"/>
          <w:sz w:val="24"/>
          <w:szCs w:val="24"/>
        </w:rPr>
        <w:t>were</w:t>
      </w:r>
      <w:r w:rsidRPr="00DA2AB5">
        <w:rPr>
          <w:rFonts w:ascii="Times New Roman" w:hAnsi="Times New Roman" w:cs="Times New Roman"/>
          <w:sz w:val="24"/>
          <w:szCs w:val="24"/>
        </w:rPr>
        <w:t xml:space="preserve"> mutually exclusive and exhaustive. The pre-test </w:t>
      </w: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Pr="00DA2AB5">
        <w:rPr>
          <w:rFonts w:ascii="Times New Roman" w:hAnsi="Times New Roman" w:cs="Times New Roman"/>
          <w:sz w:val="24"/>
          <w:szCs w:val="24"/>
        </w:rPr>
        <w:t>also used to estimate respondent burden in terms of the amount of time required to complete the survey.</w:t>
      </w:r>
    </w:p>
    <w:p w:rsidR="002974A6" w:rsidP="002974A6" w:rsidRDefault="002974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DA2AB5" w:rsidR="002974A6" w:rsidP="002974A6" w:rsidRDefault="002974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2AB5">
        <w:rPr>
          <w:rFonts w:ascii="Times New Roman" w:hAnsi="Times New Roman" w:cs="Times New Roman"/>
          <w:sz w:val="24"/>
          <w:szCs w:val="24"/>
        </w:rPr>
        <w:lastRenderedPageBreak/>
        <w:t>In addition to the design pretest, the online instrument w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DA2AB5">
        <w:rPr>
          <w:rFonts w:ascii="Times New Roman" w:hAnsi="Times New Roman" w:cs="Times New Roman"/>
          <w:sz w:val="24"/>
          <w:szCs w:val="24"/>
        </w:rPr>
        <w:t xml:space="preserve"> tested for technical factors such as programming accuracy and browser compatibility. A checklist w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DA2AB5">
        <w:rPr>
          <w:rFonts w:ascii="Times New Roman" w:hAnsi="Times New Roman" w:cs="Times New Roman"/>
          <w:sz w:val="24"/>
          <w:szCs w:val="24"/>
        </w:rPr>
        <w:t xml:space="preserve"> developed to verify each step of the programming process, and the instrument w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DA2AB5">
        <w:rPr>
          <w:rFonts w:ascii="Times New Roman" w:hAnsi="Times New Roman" w:cs="Times New Roman"/>
          <w:sz w:val="24"/>
          <w:szCs w:val="24"/>
        </w:rPr>
        <w:t xml:space="preserve">  subjected to a first-and second-level review process prior to distribution to pr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A2AB5">
        <w:rPr>
          <w:rFonts w:ascii="Times New Roman" w:hAnsi="Times New Roman" w:cs="Times New Roman"/>
          <w:sz w:val="24"/>
          <w:szCs w:val="24"/>
        </w:rPr>
        <w:t>test respondents. The checklist include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A2AB5">
        <w:rPr>
          <w:rFonts w:ascii="Times New Roman" w:hAnsi="Times New Roman" w:cs="Times New Roman"/>
          <w:sz w:val="24"/>
          <w:szCs w:val="24"/>
        </w:rPr>
        <w:t xml:space="preserve"> item-by-item checks for:</w:t>
      </w:r>
    </w:p>
    <w:p w:rsidRPr="00DA2AB5" w:rsidR="002974A6" w:rsidP="002974A6" w:rsidRDefault="002974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DA2AB5" w:rsidR="002974A6" w:rsidP="002974A6" w:rsidRDefault="002974A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2AB5">
        <w:rPr>
          <w:rFonts w:ascii="Times New Roman" w:hAnsi="Times New Roman" w:cs="Times New Roman"/>
          <w:sz w:val="24"/>
          <w:szCs w:val="24"/>
        </w:rPr>
        <w:t>Accuracy of skip patterns and logic checks for all appropriate scenarios</w:t>
      </w:r>
    </w:p>
    <w:p w:rsidR="002974A6" w:rsidP="002974A6" w:rsidRDefault="002974A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2AB5">
        <w:rPr>
          <w:rFonts w:ascii="Times New Roman" w:hAnsi="Times New Roman" w:cs="Times New Roman"/>
          <w:sz w:val="24"/>
          <w:szCs w:val="24"/>
        </w:rPr>
        <w:t>Accuracy of programming of radio buttons for single-response items or check boxes for multiple response items</w:t>
      </w:r>
    </w:p>
    <w:p w:rsidRPr="008F7D52" w:rsidR="002974A6" w:rsidP="002974A6" w:rsidRDefault="002974A6">
      <w:pPr>
        <w:pStyle w:val="ListParagraph"/>
        <w:numPr>
          <w:ilvl w:val="0"/>
          <w:numId w:val="1"/>
        </w:numPr>
        <w:rPr>
          <w:rFonts w:ascii="Times New Roman" w:hAnsi="Times New Roman" w:eastAsiaTheme="minorHAnsi"/>
          <w:sz w:val="24"/>
          <w:szCs w:val="24"/>
        </w:rPr>
      </w:pPr>
      <w:r w:rsidRPr="008F7D52">
        <w:rPr>
          <w:rFonts w:ascii="Times New Roman" w:hAnsi="Times New Roman" w:eastAsiaTheme="minorHAnsi"/>
          <w:sz w:val="24"/>
          <w:szCs w:val="24"/>
        </w:rPr>
        <w:t>Adequate field length for open-ended questions</w:t>
      </w:r>
    </w:p>
    <w:p w:rsidRPr="00DA2AB5" w:rsidR="002974A6" w:rsidP="002974A6" w:rsidRDefault="002974A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2AB5">
        <w:rPr>
          <w:rFonts w:ascii="Times New Roman" w:hAnsi="Times New Roman" w:cs="Times New Roman"/>
          <w:sz w:val="24"/>
          <w:szCs w:val="24"/>
        </w:rPr>
        <w:t>Connectivity</w:t>
      </w:r>
    </w:p>
    <w:p w:rsidRPr="00DA2AB5" w:rsidR="002974A6" w:rsidP="002974A6" w:rsidRDefault="002974A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2AB5">
        <w:rPr>
          <w:rFonts w:ascii="Times New Roman" w:hAnsi="Times New Roman" w:cs="Times New Roman"/>
          <w:sz w:val="24"/>
          <w:szCs w:val="24"/>
        </w:rPr>
        <w:t>Functionality of survey links</w:t>
      </w:r>
    </w:p>
    <w:p w:rsidR="002974A6" w:rsidP="002974A6" w:rsidRDefault="002974A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2AB5">
        <w:rPr>
          <w:rFonts w:ascii="Times New Roman" w:hAnsi="Times New Roman" w:cs="Times New Roman"/>
          <w:sz w:val="24"/>
          <w:szCs w:val="24"/>
        </w:rPr>
        <w:t xml:space="preserve">508 compliance  </w:t>
      </w:r>
    </w:p>
    <w:p w:rsidRPr="008F7D52" w:rsidR="002974A6" w:rsidP="002974A6" w:rsidRDefault="002974A6">
      <w:pPr>
        <w:pStyle w:val="ListParagraph"/>
        <w:numPr>
          <w:ilvl w:val="0"/>
          <w:numId w:val="1"/>
        </w:numPr>
        <w:rPr>
          <w:rFonts w:ascii="Times New Roman" w:hAnsi="Times New Roman" w:eastAsiaTheme="minorHAnsi"/>
          <w:sz w:val="24"/>
          <w:szCs w:val="24"/>
        </w:rPr>
      </w:pPr>
      <w:r w:rsidRPr="008F7D52">
        <w:rPr>
          <w:rFonts w:ascii="Times New Roman" w:hAnsi="Times New Roman" w:eastAsiaTheme="minorHAnsi"/>
          <w:sz w:val="24"/>
          <w:szCs w:val="24"/>
        </w:rPr>
        <w:t xml:space="preserve">Correct export order and variable </w:t>
      </w:r>
      <w:r>
        <w:rPr>
          <w:rFonts w:ascii="Times New Roman" w:hAnsi="Times New Roman" w:eastAsiaTheme="minorHAnsi"/>
          <w:sz w:val="24"/>
          <w:szCs w:val="24"/>
        </w:rPr>
        <w:t>names</w:t>
      </w:r>
    </w:p>
    <w:p w:rsidRPr="00BB11D5" w:rsidR="002974A6" w:rsidP="002974A6" w:rsidRDefault="002974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4A6" w:rsidP="002974A6" w:rsidRDefault="002974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Only minor revisions (e.g., expansion of response choices) were required as a result of the pretest. </w:t>
      </w:r>
    </w:p>
    <w:p w:rsidR="002974A6" w:rsidP="002974A6" w:rsidRDefault="002974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A52495" w:rsidR="002974A6" w:rsidP="002974A6" w:rsidRDefault="002974A6">
      <w:pPr>
        <w:pStyle w:val="Heading1"/>
        <w:spacing w:before="0"/>
        <w:rPr>
          <w:color w:val="auto"/>
          <w:sz w:val="26"/>
          <w:szCs w:val="26"/>
        </w:rPr>
      </w:pPr>
      <w:bookmarkStart w:name="_Toc52177866" w:id="9"/>
      <w:r w:rsidRPr="00A52495">
        <w:rPr>
          <w:color w:val="auto"/>
          <w:sz w:val="26"/>
          <w:szCs w:val="26"/>
        </w:rPr>
        <w:t>B.5. Individuals or Contractors Responsible for Statistical Aspects of the Design</w:t>
      </w:r>
      <w:bookmarkEnd w:id="9"/>
      <w:r w:rsidRPr="00A52495">
        <w:rPr>
          <w:color w:val="auto"/>
          <w:sz w:val="26"/>
          <w:szCs w:val="26"/>
        </w:rPr>
        <w:t xml:space="preserve"> </w:t>
      </w:r>
    </w:p>
    <w:p w:rsidR="002974A6" w:rsidP="002974A6" w:rsidRDefault="002974A6">
      <w:pPr>
        <w:spacing w:after="0"/>
      </w:pPr>
    </w:p>
    <w:p w:rsidR="002974A6" w:rsidP="002974A6" w:rsidRDefault="002974A6">
      <w:pPr>
        <w:rPr>
          <w:rFonts w:ascii="Times New Roman" w:hAnsi="Times New Roman" w:cs="Times New Roman"/>
          <w:sz w:val="24"/>
          <w:szCs w:val="24"/>
        </w:rPr>
      </w:pPr>
      <w:r w:rsidRPr="00CF14CC">
        <w:rPr>
          <w:rFonts w:ascii="Times New Roman" w:hAnsi="Times New Roman" w:cs="Times New Roman"/>
          <w:sz w:val="24"/>
          <w:szCs w:val="24"/>
        </w:rPr>
        <w:t>The agency responsible for receiving and approving contract deliverables is:</w:t>
      </w:r>
    </w:p>
    <w:p w:rsidRPr="00CF14CC" w:rsidR="002974A6" w:rsidP="002974A6" w:rsidRDefault="00297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4CC">
        <w:rPr>
          <w:rFonts w:ascii="Times New Roman" w:hAnsi="Times New Roman" w:cs="Times New Roman"/>
          <w:sz w:val="24"/>
          <w:szCs w:val="24"/>
        </w:rPr>
        <w:t>Center for Program Integrity</w:t>
      </w:r>
    </w:p>
    <w:p w:rsidRPr="00CF14CC" w:rsidR="002974A6" w:rsidP="002974A6" w:rsidRDefault="00297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4CC">
        <w:rPr>
          <w:rFonts w:ascii="Times New Roman" w:hAnsi="Times New Roman" w:cs="Times New Roman"/>
          <w:sz w:val="24"/>
          <w:szCs w:val="24"/>
        </w:rPr>
        <w:t>Centers for Medicare &amp; Medicaid Services</w:t>
      </w:r>
    </w:p>
    <w:p w:rsidRPr="00CF14CC" w:rsidR="002974A6" w:rsidP="002974A6" w:rsidRDefault="00297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4CC">
        <w:rPr>
          <w:rFonts w:ascii="Times New Roman" w:hAnsi="Times New Roman" w:cs="Times New Roman"/>
          <w:sz w:val="24"/>
          <w:szCs w:val="24"/>
        </w:rPr>
        <w:t>7500 Security Boulevard</w:t>
      </w:r>
    </w:p>
    <w:p w:rsidRPr="00CF14CC" w:rsidR="002974A6" w:rsidP="002974A6" w:rsidRDefault="002974A6">
      <w:pPr>
        <w:rPr>
          <w:rFonts w:ascii="Times New Roman" w:hAnsi="Times New Roman" w:cs="Times New Roman"/>
          <w:sz w:val="24"/>
          <w:szCs w:val="24"/>
        </w:rPr>
      </w:pPr>
      <w:r w:rsidRPr="00CF14CC">
        <w:rPr>
          <w:rFonts w:ascii="Times New Roman" w:hAnsi="Times New Roman" w:cs="Times New Roman"/>
          <w:sz w:val="24"/>
          <w:szCs w:val="24"/>
        </w:rPr>
        <w:t>Windsor Mill, MD 21244</w:t>
      </w:r>
    </w:p>
    <w:p w:rsidRPr="00EE6883" w:rsidR="002974A6" w:rsidP="002974A6" w:rsidRDefault="002974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E6883">
        <w:rPr>
          <w:rFonts w:ascii="Times New Roman" w:hAnsi="Times New Roman" w:cs="Times New Roman"/>
          <w:sz w:val="24"/>
          <w:szCs w:val="24"/>
        </w:rPr>
        <w:t>Person Responsible: Kathleen Anderson, (</w:t>
      </w:r>
      <w:r w:rsidRPr="00EE6883">
        <w:rPr>
          <w:rFonts w:ascii="Times New Roman" w:hAnsi="Times New Roman" w:cs="Times New Roman"/>
          <w:bCs/>
          <w:sz w:val="24"/>
          <w:szCs w:val="24"/>
        </w:rPr>
        <w:t>410) 786-8946</w:t>
      </w:r>
    </w:p>
    <w:p w:rsidRPr="00EE6883" w:rsidR="002974A6" w:rsidP="002974A6" w:rsidRDefault="00297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w:history="1" r:id="rId5">
        <w:r w:rsidRPr="00EE6883">
          <w:rPr>
            <w:rStyle w:val="Hyperlink"/>
            <w:rFonts w:ascii="Times New Roman" w:hAnsi="Times New Roman" w:cs="Times New Roman"/>
            <w:sz w:val="24"/>
            <w:szCs w:val="24"/>
          </w:rPr>
          <w:t>Kathleen.Anderson@cms.hhs.gov</w:t>
        </w:r>
      </w:hyperlink>
    </w:p>
    <w:p w:rsidR="002974A6" w:rsidP="002974A6" w:rsidRDefault="002974A6">
      <w:pPr>
        <w:rPr>
          <w:rFonts w:ascii="Times New Roman" w:hAnsi="Times New Roman" w:cs="Times New Roman"/>
          <w:sz w:val="24"/>
          <w:szCs w:val="24"/>
        </w:rPr>
      </w:pPr>
      <w:hyperlink w:history="1" r:id="rId6"/>
    </w:p>
    <w:p w:rsidR="002974A6" w:rsidP="002974A6" w:rsidRDefault="002974A6">
      <w:pPr>
        <w:pStyle w:val="Default"/>
        <w:rPr>
          <w:rFonts w:ascii="Times New Roman" w:hAnsi="Times New Roman" w:cs="Times New Roman"/>
        </w:rPr>
      </w:pPr>
      <w:bookmarkStart w:name="_Hlk48061895" w:id="10"/>
      <w:r w:rsidRPr="00436299">
        <w:rPr>
          <w:rFonts w:ascii="Times New Roman" w:hAnsi="Times New Roman" w:cs="Times New Roman"/>
          <w:sz w:val="22"/>
          <w:szCs w:val="22"/>
        </w:rPr>
        <w:t>The organiza</w:t>
      </w:r>
      <w:r w:rsidRPr="00436299">
        <w:rPr>
          <w:rFonts w:ascii="Times New Roman" w:hAnsi="Times New Roman" w:cs="Times New Roman"/>
        </w:rPr>
        <w:t>tion responsible for administering the survey</w:t>
      </w:r>
      <w:r>
        <w:rPr>
          <w:rFonts w:ascii="Times New Roman" w:hAnsi="Times New Roman" w:cs="Times New Roman"/>
        </w:rPr>
        <w:t>s</w:t>
      </w:r>
      <w:r w:rsidRPr="00436299">
        <w:rPr>
          <w:rFonts w:ascii="Times New Roman" w:hAnsi="Times New Roman" w:cs="Times New Roman"/>
        </w:rPr>
        <w:t xml:space="preserve"> of </w:t>
      </w:r>
      <w:r w:rsidRPr="00265353">
        <w:rPr>
          <w:rFonts w:ascii="Times New Roman" w:hAnsi="Times New Roman" w:cs="Times New Roman"/>
        </w:rPr>
        <w:t xml:space="preserve">Risk Adjustment Data Validation (RADV) Appeals and </w:t>
      </w:r>
      <w:r w:rsidRPr="00EA5295">
        <w:rPr>
          <w:rFonts w:ascii="Times New Roman" w:hAnsi="Times New Roman" w:cs="Times New Roman"/>
        </w:rPr>
        <w:t xml:space="preserve">Health Insurance Exchange Outreach </w:t>
      </w:r>
      <w:r>
        <w:rPr>
          <w:rFonts w:ascii="Times New Roman" w:hAnsi="Times New Roman" w:cs="Times New Roman"/>
        </w:rPr>
        <w:t>t</w:t>
      </w:r>
      <w:r w:rsidRPr="00EA5295">
        <w:rPr>
          <w:rFonts w:ascii="Times New Roman" w:hAnsi="Times New Roman" w:cs="Times New Roman"/>
        </w:rPr>
        <w:t xml:space="preserve">raining </w:t>
      </w:r>
      <w:r>
        <w:rPr>
          <w:rFonts w:ascii="Times New Roman" w:hAnsi="Times New Roman" w:cs="Times New Roman"/>
        </w:rPr>
        <w:t>participants</w:t>
      </w:r>
      <w:r w:rsidRPr="00436299">
        <w:rPr>
          <w:rFonts w:ascii="Times New Roman" w:hAnsi="Times New Roman" w:cs="Times New Roman"/>
        </w:rPr>
        <w:t xml:space="preserve"> is:</w:t>
      </w:r>
    </w:p>
    <w:p w:rsidR="002974A6" w:rsidP="002974A6" w:rsidRDefault="002974A6">
      <w:pPr>
        <w:pStyle w:val="Default"/>
        <w:rPr>
          <w:rFonts w:ascii="Times New Roman" w:hAnsi="Times New Roman" w:cs="Times New Roman"/>
        </w:rPr>
      </w:pPr>
    </w:p>
    <w:p w:rsidR="002974A6" w:rsidP="002974A6" w:rsidRDefault="002974A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ARDX (A. Reddix &amp; Associates)</w:t>
      </w:r>
    </w:p>
    <w:p w:rsidR="002974A6" w:rsidP="002974A6" w:rsidRDefault="002974A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5800 Lake Wright Drive, Suite 301</w:t>
      </w:r>
    </w:p>
    <w:p w:rsidR="002974A6" w:rsidP="002974A6" w:rsidRDefault="002974A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Norfolk, VA 23502</w:t>
      </w:r>
    </w:p>
    <w:p w:rsidR="002974A6" w:rsidP="002974A6" w:rsidRDefault="002974A6">
      <w:pPr>
        <w:pStyle w:val="Default"/>
        <w:rPr>
          <w:rFonts w:ascii="Times New Roman" w:hAnsi="Times New Roman" w:cs="Times New Roman"/>
        </w:rPr>
      </w:pPr>
    </w:p>
    <w:p w:rsidRPr="00776CCC" w:rsidR="002974A6" w:rsidP="002974A6" w:rsidRDefault="002974A6">
      <w:pPr>
        <w:pStyle w:val="Default"/>
        <w:rPr>
          <w:rFonts w:ascii="Times New Roman" w:hAnsi="Times New Roman" w:cs="Times New Roman"/>
        </w:rPr>
      </w:pPr>
      <w:r w:rsidRPr="00776CCC">
        <w:rPr>
          <w:rFonts w:ascii="Times New Roman" w:hAnsi="Times New Roman" w:cs="Times New Roman"/>
        </w:rPr>
        <w:t xml:space="preserve">Persons Responsible: </w:t>
      </w:r>
      <w:r>
        <w:rPr>
          <w:rFonts w:ascii="Times New Roman" w:hAnsi="Times New Roman" w:cs="Times New Roman"/>
        </w:rPr>
        <w:t xml:space="preserve"> Mr. Matt Lemma</w:t>
      </w:r>
      <w:r w:rsidRPr="00776CCC">
        <w:rPr>
          <w:rFonts w:ascii="Times New Roman" w:hAnsi="Times New Roman" w:cs="Times New Roman"/>
        </w:rPr>
        <w:t xml:space="preserve">, (757) 410-7704, </w:t>
      </w:r>
      <w:hyperlink w:history="1" r:id="rId7">
        <w:r w:rsidRPr="00205AA0">
          <w:rPr>
            <w:rStyle w:val="Hyperlink"/>
            <w:rFonts w:ascii="Times New Roman" w:hAnsi="Times New Roman" w:cs="Times New Roman"/>
          </w:rPr>
          <w:t>Matt.Lemma@ardx.net</w:t>
        </w:r>
      </w:hyperlink>
    </w:p>
    <w:p w:rsidR="002974A6" w:rsidP="002974A6" w:rsidRDefault="002974A6">
      <w:pPr>
        <w:pStyle w:val="Default"/>
        <w:rPr>
          <w:rFonts w:ascii="Times New Roman" w:hAnsi="Times New Roman" w:cs="Times New Roman"/>
        </w:rPr>
      </w:pPr>
      <w:r w:rsidRPr="00776CCC">
        <w:rPr>
          <w:rFonts w:ascii="Times New Roman" w:hAnsi="Times New Roman" w:cs="Times New Roman"/>
        </w:rPr>
        <w:tab/>
      </w:r>
      <w:r w:rsidRPr="00776CCC"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 xml:space="preserve"> </w:t>
      </w:r>
      <w:r w:rsidRPr="00776CCC">
        <w:rPr>
          <w:rFonts w:ascii="Times New Roman" w:hAnsi="Times New Roman" w:cs="Times New Roman"/>
        </w:rPr>
        <w:t>Dr. Lateefah Hughes (757) 3</w:t>
      </w:r>
      <w:r>
        <w:rPr>
          <w:rFonts w:ascii="Times New Roman" w:hAnsi="Times New Roman" w:cs="Times New Roman"/>
        </w:rPr>
        <w:t>75</w:t>
      </w:r>
      <w:r w:rsidRPr="00776CC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7291</w:t>
      </w:r>
      <w:r w:rsidRPr="00776CCC">
        <w:rPr>
          <w:rFonts w:ascii="Times New Roman" w:hAnsi="Times New Roman" w:cs="Times New Roman"/>
        </w:rPr>
        <w:t xml:space="preserve">, </w:t>
      </w:r>
      <w:hyperlink w:history="1" r:id="rId8">
        <w:r w:rsidRPr="00205AA0">
          <w:rPr>
            <w:rStyle w:val="Hyperlink"/>
            <w:rFonts w:ascii="Times New Roman" w:hAnsi="Times New Roman" w:cs="Times New Roman"/>
          </w:rPr>
          <w:t>Lateefah.Hughes@ardx.net</w:t>
        </w:r>
      </w:hyperlink>
    </w:p>
    <w:p w:rsidR="002974A6" w:rsidP="002974A6" w:rsidRDefault="002974A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Ms. Dorothea Claytor (757) </w:t>
      </w:r>
      <w:r w:rsidRPr="0034075B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Pr="0034075B">
        <w:rPr>
          <w:rFonts w:ascii="Times New Roman" w:hAnsi="Times New Roman" w:cs="Times New Roman"/>
        </w:rPr>
        <w:t>4034</w:t>
      </w:r>
      <w:r>
        <w:rPr>
          <w:rFonts w:ascii="Times New Roman" w:hAnsi="Times New Roman" w:cs="Times New Roman"/>
        </w:rPr>
        <w:t xml:space="preserve">, </w:t>
      </w:r>
      <w:hyperlink w:history="1" r:id="rId9">
        <w:r w:rsidRPr="00205AA0">
          <w:rPr>
            <w:rStyle w:val="Hyperlink"/>
            <w:rFonts w:ascii="Times New Roman" w:hAnsi="Times New Roman" w:cs="Times New Roman"/>
          </w:rPr>
          <w:t>Dot.Claytor@ardx.net</w:t>
        </w:r>
      </w:hyperlink>
    </w:p>
    <w:p w:rsidR="002974A6" w:rsidP="002974A6" w:rsidRDefault="002974A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Pr="0040140E" w:rsidR="002974A6" w:rsidP="002974A6" w:rsidRDefault="002974A6">
      <w:pPr>
        <w:pStyle w:val="Default"/>
        <w:rPr>
          <w:rFonts w:ascii="Times New Roman" w:hAnsi="Times New Roman" w:cs="Times New Roman"/>
        </w:rPr>
      </w:pPr>
      <w:r w:rsidRPr="0040140E">
        <w:rPr>
          <w:rFonts w:ascii="Times New Roman" w:hAnsi="Times New Roman" w:cs="Times New Roman"/>
        </w:rPr>
        <w:lastRenderedPageBreak/>
        <w:t xml:space="preserve">The organization responsible for </w:t>
      </w:r>
      <w:r>
        <w:rPr>
          <w:rFonts w:ascii="Times New Roman" w:hAnsi="Times New Roman" w:cs="Times New Roman"/>
        </w:rPr>
        <w:t>data analysis is</w:t>
      </w:r>
      <w:r w:rsidRPr="0040140E">
        <w:rPr>
          <w:rFonts w:ascii="Times New Roman" w:hAnsi="Times New Roman" w:cs="Times New Roman"/>
        </w:rPr>
        <w:t>:</w:t>
      </w:r>
    </w:p>
    <w:p w:rsidRPr="0040140E" w:rsidR="002974A6" w:rsidP="002974A6" w:rsidRDefault="002974A6">
      <w:pPr>
        <w:pStyle w:val="Default"/>
        <w:rPr>
          <w:rFonts w:ascii="Times New Roman" w:hAnsi="Times New Roman" w:cs="Times New Roman"/>
        </w:rPr>
      </w:pPr>
    </w:p>
    <w:p w:rsidR="002974A6" w:rsidP="002974A6" w:rsidRDefault="002974A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ARDX (A. Reddix &amp; Associates)</w:t>
      </w:r>
    </w:p>
    <w:p w:rsidR="002974A6" w:rsidP="002974A6" w:rsidRDefault="002974A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5800 Lake Wright Drive, Suite 301</w:t>
      </w:r>
    </w:p>
    <w:p w:rsidR="002974A6" w:rsidP="002974A6" w:rsidRDefault="002974A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Norfolk, VA 23502</w:t>
      </w:r>
    </w:p>
    <w:p w:rsidR="002974A6" w:rsidP="002974A6" w:rsidRDefault="002974A6">
      <w:pPr>
        <w:pStyle w:val="Default"/>
        <w:rPr>
          <w:rFonts w:ascii="Times New Roman" w:hAnsi="Times New Roman" w:cs="Times New Roman"/>
        </w:rPr>
      </w:pPr>
    </w:p>
    <w:p w:rsidR="002974A6" w:rsidP="002974A6" w:rsidRDefault="002974A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 Responsible: Ms. Sadie Bennett (</w:t>
      </w:r>
      <w:r w:rsidRPr="008A439A">
        <w:rPr>
          <w:rFonts w:ascii="Times New Roman" w:hAnsi="Times New Roman" w:cs="Times New Roman"/>
        </w:rPr>
        <w:t>757</w:t>
      </w:r>
      <w:r>
        <w:rPr>
          <w:rFonts w:ascii="Times New Roman" w:hAnsi="Times New Roman" w:cs="Times New Roman"/>
        </w:rPr>
        <w:t xml:space="preserve">) </w:t>
      </w:r>
      <w:r w:rsidRPr="008A439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21</w:t>
      </w:r>
      <w:r w:rsidRPr="008A439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4123, </w:t>
      </w:r>
      <w:hyperlink w:history="1" r:id="rId10">
        <w:r w:rsidRPr="00205AA0">
          <w:rPr>
            <w:rStyle w:val="Hyperlink"/>
            <w:rFonts w:ascii="Times New Roman" w:hAnsi="Times New Roman" w:cs="Times New Roman"/>
          </w:rPr>
          <w:t>Sadie.Bennett@ardx.net</w:t>
        </w:r>
      </w:hyperlink>
      <w:r>
        <w:rPr>
          <w:rFonts w:ascii="Times New Roman" w:hAnsi="Times New Roman" w:cs="Times New Roman"/>
        </w:rPr>
        <w:t xml:space="preserve">         </w:t>
      </w:r>
    </w:p>
    <w:p w:rsidR="002974A6" w:rsidP="002974A6" w:rsidRDefault="002974A6">
      <w:bookmarkStart w:name="_Appendix_A" w:id="11"/>
      <w:bookmarkStart w:name="_Appendix_B" w:id="12"/>
      <w:bookmarkEnd w:id="10"/>
      <w:bookmarkEnd w:id="11"/>
      <w:bookmarkEnd w:id="12"/>
    </w:p>
    <w:p w:rsidR="00E017D4" w:rsidRDefault="00E017D4"/>
    <w:sectPr w:rsidR="00E017D4" w:rsidSect="00BD5A2D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2516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1713" w:rsidRDefault="002974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1713" w:rsidRDefault="002974A6">
    <w:pPr>
      <w:pStyle w:val="Header"/>
    </w:pPr>
  </w:p>
  <w:p w:rsidR="00021713" w:rsidRDefault="002974A6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1105D"/>
    <w:multiLevelType w:val="hybridMultilevel"/>
    <w:tmpl w:val="CE7E49F4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4A6"/>
    <w:rsid w:val="002974A6"/>
    <w:rsid w:val="00E0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F310"/>
  <w15:chartTrackingRefBased/>
  <w15:docId w15:val="{E976BBFF-0BC0-48B2-81EA-59F87584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4A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74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4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74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4A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974A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74A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2974A6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974A6"/>
    <w:pPr>
      <w:tabs>
        <w:tab w:val="center" w:pos="4680"/>
        <w:tab w:val="right" w:pos="9360"/>
      </w:tabs>
      <w:spacing w:after="0" w:line="240" w:lineRule="auto"/>
    </w:pPr>
    <w:rPr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974A6"/>
    <w:rPr>
      <w:sz w:val="2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97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4A6"/>
  </w:style>
  <w:style w:type="paragraph" w:styleId="ListParagraph">
    <w:name w:val="List Paragraph"/>
    <w:basedOn w:val="Normal"/>
    <w:link w:val="ListParagraphChar"/>
    <w:uiPriority w:val="34"/>
    <w:qFormat/>
    <w:rsid w:val="002974A6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974A6"/>
    <w:rPr>
      <w:rFonts w:ascii="Calibri" w:eastAsia="Calibri" w:hAnsi="Calibri" w:cs="Times New Roman"/>
    </w:rPr>
  </w:style>
  <w:style w:type="paragraph" w:customStyle="1" w:styleId="Default">
    <w:name w:val="Default"/>
    <w:rsid w:val="002974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teefah.Hughes@ardx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tt.Lemma@ardx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11" Type="http://schemas.openxmlformats.org/officeDocument/2006/relationships/footer" Target="footer1.xml"/><Relationship Id="rId5" Type="http://schemas.openxmlformats.org/officeDocument/2006/relationships/hyperlink" Target="mailto:Kathleen.Anderson@cms.hhs.gov" TargetMode="External"/><Relationship Id="rId10" Type="http://schemas.openxmlformats.org/officeDocument/2006/relationships/hyperlink" Target="mailto:Sadie.Bennett@ardx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t.Claytor@ardx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Medicare and Medicaid Services (CMS)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JAMAA HILL</dc:creator>
  <cp:keywords/>
  <dc:description/>
  <cp:lastModifiedBy>JAMAA HILL</cp:lastModifiedBy>
  <cp:revision>1</cp:revision>
  <dcterms:created xsi:type="dcterms:W3CDTF">2021-05-26T22:27:00Z</dcterms:created>
  <dcterms:modified xsi:type="dcterms:W3CDTF">2021-05-26T22:29:00Z</dcterms:modified>
</cp:coreProperties>
</file>