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0EE2153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C439AC" w:rsidP="00434E33" w:rsidRDefault="00C439AC" w14:paraId="1255DAB8" w14:textId="77777777">
      <w:pPr>
        <w:rPr>
          <w:b/>
        </w:rPr>
      </w:pPr>
    </w:p>
    <w:p w:rsidRPr="009239AA" w:rsidR="00E50293" w:rsidP="00434E33" w:rsidRDefault="005C15C7" w14:paraId="02B48D9A" w14:textId="19E4B1B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8993DCD" wp14:anchorId="29C94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B0C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A32F2">
        <w:t>Feedback Survey</w:t>
      </w:r>
      <w:r w:rsidR="003A32F2">
        <w:rPr>
          <w:b/>
        </w:rPr>
        <w:t xml:space="preserve"> </w:t>
      </w:r>
      <w:r w:rsidR="003A32F2">
        <w:rPr>
          <w:bCs/>
        </w:rPr>
        <w:t xml:space="preserve">for the </w:t>
      </w:r>
      <w:r w:rsidR="003A32F2">
        <w:t xml:space="preserve">NS2G Learning Community </w:t>
      </w:r>
      <w:r w:rsidR="00283C87">
        <w:t xml:space="preserve">Calls </w:t>
      </w:r>
    </w:p>
    <w:p w:rsidR="005E714A" w:rsidRDefault="005E714A" w14:paraId="63A90EBB" w14:textId="77777777"/>
    <w:p w:rsidR="00130453" w:rsidP="0056162F" w:rsidRDefault="00F15956" w14:paraId="67A70835" w14:textId="77777777">
      <w:pPr>
        <w:pStyle w:val="Paragraph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54294" w:rsidR="00B1613A">
        <w:rPr>
          <w:bCs/>
        </w:rPr>
        <w:t xml:space="preserve">The purpose of the </w:t>
      </w:r>
      <w:r w:rsidRPr="00B1613A" w:rsidR="00B1613A">
        <w:rPr>
          <w:rFonts w:eastAsia="Arial Unicode MS" w:cs="Calibri"/>
          <w:noProof/>
        </w:rPr>
        <w:t>Next Steps for Rigorous Research on Two-Generation Programs (NS2G) project</w:t>
      </w:r>
      <w:r w:rsidRPr="00F54294" w:rsidR="00B1613A">
        <w:rPr>
          <w:bCs/>
        </w:rPr>
        <w:t xml:space="preserve"> is </w:t>
      </w:r>
      <w:r w:rsidRPr="00F54294" w:rsidR="00B1613A">
        <w:t>to build the capacity of the two-</w:t>
      </w:r>
      <w:r w:rsidRPr="00F54294" w:rsidR="00B1613A">
        <w:rPr>
          <w:rFonts w:cs="Calibri"/>
        </w:rPr>
        <w:t xml:space="preserve">generation field for future ACF research. </w:t>
      </w:r>
      <w:r w:rsidR="00847620">
        <w:rPr>
          <w:rFonts w:cs="Calibri"/>
        </w:rPr>
        <w:t xml:space="preserve"> </w:t>
      </w:r>
      <w:r w:rsidR="00E857D2">
        <w:rPr>
          <w:rFonts w:cs="Calibri"/>
        </w:rPr>
        <w:t xml:space="preserve">Through one component of the project, </w:t>
      </w:r>
      <w:r w:rsidRPr="00F54294" w:rsidR="00B1613A">
        <w:rPr>
          <w:rFonts w:cs="Calibri"/>
        </w:rPr>
        <w:t xml:space="preserve">NS2G will </w:t>
      </w:r>
      <w:r w:rsidR="00AC2140">
        <w:rPr>
          <w:rFonts w:cs="Calibri"/>
        </w:rPr>
        <w:t xml:space="preserve">provide technical assistance (TA) to </w:t>
      </w:r>
      <w:r w:rsidRPr="00F54294" w:rsidR="00B1613A">
        <w:t xml:space="preserve">support formative evaluations designed to strengthen existing two-generation programs and inform the broader two-generation program field about approaches programs can take to improve their program models and readiness for evaluation. </w:t>
      </w:r>
      <w:r w:rsidR="00E857D2">
        <w:t xml:space="preserve"> (The information collection for the formative evaluations was approved 6/30/2020 under</w:t>
      </w:r>
      <w:r w:rsidRPr="00AB68E7" w:rsidR="00E857D2">
        <w:t xml:space="preserve"> </w:t>
      </w:r>
      <w:r w:rsidR="00E857D2">
        <w:t>Formative Data Collections for ACF Research #0970 – 0356</w:t>
      </w:r>
      <w:r w:rsidRPr="00F54294" w:rsidR="00E857D2">
        <w:t>.</w:t>
      </w:r>
      <w:r w:rsidR="00E857D2">
        <w:t>)  Through a second component of the project, NS2G will conduct learning community calls with five TA</w:t>
      </w:r>
      <w:r w:rsidR="00AC2140">
        <w:t>-</w:t>
      </w:r>
      <w:r w:rsidR="00E857D2">
        <w:t xml:space="preserve">supported sites and up to five additional enrichment sites interested in learning from their collective experiences. </w:t>
      </w:r>
      <w:r w:rsidR="00847620">
        <w:t xml:space="preserve"> </w:t>
      </w:r>
      <w:r w:rsidR="00E857D2">
        <w:t>The enrichment sites may also choose to conduct program development work on their own.</w:t>
      </w:r>
    </w:p>
    <w:p w:rsidR="00B1613A" w:rsidP="0056162F" w:rsidRDefault="00472DC7" w14:paraId="0DF2B5CB" w14:textId="77777777">
      <w:pPr>
        <w:pStyle w:val="Paragraph"/>
      </w:pPr>
      <w:r>
        <w:t xml:space="preserve">The purpose of this </w:t>
      </w:r>
      <w:r w:rsidR="00E857D2">
        <w:t>information collection</w:t>
      </w:r>
      <w:r w:rsidRPr="0047603F" w:rsidR="00E857D2">
        <w:t xml:space="preserve"> </w:t>
      </w:r>
      <w:r w:rsidRPr="0047603F">
        <w:t xml:space="preserve">is to solicit feedback from participants in the NS2G learning community. </w:t>
      </w:r>
      <w:r w:rsidR="00847620">
        <w:t xml:space="preserve"> </w:t>
      </w:r>
      <w:r w:rsidRPr="0047603F" w:rsidR="00B1613A">
        <w:t xml:space="preserve">We will </w:t>
      </w:r>
      <w:r w:rsidRPr="0047603F" w:rsidR="00130453">
        <w:t>host</w:t>
      </w:r>
      <w:r w:rsidRPr="0047603F" w:rsidR="00B1613A">
        <w:t xml:space="preserve"> up to five </w:t>
      </w:r>
      <w:r w:rsidRPr="0047603F">
        <w:t xml:space="preserve">learning community </w:t>
      </w:r>
      <w:r w:rsidRPr="0047603F" w:rsidR="00283C87">
        <w:t>calls</w:t>
      </w:r>
      <w:r w:rsidRPr="0047603F" w:rsidR="00130453">
        <w:t xml:space="preserve">. </w:t>
      </w:r>
      <w:r w:rsidR="00847620">
        <w:t xml:space="preserve"> </w:t>
      </w:r>
      <w:r w:rsidRPr="0047603F" w:rsidR="00130453">
        <w:t>Following each call, we will conduct feedback surveys of the learning community</w:t>
      </w:r>
      <w:r w:rsidR="00130453">
        <w:t xml:space="preserve"> participants to assess</w:t>
      </w:r>
      <w:r w:rsidR="00AC2140">
        <w:t>:</w:t>
      </w:r>
      <w:r w:rsidR="00847620">
        <w:t xml:space="preserve"> </w:t>
      </w:r>
      <w:r w:rsidR="00130453">
        <w:t xml:space="preserve"> </w:t>
      </w:r>
      <w:r w:rsidR="00AC2140">
        <w:t xml:space="preserve">(1) participants’ perceptions regarding </w:t>
      </w:r>
      <w:r w:rsidR="00130453">
        <w:t>the extent to which the information presented has improved capacity to use data to assess implementation and improve the programs</w:t>
      </w:r>
      <w:r w:rsidR="00AC2140">
        <w:t>;</w:t>
      </w:r>
      <w:r w:rsidR="00130453">
        <w:t xml:space="preserve"> and </w:t>
      </w:r>
      <w:r w:rsidR="00AC2140">
        <w:t xml:space="preserve">(2) </w:t>
      </w:r>
      <w:r w:rsidR="00130453">
        <w:t xml:space="preserve">whether learning community participants have used data and engaged with staff and stakeholders in new ways. </w:t>
      </w:r>
    </w:p>
    <w:p w:rsidR="00894CA2" w:rsidP="0056162F" w:rsidRDefault="00894CA2" w14:paraId="3334ECBC" w14:textId="09AD0B09">
      <w:pPr>
        <w:pStyle w:val="Paragraph"/>
      </w:pPr>
      <w:r w:rsidRPr="00894CA2">
        <w:t xml:space="preserve">We </w:t>
      </w:r>
      <w:r>
        <w:t xml:space="preserve">plan to </w:t>
      </w:r>
      <w:r w:rsidR="00C35B2F">
        <w:t>select</w:t>
      </w:r>
      <w:r w:rsidRPr="00894CA2">
        <w:t xml:space="preserve"> feedback survey items</w:t>
      </w:r>
      <w:r w:rsidR="00C35B2F">
        <w:t xml:space="preserve"> from a list of </w:t>
      </w:r>
      <w:r w:rsidR="00751412">
        <w:t>25</w:t>
      </w:r>
      <w:r w:rsidR="00C35B2F">
        <w:t xml:space="preserve"> items</w:t>
      </w:r>
      <w:r>
        <w:t xml:space="preserve"> </w:t>
      </w:r>
      <w:r w:rsidRPr="00751412">
        <w:t>(</w:t>
      </w:r>
      <w:r w:rsidRPr="00751412" w:rsidR="00666AED">
        <w:t xml:space="preserve">Attachment </w:t>
      </w:r>
      <w:r w:rsidRPr="00751412">
        <w:t>1).</w:t>
      </w:r>
      <w:r w:rsidRPr="00894CA2">
        <w:t xml:space="preserve"> </w:t>
      </w:r>
      <w:r w:rsidR="00847620">
        <w:t xml:space="preserve"> </w:t>
      </w:r>
      <w:r w:rsidRPr="00894CA2">
        <w:t>For each</w:t>
      </w:r>
      <w:r w:rsidR="00C35B2F">
        <w:t xml:space="preserve"> feedback</w:t>
      </w:r>
      <w:r w:rsidRPr="00894CA2">
        <w:t xml:space="preserve"> survey, we </w:t>
      </w:r>
      <w:r>
        <w:t>will</w:t>
      </w:r>
      <w:r w:rsidRPr="00894CA2">
        <w:t xml:space="preserve"> select six to </w:t>
      </w:r>
      <w:r w:rsidR="00EE55DD">
        <w:t>thirteen</w:t>
      </w:r>
      <w:r w:rsidRPr="00894CA2" w:rsidR="004414A7">
        <w:t xml:space="preserve"> </w:t>
      </w:r>
      <w:r w:rsidRPr="00894CA2">
        <w:t xml:space="preserve">of the multiple-choice response items, depending on the topics discussed in a particular call. </w:t>
      </w:r>
      <w:r w:rsidR="00847620">
        <w:t xml:space="preserve"> </w:t>
      </w:r>
      <w:r w:rsidRPr="00894CA2">
        <w:t xml:space="preserve">For each survey, we also plan to use all </w:t>
      </w:r>
      <w:r w:rsidR="00751412">
        <w:t>four</w:t>
      </w:r>
      <w:r w:rsidRPr="00894CA2">
        <w:t xml:space="preserve"> open-ended items. </w:t>
      </w:r>
      <w:r w:rsidR="00847620">
        <w:t xml:space="preserve"> </w:t>
      </w:r>
      <w:r w:rsidR="00874E48">
        <w:t>Items 1-</w:t>
      </w:r>
      <w:r w:rsidR="004414A7">
        <w:t xml:space="preserve">12 </w:t>
      </w:r>
      <w:r w:rsidR="00874E48">
        <w:t xml:space="preserve">measure </w:t>
      </w:r>
      <w:r w:rsidR="003E1410">
        <w:t xml:space="preserve">perceived </w:t>
      </w:r>
      <w:r w:rsidRPr="00894CA2">
        <w:t xml:space="preserve">improvements in understanding or capacity from each learning community call, while items </w:t>
      </w:r>
      <w:r w:rsidRPr="00894CA2" w:rsidR="004414A7">
        <w:t>1</w:t>
      </w:r>
      <w:r w:rsidR="004414A7">
        <w:t>3</w:t>
      </w:r>
      <w:r w:rsidRPr="00894CA2">
        <w:t>-</w:t>
      </w:r>
      <w:r w:rsidR="004414A7">
        <w:t>21</w:t>
      </w:r>
      <w:r w:rsidRPr="00894CA2" w:rsidR="004414A7">
        <w:t xml:space="preserve"> </w:t>
      </w:r>
      <w:r w:rsidRPr="00894CA2">
        <w:t xml:space="preserve">measure actions taken in the time between learning community calls. </w:t>
      </w:r>
      <w:r w:rsidR="00847620">
        <w:t xml:space="preserve"> </w:t>
      </w:r>
      <w:r w:rsidRPr="00894CA2">
        <w:t>To preserve anonymity, we will administer the survey using an online form such as Survey Monkey</w:t>
      </w:r>
      <w:r w:rsidR="000B2B6E">
        <w:t xml:space="preserve"> </w:t>
      </w:r>
      <w:r w:rsidR="00272666">
        <w:t>without asking</w:t>
      </w:r>
      <w:r w:rsidR="000B2B6E">
        <w:t xml:space="preserve"> for identifying information</w:t>
      </w:r>
      <w:r w:rsidRPr="00894CA2">
        <w:t xml:space="preserve">. </w:t>
      </w:r>
      <w:r w:rsidR="00847620">
        <w:t xml:space="preserve"> </w:t>
      </w:r>
      <w:r w:rsidRPr="00894CA2">
        <w:t xml:space="preserve">We will ask whether the respondent is from the TA-supported or the enrichment sites </w:t>
      </w:r>
      <w:r w:rsidR="000B2B6E">
        <w:t>to assess whether objectives are being met for each of these groups of sites.</w:t>
      </w:r>
      <w:r w:rsidR="00847620">
        <w:t xml:space="preserve"> </w:t>
      </w:r>
      <w:r w:rsidRPr="00894CA2">
        <w:t xml:space="preserve">We will </w:t>
      </w:r>
      <w:r w:rsidR="00283C87">
        <w:t>email</w:t>
      </w:r>
      <w:r w:rsidRPr="00894CA2">
        <w:t xml:space="preserve"> the feedback survey to everyone who attended a particular learning community </w:t>
      </w:r>
      <w:r w:rsidR="00283C87">
        <w:t>call</w:t>
      </w:r>
      <w:r w:rsidRPr="00894CA2">
        <w:t xml:space="preserve"> as soon as the </w:t>
      </w:r>
      <w:r w:rsidR="00283C87">
        <w:t>call ends</w:t>
      </w:r>
      <w:r w:rsidR="00874E48">
        <w:t xml:space="preserve">. </w:t>
      </w:r>
      <w:r w:rsidRPr="00894CA2">
        <w:t xml:space="preserve"> </w:t>
      </w:r>
    </w:p>
    <w:p w:rsidRPr="00434E33" w:rsidR="00434E33" w:rsidP="00434E33" w:rsidRDefault="00434E33" w14:paraId="106AC6C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B58C25E" w14:textId="77777777"/>
    <w:p w:rsidR="00C8488C" w:rsidRDefault="00C16A0B" w14:paraId="47257693" w14:textId="14BD87EA">
      <w:r>
        <w:t>R</w:t>
      </w:r>
      <w:r w:rsidR="0056162F">
        <w:t xml:space="preserve">espondents will be </w:t>
      </w:r>
      <w:r w:rsidR="00DF3FDE">
        <w:t xml:space="preserve">NS2G </w:t>
      </w:r>
      <w:r w:rsidR="0056162F">
        <w:t>learning community participants</w:t>
      </w:r>
      <w:r w:rsidR="000B2B6E">
        <w:t xml:space="preserve"> (</w:t>
      </w:r>
      <w:r w:rsidR="003A45B5">
        <w:t>specifically, two</w:t>
      </w:r>
      <w:r w:rsidR="006434CC">
        <w:t xml:space="preserve">-generation </w:t>
      </w:r>
      <w:r w:rsidR="000B2B6E">
        <w:t>program administrators)</w:t>
      </w:r>
      <w:r>
        <w:t xml:space="preserve"> from fiv</w:t>
      </w:r>
      <w:r w:rsidRPr="0047603F">
        <w:t>e TA</w:t>
      </w:r>
      <w:r w:rsidR="00847620">
        <w:t>-</w:t>
      </w:r>
      <w:r w:rsidRPr="0047603F">
        <w:t>supported sites and up to five additional enrichment sites.</w:t>
      </w:r>
      <w:r>
        <w:rPr>
          <w:b/>
          <w:bCs/>
        </w:rPr>
        <w:t xml:space="preserve"> </w:t>
      </w:r>
    </w:p>
    <w:p w:rsidR="00E26329" w:rsidRDefault="00E26329" w14:paraId="0342CAEF" w14:textId="77777777">
      <w:pPr>
        <w:rPr>
          <w:b/>
        </w:rPr>
      </w:pPr>
    </w:p>
    <w:p w:rsidRPr="00F06866" w:rsidR="00F06866" w:rsidRDefault="00F06866" w14:paraId="346FEB0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498018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67E5E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504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8FA18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D7E4B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1195BA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4DDA5C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62D9F3A" w14:textId="77777777">
      <w:pPr>
        <w:rPr>
          <w:sz w:val="16"/>
          <w:szCs w:val="16"/>
        </w:rPr>
      </w:pPr>
    </w:p>
    <w:p w:rsidRPr="009C13B9" w:rsidR="008101A5" w:rsidP="008101A5" w:rsidRDefault="008101A5" w14:paraId="4F426F7A" w14:textId="77777777">
      <w:r>
        <w:t xml:space="preserve">I certify the following to be true: </w:t>
      </w:r>
    </w:p>
    <w:p w:rsidR="008101A5" w:rsidP="008101A5" w:rsidRDefault="008101A5" w14:paraId="42BB7B7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D7BECB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6348DE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933DE6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5E91F2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B5D7C1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C6ED639" w14:textId="77777777"/>
    <w:p w:rsidR="009C13B9" w:rsidP="009C13B9" w:rsidRDefault="009C13B9" w14:paraId="731D2E4F" w14:textId="76EE4D21">
      <w:r>
        <w:t>Name:</w:t>
      </w:r>
      <w:r w:rsidR="000B2B6E">
        <w:t xml:space="preserve"> </w:t>
      </w:r>
      <w:r w:rsidRPr="006434CC" w:rsidR="000B2B6E">
        <w:rPr>
          <w:u w:val="single"/>
        </w:rPr>
        <w:t>Kathleen Dwyer</w:t>
      </w:r>
      <w:r w:rsidR="00F843BB">
        <w:rPr>
          <w:u w:val="single"/>
        </w:rPr>
        <w:t>,</w:t>
      </w:r>
      <w:r w:rsidRPr="006434CC" w:rsidR="000B2B6E">
        <w:rPr>
          <w:u w:val="single"/>
        </w:rPr>
        <w:t xml:space="preserve"> </w:t>
      </w:r>
      <w:r w:rsidR="00F843BB">
        <w:rPr>
          <w:u w:val="single"/>
        </w:rPr>
        <w:t xml:space="preserve">Senior Social Science Research Analyst, </w:t>
      </w:r>
      <w:r w:rsidR="0001148D">
        <w:rPr>
          <w:u w:val="single"/>
        </w:rPr>
        <w:t>Office of Planning, Research, and Evaluation (</w:t>
      </w:r>
      <w:r w:rsidR="00F843BB">
        <w:rPr>
          <w:u w:val="single"/>
        </w:rPr>
        <w:t>OPRE</w:t>
      </w:r>
      <w:r w:rsidR="0001148D">
        <w:rPr>
          <w:u w:val="single"/>
        </w:rPr>
        <w:t>)</w:t>
      </w:r>
      <w:r w:rsidR="000B2B6E">
        <w:t xml:space="preserve"> </w:t>
      </w:r>
    </w:p>
    <w:p w:rsidR="009C13B9" w:rsidP="009C13B9" w:rsidRDefault="009C13B9" w14:paraId="4186723A" w14:textId="77777777">
      <w:pPr>
        <w:pStyle w:val="ListParagraph"/>
        <w:ind w:left="360"/>
      </w:pPr>
    </w:p>
    <w:p w:rsidR="009C13B9" w:rsidP="009C13B9" w:rsidRDefault="009C13B9" w14:paraId="5DD8F9B4" w14:textId="77777777">
      <w:r>
        <w:t>To assist review, please provide answers to the following question:</w:t>
      </w:r>
    </w:p>
    <w:p w:rsidR="009C13B9" w:rsidP="009C13B9" w:rsidRDefault="009C13B9" w14:paraId="67F0580A" w14:textId="77777777">
      <w:pPr>
        <w:pStyle w:val="ListParagraph"/>
        <w:ind w:left="360"/>
      </w:pPr>
    </w:p>
    <w:p w:rsidRPr="00C86E91" w:rsidR="009C13B9" w:rsidP="00C86E91" w:rsidRDefault="00C86E91" w14:paraId="0A6E55D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5DF192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B4F8F">
        <w:t>x</w:t>
      </w:r>
      <w:r w:rsidR="009239AA">
        <w:t xml:space="preserve">]  No </w:t>
      </w:r>
    </w:p>
    <w:p w:rsidR="00C86E91" w:rsidP="00C86E91" w:rsidRDefault="009C13B9" w14:paraId="1AD3D78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C0086B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4B3D4CE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9BB669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55BD604" w14:textId="77777777">
      <w:r>
        <w:t>Is an incentive (e.g., money or reimbursement of expenses, token of appreciation) provided to participants?  [  ] Yes [</w:t>
      </w:r>
      <w:r w:rsidR="00F84C6E">
        <w:t>x</w:t>
      </w:r>
      <w:r>
        <w:t xml:space="preserve">] No  </w:t>
      </w:r>
    </w:p>
    <w:p w:rsidR="00C86E91" w:rsidRDefault="00C86E91" w14:paraId="5F2E60DF" w14:textId="77777777">
      <w:pPr>
        <w:rPr>
          <w:b/>
        </w:rPr>
      </w:pPr>
    </w:p>
    <w:p w:rsidR="005E714A" w:rsidP="00C86E91" w:rsidRDefault="005E714A" w14:paraId="114729F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2210812" w14:textId="77777777">
      <w:pPr>
        <w:keepNext/>
        <w:keepLines/>
        <w:rPr>
          <w:b/>
        </w:rPr>
      </w:pP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50"/>
        <w:gridCol w:w="2790"/>
        <w:gridCol w:w="2340"/>
      </w:tblGrid>
      <w:tr w:rsidR="00EF2095" w:rsidTr="00662C4A" w14:paraId="2A0E8622" w14:textId="77777777">
        <w:trPr>
          <w:trHeight w:val="274"/>
        </w:trPr>
        <w:tc>
          <w:tcPr>
            <w:tcW w:w="2988" w:type="dxa"/>
          </w:tcPr>
          <w:p w:rsidRPr="0001027E" w:rsidR="006832D9" w:rsidP="00C8488C" w:rsidRDefault="00E40B50" w14:paraId="783F8E9A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 w14:paraId="394E91B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790" w:type="dxa"/>
          </w:tcPr>
          <w:p w:rsidRPr="0001027E" w:rsidR="006832D9" w:rsidP="00843796" w:rsidRDefault="006832D9" w14:paraId="16392FB7" w14:textId="55FD346B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7F290A">
              <w:rPr>
                <w:b/>
              </w:rPr>
              <w:t xml:space="preserve"> for each respondent</w:t>
            </w:r>
          </w:p>
        </w:tc>
        <w:tc>
          <w:tcPr>
            <w:tcW w:w="2340" w:type="dxa"/>
          </w:tcPr>
          <w:p w:rsidRPr="0001027E" w:rsidR="006832D9" w:rsidP="00843796" w:rsidRDefault="006832D9" w14:paraId="2AE83A3A" w14:textId="35E070E0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7F290A">
              <w:rPr>
                <w:b/>
              </w:rPr>
              <w:t xml:space="preserve"> across all 20 respondents</w:t>
            </w:r>
          </w:p>
        </w:tc>
      </w:tr>
      <w:tr w:rsidR="00EF2095" w:rsidTr="00662C4A" w14:paraId="1D2B79FF" w14:textId="77777777">
        <w:trPr>
          <w:trHeight w:val="274"/>
        </w:trPr>
        <w:tc>
          <w:tcPr>
            <w:tcW w:w="2988" w:type="dxa"/>
          </w:tcPr>
          <w:p w:rsidR="006832D9" w:rsidP="00843796" w:rsidRDefault="008B3B30" w14:paraId="0A3C8FA3" w14:textId="77777777">
            <w:r>
              <w:t>Private Sector</w:t>
            </w:r>
          </w:p>
        </w:tc>
        <w:tc>
          <w:tcPr>
            <w:tcW w:w="2250" w:type="dxa"/>
          </w:tcPr>
          <w:p w:rsidR="006832D9" w:rsidP="00843796" w:rsidRDefault="008B3B30" w14:paraId="505F060E" w14:textId="77777777">
            <w:r>
              <w:t>20</w:t>
            </w:r>
          </w:p>
        </w:tc>
        <w:tc>
          <w:tcPr>
            <w:tcW w:w="2790" w:type="dxa"/>
          </w:tcPr>
          <w:p w:rsidR="006832D9" w:rsidP="00843796" w:rsidRDefault="00DF3FDE" w14:paraId="68781682" w14:textId="6907F756">
            <w:r>
              <w:t>0.25 hours per survey request</w:t>
            </w:r>
            <w:r w:rsidR="007F5EC9">
              <w:t xml:space="preserve"> </w:t>
            </w:r>
            <w:r w:rsidR="00323A5B">
              <w:t>(</w:t>
            </w:r>
            <w:r w:rsidRPr="0001148D" w:rsidR="00323A5B">
              <w:rPr>
                <w:b/>
              </w:rPr>
              <w:t>1 survey</w:t>
            </w:r>
            <w:r w:rsidR="00323A5B">
              <w:t>)</w:t>
            </w:r>
          </w:p>
          <w:p w:rsidR="00DF3FDE" w:rsidP="00843796" w:rsidRDefault="00DF3FDE" w14:paraId="620467BE" w14:textId="77777777"/>
          <w:p w:rsidR="00DF3FDE" w:rsidP="00843796" w:rsidRDefault="00DF3FDE" w14:paraId="5E0CE127" w14:textId="13F174D6"/>
        </w:tc>
        <w:tc>
          <w:tcPr>
            <w:tcW w:w="2340" w:type="dxa"/>
          </w:tcPr>
          <w:p w:rsidR="006832D9" w:rsidP="00843796" w:rsidRDefault="008B3B30" w14:paraId="2F267C0C" w14:textId="1E6F98E7">
            <w:r>
              <w:t>5 hours</w:t>
            </w:r>
            <w:r w:rsidR="00DF3FDE">
              <w:t xml:space="preserve"> per survey request</w:t>
            </w:r>
            <w:r w:rsidR="00323A5B">
              <w:t xml:space="preserve"> (</w:t>
            </w:r>
            <w:r w:rsidRPr="0001148D" w:rsidR="00323A5B">
              <w:rPr>
                <w:b/>
              </w:rPr>
              <w:t>1 survey</w:t>
            </w:r>
            <w:r w:rsidR="00323A5B">
              <w:t>)</w:t>
            </w:r>
          </w:p>
          <w:p w:rsidR="00DF3FDE" w:rsidP="00843796" w:rsidRDefault="00DF3FDE" w14:paraId="72719AE5" w14:textId="77777777"/>
          <w:p w:rsidR="007F5EC9" w:rsidP="00843796" w:rsidRDefault="007F5EC9" w14:paraId="0B50286C" w14:textId="311BF429"/>
        </w:tc>
      </w:tr>
      <w:tr w:rsidR="00EF2095" w:rsidTr="00662C4A" w14:paraId="301CB87D" w14:textId="77777777">
        <w:trPr>
          <w:trHeight w:val="289"/>
        </w:trPr>
        <w:tc>
          <w:tcPr>
            <w:tcW w:w="2988" w:type="dxa"/>
          </w:tcPr>
          <w:p w:rsidRPr="0001027E" w:rsidR="006832D9" w:rsidP="00843796" w:rsidRDefault="006832D9" w14:paraId="27F3FF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01027E" w:rsidR="006832D9" w:rsidP="00843796" w:rsidRDefault="008B3B30" w14:paraId="569A1577" w14:textId="7777777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90" w:type="dxa"/>
          </w:tcPr>
          <w:p w:rsidR="006832D9" w:rsidP="00843796" w:rsidRDefault="007F5EC9" w14:paraId="70366A84" w14:textId="21ABA16F">
            <w:r>
              <w:t>1.25 hours</w:t>
            </w:r>
            <w:r w:rsidR="00323A5B">
              <w:t xml:space="preserve"> (</w:t>
            </w:r>
            <w:r w:rsidRPr="0001148D" w:rsidR="00323A5B">
              <w:rPr>
                <w:b/>
              </w:rPr>
              <w:t>5 surveys</w:t>
            </w:r>
            <w:r w:rsidR="00323A5B">
              <w:t>)</w:t>
            </w:r>
          </w:p>
        </w:tc>
        <w:tc>
          <w:tcPr>
            <w:tcW w:w="2340" w:type="dxa"/>
          </w:tcPr>
          <w:p w:rsidRPr="0001027E" w:rsidR="006832D9" w:rsidP="0001148D" w:rsidRDefault="007F5EC9" w14:paraId="72A1468E" w14:textId="5EF9B737">
            <w:pPr>
              <w:rPr>
                <w:b/>
              </w:rPr>
            </w:pPr>
            <w:r>
              <w:t>25 hours</w:t>
            </w:r>
            <w:r w:rsidR="00323A5B">
              <w:t xml:space="preserve"> (</w:t>
            </w:r>
            <w:r w:rsidRPr="0001148D" w:rsidR="00323A5B">
              <w:rPr>
                <w:b/>
              </w:rPr>
              <w:t>5 survey</w:t>
            </w:r>
            <w:r w:rsidRPr="0001148D" w:rsidR="0001148D">
              <w:rPr>
                <w:b/>
              </w:rPr>
              <w:t>s</w:t>
            </w:r>
            <w:r w:rsidR="00323A5B">
              <w:t>)</w:t>
            </w:r>
          </w:p>
        </w:tc>
      </w:tr>
    </w:tbl>
    <w:p w:rsidR="00F3170F" w:rsidP="00F3170F" w:rsidRDefault="00F3170F" w14:paraId="58DE5379" w14:textId="77777777"/>
    <w:p w:rsidRPr="00141190" w:rsidR="004F303D" w:rsidP="004F303D" w:rsidRDefault="001C39F7" w14:paraId="06CFBE61" w14:textId="1F30EF93">
      <w:pPr>
        <w:rPr>
          <w:rFonts w:ascii="Calibri" w:hAnsi="Calibri" w:eastAsia="Calibri" w:cs="Calibri"/>
          <w:color w:val="1F497D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662C4A" w:rsidR="008B3B30">
        <w:rPr>
          <w:u w:val="single"/>
        </w:rPr>
        <w:t>$</w:t>
      </w:r>
      <w:r w:rsidR="00260FB4">
        <w:rPr>
          <w:u w:val="single"/>
        </w:rPr>
        <w:t>1,</w:t>
      </w:r>
      <w:r w:rsidR="003A45B5">
        <w:rPr>
          <w:u w:val="single"/>
        </w:rPr>
        <w:t>900</w:t>
      </w:r>
      <w:r w:rsidR="00260FB4">
        <w:rPr>
          <w:u w:val="single"/>
        </w:rPr>
        <w:t xml:space="preserve">. </w:t>
      </w:r>
    </w:p>
    <w:p w:rsidR="00D93F8C" w:rsidP="00F06866" w:rsidRDefault="00D93F8C" w14:paraId="58B3535C" w14:textId="77777777">
      <w:pPr>
        <w:rPr>
          <w:b/>
          <w:bCs/>
          <w:u w:val="single"/>
        </w:rPr>
      </w:pPr>
    </w:p>
    <w:p w:rsidRPr="0055054B" w:rsidR="0069403B" w:rsidP="00F06866" w:rsidRDefault="00ED6492" w14:paraId="6AC74602" w14:textId="42ABED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9D5B275" w14:textId="77777777">
      <w:pPr>
        <w:rPr>
          <w:b/>
        </w:rPr>
      </w:pPr>
    </w:p>
    <w:p w:rsidR="00F06866" w:rsidP="00F06866" w:rsidRDefault="00636621" w14:paraId="162C3CE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A2909EA" w14:textId="7CDD65E0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A5D33">
        <w:t>x</w:t>
      </w:r>
      <w:r>
        <w:t>] Yes</w:t>
      </w:r>
      <w:r>
        <w:tab/>
        <w:t>[] No</w:t>
      </w:r>
    </w:p>
    <w:p w:rsidR="00636621" w:rsidP="00636621" w:rsidRDefault="00636621" w14:paraId="536E1EFD" w14:textId="77777777">
      <w:pPr>
        <w:pStyle w:val="ListParagraph"/>
      </w:pPr>
    </w:p>
    <w:p w:rsidR="00636621" w:rsidP="001B0AAA" w:rsidRDefault="00636621" w14:paraId="42A7A69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45274" w:rsidP="001B0AAA" w:rsidRDefault="00845274" w14:paraId="34AF41DB" w14:textId="77777777"/>
    <w:p w:rsidR="00845274" w:rsidP="006434CC" w:rsidRDefault="004D01A2" w14:paraId="427E3537" w14:textId="77777777">
      <w:pPr>
        <w:ind w:left="720"/>
      </w:pPr>
      <w:bookmarkStart w:name="_Hlk42861038" w:id="0"/>
      <w:r>
        <w:t>The universe of potential respondents is the</w:t>
      </w:r>
      <w:r w:rsidR="00845274">
        <w:t xml:space="preserve"> </w:t>
      </w:r>
      <w:r>
        <w:t xml:space="preserve">list of </w:t>
      </w:r>
      <w:r w:rsidR="00845274">
        <w:t>learning community</w:t>
      </w:r>
      <w:bookmarkEnd w:id="0"/>
      <w:r w:rsidR="00845274">
        <w:t xml:space="preserve"> participants</w:t>
      </w:r>
      <w:r w:rsidR="00A27E22">
        <w:t xml:space="preserve">. </w:t>
      </w:r>
      <w:r>
        <w:t xml:space="preserve"> </w:t>
      </w:r>
      <w:r w:rsidR="00A27E22">
        <w:t>Each participant who attends a particular learning community</w:t>
      </w:r>
      <w:r w:rsidDel="00176834" w:rsidR="00A27E22">
        <w:t xml:space="preserve"> </w:t>
      </w:r>
      <w:r w:rsidR="00A27E22">
        <w:t xml:space="preserve">call will receive the feedback survey. </w:t>
      </w:r>
      <w:r>
        <w:t xml:space="preserve"> </w:t>
      </w:r>
      <w:r w:rsidR="00A27E22">
        <w:t>We expect</w:t>
      </w:r>
      <w:r w:rsidR="00845274">
        <w:t xml:space="preserve"> </w:t>
      </w:r>
      <w:r w:rsidR="00A27E22">
        <w:t>up to two participant respondents</w:t>
      </w:r>
      <w:r w:rsidR="00845274">
        <w:t xml:space="preserve"> for each of the 10 sites (5 TA sites, 5 enrichment sites), for a maximum of 20 respondent</w:t>
      </w:r>
      <w:r w:rsidR="00A27E22">
        <w:t xml:space="preserve">s following each call. </w:t>
      </w:r>
      <w:r>
        <w:t xml:space="preserve"> We will solicit participation from the full universe, and a sampling plan is not applicable.</w:t>
      </w:r>
    </w:p>
    <w:p w:rsidR="004D6E14" w:rsidP="00A403BB" w:rsidRDefault="004D6E14" w14:paraId="7ECC63D5" w14:textId="77777777">
      <w:pPr>
        <w:rPr>
          <w:b/>
        </w:rPr>
      </w:pPr>
    </w:p>
    <w:p w:rsidR="00A403BB" w:rsidP="00A403BB" w:rsidRDefault="00A403BB" w14:paraId="021ECEF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F621C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779F561" w14:textId="77777777">
      <w:pPr>
        <w:ind w:left="720"/>
      </w:pPr>
      <w:r>
        <w:t>[</w:t>
      </w:r>
      <w:r w:rsidR="007B4F8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CC77C5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BFA7B0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34EE92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55351B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871A294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B4F8F">
        <w:t>x</w:t>
      </w:r>
      <w:r>
        <w:t>] No</w:t>
      </w:r>
    </w:p>
    <w:p w:rsidR="00F24CFC" w:rsidP="00F24CFC" w:rsidRDefault="00F24CFC" w14:paraId="1A76F93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143403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17F45" w:rsidP="0024521E" w:rsidRDefault="00517F45" w14:paraId="6C046A21" w14:textId="77777777">
      <w:pPr>
        <w:rPr>
          <w:b/>
        </w:rPr>
      </w:pPr>
    </w:p>
    <w:p w:rsidR="00517F45" w:rsidP="0024521E" w:rsidRDefault="00517F45" w14:paraId="40F0DC8D" w14:textId="32FAE22D">
      <w:pPr>
        <w:rPr>
          <w:b/>
        </w:rPr>
      </w:pPr>
    </w:p>
    <w:p w:rsidR="00517F45" w:rsidP="00517F45" w:rsidRDefault="00517F45" w14:paraId="7349D8E6" w14:textId="77777777">
      <w:pPr>
        <w:spacing w:after="120"/>
        <w:rPr>
          <w:b/>
        </w:rPr>
      </w:pPr>
      <w:r>
        <w:rPr>
          <w:b/>
        </w:rPr>
        <w:t>Attachments</w:t>
      </w:r>
    </w:p>
    <w:p w:rsidR="00517F45" w:rsidP="00517F45" w:rsidRDefault="00517F45" w14:paraId="7312E94F" w14:textId="77777777">
      <w:pPr>
        <w:spacing w:after="120"/>
        <w:rPr>
          <w:bCs/>
        </w:rPr>
      </w:pPr>
      <w:r>
        <w:rPr>
          <w:bCs/>
        </w:rPr>
        <w:t xml:space="preserve">Attachment 1: Feedback Survey </w:t>
      </w:r>
    </w:p>
    <w:p w:rsidR="000D01B6" w:rsidP="004E048B" w:rsidRDefault="00517F45" w14:paraId="0C73C997" w14:textId="5DC3AEF7">
      <w:pPr>
        <w:rPr>
          <w:bCs/>
        </w:rPr>
      </w:pPr>
      <w:r>
        <w:rPr>
          <w:bCs/>
        </w:rPr>
        <w:t>Attachment 2: Email invita</w:t>
      </w:r>
      <w:r w:rsidR="004E048B">
        <w:rPr>
          <w:bCs/>
        </w:rPr>
        <w:t>tion to complete feedback survey</w:t>
      </w:r>
    </w:p>
    <w:p w:rsidRPr="004E048B" w:rsidR="004E048B" w:rsidP="004E048B" w:rsidRDefault="004E048B" w14:paraId="259F520C" w14:textId="5BB3715F">
      <w:pPr>
        <w:rPr>
          <w:bCs/>
        </w:rPr>
        <w:sectPr w:rsidRPr="004E048B" w:rsidR="004E048B" w:rsidSect="0057023B">
          <w:headerReference w:type="default" r:id="rId12"/>
          <w:footerReference w:type="default" r:id="rId13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bookmarkStart w:name="_GoBack" w:id="1"/>
      <w:bookmarkEnd w:id="1"/>
    </w:p>
    <w:p w:rsidRPr="00F24CFC" w:rsidR="000A6F03" w:rsidP="004E048B" w:rsidRDefault="000A6F03" w14:paraId="66CEE237" w14:textId="653994B3">
      <w:pPr>
        <w:rPr>
          <w:b/>
        </w:rPr>
      </w:pPr>
    </w:p>
    <w:sectPr w:rsidRPr="00F24CFC" w:rsidR="000A6F03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1A31" w14:textId="77777777" w:rsidR="00BC3E96" w:rsidRDefault="00BC3E96">
      <w:r>
        <w:separator/>
      </w:r>
    </w:p>
  </w:endnote>
  <w:endnote w:type="continuationSeparator" w:id="0">
    <w:p w14:paraId="1859D342" w14:textId="77777777" w:rsidR="00BC3E96" w:rsidRDefault="00B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5986" w14:textId="1CD758A6" w:rsidR="00AC5C61" w:rsidRDefault="00AC5C61" w:rsidP="00CF4F11">
    <w:pPr>
      <w:pStyle w:val="Footer"/>
      <w:jc w:val="center"/>
    </w:pPr>
  </w:p>
  <w:p w14:paraId="5C1E6C78" w14:textId="1D10822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F591" w14:textId="77777777" w:rsidR="00156DBB" w:rsidRDefault="00156DBB">
    <w:pPr>
      <w:pStyle w:val="Footer"/>
    </w:pPr>
  </w:p>
  <w:p w14:paraId="28489F2F" w14:textId="77777777" w:rsidR="00156DBB" w:rsidRDefault="00156D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11B9" w14:textId="77777777" w:rsidR="00BC3E96" w:rsidRDefault="00BC3E96">
      <w:r>
        <w:separator/>
      </w:r>
    </w:p>
  </w:footnote>
  <w:footnote w:type="continuationSeparator" w:id="0">
    <w:p w14:paraId="3FF64948" w14:textId="77777777" w:rsidR="00BC3E96" w:rsidRDefault="00B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1024D" w14:textId="6FD81861" w:rsidR="00AC5C61" w:rsidRDefault="00AC5C61" w:rsidP="00001721">
    <w:pPr>
      <w:pStyle w:val="Header"/>
      <w:jc w:val="right"/>
    </w:pPr>
  </w:p>
  <w:p w14:paraId="4C83A4D7" w14:textId="2D415B0C" w:rsidR="00AC5C61" w:rsidRDefault="00AC5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FF2B" w14:textId="2F95645B" w:rsidR="00156DBB" w:rsidRDefault="00156DBB" w:rsidP="00001721">
    <w:pPr>
      <w:pStyle w:val="Header"/>
      <w:jc w:val="right"/>
    </w:pPr>
  </w:p>
  <w:p w14:paraId="1C000AA3" w14:textId="77777777" w:rsidR="00156DBB" w:rsidRDefault="0015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A70CD"/>
    <w:multiLevelType w:val="hybridMultilevel"/>
    <w:tmpl w:val="D7268896"/>
    <w:lvl w:ilvl="0" w:tplc="45EE4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D5B41"/>
    <w:multiLevelType w:val="hybridMultilevel"/>
    <w:tmpl w:val="FA94A0C6"/>
    <w:lvl w:ilvl="0" w:tplc="27D0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721"/>
    <w:rsid w:val="0001027E"/>
    <w:rsid w:val="0001148D"/>
    <w:rsid w:val="00020577"/>
    <w:rsid w:val="00023A57"/>
    <w:rsid w:val="0004216C"/>
    <w:rsid w:val="00047A64"/>
    <w:rsid w:val="00067329"/>
    <w:rsid w:val="000803D0"/>
    <w:rsid w:val="000A6F03"/>
    <w:rsid w:val="000B2838"/>
    <w:rsid w:val="000B2B6E"/>
    <w:rsid w:val="000C1084"/>
    <w:rsid w:val="000D01B6"/>
    <w:rsid w:val="000D44CA"/>
    <w:rsid w:val="000E200B"/>
    <w:rsid w:val="000F68BE"/>
    <w:rsid w:val="00130453"/>
    <w:rsid w:val="00141AB8"/>
    <w:rsid w:val="00156DBB"/>
    <w:rsid w:val="001572D7"/>
    <w:rsid w:val="0016113E"/>
    <w:rsid w:val="001927A4"/>
    <w:rsid w:val="00194AC6"/>
    <w:rsid w:val="001A23B0"/>
    <w:rsid w:val="001A25CC"/>
    <w:rsid w:val="001B0AAA"/>
    <w:rsid w:val="001C39F7"/>
    <w:rsid w:val="00237B48"/>
    <w:rsid w:val="00244324"/>
    <w:rsid w:val="0024521E"/>
    <w:rsid w:val="00245225"/>
    <w:rsid w:val="00260FB4"/>
    <w:rsid w:val="0026116B"/>
    <w:rsid w:val="00263C3D"/>
    <w:rsid w:val="00272666"/>
    <w:rsid w:val="00274D0B"/>
    <w:rsid w:val="00283C87"/>
    <w:rsid w:val="002B052D"/>
    <w:rsid w:val="002B34CD"/>
    <w:rsid w:val="002B362A"/>
    <w:rsid w:val="002B3C95"/>
    <w:rsid w:val="002D0B92"/>
    <w:rsid w:val="002D1AF8"/>
    <w:rsid w:val="00300CE9"/>
    <w:rsid w:val="00314AA5"/>
    <w:rsid w:val="00323A5B"/>
    <w:rsid w:val="00360C4F"/>
    <w:rsid w:val="0038231C"/>
    <w:rsid w:val="00393474"/>
    <w:rsid w:val="0039661A"/>
    <w:rsid w:val="003A32F2"/>
    <w:rsid w:val="003A45B5"/>
    <w:rsid w:val="003B2435"/>
    <w:rsid w:val="003D137A"/>
    <w:rsid w:val="003D5BBE"/>
    <w:rsid w:val="003E1410"/>
    <w:rsid w:val="003E3C61"/>
    <w:rsid w:val="003F1C5B"/>
    <w:rsid w:val="00404AB4"/>
    <w:rsid w:val="00426902"/>
    <w:rsid w:val="0043033E"/>
    <w:rsid w:val="00434E33"/>
    <w:rsid w:val="004402A2"/>
    <w:rsid w:val="00441434"/>
    <w:rsid w:val="004414A7"/>
    <w:rsid w:val="004504BE"/>
    <w:rsid w:val="0045264C"/>
    <w:rsid w:val="00457A60"/>
    <w:rsid w:val="00470286"/>
    <w:rsid w:val="00472DC7"/>
    <w:rsid w:val="0047603F"/>
    <w:rsid w:val="0047740E"/>
    <w:rsid w:val="004876EC"/>
    <w:rsid w:val="004A5722"/>
    <w:rsid w:val="004B7442"/>
    <w:rsid w:val="004C707B"/>
    <w:rsid w:val="004D01A2"/>
    <w:rsid w:val="004D63FE"/>
    <w:rsid w:val="004D6E14"/>
    <w:rsid w:val="004E048B"/>
    <w:rsid w:val="004F303D"/>
    <w:rsid w:val="005009B0"/>
    <w:rsid w:val="00501443"/>
    <w:rsid w:val="00517F45"/>
    <w:rsid w:val="00532AA2"/>
    <w:rsid w:val="00534C2A"/>
    <w:rsid w:val="0055054B"/>
    <w:rsid w:val="0056162F"/>
    <w:rsid w:val="0057023B"/>
    <w:rsid w:val="00583C5F"/>
    <w:rsid w:val="005940DB"/>
    <w:rsid w:val="005A1006"/>
    <w:rsid w:val="005A3AA9"/>
    <w:rsid w:val="005B675F"/>
    <w:rsid w:val="005C0485"/>
    <w:rsid w:val="005C15C7"/>
    <w:rsid w:val="005E714A"/>
    <w:rsid w:val="005F693D"/>
    <w:rsid w:val="006140A0"/>
    <w:rsid w:val="00636621"/>
    <w:rsid w:val="00637B73"/>
    <w:rsid w:val="00642B49"/>
    <w:rsid w:val="006434CC"/>
    <w:rsid w:val="006561F8"/>
    <w:rsid w:val="00657FCB"/>
    <w:rsid w:val="00662C4A"/>
    <w:rsid w:val="00663343"/>
    <w:rsid w:val="00666AED"/>
    <w:rsid w:val="0067192A"/>
    <w:rsid w:val="006832D9"/>
    <w:rsid w:val="006870C5"/>
    <w:rsid w:val="006911E4"/>
    <w:rsid w:val="00691AE3"/>
    <w:rsid w:val="0069403B"/>
    <w:rsid w:val="006944D3"/>
    <w:rsid w:val="006A7FC7"/>
    <w:rsid w:val="006F2C37"/>
    <w:rsid w:val="006F316A"/>
    <w:rsid w:val="006F3DDE"/>
    <w:rsid w:val="00704678"/>
    <w:rsid w:val="007425E7"/>
    <w:rsid w:val="00751412"/>
    <w:rsid w:val="007702F9"/>
    <w:rsid w:val="00770F3A"/>
    <w:rsid w:val="007A459F"/>
    <w:rsid w:val="007B4F8F"/>
    <w:rsid w:val="007B6F9A"/>
    <w:rsid w:val="007D7BFE"/>
    <w:rsid w:val="007F290A"/>
    <w:rsid w:val="007F5EC9"/>
    <w:rsid w:val="007F7080"/>
    <w:rsid w:val="00802607"/>
    <w:rsid w:val="008101A5"/>
    <w:rsid w:val="00822664"/>
    <w:rsid w:val="00830827"/>
    <w:rsid w:val="00843796"/>
    <w:rsid w:val="00845274"/>
    <w:rsid w:val="00847620"/>
    <w:rsid w:val="0085132B"/>
    <w:rsid w:val="008642F2"/>
    <w:rsid w:val="00874E48"/>
    <w:rsid w:val="00894CA2"/>
    <w:rsid w:val="00895229"/>
    <w:rsid w:val="008B2EB3"/>
    <w:rsid w:val="008B3B30"/>
    <w:rsid w:val="008C0B2E"/>
    <w:rsid w:val="008F0203"/>
    <w:rsid w:val="008F50D4"/>
    <w:rsid w:val="008F7681"/>
    <w:rsid w:val="008F7966"/>
    <w:rsid w:val="00901628"/>
    <w:rsid w:val="009239AA"/>
    <w:rsid w:val="0092771E"/>
    <w:rsid w:val="00935ADA"/>
    <w:rsid w:val="00946B6C"/>
    <w:rsid w:val="0095504A"/>
    <w:rsid w:val="00955A71"/>
    <w:rsid w:val="00961036"/>
    <w:rsid w:val="0096108F"/>
    <w:rsid w:val="009A66FA"/>
    <w:rsid w:val="009C13B9"/>
    <w:rsid w:val="009D01A2"/>
    <w:rsid w:val="009D445E"/>
    <w:rsid w:val="009E417C"/>
    <w:rsid w:val="009E4D17"/>
    <w:rsid w:val="009E75FB"/>
    <w:rsid w:val="009F5923"/>
    <w:rsid w:val="00A04D68"/>
    <w:rsid w:val="00A2438F"/>
    <w:rsid w:val="00A27E22"/>
    <w:rsid w:val="00A403BB"/>
    <w:rsid w:val="00A674DF"/>
    <w:rsid w:val="00A70295"/>
    <w:rsid w:val="00A83AA6"/>
    <w:rsid w:val="00A91F0B"/>
    <w:rsid w:val="00A921BB"/>
    <w:rsid w:val="00A934D6"/>
    <w:rsid w:val="00AA3C41"/>
    <w:rsid w:val="00AC2140"/>
    <w:rsid w:val="00AC5C61"/>
    <w:rsid w:val="00AE1809"/>
    <w:rsid w:val="00AE7827"/>
    <w:rsid w:val="00AF01AD"/>
    <w:rsid w:val="00B0582E"/>
    <w:rsid w:val="00B14AD1"/>
    <w:rsid w:val="00B15C07"/>
    <w:rsid w:val="00B1613A"/>
    <w:rsid w:val="00B31663"/>
    <w:rsid w:val="00B37A05"/>
    <w:rsid w:val="00B47992"/>
    <w:rsid w:val="00B67F86"/>
    <w:rsid w:val="00B76291"/>
    <w:rsid w:val="00B80D76"/>
    <w:rsid w:val="00B8159B"/>
    <w:rsid w:val="00B87BB5"/>
    <w:rsid w:val="00BA2105"/>
    <w:rsid w:val="00BA2830"/>
    <w:rsid w:val="00BA7E06"/>
    <w:rsid w:val="00BB43B5"/>
    <w:rsid w:val="00BB6219"/>
    <w:rsid w:val="00BC3E96"/>
    <w:rsid w:val="00BC45A5"/>
    <w:rsid w:val="00BD290F"/>
    <w:rsid w:val="00C00071"/>
    <w:rsid w:val="00C14CC4"/>
    <w:rsid w:val="00C16A0B"/>
    <w:rsid w:val="00C2286D"/>
    <w:rsid w:val="00C31F07"/>
    <w:rsid w:val="00C33C52"/>
    <w:rsid w:val="00C35B2F"/>
    <w:rsid w:val="00C40D8B"/>
    <w:rsid w:val="00C439AC"/>
    <w:rsid w:val="00C8407A"/>
    <w:rsid w:val="00C8488C"/>
    <w:rsid w:val="00C86E91"/>
    <w:rsid w:val="00C876A3"/>
    <w:rsid w:val="00C912FE"/>
    <w:rsid w:val="00C922E8"/>
    <w:rsid w:val="00CA113F"/>
    <w:rsid w:val="00CA2650"/>
    <w:rsid w:val="00CA2EF5"/>
    <w:rsid w:val="00CA482C"/>
    <w:rsid w:val="00CB1078"/>
    <w:rsid w:val="00CB1191"/>
    <w:rsid w:val="00CC5F68"/>
    <w:rsid w:val="00CC6FAF"/>
    <w:rsid w:val="00CC79DE"/>
    <w:rsid w:val="00CE3006"/>
    <w:rsid w:val="00CE32CE"/>
    <w:rsid w:val="00CE4D48"/>
    <w:rsid w:val="00CF4F11"/>
    <w:rsid w:val="00CF5210"/>
    <w:rsid w:val="00CF6542"/>
    <w:rsid w:val="00D01E85"/>
    <w:rsid w:val="00D030D0"/>
    <w:rsid w:val="00D24698"/>
    <w:rsid w:val="00D327E2"/>
    <w:rsid w:val="00D32C35"/>
    <w:rsid w:val="00D544E2"/>
    <w:rsid w:val="00D6383F"/>
    <w:rsid w:val="00D72726"/>
    <w:rsid w:val="00D771C5"/>
    <w:rsid w:val="00D93F8C"/>
    <w:rsid w:val="00DB59D0"/>
    <w:rsid w:val="00DC33D3"/>
    <w:rsid w:val="00DC3FB9"/>
    <w:rsid w:val="00DE3CA4"/>
    <w:rsid w:val="00DF3FDE"/>
    <w:rsid w:val="00DF6997"/>
    <w:rsid w:val="00E26329"/>
    <w:rsid w:val="00E32368"/>
    <w:rsid w:val="00E40B50"/>
    <w:rsid w:val="00E50293"/>
    <w:rsid w:val="00E51DAE"/>
    <w:rsid w:val="00E65FFC"/>
    <w:rsid w:val="00E744EA"/>
    <w:rsid w:val="00E80951"/>
    <w:rsid w:val="00E857D2"/>
    <w:rsid w:val="00E86CC6"/>
    <w:rsid w:val="00EB20DF"/>
    <w:rsid w:val="00EB23D6"/>
    <w:rsid w:val="00EB56B3"/>
    <w:rsid w:val="00ED47AA"/>
    <w:rsid w:val="00ED6492"/>
    <w:rsid w:val="00EE2E86"/>
    <w:rsid w:val="00EE55DD"/>
    <w:rsid w:val="00EF2095"/>
    <w:rsid w:val="00F06866"/>
    <w:rsid w:val="00F06DB6"/>
    <w:rsid w:val="00F15956"/>
    <w:rsid w:val="00F16B38"/>
    <w:rsid w:val="00F24CFC"/>
    <w:rsid w:val="00F3170F"/>
    <w:rsid w:val="00F44319"/>
    <w:rsid w:val="00F536C8"/>
    <w:rsid w:val="00F62A08"/>
    <w:rsid w:val="00F75089"/>
    <w:rsid w:val="00F843BB"/>
    <w:rsid w:val="00F84C6E"/>
    <w:rsid w:val="00F976B0"/>
    <w:rsid w:val="00FA5D33"/>
    <w:rsid w:val="00FA6DE7"/>
    <w:rsid w:val="00FB6C21"/>
    <w:rsid w:val="00FC0A8E"/>
    <w:rsid w:val="00FC3A04"/>
    <w:rsid w:val="00FE2FA6"/>
    <w:rsid w:val="00FE3DF2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56867F6"/>
  <w15:chartTrackingRefBased/>
  <w15:docId w15:val="{F39F0397-BDE9-4576-AD0E-A1989D9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uiPriority w:val="1"/>
    <w:qFormat/>
    <w:rsid w:val="00ED47AA"/>
    <w:pPr>
      <w:spacing w:after="240" w:line="290" w:lineRule="exact"/>
    </w:pPr>
    <w:rPr>
      <w:szCs w:val="20"/>
    </w:rPr>
  </w:style>
  <w:style w:type="character" w:styleId="Hyperlink">
    <w:name w:val="Hyperlink"/>
    <w:uiPriority w:val="99"/>
    <w:unhideWhenUsed/>
    <w:rsid w:val="00BC45A5"/>
    <w:rPr>
      <w:color w:val="0000FF"/>
      <w:u w:val="single"/>
    </w:rPr>
  </w:style>
  <w:style w:type="character" w:styleId="FollowedHyperlink">
    <w:name w:val="FollowedHyperlink"/>
    <w:rsid w:val="00244324"/>
    <w:rPr>
      <w:color w:val="954F72"/>
      <w:u w:val="single"/>
    </w:rPr>
  </w:style>
  <w:style w:type="paragraph" w:styleId="Revision">
    <w:name w:val="Revision"/>
    <w:hidden/>
    <w:uiPriority w:val="99"/>
    <w:semiHidden/>
    <w:rsid w:val="0055054B"/>
    <w:rPr>
      <w:sz w:val="24"/>
      <w:szCs w:val="24"/>
    </w:rPr>
  </w:style>
  <w:style w:type="character" w:customStyle="1" w:styleId="eop">
    <w:name w:val="eop"/>
    <w:rsid w:val="00B31663"/>
  </w:style>
  <w:style w:type="character" w:customStyle="1" w:styleId="HeaderChar">
    <w:name w:val="Header Char"/>
    <w:basedOn w:val="DefaultParagraphFont"/>
    <w:link w:val="Header"/>
    <w:uiPriority w:val="99"/>
    <w:rsid w:val="00AC5C6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5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BC797-0CA7-4947-85F3-9BB879A7C4F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9e9dff2-c88e-4ce8-9990-6e354ce9cf6d"/>
  </ds:schemaRefs>
</ds:datastoreItem>
</file>

<file path=customXml/itemProps5.xml><?xml version="1.0" encoding="utf-8"?>
<ds:datastoreItem xmlns:ds="http://schemas.openxmlformats.org/officeDocument/2006/customXml" ds:itemID="{130C16D7-9DC0-4689-B0FC-D981018E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6300</CharactersWithSpaces>
  <SharedDoc>false</SharedDoc>
  <HLinks>
    <vt:vector size="6" baseType="variant">
      <vt:variant>
        <vt:i4>5570588</vt:i4>
      </vt:variant>
      <vt:variant>
        <vt:i4>0</vt:i4>
      </vt:variant>
      <vt:variant>
        <vt:i4>0</vt:i4>
      </vt:variant>
      <vt:variant>
        <vt:i4>5</vt:i4>
      </vt:variant>
      <vt:variant>
        <vt:lpwstr>https://www.federalpay.org/gs/locality/washington-dc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6</cp:revision>
  <cp:lastPrinted>2020-08-11T02:57:00Z</cp:lastPrinted>
  <dcterms:created xsi:type="dcterms:W3CDTF">2020-11-06T18:40:00Z</dcterms:created>
  <dcterms:modified xsi:type="dcterms:W3CDTF">2020-11-13T17:16:00Z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