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pPr>
        <w:jc w:val="center"/>
        <w:rPr>
          <w:rFonts w:ascii="Arial" w:hAnsi="Arial" w:cs="Arial"/>
          <w:b/>
        </w:rPr>
      </w:pPr>
      <w:bookmarkStart w:name="_GoBack" w:id="0"/>
      <w:bookmarkEnd w:id="0"/>
    </w:p>
    <w:p w:rsidRPr="002C4F75" w:rsidR="002C4F75" w:rsidP="002C4F75" w:rsidRDefault="002C4F75">
      <w:pPr>
        <w:pStyle w:val="ReportCover-Title"/>
        <w:rPr>
          <w:rFonts w:ascii="Arial" w:hAnsi="Arial" w:cs="Arial"/>
          <w:color w:val="auto"/>
        </w:rPr>
      </w:pPr>
    </w:p>
    <w:p w:rsidRPr="002C4F75" w:rsidR="002C4F75" w:rsidP="002C4F75" w:rsidRDefault="0016269A">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2C4F75" w:rsidR="002C4F75" w:rsidP="002C4F75" w:rsidRDefault="002C4F75">
      <w:pPr>
        <w:pStyle w:val="ReportCover-Title"/>
        <w:rPr>
          <w:rFonts w:ascii="Arial" w:hAnsi="Arial" w:cs="Arial"/>
          <w:color w:val="auto"/>
        </w:rPr>
      </w:pPr>
    </w:p>
    <w:p w:rsidRPr="002C4F75" w:rsidR="002C4F75" w:rsidP="002C4F75" w:rsidRDefault="002C4F75">
      <w:pPr>
        <w:pStyle w:val="ReportCover-Title"/>
        <w:rPr>
          <w:rFonts w:ascii="Arial" w:hAnsi="Arial" w:cs="Arial"/>
          <w:color w:val="auto"/>
        </w:rPr>
      </w:pPr>
    </w:p>
    <w:p w:rsidR="002C4F75" w:rsidP="002C4F75" w:rsidRDefault="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5626C7" w:rsidR="005626C7" w:rsidP="005626C7" w:rsidRDefault="005626C7">
      <w:pPr>
        <w:pStyle w:val="ReportCover-Title"/>
        <w:jc w:val="center"/>
        <w:rPr>
          <w:rFonts w:ascii="Arial" w:hAnsi="Arial" w:cs="Arial"/>
          <w:color w:val="auto"/>
          <w:sz w:val="32"/>
          <w:szCs w:val="32"/>
          <w:highlight w:val="yellow"/>
        </w:rPr>
      </w:pPr>
      <w:r w:rsidRPr="005626C7">
        <w:rPr>
          <w:rFonts w:ascii="Arial" w:hAnsi="Arial" w:cs="Arial"/>
          <w:color w:val="auto"/>
          <w:sz w:val="32"/>
          <w:szCs w:val="32"/>
        </w:rPr>
        <w:t>Formative Data Collections for ACF Research</w:t>
      </w:r>
    </w:p>
    <w:p w:rsidRPr="002C4F75" w:rsidR="002C4F75" w:rsidP="002C4F75" w:rsidRDefault="002C4F75">
      <w:pPr>
        <w:pStyle w:val="ReportCover-Title"/>
        <w:jc w:val="center"/>
        <w:rPr>
          <w:rFonts w:ascii="Arial" w:hAnsi="Arial" w:cs="Arial"/>
          <w:color w:val="auto"/>
          <w:sz w:val="32"/>
          <w:szCs w:val="32"/>
        </w:rPr>
      </w:pPr>
      <w:r w:rsidRPr="00C51883">
        <w:rPr>
          <w:rFonts w:ascii="Arial" w:hAnsi="Arial" w:cs="Arial"/>
          <w:color w:val="auto"/>
          <w:sz w:val="32"/>
          <w:szCs w:val="32"/>
        </w:rPr>
        <w:t xml:space="preserve">0970 - </w:t>
      </w:r>
      <w:r w:rsidR="00FE25FC">
        <w:rPr>
          <w:rFonts w:ascii="Arial" w:hAnsi="Arial" w:cs="Arial"/>
          <w:color w:val="auto"/>
          <w:sz w:val="32"/>
          <w:szCs w:val="32"/>
        </w:rPr>
        <w:t>0356</w:t>
      </w:r>
    </w:p>
    <w:p w:rsidRPr="002C4F75" w:rsidR="002C4F75" w:rsidP="002C4F75" w:rsidRDefault="002C4F75">
      <w:pPr>
        <w:rPr>
          <w:rFonts w:ascii="Arial" w:hAnsi="Arial" w:cs="Arial"/>
          <w:szCs w:val="22"/>
        </w:rPr>
      </w:pPr>
    </w:p>
    <w:p w:rsidRPr="002C4F75" w:rsidR="002C4F75" w:rsidP="002C4F75" w:rsidRDefault="002C4F75">
      <w:pPr>
        <w:pStyle w:val="ReportCover-Date"/>
        <w:jc w:val="center"/>
        <w:rPr>
          <w:rFonts w:ascii="Arial" w:hAnsi="Arial" w:cs="Arial"/>
          <w:color w:val="auto"/>
        </w:rPr>
      </w:pPr>
    </w:p>
    <w:p w:rsidRPr="002C4F75" w:rsidR="002C4F75" w:rsidP="002C4F75" w:rsidRDefault="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Pr="002C4F75" w:rsidR="002C4F75" w:rsidP="002C4F75" w:rsidRDefault="00933F62">
      <w:pPr>
        <w:pStyle w:val="ReportCover-Date"/>
        <w:jc w:val="center"/>
        <w:rPr>
          <w:rFonts w:ascii="Arial" w:hAnsi="Arial" w:cs="Arial"/>
          <w:color w:val="auto"/>
        </w:rPr>
      </w:pPr>
      <w:r>
        <w:rPr>
          <w:rFonts w:ascii="Arial" w:hAnsi="Arial" w:cs="Arial"/>
          <w:color w:val="auto"/>
        </w:rPr>
        <w:t xml:space="preserve">February </w:t>
      </w:r>
      <w:r w:rsidRPr="00C51883" w:rsidR="0016269A">
        <w:rPr>
          <w:rFonts w:ascii="Arial" w:hAnsi="Arial" w:cs="Arial"/>
          <w:color w:val="auto"/>
        </w:rPr>
        <w:t>2019</w:t>
      </w:r>
    </w:p>
    <w:p w:rsidRPr="002C4F75" w:rsidR="002C4F75" w:rsidP="002C4F75" w:rsidRDefault="002C4F75">
      <w:pPr>
        <w:jc w:val="center"/>
        <w:rPr>
          <w:rFonts w:ascii="Arial" w:hAnsi="Arial" w:cs="Arial"/>
        </w:rPr>
      </w:pPr>
    </w:p>
    <w:p w:rsidRPr="002C4F75" w:rsidR="002C4F75" w:rsidP="002C4F75" w:rsidRDefault="002C4F75">
      <w:pPr>
        <w:jc w:val="center"/>
        <w:rPr>
          <w:rFonts w:ascii="Arial" w:hAnsi="Arial" w:cs="Arial"/>
        </w:rPr>
      </w:pPr>
      <w:r w:rsidRPr="002C4F75">
        <w:rPr>
          <w:rFonts w:ascii="Arial" w:hAnsi="Arial" w:cs="Arial"/>
        </w:rPr>
        <w:t>Submitted By:</w:t>
      </w:r>
    </w:p>
    <w:p w:rsidRPr="002C4F75" w:rsidR="002C4F75" w:rsidP="002C4F75" w:rsidRDefault="002C4F75">
      <w:pPr>
        <w:jc w:val="center"/>
        <w:rPr>
          <w:rFonts w:ascii="Arial" w:hAnsi="Arial" w:cs="Arial"/>
        </w:rPr>
      </w:pPr>
      <w:r w:rsidRPr="002C4F75">
        <w:rPr>
          <w:rFonts w:ascii="Arial" w:hAnsi="Arial" w:cs="Arial"/>
        </w:rPr>
        <w:t>Office of Planning, Research</w:t>
      </w:r>
      <w:r w:rsidR="0000567E">
        <w:rPr>
          <w:rFonts w:ascii="Arial" w:hAnsi="Arial" w:cs="Arial"/>
        </w:rPr>
        <w:t>,</w:t>
      </w:r>
      <w:r w:rsidRPr="002C4F75">
        <w:rPr>
          <w:rFonts w:ascii="Arial" w:hAnsi="Arial" w:cs="Arial"/>
        </w:rPr>
        <w:t xml:space="preserve"> and Evaluation</w:t>
      </w:r>
    </w:p>
    <w:p w:rsidRPr="002C4F75" w:rsidR="002C4F75" w:rsidP="002C4F75" w:rsidRDefault="002C4F75">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pPr>
        <w:jc w:val="center"/>
        <w:rPr>
          <w:rFonts w:ascii="Arial" w:hAnsi="Arial" w:cs="Arial"/>
        </w:rPr>
      </w:pPr>
      <w:r w:rsidRPr="002C4F75">
        <w:rPr>
          <w:rFonts w:ascii="Arial" w:hAnsi="Arial" w:cs="Arial"/>
        </w:rPr>
        <w:t>U.S. Department of Health and Human Services</w:t>
      </w:r>
    </w:p>
    <w:p w:rsidRPr="002C4F75" w:rsidR="002C4F75" w:rsidP="002C4F75" w:rsidRDefault="002C4F75">
      <w:pPr>
        <w:jc w:val="center"/>
        <w:rPr>
          <w:rFonts w:ascii="Arial" w:hAnsi="Arial" w:cs="Arial"/>
        </w:rPr>
      </w:pPr>
    </w:p>
    <w:p w:rsidRPr="002C4F75" w:rsidR="002C4F75" w:rsidP="002C4F75" w:rsidRDefault="00436F5E">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pPr>
        <w:jc w:val="center"/>
        <w:rPr>
          <w:rFonts w:ascii="Arial" w:hAnsi="Arial" w:cs="Arial"/>
        </w:rPr>
      </w:pPr>
    </w:p>
    <w:p w:rsidR="00BE7952" w:rsidP="00C51883" w:rsidRDefault="002C4F75">
      <w:pPr>
        <w:jc w:val="center"/>
        <w:rPr>
          <w:b/>
        </w:rPr>
      </w:pPr>
      <w:r w:rsidRPr="00BE7952">
        <w:rPr>
          <w:rFonts w:ascii="Arial" w:hAnsi="Arial" w:cs="Arial"/>
        </w:rPr>
        <w:t>Project Officer:</w:t>
      </w:r>
      <w:r w:rsidR="0016269A">
        <w:rPr>
          <w:rFonts w:ascii="Arial" w:hAnsi="Arial" w:cs="Arial"/>
        </w:rPr>
        <w:t xml:space="preserve"> Hilary </w:t>
      </w:r>
      <w:r w:rsidR="00DE0F58">
        <w:rPr>
          <w:rFonts w:ascii="Arial" w:hAnsi="Arial" w:cs="Arial"/>
        </w:rPr>
        <w:t>Bruck</w:t>
      </w:r>
    </w:p>
    <w:p w:rsidRPr="00C51883" w:rsidR="00945CD6" w:rsidP="0070160F" w:rsidRDefault="00374DAB">
      <w:pPr>
        <w:rPr>
          <w:b/>
        </w:rPr>
      </w:pPr>
      <w:r>
        <w:rPr>
          <w:b/>
        </w:rPr>
        <w:br w:type="page"/>
      </w:r>
      <w:r w:rsidRPr="00C51883" w:rsidR="00292B70">
        <w:rPr>
          <w:b/>
        </w:rPr>
        <w:lastRenderedPageBreak/>
        <w:t xml:space="preserve">A1. </w:t>
      </w:r>
      <w:r w:rsidRPr="00C51883" w:rsidR="00945CD6">
        <w:rPr>
          <w:b/>
        </w:rPr>
        <w:t>Necessity for the Data Collection</w:t>
      </w:r>
    </w:p>
    <w:p w:rsidR="0070160F" w:rsidP="00B47A48" w:rsidRDefault="0070160F"/>
    <w:p w:rsidRPr="00C51883" w:rsidR="00DE2B0E" w:rsidP="00B47A48" w:rsidRDefault="0070160F">
      <w:r w:rsidRPr="0070160F">
        <w:t>The</w:t>
      </w:r>
      <w:r w:rsidRPr="00C51883" w:rsidR="00984CA2">
        <w:t xml:space="preserve"> Administration for Children and Families (ACF) at the U.S. Department of Health and Human Services (HHS) seeks approval for</w:t>
      </w:r>
      <w:r w:rsidRPr="00C51883" w:rsidR="0013179C">
        <w:t xml:space="preserve"> </w:t>
      </w:r>
      <w:r w:rsidRPr="00C51883" w:rsidR="00DE2B0E">
        <w:t>a series of tailored, semi-structured discussions under ACF’s existing formative generic OMB clearance (</w:t>
      </w:r>
      <w:r w:rsidR="00DE2B0E">
        <w:rPr>
          <w:szCs w:val="22"/>
        </w:rPr>
        <w:t>OMB #0970-0356)</w:t>
      </w:r>
      <w:r w:rsidRPr="00C51883" w:rsidR="00DE2B0E">
        <w:t xml:space="preserve"> to inform the selection of interventions and </w:t>
      </w:r>
      <w:r>
        <w:t>programs</w:t>
      </w:r>
      <w:r w:rsidRPr="00C51883" w:rsidR="00DE2B0E">
        <w:t xml:space="preserve"> for the</w:t>
      </w:r>
      <w:r w:rsidR="00482477">
        <w:t xml:space="preserve"> Next Generation of Enhanced Employment Services</w:t>
      </w:r>
      <w:r w:rsidRPr="00C51883" w:rsidR="00DE2B0E">
        <w:t xml:space="preserve"> </w:t>
      </w:r>
      <w:r w:rsidR="00482477">
        <w:t>(</w:t>
      </w:r>
      <w:r w:rsidR="00DE2B0E">
        <w:rPr>
          <w:szCs w:val="22"/>
        </w:rPr>
        <w:t>NextGen</w:t>
      </w:r>
      <w:r w:rsidR="00482477">
        <w:rPr>
          <w:szCs w:val="22"/>
        </w:rPr>
        <w:t>)</w:t>
      </w:r>
      <w:r w:rsidR="00DE2B0E">
        <w:rPr>
          <w:szCs w:val="22"/>
        </w:rPr>
        <w:t xml:space="preserve"> Project</w:t>
      </w:r>
      <w:r w:rsidRPr="00C51883" w:rsidR="00DE2B0E">
        <w:t xml:space="preserve">. The project, which is sponsored by the Office of Planning, Research, and Evaluation (OPRE), aims to identify and evaluate </w:t>
      </w:r>
      <w:r w:rsidR="00306DEC">
        <w:t xml:space="preserve">innovative </w:t>
      </w:r>
      <w:r w:rsidRPr="00C51883" w:rsidR="00DE2B0E">
        <w:t>interventions designed to promote employment and economic security among people with multiple, complex barriers to employment</w:t>
      </w:r>
      <w:r w:rsidR="00306DEC">
        <w:t>.</w:t>
      </w:r>
      <w:r w:rsidRPr="00C51883" w:rsidR="00DE2B0E">
        <w:t xml:space="preserve"> </w:t>
      </w:r>
      <w:r w:rsidRPr="00C51883" w:rsidR="00B47A48">
        <w:t>T</w:t>
      </w:r>
      <w:r w:rsidRPr="00C51883" w:rsidR="00DE2B0E">
        <w:t xml:space="preserve">he NextGen Project could include up to </w:t>
      </w:r>
      <w:r w:rsidRPr="00C51883" w:rsidR="00B47A48">
        <w:t>10</w:t>
      </w:r>
      <w:r w:rsidRPr="00C51883" w:rsidR="00DE2B0E">
        <w:t xml:space="preserve"> rigorous evaluations. </w:t>
      </w:r>
    </w:p>
    <w:p w:rsidR="00DE2B0E" w:rsidP="00DE2B0E" w:rsidRDefault="00DE2B0E">
      <w:pPr>
        <w:autoSpaceDE w:val="0"/>
        <w:autoSpaceDN w:val="0"/>
        <w:adjustRightInd w:val="0"/>
        <w:rPr>
          <w:szCs w:val="22"/>
        </w:rPr>
      </w:pPr>
    </w:p>
    <w:p w:rsidRPr="00C51883" w:rsidR="00DE2B0E" w:rsidP="005824E6" w:rsidRDefault="00DE2B0E">
      <w:pPr>
        <w:autoSpaceDE w:val="0"/>
        <w:autoSpaceDN w:val="0"/>
        <w:adjustRightInd w:val="0"/>
        <w:spacing w:after="120"/>
      </w:pPr>
      <w:r w:rsidRPr="00C51883">
        <w:t xml:space="preserve">This </w:t>
      </w:r>
      <w:r w:rsidRPr="00482477" w:rsidR="00482477">
        <w:t xml:space="preserve">generic information collection request (Gen IC) </w:t>
      </w:r>
      <w:r w:rsidRPr="00C51883">
        <w:t xml:space="preserve">includes initial </w:t>
      </w:r>
      <w:r w:rsidRPr="00C51883" w:rsidR="004D0FE9">
        <w:t>activities</w:t>
      </w:r>
      <w:r w:rsidRPr="00C51883">
        <w:t xml:space="preserve"> to identify </w:t>
      </w:r>
      <w:r w:rsidRPr="00C51883" w:rsidR="004D0FE9">
        <w:t xml:space="preserve">promising </w:t>
      </w:r>
      <w:r w:rsidR="0070160F">
        <w:t>interventions</w:t>
      </w:r>
      <w:r w:rsidR="00B30D18">
        <w:t>,</w:t>
      </w:r>
      <w:r w:rsidR="0070160F">
        <w:t xml:space="preserve"> and programs</w:t>
      </w:r>
      <w:r w:rsidR="00B30D18">
        <w:t xml:space="preserve"> that offer the intervention</w:t>
      </w:r>
      <w:r w:rsidR="00D80C34">
        <w:t>s</w:t>
      </w:r>
      <w:r w:rsidR="00B30D18">
        <w:t>,</w:t>
      </w:r>
      <w:r w:rsidRPr="00C51883">
        <w:t xml:space="preserve"> to recommend for rigorous evaluation</w:t>
      </w:r>
      <w:r w:rsidR="00E53576">
        <w:t>.</w:t>
      </w:r>
      <w:r w:rsidR="0070160F">
        <w:t xml:space="preserve"> </w:t>
      </w:r>
      <w:r w:rsidR="00E53576">
        <w:t>I</w:t>
      </w:r>
      <w:r w:rsidR="0070160F">
        <w:t>t</w:t>
      </w:r>
      <w:r w:rsidRPr="00C51883">
        <w:t xml:space="preserve"> is expected to begin upon OMB approval and continue for </w:t>
      </w:r>
      <w:r w:rsidR="00696DE0">
        <w:t xml:space="preserve">up to about </w:t>
      </w:r>
      <w:r w:rsidRPr="00482477">
        <w:t>1</w:t>
      </w:r>
      <w:r w:rsidRPr="00482477" w:rsidR="00B47A48">
        <w:t>2</w:t>
      </w:r>
      <w:r w:rsidRPr="00482477" w:rsidR="00932A2C">
        <w:t xml:space="preserve"> </w:t>
      </w:r>
      <w:r w:rsidRPr="00482477">
        <w:t>months</w:t>
      </w:r>
      <w:r w:rsidRPr="00C51883">
        <w:t>.</w:t>
      </w:r>
      <w:r w:rsidR="00EE0E63">
        <w:t xml:space="preserve"> </w:t>
      </w:r>
      <w:r w:rsidRPr="00C51883">
        <w:t xml:space="preserve">This submission seeks OMB approval for </w:t>
      </w:r>
      <w:r w:rsidRPr="00C51883" w:rsidR="00B47A48">
        <w:t>two</w:t>
      </w:r>
      <w:r w:rsidRPr="00C51883">
        <w:t xml:space="preserve"> data collection instruments:</w:t>
      </w:r>
    </w:p>
    <w:p w:rsidRPr="00C51883" w:rsidR="00B47A48" w:rsidP="00B47A48" w:rsidRDefault="00B47A48">
      <w:pPr>
        <w:numPr>
          <w:ilvl w:val="0"/>
          <w:numId w:val="26"/>
        </w:numPr>
      </w:pPr>
      <w:r w:rsidRPr="00C51883">
        <w:t>Discussion guide for semi-structured conversations</w:t>
      </w:r>
      <w:r w:rsidR="00306DEC">
        <w:t xml:space="preserve"> with stakeholders</w:t>
      </w:r>
      <w:r w:rsidRPr="00C51883">
        <w:t xml:space="preserve"> about innovative employment </w:t>
      </w:r>
      <w:r w:rsidR="008707BC">
        <w:t>interventions</w:t>
      </w:r>
      <w:r w:rsidR="00B30D18">
        <w:t xml:space="preserve"> and programs</w:t>
      </w:r>
      <w:r w:rsidRPr="00C51883">
        <w:t xml:space="preserve"> </w:t>
      </w:r>
    </w:p>
    <w:p w:rsidRPr="00C51883" w:rsidR="00B47A48" w:rsidP="005824E6" w:rsidRDefault="00B47A48">
      <w:pPr>
        <w:numPr>
          <w:ilvl w:val="0"/>
          <w:numId w:val="26"/>
        </w:numPr>
        <w:spacing w:after="120"/>
      </w:pPr>
      <w:r w:rsidRPr="00C51883">
        <w:t>Discussion guide for interviews with administrator</w:t>
      </w:r>
      <w:r w:rsidRPr="00C51883" w:rsidR="00267BDB">
        <w:t>s</w:t>
      </w:r>
      <w:r w:rsidRPr="00C51883">
        <w:t xml:space="preserve"> </w:t>
      </w:r>
      <w:r w:rsidR="00306DEC">
        <w:t xml:space="preserve">of programs that are </w:t>
      </w:r>
      <w:r w:rsidR="007E167F">
        <w:t>candidates for inclusion in the project</w:t>
      </w:r>
      <w:r w:rsidR="00306DEC">
        <w:t xml:space="preserve"> </w:t>
      </w:r>
    </w:p>
    <w:p w:rsidRPr="007F5236" w:rsidR="005626C7" w:rsidP="00432103" w:rsidRDefault="005626C7">
      <w:r w:rsidRPr="00432103">
        <w:t>This proposed information collection meets the following goals of ACF’s generic clearance for formative data collections:</w:t>
      </w:r>
      <w:r w:rsidR="003B7DDB">
        <w:rPr>
          <w:b/>
        </w:rPr>
        <w:t xml:space="preserve"> </w:t>
      </w:r>
      <w:r w:rsidRPr="00B454D4" w:rsidR="003B7DDB">
        <w:t>(1)</w:t>
      </w:r>
      <w:r w:rsidR="003B7DDB">
        <w:rPr>
          <w:b/>
        </w:rPr>
        <w:t xml:space="preserve"> </w:t>
      </w:r>
      <w:r w:rsidRPr="003B7DDB">
        <w:t>inform the development of ACF research</w:t>
      </w:r>
      <w:r w:rsidRPr="003B7DDB" w:rsidR="003B7DDB">
        <w:t xml:space="preserve"> and (2) </w:t>
      </w:r>
      <w:r w:rsidRPr="007F5236">
        <w:t>maintain a research agenda that is rigorous and relevant</w:t>
      </w:r>
      <w:r w:rsidRPr="007F5236" w:rsidR="003B7DDB">
        <w:t>.</w:t>
      </w:r>
    </w:p>
    <w:p w:rsidRPr="0070160F" w:rsidR="005626C7" w:rsidP="007D63E1" w:rsidRDefault="005626C7">
      <w:pPr>
        <w:ind w:left="360"/>
      </w:pPr>
    </w:p>
    <w:p w:rsidRPr="00C51883" w:rsidR="0070160F" w:rsidP="00591D1A" w:rsidRDefault="0070160F">
      <w:pPr>
        <w:spacing w:after="240"/>
      </w:pPr>
      <w:r w:rsidRPr="0070160F">
        <w:t>ACF will submit additional information collection requests (ICRs) as part of th</w:t>
      </w:r>
      <w:r w:rsidR="005626C7">
        <w:t>e NextGen</w:t>
      </w:r>
      <w:r w:rsidRPr="0070160F">
        <w:t xml:space="preserve"> </w:t>
      </w:r>
      <w:r w:rsidR="00BF5D0A">
        <w:t>P</w:t>
      </w:r>
      <w:r w:rsidRPr="0070160F">
        <w:t>roject</w:t>
      </w:r>
      <w:r w:rsidR="001A51CD">
        <w:t xml:space="preserve">. </w:t>
      </w:r>
      <w:r w:rsidR="00B454D4">
        <w:t>This will</w:t>
      </w:r>
      <w:r w:rsidRPr="0070160F">
        <w:t xml:space="preserve"> includ</w:t>
      </w:r>
      <w:r w:rsidR="00B454D4">
        <w:t>e</w:t>
      </w:r>
      <w:r w:rsidR="00BF5D0A">
        <w:t xml:space="preserve"> </w:t>
      </w:r>
      <w:r w:rsidRPr="0070160F">
        <w:t>generic information collection request</w:t>
      </w:r>
      <w:r w:rsidR="00BF5D0A">
        <w:t>s</w:t>
      </w:r>
      <w:r w:rsidRPr="0070160F">
        <w:t xml:space="preserve"> (Gen IC</w:t>
      </w:r>
      <w:r w:rsidR="00BF5D0A">
        <w:t>s</w:t>
      </w:r>
      <w:r w:rsidRPr="0070160F">
        <w:t xml:space="preserve">) for in-person visits </w:t>
      </w:r>
      <w:r w:rsidR="008060DB">
        <w:t>to</w:t>
      </w:r>
      <w:r w:rsidRPr="0070160F">
        <w:t xml:space="preserve"> </w:t>
      </w:r>
      <w:r w:rsidR="005626C7">
        <w:t xml:space="preserve">gather information about potential programs </w:t>
      </w:r>
      <w:r w:rsidR="00BF5D0A">
        <w:t>and for formative evaluations of interventions; and</w:t>
      </w:r>
      <w:r w:rsidR="00250E4D">
        <w:t xml:space="preserve"> </w:t>
      </w:r>
      <w:r w:rsidR="00BF5D0A">
        <w:t>full ICRs</w:t>
      </w:r>
      <w:r w:rsidR="00250E4D">
        <w:t xml:space="preserve">, </w:t>
      </w:r>
      <w:r w:rsidR="00BF5D0A">
        <w:t xml:space="preserve">for </w:t>
      </w:r>
      <w:r w:rsidRPr="0070160F">
        <w:t>baseline, follow-up, implementation, and cost data collection in support of evaluations</w:t>
      </w:r>
      <w:r w:rsidR="00B454D4">
        <w:t xml:space="preserve"> and case studies</w:t>
      </w:r>
      <w:r w:rsidRPr="0070160F">
        <w:t xml:space="preserve"> of selected </w:t>
      </w:r>
      <w:r w:rsidR="00B30D18">
        <w:t>interventions</w:t>
      </w:r>
      <w:r w:rsidR="00250E4D">
        <w:t>.</w:t>
      </w:r>
    </w:p>
    <w:p w:rsidRPr="00C51883" w:rsidR="00984CA2" w:rsidP="00436F5E" w:rsidRDefault="00984CA2">
      <w:pPr>
        <w:pStyle w:val="Heading4"/>
        <w:numPr>
          <w:ilvl w:val="3"/>
          <w:numId w:val="0"/>
        </w:numPr>
        <w:tabs>
          <w:tab w:val="num" w:pos="180"/>
        </w:tabs>
        <w:spacing w:before="60" w:line="264" w:lineRule="auto"/>
        <w:rPr>
          <w:rFonts w:ascii="Times New Roman" w:hAnsi="Times New Roman"/>
          <w:i/>
          <w:sz w:val="24"/>
          <w:szCs w:val="24"/>
        </w:rPr>
      </w:pPr>
      <w:r w:rsidRPr="00C51883">
        <w:rPr>
          <w:rFonts w:ascii="Times New Roman" w:hAnsi="Times New Roman"/>
          <w:i/>
          <w:sz w:val="24"/>
          <w:szCs w:val="24"/>
        </w:rPr>
        <w:t xml:space="preserve">Study Background </w:t>
      </w:r>
    </w:p>
    <w:p w:rsidR="00482477" w:rsidP="00482477" w:rsidRDefault="00026B04">
      <w:pPr>
        <w:spacing w:after="240"/>
      </w:pPr>
      <w:r w:rsidRPr="00482477">
        <w:t xml:space="preserve">Many Americans </w:t>
      </w:r>
      <w:r w:rsidR="00704408">
        <w:t>have trouble</w:t>
      </w:r>
      <w:r w:rsidRPr="00482477">
        <w:t xml:space="preserve"> fulfill</w:t>
      </w:r>
      <w:r w:rsidR="00704408">
        <w:t>ing</w:t>
      </w:r>
      <w:r w:rsidRPr="00482477">
        <w:t xml:space="preserve"> their goal of gainful employment and economic independence because they face </w:t>
      </w:r>
      <w:r w:rsidR="00704408">
        <w:t>complex</w:t>
      </w:r>
      <w:r w:rsidRPr="00482477">
        <w:t xml:space="preserve"> challenges. These challenges may be physical and mental health conditions, substance misuse, a criminal history, or limited work skills and experience. Still, with the right work opportunities and supports, people </w:t>
      </w:r>
      <w:r w:rsidR="00AE6E17">
        <w:t>facing these challenges may be able to</w:t>
      </w:r>
      <w:r w:rsidRPr="00482477">
        <w:t xml:space="preserve"> find and keep good jobs.</w:t>
      </w:r>
    </w:p>
    <w:p w:rsidR="00482477" w:rsidP="00482477" w:rsidRDefault="00026B04">
      <w:pPr>
        <w:spacing w:after="240"/>
      </w:pPr>
      <w:r w:rsidRPr="00482477">
        <w:rPr>
          <w:color w:val="1A1818"/>
          <w:lang w:val="en"/>
        </w:rPr>
        <w:t xml:space="preserve">OPRE has spent decades studying strategies to help </w:t>
      </w:r>
      <w:r w:rsidR="00AE6E17">
        <w:rPr>
          <w:color w:val="1A1818"/>
          <w:lang w:val="en"/>
        </w:rPr>
        <w:t>low-income</w:t>
      </w:r>
      <w:r w:rsidRPr="00482477">
        <w:rPr>
          <w:color w:val="1A1818"/>
          <w:lang w:val="en"/>
        </w:rPr>
        <w:t xml:space="preserve"> people find and keep jobs. </w:t>
      </w:r>
      <w:r w:rsidRPr="00482477">
        <w:t xml:space="preserve">To further build this evidence, OPRE </w:t>
      </w:r>
      <w:r w:rsidR="00FF4B41">
        <w:t xml:space="preserve">contracted with </w:t>
      </w:r>
      <w:r w:rsidRPr="00482477">
        <w:t xml:space="preserve">Mathematica Policy Research to conduct the NextGen Project. This project will identify and test up to </w:t>
      </w:r>
      <w:r w:rsidR="00FE25FC">
        <w:t>10</w:t>
      </w:r>
      <w:r w:rsidRPr="00482477">
        <w:t xml:space="preserve"> innovative, promising employment </w:t>
      </w:r>
      <w:r w:rsidR="00250E4D">
        <w:t>interventions</w:t>
      </w:r>
      <w:r w:rsidRPr="00482477" w:rsidR="00250E4D">
        <w:t xml:space="preserve"> </w:t>
      </w:r>
      <w:r w:rsidRPr="00482477">
        <w:t>designed to help people facing complex challenges secure a pathway toward economic independence.</w:t>
      </w:r>
      <w:r w:rsidR="00FF4B41">
        <w:t xml:space="preserve"> Additionally, the project is working closely with the Social Security Administration </w:t>
      </w:r>
      <w:r w:rsidR="00134287">
        <w:t xml:space="preserve">(SSA) </w:t>
      </w:r>
      <w:r w:rsidR="00FF4B41">
        <w:t xml:space="preserve">to incorporate a focus on employment-related early interventions </w:t>
      </w:r>
      <w:r w:rsidR="00250E4D">
        <w:t xml:space="preserve">for </w:t>
      </w:r>
      <w:r w:rsidRPr="00C66B3D" w:rsidR="00250E4D">
        <w:lastRenderedPageBreak/>
        <w:t xml:space="preserve">individuals with current or foreseeable disabilities who </w:t>
      </w:r>
      <w:r w:rsidR="00C36B53">
        <w:t xml:space="preserve">have limited work history and </w:t>
      </w:r>
      <w:r w:rsidRPr="00C66B3D" w:rsidR="00250E4D">
        <w:t>are potential applicants for</w:t>
      </w:r>
      <w:r w:rsidRPr="00C66B3D" w:rsidDel="00C66B3D" w:rsidR="00250E4D">
        <w:t xml:space="preserve"> </w:t>
      </w:r>
      <w:r w:rsidRPr="00C66B3D" w:rsidR="00250E4D">
        <w:t>Supplemental Security Income (SSI)</w:t>
      </w:r>
      <w:r w:rsidR="00FF4B41">
        <w:t>.</w:t>
      </w:r>
      <w:r w:rsidRPr="00482477">
        <w:t xml:space="preserve">  </w:t>
      </w:r>
    </w:p>
    <w:p w:rsidR="00482477" w:rsidP="00591D1A" w:rsidRDefault="00026B04">
      <w:r w:rsidRPr="00482477">
        <w:t xml:space="preserve">Complex problems </w:t>
      </w:r>
      <w:r w:rsidR="00AE6E17">
        <w:t xml:space="preserve">often </w:t>
      </w:r>
      <w:r w:rsidRPr="00482477">
        <w:t xml:space="preserve">require diverse solutions. These may include work opportunities, treatments for health conditions, personal and workplace supports, and opportunities to build hard and soft skills. </w:t>
      </w:r>
      <w:r w:rsidR="00B30D18">
        <w:t>Interventions</w:t>
      </w:r>
      <w:r w:rsidRPr="00482477" w:rsidR="00B30D18">
        <w:t xml:space="preserve"> </w:t>
      </w:r>
      <w:r w:rsidRPr="00482477">
        <w:t>of interest may be delivered by public-private partnerships, interagency collaborations, government initiatives, nonprofit agencies, or social enterprises</w:t>
      </w:r>
      <w:r w:rsidR="00DE0F58">
        <w:t xml:space="preserve"> (</w:t>
      </w:r>
      <w:r w:rsidRPr="00482477">
        <w:t>organizations that hire workers who face complex challenges to produce goods or services</w:t>
      </w:r>
      <w:r w:rsidR="00AE6E17">
        <w:t xml:space="preserve"> for commercial sale</w:t>
      </w:r>
      <w:r w:rsidR="00DE0F58">
        <w:t>)</w:t>
      </w:r>
      <w:r w:rsidRPr="00482477">
        <w:t xml:space="preserve">. </w:t>
      </w:r>
    </w:p>
    <w:p w:rsidR="00591D1A" w:rsidP="00591D1A" w:rsidRDefault="00591D1A">
      <w:pPr>
        <w:rPr>
          <w:i/>
        </w:rPr>
      </w:pPr>
    </w:p>
    <w:p w:rsidRPr="00C51883" w:rsidR="00984CA2" w:rsidP="00591D1A" w:rsidRDefault="00984CA2">
      <w:pPr>
        <w:spacing w:after="240"/>
        <w:rPr>
          <w:i/>
        </w:rPr>
      </w:pPr>
      <w:r w:rsidRPr="00C51883">
        <w:rPr>
          <w:i/>
        </w:rPr>
        <w:t xml:space="preserve">Legal or Administrative Requirements that Necessitate the Collection </w:t>
      </w:r>
    </w:p>
    <w:p w:rsidR="00B47A48" w:rsidP="00432103" w:rsidRDefault="00B47A48">
      <w:pPr>
        <w:spacing w:after="240"/>
      </w:pPr>
      <w:r w:rsidRPr="00C51883">
        <w:t>There are no legal or administrative requirements that necessitate the collection. ACF is undertaking the collection at the discretion of the agency.</w:t>
      </w:r>
    </w:p>
    <w:p w:rsidRPr="00C51883" w:rsidR="00945CD6" w:rsidP="00436F5E" w:rsidRDefault="00292B70">
      <w:pPr>
        <w:spacing w:after="120"/>
        <w:rPr>
          <w:b/>
        </w:rPr>
      </w:pPr>
      <w:r w:rsidRPr="00C51883">
        <w:rPr>
          <w:b/>
        </w:rPr>
        <w:t xml:space="preserve">A2. </w:t>
      </w:r>
      <w:r w:rsidRPr="00C51883" w:rsidR="00945CD6">
        <w:rPr>
          <w:b/>
        </w:rPr>
        <w:t>Purpose of Survey and Data Collection Procedures</w:t>
      </w:r>
    </w:p>
    <w:p w:rsidRPr="00C51883" w:rsidR="00984CA2" w:rsidP="00436F5E" w:rsidRDefault="00984CA2">
      <w:pPr>
        <w:spacing w:after="60"/>
        <w:rPr>
          <w:b/>
          <w:i/>
        </w:rPr>
      </w:pPr>
      <w:r w:rsidRPr="00C51883">
        <w:rPr>
          <w:b/>
          <w:i/>
        </w:rPr>
        <w:t>Overview of Purpose and Approach</w:t>
      </w:r>
    </w:p>
    <w:p w:rsidRPr="00C51883" w:rsidR="002338AC" w:rsidP="00E05C46" w:rsidRDefault="004D0FE9">
      <w:pPr>
        <w:autoSpaceDE w:val="0"/>
        <w:autoSpaceDN w:val="0"/>
        <w:adjustRightInd w:val="0"/>
        <w:spacing w:after="240"/>
        <w:rPr>
          <w:b/>
          <w:i/>
        </w:rPr>
      </w:pPr>
      <w:r w:rsidRPr="00DF374C">
        <w:rPr>
          <w:szCs w:val="22"/>
        </w:rPr>
        <w:t xml:space="preserve">The purpose of this </w:t>
      </w:r>
      <w:r>
        <w:rPr>
          <w:szCs w:val="22"/>
        </w:rPr>
        <w:t xml:space="preserve">Gen IC </w:t>
      </w:r>
      <w:r w:rsidRPr="00DF374C">
        <w:rPr>
          <w:szCs w:val="22"/>
        </w:rPr>
        <w:t xml:space="preserve">is to help ACF identify </w:t>
      </w:r>
      <w:r>
        <w:rPr>
          <w:szCs w:val="22"/>
        </w:rPr>
        <w:t xml:space="preserve">promising </w:t>
      </w:r>
      <w:r w:rsidR="008707BC">
        <w:rPr>
          <w:szCs w:val="22"/>
        </w:rPr>
        <w:t>interventions and programs</w:t>
      </w:r>
      <w:r w:rsidRPr="007C567A">
        <w:rPr>
          <w:szCs w:val="22"/>
        </w:rPr>
        <w:t xml:space="preserve"> </w:t>
      </w:r>
      <w:r>
        <w:rPr>
          <w:szCs w:val="22"/>
        </w:rPr>
        <w:t xml:space="preserve">for rigorous evaluation in the NextGen Project. </w:t>
      </w:r>
      <w:r w:rsidRPr="00C51883">
        <w:t xml:space="preserve">This request includes </w:t>
      </w:r>
      <w:r w:rsidRPr="00C51883" w:rsidR="00B47A48">
        <w:t>two</w:t>
      </w:r>
      <w:r w:rsidRPr="00C51883">
        <w:t xml:space="preserve"> discussion guides that will be used in telephone </w:t>
      </w:r>
      <w:r w:rsidR="00482477">
        <w:t>or</w:t>
      </w:r>
      <w:r w:rsidRPr="00C51883">
        <w:t xml:space="preserve"> in-pers</w:t>
      </w:r>
      <w:r w:rsidR="008707BC">
        <w:t>on interviews with stakeholders</w:t>
      </w:r>
      <w:r w:rsidR="00093A47">
        <w:t xml:space="preserve"> and program administrators</w:t>
      </w:r>
      <w:r w:rsidRPr="00C51883">
        <w:t xml:space="preserve">. </w:t>
      </w:r>
    </w:p>
    <w:p w:rsidRPr="00C51883" w:rsidR="00A44209" w:rsidP="00436F5E" w:rsidRDefault="00A44209">
      <w:pPr>
        <w:spacing w:after="60"/>
        <w:rPr>
          <w:b/>
          <w:i/>
        </w:rPr>
      </w:pPr>
      <w:r w:rsidRPr="00C51883">
        <w:rPr>
          <w:b/>
          <w:i/>
        </w:rPr>
        <w:t>Research Questions</w:t>
      </w:r>
    </w:p>
    <w:p w:rsidRPr="00C51883" w:rsidR="009C2B27" w:rsidP="009C2B27" w:rsidRDefault="009C2B27">
      <w:r w:rsidRPr="00C51883">
        <w:t>This Gen IC aims to address the following research questions:</w:t>
      </w:r>
    </w:p>
    <w:p w:rsidRPr="00C51883" w:rsidR="009C2B27" w:rsidP="009C2B27" w:rsidRDefault="009C2B27"/>
    <w:p w:rsidRPr="00C51883" w:rsidR="009C2B27" w:rsidP="009C2B27" w:rsidRDefault="009C2B27">
      <w:pPr>
        <w:numPr>
          <w:ilvl w:val="0"/>
          <w:numId w:val="21"/>
        </w:numPr>
        <w:autoSpaceDE w:val="0"/>
        <w:autoSpaceDN w:val="0"/>
        <w:adjustRightInd w:val="0"/>
      </w:pPr>
      <w:r w:rsidRPr="00C51883">
        <w:t xml:space="preserve">What </w:t>
      </w:r>
      <w:r w:rsidR="000F5F84">
        <w:t xml:space="preserve">innovative </w:t>
      </w:r>
      <w:r w:rsidR="008707BC">
        <w:t>employment</w:t>
      </w:r>
      <w:r w:rsidRPr="00C51883">
        <w:t xml:space="preserve"> </w:t>
      </w:r>
      <w:r w:rsidR="008707BC">
        <w:t>interventions</w:t>
      </w:r>
      <w:r w:rsidRPr="00C51883">
        <w:t xml:space="preserve"> are promising for serving </w:t>
      </w:r>
      <w:r w:rsidR="00DE6D01">
        <w:t>people</w:t>
      </w:r>
      <w:r w:rsidRPr="00C51883">
        <w:t xml:space="preserve"> with multiple, complex barriers to employment?</w:t>
      </w:r>
    </w:p>
    <w:p w:rsidRPr="00C51883" w:rsidR="009C2B27" w:rsidP="009C2B27" w:rsidRDefault="009C2B27">
      <w:pPr>
        <w:numPr>
          <w:ilvl w:val="0"/>
          <w:numId w:val="21"/>
        </w:numPr>
        <w:autoSpaceDE w:val="0"/>
        <w:autoSpaceDN w:val="0"/>
        <w:adjustRightInd w:val="0"/>
      </w:pPr>
      <w:r w:rsidRPr="00C51883">
        <w:t>Which</w:t>
      </w:r>
      <w:r w:rsidR="00076790">
        <w:t xml:space="preserve"> promising</w:t>
      </w:r>
      <w:r w:rsidRPr="00C51883">
        <w:t xml:space="preserve"> </w:t>
      </w:r>
      <w:r w:rsidR="001B0225">
        <w:t>programs</w:t>
      </w:r>
      <w:r w:rsidRPr="00C51883">
        <w:t xml:space="preserve"> </w:t>
      </w:r>
      <w:r w:rsidR="0022615A">
        <w:t xml:space="preserve">might </w:t>
      </w:r>
      <w:r w:rsidRPr="00C51883">
        <w:t>meet the conditions for a rigorous random assignment evaluation?</w:t>
      </w:r>
    </w:p>
    <w:p w:rsidRPr="00C51883" w:rsidR="002338AC" w:rsidP="002338AC" w:rsidRDefault="002338AC">
      <w:pPr>
        <w:ind w:left="180"/>
      </w:pPr>
    </w:p>
    <w:p w:rsidRPr="00C51883" w:rsidR="005A3D58" w:rsidP="005A3D58" w:rsidRDefault="00A44209">
      <w:pPr>
        <w:spacing w:after="60"/>
        <w:rPr>
          <w:b/>
          <w:i/>
        </w:rPr>
      </w:pPr>
      <w:r w:rsidRPr="00C51883">
        <w:rPr>
          <w:b/>
          <w:i/>
        </w:rPr>
        <w:t>Study Design</w:t>
      </w:r>
      <w:r w:rsidR="005A3D58">
        <w:rPr>
          <w:b/>
          <w:i/>
        </w:rPr>
        <w:t xml:space="preserve"> and </w:t>
      </w:r>
      <w:r w:rsidRPr="00C51883" w:rsidR="005A3D58">
        <w:rPr>
          <w:b/>
          <w:i/>
        </w:rPr>
        <w:t>Universe of Data Collection Efforts</w:t>
      </w:r>
    </w:p>
    <w:p w:rsidRPr="00C51883" w:rsidR="00A34F25" w:rsidP="00482477" w:rsidRDefault="00A34F25">
      <w:pPr>
        <w:spacing w:after="240"/>
      </w:pPr>
      <w:r w:rsidRPr="00C51883">
        <w:t xml:space="preserve">The NextGen Project aims to identify </w:t>
      </w:r>
      <w:r w:rsidR="00CC4312">
        <w:t>interventions</w:t>
      </w:r>
      <w:r w:rsidRPr="00C51883">
        <w:t xml:space="preserve"> and </w:t>
      </w:r>
      <w:r w:rsidR="008707BC">
        <w:t>programs</w:t>
      </w:r>
      <w:r w:rsidRPr="00C51883">
        <w:t xml:space="preserve"> that</w:t>
      </w:r>
      <w:r w:rsidRPr="00C51883" w:rsidR="00C31E70">
        <w:t xml:space="preserve"> will advance </w:t>
      </w:r>
      <w:r w:rsidR="008707BC">
        <w:t>the field’s</w:t>
      </w:r>
      <w:r w:rsidRPr="00C51883" w:rsidR="00C31E70">
        <w:t xml:space="preserve"> knowledge of what employment </w:t>
      </w:r>
      <w:r w:rsidR="000F5F84">
        <w:t>interventions</w:t>
      </w:r>
      <w:r w:rsidRPr="00C51883" w:rsidR="000F5F84">
        <w:t xml:space="preserve"> </w:t>
      </w:r>
      <w:r w:rsidRPr="00C51883" w:rsidR="00C31E70">
        <w:t xml:space="preserve">work for people experiencing multiple, complex barriers to employment. </w:t>
      </w:r>
      <w:r w:rsidR="00290D58">
        <w:t>It will include</w:t>
      </w:r>
      <w:r w:rsidR="00EE0E63">
        <w:t xml:space="preserve"> u</w:t>
      </w:r>
      <w:r w:rsidRPr="00C51883">
        <w:t xml:space="preserve">p to </w:t>
      </w:r>
      <w:r w:rsidR="00EE0E63">
        <w:t>10</w:t>
      </w:r>
      <w:r w:rsidRPr="00C51883">
        <w:t xml:space="preserve"> rigorous evaluations</w:t>
      </w:r>
      <w:r w:rsidR="00EE0E63">
        <w:t xml:space="preserve"> of interventions of interest</w:t>
      </w:r>
      <w:r w:rsidRPr="00C51883">
        <w:t xml:space="preserve">. Each evaluation will include research on the implementation of the </w:t>
      </w:r>
      <w:r w:rsidR="00EE0E63">
        <w:t>intervention</w:t>
      </w:r>
      <w:r w:rsidR="008707BC">
        <w:t>,</w:t>
      </w:r>
      <w:r w:rsidRPr="00C51883" w:rsidR="00C31E70">
        <w:t xml:space="preserve"> includ</w:t>
      </w:r>
      <w:r w:rsidR="008707BC">
        <w:t>ing</w:t>
      </w:r>
      <w:r w:rsidRPr="00C51883">
        <w:t xml:space="preserve"> </w:t>
      </w:r>
      <w:r w:rsidRPr="00C51883" w:rsidR="00C31E70">
        <w:t>how the services were designed and implemented; what contextual, organizational, and other factors impeded or facilitated implementation; characteristics of study participants and the services they received; and the role of employers</w:t>
      </w:r>
      <w:r w:rsidRPr="00C51883">
        <w:t xml:space="preserve">. Each evaluation will include </w:t>
      </w:r>
      <w:r w:rsidRPr="00C51883" w:rsidR="00C31E70">
        <w:t xml:space="preserve">a rigorous </w:t>
      </w:r>
      <w:r w:rsidR="00B30D18">
        <w:t xml:space="preserve">randomized controlled trial (RCT) </w:t>
      </w:r>
      <w:r w:rsidRPr="00C51883" w:rsidR="00C31E70">
        <w:t xml:space="preserve">to determine </w:t>
      </w:r>
      <w:r w:rsidRPr="00C51883">
        <w:t xml:space="preserve">the </w:t>
      </w:r>
      <w:r w:rsidR="000F5F84">
        <w:t>intervention</w:t>
      </w:r>
      <w:r w:rsidRPr="00C51883" w:rsidR="000F5F84">
        <w:t xml:space="preserve">’s </w:t>
      </w:r>
      <w:r w:rsidRPr="00C51883">
        <w:t>effects on participants’ employment</w:t>
      </w:r>
      <w:r w:rsidRPr="00C51883" w:rsidR="00C31E70">
        <w:t xml:space="preserve"> and other</w:t>
      </w:r>
      <w:r w:rsidRPr="00C51883">
        <w:t xml:space="preserve"> outcomes, based on administrative data and surveys. </w:t>
      </w:r>
      <w:r w:rsidR="00290D58">
        <w:t>The project will also include</w:t>
      </w:r>
      <w:r w:rsidRPr="00C51883" w:rsidR="00C31E70">
        <w:t xml:space="preserve"> a benefit-cost analysis. </w:t>
      </w:r>
      <w:r w:rsidRPr="00C51883">
        <w:t xml:space="preserve">A future </w:t>
      </w:r>
      <w:r w:rsidR="00A403A2">
        <w:t xml:space="preserve">full </w:t>
      </w:r>
      <w:r w:rsidRPr="00C51883">
        <w:t>ICR will include details about the full study design.</w:t>
      </w:r>
    </w:p>
    <w:p w:rsidR="005A3D58" w:rsidP="00DE1B82" w:rsidRDefault="00A34F25">
      <w:pPr>
        <w:autoSpaceDE w:val="0"/>
        <w:autoSpaceDN w:val="0"/>
        <w:adjustRightInd w:val="0"/>
        <w:spacing w:after="240"/>
        <w:rPr>
          <w:szCs w:val="22"/>
        </w:rPr>
      </w:pPr>
      <w:r>
        <w:rPr>
          <w:szCs w:val="22"/>
        </w:rPr>
        <w:t>This</w:t>
      </w:r>
      <w:r w:rsidRPr="00FF3D9F">
        <w:rPr>
          <w:szCs w:val="22"/>
        </w:rPr>
        <w:t xml:space="preserve"> </w:t>
      </w:r>
      <w:r>
        <w:rPr>
          <w:szCs w:val="22"/>
        </w:rPr>
        <w:t xml:space="preserve">Gen </w:t>
      </w:r>
      <w:r w:rsidRPr="00FF3D9F">
        <w:rPr>
          <w:szCs w:val="22"/>
        </w:rPr>
        <w:t>IC</w:t>
      </w:r>
      <w:r>
        <w:rPr>
          <w:szCs w:val="22"/>
        </w:rPr>
        <w:t xml:space="preserve"> request focuses on collecting information to inform the selection of </w:t>
      </w:r>
      <w:r w:rsidR="008707BC">
        <w:rPr>
          <w:szCs w:val="22"/>
        </w:rPr>
        <w:t xml:space="preserve">interventions </w:t>
      </w:r>
      <w:r>
        <w:rPr>
          <w:szCs w:val="22"/>
        </w:rPr>
        <w:t xml:space="preserve">for the </w:t>
      </w:r>
      <w:r w:rsidR="00EA7D66">
        <w:rPr>
          <w:szCs w:val="22"/>
        </w:rPr>
        <w:t xml:space="preserve">evaluations conducted for </w:t>
      </w:r>
      <w:r w:rsidR="00C31E70">
        <w:rPr>
          <w:szCs w:val="22"/>
        </w:rPr>
        <w:t>the NextGen Project</w:t>
      </w:r>
      <w:r>
        <w:rPr>
          <w:szCs w:val="22"/>
        </w:rPr>
        <w:t xml:space="preserve">. </w:t>
      </w:r>
      <w:r w:rsidR="00EA7D66">
        <w:rPr>
          <w:szCs w:val="22"/>
        </w:rPr>
        <w:t>The information gathering conducted under</w:t>
      </w:r>
      <w:r>
        <w:rPr>
          <w:szCs w:val="22"/>
        </w:rPr>
        <w:t xml:space="preserve"> </w:t>
      </w:r>
      <w:r>
        <w:rPr>
          <w:szCs w:val="22"/>
        </w:rPr>
        <w:lastRenderedPageBreak/>
        <w:t xml:space="preserve">this </w:t>
      </w:r>
      <w:r w:rsidR="00EA7D66">
        <w:rPr>
          <w:szCs w:val="22"/>
        </w:rPr>
        <w:t xml:space="preserve">Gen </w:t>
      </w:r>
      <w:r>
        <w:rPr>
          <w:szCs w:val="22"/>
        </w:rPr>
        <w:t>IC</w:t>
      </w:r>
      <w:r w:rsidRPr="005A3D58" w:rsidR="005A3D58">
        <w:rPr>
          <w:szCs w:val="22"/>
        </w:rPr>
        <w:t xml:space="preserve"> </w:t>
      </w:r>
      <w:r w:rsidR="005A3D58">
        <w:rPr>
          <w:szCs w:val="22"/>
        </w:rPr>
        <w:t xml:space="preserve">will inform the development of </w:t>
      </w:r>
      <w:r w:rsidR="00D13F9B">
        <w:rPr>
          <w:szCs w:val="22"/>
        </w:rPr>
        <w:t>a full ICR</w:t>
      </w:r>
      <w:r w:rsidR="005A3D58">
        <w:rPr>
          <w:szCs w:val="22"/>
        </w:rPr>
        <w:t>. Under this GenIC</w:t>
      </w:r>
      <w:r>
        <w:rPr>
          <w:szCs w:val="22"/>
        </w:rPr>
        <w:t xml:space="preserve">, </w:t>
      </w:r>
      <w:r w:rsidRPr="00FF3D9F">
        <w:rPr>
          <w:szCs w:val="22"/>
        </w:rPr>
        <w:t xml:space="preserve">we expect to identify </w:t>
      </w:r>
      <w:r w:rsidR="008707BC">
        <w:rPr>
          <w:szCs w:val="22"/>
        </w:rPr>
        <w:t>interventions and programs</w:t>
      </w:r>
      <w:r w:rsidR="00290D58">
        <w:rPr>
          <w:szCs w:val="22"/>
        </w:rPr>
        <w:t xml:space="preserve"> that implement them</w:t>
      </w:r>
      <w:r w:rsidRPr="00FF3D9F">
        <w:rPr>
          <w:szCs w:val="22"/>
        </w:rPr>
        <w:t xml:space="preserve"> that</w:t>
      </w:r>
      <w:r>
        <w:rPr>
          <w:szCs w:val="22"/>
        </w:rPr>
        <w:t xml:space="preserve"> are</w:t>
      </w:r>
      <w:r w:rsidRPr="00FF3D9F">
        <w:rPr>
          <w:szCs w:val="22"/>
        </w:rPr>
        <w:t xml:space="preserve"> </w:t>
      </w:r>
      <w:r>
        <w:rPr>
          <w:szCs w:val="22"/>
        </w:rPr>
        <w:t xml:space="preserve">potential candidates </w:t>
      </w:r>
      <w:r w:rsidRPr="00FF3D9F">
        <w:rPr>
          <w:szCs w:val="22"/>
        </w:rPr>
        <w:t xml:space="preserve">for rigorous testing </w:t>
      </w:r>
      <w:r w:rsidR="008707BC">
        <w:rPr>
          <w:szCs w:val="22"/>
        </w:rPr>
        <w:t>immediately</w:t>
      </w:r>
      <w:r>
        <w:rPr>
          <w:szCs w:val="22"/>
        </w:rPr>
        <w:t xml:space="preserve"> </w:t>
      </w:r>
      <w:r w:rsidRPr="00FF3D9F">
        <w:rPr>
          <w:szCs w:val="22"/>
        </w:rPr>
        <w:t>and others that w</w:t>
      </w:r>
      <w:r>
        <w:rPr>
          <w:szCs w:val="22"/>
        </w:rPr>
        <w:t>ould</w:t>
      </w:r>
      <w:r w:rsidRPr="00FF3D9F">
        <w:rPr>
          <w:szCs w:val="22"/>
        </w:rPr>
        <w:t xml:space="preserve"> require some additional developmental work</w:t>
      </w:r>
      <w:r w:rsidR="00290D58">
        <w:rPr>
          <w:szCs w:val="22"/>
        </w:rPr>
        <w:t xml:space="preserve"> before being rigorously evaluated</w:t>
      </w:r>
      <w:r w:rsidRPr="00FF3D9F">
        <w:rPr>
          <w:szCs w:val="22"/>
        </w:rPr>
        <w:t xml:space="preserve">. </w:t>
      </w:r>
    </w:p>
    <w:p w:rsidR="00C82BDA" w:rsidP="00482477" w:rsidRDefault="00DE6D0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szCs w:val="22"/>
        </w:rPr>
        <w:t>T</w:t>
      </w:r>
      <w:r w:rsidRPr="00C51883" w:rsidR="00A34F25">
        <w:t xml:space="preserve">he evaluation team will conduct formative data collection through discussions with select informants. </w:t>
      </w:r>
      <w:r w:rsidRPr="00C51883" w:rsidR="00C82BDA">
        <w:t xml:space="preserve">Our approach has three stages, each with its own data collection instrument. </w:t>
      </w:r>
      <w:r w:rsidR="00DE1B82">
        <w:t>We will use an outreach email for initial engagement with potential informants (Attachment C)</w:t>
      </w:r>
    </w:p>
    <w:p w:rsidRPr="00E05C46" w:rsidR="00E05C46" w:rsidP="00CD409B" w:rsidRDefault="00E05C46">
      <w:pPr>
        <w:numPr>
          <w:ilvl w:val="0"/>
          <w:numId w:val="2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E05C46">
        <w:t xml:space="preserve">During Stage 1, we will cast a broad net, having informal, </w:t>
      </w:r>
      <w:r w:rsidR="00E16378">
        <w:t xml:space="preserve">semi-structured, </w:t>
      </w:r>
      <w:r w:rsidRPr="00E05C46">
        <w:t xml:space="preserve">short conversations with a range of stakeholders (Attachment A). These conversations will focus on eliciting stakeholders’ ideas and suggestions for promising </w:t>
      </w:r>
      <w:r w:rsidR="008707BC">
        <w:t>interventions</w:t>
      </w:r>
      <w:r w:rsidRPr="00E05C46">
        <w:t xml:space="preserve"> to evaluate and promising </w:t>
      </w:r>
      <w:r w:rsidR="008707BC">
        <w:t>programs</w:t>
      </w:r>
      <w:r w:rsidRPr="00E05C46">
        <w:t xml:space="preserve"> currently implementing those </w:t>
      </w:r>
      <w:r w:rsidR="008707BC">
        <w:t>interventions</w:t>
      </w:r>
      <w:r w:rsidRPr="00E05C46">
        <w:t>. Key stakeholders include policy makers; program administrators and managers; knowledge brokers and intermediaries; employer and social enterprise representatives; program developers and training and technical assistance providers; advocates</w:t>
      </w:r>
      <w:r w:rsidR="00290D58">
        <w:t xml:space="preserve"> for low-income populations and people with disabilities</w:t>
      </w:r>
      <w:r w:rsidRPr="00E05C46">
        <w:t xml:space="preserve">; and researchers. </w:t>
      </w:r>
      <w:r w:rsidRPr="00CD409B" w:rsidR="00CD409B">
        <w:t>The project team will identify informants for Stage 1 through a purposeful, snowball sampling process that draws from recommendations from experts at Mathematica</w:t>
      </w:r>
      <w:r w:rsidR="00A403A2">
        <w:t xml:space="preserve"> and</w:t>
      </w:r>
      <w:r w:rsidRPr="00CD409B" w:rsidR="00CD409B">
        <w:t xml:space="preserve"> OPRE, referrals from other informants, and Internet searches of employment interventions. The project team plans to interview Stage 1 informants through a combination of </w:t>
      </w:r>
      <w:r w:rsidR="00076790">
        <w:t xml:space="preserve">voluntary </w:t>
      </w:r>
      <w:r w:rsidRPr="00CD409B" w:rsidR="00CD409B">
        <w:t xml:space="preserve">phone and in-person discussions conducted one-on-one or in small groups. In identifying and selecting informants, we will contact individuals who will add new information, based on our extant knowledge base and gaps where we hope to gain further insights, to minimize potential burden on Gen IC participants. </w:t>
      </w:r>
      <w:r w:rsidRPr="00E05C46">
        <w:t xml:space="preserve">The project team will engage in further knowledge development activities using publicly available resources for those </w:t>
      </w:r>
      <w:r w:rsidR="008707BC">
        <w:t>interventions</w:t>
      </w:r>
      <w:r w:rsidRPr="00E05C46">
        <w:t xml:space="preserve"> that seem promising.</w:t>
      </w:r>
    </w:p>
    <w:p w:rsidRPr="00E05C46" w:rsidR="00E05C46" w:rsidP="00482477" w:rsidRDefault="00E05C46">
      <w:pPr>
        <w:numPr>
          <w:ilvl w:val="0"/>
          <w:numId w:val="2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E05C46">
        <w:t xml:space="preserve">Based on the knowledge gathered in Stage 1, during Stage 2 we will </w:t>
      </w:r>
      <w:r w:rsidR="00CD409B">
        <w:t xml:space="preserve">conduct phone or in-person discussions </w:t>
      </w:r>
      <w:r w:rsidRPr="00CD409B" w:rsidR="00CD409B">
        <w:t>(Attachment B)</w:t>
      </w:r>
      <w:r w:rsidRPr="00E05C46">
        <w:t xml:space="preserve"> with </w:t>
      </w:r>
      <w:r w:rsidR="00CD409B">
        <w:t xml:space="preserve">administrators of </w:t>
      </w:r>
      <w:r w:rsidRPr="00E05C46">
        <w:t>programs</w:t>
      </w:r>
      <w:r w:rsidR="00CD409B">
        <w:t xml:space="preserve"> implementing the intervention</w:t>
      </w:r>
      <w:r w:rsidR="00D80C34">
        <w:t>s</w:t>
      </w:r>
      <w:r w:rsidR="00CD409B">
        <w:t xml:space="preserve"> that were identified in Stage 1. The purpose of these discussions is</w:t>
      </w:r>
      <w:r w:rsidRPr="00E05C46">
        <w:t xml:space="preserve"> to learn more about the</w:t>
      </w:r>
      <w:r w:rsidR="00CD409B">
        <w:t xml:space="preserve"> program’s</w:t>
      </w:r>
      <w:r w:rsidRPr="00E05C46">
        <w:t xml:space="preserve"> goals, services provided, </w:t>
      </w:r>
      <w:r w:rsidR="00CD409B">
        <w:t xml:space="preserve">and </w:t>
      </w:r>
      <w:r w:rsidRPr="00E05C46">
        <w:t xml:space="preserve">populations served, and </w:t>
      </w:r>
      <w:r w:rsidR="00CD409B">
        <w:t xml:space="preserve">to </w:t>
      </w:r>
      <w:r w:rsidRPr="00E05C46">
        <w:t>begin to assess the feasibility of an evaluation.</w:t>
      </w:r>
    </w:p>
    <w:p w:rsidRPr="00E05C46" w:rsidR="00E05C46" w:rsidP="00482477" w:rsidRDefault="00E05C46">
      <w:pPr>
        <w:numPr>
          <w:ilvl w:val="0"/>
          <w:numId w:val="2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E05C46">
        <w:t xml:space="preserve">For </w:t>
      </w:r>
      <w:r w:rsidR="00200122">
        <w:t>programs</w:t>
      </w:r>
      <w:r w:rsidRPr="00E05C46">
        <w:t xml:space="preserve"> that seem promising and evaluable in Stage 2, during Stage 3 we will conduct in-person visits to further explore the quality of the program’s implementation and whether it is a good candidate for a</w:t>
      </w:r>
      <w:r w:rsidR="00290D58">
        <w:t xml:space="preserve"> rigorous</w:t>
      </w:r>
      <w:r w:rsidRPr="00E05C46">
        <w:t xml:space="preserve"> evaluation. The discussion guides and other materials for Stage 3 visits will be </w:t>
      </w:r>
      <w:r w:rsidR="005A3D58">
        <w:t xml:space="preserve">informed by the activities in this current request and will be submitted </w:t>
      </w:r>
      <w:r w:rsidRPr="00E05C46">
        <w:t>in a later Gen IC request.</w:t>
      </w:r>
    </w:p>
    <w:p w:rsidR="004554B1" w:rsidP="001B0225" w:rsidRDefault="00F13EDF">
      <w:pPr>
        <w:spacing w:after="240"/>
      </w:pPr>
      <w:r w:rsidRPr="00C51883">
        <w:t xml:space="preserve">The discussion guides are similar to guides that have been approved and used successfully in </w:t>
      </w:r>
      <w:r w:rsidR="00200122">
        <w:t>previous</w:t>
      </w:r>
      <w:r w:rsidRPr="00C51883">
        <w:t xml:space="preserve"> OPRE studies, including the Job Search Assistance Strategies Evaluation (OMB #0970-0440)</w:t>
      </w:r>
      <w:r w:rsidR="00FE25FC">
        <w:t>,</w:t>
      </w:r>
      <w:r w:rsidR="00200122">
        <w:t xml:space="preserve"> </w:t>
      </w:r>
      <w:r w:rsidRPr="00C51883">
        <w:t>Subsidized and Transitional Employment Demonstration (OMB #0970-0413)</w:t>
      </w:r>
      <w:r w:rsidR="00FE25FC">
        <w:t>, and Building Evidence on Employment Strategies for Low-Income Families Project (OMB</w:t>
      </w:r>
      <w:r w:rsidR="00661A64">
        <w:t xml:space="preserve"> </w:t>
      </w:r>
      <w:r w:rsidR="00FE25FC">
        <w:t>#0970-0356)</w:t>
      </w:r>
      <w:r w:rsidRPr="00C51883">
        <w:t>.</w:t>
      </w:r>
    </w:p>
    <w:p w:rsidRPr="00C51883" w:rsidR="00945CD6" w:rsidP="00436F5E" w:rsidRDefault="00292B70">
      <w:pPr>
        <w:spacing w:after="120"/>
        <w:rPr>
          <w:b/>
        </w:rPr>
      </w:pPr>
      <w:r w:rsidRPr="00C51883">
        <w:rPr>
          <w:b/>
        </w:rPr>
        <w:lastRenderedPageBreak/>
        <w:t xml:space="preserve">A3. </w:t>
      </w:r>
      <w:r w:rsidRPr="00C51883" w:rsidR="00945CD6">
        <w:rPr>
          <w:b/>
        </w:rPr>
        <w:t>Improved Information Technology to Reduce Burden</w:t>
      </w:r>
    </w:p>
    <w:p w:rsidRPr="00C51883" w:rsidR="005046F0" w:rsidP="001B0225" w:rsidRDefault="00F13EDF">
      <w:pPr>
        <w:spacing w:after="240"/>
      </w:pPr>
      <w:r w:rsidRPr="00C51883">
        <w:t xml:space="preserve">The project team plans to use improved information technology wherever possible. We will initially reach out to potential informants via email, providing information about the NextGen Project and the purpose of the call. The email is included in this Gen IC request as a supplemental document (Attachment </w:t>
      </w:r>
      <w:r w:rsidR="00E05C46">
        <w:t>C</w:t>
      </w:r>
      <w:r w:rsidRPr="00C51883">
        <w:t>).</w:t>
      </w:r>
    </w:p>
    <w:p w:rsidRPr="00C51883" w:rsidR="00945CD6" w:rsidP="00436F5E" w:rsidRDefault="00292B70">
      <w:pPr>
        <w:spacing w:after="120"/>
        <w:rPr>
          <w:b/>
        </w:rPr>
      </w:pPr>
      <w:r w:rsidRPr="00C51883">
        <w:rPr>
          <w:b/>
        </w:rPr>
        <w:t xml:space="preserve">A4. </w:t>
      </w:r>
      <w:r w:rsidRPr="00C51883" w:rsidR="00945CD6">
        <w:rPr>
          <w:b/>
        </w:rPr>
        <w:t>Efforts to Identify Duplication</w:t>
      </w:r>
    </w:p>
    <w:p w:rsidR="005046F0" w:rsidP="001B0225" w:rsidRDefault="00F13EDF">
      <w:pPr>
        <w:spacing w:after="240"/>
      </w:pPr>
      <w:r w:rsidRPr="00C51883">
        <w:t xml:space="preserve">The project team will begin by reviewing the existing literature </w:t>
      </w:r>
      <w:r w:rsidR="00D33546">
        <w:t>before</w:t>
      </w:r>
      <w:r w:rsidRPr="00C51883" w:rsidR="00D33546">
        <w:t xml:space="preserve"> </w:t>
      </w:r>
      <w:r w:rsidRPr="00C51883">
        <w:t xml:space="preserve">talking to </w:t>
      </w:r>
      <w:r w:rsidRPr="00C51883" w:rsidR="0056351E">
        <w:t>stakeholders</w:t>
      </w:r>
      <w:r w:rsidRPr="00C51883">
        <w:t xml:space="preserve"> to </w:t>
      </w:r>
      <w:r w:rsidRPr="00C51883" w:rsidR="0056351E">
        <w:t>determine which</w:t>
      </w:r>
      <w:r w:rsidRPr="00C51883">
        <w:t xml:space="preserve"> </w:t>
      </w:r>
      <w:r w:rsidR="00FE25FC">
        <w:t>interventions</w:t>
      </w:r>
      <w:r w:rsidRPr="00C51883" w:rsidR="0056351E">
        <w:t xml:space="preserve"> and populations</w:t>
      </w:r>
      <w:r w:rsidRPr="00C51883">
        <w:t xml:space="preserve"> will add to the knowledge base</w:t>
      </w:r>
      <w:r w:rsidRPr="00C51883" w:rsidR="0056351E">
        <w:t>,</w:t>
      </w:r>
      <w:r w:rsidRPr="00C51883">
        <w:t xml:space="preserve"> rather than duplicating what is already known. By reviewing the literature and talking to </w:t>
      </w:r>
      <w:r w:rsidRPr="00C51883" w:rsidR="0056351E">
        <w:t>stakeholders</w:t>
      </w:r>
      <w:r w:rsidRPr="00C51883">
        <w:t xml:space="preserve"> before </w:t>
      </w:r>
      <w:r w:rsidRPr="00C51883" w:rsidR="0056351E">
        <w:t>asking in-depth information of programs</w:t>
      </w:r>
      <w:r w:rsidRPr="00C51883">
        <w:t>, we will ensure that we will not spend informants’ time discussing topics that are already well known</w:t>
      </w:r>
      <w:r w:rsidRPr="00C51883" w:rsidR="0056351E">
        <w:t xml:space="preserve"> or not ultimately informative to advancing knowledge in the field</w:t>
      </w:r>
      <w:r w:rsidRPr="00C51883">
        <w:t>.</w:t>
      </w:r>
    </w:p>
    <w:p w:rsidRPr="00C51883" w:rsidR="00C51883" w:rsidP="001B0225" w:rsidRDefault="00C51883">
      <w:pPr>
        <w:spacing w:after="240"/>
      </w:pPr>
      <w:r>
        <w:t xml:space="preserve">A </w:t>
      </w:r>
      <w:r w:rsidR="000C19DD">
        <w:t>related</w:t>
      </w:r>
      <w:r>
        <w:t xml:space="preserve"> project sponsored by ACF, called Building Evidence on Employment Strategies for Low-Income Families (BEES), is also conducting </w:t>
      </w:r>
      <w:r w:rsidR="005824E6">
        <w:t>program</w:t>
      </w:r>
      <w:r>
        <w:t xml:space="preserve"> identification and recruitment activities. O</w:t>
      </w:r>
      <w:r w:rsidR="00D33546">
        <w:t xml:space="preserve">PRE will coordinate </w:t>
      </w:r>
      <w:r>
        <w:t xml:space="preserve">stakeholder </w:t>
      </w:r>
      <w:r w:rsidR="00EF7D6F">
        <w:t xml:space="preserve">and program </w:t>
      </w:r>
      <w:r>
        <w:t xml:space="preserve">outreach </w:t>
      </w:r>
      <w:r w:rsidR="007B3CDC">
        <w:t xml:space="preserve">across the two projects </w:t>
      </w:r>
      <w:r w:rsidR="00093A47">
        <w:t xml:space="preserve">to </w:t>
      </w:r>
      <w:r w:rsidR="007B3CDC">
        <w:t xml:space="preserve">leverage information already collected and </w:t>
      </w:r>
      <w:r w:rsidR="00D33546">
        <w:t>to avoid duplication</w:t>
      </w:r>
      <w:r>
        <w:t xml:space="preserve">. </w:t>
      </w:r>
      <w:r w:rsidR="000C19DD">
        <w:t xml:space="preserve">Additionally, the two projects will </w:t>
      </w:r>
      <w:r w:rsidR="002D6041">
        <w:t xml:space="preserve">coordinate to include a set of common instruments and/or questions in their data collection activities. The full </w:t>
      </w:r>
      <w:r w:rsidRPr="0070160F" w:rsidR="002D6041">
        <w:t xml:space="preserve">ICRs </w:t>
      </w:r>
      <w:r w:rsidR="002D6041">
        <w:t xml:space="preserve">that ACF will submit </w:t>
      </w:r>
      <w:r w:rsidRPr="0070160F" w:rsidR="002D6041">
        <w:t>as part of th</w:t>
      </w:r>
      <w:r w:rsidR="002D6041">
        <w:t>e NextGen</w:t>
      </w:r>
      <w:r w:rsidRPr="0070160F" w:rsidR="002D6041">
        <w:t xml:space="preserve"> </w:t>
      </w:r>
      <w:r w:rsidR="002D6041">
        <w:t>P</w:t>
      </w:r>
      <w:r w:rsidRPr="0070160F" w:rsidR="002D6041">
        <w:t>roject</w:t>
      </w:r>
      <w:r w:rsidR="002D6041">
        <w:t xml:space="preserve"> will clearly note </w:t>
      </w:r>
      <w:r w:rsidR="000C19DD">
        <w:t xml:space="preserve">these </w:t>
      </w:r>
      <w:r w:rsidR="002D6041">
        <w:t xml:space="preserve">areas of overlap.    </w:t>
      </w:r>
    </w:p>
    <w:p w:rsidRPr="00C51883" w:rsidR="00945CD6" w:rsidP="00436F5E" w:rsidRDefault="00292B70">
      <w:pPr>
        <w:spacing w:after="120"/>
        <w:rPr>
          <w:b/>
        </w:rPr>
      </w:pPr>
      <w:r w:rsidRPr="00C51883">
        <w:rPr>
          <w:b/>
        </w:rPr>
        <w:t xml:space="preserve">A5. </w:t>
      </w:r>
      <w:r w:rsidRPr="00C51883" w:rsidR="00945CD6">
        <w:rPr>
          <w:b/>
        </w:rPr>
        <w:t>Involvement of Small Organizations</w:t>
      </w:r>
    </w:p>
    <w:p w:rsidRPr="00C51883" w:rsidR="008C78B4" w:rsidP="003F289E" w:rsidRDefault="0056351E">
      <w:pPr>
        <w:spacing w:after="240"/>
      </w:pPr>
      <w:r w:rsidRPr="00C51883">
        <w:t xml:space="preserve">We expect involvement of small organizations for </w:t>
      </w:r>
      <w:r w:rsidR="005824E6">
        <w:t>program</w:t>
      </w:r>
      <w:r w:rsidRPr="00C51883">
        <w:t xml:space="preserve"> </w:t>
      </w:r>
      <w:r w:rsidR="005824E6">
        <w:t xml:space="preserve">identification and </w:t>
      </w:r>
      <w:r w:rsidRPr="00C51883">
        <w:t xml:space="preserve">selection to be limited. For the most part, the </w:t>
      </w:r>
      <w:r w:rsidRPr="00C51883" w:rsidR="00AC2071">
        <w:t>project</w:t>
      </w:r>
      <w:r w:rsidRPr="00C51883">
        <w:t xml:space="preserve"> team will consult with individual </w:t>
      </w:r>
      <w:r w:rsidRPr="00C51883" w:rsidR="00AC2071">
        <w:t>stakeholders</w:t>
      </w:r>
      <w:r w:rsidRPr="00C51883">
        <w:t xml:space="preserve"> and program administrators. If the </w:t>
      </w:r>
      <w:r w:rsidRPr="00C51883" w:rsidR="00AC2071">
        <w:t>project team</w:t>
      </w:r>
      <w:r w:rsidRPr="00C51883">
        <w:t xml:space="preserve"> reach</w:t>
      </w:r>
      <w:r w:rsidRPr="00C51883" w:rsidR="00AC2071">
        <w:t>es</w:t>
      </w:r>
      <w:r w:rsidRPr="00C51883">
        <w:t xml:space="preserve"> out to small organizations, the burden will be minimized for respondents by conducting telephone discussions at times convenient for the respondents, and requiring no record-keeping or written responses on the part of </w:t>
      </w:r>
      <w:r w:rsidR="00200122">
        <w:t>respondents</w:t>
      </w:r>
      <w:r w:rsidRPr="00C51883">
        <w:t>.</w:t>
      </w:r>
    </w:p>
    <w:p w:rsidRPr="00C51883" w:rsidR="00945CD6" w:rsidP="00436F5E" w:rsidRDefault="00292B70">
      <w:pPr>
        <w:spacing w:after="120"/>
        <w:rPr>
          <w:b/>
        </w:rPr>
      </w:pPr>
      <w:r w:rsidRPr="00C51883">
        <w:rPr>
          <w:b/>
        </w:rPr>
        <w:t xml:space="preserve">A6. </w:t>
      </w:r>
      <w:r w:rsidRPr="00C51883" w:rsidR="00945CD6">
        <w:rPr>
          <w:b/>
        </w:rPr>
        <w:t>Consequences of Less Frequent Data Collection</w:t>
      </w:r>
    </w:p>
    <w:p w:rsidRPr="00C51883" w:rsidR="005046F0" w:rsidP="003F289E" w:rsidRDefault="00200122">
      <w:pPr>
        <w:spacing w:after="240"/>
      </w:pPr>
      <w:r>
        <w:t>I</w:t>
      </w:r>
      <w:r w:rsidRPr="00C51883" w:rsidR="00AC2071">
        <w:t xml:space="preserve">nformation will be collected only once. If formative data collection is necessary to inform </w:t>
      </w:r>
      <w:r w:rsidR="00DE6D01">
        <w:t xml:space="preserve">future, </w:t>
      </w:r>
      <w:r w:rsidRPr="00C51883" w:rsidR="00AC2071">
        <w:t xml:space="preserve">additional evaluations, we will submit additional Gen ICs specific to those evaluations. </w:t>
      </w:r>
    </w:p>
    <w:p w:rsidRPr="00C51883" w:rsidR="00945CD6" w:rsidP="00436F5E" w:rsidRDefault="00292B70">
      <w:pPr>
        <w:spacing w:after="120"/>
        <w:rPr>
          <w:b/>
        </w:rPr>
      </w:pPr>
      <w:r w:rsidRPr="00C51883">
        <w:rPr>
          <w:b/>
        </w:rPr>
        <w:t xml:space="preserve">A7. </w:t>
      </w:r>
      <w:r w:rsidRPr="00C51883" w:rsidR="00945CD6">
        <w:rPr>
          <w:b/>
        </w:rPr>
        <w:t>Special Circumstances</w:t>
      </w:r>
    </w:p>
    <w:p w:rsidRPr="00C51883" w:rsidR="00D90EF6" w:rsidP="003F289E" w:rsidRDefault="00770906">
      <w:pPr>
        <w:spacing w:after="240"/>
      </w:pPr>
      <w:r w:rsidRPr="00C51883">
        <w:t>There are no special circumstances for the proposed data collection efforts.</w:t>
      </w:r>
    </w:p>
    <w:p w:rsidRPr="00C51883" w:rsidR="00D90EF6" w:rsidP="00436F5E" w:rsidRDefault="00292B70">
      <w:pPr>
        <w:spacing w:after="120"/>
        <w:rPr>
          <w:b/>
        </w:rPr>
      </w:pPr>
      <w:r w:rsidRPr="00C51883">
        <w:rPr>
          <w:b/>
        </w:rPr>
        <w:t xml:space="preserve">A8. </w:t>
      </w:r>
      <w:r w:rsidRPr="00C51883" w:rsidR="00945CD6">
        <w:rPr>
          <w:b/>
        </w:rPr>
        <w:t>Federal Register Notice and Consultation</w:t>
      </w:r>
    </w:p>
    <w:p w:rsidRPr="00C51883" w:rsidR="00B91D97" w:rsidP="00436F5E" w:rsidRDefault="00B91D97">
      <w:pPr>
        <w:spacing w:after="60"/>
        <w:rPr>
          <w:b/>
          <w:i/>
        </w:rPr>
      </w:pPr>
      <w:r w:rsidRPr="00C51883">
        <w:rPr>
          <w:b/>
          <w:i/>
        </w:rPr>
        <w:t>Federal Register Notice and Comments</w:t>
      </w:r>
    </w:p>
    <w:p w:rsidRPr="00C51883" w:rsidR="0000567E" w:rsidP="0000567E" w:rsidRDefault="0000567E">
      <w:pPr>
        <w:pStyle w:val="ListParagraph"/>
        <w:ind w:left="0"/>
        <w:rPr>
          <w:b/>
        </w:rPr>
      </w:pPr>
      <w:r w:rsidRPr="00C51883">
        <w:rPr>
          <w:b/>
        </w:rPr>
        <w:t>Formative Generic</w:t>
      </w:r>
    </w:p>
    <w:p w:rsidRPr="00C51883" w:rsidR="0000567E" w:rsidP="0000567E" w:rsidRDefault="0000567E">
      <w:r w:rsidRPr="00C51883">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C51883">
        <w:lastRenderedPageBreak/>
        <w:t>request an OMB review of the overarching generic clearance for formative information collection. This notice was published on October 11, 2017, Volume 82, Number 195, page 47212, and provided a sixty-day period for public comment. During the notice and comment period, no substantive comments were received.</w:t>
      </w:r>
    </w:p>
    <w:p w:rsidRPr="00C51883" w:rsidR="00B91D97" w:rsidP="00436F5E" w:rsidRDefault="00B91D97">
      <w:pPr>
        <w:pStyle w:val="Heading4"/>
        <w:rPr>
          <w:rFonts w:ascii="Times New Roman" w:hAnsi="Times New Roman"/>
          <w:i/>
          <w:sz w:val="24"/>
          <w:szCs w:val="24"/>
        </w:rPr>
      </w:pPr>
      <w:r w:rsidRPr="00C51883">
        <w:rPr>
          <w:rFonts w:ascii="Times New Roman" w:hAnsi="Times New Roman"/>
          <w:i/>
          <w:sz w:val="24"/>
          <w:szCs w:val="24"/>
        </w:rPr>
        <w:t>Consultation with Experts Outside of the Study</w:t>
      </w:r>
    </w:p>
    <w:p w:rsidRPr="00C51883" w:rsidR="00D90EF6" w:rsidP="003F289E" w:rsidRDefault="00AC2071">
      <w:pPr>
        <w:spacing w:after="240"/>
      </w:pPr>
      <w:r w:rsidRPr="00C51883">
        <w:t xml:space="preserve">The evaluation team will consult </w:t>
      </w:r>
      <w:r w:rsidR="00DE6D01">
        <w:t>select</w:t>
      </w:r>
      <w:r w:rsidRPr="00C51883">
        <w:t xml:space="preserve"> experts in federal agencies before we begin the information collection.</w:t>
      </w:r>
      <w:r w:rsidR="00BF44F5">
        <w:t xml:space="preserve"> These include select </w:t>
      </w:r>
      <w:r w:rsidR="002A3A80">
        <w:t>agency staff from the Social Security Administration, Department of Health and Human Service, and Department of Labor.</w:t>
      </w:r>
      <w:r w:rsidR="00BF44F5">
        <w:t xml:space="preserve"> </w:t>
      </w:r>
      <w:r w:rsidR="002A3A80">
        <w:t>We will also consult the BEES project team.</w:t>
      </w:r>
    </w:p>
    <w:p w:rsidRPr="00C51883" w:rsidR="00945CD6" w:rsidP="00436F5E" w:rsidRDefault="00292B70">
      <w:pPr>
        <w:spacing w:after="120"/>
        <w:rPr>
          <w:b/>
        </w:rPr>
      </w:pPr>
      <w:r w:rsidRPr="00C51883">
        <w:rPr>
          <w:b/>
        </w:rPr>
        <w:t xml:space="preserve">A9. </w:t>
      </w:r>
      <w:r w:rsidRPr="00C51883" w:rsidR="00B66874">
        <w:rPr>
          <w:b/>
        </w:rPr>
        <w:t>Incentives for</w:t>
      </w:r>
      <w:r w:rsidRPr="00C51883" w:rsidR="00945CD6">
        <w:rPr>
          <w:b/>
        </w:rPr>
        <w:t xml:space="preserve"> Respondents</w:t>
      </w:r>
    </w:p>
    <w:p w:rsidR="00666589" w:rsidP="00432103" w:rsidRDefault="00272E1C">
      <w:pPr>
        <w:spacing w:after="240"/>
      </w:pPr>
      <w:r w:rsidRPr="00C51883">
        <w:t>No incentives for respondents are proposed for this information collection.</w:t>
      </w:r>
    </w:p>
    <w:p w:rsidRPr="00C51883" w:rsidR="004222F8" w:rsidP="004222F8" w:rsidRDefault="004222F8">
      <w:pPr>
        <w:spacing w:after="120"/>
        <w:rPr>
          <w:b/>
        </w:rPr>
      </w:pPr>
      <w:r w:rsidRPr="00C51883">
        <w:rPr>
          <w:b/>
        </w:rPr>
        <w:t>A10. Privacy of Respondents</w:t>
      </w:r>
    </w:p>
    <w:p w:rsidR="00666589" w:rsidP="00432103" w:rsidRDefault="00AC2071">
      <w:pPr>
        <w:spacing w:after="240"/>
        <w:rPr>
          <w:b/>
        </w:rPr>
      </w:pPr>
      <w:r w:rsidRPr="00C51883">
        <w:t xml:space="preserve">For the </w:t>
      </w:r>
      <w:r w:rsidR="00D33546">
        <w:t>semi-structured</w:t>
      </w:r>
      <w:r w:rsidRPr="00C51883" w:rsidR="00D33546">
        <w:t xml:space="preserve"> </w:t>
      </w:r>
      <w:r w:rsidRPr="00C51883">
        <w:t xml:space="preserve">discussions that are part of the Gen IC, no personal identifying information beyond name and professional affiliation (e.g., name of the academic/research institution, name of the State) will be sought. Discussants will be told that their conversations will be kept private to the fullest extent of the law and that it is expected that their name and affiliation will only be included in summary information provided to ACF. ACF staff may participate in discussions.  </w:t>
      </w:r>
    </w:p>
    <w:p w:rsidRPr="00C51883" w:rsidR="00945CD6" w:rsidP="00436F5E" w:rsidRDefault="00292B70">
      <w:pPr>
        <w:spacing w:after="120"/>
        <w:rPr>
          <w:b/>
        </w:rPr>
      </w:pPr>
      <w:r w:rsidRPr="00C51883">
        <w:rPr>
          <w:b/>
        </w:rPr>
        <w:t xml:space="preserve">A11. </w:t>
      </w:r>
      <w:r w:rsidRPr="00C51883" w:rsidR="00945CD6">
        <w:rPr>
          <w:b/>
        </w:rPr>
        <w:t>Sensitive Questions</w:t>
      </w:r>
    </w:p>
    <w:p w:rsidR="005046F0" w:rsidP="00432103" w:rsidRDefault="00272E1C">
      <w:pPr>
        <w:spacing w:after="240"/>
      </w:pPr>
      <w:r w:rsidRPr="00C51883">
        <w:t>There are no sensitive questions in this data collection.</w:t>
      </w:r>
    </w:p>
    <w:p w:rsidR="00945CD6" w:rsidP="00436F5E" w:rsidRDefault="00292B70">
      <w:pPr>
        <w:spacing w:after="120"/>
        <w:rPr>
          <w:b/>
        </w:rPr>
      </w:pPr>
      <w:r w:rsidRPr="00C51883">
        <w:rPr>
          <w:b/>
        </w:rPr>
        <w:t xml:space="preserve">A12. </w:t>
      </w:r>
      <w:r w:rsidRPr="00C51883" w:rsidR="00945CD6">
        <w:rPr>
          <w:b/>
        </w:rPr>
        <w:t>Estimation of Information Collection Burden</w:t>
      </w:r>
    </w:p>
    <w:p w:rsidR="00C225B1" w:rsidP="00436F5E" w:rsidRDefault="00C225B1">
      <w:pPr>
        <w:spacing w:after="120"/>
      </w:pPr>
      <w:r w:rsidRPr="00D80C34">
        <w:t xml:space="preserve">The total burden requested under this Gen IC is </w:t>
      </w:r>
      <w:r w:rsidR="004E1A82">
        <w:t>6</w:t>
      </w:r>
      <w:r w:rsidR="00EA55C7">
        <w:t>9</w:t>
      </w:r>
      <w:r w:rsidRPr="00D80C34" w:rsidR="00500169">
        <w:t xml:space="preserve"> hours (see </w:t>
      </w:r>
      <w:r w:rsidRPr="00D80C34">
        <w:t>table below</w:t>
      </w:r>
      <w:r w:rsidRPr="00D80C34" w:rsidR="00500169">
        <w:t>)</w:t>
      </w:r>
      <w:r w:rsidRPr="00D80C34">
        <w:t>. The project team expect</w:t>
      </w:r>
      <w:r w:rsidR="00D80C34">
        <w:t>s</w:t>
      </w:r>
      <w:r w:rsidRPr="00D80C34">
        <w:t xml:space="preserve"> to conduct semi-structured interviews with </w:t>
      </w:r>
      <w:r w:rsidRPr="00D80C34" w:rsidR="00543B76">
        <w:t>350 stakeholders and 30 program administrators. The discussions with stakeholders are e</w:t>
      </w:r>
      <w:r w:rsidRPr="00D80C34" w:rsidR="00500169">
        <w:t>xpected to last a</w:t>
      </w:r>
      <w:r w:rsidRPr="00D80C34" w:rsidR="00543B76">
        <w:t>n average</w:t>
      </w:r>
      <w:r w:rsidRPr="00D80C34" w:rsidR="00500169">
        <w:t xml:space="preserve"> of</w:t>
      </w:r>
      <w:r w:rsidRPr="00D80C34" w:rsidR="00543B76">
        <w:t xml:space="preserve"> </w:t>
      </w:r>
      <w:r w:rsidR="004E1A82">
        <w:t>0.5 hours</w:t>
      </w:r>
      <w:r w:rsidRPr="00D80C34" w:rsidR="00543B76">
        <w:t xml:space="preserve">; the discussions with </w:t>
      </w:r>
      <w:r w:rsidRPr="00D80C34" w:rsidR="00500169">
        <w:t xml:space="preserve">program administrators are expected to last an average of </w:t>
      </w:r>
      <w:r w:rsidR="004E1A82">
        <w:t>1 hour</w:t>
      </w:r>
      <w:r w:rsidRPr="00D80C34" w:rsidR="00500169">
        <w:t>. The total burden has been annualized over the three</w:t>
      </w:r>
      <w:r w:rsidR="004E7275">
        <w:t>-</w:t>
      </w:r>
      <w:r w:rsidRPr="00D80C34" w:rsidR="00500169">
        <w:t>year approval period for the overarching umbrella formative generic clearance.</w:t>
      </w:r>
    </w:p>
    <w:p w:rsidR="00591D1A" w:rsidP="00A35B0D" w:rsidRDefault="00591D1A">
      <w:pPr>
        <w:rPr>
          <w:b/>
        </w:rPr>
      </w:pPr>
    </w:p>
    <w:p w:rsidR="00591D1A" w:rsidP="00A35B0D" w:rsidRDefault="00591D1A">
      <w:pPr>
        <w:rPr>
          <w:b/>
        </w:rPr>
      </w:pPr>
    </w:p>
    <w:p w:rsidR="00591D1A" w:rsidP="00A35B0D" w:rsidRDefault="00591D1A">
      <w:pPr>
        <w:rPr>
          <w:b/>
        </w:rPr>
      </w:pPr>
    </w:p>
    <w:p w:rsidR="00591D1A" w:rsidP="00A35B0D" w:rsidRDefault="00591D1A">
      <w:pPr>
        <w:rPr>
          <w:b/>
        </w:rPr>
      </w:pPr>
    </w:p>
    <w:p w:rsidR="00591D1A" w:rsidP="00A35B0D" w:rsidRDefault="00591D1A">
      <w:pPr>
        <w:rPr>
          <w:b/>
        </w:rPr>
      </w:pPr>
    </w:p>
    <w:p w:rsidR="00591D1A" w:rsidP="00A35B0D" w:rsidRDefault="00591D1A">
      <w:pPr>
        <w:rPr>
          <w:b/>
        </w:rPr>
      </w:pPr>
    </w:p>
    <w:p w:rsidR="00591D1A" w:rsidP="00A35B0D" w:rsidRDefault="00591D1A">
      <w:pPr>
        <w:rPr>
          <w:b/>
        </w:rPr>
      </w:pPr>
    </w:p>
    <w:p w:rsidR="00591D1A" w:rsidP="00A35B0D" w:rsidRDefault="00591D1A">
      <w:pPr>
        <w:rPr>
          <w:b/>
        </w:rPr>
      </w:pPr>
    </w:p>
    <w:p w:rsidR="00591D1A" w:rsidP="00A35B0D" w:rsidRDefault="00591D1A">
      <w:pPr>
        <w:rPr>
          <w:b/>
        </w:rPr>
      </w:pPr>
    </w:p>
    <w:p w:rsidR="00591D1A" w:rsidP="00A35B0D" w:rsidRDefault="00591D1A">
      <w:pPr>
        <w:rPr>
          <w:b/>
        </w:rPr>
      </w:pPr>
    </w:p>
    <w:p w:rsidRPr="00C51883" w:rsidR="00A35B0D" w:rsidP="00A35B0D" w:rsidRDefault="00A35B0D">
      <w:r w:rsidRPr="00C51883">
        <w:rPr>
          <w:b/>
        </w:rPr>
        <w:lastRenderedPageBreak/>
        <w:t>Total Burden Requested Under this Information Collection</w:t>
      </w:r>
    </w:p>
    <w:p w:rsidRPr="00A35B0D" w:rsidR="00436F5E" w:rsidP="00A35B0D" w:rsidRDefault="00436F5E"/>
    <w:tbl>
      <w:tblPr>
        <w:tblW w:w="96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38"/>
        <w:gridCol w:w="1239"/>
        <w:gridCol w:w="1304"/>
        <w:gridCol w:w="1172"/>
        <w:gridCol w:w="1000"/>
        <w:gridCol w:w="808"/>
        <w:gridCol w:w="900"/>
        <w:gridCol w:w="1016"/>
      </w:tblGrid>
      <w:tr w:rsidRPr="00BD4CFB" w:rsidR="009A293E" w:rsidTr="00211931">
        <w:trPr>
          <w:jc w:val="center"/>
        </w:trPr>
        <w:tc>
          <w:tcPr>
            <w:tcW w:w="2452" w:type="dxa"/>
            <w:shd w:val="clear" w:color="auto" w:fill="BFBFBF"/>
            <w:vAlign w:val="center"/>
          </w:tcPr>
          <w:p w:rsidRPr="00BD4CFB" w:rsidR="00C1674B" w:rsidP="00124EBF" w:rsidRDefault="00C1674B">
            <w:pPr>
              <w:jc w:val="center"/>
              <w:rPr>
                <w:sz w:val="20"/>
                <w:szCs w:val="20"/>
              </w:rPr>
            </w:pPr>
            <w:r w:rsidRPr="00BD4CFB">
              <w:rPr>
                <w:sz w:val="20"/>
                <w:szCs w:val="20"/>
              </w:rPr>
              <w:t>Instrument</w:t>
            </w:r>
          </w:p>
        </w:tc>
        <w:tc>
          <w:tcPr>
            <w:tcW w:w="1015" w:type="dxa"/>
            <w:shd w:val="clear" w:color="auto" w:fill="BFBFBF"/>
            <w:vAlign w:val="center"/>
          </w:tcPr>
          <w:p w:rsidRPr="00BD4CFB" w:rsidR="00C1674B" w:rsidP="00124EBF" w:rsidRDefault="00C1674B">
            <w:pPr>
              <w:jc w:val="center"/>
              <w:rPr>
                <w:sz w:val="20"/>
                <w:szCs w:val="20"/>
              </w:rPr>
            </w:pPr>
            <w:r>
              <w:rPr>
                <w:sz w:val="20"/>
                <w:szCs w:val="20"/>
              </w:rPr>
              <w:t xml:space="preserve">Total </w:t>
            </w:r>
            <w:r w:rsidRPr="00BD4CFB">
              <w:rPr>
                <w:sz w:val="20"/>
                <w:szCs w:val="20"/>
              </w:rPr>
              <w:t>Number of Respondents</w:t>
            </w:r>
          </w:p>
        </w:tc>
        <w:tc>
          <w:tcPr>
            <w:tcW w:w="1304" w:type="dxa"/>
            <w:shd w:val="clear" w:color="auto" w:fill="BFBFBF"/>
            <w:vAlign w:val="center"/>
          </w:tcPr>
          <w:p w:rsidRPr="00BD4CFB" w:rsidR="00C1674B" w:rsidP="00C1674B" w:rsidRDefault="00C1674B">
            <w:pPr>
              <w:jc w:val="center"/>
              <w:rPr>
                <w:sz w:val="20"/>
                <w:szCs w:val="20"/>
              </w:rPr>
            </w:pPr>
            <w:r>
              <w:rPr>
                <w:sz w:val="20"/>
                <w:szCs w:val="20"/>
              </w:rPr>
              <w:t xml:space="preserve">Annual </w:t>
            </w:r>
            <w:r w:rsidRPr="00BD4CFB">
              <w:rPr>
                <w:sz w:val="20"/>
                <w:szCs w:val="20"/>
              </w:rPr>
              <w:t>Number of Respondents</w:t>
            </w:r>
            <w:r w:rsidR="00EA55C7">
              <w:rPr>
                <w:rStyle w:val="FootnoteReference"/>
                <w:sz w:val="20"/>
                <w:szCs w:val="20"/>
              </w:rPr>
              <w:footnoteReference w:id="2"/>
            </w:r>
          </w:p>
        </w:tc>
        <w:tc>
          <w:tcPr>
            <w:tcW w:w="1175" w:type="dxa"/>
            <w:shd w:val="clear" w:color="auto" w:fill="BFBFBF"/>
            <w:vAlign w:val="center"/>
          </w:tcPr>
          <w:p w:rsidRPr="00BD4CFB" w:rsidR="00C1674B" w:rsidP="00124EBF" w:rsidRDefault="00C1674B">
            <w:pPr>
              <w:jc w:val="center"/>
              <w:rPr>
                <w:sz w:val="20"/>
                <w:szCs w:val="20"/>
              </w:rPr>
            </w:pPr>
            <w:r w:rsidRPr="00BD4CFB">
              <w:rPr>
                <w:sz w:val="20"/>
                <w:szCs w:val="20"/>
              </w:rPr>
              <w:t>Number of Responses Per Respondent</w:t>
            </w:r>
          </w:p>
        </w:tc>
        <w:tc>
          <w:tcPr>
            <w:tcW w:w="1004" w:type="dxa"/>
            <w:shd w:val="clear" w:color="auto" w:fill="BFBFBF"/>
            <w:vAlign w:val="center"/>
          </w:tcPr>
          <w:p w:rsidRPr="00BD4CFB" w:rsidR="00C1674B" w:rsidP="00124EBF" w:rsidRDefault="00C1674B">
            <w:pPr>
              <w:jc w:val="center"/>
              <w:rPr>
                <w:sz w:val="20"/>
                <w:szCs w:val="20"/>
              </w:rPr>
            </w:pPr>
            <w:r w:rsidRPr="00BD4CFB">
              <w:rPr>
                <w:sz w:val="20"/>
                <w:szCs w:val="20"/>
              </w:rPr>
              <w:t>Average Burden Hours Per Response</w:t>
            </w:r>
          </w:p>
        </w:tc>
        <w:tc>
          <w:tcPr>
            <w:tcW w:w="809" w:type="dxa"/>
            <w:shd w:val="clear" w:color="auto" w:fill="BFBFBF"/>
            <w:vAlign w:val="center"/>
          </w:tcPr>
          <w:p w:rsidRPr="00BD4CFB" w:rsidR="00C1674B" w:rsidP="00124EBF" w:rsidRDefault="00C1674B">
            <w:pPr>
              <w:jc w:val="center"/>
              <w:rPr>
                <w:bCs/>
                <w:sz w:val="20"/>
                <w:szCs w:val="20"/>
              </w:rPr>
            </w:pPr>
            <w:r>
              <w:rPr>
                <w:bCs/>
                <w:sz w:val="20"/>
                <w:szCs w:val="20"/>
              </w:rPr>
              <w:t>Annual Burden Hours</w:t>
            </w:r>
          </w:p>
        </w:tc>
        <w:tc>
          <w:tcPr>
            <w:tcW w:w="902" w:type="dxa"/>
            <w:shd w:val="clear" w:color="auto" w:fill="BFBFBF"/>
            <w:vAlign w:val="center"/>
          </w:tcPr>
          <w:p w:rsidRPr="00BD4CFB" w:rsidR="00C1674B" w:rsidP="00124EBF" w:rsidRDefault="00C1674B">
            <w:pPr>
              <w:jc w:val="center"/>
              <w:rPr>
                <w:sz w:val="20"/>
                <w:szCs w:val="20"/>
              </w:rPr>
            </w:pPr>
            <w:r w:rsidRPr="00BD4CFB">
              <w:rPr>
                <w:bCs/>
                <w:sz w:val="20"/>
                <w:szCs w:val="20"/>
              </w:rPr>
              <w:t>Average Hourly Wage</w:t>
            </w:r>
          </w:p>
        </w:tc>
        <w:tc>
          <w:tcPr>
            <w:tcW w:w="1016" w:type="dxa"/>
            <w:shd w:val="clear" w:color="auto" w:fill="BFBFBF"/>
            <w:vAlign w:val="center"/>
          </w:tcPr>
          <w:p w:rsidRPr="00BD4CFB" w:rsidR="00C1674B" w:rsidP="00124EBF" w:rsidRDefault="00C1674B">
            <w:pPr>
              <w:jc w:val="center"/>
              <w:rPr>
                <w:sz w:val="20"/>
                <w:szCs w:val="20"/>
              </w:rPr>
            </w:pPr>
            <w:r w:rsidRPr="00BD4CFB">
              <w:rPr>
                <w:bCs/>
                <w:sz w:val="20"/>
                <w:szCs w:val="20"/>
              </w:rPr>
              <w:t>Total Annual Cost</w:t>
            </w:r>
          </w:p>
        </w:tc>
      </w:tr>
      <w:tr w:rsidRPr="00BD4CFB" w:rsidR="009A293E" w:rsidTr="00211931">
        <w:trPr>
          <w:trHeight w:val="432"/>
          <w:jc w:val="center"/>
        </w:trPr>
        <w:tc>
          <w:tcPr>
            <w:tcW w:w="2452" w:type="dxa"/>
            <w:vAlign w:val="center"/>
          </w:tcPr>
          <w:p w:rsidRPr="00BD4CFB" w:rsidR="00C1674B" w:rsidP="00272E1C" w:rsidRDefault="00272E1C">
            <w:pPr>
              <w:tabs>
                <w:tab w:val="center" w:pos="4320"/>
                <w:tab w:val="right" w:pos="8640"/>
              </w:tabs>
              <w:rPr>
                <w:sz w:val="20"/>
                <w:szCs w:val="20"/>
              </w:rPr>
            </w:pPr>
            <w:r>
              <w:rPr>
                <w:sz w:val="20"/>
                <w:szCs w:val="20"/>
              </w:rPr>
              <w:t>NextGen Discussion Guide for Semi-structured Stakeholder Interviews</w:t>
            </w:r>
          </w:p>
        </w:tc>
        <w:tc>
          <w:tcPr>
            <w:tcW w:w="1015" w:type="dxa"/>
            <w:vAlign w:val="center"/>
          </w:tcPr>
          <w:p w:rsidRPr="00BD4CFB" w:rsidR="00C1674B" w:rsidP="00267BDB" w:rsidRDefault="00267BDB">
            <w:pPr>
              <w:tabs>
                <w:tab w:val="center" w:pos="4320"/>
                <w:tab w:val="right" w:pos="8640"/>
              </w:tabs>
              <w:jc w:val="center"/>
              <w:rPr>
                <w:sz w:val="20"/>
                <w:szCs w:val="20"/>
                <w:highlight w:val="yellow"/>
              </w:rPr>
            </w:pPr>
            <w:r w:rsidRPr="00267BDB">
              <w:rPr>
                <w:sz w:val="20"/>
                <w:szCs w:val="20"/>
              </w:rPr>
              <w:t>350</w:t>
            </w:r>
          </w:p>
        </w:tc>
        <w:tc>
          <w:tcPr>
            <w:tcW w:w="1304" w:type="dxa"/>
            <w:vAlign w:val="center"/>
          </w:tcPr>
          <w:p w:rsidRPr="00BD4CFB" w:rsidR="00C1674B" w:rsidP="00EA55C7" w:rsidRDefault="00C225B1">
            <w:pPr>
              <w:tabs>
                <w:tab w:val="center" w:pos="4320"/>
                <w:tab w:val="right" w:pos="8640"/>
              </w:tabs>
              <w:jc w:val="center"/>
              <w:rPr>
                <w:sz w:val="20"/>
                <w:szCs w:val="20"/>
              </w:rPr>
            </w:pPr>
            <w:r>
              <w:rPr>
                <w:sz w:val="20"/>
                <w:szCs w:val="20"/>
              </w:rPr>
              <w:t>11</w:t>
            </w:r>
            <w:r w:rsidR="00EA55C7">
              <w:rPr>
                <w:sz w:val="20"/>
                <w:szCs w:val="20"/>
              </w:rPr>
              <w:t>7</w:t>
            </w:r>
          </w:p>
        </w:tc>
        <w:tc>
          <w:tcPr>
            <w:tcW w:w="1175" w:type="dxa"/>
            <w:vAlign w:val="center"/>
          </w:tcPr>
          <w:p w:rsidRPr="00BD4CFB" w:rsidR="00C1674B" w:rsidP="00267BDB" w:rsidRDefault="00267BDB">
            <w:pPr>
              <w:tabs>
                <w:tab w:val="center" w:pos="4320"/>
                <w:tab w:val="right" w:pos="8640"/>
              </w:tabs>
              <w:jc w:val="center"/>
              <w:rPr>
                <w:sz w:val="20"/>
                <w:szCs w:val="20"/>
              </w:rPr>
            </w:pPr>
            <w:r>
              <w:rPr>
                <w:sz w:val="20"/>
                <w:szCs w:val="20"/>
              </w:rPr>
              <w:t>1</w:t>
            </w:r>
          </w:p>
        </w:tc>
        <w:tc>
          <w:tcPr>
            <w:tcW w:w="1004" w:type="dxa"/>
            <w:vAlign w:val="center"/>
          </w:tcPr>
          <w:p w:rsidRPr="00BD4CFB" w:rsidR="00C1674B" w:rsidP="00267BDB" w:rsidRDefault="00267BDB">
            <w:pPr>
              <w:tabs>
                <w:tab w:val="center" w:pos="4320"/>
                <w:tab w:val="right" w:pos="8640"/>
              </w:tabs>
              <w:jc w:val="center"/>
              <w:rPr>
                <w:sz w:val="20"/>
                <w:szCs w:val="20"/>
              </w:rPr>
            </w:pPr>
            <w:r>
              <w:rPr>
                <w:sz w:val="20"/>
                <w:szCs w:val="20"/>
              </w:rPr>
              <w:t>0.5</w:t>
            </w:r>
          </w:p>
        </w:tc>
        <w:tc>
          <w:tcPr>
            <w:tcW w:w="809" w:type="dxa"/>
            <w:vAlign w:val="center"/>
          </w:tcPr>
          <w:p w:rsidRPr="00BD4CFB" w:rsidR="00C1674B" w:rsidP="00267BDB" w:rsidRDefault="009A293E">
            <w:pPr>
              <w:tabs>
                <w:tab w:val="center" w:pos="4320"/>
                <w:tab w:val="right" w:pos="8640"/>
              </w:tabs>
              <w:jc w:val="center"/>
              <w:rPr>
                <w:sz w:val="20"/>
                <w:szCs w:val="20"/>
              </w:rPr>
            </w:pPr>
            <w:r>
              <w:rPr>
                <w:sz w:val="20"/>
                <w:szCs w:val="20"/>
              </w:rPr>
              <w:t>5</w:t>
            </w:r>
            <w:r w:rsidR="00EA55C7">
              <w:rPr>
                <w:sz w:val="20"/>
                <w:szCs w:val="20"/>
              </w:rPr>
              <w:t>9</w:t>
            </w:r>
          </w:p>
        </w:tc>
        <w:tc>
          <w:tcPr>
            <w:tcW w:w="902" w:type="dxa"/>
            <w:vAlign w:val="center"/>
          </w:tcPr>
          <w:p w:rsidRPr="00BD4CFB" w:rsidR="00C1674B" w:rsidP="00267BDB" w:rsidRDefault="00770906">
            <w:pPr>
              <w:tabs>
                <w:tab w:val="center" w:pos="4320"/>
                <w:tab w:val="right" w:pos="8640"/>
              </w:tabs>
              <w:jc w:val="center"/>
              <w:rPr>
                <w:sz w:val="20"/>
                <w:szCs w:val="20"/>
              </w:rPr>
            </w:pPr>
            <w:r>
              <w:rPr>
                <w:sz w:val="20"/>
                <w:szCs w:val="20"/>
              </w:rPr>
              <w:t>$60.47</w:t>
            </w:r>
          </w:p>
        </w:tc>
        <w:tc>
          <w:tcPr>
            <w:tcW w:w="1016" w:type="dxa"/>
            <w:vAlign w:val="center"/>
          </w:tcPr>
          <w:p w:rsidRPr="00BD4CFB" w:rsidR="00C1674B" w:rsidP="00EA55C7" w:rsidRDefault="00770906">
            <w:pPr>
              <w:tabs>
                <w:tab w:val="center" w:pos="4320"/>
                <w:tab w:val="right" w:pos="8640"/>
              </w:tabs>
              <w:jc w:val="center"/>
              <w:rPr>
                <w:sz w:val="20"/>
                <w:szCs w:val="20"/>
              </w:rPr>
            </w:pPr>
            <w:r>
              <w:rPr>
                <w:sz w:val="20"/>
                <w:szCs w:val="20"/>
              </w:rPr>
              <w:t>$</w:t>
            </w:r>
            <w:r w:rsidR="009A293E">
              <w:rPr>
                <w:sz w:val="20"/>
                <w:szCs w:val="20"/>
              </w:rPr>
              <w:t>3,5</w:t>
            </w:r>
            <w:r w:rsidR="00EA55C7">
              <w:rPr>
                <w:sz w:val="20"/>
                <w:szCs w:val="20"/>
              </w:rPr>
              <w:t>67.73</w:t>
            </w:r>
          </w:p>
        </w:tc>
      </w:tr>
      <w:tr w:rsidRPr="00BD4CFB" w:rsidR="009A293E" w:rsidTr="00211931">
        <w:trPr>
          <w:trHeight w:val="432"/>
          <w:jc w:val="center"/>
        </w:trPr>
        <w:tc>
          <w:tcPr>
            <w:tcW w:w="2452" w:type="dxa"/>
            <w:vAlign w:val="center"/>
          </w:tcPr>
          <w:p w:rsidRPr="00BD4CFB" w:rsidR="00C1674B" w:rsidP="00267BDB" w:rsidRDefault="00272E1C">
            <w:pPr>
              <w:tabs>
                <w:tab w:val="center" w:pos="4320"/>
                <w:tab w:val="right" w:pos="8640"/>
              </w:tabs>
              <w:rPr>
                <w:sz w:val="20"/>
                <w:szCs w:val="20"/>
              </w:rPr>
            </w:pPr>
            <w:r>
              <w:rPr>
                <w:sz w:val="20"/>
                <w:szCs w:val="20"/>
              </w:rPr>
              <w:t xml:space="preserve">NextGen Discussion Guide for Program </w:t>
            </w:r>
            <w:r w:rsidR="00267BDB">
              <w:rPr>
                <w:sz w:val="20"/>
                <w:szCs w:val="20"/>
              </w:rPr>
              <w:t>Administrator</w:t>
            </w:r>
            <w:r>
              <w:rPr>
                <w:sz w:val="20"/>
                <w:szCs w:val="20"/>
              </w:rPr>
              <w:t xml:space="preserve"> Interviews</w:t>
            </w:r>
          </w:p>
        </w:tc>
        <w:tc>
          <w:tcPr>
            <w:tcW w:w="1015" w:type="dxa"/>
            <w:vAlign w:val="center"/>
          </w:tcPr>
          <w:p w:rsidRPr="00BD4CFB" w:rsidR="00C1674B" w:rsidP="00267BDB" w:rsidRDefault="00267BDB">
            <w:pPr>
              <w:tabs>
                <w:tab w:val="center" w:pos="4320"/>
                <w:tab w:val="right" w:pos="8640"/>
              </w:tabs>
              <w:jc w:val="center"/>
              <w:rPr>
                <w:sz w:val="20"/>
                <w:szCs w:val="20"/>
                <w:highlight w:val="yellow"/>
              </w:rPr>
            </w:pPr>
            <w:r w:rsidRPr="00267BDB">
              <w:rPr>
                <w:sz w:val="20"/>
                <w:szCs w:val="20"/>
              </w:rPr>
              <w:t>30</w:t>
            </w:r>
          </w:p>
        </w:tc>
        <w:tc>
          <w:tcPr>
            <w:tcW w:w="1304" w:type="dxa"/>
            <w:vAlign w:val="center"/>
          </w:tcPr>
          <w:p w:rsidRPr="00BD4CFB" w:rsidR="00C1674B" w:rsidP="00EA55C7" w:rsidRDefault="00C225B1">
            <w:pPr>
              <w:tabs>
                <w:tab w:val="center" w:pos="4320"/>
                <w:tab w:val="right" w:pos="8640"/>
              </w:tabs>
              <w:jc w:val="center"/>
              <w:rPr>
                <w:sz w:val="20"/>
                <w:szCs w:val="20"/>
              </w:rPr>
            </w:pPr>
            <w:r>
              <w:rPr>
                <w:sz w:val="20"/>
                <w:szCs w:val="20"/>
              </w:rPr>
              <w:t>10</w:t>
            </w:r>
          </w:p>
        </w:tc>
        <w:tc>
          <w:tcPr>
            <w:tcW w:w="1175" w:type="dxa"/>
            <w:vAlign w:val="center"/>
          </w:tcPr>
          <w:p w:rsidRPr="00BD4CFB" w:rsidR="00C1674B" w:rsidP="00267BDB" w:rsidRDefault="00267BDB">
            <w:pPr>
              <w:tabs>
                <w:tab w:val="center" w:pos="4320"/>
                <w:tab w:val="right" w:pos="8640"/>
              </w:tabs>
              <w:jc w:val="center"/>
              <w:rPr>
                <w:sz w:val="20"/>
                <w:szCs w:val="20"/>
              </w:rPr>
            </w:pPr>
            <w:r>
              <w:rPr>
                <w:sz w:val="20"/>
                <w:szCs w:val="20"/>
              </w:rPr>
              <w:t>1</w:t>
            </w:r>
          </w:p>
        </w:tc>
        <w:tc>
          <w:tcPr>
            <w:tcW w:w="1004" w:type="dxa"/>
            <w:vAlign w:val="center"/>
          </w:tcPr>
          <w:p w:rsidRPr="00BD4CFB" w:rsidR="00C1674B" w:rsidP="004E1A82" w:rsidRDefault="00267BDB">
            <w:pPr>
              <w:tabs>
                <w:tab w:val="center" w:pos="4320"/>
                <w:tab w:val="right" w:pos="8640"/>
              </w:tabs>
              <w:jc w:val="center"/>
              <w:rPr>
                <w:sz w:val="20"/>
                <w:szCs w:val="20"/>
              </w:rPr>
            </w:pPr>
            <w:r>
              <w:rPr>
                <w:sz w:val="20"/>
                <w:szCs w:val="20"/>
              </w:rPr>
              <w:t>1.</w:t>
            </w:r>
            <w:r w:rsidR="004E1A82">
              <w:rPr>
                <w:sz w:val="20"/>
                <w:szCs w:val="20"/>
              </w:rPr>
              <w:t>0</w:t>
            </w:r>
          </w:p>
        </w:tc>
        <w:tc>
          <w:tcPr>
            <w:tcW w:w="809" w:type="dxa"/>
            <w:vAlign w:val="center"/>
          </w:tcPr>
          <w:p w:rsidRPr="00BD4CFB" w:rsidR="00C1674B" w:rsidP="00CD18C1" w:rsidRDefault="004E1A82">
            <w:pPr>
              <w:tabs>
                <w:tab w:val="center" w:pos="4320"/>
                <w:tab w:val="right" w:pos="8640"/>
              </w:tabs>
              <w:jc w:val="center"/>
              <w:rPr>
                <w:sz w:val="20"/>
                <w:szCs w:val="20"/>
              </w:rPr>
            </w:pPr>
            <w:r>
              <w:rPr>
                <w:sz w:val="20"/>
                <w:szCs w:val="20"/>
              </w:rPr>
              <w:t>10</w:t>
            </w:r>
            <w:r w:rsidR="00CD18C1">
              <w:rPr>
                <w:sz w:val="20"/>
                <w:szCs w:val="20"/>
              </w:rPr>
              <w:t xml:space="preserve"> </w:t>
            </w:r>
          </w:p>
        </w:tc>
        <w:tc>
          <w:tcPr>
            <w:tcW w:w="902" w:type="dxa"/>
            <w:vAlign w:val="center"/>
          </w:tcPr>
          <w:p w:rsidRPr="00BD4CFB" w:rsidR="00C1674B" w:rsidP="00267BDB" w:rsidRDefault="00267BDB">
            <w:pPr>
              <w:tabs>
                <w:tab w:val="center" w:pos="4320"/>
                <w:tab w:val="right" w:pos="8640"/>
              </w:tabs>
              <w:jc w:val="center"/>
              <w:rPr>
                <w:sz w:val="20"/>
                <w:szCs w:val="20"/>
              </w:rPr>
            </w:pPr>
            <w:r>
              <w:rPr>
                <w:sz w:val="20"/>
                <w:szCs w:val="20"/>
              </w:rPr>
              <w:t>$49.12</w:t>
            </w:r>
          </w:p>
        </w:tc>
        <w:tc>
          <w:tcPr>
            <w:tcW w:w="1016" w:type="dxa"/>
            <w:vAlign w:val="center"/>
          </w:tcPr>
          <w:p w:rsidRPr="00BD4CFB" w:rsidR="00C1674B" w:rsidP="004E1A82" w:rsidRDefault="00267BDB">
            <w:pPr>
              <w:tabs>
                <w:tab w:val="center" w:pos="4320"/>
                <w:tab w:val="right" w:pos="8640"/>
              </w:tabs>
              <w:jc w:val="center"/>
              <w:rPr>
                <w:sz w:val="20"/>
                <w:szCs w:val="20"/>
              </w:rPr>
            </w:pPr>
            <w:r>
              <w:rPr>
                <w:sz w:val="20"/>
                <w:szCs w:val="20"/>
              </w:rPr>
              <w:t>$</w:t>
            </w:r>
            <w:r w:rsidR="004E1A82">
              <w:rPr>
                <w:sz w:val="20"/>
                <w:szCs w:val="20"/>
              </w:rPr>
              <w:t>491.20</w:t>
            </w:r>
          </w:p>
        </w:tc>
      </w:tr>
      <w:tr w:rsidRPr="00BD4CFB" w:rsidR="009A293E" w:rsidTr="00211931">
        <w:trPr>
          <w:jc w:val="center"/>
        </w:trPr>
        <w:tc>
          <w:tcPr>
            <w:tcW w:w="6950" w:type="dxa"/>
            <w:gridSpan w:val="5"/>
            <w:vAlign w:val="center"/>
          </w:tcPr>
          <w:p w:rsidRPr="00BD4CFB" w:rsidR="00C1674B" w:rsidP="00C1674B" w:rsidRDefault="00C1674B">
            <w:pPr>
              <w:tabs>
                <w:tab w:val="center" w:pos="4320"/>
                <w:tab w:val="right" w:pos="8640"/>
              </w:tabs>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809" w:type="dxa"/>
          </w:tcPr>
          <w:p w:rsidRPr="00BD4CFB" w:rsidR="00C1674B" w:rsidP="00FD7600" w:rsidRDefault="00EA55C7">
            <w:pPr>
              <w:tabs>
                <w:tab w:val="center" w:pos="4320"/>
                <w:tab w:val="right" w:pos="8640"/>
              </w:tabs>
              <w:jc w:val="center"/>
              <w:rPr>
                <w:b/>
                <w:sz w:val="20"/>
                <w:szCs w:val="20"/>
              </w:rPr>
            </w:pPr>
            <w:r>
              <w:rPr>
                <w:b/>
                <w:sz w:val="20"/>
                <w:szCs w:val="20"/>
              </w:rPr>
              <w:t>69</w:t>
            </w:r>
          </w:p>
        </w:tc>
        <w:tc>
          <w:tcPr>
            <w:tcW w:w="902" w:type="dxa"/>
          </w:tcPr>
          <w:p w:rsidRPr="00BD4CFB" w:rsidR="00C1674B" w:rsidP="00FD7600" w:rsidRDefault="00C1674B">
            <w:pPr>
              <w:tabs>
                <w:tab w:val="center" w:pos="4320"/>
                <w:tab w:val="right" w:pos="8640"/>
              </w:tabs>
              <w:jc w:val="center"/>
              <w:rPr>
                <w:b/>
                <w:sz w:val="20"/>
                <w:szCs w:val="20"/>
              </w:rPr>
            </w:pPr>
          </w:p>
        </w:tc>
        <w:tc>
          <w:tcPr>
            <w:tcW w:w="1016" w:type="dxa"/>
          </w:tcPr>
          <w:p w:rsidRPr="00BD4CFB" w:rsidR="00C1674B" w:rsidP="00EA55C7" w:rsidRDefault="00770906">
            <w:pPr>
              <w:tabs>
                <w:tab w:val="center" w:pos="4320"/>
                <w:tab w:val="right" w:pos="8640"/>
              </w:tabs>
              <w:jc w:val="center"/>
              <w:rPr>
                <w:b/>
                <w:sz w:val="20"/>
                <w:szCs w:val="20"/>
              </w:rPr>
            </w:pPr>
            <w:r>
              <w:rPr>
                <w:b/>
                <w:sz w:val="20"/>
                <w:szCs w:val="20"/>
              </w:rPr>
              <w:t>$</w:t>
            </w:r>
            <w:r w:rsidR="004E1A82">
              <w:rPr>
                <w:b/>
                <w:sz w:val="20"/>
                <w:szCs w:val="20"/>
              </w:rPr>
              <w:t>4,0</w:t>
            </w:r>
            <w:r w:rsidR="00EA55C7">
              <w:rPr>
                <w:b/>
                <w:sz w:val="20"/>
                <w:szCs w:val="20"/>
              </w:rPr>
              <w:t>5</w:t>
            </w:r>
            <w:r w:rsidR="004E1A82">
              <w:rPr>
                <w:b/>
                <w:sz w:val="20"/>
                <w:szCs w:val="20"/>
              </w:rPr>
              <w:t>8.</w:t>
            </w:r>
            <w:r w:rsidR="00EA55C7">
              <w:rPr>
                <w:b/>
                <w:sz w:val="20"/>
                <w:szCs w:val="20"/>
              </w:rPr>
              <w:t>93</w:t>
            </w:r>
          </w:p>
        </w:tc>
      </w:tr>
    </w:tbl>
    <w:p w:rsidR="00436F5E" w:rsidP="00436F5E" w:rsidRDefault="00436F5E"/>
    <w:p w:rsidRPr="002F3EDE" w:rsidR="002338AC" w:rsidP="00436F5E" w:rsidRDefault="002338AC">
      <w:pPr>
        <w:spacing w:after="60"/>
        <w:rPr>
          <w:b/>
          <w:i/>
        </w:rPr>
      </w:pPr>
      <w:r w:rsidRPr="002F3EDE">
        <w:rPr>
          <w:b/>
          <w:i/>
        </w:rPr>
        <w:t>Total Annual Cost</w:t>
      </w:r>
    </w:p>
    <w:p w:rsidR="00267BDB" w:rsidP="00267BDB" w:rsidRDefault="00267BDB">
      <w:r w:rsidRPr="006B5369">
        <w:t>The annualized cost burden to respondents is based on the estimated burden hours and the assumed hourly wage rate for respondents. The assumed wage</w:t>
      </w:r>
      <w:r>
        <w:t xml:space="preserve"> rate is based on the May 2017</w:t>
      </w:r>
      <w:r w:rsidRPr="006B5369">
        <w:t xml:space="preserve"> employment and wages from Occupational Employment Statistics survey from the Bureau of Labor Statistics (</w:t>
      </w:r>
      <w:hyperlink w:history="1" r:id="rId12">
        <w:r w:rsidRPr="006B5369">
          <w:t>http://www.bls.gov/oes/current/oes_stru.htm</w:t>
        </w:r>
      </w:hyperlink>
      <w:r w:rsidRPr="006B5369">
        <w:t xml:space="preserve">). The rate used for </w:t>
      </w:r>
      <w:r w:rsidR="003F289E">
        <w:t xml:space="preserve">stakeholders, who include </w:t>
      </w:r>
      <w:r>
        <w:t>r</w:t>
      </w:r>
      <w:r w:rsidRPr="006B5369">
        <w:t>esearchers</w:t>
      </w:r>
      <w:r>
        <w:t xml:space="preserve"> and</w:t>
      </w:r>
      <w:r w:rsidRPr="006B5369">
        <w:t xml:space="preserve"> </w:t>
      </w:r>
      <w:r>
        <w:t>p</w:t>
      </w:r>
      <w:r w:rsidRPr="006B5369">
        <w:t xml:space="preserve">olicy </w:t>
      </w:r>
      <w:r>
        <w:t>e</w:t>
      </w:r>
      <w:r w:rsidRPr="006B5369">
        <w:t>xperts</w:t>
      </w:r>
      <w:r>
        <w:t>,</w:t>
      </w:r>
      <w:r w:rsidR="003F289E">
        <w:t xml:space="preserve"> is</w:t>
      </w:r>
      <w:r>
        <w:t xml:space="preserve"> $60.47</w:t>
      </w:r>
      <w:r w:rsidR="003F289E">
        <w:t>; this</w:t>
      </w:r>
      <w:r w:rsidRPr="006B5369">
        <w:t xml:space="preserve"> is equivalent to management, scientific, and technical consulting services under SOC code 19-3011. </w:t>
      </w:r>
      <w:r>
        <w:t>T</w:t>
      </w:r>
      <w:r w:rsidRPr="006B5369">
        <w:t>he rate us</w:t>
      </w:r>
      <w:r>
        <w:t>ed for program administrators, $49.12</w:t>
      </w:r>
      <w:r w:rsidRPr="006B5369">
        <w:t>, is equivalent to the local government managers under SOC code 11-1021. Th</w:t>
      </w:r>
      <w:r>
        <w:t xml:space="preserve">e estimated annualized cost </w:t>
      </w:r>
      <w:r w:rsidRPr="00EA55C7">
        <w:t xml:space="preserve">is </w:t>
      </w:r>
      <w:r w:rsidRPr="00EA55C7" w:rsidR="003F289E">
        <w:t>$</w:t>
      </w:r>
      <w:r w:rsidRPr="00432103" w:rsidR="00EA55C7">
        <w:t>4,058.93</w:t>
      </w:r>
      <w:r>
        <w:t xml:space="preserve">. </w:t>
      </w:r>
    </w:p>
    <w:p w:rsidR="002338AC" w:rsidP="005046F0" w:rsidRDefault="002338AC">
      <w:pPr>
        <w:ind w:left="360"/>
      </w:pPr>
    </w:p>
    <w:p w:rsidRPr="0072204D" w:rsidR="00945CD6" w:rsidP="003F289E" w:rsidRDefault="00292B70">
      <w:pPr>
        <w:spacing w:after="240"/>
        <w:rPr>
          <w:b/>
        </w:rPr>
      </w:pPr>
      <w:r>
        <w:rPr>
          <w:b/>
        </w:rPr>
        <w:t xml:space="preserve">A13. </w:t>
      </w:r>
      <w:r w:rsidRPr="0072204D" w:rsidR="00945CD6">
        <w:rPr>
          <w:b/>
        </w:rPr>
        <w:t>Cost Burden to Respondents or Record Keepers</w:t>
      </w:r>
    </w:p>
    <w:p w:rsidRPr="00770906" w:rsidR="00770906" w:rsidP="003F289E" w:rsidRDefault="00770906">
      <w:pPr>
        <w:spacing w:after="240"/>
      </w:pPr>
      <w:r w:rsidRPr="00770906">
        <w:t>There are no additional costs to respondents.</w:t>
      </w:r>
    </w:p>
    <w:p w:rsidRPr="0072204D" w:rsidR="00945CD6" w:rsidP="003F289E" w:rsidRDefault="00292B70">
      <w:pPr>
        <w:spacing w:after="240"/>
        <w:rPr>
          <w:b/>
        </w:rPr>
      </w:pPr>
      <w:r>
        <w:rPr>
          <w:b/>
        </w:rPr>
        <w:t xml:space="preserve">A14. </w:t>
      </w:r>
      <w:r w:rsidRPr="0072204D" w:rsidR="00945CD6">
        <w:rPr>
          <w:b/>
        </w:rPr>
        <w:t>Estimate of Cost to the Federal Government</w:t>
      </w:r>
    </w:p>
    <w:p w:rsidRPr="00BB2157" w:rsidR="00B91D97" w:rsidP="003F289E" w:rsidRDefault="00B91D97">
      <w:pPr>
        <w:spacing w:after="240"/>
      </w:pPr>
      <w:r w:rsidRPr="00BB2157">
        <w:t>The total cost for the</w:t>
      </w:r>
      <w:r>
        <w:t xml:space="preserve"> data collection activities under this current request </w:t>
      </w:r>
      <w:r w:rsidRPr="00BB2157">
        <w:t xml:space="preserve">will </w:t>
      </w:r>
      <w:r w:rsidRPr="001061C5">
        <w:t>be $</w:t>
      </w:r>
      <w:r w:rsidR="009E7677">
        <w:t>707,277</w:t>
      </w:r>
      <w:r>
        <w:t>. Annual costs to the Federal government will be $</w:t>
      </w:r>
      <w:r w:rsidR="009E7677">
        <w:t>235,759</w:t>
      </w:r>
      <w:r>
        <w:t xml:space="preserve"> for the proposed data collection. </w:t>
      </w:r>
      <w:r w:rsidR="009E7677">
        <w:t>This has been annualized over the three</w:t>
      </w:r>
      <w:r w:rsidR="004E7275">
        <w:t>-</w:t>
      </w:r>
      <w:r w:rsidR="009E7677">
        <w:t>year period of approval of the umbrella formative generic clearance.</w:t>
      </w:r>
    </w:p>
    <w:p w:rsidR="00945CD6" w:rsidP="003F289E" w:rsidRDefault="00292B70">
      <w:pPr>
        <w:spacing w:after="240"/>
        <w:rPr>
          <w:b/>
        </w:rPr>
      </w:pPr>
      <w:r>
        <w:rPr>
          <w:b/>
        </w:rPr>
        <w:t xml:space="preserve">A15. </w:t>
      </w:r>
      <w:r w:rsidRPr="0072204D" w:rsidR="00945CD6">
        <w:rPr>
          <w:b/>
        </w:rPr>
        <w:t>Change in Burden</w:t>
      </w:r>
    </w:p>
    <w:p w:rsidR="00770906" w:rsidP="003F289E" w:rsidRDefault="00770906">
      <w:pPr>
        <w:spacing w:after="240"/>
      </w:pPr>
      <w:r w:rsidRPr="00770906">
        <w:t>This is</w:t>
      </w:r>
      <w:r w:rsidR="00D57B2E">
        <w:t xml:space="preserve"> a new </w:t>
      </w:r>
      <w:r w:rsidRPr="00770906">
        <w:t xml:space="preserve">individual information collection under the umbrella generic clearance. </w:t>
      </w:r>
    </w:p>
    <w:p w:rsidR="00211931" w:rsidP="003F289E" w:rsidRDefault="00211931">
      <w:pPr>
        <w:spacing w:after="240"/>
      </w:pPr>
    </w:p>
    <w:p w:rsidRPr="00770906" w:rsidR="00211931" w:rsidP="003F289E" w:rsidRDefault="00211931">
      <w:pPr>
        <w:spacing w:after="240"/>
      </w:pPr>
    </w:p>
    <w:p w:rsidRPr="005A64C5" w:rsidR="00945CD6" w:rsidP="003F289E" w:rsidRDefault="00292B70">
      <w:pPr>
        <w:spacing w:after="240"/>
        <w:rPr>
          <w:b/>
        </w:rPr>
      </w:pPr>
      <w:r w:rsidRPr="005A64C5">
        <w:rPr>
          <w:b/>
        </w:rPr>
        <w:lastRenderedPageBreak/>
        <w:t xml:space="preserve">A16. </w:t>
      </w:r>
      <w:r w:rsidRPr="005A64C5" w:rsidR="00945CD6">
        <w:rPr>
          <w:b/>
        </w:rPr>
        <w:t>Plan and Time Schedule for Information Collection, Tabulation and Publication</w:t>
      </w:r>
    </w:p>
    <w:p w:rsidRPr="00AC2071" w:rsidR="00AC2071" w:rsidP="003F289E" w:rsidRDefault="00AC207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C2071">
        <w:t xml:space="preserve">The information collected will be used to inform the </w:t>
      </w:r>
      <w:r w:rsidR="00D57B2E">
        <w:t>research design and subsequent data collection efforts</w:t>
      </w:r>
      <w:r w:rsidRPr="00AC2071">
        <w:t xml:space="preserve"> </w:t>
      </w:r>
      <w:r w:rsidR="00A150A6">
        <w:t xml:space="preserve">for up to </w:t>
      </w:r>
      <w:r w:rsidR="00770906">
        <w:t xml:space="preserve">10 </w:t>
      </w:r>
      <w:r w:rsidR="00A150A6">
        <w:t>evaluations included in the NextGen Project</w:t>
      </w:r>
      <w:r w:rsidRPr="00AC2071">
        <w:t xml:space="preserve">. For this request, discussions with informants will take place </w:t>
      </w:r>
      <w:r w:rsidR="00EA55C7">
        <w:t>upon</w:t>
      </w:r>
      <w:r w:rsidRPr="00AC2071">
        <w:t xml:space="preserve"> OMB approval, and </w:t>
      </w:r>
      <w:r w:rsidR="00BF44F5">
        <w:t>are expected to</w:t>
      </w:r>
      <w:r w:rsidRPr="00AC2071" w:rsidR="00BF44F5">
        <w:t xml:space="preserve"> </w:t>
      </w:r>
      <w:r w:rsidRPr="00AC2071">
        <w:t xml:space="preserve">continue </w:t>
      </w:r>
      <w:r w:rsidR="00BF44F5">
        <w:t>for about 12 months</w:t>
      </w:r>
      <w:r w:rsidRPr="00AC2071">
        <w:t xml:space="preserve">. </w:t>
      </w:r>
      <w:r w:rsidR="00211931">
        <w:t>Consistent with the described potential ways we may share information from GenICs under 0970-0356, t</w:t>
      </w:r>
      <w:r w:rsidRPr="00AC2071">
        <w:t xml:space="preserve">he data collected under this IC may be </w:t>
      </w:r>
      <w:r w:rsidR="00C54AD4">
        <w:t xml:space="preserve">shared to inform </w:t>
      </w:r>
      <w:r w:rsidRPr="00F97C94" w:rsidR="00C54AD4">
        <w:rPr>
          <w:szCs w:val="22"/>
        </w:rPr>
        <w:t xml:space="preserve">research design documents or reports; research or technical assistance plans; background materials for technical workgroups; concept maps, process maps, or conceptual frameworks; contextualization of research findings from a follow-up data collection that has full PRA approval; </w:t>
      </w:r>
      <w:r w:rsidR="00C54AD4">
        <w:rPr>
          <w:szCs w:val="22"/>
        </w:rPr>
        <w:t xml:space="preserve">or </w:t>
      </w:r>
      <w:r w:rsidRPr="00F97C94" w:rsidR="00C54AD4">
        <w:rPr>
          <w:szCs w:val="22"/>
        </w:rPr>
        <w:t>informational reports to TA providers</w:t>
      </w:r>
      <w:r w:rsidRPr="00AC2071">
        <w:t xml:space="preserve">. </w:t>
      </w:r>
      <w:r w:rsidRPr="00F97C94" w:rsidR="00211931">
        <w:rPr>
          <w:szCs w:val="22"/>
        </w:rPr>
        <w:t xml:space="preserve">In </w:t>
      </w:r>
      <w:r w:rsidR="00211931">
        <w:rPr>
          <w:szCs w:val="22"/>
        </w:rPr>
        <w:t>sharing</w:t>
      </w:r>
      <w:r w:rsidRPr="00F97C94" w:rsidR="00211931">
        <w:rPr>
          <w:szCs w:val="22"/>
        </w:rPr>
        <w:t xml:space="preserve"> findings, we will describe the study methods and limitations with regard to generalizability and as a basis for policy.</w:t>
      </w:r>
      <w:r w:rsidR="00211931">
        <w:rPr>
          <w:szCs w:val="22"/>
        </w:rPr>
        <w:t xml:space="preserve"> </w:t>
      </w:r>
      <w:r w:rsidRPr="00AC2071">
        <w:t>Plans for use of later data collected during the study will be further explained in a subsequent package.</w:t>
      </w:r>
    </w:p>
    <w:p w:rsidRPr="0072204D" w:rsidR="00945CD6" w:rsidP="003F289E" w:rsidRDefault="00292B70">
      <w:pPr>
        <w:spacing w:after="240"/>
        <w:rPr>
          <w:b/>
        </w:rPr>
      </w:pPr>
      <w:r>
        <w:rPr>
          <w:b/>
        </w:rPr>
        <w:t xml:space="preserve">A17. </w:t>
      </w:r>
      <w:r w:rsidRPr="0072204D" w:rsidR="00945CD6">
        <w:rPr>
          <w:b/>
        </w:rPr>
        <w:t>Reasons Not to Display OMB Expiration Date</w:t>
      </w:r>
    </w:p>
    <w:p w:rsidR="005046F0" w:rsidP="003F289E" w:rsidRDefault="00770906">
      <w:pPr>
        <w:spacing w:after="240"/>
      </w:pPr>
      <w:r w:rsidRPr="00770906">
        <w:t>All instruments will display the expiration date for OMB approval.</w:t>
      </w:r>
    </w:p>
    <w:p w:rsidRPr="000B5EA8" w:rsidR="00945CD6" w:rsidP="003F289E" w:rsidRDefault="00292B70">
      <w:pPr>
        <w:spacing w:after="240"/>
        <w:rPr>
          <w:b/>
        </w:rPr>
      </w:pPr>
      <w:r w:rsidRPr="000B5EA8">
        <w:rPr>
          <w:b/>
        </w:rPr>
        <w:t>A18.</w:t>
      </w:r>
      <w:r w:rsidRPr="000B5EA8" w:rsidR="000B5EA8">
        <w:rPr>
          <w:b/>
        </w:rPr>
        <w:t xml:space="preserve"> Exceptions to Certification for Paperwork Reduction Act Submissions</w:t>
      </w:r>
    </w:p>
    <w:p w:rsidRPr="0072204D" w:rsidR="0072204D" w:rsidP="003F289E" w:rsidRDefault="00770906">
      <w:pPr>
        <w:spacing w:after="240"/>
      </w:pPr>
      <w:r w:rsidRPr="00A150A6">
        <w:rPr>
          <w:szCs w:val="22"/>
        </w:rPr>
        <w:t>No exceptions are necessary for this information collection.</w:t>
      </w:r>
      <w:r w:rsidRPr="00770906">
        <w:tab/>
      </w:r>
    </w:p>
    <w:sectPr w:rsidRPr="0072204D" w:rsidR="0072204D" w:rsidSect="00770906">
      <w:headerReference w:type="default" r:id="rId13"/>
      <w:footerReference w:type="default" r:id="rId14"/>
      <w:pgSz w:w="12240" w:h="15840"/>
      <w:pgMar w:top="216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7D1" w:rsidRDefault="00EC27D1">
      <w:r>
        <w:separator/>
      </w:r>
    </w:p>
  </w:endnote>
  <w:endnote w:type="continuationSeparator" w:id="0">
    <w:p w:rsidR="00EC27D1" w:rsidRDefault="00EC27D1">
      <w:r>
        <w:continuationSeparator/>
      </w:r>
    </w:p>
  </w:endnote>
  <w:endnote w:type="continuationNotice" w:id="1">
    <w:p w:rsidR="00EC27D1" w:rsidRDefault="00EC2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446" w:rsidRDefault="00A75446">
    <w:pPr>
      <w:pStyle w:val="Footer"/>
      <w:jc w:val="center"/>
    </w:pPr>
    <w:r>
      <w:fldChar w:fldCharType="begin"/>
    </w:r>
    <w:r>
      <w:instrText xml:space="preserve"> PAGE   \* MERGEFORMAT </w:instrText>
    </w:r>
    <w:r>
      <w:fldChar w:fldCharType="separate"/>
    </w:r>
    <w:r w:rsidR="005C79F1">
      <w:rPr>
        <w:noProof/>
      </w:rPr>
      <w:t>1</w:t>
    </w:r>
    <w:r>
      <w:fldChar w:fldCharType="end"/>
    </w:r>
  </w:p>
  <w:p w:rsidR="00A75446" w:rsidRDefault="00A75446"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7D1" w:rsidRDefault="00EC27D1">
      <w:r>
        <w:separator/>
      </w:r>
    </w:p>
  </w:footnote>
  <w:footnote w:type="continuationSeparator" w:id="0">
    <w:p w:rsidR="00EC27D1" w:rsidRDefault="00EC27D1">
      <w:r>
        <w:continuationSeparator/>
      </w:r>
    </w:p>
  </w:footnote>
  <w:footnote w:type="continuationNotice" w:id="1">
    <w:p w:rsidR="00EC27D1" w:rsidRDefault="00EC27D1"/>
  </w:footnote>
  <w:footnote w:id="2">
    <w:p w:rsidR="00EA55C7" w:rsidRDefault="00EA55C7" w:rsidP="00EA55C7">
      <w:pPr>
        <w:pStyle w:val="FootnoteText"/>
      </w:pPr>
      <w:r>
        <w:rPr>
          <w:rStyle w:val="FootnoteReference"/>
        </w:rPr>
        <w:footnoteRef/>
      </w:r>
      <w:r>
        <w:t xml:space="preserve"> Annualized over the three year period of the umbrella generic</w:t>
      </w:r>
      <w:r w:rsidR="00BF44F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446" w:rsidRDefault="00A75446"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450D"/>
    <w:multiLevelType w:val="hybridMultilevel"/>
    <w:tmpl w:val="9650EA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C717A20"/>
    <w:multiLevelType w:val="hybridMultilevel"/>
    <w:tmpl w:val="C1DC8C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5C5"/>
    <w:multiLevelType w:val="hybridMultilevel"/>
    <w:tmpl w:val="B1BAC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66FC5"/>
    <w:multiLevelType w:val="hybridMultilevel"/>
    <w:tmpl w:val="5B006FC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970E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17107"/>
    <w:multiLevelType w:val="hybridMultilevel"/>
    <w:tmpl w:val="B1BAC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62F8D"/>
    <w:multiLevelType w:val="hybridMultilevel"/>
    <w:tmpl w:val="F4E4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A6CE6"/>
    <w:multiLevelType w:val="hybridMultilevel"/>
    <w:tmpl w:val="E256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260C0"/>
    <w:multiLevelType w:val="hybridMultilevel"/>
    <w:tmpl w:val="94782E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94139"/>
    <w:multiLevelType w:val="hybridMultilevel"/>
    <w:tmpl w:val="DD4A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362DF"/>
    <w:multiLevelType w:val="hybridMultilevel"/>
    <w:tmpl w:val="B1BAC6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A7508"/>
    <w:multiLevelType w:val="hybridMultilevel"/>
    <w:tmpl w:val="E732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21CEA"/>
    <w:multiLevelType w:val="hybridMultilevel"/>
    <w:tmpl w:val="D21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F05BCB"/>
    <w:multiLevelType w:val="hybridMultilevel"/>
    <w:tmpl w:val="94782E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C174E"/>
    <w:multiLevelType w:val="hybridMultilevel"/>
    <w:tmpl w:val="9650EA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2"/>
  </w:num>
  <w:num w:numId="4">
    <w:abstractNumId w:val="11"/>
  </w:num>
  <w:num w:numId="5">
    <w:abstractNumId w:val="12"/>
  </w:num>
  <w:num w:numId="6">
    <w:abstractNumId w:val="25"/>
  </w:num>
  <w:num w:numId="7">
    <w:abstractNumId w:val="23"/>
  </w:num>
  <w:num w:numId="8">
    <w:abstractNumId w:val="14"/>
  </w:num>
  <w:num w:numId="9">
    <w:abstractNumId w:val="16"/>
  </w:num>
  <w:num w:numId="10">
    <w:abstractNumId w:val="2"/>
  </w:num>
  <w:num w:numId="11">
    <w:abstractNumId w:val="0"/>
  </w:num>
  <w:num w:numId="12">
    <w:abstractNumId w:val="6"/>
  </w:num>
  <w:num w:numId="13">
    <w:abstractNumId w:val="27"/>
  </w:num>
  <w:num w:numId="14">
    <w:abstractNumId w:val="9"/>
  </w:num>
  <w:num w:numId="15">
    <w:abstractNumId w:val="10"/>
  </w:num>
  <w:num w:numId="16">
    <w:abstractNumId w:val="8"/>
  </w:num>
  <w:num w:numId="17">
    <w:abstractNumId w:val="21"/>
  </w:num>
  <w:num w:numId="18">
    <w:abstractNumId w:val="15"/>
  </w:num>
  <w:num w:numId="19">
    <w:abstractNumId w:val="24"/>
  </w:num>
  <w:num w:numId="20">
    <w:abstractNumId w:val="26"/>
  </w:num>
  <w:num w:numId="21">
    <w:abstractNumId w:val="19"/>
  </w:num>
  <w:num w:numId="22">
    <w:abstractNumId w:val="4"/>
  </w:num>
  <w:num w:numId="23">
    <w:abstractNumId w:val="13"/>
  </w:num>
  <w:num w:numId="24">
    <w:abstractNumId w:val="18"/>
  </w:num>
  <w:num w:numId="25">
    <w:abstractNumId w:val="3"/>
  </w:num>
  <w:num w:numId="26">
    <w:abstractNumId w:val="5"/>
  </w:num>
  <w:num w:numId="27">
    <w:abstractNumId w:val="17"/>
  </w:num>
  <w:num w:numId="28">
    <w:abstractNumId w:val="28"/>
  </w:num>
  <w:num w:numId="29">
    <w:abstractNumId w:val="2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567E"/>
    <w:rsid w:val="00010B00"/>
    <w:rsid w:val="00016BE1"/>
    <w:rsid w:val="00026B04"/>
    <w:rsid w:val="000431B8"/>
    <w:rsid w:val="0005117C"/>
    <w:rsid w:val="000711E2"/>
    <w:rsid w:val="00076790"/>
    <w:rsid w:val="0008643E"/>
    <w:rsid w:val="00091C59"/>
    <w:rsid w:val="00093A47"/>
    <w:rsid w:val="000A5C26"/>
    <w:rsid w:val="000A6F08"/>
    <w:rsid w:val="000B5EA8"/>
    <w:rsid w:val="000C19DD"/>
    <w:rsid w:val="000C3CEC"/>
    <w:rsid w:val="000D53DF"/>
    <w:rsid w:val="000F5F84"/>
    <w:rsid w:val="00117590"/>
    <w:rsid w:val="00124EBF"/>
    <w:rsid w:val="0013179C"/>
    <w:rsid w:val="00134287"/>
    <w:rsid w:val="001525A4"/>
    <w:rsid w:val="0016012E"/>
    <w:rsid w:val="0016269A"/>
    <w:rsid w:val="00183C0F"/>
    <w:rsid w:val="001A51CD"/>
    <w:rsid w:val="001A5AF9"/>
    <w:rsid w:val="001A60F3"/>
    <w:rsid w:val="001A7EB2"/>
    <w:rsid w:val="001B0225"/>
    <w:rsid w:val="001B2597"/>
    <w:rsid w:val="001C1782"/>
    <w:rsid w:val="001C4D60"/>
    <w:rsid w:val="00200122"/>
    <w:rsid w:val="0020382F"/>
    <w:rsid w:val="00204ADE"/>
    <w:rsid w:val="00211931"/>
    <w:rsid w:val="002231FA"/>
    <w:rsid w:val="0022615A"/>
    <w:rsid w:val="00231ADB"/>
    <w:rsid w:val="002338AC"/>
    <w:rsid w:val="00234E8D"/>
    <w:rsid w:val="00235A6D"/>
    <w:rsid w:val="002408DE"/>
    <w:rsid w:val="00241D9E"/>
    <w:rsid w:val="00250E4D"/>
    <w:rsid w:val="0025173C"/>
    <w:rsid w:val="00253148"/>
    <w:rsid w:val="00265DD9"/>
    <w:rsid w:val="00267BDB"/>
    <w:rsid w:val="00272E1C"/>
    <w:rsid w:val="00290D58"/>
    <w:rsid w:val="00292B70"/>
    <w:rsid w:val="002A1F68"/>
    <w:rsid w:val="002A3A80"/>
    <w:rsid w:val="002B4DBE"/>
    <w:rsid w:val="002C3B8D"/>
    <w:rsid w:val="002C4F75"/>
    <w:rsid w:val="002C7009"/>
    <w:rsid w:val="002D377D"/>
    <w:rsid w:val="002D6041"/>
    <w:rsid w:val="002E133F"/>
    <w:rsid w:val="002F43A6"/>
    <w:rsid w:val="00304678"/>
    <w:rsid w:val="00306DEC"/>
    <w:rsid w:val="00320DD0"/>
    <w:rsid w:val="00327B2E"/>
    <w:rsid w:val="00357CB3"/>
    <w:rsid w:val="00374DAB"/>
    <w:rsid w:val="0038291A"/>
    <w:rsid w:val="003B7DDB"/>
    <w:rsid w:val="003D1511"/>
    <w:rsid w:val="003D5231"/>
    <w:rsid w:val="003E7112"/>
    <w:rsid w:val="003F289E"/>
    <w:rsid w:val="00420460"/>
    <w:rsid w:val="004222F8"/>
    <w:rsid w:val="00422C1B"/>
    <w:rsid w:val="00432103"/>
    <w:rsid w:val="004362A9"/>
    <w:rsid w:val="00436F5E"/>
    <w:rsid w:val="004452D8"/>
    <w:rsid w:val="004522FF"/>
    <w:rsid w:val="004554B1"/>
    <w:rsid w:val="00456E2F"/>
    <w:rsid w:val="0047527E"/>
    <w:rsid w:val="004805FC"/>
    <w:rsid w:val="00482477"/>
    <w:rsid w:val="00482DDE"/>
    <w:rsid w:val="004834FD"/>
    <w:rsid w:val="004A2D76"/>
    <w:rsid w:val="004A44DD"/>
    <w:rsid w:val="004B587E"/>
    <w:rsid w:val="004B6042"/>
    <w:rsid w:val="004C2ADD"/>
    <w:rsid w:val="004D0FE9"/>
    <w:rsid w:val="004D3DB1"/>
    <w:rsid w:val="004D6CA9"/>
    <w:rsid w:val="004E1A82"/>
    <w:rsid w:val="004E5721"/>
    <w:rsid w:val="004E699E"/>
    <w:rsid w:val="004E7275"/>
    <w:rsid w:val="004F4E1D"/>
    <w:rsid w:val="00500169"/>
    <w:rsid w:val="005046F0"/>
    <w:rsid w:val="00513516"/>
    <w:rsid w:val="00520737"/>
    <w:rsid w:val="005353B7"/>
    <w:rsid w:val="00541024"/>
    <w:rsid w:val="00543B76"/>
    <w:rsid w:val="005626C7"/>
    <w:rsid w:val="0056351E"/>
    <w:rsid w:val="00565A60"/>
    <w:rsid w:val="005824E6"/>
    <w:rsid w:val="00591D1A"/>
    <w:rsid w:val="00592D7D"/>
    <w:rsid w:val="005A3D58"/>
    <w:rsid w:val="005A64C5"/>
    <w:rsid w:val="005C79F1"/>
    <w:rsid w:val="005D0C18"/>
    <w:rsid w:val="005F2061"/>
    <w:rsid w:val="0060038C"/>
    <w:rsid w:val="006010CA"/>
    <w:rsid w:val="00602EFB"/>
    <w:rsid w:val="00607351"/>
    <w:rsid w:val="00610AA8"/>
    <w:rsid w:val="00651DBA"/>
    <w:rsid w:val="00657424"/>
    <w:rsid w:val="00661A64"/>
    <w:rsid w:val="00665062"/>
    <w:rsid w:val="00666589"/>
    <w:rsid w:val="006833CE"/>
    <w:rsid w:val="00696DE0"/>
    <w:rsid w:val="006B6845"/>
    <w:rsid w:val="006B6F64"/>
    <w:rsid w:val="006C0DE9"/>
    <w:rsid w:val="006C5448"/>
    <w:rsid w:val="006E1F50"/>
    <w:rsid w:val="00701045"/>
    <w:rsid w:val="0070160F"/>
    <w:rsid w:val="00704408"/>
    <w:rsid w:val="00711BC5"/>
    <w:rsid w:val="00713566"/>
    <w:rsid w:val="0072204D"/>
    <w:rsid w:val="007242BE"/>
    <w:rsid w:val="007250A3"/>
    <w:rsid w:val="00731C01"/>
    <w:rsid w:val="00736F1D"/>
    <w:rsid w:val="00770906"/>
    <w:rsid w:val="00772457"/>
    <w:rsid w:val="00784137"/>
    <w:rsid w:val="007959A9"/>
    <w:rsid w:val="007A0176"/>
    <w:rsid w:val="007B3CDC"/>
    <w:rsid w:val="007C3009"/>
    <w:rsid w:val="007D295D"/>
    <w:rsid w:val="007D63E1"/>
    <w:rsid w:val="007E167F"/>
    <w:rsid w:val="007E5D9C"/>
    <w:rsid w:val="007F5236"/>
    <w:rsid w:val="008060DB"/>
    <w:rsid w:val="00806712"/>
    <w:rsid w:val="00812EF3"/>
    <w:rsid w:val="00814BF2"/>
    <w:rsid w:val="0083550B"/>
    <w:rsid w:val="00835622"/>
    <w:rsid w:val="008508F1"/>
    <w:rsid w:val="008707BC"/>
    <w:rsid w:val="0087234E"/>
    <w:rsid w:val="008B7F2C"/>
    <w:rsid w:val="008C1AF8"/>
    <w:rsid w:val="008C6A6B"/>
    <w:rsid w:val="008C78B4"/>
    <w:rsid w:val="008F10A2"/>
    <w:rsid w:val="009006E3"/>
    <w:rsid w:val="009308A7"/>
    <w:rsid w:val="00932A2C"/>
    <w:rsid w:val="00932D71"/>
    <w:rsid w:val="00933F62"/>
    <w:rsid w:val="00937300"/>
    <w:rsid w:val="00945CD6"/>
    <w:rsid w:val="00957AE3"/>
    <w:rsid w:val="009648CE"/>
    <w:rsid w:val="00970E49"/>
    <w:rsid w:val="00976D82"/>
    <w:rsid w:val="00984CA2"/>
    <w:rsid w:val="00995FA3"/>
    <w:rsid w:val="009A293E"/>
    <w:rsid w:val="009B1638"/>
    <w:rsid w:val="009C2B27"/>
    <w:rsid w:val="009C53E6"/>
    <w:rsid w:val="009D47D2"/>
    <w:rsid w:val="009E28C8"/>
    <w:rsid w:val="009E7677"/>
    <w:rsid w:val="00A04D9F"/>
    <w:rsid w:val="00A07AFC"/>
    <w:rsid w:val="00A150A6"/>
    <w:rsid w:val="00A221A5"/>
    <w:rsid w:val="00A224A6"/>
    <w:rsid w:val="00A31276"/>
    <w:rsid w:val="00A34F25"/>
    <w:rsid w:val="00A35B0D"/>
    <w:rsid w:val="00A35E23"/>
    <w:rsid w:val="00A3738C"/>
    <w:rsid w:val="00A403A2"/>
    <w:rsid w:val="00A412C5"/>
    <w:rsid w:val="00A42D48"/>
    <w:rsid w:val="00A44209"/>
    <w:rsid w:val="00A74EC4"/>
    <w:rsid w:val="00A75446"/>
    <w:rsid w:val="00AA29C0"/>
    <w:rsid w:val="00AA2A8D"/>
    <w:rsid w:val="00AC0378"/>
    <w:rsid w:val="00AC2071"/>
    <w:rsid w:val="00AE5FAE"/>
    <w:rsid w:val="00AE6E17"/>
    <w:rsid w:val="00AF0C5F"/>
    <w:rsid w:val="00B14396"/>
    <w:rsid w:val="00B15210"/>
    <w:rsid w:val="00B30D18"/>
    <w:rsid w:val="00B45051"/>
    <w:rsid w:val="00B454D4"/>
    <w:rsid w:val="00B47A48"/>
    <w:rsid w:val="00B55F4C"/>
    <w:rsid w:val="00B66874"/>
    <w:rsid w:val="00B73ACF"/>
    <w:rsid w:val="00B84547"/>
    <w:rsid w:val="00B91D97"/>
    <w:rsid w:val="00BB13A6"/>
    <w:rsid w:val="00BD4CFB"/>
    <w:rsid w:val="00BE7952"/>
    <w:rsid w:val="00BF44F5"/>
    <w:rsid w:val="00BF5D0A"/>
    <w:rsid w:val="00C12B95"/>
    <w:rsid w:val="00C1674B"/>
    <w:rsid w:val="00C225B1"/>
    <w:rsid w:val="00C31E70"/>
    <w:rsid w:val="00C36B53"/>
    <w:rsid w:val="00C41787"/>
    <w:rsid w:val="00C51883"/>
    <w:rsid w:val="00C54AD4"/>
    <w:rsid w:val="00C56EA9"/>
    <w:rsid w:val="00C71F2D"/>
    <w:rsid w:val="00C740DD"/>
    <w:rsid w:val="00C82BDA"/>
    <w:rsid w:val="00C94F1B"/>
    <w:rsid w:val="00CC4312"/>
    <w:rsid w:val="00CD0444"/>
    <w:rsid w:val="00CD18C1"/>
    <w:rsid w:val="00CD409B"/>
    <w:rsid w:val="00CE6EFF"/>
    <w:rsid w:val="00D012A6"/>
    <w:rsid w:val="00D06D5F"/>
    <w:rsid w:val="00D13F9B"/>
    <w:rsid w:val="00D33546"/>
    <w:rsid w:val="00D519D9"/>
    <w:rsid w:val="00D57B2E"/>
    <w:rsid w:val="00D80C34"/>
    <w:rsid w:val="00D90EF6"/>
    <w:rsid w:val="00DD65E8"/>
    <w:rsid w:val="00DE0F58"/>
    <w:rsid w:val="00DE1B82"/>
    <w:rsid w:val="00DE2B0E"/>
    <w:rsid w:val="00DE6D01"/>
    <w:rsid w:val="00E0036B"/>
    <w:rsid w:val="00E00860"/>
    <w:rsid w:val="00E05A0A"/>
    <w:rsid w:val="00E05C46"/>
    <w:rsid w:val="00E16378"/>
    <w:rsid w:val="00E258BD"/>
    <w:rsid w:val="00E415F1"/>
    <w:rsid w:val="00E41D46"/>
    <w:rsid w:val="00E53576"/>
    <w:rsid w:val="00E54647"/>
    <w:rsid w:val="00E72E9A"/>
    <w:rsid w:val="00E86DB9"/>
    <w:rsid w:val="00EA12DE"/>
    <w:rsid w:val="00EA55C7"/>
    <w:rsid w:val="00EA7D66"/>
    <w:rsid w:val="00EB4695"/>
    <w:rsid w:val="00EB5B54"/>
    <w:rsid w:val="00EC244D"/>
    <w:rsid w:val="00EC27D1"/>
    <w:rsid w:val="00EC329F"/>
    <w:rsid w:val="00EC6810"/>
    <w:rsid w:val="00EE0E63"/>
    <w:rsid w:val="00EE2BF7"/>
    <w:rsid w:val="00EF7D6F"/>
    <w:rsid w:val="00F13EDF"/>
    <w:rsid w:val="00F36E04"/>
    <w:rsid w:val="00F46857"/>
    <w:rsid w:val="00F62A76"/>
    <w:rsid w:val="00F73374"/>
    <w:rsid w:val="00F831DB"/>
    <w:rsid w:val="00FA05FE"/>
    <w:rsid w:val="00FC04C5"/>
    <w:rsid w:val="00FC51D6"/>
    <w:rsid w:val="00FC78A3"/>
    <w:rsid w:val="00FD1B70"/>
    <w:rsid w:val="00FD7600"/>
    <w:rsid w:val="00FE25FC"/>
    <w:rsid w:val="00FE7FCE"/>
    <w:rsid w:val="00FF3048"/>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6A1C19-65C1-4B15-A65C-5F0BC37E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uiPriority w:val="34"/>
    <w:qFormat/>
    <w:rsid w:val="0000567E"/>
    <w:pPr>
      <w:ind w:left="720"/>
      <w:contextualSpacing/>
    </w:pPr>
  </w:style>
  <w:style w:type="character" w:customStyle="1" w:styleId="ColorfulList-Accent1Char">
    <w:name w:val="Colorful List - Accent 1 Char"/>
    <w:link w:val="ColorfulList-Accent1"/>
    <w:uiPriority w:val="34"/>
    <w:locked/>
    <w:rsid w:val="00AC2071"/>
    <w:rPr>
      <w:rFonts w:eastAsia="Calibri"/>
      <w:sz w:val="22"/>
      <w:szCs w:val="22"/>
      <w:lang w:val="x-none" w:eastAsia="x-none"/>
    </w:rPr>
  </w:style>
  <w:style w:type="table" w:styleId="ColorfulList-Accent1">
    <w:name w:val="Colorful List Accent 1"/>
    <w:basedOn w:val="TableNormal"/>
    <w:link w:val="ColorfulList-Accent1Char"/>
    <w:uiPriority w:val="34"/>
    <w:rsid w:val="00AC2071"/>
    <w:rPr>
      <w:rFonts w:eastAsia="Calibri"/>
      <w:sz w:val="22"/>
      <w:szCs w:val="22"/>
      <w:lang w:val="x-none" w:eastAsia="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Revision">
    <w:name w:val="Revision"/>
    <w:hidden/>
    <w:uiPriority w:val="99"/>
    <w:semiHidden/>
    <w:rsid w:val="00E415F1"/>
    <w:rPr>
      <w:sz w:val="24"/>
      <w:szCs w:val="24"/>
    </w:rPr>
  </w:style>
  <w:style w:type="paragraph" w:styleId="FootnoteText">
    <w:name w:val="footnote text"/>
    <w:basedOn w:val="Normal"/>
    <w:link w:val="FootnoteTextChar"/>
    <w:rsid w:val="00EA55C7"/>
    <w:rPr>
      <w:sz w:val="20"/>
      <w:szCs w:val="20"/>
    </w:rPr>
  </w:style>
  <w:style w:type="character" w:customStyle="1" w:styleId="FootnoteTextChar">
    <w:name w:val="Footnote Text Char"/>
    <w:basedOn w:val="DefaultParagraphFont"/>
    <w:link w:val="FootnoteText"/>
    <w:rsid w:val="00EA55C7"/>
  </w:style>
  <w:style w:type="character" w:styleId="FootnoteReference">
    <w:name w:val="footnote reference"/>
    <w:rsid w:val="00EA5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3855">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stru.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0" ma:contentTypeDescription="Create a new document." ma:contentTypeScope="" ma:versionID="7edc9ce6bfdbfff0f5723578fae43f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ADC8F0F0-2852-4471-B492-F269DE375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9ED279-15FB-448F-AC8A-FD12B318782D}">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370C6F4-3FC0-4E39-A2D0-199835A5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17045</CharactersWithSpaces>
  <SharedDoc>false</SharedDoc>
  <HLinks>
    <vt:vector size="6" baseType="variant">
      <vt:variant>
        <vt:i4>7340045</vt:i4>
      </vt:variant>
      <vt:variant>
        <vt:i4>0</vt:i4>
      </vt:variant>
      <vt:variant>
        <vt:i4>0</vt:i4>
      </vt:variant>
      <vt:variant>
        <vt:i4>5</vt:i4>
      </vt:variant>
      <vt:variant>
        <vt:lpwstr>http://www.bls.gov/oes/current/oes_stru.htm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2</cp:revision>
  <cp:lastPrinted>2009-01-26T16:35:00Z</cp:lastPrinted>
  <dcterms:created xsi:type="dcterms:W3CDTF">2021-01-06T18:38:00Z</dcterms:created>
  <dcterms:modified xsi:type="dcterms:W3CDTF">2021-01-06T18:38:00Z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0x0101009D5C4982E6072041BDBA236D0B87B289</vt:lpwstr>
  </property>
</Properties>
</file>