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noProof w:val="0"/>
          <w:color w:val="auto"/>
          <w:sz w:val="24"/>
          <w:vertAlign w:val="baseline"/>
        </w:rPr>
        <w:id w:val="1809201021"/>
        <w:docPartObj>
          <w:docPartGallery w:val="Cover Pages"/>
          <w:docPartUnique/>
        </w:docPartObj>
      </w:sdtPr>
      <w:sdtEndPr/>
      <w:sdtContent>
        <w:p w:rsidR="00DE619A" w:rsidP="00DE619A" w:rsidRDefault="00DE619A" w14:paraId="67140067" w14:textId="77777777">
          <w:pPr>
            <w:pStyle w:val="Anchor"/>
          </w:pPr>
          <w:r>
            <w:drawing>
              <wp:anchor distT="0" distB="0" distL="114300" distR="114300" simplePos="0" relativeHeight="251659264" behindDoc="1" locked="0" layoutInCell="1" allowOverlap="1" wp14:editId="0D9E9C1F" wp14:anchorId="4977A26A">
                <wp:simplePos x="0" y="0"/>
                <wp:positionH relativeFrom="column">
                  <wp:posOffset>4340075</wp:posOffset>
                </wp:positionH>
                <wp:positionV relativeFrom="paragraph">
                  <wp:posOffset>-612648</wp:posOffset>
                </wp:positionV>
                <wp:extent cx="2057400" cy="530181"/>
                <wp:effectExtent l="0" t="0" r="0" b="381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r>
            <w:t>Anchor</w:t>
          </w:r>
        </w:p>
        <w:p w:rsidR="00DE619A" w:rsidP="00DE619A" w:rsidRDefault="00DE619A" w14:paraId="05606ECD" w14:textId="77777777">
          <w:pPr>
            <w:pStyle w:val="CoverSubtitle"/>
          </w:pPr>
        </w:p>
        <w:p w:rsidR="00DE619A" w:rsidP="00DE619A" w:rsidRDefault="00DE619A" w14:paraId="5F8759DB" w14:textId="77777777">
          <w:pPr>
            <w:pStyle w:val="CoverSubtitle"/>
          </w:pPr>
        </w:p>
        <w:p w:rsidR="00DE619A" w:rsidP="00DE619A" w:rsidRDefault="00DE619A" w14:paraId="668F06EA" w14:textId="77777777">
          <w:pPr>
            <w:pStyle w:val="CoverSubtitle"/>
          </w:pPr>
        </w:p>
        <w:p w:rsidR="00DE619A" w:rsidP="00DE619A" w:rsidRDefault="00DE619A" w14:paraId="18092F7A" w14:textId="77777777">
          <w:pPr>
            <w:pStyle w:val="CoverSubtitle"/>
          </w:pPr>
          <w:r w:rsidRPr="00352CE1">
            <w:rPr>
              <w:noProof/>
            </w:rPr>
            <mc:AlternateContent>
              <mc:Choice Requires="wps">
                <w:drawing>
                  <wp:anchor distT="0" distB="0" distL="114300" distR="114300" simplePos="0" relativeHeight="251660288" behindDoc="1" locked="0" layoutInCell="1" allowOverlap="1" wp14:editId="30ED2756" wp14:anchorId="18D7FC0C">
                    <wp:simplePos x="0" y="0"/>
                    <wp:positionH relativeFrom="column">
                      <wp:posOffset>-448056</wp:posOffset>
                    </wp:positionH>
                    <wp:positionV relativeFrom="paragraph">
                      <wp:posOffset>315109</wp:posOffset>
                    </wp:positionV>
                    <wp:extent cx="6858000" cy="2057074"/>
                    <wp:effectExtent l="0" t="0" r="0" b="635"/>
                    <wp:wrapNone/>
                    <wp:docPr id="49" name="Snip Single Corner Rectangle 49"/>
                    <wp:cNvGraphicFramePr/>
                    <a:graphic xmlns:a="http://schemas.openxmlformats.org/drawingml/2006/main">
                      <a:graphicData uri="http://schemas.microsoft.com/office/word/2010/wordprocessingShape">
                        <wps:wsp>
                          <wps:cNvSpPr/>
                          <wps:spPr>
                            <a:xfrm flipV="1">
                              <a:off x="0" y="0"/>
                              <a:ext cx="6858000" cy="2057074"/>
                            </a:xfrm>
                            <a:prstGeom prst="snip1Rect">
                              <a:avLst>
                                <a:gd name="adj" fmla="val 36915"/>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nip Single Corner Rectangle 49" style="position:absolute;margin-left:-35.3pt;margin-top:24.8pt;width:540pt;height:161.95pt;flip:y;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6858000,2057074" o:spid="_x0000_s1026" fillcolor="#046b5c" stroked="f" strokeweight="1pt" path="m,l6098631,r759369,759369l6858000,2057074,,20570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" w14:anchorId="3EE38F31">
                    <v:stroke joinstyle="miter"/>
                    <v:path arrowok="t" o:connecttype="custom" o:connectlocs="0,0;6098631,0;6858000,759369;6858000,2057074;0,2057074;0,0" o:connectangles="0,0,0,0,0,0"/>
                  </v:shape>
                </w:pict>
              </mc:Fallback>
            </mc:AlternateContent>
          </w:r>
        </w:p>
        <w:p w:rsidR="00DE619A" w:rsidP="00DE619A" w:rsidRDefault="00DE619A" w14:paraId="336F2773" w14:textId="77777777">
          <w:pPr>
            <w:pStyle w:val="CoverSubtitle"/>
          </w:pPr>
          <w:r>
            <w:t>Touchpoints for Addressing Substance Use Issues in Home Visiting</w:t>
          </w:r>
        </w:p>
        <w:p w:rsidR="00DE619A" w:rsidP="00DE619A" w:rsidRDefault="0011140A" w14:paraId="4A492F3C" w14:textId="043664C4">
          <w:pPr>
            <w:pStyle w:val="CoverTitle"/>
          </w:pPr>
          <w:r>
            <w:t xml:space="preserve">Research Questions Addressed in </w:t>
          </w:r>
          <w:r w:rsidR="00DE619A">
            <w:t>Pilot Study Interview Protocols</w:t>
          </w:r>
        </w:p>
        <w:p w:rsidR="00DE619A" w:rsidP="00DE619A" w:rsidRDefault="00DE619A" w14:paraId="74A5DD12" w14:textId="77777777">
          <w:pPr>
            <w:pStyle w:val="CoverDate"/>
          </w:pPr>
        </w:p>
        <w:p w:rsidR="00DE619A" w:rsidP="00DE619A" w:rsidRDefault="00DE619A" w14:paraId="1A1EF84C" w14:textId="77777777">
          <w:pPr>
            <w:pStyle w:val="CoverDate"/>
          </w:pPr>
        </w:p>
        <w:p w:rsidR="00DE619A" w:rsidP="00DE619A" w:rsidRDefault="00DE619A" w14:paraId="31283FB8" w14:textId="77777777">
          <w:pPr>
            <w:pStyle w:val="CoverAuthor"/>
          </w:pPr>
        </w:p>
        <w:p w:rsidRPr="00160AA7" w:rsidR="00DE619A" w:rsidP="00DE619A" w:rsidRDefault="00DE619A" w14:paraId="702153F3" w14:textId="77777777">
          <w:pPr>
            <w:pStyle w:val="CoverAuthor"/>
          </w:pPr>
        </w:p>
        <w:p w:rsidR="00DE619A" w:rsidP="00DE619A" w:rsidRDefault="00D317BF" w14:paraId="499E96E0" w14:textId="422DB9F8">
          <w:pPr>
            <w:pStyle w:val="CoverDate"/>
          </w:pPr>
          <w:r>
            <w:t>February 2021</w:t>
          </w:r>
        </w:p>
        <w:p w:rsidR="00DE619A" w:rsidP="00DE619A" w:rsidRDefault="00DE619A" w14:paraId="640EE41E" w14:textId="5E0E3AEC">
          <w:pPr>
            <w:pStyle w:val="CoverAuthor"/>
          </w:pPr>
          <w:r>
            <w:t>CHARLOTTE CABILI</w:t>
          </w:r>
          <w:r w:rsidR="005D6519">
            <w:t>, STACIE FELDMAN,</w:t>
          </w:r>
          <w:r>
            <w:t xml:space="preserve"> AND MELISSA AZUR</w:t>
          </w:r>
        </w:p>
        <w:p w:rsidR="00DE619A" w:rsidP="00DE619A" w:rsidRDefault="00DE619A" w14:paraId="2A523D73" w14:textId="77777777">
          <w:pPr>
            <w:rPr>
              <w:rFonts w:eastAsiaTheme="minorHAnsi"/>
            </w:rPr>
            <w:sectPr w:rsidR="00DE619A" w:rsidSect="00467686">
              <w:headerReference w:type="default" r:id="rId11"/>
              <w:footerReference w:type="default" r:id="rId12"/>
              <w:endnotePr>
                <w:numFmt w:val="decimal"/>
              </w:endnotePr>
              <w:type w:val="continuous"/>
              <w:pgSz w:w="12240" w:h="15840"/>
              <w:pgMar w:top="1440" w:right="1440" w:bottom="1440" w:left="1440" w:header="720" w:footer="432" w:gutter="0"/>
              <w:pgNumType w:start="0"/>
              <w:cols w:space="720"/>
              <w:titlePg/>
              <w:docGrid w:linePitch="326"/>
            </w:sectPr>
          </w:pPr>
        </w:p>
        <w:p w:rsidRPr="00352CE1" w:rsidR="00DE619A" w:rsidP="00DE619A" w:rsidRDefault="00DE619A" w14:paraId="300C237E" w14:textId="77777777">
          <w:pPr>
            <w:rPr>
              <w:rFonts w:eastAsiaTheme="minorHAnsi"/>
            </w:rPr>
          </w:pPr>
        </w:p>
        <w:p w:rsidR="00DE619A" w:rsidP="00DE619A" w:rsidRDefault="00DE619A" w14:paraId="5CBA73E3" w14:textId="77777777">
          <w:pPr>
            <w:pStyle w:val="Blank"/>
          </w:pPr>
          <w:r>
            <w:t>This page has been left blank for double-sided copying.</w:t>
          </w:r>
        </w:p>
        <w:p w:rsidR="00DE619A" w:rsidP="00DE619A" w:rsidRDefault="00DE619A" w14:paraId="77FCA081" w14:textId="77777777">
          <w:pPr>
            <w:spacing w:line="240" w:lineRule="auto"/>
          </w:pPr>
          <w:r>
            <w:br w:type="page"/>
          </w:r>
        </w:p>
      </w:sdtContent>
    </w:sdt>
    <w:p w:rsidR="00931DB3" w:rsidP="0071157E" w:rsidRDefault="00931DB3" w14:paraId="1F9DBE11" w14:textId="63D05BC6">
      <w:pPr>
        <w:pStyle w:val="Paragraph"/>
        <w:ind w:firstLine="432"/>
      </w:pPr>
      <w:bookmarkStart w:name="_Toc9347448" w:id="0"/>
      <w:bookmarkStart w:name="_Toc22560853" w:id="1"/>
      <w:bookmarkStart w:name="_Toc22563189" w:id="2"/>
      <w:bookmarkStart w:name="_Toc8396793" w:id="3"/>
      <w:bookmarkStart w:name="_Toc8639520" w:id="4"/>
      <w:bookmarkStart w:name="_Toc8639725" w:id="5"/>
      <w:bookmarkStart w:name="_Toc8639903" w:id="6"/>
      <w:bookmarkStart w:name="_Toc8639968" w:id="7"/>
      <w:bookmarkStart w:name="_Toc8640067" w:id="8"/>
      <w:bookmarkStart w:name="_Toc8826403" w:id="9"/>
      <w:r>
        <w:lastRenderedPageBreak/>
        <w:t>Table 1 presents</w:t>
      </w:r>
      <w:r w:rsidR="003D1E01">
        <w:t xml:space="preserve"> the </w:t>
      </w:r>
      <w:bookmarkStart w:name="_Hlk64382183" w:id="10"/>
      <w:r w:rsidR="003D1E01">
        <w:t xml:space="preserve">interview question numbers that correspond to each research question </w:t>
      </w:r>
      <w:bookmarkEnd w:id="10"/>
      <w:r w:rsidR="003D1E01">
        <w:t>for interview</w:t>
      </w:r>
      <w:r w:rsidR="001B2AF7">
        <w:t xml:space="preserve">s with the following respondents: </w:t>
      </w:r>
      <w:r w:rsidR="003D1E01">
        <w:t xml:space="preserve"> (1) local implementing agency (LIA) m</w:t>
      </w:r>
      <w:r w:rsidRPr="003D1E01" w:rsidR="003D1E01">
        <w:t xml:space="preserve">anagers </w:t>
      </w:r>
      <w:r w:rsidR="003D1E01">
        <w:t>a</w:t>
      </w:r>
      <w:r w:rsidRPr="003D1E01" w:rsidR="003D1E01">
        <w:t xml:space="preserve">nd </w:t>
      </w:r>
      <w:r w:rsidR="003D1E01">
        <w:t>d</w:t>
      </w:r>
      <w:r w:rsidRPr="003D1E01" w:rsidR="003D1E01">
        <w:t xml:space="preserve">ata </w:t>
      </w:r>
      <w:r w:rsidR="003D1E01">
        <w:t>m</w:t>
      </w:r>
      <w:r w:rsidRPr="003D1E01" w:rsidR="003D1E01">
        <w:t xml:space="preserve">anagers, </w:t>
      </w:r>
      <w:r w:rsidR="003D1E01">
        <w:t>h</w:t>
      </w:r>
      <w:r w:rsidRPr="003D1E01" w:rsidR="003D1E01">
        <w:t xml:space="preserve">ome </w:t>
      </w:r>
      <w:r w:rsidR="003D1E01">
        <w:t>v</w:t>
      </w:r>
      <w:r w:rsidRPr="003D1E01" w:rsidR="003D1E01">
        <w:t xml:space="preserve">isiting </w:t>
      </w:r>
      <w:r w:rsidR="003D1E01">
        <w:t>s</w:t>
      </w:r>
      <w:r w:rsidRPr="003D1E01" w:rsidR="003D1E01">
        <w:t xml:space="preserve">upervisors, </w:t>
      </w:r>
      <w:r w:rsidR="003D1E01">
        <w:t>a</w:t>
      </w:r>
      <w:r w:rsidRPr="003D1E01" w:rsidR="003D1E01">
        <w:t xml:space="preserve">nd </w:t>
      </w:r>
      <w:r w:rsidR="003D1E01">
        <w:t>h</w:t>
      </w:r>
      <w:r w:rsidRPr="003D1E01" w:rsidR="003D1E01">
        <w:t xml:space="preserve">ome </w:t>
      </w:r>
      <w:r w:rsidR="003D1E01">
        <w:t>v</w:t>
      </w:r>
      <w:r w:rsidRPr="003D1E01" w:rsidR="003D1E01">
        <w:t>isitors</w:t>
      </w:r>
      <w:r w:rsidR="003D1E01">
        <w:t>, (2) state awardees, and (3) home visiting model representatives.</w:t>
      </w:r>
      <w:r w:rsidR="0071157E">
        <w:t xml:space="preserve"> </w:t>
      </w:r>
    </w:p>
    <w:p w:rsidR="00DE619A" w:rsidP="00DE619A" w:rsidRDefault="00DE619A" w14:paraId="31A67B49" w14:textId="08D99E62">
      <w:pPr>
        <w:pStyle w:val="TableTitle"/>
      </w:pPr>
      <w:r>
        <w:t xml:space="preserve">Table 1. Research questions addressed in respondent interview protocols </w:t>
      </w:r>
    </w:p>
    <w:tbl>
      <w:tblPr>
        <w:tblStyle w:val="MPRBaseTable"/>
        <w:tblW w:w="9275" w:type="dxa"/>
        <w:tblLook w:val="0020" w:firstRow="1" w:lastRow="0" w:firstColumn="0" w:lastColumn="0" w:noHBand="0" w:noVBand="0"/>
      </w:tblPr>
      <w:tblGrid>
        <w:gridCol w:w="5490"/>
        <w:gridCol w:w="1091"/>
        <w:gridCol w:w="1159"/>
        <w:gridCol w:w="1535"/>
      </w:tblGrid>
      <w:tr w:rsidRPr="004C6EA0" w:rsidR="00DE619A" w:rsidTr="0071157E" w14:paraId="1130A18C" w14:textId="77777777">
        <w:trPr>
          <w:cnfStyle w:val="100000000000" w:firstRow="1" w:lastRow="0" w:firstColumn="0" w:lastColumn="0" w:oddVBand="0" w:evenVBand="0" w:oddHBand="0" w:evenHBand="0" w:firstRowFirstColumn="0" w:firstRowLastColumn="0" w:lastRowFirstColumn="0" w:lastRowLastColumn="0"/>
          <w:cantSplit w:val="0"/>
          <w:trHeight w:val="401"/>
        </w:trPr>
        <w:tc>
          <w:tcPr>
            <w:tcW w:w="5490" w:type="dxa"/>
            <w:tcMar>
              <w:bottom w:w="0" w:type="dxa"/>
            </w:tcMar>
            <w:hideMark/>
          </w:tcPr>
          <w:p w:rsidRPr="004C6EA0" w:rsidR="00DE619A" w:rsidP="0071157E" w:rsidRDefault="00DE619A" w14:paraId="5AD47443" w14:textId="7956FD21">
            <w:pPr>
              <w:pStyle w:val="TableHeaderCenter"/>
              <w:spacing w:before="0"/>
            </w:pPr>
            <w:r w:rsidRPr="004C6EA0">
              <w:t>Research Question</w:t>
            </w:r>
          </w:p>
        </w:tc>
        <w:tc>
          <w:tcPr>
            <w:tcW w:w="3785" w:type="dxa"/>
            <w:gridSpan w:val="3"/>
            <w:shd w:val="clear" w:color="auto" w:fill="046B5C"/>
          </w:tcPr>
          <w:p w:rsidR="00DE619A" w:rsidP="0071157E" w:rsidRDefault="00DE619A" w14:paraId="237D18E4" w14:textId="77777777">
            <w:pPr>
              <w:pStyle w:val="TableHeaderCenter"/>
              <w:spacing w:before="0"/>
            </w:pPr>
            <w:r w:rsidRPr="004C6EA0">
              <w:t xml:space="preserve">Protocol </w:t>
            </w:r>
            <w:r>
              <w:t>Question Number</w:t>
            </w:r>
          </w:p>
        </w:tc>
      </w:tr>
      <w:tr w:rsidRPr="00946CB2" w:rsidR="00946CB2" w:rsidTr="0071157E" w14:paraId="58AD56EC" w14:textId="77777777">
        <w:trPr>
          <w:cnfStyle w:val="000000100000" w:firstRow="0" w:lastRow="0" w:firstColumn="0" w:lastColumn="0" w:oddVBand="0" w:evenVBand="0" w:oddHBand="1" w:evenHBand="0" w:firstRowFirstColumn="0" w:firstRowLastColumn="0" w:lastRowFirstColumn="0" w:lastRowLastColumn="0"/>
          <w:trHeight w:val="428"/>
        </w:trPr>
        <w:tc>
          <w:tcPr>
            <w:tcW w:w="5490" w:type="dxa"/>
            <w:tcBorders>
              <w:bottom w:val="nil"/>
            </w:tcBorders>
            <w:shd w:val="clear" w:color="auto" w:fill="046B5C" w:themeFill="text2"/>
            <w:tcMar>
              <w:bottom w:w="0" w:type="dxa"/>
            </w:tcMar>
            <w:vAlign w:val="center"/>
          </w:tcPr>
          <w:p w:rsidRPr="00946CB2" w:rsidR="00DE619A" w:rsidP="0071157E" w:rsidRDefault="00DE619A" w14:paraId="11B22C9D" w14:textId="77777777">
            <w:pPr>
              <w:pStyle w:val="TableHeaderCenter"/>
              <w:spacing w:before="0"/>
              <w:rPr>
                <w:color w:val="auto"/>
              </w:rPr>
            </w:pPr>
          </w:p>
        </w:tc>
        <w:tc>
          <w:tcPr>
            <w:tcW w:w="1091" w:type="dxa"/>
            <w:tcBorders>
              <w:bottom w:val="nil"/>
            </w:tcBorders>
            <w:shd w:val="clear" w:color="auto" w:fill="046B5C" w:themeFill="text2"/>
            <w:vAlign w:val="center"/>
          </w:tcPr>
          <w:p w:rsidRPr="00930797" w:rsidR="00DE619A" w:rsidP="0071157E" w:rsidRDefault="00DE619A" w14:paraId="7B6631B6" w14:textId="7E7174B6">
            <w:pPr>
              <w:pStyle w:val="TableHeaderCenter"/>
              <w:spacing w:before="0"/>
            </w:pPr>
            <w:r w:rsidRPr="00930797">
              <w:t>LIA</w:t>
            </w:r>
          </w:p>
        </w:tc>
        <w:tc>
          <w:tcPr>
            <w:tcW w:w="1159" w:type="dxa"/>
            <w:tcBorders>
              <w:bottom w:val="nil"/>
            </w:tcBorders>
            <w:shd w:val="clear" w:color="auto" w:fill="046B5C" w:themeFill="text2"/>
            <w:vAlign w:val="center"/>
          </w:tcPr>
          <w:p w:rsidRPr="00930797" w:rsidR="00DE619A" w:rsidP="0071157E" w:rsidRDefault="00DE619A" w14:paraId="1A8E198B" w14:textId="77777777">
            <w:pPr>
              <w:pStyle w:val="TableHeaderCenter"/>
              <w:spacing w:before="0"/>
            </w:pPr>
            <w:r w:rsidRPr="00930797">
              <w:t>State Awardee</w:t>
            </w:r>
          </w:p>
        </w:tc>
        <w:tc>
          <w:tcPr>
            <w:tcW w:w="1535" w:type="dxa"/>
            <w:tcBorders>
              <w:bottom w:val="nil"/>
            </w:tcBorders>
            <w:shd w:val="clear" w:color="auto" w:fill="046B5C" w:themeFill="text2"/>
            <w:vAlign w:val="center"/>
          </w:tcPr>
          <w:p w:rsidRPr="00930797" w:rsidR="00DE619A" w:rsidP="0071157E" w:rsidRDefault="00DE619A" w14:paraId="587697E0" w14:textId="77777777">
            <w:pPr>
              <w:pStyle w:val="TableHeaderCenter"/>
              <w:spacing w:before="0"/>
            </w:pPr>
            <w:r w:rsidRPr="00930797">
              <w:t>Model Representative</w:t>
            </w:r>
          </w:p>
        </w:tc>
      </w:tr>
      <w:tr w:rsidRPr="004C6EA0" w:rsidR="00DE619A" w:rsidTr="0071157E" w14:paraId="76CCA20E" w14:textId="77777777">
        <w:trPr>
          <w:cnfStyle w:val="000000010000" w:firstRow="0" w:lastRow="0" w:firstColumn="0" w:lastColumn="0" w:oddVBand="0" w:evenVBand="0" w:oddHBand="0" w:evenHBand="1" w:firstRowFirstColumn="0" w:firstRowLastColumn="0" w:lastRowFirstColumn="0" w:lastRowLastColumn="0"/>
          <w:trHeight w:val="846"/>
        </w:trPr>
        <w:tc>
          <w:tcPr>
            <w:tcW w:w="5490" w:type="dxa"/>
            <w:tcBorders>
              <w:top w:val="nil"/>
              <w:left w:val="nil"/>
              <w:bottom w:val="nil"/>
              <w:right w:val="nil"/>
            </w:tcBorders>
            <w:tcMar>
              <w:bottom w:w="0" w:type="dxa"/>
            </w:tcMar>
            <w:hideMark/>
          </w:tcPr>
          <w:p w:rsidRPr="000A0D41" w:rsidR="00DE619A" w:rsidP="0071157E" w:rsidRDefault="00DE619A" w14:paraId="0CEC80D1" w14:textId="51937AA1">
            <w:pPr>
              <w:pStyle w:val="TableTextLeft"/>
              <w:spacing w:before="0"/>
            </w:pPr>
            <w:r w:rsidRPr="000A0D41">
              <w:t>What process do LIAs use to screen for SUDs? What tools do they use, and how do staff feel about the use of standardized, validated screening tools?</w:t>
            </w:r>
          </w:p>
        </w:tc>
        <w:tc>
          <w:tcPr>
            <w:tcW w:w="1091" w:type="dxa"/>
            <w:tcBorders>
              <w:top w:val="nil"/>
              <w:left w:val="nil"/>
              <w:bottom w:val="nil"/>
              <w:right w:val="nil"/>
            </w:tcBorders>
          </w:tcPr>
          <w:p w:rsidRPr="004C6EA0" w:rsidR="00DE619A" w:rsidP="0071157E" w:rsidRDefault="001E342D" w14:paraId="681686AC" w14:textId="2E23C4F2">
            <w:pPr>
              <w:pStyle w:val="TableTextCentered"/>
              <w:spacing w:before="0"/>
            </w:pPr>
            <w:r>
              <w:t xml:space="preserve">Section </w:t>
            </w:r>
            <w:r w:rsidR="00CF1721">
              <w:t>I:</w:t>
            </w:r>
            <w:r w:rsidR="00B84026">
              <w:t xml:space="preserve"> </w:t>
            </w:r>
            <w:r w:rsidR="00567E5F">
              <w:t>3</w:t>
            </w:r>
            <w:r w:rsidR="00B84026">
              <w:t xml:space="preserve">, 4, 5, 6, 7, </w:t>
            </w:r>
            <w:r w:rsidR="00567E5F">
              <w:t>8</w:t>
            </w:r>
            <w:r w:rsidR="0035566F">
              <w:t>, 18</w:t>
            </w:r>
          </w:p>
        </w:tc>
        <w:tc>
          <w:tcPr>
            <w:tcW w:w="1159" w:type="dxa"/>
            <w:tcBorders>
              <w:top w:val="nil"/>
              <w:left w:val="nil"/>
              <w:bottom w:val="nil"/>
              <w:right w:val="nil"/>
            </w:tcBorders>
          </w:tcPr>
          <w:p w:rsidRPr="004C6EA0" w:rsidR="00DE619A" w:rsidP="0071157E" w:rsidRDefault="00567E5F" w14:paraId="43396FE4" w14:textId="73F81947">
            <w:pPr>
              <w:pStyle w:val="TableTextCentered"/>
              <w:spacing w:before="0"/>
            </w:pPr>
            <w:r>
              <w:t>NA</w:t>
            </w:r>
          </w:p>
        </w:tc>
        <w:tc>
          <w:tcPr>
            <w:tcW w:w="1535" w:type="dxa"/>
            <w:tcBorders>
              <w:top w:val="nil"/>
              <w:left w:val="nil"/>
              <w:bottom w:val="nil"/>
              <w:right w:val="nil"/>
            </w:tcBorders>
          </w:tcPr>
          <w:p w:rsidRPr="004C6EA0" w:rsidR="00DE619A" w:rsidP="0071157E" w:rsidRDefault="00567E5F" w14:paraId="0D865DE4" w14:textId="53A38750">
            <w:pPr>
              <w:pStyle w:val="TableTextCentered"/>
              <w:spacing w:before="0"/>
            </w:pPr>
            <w:r>
              <w:t>NA</w:t>
            </w:r>
          </w:p>
        </w:tc>
      </w:tr>
      <w:tr w:rsidRPr="004C6EA0" w:rsidR="00DE619A" w:rsidTr="0071157E" w14:paraId="5CBDD4C3" w14:textId="77777777">
        <w:trPr>
          <w:cnfStyle w:val="000000100000" w:firstRow="0" w:lastRow="0" w:firstColumn="0" w:lastColumn="0" w:oddVBand="0" w:evenVBand="0" w:oddHBand="1" w:evenHBand="0" w:firstRowFirstColumn="0" w:firstRowLastColumn="0" w:lastRowFirstColumn="0" w:lastRowLastColumn="0"/>
          <w:trHeight w:val="857"/>
        </w:trPr>
        <w:tc>
          <w:tcPr>
            <w:tcW w:w="5490" w:type="dxa"/>
            <w:tcBorders>
              <w:top w:val="nil"/>
              <w:left w:val="nil"/>
              <w:bottom w:val="nil"/>
              <w:right w:val="nil"/>
            </w:tcBorders>
            <w:tcMar>
              <w:bottom w:w="0" w:type="dxa"/>
            </w:tcMar>
            <w:hideMark/>
          </w:tcPr>
          <w:p w:rsidRPr="000A0D41" w:rsidR="00DE619A" w:rsidP="0071157E" w:rsidRDefault="00DE619A" w14:paraId="2371F610" w14:textId="53FD255B">
            <w:pPr>
              <w:pStyle w:val="TableTextLeft"/>
              <w:spacing w:before="0"/>
            </w:pPr>
            <w:r w:rsidRPr="000A0D41">
              <w:t xml:space="preserve">What policies and procedures do state awardees and LIAs currently have in place on screening for substance use issues and </w:t>
            </w:r>
            <w:r w:rsidR="007A266D">
              <w:t>follow up</w:t>
            </w:r>
            <w:r w:rsidRPr="000A0D41">
              <w:t xml:space="preserve"> on referrals? </w:t>
            </w:r>
          </w:p>
        </w:tc>
        <w:tc>
          <w:tcPr>
            <w:tcW w:w="1091" w:type="dxa"/>
            <w:tcBorders>
              <w:top w:val="nil"/>
              <w:left w:val="nil"/>
              <w:bottom w:val="nil"/>
              <w:right w:val="nil"/>
            </w:tcBorders>
          </w:tcPr>
          <w:p w:rsidRPr="004C6EA0" w:rsidR="00DE619A" w:rsidP="0071157E" w:rsidRDefault="001E342D" w14:paraId="65F98AC5" w14:textId="500A1634">
            <w:pPr>
              <w:pStyle w:val="TableTextCentered"/>
              <w:spacing w:before="0"/>
            </w:pPr>
            <w:r>
              <w:t xml:space="preserve">Section </w:t>
            </w:r>
            <w:r w:rsidR="00CF1721">
              <w:t xml:space="preserve">I: </w:t>
            </w:r>
            <w:r w:rsidR="00567E5F">
              <w:t>9,10</w:t>
            </w:r>
            <w:r w:rsidR="00EF1562">
              <w:t>,2</w:t>
            </w:r>
            <w:r w:rsidR="0035566F">
              <w:t>2</w:t>
            </w:r>
            <w:r w:rsidR="00EF1562">
              <w:t>,2</w:t>
            </w:r>
            <w:r w:rsidR="0035566F">
              <w:t>3</w:t>
            </w:r>
          </w:p>
        </w:tc>
        <w:tc>
          <w:tcPr>
            <w:tcW w:w="1159" w:type="dxa"/>
            <w:tcBorders>
              <w:top w:val="nil"/>
              <w:left w:val="nil"/>
              <w:bottom w:val="nil"/>
              <w:right w:val="nil"/>
            </w:tcBorders>
          </w:tcPr>
          <w:p w:rsidRPr="004C6EA0" w:rsidR="00DE619A" w:rsidP="0071157E" w:rsidRDefault="001E342D" w14:paraId="314D81EE" w14:textId="2A3D304A">
            <w:pPr>
              <w:pStyle w:val="TableTextCentered"/>
              <w:spacing w:before="0"/>
            </w:pPr>
            <w:r>
              <w:t xml:space="preserve">Section </w:t>
            </w:r>
            <w:r w:rsidR="00CF1721">
              <w:t xml:space="preserve">I: </w:t>
            </w:r>
            <w:r w:rsidR="00EC7C27">
              <w:t>9,10, 23,24</w:t>
            </w:r>
          </w:p>
        </w:tc>
        <w:tc>
          <w:tcPr>
            <w:tcW w:w="1535" w:type="dxa"/>
            <w:tcBorders>
              <w:top w:val="nil"/>
              <w:left w:val="nil"/>
              <w:bottom w:val="nil"/>
              <w:right w:val="nil"/>
            </w:tcBorders>
          </w:tcPr>
          <w:p w:rsidRPr="004C6EA0" w:rsidR="00DE619A" w:rsidP="0071157E" w:rsidRDefault="00567E5F" w14:paraId="057E638D" w14:textId="424B499E">
            <w:pPr>
              <w:pStyle w:val="TableTextCentered"/>
              <w:spacing w:before="0"/>
            </w:pPr>
            <w:r>
              <w:t>NA</w:t>
            </w:r>
          </w:p>
        </w:tc>
      </w:tr>
      <w:tr w:rsidRPr="004C6EA0" w:rsidR="00DE619A" w:rsidTr="0071157E" w14:paraId="1635712F" w14:textId="77777777">
        <w:trPr>
          <w:cnfStyle w:val="000000010000" w:firstRow="0" w:lastRow="0" w:firstColumn="0" w:lastColumn="0" w:oddVBand="0" w:evenVBand="0" w:oddHBand="0" w:evenHBand="1" w:firstRowFirstColumn="0" w:firstRowLastColumn="0" w:lastRowFirstColumn="0" w:lastRowLastColumn="0"/>
          <w:trHeight w:val="1048"/>
        </w:trPr>
        <w:tc>
          <w:tcPr>
            <w:tcW w:w="5490" w:type="dxa"/>
            <w:tcBorders>
              <w:top w:val="nil"/>
              <w:left w:val="nil"/>
              <w:bottom w:val="nil"/>
              <w:right w:val="nil"/>
            </w:tcBorders>
            <w:tcMar>
              <w:bottom w:w="0" w:type="dxa"/>
            </w:tcMar>
            <w:hideMark/>
          </w:tcPr>
          <w:p w:rsidRPr="000A0D41" w:rsidR="00DE619A" w:rsidP="0071157E" w:rsidRDefault="00DE619A" w14:paraId="7998340C" w14:textId="6B8C0123">
            <w:pPr>
              <w:pStyle w:val="TableTextLeft"/>
              <w:spacing w:before="0"/>
            </w:pPr>
            <w:r w:rsidRPr="000A0D41">
              <w:t xml:space="preserve">When do LIAs typically screen for substance use? What factors facilitate or hinder a home visitor’s ability to screen a caregiver for substance use within 30 days of enrollment? </w:t>
            </w:r>
          </w:p>
        </w:tc>
        <w:tc>
          <w:tcPr>
            <w:tcW w:w="1091" w:type="dxa"/>
            <w:tcBorders>
              <w:top w:val="nil"/>
              <w:left w:val="nil"/>
              <w:bottom w:val="nil"/>
              <w:right w:val="nil"/>
            </w:tcBorders>
          </w:tcPr>
          <w:p w:rsidRPr="004C6EA0" w:rsidR="00DE619A" w:rsidP="0071157E" w:rsidRDefault="001E342D" w14:paraId="5F11B02F" w14:textId="2D474BFC">
            <w:pPr>
              <w:pStyle w:val="TableTextCentered"/>
              <w:spacing w:before="0"/>
            </w:pPr>
            <w:r>
              <w:t xml:space="preserve">Section </w:t>
            </w:r>
            <w:r w:rsidR="00CF1721">
              <w:t>I:</w:t>
            </w:r>
            <w:r w:rsidR="00B84026">
              <w:t xml:space="preserve"> </w:t>
            </w:r>
            <w:r w:rsidR="00567E5F">
              <w:t>1</w:t>
            </w:r>
            <w:r w:rsidR="0035566F">
              <w:t>1</w:t>
            </w:r>
            <w:r w:rsidR="00B84026">
              <w:t xml:space="preserve">, 12, 13, </w:t>
            </w:r>
            <w:r w:rsidR="00567E5F">
              <w:t>1</w:t>
            </w:r>
            <w:r w:rsidR="0035566F">
              <w:t>4</w:t>
            </w:r>
          </w:p>
        </w:tc>
        <w:tc>
          <w:tcPr>
            <w:tcW w:w="1159" w:type="dxa"/>
            <w:tcBorders>
              <w:top w:val="nil"/>
              <w:left w:val="nil"/>
              <w:bottom w:val="nil"/>
              <w:right w:val="nil"/>
            </w:tcBorders>
          </w:tcPr>
          <w:p w:rsidRPr="004C6EA0" w:rsidR="00DE619A" w:rsidP="0071157E" w:rsidRDefault="00567E5F" w14:paraId="44A0F6C8" w14:textId="1606BEDC">
            <w:pPr>
              <w:pStyle w:val="TableTextCentered"/>
              <w:spacing w:before="0"/>
            </w:pPr>
            <w:r>
              <w:t>NA</w:t>
            </w:r>
          </w:p>
        </w:tc>
        <w:tc>
          <w:tcPr>
            <w:tcW w:w="1535" w:type="dxa"/>
            <w:tcBorders>
              <w:top w:val="nil"/>
              <w:left w:val="nil"/>
              <w:bottom w:val="nil"/>
              <w:right w:val="nil"/>
            </w:tcBorders>
          </w:tcPr>
          <w:p w:rsidRPr="004C6EA0" w:rsidR="00DE619A" w:rsidP="0071157E" w:rsidRDefault="00567E5F" w14:paraId="6E282C39" w14:textId="79A051C6">
            <w:pPr>
              <w:pStyle w:val="TableTextCentered"/>
              <w:spacing w:before="0"/>
            </w:pPr>
            <w:r>
              <w:t>NA</w:t>
            </w:r>
          </w:p>
        </w:tc>
      </w:tr>
      <w:tr w:rsidRPr="004C6EA0" w:rsidR="00DE619A" w:rsidTr="0071157E" w14:paraId="1A240337" w14:textId="77777777">
        <w:trPr>
          <w:cnfStyle w:val="000000100000" w:firstRow="0" w:lastRow="0" w:firstColumn="0" w:lastColumn="0" w:oddVBand="0" w:evenVBand="0" w:oddHBand="1" w:evenHBand="0" w:firstRowFirstColumn="0" w:firstRowLastColumn="0" w:lastRowFirstColumn="0" w:lastRowLastColumn="0"/>
          <w:trHeight w:val="1048"/>
        </w:trPr>
        <w:tc>
          <w:tcPr>
            <w:tcW w:w="5490" w:type="dxa"/>
            <w:tcBorders>
              <w:top w:val="nil"/>
              <w:left w:val="nil"/>
              <w:bottom w:val="nil"/>
              <w:right w:val="nil"/>
            </w:tcBorders>
            <w:tcMar>
              <w:bottom w:w="0" w:type="dxa"/>
            </w:tcMar>
            <w:hideMark/>
          </w:tcPr>
          <w:p w:rsidRPr="000A0D41" w:rsidR="00DE619A" w:rsidP="0071157E" w:rsidRDefault="00DE619A" w14:paraId="1B43CFE6" w14:textId="75149732">
            <w:pPr>
              <w:pStyle w:val="TableTextLeft"/>
              <w:spacing w:before="0"/>
            </w:pPr>
            <w:r w:rsidRPr="000A0D41">
              <w:t xml:space="preserve">At what point in enrollment should LIAs screen pregnant caregivers for substance use issues? Should pregnant caregivers be screened when they first enroll in the home visiting program and at some interval after giving birth? </w:t>
            </w:r>
          </w:p>
        </w:tc>
        <w:tc>
          <w:tcPr>
            <w:tcW w:w="1091" w:type="dxa"/>
            <w:tcBorders>
              <w:top w:val="nil"/>
              <w:left w:val="nil"/>
              <w:bottom w:val="nil"/>
              <w:right w:val="nil"/>
            </w:tcBorders>
          </w:tcPr>
          <w:p w:rsidRPr="004C6EA0" w:rsidR="00DE619A" w:rsidP="0071157E" w:rsidRDefault="001E342D" w14:paraId="138B6A66" w14:textId="1A180A5E">
            <w:pPr>
              <w:pStyle w:val="TableTextCentered"/>
              <w:spacing w:before="0"/>
            </w:pPr>
            <w:r>
              <w:t xml:space="preserve">Section </w:t>
            </w:r>
            <w:r w:rsidR="00CF1721">
              <w:t xml:space="preserve">I: </w:t>
            </w:r>
            <w:r w:rsidR="00DE619A">
              <w:t>1</w:t>
            </w:r>
            <w:r w:rsidR="0035566F">
              <w:t>5</w:t>
            </w:r>
            <w:r w:rsidR="00B84026">
              <w:t xml:space="preserve">, 16, </w:t>
            </w:r>
            <w:r w:rsidR="00567E5F">
              <w:t>1</w:t>
            </w:r>
            <w:r w:rsidR="0035566F">
              <w:t>7</w:t>
            </w:r>
          </w:p>
        </w:tc>
        <w:tc>
          <w:tcPr>
            <w:tcW w:w="1159" w:type="dxa"/>
            <w:tcBorders>
              <w:top w:val="nil"/>
              <w:left w:val="nil"/>
              <w:bottom w:val="nil"/>
              <w:right w:val="nil"/>
            </w:tcBorders>
          </w:tcPr>
          <w:p w:rsidRPr="004C6EA0" w:rsidR="00DE619A" w:rsidP="0071157E" w:rsidRDefault="00567E5F" w14:paraId="667D753D" w14:textId="4D805B5E">
            <w:pPr>
              <w:pStyle w:val="TableTextCentered"/>
              <w:spacing w:before="0"/>
            </w:pPr>
            <w:r>
              <w:t>NA</w:t>
            </w:r>
          </w:p>
        </w:tc>
        <w:tc>
          <w:tcPr>
            <w:tcW w:w="1535" w:type="dxa"/>
            <w:tcBorders>
              <w:top w:val="nil"/>
              <w:left w:val="nil"/>
              <w:bottom w:val="nil"/>
              <w:right w:val="nil"/>
            </w:tcBorders>
          </w:tcPr>
          <w:p w:rsidRPr="004C6EA0" w:rsidR="00DE619A" w:rsidP="0071157E" w:rsidRDefault="00567E5F" w14:paraId="7607891D" w14:textId="763DD823">
            <w:pPr>
              <w:pStyle w:val="TableTextCentered"/>
              <w:spacing w:before="0"/>
            </w:pPr>
            <w:r>
              <w:t>NA</w:t>
            </w:r>
          </w:p>
        </w:tc>
      </w:tr>
      <w:tr w:rsidRPr="004C6EA0" w:rsidR="00DE619A" w:rsidTr="0071157E" w14:paraId="33509B78" w14:textId="77777777">
        <w:trPr>
          <w:cnfStyle w:val="000000010000" w:firstRow="0" w:lastRow="0" w:firstColumn="0" w:lastColumn="0" w:oddVBand="0" w:evenVBand="0" w:oddHBand="0" w:evenHBand="1" w:firstRowFirstColumn="0" w:firstRowLastColumn="0" w:lastRowFirstColumn="0" w:lastRowLastColumn="0"/>
          <w:trHeight w:val="1249"/>
        </w:trPr>
        <w:tc>
          <w:tcPr>
            <w:tcW w:w="5490" w:type="dxa"/>
            <w:tcBorders>
              <w:top w:val="nil"/>
              <w:left w:val="nil"/>
              <w:bottom w:val="nil"/>
              <w:right w:val="nil"/>
            </w:tcBorders>
            <w:tcMar>
              <w:bottom w:w="0" w:type="dxa"/>
            </w:tcMar>
            <w:hideMark/>
          </w:tcPr>
          <w:p w:rsidRPr="000A0D41" w:rsidR="00DE619A" w:rsidP="0071157E" w:rsidRDefault="00DE619A" w14:paraId="729C1B2F" w14:textId="31F94031">
            <w:pPr>
              <w:pStyle w:val="TableTextLeft"/>
              <w:spacing w:before="0"/>
            </w:pPr>
            <w:r w:rsidRPr="000A0D41">
              <w:t>How long does it typically take for caregivers to receive an appointment with a behavioral health specialist? What factors facilitate and hinder a home visitor’s ability to connect care</w:t>
            </w:r>
            <w:r>
              <w:t>g</w:t>
            </w:r>
            <w:r w:rsidRPr="000A0D41">
              <w:t>ivers with behavioral health specialists within 14 days?</w:t>
            </w:r>
          </w:p>
        </w:tc>
        <w:tc>
          <w:tcPr>
            <w:tcW w:w="1091" w:type="dxa"/>
            <w:tcBorders>
              <w:top w:val="nil"/>
              <w:left w:val="nil"/>
              <w:bottom w:val="nil"/>
              <w:right w:val="nil"/>
            </w:tcBorders>
          </w:tcPr>
          <w:p w:rsidRPr="004C6EA0" w:rsidR="00DE619A" w:rsidP="0071157E" w:rsidRDefault="001E342D" w14:paraId="69CBE1D8" w14:textId="646D16EE">
            <w:pPr>
              <w:pStyle w:val="TableTextCentered"/>
              <w:spacing w:before="0"/>
            </w:pPr>
            <w:r>
              <w:t xml:space="preserve">Section </w:t>
            </w:r>
            <w:r w:rsidR="00CF1721">
              <w:t xml:space="preserve">I: </w:t>
            </w:r>
            <w:r w:rsidR="0035566F">
              <w:t>19</w:t>
            </w:r>
            <w:r w:rsidR="00B84026">
              <w:t xml:space="preserve">, 20, </w:t>
            </w:r>
            <w:r w:rsidR="00EF1562">
              <w:t>2</w:t>
            </w:r>
            <w:r w:rsidR="0035566F">
              <w:t>1</w:t>
            </w:r>
          </w:p>
        </w:tc>
        <w:tc>
          <w:tcPr>
            <w:tcW w:w="1159" w:type="dxa"/>
            <w:tcBorders>
              <w:top w:val="nil"/>
              <w:left w:val="nil"/>
              <w:bottom w:val="nil"/>
              <w:right w:val="nil"/>
            </w:tcBorders>
          </w:tcPr>
          <w:p w:rsidRPr="004C6EA0" w:rsidR="00DE619A" w:rsidP="0071157E" w:rsidRDefault="00567E5F" w14:paraId="4DA3FA67" w14:textId="3CAEB92E">
            <w:pPr>
              <w:pStyle w:val="TableTextCentered"/>
              <w:spacing w:before="0"/>
            </w:pPr>
            <w:r>
              <w:t>NA</w:t>
            </w:r>
          </w:p>
        </w:tc>
        <w:tc>
          <w:tcPr>
            <w:tcW w:w="1535" w:type="dxa"/>
            <w:tcBorders>
              <w:top w:val="nil"/>
              <w:left w:val="nil"/>
              <w:bottom w:val="nil"/>
              <w:right w:val="nil"/>
            </w:tcBorders>
          </w:tcPr>
          <w:p w:rsidRPr="004C6EA0" w:rsidR="00DE619A" w:rsidP="0071157E" w:rsidRDefault="00567E5F" w14:paraId="26CA2094" w14:textId="4DE2BD7E">
            <w:pPr>
              <w:pStyle w:val="TableTextCentered"/>
              <w:spacing w:before="0"/>
            </w:pPr>
            <w:r>
              <w:t>NA</w:t>
            </w:r>
          </w:p>
        </w:tc>
      </w:tr>
      <w:tr w:rsidRPr="004C6EA0" w:rsidR="00BF3D0B" w:rsidTr="002759B5" w14:paraId="43B70A43" w14:textId="77777777">
        <w:trPr>
          <w:cnfStyle w:val="000000100000" w:firstRow="0" w:lastRow="0" w:firstColumn="0" w:lastColumn="0" w:oddVBand="0" w:evenVBand="0" w:oddHBand="1" w:evenHBand="0" w:firstRowFirstColumn="0" w:firstRowLastColumn="0" w:lastRowFirstColumn="0" w:lastRowLastColumn="0"/>
          <w:trHeight w:val="1439"/>
        </w:trPr>
        <w:tc>
          <w:tcPr>
            <w:tcW w:w="5490" w:type="dxa"/>
            <w:tcBorders>
              <w:top w:val="nil"/>
              <w:left w:val="nil"/>
              <w:bottom w:val="nil"/>
              <w:right w:val="nil"/>
            </w:tcBorders>
            <w:tcMar>
              <w:bottom w:w="0" w:type="dxa"/>
            </w:tcMar>
            <w:hideMark/>
          </w:tcPr>
          <w:p w:rsidRPr="004C6EA0" w:rsidR="00BF3D0B" w:rsidP="002759B5" w:rsidRDefault="00BF3D0B" w14:paraId="00EDD3AD" w14:textId="77777777">
            <w:pPr>
              <w:pStyle w:val="TableTextLeft"/>
              <w:spacing w:before="0"/>
              <w:rPr>
                <w:rStyle w:val="Default"/>
              </w:rPr>
            </w:pPr>
            <w:r w:rsidRPr="004C6EA0">
              <w:t xml:space="preserve">What kinds of resources and supports would enhance a home visitor’s ability to interpret and act on information collected through screening, refer caregivers with a positive screen to substance use services for assessment, and follow up on a referral outcome? </w:t>
            </w:r>
          </w:p>
        </w:tc>
        <w:tc>
          <w:tcPr>
            <w:tcW w:w="1091" w:type="dxa"/>
            <w:tcBorders>
              <w:top w:val="nil"/>
              <w:left w:val="nil"/>
              <w:bottom w:val="nil"/>
              <w:right w:val="nil"/>
            </w:tcBorders>
          </w:tcPr>
          <w:p w:rsidRPr="004C6EA0" w:rsidR="00BF3D0B" w:rsidP="002759B5" w:rsidRDefault="00BF3D0B" w14:paraId="3EDE496C" w14:textId="77777777">
            <w:pPr>
              <w:pStyle w:val="TableTextCentered"/>
              <w:spacing w:before="0"/>
            </w:pPr>
            <w:r>
              <w:t xml:space="preserve"> Section I: 24, 25, 26 </w:t>
            </w:r>
          </w:p>
        </w:tc>
        <w:tc>
          <w:tcPr>
            <w:tcW w:w="1159" w:type="dxa"/>
            <w:tcBorders>
              <w:top w:val="nil"/>
              <w:left w:val="nil"/>
              <w:bottom w:val="nil"/>
              <w:right w:val="nil"/>
            </w:tcBorders>
          </w:tcPr>
          <w:p w:rsidRPr="004C6EA0" w:rsidR="00BF3D0B" w:rsidP="002759B5" w:rsidRDefault="00BF3D0B" w14:paraId="70B38934" w14:textId="77777777">
            <w:pPr>
              <w:pStyle w:val="TableTextCentered"/>
              <w:spacing w:before="0"/>
            </w:pPr>
            <w:r>
              <w:t>Section III: 5, 6, 7</w:t>
            </w:r>
          </w:p>
        </w:tc>
        <w:tc>
          <w:tcPr>
            <w:tcW w:w="1535" w:type="dxa"/>
            <w:tcBorders>
              <w:top w:val="nil"/>
              <w:left w:val="nil"/>
              <w:bottom w:val="nil"/>
              <w:right w:val="nil"/>
            </w:tcBorders>
          </w:tcPr>
          <w:p w:rsidRPr="004C6EA0" w:rsidR="00BF3D0B" w:rsidP="002759B5" w:rsidRDefault="00BF3D0B" w14:paraId="32A37472" w14:textId="77777777">
            <w:pPr>
              <w:pStyle w:val="TableTextCentered"/>
              <w:spacing w:before="0"/>
            </w:pPr>
            <w:r>
              <w:t>NA</w:t>
            </w:r>
          </w:p>
        </w:tc>
      </w:tr>
      <w:tr w:rsidRPr="004C6EA0" w:rsidR="00BF3D0B" w:rsidTr="002759B5" w14:paraId="273B2769" w14:textId="77777777">
        <w:trPr>
          <w:cnfStyle w:val="000000010000" w:firstRow="0" w:lastRow="0" w:firstColumn="0" w:lastColumn="0" w:oddVBand="0" w:evenVBand="0" w:oddHBand="0" w:evenHBand="1" w:firstRowFirstColumn="0" w:firstRowLastColumn="0" w:lastRowFirstColumn="0" w:lastRowLastColumn="0"/>
          <w:trHeight w:val="1439"/>
        </w:trPr>
        <w:tc>
          <w:tcPr>
            <w:tcW w:w="5490" w:type="dxa"/>
            <w:tcBorders>
              <w:top w:val="nil"/>
              <w:left w:val="nil"/>
              <w:bottom w:val="nil"/>
              <w:right w:val="nil"/>
            </w:tcBorders>
            <w:tcMar>
              <w:bottom w:w="0" w:type="dxa"/>
            </w:tcMar>
          </w:tcPr>
          <w:p w:rsidRPr="004C6EA0" w:rsidR="00BF3D0B" w:rsidP="002759B5" w:rsidRDefault="00BF3D0B" w14:paraId="601185CD" w14:textId="77777777">
            <w:pPr>
              <w:pStyle w:val="TableTextLeft"/>
              <w:spacing w:before="0"/>
            </w:pPr>
            <w:r w:rsidRPr="004C6EA0">
              <w:t xml:space="preserve">What resources and supports would enhance a home visitor’s ability to provide services to families to address substance use (as in supporting behavior change, promoting positive social support, and providing information on the effects of maternal substance use)? </w:t>
            </w:r>
          </w:p>
        </w:tc>
        <w:tc>
          <w:tcPr>
            <w:tcW w:w="1091" w:type="dxa"/>
            <w:tcBorders>
              <w:top w:val="nil"/>
              <w:left w:val="nil"/>
              <w:bottom w:val="nil"/>
              <w:right w:val="nil"/>
            </w:tcBorders>
          </w:tcPr>
          <w:p w:rsidRPr="004C6EA0" w:rsidR="00BF3D0B" w:rsidP="002759B5" w:rsidRDefault="00BF3D0B" w14:paraId="1B470508" w14:textId="77777777">
            <w:pPr>
              <w:pStyle w:val="TableTextCentered"/>
              <w:spacing w:before="0"/>
            </w:pPr>
            <w:r>
              <w:t>Section I: 27, 28, 29</w:t>
            </w:r>
          </w:p>
        </w:tc>
        <w:tc>
          <w:tcPr>
            <w:tcW w:w="1159" w:type="dxa"/>
            <w:tcBorders>
              <w:top w:val="nil"/>
              <w:left w:val="nil"/>
              <w:bottom w:val="nil"/>
              <w:right w:val="nil"/>
            </w:tcBorders>
          </w:tcPr>
          <w:p w:rsidRPr="004C6EA0" w:rsidR="00BF3D0B" w:rsidP="002759B5" w:rsidRDefault="00BF3D0B" w14:paraId="0E98CB8B" w14:textId="77777777">
            <w:pPr>
              <w:pStyle w:val="TableTextCentered"/>
              <w:spacing w:before="0"/>
            </w:pPr>
            <w:r>
              <w:t>Section III: 8, 9, 10</w:t>
            </w:r>
          </w:p>
        </w:tc>
        <w:tc>
          <w:tcPr>
            <w:tcW w:w="1535" w:type="dxa"/>
            <w:tcBorders>
              <w:top w:val="nil"/>
              <w:left w:val="nil"/>
              <w:bottom w:val="nil"/>
              <w:right w:val="nil"/>
            </w:tcBorders>
          </w:tcPr>
          <w:p w:rsidRPr="004C6EA0" w:rsidR="00BF3D0B" w:rsidP="002759B5" w:rsidRDefault="00BF3D0B" w14:paraId="16C5397D" w14:textId="77777777">
            <w:pPr>
              <w:pStyle w:val="TableTextCentered"/>
              <w:spacing w:before="0"/>
            </w:pPr>
            <w:r>
              <w:t>NA</w:t>
            </w:r>
          </w:p>
        </w:tc>
      </w:tr>
      <w:tr w:rsidRPr="004C6EA0" w:rsidR="00DE619A" w:rsidTr="0071157E" w14:paraId="0FC65C67" w14:textId="77777777">
        <w:trPr>
          <w:cnfStyle w:val="000000100000" w:firstRow="0" w:lastRow="0" w:firstColumn="0" w:lastColumn="0" w:oddVBand="0" w:evenVBand="0" w:oddHBand="1" w:evenHBand="0" w:firstRowFirstColumn="0" w:firstRowLastColumn="0" w:lastRowFirstColumn="0" w:lastRowLastColumn="0"/>
          <w:trHeight w:val="666"/>
        </w:trPr>
        <w:tc>
          <w:tcPr>
            <w:tcW w:w="5490" w:type="dxa"/>
            <w:tcBorders>
              <w:top w:val="nil"/>
              <w:left w:val="nil"/>
              <w:bottom w:val="nil"/>
              <w:right w:val="nil"/>
            </w:tcBorders>
            <w:tcMar>
              <w:bottom w:w="0" w:type="dxa"/>
            </w:tcMar>
            <w:hideMark/>
          </w:tcPr>
          <w:p w:rsidRPr="000A0D41" w:rsidR="00DE619A" w:rsidP="0071157E" w:rsidRDefault="00DE619A" w14:paraId="36690BEF" w14:textId="5582889E">
            <w:pPr>
              <w:pStyle w:val="TableTextLeft"/>
              <w:spacing w:before="0"/>
            </w:pPr>
            <w:r w:rsidRPr="000A0D41">
              <w:t xml:space="preserve">How do LIAs currently measure a caregiver’s receipt of substance use screening and </w:t>
            </w:r>
            <w:r w:rsidR="007A266D">
              <w:t>follow up</w:t>
            </w:r>
            <w:r w:rsidRPr="000A0D41">
              <w:t xml:space="preserve">? </w:t>
            </w:r>
          </w:p>
        </w:tc>
        <w:tc>
          <w:tcPr>
            <w:tcW w:w="1091" w:type="dxa"/>
            <w:tcBorders>
              <w:top w:val="nil"/>
              <w:left w:val="nil"/>
              <w:bottom w:val="nil"/>
              <w:right w:val="nil"/>
            </w:tcBorders>
          </w:tcPr>
          <w:p w:rsidRPr="004C6EA0" w:rsidR="00DE619A" w:rsidP="0071157E" w:rsidRDefault="001E342D" w14:paraId="76FB9248" w14:textId="6FAF7F7B">
            <w:pPr>
              <w:pStyle w:val="TableTextCentered"/>
              <w:spacing w:before="0"/>
            </w:pPr>
            <w:r>
              <w:t xml:space="preserve">Section </w:t>
            </w:r>
            <w:r w:rsidR="00CF1721">
              <w:t xml:space="preserve">II: </w:t>
            </w:r>
            <w:r w:rsidR="00C43BA3">
              <w:t>1</w:t>
            </w:r>
            <w:r w:rsidR="0035566F">
              <w:t>, 2</w:t>
            </w:r>
          </w:p>
        </w:tc>
        <w:tc>
          <w:tcPr>
            <w:tcW w:w="1159" w:type="dxa"/>
            <w:tcBorders>
              <w:top w:val="nil"/>
              <w:left w:val="nil"/>
              <w:bottom w:val="nil"/>
              <w:right w:val="nil"/>
            </w:tcBorders>
          </w:tcPr>
          <w:p w:rsidRPr="004C6EA0" w:rsidR="00DE619A" w:rsidP="0071157E" w:rsidRDefault="00567E5F" w14:paraId="2C27D8C8" w14:textId="633FDD39">
            <w:pPr>
              <w:pStyle w:val="TableTextCentered"/>
              <w:spacing w:before="0"/>
            </w:pPr>
            <w:r>
              <w:t>NA</w:t>
            </w:r>
          </w:p>
        </w:tc>
        <w:tc>
          <w:tcPr>
            <w:tcW w:w="1535" w:type="dxa"/>
            <w:tcBorders>
              <w:top w:val="nil"/>
              <w:left w:val="nil"/>
              <w:bottom w:val="nil"/>
              <w:right w:val="nil"/>
            </w:tcBorders>
          </w:tcPr>
          <w:p w:rsidR="007C3802" w:rsidP="0071157E" w:rsidRDefault="001E342D" w14:paraId="44360185" w14:textId="77777777">
            <w:pPr>
              <w:pStyle w:val="TableTextCentered"/>
              <w:spacing w:before="0"/>
            </w:pPr>
            <w:r>
              <w:t xml:space="preserve">Section </w:t>
            </w:r>
            <w:r w:rsidR="00CF1721">
              <w:t xml:space="preserve">II: </w:t>
            </w:r>
          </w:p>
          <w:p w:rsidRPr="004C6EA0" w:rsidR="00DE619A" w:rsidP="0071157E" w:rsidRDefault="00C43BA3" w14:paraId="0FB4379E" w14:textId="3169D5A6">
            <w:pPr>
              <w:pStyle w:val="TableTextCentered"/>
              <w:spacing w:before="0"/>
            </w:pPr>
            <w:r>
              <w:t>1</w:t>
            </w:r>
          </w:p>
        </w:tc>
      </w:tr>
      <w:tr w:rsidRPr="004C6EA0" w:rsidR="001A6ECF" w:rsidTr="0071157E" w14:paraId="708357DF" w14:textId="77777777">
        <w:trPr>
          <w:cnfStyle w:val="000000010000" w:firstRow="0" w:lastRow="0" w:firstColumn="0" w:lastColumn="0" w:oddVBand="0" w:evenVBand="0" w:oddHBand="0" w:evenHBand="1" w:firstRowFirstColumn="0" w:firstRowLastColumn="0" w:lastRowFirstColumn="0" w:lastRowLastColumn="0"/>
          <w:trHeight w:val="655"/>
        </w:trPr>
        <w:tc>
          <w:tcPr>
            <w:tcW w:w="5490" w:type="dxa"/>
            <w:tcBorders>
              <w:top w:val="nil"/>
              <w:left w:val="nil"/>
              <w:bottom w:val="nil"/>
              <w:right w:val="nil"/>
            </w:tcBorders>
            <w:tcMar>
              <w:bottom w:w="0" w:type="dxa"/>
            </w:tcMar>
          </w:tcPr>
          <w:p w:rsidRPr="004C6EA0" w:rsidR="001A6ECF" w:rsidP="0071157E" w:rsidRDefault="001A6ECF" w14:paraId="47D39124" w14:textId="70500249">
            <w:pPr>
              <w:pStyle w:val="TableTextLeft"/>
              <w:spacing w:before="0"/>
            </w:pPr>
            <w:r w:rsidRPr="004C6EA0">
              <w:lastRenderedPageBreak/>
              <w:t>How do SUD-1 and SUD-2 compare with the substance use measures LIAs have been using?</w:t>
            </w:r>
          </w:p>
        </w:tc>
        <w:tc>
          <w:tcPr>
            <w:tcW w:w="1091" w:type="dxa"/>
            <w:tcBorders>
              <w:top w:val="nil"/>
              <w:left w:val="nil"/>
              <w:bottom w:val="nil"/>
              <w:right w:val="nil"/>
            </w:tcBorders>
          </w:tcPr>
          <w:p w:rsidRPr="004C6EA0" w:rsidR="001A6ECF" w:rsidP="0071157E" w:rsidRDefault="001E342D" w14:paraId="1A73F4FC" w14:textId="282A0932">
            <w:pPr>
              <w:pStyle w:val="TableTextCentered"/>
              <w:spacing w:before="0"/>
            </w:pPr>
            <w:r>
              <w:t xml:space="preserve">Section </w:t>
            </w:r>
            <w:r w:rsidR="00CF1721">
              <w:t xml:space="preserve">II: </w:t>
            </w:r>
            <w:r w:rsidR="0035566F">
              <w:t>1, 2</w:t>
            </w:r>
          </w:p>
        </w:tc>
        <w:tc>
          <w:tcPr>
            <w:tcW w:w="1159" w:type="dxa"/>
            <w:tcBorders>
              <w:top w:val="nil"/>
              <w:left w:val="nil"/>
              <w:bottom w:val="nil"/>
              <w:right w:val="nil"/>
            </w:tcBorders>
          </w:tcPr>
          <w:p w:rsidRPr="004C6EA0" w:rsidR="001A6ECF" w:rsidP="0071157E" w:rsidRDefault="001E342D" w14:paraId="6D8A3864" w14:textId="199BDF07">
            <w:pPr>
              <w:pStyle w:val="TableTextLeft"/>
              <w:spacing w:before="0"/>
              <w:jc w:val="center"/>
            </w:pPr>
            <w:r>
              <w:t xml:space="preserve">Section </w:t>
            </w:r>
            <w:r w:rsidR="00CF1721">
              <w:t xml:space="preserve">II: </w:t>
            </w:r>
            <w:r w:rsidR="001A6ECF">
              <w:t>2a-2e</w:t>
            </w:r>
          </w:p>
        </w:tc>
        <w:tc>
          <w:tcPr>
            <w:tcW w:w="1535" w:type="dxa"/>
            <w:tcBorders>
              <w:top w:val="nil"/>
              <w:left w:val="nil"/>
              <w:bottom w:val="nil"/>
              <w:right w:val="nil"/>
            </w:tcBorders>
          </w:tcPr>
          <w:p w:rsidRPr="004C6EA0" w:rsidR="001A6ECF" w:rsidP="0071157E" w:rsidRDefault="00DB467E" w14:paraId="6AA25427" w14:textId="27FEB025">
            <w:pPr>
              <w:pStyle w:val="TableTextLeft"/>
              <w:spacing w:before="0"/>
              <w:jc w:val="center"/>
            </w:pPr>
            <w:r>
              <w:t>NA</w:t>
            </w:r>
          </w:p>
        </w:tc>
      </w:tr>
      <w:tr w:rsidRPr="004C6EA0" w:rsidR="001A6ECF" w:rsidTr="0071157E" w14:paraId="63479903" w14:textId="77777777">
        <w:trPr>
          <w:cnfStyle w:val="000000100000" w:firstRow="0" w:lastRow="0" w:firstColumn="0" w:lastColumn="0" w:oddVBand="0" w:evenVBand="0" w:oddHBand="1" w:evenHBand="0" w:firstRowFirstColumn="0" w:firstRowLastColumn="0" w:lastRowFirstColumn="0" w:lastRowLastColumn="0"/>
          <w:trHeight w:val="655"/>
        </w:trPr>
        <w:tc>
          <w:tcPr>
            <w:tcW w:w="5490" w:type="dxa"/>
            <w:tcBorders>
              <w:top w:val="nil"/>
              <w:left w:val="nil"/>
              <w:bottom w:val="nil"/>
              <w:right w:val="nil"/>
            </w:tcBorders>
            <w:tcMar>
              <w:bottom w:w="0" w:type="dxa"/>
            </w:tcMar>
            <w:hideMark/>
          </w:tcPr>
          <w:p w:rsidRPr="004C6EA0" w:rsidR="001A6ECF" w:rsidP="0071157E" w:rsidRDefault="001A6ECF" w14:paraId="79CF01F1" w14:textId="616B993D">
            <w:pPr>
              <w:pStyle w:val="TableTextLeft"/>
              <w:spacing w:before="0"/>
            </w:pPr>
            <w:r w:rsidRPr="004C6EA0">
              <w:t xml:space="preserve">How do </w:t>
            </w:r>
            <w:r>
              <w:t>the SUD-1 and SUD-2</w:t>
            </w:r>
            <w:r w:rsidRPr="004C6EA0">
              <w:t xml:space="preserve"> measures align with model requirements on substance use screening and </w:t>
            </w:r>
            <w:r w:rsidR="007A266D">
              <w:t>follow up</w:t>
            </w:r>
            <w:r w:rsidRPr="004C6EA0">
              <w:t>?</w:t>
            </w:r>
          </w:p>
        </w:tc>
        <w:tc>
          <w:tcPr>
            <w:tcW w:w="1091" w:type="dxa"/>
            <w:tcBorders>
              <w:top w:val="nil"/>
              <w:left w:val="nil"/>
              <w:bottom w:val="nil"/>
              <w:right w:val="nil"/>
            </w:tcBorders>
          </w:tcPr>
          <w:p w:rsidRPr="004C6EA0" w:rsidR="001A6ECF" w:rsidP="0071157E" w:rsidRDefault="001E342D" w14:paraId="158A652D" w14:textId="0AE7791A">
            <w:pPr>
              <w:pStyle w:val="TableTextCentered"/>
              <w:spacing w:before="0"/>
            </w:pPr>
            <w:r>
              <w:t xml:space="preserve">Section </w:t>
            </w:r>
            <w:r w:rsidR="00CF1721">
              <w:t xml:space="preserve">II: </w:t>
            </w:r>
            <w:r w:rsidR="001A6ECF">
              <w:t>2f</w:t>
            </w:r>
          </w:p>
        </w:tc>
        <w:tc>
          <w:tcPr>
            <w:tcW w:w="1159" w:type="dxa"/>
            <w:tcBorders>
              <w:top w:val="nil"/>
              <w:left w:val="nil"/>
              <w:bottom w:val="nil"/>
              <w:right w:val="nil"/>
            </w:tcBorders>
          </w:tcPr>
          <w:p w:rsidRPr="004C6EA0" w:rsidR="001A6ECF" w:rsidP="0071157E" w:rsidRDefault="001E342D" w14:paraId="7958351A" w14:textId="23083AD4">
            <w:pPr>
              <w:pStyle w:val="TableTextCentered"/>
              <w:spacing w:before="0"/>
            </w:pPr>
            <w:r>
              <w:t xml:space="preserve">Section </w:t>
            </w:r>
            <w:r w:rsidR="00CF1721">
              <w:t xml:space="preserve">II: </w:t>
            </w:r>
            <w:r w:rsidR="001A6ECF">
              <w:t>2f</w:t>
            </w:r>
          </w:p>
        </w:tc>
        <w:tc>
          <w:tcPr>
            <w:tcW w:w="1535" w:type="dxa"/>
            <w:tcBorders>
              <w:top w:val="nil"/>
              <w:left w:val="nil"/>
              <w:bottom w:val="nil"/>
              <w:right w:val="nil"/>
            </w:tcBorders>
          </w:tcPr>
          <w:p w:rsidR="007C3802" w:rsidP="0071157E" w:rsidRDefault="001E342D" w14:paraId="7DE3B750" w14:textId="77777777">
            <w:pPr>
              <w:pStyle w:val="TableTextCentered"/>
              <w:spacing w:before="0"/>
            </w:pPr>
            <w:r>
              <w:t xml:space="preserve">Section </w:t>
            </w:r>
            <w:r w:rsidR="00CF1721">
              <w:t xml:space="preserve">II: </w:t>
            </w:r>
          </w:p>
          <w:p w:rsidRPr="004C6EA0" w:rsidR="001A6ECF" w:rsidP="0071157E" w:rsidRDefault="001A6ECF" w14:paraId="47FA2AC5" w14:textId="66E51857">
            <w:pPr>
              <w:pStyle w:val="TableTextCentered"/>
              <w:spacing w:before="0"/>
            </w:pPr>
            <w:r>
              <w:t>2f</w:t>
            </w:r>
          </w:p>
        </w:tc>
      </w:tr>
      <w:tr w:rsidRPr="004C6EA0" w:rsidR="001A6ECF" w:rsidTr="0071157E" w14:paraId="51277CC4" w14:textId="77777777">
        <w:trPr>
          <w:cnfStyle w:val="000000010000" w:firstRow="0" w:lastRow="0" w:firstColumn="0" w:lastColumn="0" w:oddVBand="0" w:evenVBand="0" w:oddHBand="0" w:evenHBand="1" w:firstRowFirstColumn="0" w:firstRowLastColumn="0" w:lastRowFirstColumn="0" w:lastRowLastColumn="0"/>
          <w:trHeight w:val="857"/>
        </w:trPr>
        <w:tc>
          <w:tcPr>
            <w:tcW w:w="5490" w:type="dxa"/>
            <w:tcBorders>
              <w:top w:val="nil"/>
              <w:left w:val="nil"/>
              <w:bottom w:val="nil"/>
              <w:right w:val="nil"/>
            </w:tcBorders>
            <w:tcMar>
              <w:bottom w:w="0" w:type="dxa"/>
            </w:tcMar>
            <w:hideMark/>
          </w:tcPr>
          <w:p w:rsidRPr="004C6EA0" w:rsidR="001A6ECF" w:rsidP="0071157E" w:rsidRDefault="001A6ECF" w14:paraId="4CC5F2F0" w14:textId="4CCEDA69">
            <w:pPr>
              <w:pStyle w:val="TableTextLeft"/>
              <w:spacing w:before="0"/>
            </w:pPr>
            <w:r w:rsidRPr="004C6EA0">
              <w:t xml:space="preserve">How feasible is it for </w:t>
            </w:r>
            <w:r>
              <w:t xml:space="preserve">state </w:t>
            </w:r>
            <w:r w:rsidRPr="004C6EA0">
              <w:t xml:space="preserve">awardees and LIAs to collect data on screening for alcohol and drug use? For </w:t>
            </w:r>
            <w:r w:rsidR="007A266D">
              <w:t>follow up</w:t>
            </w:r>
            <w:r w:rsidRPr="004C6EA0">
              <w:t xml:space="preserve"> care from a behavioral health </w:t>
            </w:r>
            <w:proofErr w:type="gramStart"/>
            <w:r w:rsidRPr="004C6EA0">
              <w:t>provider?</w:t>
            </w:r>
            <w:proofErr w:type="gramEnd"/>
            <w:r w:rsidRPr="004C6EA0">
              <w:t xml:space="preserve"> </w:t>
            </w:r>
          </w:p>
        </w:tc>
        <w:tc>
          <w:tcPr>
            <w:tcW w:w="1091" w:type="dxa"/>
            <w:tcBorders>
              <w:top w:val="nil"/>
              <w:left w:val="nil"/>
              <w:bottom w:val="nil"/>
              <w:right w:val="nil"/>
            </w:tcBorders>
          </w:tcPr>
          <w:p w:rsidRPr="004C6EA0" w:rsidR="001A6ECF" w:rsidP="0071157E" w:rsidRDefault="001E342D" w14:paraId="6105BBC6" w14:textId="2D9769F2">
            <w:pPr>
              <w:pStyle w:val="TableTextCentered"/>
              <w:spacing w:before="0"/>
            </w:pPr>
            <w:r>
              <w:t xml:space="preserve">Section </w:t>
            </w:r>
            <w:r w:rsidR="00CF1721">
              <w:t xml:space="preserve">II: </w:t>
            </w:r>
            <w:r w:rsidR="001A6ECF">
              <w:t>3</w:t>
            </w:r>
          </w:p>
        </w:tc>
        <w:tc>
          <w:tcPr>
            <w:tcW w:w="1159" w:type="dxa"/>
            <w:tcBorders>
              <w:top w:val="nil"/>
              <w:left w:val="nil"/>
              <w:bottom w:val="nil"/>
              <w:right w:val="nil"/>
            </w:tcBorders>
          </w:tcPr>
          <w:p w:rsidR="007C3802" w:rsidP="0071157E" w:rsidRDefault="001E342D" w14:paraId="7E83E5AC" w14:textId="77777777">
            <w:pPr>
              <w:pStyle w:val="TableTextCentered"/>
              <w:spacing w:before="0"/>
            </w:pPr>
            <w:r>
              <w:t xml:space="preserve">Section </w:t>
            </w:r>
            <w:r w:rsidR="00CF1721">
              <w:t xml:space="preserve">II: </w:t>
            </w:r>
          </w:p>
          <w:p w:rsidRPr="004C6EA0" w:rsidR="001A6ECF" w:rsidP="0071157E" w:rsidRDefault="001A6ECF" w14:paraId="34018BEC" w14:textId="09CFA89B">
            <w:pPr>
              <w:pStyle w:val="TableTextCentered"/>
              <w:spacing w:before="0"/>
            </w:pPr>
            <w:r>
              <w:t>3</w:t>
            </w:r>
          </w:p>
        </w:tc>
        <w:tc>
          <w:tcPr>
            <w:tcW w:w="1535" w:type="dxa"/>
            <w:tcBorders>
              <w:top w:val="nil"/>
              <w:left w:val="nil"/>
              <w:bottom w:val="nil"/>
              <w:right w:val="nil"/>
            </w:tcBorders>
          </w:tcPr>
          <w:p w:rsidRPr="004C6EA0" w:rsidR="001A6ECF" w:rsidP="0071157E" w:rsidRDefault="001A6ECF" w14:paraId="3A61B347" w14:textId="0F7B6280">
            <w:pPr>
              <w:pStyle w:val="TableTextCentered"/>
              <w:spacing w:before="0"/>
            </w:pPr>
            <w:r>
              <w:t>NA</w:t>
            </w:r>
          </w:p>
        </w:tc>
      </w:tr>
      <w:tr w:rsidRPr="004C6EA0" w:rsidR="001A6ECF" w:rsidTr="0071157E" w14:paraId="1A8345CF" w14:textId="77777777">
        <w:trPr>
          <w:cnfStyle w:val="000000100000" w:firstRow="0" w:lastRow="0" w:firstColumn="0" w:lastColumn="0" w:oddVBand="0" w:evenVBand="0" w:oddHBand="1" w:evenHBand="0" w:firstRowFirstColumn="0" w:firstRowLastColumn="0" w:lastRowFirstColumn="0" w:lastRowLastColumn="0"/>
          <w:trHeight w:val="655"/>
        </w:trPr>
        <w:tc>
          <w:tcPr>
            <w:tcW w:w="5490" w:type="dxa"/>
            <w:tcBorders>
              <w:top w:val="nil"/>
              <w:left w:val="nil"/>
              <w:bottom w:val="nil"/>
              <w:right w:val="nil"/>
            </w:tcBorders>
            <w:tcMar>
              <w:bottom w:w="0" w:type="dxa"/>
            </w:tcMar>
            <w:hideMark/>
          </w:tcPr>
          <w:p w:rsidRPr="004C6EA0" w:rsidR="001A6ECF" w:rsidP="0071157E" w:rsidRDefault="001A6ECF" w14:paraId="72EA3A1A" w14:textId="5B249FB4">
            <w:pPr>
              <w:pStyle w:val="TableTextLeft"/>
              <w:spacing w:before="0"/>
            </w:pPr>
            <w:r w:rsidRPr="004C6EA0">
              <w:t>What infrastructure do state</w:t>
            </w:r>
            <w:r>
              <w:t xml:space="preserve"> awardee</w:t>
            </w:r>
            <w:r w:rsidRPr="004C6EA0">
              <w:t xml:space="preserve">s and LIAs have in place to support reporting performance on SUD-1 and SUD-2? </w:t>
            </w:r>
          </w:p>
        </w:tc>
        <w:tc>
          <w:tcPr>
            <w:tcW w:w="1091" w:type="dxa"/>
            <w:tcBorders>
              <w:top w:val="nil"/>
              <w:left w:val="nil"/>
              <w:bottom w:val="nil"/>
              <w:right w:val="nil"/>
            </w:tcBorders>
          </w:tcPr>
          <w:p w:rsidRPr="004C6EA0" w:rsidR="001A6ECF" w:rsidP="0071157E" w:rsidRDefault="001E342D" w14:paraId="1EC3DB8D" w14:textId="1ECC231F">
            <w:pPr>
              <w:pStyle w:val="TableTextCentered"/>
              <w:spacing w:before="0"/>
            </w:pPr>
            <w:r>
              <w:t xml:space="preserve">Section </w:t>
            </w:r>
            <w:r w:rsidR="00CF1721">
              <w:t xml:space="preserve">II: </w:t>
            </w:r>
            <w:r w:rsidR="00EC7C27">
              <w:t>4</w:t>
            </w:r>
          </w:p>
        </w:tc>
        <w:tc>
          <w:tcPr>
            <w:tcW w:w="1159" w:type="dxa"/>
            <w:tcBorders>
              <w:top w:val="nil"/>
              <w:left w:val="nil"/>
              <w:bottom w:val="nil"/>
              <w:right w:val="nil"/>
            </w:tcBorders>
          </w:tcPr>
          <w:p w:rsidR="007C3802" w:rsidP="0071157E" w:rsidRDefault="001E342D" w14:paraId="0FF374AC" w14:textId="77777777">
            <w:pPr>
              <w:pStyle w:val="TableTextCentered"/>
              <w:spacing w:before="0"/>
            </w:pPr>
            <w:r>
              <w:t xml:space="preserve">Section </w:t>
            </w:r>
            <w:r w:rsidR="00CF1721">
              <w:t>II:</w:t>
            </w:r>
          </w:p>
          <w:p w:rsidRPr="004C6EA0" w:rsidR="001A6ECF" w:rsidP="0071157E" w:rsidRDefault="00EC7C27" w14:paraId="5ACA7D79" w14:textId="3ECE6B34">
            <w:pPr>
              <w:pStyle w:val="TableTextCentered"/>
              <w:spacing w:before="0"/>
            </w:pPr>
            <w:r>
              <w:t>4</w:t>
            </w:r>
          </w:p>
        </w:tc>
        <w:tc>
          <w:tcPr>
            <w:tcW w:w="1535" w:type="dxa"/>
            <w:tcBorders>
              <w:top w:val="nil"/>
              <w:left w:val="nil"/>
              <w:bottom w:val="nil"/>
              <w:right w:val="nil"/>
            </w:tcBorders>
          </w:tcPr>
          <w:p w:rsidR="007C3802" w:rsidP="0071157E" w:rsidRDefault="001E342D" w14:paraId="29ACA2DC" w14:textId="77777777">
            <w:pPr>
              <w:pStyle w:val="TableTextCentered"/>
              <w:spacing w:before="0"/>
            </w:pPr>
            <w:r>
              <w:t xml:space="preserve">Section </w:t>
            </w:r>
            <w:r w:rsidR="00CF1721">
              <w:t xml:space="preserve">II: </w:t>
            </w:r>
          </w:p>
          <w:p w:rsidRPr="004C6EA0" w:rsidR="001A6ECF" w:rsidP="0071157E" w:rsidRDefault="00EC7C27" w14:paraId="253C6F37" w14:textId="23FC85FB">
            <w:pPr>
              <w:pStyle w:val="TableTextCentered"/>
              <w:spacing w:before="0"/>
            </w:pPr>
            <w:r>
              <w:t>4</w:t>
            </w:r>
          </w:p>
        </w:tc>
      </w:tr>
      <w:tr w:rsidRPr="004C6EA0" w:rsidR="001A6ECF" w:rsidTr="0071157E" w14:paraId="22DEF5A4" w14:textId="77777777">
        <w:trPr>
          <w:cnfStyle w:val="000000010000" w:firstRow="0" w:lastRow="0" w:firstColumn="0" w:lastColumn="0" w:oddVBand="0" w:evenVBand="0" w:oddHBand="0" w:evenHBand="1" w:firstRowFirstColumn="0" w:firstRowLastColumn="0" w:lastRowFirstColumn="0" w:lastRowLastColumn="0"/>
          <w:trHeight w:val="857"/>
        </w:trPr>
        <w:tc>
          <w:tcPr>
            <w:tcW w:w="5490" w:type="dxa"/>
            <w:tcBorders>
              <w:top w:val="nil"/>
              <w:left w:val="nil"/>
              <w:bottom w:val="nil"/>
              <w:right w:val="nil"/>
            </w:tcBorders>
            <w:tcMar>
              <w:bottom w:w="0" w:type="dxa"/>
            </w:tcMar>
            <w:hideMark/>
          </w:tcPr>
          <w:p w:rsidRPr="004C6EA0" w:rsidR="001A6ECF" w:rsidP="0071157E" w:rsidRDefault="001A6ECF" w14:paraId="3919CBD9" w14:textId="270F9B54">
            <w:pPr>
              <w:pStyle w:val="TableTextLeft"/>
              <w:spacing w:before="0"/>
            </w:pPr>
            <w:r w:rsidRPr="004C6EA0">
              <w:t xml:space="preserve">To what extent are the data elements to calculate SUD-1 and SUD-2 included in </w:t>
            </w:r>
            <w:r>
              <w:t xml:space="preserve">state </w:t>
            </w:r>
            <w:r w:rsidRPr="004C6EA0">
              <w:t xml:space="preserve">awardees’ and LIAs’ record management systems? </w:t>
            </w:r>
          </w:p>
        </w:tc>
        <w:tc>
          <w:tcPr>
            <w:tcW w:w="1091" w:type="dxa"/>
            <w:tcBorders>
              <w:top w:val="nil"/>
              <w:left w:val="nil"/>
              <w:bottom w:val="nil"/>
              <w:right w:val="nil"/>
            </w:tcBorders>
          </w:tcPr>
          <w:p w:rsidRPr="004C6EA0" w:rsidR="001A6ECF" w:rsidP="0071157E" w:rsidRDefault="001E342D" w14:paraId="2DAE1FC5" w14:textId="72FE4EF6">
            <w:pPr>
              <w:pStyle w:val="TableTextCentered"/>
              <w:spacing w:before="0"/>
            </w:pPr>
            <w:r>
              <w:t xml:space="preserve">Section </w:t>
            </w:r>
            <w:r w:rsidR="00CF1721">
              <w:t xml:space="preserve">II: </w:t>
            </w:r>
            <w:r w:rsidR="001A6ECF">
              <w:t>5</w:t>
            </w:r>
          </w:p>
        </w:tc>
        <w:tc>
          <w:tcPr>
            <w:tcW w:w="1159" w:type="dxa"/>
            <w:tcBorders>
              <w:top w:val="nil"/>
              <w:left w:val="nil"/>
              <w:bottom w:val="nil"/>
              <w:right w:val="nil"/>
            </w:tcBorders>
          </w:tcPr>
          <w:p w:rsidR="007C3802" w:rsidP="0071157E" w:rsidRDefault="001E342D" w14:paraId="75B41A74" w14:textId="77777777">
            <w:pPr>
              <w:pStyle w:val="TableTextCentered"/>
              <w:spacing w:before="0"/>
            </w:pPr>
            <w:r>
              <w:t xml:space="preserve">Section </w:t>
            </w:r>
            <w:r w:rsidR="00CF1721">
              <w:t>II:</w:t>
            </w:r>
          </w:p>
          <w:p w:rsidRPr="004C6EA0" w:rsidR="001A6ECF" w:rsidP="0071157E" w:rsidRDefault="001A6ECF" w14:paraId="0C059D8A" w14:textId="3A875AD3">
            <w:pPr>
              <w:pStyle w:val="TableTextCentered"/>
              <w:spacing w:before="0"/>
            </w:pPr>
            <w:r>
              <w:t>5</w:t>
            </w:r>
          </w:p>
        </w:tc>
        <w:tc>
          <w:tcPr>
            <w:tcW w:w="1535" w:type="dxa"/>
            <w:tcBorders>
              <w:top w:val="nil"/>
              <w:left w:val="nil"/>
              <w:bottom w:val="nil"/>
              <w:right w:val="nil"/>
            </w:tcBorders>
          </w:tcPr>
          <w:p w:rsidRPr="004C6EA0" w:rsidR="001A6ECF" w:rsidP="0071157E" w:rsidRDefault="001A6ECF" w14:paraId="4E7969DC" w14:textId="08F0294A">
            <w:pPr>
              <w:pStyle w:val="TableTextCentered"/>
              <w:spacing w:before="0"/>
            </w:pPr>
            <w:r>
              <w:t>NA</w:t>
            </w:r>
          </w:p>
        </w:tc>
      </w:tr>
      <w:tr w:rsidRPr="004C6EA0" w:rsidR="001A6ECF" w:rsidTr="0071157E" w14:paraId="6089AFEF" w14:textId="77777777">
        <w:trPr>
          <w:cnfStyle w:val="000000100000" w:firstRow="0" w:lastRow="0" w:firstColumn="0" w:lastColumn="0" w:oddVBand="0" w:evenVBand="0" w:oddHBand="1" w:evenHBand="0" w:firstRowFirstColumn="0" w:firstRowLastColumn="0" w:lastRowFirstColumn="0" w:lastRowLastColumn="0"/>
          <w:trHeight w:val="857"/>
        </w:trPr>
        <w:tc>
          <w:tcPr>
            <w:tcW w:w="5490" w:type="dxa"/>
            <w:tcBorders>
              <w:top w:val="nil"/>
              <w:left w:val="nil"/>
              <w:bottom w:val="nil"/>
              <w:right w:val="nil"/>
            </w:tcBorders>
            <w:tcMar>
              <w:bottom w:w="0" w:type="dxa"/>
            </w:tcMar>
            <w:hideMark/>
          </w:tcPr>
          <w:p w:rsidRPr="004C6EA0" w:rsidR="001A6ECF" w:rsidP="0071157E" w:rsidRDefault="001A6ECF" w14:paraId="5E824A73" w14:textId="1CC69E50">
            <w:pPr>
              <w:pStyle w:val="TableTextLeft"/>
              <w:spacing w:before="0"/>
            </w:pPr>
            <w:r w:rsidRPr="004C6EA0">
              <w:t>What changes will LIAs have to make to their record management systems to calculate SUD-1 and SUD-2 and to report SUD-1 and SUD-2 to the state?</w:t>
            </w:r>
          </w:p>
        </w:tc>
        <w:tc>
          <w:tcPr>
            <w:tcW w:w="1091" w:type="dxa"/>
            <w:tcBorders>
              <w:top w:val="nil"/>
              <w:left w:val="nil"/>
              <w:bottom w:val="nil"/>
              <w:right w:val="nil"/>
            </w:tcBorders>
          </w:tcPr>
          <w:p w:rsidRPr="004C6EA0" w:rsidR="001A6ECF" w:rsidP="0071157E" w:rsidRDefault="001E342D" w14:paraId="476F0E9F" w14:textId="56E89086">
            <w:pPr>
              <w:pStyle w:val="TableTextCentered"/>
              <w:spacing w:before="0"/>
            </w:pPr>
            <w:r>
              <w:t xml:space="preserve">Section </w:t>
            </w:r>
            <w:r w:rsidR="00CF1721">
              <w:t xml:space="preserve">II: </w:t>
            </w:r>
            <w:r w:rsidR="00B90993">
              <w:t>6</w:t>
            </w:r>
          </w:p>
        </w:tc>
        <w:tc>
          <w:tcPr>
            <w:tcW w:w="1159" w:type="dxa"/>
            <w:tcBorders>
              <w:top w:val="nil"/>
              <w:left w:val="nil"/>
              <w:bottom w:val="nil"/>
              <w:right w:val="nil"/>
            </w:tcBorders>
          </w:tcPr>
          <w:p w:rsidRPr="004C6EA0" w:rsidR="001A6ECF" w:rsidP="0071157E" w:rsidRDefault="00B90993" w14:paraId="0A90B25F" w14:textId="06165D4D">
            <w:pPr>
              <w:pStyle w:val="TableTextCentered"/>
              <w:spacing w:before="0"/>
            </w:pPr>
            <w:r>
              <w:t>NA</w:t>
            </w:r>
          </w:p>
        </w:tc>
        <w:tc>
          <w:tcPr>
            <w:tcW w:w="1535" w:type="dxa"/>
            <w:tcBorders>
              <w:top w:val="nil"/>
              <w:left w:val="nil"/>
              <w:bottom w:val="nil"/>
              <w:right w:val="nil"/>
            </w:tcBorders>
          </w:tcPr>
          <w:p w:rsidRPr="004C6EA0" w:rsidR="001A6ECF" w:rsidP="0071157E" w:rsidRDefault="00B90993" w14:paraId="6C179A5C" w14:textId="374C714E">
            <w:pPr>
              <w:pStyle w:val="TableTextCentered"/>
              <w:spacing w:before="0"/>
            </w:pPr>
            <w:r>
              <w:t>NA</w:t>
            </w:r>
          </w:p>
        </w:tc>
      </w:tr>
      <w:tr w:rsidRPr="00654217" w:rsidR="001A6ECF" w:rsidTr="0071157E" w14:paraId="71B83A17" w14:textId="77777777">
        <w:trPr>
          <w:cnfStyle w:val="000000010000" w:firstRow="0" w:lastRow="0" w:firstColumn="0" w:lastColumn="0" w:oddVBand="0" w:evenVBand="0" w:oddHBand="0" w:evenHBand="1" w:firstRowFirstColumn="0" w:firstRowLastColumn="0" w:lastRowFirstColumn="0" w:lastRowLastColumn="0"/>
          <w:trHeight w:val="666"/>
        </w:trPr>
        <w:tc>
          <w:tcPr>
            <w:tcW w:w="5490" w:type="dxa"/>
            <w:tcBorders>
              <w:top w:val="nil"/>
              <w:left w:val="nil"/>
              <w:bottom w:val="nil"/>
              <w:right w:val="nil"/>
            </w:tcBorders>
            <w:tcMar>
              <w:bottom w:w="0" w:type="dxa"/>
            </w:tcMar>
          </w:tcPr>
          <w:p w:rsidRPr="00654217" w:rsidR="001A6ECF" w:rsidP="0071157E" w:rsidRDefault="001A6ECF" w14:paraId="1D2F4F0D" w14:textId="0AB430C4">
            <w:pPr>
              <w:pStyle w:val="TableTextLeft"/>
              <w:spacing w:before="0"/>
            </w:pPr>
            <w:r w:rsidRPr="00654217">
              <w:t>What changes will state awardees have to make to their record management systems to calculate SUD-1 and SUD-2?</w:t>
            </w:r>
          </w:p>
        </w:tc>
        <w:tc>
          <w:tcPr>
            <w:tcW w:w="1091" w:type="dxa"/>
            <w:tcBorders>
              <w:top w:val="nil"/>
              <w:left w:val="nil"/>
              <w:bottom w:val="nil"/>
              <w:right w:val="nil"/>
            </w:tcBorders>
          </w:tcPr>
          <w:p w:rsidRPr="00654217" w:rsidR="001A6ECF" w:rsidP="0071157E" w:rsidRDefault="001A6ECF" w14:paraId="3AF8566D" w14:textId="77777777">
            <w:pPr>
              <w:pStyle w:val="TableTextCentered"/>
              <w:spacing w:before="0"/>
            </w:pPr>
            <w:r w:rsidRPr="00654217">
              <w:t>NA</w:t>
            </w:r>
          </w:p>
        </w:tc>
        <w:tc>
          <w:tcPr>
            <w:tcW w:w="1159" w:type="dxa"/>
            <w:tcBorders>
              <w:top w:val="nil"/>
              <w:left w:val="nil"/>
              <w:bottom w:val="nil"/>
              <w:right w:val="nil"/>
            </w:tcBorders>
          </w:tcPr>
          <w:p w:rsidR="007C3802" w:rsidP="0071157E" w:rsidRDefault="001E342D" w14:paraId="225C94CE" w14:textId="77777777">
            <w:pPr>
              <w:pStyle w:val="TableTextCentered"/>
              <w:spacing w:before="0"/>
            </w:pPr>
            <w:r>
              <w:t xml:space="preserve">Section </w:t>
            </w:r>
            <w:r w:rsidR="00CF1721">
              <w:t>II:</w:t>
            </w:r>
          </w:p>
          <w:p w:rsidRPr="00654217" w:rsidR="001A6ECF" w:rsidP="0071157E" w:rsidRDefault="00174984" w14:paraId="64186FFB" w14:textId="48B9FE46">
            <w:pPr>
              <w:pStyle w:val="TableTextCentered"/>
              <w:spacing w:before="0"/>
            </w:pPr>
            <w:r>
              <w:t>6</w:t>
            </w:r>
          </w:p>
        </w:tc>
        <w:tc>
          <w:tcPr>
            <w:tcW w:w="1535" w:type="dxa"/>
            <w:tcBorders>
              <w:top w:val="nil"/>
              <w:left w:val="nil"/>
              <w:bottom w:val="nil"/>
              <w:right w:val="nil"/>
            </w:tcBorders>
          </w:tcPr>
          <w:p w:rsidRPr="00654217" w:rsidR="001A6ECF" w:rsidP="0071157E" w:rsidRDefault="001A6ECF" w14:paraId="188CEEF7" w14:textId="77777777">
            <w:pPr>
              <w:pStyle w:val="TableTextCentered"/>
              <w:spacing w:before="0"/>
            </w:pPr>
            <w:r w:rsidRPr="00654217">
              <w:t>NA</w:t>
            </w:r>
          </w:p>
        </w:tc>
      </w:tr>
      <w:tr w:rsidRPr="004C6EA0" w:rsidR="001A6ECF" w:rsidTr="0071157E" w14:paraId="406A0F20" w14:textId="77777777">
        <w:trPr>
          <w:cnfStyle w:val="000000100000" w:firstRow="0" w:lastRow="0" w:firstColumn="0" w:lastColumn="0" w:oddVBand="0" w:evenVBand="0" w:oddHBand="1" w:evenHBand="0" w:firstRowFirstColumn="0" w:firstRowLastColumn="0" w:lastRowFirstColumn="0" w:lastRowLastColumn="0"/>
          <w:trHeight w:val="603"/>
        </w:trPr>
        <w:tc>
          <w:tcPr>
            <w:tcW w:w="5490" w:type="dxa"/>
            <w:tcBorders>
              <w:top w:val="nil"/>
              <w:left w:val="nil"/>
              <w:bottom w:val="nil"/>
              <w:right w:val="nil"/>
            </w:tcBorders>
            <w:tcMar>
              <w:bottom w:w="0" w:type="dxa"/>
            </w:tcMar>
            <w:hideMark/>
          </w:tcPr>
          <w:p w:rsidRPr="004C6EA0" w:rsidR="001A6ECF" w:rsidP="0071157E" w:rsidRDefault="001A6ECF" w14:paraId="439985AF" w14:textId="3DBF908B">
            <w:pPr>
              <w:pStyle w:val="TableTextLeft"/>
              <w:spacing w:before="0"/>
            </w:pPr>
            <w:r w:rsidRPr="004C6EA0">
              <w:t xml:space="preserve">What do </w:t>
            </w:r>
            <w:r>
              <w:t xml:space="preserve">state </w:t>
            </w:r>
            <w:r w:rsidRPr="004C6EA0">
              <w:t xml:space="preserve">awardees and LIAs see as the greatest barriers to home visiting programs measuring SUD-1 and SUD-2? What strategies can they use to help overcome the barriers?   </w:t>
            </w:r>
          </w:p>
        </w:tc>
        <w:tc>
          <w:tcPr>
            <w:tcW w:w="1091" w:type="dxa"/>
            <w:tcBorders>
              <w:top w:val="nil"/>
              <w:left w:val="nil"/>
              <w:bottom w:val="nil"/>
              <w:right w:val="nil"/>
            </w:tcBorders>
          </w:tcPr>
          <w:p w:rsidRPr="004C6EA0" w:rsidR="001A6ECF" w:rsidP="0071157E" w:rsidRDefault="001E342D" w14:paraId="73AA51D4" w14:textId="233AD4BF">
            <w:pPr>
              <w:pStyle w:val="TableTextCentered"/>
              <w:spacing w:before="0"/>
            </w:pPr>
            <w:r>
              <w:t xml:space="preserve">Section </w:t>
            </w:r>
            <w:r w:rsidR="00CF1721">
              <w:t xml:space="preserve">II: </w:t>
            </w:r>
            <w:r>
              <w:t xml:space="preserve"> </w:t>
            </w:r>
            <w:r w:rsidR="00174984">
              <w:t>7,</w:t>
            </w:r>
            <w:r w:rsidR="00B84026">
              <w:t xml:space="preserve"> </w:t>
            </w:r>
            <w:r w:rsidR="00174984">
              <w:t>8</w:t>
            </w:r>
          </w:p>
        </w:tc>
        <w:tc>
          <w:tcPr>
            <w:tcW w:w="1159" w:type="dxa"/>
            <w:tcBorders>
              <w:top w:val="nil"/>
              <w:left w:val="nil"/>
              <w:bottom w:val="nil"/>
              <w:right w:val="nil"/>
            </w:tcBorders>
          </w:tcPr>
          <w:p w:rsidRPr="004C6EA0" w:rsidR="001A6ECF" w:rsidP="0071157E" w:rsidRDefault="001E342D" w14:paraId="68122840" w14:textId="07D3770D">
            <w:pPr>
              <w:pStyle w:val="TableTextCentered"/>
              <w:spacing w:before="0"/>
            </w:pPr>
            <w:r>
              <w:t xml:space="preserve">Section </w:t>
            </w:r>
            <w:r w:rsidR="00CF1721">
              <w:t>II: 7,8</w:t>
            </w:r>
          </w:p>
        </w:tc>
        <w:tc>
          <w:tcPr>
            <w:tcW w:w="1535" w:type="dxa"/>
            <w:tcBorders>
              <w:top w:val="nil"/>
              <w:left w:val="nil"/>
              <w:bottom w:val="nil"/>
              <w:right w:val="nil"/>
            </w:tcBorders>
          </w:tcPr>
          <w:p w:rsidR="007C3802" w:rsidP="0071157E" w:rsidRDefault="001E342D" w14:paraId="47586655" w14:textId="77777777">
            <w:pPr>
              <w:pStyle w:val="TableTextCentered"/>
              <w:spacing w:before="0"/>
            </w:pPr>
            <w:r>
              <w:t xml:space="preserve">Section </w:t>
            </w:r>
            <w:r w:rsidR="00CF1721">
              <w:t xml:space="preserve">II: </w:t>
            </w:r>
          </w:p>
          <w:p w:rsidRPr="004C6EA0" w:rsidR="001A6ECF" w:rsidP="0071157E" w:rsidRDefault="00CF1721" w14:paraId="1B9F115E" w14:textId="4409CF09">
            <w:pPr>
              <w:pStyle w:val="TableTextCentered"/>
              <w:spacing w:before="0"/>
            </w:pPr>
            <w:r>
              <w:t>7,8</w:t>
            </w:r>
          </w:p>
        </w:tc>
      </w:tr>
      <w:tr w:rsidRPr="004C6EA0" w:rsidR="001A6ECF" w:rsidTr="0071157E" w14:paraId="0BF23D8A" w14:textId="77777777">
        <w:trPr>
          <w:cnfStyle w:val="000000010000" w:firstRow="0" w:lastRow="0" w:firstColumn="0" w:lastColumn="0" w:oddVBand="0" w:evenVBand="0" w:oddHBand="0" w:evenHBand="1" w:firstRowFirstColumn="0" w:firstRowLastColumn="0" w:lastRowFirstColumn="0" w:lastRowLastColumn="0"/>
          <w:trHeight w:val="655"/>
        </w:trPr>
        <w:tc>
          <w:tcPr>
            <w:tcW w:w="5490" w:type="dxa"/>
            <w:tcBorders>
              <w:top w:val="nil"/>
              <w:left w:val="nil"/>
              <w:bottom w:val="nil"/>
              <w:right w:val="nil"/>
            </w:tcBorders>
            <w:tcMar>
              <w:bottom w:w="0" w:type="dxa"/>
            </w:tcMar>
            <w:hideMark/>
          </w:tcPr>
          <w:p w:rsidRPr="004C6EA0" w:rsidR="001A6ECF" w:rsidP="0071157E" w:rsidRDefault="001A6ECF" w14:paraId="3FD31F82" w14:textId="7918E6F4">
            <w:pPr>
              <w:pStyle w:val="TableTextLeft"/>
              <w:spacing w:before="0"/>
            </w:pPr>
            <w:r w:rsidRPr="004C6EA0">
              <w:t xml:space="preserve">How feasible would it be to implement SUD-1 and SUD-2 alongside the other MIEHCV performance measures?  </w:t>
            </w:r>
          </w:p>
        </w:tc>
        <w:tc>
          <w:tcPr>
            <w:tcW w:w="1091" w:type="dxa"/>
            <w:tcBorders>
              <w:top w:val="nil"/>
              <w:left w:val="nil"/>
              <w:bottom w:val="nil"/>
              <w:right w:val="nil"/>
            </w:tcBorders>
          </w:tcPr>
          <w:p w:rsidRPr="004C6EA0" w:rsidR="001A6ECF" w:rsidP="0071157E" w:rsidRDefault="001E342D" w14:paraId="216C92BF" w14:textId="230060D4">
            <w:pPr>
              <w:pStyle w:val="TableTextCentered"/>
              <w:spacing w:before="0"/>
            </w:pPr>
            <w:r>
              <w:t>Section II</w:t>
            </w:r>
            <w:r w:rsidR="00CF1721">
              <w:t>:</w:t>
            </w:r>
            <w:r>
              <w:t xml:space="preserve"> </w:t>
            </w:r>
            <w:r w:rsidR="00174984">
              <w:t>9,</w:t>
            </w:r>
            <w:r w:rsidR="00B84026">
              <w:t xml:space="preserve"> </w:t>
            </w:r>
            <w:r w:rsidR="00174984">
              <w:t>10</w:t>
            </w:r>
          </w:p>
        </w:tc>
        <w:tc>
          <w:tcPr>
            <w:tcW w:w="1159" w:type="dxa"/>
            <w:tcBorders>
              <w:top w:val="nil"/>
              <w:left w:val="nil"/>
              <w:bottom w:val="nil"/>
              <w:right w:val="nil"/>
            </w:tcBorders>
          </w:tcPr>
          <w:p w:rsidRPr="004C6EA0" w:rsidR="001A6ECF" w:rsidP="0071157E" w:rsidRDefault="001E342D" w14:paraId="5D467F07" w14:textId="695836B7">
            <w:pPr>
              <w:pStyle w:val="TableTextCentered"/>
              <w:spacing w:before="0"/>
            </w:pPr>
            <w:r>
              <w:t>Section II</w:t>
            </w:r>
            <w:r w:rsidR="00CF1721">
              <w:t>:</w:t>
            </w:r>
            <w:r>
              <w:t xml:space="preserve"> </w:t>
            </w:r>
            <w:r w:rsidR="00CF1721">
              <w:t>9,10</w:t>
            </w:r>
          </w:p>
        </w:tc>
        <w:tc>
          <w:tcPr>
            <w:tcW w:w="1535" w:type="dxa"/>
            <w:tcBorders>
              <w:top w:val="nil"/>
              <w:left w:val="nil"/>
              <w:bottom w:val="nil"/>
              <w:right w:val="nil"/>
            </w:tcBorders>
          </w:tcPr>
          <w:p w:rsidR="007C3802" w:rsidP="0071157E" w:rsidRDefault="001E342D" w14:paraId="2356A288" w14:textId="77777777">
            <w:pPr>
              <w:pStyle w:val="TableTextCentered"/>
              <w:spacing w:before="0"/>
            </w:pPr>
            <w:r>
              <w:t>Section II</w:t>
            </w:r>
            <w:r w:rsidR="00CF1721">
              <w:t>:</w:t>
            </w:r>
          </w:p>
          <w:p w:rsidRPr="004C6EA0" w:rsidR="001A6ECF" w:rsidP="0071157E" w:rsidRDefault="00CF1721" w14:paraId="748420FB" w14:textId="255AB175">
            <w:pPr>
              <w:pStyle w:val="TableTextCentered"/>
              <w:spacing w:before="0"/>
            </w:pPr>
            <w:r>
              <w:t>9,10</w:t>
            </w:r>
          </w:p>
        </w:tc>
      </w:tr>
      <w:tr w:rsidRPr="004C6EA0" w:rsidR="00BF3D0B" w:rsidTr="002759B5" w14:paraId="53BC302B" w14:textId="77777777">
        <w:trPr>
          <w:cnfStyle w:val="000000100000" w:firstRow="0" w:lastRow="0" w:firstColumn="0" w:lastColumn="0" w:oddVBand="0" w:evenVBand="0" w:oddHBand="1" w:evenHBand="0" w:firstRowFirstColumn="0" w:firstRowLastColumn="0" w:lastRowFirstColumn="0" w:lastRowLastColumn="0"/>
          <w:trHeight w:val="857"/>
        </w:trPr>
        <w:tc>
          <w:tcPr>
            <w:tcW w:w="5490" w:type="dxa"/>
            <w:tcBorders>
              <w:top w:val="nil"/>
              <w:left w:val="nil"/>
              <w:bottom w:val="nil"/>
              <w:right w:val="nil"/>
            </w:tcBorders>
            <w:tcMar>
              <w:bottom w:w="0" w:type="dxa"/>
            </w:tcMar>
            <w:hideMark/>
          </w:tcPr>
          <w:p w:rsidRPr="00B67B07" w:rsidR="00BF3D0B" w:rsidP="002759B5" w:rsidRDefault="00BF3D0B" w14:paraId="046546E8" w14:textId="77777777">
            <w:pPr>
              <w:pStyle w:val="TableTextLeft"/>
              <w:spacing w:before="0"/>
              <w:rPr>
                <w:rStyle w:val="Default"/>
              </w:rPr>
            </w:pPr>
            <w:r w:rsidRPr="00B67B07">
              <w:t xml:space="preserve">What kinds of resources and supports at the </w:t>
            </w:r>
            <w:r>
              <w:t xml:space="preserve">state </w:t>
            </w:r>
            <w:r w:rsidRPr="00B67B07">
              <w:t xml:space="preserve">awardee and LIA levels would enhance their ability to collect the data necessary to report SUD-1 and SUD-2? </w:t>
            </w:r>
          </w:p>
        </w:tc>
        <w:tc>
          <w:tcPr>
            <w:tcW w:w="1091" w:type="dxa"/>
            <w:tcBorders>
              <w:top w:val="nil"/>
              <w:left w:val="nil"/>
              <w:bottom w:val="nil"/>
              <w:right w:val="nil"/>
            </w:tcBorders>
          </w:tcPr>
          <w:p w:rsidRPr="004C6EA0" w:rsidR="00BF3D0B" w:rsidP="002759B5" w:rsidRDefault="00BF3D0B" w14:paraId="3C5DE89B" w14:textId="28724EE2">
            <w:pPr>
              <w:pStyle w:val="TableTextCentered"/>
              <w:spacing w:before="0"/>
            </w:pPr>
            <w:r>
              <w:t>Section II:</w:t>
            </w:r>
            <w:r w:rsidR="00B84026">
              <w:t xml:space="preserve"> </w:t>
            </w:r>
            <w:r>
              <w:t>11</w:t>
            </w:r>
            <w:r w:rsidR="007C3802">
              <w:t>, 12</w:t>
            </w:r>
          </w:p>
        </w:tc>
        <w:tc>
          <w:tcPr>
            <w:tcW w:w="1159" w:type="dxa"/>
            <w:tcBorders>
              <w:top w:val="nil"/>
              <w:left w:val="nil"/>
              <w:bottom w:val="nil"/>
              <w:right w:val="nil"/>
            </w:tcBorders>
          </w:tcPr>
          <w:p w:rsidRPr="004C6EA0" w:rsidR="00BF3D0B" w:rsidP="002759B5" w:rsidRDefault="00BF3D0B" w14:paraId="79B1503B" w14:textId="77777777">
            <w:pPr>
              <w:pStyle w:val="TableTextCentered"/>
              <w:spacing w:before="0"/>
            </w:pPr>
            <w:r>
              <w:t>Section II:11</w:t>
            </w:r>
          </w:p>
        </w:tc>
        <w:tc>
          <w:tcPr>
            <w:tcW w:w="1535" w:type="dxa"/>
            <w:tcBorders>
              <w:top w:val="nil"/>
              <w:left w:val="nil"/>
              <w:bottom w:val="nil"/>
              <w:right w:val="nil"/>
            </w:tcBorders>
          </w:tcPr>
          <w:p w:rsidR="007C3802" w:rsidP="002759B5" w:rsidRDefault="00BF3D0B" w14:paraId="75F775A9" w14:textId="77777777">
            <w:pPr>
              <w:pStyle w:val="TableTextCentered"/>
              <w:spacing w:before="0"/>
            </w:pPr>
            <w:r>
              <w:t>Section II:</w:t>
            </w:r>
          </w:p>
          <w:p w:rsidRPr="004C6EA0" w:rsidR="00BF3D0B" w:rsidP="002759B5" w:rsidRDefault="00BF3D0B" w14:paraId="225FE40B" w14:textId="4DA60AC1">
            <w:pPr>
              <w:pStyle w:val="TableTextCentered"/>
              <w:spacing w:before="0"/>
            </w:pPr>
            <w:r>
              <w:t>11</w:t>
            </w:r>
          </w:p>
        </w:tc>
      </w:tr>
      <w:tr w:rsidRPr="004C6EA0" w:rsidR="007C3802" w:rsidTr="000A7BDA" w14:paraId="1265EE2D" w14:textId="77777777">
        <w:trPr>
          <w:cnfStyle w:val="000000010000" w:firstRow="0" w:lastRow="0" w:firstColumn="0" w:lastColumn="0" w:oddVBand="0" w:evenVBand="0" w:oddHBand="0" w:evenHBand="1" w:firstRowFirstColumn="0" w:firstRowLastColumn="0" w:lastRowFirstColumn="0" w:lastRowLastColumn="0"/>
          <w:trHeight w:val="833"/>
        </w:trPr>
        <w:tc>
          <w:tcPr>
            <w:tcW w:w="5490" w:type="dxa"/>
            <w:tcBorders>
              <w:top w:val="nil"/>
              <w:left w:val="nil"/>
              <w:bottom w:val="nil"/>
              <w:right w:val="nil"/>
            </w:tcBorders>
            <w:tcMar>
              <w:bottom w:w="0" w:type="dxa"/>
            </w:tcMar>
            <w:hideMark/>
          </w:tcPr>
          <w:p w:rsidRPr="004C6EA0" w:rsidR="007C3802" w:rsidP="000A7BDA" w:rsidRDefault="007C3802" w14:paraId="1E53B4BD" w14:textId="77777777">
            <w:pPr>
              <w:pStyle w:val="TableTextLeft"/>
              <w:spacing w:before="0"/>
            </w:pPr>
            <w:r w:rsidRPr="004C6EA0">
              <w:t xml:space="preserve">Do SUD-1 and SUD-2 provide useful information to </w:t>
            </w:r>
            <w:r>
              <w:t xml:space="preserve">state </w:t>
            </w:r>
            <w:r w:rsidRPr="004C6EA0">
              <w:t xml:space="preserve">awardees and LIAs for quality monitoring and improvement? </w:t>
            </w:r>
          </w:p>
        </w:tc>
        <w:tc>
          <w:tcPr>
            <w:tcW w:w="1091" w:type="dxa"/>
            <w:tcBorders>
              <w:top w:val="nil"/>
              <w:left w:val="nil"/>
              <w:bottom w:val="nil"/>
              <w:right w:val="nil"/>
            </w:tcBorders>
          </w:tcPr>
          <w:p w:rsidR="007C3802" w:rsidP="000A7BDA" w:rsidRDefault="007C3802" w14:paraId="0C497275" w14:textId="77777777">
            <w:pPr>
              <w:pStyle w:val="TableTextCentered"/>
              <w:spacing w:before="0"/>
            </w:pPr>
            <w:r>
              <w:t xml:space="preserve">Section II: </w:t>
            </w:r>
          </w:p>
          <w:p w:rsidRPr="004C6EA0" w:rsidR="007C3802" w:rsidP="000A7BDA" w:rsidRDefault="007C3802" w14:paraId="78B8A407" w14:textId="5BB25D70">
            <w:pPr>
              <w:pStyle w:val="TableTextCentered"/>
              <w:spacing w:before="0"/>
            </w:pPr>
            <w:r>
              <w:t>13, 14</w:t>
            </w:r>
          </w:p>
        </w:tc>
        <w:tc>
          <w:tcPr>
            <w:tcW w:w="1159" w:type="dxa"/>
            <w:tcBorders>
              <w:top w:val="nil"/>
              <w:left w:val="nil"/>
              <w:bottom w:val="nil"/>
              <w:right w:val="nil"/>
            </w:tcBorders>
          </w:tcPr>
          <w:p w:rsidR="007C3802" w:rsidP="000A7BDA" w:rsidRDefault="007C3802" w14:paraId="5E79A337" w14:textId="77777777">
            <w:pPr>
              <w:pStyle w:val="TableTextCentered"/>
              <w:spacing w:before="0"/>
            </w:pPr>
            <w:r>
              <w:t xml:space="preserve">Section III: </w:t>
            </w:r>
          </w:p>
          <w:p w:rsidRPr="004C6EA0" w:rsidR="007C3802" w:rsidP="000A7BDA" w:rsidRDefault="007C3802" w14:paraId="7B776CCA" w14:textId="77777777">
            <w:pPr>
              <w:pStyle w:val="TableTextCentered"/>
              <w:spacing w:before="0"/>
            </w:pPr>
            <w:r>
              <w:t>1, 2</w:t>
            </w:r>
          </w:p>
        </w:tc>
        <w:tc>
          <w:tcPr>
            <w:tcW w:w="1535" w:type="dxa"/>
            <w:tcBorders>
              <w:top w:val="nil"/>
              <w:left w:val="nil"/>
              <w:bottom w:val="nil"/>
              <w:right w:val="nil"/>
            </w:tcBorders>
          </w:tcPr>
          <w:p w:rsidRPr="004C6EA0" w:rsidR="007C3802" w:rsidP="000A7BDA" w:rsidRDefault="007C3802" w14:paraId="2F956C3B" w14:textId="77777777">
            <w:pPr>
              <w:pStyle w:val="TableTextCentered"/>
              <w:spacing w:before="0"/>
            </w:pPr>
            <w:r>
              <w:t>NA</w:t>
            </w:r>
          </w:p>
        </w:tc>
      </w:tr>
      <w:tr w:rsidRPr="004C6EA0" w:rsidR="00BF3D0B" w:rsidTr="00BF3D0B" w14:paraId="56A67DEB" w14:textId="77777777">
        <w:trPr>
          <w:cnfStyle w:val="000000100000" w:firstRow="0" w:lastRow="0" w:firstColumn="0" w:lastColumn="0" w:oddVBand="0" w:evenVBand="0" w:oddHBand="1" w:evenHBand="0" w:firstRowFirstColumn="0" w:firstRowLastColumn="0" w:lastRowFirstColumn="0" w:lastRowLastColumn="0"/>
          <w:trHeight w:val="655"/>
        </w:trPr>
        <w:tc>
          <w:tcPr>
            <w:tcW w:w="5490" w:type="dxa"/>
            <w:tcBorders>
              <w:top w:val="nil"/>
              <w:left w:val="nil"/>
              <w:bottom w:val="nil"/>
              <w:right w:val="nil"/>
            </w:tcBorders>
            <w:tcMar>
              <w:bottom w:w="0" w:type="dxa"/>
            </w:tcMar>
            <w:hideMark/>
          </w:tcPr>
          <w:p w:rsidRPr="004C6EA0" w:rsidR="00BF3D0B" w:rsidP="002759B5" w:rsidRDefault="00BF3D0B" w14:paraId="6FD059BA" w14:textId="77777777">
            <w:pPr>
              <w:pStyle w:val="TableTextLeft"/>
              <w:spacing w:before="0"/>
            </w:pPr>
            <w:r w:rsidRPr="004C6EA0">
              <w:t xml:space="preserve">How do </w:t>
            </w:r>
            <w:r>
              <w:t xml:space="preserve">state </w:t>
            </w:r>
            <w:r w:rsidRPr="004C6EA0">
              <w:t>awardees and LIAs use information from MIECHV performance measures they report?</w:t>
            </w:r>
          </w:p>
        </w:tc>
        <w:tc>
          <w:tcPr>
            <w:tcW w:w="1091" w:type="dxa"/>
            <w:tcBorders>
              <w:top w:val="nil"/>
              <w:left w:val="nil"/>
              <w:bottom w:val="nil"/>
              <w:right w:val="nil"/>
            </w:tcBorders>
          </w:tcPr>
          <w:p w:rsidRPr="004C6EA0" w:rsidR="00BF3D0B" w:rsidP="002759B5" w:rsidRDefault="00BF3D0B" w14:paraId="270F1B13" w14:textId="64B76AED">
            <w:pPr>
              <w:pStyle w:val="TableTextCentered"/>
              <w:spacing w:before="0"/>
            </w:pPr>
            <w:r>
              <w:t>Section II: 14</w:t>
            </w:r>
            <w:r w:rsidR="00B84026">
              <w:t>, 15</w:t>
            </w:r>
          </w:p>
        </w:tc>
        <w:tc>
          <w:tcPr>
            <w:tcW w:w="1159" w:type="dxa"/>
            <w:tcBorders>
              <w:top w:val="nil"/>
              <w:left w:val="nil"/>
              <w:bottom w:val="nil"/>
              <w:right w:val="nil"/>
            </w:tcBorders>
          </w:tcPr>
          <w:p w:rsidRPr="004C6EA0" w:rsidR="00BF3D0B" w:rsidP="002759B5" w:rsidRDefault="00BF3D0B" w14:paraId="098E6DF7" w14:textId="77777777">
            <w:pPr>
              <w:pStyle w:val="TableTextCentered"/>
              <w:spacing w:before="0"/>
            </w:pPr>
            <w:r>
              <w:t>Section III: 3, 4</w:t>
            </w:r>
          </w:p>
        </w:tc>
        <w:tc>
          <w:tcPr>
            <w:tcW w:w="1535" w:type="dxa"/>
            <w:tcBorders>
              <w:top w:val="nil"/>
              <w:left w:val="nil"/>
              <w:bottom w:val="nil"/>
              <w:right w:val="nil"/>
            </w:tcBorders>
          </w:tcPr>
          <w:p w:rsidRPr="004C6EA0" w:rsidR="00BF3D0B" w:rsidP="002759B5" w:rsidRDefault="00BF3D0B" w14:paraId="381D49D7" w14:textId="77777777">
            <w:pPr>
              <w:pStyle w:val="TableTextCentered"/>
              <w:spacing w:before="0"/>
            </w:pPr>
            <w:r>
              <w:t>NA</w:t>
            </w:r>
          </w:p>
        </w:tc>
      </w:tr>
      <w:tr w:rsidRPr="004C6EA0" w:rsidR="00BF3D0B" w:rsidTr="00B84026" w14:paraId="3562E5B7" w14:textId="77777777">
        <w:trPr>
          <w:cnfStyle w:val="000000010000" w:firstRow="0" w:lastRow="0" w:firstColumn="0" w:lastColumn="0" w:oddVBand="0" w:evenVBand="0" w:oddHBand="0" w:evenHBand="1" w:firstRowFirstColumn="0" w:firstRowLastColumn="0" w:lastRowFirstColumn="0" w:lastRowLastColumn="0"/>
          <w:trHeight w:val="655"/>
        </w:trPr>
        <w:tc>
          <w:tcPr>
            <w:tcW w:w="5490" w:type="dxa"/>
            <w:tcBorders>
              <w:top w:val="nil"/>
              <w:left w:val="nil"/>
              <w:bottom w:val="nil"/>
              <w:right w:val="nil"/>
            </w:tcBorders>
            <w:tcMar>
              <w:bottom w:w="0" w:type="dxa"/>
            </w:tcMar>
            <w:hideMark/>
          </w:tcPr>
          <w:p w:rsidRPr="004C6EA0" w:rsidR="00BF3D0B" w:rsidP="002759B5" w:rsidRDefault="00BF3D0B" w14:paraId="5BA15605" w14:textId="77777777">
            <w:pPr>
              <w:pStyle w:val="TableTextLeft"/>
              <w:spacing w:before="0"/>
            </w:pPr>
            <w:r w:rsidRPr="004C6EA0">
              <w:t xml:space="preserve">Are there any unintended consequences at the </w:t>
            </w:r>
            <w:r>
              <w:t xml:space="preserve">state </w:t>
            </w:r>
            <w:r w:rsidRPr="004C6EA0">
              <w:t>awardee and LIA levels to implementing SUD-1 and SUD-2?</w:t>
            </w:r>
          </w:p>
        </w:tc>
        <w:tc>
          <w:tcPr>
            <w:tcW w:w="1091" w:type="dxa"/>
            <w:tcBorders>
              <w:top w:val="nil"/>
              <w:left w:val="nil"/>
              <w:bottom w:val="nil"/>
              <w:right w:val="nil"/>
            </w:tcBorders>
          </w:tcPr>
          <w:p w:rsidRPr="004C6EA0" w:rsidR="00BF3D0B" w:rsidP="002759B5" w:rsidRDefault="00BF3D0B" w14:paraId="576DD329" w14:textId="77777777">
            <w:pPr>
              <w:pStyle w:val="TableTextCentered"/>
              <w:spacing w:before="0"/>
            </w:pPr>
            <w:r>
              <w:t>Section II: 16</w:t>
            </w:r>
          </w:p>
        </w:tc>
        <w:tc>
          <w:tcPr>
            <w:tcW w:w="1159" w:type="dxa"/>
            <w:tcBorders>
              <w:top w:val="nil"/>
              <w:left w:val="nil"/>
              <w:bottom w:val="nil"/>
              <w:right w:val="nil"/>
            </w:tcBorders>
          </w:tcPr>
          <w:p w:rsidRPr="004C6EA0" w:rsidR="00BF3D0B" w:rsidP="002759B5" w:rsidRDefault="00BF3D0B" w14:paraId="2B4AA177" w14:textId="77777777">
            <w:pPr>
              <w:pStyle w:val="TableTextCentered"/>
              <w:spacing w:before="0"/>
            </w:pPr>
            <w:r>
              <w:t>Section III: 11, 12</w:t>
            </w:r>
          </w:p>
        </w:tc>
        <w:tc>
          <w:tcPr>
            <w:tcW w:w="1535" w:type="dxa"/>
            <w:tcBorders>
              <w:top w:val="nil"/>
              <w:left w:val="nil"/>
              <w:bottom w:val="nil"/>
              <w:right w:val="nil"/>
            </w:tcBorders>
          </w:tcPr>
          <w:p w:rsidRPr="00567E5F" w:rsidR="00BF3D0B" w:rsidP="002759B5" w:rsidRDefault="00BF3D0B" w14:paraId="69211657" w14:textId="77777777">
            <w:pPr>
              <w:pStyle w:val="TableTextCentered"/>
              <w:spacing w:before="0"/>
            </w:pPr>
            <w:r w:rsidRPr="00567E5F">
              <w:t>NA</w:t>
            </w:r>
          </w:p>
        </w:tc>
      </w:tr>
      <w:tr w:rsidRPr="004C6EA0" w:rsidR="00BF3D0B" w:rsidTr="00B84026" w14:paraId="5D4DEFEE" w14:textId="77777777">
        <w:trPr>
          <w:cnfStyle w:val="000000100000" w:firstRow="0" w:lastRow="0" w:firstColumn="0" w:lastColumn="0" w:oddVBand="0" w:evenVBand="0" w:oddHBand="1" w:evenHBand="0" w:firstRowFirstColumn="0" w:firstRowLastColumn="0" w:lastRowFirstColumn="0" w:lastRowLastColumn="0"/>
          <w:trHeight w:val="465"/>
        </w:trPr>
        <w:tc>
          <w:tcPr>
            <w:tcW w:w="5490" w:type="dxa"/>
            <w:tcBorders>
              <w:top w:val="nil"/>
              <w:left w:val="nil"/>
              <w:bottom w:val="single" w:color="auto" w:sz="4" w:space="0"/>
              <w:right w:val="nil"/>
            </w:tcBorders>
            <w:tcMar>
              <w:bottom w:w="0" w:type="dxa"/>
            </w:tcMar>
            <w:hideMark/>
          </w:tcPr>
          <w:p w:rsidRPr="004C6EA0" w:rsidR="00CF1721" w:rsidP="0071157E" w:rsidRDefault="00CF1721" w14:paraId="2F5A3A21" w14:textId="6892AEA8">
            <w:pPr>
              <w:pStyle w:val="TableTextLeft"/>
              <w:spacing w:before="0"/>
            </w:pPr>
            <w:r w:rsidRPr="004C6EA0">
              <w:t xml:space="preserve">What is the likely cost of calculating SUD-1 and SUD-2?  </w:t>
            </w:r>
          </w:p>
        </w:tc>
        <w:tc>
          <w:tcPr>
            <w:tcW w:w="1091" w:type="dxa"/>
            <w:tcBorders>
              <w:top w:val="nil"/>
              <w:left w:val="nil"/>
              <w:bottom w:val="single" w:color="auto" w:sz="4" w:space="0"/>
              <w:right w:val="nil"/>
            </w:tcBorders>
          </w:tcPr>
          <w:p w:rsidRPr="004C6EA0" w:rsidR="00CF1721" w:rsidP="0071157E" w:rsidRDefault="00CF1721" w14:paraId="3374DD87" w14:textId="27E15D40">
            <w:pPr>
              <w:pStyle w:val="TableTextCentered"/>
              <w:spacing w:before="0"/>
            </w:pPr>
            <w:r>
              <w:t xml:space="preserve">Section II: </w:t>
            </w:r>
            <w:r w:rsidR="00BF3D0B">
              <w:t>1</w:t>
            </w:r>
            <w:r w:rsidR="0035566F">
              <w:t>7</w:t>
            </w:r>
            <w:r w:rsidR="00BF3D0B">
              <w:t>,</w:t>
            </w:r>
            <w:r w:rsidR="00B84026">
              <w:t xml:space="preserve"> </w:t>
            </w:r>
            <w:r w:rsidR="00BF3D0B">
              <w:t>18</w:t>
            </w:r>
          </w:p>
        </w:tc>
        <w:tc>
          <w:tcPr>
            <w:tcW w:w="1159" w:type="dxa"/>
            <w:tcBorders>
              <w:top w:val="nil"/>
              <w:left w:val="nil"/>
              <w:bottom w:val="single" w:color="auto" w:sz="4" w:space="0"/>
              <w:right w:val="nil"/>
            </w:tcBorders>
          </w:tcPr>
          <w:p w:rsidRPr="004C6EA0" w:rsidR="00CF1721" w:rsidP="0071157E" w:rsidRDefault="00CF1721" w14:paraId="25636035" w14:textId="48E85BF5">
            <w:pPr>
              <w:pStyle w:val="TableTextCentered"/>
              <w:spacing w:before="0"/>
            </w:pPr>
            <w:r>
              <w:t>Section II: 12,13</w:t>
            </w:r>
          </w:p>
        </w:tc>
        <w:tc>
          <w:tcPr>
            <w:tcW w:w="1535" w:type="dxa"/>
            <w:tcBorders>
              <w:top w:val="nil"/>
              <w:left w:val="nil"/>
              <w:bottom w:val="single" w:color="auto" w:sz="4" w:space="0"/>
              <w:right w:val="nil"/>
            </w:tcBorders>
          </w:tcPr>
          <w:p w:rsidRPr="004C6EA0" w:rsidR="00CF1721" w:rsidP="0071157E" w:rsidRDefault="00CF1721" w14:paraId="706E94C3" w14:textId="101903F8">
            <w:pPr>
              <w:pStyle w:val="TableTextCentered"/>
              <w:spacing w:before="0"/>
            </w:pPr>
            <w:r>
              <w:t>NA</w:t>
            </w:r>
          </w:p>
        </w:tc>
      </w:tr>
    </w:tbl>
    <w:p w:rsidR="001B2AF7" w:rsidP="00DE619A" w:rsidRDefault="001B2AF7" w14:paraId="7A0786C0" w14:textId="0460EA2B">
      <w:pPr>
        <w:pStyle w:val="TableSource"/>
        <w:ind w:left="0" w:firstLine="0"/>
      </w:pPr>
      <w:r>
        <w:lastRenderedPageBreak/>
        <w:t>Note:</w:t>
      </w:r>
      <w:r w:rsidRPr="001B2AF7">
        <w:t xml:space="preserve"> </w:t>
      </w:r>
      <w:r>
        <w:t>The table excludes the research question, “</w:t>
      </w:r>
      <w:r w:rsidRPr="003D1E01">
        <w:t>What types of resources and supports do state awardees and LIAs ask for during the pilot to enhance their ability to collect the data necessary to report SUD-1 and SUD-2 and to report on those data?</w:t>
      </w:r>
      <w:r>
        <w:t>” because this research question will be answered through the provision of technical assistance during the pilot study.</w:t>
      </w:r>
    </w:p>
    <w:p w:rsidR="00FD3148" w:rsidP="00D54167" w:rsidRDefault="00DE619A" w14:paraId="7FB4D1A9" w14:textId="40D2B57A">
      <w:pPr>
        <w:pStyle w:val="TableSource"/>
        <w:ind w:left="0" w:firstLine="0"/>
      </w:pPr>
      <w:r>
        <w:t>LIA = Local Implementing Agency;</w:t>
      </w:r>
      <w:r w:rsidRPr="00117ED7">
        <w:t xml:space="preserve"> </w:t>
      </w:r>
      <w:r w:rsidRPr="004C6EA0">
        <w:t>MIEHCV</w:t>
      </w:r>
      <w:r>
        <w:t xml:space="preserve"> = Maternal, Infant, and Early Childhood Home Visiting; NA = not asked; SUD-1 = Screening for Substance Misuse; SUD-2 = </w:t>
      </w:r>
      <w:r w:rsidR="007A266D">
        <w:t>Follow up</w:t>
      </w:r>
      <w:r>
        <w:t xml:space="preserve"> for Caregivers at Risk of Substance Misuse.</w:t>
      </w:r>
      <w:bookmarkStart w:name="_GoBack" w:id="11"/>
      <w:bookmarkEnd w:id="0"/>
      <w:bookmarkEnd w:id="1"/>
      <w:bookmarkEnd w:id="2"/>
      <w:bookmarkEnd w:id="3"/>
      <w:bookmarkEnd w:id="4"/>
      <w:bookmarkEnd w:id="5"/>
      <w:bookmarkEnd w:id="6"/>
      <w:bookmarkEnd w:id="7"/>
      <w:bookmarkEnd w:id="8"/>
      <w:bookmarkEnd w:id="9"/>
      <w:bookmarkEnd w:id="11"/>
    </w:p>
    <w:sectPr w:rsidR="00FD3148" w:rsidSect="00F0610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E824B" w14:textId="77777777" w:rsidR="00D317BF" w:rsidRPr="00D37B98" w:rsidRDefault="00D317BF" w:rsidP="00820339">
      <w:pPr>
        <w:pStyle w:val="H1"/>
      </w:pPr>
      <w:r w:rsidRPr="00D37B98">
        <w:t>Endnotes</w:t>
      </w:r>
    </w:p>
  </w:endnote>
  <w:endnote w:type="continuationSeparator" w:id="0">
    <w:p w14:paraId="118953AA" w14:textId="77777777" w:rsidR="00D317BF" w:rsidRPr="00D37B98" w:rsidRDefault="00D317BF" w:rsidP="00BF08C3">
      <w:pPr>
        <w:pStyle w:val="FootnoteSep"/>
      </w:pPr>
    </w:p>
  </w:endnote>
  <w:endnote w:type="continuationNotice" w:id="1">
    <w:p w14:paraId="36F7B0C1" w14:textId="77777777" w:rsidR="00D317BF" w:rsidRPr="00D37B98" w:rsidRDefault="00D317BF"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A4893" w14:textId="77777777" w:rsidR="00D317BF" w:rsidRPr="000B6801" w:rsidRDefault="00D317BF" w:rsidP="00F92F2D">
    <w:pPr>
      <w:pStyle w:val="Footer"/>
      <w:jc w:val="center"/>
    </w:pPr>
    <w:r w:rsidRPr="00967B6B">
      <w:fldChar w:fldCharType="begin"/>
    </w:r>
    <w:r w:rsidRPr="00967B6B">
      <w:instrText xml:space="preserve"> PAGE </w:instrText>
    </w:r>
    <w:r w:rsidRPr="00967B6B">
      <w:fldChar w:fldCharType="separate"/>
    </w:r>
    <w:r>
      <w:rPr>
        <w:noProof/>
      </w:rPr>
      <w:t>21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9940" w14:textId="77777777" w:rsidR="00D317BF" w:rsidRDefault="00D31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568073"/>
      <w:docPartObj>
        <w:docPartGallery w:val="Page Numbers (Bottom of Page)"/>
        <w:docPartUnique/>
      </w:docPartObj>
    </w:sdtPr>
    <w:sdtEndPr>
      <w:rPr>
        <w:noProof/>
      </w:rPr>
    </w:sdtEndPr>
    <w:sdtContent>
      <w:p w14:paraId="2880D832" w14:textId="366A2A09" w:rsidR="00D317BF" w:rsidRDefault="00D317BF">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2DD3D153" w14:textId="6D3BC1A5" w:rsidR="00D317BF" w:rsidRDefault="00D317BF" w:rsidP="008C24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3D04" w14:textId="2C00C463" w:rsidR="00D317BF" w:rsidRDefault="00D317BF">
    <w:pPr>
      <w:pStyle w:val="Footer"/>
    </w:pPr>
    <w:r>
      <w:tab/>
    </w:r>
    <w:r w:rsidRPr="00967B6B">
      <w:fldChar w:fldCharType="begin"/>
    </w:r>
    <w:r w:rsidRPr="00967B6B">
      <w:instrText xml:space="preserve"> PAGE </w:instrText>
    </w:r>
    <w:r w:rsidRPr="00967B6B">
      <w:fldChar w:fldCharType="separate"/>
    </w:r>
    <w:r>
      <w:rPr>
        <w:noProof/>
      </w:rPr>
      <w:t>18</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6FFC7" w14:textId="77777777" w:rsidR="00D317BF" w:rsidRPr="00D37B98" w:rsidRDefault="00D317BF" w:rsidP="00CC0E68">
      <w:pPr>
        <w:pStyle w:val="FootnoteSep"/>
      </w:pPr>
      <w:r w:rsidRPr="00D37B98">
        <w:separator/>
      </w:r>
    </w:p>
  </w:footnote>
  <w:footnote w:type="continuationSeparator" w:id="0">
    <w:p w14:paraId="3D3008BC" w14:textId="77777777" w:rsidR="00D317BF" w:rsidRPr="00D37B98" w:rsidRDefault="00D317BF" w:rsidP="007F094C">
      <w:pPr>
        <w:pStyle w:val="FootnoteSep"/>
      </w:pPr>
    </w:p>
    <w:p w14:paraId="76CBF986" w14:textId="77777777" w:rsidR="00D317BF" w:rsidRPr="00D37B98" w:rsidRDefault="00D317BF" w:rsidP="007F094C">
      <w:pPr>
        <w:pStyle w:val="FootnoteText"/>
      </w:pPr>
      <w:r w:rsidRPr="00D37B98">
        <w:t>(continued)</w:t>
      </w:r>
    </w:p>
  </w:footnote>
  <w:footnote w:type="continuationNotice" w:id="1">
    <w:p w14:paraId="7FAE3CE2" w14:textId="77777777" w:rsidR="00D317BF" w:rsidRPr="00D37B98" w:rsidRDefault="00D317BF"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D2D4" w14:textId="77777777" w:rsidR="00D317BF" w:rsidRPr="00530DA4" w:rsidRDefault="00D317BF" w:rsidP="00530DA4">
    <w:pPr>
      <w:pStyle w:val="Header"/>
    </w:pPr>
    <w:r>
      <w:t xml:space="preserve">General Guide to Word Styles and Built-Ins </w:t>
    </w:r>
    <w:r>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0373" w14:textId="77777777" w:rsidR="00D317BF" w:rsidRDefault="00D31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31E95" w14:textId="666E20C2" w:rsidR="00D317BF" w:rsidRPr="003C7A4C" w:rsidRDefault="00D317BF" w:rsidP="003C7A4C">
    <w:pPr>
      <w:pStyle w:val="Header"/>
    </w:pPr>
    <w:r>
      <w:t xml:space="preserve">Revised </w:t>
    </w:r>
    <w:r w:rsidRPr="003C7A4C">
      <w:t>Touchpoints pilot study interview protocols</w:t>
    </w:r>
    <w:r w:rsidRPr="003C7A4C">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3A11" w14:textId="01753A19" w:rsidR="00D317BF" w:rsidRPr="003C7A4C" w:rsidRDefault="00D317BF" w:rsidP="003C7A4C">
    <w:pPr>
      <w:pStyle w:val="Header"/>
    </w:pPr>
    <w:r>
      <w:t xml:space="preserve">Revised </w:t>
    </w:r>
    <w:r w:rsidRPr="003C7A4C">
      <w:t>Touchpoints pilot study interview protocols</w:t>
    </w:r>
    <w:r w:rsidRPr="003C7A4C">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F25D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3E41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2268" w:hanging="432"/>
      </w:pPr>
      <w:rPr>
        <w:rFonts w:hint="default"/>
      </w:rPr>
    </w:lvl>
    <w:lvl w:ilvl="2">
      <w:start w:val="1"/>
      <w:numFmt w:val="decimal"/>
      <w:pStyle w:val="List3"/>
      <w:lvlText w:val="%1.%2.%3."/>
      <w:lvlJc w:val="left"/>
      <w:pPr>
        <w:ind w:left="-1836" w:hanging="504"/>
      </w:pPr>
      <w:rPr>
        <w:rFonts w:hint="default"/>
      </w:rPr>
    </w:lvl>
    <w:lvl w:ilvl="3">
      <w:start w:val="1"/>
      <w:numFmt w:val="decimal"/>
      <w:pStyle w:val="List4"/>
      <w:lvlText w:val="%1.%2.%3.%4."/>
      <w:lvlJc w:val="left"/>
      <w:pPr>
        <w:ind w:left="-1332" w:hanging="648"/>
      </w:pPr>
      <w:rPr>
        <w:rFonts w:hint="default"/>
      </w:rPr>
    </w:lvl>
    <w:lvl w:ilvl="4">
      <w:start w:val="1"/>
      <w:numFmt w:val="decimal"/>
      <w:pStyle w:val="List5"/>
      <w:lvlText w:val="%1.%2.%3.%4.%5."/>
      <w:lvlJc w:val="left"/>
      <w:pPr>
        <w:ind w:left="-828" w:hanging="792"/>
      </w:pPr>
      <w:rPr>
        <w:rFonts w:hint="default"/>
      </w:rPr>
    </w:lvl>
    <w:lvl w:ilvl="5">
      <w:start w:val="1"/>
      <w:numFmt w:val="decimal"/>
      <w:lvlText w:val="%1.%2.%3.%4.%5.%6."/>
      <w:lvlJc w:val="left"/>
      <w:pPr>
        <w:ind w:left="-324" w:hanging="936"/>
      </w:pPr>
      <w:rPr>
        <w:rFonts w:hint="default"/>
      </w:rPr>
    </w:lvl>
    <w:lvl w:ilvl="6">
      <w:start w:val="1"/>
      <w:numFmt w:val="decimal"/>
      <w:lvlText w:val="%1.%2.%3.%4.%5.%6.%7."/>
      <w:lvlJc w:val="left"/>
      <w:pPr>
        <w:ind w:left="180" w:hanging="1080"/>
      </w:pPr>
      <w:rPr>
        <w:rFonts w:hint="default"/>
      </w:rPr>
    </w:lvl>
    <w:lvl w:ilvl="7">
      <w:start w:val="1"/>
      <w:numFmt w:val="decimal"/>
      <w:lvlText w:val="%1.%2.%3.%4.%5.%6.%7.%8."/>
      <w:lvlJc w:val="left"/>
      <w:pPr>
        <w:ind w:left="684" w:hanging="1224"/>
      </w:pPr>
      <w:rPr>
        <w:rFonts w:hint="default"/>
      </w:rPr>
    </w:lvl>
    <w:lvl w:ilvl="8">
      <w:start w:val="1"/>
      <w:numFmt w:val="decimal"/>
      <w:lvlText w:val="%1.%2.%3.%4.%5.%6.%7.%8.%9."/>
      <w:lvlJc w:val="left"/>
      <w:pPr>
        <w:ind w:left="1260" w:hanging="1440"/>
      </w:pPr>
      <w:rPr>
        <w:rFonts w:hint="default"/>
      </w:rPr>
    </w:lvl>
  </w:abstractNum>
  <w:abstractNum w:abstractNumId="2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51E68"/>
    <w:multiLevelType w:val="hybridMultilevel"/>
    <w:tmpl w:val="BA586F64"/>
    <w:lvl w:ilvl="0" w:tplc="BED0A4E0">
      <w:start w:val="1"/>
      <w:numFmt w:val="lowerLetter"/>
      <w:pStyle w:val="ListAlpha2"/>
      <w:lvlText w:val="%1."/>
      <w:lvlJc w:val="left"/>
      <w:pPr>
        <w:ind w:left="720" w:hanging="360"/>
      </w:pPr>
      <w:rPr>
        <w:rFonts w:ascii="Times New Roman" w:hAnsi="Times New Roman"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4"/>
  </w:num>
  <w:num w:numId="4">
    <w:abstractNumId w:val="15"/>
  </w:num>
  <w:num w:numId="5">
    <w:abstractNumId w:val="27"/>
  </w:num>
  <w:num w:numId="6">
    <w:abstractNumId w:val="26"/>
  </w:num>
  <w:num w:numId="7">
    <w:abstractNumId w:val="11"/>
  </w:num>
  <w:num w:numId="8">
    <w:abstractNumId w:val="6"/>
  </w:num>
  <w:num w:numId="9">
    <w:abstractNumId w:val="5"/>
  </w:num>
  <w:num w:numId="10">
    <w:abstractNumId w:val="4"/>
  </w:num>
  <w:num w:numId="11">
    <w:abstractNumId w:val="7"/>
  </w:num>
  <w:num w:numId="12">
    <w:abstractNumId w:val="3"/>
  </w:num>
  <w:num w:numId="13">
    <w:abstractNumId w:val="2"/>
  </w:num>
  <w:num w:numId="14">
    <w:abstractNumId w:val="19"/>
  </w:num>
  <w:num w:numId="15">
    <w:abstractNumId w:val="10"/>
  </w:num>
  <w:num w:numId="16">
    <w:abstractNumId w:val="9"/>
  </w:num>
  <w:num w:numId="17">
    <w:abstractNumId w:val="17"/>
  </w:num>
  <w:num w:numId="18">
    <w:abstractNumId w:val="16"/>
  </w:num>
  <w:num w:numId="19">
    <w:abstractNumId w:val="24"/>
  </w:num>
  <w:num w:numId="20">
    <w:abstractNumId w:val="12"/>
  </w:num>
  <w:num w:numId="21">
    <w:abstractNumId w:val="20"/>
  </w:num>
  <w:num w:numId="22">
    <w:abstractNumId w:val="21"/>
  </w:num>
  <w:num w:numId="23">
    <w:abstractNumId w:val="18"/>
  </w:num>
  <w:num w:numId="24">
    <w:abstractNumId w:val="25"/>
  </w:num>
  <w:num w:numId="25">
    <w:abstractNumId w:val="23"/>
  </w:num>
  <w:num w:numId="26">
    <w:abstractNumId w:val="8"/>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4"/>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num>
  <w:num w:numId="43">
    <w:abstractNumId w:val="24"/>
    <w:lvlOverride w:ilvl="0">
      <w:startOverride w:val="1"/>
    </w:lvlOverride>
  </w:num>
  <w:num w:numId="44">
    <w:abstractNumId w:val="24"/>
    <w:lvlOverride w:ilvl="0">
      <w:startOverride w:val="1"/>
    </w:lvlOverride>
  </w:num>
  <w:num w:numId="45">
    <w:abstractNumId w:val="24"/>
    <w:lvlOverride w:ilvl="0">
      <w:startOverride w:val="1"/>
    </w:lvlOverride>
  </w:num>
  <w:num w:numId="46">
    <w:abstractNumId w:val="24"/>
    <w:lvlOverride w:ilvl="0">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num>
  <w:num w:numId="50">
    <w:abstractNumId w:val="24"/>
    <w:lvlOverride w:ilvl="0">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24"/>
    <w:lvlOverride w:ilvl="0">
      <w:startOverride w:val="1"/>
    </w:lvlOverride>
  </w:num>
  <w:num w:numId="54">
    <w:abstractNumId w:val="24"/>
    <w:lvlOverride w:ilvl="0">
      <w:startOverride w:val="1"/>
    </w:lvlOverride>
  </w:num>
  <w:num w:numId="55">
    <w:abstractNumId w:val="24"/>
    <w:lvlOverride w:ilvl="0">
      <w:startOverride w:val="1"/>
    </w:lvlOverride>
  </w:num>
  <w:num w:numId="56">
    <w:abstractNumId w:val="24"/>
    <w:lvlOverride w:ilvl="0">
      <w:startOverride w:val="1"/>
    </w:lvlOverride>
  </w:num>
  <w:num w:numId="57">
    <w:abstractNumId w:val="24"/>
    <w:lvlOverride w:ilvl="0">
      <w:startOverride w:val="1"/>
    </w:lvlOverride>
  </w:num>
  <w:num w:numId="58">
    <w:abstractNumId w:val="24"/>
    <w:lvlOverride w:ilvl="0">
      <w:startOverride w:val="1"/>
    </w:lvlOverride>
  </w:num>
  <w:num w:numId="59">
    <w:abstractNumId w:val="24"/>
    <w:lvlOverride w:ilvl="0">
      <w:startOverride w:val="1"/>
    </w:lvlOverride>
  </w:num>
  <w:num w:numId="60">
    <w:abstractNumId w:val="24"/>
    <w:lvlOverride w:ilvl="0">
      <w:startOverride w:val="1"/>
    </w:lvlOverride>
  </w:num>
  <w:num w:numId="61">
    <w:abstractNumId w:val="24"/>
    <w:lvlOverride w:ilvl="0">
      <w:startOverride w:val="1"/>
    </w:lvlOverride>
  </w:num>
  <w:num w:numId="62">
    <w:abstractNumId w:val="1"/>
  </w:num>
  <w:num w:numId="63">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9A"/>
    <w:rsid w:val="00000897"/>
    <w:rsid w:val="00001766"/>
    <w:rsid w:val="000030AB"/>
    <w:rsid w:val="000030B1"/>
    <w:rsid w:val="0000627C"/>
    <w:rsid w:val="00006ED7"/>
    <w:rsid w:val="000072FC"/>
    <w:rsid w:val="00010235"/>
    <w:rsid w:val="00010CEE"/>
    <w:rsid w:val="0001132C"/>
    <w:rsid w:val="000136EC"/>
    <w:rsid w:val="000150F7"/>
    <w:rsid w:val="0001569E"/>
    <w:rsid w:val="0001587F"/>
    <w:rsid w:val="00015F6D"/>
    <w:rsid w:val="00016D34"/>
    <w:rsid w:val="00017549"/>
    <w:rsid w:val="000205FA"/>
    <w:rsid w:val="000212FC"/>
    <w:rsid w:val="0002151F"/>
    <w:rsid w:val="000221F4"/>
    <w:rsid w:val="00022A0A"/>
    <w:rsid w:val="0002322B"/>
    <w:rsid w:val="000234AB"/>
    <w:rsid w:val="00025C0A"/>
    <w:rsid w:val="0002754E"/>
    <w:rsid w:val="00027EDF"/>
    <w:rsid w:val="00030E11"/>
    <w:rsid w:val="0003153C"/>
    <w:rsid w:val="000320C1"/>
    <w:rsid w:val="0003265D"/>
    <w:rsid w:val="00032E4E"/>
    <w:rsid w:val="00034327"/>
    <w:rsid w:val="00034667"/>
    <w:rsid w:val="000351DD"/>
    <w:rsid w:val="00036E7F"/>
    <w:rsid w:val="00037249"/>
    <w:rsid w:val="0003737C"/>
    <w:rsid w:val="00040B2C"/>
    <w:rsid w:val="00041E74"/>
    <w:rsid w:val="000423BE"/>
    <w:rsid w:val="00042419"/>
    <w:rsid w:val="00042FA8"/>
    <w:rsid w:val="000432F5"/>
    <w:rsid w:val="00043329"/>
    <w:rsid w:val="00043B27"/>
    <w:rsid w:val="00044069"/>
    <w:rsid w:val="00046A1A"/>
    <w:rsid w:val="00047BDD"/>
    <w:rsid w:val="00047D5D"/>
    <w:rsid w:val="00050C43"/>
    <w:rsid w:val="00050C88"/>
    <w:rsid w:val="000520F4"/>
    <w:rsid w:val="000542CF"/>
    <w:rsid w:val="000567E3"/>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08E2"/>
    <w:rsid w:val="00072851"/>
    <w:rsid w:val="00074FEB"/>
    <w:rsid w:val="000777DB"/>
    <w:rsid w:val="00077878"/>
    <w:rsid w:val="00081356"/>
    <w:rsid w:val="000834E0"/>
    <w:rsid w:val="00083717"/>
    <w:rsid w:val="000838DD"/>
    <w:rsid w:val="00083A0A"/>
    <w:rsid w:val="00083FF8"/>
    <w:rsid w:val="000845AF"/>
    <w:rsid w:val="000855BD"/>
    <w:rsid w:val="00085B36"/>
    <w:rsid w:val="00086066"/>
    <w:rsid w:val="00087EB8"/>
    <w:rsid w:val="00090441"/>
    <w:rsid w:val="000908DF"/>
    <w:rsid w:val="00091160"/>
    <w:rsid w:val="0009143A"/>
    <w:rsid w:val="00092241"/>
    <w:rsid w:val="0009405A"/>
    <w:rsid w:val="000943C5"/>
    <w:rsid w:val="00095543"/>
    <w:rsid w:val="00095E87"/>
    <w:rsid w:val="00096E64"/>
    <w:rsid w:val="000972E1"/>
    <w:rsid w:val="000A0B8D"/>
    <w:rsid w:val="000A1DAD"/>
    <w:rsid w:val="000A2181"/>
    <w:rsid w:val="000A2330"/>
    <w:rsid w:val="000A2F18"/>
    <w:rsid w:val="000A3AF1"/>
    <w:rsid w:val="000A455D"/>
    <w:rsid w:val="000A54AF"/>
    <w:rsid w:val="000A5A8D"/>
    <w:rsid w:val="000A6591"/>
    <w:rsid w:val="000A6746"/>
    <w:rsid w:val="000A6BE1"/>
    <w:rsid w:val="000A6F01"/>
    <w:rsid w:val="000A758A"/>
    <w:rsid w:val="000A7604"/>
    <w:rsid w:val="000A7BDA"/>
    <w:rsid w:val="000A7FB4"/>
    <w:rsid w:val="000B1D6B"/>
    <w:rsid w:val="000B25E1"/>
    <w:rsid w:val="000B521D"/>
    <w:rsid w:val="000B555A"/>
    <w:rsid w:val="000B6548"/>
    <w:rsid w:val="000B6D26"/>
    <w:rsid w:val="000B764C"/>
    <w:rsid w:val="000C1757"/>
    <w:rsid w:val="000C178D"/>
    <w:rsid w:val="000C185F"/>
    <w:rsid w:val="000C262B"/>
    <w:rsid w:val="000C27DB"/>
    <w:rsid w:val="000C2E3B"/>
    <w:rsid w:val="000C413E"/>
    <w:rsid w:val="000C5EA2"/>
    <w:rsid w:val="000C7B38"/>
    <w:rsid w:val="000C7D4D"/>
    <w:rsid w:val="000D0408"/>
    <w:rsid w:val="000D07D3"/>
    <w:rsid w:val="000D09AA"/>
    <w:rsid w:val="000D2B3B"/>
    <w:rsid w:val="000D2D16"/>
    <w:rsid w:val="000D5B34"/>
    <w:rsid w:val="000D5E30"/>
    <w:rsid w:val="000D6D88"/>
    <w:rsid w:val="000D751A"/>
    <w:rsid w:val="000D7604"/>
    <w:rsid w:val="000E05A1"/>
    <w:rsid w:val="000E0694"/>
    <w:rsid w:val="000E06A9"/>
    <w:rsid w:val="000E1C2B"/>
    <w:rsid w:val="000E2169"/>
    <w:rsid w:val="000E2D16"/>
    <w:rsid w:val="000E4C3F"/>
    <w:rsid w:val="000E5219"/>
    <w:rsid w:val="000E531C"/>
    <w:rsid w:val="000F197A"/>
    <w:rsid w:val="000F22CB"/>
    <w:rsid w:val="000F4149"/>
    <w:rsid w:val="000F487F"/>
    <w:rsid w:val="000F5259"/>
    <w:rsid w:val="000F60CD"/>
    <w:rsid w:val="000F677B"/>
    <w:rsid w:val="000F6D4E"/>
    <w:rsid w:val="0010008A"/>
    <w:rsid w:val="0010048B"/>
    <w:rsid w:val="001004A7"/>
    <w:rsid w:val="00100710"/>
    <w:rsid w:val="00100B38"/>
    <w:rsid w:val="00100D22"/>
    <w:rsid w:val="001015E2"/>
    <w:rsid w:val="0010238D"/>
    <w:rsid w:val="0010256D"/>
    <w:rsid w:val="0010292D"/>
    <w:rsid w:val="00103C77"/>
    <w:rsid w:val="00106BE4"/>
    <w:rsid w:val="0011140A"/>
    <w:rsid w:val="001119F8"/>
    <w:rsid w:val="00112A5E"/>
    <w:rsid w:val="00113CC8"/>
    <w:rsid w:val="001168E7"/>
    <w:rsid w:val="00116BD8"/>
    <w:rsid w:val="00117892"/>
    <w:rsid w:val="001215A9"/>
    <w:rsid w:val="00122C2C"/>
    <w:rsid w:val="00123A87"/>
    <w:rsid w:val="001244B1"/>
    <w:rsid w:val="0012514E"/>
    <w:rsid w:val="0012589E"/>
    <w:rsid w:val="00126560"/>
    <w:rsid w:val="001272DB"/>
    <w:rsid w:val="00130C03"/>
    <w:rsid w:val="001311F7"/>
    <w:rsid w:val="0013184F"/>
    <w:rsid w:val="00131D22"/>
    <w:rsid w:val="00131F00"/>
    <w:rsid w:val="0013346F"/>
    <w:rsid w:val="001349E2"/>
    <w:rsid w:val="00134A06"/>
    <w:rsid w:val="00135328"/>
    <w:rsid w:val="00135EB7"/>
    <w:rsid w:val="001364CF"/>
    <w:rsid w:val="0013709C"/>
    <w:rsid w:val="00137586"/>
    <w:rsid w:val="00137AFA"/>
    <w:rsid w:val="00137B02"/>
    <w:rsid w:val="00142411"/>
    <w:rsid w:val="00144A6C"/>
    <w:rsid w:val="0014646C"/>
    <w:rsid w:val="0014674C"/>
    <w:rsid w:val="00146CE3"/>
    <w:rsid w:val="00147515"/>
    <w:rsid w:val="00147A74"/>
    <w:rsid w:val="001510AE"/>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39F1"/>
    <w:rsid w:val="0017416C"/>
    <w:rsid w:val="00174984"/>
    <w:rsid w:val="0017499B"/>
    <w:rsid w:val="00174E4D"/>
    <w:rsid w:val="00175356"/>
    <w:rsid w:val="001754FE"/>
    <w:rsid w:val="00176C98"/>
    <w:rsid w:val="00177107"/>
    <w:rsid w:val="00181AC8"/>
    <w:rsid w:val="00182C1D"/>
    <w:rsid w:val="00182CF1"/>
    <w:rsid w:val="00183600"/>
    <w:rsid w:val="0018379A"/>
    <w:rsid w:val="00184421"/>
    <w:rsid w:val="00184E72"/>
    <w:rsid w:val="00185CEF"/>
    <w:rsid w:val="00186C9D"/>
    <w:rsid w:val="001871ED"/>
    <w:rsid w:val="00191FD5"/>
    <w:rsid w:val="001921A4"/>
    <w:rsid w:val="00192E41"/>
    <w:rsid w:val="00194A0E"/>
    <w:rsid w:val="001962CC"/>
    <w:rsid w:val="001969F1"/>
    <w:rsid w:val="00196E5A"/>
    <w:rsid w:val="00197503"/>
    <w:rsid w:val="0019769F"/>
    <w:rsid w:val="001A1BDB"/>
    <w:rsid w:val="001A1D2C"/>
    <w:rsid w:val="001A2E81"/>
    <w:rsid w:val="001A3252"/>
    <w:rsid w:val="001A3781"/>
    <w:rsid w:val="001A5123"/>
    <w:rsid w:val="001A6100"/>
    <w:rsid w:val="001A6ECF"/>
    <w:rsid w:val="001B107D"/>
    <w:rsid w:val="001B1B81"/>
    <w:rsid w:val="001B1E5B"/>
    <w:rsid w:val="001B2AF7"/>
    <w:rsid w:val="001B322A"/>
    <w:rsid w:val="001B4842"/>
    <w:rsid w:val="001B5E5A"/>
    <w:rsid w:val="001B762F"/>
    <w:rsid w:val="001B78EA"/>
    <w:rsid w:val="001C031B"/>
    <w:rsid w:val="001C19D6"/>
    <w:rsid w:val="001C44FA"/>
    <w:rsid w:val="001C5EB8"/>
    <w:rsid w:val="001C6506"/>
    <w:rsid w:val="001C7FBE"/>
    <w:rsid w:val="001D283A"/>
    <w:rsid w:val="001D3544"/>
    <w:rsid w:val="001D39AA"/>
    <w:rsid w:val="001D39EC"/>
    <w:rsid w:val="001D418D"/>
    <w:rsid w:val="001D661F"/>
    <w:rsid w:val="001D71DF"/>
    <w:rsid w:val="001D7B65"/>
    <w:rsid w:val="001E0620"/>
    <w:rsid w:val="001E1B66"/>
    <w:rsid w:val="001E1D97"/>
    <w:rsid w:val="001E342D"/>
    <w:rsid w:val="001E36F4"/>
    <w:rsid w:val="001E6246"/>
    <w:rsid w:val="001E6A60"/>
    <w:rsid w:val="001E6E5A"/>
    <w:rsid w:val="001E79E7"/>
    <w:rsid w:val="001F44F1"/>
    <w:rsid w:val="001F5515"/>
    <w:rsid w:val="001F571B"/>
    <w:rsid w:val="002000FB"/>
    <w:rsid w:val="00201E7E"/>
    <w:rsid w:val="00203C28"/>
    <w:rsid w:val="00203E3B"/>
    <w:rsid w:val="00204AB9"/>
    <w:rsid w:val="00204B23"/>
    <w:rsid w:val="002050B7"/>
    <w:rsid w:val="0020747A"/>
    <w:rsid w:val="002075C7"/>
    <w:rsid w:val="00211BBA"/>
    <w:rsid w:val="00211FFA"/>
    <w:rsid w:val="00213E19"/>
    <w:rsid w:val="002140C3"/>
    <w:rsid w:val="0021452A"/>
    <w:rsid w:val="002149DD"/>
    <w:rsid w:val="00214E0B"/>
    <w:rsid w:val="00215C5A"/>
    <w:rsid w:val="00215E4D"/>
    <w:rsid w:val="002166BC"/>
    <w:rsid w:val="00217A31"/>
    <w:rsid w:val="00217FA0"/>
    <w:rsid w:val="002204CD"/>
    <w:rsid w:val="00221020"/>
    <w:rsid w:val="00222316"/>
    <w:rsid w:val="00225954"/>
    <w:rsid w:val="00225A35"/>
    <w:rsid w:val="00226D01"/>
    <w:rsid w:val="0022714B"/>
    <w:rsid w:val="002272CB"/>
    <w:rsid w:val="002273EC"/>
    <w:rsid w:val="00227E6B"/>
    <w:rsid w:val="002313D3"/>
    <w:rsid w:val="00231607"/>
    <w:rsid w:val="0023638D"/>
    <w:rsid w:val="00236484"/>
    <w:rsid w:val="00245F71"/>
    <w:rsid w:val="00246468"/>
    <w:rsid w:val="00247945"/>
    <w:rsid w:val="0025023C"/>
    <w:rsid w:val="0025070E"/>
    <w:rsid w:val="00250848"/>
    <w:rsid w:val="00250D2A"/>
    <w:rsid w:val="0025248B"/>
    <w:rsid w:val="002542CB"/>
    <w:rsid w:val="00254C89"/>
    <w:rsid w:val="00254E2D"/>
    <w:rsid w:val="00255AAE"/>
    <w:rsid w:val="00256D04"/>
    <w:rsid w:val="00257B33"/>
    <w:rsid w:val="0026025C"/>
    <w:rsid w:val="002606D9"/>
    <w:rsid w:val="00260EB6"/>
    <w:rsid w:val="00261382"/>
    <w:rsid w:val="00261A27"/>
    <w:rsid w:val="00261E86"/>
    <w:rsid w:val="00264158"/>
    <w:rsid w:val="00264782"/>
    <w:rsid w:val="00265EFA"/>
    <w:rsid w:val="0026713B"/>
    <w:rsid w:val="00271C83"/>
    <w:rsid w:val="0027245E"/>
    <w:rsid w:val="00272B66"/>
    <w:rsid w:val="002733A4"/>
    <w:rsid w:val="002759B5"/>
    <w:rsid w:val="00276031"/>
    <w:rsid w:val="00276353"/>
    <w:rsid w:val="0028039E"/>
    <w:rsid w:val="00280DC8"/>
    <w:rsid w:val="00280FE7"/>
    <w:rsid w:val="002817A6"/>
    <w:rsid w:val="00281D70"/>
    <w:rsid w:val="002830E3"/>
    <w:rsid w:val="00283304"/>
    <w:rsid w:val="0028360E"/>
    <w:rsid w:val="00284045"/>
    <w:rsid w:val="00284837"/>
    <w:rsid w:val="00284896"/>
    <w:rsid w:val="002857D5"/>
    <w:rsid w:val="002869EF"/>
    <w:rsid w:val="00287B91"/>
    <w:rsid w:val="0029011D"/>
    <w:rsid w:val="0029042C"/>
    <w:rsid w:val="00290858"/>
    <w:rsid w:val="0029211D"/>
    <w:rsid w:val="00292A7F"/>
    <w:rsid w:val="00294B21"/>
    <w:rsid w:val="00297266"/>
    <w:rsid w:val="002A00E4"/>
    <w:rsid w:val="002A11DC"/>
    <w:rsid w:val="002A1ED1"/>
    <w:rsid w:val="002A2064"/>
    <w:rsid w:val="002A2262"/>
    <w:rsid w:val="002A22CB"/>
    <w:rsid w:val="002A2483"/>
    <w:rsid w:val="002A2808"/>
    <w:rsid w:val="002A3D5D"/>
    <w:rsid w:val="002A4F27"/>
    <w:rsid w:val="002A64F9"/>
    <w:rsid w:val="002A6552"/>
    <w:rsid w:val="002A722C"/>
    <w:rsid w:val="002A7833"/>
    <w:rsid w:val="002A7FDE"/>
    <w:rsid w:val="002B0BDE"/>
    <w:rsid w:val="002B0E82"/>
    <w:rsid w:val="002B25CD"/>
    <w:rsid w:val="002B2F7B"/>
    <w:rsid w:val="002B3AC4"/>
    <w:rsid w:val="002B4998"/>
    <w:rsid w:val="002B4AF3"/>
    <w:rsid w:val="002B4FB4"/>
    <w:rsid w:val="002B508A"/>
    <w:rsid w:val="002B71CD"/>
    <w:rsid w:val="002B72E0"/>
    <w:rsid w:val="002B76AB"/>
    <w:rsid w:val="002B7C37"/>
    <w:rsid w:val="002C0508"/>
    <w:rsid w:val="002C0B37"/>
    <w:rsid w:val="002C0C0D"/>
    <w:rsid w:val="002C1507"/>
    <w:rsid w:val="002C2601"/>
    <w:rsid w:val="002C37A6"/>
    <w:rsid w:val="002C3CA5"/>
    <w:rsid w:val="002C40A9"/>
    <w:rsid w:val="002C4BF2"/>
    <w:rsid w:val="002C598D"/>
    <w:rsid w:val="002C71CA"/>
    <w:rsid w:val="002D048E"/>
    <w:rsid w:val="002D262A"/>
    <w:rsid w:val="002D3B71"/>
    <w:rsid w:val="002D4133"/>
    <w:rsid w:val="002D5049"/>
    <w:rsid w:val="002D6763"/>
    <w:rsid w:val="002D7B94"/>
    <w:rsid w:val="002E06F1"/>
    <w:rsid w:val="002E226E"/>
    <w:rsid w:val="002E3E35"/>
    <w:rsid w:val="002E422F"/>
    <w:rsid w:val="002E5E67"/>
    <w:rsid w:val="002E6A72"/>
    <w:rsid w:val="002E714D"/>
    <w:rsid w:val="002F0A27"/>
    <w:rsid w:val="002F1632"/>
    <w:rsid w:val="002F1AEA"/>
    <w:rsid w:val="002F297B"/>
    <w:rsid w:val="002F4173"/>
    <w:rsid w:val="002F58FD"/>
    <w:rsid w:val="002F6E35"/>
    <w:rsid w:val="002F7E96"/>
    <w:rsid w:val="003006AB"/>
    <w:rsid w:val="00300B4E"/>
    <w:rsid w:val="0030242C"/>
    <w:rsid w:val="003025D2"/>
    <w:rsid w:val="00302890"/>
    <w:rsid w:val="00303031"/>
    <w:rsid w:val="0030386B"/>
    <w:rsid w:val="0030563D"/>
    <w:rsid w:val="0030651C"/>
    <w:rsid w:val="0030689A"/>
    <w:rsid w:val="00306F1E"/>
    <w:rsid w:val="003079E9"/>
    <w:rsid w:val="00310A27"/>
    <w:rsid w:val="00310CBE"/>
    <w:rsid w:val="00311A21"/>
    <w:rsid w:val="00311A51"/>
    <w:rsid w:val="003122C7"/>
    <w:rsid w:val="00315B69"/>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0E64"/>
    <w:rsid w:val="00331ADC"/>
    <w:rsid w:val="00333857"/>
    <w:rsid w:val="0033626E"/>
    <w:rsid w:val="00336861"/>
    <w:rsid w:val="003369A7"/>
    <w:rsid w:val="0033765D"/>
    <w:rsid w:val="00337684"/>
    <w:rsid w:val="00337D81"/>
    <w:rsid w:val="00341682"/>
    <w:rsid w:val="00342537"/>
    <w:rsid w:val="003426BF"/>
    <w:rsid w:val="00345556"/>
    <w:rsid w:val="003456F6"/>
    <w:rsid w:val="00345C40"/>
    <w:rsid w:val="00346E5F"/>
    <w:rsid w:val="00346F07"/>
    <w:rsid w:val="00347636"/>
    <w:rsid w:val="003478DB"/>
    <w:rsid w:val="00347977"/>
    <w:rsid w:val="003502D0"/>
    <w:rsid w:val="00350B2A"/>
    <w:rsid w:val="003545DB"/>
    <w:rsid w:val="0035526C"/>
    <w:rsid w:val="0035566F"/>
    <w:rsid w:val="003556EF"/>
    <w:rsid w:val="003569CA"/>
    <w:rsid w:val="00357485"/>
    <w:rsid w:val="00357B5C"/>
    <w:rsid w:val="00360C86"/>
    <w:rsid w:val="00360D65"/>
    <w:rsid w:val="0036230B"/>
    <w:rsid w:val="00362522"/>
    <w:rsid w:val="00363298"/>
    <w:rsid w:val="00363410"/>
    <w:rsid w:val="00363A19"/>
    <w:rsid w:val="00364847"/>
    <w:rsid w:val="00364C25"/>
    <w:rsid w:val="003656C4"/>
    <w:rsid w:val="00366C1F"/>
    <w:rsid w:val="00366F93"/>
    <w:rsid w:val="00367401"/>
    <w:rsid w:val="00370490"/>
    <w:rsid w:val="00370790"/>
    <w:rsid w:val="00370BC5"/>
    <w:rsid w:val="00370D5B"/>
    <w:rsid w:val="003732D3"/>
    <w:rsid w:val="003743AD"/>
    <w:rsid w:val="00376F39"/>
    <w:rsid w:val="00381437"/>
    <w:rsid w:val="00381D30"/>
    <w:rsid w:val="00383AF2"/>
    <w:rsid w:val="003845F2"/>
    <w:rsid w:val="00384A00"/>
    <w:rsid w:val="00384E5E"/>
    <w:rsid w:val="003859C9"/>
    <w:rsid w:val="00387C3D"/>
    <w:rsid w:val="00390F28"/>
    <w:rsid w:val="003921CA"/>
    <w:rsid w:val="00392614"/>
    <w:rsid w:val="00394544"/>
    <w:rsid w:val="003946B6"/>
    <w:rsid w:val="00394DAA"/>
    <w:rsid w:val="003952EF"/>
    <w:rsid w:val="003954AE"/>
    <w:rsid w:val="003969F2"/>
    <w:rsid w:val="00396AA6"/>
    <w:rsid w:val="00396FD7"/>
    <w:rsid w:val="00397B3F"/>
    <w:rsid w:val="003A0C7A"/>
    <w:rsid w:val="003A0DAE"/>
    <w:rsid w:val="003A16DA"/>
    <w:rsid w:val="003A3ADA"/>
    <w:rsid w:val="003A501E"/>
    <w:rsid w:val="003A63C1"/>
    <w:rsid w:val="003B11F7"/>
    <w:rsid w:val="003B1491"/>
    <w:rsid w:val="003B22ED"/>
    <w:rsid w:val="003B32AF"/>
    <w:rsid w:val="003B4324"/>
    <w:rsid w:val="003B451B"/>
    <w:rsid w:val="003B4C48"/>
    <w:rsid w:val="003B65A1"/>
    <w:rsid w:val="003B6EBB"/>
    <w:rsid w:val="003B7A1A"/>
    <w:rsid w:val="003B7D80"/>
    <w:rsid w:val="003C0204"/>
    <w:rsid w:val="003C07E9"/>
    <w:rsid w:val="003C2F77"/>
    <w:rsid w:val="003C3464"/>
    <w:rsid w:val="003C38EC"/>
    <w:rsid w:val="003C3D79"/>
    <w:rsid w:val="003C4D25"/>
    <w:rsid w:val="003C556C"/>
    <w:rsid w:val="003C5D9A"/>
    <w:rsid w:val="003C683A"/>
    <w:rsid w:val="003C7423"/>
    <w:rsid w:val="003C7A4C"/>
    <w:rsid w:val="003C7CEC"/>
    <w:rsid w:val="003D036E"/>
    <w:rsid w:val="003D095B"/>
    <w:rsid w:val="003D166D"/>
    <w:rsid w:val="003D1AD9"/>
    <w:rsid w:val="003D1E01"/>
    <w:rsid w:val="003D1EB9"/>
    <w:rsid w:val="003D357E"/>
    <w:rsid w:val="003D5ECD"/>
    <w:rsid w:val="003D5F58"/>
    <w:rsid w:val="003D6733"/>
    <w:rsid w:val="003E1047"/>
    <w:rsid w:val="003E1520"/>
    <w:rsid w:val="003E21DB"/>
    <w:rsid w:val="003E264C"/>
    <w:rsid w:val="003E2B32"/>
    <w:rsid w:val="003E30C6"/>
    <w:rsid w:val="003E3505"/>
    <w:rsid w:val="003E418E"/>
    <w:rsid w:val="003E50B1"/>
    <w:rsid w:val="003E5A0C"/>
    <w:rsid w:val="003E7979"/>
    <w:rsid w:val="003F1529"/>
    <w:rsid w:val="003F3340"/>
    <w:rsid w:val="003F4A95"/>
    <w:rsid w:val="003F4ADD"/>
    <w:rsid w:val="003F64A6"/>
    <w:rsid w:val="003F678A"/>
    <w:rsid w:val="003F7027"/>
    <w:rsid w:val="003F74FD"/>
    <w:rsid w:val="003F7637"/>
    <w:rsid w:val="003F7D6D"/>
    <w:rsid w:val="00400AC2"/>
    <w:rsid w:val="004018C4"/>
    <w:rsid w:val="0040320A"/>
    <w:rsid w:val="004043FA"/>
    <w:rsid w:val="00405454"/>
    <w:rsid w:val="00405CC3"/>
    <w:rsid w:val="00406760"/>
    <w:rsid w:val="00410C38"/>
    <w:rsid w:val="00412225"/>
    <w:rsid w:val="00413560"/>
    <w:rsid w:val="00413779"/>
    <w:rsid w:val="0041401A"/>
    <w:rsid w:val="00414588"/>
    <w:rsid w:val="004152B5"/>
    <w:rsid w:val="0042280C"/>
    <w:rsid w:val="00424ED2"/>
    <w:rsid w:val="0042556D"/>
    <w:rsid w:val="00425714"/>
    <w:rsid w:val="00430A83"/>
    <w:rsid w:val="00431084"/>
    <w:rsid w:val="00432C4E"/>
    <w:rsid w:val="00433702"/>
    <w:rsid w:val="004337A1"/>
    <w:rsid w:val="00435539"/>
    <w:rsid w:val="00436B58"/>
    <w:rsid w:val="00436BEA"/>
    <w:rsid w:val="00436CFC"/>
    <w:rsid w:val="00437868"/>
    <w:rsid w:val="00440176"/>
    <w:rsid w:val="00440198"/>
    <w:rsid w:val="004406E3"/>
    <w:rsid w:val="0044335E"/>
    <w:rsid w:val="00444916"/>
    <w:rsid w:val="004465AB"/>
    <w:rsid w:val="00446C1B"/>
    <w:rsid w:val="004473B8"/>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0D2C"/>
    <w:rsid w:val="00471EE5"/>
    <w:rsid w:val="00472E39"/>
    <w:rsid w:val="0047458A"/>
    <w:rsid w:val="004749C2"/>
    <w:rsid w:val="004749E9"/>
    <w:rsid w:val="0047529D"/>
    <w:rsid w:val="00477C89"/>
    <w:rsid w:val="00480779"/>
    <w:rsid w:val="00483AB1"/>
    <w:rsid w:val="00483AF4"/>
    <w:rsid w:val="004862AF"/>
    <w:rsid w:val="004867C2"/>
    <w:rsid w:val="0049195D"/>
    <w:rsid w:val="00491AB9"/>
    <w:rsid w:val="00492D69"/>
    <w:rsid w:val="004934BE"/>
    <w:rsid w:val="0049383D"/>
    <w:rsid w:val="004945FF"/>
    <w:rsid w:val="004955F0"/>
    <w:rsid w:val="00495D2D"/>
    <w:rsid w:val="00495DE3"/>
    <w:rsid w:val="00496EDF"/>
    <w:rsid w:val="0049723D"/>
    <w:rsid w:val="004A0870"/>
    <w:rsid w:val="004A3377"/>
    <w:rsid w:val="004A3984"/>
    <w:rsid w:val="004A4430"/>
    <w:rsid w:val="004A4935"/>
    <w:rsid w:val="004A5DD1"/>
    <w:rsid w:val="004B0024"/>
    <w:rsid w:val="004B2B73"/>
    <w:rsid w:val="004B38B6"/>
    <w:rsid w:val="004B3CF0"/>
    <w:rsid w:val="004B3D9F"/>
    <w:rsid w:val="004B47D3"/>
    <w:rsid w:val="004B4ABE"/>
    <w:rsid w:val="004B516D"/>
    <w:rsid w:val="004B5267"/>
    <w:rsid w:val="004B5934"/>
    <w:rsid w:val="004B5D0A"/>
    <w:rsid w:val="004B6A25"/>
    <w:rsid w:val="004C2622"/>
    <w:rsid w:val="004C2DBD"/>
    <w:rsid w:val="004C37D2"/>
    <w:rsid w:val="004C3FBD"/>
    <w:rsid w:val="004C4617"/>
    <w:rsid w:val="004C46F2"/>
    <w:rsid w:val="004C498B"/>
    <w:rsid w:val="004C6127"/>
    <w:rsid w:val="004C65B3"/>
    <w:rsid w:val="004C67B1"/>
    <w:rsid w:val="004C7804"/>
    <w:rsid w:val="004D0C1F"/>
    <w:rsid w:val="004D1EAA"/>
    <w:rsid w:val="004D2643"/>
    <w:rsid w:val="004D2C35"/>
    <w:rsid w:val="004D3B77"/>
    <w:rsid w:val="004D4400"/>
    <w:rsid w:val="004D486F"/>
    <w:rsid w:val="004D59B4"/>
    <w:rsid w:val="004D6B97"/>
    <w:rsid w:val="004D758B"/>
    <w:rsid w:val="004D767C"/>
    <w:rsid w:val="004D7A00"/>
    <w:rsid w:val="004D7BF5"/>
    <w:rsid w:val="004E049B"/>
    <w:rsid w:val="004E084A"/>
    <w:rsid w:val="004E14C9"/>
    <w:rsid w:val="004E1976"/>
    <w:rsid w:val="004E2132"/>
    <w:rsid w:val="004E31B9"/>
    <w:rsid w:val="004E6247"/>
    <w:rsid w:val="004E69F7"/>
    <w:rsid w:val="004E7409"/>
    <w:rsid w:val="004E74D1"/>
    <w:rsid w:val="004F2465"/>
    <w:rsid w:val="004F2BAC"/>
    <w:rsid w:val="004F33E5"/>
    <w:rsid w:val="004F36C4"/>
    <w:rsid w:val="004F3732"/>
    <w:rsid w:val="004F426B"/>
    <w:rsid w:val="004F5C69"/>
    <w:rsid w:val="004F688E"/>
    <w:rsid w:val="004F6CC1"/>
    <w:rsid w:val="004F715B"/>
    <w:rsid w:val="004F78AA"/>
    <w:rsid w:val="00500104"/>
    <w:rsid w:val="0050038C"/>
    <w:rsid w:val="005025EF"/>
    <w:rsid w:val="00504724"/>
    <w:rsid w:val="00504770"/>
    <w:rsid w:val="00504A37"/>
    <w:rsid w:val="00505804"/>
    <w:rsid w:val="00506F79"/>
    <w:rsid w:val="00507D47"/>
    <w:rsid w:val="00510612"/>
    <w:rsid w:val="00511D22"/>
    <w:rsid w:val="005120A9"/>
    <w:rsid w:val="00513298"/>
    <w:rsid w:val="00514D43"/>
    <w:rsid w:val="00515157"/>
    <w:rsid w:val="00515443"/>
    <w:rsid w:val="0051571D"/>
    <w:rsid w:val="00516C40"/>
    <w:rsid w:val="00517C6B"/>
    <w:rsid w:val="005204D0"/>
    <w:rsid w:val="00520526"/>
    <w:rsid w:val="005218AD"/>
    <w:rsid w:val="00521EAD"/>
    <w:rsid w:val="0052467D"/>
    <w:rsid w:val="00524C1C"/>
    <w:rsid w:val="005257EC"/>
    <w:rsid w:val="00526576"/>
    <w:rsid w:val="00526631"/>
    <w:rsid w:val="00526D08"/>
    <w:rsid w:val="00527158"/>
    <w:rsid w:val="0053051B"/>
    <w:rsid w:val="00530DA4"/>
    <w:rsid w:val="00533800"/>
    <w:rsid w:val="0053482F"/>
    <w:rsid w:val="005350B0"/>
    <w:rsid w:val="00535221"/>
    <w:rsid w:val="0053540D"/>
    <w:rsid w:val="00537E01"/>
    <w:rsid w:val="005400FC"/>
    <w:rsid w:val="00540352"/>
    <w:rsid w:val="005403E8"/>
    <w:rsid w:val="00541B7F"/>
    <w:rsid w:val="0054356A"/>
    <w:rsid w:val="005437C5"/>
    <w:rsid w:val="005439A6"/>
    <w:rsid w:val="0054746F"/>
    <w:rsid w:val="00550A98"/>
    <w:rsid w:val="00550DF2"/>
    <w:rsid w:val="00550E33"/>
    <w:rsid w:val="00551D48"/>
    <w:rsid w:val="005531D7"/>
    <w:rsid w:val="005547CA"/>
    <w:rsid w:val="00555F68"/>
    <w:rsid w:val="005576F8"/>
    <w:rsid w:val="005608FA"/>
    <w:rsid w:val="00560D9D"/>
    <w:rsid w:val="00561604"/>
    <w:rsid w:val="00563C42"/>
    <w:rsid w:val="0056685F"/>
    <w:rsid w:val="00566962"/>
    <w:rsid w:val="00567E5F"/>
    <w:rsid w:val="005720EB"/>
    <w:rsid w:val="00573429"/>
    <w:rsid w:val="0057453B"/>
    <w:rsid w:val="00580A6C"/>
    <w:rsid w:val="005837E2"/>
    <w:rsid w:val="0058515F"/>
    <w:rsid w:val="00585F60"/>
    <w:rsid w:val="005860D2"/>
    <w:rsid w:val="00586D96"/>
    <w:rsid w:val="005903AC"/>
    <w:rsid w:val="00591A61"/>
    <w:rsid w:val="00592360"/>
    <w:rsid w:val="00592471"/>
    <w:rsid w:val="00592F00"/>
    <w:rsid w:val="005937EB"/>
    <w:rsid w:val="00595FE7"/>
    <w:rsid w:val="005969EC"/>
    <w:rsid w:val="00597042"/>
    <w:rsid w:val="005970FF"/>
    <w:rsid w:val="005975FE"/>
    <w:rsid w:val="005A151B"/>
    <w:rsid w:val="005A1AD0"/>
    <w:rsid w:val="005A1B02"/>
    <w:rsid w:val="005A22F7"/>
    <w:rsid w:val="005A2504"/>
    <w:rsid w:val="005A2943"/>
    <w:rsid w:val="005A42E8"/>
    <w:rsid w:val="005A4B51"/>
    <w:rsid w:val="005A7D7E"/>
    <w:rsid w:val="005A7F69"/>
    <w:rsid w:val="005B0538"/>
    <w:rsid w:val="005B0854"/>
    <w:rsid w:val="005B39F1"/>
    <w:rsid w:val="005B3BFB"/>
    <w:rsid w:val="005B3EA6"/>
    <w:rsid w:val="005B4ABF"/>
    <w:rsid w:val="005B5731"/>
    <w:rsid w:val="005B5D0B"/>
    <w:rsid w:val="005B5D7E"/>
    <w:rsid w:val="005B6D91"/>
    <w:rsid w:val="005B79E4"/>
    <w:rsid w:val="005B7BE0"/>
    <w:rsid w:val="005B7C88"/>
    <w:rsid w:val="005C0390"/>
    <w:rsid w:val="005C080F"/>
    <w:rsid w:val="005C1ED1"/>
    <w:rsid w:val="005C2E96"/>
    <w:rsid w:val="005C36A3"/>
    <w:rsid w:val="005C3CA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6519"/>
    <w:rsid w:val="005D76B1"/>
    <w:rsid w:val="005D77A6"/>
    <w:rsid w:val="005E05E4"/>
    <w:rsid w:val="005E0CF7"/>
    <w:rsid w:val="005E26DF"/>
    <w:rsid w:val="005E2B24"/>
    <w:rsid w:val="005E2B5A"/>
    <w:rsid w:val="005E2CC4"/>
    <w:rsid w:val="005E2D7A"/>
    <w:rsid w:val="005E422A"/>
    <w:rsid w:val="005E454D"/>
    <w:rsid w:val="005E4997"/>
    <w:rsid w:val="005E4ED2"/>
    <w:rsid w:val="005E57B4"/>
    <w:rsid w:val="005F05F7"/>
    <w:rsid w:val="005F28ED"/>
    <w:rsid w:val="005F38CB"/>
    <w:rsid w:val="005F4977"/>
    <w:rsid w:val="005F5DC1"/>
    <w:rsid w:val="005F62FF"/>
    <w:rsid w:val="005F6F8C"/>
    <w:rsid w:val="005F7ADD"/>
    <w:rsid w:val="005F7FEA"/>
    <w:rsid w:val="006001F5"/>
    <w:rsid w:val="006002E5"/>
    <w:rsid w:val="00602688"/>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4DCC"/>
    <w:rsid w:val="00645B8E"/>
    <w:rsid w:val="00645DD6"/>
    <w:rsid w:val="00645E07"/>
    <w:rsid w:val="00645FB5"/>
    <w:rsid w:val="00646AAC"/>
    <w:rsid w:val="006527F4"/>
    <w:rsid w:val="00652FED"/>
    <w:rsid w:val="00655D0D"/>
    <w:rsid w:val="0065714B"/>
    <w:rsid w:val="006574D3"/>
    <w:rsid w:val="006578A2"/>
    <w:rsid w:val="0066062F"/>
    <w:rsid w:val="00661A89"/>
    <w:rsid w:val="00661FB8"/>
    <w:rsid w:val="0066273C"/>
    <w:rsid w:val="00663D7A"/>
    <w:rsid w:val="00667997"/>
    <w:rsid w:val="00667CC9"/>
    <w:rsid w:val="00667D81"/>
    <w:rsid w:val="00670380"/>
    <w:rsid w:val="00671099"/>
    <w:rsid w:val="0067112C"/>
    <w:rsid w:val="0067358F"/>
    <w:rsid w:val="0067395C"/>
    <w:rsid w:val="00673BCC"/>
    <w:rsid w:val="00674F1E"/>
    <w:rsid w:val="00676A56"/>
    <w:rsid w:val="0067759F"/>
    <w:rsid w:val="0068098F"/>
    <w:rsid w:val="00681BE0"/>
    <w:rsid w:val="00681C48"/>
    <w:rsid w:val="0068215C"/>
    <w:rsid w:val="0068230E"/>
    <w:rsid w:val="00684C89"/>
    <w:rsid w:val="00686132"/>
    <w:rsid w:val="00687C16"/>
    <w:rsid w:val="006923E9"/>
    <w:rsid w:val="00692CCF"/>
    <w:rsid w:val="00692DA3"/>
    <w:rsid w:val="00693672"/>
    <w:rsid w:val="00693BF8"/>
    <w:rsid w:val="0069471D"/>
    <w:rsid w:val="006952EC"/>
    <w:rsid w:val="0069799C"/>
    <w:rsid w:val="00697E5B"/>
    <w:rsid w:val="006A01E7"/>
    <w:rsid w:val="006A05B3"/>
    <w:rsid w:val="006A0BB4"/>
    <w:rsid w:val="006A465C"/>
    <w:rsid w:val="006A49E3"/>
    <w:rsid w:val="006A4FFC"/>
    <w:rsid w:val="006A5866"/>
    <w:rsid w:val="006A6D7D"/>
    <w:rsid w:val="006A73F8"/>
    <w:rsid w:val="006B06A0"/>
    <w:rsid w:val="006B1180"/>
    <w:rsid w:val="006B2425"/>
    <w:rsid w:val="006B2483"/>
    <w:rsid w:val="006B24FB"/>
    <w:rsid w:val="006B2A89"/>
    <w:rsid w:val="006B4E3F"/>
    <w:rsid w:val="006B566C"/>
    <w:rsid w:val="006B652D"/>
    <w:rsid w:val="006B6D4A"/>
    <w:rsid w:val="006C133A"/>
    <w:rsid w:val="006C17D4"/>
    <w:rsid w:val="006C2620"/>
    <w:rsid w:val="006C3304"/>
    <w:rsid w:val="006C60B7"/>
    <w:rsid w:val="006C7076"/>
    <w:rsid w:val="006C7956"/>
    <w:rsid w:val="006D03BB"/>
    <w:rsid w:val="006D0822"/>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3B0"/>
    <w:rsid w:val="006E7E08"/>
    <w:rsid w:val="006F197E"/>
    <w:rsid w:val="006F244C"/>
    <w:rsid w:val="006F25E9"/>
    <w:rsid w:val="006F265F"/>
    <w:rsid w:val="006F2B11"/>
    <w:rsid w:val="006F2E75"/>
    <w:rsid w:val="006F3FEB"/>
    <w:rsid w:val="006F4AFC"/>
    <w:rsid w:val="006F730C"/>
    <w:rsid w:val="006F73F3"/>
    <w:rsid w:val="00700DDD"/>
    <w:rsid w:val="00701CB6"/>
    <w:rsid w:val="00702CA7"/>
    <w:rsid w:val="00702EB1"/>
    <w:rsid w:val="00702F11"/>
    <w:rsid w:val="007031B1"/>
    <w:rsid w:val="00703DB0"/>
    <w:rsid w:val="007043FD"/>
    <w:rsid w:val="0070522D"/>
    <w:rsid w:val="0070661C"/>
    <w:rsid w:val="00707736"/>
    <w:rsid w:val="0071157E"/>
    <w:rsid w:val="00711B96"/>
    <w:rsid w:val="007126CA"/>
    <w:rsid w:val="00714DC4"/>
    <w:rsid w:val="00714F54"/>
    <w:rsid w:val="00715A86"/>
    <w:rsid w:val="00715F5E"/>
    <w:rsid w:val="00716DB7"/>
    <w:rsid w:val="00717136"/>
    <w:rsid w:val="00717DC2"/>
    <w:rsid w:val="00720243"/>
    <w:rsid w:val="007204B6"/>
    <w:rsid w:val="007222A0"/>
    <w:rsid w:val="00722E39"/>
    <w:rsid w:val="007236A9"/>
    <w:rsid w:val="0072387B"/>
    <w:rsid w:val="0072409B"/>
    <w:rsid w:val="00724C19"/>
    <w:rsid w:val="00727483"/>
    <w:rsid w:val="00727D40"/>
    <w:rsid w:val="00731BEB"/>
    <w:rsid w:val="007332C1"/>
    <w:rsid w:val="00733369"/>
    <w:rsid w:val="007337CF"/>
    <w:rsid w:val="007339E2"/>
    <w:rsid w:val="00735339"/>
    <w:rsid w:val="007356A8"/>
    <w:rsid w:val="007356BE"/>
    <w:rsid w:val="0073608C"/>
    <w:rsid w:val="00737AD5"/>
    <w:rsid w:val="00737D75"/>
    <w:rsid w:val="00742FAF"/>
    <w:rsid w:val="0074734E"/>
    <w:rsid w:val="0074753F"/>
    <w:rsid w:val="007515F4"/>
    <w:rsid w:val="007518A9"/>
    <w:rsid w:val="0075488B"/>
    <w:rsid w:val="00755FCC"/>
    <w:rsid w:val="00756044"/>
    <w:rsid w:val="00756878"/>
    <w:rsid w:val="00756E06"/>
    <w:rsid w:val="00760831"/>
    <w:rsid w:val="007614D4"/>
    <w:rsid w:val="00761C9D"/>
    <w:rsid w:val="00761DA6"/>
    <w:rsid w:val="0076231B"/>
    <w:rsid w:val="0076287B"/>
    <w:rsid w:val="00762A79"/>
    <w:rsid w:val="00763EC1"/>
    <w:rsid w:val="0076425E"/>
    <w:rsid w:val="00764A19"/>
    <w:rsid w:val="00765254"/>
    <w:rsid w:val="00767FDD"/>
    <w:rsid w:val="007700B1"/>
    <w:rsid w:val="0077069E"/>
    <w:rsid w:val="007712DF"/>
    <w:rsid w:val="00771F36"/>
    <w:rsid w:val="00774030"/>
    <w:rsid w:val="0077716D"/>
    <w:rsid w:val="00780ABA"/>
    <w:rsid w:val="00780B38"/>
    <w:rsid w:val="00781F52"/>
    <w:rsid w:val="007825D9"/>
    <w:rsid w:val="0078307E"/>
    <w:rsid w:val="007837E6"/>
    <w:rsid w:val="00784B25"/>
    <w:rsid w:val="00785381"/>
    <w:rsid w:val="00785C49"/>
    <w:rsid w:val="007864BA"/>
    <w:rsid w:val="00786CC3"/>
    <w:rsid w:val="00786CD1"/>
    <w:rsid w:val="0078705B"/>
    <w:rsid w:val="00787CE7"/>
    <w:rsid w:val="007901F2"/>
    <w:rsid w:val="007905F1"/>
    <w:rsid w:val="00790BDE"/>
    <w:rsid w:val="00790C2A"/>
    <w:rsid w:val="0079430F"/>
    <w:rsid w:val="00795782"/>
    <w:rsid w:val="00795EA5"/>
    <w:rsid w:val="007963EB"/>
    <w:rsid w:val="007973F5"/>
    <w:rsid w:val="00797613"/>
    <w:rsid w:val="007A1493"/>
    <w:rsid w:val="007A1FBB"/>
    <w:rsid w:val="007A251B"/>
    <w:rsid w:val="007A266D"/>
    <w:rsid w:val="007A2C23"/>
    <w:rsid w:val="007A2D95"/>
    <w:rsid w:val="007A2DC5"/>
    <w:rsid w:val="007A2E39"/>
    <w:rsid w:val="007A4402"/>
    <w:rsid w:val="007A4FD7"/>
    <w:rsid w:val="007A5028"/>
    <w:rsid w:val="007A5593"/>
    <w:rsid w:val="007A7908"/>
    <w:rsid w:val="007A7C48"/>
    <w:rsid w:val="007B09F7"/>
    <w:rsid w:val="007B109C"/>
    <w:rsid w:val="007B1192"/>
    <w:rsid w:val="007B1305"/>
    <w:rsid w:val="007B1E87"/>
    <w:rsid w:val="007B4210"/>
    <w:rsid w:val="007B45CA"/>
    <w:rsid w:val="007B4944"/>
    <w:rsid w:val="007B55E8"/>
    <w:rsid w:val="007B6BC1"/>
    <w:rsid w:val="007B717C"/>
    <w:rsid w:val="007C0174"/>
    <w:rsid w:val="007C2B84"/>
    <w:rsid w:val="007C3802"/>
    <w:rsid w:val="007C549F"/>
    <w:rsid w:val="007C6B92"/>
    <w:rsid w:val="007C7719"/>
    <w:rsid w:val="007D0F98"/>
    <w:rsid w:val="007D11D6"/>
    <w:rsid w:val="007D153B"/>
    <w:rsid w:val="007D1AA4"/>
    <w:rsid w:val="007D2AD5"/>
    <w:rsid w:val="007D50B7"/>
    <w:rsid w:val="007D5481"/>
    <w:rsid w:val="007D6AE7"/>
    <w:rsid w:val="007D6CFB"/>
    <w:rsid w:val="007E1607"/>
    <w:rsid w:val="007E250B"/>
    <w:rsid w:val="007E2C04"/>
    <w:rsid w:val="007E3339"/>
    <w:rsid w:val="007E574B"/>
    <w:rsid w:val="007E5750"/>
    <w:rsid w:val="007E6923"/>
    <w:rsid w:val="007F06C0"/>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2BD8"/>
    <w:rsid w:val="00813494"/>
    <w:rsid w:val="00814AE7"/>
    <w:rsid w:val="00815382"/>
    <w:rsid w:val="0081552D"/>
    <w:rsid w:val="00817D55"/>
    <w:rsid w:val="00820339"/>
    <w:rsid w:val="0082131E"/>
    <w:rsid w:val="00821341"/>
    <w:rsid w:val="0082146F"/>
    <w:rsid w:val="00821511"/>
    <w:rsid w:val="00822861"/>
    <w:rsid w:val="00826389"/>
    <w:rsid w:val="00830296"/>
    <w:rsid w:val="00831A8E"/>
    <w:rsid w:val="008321D0"/>
    <w:rsid w:val="008323AA"/>
    <w:rsid w:val="00832756"/>
    <w:rsid w:val="00833B51"/>
    <w:rsid w:val="008400E5"/>
    <w:rsid w:val="008403EE"/>
    <w:rsid w:val="008405A5"/>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9D9"/>
    <w:rsid w:val="00865AD4"/>
    <w:rsid w:val="00865E7D"/>
    <w:rsid w:val="00865E87"/>
    <w:rsid w:val="00866084"/>
    <w:rsid w:val="0086608E"/>
    <w:rsid w:val="008660BF"/>
    <w:rsid w:val="00867722"/>
    <w:rsid w:val="00867D4E"/>
    <w:rsid w:val="00870A56"/>
    <w:rsid w:val="00872A9C"/>
    <w:rsid w:val="00875FF2"/>
    <w:rsid w:val="00876CC9"/>
    <w:rsid w:val="00876D8D"/>
    <w:rsid w:val="0087754C"/>
    <w:rsid w:val="00877B02"/>
    <w:rsid w:val="00880C7C"/>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611E"/>
    <w:rsid w:val="00897391"/>
    <w:rsid w:val="00897B37"/>
    <w:rsid w:val="008A0055"/>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482"/>
    <w:rsid w:val="008B453C"/>
    <w:rsid w:val="008B4E7B"/>
    <w:rsid w:val="008B5ADA"/>
    <w:rsid w:val="008B5D18"/>
    <w:rsid w:val="008B6772"/>
    <w:rsid w:val="008B7940"/>
    <w:rsid w:val="008C0044"/>
    <w:rsid w:val="008C16FA"/>
    <w:rsid w:val="008C1FBC"/>
    <w:rsid w:val="008C249E"/>
    <w:rsid w:val="008C2A21"/>
    <w:rsid w:val="008C39E1"/>
    <w:rsid w:val="008C42DA"/>
    <w:rsid w:val="008C4DE4"/>
    <w:rsid w:val="008C5D23"/>
    <w:rsid w:val="008C5D52"/>
    <w:rsid w:val="008C64B5"/>
    <w:rsid w:val="008C792F"/>
    <w:rsid w:val="008D19C5"/>
    <w:rsid w:val="008D1C7B"/>
    <w:rsid w:val="008D1D6D"/>
    <w:rsid w:val="008D2677"/>
    <w:rsid w:val="008D37F0"/>
    <w:rsid w:val="008D3BCC"/>
    <w:rsid w:val="008D56F0"/>
    <w:rsid w:val="008D5B44"/>
    <w:rsid w:val="008D680C"/>
    <w:rsid w:val="008D6AB9"/>
    <w:rsid w:val="008D703D"/>
    <w:rsid w:val="008E0151"/>
    <w:rsid w:val="008E0C76"/>
    <w:rsid w:val="008E10F9"/>
    <w:rsid w:val="008E2336"/>
    <w:rsid w:val="008E284A"/>
    <w:rsid w:val="008E320E"/>
    <w:rsid w:val="008E3B75"/>
    <w:rsid w:val="008E725C"/>
    <w:rsid w:val="008E731E"/>
    <w:rsid w:val="008F0425"/>
    <w:rsid w:val="008F08FE"/>
    <w:rsid w:val="008F0ECD"/>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23F"/>
    <w:rsid w:val="009105BB"/>
    <w:rsid w:val="00910B00"/>
    <w:rsid w:val="00912202"/>
    <w:rsid w:val="0091313F"/>
    <w:rsid w:val="00913D32"/>
    <w:rsid w:val="00914549"/>
    <w:rsid w:val="009147A0"/>
    <w:rsid w:val="009157C5"/>
    <w:rsid w:val="00916365"/>
    <w:rsid w:val="009164D1"/>
    <w:rsid w:val="0091670C"/>
    <w:rsid w:val="0091711A"/>
    <w:rsid w:val="00917F77"/>
    <w:rsid w:val="0092292E"/>
    <w:rsid w:val="00922BB1"/>
    <w:rsid w:val="00924646"/>
    <w:rsid w:val="009250ED"/>
    <w:rsid w:val="009259C2"/>
    <w:rsid w:val="00927390"/>
    <w:rsid w:val="009305DB"/>
    <w:rsid w:val="00930797"/>
    <w:rsid w:val="0093082A"/>
    <w:rsid w:val="00931483"/>
    <w:rsid w:val="009315B2"/>
    <w:rsid w:val="00931DB3"/>
    <w:rsid w:val="00931DF3"/>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6CB2"/>
    <w:rsid w:val="0094785F"/>
    <w:rsid w:val="00947CE5"/>
    <w:rsid w:val="009510F4"/>
    <w:rsid w:val="0095140B"/>
    <w:rsid w:val="009533E3"/>
    <w:rsid w:val="00953AC8"/>
    <w:rsid w:val="0095537B"/>
    <w:rsid w:val="009555B9"/>
    <w:rsid w:val="0095642D"/>
    <w:rsid w:val="0095788D"/>
    <w:rsid w:val="00957943"/>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77EB2"/>
    <w:rsid w:val="00980C74"/>
    <w:rsid w:val="00981855"/>
    <w:rsid w:val="0098190D"/>
    <w:rsid w:val="00981FE2"/>
    <w:rsid w:val="00982052"/>
    <w:rsid w:val="00982410"/>
    <w:rsid w:val="009839B2"/>
    <w:rsid w:val="00983BD8"/>
    <w:rsid w:val="0098466E"/>
    <w:rsid w:val="00985274"/>
    <w:rsid w:val="00990E56"/>
    <w:rsid w:val="00991F32"/>
    <w:rsid w:val="00994DBB"/>
    <w:rsid w:val="00995758"/>
    <w:rsid w:val="00995AE9"/>
    <w:rsid w:val="00995B57"/>
    <w:rsid w:val="00995D54"/>
    <w:rsid w:val="00995FBC"/>
    <w:rsid w:val="009978B9"/>
    <w:rsid w:val="009A2CE3"/>
    <w:rsid w:val="009A34A4"/>
    <w:rsid w:val="009A3547"/>
    <w:rsid w:val="009A38A7"/>
    <w:rsid w:val="009A3F22"/>
    <w:rsid w:val="009A40DC"/>
    <w:rsid w:val="009A485D"/>
    <w:rsid w:val="009A5344"/>
    <w:rsid w:val="009A5A51"/>
    <w:rsid w:val="009A5B76"/>
    <w:rsid w:val="009A7765"/>
    <w:rsid w:val="009B11C3"/>
    <w:rsid w:val="009B1937"/>
    <w:rsid w:val="009B243E"/>
    <w:rsid w:val="009B2B9A"/>
    <w:rsid w:val="009B69E2"/>
    <w:rsid w:val="009B6CDF"/>
    <w:rsid w:val="009B6D8C"/>
    <w:rsid w:val="009B76DA"/>
    <w:rsid w:val="009C1001"/>
    <w:rsid w:val="009C134A"/>
    <w:rsid w:val="009C13E5"/>
    <w:rsid w:val="009C17F5"/>
    <w:rsid w:val="009C19B4"/>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5F14"/>
    <w:rsid w:val="009E2852"/>
    <w:rsid w:val="009E480D"/>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07048"/>
    <w:rsid w:val="00A107AF"/>
    <w:rsid w:val="00A11D29"/>
    <w:rsid w:val="00A11DA8"/>
    <w:rsid w:val="00A127AB"/>
    <w:rsid w:val="00A136BB"/>
    <w:rsid w:val="00A152DB"/>
    <w:rsid w:val="00A15820"/>
    <w:rsid w:val="00A15916"/>
    <w:rsid w:val="00A1651E"/>
    <w:rsid w:val="00A16BE0"/>
    <w:rsid w:val="00A20844"/>
    <w:rsid w:val="00A2183B"/>
    <w:rsid w:val="00A219A4"/>
    <w:rsid w:val="00A21FA3"/>
    <w:rsid w:val="00A22176"/>
    <w:rsid w:val="00A22415"/>
    <w:rsid w:val="00A23043"/>
    <w:rsid w:val="00A238DD"/>
    <w:rsid w:val="00A2490D"/>
    <w:rsid w:val="00A25328"/>
    <w:rsid w:val="00A25844"/>
    <w:rsid w:val="00A26E0C"/>
    <w:rsid w:val="00A270F8"/>
    <w:rsid w:val="00A30C7E"/>
    <w:rsid w:val="00A311C2"/>
    <w:rsid w:val="00A31286"/>
    <w:rsid w:val="00A343A5"/>
    <w:rsid w:val="00A3685A"/>
    <w:rsid w:val="00A3715B"/>
    <w:rsid w:val="00A40FBE"/>
    <w:rsid w:val="00A4147C"/>
    <w:rsid w:val="00A46564"/>
    <w:rsid w:val="00A469D3"/>
    <w:rsid w:val="00A46F87"/>
    <w:rsid w:val="00A4771A"/>
    <w:rsid w:val="00A50C3A"/>
    <w:rsid w:val="00A529AB"/>
    <w:rsid w:val="00A53C31"/>
    <w:rsid w:val="00A5579C"/>
    <w:rsid w:val="00A56E8B"/>
    <w:rsid w:val="00A60166"/>
    <w:rsid w:val="00A60379"/>
    <w:rsid w:val="00A6059F"/>
    <w:rsid w:val="00A606CF"/>
    <w:rsid w:val="00A60E94"/>
    <w:rsid w:val="00A61779"/>
    <w:rsid w:val="00A62554"/>
    <w:rsid w:val="00A65CBE"/>
    <w:rsid w:val="00A66515"/>
    <w:rsid w:val="00A66A4E"/>
    <w:rsid w:val="00A66D86"/>
    <w:rsid w:val="00A70EF5"/>
    <w:rsid w:val="00A71716"/>
    <w:rsid w:val="00A73E40"/>
    <w:rsid w:val="00A73E64"/>
    <w:rsid w:val="00A74AFC"/>
    <w:rsid w:val="00A76ECA"/>
    <w:rsid w:val="00A80CA2"/>
    <w:rsid w:val="00A80CFD"/>
    <w:rsid w:val="00A81CC8"/>
    <w:rsid w:val="00A81E86"/>
    <w:rsid w:val="00A8232C"/>
    <w:rsid w:val="00A852DF"/>
    <w:rsid w:val="00A863A0"/>
    <w:rsid w:val="00A86760"/>
    <w:rsid w:val="00A8684E"/>
    <w:rsid w:val="00A8774A"/>
    <w:rsid w:val="00A900BC"/>
    <w:rsid w:val="00A91332"/>
    <w:rsid w:val="00A92089"/>
    <w:rsid w:val="00A960CD"/>
    <w:rsid w:val="00A96CD2"/>
    <w:rsid w:val="00A9733B"/>
    <w:rsid w:val="00AA1231"/>
    <w:rsid w:val="00AA174B"/>
    <w:rsid w:val="00AA1D22"/>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58B1"/>
    <w:rsid w:val="00AB6CF4"/>
    <w:rsid w:val="00AB7AB9"/>
    <w:rsid w:val="00AB7DAD"/>
    <w:rsid w:val="00AC04C0"/>
    <w:rsid w:val="00AC25F1"/>
    <w:rsid w:val="00AC33AD"/>
    <w:rsid w:val="00AC44C3"/>
    <w:rsid w:val="00AC4887"/>
    <w:rsid w:val="00AC4B69"/>
    <w:rsid w:val="00AC5EA5"/>
    <w:rsid w:val="00AC603E"/>
    <w:rsid w:val="00AC611B"/>
    <w:rsid w:val="00AC62B4"/>
    <w:rsid w:val="00AC72B5"/>
    <w:rsid w:val="00AD08EA"/>
    <w:rsid w:val="00AD0933"/>
    <w:rsid w:val="00AD2206"/>
    <w:rsid w:val="00AD24F3"/>
    <w:rsid w:val="00AD2E6C"/>
    <w:rsid w:val="00AD3751"/>
    <w:rsid w:val="00AD610A"/>
    <w:rsid w:val="00AE189E"/>
    <w:rsid w:val="00AE195D"/>
    <w:rsid w:val="00AE3DBB"/>
    <w:rsid w:val="00AE7959"/>
    <w:rsid w:val="00AF0321"/>
    <w:rsid w:val="00AF0545"/>
    <w:rsid w:val="00AF096C"/>
    <w:rsid w:val="00AF122A"/>
    <w:rsid w:val="00AF1BF2"/>
    <w:rsid w:val="00AF213E"/>
    <w:rsid w:val="00AF3687"/>
    <w:rsid w:val="00AF7D28"/>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5F6"/>
    <w:rsid w:val="00B14E89"/>
    <w:rsid w:val="00B15A6C"/>
    <w:rsid w:val="00B15DD1"/>
    <w:rsid w:val="00B176FD"/>
    <w:rsid w:val="00B2005E"/>
    <w:rsid w:val="00B21CE9"/>
    <w:rsid w:val="00B23C6F"/>
    <w:rsid w:val="00B242B8"/>
    <w:rsid w:val="00B260D7"/>
    <w:rsid w:val="00B2655F"/>
    <w:rsid w:val="00B30F06"/>
    <w:rsid w:val="00B30FE6"/>
    <w:rsid w:val="00B324BD"/>
    <w:rsid w:val="00B325F4"/>
    <w:rsid w:val="00B326CD"/>
    <w:rsid w:val="00B327F7"/>
    <w:rsid w:val="00B331F4"/>
    <w:rsid w:val="00B33BD4"/>
    <w:rsid w:val="00B35F5B"/>
    <w:rsid w:val="00B36705"/>
    <w:rsid w:val="00B36DC0"/>
    <w:rsid w:val="00B404D5"/>
    <w:rsid w:val="00B42423"/>
    <w:rsid w:val="00B45465"/>
    <w:rsid w:val="00B45B86"/>
    <w:rsid w:val="00B4797D"/>
    <w:rsid w:val="00B508F9"/>
    <w:rsid w:val="00B5109B"/>
    <w:rsid w:val="00B518EB"/>
    <w:rsid w:val="00B52D18"/>
    <w:rsid w:val="00B54262"/>
    <w:rsid w:val="00B548E2"/>
    <w:rsid w:val="00B5620A"/>
    <w:rsid w:val="00B57089"/>
    <w:rsid w:val="00B57DCF"/>
    <w:rsid w:val="00B6037C"/>
    <w:rsid w:val="00B60B19"/>
    <w:rsid w:val="00B620BF"/>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77AC1"/>
    <w:rsid w:val="00B80400"/>
    <w:rsid w:val="00B82AF9"/>
    <w:rsid w:val="00B83B64"/>
    <w:rsid w:val="00B84026"/>
    <w:rsid w:val="00B841B1"/>
    <w:rsid w:val="00B848FA"/>
    <w:rsid w:val="00B85084"/>
    <w:rsid w:val="00B86534"/>
    <w:rsid w:val="00B86735"/>
    <w:rsid w:val="00B86797"/>
    <w:rsid w:val="00B86E7E"/>
    <w:rsid w:val="00B87E70"/>
    <w:rsid w:val="00B9069A"/>
    <w:rsid w:val="00B90993"/>
    <w:rsid w:val="00B90E1D"/>
    <w:rsid w:val="00B91A94"/>
    <w:rsid w:val="00B921AA"/>
    <w:rsid w:val="00B93DE1"/>
    <w:rsid w:val="00B945EE"/>
    <w:rsid w:val="00B949A7"/>
    <w:rsid w:val="00B960BF"/>
    <w:rsid w:val="00B973C9"/>
    <w:rsid w:val="00B97B3F"/>
    <w:rsid w:val="00BA0343"/>
    <w:rsid w:val="00BA36B1"/>
    <w:rsid w:val="00BA3DD6"/>
    <w:rsid w:val="00BA49D0"/>
    <w:rsid w:val="00BA5831"/>
    <w:rsid w:val="00BA5EEB"/>
    <w:rsid w:val="00BA6AE5"/>
    <w:rsid w:val="00BA79D9"/>
    <w:rsid w:val="00BB000E"/>
    <w:rsid w:val="00BB076D"/>
    <w:rsid w:val="00BB47B9"/>
    <w:rsid w:val="00BB4807"/>
    <w:rsid w:val="00BB4F8E"/>
    <w:rsid w:val="00BB515A"/>
    <w:rsid w:val="00BB5302"/>
    <w:rsid w:val="00BB5573"/>
    <w:rsid w:val="00BB5649"/>
    <w:rsid w:val="00BB74AC"/>
    <w:rsid w:val="00BC0683"/>
    <w:rsid w:val="00BC1F0A"/>
    <w:rsid w:val="00BC2562"/>
    <w:rsid w:val="00BC3468"/>
    <w:rsid w:val="00BC346C"/>
    <w:rsid w:val="00BC37EE"/>
    <w:rsid w:val="00BC40E8"/>
    <w:rsid w:val="00BC4D7E"/>
    <w:rsid w:val="00BC59DF"/>
    <w:rsid w:val="00BD21E4"/>
    <w:rsid w:val="00BD2CC8"/>
    <w:rsid w:val="00BD32AD"/>
    <w:rsid w:val="00BD5019"/>
    <w:rsid w:val="00BD6543"/>
    <w:rsid w:val="00BD6CA9"/>
    <w:rsid w:val="00BE10B9"/>
    <w:rsid w:val="00BE18A5"/>
    <w:rsid w:val="00BE1F5D"/>
    <w:rsid w:val="00BE2144"/>
    <w:rsid w:val="00BE239D"/>
    <w:rsid w:val="00BE266D"/>
    <w:rsid w:val="00BE3036"/>
    <w:rsid w:val="00BE33C8"/>
    <w:rsid w:val="00BE46E2"/>
    <w:rsid w:val="00BE590A"/>
    <w:rsid w:val="00BE61F0"/>
    <w:rsid w:val="00BE6894"/>
    <w:rsid w:val="00BE7BD0"/>
    <w:rsid w:val="00BE7E07"/>
    <w:rsid w:val="00BF08C3"/>
    <w:rsid w:val="00BF08D2"/>
    <w:rsid w:val="00BF0920"/>
    <w:rsid w:val="00BF1CB1"/>
    <w:rsid w:val="00BF1CE7"/>
    <w:rsid w:val="00BF39D4"/>
    <w:rsid w:val="00BF3D0B"/>
    <w:rsid w:val="00BF3F82"/>
    <w:rsid w:val="00BF5B09"/>
    <w:rsid w:val="00BF7326"/>
    <w:rsid w:val="00BF7690"/>
    <w:rsid w:val="00C004C8"/>
    <w:rsid w:val="00C0117E"/>
    <w:rsid w:val="00C019E0"/>
    <w:rsid w:val="00C01B00"/>
    <w:rsid w:val="00C03323"/>
    <w:rsid w:val="00C03960"/>
    <w:rsid w:val="00C040E8"/>
    <w:rsid w:val="00C06AB4"/>
    <w:rsid w:val="00C11FFE"/>
    <w:rsid w:val="00C1333C"/>
    <w:rsid w:val="00C13383"/>
    <w:rsid w:val="00C138B9"/>
    <w:rsid w:val="00C139DD"/>
    <w:rsid w:val="00C14871"/>
    <w:rsid w:val="00C1763C"/>
    <w:rsid w:val="00C2165E"/>
    <w:rsid w:val="00C22C89"/>
    <w:rsid w:val="00C22DC1"/>
    <w:rsid w:val="00C24491"/>
    <w:rsid w:val="00C247F2"/>
    <w:rsid w:val="00C24D6A"/>
    <w:rsid w:val="00C2798C"/>
    <w:rsid w:val="00C3200A"/>
    <w:rsid w:val="00C341A4"/>
    <w:rsid w:val="00C34A7D"/>
    <w:rsid w:val="00C34B4F"/>
    <w:rsid w:val="00C4007D"/>
    <w:rsid w:val="00C409BE"/>
    <w:rsid w:val="00C41170"/>
    <w:rsid w:val="00C4142C"/>
    <w:rsid w:val="00C43BA3"/>
    <w:rsid w:val="00C44D41"/>
    <w:rsid w:val="00C45A45"/>
    <w:rsid w:val="00C45D90"/>
    <w:rsid w:val="00C46DC5"/>
    <w:rsid w:val="00C47A9D"/>
    <w:rsid w:val="00C50508"/>
    <w:rsid w:val="00C5096E"/>
    <w:rsid w:val="00C50AC7"/>
    <w:rsid w:val="00C51094"/>
    <w:rsid w:val="00C52A39"/>
    <w:rsid w:val="00C536C6"/>
    <w:rsid w:val="00C54FD0"/>
    <w:rsid w:val="00C5662D"/>
    <w:rsid w:val="00C57787"/>
    <w:rsid w:val="00C622A4"/>
    <w:rsid w:val="00C62485"/>
    <w:rsid w:val="00C62837"/>
    <w:rsid w:val="00C6450B"/>
    <w:rsid w:val="00C648C6"/>
    <w:rsid w:val="00C651AB"/>
    <w:rsid w:val="00C673AC"/>
    <w:rsid w:val="00C67A63"/>
    <w:rsid w:val="00C73783"/>
    <w:rsid w:val="00C747B5"/>
    <w:rsid w:val="00C7488A"/>
    <w:rsid w:val="00C749D7"/>
    <w:rsid w:val="00C76B9C"/>
    <w:rsid w:val="00C810FB"/>
    <w:rsid w:val="00C8196A"/>
    <w:rsid w:val="00C81C15"/>
    <w:rsid w:val="00C81CE4"/>
    <w:rsid w:val="00C82077"/>
    <w:rsid w:val="00C82A82"/>
    <w:rsid w:val="00C83353"/>
    <w:rsid w:val="00C849F7"/>
    <w:rsid w:val="00C864ED"/>
    <w:rsid w:val="00C90816"/>
    <w:rsid w:val="00C90DAE"/>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4AFD"/>
    <w:rsid w:val="00CB5665"/>
    <w:rsid w:val="00CB5AC8"/>
    <w:rsid w:val="00CB6E83"/>
    <w:rsid w:val="00CB77C1"/>
    <w:rsid w:val="00CC05FF"/>
    <w:rsid w:val="00CC0660"/>
    <w:rsid w:val="00CC0E68"/>
    <w:rsid w:val="00CC1B89"/>
    <w:rsid w:val="00CC2514"/>
    <w:rsid w:val="00CC2B56"/>
    <w:rsid w:val="00CC3E1F"/>
    <w:rsid w:val="00CC40EB"/>
    <w:rsid w:val="00CC42BF"/>
    <w:rsid w:val="00CC44F1"/>
    <w:rsid w:val="00CC5CB4"/>
    <w:rsid w:val="00CC5CF7"/>
    <w:rsid w:val="00CC5DBD"/>
    <w:rsid w:val="00CC6326"/>
    <w:rsid w:val="00CC6CF7"/>
    <w:rsid w:val="00CD0091"/>
    <w:rsid w:val="00CD0D49"/>
    <w:rsid w:val="00CD148B"/>
    <w:rsid w:val="00CD30C4"/>
    <w:rsid w:val="00CD3139"/>
    <w:rsid w:val="00CE25C7"/>
    <w:rsid w:val="00CE265A"/>
    <w:rsid w:val="00CE347E"/>
    <w:rsid w:val="00CE3541"/>
    <w:rsid w:val="00CE55BF"/>
    <w:rsid w:val="00CE5A12"/>
    <w:rsid w:val="00CE614C"/>
    <w:rsid w:val="00CE63C4"/>
    <w:rsid w:val="00CF1721"/>
    <w:rsid w:val="00CF1F0A"/>
    <w:rsid w:val="00CF2998"/>
    <w:rsid w:val="00CF429F"/>
    <w:rsid w:val="00CF5650"/>
    <w:rsid w:val="00CF6505"/>
    <w:rsid w:val="00CF65CA"/>
    <w:rsid w:val="00CF6E72"/>
    <w:rsid w:val="00CF773F"/>
    <w:rsid w:val="00CF7C68"/>
    <w:rsid w:val="00D002D4"/>
    <w:rsid w:val="00D00365"/>
    <w:rsid w:val="00D0310F"/>
    <w:rsid w:val="00D04544"/>
    <w:rsid w:val="00D04B5A"/>
    <w:rsid w:val="00D05881"/>
    <w:rsid w:val="00D0594F"/>
    <w:rsid w:val="00D05BD4"/>
    <w:rsid w:val="00D05E9E"/>
    <w:rsid w:val="00D0749C"/>
    <w:rsid w:val="00D10363"/>
    <w:rsid w:val="00D10755"/>
    <w:rsid w:val="00D12350"/>
    <w:rsid w:val="00D13A18"/>
    <w:rsid w:val="00D13F95"/>
    <w:rsid w:val="00D1475F"/>
    <w:rsid w:val="00D14A93"/>
    <w:rsid w:val="00D14BA0"/>
    <w:rsid w:val="00D154AE"/>
    <w:rsid w:val="00D15E8A"/>
    <w:rsid w:val="00D170E4"/>
    <w:rsid w:val="00D1716D"/>
    <w:rsid w:val="00D17BAD"/>
    <w:rsid w:val="00D20136"/>
    <w:rsid w:val="00D206F1"/>
    <w:rsid w:val="00D20757"/>
    <w:rsid w:val="00D210A4"/>
    <w:rsid w:val="00D2115F"/>
    <w:rsid w:val="00D21444"/>
    <w:rsid w:val="00D21D01"/>
    <w:rsid w:val="00D22F15"/>
    <w:rsid w:val="00D23A03"/>
    <w:rsid w:val="00D264C3"/>
    <w:rsid w:val="00D3011C"/>
    <w:rsid w:val="00D30483"/>
    <w:rsid w:val="00D307C9"/>
    <w:rsid w:val="00D30DCF"/>
    <w:rsid w:val="00D317BF"/>
    <w:rsid w:val="00D31F31"/>
    <w:rsid w:val="00D3206B"/>
    <w:rsid w:val="00D32D01"/>
    <w:rsid w:val="00D32E30"/>
    <w:rsid w:val="00D3381D"/>
    <w:rsid w:val="00D33843"/>
    <w:rsid w:val="00D339BF"/>
    <w:rsid w:val="00D3411D"/>
    <w:rsid w:val="00D343B9"/>
    <w:rsid w:val="00D3624D"/>
    <w:rsid w:val="00D36A2A"/>
    <w:rsid w:val="00D36C74"/>
    <w:rsid w:val="00D37AD2"/>
    <w:rsid w:val="00D37B98"/>
    <w:rsid w:val="00D426AD"/>
    <w:rsid w:val="00D42775"/>
    <w:rsid w:val="00D429AE"/>
    <w:rsid w:val="00D4355D"/>
    <w:rsid w:val="00D44594"/>
    <w:rsid w:val="00D44A26"/>
    <w:rsid w:val="00D46CC5"/>
    <w:rsid w:val="00D50222"/>
    <w:rsid w:val="00D50DC3"/>
    <w:rsid w:val="00D51981"/>
    <w:rsid w:val="00D5361E"/>
    <w:rsid w:val="00D539DB"/>
    <w:rsid w:val="00D53E3B"/>
    <w:rsid w:val="00D54167"/>
    <w:rsid w:val="00D54176"/>
    <w:rsid w:val="00D541E7"/>
    <w:rsid w:val="00D57999"/>
    <w:rsid w:val="00D600BE"/>
    <w:rsid w:val="00D6022B"/>
    <w:rsid w:val="00D62771"/>
    <w:rsid w:val="00D63059"/>
    <w:rsid w:val="00D67E65"/>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13B"/>
    <w:rsid w:val="00DA7C8A"/>
    <w:rsid w:val="00DB0CFD"/>
    <w:rsid w:val="00DB2324"/>
    <w:rsid w:val="00DB3145"/>
    <w:rsid w:val="00DB36B0"/>
    <w:rsid w:val="00DB376C"/>
    <w:rsid w:val="00DB3AAC"/>
    <w:rsid w:val="00DB3BBE"/>
    <w:rsid w:val="00DB4654"/>
    <w:rsid w:val="00DB467E"/>
    <w:rsid w:val="00DB73CB"/>
    <w:rsid w:val="00DC02C5"/>
    <w:rsid w:val="00DC0518"/>
    <w:rsid w:val="00DC1EF2"/>
    <w:rsid w:val="00DC1F96"/>
    <w:rsid w:val="00DC2044"/>
    <w:rsid w:val="00DC57DB"/>
    <w:rsid w:val="00DC77A2"/>
    <w:rsid w:val="00DD003E"/>
    <w:rsid w:val="00DD053B"/>
    <w:rsid w:val="00DD202A"/>
    <w:rsid w:val="00DD2445"/>
    <w:rsid w:val="00DD2ADB"/>
    <w:rsid w:val="00DD3509"/>
    <w:rsid w:val="00DD57D0"/>
    <w:rsid w:val="00DE061D"/>
    <w:rsid w:val="00DE0735"/>
    <w:rsid w:val="00DE19EA"/>
    <w:rsid w:val="00DE2169"/>
    <w:rsid w:val="00DE222B"/>
    <w:rsid w:val="00DE4BDB"/>
    <w:rsid w:val="00DE4FC5"/>
    <w:rsid w:val="00DE59A6"/>
    <w:rsid w:val="00DE619A"/>
    <w:rsid w:val="00DE6C82"/>
    <w:rsid w:val="00DE770B"/>
    <w:rsid w:val="00DF2B65"/>
    <w:rsid w:val="00DF3111"/>
    <w:rsid w:val="00DF35D6"/>
    <w:rsid w:val="00DF3B4C"/>
    <w:rsid w:val="00DF4330"/>
    <w:rsid w:val="00DF4F75"/>
    <w:rsid w:val="00DF57B6"/>
    <w:rsid w:val="00DF5A17"/>
    <w:rsid w:val="00DF683E"/>
    <w:rsid w:val="00DF7006"/>
    <w:rsid w:val="00E006E2"/>
    <w:rsid w:val="00E01280"/>
    <w:rsid w:val="00E02289"/>
    <w:rsid w:val="00E03B42"/>
    <w:rsid w:val="00E03DB4"/>
    <w:rsid w:val="00E03E22"/>
    <w:rsid w:val="00E03E29"/>
    <w:rsid w:val="00E04596"/>
    <w:rsid w:val="00E04B3E"/>
    <w:rsid w:val="00E064EB"/>
    <w:rsid w:val="00E11464"/>
    <w:rsid w:val="00E11C69"/>
    <w:rsid w:val="00E127B5"/>
    <w:rsid w:val="00E141D5"/>
    <w:rsid w:val="00E151AD"/>
    <w:rsid w:val="00E15AD4"/>
    <w:rsid w:val="00E16443"/>
    <w:rsid w:val="00E201D3"/>
    <w:rsid w:val="00E202FA"/>
    <w:rsid w:val="00E218CA"/>
    <w:rsid w:val="00E224B1"/>
    <w:rsid w:val="00E226CD"/>
    <w:rsid w:val="00E228AB"/>
    <w:rsid w:val="00E23370"/>
    <w:rsid w:val="00E2458E"/>
    <w:rsid w:val="00E253D5"/>
    <w:rsid w:val="00E25645"/>
    <w:rsid w:val="00E31818"/>
    <w:rsid w:val="00E3317D"/>
    <w:rsid w:val="00E33ACF"/>
    <w:rsid w:val="00E35ECB"/>
    <w:rsid w:val="00E361D2"/>
    <w:rsid w:val="00E371B7"/>
    <w:rsid w:val="00E37474"/>
    <w:rsid w:val="00E4054A"/>
    <w:rsid w:val="00E4096D"/>
    <w:rsid w:val="00E40ADE"/>
    <w:rsid w:val="00E419B5"/>
    <w:rsid w:val="00E41FF2"/>
    <w:rsid w:val="00E4225A"/>
    <w:rsid w:val="00E42570"/>
    <w:rsid w:val="00E445EB"/>
    <w:rsid w:val="00E4482D"/>
    <w:rsid w:val="00E4570B"/>
    <w:rsid w:val="00E463A9"/>
    <w:rsid w:val="00E47123"/>
    <w:rsid w:val="00E47181"/>
    <w:rsid w:val="00E50C9B"/>
    <w:rsid w:val="00E51B2D"/>
    <w:rsid w:val="00E53EA8"/>
    <w:rsid w:val="00E55240"/>
    <w:rsid w:val="00E56206"/>
    <w:rsid w:val="00E570C9"/>
    <w:rsid w:val="00E57389"/>
    <w:rsid w:val="00E57A14"/>
    <w:rsid w:val="00E62115"/>
    <w:rsid w:val="00E6326A"/>
    <w:rsid w:val="00E6337E"/>
    <w:rsid w:val="00E634EA"/>
    <w:rsid w:val="00E64671"/>
    <w:rsid w:val="00E64897"/>
    <w:rsid w:val="00E64D3B"/>
    <w:rsid w:val="00E64DCA"/>
    <w:rsid w:val="00E65167"/>
    <w:rsid w:val="00E655FB"/>
    <w:rsid w:val="00E6629F"/>
    <w:rsid w:val="00E67484"/>
    <w:rsid w:val="00E67AF9"/>
    <w:rsid w:val="00E7133C"/>
    <w:rsid w:val="00E71786"/>
    <w:rsid w:val="00E71EDC"/>
    <w:rsid w:val="00E72476"/>
    <w:rsid w:val="00E736E1"/>
    <w:rsid w:val="00E736FC"/>
    <w:rsid w:val="00E742E4"/>
    <w:rsid w:val="00E74508"/>
    <w:rsid w:val="00E74717"/>
    <w:rsid w:val="00E74C3D"/>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DDC"/>
    <w:rsid w:val="00E9274D"/>
    <w:rsid w:val="00E94496"/>
    <w:rsid w:val="00E949E4"/>
    <w:rsid w:val="00E94EB7"/>
    <w:rsid w:val="00E95906"/>
    <w:rsid w:val="00E968DB"/>
    <w:rsid w:val="00E96D49"/>
    <w:rsid w:val="00E97688"/>
    <w:rsid w:val="00E97A54"/>
    <w:rsid w:val="00E97C26"/>
    <w:rsid w:val="00EA103F"/>
    <w:rsid w:val="00EA14F1"/>
    <w:rsid w:val="00EA1F2B"/>
    <w:rsid w:val="00EA21FD"/>
    <w:rsid w:val="00EA2F23"/>
    <w:rsid w:val="00EA2F43"/>
    <w:rsid w:val="00EA3723"/>
    <w:rsid w:val="00EA3A0B"/>
    <w:rsid w:val="00EA5841"/>
    <w:rsid w:val="00EA7592"/>
    <w:rsid w:val="00EA7ADD"/>
    <w:rsid w:val="00EB0240"/>
    <w:rsid w:val="00EB0B27"/>
    <w:rsid w:val="00EB0F2C"/>
    <w:rsid w:val="00EB10F6"/>
    <w:rsid w:val="00EB175C"/>
    <w:rsid w:val="00EB1F74"/>
    <w:rsid w:val="00EB2BE2"/>
    <w:rsid w:val="00EB3903"/>
    <w:rsid w:val="00EB459E"/>
    <w:rsid w:val="00EB7A57"/>
    <w:rsid w:val="00EB7B14"/>
    <w:rsid w:val="00EC1162"/>
    <w:rsid w:val="00EC1625"/>
    <w:rsid w:val="00EC1999"/>
    <w:rsid w:val="00EC1CC1"/>
    <w:rsid w:val="00EC22FC"/>
    <w:rsid w:val="00EC442F"/>
    <w:rsid w:val="00EC45B0"/>
    <w:rsid w:val="00EC4A25"/>
    <w:rsid w:val="00EC7C27"/>
    <w:rsid w:val="00ED31C1"/>
    <w:rsid w:val="00ED3863"/>
    <w:rsid w:val="00ED38BF"/>
    <w:rsid w:val="00ED40F5"/>
    <w:rsid w:val="00ED624F"/>
    <w:rsid w:val="00ED634D"/>
    <w:rsid w:val="00ED6AF8"/>
    <w:rsid w:val="00EE11F8"/>
    <w:rsid w:val="00EE25F5"/>
    <w:rsid w:val="00EE3C1D"/>
    <w:rsid w:val="00EE4ABD"/>
    <w:rsid w:val="00EE505B"/>
    <w:rsid w:val="00EE5540"/>
    <w:rsid w:val="00EE61F6"/>
    <w:rsid w:val="00EF0F8B"/>
    <w:rsid w:val="00EF14AC"/>
    <w:rsid w:val="00EF1562"/>
    <w:rsid w:val="00EF1DD4"/>
    <w:rsid w:val="00EF2082"/>
    <w:rsid w:val="00EF24DA"/>
    <w:rsid w:val="00EF320F"/>
    <w:rsid w:val="00EF3978"/>
    <w:rsid w:val="00EF48FE"/>
    <w:rsid w:val="00EF57F5"/>
    <w:rsid w:val="00EF6742"/>
    <w:rsid w:val="00EF6B9D"/>
    <w:rsid w:val="00F0014B"/>
    <w:rsid w:val="00F00728"/>
    <w:rsid w:val="00F01204"/>
    <w:rsid w:val="00F02A0A"/>
    <w:rsid w:val="00F02B63"/>
    <w:rsid w:val="00F02E67"/>
    <w:rsid w:val="00F03A1B"/>
    <w:rsid w:val="00F03DC2"/>
    <w:rsid w:val="00F04524"/>
    <w:rsid w:val="00F0490D"/>
    <w:rsid w:val="00F054A3"/>
    <w:rsid w:val="00F05908"/>
    <w:rsid w:val="00F0610A"/>
    <w:rsid w:val="00F07599"/>
    <w:rsid w:val="00F1029B"/>
    <w:rsid w:val="00F10FDC"/>
    <w:rsid w:val="00F11B76"/>
    <w:rsid w:val="00F12333"/>
    <w:rsid w:val="00F133AF"/>
    <w:rsid w:val="00F145C5"/>
    <w:rsid w:val="00F148D2"/>
    <w:rsid w:val="00F14FDC"/>
    <w:rsid w:val="00F15763"/>
    <w:rsid w:val="00F1596D"/>
    <w:rsid w:val="00F16C6A"/>
    <w:rsid w:val="00F177B9"/>
    <w:rsid w:val="00F219E2"/>
    <w:rsid w:val="00F220AC"/>
    <w:rsid w:val="00F22A01"/>
    <w:rsid w:val="00F2315C"/>
    <w:rsid w:val="00F318F6"/>
    <w:rsid w:val="00F326A0"/>
    <w:rsid w:val="00F32CC6"/>
    <w:rsid w:val="00F33327"/>
    <w:rsid w:val="00F34043"/>
    <w:rsid w:val="00F35093"/>
    <w:rsid w:val="00F366FB"/>
    <w:rsid w:val="00F41FD3"/>
    <w:rsid w:val="00F43593"/>
    <w:rsid w:val="00F439F6"/>
    <w:rsid w:val="00F44272"/>
    <w:rsid w:val="00F44410"/>
    <w:rsid w:val="00F453A2"/>
    <w:rsid w:val="00F45D13"/>
    <w:rsid w:val="00F47DD5"/>
    <w:rsid w:val="00F50035"/>
    <w:rsid w:val="00F51B77"/>
    <w:rsid w:val="00F51F3E"/>
    <w:rsid w:val="00F553C3"/>
    <w:rsid w:val="00F56397"/>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6FE"/>
    <w:rsid w:val="00F75802"/>
    <w:rsid w:val="00F770B2"/>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2F2D"/>
    <w:rsid w:val="00F93A13"/>
    <w:rsid w:val="00F940BB"/>
    <w:rsid w:val="00F94E17"/>
    <w:rsid w:val="00F957AF"/>
    <w:rsid w:val="00F97419"/>
    <w:rsid w:val="00F97542"/>
    <w:rsid w:val="00FA03B3"/>
    <w:rsid w:val="00FA0D64"/>
    <w:rsid w:val="00FA0F17"/>
    <w:rsid w:val="00FA32F9"/>
    <w:rsid w:val="00FA46A1"/>
    <w:rsid w:val="00FA48BE"/>
    <w:rsid w:val="00FA5E83"/>
    <w:rsid w:val="00FA69E2"/>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F31"/>
    <w:rsid w:val="00FD16C7"/>
    <w:rsid w:val="00FD1F7E"/>
    <w:rsid w:val="00FD2D04"/>
    <w:rsid w:val="00FD3148"/>
    <w:rsid w:val="00FD327B"/>
    <w:rsid w:val="00FD42DD"/>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C37"/>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F8A8239"/>
  <w15:docId w15:val="{3B94643D-F106-44C7-82AD-3CA2C91A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qFormat/>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1"/>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1"/>
    <w:rsid w:val="006D21C0"/>
    <w:rPr>
      <w:rFonts w:ascii="Arial Black" w:eastAsia="Times New Roman" w:hAnsi="Arial Black" w:cs="Times New Roman"/>
      <w:caps/>
      <w:sz w:val="22"/>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1"/>
    <w:rsid w:val="006D21C0"/>
    <w:rPr>
      <w:rFonts w:ascii="Arial Black" w:eastAsia="Times New Roman" w:hAnsi="Arial Black" w:cs="Times New Roman"/>
      <w:sz w:val="22"/>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1"/>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862429"/>
    <w:pPr>
      <w:jc w:val="right"/>
    </w:pPr>
  </w:style>
  <w:style w:type="paragraph" w:customStyle="1" w:styleId="Outline">
    <w:name w:val="Outline"/>
    <w:basedOn w:val="H1"/>
    <w:next w:val="Paragraph"/>
    <w:semiHidden/>
    <w:unhideWhenUsed/>
    <w:qFormat/>
    <w:rsid w:val="00AF213E"/>
    <w:pPr>
      <w:pageBreakBefore/>
      <w:numPr>
        <w:numId w:val="15"/>
      </w:numPr>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920BD"/>
    <w:pPr>
      <w:spacing w:after="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H1">
    <w:name w:val="H1"/>
    <w:basedOn w:val="Normal"/>
    <w:next w:val="Paragraph"/>
    <w:link w:val="H1Char"/>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qFormat/>
    <w:rsid w:val="008F0425"/>
    <w:pPr>
      <w:spacing w:line="330" w:lineRule="exact"/>
    </w:pPr>
    <w:rPr>
      <w:i/>
      <w:sz w:val="28"/>
    </w:rPr>
  </w:style>
  <w:style w:type="paragraph" w:customStyle="1" w:styleId="H2">
    <w:name w:val="H2"/>
    <w:basedOn w:val="H1"/>
    <w:next w:val="Paragraph"/>
    <w:link w:val="H2Char"/>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semiHidden/>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qFormat/>
    <w:rsid w:val="00820339"/>
    <w:pPr>
      <w:keepNext/>
      <w:spacing w:before="80" w:after="160"/>
      <w:ind w:left="540" w:hanging="540"/>
      <w:outlineLvl w:val="3"/>
    </w:pPr>
    <w:rPr>
      <w:b/>
    </w:rPr>
  </w:style>
  <w:style w:type="paragraph" w:customStyle="1" w:styleId="Feature1Head">
    <w:name w:val="Feature1 Head"/>
    <w:basedOn w:val="H2"/>
    <w:semiHidden/>
    <w:qFormat/>
    <w:rsid w:val="00C673AC"/>
    <w:pPr>
      <w:spacing w:after="0"/>
      <w:ind w:left="0" w:firstLine="0"/>
    </w:pPr>
  </w:style>
  <w:style w:type="paragraph" w:customStyle="1" w:styleId="Feature1ListHead">
    <w:name w:val="Feature1 List Head"/>
    <w:basedOn w:val="H3"/>
    <w:semiHidden/>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qFormat/>
    <w:rsid w:val="00AC62B4"/>
    <w:pPr>
      <w:keepNext/>
      <w:spacing w:before="80" w:after="160"/>
      <w:outlineLvl w:val="4"/>
    </w:pPr>
    <w:rPr>
      <w:color w:val="046B5C" w:themeColor="text2"/>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H2"/>
    <w:next w:val="Paragraph"/>
    <w:semiHidden/>
    <w:unhideWhenUsed/>
    <w:qFormat/>
    <w:rsid w:val="00663D7A"/>
    <w:pPr>
      <w:keepLines/>
      <w:numPr>
        <w:ilvl w:val="1"/>
        <w:numId w:val="15"/>
      </w:numPr>
    </w:pPr>
  </w:style>
  <w:style w:type="paragraph" w:customStyle="1" w:styleId="Outline3">
    <w:name w:val="Outline 3"/>
    <w:basedOn w:val="H3"/>
    <w:semiHidden/>
    <w:unhideWhenUsed/>
    <w:qFormat/>
    <w:rsid w:val="00790C2A"/>
    <w:pPr>
      <w:keepLines/>
      <w:numPr>
        <w:ilvl w:val="2"/>
        <w:numId w:val="15"/>
      </w:numPr>
    </w:pPr>
    <w:rPr>
      <w:i/>
    </w:rPr>
  </w:style>
  <w:style w:type="paragraph" w:customStyle="1" w:styleId="Outline4">
    <w:name w:val="Outline 4"/>
    <w:basedOn w:val="H4"/>
    <w:next w:val="Paragraph"/>
    <w:semiHidden/>
    <w:unhideWhenUsed/>
    <w:qFormat/>
    <w:rsid w:val="00663D7A"/>
    <w:pPr>
      <w:keepLines/>
      <w:numPr>
        <w:ilvl w:val="3"/>
        <w:numId w:val="15"/>
      </w:numPr>
    </w:p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CC5DBD"/>
    <w:pPr>
      <w:jc w:val="center"/>
    </w:pPr>
  </w:style>
  <w:style w:type="paragraph" w:customStyle="1" w:styleId="TableTextDecimal">
    <w:name w:val="Table Text Decimal"/>
    <w:basedOn w:val="TableTextLeft"/>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qFormat/>
    <w:rsid w:val="003C5D9A"/>
    <w:pPr>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H4"/>
    <w:qFormat/>
    <w:rsid w:val="00F84AFB"/>
    <w:pPr>
      <w:spacing w:before="360" w:after="120"/>
      <w:outlineLvl w:val="9"/>
    </w:pPr>
    <w:rPr>
      <w:b/>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H1"/>
    <w:qFormat/>
    <w:rsid w:val="00AC25F1"/>
    <w:pPr>
      <w:pageBreakBefore/>
      <w:spacing w:line="370" w:lineRule="exact"/>
    </w:p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0845AF"/>
    <w:pPr>
      <w:spacing w:line="310" w:lineRule="exact"/>
    </w:pPr>
    <w:rPr>
      <w:rFonts w:asciiTheme="majorHAnsi" w:hAnsiTheme="majorHAnsi"/>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H2"/>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ESSidebar"/>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5B6D91"/>
    <w:pPr>
      <w:numPr>
        <w:numId w:val="52"/>
      </w:numPr>
      <w:spacing w:before="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0845AF"/>
    <w:pPr>
      <w:spacing w:before="240"/>
    </w:pPr>
  </w:style>
  <w:style w:type="paragraph" w:customStyle="1" w:styleId="ESListNumber">
    <w:name w:val="ES List Number"/>
    <w:basedOn w:val="ESParagraph"/>
    <w:qFormat/>
    <w:rsid w:val="00412225"/>
    <w:pPr>
      <w:numPr>
        <w:numId w:val="23"/>
      </w:numPr>
      <w:contextualSpacing/>
    </w:pPr>
  </w:style>
  <w:style w:type="paragraph" w:customStyle="1" w:styleId="TableSource">
    <w:name w:val="Table Source"/>
    <w:basedOn w:val="ExhibitSource"/>
    <w:qFormat/>
    <w:rsid w:val="00E64897"/>
    <w:pPr>
      <w:spacing w:after="60"/>
    </w:pPr>
  </w:style>
  <w:style w:type="paragraph" w:customStyle="1" w:styleId="ResBody">
    <w:name w:val="Res_Body"/>
    <w:link w:val="ResBodyChar"/>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BF0920"/>
    <w:pPr>
      <w:spacing w:before="0"/>
      <w:jc w:val="center"/>
    </w:pPr>
    <w:rPr>
      <w:sz w:val="20"/>
    </w:rPr>
  </w:style>
  <w:style w:type="character" w:customStyle="1" w:styleId="ResFooterChar">
    <w:name w:val="Res_Footer Char"/>
    <w:basedOn w:val="ResBodyChar"/>
    <w:link w:val="ResFooter"/>
    <w:uiPriority w:val="98"/>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BF0920"/>
    <w:pPr>
      <w:pBdr>
        <w:bottom w:val="single" w:sz="24" w:space="1" w:color="E0D4B5"/>
      </w:pBdr>
    </w:pPr>
  </w:style>
  <w:style w:type="paragraph" w:customStyle="1" w:styleId="ResH1Sidebar">
    <w:name w:val="Res_H1_Sidebar"/>
    <w:basedOn w:val="ResH1"/>
    <w:semiHidden/>
    <w:qFormat/>
    <w:rsid w:val="00BF0920"/>
    <w:pPr>
      <w:spacing w:before="0" w:after="120"/>
    </w:pPr>
  </w:style>
  <w:style w:type="paragraph" w:customStyle="1" w:styleId="ResH2">
    <w:name w:val="Res_H2"/>
    <w:basedOn w:val="Normal"/>
    <w:link w:val="ResH2Char"/>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BF0920"/>
    <w:pPr>
      <w:keepNext/>
    </w:pPr>
    <w:rPr>
      <w:b/>
    </w:rPr>
  </w:style>
  <w:style w:type="paragraph" w:customStyle="1" w:styleId="ResHeader">
    <w:name w:val="Res_Header"/>
    <w:link w:val="ResHeaderChar"/>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BF0920"/>
    <w:pPr>
      <w:numPr>
        <w:numId w:val="24"/>
      </w:numPr>
    </w:pPr>
  </w:style>
  <w:style w:type="paragraph" w:customStyle="1" w:styleId="ResList">
    <w:name w:val="Res_List"/>
    <w:basedOn w:val="ResBody"/>
    <w:link w:val="ResListChar"/>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BF0920"/>
    <w:pPr>
      <w:keepNext/>
      <w:tabs>
        <w:tab w:val="clear" w:pos="1440"/>
        <w:tab w:val="left" w:pos="274"/>
      </w:tabs>
      <w:ind w:left="1728" w:right="3600" w:hanging="1728"/>
    </w:pPr>
  </w:style>
  <w:style w:type="paragraph" w:customStyle="1" w:styleId="ResListExp1">
    <w:name w:val="Res_List_Exp1"/>
    <w:basedOn w:val="ResListExp"/>
    <w:semiHidden/>
    <w:qFormat/>
    <w:rsid w:val="00BF0920"/>
    <w:pPr>
      <w:spacing w:before="120"/>
      <w:ind w:left="1440" w:hanging="1440"/>
    </w:pPr>
  </w:style>
  <w:style w:type="paragraph" w:customStyle="1" w:styleId="ResListFirst">
    <w:name w:val="Res_List_First"/>
    <w:basedOn w:val="ResList"/>
    <w:semiHidden/>
    <w:qFormat/>
    <w:rsid w:val="00BF0920"/>
    <w:pPr>
      <w:spacing w:before="120"/>
    </w:pPr>
  </w:style>
  <w:style w:type="paragraph" w:customStyle="1" w:styleId="ResName">
    <w:name w:val="Res_Name"/>
    <w:basedOn w:val="Normal"/>
    <w:link w:val="ResNameChar"/>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rsid w:val="00F97419"/>
    <w:rPr>
      <w:rFonts w:ascii="Arial Black" w:eastAsiaTheme="minorHAnsi" w:hAnsi="Arial Black" w:cs="Arial"/>
      <w:color w:val="046B5C"/>
      <w:kern w:val="22"/>
      <w:sz w:val="32"/>
      <w:szCs w:val="32"/>
    </w:rPr>
  </w:style>
  <w:style w:type="paragraph" w:customStyle="1" w:styleId="ResPubs">
    <w:name w:val="Res_Pubs"/>
    <w:basedOn w:val="ResBody"/>
    <w:semiHidden/>
    <w:qFormat/>
    <w:rsid w:val="00BF0920"/>
    <w:pPr>
      <w:keepLines/>
    </w:pPr>
  </w:style>
  <w:style w:type="paragraph" w:customStyle="1" w:styleId="ResSidebar">
    <w:name w:val="Res_Sidebar"/>
    <w:basedOn w:val="Normal"/>
    <w:link w:val="ResSidebarChar"/>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rsid w:val="00F97419"/>
    <w:rPr>
      <w:rFonts w:ascii="Arial" w:eastAsiaTheme="minorHAnsi" w:hAnsi="Arial" w:cs="Arial"/>
      <w:kern w:val="22"/>
      <w:sz w:val="20"/>
      <w:szCs w:val="20"/>
    </w:rPr>
  </w:style>
  <w:style w:type="paragraph" w:customStyle="1" w:styleId="ResSubsection">
    <w:name w:val="Res_Subsection"/>
    <w:basedOn w:val="ResBody"/>
    <w:semiHidden/>
    <w:qFormat/>
    <w:rsid w:val="00BF0920"/>
    <w:pPr>
      <w:spacing w:before="160"/>
    </w:pPr>
  </w:style>
  <w:style w:type="paragraph" w:customStyle="1" w:styleId="ResTitle">
    <w:name w:val="Res_Title"/>
    <w:basedOn w:val="Normal"/>
    <w:link w:val="ResTitleChar"/>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qFormat/>
    <w:rsid w:val="005C769D"/>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SidebarNumber">
    <w:name w:val="Sidebar Number"/>
    <w:basedOn w:val="Sidebar"/>
    <w:semiHidden/>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SidebarBullet">
    <w:name w:val="Sidebar Bullet"/>
    <w:basedOn w:val="Sidebar"/>
    <w:semiHidden/>
    <w:qFormat/>
    <w:rsid w:val="00DE619A"/>
    <w:pPr>
      <w:tabs>
        <w:tab w:val="clear" w:pos="792"/>
        <w:tab w:val="left" w:pos="540"/>
      </w:tabs>
      <w:ind w:left="288" w:hanging="288"/>
    </w:pPr>
    <w:rPr>
      <w:color w:val="000000"/>
      <w:szCs w:val="21"/>
    </w:rPr>
  </w:style>
  <w:style w:type="paragraph" w:styleId="Revision">
    <w:name w:val="Revision"/>
    <w:hidden/>
    <w:uiPriority w:val="99"/>
    <w:semiHidden/>
    <w:rsid w:val="00DE619A"/>
    <w:pPr>
      <w:spacing w:after="0"/>
    </w:pPr>
    <w:rPr>
      <w:rFonts w:asciiTheme="minorHAnsi" w:eastAsia="Times New Roman" w:hAnsiTheme="minorHAnsi" w:cs="Times New Roman"/>
      <w:szCs w:val="20"/>
    </w:rPr>
  </w:style>
  <w:style w:type="table" w:customStyle="1" w:styleId="CORESETMEMO">
    <w:name w:val="CORESET MEMO"/>
    <w:basedOn w:val="TableNormal"/>
    <w:uiPriority w:val="99"/>
    <w:rsid w:val="00DE619A"/>
    <w:pPr>
      <w:spacing w:after="0"/>
    </w:p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character" w:customStyle="1" w:styleId="ArialBlack">
    <w:name w:val="Arial Black"/>
    <w:basedOn w:val="DefaultParagraphFont"/>
    <w:semiHidden/>
    <w:qFormat/>
    <w:rsid w:val="00DE619A"/>
    <w:rPr>
      <w:rFonts w:ascii="Arial Black" w:hAnsi="Arial Black"/>
    </w:rPr>
  </w:style>
  <w:style w:type="paragraph" w:customStyle="1" w:styleId="NormalSS">
    <w:name w:val="NormalSS"/>
    <w:basedOn w:val="Normal"/>
    <w:semiHidden/>
    <w:qFormat/>
    <w:rsid w:val="00DE619A"/>
    <w:pPr>
      <w:spacing w:line="240" w:lineRule="auto"/>
      <w:ind w:firstLine="432"/>
    </w:pPr>
    <w:rPr>
      <w:rFonts w:ascii="Times New Roman" w:hAnsi="Times New Roman"/>
    </w:rPr>
  </w:style>
  <w:style w:type="paragraph" w:customStyle="1" w:styleId="SignatoryTitle">
    <w:name w:val="Signatory Title"/>
    <w:basedOn w:val="Normal"/>
    <w:semiHidden/>
    <w:qFormat/>
    <w:rsid w:val="00DE619A"/>
    <w:pPr>
      <w:spacing w:after="360"/>
    </w:pPr>
    <w:rPr>
      <w:i/>
      <w:sz w:val="20"/>
    </w:rPr>
  </w:style>
  <w:style w:type="character" w:customStyle="1" w:styleId="UnresolvedMention1">
    <w:name w:val="Unresolved Mention1"/>
    <w:basedOn w:val="DefaultParagraphFont"/>
    <w:semiHidden/>
    <w:unhideWhenUsed/>
    <w:rsid w:val="005B6D91"/>
    <w:rPr>
      <w:color w:val="605E5C"/>
      <w:shd w:val="clear" w:color="auto" w:fill="E1DFDD"/>
    </w:rPr>
  </w:style>
  <w:style w:type="paragraph" w:styleId="BlockText">
    <w:name w:val="Block Text"/>
    <w:basedOn w:val="Normal"/>
    <w:semiHidden/>
    <w:unhideWhenUsed/>
    <w:rsid w:val="001375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137586"/>
    <w:pPr>
      <w:spacing w:after="120"/>
    </w:pPr>
  </w:style>
  <w:style w:type="character" w:customStyle="1" w:styleId="BodyTextChar">
    <w:name w:val="Body Text Char"/>
    <w:basedOn w:val="DefaultParagraphFont"/>
    <w:link w:val="BodyText"/>
    <w:uiPriority w:val="99"/>
    <w:semiHidden/>
    <w:rsid w:val="00137586"/>
    <w:rPr>
      <w:rFonts w:asciiTheme="minorHAnsi" w:eastAsia="Times New Roman" w:hAnsiTheme="minorHAnsi" w:cs="Times New Roman"/>
      <w:szCs w:val="20"/>
    </w:rPr>
  </w:style>
  <w:style w:type="paragraph" w:styleId="BodyText2">
    <w:name w:val="Body Text 2"/>
    <w:basedOn w:val="Normal"/>
    <w:link w:val="BodyText2Char"/>
    <w:semiHidden/>
    <w:unhideWhenUsed/>
    <w:rsid w:val="00137586"/>
    <w:pPr>
      <w:spacing w:after="120" w:line="480" w:lineRule="auto"/>
    </w:pPr>
  </w:style>
  <w:style w:type="character" w:customStyle="1" w:styleId="BodyText2Char">
    <w:name w:val="Body Text 2 Char"/>
    <w:basedOn w:val="DefaultParagraphFont"/>
    <w:link w:val="BodyText2"/>
    <w:uiPriority w:val="99"/>
    <w:semiHidden/>
    <w:rsid w:val="00137586"/>
    <w:rPr>
      <w:rFonts w:asciiTheme="minorHAnsi" w:eastAsia="Times New Roman" w:hAnsiTheme="minorHAnsi" w:cs="Times New Roman"/>
      <w:szCs w:val="20"/>
    </w:rPr>
  </w:style>
  <w:style w:type="paragraph" w:styleId="BodyText3">
    <w:name w:val="Body Text 3"/>
    <w:basedOn w:val="Normal"/>
    <w:link w:val="BodyText3Char"/>
    <w:semiHidden/>
    <w:unhideWhenUsed/>
    <w:rsid w:val="00137586"/>
    <w:pPr>
      <w:spacing w:after="120"/>
    </w:pPr>
    <w:rPr>
      <w:sz w:val="16"/>
      <w:szCs w:val="16"/>
    </w:rPr>
  </w:style>
  <w:style w:type="character" w:customStyle="1" w:styleId="BodyText3Char">
    <w:name w:val="Body Text 3 Char"/>
    <w:basedOn w:val="DefaultParagraphFont"/>
    <w:link w:val="BodyText3"/>
    <w:uiPriority w:val="99"/>
    <w:semiHidden/>
    <w:rsid w:val="00137586"/>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137586"/>
    <w:pPr>
      <w:spacing w:after="240"/>
      <w:ind w:firstLine="360"/>
    </w:pPr>
  </w:style>
  <w:style w:type="character" w:customStyle="1" w:styleId="BodyTextFirstIndentChar">
    <w:name w:val="Body Text First Indent Char"/>
    <w:basedOn w:val="BodyTextChar"/>
    <w:link w:val="BodyTextFirstIndent"/>
    <w:uiPriority w:val="99"/>
    <w:semiHidden/>
    <w:rsid w:val="00137586"/>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137586"/>
    <w:pPr>
      <w:spacing w:after="120"/>
      <w:ind w:left="360"/>
    </w:pPr>
  </w:style>
  <w:style w:type="character" w:customStyle="1" w:styleId="BodyTextIndentChar">
    <w:name w:val="Body Text Indent Char"/>
    <w:basedOn w:val="DefaultParagraphFont"/>
    <w:link w:val="BodyTextIndent"/>
    <w:uiPriority w:val="99"/>
    <w:semiHidden/>
    <w:rsid w:val="00137586"/>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137586"/>
    <w:pPr>
      <w:spacing w:after="240"/>
      <w:ind w:firstLine="360"/>
    </w:pPr>
  </w:style>
  <w:style w:type="character" w:customStyle="1" w:styleId="BodyTextFirstIndent2Char">
    <w:name w:val="Body Text First Indent 2 Char"/>
    <w:basedOn w:val="BodyTextIndentChar"/>
    <w:link w:val="BodyTextFirstIndent2"/>
    <w:uiPriority w:val="99"/>
    <w:semiHidden/>
    <w:rsid w:val="00137586"/>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137586"/>
    <w:pPr>
      <w:spacing w:after="120" w:line="480" w:lineRule="auto"/>
      <w:ind w:left="360"/>
    </w:pPr>
  </w:style>
  <w:style w:type="character" w:customStyle="1" w:styleId="BodyTextIndent2Char">
    <w:name w:val="Body Text Indent 2 Char"/>
    <w:basedOn w:val="DefaultParagraphFont"/>
    <w:link w:val="BodyTextIndent2"/>
    <w:uiPriority w:val="99"/>
    <w:semiHidden/>
    <w:rsid w:val="00137586"/>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1375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7586"/>
    <w:rPr>
      <w:rFonts w:asciiTheme="minorHAnsi" w:eastAsia="Times New Roman" w:hAnsiTheme="minorHAnsi" w:cs="Times New Roman"/>
      <w:sz w:val="16"/>
      <w:szCs w:val="16"/>
    </w:rPr>
  </w:style>
  <w:style w:type="character" w:styleId="BookTitle">
    <w:name w:val="Book Title"/>
    <w:basedOn w:val="DefaultParagraphFont"/>
    <w:semiHidden/>
    <w:qFormat/>
    <w:rsid w:val="00137586"/>
    <w:rPr>
      <w:b/>
      <w:bCs/>
      <w:i/>
      <w:iCs/>
      <w:spacing w:val="5"/>
    </w:rPr>
  </w:style>
  <w:style w:type="paragraph" w:styleId="E-mailSignature">
    <w:name w:val="E-mail Signature"/>
    <w:basedOn w:val="Normal"/>
    <w:link w:val="E-mailSignatureChar"/>
    <w:semiHidden/>
    <w:unhideWhenUsed/>
    <w:rsid w:val="00137586"/>
    <w:pPr>
      <w:spacing w:after="0" w:line="240" w:lineRule="auto"/>
    </w:pPr>
  </w:style>
  <w:style w:type="character" w:customStyle="1" w:styleId="E-mailSignatureChar">
    <w:name w:val="E-mail Signature Char"/>
    <w:basedOn w:val="DefaultParagraphFont"/>
    <w:link w:val="E-mailSignature"/>
    <w:uiPriority w:val="99"/>
    <w:semiHidden/>
    <w:rsid w:val="00137586"/>
    <w:rPr>
      <w:rFonts w:asciiTheme="minorHAnsi" w:eastAsia="Times New Roman" w:hAnsiTheme="minorHAnsi" w:cs="Times New Roman"/>
      <w:szCs w:val="20"/>
    </w:rPr>
  </w:style>
  <w:style w:type="character" w:styleId="Emphasis">
    <w:name w:val="Emphasis"/>
    <w:basedOn w:val="DefaultParagraphFont"/>
    <w:semiHidden/>
    <w:qFormat/>
    <w:rsid w:val="00137586"/>
    <w:rPr>
      <w:i/>
      <w:iCs/>
    </w:rPr>
  </w:style>
  <w:style w:type="paragraph" w:styleId="EnvelopeAddress">
    <w:name w:val="envelope address"/>
    <w:basedOn w:val="Normal"/>
    <w:unhideWhenUsed/>
    <w:rsid w:val="00137586"/>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137586"/>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137586"/>
    <w:rPr>
      <w:color w:val="2B579A"/>
      <w:shd w:val="clear" w:color="auto" w:fill="E1DFDD"/>
    </w:rPr>
  </w:style>
  <w:style w:type="character" w:styleId="HTMLAcronym">
    <w:name w:val="HTML Acronym"/>
    <w:basedOn w:val="DefaultParagraphFont"/>
    <w:semiHidden/>
    <w:unhideWhenUsed/>
    <w:rsid w:val="00137586"/>
  </w:style>
  <w:style w:type="paragraph" w:styleId="HTMLAddress">
    <w:name w:val="HTML Address"/>
    <w:basedOn w:val="Normal"/>
    <w:link w:val="HTMLAddressChar"/>
    <w:semiHidden/>
    <w:unhideWhenUsed/>
    <w:rsid w:val="00137586"/>
    <w:pPr>
      <w:spacing w:after="0" w:line="240" w:lineRule="auto"/>
    </w:pPr>
    <w:rPr>
      <w:i/>
      <w:iCs/>
    </w:rPr>
  </w:style>
  <w:style w:type="character" w:customStyle="1" w:styleId="HTMLAddressChar">
    <w:name w:val="HTML Address Char"/>
    <w:basedOn w:val="DefaultParagraphFont"/>
    <w:link w:val="HTMLAddress"/>
    <w:uiPriority w:val="99"/>
    <w:semiHidden/>
    <w:rsid w:val="00137586"/>
    <w:rPr>
      <w:rFonts w:asciiTheme="minorHAnsi" w:eastAsia="Times New Roman" w:hAnsiTheme="minorHAnsi" w:cs="Times New Roman"/>
      <w:i/>
      <w:iCs/>
      <w:szCs w:val="20"/>
    </w:rPr>
  </w:style>
  <w:style w:type="character" w:styleId="HTMLCite">
    <w:name w:val="HTML Cite"/>
    <w:basedOn w:val="DefaultParagraphFont"/>
    <w:semiHidden/>
    <w:unhideWhenUsed/>
    <w:rsid w:val="00137586"/>
    <w:rPr>
      <w:i/>
      <w:iCs/>
    </w:rPr>
  </w:style>
  <w:style w:type="character" w:styleId="HTMLCode">
    <w:name w:val="HTML Code"/>
    <w:basedOn w:val="DefaultParagraphFont"/>
    <w:semiHidden/>
    <w:unhideWhenUsed/>
    <w:rsid w:val="00137586"/>
    <w:rPr>
      <w:rFonts w:ascii="Consolas" w:hAnsi="Consolas"/>
      <w:sz w:val="20"/>
      <w:szCs w:val="20"/>
    </w:rPr>
  </w:style>
  <w:style w:type="character" w:styleId="HTMLDefinition">
    <w:name w:val="HTML Definition"/>
    <w:basedOn w:val="DefaultParagraphFont"/>
    <w:semiHidden/>
    <w:unhideWhenUsed/>
    <w:rsid w:val="00137586"/>
    <w:rPr>
      <w:i/>
      <w:iCs/>
    </w:rPr>
  </w:style>
  <w:style w:type="character" w:styleId="HTMLKeyboard">
    <w:name w:val="HTML Keyboard"/>
    <w:basedOn w:val="DefaultParagraphFont"/>
    <w:semiHidden/>
    <w:unhideWhenUsed/>
    <w:rsid w:val="00137586"/>
    <w:rPr>
      <w:rFonts w:ascii="Consolas" w:hAnsi="Consolas"/>
      <w:sz w:val="20"/>
      <w:szCs w:val="20"/>
    </w:rPr>
  </w:style>
  <w:style w:type="character" w:styleId="HTMLSample">
    <w:name w:val="HTML Sample"/>
    <w:basedOn w:val="DefaultParagraphFont"/>
    <w:semiHidden/>
    <w:unhideWhenUsed/>
    <w:rsid w:val="00137586"/>
    <w:rPr>
      <w:rFonts w:ascii="Consolas" w:hAnsi="Consolas"/>
      <w:sz w:val="24"/>
      <w:szCs w:val="24"/>
    </w:rPr>
  </w:style>
  <w:style w:type="character" w:styleId="HTMLTypewriter">
    <w:name w:val="HTML Typewriter"/>
    <w:basedOn w:val="DefaultParagraphFont"/>
    <w:semiHidden/>
    <w:unhideWhenUsed/>
    <w:rsid w:val="00137586"/>
    <w:rPr>
      <w:rFonts w:ascii="Consolas" w:hAnsi="Consolas"/>
      <w:sz w:val="20"/>
      <w:szCs w:val="20"/>
    </w:rPr>
  </w:style>
  <w:style w:type="character" w:styleId="HTMLVariable">
    <w:name w:val="HTML Variable"/>
    <w:basedOn w:val="DefaultParagraphFont"/>
    <w:semiHidden/>
    <w:unhideWhenUsed/>
    <w:rsid w:val="00137586"/>
    <w:rPr>
      <w:i/>
      <w:iCs/>
    </w:rPr>
  </w:style>
  <w:style w:type="paragraph" w:styleId="Index4">
    <w:name w:val="index 4"/>
    <w:basedOn w:val="Normal"/>
    <w:next w:val="Normal"/>
    <w:autoRedefine/>
    <w:semiHidden/>
    <w:unhideWhenUsed/>
    <w:rsid w:val="00137586"/>
    <w:pPr>
      <w:spacing w:after="0" w:line="240" w:lineRule="auto"/>
      <w:ind w:left="960" w:hanging="240"/>
    </w:pPr>
  </w:style>
  <w:style w:type="paragraph" w:styleId="Index5">
    <w:name w:val="index 5"/>
    <w:basedOn w:val="Normal"/>
    <w:next w:val="Normal"/>
    <w:autoRedefine/>
    <w:semiHidden/>
    <w:unhideWhenUsed/>
    <w:rsid w:val="00137586"/>
    <w:pPr>
      <w:spacing w:after="0" w:line="240" w:lineRule="auto"/>
      <w:ind w:left="1200" w:hanging="240"/>
    </w:pPr>
  </w:style>
  <w:style w:type="paragraph" w:styleId="Index6">
    <w:name w:val="index 6"/>
    <w:basedOn w:val="Normal"/>
    <w:next w:val="Normal"/>
    <w:autoRedefine/>
    <w:semiHidden/>
    <w:unhideWhenUsed/>
    <w:rsid w:val="00137586"/>
    <w:pPr>
      <w:spacing w:after="0" w:line="240" w:lineRule="auto"/>
      <w:ind w:left="1440" w:hanging="240"/>
    </w:pPr>
  </w:style>
  <w:style w:type="paragraph" w:styleId="Index7">
    <w:name w:val="index 7"/>
    <w:basedOn w:val="Normal"/>
    <w:next w:val="Normal"/>
    <w:autoRedefine/>
    <w:semiHidden/>
    <w:unhideWhenUsed/>
    <w:rsid w:val="00137586"/>
    <w:pPr>
      <w:spacing w:after="0" w:line="240" w:lineRule="auto"/>
      <w:ind w:left="1680" w:hanging="240"/>
    </w:pPr>
  </w:style>
  <w:style w:type="paragraph" w:styleId="Index8">
    <w:name w:val="index 8"/>
    <w:basedOn w:val="Normal"/>
    <w:next w:val="Normal"/>
    <w:autoRedefine/>
    <w:semiHidden/>
    <w:unhideWhenUsed/>
    <w:rsid w:val="00137586"/>
    <w:pPr>
      <w:spacing w:after="0" w:line="240" w:lineRule="auto"/>
      <w:ind w:left="1920" w:hanging="240"/>
    </w:pPr>
  </w:style>
  <w:style w:type="paragraph" w:styleId="Index9">
    <w:name w:val="index 9"/>
    <w:basedOn w:val="Normal"/>
    <w:next w:val="Normal"/>
    <w:autoRedefine/>
    <w:semiHidden/>
    <w:unhideWhenUsed/>
    <w:rsid w:val="00137586"/>
    <w:pPr>
      <w:spacing w:after="0" w:line="240" w:lineRule="auto"/>
      <w:ind w:left="2160" w:hanging="240"/>
    </w:pPr>
  </w:style>
  <w:style w:type="paragraph" w:styleId="IndexHeading">
    <w:name w:val="index heading"/>
    <w:basedOn w:val="Normal"/>
    <w:next w:val="Index1"/>
    <w:semiHidden/>
    <w:unhideWhenUsed/>
    <w:rsid w:val="00137586"/>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1375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137586"/>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137586"/>
  </w:style>
  <w:style w:type="paragraph" w:styleId="ListContinue4">
    <w:name w:val="List Continue 4"/>
    <w:basedOn w:val="Normal"/>
    <w:semiHidden/>
    <w:unhideWhenUsed/>
    <w:rsid w:val="00137586"/>
    <w:pPr>
      <w:spacing w:after="120"/>
      <w:ind w:left="1440"/>
      <w:contextualSpacing/>
    </w:pPr>
  </w:style>
  <w:style w:type="paragraph" w:styleId="ListContinue5">
    <w:name w:val="List Continue 5"/>
    <w:basedOn w:val="Normal"/>
    <w:semiHidden/>
    <w:unhideWhenUsed/>
    <w:rsid w:val="00137586"/>
    <w:pPr>
      <w:spacing w:after="120"/>
      <w:ind w:left="1800"/>
      <w:contextualSpacing/>
    </w:pPr>
  </w:style>
  <w:style w:type="paragraph" w:styleId="ListNumber4">
    <w:name w:val="List Number 4"/>
    <w:basedOn w:val="Normal"/>
    <w:semiHidden/>
    <w:unhideWhenUsed/>
    <w:rsid w:val="00137586"/>
    <w:pPr>
      <w:numPr>
        <w:numId w:val="62"/>
      </w:numPr>
      <w:contextualSpacing/>
    </w:pPr>
  </w:style>
  <w:style w:type="paragraph" w:styleId="ListNumber5">
    <w:name w:val="List Number 5"/>
    <w:basedOn w:val="Normal"/>
    <w:semiHidden/>
    <w:unhideWhenUsed/>
    <w:rsid w:val="00137586"/>
    <w:pPr>
      <w:numPr>
        <w:numId w:val="63"/>
      </w:numPr>
      <w:contextualSpacing/>
    </w:pPr>
  </w:style>
  <w:style w:type="paragraph" w:styleId="MacroText">
    <w:name w:val="macro"/>
    <w:link w:val="MacroTextChar"/>
    <w:semiHidden/>
    <w:unhideWhenUsed/>
    <w:rsid w:val="00137586"/>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37586"/>
    <w:rPr>
      <w:rFonts w:ascii="Consolas" w:eastAsia="Times New Roman" w:hAnsi="Consolas" w:cs="Times New Roman"/>
      <w:sz w:val="20"/>
      <w:szCs w:val="20"/>
    </w:rPr>
  </w:style>
  <w:style w:type="character" w:customStyle="1" w:styleId="Mention1">
    <w:name w:val="Mention1"/>
    <w:basedOn w:val="DefaultParagraphFont"/>
    <w:semiHidden/>
    <w:unhideWhenUsed/>
    <w:rsid w:val="00137586"/>
    <w:rPr>
      <w:color w:val="2B579A"/>
      <w:shd w:val="clear" w:color="auto" w:fill="E1DFDD"/>
    </w:rPr>
  </w:style>
  <w:style w:type="paragraph" w:styleId="MessageHeader">
    <w:name w:val="Message Header"/>
    <w:basedOn w:val="Normal"/>
    <w:link w:val="MessageHeaderChar"/>
    <w:semiHidden/>
    <w:unhideWhenUsed/>
    <w:rsid w:val="001375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37586"/>
    <w:rPr>
      <w:rFonts w:asciiTheme="majorHAnsi" w:eastAsiaTheme="majorEastAsia" w:hAnsiTheme="majorHAnsi" w:cstheme="majorBidi"/>
      <w:shd w:val="pct20" w:color="auto" w:fill="auto"/>
    </w:rPr>
  </w:style>
  <w:style w:type="paragraph" w:styleId="NormalWeb">
    <w:name w:val="Normal (Web)"/>
    <w:basedOn w:val="Normal"/>
    <w:semiHidden/>
    <w:unhideWhenUsed/>
    <w:rsid w:val="00137586"/>
    <w:rPr>
      <w:rFonts w:ascii="Times New Roman" w:hAnsi="Times New Roman"/>
      <w:szCs w:val="24"/>
    </w:rPr>
  </w:style>
  <w:style w:type="paragraph" w:styleId="NormalIndent">
    <w:name w:val="Normal Indent"/>
    <w:basedOn w:val="Normal"/>
    <w:semiHidden/>
    <w:unhideWhenUsed/>
    <w:rsid w:val="00137586"/>
    <w:pPr>
      <w:ind w:left="720"/>
    </w:pPr>
  </w:style>
  <w:style w:type="paragraph" w:styleId="PlainText">
    <w:name w:val="Plain Text"/>
    <w:basedOn w:val="Normal"/>
    <w:link w:val="PlainTextChar"/>
    <w:semiHidden/>
    <w:unhideWhenUsed/>
    <w:rsid w:val="001375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7586"/>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137586"/>
    <w:rPr>
      <w:u w:val="dotted"/>
    </w:rPr>
  </w:style>
  <w:style w:type="character" w:customStyle="1" w:styleId="SmartLink1">
    <w:name w:val="SmartLink1"/>
    <w:basedOn w:val="DefaultParagraphFont"/>
    <w:semiHidden/>
    <w:unhideWhenUsed/>
    <w:rsid w:val="00137586"/>
    <w:rPr>
      <w:color w:val="0000FF"/>
      <w:u w:val="single"/>
      <w:shd w:val="clear" w:color="auto" w:fill="F3F2F1"/>
    </w:rPr>
  </w:style>
  <w:style w:type="character" w:styleId="Strong">
    <w:name w:val="Strong"/>
    <w:basedOn w:val="DefaultParagraphFont"/>
    <w:semiHidden/>
    <w:qFormat/>
    <w:rsid w:val="00137586"/>
    <w:rPr>
      <w:b/>
      <w:bCs/>
    </w:rPr>
  </w:style>
  <w:style w:type="paragraph" w:styleId="Subtitle">
    <w:name w:val="Subtitle"/>
    <w:basedOn w:val="Normal"/>
    <w:next w:val="Normal"/>
    <w:link w:val="SubtitleChar"/>
    <w:qFormat/>
    <w:rsid w:val="0013758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137586"/>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137586"/>
    <w:rPr>
      <w:i/>
      <w:iCs/>
      <w:color w:val="404040" w:themeColor="text1" w:themeTint="BF"/>
    </w:rPr>
  </w:style>
  <w:style w:type="character" w:styleId="SubtleReference">
    <w:name w:val="Subtle Reference"/>
    <w:basedOn w:val="DefaultParagraphFont"/>
    <w:semiHidden/>
    <w:qFormat/>
    <w:rsid w:val="00137586"/>
    <w:rPr>
      <w:smallCaps/>
      <w:color w:val="5A5A5A" w:themeColor="text1" w:themeTint="A5"/>
    </w:rPr>
  </w:style>
  <w:style w:type="paragraph" w:styleId="TableofAuthorities">
    <w:name w:val="table of authorities"/>
    <w:basedOn w:val="Normal"/>
    <w:next w:val="Normal"/>
    <w:semiHidden/>
    <w:unhideWhenUsed/>
    <w:rsid w:val="00137586"/>
    <w:pPr>
      <w:spacing w:after="0"/>
      <w:ind w:left="240" w:hanging="240"/>
    </w:pPr>
  </w:style>
  <w:style w:type="paragraph" w:styleId="TOAHeading">
    <w:name w:val="toa heading"/>
    <w:basedOn w:val="Normal"/>
    <w:next w:val="Normal"/>
    <w:semiHidden/>
    <w:unhideWhenUsed/>
    <w:rsid w:val="00137586"/>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137586"/>
    <w:pPr>
      <w:spacing w:after="100"/>
      <w:ind w:left="1200"/>
    </w:pPr>
  </w:style>
  <w:style w:type="paragraph" w:styleId="TOC7">
    <w:name w:val="toc 7"/>
    <w:basedOn w:val="Normal"/>
    <w:next w:val="Normal"/>
    <w:autoRedefine/>
    <w:semiHidden/>
    <w:unhideWhenUsed/>
    <w:rsid w:val="00137586"/>
    <w:pPr>
      <w:spacing w:after="100"/>
      <w:ind w:left="1440"/>
    </w:pPr>
  </w:style>
  <w:style w:type="paragraph" w:styleId="TOC9">
    <w:name w:val="toc 9"/>
    <w:basedOn w:val="Normal"/>
    <w:next w:val="Normal"/>
    <w:autoRedefine/>
    <w:semiHidden/>
    <w:unhideWhenUsed/>
    <w:rsid w:val="00137586"/>
    <w:pPr>
      <w:spacing w:after="100"/>
      <w:ind w:left="1920"/>
    </w:pPr>
  </w:style>
  <w:style w:type="character" w:customStyle="1" w:styleId="UnresolvedMention2">
    <w:name w:val="Unresolved Mention2"/>
    <w:basedOn w:val="DefaultParagraphFont"/>
    <w:semiHidden/>
    <w:unhideWhenUsed/>
    <w:rsid w:val="00137586"/>
    <w:rPr>
      <w:color w:val="605E5C"/>
      <w:shd w:val="clear" w:color="auto" w:fill="E1DFDD"/>
    </w:rPr>
  </w:style>
  <w:style w:type="character" w:styleId="Hashtag">
    <w:name w:val="Hashtag"/>
    <w:basedOn w:val="DefaultParagraphFont"/>
    <w:semiHidden/>
    <w:unhideWhenUsed/>
    <w:rsid w:val="0011140A"/>
    <w:rPr>
      <w:color w:val="2B579A"/>
      <w:shd w:val="clear" w:color="auto" w:fill="E1DFDD"/>
    </w:rPr>
  </w:style>
  <w:style w:type="character" w:styleId="Mention">
    <w:name w:val="Mention"/>
    <w:basedOn w:val="DefaultParagraphFont"/>
    <w:semiHidden/>
    <w:unhideWhenUsed/>
    <w:rsid w:val="0011140A"/>
    <w:rPr>
      <w:color w:val="2B579A"/>
      <w:shd w:val="clear" w:color="auto" w:fill="E1DFDD"/>
    </w:rPr>
  </w:style>
  <w:style w:type="character" w:styleId="SmartHyperlink">
    <w:name w:val="Smart Hyperlink"/>
    <w:basedOn w:val="DefaultParagraphFont"/>
    <w:semiHidden/>
    <w:unhideWhenUsed/>
    <w:rsid w:val="0011140A"/>
    <w:rPr>
      <w:u w:val="dotted"/>
    </w:rPr>
  </w:style>
  <w:style w:type="character" w:styleId="SmartLink">
    <w:name w:val="Smart Link"/>
    <w:basedOn w:val="DefaultParagraphFont"/>
    <w:semiHidden/>
    <w:unhideWhenUsed/>
    <w:rsid w:val="0011140A"/>
    <w:rPr>
      <w:color w:val="0000FF"/>
      <w:u w:val="single"/>
      <w:shd w:val="clear" w:color="auto" w:fill="F3F2F1"/>
    </w:rPr>
  </w:style>
  <w:style w:type="character" w:styleId="UnresolvedMention">
    <w:name w:val="Unresolved Mention"/>
    <w:basedOn w:val="DefaultParagraphFont"/>
    <w:semiHidden/>
    <w:unhideWhenUsed/>
    <w:rsid w:val="00111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559553">
      <w:bodyDiv w:val="1"/>
      <w:marLeft w:val="0"/>
      <w:marRight w:val="0"/>
      <w:marTop w:val="0"/>
      <w:marBottom w:val="0"/>
      <w:divBdr>
        <w:top w:val="none" w:sz="0" w:space="0" w:color="auto"/>
        <w:left w:val="none" w:sz="0" w:space="0" w:color="auto"/>
        <w:bottom w:val="none" w:sz="0" w:space="0" w:color="auto"/>
        <w:right w:val="none" w:sz="0" w:space="0" w:color="auto"/>
      </w:divBdr>
    </w:div>
    <w:div w:id="964969887">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32af478098de2cf24aa9e81bee40b6e6">
  <xsd:schema xmlns:xsd="http://www.w3.org/2001/XMLSchema" xmlns:xs="http://www.w3.org/2001/XMLSchema" xmlns:p="http://schemas.microsoft.com/office/2006/metadata/properties" xmlns:ns3="c87c70f9-ce00-4b4f-8430-823df24ad0b9" targetNamespace="http://schemas.microsoft.com/office/2006/metadata/properties" ma:root="true" ma:fieldsID="f3d09a5f2b4bbeddee1aba3831c86de7"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B7A50-5CEE-4931-947D-F97DF7C99C02}">
  <ds:schemaRefs>
    <ds:schemaRef ds:uri="http://purl.org/dc/elements/1.1/"/>
    <ds:schemaRef ds:uri="c87c70f9-ce00-4b4f-8430-823df24ad0b9"/>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0B82F105-D143-485A-BD7F-100440D8E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52B33-9E3D-4CF6-BDCF-C35E88403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5</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Castro</dc:creator>
  <cp:lastModifiedBy>Melissa Azur</cp:lastModifiedBy>
  <cp:revision>3</cp:revision>
  <cp:lastPrinted>2020-12-04T16:46:00Z</cp:lastPrinted>
  <dcterms:created xsi:type="dcterms:W3CDTF">2021-02-16T21:14:00Z</dcterms:created>
  <dcterms:modified xsi:type="dcterms:W3CDTF">2021-02-16T21:14:00Z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