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5856" w:rsidR="00B718BB" w:rsidP="00867071" w:rsidRDefault="00867071">
      <w:pPr>
        <w:jc w:val="center"/>
        <w:rPr>
          <w:b/>
          <w:szCs w:val="24"/>
        </w:rPr>
      </w:pPr>
      <w:bookmarkStart w:name="_GoBack" w:id="0"/>
      <w:bookmarkEnd w:id="0"/>
      <w:r w:rsidRPr="00BF5856">
        <w:rPr>
          <w:b/>
          <w:szCs w:val="24"/>
        </w:rPr>
        <w:t xml:space="preserve">Supporting Statement for the </w:t>
      </w:r>
      <w:r w:rsidRPr="00BF5856" w:rsidR="00042794">
        <w:rPr>
          <w:b/>
          <w:szCs w:val="24"/>
        </w:rPr>
        <w:t xml:space="preserve">State </w:t>
      </w:r>
      <w:r w:rsidR="00840428">
        <w:rPr>
          <w:b/>
          <w:szCs w:val="24"/>
        </w:rPr>
        <w:t xml:space="preserve">Performance </w:t>
      </w:r>
      <w:r w:rsidRPr="00BF5856" w:rsidR="00042794">
        <w:rPr>
          <w:b/>
          <w:szCs w:val="24"/>
        </w:rPr>
        <w:t>Report</w:t>
      </w:r>
    </w:p>
    <w:p w:rsidRPr="002F7EEB" w:rsidR="00867071" w:rsidP="00867071" w:rsidRDefault="00991FBE">
      <w:pPr>
        <w:jc w:val="center"/>
        <w:rPr>
          <w:b/>
          <w:szCs w:val="24"/>
        </w:rPr>
      </w:pPr>
      <w:r w:rsidRPr="00BF5856">
        <w:rPr>
          <w:b/>
          <w:szCs w:val="24"/>
        </w:rPr>
        <w:t xml:space="preserve">for FY </w:t>
      </w:r>
      <w:r w:rsidRPr="002F7EEB" w:rsidR="00D0522D">
        <w:rPr>
          <w:b/>
          <w:szCs w:val="24"/>
        </w:rPr>
        <w:t>20</w:t>
      </w:r>
      <w:r w:rsidRPr="002F7EEB" w:rsidR="00B64FFE">
        <w:rPr>
          <w:b/>
          <w:szCs w:val="24"/>
        </w:rPr>
        <w:t>22</w:t>
      </w:r>
      <w:r w:rsidRPr="002F7EEB" w:rsidR="00D0522D">
        <w:rPr>
          <w:b/>
          <w:szCs w:val="24"/>
        </w:rPr>
        <w:t>-20</w:t>
      </w:r>
      <w:r w:rsidRPr="002F7EEB" w:rsidR="00B64FFE">
        <w:rPr>
          <w:b/>
          <w:szCs w:val="24"/>
        </w:rPr>
        <w:t>25</w:t>
      </w:r>
    </w:p>
    <w:p w:rsidRPr="002F7EEB" w:rsidR="00867071" w:rsidP="00867071" w:rsidRDefault="00867071">
      <w:pPr>
        <w:jc w:val="center"/>
        <w:rPr>
          <w:b/>
          <w:szCs w:val="24"/>
        </w:rPr>
      </w:pPr>
    </w:p>
    <w:p w:rsidRPr="002F7EEB" w:rsidR="00867071" w:rsidP="00867071" w:rsidRDefault="00867071">
      <w:pPr>
        <w:rPr>
          <w:b/>
          <w:szCs w:val="24"/>
        </w:rPr>
      </w:pPr>
      <w:r w:rsidRPr="002F7EEB">
        <w:rPr>
          <w:b/>
          <w:szCs w:val="24"/>
        </w:rPr>
        <w:t>A.</w:t>
      </w:r>
      <w:r w:rsidRPr="002F7EEB">
        <w:rPr>
          <w:b/>
          <w:szCs w:val="24"/>
        </w:rPr>
        <w:tab/>
        <w:t>Justification</w:t>
      </w:r>
    </w:p>
    <w:p w:rsidRPr="002F7EEB" w:rsidR="00867071" w:rsidP="00867071" w:rsidRDefault="00867071">
      <w:pPr>
        <w:rPr>
          <w:b/>
          <w:szCs w:val="24"/>
        </w:rPr>
      </w:pPr>
    </w:p>
    <w:p w:rsidRPr="002F7EEB" w:rsidR="00867071" w:rsidP="00D25840" w:rsidRDefault="00867071">
      <w:pPr>
        <w:tabs>
          <w:tab w:val="left" w:pos="720"/>
        </w:tabs>
        <w:rPr>
          <w:b/>
          <w:szCs w:val="24"/>
          <w:u w:val="single"/>
        </w:rPr>
      </w:pPr>
      <w:r w:rsidRPr="002F7EEB">
        <w:rPr>
          <w:b/>
          <w:szCs w:val="24"/>
        </w:rPr>
        <w:tab/>
        <w:t xml:space="preserve">1.  </w:t>
      </w:r>
      <w:r w:rsidRPr="002F7EEB">
        <w:rPr>
          <w:b/>
          <w:szCs w:val="24"/>
          <w:u w:val="single"/>
        </w:rPr>
        <w:t>Circumstances Making the Collection of Information Necessary</w:t>
      </w:r>
    </w:p>
    <w:p w:rsidRPr="002F7EEB" w:rsidR="00867071" w:rsidP="008E3EBE" w:rsidRDefault="00867071">
      <w:pPr>
        <w:tabs>
          <w:tab w:val="left" w:pos="1440"/>
        </w:tabs>
        <w:rPr>
          <w:b/>
          <w:szCs w:val="24"/>
          <w:u w:val="single"/>
        </w:rPr>
      </w:pPr>
    </w:p>
    <w:p w:rsidRPr="002F7EEB" w:rsidR="00F92C1D" w:rsidP="008E3EBE" w:rsidRDefault="005A6004">
      <w:pPr>
        <w:ind w:left="1080"/>
        <w:contextualSpacing/>
      </w:pPr>
      <w:r w:rsidRPr="002F7EEB">
        <w:rPr>
          <w:szCs w:val="24"/>
        </w:rPr>
        <w:t xml:space="preserve">This is a request for Office of Management and Budget (OMB) approval of </w:t>
      </w:r>
      <w:r w:rsidRPr="002F7EEB" w:rsidR="002C1D09">
        <w:rPr>
          <w:szCs w:val="24"/>
        </w:rPr>
        <w:t xml:space="preserve">Administration for Community Living’s (ACL) Administration on Aging (AoA) </w:t>
      </w:r>
      <w:r w:rsidRPr="002F7EEB" w:rsidR="00774E0E">
        <w:rPr>
          <w:szCs w:val="24"/>
        </w:rPr>
        <w:t xml:space="preserve">Title III and Title VII </w:t>
      </w:r>
      <w:r w:rsidRPr="002F7EEB">
        <w:rPr>
          <w:szCs w:val="24"/>
        </w:rPr>
        <w:t>performance data.</w:t>
      </w:r>
      <w:r w:rsidRPr="002F7EEB" w:rsidR="005A0379">
        <w:rPr>
          <w:szCs w:val="24"/>
        </w:rPr>
        <w:t xml:space="preserve"> </w:t>
      </w:r>
      <w:r w:rsidRPr="002F7EEB" w:rsidR="00F26369">
        <w:t>This previously approved “New SPR” was a revision of the currently active version (effective</w:t>
      </w:r>
      <w:r w:rsidR="00837124">
        <w:t xml:space="preserve"> 2019 – 2022) and was approved i</w:t>
      </w:r>
      <w:r w:rsidRPr="002F7EEB" w:rsidR="00F26369">
        <w:t xml:space="preserve">n 2018.  </w:t>
      </w:r>
    </w:p>
    <w:p w:rsidRPr="002F7EEB" w:rsidR="00274EE6" w:rsidP="00BD1410" w:rsidRDefault="00274EE6">
      <w:pPr>
        <w:ind w:left="1440"/>
        <w:contextualSpacing/>
      </w:pPr>
    </w:p>
    <w:p w:rsidRPr="002F7EEB" w:rsidR="004215E1" w:rsidP="003E6772" w:rsidRDefault="00150B56">
      <w:pPr>
        <w:numPr>
          <w:ilvl w:val="0"/>
          <w:numId w:val="1"/>
        </w:numPr>
        <w:shd w:val="clear" w:color="auto" w:fill="FFFFFF"/>
        <w:contextualSpacing/>
        <w:outlineLvl w:val="0"/>
        <w:rPr>
          <w:szCs w:val="24"/>
        </w:rPr>
      </w:pPr>
      <w:r w:rsidRPr="002F7EEB">
        <w:rPr>
          <w:szCs w:val="24"/>
        </w:rPr>
        <w:t>The currently approved SPR under 0985-0008 will expire in FY 2022, which is the final reporting year for the currently approved OMB control number (0985-0008). In order to comply with requirements under the PRA it is necessary to place this “new SPR” IC under a new OMB control number while keeping the currently approved SPR under 0985-0008 active for remaining report</w:t>
      </w:r>
      <w:r w:rsidR="00270A1F">
        <w:rPr>
          <w:szCs w:val="24"/>
        </w:rPr>
        <w:t>ing of</w:t>
      </w:r>
      <w:r w:rsidR="00E67515">
        <w:rPr>
          <w:szCs w:val="24"/>
        </w:rPr>
        <w:t xml:space="preserve"> FY 2021</w:t>
      </w:r>
      <w:r w:rsidRPr="002F7EEB">
        <w:rPr>
          <w:szCs w:val="24"/>
        </w:rPr>
        <w:t xml:space="preserve">.  </w:t>
      </w:r>
    </w:p>
    <w:p w:rsidRPr="002F7EEB" w:rsidR="00054A97" w:rsidP="00106305" w:rsidRDefault="00054A97">
      <w:pPr>
        <w:shd w:val="clear" w:color="auto" w:fill="FFFFFF"/>
        <w:ind w:left="1440"/>
        <w:contextualSpacing/>
        <w:outlineLvl w:val="0"/>
        <w:rPr>
          <w:szCs w:val="24"/>
        </w:rPr>
      </w:pPr>
    </w:p>
    <w:p w:rsidR="009B0C1B" w:rsidP="005B15D4" w:rsidRDefault="00712D01">
      <w:pPr>
        <w:numPr>
          <w:ilvl w:val="0"/>
          <w:numId w:val="1"/>
        </w:numPr>
        <w:shd w:val="clear" w:color="auto" w:fill="FFFFFF"/>
        <w:contextualSpacing/>
        <w:outlineLvl w:val="0"/>
      </w:pPr>
      <w:r w:rsidRPr="00D3178C">
        <w:rPr>
          <w:szCs w:val="24"/>
        </w:rPr>
        <w:t xml:space="preserve">ACL </w:t>
      </w:r>
      <w:r w:rsidR="00837124">
        <w:rPr>
          <w:szCs w:val="24"/>
        </w:rPr>
        <w:t xml:space="preserve">is seeking </w:t>
      </w:r>
      <w:r w:rsidRPr="00D3178C">
        <w:rPr>
          <w:szCs w:val="24"/>
        </w:rPr>
        <w:t>a new OMB Control Number for the new SPR effective FY 2022-2025.</w:t>
      </w:r>
      <w:r w:rsidRPr="002F7EEB">
        <w:t xml:space="preserve">  This request applies only to making an administrative change to the 2018 approved version of the State Performance Report for State Units on Aging (Older Americans Act Titles III and VII</w:t>
      </w:r>
      <w:r w:rsidR="00036525">
        <w:t xml:space="preserve"> (Chapters 3 and 4) (“new SPR”)).</w:t>
      </w:r>
      <w:r w:rsidRPr="002F7EEB">
        <w:t xml:space="preserve"> ACL intends to use this proposed data to collect information </w:t>
      </w:r>
      <w:r w:rsidR="00D3178C">
        <w:t xml:space="preserve">starting with FY 2022 reporting.  </w:t>
      </w:r>
    </w:p>
    <w:p w:rsidRPr="00BF5856" w:rsidR="00D3178C" w:rsidP="0067534D" w:rsidRDefault="00D3178C">
      <w:pPr>
        <w:shd w:val="clear" w:color="auto" w:fill="FFFFFF"/>
        <w:tabs>
          <w:tab w:val="left" w:pos="810"/>
        </w:tabs>
        <w:contextualSpacing/>
        <w:outlineLvl w:val="0"/>
      </w:pPr>
    </w:p>
    <w:p w:rsidRPr="002F7EEB" w:rsidR="00854732" w:rsidP="009B0C1B" w:rsidRDefault="00774E0E">
      <w:pPr>
        <w:numPr>
          <w:ilvl w:val="0"/>
          <w:numId w:val="1"/>
        </w:numPr>
        <w:contextualSpacing/>
        <w:rPr>
          <w:szCs w:val="24"/>
        </w:rPr>
      </w:pPr>
      <w:r w:rsidRPr="00BF5856">
        <w:rPr>
          <w:szCs w:val="24"/>
        </w:rPr>
        <w:t xml:space="preserve">The </w:t>
      </w:r>
      <w:r w:rsidRPr="002F7EEB" w:rsidR="00854732">
        <w:rPr>
          <w:szCs w:val="24"/>
        </w:rPr>
        <w:t>Older Americans Act (OAA), P.L. 89-73, enacted July 14, 1965, last amended in April 2016, P.L. 114-144, requires a report annually on the performance of  Older Americans Act funded projects.  (42 U.S.C. 3012).</w:t>
      </w:r>
    </w:p>
    <w:p w:rsidRPr="00963B4A" w:rsidR="008826A8" w:rsidP="00854732" w:rsidRDefault="008826A8">
      <w:pPr>
        <w:ind w:left="1440"/>
        <w:rPr>
          <w:szCs w:val="24"/>
        </w:rPr>
      </w:pPr>
    </w:p>
    <w:p w:rsidRPr="00963B4A" w:rsidR="00C61143" w:rsidP="00BC6E33" w:rsidRDefault="00E513D2">
      <w:pPr>
        <w:numPr>
          <w:ilvl w:val="0"/>
          <w:numId w:val="1"/>
        </w:numPr>
        <w:rPr>
          <w:szCs w:val="24"/>
        </w:rPr>
      </w:pPr>
      <w:r w:rsidRPr="00963B4A">
        <w:rPr>
          <w:szCs w:val="24"/>
        </w:rPr>
        <w:t>D</w:t>
      </w:r>
      <w:r w:rsidRPr="00963B4A" w:rsidR="007A4D2A">
        <w:rPr>
          <w:szCs w:val="24"/>
        </w:rPr>
        <w:t xml:space="preserve">ata collection </w:t>
      </w:r>
      <w:r w:rsidRPr="00963B4A" w:rsidR="0011007A">
        <w:rPr>
          <w:szCs w:val="24"/>
        </w:rPr>
        <w:t>is essential to provide</w:t>
      </w:r>
      <w:r w:rsidRPr="00963B4A" w:rsidR="005A6004">
        <w:rPr>
          <w:szCs w:val="24"/>
        </w:rPr>
        <w:t xml:space="preserve"> performance measures </w:t>
      </w:r>
      <w:r w:rsidRPr="00963B4A" w:rsidR="007A4D2A">
        <w:rPr>
          <w:szCs w:val="24"/>
        </w:rPr>
        <w:t xml:space="preserve">as </w:t>
      </w:r>
      <w:r w:rsidRPr="00963B4A" w:rsidR="005A6004">
        <w:rPr>
          <w:szCs w:val="24"/>
        </w:rPr>
        <w:t xml:space="preserve">required by Congress </w:t>
      </w:r>
      <w:r w:rsidRPr="00963B4A" w:rsidR="007A4D2A">
        <w:rPr>
          <w:szCs w:val="24"/>
        </w:rPr>
        <w:t xml:space="preserve">and the </w:t>
      </w:r>
      <w:r w:rsidRPr="00963B4A" w:rsidR="00991FBE">
        <w:rPr>
          <w:szCs w:val="24"/>
        </w:rPr>
        <w:t>GPRA Modernization Act of 2010 (GPRAMA)</w:t>
      </w:r>
      <w:r w:rsidRPr="00963B4A" w:rsidR="0061044F">
        <w:rPr>
          <w:szCs w:val="24"/>
        </w:rPr>
        <w:t xml:space="preserve"> and related program performance activities</w:t>
      </w:r>
      <w:r w:rsidRPr="00963B4A" w:rsidR="00991FBE">
        <w:rPr>
          <w:szCs w:val="24"/>
        </w:rPr>
        <w:t>.</w:t>
      </w:r>
    </w:p>
    <w:p w:rsidRPr="00963B4A" w:rsidR="00C61143" w:rsidP="00BC6E33" w:rsidRDefault="00C61143">
      <w:pPr>
        <w:pStyle w:val="ListParagraph"/>
      </w:pPr>
    </w:p>
    <w:p w:rsidRPr="00963B4A" w:rsidR="00697814" w:rsidP="00B0250B" w:rsidRDefault="0061044F">
      <w:pPr>
        <w:numPr>
          <w:ilvl w:val="0"/>
          <w:numId w:val="1"/>
        </w:numPr>
        <w:rPr>
          <w:szCs w:val="24"/>
        </w:rPr>
      </w:pPr>
      <w:r w:rsidRPr="00963B4A">
        <w:t xml:space="preserve">Section 202(a)(16) of the OAA requires the collection of statistical data regarding the programs and activities carried out with funds provided under the OAA and Section 207(a) directs the Assistant Secretary on Aging to prepare and submit a report to the President and Congress based on those data.  </w:t>
      </w:r>
      <w:r w:rsidRPr="00963B4A" w:rsidR="00697814">
        <w:t>Section 202(f) directs the Assistant Secretary to develop a set of performance outcome measures for planning, managing, and evaluating activities performed and services provided under the OAA.  Requirements pertaining to the measurement and evaluation of the impact of all programs authorized by the OAA are described in section 206(a).  The State Performance Report is one source of data used to develop and report performance outcome measures and measure program effectiveness in achieving the stated goals of the OAA.</w:t>
      </w:r>
    </w:p>
    <w:p w:rsidRPr="00963B4A" w:rsidR="003206A2" w:rsidP="00F872A1" w:rsidRDefault="00E04B0B">
      <w:pPr>
        <w:rPr>
          <w:szCs w:val="24"/>
        </w:rPr>
      </w:pPr>
      <w:r>
        <w:rPr>
          <w:szCs w:val="24"/>
        </w:rPr>
        <w:br w:type="page"/>
      </w:r>
    </w:p>
    <w:p w:rsidRPr="00963B4A" w:rsidR="00F872A1" w:rsidP="00780776" w:rsidRDefault="00F872A1">
      <w:pPr>
        <w:ind w:firstLine="720"/>
        <w:rPr>
          <w:b/>
          <w:szCs w:val="24"/>
          <w:u w:val="single"/>
        </w:rPr>
      </w:pPr>
      <w:r w:rsidRPr="00963B4A">
        <w:rPr>
          <w:b/>
          <w:szCs w:val="24"/>
        </w:rPr>
        <w:lastRenderedPageBreak/>
        <w:t xml:space="preserve">2.  </w:t>
      </w:r>
      <w:r w:rsidRPr="00963B4A">
        <w:rPr>
          <w:b/>
          <w:szCs w:val="24"/>
          <w:u w:val="single"/>
        </w:rPr>
        <w:t>Purpose and Use of Information Collection</w:t>
      </w:r>
    </w:p>
    <w:p w:rsidRPr="00963B4A" w:rsidR="00F872A1" w:rsidP="00F872A1" w:rsidRDefault="00F872A1">
      <w:pPr>
        <w:rPr>
          <w:b/>
          <w:szCs w:val="24"/>
          <w:u w:val="single"/>
        </w:rPr>
      </w:pPr>
    </w:p>
    <w:p w:rsidRPr="002F7EEB" w:rsidR="008F3374" w:rsidP="00120939" w:rsidRDefault="00C232B4">
      <w:pPr>
        <w:numPr>
          <w:ilvl w:val="0"/>
          <w:numId w:val="17"/>
        </w:numPr>
        <w:ind w:left="1350" w:hanging="270"/>
      </w:pPr>
      <w:r w:rsidRPr="00963B4A">
        <w:t>The information submitted by</w:t>
      </w:r>
      <w:r w:rsidRPr="00963B4A" w:rsidR="00835D45">
        <w:t xml:space="preserve"> Older Americans Act (OAA) </w:t>
      </w:r>
      <w:r w:rsidRPr="00963B4A">
        <w:t xml:space="preserve">Title III </w:t>
      </w:r>
      <w:r w:rsidRPr="00963B4A" w:rsidR="00835D45">
        <w:t xml:space="preserve">and VII </w:t>
      </w:r>
      <w:r w:rsidRPr="00963B4A">
        <w:t>grantees is AoA’s principle source for data and information on programs and s</w:t>
      </w:r>
      <w:r w:rsidR="00E665F1">
        <w:t xml:space="preserve">ervices funded under the OAA. </w:t>
      </w:r>
      <w:r w:rsidRPr="00963B4A">
        <w:t xml:space="preserve">The State </w:t>
      </w:r>
      <w:r w:rsidRPr="00963B4A" w:rsidR="00E41DAF">
        <w:t xml:space="preserve">Performance </w:t>
      </w:r>
      <w:r w:rsidRPr="00963B4A">
        <w:t xml:space="preserve">Report serves as </w:t>
      </w:r>
      <w:r w:rsidRPr="00963B4A" w:rsidR="00D549BF">
        <w:t>the P</w:t>
      </w:r>
      <w:r w:rsidRPr="00963B4A">
        <w:t xml:space="preserve">rogram </w:t>
      </w:r>
      <w:r w:rsidRPr="00963B4A" w:rsidR="00D549BF">
        <w:t>P</w:t>
      </w:r>
      <w:r w:rsidRPr="00963B4A">
        <w:t xml:space="preserve">erformance </w:t>
      </w:r>
      <w:r w:rsidRPr="00963B4A" w:rsidR="00D549BF">
        <w:t>R</w:t>
      </w:r>
      <w:r w:rsidRPr="00963B4A">
        <w:t>eport</w:t>
      </w:r>
      <w:r w:rsidRPr="00963B4A" w:rsidR="00D549BF">
        <w:t xml:space="preserve"> </w:t>
      </w:r>
      <w:r w:rsidRPr="00963B4A">
        <w:t>for the state grantees to meet their annual grant</w:t>
      </w:r>
      <w:r w:rsidRPr="00963B4A" w:rsidR="00D549BF">
        <w:t xml:space="preserve">ee </w:t>
      </w:r>
      <w:r w:rsidRPr="00963B4A">
        <w:t>reporting requirements</w:t>
      </w:r>
      <w:r w:rsidRPr="00963B4A" w:rsidR="00D549BF">
        <w:t xml:space="preserve"> and includes the data required by the OAA to be reported in the </w:t>
      </w:r>
      <w:r w:rsidRPr="00963B4A" w:rsidR="003206A2">
        <w:t>Ao</w:t>
      </w:r>
      <w:r w:rsidRPr="00963B4A" w:rsidR="00D549BF">
        <w:t xml:space="preserve">A </w:t>
      </w:r>
      <w:r w:rsidRPr="00963B4A" w:rsidR="003206A2">
        <w:t>A</w:t>
      </w:r>
      <w:r w:rsidRPr="00963B4A" w:rsidR="00D549BF">
        <w:t xml:space="preserve">nnual </w:t>
      </w:r>
      <w:r w:rsidRPr="00963B4A" w:rsidR="003206A2">
        <w:t>R</w:t>
      </w:r>
      <w:r w:rsidRPr="00963B4A" w:rsidR="00D549BF">
        <w:t>eport to Congress</w:t>
      </w:r>
      <w:r w:rsidRPr="00963B4A">
        <w:t xml:space="preserve">.  </w:t>
      </w:r>
      <w:r w:rsidRPr="00963B4A" w:rsidR="001C4C82">
        <w:t xml:space="preserve">The data collection is summary data of services for seniors provided or managed by State Units on Aging </w:t>
      </w:r>
      <w:r w:rsidRPr="00963B4A" w:rsidR="00F906DF">
        <w:t xml:space="preserve">(SUA) </w:t>
      </w:r>
      <w:r w:rsidRPr="00963B4A" w:rsidR="001C4C82">
        <w:t>and Area Agencies on Aging</w:t>
      </w:r>
      <w:r w:rsidRPr="00963B4A" w:rsidR="00F906DF">
        <w:t xml:space="preserve"> (AAA)</w:t>
      </w:r>
      <w:r w:rsidRPr="00963B4A" w:rsidR="001C4C82">
        <w:t>.  Data is submitted annually by the 50 states, f</w:t>
      </w:r>
      <w:r w:rsidRPr="00963B4A" w:rsidR="006006E5">
        <w:t>ive</w:t>
      </w:r>
      <w:r w:rsidR="008D42B0">
        <w:t xml:space="preserve"> </w:t>
      </w:r>
      <w:r w:rsidRPr="00963B4A" w:rsidR="001C4C82">
        <w:t>Territories (</w:t>
      </w:r>
      <w:r w:rsidRPr="00963B4A" w:rsidR="001C4C82">
        <w:rPr>
          <w:szCs w:val="24"/>
        </w:rPr>
        <w:t xml:space="preserve">American Samoa, Guam, Puerto Rico, </w:t>
      </w:r>
      <w:r w:rsidRPr="00963B4A" w:rsidR="00301337">
        <w:rPr>
          <w:szCs w:val="24"/>
        </w:rPr>
        <w:t xml:space="preserve">Commonwealth of the Northern Mariana Islands, </w:t>
      </w:r>
      <w:r w:rsidRPr="00963B4A" w:rsidR="001C4C82">
        <w:rPr>
          <w:szCs w:val="24"/>
        </w:rPr>
        <w:t xml:space="preserve">and </w:t>
      </w:r>
      <w:r w:rsidRPr="00963B4A" w:rsidR="00301337">
        <w:rPr>
          <w:szCs w:val="24"/>
        </w:rPr>
        <w:t xml:space="preserve">U.S. </w:t>
      </w:r>
      <w:r w:rsidRPr="00963B4A" w:rsidR="001C4C82">
        <w:rPr>
          <w:szCs w:val="24"/>
        </w:rPr>
        <w:t>Virgin Islands)</w:t>
      </w:r>
      <w:r w:rsidRPr="00963B4A" w:rsidR="001C4C82">
        <w:t>, and Washington</w:t>
      </w:r>
      <w:r w:rsidRPr="00963B4A" w:rsidR="00652AFB">
        <w:t>,</w:t>
      </w:r>
      <w:r w:rsidRPr="00963B4A" w:rsidR="001C4C82">
        <w:t xml:space="preserve"> D</w:t>
      </w:r>
      <w:r w:rsidRPr="00963B4A" w:rsidR="00652AFB">
        <w:t>.</w:t>
      </w:r>
      <w:r w:rsidRPr="00963B4A" w:rsidR="001C4C82">
        <w:t>C.  It includes information on the number of people served</w:t>
      </w:r>
      <w:r w:rsidRPr="00963B4A" w:rsidR="00D76828">
        <w:t xml:space="preserve"> and their characteristics</w:t>
      </w:r>
      <w:r w:rsidRPr="00963B4A" w:rsidR="001C4C82">
        <w:t xml:space="preserve">, the number of units of specific services, expenditures, </w:t>
      </w:r>
      <w:r w:rsidRPr="00963B4A" w:rsidR="00D549BF">
        <w:t>t</w:t>
      </w:r>
      <w:r w:rsidRPr="00963B4A" w:rsidR="001C4C82">
        <w:t xml:space="preserve">otal </w:t>
      </w:r>
      <w:r w:rsidRPr="00963B4A" w:rsidR="00D549BF">
        <w:t>e</w:t>
      </w:r>
      <w:r w:rsidRPr="00963B4A" w:rsidR="001C4C82">
        <w:t>xpenditures,</w:t>
      </w:r>
      <w:r w:rsidRPr="00BF5856" w:rsidR="001C4C82">
        <w:t xml:space="preserve"> number of state and local staff</w:t>
      </w:r>
      <w:r w:rsidRPr="00BF5856" w:rsidR="00B606EA">
        <w:t>.</w:t>
      </w:r>
    </w:p>
    <w:p w:rsidRPr="00963B4A" w:rsidR="008F3374" w:rsidP="00120939" w:rsidRDefault="008F3374">
      <w:pPr>
        <w:ind w:left="1440"/>
      </w:pPr>
    </w:p>
    <w:p w:rsidRPr="00BF5856" w:rsidR="00CD2824" w:rsidP="00AF449D" w:rsidRDefault="00C35AD5">
      <w:pPr>
        <w:ind w:left="1350"/>
      </w:pPr>
      <w:r w:rsidRPr="00963B4A">
        <w:t xml:space="preserve">Data </w:t>
      </w:r>
      <w:r w:rsidRPr="00963B4A" w:rsidR="00C232B4">
        <w:t xml:space="preserve">from the SPR </w:t>
      </w:r>
      <w:r w:rsidRPr="00963B4A">
        <w:t>are</w:t>
      </w:r>
      <w:r w:rsidRPr="00963B4A" w:rsidR="00C232B4">
        <w:t xml:space="preserve"> </w:t>
      </w:r>
      <w:r w:rsidRPr="00963B4A" w:rsidR="00A515B6">
        <w:t>a</w:t>
      </w:r>
      <w:r w:rsidR="009D6F77">
        <w:t xml:space="preserve"> </w:t>
      </w:r>
      <w:r w:rsidRPr="00963B4A" w:rsidR="00A515B6">
        <w:t xml:space="preserve">significant </w:t>
      </w:r>
      <w:r w:rsidRPr="00963B4A" w:rsidR="00C232B4">
        <w:t xml:space="preserve">source for performance measures </w:t>
      </w:r>
      <w:r w:rsidRPr="00963B4A" w:rsidR="00D549BF">
        <w:t xml:space="preserve">in </w:t>
      </w:r>
      <w:r w:rsidRPr="00963B4A" w:rsidR="00C232B4">
        <w:t xml:space="preserve">the </w:t>
      </w:r>
      <w:r w:rsidRPr="00963B4A" w:rsidR="00551E3B">
        <w:t>Congressional budget justification</w:t>
      </w:r>
      <w:r w:rsidRPr="00963B4A" w:rsidR="00D549BF">
        <w:t>; the HHS Annual Performance Plan and Report as well as the Annual Report to Congress referred to above</w:t>
      </w:r>
      <w:r w:rsidRPr="00963B4A" w:rsidR="00C232B4">
        <w:t xml:space="preserve">.  </w:t>
      </w:r>
      <w:r w:rsidRPr="00963B4A" w:rsidR="00ED58D3">
        <w:t>ACL</w:t>
      </w:r>
      <w:r w:rsidRPr="00BF5856" w:rsidR="00ED58D3">
        <w:t xml:space="preserve"> </w:t>
      </w:r>
      <w:r w:rsidRPr="00BF5856" w:rsidR="00C232B4">
        <w:t xml:space="preserve">also uses the data to respond to </w:t>
      </w:r>
      <w:r w:rsidRPr="002F7EEB" w:rsidR="00D549BF">
        <w:t xml:space="preserve">inquiries from </w:t>
      </w:r>
      <w:r w:rsidRPr="002F7EEB" w:rsidR="00C232B4">
        <w:t xml:space="preserve">stakeholders, the public, the press as well as program and policy decision makers.  </w:t>
      </w:r>
      <w:r w:rsidRPr="00963B4A" w:rsidR="00627AE8">
        <w:t>The performan</w:t>
      </w:r>
      <w:r w:rsidRPr="00963B4A" w:rsidR="0049540B">
        <w:t xml:space="preserve">ce measures from the SPR are:  Outcomes:  1.1, </w:t>
      </w:r>
      <w:r w:rsidRPr="00963B4A" w:rsidR="00E61C0D">
        <w:t>2.10, 3</w:t>
      </w:r>
      <w:r w:rsidRPr="00963B4A" w:rsidR="00904F6D">
        <w:t>.1, 3.3, 3.5, 3.6; Outputs:  C, D, E, F, G, H, AB, L, M, N, O, I, J, K</w:t>
      </w:r>
      <w:r w:rsidRPr="00963B4A" w:rsidR="00E37515">
        <w:t xml:space="preserve"> (</w:t>
      </w:r>
      <w:hyperlink w:history="1" r:id="rId8">
        <w:r w:rsidRPr="00963B4A" w:rsidR="00627AE8">
          <w:rPr>
            <w:rStyle w:val="Hyperlink"/>
            <w:color w:val="auto"/>
          </w:rPr>
          <w:t>https://acl.gov/about-acl/budget</w:t>
        </w:r>
      </w:hyperlink>
      <w:r w:rsidRPr="00963B4A" w:rsidR="00E37515">
        <w:t>).</w:t>
      </w:r>
    </w:p>
    <w:p w:rsidRPr="002F7EEB" w:rsidR="00CD2824" w:rsidP="00AF449D" w:rsidRDefault="00CD2824">
      <w:pPr>
        <w:ind w:left="1350"/>
        <w:rPr>
          <w:szCs w:val="24"/>
        </w:rPr>
      </w:pPr>
    </w:p>
    <w:p w:rsidRPr="00BF5856" w:rsidR="00A037EC" w:rsidP="00AF449D" w:rsidRDefault="00C35AD5">
      <w:pPr>
        <w:ind w:left="1350"/>
        <w:rPr>
          <w:szCs w:val="24"/>
        </w:rPr>
      </w:pPr>
      <w:r w:rsidRPr="00963B4A">
        <w:t>I</w:t>
      </w:r>
      <w:r w:rsidRPr="00963B4A" w:rsidR="00883639">
        <w:t xml:space="preserve">nformation from the </w:t>
      </w:r>
      <w:r w:rsidRPr="00963B4A" w:rsidR="00D549BF">
        <w:t xml:space="preserve">most recent SPR </w:t>
      </w:r>
      <w:r w:rsidRPr="00963B4A" w:rsidR="00883639">
        <w:t xml:space="preserve">is available on-line on the </w:t>
      </w:r>
      <w:r w:rsidRPr="00963B4A" w:rsidR="00883639">
        <w:rPr>
          <w:szCs w:val="24"/>
        </w:rPr>
        <w:t>Aging</w:t>
      </w:r>
      <w:r w:rsidRPr="00963B4A" w:rsidR="00237526">
        <w:rPr>
          <w:szCs w:val="24"/>
        </w:rPr>
        <w:t>, Independence, and Disability</w:t>
      </w:r>
      <w:r w:rsidRPr="00963B4A" w:rsidR="00883639">
        <w:rPr>
          <w:szCs w:val="24"/>
        </w:rPr>
        <w:t xml:space="preserve"> (AGID) </w:t>
      </w:r>
      <w:r w:rsidRPr="00963B4A" w:rsidR="00237526">
        <w:rPr>
          <w:szCs w:val="24"/>
        </w:rPr>
        <w:t xml:space="preserve">Program Data Portal </w:t>
      </w:r>
      <w:r w:rsidRPr="00963B4A" w:rsidR="00883639">
        <w:rPr>
          <w:szCs w:val="24"/>
        </w:rPr>
        <w:t>(</w:t>
      </w:r>
      <w:hyperlink w:history="1" r:id="rId9">
        <w:r w:rsidRPr="00BF5856" w:rsidR="001E5836">
          <w:rPr>
            <w:rStyle w:val="Hyperlink"/>
          </w:rPr>
          <w:t>https://agid.acl.gov/</w:t>
        </w:r>
      </w:hyperlink>
      <w:r w:rsidRPr="00BF5856" w:rsidR="00883639">
        <w:rPr>
          <w:szCs w:val="24"/>
        </w:rPr>
        <w:t xml:space="preserve">).  Results are available annually.  </w:t>
      </w:r>
    </w:p>
    <w:p w:rsidRPr="002F7EEB" w:rsidR="00A037EC" w:rsidP="00A037EC" w:rsidRDefault="00A037EC">
      <w:pPr>
        <w:rPr>
          <w:color w:val="0070C0"/>
          <w:szCs w:val="24"/>
        </w:rPr>
      </w:pPr>
    </w:p>
    <w:p w:rsidRPr="00963B4A" w:rsidR="004B3665" w:rsidP="00A037EC" w:rsidRDefault="004B3665">
      <w:pPr>
        <w:rPr>
          <w:szCs w:val="24"/>
        </w:rPr>
      </w:pPr>
      <w:r w:rsidRPr="00963B4A">
        <w:rPr>
          <w:szCs w:val="24"/>
        </w:rPr>
        <w:tab/>
      </w:r>
      <w:r w:rsidRPr="00963B4A">
        <w:rPr>
          <w:b/>
          <w:szCs w:val="24"/>
        </w:rPr>
        <w:t xml:space="preserve">3.  </w:t>
      </w:r>
      <w:r w:rsidRPr="00963B4A">
        <w:rPr>
          <w:b/>
          <w:szCs w:val="24"/>
          <w:u w:val="single"/>
        </w:rPr>
        <w:t xml:space="preserve">Use of Improved </w:t>
      </w:r>
      <w:r w:rsidRPr="00963B4A" w:rsidR="00991FBE">
        <w:rPr>
          <w:b/>
          <w:szCs w:val="24"/>
          <w:u w:val="single"/>
        </w:rPr>
        <w:t xml:space="preserve">Information </w:t>
      </w:r>
      <w:r w:rsidRPr="00963B4A">
        <w:rPr>
          <w:b/>
          <w:szCs w:val="24"/>
          <w:u w:val="single"/>
        </w:rPr>
        <w:t xml:space="preserve">Technology </w:t>
      </w:r>
      <w:r w:rsidRPr="00963B4A" w:rsidR="00991FBE">
        <w:rPr>
          <w:b/>
          <w:szCs w:val="24"/>
          <w:u w:val="single"/>
        </w:rPr>
        <w:t>and Burden Reduction</w:t>
      </w:r>
      <w:r w:rsidRPr="00963B4A" w:rsidR="00266374">
        <w:rPr>
          <w:b/>
          <w:szCs w:val="24"/>
          <w:u w:val="single"/>
        </w:rPr>
        <w:t xml:space="preserve"> </w:t>
      </w:r>
    </w:p>
    <w:p w:rsidRPr="00963B4A" w:rsidR="00266374" w:rsidP="004B3665" w:rsidRDefault="00266374">
      <w:pPr>
        <w:rPr>
          <w:szCs w:val="24"/>
        </w:rPr>
      </w:pPr>
    </w:p>
    <w:p w:rsidRPr="00963B4A" w:rsidR="00506D52" w:rsidP="00506D52" w:rsidRDefault="00105A3C">
      <w:pPr>
        <w:numPr>
          <w:ilvl w:val="0"/>
          <w:numId w:val="13"/>
        </w:numPr>
        <w:rPr>
          <w:b/>
          <w:szCs w:val="24"/>
        </w:rPr>
      </w:pPr>
      <w:r w:rsidRPr="00963B4A">
        <w:rPr>
          <w:szCs w:val="24"/>
        </w:rPr>
        <w:t>States</w:t>
      </w:r>
      <w:r w:rsidRPr="00963B4A" w:rsidR="00266374">
        <w:rPr>
          <w:szCs w:val="24"/>
        </w:rPr>
        <w:t xml:space="preserve"> are required to submit data electronically</w:t>
      </w:r>
      <w:r w:rsidRPr="00963B4A">
        <w:rPr>
          <w:szCs w:val="24"/>
        </w:rPr>
        <w:t xml:space="preserve"> via </w:t>
      </w:r>
      <w:r w:rsidRPr="00963B4A" w:rsidR="009B0B71">
        <w:rPr>
          <w:szCs w:val="24"/>
        </w:rPr>
        <w:t>a secure on-line</w:t>
      </w:r>
      <w:r w:rsidRPr="00963B4A" w:rsidR="00E5267D">
        <w:rPr>
          <w:szCs w:val="24"/>
        </w:rPr>
        <w:t xml:space="preserve"> internet based secured server.</w:t>
      </w:r>
      <w:r w:rsidRPr="00963B4A">
        <w:rPr>
          <w:szCs w:val="24"/>
        </w:rPr>
        <w:t xml:space="preserve"> </w:t>
      </w:r>
    </w:p>
    <w:p w:rsidRPr="00963B4A" w:rsidR="00E22591" w:rsidP="003F0D04" w:rsidRDefault="003F0D04">
      <w:pPr>
        <w:rPr>
          <w:szCs w:val="24"/>
        </w:rPr>
      </w:pPr>
      <w:r w:rsidRPr="00963B4A">
        <w:rPr>
          <w:szCs w:val="24"/>
        </w:rPr>
        <w:tab/>
      </w:r>
    </w:p>
    <w:p w:rsidRPr="00963B4A" w:rsidR="003F0D04" w:rsidP="003F0D04" w:rsidRDefault="00E22591">
      <w:pPr>
        <w:rPr>
          <w:szCs w:val="24"/>
        </w:rPr>
      </w:pPr>
      <w:r w:rsidRPr="00963B4A">
        <w:rPr>
          <w:szCs w:val="24"/>
        </w:rPr>
        <w:tab/>
      </w:r>
      <w:r w:rsidRPr="00963B4A" w:rsidR="003F0D04">
        <w:rPr>
          <w:b/>
          <w:szCs w:val="24"/>
        </w:rPr>
        <w:t xml:space="preserve">4.  </w:t>
      </w:r>
      <w:r w:rsidRPr="00963B4A" w:rsidR="003F0D04">
        <w:rPr>
          <w:b/>
          <w:szCs w:val="24"/>
          <w:u w:val="single"/>
        </w:rPr>
        <w:t>Efforts to Identify Duplication and Use of Similar Information</w:t>
      </w:r>
    </w:p>
    <w:p w:rsidRPr="00963B4A" w:rsidR="003F0D04" w:rsidP="003F0D04" w:rsidRDefault="003F0D04">
      <w:pPr>
        <w:rPr>
          <w:szCs w:val="24"/>
        </w:rPr>
      </w:pPr>
    </w:p>
    <w:p w:rsidRPr="00963B4A" w:rsidR="00365CF6" w:rsidP="003F0D04" w:rsidRDefault="00105A3C">
      <w:pPr>
        <w:numPr>
          <w:ilvl w:val="0"/>
          <w:numId w:val="11"/>
        </w:numPr>
        <w:rPr>
          <w:szCs w:val="24"/>
        </w:rPr>
      </w:pPr>
      <w:r w:rsidRPr="00963B4A">
        <w:rPr>
          <w:szCs w:val="24"/>
        </w:rPr>
        <w:t>No other sources collect this or similar information</w:t>
      </w:r>
      <w:r w:rsidRPr="00963B4A" w:rsidR="003F0D04">
        <w:rPr>
          <w:szCs w:val="24"/>
        </w:rPr>
        <w:t>.</w:t>
      </w:r>
    </w:p>
    <w:p w:rsidRPr="00963B4A" w:rsidR="00C02AAA" w:rsidP="00C02AAA" w:rsidRDefault="00C02AAA">
      <w:pPr>
        <w:ind w:firstLine="720"/>
        <w:rPr>
          <w:b/>
          <w:szCs w:val="24"/>
        </w:rPr>
      </w:pPr>
    </w:p>
    <w:p w:rsidRPr="00963B4A" w:rsidR="00365CF6" w:rsidP="00C02AAA" w:rsidRDefault="00365CF6">
      <w:pPr>
        <w:ind w:firstLine="720"/>
        <w:rPr>
          <w:szCs w:val="24"/>
        </w:rPr>
      </w:pPr>
      <w:r w:rsidRPr="00963B4A">
        <w:rPr>
          <w:b/>
          <w:szCs w:val="24"/>
        </w:rPr>
        <w:t xml:space="preserve">5.  </w:t>
      </w:r>
      <w:r w:rsidRPr="00963B4A">
        <w:rPr>
          <w:b/>
          <w:szCs w:val="24"/>
          <w:u w:val="single"/>
        </w:rPr>
        <w:t>Impact on Small Businesses or Other Small Entities</w:t>
      </w:r>
    </w:p>
    <w:p w:rsidRPr="00963B4A" w:rsidR="00365CF6" w:rsidP="00365CF6" w:rsidRDefault="00365CF6">
      <w:pPr>
        <w:rPr>
          <w:szCs w:val="24"/>
        </w:rPr>
      </w:pPr>
    </w:p>
    <w:p w:rsidRPr="00963B4A" w:rsidR="006249E2" w:rsidP="006249E2" w:rsidRDefault="00105A3C">
      <w:pPr>
        <w:numPr>
          <w:ilvl w:val="0"/>
          <w:numId w:val="11"/>
        </w:numPr>
        <w:rPr>
          <w:b/>
          <w:szCs w:val="24"/>
          <w:u w:val="single"/>
        </w:rPr>
      </w:pPr>
      <w:r w:rsidRPr="00963B4A">
        <w:rPr>
          <w:szCs w:val="24"/>
        </w:rPr>
        <w:t xml:space="preserve">Reporting is performed by State </w:t>
      </w:r>
      <w:r w:rsidRPr="00963B4A" w:rsidR="007A4D2A">
        <w:rPr>
          <w:szCs w:val="24"/>
        </w:rPr>
        <w:t xml:space="preserve">Units </w:t>
      </w:r>
      <w:r w:rsidRPr="00963B4A">
        <w:rPr>
          <w:szCs w:val="24"/>
        </w:rPr>
        <w:t xml:space="preserve">on Aging.  </w:t>
      </w:r>
      <w:r w:rsidRPr="00963B4A" w:rsidR="00365CF6">
        <w:rPr>
          <w:szCs w:val="24"/>
        </w:rPr>
        <w:t>No small businesses will</w:t>
      </w:r>
      <w:r w:rsidRPr="00963B4A" w:rsidR="006249E2">
        <w:rPr>
          <w:szCs w:val="24"/>
        </w:rPr>
        <w:t xml:space="preserve"> be involved in this collection.</w:t>
      </w:r>
    </w:p>
    <w:p w:rsidRPr="00963B4A" w:rsidR="006249E2" w:rsidP="006249E2" w:rsidRDefault="006249E2">
      <w:pPr>
        <w:ind w:left="1087"/>
        <w:rPr>
          <w:b/>
          <w:szCs w:val="24"/>
          <w:u w:val="single"/>
        </w:rPr>
      </w:pPr>
    </w:p>
    <w:p w:rsidRPr="00963B4A" w:rsidR="00365CF6" w:rsidP="006249E2" w:rsidRDefault="00365CF6">
      <w:pPr>
        <w:ind w:left="720"/>
        <w:rPr>
          <w:b/>
          <w:szCs w:val="24"/>
          <w:u w:val="single"/>
        </w:rPr>
      </w:pPr>
      <w:r w:rsidRPr="00963B4A">
        <w:rPr>
          <w:b/>
          <w:szCs w:val="24"/>
        </w:rPr>
        <w:t xml:space="preserve">6.  </w:t>
      </w:r>
      <w:r w:rsidRPr="00963B4A">
        <w:rPr>
          <w:b/>
          <w:szCs w:val="24"/>
          <w:u w:val="single"/>
        </w:rPr>
        <w:t xml:space="preserve">Consequences of </w:t>
      </w:r>
      <w:r w:rsidRPr="00963B4A" w:rsidR="00991FBE">
        <w:rPr>
          <w:b/>
          <w:szCs w:val="24"/>
          <w:u w:val="single"/>
        </w:rPr>
        <w:t xml:space="preserve">Collecting the Information Less Frequent </w:t>
      </w:r>
      <w:r w:rsidRPr="00963B4A" w:rsidR="004F7257">
        <w:rPr>
          <w:b/>
          <w:szCs w:val="24"/>
          <w:u w:val="single"/>
        </w:rPr>
        <w:t>Collection</w:t>
      </w:r>
    </w:p>
    <w:p w:rsidRPr="00963B4A" w:rsidR="004F7257" w:rsidP="006249E2" w:rsidRDefault="004F7257">
      <w:pPr>
        <w:ind w:left="720"/>
        <w:rPr>
          <w:b/>
          <w:szCs w:val="24"/>
          <w:u w:val="single"/>
        </w:rPr>
      </w:pPr>
    </w:p>
    <w:p w:rsidRPr="002F7EEB" w:rsidR="00365CF6" w:rsidP="004F7257" w:rsidRDefault="00105A3C">
      <w:pPr>
        <w:numPr>
          <w:ilvl w:val="0"/>
          <w:numId w:val="11"/>
        </w:numPr>
        <w:rPr>
          <w:b/>
          <w:szCs w:val="24"/>
          <w:u w:val="single"/>
        </w:rPr>
      </w:pPr>
      <w:r w:rsidRPr="00963B4A">
        <w:rPr>
          <w:szCs w:val="24"/>
        </w:rPr>
        <w:t xml:space="preserve">The Older Americans Act contains </w:t>
      </w:r>
      <w:r w:rsidRPr="00963B4A" w:rsidR="004D0B69">
        <w:rPr>
          <w:szCs w:val="24"/>
        </w:rPr>
        <w:t>provisions for annual reporting. I</w:t>
      </w:r>
      <w:r w:rsidRPr="00963B4A">
        <w:rPr>
          <w:szCs w:val="24"/>
        </w:rPr>
        <w:t xml:space="preserve">f the reports were made less frequently, </w:t>
      </w:r>
      <w:r w:rsidRPr="00963B4A" w:rsidR="00D96C1B">
        <w:rPr>
          <w:szCs w:val="24"/>
        </w:rPr>
        <w:t>ACL</w:t>
      </w:r>
      <w:r w:rsidRPr="00BF5856" w:rsidR="00D96C1B">
        <w:rPr>
          <w:szCs w:val="24"/>
        </w:rPr>
        <w:t xml:space="preserve"> </w:t>
      </w:r>
      <w:r w:rsidRPr="00BF5856">
        <w:rPr>
          <w:szCs w:val="24"/>
        </w:rPr>
        <w:t xml:space="preserve">would not fulfill </w:t>
      </w:r>
      <w:r w:rsidRPr="00BF5856" w:rsidR="002C1D09">
        <w:rPr>
          <w:szCs w:val="24"/>
        </w:rPr>
        <w:t xml:space="preserve">its </w:t>
      </w:r>
      <w:r w:rsidRPr="002F7EEB">
        <w:rPr>
          <w:szCs w:val="24"/>
        </w:rPr>
        <w:t>legislated reporting responsibilities.</w:t>
      </w:r>
    </w:p>
    <w:p w:rsidRPr="00963B4A" w:rsidR="00C9252C" w:rsidP="00C9252C" w:rsidRDefault="00C9252C">
      <w:pPr>
        <w:rPr>
          <w:szCs w:val="24"/>
        </w:rPr>
      </w:pPr>
    </w:p>
    <w:p w:rsidRPr="00963B4A" w:rsidR="00C9252C" w:rsidP="00C9252C" w:rsidRDefault="00C9252C">
      <w:pPr>
        <w:rPr>
          <w:b/>
          <w:szCs w:val="24"/>
          <w:u w:val="single"/>
        </w:rPr>
      </w:pPr>
      <w:r w:rsidRPr="00963B4A">
        <w:rPr>
          <w:szCs w:val="24"/>
        </w:rPr>
        <w:tab/>
      </w:r>
      <w:r w:rsidRPr="00963B4A">
        <w:rPr>
          <w:b/>
          <w:szCs w:val="24"/>
        </w:rPr>
        <w:t xml:space="preserve">7.  </w:t>
      </w:r>
      <w:r w:rsidRPr="00963B4A">
        <w:rPr>
          <w:b/>
          <w:szCs w:val="24"/>
          <w:u w:val="single"/>
        </w:rPr>
        <w:t>Special Circumstances Relating to the Guidelines of 5 CFR 1320.5</w:t>
      </w:r>
    </w:p>
    <w:p w:rsidRPr="00963B4A" w:rsidR="00C9252C" w:rsidP="00C9252C" w:rsidRDefault="00C9252C">
      <w:pPr>
        <w:rPr>
          <w:b/>
          <w:szCs w:val="24"/>
          <w:u w:val="single"/>
        </w:rPr>
      </w:pPr>
    </w:p>
    <w:p w:rsidRPr="00963B4A" w:rsidR="00365CF6" w:rsidP="00C9252C" w:rsidRDefault="00C9252C">
      <w:pPr>
        <w:numPr>
          <w:ilvl w:val="0"/>
          <w:numId w:val="11"/>
        </w:numPr>
        <w:rPr>
          <w:szCs w:val="24"/>
        </w:rPr>
      </w:pPr>
      <w:r w:rsidRPr="00963B4A">
        <w:rPr>
          <w:szCs w:val="24"/>
        </w:rPr>
        <w:t>None of the listed circumstances applies to this submission.</w:t>
      </w:r>
    </w:p>
    <w:p w:rsidRPr="00963B4A" w:rsidR="00C9252C" w:rsidP="00C9252C" w:rsidRDefault="00C9252C">
      <w:pPr>
        <w:rPr>
          <w:szCs w:val="24"/>
        </w:rPr>
      </w:pPr>
    </w:p>
    <w:p w:rsidRPr="00963B4A" w:rsidR="00C9252C" w:rsidP="00C9252C" w:rsidRDefault="00C9252C">
      <w:pPr>
        <w:rPr>
          <w:szCs w:val="24"/>
        </w:rPr>
      </w:pPr>
      <w:r w:rsidRPr="00963B4A">
        <w:rPr>
          <w:szCs w:val="24"/>
        </w:rPr>
        <w:tab/>
      </w:r>
      <w:r w:rsidRPr="00963B4A">
        <w:rPr>
          <w:b/>
          <w:szCs w:val="24"/>
        </w:rPr>
        <w:t xml:space="preserve">8.  </w:t>
      </w:r>
      <w:r w:rsidRPr="00963B4A">
        <w:rPr>
          <w:b/>
          <w:szCs w:val="24"/>
          <w:u w:val="single"/>
        </w:rPr>
        <w:t>Comments in Response to the Federal Register Notice/Outside Consultation</w:t>
      </w:r>
    </w:p>
    <w:p w:rsidRPr="00963B4A" w:rsidR="00C9252C" w:rsidP="00C9252C" w:rsidRDefault="00C9252C">
      <w:pPr>
        <w:rPr>
          <w:szCs w:val="24"/>
        </w:rPr>
      </w:pPr>
    </w:p>
    <w:p w:rsidRPr="00963B4A" w:rsidR="002C1D09" w:rsidP="00C9252C" w:rsidRDefault="00991FBE">
      <w:pPr>
        <w:numPr>
          <w:ilvl w:val="0"/>
          <w:numId w:val="11"/>
        </w:numPr>
        <w:rPr>
          <w:szCs w:val="24"/>
        </w:rPr>
      </w:pPr>
      <w:r w:rsidRPr="00963B4A">
        <w:rPr>
          <w:szCs w:val="24"/>
        </w:rPr>
        <w:t xml:space="preserve">A 60-day Federal Register Notice was published in the </w:t>
      </w:r>
      <w:r w:rsidRPr="00963B4A">
        <w:rPr>
          <w:i/>
          <w:szCs w:val="24"/>
        </w:rPr>
        <w:t xml:space="preserve">Federal Register </w:t>
      </w:r>
      <w:r w:rsidRPr="00963B4A">
        <w:rPr>
          <w:szCs w:val="24"/>
        </w:rPr>
        <w:t>on</w:t>
      </w:r>
      <w:r w:rsidRPr="00963B4A" w:rsidR="002C1D09">
        <w:rPr>
          <w:szCs w:val="24"/>
        </w:rPr>
        <w:t xml:space="preserve"> </w:t>
      </w:r>
    </w:p>
    <w:p w:rsidRPr="00963B4A" w:rsidR="00F7345A" w:rsidP="00FD1D68" w:rsidRDefault="004D4D66">
      <w:pPr>
        <w:ind w:left="1447"/>
        <w:rPr>
          <w:szCs w:val="24"/>
        </w:rPr>
      </w:pPr>
      <w:r w:rsidRPr="00963B4A">
        <w:rPr>
          <w:szCs w:val="24"/>
        </w:rPr>
        <w:t>February 25</w:t>
      </w:r>
      <w:r w:rsidRPr="00963B4A" w:rsidR="00F7345A">
        <w:rPr>
          <w:szCs w:val="24"/>
        </w:rPr>
        <w:t>, 20</w:t>
      </w:r>
      <w:r w:rsidRPr="00963B4A">
        <w:rPr>
          <w:szCs w:val="24"/>
        </w:rPr>
        <w:t>21</w:t>
      </w:r>
      <w:r w:rsidRPr="00963B4A" w:rsidR="00201B14">
        <w:rPr>
          <w:szCs w:val="24"/>
        </w:rPr>
        <w:t xml:space="preserve">, </w:t>
      </w:r>
      <w:r w:rsidRPr="00963B4A" w:rsidR="005D260B">
        <w:rPr>
          <w:szCs w:val="24"/>
        </w:rPr>
        <w:t>V</w:t>
      </w:r>
      <w:r w:rsidRPr="00963B4A" w:rsidR="00F7345A">
        <w:rPr>
          <w:szCs w:val="24"/>
        </w:rPr>
        <w:t>ol.</w:t>
      </w:r>
      <w:r w:rsidRPr="00963B4A" w:rsidR="00C67067">
        <w:rPr>
          <w:szCs w:val="24"/>
        </w:rPr>
        <w:t xml:space="preserve"> </w:t>
      </w:r>
      <w:r w:rsidRPr="00963B4A" w:rsidR="00510470">
        <w:rPr>
          <w:szCs w:val="24"/>
        </w:rPr>
        <w:t>86</w:t>
      </w:r>
      <w:r w:rsidRPr="00963B4A" w:rsidR="00201B14">
        <w:rPr>
          <w:szCs w:val="24"/>
        </w:rPr>
        <w:t>, No.</w:t>
      </w:r>
      <w:r w:rsidRPr="00963B4A" w:rsidR="00510470">
        <w:rPr>
          <w:szCs w:val="24"/>
        </w:rPr>
        <w:t xml:space="preserve"> 36,</w:t>
      </w:r>
      <w:r w:rsidRPr="00963B4A" w:rsidR="006E713F">
        <w:rPr>
          <w:szCs w:val="24"/>
        </w:rPr>
        <w:t xml:space="preserve"> </w:t>
      </w:r>
      <w:r w:rsidRPr="00963B4A" w:rsidR="00201B14">
        <w:rPr>
          <w:szCs w:val="24"/>
        </w:rPr>
        <w:t>pp</w:t>
      </w:r>
      <w:r w:rsidRPr="00963B4A" w:rsidR="00F7345A">
        <w:t xml:space="preserve">. </w:t>
      </w:r>
      <w:r w:rsidRPr="00963B4A">
        <w:t>11541-11542</w:t>
      </w:r>
      <w:r w:rsidRPr="00963B4A" w:rsidR="00991FBE">
        <w:rPr>
          <w:szCs w:val="24"/>
        </w:rPr>
        <w:t xml:space="preserve">.  </w:t>
      </w:r>
      <w:r w:rsidRPr="00963B4A" w:rsidR="00FD1D68">
        <w:rPr>
          <w:szCs w:val="24"/>
        </w:rPr>
        <w:t xml:space="preserve">There were no public comments received during the 60-day FRN comment period. </w:t>
      </w:r>
      <w:r w:rsidRPr="00963B4A" w:rsidR="00991FBE">
        <w:rPr>
          <w:szCs w:val="24"/>
        </w:rPr>
        <w:t xml:space="preserve"> </w:t>
      </w:r>
    </w:p>
    <w:p w:rsidRPr="00963B4A" w:rsidR="00F7345A" w:rsidP="00F7345A" w:rsidRDefault="00F7345A">
      <w:pPr>
        <w:rPr>
          <w:szCs w:val="24"/>
        </w:rPr>
      </w:pPr>
    </w:p>
    <w:p w:rsidRPr="008F75A4" w:rsidR="002D06A6" w:rsidP="00F7345A" w:rsidRDefault="009A2EA2">
      <w:pPr>
        <w:numPr>
          <w:ilvl w:val="0"/>
          <w:numId w:val="11"/>
        </w:numPr>
        <w:rPr>
          <w:szCs w:val="24"/>
        </w:rPr>
      </w:pPr>
      <w:r w:rsidRPr="00963B4A">
        <w:rPr>
          <w:szCs w:val="24"/>
        </w:rPr>
        <w:t>The 30-day Fed</w:t>
      </w:r>
      <w:r w:rsidRPr="00963B4A" w:rsidR="00F244F2">
        <w:rPr>
          <w:szCs w:val="24"/>
        </w:rPr>
        <w:t xml:space="preserve">eral Register notice was published in the </w:t>
      </w:r>
      <w:r w:rsidRPr="00963B4A">
        <w:rPr>
          <w:i/>
          <w:szCs w:val="24"/>
        </w:rPr>
        <w:t>Federal Register</w:t>
      </w:r>
      <w:r w:rsidRPr="00963B4A" w:rsidR="00F244F2">
        <w:rPr>
          <w:i/>
          <w:szCs w:val="24"/>
        </w:rPr>
        <w:t xml:space="preserve"> </w:t>
      </w:r>
      <w:r w:rsidRPr="008F75A4" w:rsidR="00816BA0">
        <w:rPr>
          <w:szCs w:val="24"/>
        </w:rPr>
        <w:t>on</w:t>
      </w:r>
      <w:r w:rsidR="008F75A4">
        <w:rPr>
          <w:szCs w:val="24"/>
        </w:rPr>
        <w:t xml:space="preserve"> May 21, 2021</w:t>
      </w:r>
      <w:r w:rsidRPr="008F75A4" w:rsidR="0011407D">
        <w:rPr>
          <w:szCs w:val="24"/>
        </w:rPr>
        <w:t>, Vol.</w:t>
      </w:r>
      <w:r w:rsidRPr="008F75A4" w:rsidR="003F18EA">
        <w:rPr>
          <w:szCs w:val="24"/>
        </w:rPr>
        <w:t xml:space="preserve"> </w:t>
      </w:r>
      <w:r w:rsidR="008F75A4">
        <w:rPr>
          <w:szCs w:val="24"/>
        </w:rPr>
        <w:t xml:space="preserve">86 </w:t>
      </w:r>
      <w:r w:rsidRPr="008F75A4" w:rsidR="0011407D">
        <w:rPr>
          <w:szCs w:val="24"/>
        </w:rPr>
        <w:t xml:space="preserve">No. </w:t>
      </w:r>
      <w:r w:rsidR="008F75A4">
        <w:rPr>
          <w:szCs w:val="24"/>
        </w:rPr>
        <w:t xml:space="preserve">97, pp. </w:t>
      </w:r>
      <w:r w:rsidRPr="008F75A4" w:rsidR="008F75A4">
        <w:rPr>
          <w:szCs w:val="24"/>
        </w:rPr>
        <w:t>27625-27626</w:t>
      </w:r>
      <w:r w:rsidR="008F75A4">
        <w:rPr>
          <w:szCs w:val="24"/>
        </w:rPr>
        <w:t xml:space="preserve">. </w:t>
      </w:r>
    </w:p>
    <w:p w:rsidRPr="00963B4A" w:rsidR="009A2EA2" w:rsidP="009A2EA2" w:rsidRDefault="009A2EA2">
      <w:pPr>
        <w:rPr>
          <w:szCs w:val="24"/>
        </w:rPr>
      </w:pPr>
    </w:p>
    <w:p w:rsidRPr="00963B4A" w:rsidR="00CE27FB" w:rsidP="009A2EA2" w:rsidRDefault="009A2EA2">
      <w:pPr>
        <w:rPr>
          <w:b/>
          <w:szCs w:val="24"/>
          <w:u w:val="single"/>
        </w:rPr>
      </w:pPr>
      <w:r w:rsidRPr="00963B4A">
        <w:rPr>
          <w:szCs w:val="24"/>
        </w:rPr>
        <w:tab/>
      </w:r>
      <w:r w:rsidRPr="00963B4A">
        <w:rPr>
          <w:b/>
          <w:szCs w:val="24"/>
        </w:rPr>
        <w:t xml:space="preserve">9.  </w:t>
      </w:r>
      <w:r w:rsidRPr="00963B4A">
        <w:rPr>
          <w:b/>
          <w:szCs w:val="24"/>
          <w:u w:val="single"/>
        </w:rPr>
        <w:t>Explanation of any Payment/Gift to Respondents</w:t>
      </w:r>
    </w:p>
    <w:p w:rsidRPr="00963B4A" w:rsidR="00BE1CFD" w:rsidP="009A2EA2" w:rsidRDefault="00BE1CFD">
      <w:pPr>
        <w:rPr>
          <w:b/>
          <w:szCs w:val="24"/>
        </w:rPr>
      </w:pPr>
    </w:p>
    <w:p w:rsidRPr="00963B4A" w:rsidR="009A2EA2" w:rsidP="00CE27FB" w:rsidRDefault="00CE27FB">
      <w:pPr>
        <w:numPr>
          <w:ilvl w:val="0"/>
          <w:numId w:val="11"/>
        </w:numPr>
        <w:rPr>
          <w:szCs w:val="24"/>
        </w:rPr>
      </w:pPr>
      <w:r w:rsidRPr="00963B4A">
        <w:rPr>
          <w:szCs w:val="24"/>
        </w:rPr>
        <w:t>N</w:t>
      </w:r>
      <w:r w:rsidRPr="00963B4A" w:rsidR="00991FBE">
        <w:rPr>
          <w:szCs w:val="24"/>
        </w:rPr>
        <w:t>ot applicable.</w:t>
      </w:r>
    </w:p>
    <w:p w:rsidRPr="00963B4A" w:rsidR="009A2EA2" w:rsidP="009A2EA2" w:rsidRDefault="009A2EA2">
      <w:pPr>
        <w:rPr>
          <w:szCs w:val="24"/>
        </w:rPr>
      </w:pPr>
    </w:p>
    <w:p w:rsidRPr="00963B4A" w:rsidR="009A2EA2" w:rsidP="008F3374" w:rsidRDefault="009A2EA2">
      <w:pPr>
        <w:rPr>
          <w:szCs w:val="24"/>
        </w:rPr>
      </w:pPr>
      <w:r w:rsidRPr="00963B4A">
        <w:rPr>
          <w:szCs w:val="24"/>
        </w:rPr>
        <w:tab/>
      </w:r>
      <w:r w:rsidRPr="00963B4A">
        <w:rPr>
          <w:b/>
          <w:szCs w:val="24"/>
        </w:rPr>
        <w:t>10</w:t>
      </w:r>
      <w:r w:rsidRPr="00963B4A">
        <w:rPr>
          <w:szCs w:val="24"/>
        </w:rPr>
        <w:t xml:space="preserve">. </w:t>
      </w:r>
      <w:r w:rsidRPr="00963B4A">
        <w:rPr>
          <w:b/>
          <w:szCs w:val="24"/>
          <w:u w:val="single"/>
        </w:rPr>
        <w:t xml:space="preserve">Assurance of Confidentiality Provided to Respondents </w:t>
      </w:r>
    </w:p>
    <w:p w:rsidRPr="00963B4A" w:rsidR="009A2EA2" w:rsidP="009A2EA2" w:rsidRDefault="009A2EA2">
      <w:pPr>
        <w:rPr>
          <w:szCs w:val="24"/>
        </w:rPr>
      </w:pPr>
    </w:p>
    <w:p w:rsidRPr="00963B4A" w:rsidR="009A2EA2" w:rsidP="009A2EA2" w:rsidRDefault="00D86D2D">
      <w:pPr>
        <w:numPr>
          <w:ilvl w:val="0"/>
          <w:numId w:val="13"/>
        </w:numPr>
        <w:rPr>
          <w:szCs w:val="24"/>
        </w:rPr>
      </w:pPr>
      <w:r>
        <w:rPr>
          <w:szCs w:val="24"/>
        </w:rPr>
        <w:t xml:space="preserve">There are no assurances of confidentiality. </w:t>
      </w:r>
      <w:r w:rsidRPr="00963B4A" w:rsidR="009A2EA2">
        <w:rPr>
          <w:szCs w:val="24"/>
        </w:rPr>
        <w:t>Individuals are</w:t>
      </w:r>
      <w:r>
        <w:rPr>
          <w:szCs w:val="24"/>
        </w:rPr>
        <w:t xml:space="preserve"> not identified in the report and a</w:t>
      </w:r>
      <w:r w:rsidRPr="00963B4A" w:rsidR="009A2EA2">
        <w:rPr>
          <w:szCs w:val="24"/>
        </w:rPr>
        <w:t>ggregate data are being collected</w:t>
      </w:r>
      <w:r w:rsidRPr="00963B4A" w:rsidR="009E1E90">
        <w:rPr>
          <w:szCs w:val="24"/>
        </w:rPr>
        <w:t>.</w:t>
      </w:r>
      <w:r>
        <w:rPr>
          <w:szCs w:val="24"/>
        </w:rPr>
        <w:t xml:space="preserve"> </w:t>
      </w:r>
    </w:p>
    <w:p w:rsidRPr="00963B4A" w:rsidR="0028286F" w:rsidP="002C1D09" w:rsidRDefault="0028286F">
      <w:pPr>
        <w:ind w:left="1447"/>
        <w:rPr>
          <w:szCs w:val="24"/>
        </w:rPr>
      </w:pPr>
    </w:p>
    <w:p w:rsidRPr="00963B4A" w:rsidR="00A076EB" w:rsidP="00457843" w:rsidRDefault="00D40F29">
      <w:pPr>
        <w:numPr>
          <w:ilvl w:val="0"/>
          <w:numId w:val="13"/>
        </w:numPr>
        <w:rPr>
          <w:szCs w:val="24"/>
        </w:rPr>
      </w:pPr>
      <w:r w:rsidRPr="00963B4A">
        <w:t>ACL has conducted a Privacy Impact Assessment (PIA</w:t>
      </w:r>
      <w:r w:rsidRPr="00963B4A" w:rsidR="00D86D2D">
        <w:t>), which</w:t>
      </w:r>
      <w:r w:rsidRPr="00963B4A">
        <w:t xml:space="preserve"> shows that individuals are not identified in SPR (State </w:t>
      </w:r>
      <w:r w:rsidRPr="00963B4A" w:rsidR="00A367ED">
        <w:t>Performance</w:t>
      </w:r>
      <w:r w:rsidRPr="00963B4A">
        <w:t xml:space="preserve"> Report) data collection. Individual level/person level data is not</w:t>
      </w:r>
      <w:r w:rsidRPr="00963B4A" w:rsidR="002C1D09">
        <w:t xml:space="preserve"> </w:t>
      </w:r>
      <w:r w:rsidRPr="00963B4A">
        <w:t>collected, therefore PII (Personally Identifiable Information) is not applicable. SPR reporting contains only aggregate level data collection.</w:t>
      </w:r>
    </w:p>
    <w:p w:rsidRPr="00963B4A" w:rsidR="00A076EB" w:rsidP="00A076EB" w:rsidRDefault="00A076EB">
      <w:pPr>
        <w:pStyle w:val="ListParagraph"/>
        <w:rPr>
          <w:szCs w:val="24"/>
        </w:rPr>
      </w:pPr>
    </w:p>
    <w:p w:rsidRPr="00963B4A" w:rsidR="00690EAE" w:rsidP="00A076EB" w:rsidRDefault="00690EAE">
      <w:pPr>
        <w:rPr>
          <w:szCs w:val="24"/>
        </w:rPr>
      </w:pPr>
      <w:r w:rsidRPr="00963B4A">
        <w:rPr>
          <w:szCs w:val="24"/>
        </w:rPr>
        <w:tab/>
      </w:r>
      <w:r w:rsidRPr="00963B4A">
        <w:rPr>
          <w:b/>
          <w:szCs w:val="24"/>
        </w:rPr>
        <w:t xml:space="preserve">11. </w:t>
      </w:r>
      <w:r w:rsidRPr="00963B4A">
        <w:rPr>
          <w:b/>
          <w:szCs w:val="24"/>
          <w:u w:val="single"/>
        </w:rPr>
        <w:t>Justification for Sensitive Questions</w:t>
      </w:r>
      <w:r w:rsidRPr="00963B4A">
        <w:rPr>
          <w:szCs w:val="24"/>
          <w:u w:val="single"/>
        </w:rPr>
        <w:t xml:space="preserve"> </w:t>
      </w:r>
    </w:p>
    <w:p w:rsidRPr="00963B4A" w:rsidR="00690EAE" w:rsidP="00690EAE" w:rsidRDefault="00690EAE">
      <w:pPr>
        <w:rPr>
          <w:szCs w:val="24"/>
        </w:rPr>
      </w:pPr>
    </w:p>
    <w:p w:rsidRPr="00963B4A" w:rsidR="00690EAE" w:rsidP="00690EAE" w:rsidRDefault="00690EAE">
      <w:pPr>
        <w:numPr>
          <w:ilvl w:val="0"/>
          <w:numId w:val="13"/>
        </w:numPr>
        <w:rPr>
          <w:szCs w:val="24"/>
        </w:rPr>
      </w:pPr>
      <w:r w:rsidRPr="00963B4A">
        <w:rPr>
          <w:szCs w:val="24"/>
        </w:rPr>
        <w:t>No information of a sensitive nature is being asked or collected.</w:t>
      </w:r>
    </w:p>
    <w:p w:rsidRPr="00963B4A" w:rsidR="009D584E" w:rsidP="00690EAE" w:rsidRDefault="00690EAE">
      <w:pPr>
        <w:rPr>
          <w:szCs w:val="24"/>
        </w:rPr>
      </w:pPr>
      <w:r w:rsidRPr="00963B4A">
        <w:rPr>
          <w:szCs w:val="24"/>
        </w:rPr>
        <w:tab/>
      </w:r>
    </w:p>
    <w:p w:rsidRPr="00963B4A" w:rsidR="009B4D21" w:rsidP="00E22591" w:rsidRDefault="00E22591">
      <w:pPr>
        <w:ind w:left="720" w:hanging="720"/>
        <w:rPr>
          <w:b/>
          <w:szCs w:val="24"/>
        </w:rPr>
      </w:pPr>
      <w:r w:rsidRPr="00963B4A">
        <w:rPr>
          <w:b/>
          <w:szCs w:val="24"/>
        </w:rPr>
        <w:tab/>
      </w:r>
      <w:r w:rsidRPr="00963B4A" w:rsidR="00690EAE">
        <w:rPr>
          <w:b/>
          <w:szCs w:val="24"/>
        </w:rPr>
        <w:t xml:space="preserve">12. </w:t>
      </w:r>
      <w:r w:rsidRPr="00963B4A" w:rsidR="00690EAE">
        <w:rPr>
          <w:b/>
          <w:szCs w:val="24"/>
          <w:u w:val="single"/>
        </w:rPr>
        <w:t xml:space="preserve">Estimates of Annualized Burden Hours </w:t>
      </w:r>
      <w:r w:rsidRPr="00963B4A" w:rsidR="00690EAE">
        <w:rPr>
          <w:b/>
          <w:szCs w:val="24"/>
        </w:rPr>
        <w:t>(Total Hours &amp; Wages)</w:t>
      </w:r>
    </w:p>
    <w:p w:rsidRPr="00963B4A" w:rsidR="00690EAE" w:rsidP="00690EAE" w:rsidRDefault="00690EAE">
      <w:pPr>
        <w:rPr>
          <w:b/>
          <w:szCs w:val="24"/>
        </w:rPr>
      </w:pPr>
    </w:p>
    <w:p w:rsidRPr="00963B4A" w:rsidR="00690EAE" w:rsidP="00690EAE" w:rsidRDefault="00690EAE">
      <w:pPr>
        <w:numPr>
          <w:ilvl w:val="0"/>
          <w:numId w:val="13"/>
        </w:numPr>
        <w:rPr>
          <w:szCs w:val="24"/>
        </w:rPr>
      </w:pPr>
      <w:r w:rsidRPr="00963B4A">
        <w:rPr>
          <w:szCs w:val="24"/>
        </w:rPr>
        <w:t xml:space="preserve">The information below shows the estimated annualized burden hours and costs for </w:t>
      </w:r>
      <w:r w:rsidRPr="00963B4A" w:rsidR="00BA7529">
        <w:rPr>
          <w:szCs w:val="24"/>
        </w:rPr>
        <w:t>states</w:t>
      </w:r>
      <w:r w:rsidRPr="00963B4A">
        <w:rPr>
          <w:szCs w:val="24"/>
        </w:rPr>
        <w:t xml:space="preserve"> to enter their data.</w:t>
      </w:r>
    </w:p>
    <w:p w:rsidRPr="00963B4A" w:rsidR="006F7311" w:rsidP="004A7D67" w:rsidRDefault="00E22591">
      <w:pPr>
        <w:rPr>
          <w:szCs w:val="24"/>
        </w:rPr>
      </w:pPr>
      <w:r w:rsidRPr="00963B4A">
        <w:rPr>
          <w:szCs w:val="24"/>
        </w:rPr>
        <w:tab/>
      </w:r>
    </w:p>
    <w:p w:rsidRPr="00963B4A" w:rsidR="004A7D67" w:rsidP="006F7311" w:rsidRDefault="001F115D">
      <w:pPr>
        <w:ind w:firstLine="720"/>
        <w:rPr>
          <w:szCs w:val="24"/>
        </w:rPr>
      </w:pPr>
      <w:r w:rsidRPr="00963B4A">
        <w:rPr>
          <w:szCs w:val="24"/>
        </w:rPr>
        <w:br w:type="page"/>
      </w:r>
      <w:r w:rsidRPr="00963B4A" w:rsidR="004A7D67">
        <w:rPr>
          <w:szCs w:val="24"/>
        </w:rPr>
        <w:lastRenderedPageBreak/>
        <w:t xml:space="preserve">12A. </w:t>
      </w:r>
      <w:r w:rsidRPr="00963B4A" w:rsidR="00991FBE">
        <w:rPr>
          <w:szCs w:val="24"/>
        </w:rPr>
        <w:t>Estimated Annualized Burden Hours</w:t>
      </w:r>
    </w:p>
    <w:p w:rsidRPr="00963B4A" w:rsidR="004A7D67" w:rsidP="004A7D67" w:rsidRDefault="004A7D67">
      <w:pPr>
        <w:rPr>
          <w:szCs w:val="24"/>
        </w:rPr>
      </w:pPr>
    </w:p>
    <w:p w:rsidRPr="00963B4A" w:rsidR="001D6888" w:rsidP="009029A7" w:rsidRDefault="001D6888">
      <w:pPr>
        <w:ind w:left="1260"/>
        <w:rPr>
          <w:szCs w:val="24"/>
        </w:rPr>
      </w:pPr>
      <w:r w:rsidRPr="00963B4A">
        <w:rPr>
          <w:szCs w:val="24"/>
        </w:rPr>
        <w:t xml:space="preserve">The burden hours are based on the number of </w:t>
      </w:r>
      <w:r w:rsidRPr="00963B4A" w:rsidR="00B10E19">
        <w:rPr>
          <w:szCs w:val="24"/>
        </w:rPr>
        <w:t xml:space="preserve">grantees </w:t>
      </w:r>
      <w:r w:rsidRPr="00963B4A" w:rsidR="00F235EA">
        <w:rPr>
          <w:szCs w:val="24"/>
        </w:rPr>
        <w:t xml:space="preserve">(50 </w:t>
      </w:r>
      <w:r w:rsidRPr="00963B4A">
        <w:rPr>
          <w:szCs w:val="24"/>
        </w:rPr>
        <w:t xml:space="preserve">States, </w:t>
      </w:r>
      <w:r w:rsidRPr="00963B4A" w:rsidR="007017E6">
        <w:rPr>
          <w:szCs w:val="24"/>
        </w:rPr>
        <w:t xml:space="preserve">five </w:t>
      </w:r>
      <w:r w:rsidRPr="00963B4A">
        <w:rPr>
          <w:szCs w:val="24"/>
        </w:rPr>
        <w:t xml:space="preserve">Territories (American Samoa, Guam, Puerto Rico, </w:t>
      </w:r>
      <w:r w:rsidRPr="00963B4A" w:rsidR="00DB33A6">
        <w:rPr>
          <w:szCs w:val="24"/>
        </w:rPr>
        <w:t>Commonwealth of the Northern Mariana Islands</w:t>
      </w:r>
      <w:r w:rsidRPr="00963B4A" w:rsidR="007D58E4">
        <w:rPr>
          <w:szCs w:val="24"/>
        </w:rPr>
        <w:t>,</w:t>
      </w:r>
      <w:r w:rsidRPr="00963B4A" w:rsidR="00DB33A6">
        <w:rPr>
          <w:szCs w:val="24"/>
        </w:rPr>
        <w:t xml:space="preserve"> </w:t>
      </w:r>
      <w:r w:rsidRPr="00963B4A">
        <w:rPr>
          <w:szCs w:val="24"/>
        </w:rPr>
        <w:t>and Virgin Islands), and Washington, D.C</w:t>
      </w:r>
      <w:r w:rsidRPr="00963B4A" w:rsidR="003A1144">
        <w:rPr>
          <w:szCs w:val="24"/>
        </w:rPr>
        <w:t>.</w:t>
      </w:r>
      <w:r w:rsidRPr="00963B4A" w:rsidR="00F235EA">
        <w:rPr>
          <w:szCs w:val="24"/>
        </w:rPr>
        <w:t xml:space="preserve">), at an estimated average time of </w:t>
      </w:r>
      <w:r w:rsidRPr="00963B4A" w:rsidR="00232AE9">
        <w:rPr>
          <w:szCs w:val="24"/>
        </w:rPr>
        <w:t xml:space="preserve">33.5 </w:t>
      </w:r>
      <w:r w:rsidRPr="00963B4A" w:rsidR="00F235EA">
        <w:rPr>
          <w:szCs w:val="24"/>
        </w:rPr>
        <w:t xml:space="preserve">hours per year for </w:t>
      </w:r>
      <w:r w:rsidRPr="00963B4A" w:rsidR="004C66A1">
        <w:rPr>
          <w:szCs w:val="24"/>
        </w:rPr>
        <w:t>1,87</w:t>
      </w:r>
      <w:r w:rsidRPr="00963B4A" w:rsidR="00B33486">
        <w:rPr>
          <w:szCs w:val="24"/>
        </w:rPr>
        <w:t>6</w:t>
      </w:r>
      <w:r w:rsidRPr="00963B4A" w:rsidR="004C66A1">
        <w:rPr>
          <w:szCs w:val="24"/>
        </w:rPr>
        <w:t xml:space="preserve"> </w:t>
      </w:r>
      <w:r w:rsidRPr="00963B4A" w:rsidR="00F235EA">
        <w:rPr>
          <w:szCs w:val="24"/>
        </w:rPr>
        <w:t>hours.</w:t>
      </w:r>
    </w:p>
    <w:p w:rsidRPr="00963B4A" w:rsidR="00F90935" w:rsidP="00690EAE" w:rsidRDefault="00F90935">
      <w:pPr>
        <w:rPr>
          <w:szCs w:val="24"/>
        </w:rPr>
      </w:pPr>
    </w:p>
    <w:p w:rsidRPr="00963B4A" w:rsidR="006409BE" w:rsidP="00991FBE" w:rsidRDefault="00C64A2C">
      <w:pPr>
        <w:ind w:firstLine="720"/>
        <w:rPr>
          <w:szCs w:val="24"/>
        </w:rPr>
      </w:pPr>
      <w:r w:rsidRPr="00963B4A">
        <w:rPr>
          <w:szCs w:val="24"/>
        </w:rPr>
        <w:t>12A. Estimated Annualized Burden Hours</w:t>
      </w:r>
    </w:p>
    <w:tbl>
      <w:tblPr>
        <w:tblW w:w="801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1"/>
        <w:gridCol w:w="1443"/>
        <w:gridCol w:w="1523"/>
        <w:gridCol w:w="1430"/>
        <w:gridCol w:w="1185"/>
        <w:gridCol w:w="998"/>
      </w:tblGrid>
      <w:tr w:rsidRPr="00963B4A" w:rsidR="005932B8" w:rsidTr="00A41D82">
        <w:tc>
          <w:tcPr>
            <w:tcW w:w="1440" w:type="dxa"/>
          </w:tcPr>
          <w:p w:rsidRPr="00963B4A" w:rsidR="006409BE" w:rsidP="00690EAE" w:rsidRDefault="006409BE">
            <w:pPr>
              <w:rPr>
                <w:b/>
                <w:szCs w:val="24"/>
              </w:rPr>
            </w:pPr>
            <w:r w:rsidRPr="00963B4A">
              <w:rPr>
                <w:b/>
                <w:szCs w:val="24"/>
              </w:rPr>
              <w:t>Type of Respondent</w:t>
            </w:r>
          </w:p>
        </w:tc>
        <w:tc>
          <w:tcPr>
            <w:tcW w:w="1080" w:type="dxa"/>
          </w:tcPr>
          <w:p w:rsidRPr="00963B4A" w:rsidR="006409BE" w:rsidP="00690EAE" w:rsidRDefault="006409BE">
            <w:pPr>
              <w:rPr>
                <w:b/>
                <w:szCs w:val="24"/>
              </w:rPr>
            </w:pPr>
            <w:r w:rsidRPr="00963B4A">
              <w:rPr>
                <w:b/>
                <w:szCs w:val="24"/>
              </w:rPr>
              <w:t>Form Name</w:t>
            </w:r>
          </w:p>
        </w:tc>
        <w:tc>
          <w:tcPr>
            <w:tcW w:w="1530" w:type="dxa"/>
          </w:tcPr>
          <w:p w:rsidRPr="00963B4A" w:rsidR="006409BE" w:rsidP="00690EAE" w:rsidRDefault="006409BE">
            <w:pPr>
              <w:rPr>
                <w:b/>
                <w:szCs w:val="24"/>
              </w:rPr>
            </w:pPr>
            <w:r w:rsidRPr="00963B4A">
              <w:rPr>
                <w:b/>
                <w:szCs w:val="24"/>
              </w:rPr>
              <w:t>No. of Respondents</w:t>
            </w:r>
          </w:p>
        </w:tc>
        <w:tc>
          <w:tcPr>
            <w:tcW w:w="1440" w:type="dxa"/>
          </w:tcPr>
          <w:p w:rsidRPr="00963B4A" w:rsidR="006409BE" w:rsidP="00690EAE" w:rsidRDefault="006409BE">
            <w:pPr>
              <w:rPr>
                <w:b/>
                <w:szCs w:val="24"/>
              </w:rPr>
            </w:pPr>
            <w:r w:rsidRPr="00963B4A">
              <w:rPr>
                <w:b/>
                <w:szCs w:val="24"/>
              </w:rPr>
              <w:t>No. of Responses per Respondent</w:t>
            </w:r>
          </w:p>
        </w:tc>
        <w:tc>
          <w:tcPr>
            <w:tcW w:w="1350" w:type="dxa"/>
          </w:tcPr>
          <w:p w:rsidRPr="00963B4A" w:rsidR="006409BE" w:rsidP="00690EAE" w:rsidRDefault="006409BE">
            <w:pPr>
              <w:rPr>
                <w:b/>
                <w:szCs w:val="24"/>
              </w:rPr>
            </w:pPr>
            <w:r w:rsidRPr="00963B4A">
              <w:rPr>
                <w:b/>
                <w:szCs w:val="24"/>
              </w:rPr>
              <w:t>Average  Burden per Response (in hours)</w:t>
            </w:r>
          </w:p>
        </w:tc>
        <w:tc>
          <w:tcPr>
            <w:tcW w:w="1170" w:type="dxa"/>
          </w:tcPr>
          <w:p w:rsidRPr="00963B4A" w:rsidR="006409BE" w:rsidP="00690EAE" w:rsidRDefault="006409BE">
            <w:pPr>
              <w:rPr>
                <w:b/>
                <w:szCs w:val="24"/>
              </w:rPr>
            </w:pPr>
            <w:r w:rsidRPr="00963B4A">
              <w:rPr>
                <w:b/>
                <w:szCs w:val="24"/>
              </w:rPr>
              <w:t>Total Burden Hours</w:t>
            </w:r>
          </w:p>
        </w:tc>
      </w:tr>
      <w:tr w:rsidRPr="00963B4A" w:rsidR="005932B8" w:rsidTr="00A41D82">
        <w:tc>
          <w:tcPr>
            <w:tcW w:w="1440" w:type="dxa"/>
          </w:tcPr>
          <w:p w:rsidRPr="00963B4A" w:rsidR="006409BE" w:rsidP="00690EAE" w:rsidRDefault="00BA7529">
            <w:pPr>
              <w:rPr>
                <w:szCs w:val="24"/>
              </w:rPr>
            </w:pPr>
            <w:r w:rsidRPr="00963B4A">
              <w:rPr>
                <w:szCs w:val="24"/>
              </w:rPr>
              <w:t>States</w:t>
            </w:r>
            <w:r w:rsidRPr="00963B4A" w:rsidR="006409BE">
              <w:rPr>
                <w:szCs w:val="24"/>
              </w:rPr>
              <w:t xml:space="preserve"> </w:t>
            </w:r>
          </w:p>
        </w:tc>
        <w:tc>
          <w:tcPr>
            <w:tcW w:w="1080" w:type="dxa"/>
          </w:tcPr>
          <w:p w:rsidRPr="00963B4A" w:rsidR="006409BE" w:rsidP="00690EAE" w:rsidRDefault="00483BA0">
            <w:pPr>
              <w:rPr>
                <w:szCs w:val="24"/>
              </w:rPr>
            </w:pPr>
            <w:r>
              <w:rPr>
                <w:szCs w:val="24"/>
              </w:rPr>
              <w:t>State Performance</w:t>
            </w:r>
            <w:r w:rsidRPr="00963B4A" w:rsidR="00BA7529">
              <w:rPr>
                <w:szCs w:val="24"/>
              </w:rPr>
              <w:t xml:space="preserve"> Report</w:t>
            </w:r>
          </w:p>
        </w:tc>
        <w:tc>
          <w:tcPr>
            <w:tcW w:w="1530" w:type="dxa"/>
          </w:tcPr>
          <w:p w:rsidRPr="00963B4A" w:rsidR="006409BE" w:rsidP="00690EAE" w:rsidRDefault="00BA7529">
            <w:pPr>
              <w:rPr>
                <w:szCs w:val="24"/>
              </w:rPr>
            </w:pPr>
            <w:r w:rsidRPr="00963B4A">
              <w:rPr>
                <w:szCs w:val="24"/>
              </w:rPr>
              <w:t>5</w:t>
            </w:r>
            <w:r w:rsidRPr="00963B4A" w:rsidR="00091CFD">
              <w:rPr>
                <w:szCs w:val="24"/>
              </w:rPr>
              <w:t>6</w:t>
            </w:r>
          </w:p>
        </w:tc>
        <w:tc>
          <w:tcPr>
            <w:tcW w:w="1440" w:type="dxa"/>
          </w:tcPr>
          <w:p w:rsidRPr="00963B4A" w:rsidR="006409BE" w:rsidP="00690EAE" w:rsidRDefault="00BA7529">
            <w:pPr>
              <w:rPr>
                <w:szCs w:val="24"/>
              </w:rPr>
            </w:pPr>
            <w:r w:rsidRPr="00963B4A">
              <w:rPr>
                <w:szCs w:val="24"/>
              </w:rPr>
              <w:t>1</w:t>
            </w:r>
          </w:p>
        </w:tc>
        <w:tc>
          <w:tcPr>
            <w:tcW w:w="1350" w:type="dxa"/>
          </w:tcPr>
          <w:p w:rsidRPr="00963B4A" w:rsidR="006409BE" w:rsidP="00690EAE" w:rsidRDefault="0026580C">
            <w:pPr>
              <w:rPr>
                <w:szCs w:val="24"/>
              </w:rPr>
            </w:pPr>
            <w:r w:rsidRPr="00963B4A">
              <w:rPr>
                <w:szCs w:val="24"/>
              </w:rPr>
              <w:t>33.5</w:t>
            </w:r>
          </w:p>
        </w:tc>
        <w:tc>
          <w:tcPr>
            <w:tcW w:w="1170" w:type="dxa"/>
          </w:tcPr>
          <w:p w:rsidRPr="00963B4A" w:rsidR="006409BE" w:rsidP="00690EAE" w:rsidRDefault="001C3656">
            <w:pPr>
              <w:rPr>
                <w:szCs w:val="24"/>
              </w:rPr>
            </w:pPr>
            <w:r w:rsidRPr="00963B4A">
              <w:rPr>
                <w:szCs w:val="24"/>
              </w:rPr>
              <w:t>1,876</w:t>
            </w:r>
          </w:p>
        </w:tc>
      </w:tr>
    </w:tbl>
    <w:p w:rsidRPr="00963B4A" w:rsidR="008F3374" w:rsidP="005932B8" w:rsidRDefault="008F3374">
      <w:pPr>
        <w:ind w:firstLine="720"/>
        <w:rPr>
          <w:szCs w:val="24"/>
        </w:rPr>
      </w:pPr>
    </w:p>
    <w:p w:rsidRPr="00963B4A" w:rsidR="00417942" w:rsidP="005932B8" w:rsidRDefault="00417942">
      <w:pPr>
        <w:ind w:firstLine="720"/>
        <w:rPr>
          <w:szCs w:val="24"/>
        </w:rPr>
      </w:pPr>
      <w:r w:rsidRPr="00963B4A">
        <w:rPr>
          <w:szCs w:val="24"/>
        </w:rPr>
        <w:t xml:space="preserve">12B. </w:t>
      </w:r>
      <w:r w:rsidRPr="00963B4A" w:rsidR="005932B8">
        <w:rPr>
          <w:szCs w:val="24"/>
        </w:rPr>
        <w:t>Costs to Respondents</w:t>
      </w: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0"/>
        <w:gridCol w:w="1800"/>
        <w:gridCol w:w="1980"/>
        <w:gridCol w:w="1980"/>
      </w:tblGrid>
      <w:tr w:rsidRPr="00963B4A" w:rsidR="00C64A2C" w:rsidTr="00AB7998">
        <w:tc>
          <w:tcPr>
            <w:tcW w:w="2250" w:type="dxa"/>
          </w:tcPr>
          <w:p w:rsidRPr="00963B4A" w:rsidR="00C64A2C" w:rsidP="00690EAE" w:rsidRDefault="00417942">
            <w:pPr>
              <w:rPr>
                <w:b/>
                <w:szCs w:val="24"/>
              </w:rPr>
            </w:pPr>
            <w:r w:rsidRPr="00963B4A">
              <w:rPr>
                <w:b/>
                <w:szCs w:val="24"/>
              </w:rPr>
              <w:t>Type of Respondent</w:t>
            </w:r>
          </w:p>
        </w:tc>
        <w:tc>
          <w:tcPr>
            <w:tcW w:w="1800" w:type="dxa"/>
          </w:tcPr>
          <w:p w:rsidRPr="00963B4A" w:rsidR="00C64A2C" w:rsidP="00690EAE" w:rsidRDefault="00417942">
            <w:pPr>
              <w:rPr>
                <w:b/>
                <w:szCs w:val="24"/>
              </w:rPr>
            </w:pPr>
            <w:r w:rsidRPr="00963B4A">
              <w:rPr>
                <w:b/>
                <w:szCs w:val="24"/>
              </w:rPr>
              <w:t>Total Burden Hours</w:t>
            </w:r>
          </w:p>
        </w:tc>
        <w:tc>
          <w:tcPr>
            <w:tcW w:w="1980" w:type="dxa"/>
          </w:tcPr>
          <w:p w:rsidRPr="00963B4A" w:rsidR="00C64A2C" w:rsidP="00690EAE" w:rsidRDefault="00417942">
            <w:pPr>
              <w:rPr>
                <w:b/>
                <w:szCs w:val="24"/>
              </w:rPr>
            </w:pPr>
            <w:r w:rsidRPr="00963B4A">
              <w:rPr>
                <w:b/>
                <w:szCs w:val="24"/>
              </w:rPr>
              <w:t>Hourly Wage Rate</w:t>
            </w:r>
          </w:p>
        </w:tc>
        <w:tc>
          <w:tcPr>
            <w:tcW w:w="1980" w:type="dxa"/>
          </w:tcPr>
          <w:p w:rsidRPr="00963B4A" w:rsidR="00C64A2C" w:rsidP="00690EAE" w:rsidRDefault="00417942">
            <w:r w:rsidRPr="00963B4A">
              <w:rPr>
                <w:b/>
                <w:szCs w:val="24"/>
              </w:rPr>
              <w:t>Total Respondent Cost</w:t>
            </w:r>
          </w:p>
        </w:tc>
      </w:tr>
      <w:tr w:rsidRPr="00963B4A" w:rsidR="00C64A2C" w:rsidTr="00AB7998">
        <w:tc>
          <w:tcPr>
            <w:tcW w:w="2250" w:type="dxa"/>
          </w:tcPr>
          <w:p w:rsidRPr="00963B4A" w:rsidR="00C64A2C" w:rsidP="00690EAE" w:rsidRDefault="007A4D2A">
            <w:pPr>
              <w:rPr>
                <w:szCs w:val="24"/>
              </w:rPr>
            </w:pPr>
            <w:r w:rsidRPr="00963B4A">
              <w:rPr>
                <w:szCs w:val="24"/>
              </w:rPr>
              <w:t>State</w:t>
            </w:r>
            <w:r w:rsidRPr="00963B4A" w:rsidR="00ED17A3">
              <w:rPr>
                <w:szCs w:val="24"/>
              </w:rPr>
              <w:t xml:space="preserve"> Unit</w:t>
            </w:r>
            <w:r w:rsidRPr="00963B4A">
              <w:rPr>
                <w:szCs w:val="24"/>
              </w:rPr>
              <w:t>s</w:t>
            </w:r>
            <w:r w:rsidRPr="00963B4A" w:rsidR="00ED17A3">
              <w:rPr>
                <w:szCs w:val="24"/>
              </w:rPr>
              <w:t xml:space="preserve"> on Aging staff</w:t>
            </w:r>
          </w:p>
        </w:tc>
        <w:tc>
          <w:tcPr>
            <w:tcW w:w="1800" w:type="dxa"/>
          </w:tcPr>
          <w:p w:rsidRPr="00963B4A" w:rsidR="00C64A2C" w:rsidP="005932B8" w:rsidRDefault="005B0E60">
            <w:pPr>
              <w:rPr>
                <w:szCs w:val="24"/>
              </w:rPr>
            </w:pPr>
            <w:r w:rsidRPr="00963B4A">
              <w:rPr>
                <w:szCs w:val="24"/>
              </w:rPr>
              <w:t>1,876</w:t>
            </w:r>
          </w:p>
        </w:tc>
        <w:tc>
          <w:tcPr>
            <w:tcW w:w="1980" w:type="dxa"/>
          </w:tcPr>
          <w:p w:rsidRPr="00BF5856" w:rsidR="00C64A2C" w:rsidP="00F22AEA" w:rsidRDefault="005932B8">
            <w:pPr>
              <w:rPr>
                <w:szCs w:val="24"/>
              </w:rPr>
            </w:pPr>
            <w:r w:rsidRPr="00963B4A">
              <w:rPr>
                <w:szCs w:val="24"/>
              </w:rPr>
              <w:t>$</w:t>
            </w:r>
            <w:r w:rsidRPr="00963B4A" w:rsidR="0060177A">
              <w:rPr>
                <w:szCs w:val="24"/>
              </w:rPr>
              <w:t>37.17</w:t>
            </w:r>
            <w:r w:rsidRPr="00963B4A">
              <w:rPr>
                <w:szCs w:val="24"/>
              </w:rPr>
              <w:t xml:space="preserve"> per hour</w:t>
            </w:r>
            <w:r w:rsidRPr="00BF5856" w:rsidR="00F235EA">
              <w:rPr>
                <w:rStyle w:val="FootnoteReference"/>
                <w:szCs w:val="24"/>
              </w:rPr>
              <w:footnoteReference w:id="1"/>
            </w:r>
          </w:p>
        </w:tc>
        <w:tc>
          <w:tcPr>
            <w:tcW w:w="1980" w:type="dxa"/>
          </w:tcPr>
          <w:p w:rsidRPr="00963B4A" w:rsidR="00C64A2C" w:rsidP="00F22AEA" w:rsidRDefault="005932B8">
            <w:pPr>
              <w:rPr>
                <w:szCs w:val="24"/>
              </w:rPr>
            </w:pPr>
            <w:r w:rsidRPr="002F7EEB">
              <w:rPr>
                <w:szCs w:val="24"/>
              </w:rPr>
              <w:t>$</w:t>
            </w:r>
            <w:r w:rsidRPr="002F7EEB" w:rsidR="007543AB">
              <w:rPr>
                <w:szCs w:val="24"/>
              </w:rPr>
              <w:t>69,731</w:t>
            </w:r>
          </w:p>
        </w:tc>
      </w:tr>
    </w:tbl>
    <w:p w:rsidRPr="00963B4A" w:rsidR="005932B8" w:rsidP="00690EAE" w:rsidRDefault="002503E0">
      <w:pPr>
        <w:rPr>
          <w:b/>
          <w:szCs w:val="24"/>
        </w:rPr>
      </w:pPr>
      <w:r w:rsidRPr="00963B4A">
        <w:rPr>
          <w:b/>
          <w:szCs w:val="24"/>
        </w:rPr>
        <w:tab/>
      </w:r>
    </w:p>
    <w:p w:rsidRPr="00963B4A" w:rsidR="00A41D82" w:rsidP="00A41D82" w:rsidRDefault="002503E0">
      <w:pPr>
        <w:ind w:left="720"/>
        <w:rPr>
          <w:b/>
          <w:szCs w:val="24"/>
          <w:u w:val="single"/>
        </w:rPr>
      </w:pPr>
      <w:r w:rsidRPr="00963B4A">
        <w:rPr>
          <w:b/>
          <w:szCs w:val="24"/>
        </w:rPr>
        <w:t xml:space="preserve">13. </w:t>
      </w:r>
      <w:r w:rsidRPr="00963B4A">
        <w:rPr>
          <w:b/>
          <w:szCs w:val="24"/>
          <w:u w:val="single"/>
        </w:rPr>
        <w:t>Estimates of other Total Annual Co</w:t>
      </w:r>
      <w:r w:rsidRPr="00963B4A" w:rsidR="00A41D82">
        <w:rPr>
          <w:b/>
          <w:szCs w:val="24"/>
          <w:u w:val="single"/>
        </w:rPr>
        <w:t xml:space="preserve">st Burden to Respondents or </w:t>
      </w:r>
      <w:r w:rsidRPr="00963B4A">
        <w:rPr>
          <w:b/>
          <w:szCs w:val="24"/>
          <w:u w:val="single"/>
        </w:rPr>
        <w:t>Recordkeepers/</w:t>
      </w:r>
      <w:r w:rsidRPr="00963B4A" w:rsidR="00A41D82">
        <w:rPr>
          <w:b/>
          <w:szCs w:val="24"/>
          <w:u w:val="single"/>
        </w:rPr>
        <w:t xml:space="preserve"> </w:t>
      </w:r>
    </w:p>
    <w:p w:rsidRPr="00963B4A" w:rsidR="00CA02AA" w:rsidP="00A41D82" w:rsidRDefault="002503E0">
      <w:pPr>
        <w:ind w:left="720" w:firstLine="367"/>
        <w:rPr>
          <w:szCs w:val="24"/>
        </w:rPr>
      </w:pPr>
      <w:r w:rsidRPr="00963B4A">
        <w:rPr>
          <w:b/>
          <w:szCs w:val="24"/>
          <w:u w:val="single"/>
        </w:rPr>
        <w:t>Capital Costs</w:t>
      </w:r>
    </w:p>
    <w:p w:rsidRPr="00963B4A" w:rsidR="002503E0" w:rsidP="00690EAE" w:rsidRDefault="002503E0">
      <w:pPr>
        <w:rPr>
          <w:szCs w:val="24"/>
        </w:rPr>
      </w:pPr>
    </w:p>
    <w:p w:rsidRPr="00963B4A" w:rsidR="005120B7" w:rsidP="00457843" w:rsidRDefault="002503E0">
      <w:pPr>
        <w:numPr>
          <w:ilvl w:val="0"/>
          <w:numId w:val="13"/>
        </w:numPr>
        <w:rPr>
          <w:b/>
          <w:szCs w:val="24"/>
          <w:u w:val="single"/>
        </w:rPr>
      </w:pPr>
      <w:r w:rsidRPr="00963B4A">
        <w:rPr>
          <w:szCs w:val="24"/>
        </w:rPr>
        <w:t xml:space="preserve">There </w:t>
      </w:r>
      <w:r w:rsidRPr="00963B4A" w:rsidR="004410F8">
        <w:rPr>
          <w:szCs w:val="24"/>
        </w:rPr>
        <w:t>should not be any additional costs to the projects beyond those already identified in Item 12 above.</w:t>
      </w:r>
    </w:p>
    <w:p w:rsidRPr="00963B4A" w:rsidR="005120B7" w:rsidP="005120B7" w:rsidRDefault="005120B7">
      <w:pPr>
        <w:ind w:left="1087"/>
        <w:rPr>
          <w:b/>
          <w:szCs w:val="24"/>
          <w:u w:val="single"/>
        </w:rPr>
      </w:pPr>
    </w:p>
    <w:p w:rsidRPr="00963B4A" w:rsidR="00983A59" w:rsidP="005120B7" w:rsidRDefault="002503E0">
      <w:pPr>
        <w:ind w:left="1087" w:hanging="277"/>
        <w:rPr>
          <w:b/>
          <w:szCs w:val="24"/>
          <w:u w:val="single"/>
        </w:rPr>
      </w:pPr>
      <w:r w:rsidRPr="00963B4A">
        <w:rPr>
          <w:b/>
          <w:szCs w:val="24"/>
        </w:rPr>
        <w:t xml:space="preserve">14. </w:t>
      </w:r>
      <w:r w:rsidRPr="00963B4A">
        <w:rPr>
          <w:b/>
          <w:szCs w:val="24"/>
          <w:u w:val="single"/>
        </w:rPr>
        <w:t>Annualized Cost to Federal Government</w:t>
      </w:r>
      <w:r w:rsidRPr="00963B4A" w:rsidR="00983A59">
        <w:rPr>
          <w:b/>
          <w:szCs w:val="24"/>
          <w:u w:val="single"/>
        </w:rPr>
        <w:t xml:space="preserve"> </w:t>
      </w:r>
    </w:p>
    <w:p w:rsidRPr="00963B4A" w:rsidR="00983A59" w:rsidP="002503E0" w:rsidRDefault="00983A59">
      <w:pPr>
        <w:rPr>
          <w:b/>
          <w:szCs w:val="24"/>
          <w:u w:val="single"/>
        </w:rPr>
      </w:pPr>
    </w:p>
    <w:p w:rsidRPr="00963B4A" w:rsidR="00BE027B" w:rsidP="00983A59" w:rsidRDefault="00F22C12">
      <w:pPr>
        <w:numPr>
          <w:ilvl w:val="0"/>
          <w:numId w:val="13"/>
        </w:numPr>
        <w:rPr>
          <w:szCs w:val="24"/>
        </w:rPr>
      </w:pPr>
      <w:r w:rsidRPr="00963B4A">
        <w:rPr>
          <w:szCs w:val="24"/>
        </w:rPr>
        <w:t xml:space="preserve">The estimated annualized cost to the Federal Government is </w:t>
      </w:r>
      <w:r w:rsidRPr="00963B4A" w:rsidR="007A4D2A">
        <w:rPr>
          <w:szCs w:val="24"/>
        </w:rPr>
        <w:t>$</w:t>
      </w:r>
      <w:r w:rsidRPr="00963B4A" w:rsidR="0070296F">
        <w:rPr>
          <w:szCs w:val="24"/>
        </w:rPr>
        <w:t>828,912.</w:t>
      </w:r>
    </w:p>
    <w:p w:rsidRPr="00963B4A" w:rsidR="00BE027B" w:rsidP="00BE027B" w:rsidRDefault="00BE027B">
      <w:pPr>
        <w:ind w:left="1447"/>
        <w:rPr>
          <w:szCs w:val="24"/>
        </w:rPr>
      </w:pPr>
    </w:p>
    <w:p w:rsidRPr="00963B4A" w:rsidR="002503E0" w:rsidP="00983A59" w:rsidRDefault="00ED6931">
      <w:pPr>
        <w:numPr>
          <w:ilvl w:val="0"/>
          <w:numId w:val="13"/>
        </w:numPr>
        <w:rPr>
          <w:szCs w:val="24"/>
        </w:rPr>
      </w:pPr>
      <w:r w:rsidRPr="00963B4A">
        <w:rPr>
          <w:szCs w:val="24"/>
        </w:rPr>
        <w:t>Base hourly rate for GS-Grades</w:t>
      </w:r>
      <w:r w:rsidRPr="00963B4A" w:rsidR="00745D5D">
        <w:rPr>
          <w:szCs w:val="24"/>
        </w:rPr>
        <w:t xml:space="preserve"> 12 &amp; 13</w:t>
      </w:r>
      <w:r w:rsidRPr="00963B4A" w:rsidR="00BE027B">
        <w:rPr>
          <w:szCs w:val="24"/>
        </w:rPr>
        <w:t>:</w:t>
      </w:r>
    </w:p>
    <w:p w:rsidRPr="00963B4A" w:rsidR="005932B8" w:rsidP="005932B8" w:rsidRDefault="005932B8">
      <w:pPr>
        <w:ind w:left="1447"/>
        <w:rPr>
          <w:szCs w:val="24"/>
          <w:u w:val="single"/>
        </w:rPr>
      </w:pPr>
    </w:p>
    <w:p w:rsidRPr="00963B4A" w:rsidR="005932B8" w:rsidP="005932B8" w:rsidRDefault="005932B8">
      <w:pPr>
        <w:ind w:left="1447"/>
        <w:rPr>
          <w:szCs w:val="24"/>
          <w:u w:val="single"/>
        </w:rPr>
      </w:pPr>
      <w:r w:rsidRPr="00963B4A">
        <w:rPr>
          <w:szCs w:val="24"/>
          <w:u w:val="single"/>
        </w:rPr>
        <w:t>Staff Hours/Costs</w:t>
      </w:r>
    </w:p>
    <w:p w:rsidRPr="002F7EEB" w:rsidR="005932B8" w:rsidP="005932B8" w:rsidRDefault="00F22AEA">
      <w:pPr>
        <w:ind w:left="1447"/>
        <w:rPr>
          <w:szCs w:val="24"/>
        </w:rPr>
      </w:pPr>
      <w:r w:rsidRPr="00963B4A">
        <w:rPr>
          <w:szCs w:val="24"/>
        </w:rPr>
        <w:t xml:space="preserve">GS-13 200 hrs. </w:t>
      </w:r>
      <w:r w:rsidRPr="00963B4A" w:rsidR="00ED6931">
        <w:rPr>
          <w:szCs w:val="24"/>
        </w:rPr>
        <w:t>X</w:t>
      </w:r>
      <w:r w:rsidRPr="00963B4A" w:rsidR="00F8616C">
        <w:rPr>
          <w:szCs w:val="24"/>
        </w:rPr>
        <w:t xml:space="preserve"> $43.15</w:t>
      </w:r>
      <w:r w:rsidRPr="00963B4A" w:rsidR="00BE027B">
        <w:rPr>
          <w:szCs w:val="24"/>
        </w:rPr>
        <w:t xml:space="preserve"> per hour</w:t>
      </w:r>
      <w:r w:rsidRPr="00BF5856">
        <w:rPr>
          <w:rStyle w:val="FootnoteReference"/>
          <w:szCs w:val="24"/>
        </w:rPr>
        <w:footnoteReference w:id="2"/>
      </w:r>
      <w:r w:rsidRPr="00BF5856" w:rsidR="00BE027B">
        <w:rPr>
          <w:szCs w:val="24"/>
        </w:rPr>
        <w:t xml:space="preserve">  </w:t>
      </w:r>
      <w:r w:rsidRPr="00BF5856" w:rsidR="00573055">
        <w:rPr>
          <w:szCs w:val="24"/>
        </w:rPr>
        <w:tab/>
      </w:r>
      <w:r w:rsidRPr="00BF5856" w:rsidR="00573055">
        <w:rPr>
          <w:szCs w:val="24"/>
        </w:rPr>
        <w:tab/>
      </w:r>
      <w:r w:rsidRPr="002F7EEB" w:rsidR="007D42E3">
        <w:rPr>
          <w:szCs w:val="24"/>
        </w:rPr>
        <w:t>$ 8,630</w:t>
      </w:r>
    </w:p>
    <w:p w:rsidRPr="00963B4A" w:rsidR="005932B8" w:rsidP="005932B8" w:rsidRDefault="00ED6931">
      <w:pPr>
        <w:ind w:left="1447"/>
        <w:rPr>
          <w:szCs w:val="24"/>
          <w:u w:val="single"/>
        </w:rPr>
      </w:pPr>
      <w:r w:rsidRPr="00963B4A">
        <w:rPr>
          <w:szCs w:val="24"/>
        </w:rPr>
        <w:t xml:space="preserve">GS-12 </w:t>
      </w:r>
      <w:r w:rsidRPr="00963B4A" w:rsidR="005932B8">
        <w:rPr>
          <w:szCs w:val="24"/>
        </w:rPr>
        <w:t xml:space="preserve">200 hrs. </w:t>
      </w:r>
      <w:r w:rsidRPr="00963B4A">
        <w:rPr>
          <w:szCs w:val="24"/>
        </w:rPr>
        <w:t>X</w:t>
      </w:r>
      <w:r w:rsidRPr="00963B4A" w:rsidR="005932B8">
        <w:rPr>
          <w:szCs w:val="24"/>
        </w:rPr>
        <w:t xml:space="preserve"> </w:t>
      </w:r>
      <w:r w:rsidRPr="00963B4A" w:rsidR="00F8616C">
        <w:rPr>
          <w:szCs w:val="24"/>
        </w:rPr>
        <w:t>$</w:t>
      </w:r>
      <w:r w:rsidRPr="00963B4A" w:rsidR="007D42E3">
        <w:rPr>
          <w:szCs w:val="24"/>
        </w:rPr>
        <w:t>36.29</w:t>
      </w:r>
      <w:r w:rsidRPr="00963B4A">
        <w:rPr>
          <w:szCs w:val="24"/>
        </w:rPr>
        <w:t xml:space="preserve"> per</w:t>
      </w:r>
      <w:r w:rsidRPr="00963B4A" w:rsidR="005932B8">
        <w:rPr>
          <w:szCs w:val="24"/>
        </w:rPr>
        <w:t xml:space="preserve"> hour</w:t>
      </w:r>
      <w:r w:rsidRPr="00BF5856" w:rsidR="00F22AEA">
        <w:rPr>
          <w:rStyle w:val="FootnoteReference"/>
          <w:szCs w:val="24"/>
        </w:rPr>
        <w:footnoteReference w:id="3"/>
      </w:r>
      <w:r w:rsidRPr="00BF5856" w:rsidR="00BE027B">
        <w:rPr>
          <w:szCs w:val="24"/>
        </w:rPr>
        <w:t xml:space="preserve"> </w:t>
      </w:r>
      <w:r w:rsidRPr="00BF5856" w:rsidR="00573055">
        <w:rPr>
          <w:szCs w:val="24"/>
        </w:rPr>
        <w:tab/>
      </w:r>
      <w:r w:rsidRPr="00963B4A" w:rsidR="00573055">
        <w:rPr>
          <w:szCs w:val="24"/>
        </w:rPr>
        <w:tab/>
      </w:r>
      <w:r w:rsidRPr="00963B4A">
        <w:rPr>
          <w:szCs w:val="24"/>
        </w:rPr>
        <w:t xml:space="preserve">$ </w:t>
      </w:r>
      <w:r w:rsidRPr="00963B4A" w:rsidR="007D42E3">
        <w:rPr>
          <w:szCs w:val="24"/>
          <w:u w:val="single"/>
        </w:rPr>
        <w:t>7,258</w:t>
      </w:r>
    </w:p>
    <w:p w:rsidRPr="00963B4A" w:rsidR="00BE027B" w:rsidP="00BE027B" w:rsidRDefault="00BE027B">
      <w:pPr>
        <w:ind w:left="3607"/>
        <w:rPr>
          <w:szCs w:val="24"/>
        </w:rPr>
      </w:pPr>
      <w:r w:rsidRPr="00963B4A">
        <w:rPr>
          <w:szCs w:val="24"/>
        </w:rPr>
        <w:t xml:space="preserve">          </w:t>
      </w:r>
      <w:r w:rsidRPr="00963B4A" w:rsidR="00573055">
        <w:rPr>
          <w:szCs w:val="24"/>
        </w:rPr>
        <w:tab/>
      </w:r>
      <w:r w:rsidRPr="00963B4A" w:rsidR="00573055">
        <w:rPr>
          <w:szCs w:val="24"/>
        </w:rPr>
        <w:tab/>
      </w:r>
      <w:r w:rsidRPr="00963B4A" w:rsidR="00573055">
        <w:rPr>
          <w:szCs w:val="24"/>
        </w:rPr>
        <w:tab/>
      </w:r>
      <w:r w:rsidRPr="00963B4A">
        <w:rPr>
          <w:szCs w:val="24"/>
        </w:rPr>
        <w:t>$</w:t>
      </w:r>
      <w:r w:rsidRPr="00963B4A" w:rsidR="007D42E3">
        <w:rPr>
          <w:szCs w:val="24"/>
        </w:rPr>
        <w:t>15,888</w:t>
      </w:r>
    </w:p>
    <w:p w:rsidRPr="00963B4A" w:rsidR="00573055" w:rsidP="00573055" w:rsidRDefault="00573055">
      <w:pPr>
        <w:ind w:left="1447"/>
        <w:rPr>
          <w:szCs w:val="24"/>
        </w:rPr>
      </w:pPr>
    </w:p>
    <w:p w:rsidRPr="00963B4A" w:rsidR="00BE027B" w:rsidP="00573055" w:rsidRDefault="00BE027B">
      <w:pPr>
        <w:ind w:left="1447"/>
        <w:rPr>
          <w:szCs w:val="24"/>
        </w:rPr>
      </w:pPr>
      <w:r w:rsidRPr="00963B4A">
        <w:rPr>
          <w:szCs w:val="24"/>
        </w:rPr>
        <w:t>C</w:t>
      </w:r>
      <w:r w:rsidRPr="00963B4A" w:rsidR="005932B8">
        <w:rPr>
          <w:szCs w:val="24"/>
        </w:rPr>
        <w:t xml:space="preserve">ontract for database  </w:t>
      </w:r>
      <w:r w:rsidRPr="00963B4A" w:rsidR="00573055">
        <w:rPr>
          <w:szCs w:val="24"/>
        </w:rPr>
        <w:t xml:space="preserve">         </w:t>
      </w:r>
      <w:r w:rsidRPr="00963B4A" w:rsidR="00573055">
        <w:rPr>
          <w:szCs w:val="24"/>
        </w:rPr>
        <w:tab/>
      </w:r>
      <w:r w:rsidRPr="00963B4A" w:rsidR="00573055">
        <w:rPr>
          <w:szCs w:val="24"/>
        </w:rPr>
        <w:tab/>
      </w:r>
      <w:r w:rsidRPr="00963B4A" w:rsidR="00573055">
        <w:rPr>
          <w:szCs w:val="24"/>
        </w:rPr>
        <w:tab/>
      </w:r>
      <w:r w:rsidRPr="00963B4A" w:rsidR="005932B8">
        <w:rPr>
          <w:szCs w:val="24"/>
        </w:rPr>
        <w:t>$</w:t>
      </w:r>
      <w:r w:rsidRPr="00963B4A" w:rsidR="0070296F">
        <w:rPr>
          <w:szCs w:val="24"/>
          <w:u w:val="single"/>
        </w:rPr>
        <w:t>813,024</w:t>
      </w:r>
    </w:p>
    <w:p w:rsidRPr="00963B4A" w:rsidR="00BE027B" w:rsidP="00BE027B" w:rsidRDefault="00573055">
      <w:pPr>
        <w:ind w:left="1447"/>
        <w:rPr>
          <w:szCs w:val="24"/>
        </w:rPr>
      </w:pPr>
      <w:r w:rsidRPr="00963B4A">
        <w:rPr>
          <w:szCs w:val="24"/>
        </w:rPr>
        <w:t>Total Cost to Federal Government</w:t>
      </w:r>
      <w:r w:rsidRPr="00963B4A">
        <w:rPr>
          <w:szCs w:val="24"/>
        </w:rPr>
        <w:tab/>
      </w:r>
      <w:r w:rsidRPr="00963B4A">
        <w:rPr>
          <w:szCs w:val="24"/>
        </w:rPr>
        <w:tab/>
        <w:t>$</w:t>
      </w:r>
      <w:r w:rsidRPr="00963B4A" w:rsidR="0070296F">
        <w:rPr>
          <w:szCs w:val="24"/>
        </w:rPr>
        <w:t>828,912</w:t>
      </w:r>
    </w:p>
    <w:p w:rsidRPr="00963B4A" w:rsidR="00636B15" w:rsidP="00BE027B" w:rsidRDefault="00636B15">
      <w:pPr>
        <w:ind w:left="1447"/>
        <w:rPr>
          <w:color w:val="0070C0"/>
          <w:szCs w:val="24"/>
        </w:rPr>
      </w:pPr>
    </w:p>
    <w:p w:rsidRPr="00963B4A" w:rsidR="000B59F3" w:rsidP="009231A8" w:rsidRDefault="002503E0">
      <w:pPr>
        <w:rPr>
          <w:b/>
          <w:szCs w:val="24"/>
          <w:u w:val="single"/>
        </w:rPr>
      </w:pPr>
      <w:r w:rsidRPr="00963B4A">
        <w:rPr>
          <w:szCs w:val="24"/>
        </w:rPr>
        <w:tab/>
      </w:r>
      <w:r w:rsidRPr="00963B4A">
        <w:rPr>
          <w:b/>
          <w:szCs w:val="24"/>
        </w:rPr>
        <w:t xml:space="preserve">15. </w:t>
      </w:r>
      <w:r w:rsidRPr="00963B4A">
        <w:rPr>
          <w:b/>
          <w:szCs w:val="24"/>
          <w:u w:val="single"/>
        </w:rPr>
        <w:t>Explanation for Program Changes or Adjustments</w:t>
      </w:r>
    </w:p>
    <w:p w:rsidRPr="00024FB8" w:rsidR="006B1065" w:rsidP="008162C5" w:rsidRDefault="00024FB8">
      <w:pPr>
        <w:numPr>
          <w:ilvl w:val="0"/>
          <w:numId w:val="19"/>
        </w:numPr>
        <w:tabs>
          <w:tab w:val="left" w:pos="1440"/>
        </w:tabs>
        <w:ind w:left="1440"/>
        <w:contextualSpacing/>
        <w:rPr>
          <w:szCs w:val="24"/>
        </w:rPr>
      </w:pPr>
      <w:r>
        <w:t>This is a new OMB control number request, t</w:t>
      </w:r>
      <w:r w:rsidRPr="00024FB8">
        <w:t xml:space="preserve">here is a program change increase of 1,876 annual burden hours. </w:t>
      </w:r>
    </w:p>
    <w:p w:rsidRPr="00963B4A" w:rsidR="002503E0" w:rsidP="002503E0" w:rsidRDefault="002503E0">
      <w:pPr>
        <w:rPr>
          <w:b/>
          <w:szCs w:val="24"/>
          <w:u w:val="single"/>
        </w:rPr>
      </w:pPr>
      <w:r w:rsidRPr="00963B4A">
        <w:rPr>
          <w:szCs w:val="24"/>
        </w:rPr>
        <w:tab/>
      </w:r>
      <w:r w:rsidRPr="00963B4A">
        <w:rPr>
          <w:b/>
          <w:szCs w:val="24"/>
        </w:rPr>
        <w:t xml:space="preserve">16. </w:t>
      </w:r>
      <w:r w:rsidRPr="00963B4A">
        <w:rPr>
          <w:b/>
          <w:szCs w:val="24"/>
          <w:u w:val="single"/>
        </w:rPr>
        <w:t xml:space="preserve">Plans for Tabulation and Publication and Project Time Schedule </w:t>
      </w:r>
    </w:p>
    <w:p w:rsidRPr="00BF5856" w:rsidR="00A213F8" w:rsidP="00186CEA" w:rsidRDefault="00B16F58">
      <w:pPr>
        <w:numPr>
          <w:ilvl w:val="0"/>
          <w:numId w:val="15"/>
        </w:numPr>
        <w:rPr>
          <w:b/>
          <w:szCs w:val="24"/>
          <w:u w:val="single"/>
        </w:rPr>
      </w:pPr>
      <w:r w:rsidRPr="00963B4A">
        <w:rPr>
          <w:szCs w:val="24"/>
        </w:rPr>
        <w:t xml:space="preserve">Results from State </w:t>
      </w:r>
      <w:r w:rsidRPr="00963B4A" w:rsidR="006254C1">
        <w:rPr>
          <w:szCs w:val="24"/>
        </w:rPr>
        <w:t xml:space="preserve">Performance </w:t>
      </w:r>
      <w:r w:rsidRPr="00963B4A">
        <w:rPr>
          <w:szCs w:val="24"/>
        </w:rPr>
        <w:t>Report are uploaded to the Aging</w:t>
      </w:r>
      <w:r w:rsidRPr="00963B4A" w:rsidR="006254C1">
        <w:rPr>
          <w:szCs w:val="24"/>
        </w:rPr>
        <w:t>, Independence, and Disability</w:t>
      </w:r>
      <w:r w:rsidRPr="00963B4A">
        <w:rPr>
          <w:szCs w:val="24"/>
        </w:rPr>
        <w:t xml:space="preserve"> (AGID) </w:t>
      </w:r>
      <w:r w:rsidRPr="00963B4A" w:rsidR="006254C1">
        <w:rPr>
          <w:szCs w:val="24"/>
        </w:rPr>
        <w:t xml:space="preserve">Program Data Portal </w:t>
      </w:r>
      <w:r w:rsidRPr="00963B4A">
        <w:rPr>
          <w:szCs w:val="24"/>
        </w:rPr>
        <w:t>available on-line at</w:t>
      </w:r>
      <w:r w:rsidRPr="00963B4A" w:rsidR="005D27BC">
        <w:rPr>
          <w:szCs w:val="24"/>
        </w:rPr>
        <w:t xml:space="preserve"> </w:t>
      </w:r>
      <w:hyperlink w:history="1" r:id="rId10">
        <w:r w:rsidRPr="00BF5856" w:rsidR="005D27BC">
          <w:rPr>
            <w:rStyle w:val="Hyperlink"/>
          </w:rPr>
          <w:t>https://agi</w:t>
        </w:r>
        <w:r w:rsidRPr="00BF5856" w:rsidR="005D27BC">
          <w:rPr>
            <w:rStyle w:val="Hyperlink"/>
          </w:rPr>
          <w:t>d</w:t>
        </w:r>
        <w:r w:rsidRPr="00BF5856" w:rsidR="005D27BC">
          <w:rPr>
            <w:rStyle w:val="Hyperlink"/>
          </w:rPr>
          <w:t>.</w:t>
        </w:r>
        <w:r w:rsidRPr="00BF5856" w:rsidR="005D27BC">
          <w:rPr>
            <w:rStyle w:val="Hyperlink"/>
          </w:rPr>
          <w:t>a</w:t>
        </w:r>
        <w:r w:rsidRPr="00BF5856" w:rsidR="005D27BC">
          <w:rPr>
            <w:rStyle w:val="Hyperlink"/>
          </w:rPr>
          <w:t>cl.gov/</w:t>
        </w:r>
      </w:hyperlink>
      <w:r w:rsidRPr="00BF5856" w:rsidR="005932B8">
        <w:rPr>
          <w:szCs w:val="24"/>
        </w:rPr>
        <w:t xml:space="preserve">.  </w:t>
      </w:r>
    </w:p>
    <w:p w:rsidRPr="002F7EEB" w:rsidR="009D2310" w:rsidP="009D2310" w:rsidRDefault="009D2310">
      <w:pPr>
        <w:ind w:left="1447"/>
        <w:rPr>
          <w:b/>
          <w:szCs w:val="24"/>
          <w:u w:val="single"/>
        </w:rPr>
      </w:pPr>
    </w:p>
    <w:p w:rsidRPr="00963B4A" w:rsidR="00EF4F33" w:rsidP="00031305" w:rsidRDefault="00AA5D38">
      <w:pPr>
        <w:rPr>
          <w:b/>
          <w:szCs w:val="24"/>
          <w:u w:val="single"/>
        </w:rPr>
      </w:pPr>
      <w:r w:rsidRPr="00963B4A">
        <w:rPr>
          <w:b/>
          <w:szCs w:val="24"/>
        </w:rPr>
        <w:tab/>
      </w:r>
      <w:r w:rsidRPr="00963B4A" w:rsidR="00031305">
        <w:rPr>
          <w:b/>
          <w:szCs w:val="24"/>
        </w:rPr>
        <w:t xml:space="preserve">17. </w:t>
      </w:r>
      <w:r w:rsidRPr="00963B4A" w:rsidR="00031305">
        <w:rPr>
          <w:b/>
          <w:szCs w:val="24"/>
          <w:u w:val="single"/>
        </w:rPr>
        <w:t xml:space="preserve">OMB Expiration Date </w:t>
      </w:r>
    </w:p>
    <w:p w:rsidRPr="00963B4A" w:rsidR="00031305" w:rsidP="00031305" w:rsidRDefault="00481340">
      <w:pPr>
        <w:numPr>
          <w:ilvl w:val="0"/>
          <w:numId w:val="13"/>
        </w:numPr>
        <w:rPr>
          <w:szCs w:val="24"/>
        </w:rPr>
      </w:pPr>
      <w:r w:rsidRPr="00963B4A">
        <w:rPr>
          <w:szCs w:val="24"/>
        </w:rPr>
        <w:t>W</w:t>
      </w:r>
      <w:r w:rsidRPr="00963B4A" w:rsidR="00EF4F33">
        <w:rPr>
          <w:szCs w:val="24"/>
        </w:rPr>
        <w:t>e will display the expiration date.</w:t>
      </w:r>
    </w:p>
    <w:p w:rsidRPr="00963B4A" w:rsidR="00ED6931" w:rsidP="00AF455F" w:rsidRDefault="00ED6931">
      <w:pPr>
        <w:ind w:firstLine="720"/>
        <w:rPr>
          <w:b/>
          <w:szCs w:val="24"/>
        </w:rPr>
      </w:pPr>
    </w:p>
    <w:p w:rsidRPr="00963B4A" w:rsidR="00031305" w:rsidP="00AF455F" w:rsidRDefault="00031305">
      <w:pPr>
        <w:ind w:firstLine="720"/>
        <w:rPr>
          <w:szCs w:val="24"/>
        </w:rPr>
      </w:pPr>
      <w:r w:rsidRPr="00963B4A">
        <w:rPr>
          <w:b/>
          <w:szCs w:val="24"/>
        </w:rPr>
        <w:t xml:space="preserve">18. </w:t>
      </w:r>
      <w:r w:rsidRPr="00963B4A">
        <w:rPr>
          <w:b/>
          <w:szCs w:val="24"/>
          <w:u w:val="single"/>
        </w:rPr>
        <w:t xml:space="preserve">Exceptions to Certification for Paperwork Reduction Act Submissions </w:t>
      </w:r>
    </w:p>
    <w:p w:rsidRPr="00963B4A" w:rsidR="00031305" w:rsidP="00AF47AD" w:rsidRDefault="00AF47AD">
      <w:pPr>
        <w:numPr>
          <w:ilvl w:val="0"/>
          <w:numId w:val="13"/>
        </w:numPr>
        <w:rPr>
          <w:szCs w:val="24"/>
        </w:rPr>
      </w:pPr>
      <w:r w:rsidRPr="00963B4A">
        <w:rPr>
          <w:szCs w:val="24"/>
        </w:rPr>
        <w:t>There are no exceptions to th</w:t>
      </w:r>
      <w:r w:rsidRPr="00963B4A" w:rsidR="000D1B2A">
        <w:rPr>
          <w:szCs w:val="24"/>
        </w:rPr>
        <w:t xml:space="preserve">is request for </w:t>
      </w:r>
      <w:r w:rsidRPr="00963B4A">
        <w:rPr>
          <w:szCs w:val="24"/>
        </w:rPr>
        <w:t>certification.</w:t>
      </w:r>
    </w:p>
    <w:p w:rsidRPr="00963B4A" w:rsidR="00573055" w:rsidP="00573055" w:rsidRDefault="00573055">
      <w:pPr>
        <w:rPr>
          <w:b/>
          <w:szCs w:val="24"/>
        </w:rPr>
      </w:pPr>
    </w:p>
    <w:p w:rsidRPr="00963B4A" w:rsidR="00573055" w:rsidP="00AF455F" w:rsidRDefault="00573055">
      <w:pPr>
        <w:rPr>
          <w:b/>
          <w:szCs w:val="24"/>
        </w:rPr>
      </w:pPr>
      <w:r w:rsidRPr="00963B4A">
        <w:rPr>
          <w:b/>
          <w:szCs w:val="24"/>
        </w:rPr>
        <w:t xml:space="preserve">B. </w:t>
      </w:r>
      <w:r w:rsidRPr="00963B4A">
        <w:rPr>
          <w:b/>
          <w:szCs w:val="24"/>
        </w:rPr>
        <w:tab/>
        <w:t xml:space="preserve">Collection of Information Employing Statistical Methods.  </w:t>
      </w:r>
    </w:p>
    <w:p w:rsidRPr="00963B4A" w:rsidR="00F872A1" w:rsidP="005D71AC" w:rsidRDefault="00ED6931">
      <w:pPr>
        <w:numPr>
          <w:ilvl w:val="0"/>
          <w:numId w:val="13"/>
        </w:numPr>
        <w:rPr>
          <w:b/>
          <w:szCs w:val="24"/>
          <w:u w:val="single"/>
        </w:rPr>
      </w:pPr>
      <w:r w:rsidRPr="00963B4A">
        <w:rPr>
          <w:szCs w:val="24"/>
        </w:rPr>
        <w:t>Not applicable</w:t>
      </w:r>
      <w:r w:rsidRPr="00963B4A" w:rsidR="0048077C">
        <w:rPr>
          <w:szCs w:val="24"/>
        </w:rPr>
        <w:t>.</w:t>
      </w:r>
    </w:p>
    <w:p w:rsidR="00D87388" w:rsidP="00D87388" w:rsidRDefault="00D87388">
      <w:pPr>
        <w:rPr>
          <w:szCs w:val="24"/>
        </w:rPr>
      </w:pPr>
    </w:p>
    <w:p w:rsidR="00D87388" w:rsidP="00D87388" w:rsidRDefault="00D87388">
      <w:pPr>
        <w:rPr>
          <w:szCs w:val="24"/>
        </w:rPr>
      </w:pPr>
    </w:p>
    <w:p w:rsidR="00D87388" w:rsidP="00D87388" w:rsidRDefault="00D87388">
      <w:pPr>
        <w:rPr>
          <w:szCs w:val="24"/>
        </w:rPr>
      </w:pPr>
    </w:p>
    <w:p w:rsidRPr="00F872A1" w:rsidR="00D87388" w:rsidP="005B34F8" w:rsidRDefault="00D87388">
      <w:pPr>
        <w:rPr>
          <w:b/>
          <w:szCs w:val="24"/>
          <w:u w:val="single"/>
        </w:rPr>
      </w:pPr>
    </w:p>
    <w:sectPr w:rsidRPr="00F872A1" w:rsidR="00D87388" w:rsidSect="00652AFB">
      <w:footerReference w:type="default" r:id="rId11"/>
      <w:pgSz w:w="12240" w:h="15840" w:code="1"/>
      <w:pgMar w:top="108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28D" w:rsidRDefault="00DF228D" w:rsidP="00A41D82">
      <w:r>
        <w:separator/>
      </w:r>
    </w:p>
  </w:endnote>
  <w:endnote w:type="continuationSeparator" w:id="0">
    <w:p w:rsidR="00DF228D" w:rsidRDefault="00DF228D" w:rsidP="00A4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71" w:rsidRDefault="00556171">
    <w:pPr>
      <w:pStyle w:val="Footer"/>
      <w:jc w:val="center"/>
    </w:pPr>
    <w:r>
      <w:fldChar w:fldCharType="begin"/>
    </w:r>
    <w:r>
      <w:instrText xml:space="preserve"> PAGE   \* MERGEFORMAT </w:instrText>
    </w:r>
    <w:r>
      <w:fldChar w:fldCharType="separate"/>
    </w:r>
    <w:r w:rsidR="008C6DE4">
      <w:rPr>
        <w:noProof/>
      </w:rPr>
      <w:t>1</w:t>
    </w:r>
    <w:r>
      <w:fldChar w:fldCharType="end"/>
    </w:r>
  </w:p>
  <w:p w:rsidR="00556171" w:rsidRDefault="0055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28D" w:rsidRDefault="00DF228D" w:rsidP="00A41D82">
      <w:r>
        <w:separator/>
      </w:r>
    </w:p>
  </w:footnote>
  <w:footnote w:type="continuationSeparator" w:id="0">
    <w:p w:rsidR="00DF228D" w:rsidRDefault="00DF228D" w:rsidP="00A41D82">
      <w:r>
        <w:continuationSeparator/>
      </w:r>
    </w:p>
  </w:footnote>
  <w:footnote w:id="1">
    <w:p w:rsidR="00F235EA" w:rsidRPr="00FE78B2" w:rsidRDefault="00F235EA" w:rsidP="002104C7">
      <w:r w:rsidRPr="00E81C9E">
        <w:rPr>
          <w:rStyle w:val="FootnoteReference"/>
        </w:rPr>
        <w:footnoteRef/>
      </w:r>
      <w:r w:rsidRPr="00E81C9E">
        <w:t xml:space="preserve"> </w:t>
      </w:r>
      <w:r w:rsidR="00342687" w:rsidRPr="00342687">
        <w:rPr>
          <w:sz w:val="20"/>
        </w:rPr>
        <w:t>The Hourly Wage Rate of $</w:t>
      </w:r>
      <w:r w:rsidR="004F7693">
        <w:rPr>
          <w:sz w:val="20"/>
        </w:rPr>
        <w:t>37.17</w:t>
      </w:r>
      <w:r w:rsidR="00342687" w:rsidRPr="00342687">
        <w:rPr>
          <w:sz w:val="20"/>
        </w:rPr>
        <w:t xml:space="preserve"> per hour derived from the Bure</w:t>
      </w:r>
      <w:r w:rsidR="003937F2">
        <w:rPr>
          <w:sz w:val="20"/>
        </w:rPr>
        <w:t>au of Labor Statistics 2020</w:t>
      </w:r>
      <w:r w:rsidR="00342687" w:rsidRPr="00342687">
        <w:rPr>
          <w:sz w:val="20"/>
        </w:rPr>
        <w:t xml:space="preserve"> National Industry-Specific Occupational Employment and Wage Estimates, mean hourly wage of the Business and Financial Operations Occupations, occupation code 13-000.  Link: </w:t>
      </w:r>
      <w:hyperlink r:id="rId1" w:anchor="13-0000" w:history="1">
        <w:r w:rsidR="00A14183" w:rsidRPr="00A14183">
          <w:rPr>
            <w:rStyle w:val="Hyperlink"/>
            <w:sz w:val="20"/>
          </w:rPr>
          <w:t>https://www.bls.gov/oes/current/naics4_551100.htm#13-0000</w:t>
        </w:r>
      </w:hyperlink>
    </w:p>
  </w:footnote>
  <w:footnote w:id="2">
    <w:p w:rsidR="00501636" w:rsidRPr="00675565" w:rsidRDefault="00F22AEA">
      <w:pPr>
        <w:pStyle w:val="FootnoteText"/>
      </w:pPr>
      <w:r>
        <w:rPr>
          <w:rStyle w:val="FootnoteReference"/>
        </w:rPr>
        <w:footnoteRef/>
      </w:r>
      <w:r w:rsidR="000D5EBA">
        <w:t xml:space="preserve">  </w:t>
      </w:r>
      <w:r w:rsidR="000D5EBA" w:rsidRPr="00675565">
        <w:t>Hourly wage rate GS-13 $</w:t>
      </w:r>
      <w:r w:rsidRPr="00675565">
        <w:t>4</w:t>
      </w:r>
      <w:r w:rsidR="0050231A">
        <w:t>3.1</w:t>
      </w:r>
      <w:r w:rsidR="00780302" w:rsidRPr="00675565">
        <w:t>5</w:t>
      </w:r>
      <w:r w:rsidRPr="00675565">
        <w:t xml:space="preserve"> plus 100% overhead and benefits from the 20</w:t>
      </w:r>
      <w:r w:rsidR="00780302" w:rsidRPr="00675565">
        <w:t>21</w:t>
      </w:r>
      <w:r w:rsidRPr="00675565">
        <w:t xml:space="preserve"> OPM Salary and Wages </w:t>
      </w:r>
      <w:hyperlink r:id="rId2" w:history="1">
        <w:r w:rsidR="00515BF6" w:rsidRPr="0088436C">
          <w:rPr>
            <w:rStyle w:val="Hyperlink"/>
          </w:rPr>
          <w:t>https://www.opm.gov/policy-data-oversight/pay-leave/salaries-wages/salary-tables/pdf/2021/GS_h.pdf</w:t>
        </w:r>
      </w:hyperlink>
    </w:p>
  </w:footnote>
  <w:footnote w:id="3">
    <w:p w:rsidR="00F22AEA" w:rsidRDefault="00F22AEA">
      <w:pPr>
        <w:pStyle w:val="FootnoteText"/>
      </w:pPr>
      <w:r w:rsidRPr="00675565">
        <w:rPr>
          <w:rStyle w:val="FootnoteReference"/>
        </w:rPr>
        <w:footnoteRef/>
      </w:r>
      <w:r w:rsidR="000D5EBA" w:rsidRPr="00675565">
        <w:t xml:space="preserve"> Hourly wage rate GS-12 $</w:t>
      </w:r>
      <w:r w:rsidR="00780302" w:rsidRPr="00675565">
        <w:t>36.29</w:t>
      </w:r>
      <w:r w:rsidR="00DE226F">
        <w:t xml:space="preserve"> </w:t>
      </w:r>
      <w:r w:rsidRPr="00675565">
        <w:t>plus 100% overhead and benefits from the 20</w:t>
      </w:r>
      <w:r w:rsidR="00780302" w:rsidRPr="00675565">
        <w:t>21</w:t>
      </w:r>
      <w:r w:rsidRPr="00675565">
        <w:t xml:space="preserve"> OPM Salary and Wages </w:t>
      </w:r>
      <w:hyperlink r:id="rId3" w:history="1">
        <w:r w:rsidR="00754AD3" w:rsidRPr="00472D62">
          <w:rPr>
            <w:rStyle w:val="Hyperlink"/>
          </w:rPr>
          <w:t>https://www.opm.gov/policy-data-oversight/pay-leave/salaries-wages/salary-tables/pdf/2021/GS_h.pdf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71E17E7"/>
    <w:multiLevelType w:val="hybridMultilevel"/>
    <w:tmpl w:val="307458C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15:restartNumberingAfterBreak="0">
    <w:nsid w:val="1DF3270A"/>
    <w:multiLevelType w:val="hybridMultilevel"/>
    <w:tmpl w:val="DE0AC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472277"/>
    <w:multiLevelType w:val="hybridMultilevel"/>
    <w:tmpl w:val="F5DA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779DE"/>
    <w:multiLevelType w:val="hybridMultilevel"/>
    <w:tmpl w:val="F84410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0">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3B014DD3"/>
    <w:multiLevelType w:val="hybridMultilevel"/>
    <w:tmpl w:val="1A2EA5DA"/>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9" w15:restartNumberingAfterBreak="0">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15:restartNumberingAfterBreak="0">
    <w:nsid w:val="42992F54"/>
    <w:multiLevelType w:val="hybridMultilevel"/>
    <w:tmpl w:val="EC8C762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46015590"/>
    <w:multiLevelType w:val="hybridMultilevel"/>
    <w:tmpl w:val="595A2F98"/>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2" w15:restartNumberingAfterBreak="0">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13" w15:restartNumberingAfterBreak="0">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4" w15:restartNumberingAfterBreak="0">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5" w15:restartNumberingAfterBreak="0">
    <w:nsid w:val="4F7760EB"/>
    <w:multiLevelType w:val="hybridMultilevel"/>
    <w:tmpl w:val="A2008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2"/>
  </w:num>
  <w:num w:numId="4">
    <w:abstractNumId w:val="18"/>
  </w:num>
  <w:num w:numId="5">
    <w:abstractNumId w:val="19"/>
  </w:num>
  <w:num w:numId="6">
    <w:abstractNumId w:val="7"/>
  </w:num>
  <w:num w:numId="7">
    <w:abstractNumId w:val="0"/>
  </w:num>
  <w:num w:numId="8">
    <w:abstractNumId w:val="13"/>
  </w:num>
  <w:num w:numId="9">
    <w:abstractNumId w:val="16"/>
  </w:num>
  <w:num w:numId="10">
    <w:abstractNumId w:val="5"/>
  </w:num>
  <w:num w:numId="11">
    <w:abstractNumId w:val="1"/>
  </w:num>
  <w:num w:numId="12">
    <w:abstractNumId w:val="14"/>
  </w:num>
  <w:num w:numId="13">
    <w:abstractNumId w:val="8"/>
  </w:num>
  <w:num w:numId="14">
    <w:abstractNumId w:val="9"/>
  </w:num>
  <w:num w:numId="15">
    <w:abstractNumId w:val="11"/>
  </w:num>
  <w:num w:numId="16">
    <w:abstractNumId w:val="10"/>
  </w:num>
  <w:num w:numId="17">
    <w:abstractNumId w:val="3"/>
  </w:num>
  <w:num w:numId="18">
    <w:abstractNumId w:val="15"/>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71"/>
    <w:rsid w:val="00001A2D"/>
    <w:rsid w:val="000043E6"/>
    <w:rsid w:val="00006383"/>
    <w:rsid w:val="00006935"/>
    <w:rsid w:val="00010E6F"/>
    <w:rsid w:val="00010EDC"/>
    <w:rsid w:val="000130CE"/>
    <w:rsid w:val="00014C60"/>
    <w:rsid w:val="00024FB8"/>
    <w:rsid w:val="00031305"/>
    <w:rsid w:val="00036525"/>
    <w:rsid w:val="00037A26"/>
    <w:rsid w:val="00041C20"/>
    <w:rsid w:val="00042794"/>
    <w:rsid w:val="00050509"/>
    <w:rsid w:val="000519DD"/>
    <w:rsid w:val="000528BD"/>
    <w:rsid w:val="00054A97"/>
    <w:rsid w:val="00055053"/>
    <w:rsid w:val="0005709A"/>
    <w:rsid w:val="00064C4D"/>
    <w:rsid w:val="000661C2"/>
    <w:rsid w:val="0006773E"/>
    <w:rsid w:val="00067B22"/>
    <w:rsid w:val="000731BB"/>
    <w:rsid w:val="0007346F"/>
    <w:rsid w:val="00076E31"/>
    <w:rsid w:val="000871F9"/>
    <w:rsid w:val="00091CFD"/>
    <w:rsid w:val="000A09C0"/>
    <w:rsid w:val="000A6118"/>
    <w:rsid w:val="000A6C74"/>
    <w:rsid w:val="000B59F3"/>
    <w:rsid w:val="000B5D4E"/>
    <w:rsid w:val="000C205F"/>
    <w:rsid w:val="000C2C07"/>
    <w:rsid w:val="000C5944"/>
    <w:rsid w:val="000C7243"/>
    <w:rsid w:val="000D1B2A"/>
    <w:rsid w:val="000D3C46"/>
    <w:rsid w:val="000D5EBA"/>
    <w:rsid w:val="000D6DEF"/>
    <w:rsid w:val="000E2FF1"/>
    <w:rsid w:val="000E32BF"/>
    <w:rsid w:val="000F539E"/>
    <w:rsid w:val="000F6523"/>
    <w:rsid w:val="000F6654"/>
    <w:rsid w:val="000F71FD"/>
    <w:rsid w:val="00105A3C"/>
    <w:rsid w:val="00106305"/>
    <w:rsid w:val="00106EE1"/>
    <w:rsid w:val="0011007A"/>
    <w:rsid w:val="00112466"/>
    <w:rsid w:val="0011407D"/>
    <w:rsid w:val="0011423A"/>
    <w:rsid w:val="00116EBE"/>
    <w:rsid w:val="00120939"/>
    <w:rsid w:val="00124032"/>
    <w:rsid w:val="00142586"/>
    <w:rsid w:val="00147F14"/>
    <w:rsid w:val="00150B56"/>
    <w:rsid w:val="00151754"/>
    <w:rsid w:val="00151B8C"/>
    <w:rsid w:val="001626B3"/>
    <w:rsid w:val="00165FB3"/>
    <w:rsid w:val="00176FC4"/>
    <w:rsid w:val="00181C3D"/>
    <w:rsid w:val="00181FE8"/>
    <w:rsid w:val="001859CA"/>
    <w:rsid w:val="00186CEA"/>
    <w:rsid w:val="00192A1A"/>
    <w:rsid w:val="0019719A"/>
    <w:rsid w:val="001A5A3D"/>
    <w:rsid w:val="001A7D6C"/>
    <w:rsid w:val="001B645E"/>
    <w:rsid w:val="001C011E"/>
    <w:rsid w:val="001C2E15"/>
    <w:rsid w:val="001C3656"/>
    <w:rsid w:val="001C4C82"/>
    <w:rsid w:val="001C5143"/>
    <w:rsid w:val="001C67DA"/>
    <w:rsid w:val="001C6D42"/>
    <w:rsid w:val="001D6888"/>
    <w:rsid w:val="001E3427"/>
    <w:rsid w:val="001E5836"/>
    <w:rsid w:val="001E632F"/>
    <w:rsid w:val="001F0EB1"/>
    <w:rsid w:val="001F115D"/>
    <w:rsid w:val="001F461B"/>
    <w:rsid w:val="001F49C6"/>
    <w:rsid w:val="001F764E"/>
    <w:rsid w:val="0020190F"/>
    <w:rsid w:val="00201B14"/>
    <w:rsid w:val="0020258F"/>
    <w:rsid w:val="00202DDD"/>
    <w:rsid w:val="002064AA"/>
    <w:rsid w:val="002104C7"/>
    <w:rsid w:val="00217195"/>
    <w:rsid w:val="0022075F"/>
    <w:rsid w:val="00224D8F"/>
    <w:rsid w:val="00227AAE"/>
    <w:rsid w:val="00230CDC"/>
    <w:rsid w:val="00232AE9"/>
    <w:rsid w:val="00233D91"/>
    <w:rsid w:val="00233E23"/>
    <w:rsid w:val="00237526"/>
    <w:rsid w:val="00241A5A"/>
    <w:rsid w:val="002469E2"/>
    <w:rsid w:val="002503E0"/>
    <w:rsid w:val="00253148"/>
    <w:rsid w:val="002533C1"/>
    <w:rsid w:val="00255F6B"/>
    <w:rsid w:val="002578D4"/>
    <w:rsid w:val="0026580C"/>
    <w:rsid w:val="002659EC"/>
    <w:rsid w:val="00266374"/>
    <w:rsid w:val="00270A1F"/>
    <w:rsid w:val="00274EE6"/>
    <w:rsid w:val="0027584C"/>
    <w:rsid w:val="0028286F"/>
    <w:rsid w:val="002A2845"/>
    <w:rsid w:val="002C1055"/>
    <w:rsid w:val="002C1D09"/>
    <w:rsid w:val="002C4F81"/>
    <w:rsid w:val="002D06A6"/>
    <w:rsid w:val="002E4C51"/>
    <w:rsid w:val="002E7DDD"/>
    <w:rsid w:val="002F04A3"/>
    <w:rsid w:val="002F05A4"/>
    <w:rsid w:val="002F06B9"/>
    <w:rsid w:val="002F7EEB"/>
    <w:rsid w:val="00301337"/>
    <w:rsid w:val="00302ACE"/>
    <w:rsid w:val="003046CF"/>
    <w:rsid w:val="00315D1F"/>
    <w:rsid w:val="00316DF5"/>
    <w:rsid w:val="003206A2"/>
    <w:rsid w:val="00320ED4"/>
    <w:rsid w:val="003258F3"/>
    <w:rsid w:val="003268FD"/>
    <w:rsid w:val="0033216B"/>
    <w:rsid w:val="003409B3"/>
    <w:rsid w:val="00342687"/>
    <w:rsid w:val="00350D7E"/>
    <w:rsid w:val="00350E17"/>
    <w:rsid w:val="00365CF6"/>
    <w:rsid w:val="003708D2"/>
    <w:rsid w:val="00370BFF"/>
    <w:rsid w:val="00370C54"/>
    <w:rsid w:val="00381E41"/>
    <w:rsid w:val="003937F2"/>
    <w:rsid w:val="00395F47"/>
    <w:rsid w:val="003A1008"/>
    <w:rsid w:val="003A1144"/>
    <w:rsid w:val="003A18DB"/>
    <w:rsid w:val="003A1B60"/>
    <w:rsid w:val="003B0288"/>
    <w:rsid w:val="003B0369"/>
    <w:rsid w:val="003B746E"/>
    <w:rsid w:val="003D149E"/>
    <w:rsid w:val="003D1A65"/>
    <w:rsid w:val="003D27E2"/>
    <w:rsid w:val="003D4EC7"/>
    <w:rsid w:val="003E5AA3"/>
    <w:rsid w:val="003E5C71"/>
    <w:rsid w:val="003E6772"/>
    <w:rsid w:val="003F0D04"/>
    <w:rsid w:val="003F18EA"/>
    <w:rsid w:val="00404D00"/>
    <w:rsid w:val="00411125"/>
    <w:rsid w:val="00415E01"/>
    <w:rsid w:val="00417942"/>
    <w:rsid w:val="00417A03"/>
    <w:rsid w:val="004215E1"/>
    <w:rsid w:val="00423452"/>
    <w:rsid w:val="004410F8"/>
    <w:rsid w:val="00445DF7"/>
    <w:rsid w:val="00447E74"/>
    <w:rsid w:val="00457843"/>
    <w:rsid w:val="00466AA7"/>
    <w:rsid w:val="00467838"/>
    <w:rsid w:val="00467B1D"/>
    <w:rsid w:val="00472D62"/>
    <w:rsid w:val="0047347F"/>
    <w:rsid w:val="00474F0A"/>
    <w:rsid w:val="0048077C"/>
    <w:rsid w:val="00481340"/>
    <w:rsid w:val="00483BA0"/>
    <w:rsid w:val="00490354"/>
    <w:rsid w:val="00491291"/>
    <w:rsid w:val="0049540B"/>
    <w:rsid w:val="004967B5"/>
    <w:rsid w:val="004A466C"/>
    <w:rsid w:val="004A7D67"/>
    <w:rsid w:val="004B1ED4"/>
    <w:rsid w:val="004B2C60"/>
    <w:rsid w:val="004B3665"/>
    <w:rsid w:val="004C4B85"/>
    <w:rsid w:val="004C4EED"/>
    <w:rsid w:val="004C5BE4"/>
    <w:rsid w:val="004C6290"/>
    <w:rsid w:val="004C6501"/>
    <w:rsid w:val="004C66A1"/>
    <w:rsid w:val="004C79E0"/>
    <w:rsid w:val="004D03D8"/>
    <w:rsid w:val="004D05E4"/>
    <w:rsid w:val="004D0B69"/>
    <w:rsid w:val="004D4D66"/>
    <w:rsid w:val="004D705F"/>
    <w:rsid w:val="004E0C1E"/>
    <w:rsid w:val="004E6FE6"/>
    <w:rsid w:val="004F2A3A"/>
    <w:rsid w:val="004F5748"/>
    <w:rsid w:val="004F7257"/>
    <w:rsid w:val="004F7693"/>
    <w:rsid w:val="005001F2"/>
    <w:rsid w:val="00501636"/>
    <w:rsid w:val="0050231A"/>
    <w:rsid w:val="00505A89"/>
    <w:rsid w:val="00506D52"/>
    <w:rsid w:val="00510470"/>
    <w:rsid w:val="005120B7"/>
    <w:rsid w:val="0051332C"/>
    <w:rsid w:val="00515BF6"/>
    <w:rsid w:val="00517E30"/>
    <w:rsid w:val="0053300A"/>
    <w:rsid w:val="00536EA5"/>
    <w:rsid w:val="00541E07"/>
    <w:rsid w:val="00547CAC"/>
    <w:rsid w:val="00551E3B"/>
    <w:rsid w:val="00556171"/>
    <w:rsid w:val="0056268C"/>
    <w:rsid w:val="00563726"/>
    <w:rsid w:val="00565D6B"/>
    <w:rsid w:val="00573055"/>
    <w:rsid w:val="00576C3E"/>
    <w:rsid w:val="00581E68"/>
    <w:rsid w:val="00584A87"/>
    <w:rsid w:val="00585199"/>
    <w:rsid w:val="00590334"/>
    <w:rsid w:val="005932B8"/>
    <w:rsid w:val="005A0379"/>
    <w:rsid w:val="005A6004"/>
    <w:rsid w:val="005B0156"/>
    <w:rsid w:val="005B081E"/>
    <w:rsid w:val="005B0E60"/>
    <w:rsid w:val="005B15D4"/>
    <w:rsid w:val="005B34F8"/>
    <w:rsid w:val="005B3FDB"/>
    <w:rsid w:val="005B6159"/>
    <w:rsid w:val="005B7934"/>
    <w:rsid w:val="005C2EB1"/>
    <w:rsid w:val="005D02C8"/>
    <w:rsid w:val="005D1A75"/>
    <w:rsid w:val="005D260B"/>
    <w:rsid w:val="005D27BC"/>
    <w:rsid w:val="005D345C"/>
    <w:rsid w:val="005D71AC"/>
    <w:rsid w:val="005F363E"/>
    <w:rsid w:val="005F4D2E"/>
    <w:rsid w:val="006006E5"/>
    <w:rsid w:val="0060177A"/>
    <w:rsid w:val="0061044F"/>
    <w:rsid w:val="00611346"/>
    <w:rsid w:val="00611FA8"/>
    <w:rsid w:val="0062260B"/>
    <w:rsid w:val="006249E2"/>
    <w:rsid w:val="006254C1"/>
    <w:rsid w:val="00627AE8"/>
    <w:rsid w:val="006360D6"/>
    <w:rsid w:val="00636B15"/>
    <w:rsid w:val="006409BE"/>
    <w:rsid w:val="00641B0F"/>
    <w:rsid w:val="00646010"/>
    <w:rsid w:val="006502B1"/>
    <w:rsid w:val="00652AFB"/>
    <w:rsid w:val="00653DC4"/>
    <w:rsid w:val="00655285"/>
    <w:rsid w:val="00655EC3"/>
    <w:rsid w:val="00657D41"/>
    <w:rsid w:val="00665072"/>
    <w:rsid w:val="00665D50"/>
    <w:rsid w:val="0067534D"/>
    <w:rsid w:val="00675565"/>
    <w:rsid w:val="00677453"/>
    <w:rsid w:val="006808E8"/>
    <w:rsid w:val="00686D99"/>
    <w:rsid w:val="0068728F"/>
    <w:rsid w:val="00690EAE"/>
    <w:rsid w:val="00697814"/>
    <w:rsid w:val="006A4830"/>
    <w:rsid w:val="006B0A60"/>
    <w:rsid w:val="006B0F6E"/>
    <w:rsid w:val="006B1065"/>
    <w:rsid w:val="006B4086"/>
    <w:rsid w:val="006B527C"/>
    <w:rsid w:val="006B7416"/>
    <w:rsid w:val="006B7F5A"/>
    <w:rsid w:val="006C417B"/>
    <w:rsid w:val="006C7DFA"/>
    <w:rsid w:val="006D1885"/>
    <w:rsid w:val="006E2AD7"/>
    <w:rsid w:val="006E713F"/>
    <w:rsid w:val="006F133A"/>
    <w:rsid w:val="006F2797"/>
    <w:rsid w:val="006F7311"/>
    <w:rsid w:val="007017E6"/>
    <w:rsid w:val="0070296F"/>
    <w:rsid w:val="00712D01"/>
    <w:rsid w:val="00714731"/>
    <w:rsid w:val="00721FFA"/>
    <w:rsid w:val="00745D5D"/>
    <w:rsid w:val="00747465"/>
    <w:rsid w:val="0075273B"/>
    <w:rsid w:val="00752BAC"/>
    <w:rsid w:val="007543AB"/>
    <w:rsid w:val="00754AD3"/>
    <w:rsid w:val="0075571F"/>
    <w:rsid w:val="00774823"/>
    <w:rsid w:val="00774E0E"/>
    <w:rsid w:val="00777007"/>
    <w:rsid w:val="00780302"/>
    <w:rsid w:val="00780776"/>
    <w:rsid w:val="007838DD"/>
    <w:rsid w:val="007A2B52"/>
    <w:rsid w:val="007A4D2A"/>
    <w:rsid w:val="007B2F6C"/>
    <w:rsid w:val="007C17AA"/>
    <w:rsid w:val="007C43DC"/>
    <w:rsid w:val="007D42E3"/>
    <w:rsid w:val="007D458E"/>
    <w:rsid w:val="007D4B66"/>
    <w:rsid w:val="007D58E4"/>
    <w:rsid w:val="007F1C09"/>
    <w:rsid w:val="007F28D4"/>
    <w:rsid w:val="007F31E0"/>
    <w:rsid w:val="007F399F"/>
    <w:rsid w:val="007F4BE7"/>
    <w:rsid w:val="007F4D71"/>
    <w:rsid w:val="007F5C26"/>
    <w:rsid w:val="00803C72"/>
    <w:rsid w:val="00807C51"/>
    <w:rsid w:val="00807F05"/>
    <w:rsid w:val="008153A8"/>
    <w:rsid w:val="008162C5"/>
    <w:rsid w:val="00816BA0"/>
    <w:rsid w:val="00817C47"/>
    <w:rsid w:val="00820328"/>
    <w:rsid w:val="00827C2E"/>
    <w:rsid w:val="00830BA5"/>
    <w:rsid w:val="00831C92"/>
    <w:rsid w:val="0083370F"/>
    <w:rsid w:val="00835D45"/>
    <w:rsid w:val="00837124"/>
    <w:rsid w:val="00840428"/>
    <w:rsid w:val="00846D54"/>
    <w:rsid w:val="0085257A"/>
    <w:rsid w:val="00854732"/>
    <w:rsid w:val="008566F8"/>
    <w:rsid w:val="00857374"/>
    <w:rsid w:val="00865B88"/>
    <w:rsid w:val="008661B3"/>
    <w:rsid w:val="00867071"/>
    <w:rsid w:val="00870E5B"/>
    <w:rsid w:val="00881EF5"/>
    <w:rsid w:val="008826A8"/>
    <w:rsid w:val="00883639"/>
    <w:rsid w:val="0088436C"/>
    <w:rsid w:val="008906F4"/>
    <w:rsid w:val="008B062E"/>
    <w:rsid w:val="008B0EF1"/>
    <w:rsid w:val="008B2D4E"/>
    <w:rsid w:val="008B4569"/>
    <w:rsid w:val="008C518D"/>
    <w:rsid w:val="008C6DE4"/>
    <w:rsid w:val="008D4242"/>
    <w:rsid w:val="008D42B0"/>
    <w:rsid w:val="008D48F9"/>
    <w:rsid w:val="008D7AC3"/>
    <w:rsid w:val="008E078A"/>
    <w:rsid w:val="008E1FC4"/>
    <w:rsid w:val="008E3EBE"/>
    <w:rsid w:val="008E57D4"/>
    <w:rsid w:val="008F3374"/>
    <w:rsid w:val="008F3CA9"/>
    <w:rsid w:val="008F557F"/>
    <w:rsid w:val="008F75A4"/>
    <w:rsid w:val="009029A7"/>
    <w:rsid w:val="00904517"/>
    <w:rsid w:val="00904F6D"/>
    <w:rsid w:val="009059D4"/>
    <w:rsid w:val="0091252F"/>
    <w:rsid w:val="00921574"/>
    <w:rsid w:val="009231A8"/>
    <w:rsid w:val="0092430B"/>
    <w:rsid w:val="00933FD9"/>
    <w:rsid w:val="009445CD"/>
    <w:rsid w:val="00955435"/>
    <w:rsid w:val="009619A2"/>
    <w:rsid w:val="00961FE6"/>
    <w:rsid w:val="00963B4A"/>
    <w:rsid w:val="00970DF0"/>
    <w:rsid w:val="00970F97"/>
    <w:rsid w:val="0097484B"/>
    <w:rsid w:val="009750DD"/>
    <w:rsid w:val="00976032"/>
    <w:rsid w:val="00983A59"/>
    <w:rsid w:val="00983E18"/>
    <w:rsid w:val="00991FBE"/>
    <w:rsid w:val="009923DD"/>
    <w:rsid w:val="00992F68"/>
    <w:rsid w:val="009A2EA2"/>
    <w:rsid w:val="009A3738"/>
    <w:rsid w:val="009A69B1"/>
    <w:rsid w:val="009B0B71"/>
    <w:rsid w:val="009B0C1B"/>
    <w:rsid w:val="009B4D21"/>
    <w:rsid w:val="009B6C99"/>
    <w:rsid w:val="009C755D"/>
    <w:rsid w:val="009D2310"/>
    <w:rsid w:val="009D24DC"/>
    <w:rsid w:val="009D2646"/>
    <w:rsid w:val="009D2BED"/>
    <w:rsid w:val="009D2E71"/>
    <w:rsid w:val="009D584E"/>
    <w:rsid w:val="009D6F77"/>
    <w:rsid w:val="009D7F3B"/>
    <w:rsid w:val="009E0396"/>
    <w:rsid w:val="009E1E90"/>
    <w:rsid w:val="009E6227"/>
    <w:rsid w:val="009F26B9"/>
    <w:rsid w:val="009F3697"/>
    <w:rsid w:val="009F371C"/>
    <w:rsid w:val="009F4F5E"/>
    <w:rsid w:val="009F5FC7"/>
    <w:rsid w:val="009F7A85"/>
    <w:rsid w:val="00A037EC"/>
    <w:rsid w:val="00A0680B"/>
    <w:rsid w:val="00A076EB"/>
    <w:rsid w:val="00A129C1"/>
    <w:rsid w:val="00A14183"/>
    <w:rsid w:val="00A14D1B"/>
    <w:rsid w:val="00A16288"/>
    <w:rsid w:val="00A213F8"/>
    <w:rsid w:val="00A25AB8"/>
    <w:rsid w:val="00A30EB6"/>
    <w:rsid w:val="00A367ED"/>
    <w:rsid w:val="00A41D82"/>
    <w:rsid w:val="00A44B44"/>
    <w:rsid w:val="00A515B6"/>
    <w:rsid w:val="00A52ECD"/>
    <w:rsid w:val="00A56DE7"/>
    <w:rsid w:val="00A57DE8"/>
    <w:rsid w:val="00A662C2"/>
    <w:rsid w:val="00A73E48"/>
    <w:rsid w:val="00A7556E"/>
    <w:rsid w:val="00A80AFA"/>
    <w:rsid w:val="00A83A66"/>
    <w:rsid w:val="00A93FEC"/>
    <w:rsid w:val="00AA2D6A"/>
    <w:rsid w:val="00AA5D38"/>
    <w:rsid w:val="00AB439D"/>
    <w:rsid w:val="00AB62CB"/>
    <w:rsid w:val="00AB7998"/>
    <w:rsid w:val="00AC3CDB"/>
    <w:rsid w:val="00AD6D4F"/>
    <w:rsid w:val="00AE24F4"/>
    <w:rsid w:val="00AF449D"/>
    <w:rsid w:val="00AF455F"/>
    <w:rsid w:val="00AF47AD"/>
    <w:rsid w:val="00AF483E"/>
    <w:rsid w:val="00AF5E47"/>
    <w:rsid w:val="00B0250B"/>
    <w:rsid w:val="00B0288E"/>
    <w:rsid w:val="00B10602"/>
    <w:rsid w:val="00B10E19"/>
    <w:rsid w:val="00B12DE7"/>
    <w:rsid w:val="00B13853"/>
    <w:rsid w:val="00B16073"/>
    <w:rsid w:val="00B16F58"/>
    <w:rsid w:val="00B2487B"/>
    <w:rsid w:val="00B33486"/>
    <w:rsid w:val="00B44FF0"/>
    <w:rsid w:val="00B45478"/>
    <w:rsid w:val="00B57776"/>
    <w:rsid w:val="00B606EA"/>
    <w:rsid w:val="00B64FFE"/>
    <w:rsid w:val="00B718BB"/>
    <w:rsid w:val="00B730E6"/>
    <w:rsid w:val="00B816F9"/>
    <w:rsid w:val="00B829CC"/>
    <w:rsid w:val="00B83191"/>
    <w:rsid w:val="00B833A4"/>
    <w:rsid w:val="00B8582E"/>
    <w:rsid w:val="00B906B9"/>
    <w:rsid w:val="00B90C07"/>
    <w:rsid w:val="00B9249E"/>
    <w:rsid w:val="00B94E83"/>
    <w:rsid w:val="00BA7529"/>
    <w:rsid w:val="00BC4AAD"/>
    <w:rsid w:val="00BC6E33"/>
    <w:rsid w:val="00BC7E2B"/>
    <w:rsid w:val="00BD1410"/>
    <w:rsid w:val="00BE027B"/>
    <w:rsid w:val="00BE1CFD"/>
    <w:rsid w:val="00BE1D33"/>
    <w:rsid w:val="00BE6EC9"/>
    <w:rsid w:val="00BF2403"/>
    <w:rsid w:val="00BF5856"/>
    <w:rsid w:val="00BF6829"/>
    <w:rsid w:val="00C02AAA"/>
    <w:rsid w:val="00C113F8"/>
    <w:rsid w:val="00C13A76"/>
    <w:rsid w:val="00C232B4"/>
    <w:rsid w:val="00C25392"/>
    <w:rsid w:val="00C3173E"/>
    <w:rsid w:val="00C34437"/>
    <w:rsid w:val="00C35AD5"/>
    <w:rsid w:val="00C4347B"/>
    <w:rsid w:val="00C572B3"/>
    <w:rsid w:val="00C57EDB"/>
    <w:rsid w:val="00C61143"/>
    <w:rsid w:val="00C6222E"/>
    <w:rsid w:val="00C63FBA"/>
    <w:rsid w:val="00C64A2C"/>
    <w:rsid w:val="00C67067"/>
    <w:rsid w:val="00C70D27"/>
    <w:rsid w:val="00C71FA1"/>
    <w:rsid w:val="00C76670"/>
    <w:rsid w:val="00C80A58"/>
    <w:rsid w:val="00C9005B"/>
    <w:rsid w:val="00C9252C"/>
    <w:rsid w:val="00C9267B"/>
    <w:rsid w:val="00C92ACD"/>
    <w:rsid w:val="00C941C1"/>
    <w:rsid w:val="00CA02AA"/>
    <w:rsid w:val="00CA0CA0"/>
    <w:rsid w:val="00CA4DC8"/>
    <w:rsid w:val="00CB0DBB"/>
    <w:rsid w:val="00CB2D12"/>
    <w:rsid w:val="00CD0A9E"/>
    <w:rsid w:val="00CD2824"/>
    <w:rsid w:val="00CD2A76"/>
    <w:rsid w:val="00CD7758"/>
    <w:rsid w:val="00CE27FB"/>
    <w:rsid w:val="00D0235C"/>
    <w:rsid w:val="00D0522D"/>
    <w:rsid w:val="00D057C6"/>
    <w:rsid w:val="00D14EA9"/>
    <w:rsid w:val="00D22BA3"/>
    <w:rsid w:val="00D25840"/>
    <w:rsid w:val="00D3178C"/>
    <w:rsid w:val="00D3601F"/>
    <w:rsid w:val="00D362A7"/>
    <w:rsid w:val="00D40F29"/>
    <w:rsid w:val="00D43222"/>
    <w:rsid w:val="00D432FD"/>
    <w:rsid w:val="00D5481D"/>
    <w:rsid w:val="00D549BF"/>
    <w:rsid w:val="00D76828"/>
    <w:rsid w:val="00D86D2D"/>
    <w:rsid w:val="00D87388"/>
    <w:rsid w:val="00D95CAA"/>
    <w:rsid w:val="00D96C1B"/>
    <w:rsid w:val="00D97B09"/>
    <w:rsid w:val="00DA32EC"/>
    <w:rsid w:val="00DA60FC"/>
    <w:rsid w:val="00DA72D1"/>
    <w:rsid w:val="00DA79BD"/>
    <w:rsid w:val="00DA7B6D"/>
    <w:rsid w:val="00DB23E7"/>
    <w:rsid w:val="00DB33A6"/>
    <w:rsid w:val="00DB5DA3"/>
    <w:rsid w:val="00DC240A"/>
    <w:rsid w:val="00DC676E"/>
    <w:rsid w:val="00DC7A4A"/>
    <w:rsid w:val="00DD2804"/>
    <w:rsid w:val="00DD6280"/>
    <w:rsid w:val="00DE18A8"/>
    <w:rsid w:val="00DE226F"/>
    <w:rsid w:val="00DE33E2"/>
    <w:rsid w:val="00DE3EDA"/>
    <w:rsid w:val="00DF08B2"/>
    <w:rsid w:val="00DF228D"/>
    <w:rsid w:val="00E027EE"/>
    <w:rsid w:val="00E042A6"/>
    <w:rsid w:val="00E04B0B"/>
    <w:rsid w:val="00E07707"/>
    <w:rsid w:val="00E1252C"/>
    <w:rsid w:val="00E1275F"/>
    <w:rsid w:val="00E142D0"/>
    <w:rsid w:val="00E211AC"/>
    <w:rsid w:val="00E22591"/>
    <w:rsid w:val="00E30DF2"/>
    <w:rsid w:val="00E36520"/>
    <w:rsid w:val="00E37515"/>
    <w:rsid w:val="00E41731"/>
    <w:rsid w:val="00E41DAF"/>
    <w:rsid w:val="00E43842"/>
    <w:rsid w:val="00E43FA8"/>
    <w:rsid w:val="00E45860"/>
    <w:rsid w:val="00E473BE"/>
    <w:rsid w:val="00E513D2"/>
    <w:rsid w:val="00E51DD2"/>
    <w:rsid w:val="00E51E33"/>
    <w:rsid w:val="00E5267D"/>
    <w:rsid w:val="00E61C0D"/>
    <w:rsid w:val="00E665F1"/>
    <w:rsid w:val="00E67515"/>
    <w:rsid w:val="00E70A20"/>
    <w:rsid w:val="00E742B5"/>
    <w:rsid w:val="00E81C9E"/>
    <w:rsid w:val="00EB3BB2"/>
    <w:rsid w:val="00EB523E"/>
    <w:rsid w:val="00EB781F"/>
    <w:rsid w:val="00EC1C25"/>
    <w:rsid w:val="00ED17A3"/>
    <w:rsid w:val="00ED1836"/>
    <w:rsid w:val="00ED33BA"/>
    <w:rsid w:val="00ED58D3"/>
    <w:rsid w:val="00ED6931"/>
    <w:rsid w:val="00EF4F33"/>
    <w:rsid w:val="00F13005"/>
    <w:rsid w:val="00F138D5"/>
    <w:rsid w:val="00F176D7"/>
    <w:rsid w:val="00F20939"/>
    <w:rsid w:val="00F21141"/>
    <w:rsid w:val="00F22AEA"/>
    <w:rsid w:val="00F22C12"/>
    <w:rsid w:val="00F235EA"/>
    <w:rsid w:val="00F244F2"/>
    <w:rsid w:val="00F250D3"/>
    <w:rsid w:val="00F261C6"/>
    <w:rsid w:val="00F26369"/>
    <w:rsid w:val="00F412CD"/>
    <w:rsid w:val="00F41920"/>
    <w:rsid w:val="00F44DA2"/>
    <w:rsid w:val="00F502EA"/>
    <w:rsid w:val="00F52650"/>
    <w:rsid w:val="00F529DF"/>
    <w:rsid w:val="00F63A0F"/>
    <w:rsid w:val="00F66BB5"/>
    <w:rsid w:val="00F7345A"/>
    <w:rsid w:val="00F7406A"/>
    <w:rsid w:val="00F75A79"/>
    <w:rsid w:val="00F80885"/>
    <w:rsid w:val="00F832B5"/>
    <w:rsid w:val="00F834C5"/>
    <w:rsid w:val="00F8616C"/>
    <w:rsid w:val="00F872A1"/>
    <w:rsid w:val="00F906DF"/>
    <w:rsid w:val="00F90935"/>
    <w:rsid w:val="00F92C1D"/>
    <w:rsid w:val="00F9389C"/>
    <w:rsid w:val="00F94CBE"/>
    <w:rsid w:val="00FA13C9"/>
    <w:rsid w:val="00FA3AF9"/>
    <w:rsid w:val="00FA3FD3"/>
    <w:rsid w:val="00FA4C02"/>
    <w:rsid w:val="00FC0020"/>
    <w:rsid w:val="00FC064B"/>
    <w:rsid w:val="00FD192C"/>
    <w:rsid w:val="00FD1D68"/>
    <w:rsid w:val="00FD212E"/>
    <w:rsid w:val="00FE5F6F"/>
    <w:rsid w:val="00FE78B2"/>
    <w:rsid w:val="00FF1D31"/>
    <w:rsid w:val="00FF30F2"/>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D817E-DC65-4B53-B0C0-2CF625DC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character" w:styleId="CommentReference">
    <w:name w:val="annotation reference"/>
    <w:rsid w:val="00165FB3"/>
    <w:rPr>
      <w:sz w:val="16"/>
      <w:szCs w:val="16"/>
    </w:rPr>
  </w:style>
  <w:style w:type="paragraph" w:styleId="CommentText">
    <w:name w:val="annotation text"/>
    <w:basedOn w:val="Normal"/>
    <w:link w:val="CommentTextChar"/>
    <w:rsid w:val="00165FB3"/>
    <w:rPr>
      <w:sz w:val="20"/>
    </w:rPr>
  </w:style>
  <w:style w:type="character" w:customStyle="1" w:styleId="CommentTextChar">
    <w:name w:val="Comment Text Char"/>
    <w:basedOn w:val="DefaultParagraphFont"/>
    <w:link w:val="CommentText"/>
    <w:rsid w:val="00165FB3"/>
  </w:style>
  <w:style w:type="paragraph" w:styleId="CommentSubject">
    <w:name w:val="annotation subject"/>
    <w:basedOn w:val="CommentText"/>
    <w:next w:val="CommentText"/>
    <w:link w:val="CommentSubjectChar"/>
    <w:rsid w:val="00165FB3"/>
    <w:rPr>
      <w:b/>
      <w:bCs/>
    </w:rPr>
  </w:style>
  <w:style w:type="character" w:customStyle="1" w:styleId="CommentSubjectChar">
    <w:name w:val="Comment Subject Char"/>
    <w:link w:val="CommentSubject"/>
    <w:rsid w:val="00165FB3"/>
    <w:rPr>
      <w:b/>
      <w:bCs/>
    </w:rPr>
  </w:style>
  <w:style w:type="paragraph" w:styleId="FootnoteText">
    <w:name w:val="footnote text"/>
    <w:basedOn w:val="Normal"/>
    <w:link w:val="FootnoteTextChar"/>
    <w:rsid w:val="00F235EA"/>
    <w:rPr>
      <w:sz w:val="20"/>
    </w:rPr>
  </w:style>
  <w:style w:type="character" w:customStyle="1" w:styleId="FootnoteTextChar">
    <w:name w:val="Footnote Text Char"/>
    <w:basedOn w:val="DefaultParagraphFont"/>
    <w:link w:val="FootnoteText"/>
    <w:rsid w:val="00F235EA"/>
  </w:style>
  <w:style w:type="character" w:styleId="FootnoteReference">
    <w:name w:val="footnote reference"/>
    <w:rsid w:val="00F235EA"/>
    <w:rPr>
      <w:vertAlign w:val="superscript"/>
    </w:rPr>
  </w:style>
  <w:style w:type="character" w:styleId="FollowedHyperlink">
    <w:name w:val="FollowedHyperlink"/>
    <w:rsid w:val="001C2E15"/>
    <w:rPr>
      <w:color w:val="800080"/>
      <w:u w:val="single"/>
    </w:rPr>
  </w:style>
  <w:style w:type="paragraph" w:styleId="NormalWeb">
    <w:name w:val="Normal (Web)"/>
    <w:basedOn w:val="Normal"/>
    <w:uiPriority w:val="99"/>
    <w:unhideWhenUsed/>
    <w:rsid w:val="00C941C1"/>
    <w:pPr>
      <w:spacing w:before="100" w:beforeAutospacing="1" w:after="100" w:afterAutospacing="1"/>
    </w:pPr>
    <w:rPr>
      <w:szCs w:val="24"/>
    </w:rPr>
  </w:style>
  <w:style w:type="character" w:styleId="Strong">
    <w:name w:val="Strong"/>
    <w:qFormat/>
    <w:rsid w:val="00D8738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97751">
      <w:bodyDiv w:val="1"/>
      <w:marLeft w:val="0"/>
      <w:marRight w:val="0"/>
      <w:marTop w:val="0"/>
      <w:marBottom w:val="0"/>
      <w:divBdr>
        <w:top w:val="none" w:sz="0" w:space="0" w:color="auto"/>
        <w:left w:val="none" w:sz="0" w:space="0" w:color="auto"/>
        <w:bottom w:val="none" w:sz="0" w:space="0" w:color="auto"/>
        <w:right w:val="none" w:sz="0" w:space="0" w:color="auto"/>
      </w:divBdr>
    </w:div>
    <w:div w:id="1444963527">
      <w:bodyDiv w:val="1"/>
      <w:marLeft w:val="0"/>
      <w:marRight w:val="0"/>
      <w:marTop w:val="0"/>
      <w:marBottom w:val="0"/>
      <w:divBdr>
        <w:top w:val="none" w:sz="0" w:space="0" w:color="auto"/>
        <w:left w:val="none" w:sz="0" w:space="0" w:color="auto"/>
        <w:bottom w:val="none" w:sz="0" w:space="0" w:color="auto"/>
        <w:right w:val="none" w:sz="0" w:space="0" w:color="auto"/>
      </w:divBdr>
    </w:div>
    <w:div w:id="1486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cl.gov/about-acl/budg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id.acl.gov/" TargetMode="External"/><Relationship Id="rId4" Type="http://schemas.openxmlformats.org/officeDocument/2006/relationships/settings" Target="settings.xml"/><Relationship Id="rId9" Type="http://schemas.openxmlformats.org/officeDocument/2006/relationships/hyperlink" Target="https://agid.acl.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GS_h.pdf" TargetMode="External"/><Relationship Id="rId2" Type="http://schemas.openxmlformats.org/officeDocument/2006/relationships/hyperlink" Target="https://www.opm.gov/policy-data-oversight/pay-leave/salaries-wages/salary-tables/pdf/2021/GS_h.pdf" TargetMode="External"/><Relationship Id="rId1" Type="http://schemas.openxmlformats.org/officeDocument/2006/relationships/hyperlink" Target="https://www.bls.gov/oes/current/naics4_55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C03CB-FD2D-48B2-8265-A4CFA0D9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SPR</vt:lpstr>
    </vt:vector>
  </TitlesOfParts>
  <Company>DHHS</Company>
  <LinksUpToDate>false</LinksUpToDate>
  <CharactersWithSpaces>8411</CharactersWithSpaces>
  <SharedDoc>false</SharedDoc>
  <HLinks>
    <vt:vector size="36" baseType="variant">
      <vt:variant>
        <vt:i4>917572</vt:i4>
      </vt:variant>
      <vt:variant>
        <vt:i4>6</vt:i4>
      </vt:variant>
      <vt:variant>
        <vt:i4>0</vt:i4>
      </vt:variant>
      <vt:variant>
        <vt:i4>5</vt:i4>
      </vt:variant>
      <vt:variant>
        <vt:lpwstr>https://agid.acl.gov/</vt:lpwstr>
      </vt:variant>
      <vt:variant>
        <vt:lpwstr/>
      </vt:variant>
      <vt:variant>
        <vt:i4>917572</vt:i4>
      </vt:variant>
      <vt:variant>
        <vt:i4>3</vt:i4>
      </vt:variant>
      <vt:variant>
        <vt:i4>0</vt:i4>
      </vt:variant>
      <vt:variant>
        <vt:i4>5</vt:i4>
      </vt:variant>
      <vt:variant>
        <vt:lpwstr>https://agid.acl.gov/</vt:lpwstr>
      </vt:variant>
      <vt:variant>
        <vt:lpwstr/>
      </vt:variant>
      <vt:variant>
        <vt:i4>786504</vt:i4>
      </vt:variant>
      <vt:variant>
        <vt:i4>0</vt:i4>
      </vt:variant>
      <vt:variant>
        <vt:i4>0</vt:i4>
      </vt:variant>
      <vt:variant>
        <vt:i4>5</vt:i4>
      </vt:variant>
      <vt:variant>
        <vt:lpwstr>https://acl.gov/about-acl/budget</vt:lpwstr>
      </vt:variant>
      <vt:variant>
        <vt:lpwstr/>
      </vt:variant>
      <vt:variant>
        <vt:i4>3997721</vt:i4>
      </vt:variant>
      <vt:variant>
        <vt:i4>6</vt:i4>
      </vt:variant>
      <vt:variant>
        <vt:i4>0</vt:i4>
      </vt:variant>
      <vt:variant>
        <vt:i4>5</vt:i4>
      </vt:variant>
      <vt:variant>
        <vt:lpwstr>https://www.opm.gov/policy-data-oversight/pay-leave/salaries-wages/salary-tables/pdf/2021/GS_h.pdf</vt:lpwstr>
      </vt:variant>
      <vt:variant>
        <vt:lpwstr/>
      </vt: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2949127</vt:i4>
      </vt:variant>
      <vt:variant>
        <vt:i4>0</vt:i4>
      </vt:variant>
      <vt:variant>
        <vt:i4>0</vt:i4>
      </vt:variant>
      <vt:variant>
        <vt:i4>5</vt:i4>
      </vt:variant>
      <vt:variant>
        <vt:lpwstr>https://www.bls.gov/oes/current/naics4_551100.htm</vt:lpwstr>
      </vt:variant>
      <vt:variant>
        <vt:lpwstr>13-0000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SPR</dc:title>
  <dc:subject/>
  <dc:creator>acl</dc:creator>
  <cp:keywords/>
  <cp:lastModifiedBy>Washington, Tomakie (ACL)</cp:lastModifiedBy>
  <cp:revision>2</cp:revision>
  <cp:lastPrinted>2019-09-27T14:30:00Z</cp:lastPrinted>
  <dcterms:created xsi:type="dcterms:W3CDTF">2021-05-24T20:11:00Z</dcterms:created>
  <dcterms:modified xsi:type="dcterms:W3CDTF">2021-05-24T20:11:00Z</dcterms:modified>
</cp:coreProperties>
</file>